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C1DF" w14:textId="5744F0A5" w:rsidR="00EC6F8D" w:rsidRPr="00293C60" w:rsidRDefault="00EC6F8D" w:rsidP="00924865">
      <w:pPr>
        <w:spacing w:before="1440"/>
        <w:jc w:val="center"/>
        <w:rPr>
          <w:rFonts w:ascii="Arial" w:hAnsi="Arial" w:cs="Arial"/>
          <w:b/>
          <w:sz w:val="22"/>
          <w:szCs w:val="22"/>
        </w:rPr>
      </w:pPr>
      <w:r>
        <w:rPr>
          <w:rFonts w:ascii="Arial" w:hAnsi="Arial"/>
          <w:b/>
          <w:sz w:val="22"/>
          <w:szCs w:val="22"/>
        </w:rPr>
        <w:t>CONVENTION POUR LA SAUVEGARDE</w:t>
      </w:r>
      <w:r w:rsidR="00924865" w:rsidRPr="00924865">
        <w:rPr>
          <w:rFonts w:ascii="Arial" w:hAnsi="Arial"/>
          <w:b/>
          <w:sz w:val="22"/>
          <w:szCs w:val="22"/>
        </w:rPr>
        <w:t xml:space="preserve"> </w:t>
      </w:r>
      <w:r w:rsidR="00924865">
        <w:rPr>
          <w:rFonts w:ascii="Arial" w:hAnsi="Arial"/>
          <w:b/>
          <w:sz w:val="22"/>
          <w:szCs w:val="22"/>
        </w:rPr>
        <w:t>DU</w:t>
      </w:r>
      <w:r>
        <w:rPr>
          <w:rFonts w:ascii="Arial" w:hAnsi="Arial"/>
          <w:b/>
          <w:sz w:val="22"/>
          <w:szCs w:val="22"/>
        </w:rPr>
        <w:br/>
        <w:t>PATRIMOINE CULTUREL IMMATÉRIEL</w:t>
      </w:r>
    </w:p>
    <w:p w14:paraId="564F4706" w14:textId="6EDE9582" w:rsidR="00EC6F8D" w:rsidRPr="00293C60" w:rsidRDefault="00EC6F8D" w:rsidP="00924865">
      <w:pPr>
        <w:spacing w:before="1200"/>
        <w:jc w:val="center"/>
        <w:rPr>
          <w:rFonts w:ascii="Arial" w:hAnsi="Arial" w:cs="Arial"/>
          <w:b/>
          <w:sz w:val="22"/>
          <w:szCs w:val="22"/>
        </w:rPr>
      </w:pPr>
      <w:r>
        <w:rPr>
          <w:rFonts w:ascii="Arial" w:hAnsi="Arial"/>
          <w:b/>
          <w:sz w:val="22"/>
          <w:szCs w:val="22"/>
        </w:rPr>
        <w:t xml:space="preserve">COMITÉ INTERGOUVERNEMENTAL DE </w:t>
      </w:r>
      <w:r w:rsidR="00924865">
        <w:rPr>
          <w:rFonts w:ascii="Arial" w:hAnsi="Arial"/>
          <w:b/>
          <w:sz w:val="22"/>
          <w:szCs w:val="22"/>
        </w:rPr>
        <w:t>SAUVEGARDE</w:t>
      </w:r>
      <w:r>
        <w:rPr>
          <w:rFonts w:ascii="Arial" w:hAnsi="Arial"/>
          <w:b/>
          <w:sz w:val="22"/>
          <w:szCs w:val="22"/>
        </w:rPr>
        <w:br/>
        <w:t>DU PATRIMOINE CULTUREL IMMATÉRIEL</w:t>
      </w:r>
    </w:p>
    <w:p w14:paraId="3A64A82B" w14:textId="77777777" w:rsidR="00EC6F8D" w:rsidRPr="00293C60" w:rsidRDefault="00EC7479" w:rsidP="00EC6F8D">
      <w:pPr>
        <w:spacing w:before="840"/>
        <w:jc w:val="center"/>
        <w:rPr>
          <w:rFonts w:ascii="Arial" w:hAnsi="Arial" w:cs="Arial"/>
          <w:b/>
          <w:sz w:val="22"/>
          <w:szCs w:val="22"/>
        </w:rPr>
      </w:pPr>
      <w:r>
        <w:rPr>
          <w:rFonts w:ascii="Arial" w:hAnsi="Arial"/>
          <w:b/>
          <w:sz w:val="22"/>
          <w:szCs w:val="22"/>
        </w:rPr>
        <w:t>Réunion du Bureau</w:t>
      </w:r>
    </w:p>
    <w:p w14:paraId="42943E2E" w14:textId="3D02729A" w:rsidR="009D5428" w:rsidRPr="00A73F63" w:rsidRDefault="00EC7479" w:rsidP="005E7074">
      <w:pPr>
        <w:jc w:val="center"/>
        <w:rPr>
          <w:rFonts w:ascii="Arial" w:eastAsiaTheme="minorEastAsia" w:hAnsi="Arial" w:cs="Arial"/>
          <w:b/>
          <w:sz w:val="22"/>
          <w:szCs w:val="22"/>
        </w:rPr>
      </w:pPr>
      <w:r>
        <w:rPr>
          <w:rFonts w:ascii="Arial" w:hAnsi="Arial"/>
          <w:b/>
          <w:sz w:val="22"/>
          <w:szCs w:val="22"/>
        </w:rPr>
        <w:t>Siège de l</w:t>
      </w:r>
      <w:r w:rsidR="00924865">
        <w:rPr>
          <w:rFonts w:ascii="Arial" w:hAnsi="Arial"/>
          <w:b/>
          <w:sz w:val="22"/>
          <w:szCs w:val="22"/>
        </w:rPr>
        <w:t>’</w:t>
      </w:r>
      <w:r>
        <w:rPr>
          <w:rFonts w:ascii="Arial" w:hAnsi="Arial"/>
          <w:b/>
          <w:sz w:val="22"/>
          <w:szCs w:val="22"/>
        </w:rPr>
        <w:t>UNESCO, Paris, Salle VIII</w:t>
      </w:r>
    </w:p>
    <w:p w14:paraId="4C224C44" w14:textId="3B92FF54" w:rsidR="00EC6F8D" w:rsidRPr="00337CEB" w:rsidRDefault="00264D2C" w:rsidP="00EC6F8D">
      <w:pPr>
        <w:jc w:val="center"/>
        <w:rPr>
          <w:rFonts w:ascii="Arial" w:eastAsiaTheme="minorEastAsia" w:hAnsi="Arial" w:cs="Arial"/>
          <w:b/>
          <w:sz w:val="22"/>
          <w:szCs w:val="22"/>
        </w:rPr>
      </w:pPr>
      <w:r>
        <w:rPr>
          <w:rFonts w:ascii="Arial" w:hAnsi="Arial"/>
          <w:b/>
          <w:sz w:val="22"/>
          <w:szCs w:val="22"/>
        </w:rPr>
        <w:t>18 juin 2019, 10h00 – 13h00</w:t>
      </w:r>
    </w:p>
    <w:p w14:paraId="5AD4B993" w14:textId="15B001A5"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3 de l</w:t>
      </w:r>
      <w:r w:rsidR="00924865">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2DE01352" w14:textId="3C6DFA6C" w:rsidR="000C6EF4" w:rsidRPr="00696A00" w:rsidRDefault="000C6EF4" w:rsidP="000C6EF4">
      <w:pPr>
        <w:pStyle w:val="Sansinterligne2"/>
        <w:spacing w:after="960"/>
        <w:jc w:val="center"/>
        <w:rPr>
          <w:rFonts w:ascii="Arial" w:hAnsi="Arial" w:cs="Arial"/>
          <w:b/>
          <w:sz w:val="22"/>
          <w:szCs w:val="22"/>
        </w:rPr>
      </w:pPr>
      <w:r>
        <w:rPr>
          <w:rFonts w:ascii="Arial" w:hAnsi="Arial"/>
          <w:b/>
          <w:sz w:val="22"/>
          <w:szCs w:val="22"/>
        </w:rPr>
        <w:t>Utilisation des fonds alloués aux « autres fonctions du Comité »</w:t>
      </w:r>
      <w:r>
        <w:rPr>
          <w:rFonts w:ascii="Arial" w:hAnsi="Arial"/>
          <w:b/>
          <w:sz w:val="22"/>
          <w:szCs w:val="22"/>
        </w:rPr>
        <w:br/>
        <w:t>conformément au Plan d</w:t>
      </w:r>
      <w:r w:rsidR="00924865">
        <w:rPr>
          <w:rFonts w:ascii="Arial" w:hAnsi="Arial"/>
          <w:b/>
          <w:sz w:val="22"/>
          <w:szCs w:val="22"/>
        </w:rPr>
        <w:t>’</w:t>
      </w:r>
      <w:r>
        <w:rPr>
          <w:rFonts w:ascii="Arial" w:hAnsi="Arial"/>
          <w:b/>
          <w:sz w:val="22"/>
          <w:szCs w:val="22"/>
        </w:rPr>
        <w:t xml:space="preserve">utilisation des ressources </w:t>
      </w:r>
      <w:r w:rsidR="00CA614F">
        <w:rPr>
          <w:rFonts w:ascii="Arial" w:hAnsi="Arial"/>
          <w:b/>
          <w:sz w:val="22"/>
          <w:szCs w:val="22"/>
        </w:rPr>
        <w:br/>
      </w:r>
      <w:r>
        <w:rPr>
          <w:rFonts w:ascii="Arial" w:hAnsi="Arial"/>
          <w:b/>
          <w:sz w:val="22"/>
          <w:szCs w:val="22"/>
        </w:rPr>
        <w:t>du Fonds du patrimoine culturel immatériel</w:t>
      </w:r>
    </w:p>
    <w:tbl>
      <w:tblPr>
        <w:tblW w:w="5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tblGrid>
      <w:tr w:rsidR="00EC6F8D" w:rsidRPr="000819BF" w14:paraId="717899EC" w14:textId="77777777" w:rsidTr="00B25683">
        <w:trPr>
          <w:jc w:val="center"/>
        </w:trPr>
        <w:tc>
          <w:tcPr>
            <w:tcW w:w="5670" w:type="dxa"/>
            <w:vAlign w:val="center"/>
          </w:tcPr>
          <w:p w14:paraId="0851FF3E"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4CB9A7D1" w14:textId="425A4551" w:rsidR="000C6EF4" w:rsidRDefault="000C6EF4" w:rsidP="00CA614F">
            <w:pPr>
              <w:pStyle w:val="Sansinterligne2"/>
              <w:spacing w:before="200" w:after="200"/>
              <w:jc w:val="both"/>
              <w:rPr>
                <w:rFonts w:ascii="Arial" w:hAnsi="Arial" w:cs="Arial"/>
                <w:sz w:val="22"/>
                <w:szCs w:val="22"/>
              </w:rPr>
            </w:pPr>
            <w:r>
              <w:rPr>
                <w:rFonts w:ascii="Arial" w:hAnsi="Arial"/>
                <w:sz w:val="22"/>
                <w:szCs w:val="22"/>
              </w:rPr>
              <w:t>Le Plan d</w:t>
            </w:r>
            <w:r w:rsidR="00924865">
              <w:rPr>
                <w:rFonts w:ascii="Arial" w:hAnsi="Arial"/>
                <w:sz w:val="22"/>
                <w:szCs w:val="22"/>
              </w:rPr>
              <w:t>’</w:t>
            </w:r>
            <w:r>
              <w:rPr>
                <w:rFonts w:ascii="Arial" w:hAnsi="Arial"/>
                <w:sz w:val="22"/>
                <w:szCs w:val="22"/>
              </w:rPr>
              <w:t>utilisation des ressources du Fonds du patrimoine culturel immatériel approuvé par l</w:t>
            </w:r>
            <w:r w:rsidR="00924865">
              <w:rPr>
                <w:rFonts w:ascii="Arial" w:hAnsi="Arial"/>
                <w:sz w:val="22"/>
                <w:szCs w:val="22"/>
              </w:rPr>
              <w:t>’</w:t>
            </w:r>
            <w:r>
              <w:rPr>
                <w:rFonts w:ascii="Arial" w:hAnsi="Arial"/>
                <w:sz w:val="22"/>
                <w:szCs w:val="22"/>
              </w:rPr>
              <w:t>Assemblée générale pour les périodes du 1er janvier 2018 au 31 décembre 2019 et du 1er janvier 2020 au 30 juin 2020 stipule l</w:t>
            </w:r>
            <w:r w:rsidR="00924865">
              <w:rPr>
                <w:rFonts w:ascii="Arial" w:hAnsi="Arial"/>
                <w:sz w:val="22"/>
                <w:szCs w:val="22"/>
              </w:rPr>
              <w:t>’</w:t>
            </w:r>
            <w:r>
              <w:rPr>
                <w:rFonts w:ascii="Arial" w:hAnsi="Arial"/>
                <w:sz w:val="22"/>
                <w:szCs w:val="22"/>
              </w:rPr>
              <w:t>allocation de 20 </w:t>
            </w:r>
            <w:r w:rsidR="00CA614F">
              <w:rPr>
                <w:rFonts w:ascii="Arial" w:hAnsi="Arial"/>
                <w:sz w:val="22"/>
                <w:szCs w:val="22"/>
              </w:rPr>
              <w:t xml:space="preserve">pour cent </w:t>
            </w:r>
            <w:r>
              <w:rPr>
                <w:rFonts w:ascii="Arial" w:hAnsi="Arial"/>
                <w:sz w:val="22"/>
                <w:szCs w:val="22"/>
              </w:rPr>
              <w:t>des ressources aux « autres fonctions du Comité » conformément à l</w:t>
            </w:r>
            <w:r w:rsidR="00924865">
              <w:rPr>
                <w:rFonts w:ascii="Arial" w:hAnsi="Arial"/>
                <w:sz w:val="22"/>
                <w:szCs w:val="22"/>
              </w:rPr>
              <w:t>’</w:t>
            </w:r>
            <w:r>
              <w:rPr>
                <w:rFonts w:ascii="Arial" w:hAnsi="Arial"/>
                <w:sz w:val="22"/>
                <w:szCs w:val="22"/>
              </w:rPr>
              <w:t xml:space="preserve">article 7 de la Convention et aux Directives opérationnelles. Le présent document </w:t>
            </w:r>
            <w:r w:rsidR="00CA614F">
              <w:rPr>
                <w:rFonts w:ascii="Arial" w:hAnsi="Arial"/>
                <w:sz w:val="22"/>
                <w:szCs w:val="22"/>
              </w:rPr>
              <w:t xml:space="preserve">contient </w:t>
            </w:r>
            <w:r>
              <w:rPr>
                <w:rFonts w:ascii="Arial" w:hAnsi="Arial"/>
                <w:sz w:val="22"/>
                <w:szCs w:val="22"/>
              </w:rPr>
              <w:t>une proposition spécifique préparée par le Secrétariat concernant l</w:t>
            </w:r>
            <w:r w:rsidR="00924865">
              <w:rPr>
                <w:rFonts w:ascii="Arial" w:hAnsi="Arial"/>
                <w:sz w:val="22"/>
                <w:szCs w:val="22"/>
              </w:rPr>
              <w:t>’</w:t>
            </w:r>
            <w:r>
              <w:rPr>
                <w:rFonts w:ascii="Arial" w:hAnsi="Arial"/>
                <w:sz w:val="22"/>
                <w:szCs w:val="22"/>
              </w:rPr>
              <w:t xml:space="preserve">utilisation de ces fonds pour la période </w:t>
            </w:r>
            <w:r w:rsidR="00CA614F">
              <w:rPr>
                <w:rFonts w:ascii="Arial" w:hAnsi="Arial"/>
                <w:sz w:val="22"/>
                <w:szCs w:val="22"/>
              </w:rPr>
              <w:t xml:space="preserve">allant </w:t>
            </w:r>
            <w:r>
              <w:rPr>
                <w:rFonts w:ascii="Arial" w:hAnsi="Arial"/>
                <w:sz w:val="22"/>
                <w:szCs w:val="22"/>
              </w:rPr>
              <w:t>du 1er janvier 2020 au 30 juin 2020. Exerçant le</w:t>
            </w:r>
            <w:r w:rsidR="00CA614F">
              <w:rPr>
                <w:rFonts w:ascii="Arial" w:hAnsi="Arial"/>
                <w:sz w:val="22"/>
                <w:szCs w:val="22"/>
              </w:rPr>
              <w:t>s</w:t>
            </w:r>
            <w:r>
              <w:rPr>
                <w:rFonts w:ascii="Arial" w:hAnsi="Arial"/>
                <w:sz w:val="22"/>
                <w:szCs w:val="22"/>
              </w:rPr>
              <w:t xml:space="preserve"> pouvoir</w:t>
            </w:r>
            <w:r w:rsidR="00CA614F">
              <w:rPr>
                <w:rFonts w:ascii="Arial" w:hAnsi="Arial"/>
                <w:sz w:val="22"/>
                <w:szCs w:val="22"/>
              </w:rPr>
              <w:t>s</w:t>
            </w:r>
            <w:r>
              <w:rPr>
                <w:rFonts w:ascii="Arial" w:hAnsi="Arial"/>
                <w:sz w:val="22"/>
                <w:szCs w:val="22"/>
              </w:rPr>
              <w:t xml:space="preserve"> </w:t>
            </w:r>
            <w:r w:rsidR="00CA614F">
              <w:rPr>
                <w:rFonts w:ascii="Arial" w:hAnsi="Arial"/>
                <w:sz w:val="22"/>
                <w:szCs w:val="22"/>
              </w:rPr>
              <w:t xml:space="preserve">qui </w:t>
            </w:r>
            <w:r>
              <w:rPr>
                <w:rFonts w:ascii="Arial" w:hAnsi="Arial"/>
                <w:sz w:val="22"/>
                <w:szCs w:val="22"/>
              </w:rPr>
              <w:t xml:space="preserve">lui </w:t>
            </w:r>
            <w:r w:rsidR="00CA614F">
              <w:rPr>
                <w:rFonts w:ascii="Arial" w:hAnsi="Arial"/>
                <w:sz w:val="22"/>
                <w:szCs w:val="22"/>
              </w:rPr>
              <w:t xml:space="preserve">ont été </w:t>
            </w:r>
            <w:r>
              <w:rPr>
                <w:rFonts w:ascii="Arial" w:hAnsi="Arial"/>
                <w:sz w:val="22"/>
                <w:szCs w:val="22"/>
              </w:rPr>
              <w:t>délégué</w:t>
            </w:r>
            <w:r w:rsidR="00CA614F">
              <w:rPr>
                <w:rFonts w:ascii="Arial" w:hAnsi="Arial"/>
                <w:sz w:val="22"/>
                <w:szCs w:val="22"/>
              </w:rPr>
              <w:t>s par</w:t>
            </w:r>
            <w:r>
              <w:rPr>
                <w:rFonts w:ascii="Arial" w:hAnsi="Arial"/>
                <w:sz w:val="22"/>
                <w:szCs w:val="22"/>
              </w:rPr>
              <w:t xml:space="preserve"> le Comité, le Bureau est invité à statuer sur l</w:t>
            </w:r>
            <w:r w:rsidR="00924865">
              <w:rPr>
                <w:rFonts w:ascii="Arial" w:hAnsi="Arial"/>
                <w:sz w:val="22"/>
                <w:szCs w:val="22"/>
              </w:rPr>
              <w:t>’</w:t>
            </w:r>
            <w:r>
              <w:rPr>
                <w:rFonts w:ascii="Arial" w:hAnsi="Arial"/>
                <w:sz w:val="22"/>
                <w:szCs w:val="22"/>
              </w:rPr>
              <w:t>utilisation de ces fonds.</w:t>
            </w:r>
          </w:p>
          <w:p w14:paraId="0967E2E8" w14:textId="1C22153C" w:rsidR="00EC6F8D" w:rsidRPr="00253355" w:rsidRDefault="00EC6F8D" w:rsidP="00AD2FC8">
            <w:pPr>
              <w:pStyle w:val="Sansinterligne2"/>
              <w:spacing w:before="200" w:after="200"/>
              <w:jc w:val="both"/>
              <w:rPr>
                <w:rFonts w:ascii="Arial" w:hAnsi="Arial" w:cs="Arial"/>
                <w:bCs/>
                <w:sz w:val="22"/>
                <w:szCs w:val="22"/>
              </w:rPr>
            </w:pPr>
            <w:r>
              <w:rPr>
                <w:rFonts w:ascii="Arial" w:hAnsi="Arial"/>
                <w:b/>
                <w:sz w:val="22"/>
                <w:szCs w:val="22"/>
              </w:rPr>
              <w:t xml:space="preserve">Décision requise : </w:t>
            </w:r>
            <w:r w:rsidRPr="00253355">
              <w:rPr>
                <w:rFonts w:ascii="Arial" w:hAnsi="Arial"/>
                <w:bCs/>
                <w:sz w:val="22"/>
                <w:szCs w:val="22"/>
              </w:rPr>
              <w:t xml:space="preserve">paragraphe </w:t>
            </w:r>
            <w:r w:rsidR="00AD2FC8" w:rsidRPr="00253355">
              <w:rPr>
                <w:rFonts w:ascii="Arial" w:hAnsi="Arial"/>
                <w:bCs/>
                <w:sz w:val="22"/>
                <w:szCs w:val="22"/>
              </w:rPr>
              <w:t>22</w:t>
            </w:r>
          </w:p>
        </w:tc>
      </w:tr>
    </w:tbl>
    <w:p w14:paraId="3AB5E30D" w14:textId="77777777" w:rsidR="00761ADA" w:rsidRPr="00696A00" w:rsidRDefault="00655736" w:rsidP="00B159EF">
      <w:pPr>
        <w:pStyle w:val="Heading4"/>
        <w:ind w:left="567" w:hanging="567"/>
        <w:rPr>
          <w:snapToGrid/>
        </w:rPr>
      </w:pPr>
      <w:r>
        <w:br w:type="page"/>
      </w:r>
      <w:r>
        <w:lastRenderedPageBreak/>
        <w:t>INTRODUCTION</w:t>
      </w:r>
    </w:p>
    <w:p w14:paraId="6ED44E59" w14:textId="194CBE6A" w:rsidR="00761ADA" w:rsidRPr="00870FD2" w:rsidRDefault="00761ADA" w:rsidP="00CA614F">
      <w:pPr>
        <w:pStyle w:val="5GAparabodytext"/>
        <w:rPr>
          <w:snapToGrid w:val="0"/>
        </w:rPr>
      </w:pPr>
      <w:r>
        <w:rPr>
          <w:snapToGrid w:val="0"/>
        </w:rPr>
        <w:t>Le Plan d</w:t>
      </w:r>
      <w:r w:rsidR="00924865">
        <w:rPr>
          <w:snapToGrid w:val="0"/>
        </w:rPr>
        <w:t>’</w:t>
      </w:r>
      <w:r>
        <w:rPr>
          <w:snapToGrid w:val="0"/>
        </w:rPr>
        <w:t>utilisation des ressources du Fonds du patrimoine culturel immatériel et le plan budgétaire adopté par l</w:t>
      </w:r>
      <w:r w:rsidR="00924865">
        <w:rPr>
          <w:snapToGrid w:val="0"/>
        </w:rPr>
        <w:t>’</w:t>
      </w:r>
      <w:r>
        <w:rPr>
          <w:snapToGrid w:val="0"/>
        </w:rPr>
        <w:t>Assemblée générale à sa septième session (</w:t>
      </w:r>
      <w:hyperlink r:id="rId8" w:history="1">
        <w:r w:rsidR="00947AC3">
          <w:rPr>
            <w:rStyle w:val="Hyperlink"/>
            <w:snapToGrid w:val="0"/>
          </w:rPr>
          <w:t>r</w:t>
        </w:r>
        <w:r>
          <w:rPr>
            <w:rStyle w:val="Hyperlink"/>
            <w:snapToGrid w:val="0"/>
          </w:rPr>
          <w:t>ésolution 7.GA 8</w:t>
        </w:r>
      </w:hyperlink>
      <w:r>
        <w:rPr>
          <w:snapToGrid w:val="0"/>
        </w:rPr>
        <w:t>) prévoient l</w:t>
      </w:r>
      <w:r w:rsidR="00924865">
        <w:rPr>
          <w:snapToGrid w:val="0"/>
        </w:rPr>
        <w:t>’</w:t>
      </w:r>
      <w:r>
        <w:rPr>
          <w:snapToGrid w:val="0"/>
        </w:rPr>
        <w:t>allocation de 20 </w:t>
      </w:r>
      <w:r w:rsidR="00CA614F">
        <w:rPr>
          <w:snapToGrid w:val="0"/>
        </w:rPr>
        <w:t xml:space="preserve">pour cent </w:t>
      </w:r>
      <w:r>
        <w:rPr>
          <w:snapToGrid w:val="0"/>
        </w:rPr>
        <w:t>du total aux « autres fonctions du Comité », conformément à l</w:t>
      </w:r>
      <w:r w:rsidR="00924865">
        <w:rPr>
          <w:snapToGrid w:val="0"/>
        </w:rPr>
        <w:t>’</w:t>
      </w:r>
      <w:r>
        <w:rPr>
          <w:snapToGrid w:val="0"/>
        </w:rPr>
        <w:t xml:space="preserve">article 7 de la Convention et aux Directives opérationnelles pour </w:t>
      </w:r>
      <w:r w:rsidR="00CA614F">
        <w:rPr>
          <w:snapToGrid w:val="0"/>
        </w:rPr>
        <w:t xml:space="preserve">les </w:t>
      </w:r>
      <w:r>
        <w:rPr>
          <w:snapToGrid w:val="0"/>
        </w:rPr>
        <w:t>période</w:t>
      </w:r>
      <w:r w:rsidR="00CA614F">
        <w:rPr>
          <w:snapToGrid w:val="0"/>
        </w:rPr>
        <w:t>s</w:t>
      </w:r>
      <w:r>
        <w:rPr>
          <w:snapToGrid w:val="0"/>
        </w:rPr>
        <w:t xml:space="preserve"> du 1</w:t>
      </w:r>
      <w:r>
        <w:t>er</w:t>
      </w:r>
      <w:r>
        <w:rPr>
          <w:snapToGrid w:val="0"/>
        </w:rPr>
        <w:t xml:space="preserve"> janvier 2018 au 31 décembre 2019 </w:t>
      </w:r>
      <w:r w:rsidR="00CA614F">
        <w:rPr>
          <w:snapToGrid w:val="0"/>
        </w:rPr>
        <w:t>et</w:t>
      </w:r>
      <w:r>
        <w:rPr>
          <w:snapToGrid w:val="0"/>
        </w:rPr>
        <w:t xml:space="preserve"> du 1</w:t>
      </w:r>
      <w:r>
        <w:t>er</w:t>
      </w:r>
      <w:r>
        <w:rPr>
          <w:snapToGrid w:val="0"/>
        </w:rPr>
        <w:t> janv</w:t>
      </w:r>
      <w:r w:rsidR="00B25683">
        <w:rPr>
          <w:snapToGrid w:val="0"/>
        </w:rPr>
        <w:t>ier 2020 au 30 juin 2020.</w:t>
      </w:r>
    </w:p>
    <w:p w14:paraId="61CEAA5C" w14:textId="1E2E1657" w:rsidR="00761ADA" w:rsidRDefault="00761ADA" w:rsidP="00AD2FC8">
      <w:pPr>
        <w:pStyle w:val="5GAparabodytext"/>
      </w:pPr>
      <w:r>
        <w:t xml:space="preserve">Dans sa </w:t>
      </w:r>
      <w:hyperlink r:id="rId9" w:history="1">
        <w:r w:rsidR="00947AC3">
          <w:rPr>
            <w:rStyle w:val="Hyperlink"/>
          </w:rPr>
          <w:t>d</w:t>
        </w:r>
        <w:r>
          <w:rPr>
            <w:rStyle w:val="Hyperlink"/>
          </w:rPr>
          <w:t>écision 12.COM 7</w:t>
        </w:r>
      </w:hyperlink>
      <w:r>
        <w:t>, le Comité a décidé de poursuivre avec le mécanisme mis en place lors des précédentes sessions pour autoriser les dépenses dans cette catégorie. Dans cette décision, le Comité a délégué « à son Bureau le pouvoir de décider de l</w:t>
      </w:r>
      <w:r w:rsidR="00924865">
        <w:t>’</w:t>
      </w:r>
      <w:r>
        <w:t xml:space="preserve">utilisation des fonds alloués au titre </w:t>
      </w:r>
      <w:r w:rsidR="00AD2FC8">
        <w:t>du point</w:t>
      </w:r>
      <w:r>
        <w:t> 3 du Plan, sur la base de</w:t>
      </w:r>
      <w:r w:rsidR="00AD2FC8">
        <w:t>s</w:t>
      </w:r>
      <w:r>
        <w:t xml:space="preserve"> propositions spécifiques </w:t>
      </w:r>
      <w:r w:rsidR="00AD2FC8">
        <w:t>qui seront préparées</w:t>
      </w:r>
      <w:r>
        <w:t xml:space="preserve"> par le Secrétariat ». En statuant sur le plan d</w:t>
      </w:r>
      <w:r w:rsidR="00924865">
        <w:t>’</w:t>
      </w:r>
      <w:r>
        <w:t>utilisation des fonds alloués aux « autres fonctions du Comité » en juin 2018 (</w:t>
      </w:r>
      <w:hyperlink r:id="rId10" w:history="1">
        <w:r w:rsidR="00947AC3">
          <w:rPr>
            <w:rStyle w:val="Hyperlink"/>
          </w:rPr>
          <w:t>d</w:t>
        </w:r>
        <w:r>
          <w:rPr>
            <w:rStyle w:val="Hyperlink"/>
          </w:rPr>
          <w:t>écision 13.COM 2.BUR 3</w:t>
        </w:r>
      </w:hyperlink>
      <w:r>
        <w:t>), le Bureau de la treizième session du Comité a approuvé un plan pour la période du 1er janvier 2018 au 31 décembre 2019, étant entendu que le Bureau de la quatorzième session du Comité serait chargé, à la mi-2019, d</w:t>
      </w:r>
      <w:r w:rsidR="00924865">
        <w:t>’</w:t>
      </w:r>
      <w:r>
        <w:t>approuver la proposition d</w:t>
      </w:r>
      <w:r w:rsidR="00924865">
        <w:t>’</w:t>
      </w:r>
      <w:r>
        <w:t>utilisation de ces fonds pour la période du 1er janvier 2020 au 30 juin 2020.</w:t>
      </w:r>
    </w:p>
    <w:p w14:paraId="506A7957" w14:textId="24767A5D" w:rsidR="00085C97" w:rsidRPr="00085C97" w:rsidRDefault="002A4982" w:rsidP="00060BEF">
      <w:pPr>
        <w:pStyle w:val="5GAparabodytext"/>
      </w:pPr>
      <w:r>
        <w:t>Comme approuvé par l</w:t>
      </w:r>
      <w:r w:rsidR="00924865">
        <w:t>’</w:t>
      </w:r>
      <w:r>
        <w:t>Assemblée générale, le montant de 429 </w:t>
      </w:r>
      <w:r w:rsidR="00CA614F">
        <w:t>54</w:t>
      </w:r>
      <w:r w:rsidR="00B25683">
        <w:t>6</w:t>
      </w:r>
      <w:r w:rsidR="00CA614F">
        <w:t xml:space="preserve"> </w:t>
      </w:r>
      <w:r>
        <w:t>dollars des États-Unis est disponible à cet effet pour la période du 1er janvier 2020 au 30 juin 2020. La deuxième partie de ce document présente donc une proposition spécifique préparée par le Secrétariat concernant l</w:t>
      </w:r>
      <w:r w:rsidR="00924865">
        <w:t>’</w:t>
      </w:r>
      <w:r>
        <w:t>utilisation de ces fonds pour cette période. La proposition constitue l</w:t>
      </w:r>
      <w:r w:rsidR="00924865">
        <w:t>’</w:t>
      </w:r>
      <w:r>
        <w:t>annexe au projet de décision proposé ci-après. Il est entendu que cette proposition devra être absorbée dans la proposition relative à l</w:t>
      </w:r>
      <w:r w:rsidR="00924865">
        <w:t>’</w:t>
      </w:r>
      <w:r>
        <w:t>exercice biennal 2020</w:t>
      </w:r>
      <w:r w:rsidR="00060BEF" w:rsidRPr="00DE3121">
        <w:t>–</w:t>
      </w:r>
      <w:r>
        <w:t>2021, qui sera examinée par le Bureau de la quinzième session du Comité à la mi-2020 sur la base de l</w:t>
      </w:r>
      <w:r w:rsidR="00924865">
        <w:t>’</w:t>
      </w:r>
      <w:r>
        <w:t xml:space="preserve">exercice 40C/5, </w:t>
      </w:r>
      <w:r w:rsidR="00AD2FC8">
        <w:t>tel qu’</w:t>
      </w:r>
      <w:r>
        <w:t>adopté par la Conférence générale de l</w:t>
      </w:r>
      <w:r w:rsidR="00924865">
        <w:t>’</w:t>
      </w:r>
      <w:r>
        <w:t>UNESCO en octobre/novembre 2019. Le Bureau examinera la proposition pour l</w:t>
      </w:r>
      <w:r w:rsidR="00924865">
        <w:t>’</w:t>
      </w:r>
      <w:r>
        <w:t>exercice biennal 2020</w:t>
      </w:r>
      <w:r w:rsidR="00060BEF" w:rsidRPr="00DE3121">
        <w:t>–</w:t>
      </w:r>
      <w:r>
        <w:t>2021, immédiatement après l</w:t>
      </w:r>
      <w:r w:rsidR="00924865">
        <w:t>’</w:t>
      </w:r>
      <w:r>
        <w:t>adoption d</w:t>
      </w:r>
      <w:r w:rsidR="00924865">
        <w:t>’</w:t>
      </w:r>
      <w:r>
        <w:t>un nouveau Plan d</w:t>
      </w:r>
      <w:r w:rsidR="00924865">
        <w:t>’</w:t>
      </w:r>
      <w:r>
        <w:t>utilisation des ressources du Fonds par la huitième session de l</w:t>
      </w:r>
      <w:r w:rsidR="00924865">
        <w:t>’</w:t>
      </w:r>
      <w:r>
        <w:t>Assemblée générale des États parties à la Convention.</w:t>
      </w:r>
    </w:p>
    <w:p w14:paraId="1FBDEA5B" w14:textId="3A3A86BA" w:rsidR="00962C3B" w:rsidRPr="00696A00" w:rsidRDefault="00962C3B" w:rsidP="00B25683">
      <w:pPr>
        <w:pStyle w:val="Heading4"/>
        <w:spacing w:before="360"/>
        <w:ind w:left="567" w:hanging="567"/>
        <w:jc w:val="both"/>
        <w:rPr>
          <w:rFonts w:cs="Arial"/>
          <w:bCs w:val="0"/>
          <w:smallCaps/>
          <w:szCs w:val="22"/>
        </w:rPr>
      </w:pPr>
      <w:r>
        <w:t>PROPOSITION D</w:t>
      </w:r>
      <w:r w:rsidR="00924865">
        <w:t>’</w:t>
      </w:r>
      <w:r>
        <w:t>UTILISATION DES FONDS ALLOUÉS AUX « AUTRES FONCTIONS DU COMITÉ »</w:t>
      </w:r>
    </w:p>
    <w:p w14:paraId="53D4602D" w14:textId="75D706B3" w:rsidR="00134EAF" w:rsidRDefault="00134EAF" w:rsidP="00F144BC">
      <w:pPr>
        <w:pStyle w:val="5GAparabodytext"/>
      </w:pPr>
      <w:r>
        <w:t>Par souci de cohérence et d</w:t>
      </w:r>
      <w:r w:rsidR="00924865">
        <w:t>’</w:t>
      </w:r>
      <w:r>
        <w:t>intégration concernant les rapports adressés aux organes directeurs de la Convention et de l</w:t>
      </w:r>
      <w:r w:rsidR="00924865">
        <w:t>’</w:t>
      </w:r>
      <w:r>
        <w:t>UNESCO, le plan de dépenses proposé par le Secrétariat est fondé sur un cadre de résultats entièrement aligné sur les cinq indicateurs de performance inclus dans le Projet 40C/5 pour le Grand programme IV sur la Culture, l</w:t>
      </w:r>
      <w:r w:rsidR="00924865">
        <w:t>’</w:t>
      </w:r>
      <w:r>
        <w:t>axe d</w:t>
      </w:r>
      <w:r w:rsidR="00924865">
        <w:t>’</w:t>
      </w:r>
      <w:r>
        <w:t>action 2 et le Résultat escompté 6 « Identification et sauvegarde du patrimoine culturel immatériel par les États membres et les communautés, notamment par l</w:t>
      </w:r>
      <w:r w:rsidR="00924865">
        <w:t>’</w:t>
      </w:r>
      <w:r>
        <w:t>application effective de la Convention de 2003 ». Seul l</w:t>
      </w:r>
      <w:r w:rsidR="00924865">
        <w:t>’</w:t>
      </w:r>
      <w:r>
        <w:t>indicateur de performance 4 dédié à l</w:t>
      </w:r>
      <w:r w:rsidR="00924865">
        <w:t>’</w:t>
      </w:r>
      <w:r>
        <w:t>Assistance internationale n</w:t>
      </w:r>
      <w:r w:rsidR="00924865">
        <w:t>’</w:t>
      </w:r>
      <w:r>
        <w:t>apparaît pas dans la proposition</w:t>
      </w:r>
      <w:r w:rsidR="008910EA">
        <w:t>,</w:t>
      </w:r>
      <w:r>
        <w:t xml:space="preserve"> car l</w:t>
      </w:r>
      <w:r w:rsidR="00924865">
        <w:t>’</w:t>
      </w:r>
      <w:r>
        <w:t>Assistance internationale est soutenue par une autre ligne du Fonds que celle des « autres fonctions du Comité ». Il est par conséquent demandé au Bureau d</w:t>
      </w:r>
      <w:r w:rsidR="00924865">
        <w:t>’</w:t>
      </w:r>
      <w:r>
        <w:t>approuver la proposition, en annexe, présentée sous la forme d</w:t>
      </w:r>
      <w:r w:rsidR="00924865">
        <w:t>’</w:t>
      </w:r>
      <w:r>
        <w:t xml:space="preserve">un cadre de résultats avec </w:t>
      </w:r>
      <w:proofErr w:type="gramStart"/>
      <w:r>
        <w:t>des</w:t>
      </w:r>
      <w:proofErr w:type="gramEnd"/>
      <w:r>
        <w:t xml:space="preserve"> dotations financières pour chaque résultat escompté (R</w:t>
      </w:r>
      <w:r w:rsidR="008910EA">
        <w:t>E</w:t>
      </w:r>
      <w:r>
        <w:t>).</w:t>
      </w:r>
    </w:p>
    <w:p w14:paraId="13D0F2F6" w14:textId="56799FD8" w:rsidR="00BF606C" w:rsidRDefault="00BF606C" w:rsidP="00060BEF">
      <w:pPr>
        <w:pStyle w:val="5GAparabodytext"/>
      </w:pPr>
      <w:r>
        <w:t>La proposition reste conforme au cadre de résultats 2018</w:t>
      </w:r>
      <w:r w:rsidR="00060BEF" w:rsidRPr="00DE3121">
        <w:t>–</w:t>
      </w:r>
      <w:r>
        <w:t>2019 de la ligne budgétaire « autres fonctions du Comité » et s</w:t>
      </w:r>
      <w:r w:rsidR="00924865">
        <w:t>’</w:t>
      </w:r>
      <w:r>
        <w:t xml:space="preserve">appuie sur les enseignements tirés des activités déjà mises en œuvre en 2018 </w:t>
      </w:r>
      <w:r w:rsidR="00FC6F4D">
        <w:t>telles qu’</w:t>
      </w:r>
      <w:r>
        <w:t>inscrites dans le rapport adressé au Bureau (document </w:t>
      </w:r>
      <w:hyperlink r:id="rId11" w:history="1">
        <w:r w:rsidR="00B25683" w:rsidRPr="00B25683">
          <w:rPr>
            <w:rStyle w:val="Hyperlink"/>
          </w:rPr>
          <w:t>LHE</w:t>
        </w:r>
        <w:r w:rsidRPr="00B25683">
          <w:rPr>
            <w:rStyle w:val="Hyperlink"/>
          </w:rPr>
          <w:t>/19/14.COM 2.BUR/INF.3</w:t>
        </w:r>
      </w:hyperlink>
      <w:r>
        <w:t>). Dans cet esprit, le tableau ci-dessous montre que cette proposition nécessite, pour l</w:t>
      </w:r>
      <w:r w:rsidR="00924865">
        <w:t>’</w:t>
      </w:r>
      <w:r>
        <w:t xml:space="preserve">essentiel, un soutien des résultats escomptés approuvés pour </w:t>
      </w:r>
      <w:r w:rsidR="00FC6F4D">
        <w:t>les domaines qui sont conformes à ceux du 39 C/5 approuvé</w:t>
      </w:r>
      <w:r>
        <w:t xml:space="preserve">, en continuant à cibler principalement le soutien aux États membres pour la mise en œuvre de la Convention au niveau national </w:t>
      </w:r>
      <w:r w:rsidR="00FC6F4D">
        <w:t>en consolidant</w:t>
      </w:r>
      <w:r>
        <w:t xml:space="preserve"> </w:t>
      </w:r>
      <w:r w:rsidR="00FC6F4D">
        <w:t xml:space="preserve">le </w:t>
      </w:r>
      <w:r>
        <w:t>programme de renforcement des capacités (</w:t>
      </w:r>
      <w:r w:rsidR="008910EA">
        <w:t>RE</w:t>
      </w:r>
      <w:r>
        <w:t>2). À l</w:t>
      </w:r>
      <w:r w:rsidR="00924865">
        <w:t>’</w:t>
      </w:r>
      <w:r>
        <w:t xml:space="preserve">instar des précédents exercices biennaux, cette ligne budgétaire va également continuer à </w:t>
      </w:r>
      <w:r w:rsidR="00FC6F4D">
        <w:t xml:space="preserve">apporter </w:t>
      </w:r>
      <w:r>
        <w:t xml:space="preserve">un soutien précieux à la Convention dans des domaines où il est parfois difficile de mobiliser des </w:t>
      </w:r>
      <w:r w:rsidR="00FC6F4D">
        <w:t xml:space="preserve">contributions volontaires </w:t>
      </w:r>
      <w:r>
        <w:t>extrabudgétaires cohérent</w:t>
      </w:r>
      <w:r w:rsidR="00FC6F4D">
        <w:t>e</w:t>
      </w:r>
      <w:r>
        <w:t xml:space="preserve">s pour leur mise en œuvre. À cet </w:t>
      </w:r>
      <w:r>
        <w:lastRenderedPageBreak/>
        <w:t xml:space="preserve">égard, cette proposition prévoit </w:t>
      </w:r>
      <w:r w:rsidR="00FC6F4D">
        <w:t xml:space="preserve">une nouvelle fois </w:t>
      </w:r>
      <w:r>
        <w:t>l</w:t>
      </w:r>
      <w:r w:rsidR="00924865">
        <w:t>’</w:t>
      </w:r>
      <w:r>
        <w:t>allocation de fonds pour consolider les services de gestion des connaissances de la Convention (</w:t>
      </w:r>
      <w:r w:rsidR="008910EA">
        <w:t>RE</w:t>
      </w:r>
      <w:r>
        <w:t>1) et promouvoir la Convention à l</w:t>
      </w:r>
      <w:r w:rsidR="00924865">
        <w:t>’</w:t>
      </w:r>
      <w:r>
        <w:t xml:space="preserve">aide </w:t>
      </w:r>
      <w:r>
        <w:rPr>
          <w:rStyle w:val="hps"/>
        </w:rPr>
        <w:t>d</w:t>
      </w:r>
      <w:r w:rsidR="00924865">
        <w:rPr>
          <w:rStyle w:val="hps"/>
        </w:rPr>
        <w:t>’</w:t>
      </w:r>
      <w:r>
        <w:rPr>
          <w:rStyle w:val="hps"/>
        </w:rPr>
        <w:t>initiatives de sensibilisation et par la production de matériels de sensibilisation (</w:t>
      </w:r>
      <w:r w:rsidR="008910EA">
        <w:t>RE</w:t>
      </w:r>
      <w:r>
        <w:rPr>
          <w:rStyle w:val="hps"/>
        </w:rPr>
        <w:t>4).</w:t>
      </w:r>
      <w:r>
        <w:t xml:space="preserve"> Enfin, sur les six premiers mois de 2020, il est proposé que cette ligne budgétaire continue également à soutenir le travail entrepris au cours de l</w:t>
      </w:r>
      <w:r w:rsidR="00924865">
        <w:t>’</w:t>
      </w:r>
      <w:r>
        <w:t>exercice biennal actuel sur l</w:t>
      </w:r>
      <w:r w:rsidR="00924865">
        <w:t>’</w:t>
      </w:r>
      <w:r>
        <w:t>intégration du patrimoine culturel immatériel dans les plans, politiques et programmes de développement (</w:t>
      </w:r>
      <w:r w:rsidR="008910EA">
        <w:t>RE</w:t>
      </w:r>
      <w:r>
        <w:t>3).</w:t>
      </w:r>
    </w:p>
    <w:tbl>
      <w:tblPr>
        <w:tblW w:w="9072" w:type="dxa"/>
        <w:tblInd w:w="567" w:type="dxa"/>
        <w:tblLook w:val="04A0" w:firstRow="1" w:lastRow="0" w:firstColumn="1" w:lastColumn="0" w:noHBand="0" w:noVBand="1"/>
      </w:tblPr>
      <w:tblGrid>
        <w:gridCol w:w="7010"/>
        <w:gridCol w:w="2062"/>
      </w:tblGrid>
      <w:tr w:rsidR="006E51F3" w:rsidRPr="00696A00" w14:paraId="18F08D62" w14:textId="77777777" w:rsidTr="00B159EF">
        <w:tc>
          <w:tcPr>
            <w:tcW w:w="6662" w:type="dxa"/>
            <w:shd w:val="clear" w:color="auto" w:fill="BFBFBF"/>
            <w:vAlign w:val="center"/>
          </w:tcPr>
          <w:p w14:paraId="5205852F" w14:textId="77777777" w:rsidR="006E51F3" w:rsidRPr="00696A00" w:rsidRDefault="006E51F3" w:rsidP="00C96427">
            <w:pPr>
              <w:spacing w:before="60" w:after="60"/>
              <w:rPr>
                <w:rFonts w:ascii="Arial" w:hAnsi="Arial" w:cs="Arial"/>
                <w:b/>
                <w:sz w:val="20"/>
                <w:szCs w:val="20"/>
              </w:rPr>
            </w:pPr>
            <w:r>
              <w:rPr>
                <w:rFonts w:ascii="Arial" w:hAnsi="Arial"/>
                <w:b/>
                <w:sz w:val="20"/>
                <w:szCs w:val="20"/>
              </w:rPr>
              <w:t>Résultats escomptés :</w:t>
            </w:r>
          </w:p>
        </w:tc>
        <w:tc>
          <w:tcPr>
            <w:tcW w:w="1960" w:type="dxa"/>
            <w:shd w:val="clear" w:color="auto" w:fill="BFBFBF"/>
            <w:vAlign w:val="center"/>
          </w:tcPr>
          <w:p w14:paraId="38D3304B" w14:textId="29F77628" w:rsidR="006E51F3" w:rsidRPr="00696A00" w:rsidRDefault="006E51F3" w:rsidP="0053181D">
            <w:pPr>
              <w:spacing w:before="60" w:after="60"/>
              <w:jc w:val="center"/>
              <w:rPr>
                <w:rFonts w:ascii="Arial" w:hAnsi="Arial" w:cs="Arial"/>
                <w:b/>
                <w:sz w:val="20"/>
                <w:szCs w:val="20"/>
              </w:rPr>
            </w:pPr>
            <w:r>
              <w:rPr>
                <w:rFonts w:ascii="Arial" w:hAnsi="Arial"/>
                <w:b/>
                <w:sz w:val="20"/>
                <w:szCs w:val="20"/>
              </w:rPr>
              <w:t xml:space="preserve">1er janvier </w:t>
            </w:r>
            <w:r w:rsidR="0053181D">
              <w:rPr>
                <w:rFonts w:ascii="Arial" w:hAnsi="Arial"/>
                <w:b/>
                <w:sz w:val="20"/>
                <w:szCs w:val="20"/>
              </w:rPr>
              <w:t>–</w:t>
            </w:r>
            <w:r>
              <w:rPr>
                <w:rFonts w:ascii="Arial" w:hAnsi="Arial"/>
                <w:b/>
                <w:sz w:val="20"/>
                <w:szCs w:val="20"/>
              </w:rPr>
              <w:t xml:space="preserve"> 30</w:t>
            </w:r>
            <w:r w:rsidR="0053181D">
              <w:rPr>
                <w:rFonts w:ascii="Arial" w:hAnsi="Arial"/>
                <w:b/>
                <w:sz w:val="20"/>
                <w:szCs w:val="20"/>
              </w:rPr>
              <w:t> </w:t>
            </w:r>
            <w:r>
              <w:rPr>
                <w:rFonts w:ascii="Arial" w:hAnsi="Arial"/>
                <w:b/>
                <w:sz w:val="20"/>
                <w:szCs w:val="20"/>
              </w:rPr>
              <w:t>juin 2020</w:t>
            </w:r>
          </w:p>
        </w:tc>
      </w:tr>
      <w:tr w:rsidR="006E51F3" w:rsidRPr="00696A00" w14:paraId="30956010" w14:textId="77777777" w:rsidTr="00B159EF">
        <w:tc>
          <w:tcPr>
            <w:tcW w:w="6662" w:type="dxa"/>
            <w:shd w:val="clear" w:color="auto" w:fill="auto"/>
          </w:tcPr>
          <w:p w14:paraId="5F6C9DCD" w14:textId="4C699D6B" w:rsidR="006E51F3" w:rsidRPr="00870FD2" w:rsidRDefault="008910EA" w:rsidP="00C96427">
            <w:pPr>
              <w:spacing w:before="60" w:after="60"/>
              <w:rPr>
                <w:rFonts w:ascii="Arial" w:hAnsi="Arial" w:cs="Arial"/>
                <w:sz w:val="20"/>
                <w:szCs w:val="20"/>
              </w:rPr>
            </w:pPr>
            <w:r w:rsidRPr="00B25683">
              <w:rPr>
                <w:rFonts w:ascii="Arial" w:hAnsi="Arial"/>
                <w:sz w:val="20"/>
                <w:szCs w:val="20"/>
              </w:rPr>
              <w:t>RE</w:t>
            </w:r>
            <w:r w:rsidR="006E51F3">
              <w:rPr>
                <w:rFonts w:ascii="Arial" w:hAnsi="Arial"/>
                <w:sz w:val="20"/>
                <w:szCs w:val="20"/>
              </w:rPr>
              <w:t> 1 : Bonne gouvernance de la Convention de 2003 facilitée par l</w:t>
            </w:r>
            <w:r w:rsidR="00924865">
              <w:rPr>
                <w:rFonts w:ascii="Arial" w:hAnsi="Arial"/>
                <w:sz w:val="20"/>
                <w:szCs w:val="20"/>
              </w:rPr>
              <w:t>’</w:t>
            </w:r>
            <w:r w:rsidR="006E51F3">
              <w:rPr>
                <w:rFonts w:ascii="Arial" w:hAnsi="Arial"/>
                <w:sz w:val="20"/>
                <w:szCs w:val="20"/>
              </w:rPr>
              <w:t>amélioration du suivi et des services de gestion des connaissances</w:t>
            </w:r>
          </w:p>
        </w:tc>
        <w:tc>
          <w:tcPr>
            <w:tcW w:w="1960" w:type="dxa"/>
            <w:shd w:val="clear" w:color="auto" w:fill="auto"/>
          </w:tcPr>
          <w:p w14:paraId="64EE99F6" w14:textId="6F4B0840" w:rsidR="006E51F3" w:rsidRPr="00696A00" w:rsidRDefault="00887999" w:rsidP="00C96427">
            <w:pPr>
              <w:spacing w:before="60" w:after="60"/>
              <w:jc w:val="center"/>
              <w:rPr>
                <w:rFonts w:ascii="Arial" w:hAnsi="Arial" w:cs="Arial"/>
                <w:sz w:val="20"/>
                <w:szCs w:val="20"/>
              </w:rPr>
            </w:pPr>
            <w:r>
              <w:rPr>
                <w:rFonts w:ascii="Arial" w:hAnsi="Arial"/>
                <w:sz w:val="20"/>
                <w:szCs w:val="20"/>
              </w:rPr>
              <w:t>23%</w:t>
            </w:r>
          </w:p>
        </w:tc>
      </w:tr>
      <w:tr w:rsidR="006E51F3" w:rsidRPr="00696A00" w14:paraId="224F2685" w14:textId="77777777" w:rsidTr="00B159EF">
        <w:tc>
          <w:tcPr>
            <w:tcW w:w="6662" w:type="dxa"/>
            <w:shd w:val="clear" w:color="auto" w:fill="auto"/>
          </w:tcPr>
          <w:p w14:paraId="6D931CA7" w14:textId="0AC8DD4A" w:rsidR="006E51F3" w:rsidRPr="00870FD2" w:rsidRDefault="008910EA">
            <w:pPr>
              <w:spacing w:before="60" w:after="60"/>
              <w:rPr>
                <w:rFonts w:ascii="Arial" w:hAnsi="Arial" w:cs="Arial"/>
                <w:sz w:val="20"/>
                <w:szCs w:val="20"/>
              </w:rPr>
            </w:pPr>
            <w:r w:rsidRPr="00B25683">
              <w:rPr>
                <w:rFonts w:ascii="Arial" w:hAnsi="Arial"/>
                <w:sz w:val="20"/>
                <w:szCs w:val="20"/>
              </w:rPr>
              <w:t>RE</w:t>
            </w:r>
            <w:r w:rsidR="006E51F3">
              <w:rPr>
                <w:rFonts w:ascii="Arial" w:hAnsi="Arial"/>
                <w:sz w:val="20"/>
                <w:szCs w:val="20"/>
              </w:rPr>
              <w:t xml:space="preserve"> 2 : Mise en œuvre de la Convention dans les États membres encouragée par un programme de renforcement des capacités consolidé </w:t>
            </w:r>
          </w:p>
        </w:tc>
        <w:tc>
          <w:tcPr>
            <w:tcW w:w="1960" w:type="dxa"/>
            <w:shd w:val="clear" w:color="auto" w:fill="auto"/>
          </w:tcPr>
          <w:p w14:paraId="3FBF2083" w14:textId="57D5720E" w:rsidR="006E51F3" w:rsidRPr="00696A00" w:rsidRDefault="00887999" w:rsidP="00C96427">
            <w:pPr>
              <w:spacing w:before="60" w:after="60"/>
              <w:jc w:val="center"/>
              <w:rPr>
                <w:rFonts w:ascii="Arial" w:hAnsi="Arial" w:cs="Arial"/>
                <w:sz w:val="20"/>
                <w:szCs w:val="20"/>
              </w:rPr>
            </w:pPr>
            <w:r>
              <w:rPr>
                <w:rFonts w:ascii="Arial" w:hAnsi="Arial"/>
                <w:sz w:val="20"/>
                <w:szCs w:val="20"/>
              </w:rPr>
              <w:t>43%</w:t>
            </w:r>
          </w:p>
        </w:tc>
      </w:tr>
      <w:tr w:rsidR="006E51F3" w:rsidRPr="00696A00" w14:paraId="7AEF12C1" w14:textId="77777777" w:rsidTr="00B159EF">
        <w:tc>
          <w:tcPr>
            <w:tcW w:w="6662" w:type="dxa"/>
            <w:shd w:val="clear" w:color="auto" w:fill="auto"/>
          </w:tcPr>
          <w:p w14:paraId="5185897E" w14:textId="56DE1FB8" w:rsidR="006E51F3" w:rsidRPr="00870FD2" w:rsidRDefault="008910EA" w:rsidP="00C96427">
            <w:pPr>
              <w:spacing w:before="60" w:after="60"/>
              <w:rPr>
                <w:rFonts w:ascii="Arial" w:hAnsi="Arial" w:cs="Arial"/>
                <w:sz w:val="20"/>
                <w:szCs w:val="20"/>
              </w:rPr>
            </w:pPr>
            <w:r w:rsidRPr="001A4617">
              <w:rPr>
                <w:rFonts w:ascii="Arial" w:hAnsi="Arial"/>
                <w:sz w:val="20"/>
                <w:szCs w:val="20"/>
              </w:rPr>
              <w:t>RE</w:t>
            </w:r>
            <w:r w:rsidR="006E51F3">
              <w:rPr>
                <w:rFonts w:ascii="Arial" w:hAnsi="Arial"/>
                <w:sz w:val="20"/>
                <w:szCs w:val="20"/>
              </w:rPr>
              <w:t> 3 : Appui à l</w:t>
            </w:r>
            <w:r w:rsidR="00924865">
              <w:rPr>
                <w:rFonts w:ascii="Arial" w:hAnsi="Arial"/>
                <w:sz w:val="20"/>
                <w:szCs w:val="20"/>
              </w:rPr>
              <w:t>’</w:t>
            </w:r>
            <w:r w:rsidR="006E51F3">
              <w:rPr>
                <w:rFonts w:ascii="Arial" w:hAnsi="Arial"/>
                <w:sz w:val="20"/>
                <w:szCs w:val="20"/>
              </w:rPr>
              <w:t>intégration du patrimoine culturel immatériel dans les plans, politiques et programmes de développement</w:t>
            </w:r>
          </w:p>
        </w:tc>
        <w:tc>
          <w:tcPr>
            <w:tcW w:w="1960" w:type="dxa"/>
            <w:shd w:val="clear" w:color="auto" w:fill="auto"/>
          </w:tcPr>
          <w:p w14:paraId="0AF88410" w14:textId="32856B2A" w:rsidR="006E51F3" w:rsidRPr="00696A00" w:rsidRDefault="004442EA" w:rsidP="00C96427">
            <w:pPr>
              <w:spacing w:before="60" w:after="60"/>
              <w:jc w:val="center"/>
              <w:rPr>
                <w:rFonts w:ascii="Arial" w:hAnsi="Arial" w:cs="Arial"/>
                <w:sz w:val="20"/>
                <w:szCs w:val="20"/>
              </w:rPr>
            </w:pPr>
            <w:r>
              <w:rPr>
                <w:rFonts w:ascii="Arial" w:hAnsi="Arial"/>
                <w:sz w:val="20"/>
                <w:szCs w:val="20"/>
              </w:rPr>
              <w:t>14 %</w:t>
            </w:r>
          </w:p>
        </w:tc>
      </w:tr>
      <w:tr w:rsidR="006E51F3" w:rsidRPr="00696A00" w14:paraId="5BFE0CB7" w14:textId="77777777" w:rsidTr="00B159EF">
        <w:tc>
          <w:tcPr>
            <w:tcW w:w="6662" w:type="dxa"/>
            <w:shd w:val="clear" w:color="auto" w:fill="auto"/>
          </w:tcPr>
          <w:p w14:paraId="40AF781D" w14:textId="2273CCC2" w:rsidR="006E51F3" w:rsidRPr="00870FD2" w:rsidRDefault="008910EA" w:rsidP="00C96427">
            <w:pPr>
              <w:spacing w:before="60" w:after="60"/>
              <w:rPr>
                <w:rFonts w:ascii="Arial" w:hAnsi="Arial" w:cs="Arial"/>
                <w:sz w:val="20"/>
                <w:szCs w:val="20"/>
              </w:rPr>
            </w:pPr>
            <w:r w:rsidRPr="001A4617">
              <w:rPr>
                <w:rFonts w:ascii="Arial" w:hAnsi="Arial"/>
                <w:sz w:val="20"/>
                <w:szCs w:val="20"/>
              </w:rPr>
              <w:t>RE</w:t>
            </w:r>
            <w:r w:rsidR="006E51F3">
              <w:rPr>
                <w:rFonts w:ascii="Arial" w:hAnsi="Arial"/>
                <w:sz w:val="20"/>
                <w:szCs w:val="20"/>
              </w:rPr>
              <w:t> 4 : Promotion des objectifs de la Convention par des actions de sensibilisation et d</w:t>
            </w:r>
            <w:r w:rsidR="00924865">
              <w:rPr>
                <w:rFonts w:ascii="Arial" w:hAnsi="Arial"/>
                <w:sz w:val="20"/>
                <w:szCs w:val="20"/>
              </w:rPr>
              <w:t>’</w:t>
            </w:r>
            <w:r w:rsidR="006E51F3">
              <w:rPr>
                <w:rFonts w:ascii="Arial" w:hAnsi="Arial"/>
                <w:sz w:val="20"/>
                <w:szCs w:val="20"/>
              </w:rPr>
              <w:t>information</w:t>
            </w:r>
          </w:p>
        </w:tc>
        <w:tc>
          <w:tcPr>
            <w:tcW w:w="1960" w:type="dxa"/>
            <w:shd w:val="clear" w:color="auto" w:fill="auto"/>
          </w:tcPr>
          <w:p w14:paraId="269FD012" w14:textId="436CE933" w:rsidR="006E51F3" w:rsidRPr="00696A00" w:rsidRDefault="00887999" w:rsidP="00C96427">
            <w:pPr>
              <w:spacing w:before="60" w:after="60"/>
              <w:jc w:val="center"/>
              <w:rPr>
                <w:rFonts w:ascii="Arial" w:hAnsi="Arial" w:cs="Arial"/>
                <w:sz w:val="20"/>
                <w:szCs w:val="20"/>
              </w:rPr>
            </w:pPr>
            <w:r>
              <w:rPr>
                <w:rFonts w:ascii="Arial" w:hAnsi="Arial"/>
                <w:sz w:val="20"/>
                <w:szCs w:val="20"/>
              </w:rPr>
              <w:t>20 %</w:t>
            </w:r>
          </w:p>
        </w:tc>
      </w:tr>
      <w:tr w:rsidR="006E51F3" w:rsidRPr="00696A00" w14:paraId="66F5171D" w14:textId="77777777" w:rsidTr="00B159EF">
        <w:tc>
          <w:tcPr>
            <w:tcW w:w="6662" w:type="dxa"/>
            <w:shd w:val="clear" w:color="auto" w:fill="auto"/>
          </w:tcPr>
          <w:p w14:paraId="3C3AC1F1" w14:textId="77777777" w:rsidR="006E51F3" w:rsidRPr="00696A00" w:rsidRDefault="006E51F3" w:rsidP="001A0EB3">
            <w:pPr>
              <w:spacing w:before="60" w:after="60"/>
              <w:jc w:val="both"/>
              <w:rPr>
                <w:rFonts w:ascii="Arial" w:hAnsi="Arial" w:cs="Arial"/>
                <w:sz w:val="20"/>
                <w:szCs w:val="20"/>
              </w:rPr>
            </w:pPr>
            <w:r>
              <w:rPr>
                <w:rFonts w:ascii="Arial" w:hAnsi="Arial"/>
                <w:sz w:val="20"/>
                <w:szCs w:val="20"/>
              </w:rPr>
              <w:t>Budget total</w:t>
            </w:r>
          </w:p>
        </w:tc>
        <w:tc>
          <w:tcPr>
            <w:tcW w:w="1960" w:type="dxa"/>
            <w:shd w:val="clear" w:color="auto" w:fill="auto"/>
          </w:tcPr>
          <w:p w14:paraId="352EFEE3" w14:textId="77777777" w:rsidR="006E51F3" w:rsidRPr="00696A00" w:rsidRDefault="006E51F3" w:rsidP="00C96427">
            <w:pPr>
              <w:spacing w:before="60" w:after="60"/>
              <w:jc w:val="center"/>
              <w:rPr>
                <w:rFonts w:ascii="Arial" w:hAnsi="Arial" w:cs="Arial"/>
                <w:sz w:val="20"/>
                <w:szCs w:val="20"/>
              </w:rPr>
            </w:pPr>
            <w:r>
              <w:rPr>
                <w:rFonts w:ascii="Arial" w:hAnsi="Arial"/>
                <w:sz w:val="20"/>
                <w:szCs w:val="20"/>
              </w:rPr>
              <w:t>100 %</w:t>
            </w:r>
          </w:p>
        </w:tc>
      </w:tr>
    </w:tbl>
    <w:p w14:paraId="73E4D75B" w14:textId="20500595" w:rsidR="00CB44D2" w:rsidRPr="00870FD2" w:rsidRDefault="008737AC" w:rsidP="00870FD2">
      <w:pPr>
        <w:pStyle w:val="Heading2"/>
        <w:tabs>
          <w:tab w:val="left" w:pos="567"/>
        </w:tabs>
        <w:snapToGrid w:val="0"/>
        <w:spacing w:before="360" w:after="240"/>
        <w:ind w:left="567"/>
        <w:jc w:val="both"/>
        <w:rPr>
          <w:rStyle w:val="hps"/>
          <w:rFonts w:ascii="Times New Roman" w:hAnsi="Times New Roman"/>
          <w:bCs w:val="0"/>
          <w:iCs w:val="0"/>
          <w:sz w:val="24"/>
          <w:szCs w:val="24"/>
          <w:highlight w:val="cyan"/>
        </w:rPr>
      </w:pPr>
      <w:r>
        <w:rPr>
          <w:rFonts w:ascii="Arial" w:hAnsi="Arial"/>
          <w:bCs w:val="0"/>
          <w:i w:val="0"/>
          <w:iCs w:val="0"/>
          <w:snapToGrid w:val="0"/>
          <w:sz w:val="22"/>
          <w:szCs w:val="22"/>
        </w:rPr>
        <w:t>Résultat escompté 1 : Bonne gouvernance de la Convention de 2003 facilitée par l</w:t>
      </w:r>
      <w:r w:rsidR="00924865">
        <w:rPr>
          <w:rFonts w:ascii="Arial" w:hAnsi="Arial"/>
          <w:bCs w:val="0"/>
          <w:i w:val="0"/>
          <w:iCs w:val="0"/>
          <w:snapToGrid w:val="0"/>
          <w:sz w:val="22"/>
          <w:szCs w:val="22"/>
        </w:rPr>
        <w:t>’</w:t>
      </w:r>
      <w:r>
        <w:rPr>
          <w:rFonts w:ascii="Arial" w:hAnsi="Arial"/>
          <w:bCs w:val="0"/>
          <w:i w:val="0"/>
          <w:iCs w:val="0"/>
          <w:snapToGrid w:val="0"/>
          <w:sz w:val="22"/>
          <w:szCs w:val="22"/>
        </w:rPr>
        <w:t>amélioration du suivi et des services de gestion des connaissances</w:t>
      </w:r>
    </w:p>
    <w:p w14:paraId="423E436F" w14:textId="068302E6" w:rsidR="00533F14" w:rsidRPr="00870FD2" w:rsidRDefault="00594ABF" w:rsidP="00285C94">
      <w:pPr>
        <w:pStyle w:val="5GAparabodytext"/>
        <w:rPr>
          <w:rStyle w:val="hps"/>
        </w:rPr>
      </w:pPr>
      <w:r>
        <w:rPr>
          <w:rStyle w:val="ParagraphChar"/>
        </w:rPr>
        <w:t>La bonne gouvernance de la Convention de 2003 est en grande partie liée à la capacité du Secrétariat et des États parties à suivre de façon précise la mise en œuvre et le développement de la Convention, ce qui n</w:t>
      </w:r>
      <w:r w:rsidR="00924865">
        <w:rPr>
          <w:rStyle w:val="ParagraphChar"/>
        </w:rPr>
        <w:t>’</w:t>
      </w:r>
      <w:r>
        <w:rPr>
          <w:rStyle w:val="ParagraphChar"/>
        </w:rPr>
        <w:t xml:space="preserve">est possible que par les services de gestion des connaissances fournis par le système élaboré par le Secrétariat depuis 2006. </w:t>
      </w:r>
      <w:r>
        <w:rPr>
          <w:rStyle w:val="ParagraphChar"/>
          <w:bCs w:val="0"/>
          <w:iCs w:val="0"/>
        </w:rPr>
        <w:t>Au fil des années, la Convention a cumulé d</w:t>
      </w:r>
      <w:r w:rsidR="00924865">
        <w:rPr>
          <w:rStyle w:val="ParagraphChar"/>
          <w:bCs w:val="0"/>
          <w:iCs w:val="0"/>
        </w:rPr>
        <w:t>’</w:t>
      </w:r>
      <w:r>
        <w:rPr>
          <w:rStyle w:val="ParagraphChar"/>
          <w:bCs w:val="0"/>
          <w:iCs w:val="0"/>
        </w:rPr>
        <w:t>importants volumes d</w:t>
      </w:r>
      <w:r w:rsidR="00924865">
        <w:rPr>
          <w:rStyle w:val="ParagraphChar"/>
          <w:bCs w:val="0"/>
          <w:iCs w:val="0"/>
        </w:rPr>
        <w:t>’</w:t>
      </w:r>
      <w:r>
        <w:rPr>
          <w:rStyle w:val="ParagraphChar"/>
          <w:bCs w:val="0"/>
          <w:iCs w:val="0"/>
        </w:rPr>
        <w:t>informations à travers divers mécanismes et activités opérationnelles de la Convention. Il est essentiel que les outils de suivi et les services de gestion des connaissances continuent à se perfectionner et à s</w:t>
      </w:r>
      <w:r w:rsidR="00924865">
        <w:rPr>
          <w:rStyle w:val="ParagraphChar"/>
          <w:bCs w:val="0"/>
          <w:iCs w:val="0"/>
        </w:rPr>
        <w:t>’</w:t>
      </w:r>
      <w:r>
        <w:rPr>
          <w:rStyle w:val="ParagraphChar"/>
          <w:bCs w:val="0"/>
          <w:iCs w:val="0"/>
        </w:rPr>
        <w:t>adapter à la nature évolutive de l</w:t>
      </w:r>
      <w:r w:rsidR="00924865">
        <w:rPr>
          <w:rStyle w:val="ParagraphChar"/>
          <w:bCs w:val="0"/>
          <w:iCs w:val="0"/>
        </w:rPr>
        <w:t>’</w:t>
      </w:r>
      <w:r>
        <w:rPr>
          <w:rStyle w:val="ParagraphChar"/>
          <w:bCs w:val="0"/>
          <w:iCs w:val="0"/>
        </w:rPr>
        <w:t>instrument normatif. Par ailleurs, les informations conformément à la Convention de 2003 ont tendance à être segmentées ou enfouies sous plusieurs couches, les éloignant des utilisateurs. D</w:t>
      </w:r>
      <w:r w:rsidR="00924865">
        <w:rPr>
          <w:rStyle w:val="ParagraphChar"/>
          <w:bCs w:val="0"/>
          <w:iCs w:val="0"/>
        </w:rPr>
        <w:t>’</w:t>
      </w:r>
      <w:r>
        <w:rPr>
          <w:rStyle w:val="ParagraphChar"/>
          <w:bCs w:val="0"/>
          <w:iCs w:val="0"/>
        </w:rPr>
        <w:t>autres évolutions sont nécessaires pour simplifier l</w:t>
      </w:r>
      <w:r w:rsidR="00924865">
        <w:rPr>
          <w:rStyle w:val="ParagraphChar"/>
          <w:bCs w:val="0"/>
          <w:iCs w:val="0"/>
        </w:rPr>
        <w:t>’</w:t>
      </w:r>
      <w:r>
        <w:rPr>
          <w:rStyle w:val="ParagraphChar"/>
          <w:bCs w:val="0"/>
          <w:iCs w:val="0"/>
        </w:rPr>
        <w:t>accès à l</w:t>
      </w:r>
      <w:r w:rsidR="00924865">
        <w:rPr>
          <w:rStyle w:val="ParagraphChar"/>
          <w:bCs w:val="0"/>
          <w:iCs w:val="0"/>
        </w:rPr>
        <w:t>’</w:t>
      </w:r>
      <w:r>
        <w:rPr>
          <w:rStyle w:val="ParagraphChar"/>
          <w:bCs w:val="0"/>
          <w:iCs w:val="0"/>
        </w:rPr>
        <w:t xml:space="preserve">information et garantir des interactions facilitées avec les systèmes et les acteurs clés. </w:t>
      </w:r>
      <w:r>
        <w:rPr>
          <w:rStyle w:val="hps"/>
          <w:bCs w:val="0"/>
          <w:iCs w:val="0"/>
        </w:rPr>
        <w:t>Ainsi, au cours du premier semestre 2020, les travaux consisteront à garantir un accès continu aux services de gestion des connaissances de la Convention et à améliorer son utilité auprès de ses différentes parties prenantes.</w:t>
      </w:r>
    </w:p>
    <w:p w14:paraId="4F2E9D15" w14:textId="6496F0B1" w:rsidR="001434CD" w:rsidRPr="000C630C" w:rsidRDefault="001434CD" w:rsidP="00FC6F4D">
      <w:pPr>
        <w:pStyle w:val="5GAparabodytext"/>
        <w:rPr>
          <w:rStyle w:val="hps"/>
          <w:bCs w:val="0"/>
          <w:iCs w:val="0"/>
        </w:rPr>
      </w:pPr>
      <w:r>
        <w:rPr>
          <w:rStyle w:val="hps"/>
          <w:b/>
        </w:rPr>
        <w:t>Produit 1.1</w:t>
      </w:r>
      <w:r w:rsidR="00E94022" w:rsidRPr="00B25683">
        <w:rPr>
          <w:rStyle w:val="hps"/>
          <w:bCs w:val="0"/>
        </w:rPr>
        <w:t> :</w:t>
      </w:r>
      <w:r>
        <w:rPr>
          <w:rStyle w:val="hps"/>
        </w:rPr>
        <w:t xml:space="preserve"> </w:t>
      </w:r>
      <w:r w:rsidR="00FC6F4D">
        <w:rPr>
          <w:rStyle w:val="hps"/>
        </w:rPr>
        <w:t xml:space="preserve">Un nombre croissant de parties prenantes à la Convention de 2003 s’appuient sur les données et les outils fournis par son système de gestion des </w:t>
      </w:r>
      <w:r w:rsidR="004A0C98">
        <w:rPr>
          <w:rStyle w:val="hps"/>
        </w:rPr>
        <w:t>connaissances</w:t>
      </w:r>
      <w:r w:rsidR="00FC6F4D">
        <w:rPr>
          <w:rStyle w:val="hps"/>
        </w:rPr>
        <w:t xml:space="preserve">. Il est crucial d’adapter </w:t>
      </w:r>
      <w:r w:rsidR="004A0C98">
        <w:rPr>
          <w:rStyle w:val="hps"/>
        </w:rPr>
        <w:t>régulièrement</w:t>
      </w:r>
      <w:r w:rsidR="00FC6F4D">
        <w:rPr>
          <w:rStyle w:val="hps"/>
        </w:rPr>
        <w:t xml:space="preserve"> l’épine dorsale du système pour mieux s’attaquer à des problèmes tels que la saturation, l’obsolescence, les </w:t>
      </w:r>
      <w:r w:rsidR="004A0C98">
        <w:rPr>
          <w:rStyle w:val="hps"/>
        </w:rPr>
        <w:t>intrusions</w:t>
      </w:r>
      <w:r w:rsidR="00FC6F4D">
        <w:rPr>
          <w:rStyle w:val="hps"/>
        </w:rPr>
        <w:t xml:space="preserve"> en ligne ou le piratage. Bien que certaines parties échappent au contrôle du </w:t>
      </w:r>
      <w:r w:rsidR="004A0C98">
        <w:rPr>
          <w:rStyle w:val="hps"/>
        </w:rPr>
        <w:t>Secrétariat</w:t>
      </w:r>
      <w:r w:rsidR="00FC6F4D">
        <w:rPr>
          <w:rStyle w:val="hps"/>
        </w:rPr>
        <w:t xml:space="preserve"> de la Convention de 2003 (par exemple la maintenance des serveurs, la connectivité Internet ou les pare-feu), des mises à jour techniques et de sécurité du système seront mises en œuvre pour éviter des pénuries d’application de plus d’une demi-journée par mois</w:t>
      </w:r>
      <w:r w:rsidR="004A0C98">
        <w:rPr>
          <w:rStyle w:val="hps"/>
        </w:rPr>
        <w:t>.</w:t>
      </w:r>
    </w:p>
    <w:p w14:paraId="41E6D83A" w14:textId="410F2D46" w:rsidR="00231C89" w:rsidRPr="00870FD2" w:rsidRDefault="00F21AC0" w:rsidP="009136A8">
      <w:pPr>
        <w:pStyle w:val="5GAparabodytext"/>
        <w:rPr>
          <w:rStyle w:val="hps"/>
          <w:bCs w:val="0"/>
          <w:iCs w:val="0"/>
        </w:rPr>
      </w:pPr>
      <w:r>
        <w:rPr>
          <w:rStyle w:val="hps"/>
          <w:b/>
        </w:rPr>
        <w:t>Produit 1.2</w:t>
      </w:r>
      <w:r w:rsidR="00E94022" w:rsidRPr="00B25683">
        <w:rPr>
          <w:rStyle w:val="hps"/>
          <w:bCs w:val="0"/>
        </w:rPr>
        <w:t> :</w:t>
      </w:r>
      <w:r>
        <w:rPr>
          <w:rStyle w:val="hps"/>
        </w:rPr>
        <w:t xml:space="preserve"> </w:t>
      </w:r>
      <w:r w:rsidR="009136A8">
        <w:rPr>
          <w:rStyle w:val="hps"/>
        </w:rPr>
        <w:t>Dans le prolongement des</w:t>
      </w:r>
      <w:r>
        <w:rPr>
          <w:rStyle w:val="hps"/>
        </w:rPr>
        <w:t xml:space="preserve"> améliorations à apporter aux interfaces de suivi et aux flux de travail en ligne, trois </w:t>
      </w:r>
      <w:r w:rsidR="009136A8">
        <w:rPr>
          <w:rStyle w:val="hps"/>
        </w:rPr>
        <w:t xml:space="preserve">développements </w:t>
      </w:r>
      <w:r>
        <w:rPr>
          <w:rStyle w:val="hps"/>
        </w:rPr>
        <w:t xml:space="preserve">sont </w:t>
      </w:r>
      <w:proofErr w:type="gramStart"/>
      <w:r>
        <w:rPr>
          <w:rStyle w:val="hps"/>
        </w:rPr>
        <w:t>proposées</w:t>
      </w:r>
      <w:proofErr w:type="gramEnd"/>
      <w:r>
        <w:rPr>
          <w:rStyle w:val="hps"/>
        </w:rPr>
        <w:t xml:space="preserve">, visant à soutenir les </w:t>
      </w:r>
      <w:r w:rsidR="009136A8">
        <w:rPr>
          <w:rStyle w:val="hps"/>
        </w:rPr>
        <w:t xml:space="preserve">récents développements dans le cadre de </w:t>
      </w:r>
      <w:r>
        <w:rPr>
          <w:rStyle w:val="hps"/>
        </w:rPr>
        <w:t>la Convention de 2003. Premièrement, les outils en ligne correspondant à l</w:t>
      </w:r>
      <w:r w:rsidR="00924865">
        <w:rPr>
          <w:rStyle w:val="hps"/>
        </w:rPr>
        <w:t>’</w:t>
      </w:r>
      <w:r>
        <w:rPr>
          <w:rStyle w:val="hps"/>
        </w:rPr>
        <w:t>évaluation des dossiers de candidature doivent être ajustés pour prendre en compte les expériences de l</w:t>
      </w:r>
      <w:r w:rsidR="00924865">
        <w:rPr>
          <w:rStyle w:val="hps"/>
        </w:rPr>
        <w:t>’</w:t>
      </w:r>
      <w:r>
        <w:rPr>
          <w:rStyle w:val="hps"/>
        </w:rPr>
        <w:t>Organe d</w:t>
      </w:r>
      <w:r w:rsidR="00924865">
        <w:rPr>
          <w:rStyle w:val="hps"/>
        </w:rPr>
        <w:t>’</w:t>
      </w:r>
      <w:r>
        <w:rPr>
          <w:rStyle w:val="hps"/>
        </w:rPr>
        <w:t>évaluation sur les derniers cycles et pour permettre le « dialogue en amont » entre l</w:t>
      </w:r>
      <w:r w:rsidR="00924865">
        <w:rPr>
          <w:rStyle w:val="hps"/>
        </w:rPr>
        <w:t>’</w:t>
      </w:r>
      <w:r>
        <w:rPr>
          <w:rStyle w:val="hps"/>
        </w:rPr>
        <w:t>Organe d</w:t>
      </w:r>
      <w:r w:rsidR="00924865">
        <w:rPr>
          <w:rStyle w:val="hps"/>
        </w:rPr>
        <w:t>’</w:t>
      </w:r>
      <w:r>
        <w:rPr>
          <w:rStyle w:val="hps"/>
        </w:rPr>
        <w:t xml:space="preserve">évaluation et les États soumissionnaires </w:t>
      </w:r>
      <w:r w:rsidR="009136A8">
        <w:rPr>
          <w:rStyle w:val="hps"/>
        </w:rPr>
        <w:t xml:space="preserve">introduit </w:t>
      </w:r>
      <w:r>
        <w:rPr>
          <w:rStyle w:val="hps"/>
        </w:rPr>
        <w:t xml:space="preserve">à titre provisoire pour le cycle 2019. Deuxièmement, le système de gestion des connaissances doit être mieux équipé pour gérer les informations sur les situations de sauvegarde des </w:t>
      </w:r>
      <w:r>
        <w:rPr>
          <w:rStyle w:val="hps"/>
        </w:rPr>
        <w:lastRenderedPageBreak/>
        <w:t xml:space="preserve">éléments inscrits sur les Listes de la Convention de 2003. Cette évolution </w:t>
      </w:r>
      <w:r w:rsidR="009136A8">
        <w:rPr>
          <w:rStyle w:val="hps"/>
        </w:rPr>
        <w:t>correspond</w:t>
      </w:r>
      <w:r>
        <w:rPr>
          <w:rStyle w:val="hps"/>
        </w:rPr>
        <w:t xml:space="preserve"> à la réflexion lancée par le Comité à sa treizième session en 2018 sur le mécanisme d</w:t>
      </w:r>
      <w:r w:rsidR="00924865">
        <w:rPr>
          <w:rStyle w:val="hps"/>
        </w:rPr>
        <w:t>’</w:t>
      </w:r>
      <w:r>
        <w:rPr>
          <w:rStyle w:val="hps"/>
        </w:rPr>
        <w:t>inscription en général et le suivi des éléments inscrits en particulier. Enfin, il sera important d</w:t>
      </w:r>
      <w:r w:rsidR="00924865">
        <w:rPr>
          <w:rStyle w:val="hps"/>
        </w:rPr>
        <w:t>’</w:t>
      </w:r>
      <w:r>
        <w:rPr>
          <w:rStyle w:val="hps"/>
        </w:rPr>
        <w:t>élaborer un nouvel ensemble d</w:t>
      </w:r>
      <w:r w:rsidR="00924865">
        <w:rPr>
          <w:rStyle w:val="hps"/>
        </w:rPr>
        <w:t>’</w:t>
      </w:r>
      <w:r>
        <w:rPr>
          <w:rStyle w:val="hps"/>
        </w:rPr>
        <w:t>outils pour assurer le suivi de la mise en œuvre de l</w:t>
      </w:r>
      <w:r w:rsidR="00924865">
        <w:rPr>
          <w:rStyle w:val="hps"/>
        </w:rPr>
        <w:t>’</w:t>
      </w:r>
      <w:r>
        <w:rPr>
          <w:rStyle w:val="hps"/>
        </w:rPr>
        <w:t xml:space="preserve">Assistance internationale accordée afin de soutenir les efforts </w:t>
      </w:r>
      <w:r w:rsidR="009136A8">
        <w:rPr>
          <w:rStyle w:val="hps"/>
        </w:rPr>
        <w:t xml:space="preserve">déployés </w:t>
      </w:r>
      <w:r>
        <w:rPr>
          <w:rStyle w:val="hps"/>
        </w:rPr>
        <w:t xml:space="preserve">par le Comité pour rendre </w:t>
      </w:r>
      <w:r w:rsidR="009136A8">
        <w:rPr>
          <w:rStyle w:val="hps"/>
        </w:rPr>
        <w:t xml:space="preserve">pleinement opérationnel </w:t>
      </w:r>
      <w:r>
        <w:rPr>
          <w:rStyle w:val="hps"/>
        </w:rPr>
        <w:t xml:space="preserve">ce mécanisme de </w:t>
      </w:r>
      <w:r w:rsidR="009136A8">
        <w:rPr>
          <w:rStyle w:val="hps"/>
        </w:rPr>
        <w:t xml:space="preserve">soutien aux </w:t>
      </w:r>
      <w:r>
        <w:rPr>
          <w:rStyle w:val="hps"/>
        </w:rPr>
        <w:t>efforts nationaux de sauvegarde du patrimoine culturel immatériel.</w:t>
      </w:r>
    </w:p>
    <w:p w14:paraId="021CCB2B" w14:textId="3D76D41E" w:rsidR="0054442D" w:rsidRPr="00870FD2" w:rsidRDefault="00082DB9" w:rsidP="009136A8">
      <w:pPr>
        <w:pStyle w:val="5GAparabodytext"/>
        <w:rPr>
          <w:rStyle w:val="hps"/>
        </w:rPr>
      </w:pPr>
      <w:r>
        <w:rPr>
          <w:rStyle w:val="hps"/>
          <w:b/>
        </w:rPr>
        <w:t>Produit 1.3</w:t>
      </w:r>
      <w:r w:rsidR="00E94022" w:rsidRPr="00B25683">
        <w:rPr>
          <w:rStyle w:val="hps"/>
          <w:bCs w:val="0"/>
        </w:rPr>
        <w:t> :</w:t>
      </w:r>
      <w:r>
        <w:rPr>
          <w:rStyle w:val="hps"/>
        </w:rPr>
        <w:t xml:space="preserve"> L</w:t>
      </w:r>
      <w:r w:rsidR="00924865">
        <w:rPr>
          <w:rStyle w:val="hps"/>
        </w:rPr>
        <w:t>’</w:t>
      </w:r>
      <w:r>
        <w:rPr>
          <w:rStyle w:val="hps"/>
        </w:rPr>
        <w:t xml:space="preserve">utilité des informations recueillies au fil des ans sur divers aspects de la Convention dépend en grande partie des </w:t>
      </w:r>
      <w:r w:rsidR="009136A8">
        <w:rPr>
          <w:rStyle w:val="hps"/>
        </w:rPr>
        <w:t>moyens d’y accéder</w:t>
      </w:r>
      <w:r>
        <w:rPr>
          <w:rStyle w:val="hps"/>
        </w:rPr>
        <w:t xml:space="preserve">. En 2018 et 2019, le Secrétariat a commencé à </w:t>
      </w:r>
      <w:r w:rsidR="009136A8">
        <w:rPr>
          <w:rStyle w:val="hps"/>
        </w:rPr>
        <w:t xml:space="preserve">systématiquement </w:t>
      </w:r>
      <w:r>
        <w:rPr>
          <w:rStyle w:val="hps"/>
        </w:rPr>
        <w:t>indexer ce contenu, parallèlement au lancement de l</w:t>
      </w:r>
      <w:r w:rsidR="00924865">
        <w:rPr>
          <w:rStyle w:val="hps"/>
        </w:rPr>
        <w:t>’</w:t>
      </w:r>
      <w:r>
        <w:rPr>
          <w:rStyle w:val="hps"/>
        </w:rPr>
        <w:t>initiative de visualisation des données « Plongez dans le patrimoine culturel immatériel » afin d</w:t>
      </w:r>
      <w:r w:rsidR="00924865">
        <w:rPr>
          <w:rStyle w:val="hps"/>
        </w:rPr>
        <w:t>’</w:t>
      </w:r>
      <w:r>
        <w:rPr>
          <w:rStyle w:val="hps"/>
        </w:rPr>
        <w:t>explorer les liens thématiques entre les informations dans les domaines du patrimoine culturel immatériel. En s</w:t>
      </w:r>
      <w:r w:rsidR="00924865">
        <w:rPr>
          <w:rStyle w:val="hps"/>
        </w:rPr>
        <w:t>’</w:t>
      </w:r>
      <w:r>
        <w:rPr>
          <w:rStyle w:val="hps"/>
        </w:rPr>
        <w:t xml:space="preserve">appuyant sur ces efforts, il est proposé </w:t>
      </w:r>
      <w:r w:rsidR="009136A8">
        <w:rPr>
          <w:rStyle w:val="hps"/>
        </w:rPr>
        <w:t xml:space="preserve">d’élargir </w:t>
      </w:r>
      <w:r>
        <w:rPr>
          <w:rStyle w:val="hps"/>
        </w:rPr>
        <w:t>encore les possibilités d</w:t>
      </w:r>
      <w:r w:rsidR="00924865">
        <w:rPr>
          <w:rStyle w:val="hps"/>
        </w:rPr>
        <w:t>’</w:t>
      </w:r>
      <w:r>
        <w:rPr>
          <w:rStyle w:val="hps"/>
        </w:rPr>
        <w:t>exploration des données</w:t>
      </w:r>
      <w:r w:rsidR="00E94022">
        <w:rPr>
          <w:rStyle w:val="hps"/>
        </w:rPr>
        <w:t>,</w:t>
      </w:r>
      <w:r>
        <w:rPr>
          <w:rStyle w:val="hps"/>
        </w:rPr>
        <w:t xml:space="preserve"> afin d</w:t>
      </w:r>
      <w:r w:rsidR="00924865">
        <w:rPr>
          <w:rStyle w:val="hps"/>
        </w:rPr>
        <w:t>’</w:t>
      </w:r>
      <w:r>
        <w:rPr>
          <w:rStyle w:val="hps"/>
        </w:rPr>
        <w:t>offrir des vues et des exportations thématiques et de mieux explorer les retombées multidimensionnelles de la sauvegarde du patrimoine culturel immatériel</w:t>
      </w:r>
      <w:r w:rsidR="009136A8">
        <w:rPr>
          <w:rStyle w:val="hps"/>
        </w:rPr>
        <w:t>, par exemple par des liens avec les objectifs du développement durable, les situations d’urgence, les villes ou les peuples autochtones.</w:t>
      </w:r>
    </w:p>
    <w:p w14:paraId="25AAE79F" w14:textId="659ED04B" w:rsidR="002725EC" w:rsidRPr="00870FD2" w:rsidRDefault="00082DB9" w:rsidP="00F144BC">
      <w:pPr>
        <w:pStyle w:val="5GAparabodytext"/>
        <w:rPr>
          <w:rStyle w:val="hps"/>
        </w:rPr>
      </w:pPr>
      <w:r>
        <w:rPr>
          <w:rStyle w:val="hps"/>
          <w:b/>
        </w:rPr>
        <w:t>Produit 1.4</w:t>
      </w:r>
      <w:r w:rsidR="00E94022" w:rsidRPr="00B25683">
        <w:rPr>
          <w:rStyle w:val="hps"/>
          <w:bCs w:val="0"/>
        </w:rPr>
        <w:t> :</w:t>
      </w:r>
      <w:r>
        <w:rPr>
          <w:rStyle w:val="hps"/>
        </w:rPr>
        <w:t xml:space="preserve"> Pour qu</w:t>
      </w:r>
      <w:r w:rsidR="00924865">
        <w:rPr>
          <w:rStyle w:val="hps"/>
        </w:rPr>
        <w:t>’</w:t>
      </w:r>
      <w:r>
        <w:rPr>
          <w:rStyle w:val="hps"/>
        </w:rPr>
        <w:t xml:space="preserve">il soit durable, le système de gestion des connaissances développé autour de la Convention de 2003 doit rester « ouvert », afin de permettre une interaction harmonieuse avec les </w:t>
      </w:r>
      <w:r w:rsidR="00FD4BCA">
        <w:rPr>
          <w:rStyle w:val="hps"/>
        </w:rPr>
        <w:t>parties prenantes</w:t>
      </w:r>
      <w:r>
        <w:rPr>
          <w:rStyle w:val="hps"/>
        </w:rPr>
        <w:t xml:space="preserve"> </w:t>
      </w:r>
      <w:r w:rsidR="00B25683">
        <w:rPr>
          <w:rStyle w:val="hps"/>
        </w:rPr>
        <w:t>et</w:t>
      </w:r>
      <w:r>
        <w:rPr>
          <w:rStyle w:val="hps"/>
        </w:rPr>
        <w:t xml:space="preserve"> les cadres de l</w:t>
      </w:r>
      <w:r w:rsidR="00924865">
        <w:rPr>
          <w:rStyle w:val="hps"/>
        </w:rPr>
        <w:t>’</w:t>
      </w:r>
      <w:r>
        <w:rPr>
          <w:rStyle w:val="hps"/>
        </w:rPr>
        <w:t>UNESCO. À cet égard, d</w:t>
      </w:r>
      <w:r w:rsidR="00924865">
        <w:rPr>
          <w:rStyle w:val="hps"/>
        </w:rPr>
        <w:t>’</w:t>
      </w:r>
      <w:r>
        <w:rPr>
          <w:rStyle w:val="hps"/>
        </w:rPr>
        <w:t xml:space="preserve">autres </w:t>
      </w:r>
      <w:r w:rsidR="00FD4BCA">
        <w:rPr>
          <w:rStyle w:val="hps"/>
        </w:rPr>
        <w:t xml:space="preserve">développements </w:t>
      </w:r>
      <w:r>
        <w:rPr>
          <w:rStyle w:val="hps"/>
        </w:rPr>
        <w:t>seront entrepris pour consolider les liens avec des ensembles de données gérés par d</w:t>
      </w:r>
      <w:r w:rsidR="00924865">
        <w:rPr>
          <w:rStyle w:val="hps"/>
        </w:rPr>
        <w:t>’</w:t>
      </w:r>
      <w:r>
        <w:rPr>
          <w:rStyle w:val="hps"/>
        </w:rPr>
        <w:t xml:space="preserve">autres </w:t>
      </w:r>
      <w:r w:rsidR="00E94022">
        <w:rPr>
          <w:rStyle w:val="hps"/>
        </w:rPr>
        <w:t>S</w:t>
      </w:r>
      <w:r>
        <w:rPr>
          <w:rStyle w:val="hps"/>
        </w:rPr>
        <w:t>ecteurs de l</w:t>
      </w:r>
      <w:r w:rsidR="00924865">
        <w:rPr>
          <w:rStyle w:val="hps"/>
        </w:rPr>
        <w:t>’</w:t>
      </w:r>
      <w:r>
        <w:rPr>
          <w:rStyle w:val="hps"/>
        </w:rPr>
        <w:t>UNESCO, les Chaires UNESCO ainsi qu</w:t>
      </w:r>
      <w:r w:rsidR="00924865">
        <w:rPr>
          <w:rStyle w:val="hps"/>
        </w:rPr>
        <w:t>’</w:t>
      </w:r>
      <w:r>
        <w:rPr>
          <w:rStyle w:val="hps"/>
        </w:rPr>
        <w:t xml:space="preserve">avec les systèmes de gestion </w:t>
      </w:r>
      <w:r w:rsidR="00FD4BCA">
        <w:rPr>
          <w:rStyle w:val="hps"/>
        </w:rPr>
        <w:t>du patrimoine</w:t>
      </w:r>
      <w:r>
        <w:rPr>
          <w:rStyle w:val="hps"/>
        </w:rPr>
        <w:t xml:space="preserve"> numérique de l</w:t>
      </w:r>
      <w:r w:rsidR="00924865">
        <w:rPr>
          <w:rStyle w:val="hps"/>
        </w:rPr>
        <w:t>’</w:t>
      </w:r>
      <w:r>
        <w:rPr>
          <w:rStyle w:val="hps"/>
        </w:rPr>
        <w:t>UNESCO, comme le nouveau système UNESDOC et la plateforme multimédia.</w:t>
      </w:r>
    </w:p>
    <w:p w14:paraId="28847EAE" w14:textId="640D4373" w:rsidR="008737AC" w:rsidRDefault="008737AC" w:rsidP="00136269">
      <w:pPr>
        <w:pStyle w:val="Heading2"/>
        <w:tabs>
          <w:tab w:val="left" w:pos="567"/>
        </w:tabs>
        <w:snapToGrid w:val="0"/>
        <w:spacing w:before="360" w:after="240"/>
        <w:ind w:left="567"/>
        <w:jc w:val="both"/>
        <w:rPr>
          <w:rFonts w:ascii="Arial" w:hAnsi="Arial" w:cs="Arial"/>
          <w:bCs w:val="0"/>
          <w:i w:val="0"/>
          <w:iCs w:val="0"/>
          <w:snapToGrid w:val="0"/>
          <w:sz w:val="22"/>
          <w:szCs w:val="22"/>
        </w:rPr>
      </w:pPr>
      <w:r>
        <w:rPr>
          <w:rFonts w:ascii="Arial" w:hAnsi="Arial"/>
          <w:bCs w:val="0"/>
          <w:i w:val="0"/>
          <w:iCs w:val="0"/>
          <w:snapToGrid w:val="0"/>
          <w:sz w:val="22"/>
          <w:szCs w:val="22"/>
        </w:rPr>
        <w:t>Résultat escompté 2 : Mise en œuvre de la Convention dans les États membres encouragée par un programme de renforcement des capacités consolidé</w:t>
      </w:r>
    </w:p>
    <w:p w14:paraId="4C90824F" w14:textId="6F1D7137" w:rsidR="007D5212" w:rsidRPr="000C630C" w:rsidRDefault="006F2707" w:rsidP="00F144BC">
      <w:pPr>
        <w:pStyle w:val="5GAparabodytext"/>
        <w:rPr>
          <w:rStyle w:val="hps"/>
        </w:rPr>
      </w:pPr>
      <w:r>
        <w:rPr>
          <w:rStyle w:val="hps"/>
        </w:rPr>
        <w:t>Le programme mondial de renforcement des capacités continue d</w:t>
      </w:r>
      <w:r w:rsidR="00924865">
        <w:rPr>
          <w:rStyle w:val="hps"/>
        </w:rPr>
        <w:t>’</w:t>
      </w:r>
      <w:r>
        <w:rPr>
          <w:rStyle w:val="hps"/>
        </w:rPr>
        <w:t>être prioritaire parmi les États parties car il est adapté pour répondre de manière efficace à la hausse et à l</w:t>
      </w:r>
      <w:r w:rsidR="00924865">
        <w:rPr>
          <w:rStyle w:val="hps"/>
        </w:rPr>
        <w:t>’</w:t>
      </w:r>
      <w:r>
        <w:rPr>
          <w:rStyle w:val="hps"/>
        </w:rPr>
        <w:t xml:space="preserve">évolution des demandes qui apparaissent dans le cadre de la mise en œuvre de la Convention dans le monde. </w:t>
      </w:r>
      <w:r w:rsidR="004F7770">
        <w:rPr>
          <w:rStyle w:val="hps"/>
        </w:rPr>
        <w:t>Le nombre de membres</w:t>
      </w:r>
      <w:r>
        <w:rPr>
          <w:rStyle w:val="hps"/>
        </w:rPr>
        <w:t xml:space="preserve"> a augmenté et </w:t>
      </w:r>
      <w:r w:rsidR="004F7770">
        <w:rPr>
          <w:rStyle w:val="hps"/>
        </w:rPr>
        <w:t>l’élaboration de méthodes</w:t>
      </w:r>
      <w:r>
        <w:rPr>
          <w:rStyle w:val="hps"/>
        </w:rPr>
        <w:t xml:space="preserve"> et de matériels de formation </w:t>
      </w:r>
      <w:r w:rsidR="004F7770">
        <w:rPr>
          <w:rStyle w:val="hps"/>
        </w:rPr>
        <w:t xml:space="preserve">novateurs </w:t>
      </w:r>
      <w:r>
        <w:rPr>
          <w:rStyle w:val="hps"/>
        </w:rPr>
        <w:t xml:space="preserve">a progressé dans plusieurs nouveaux domaines thématiques demandés par le Comité, </w:t>
      </w:r>
      <w:r w:rsidR="004F7770">
        <w:rPr>
          <w:rStyle w:val="hps"/>
        </w:rPr>
        <w:t>tel que</w:t>
      </w:r>
      <w:r>
        <w:rPr>
          <w:rStyle w:val="hps"/>
        </w:rPr>
        <w:t xml:space="preserve"> la soumission des rapports périodiques </w:t>
      </w:r>
      <w:r w:rsidR="004F7770">
        <w:rPr>
          <w:rStyle w:val="hps"/>
        </w:rPr>
        <w:t>au titre de</w:t>
      </w:r>
      <w:r>
        <w:rPr>
          <w:rStyle w:val="hps"/>
        </w:rPr>
        <w:t xml:space="preserve"> la Convention, la sauvegarde du patrimoine culturel immatériel dans les situations d</w:t>
      </w:r>
      <w:r w:rsidR="00924865">
        <w:rPr>
          <w:rStyle w:val="hps"/>
        </w:rPr>
        <w:t>’</w:t>
      </w:r>
      <w:r>
        <w:rPr>
          <w:rStyle w:val="hps"/>
        </w:rPr>
        <w:t xml:space="preserve">urgence et </w:t>
      </w:r>
      <w:r w:rsidR="00FD4BCA">
        <w:rPr>
          <w:rStyle w:val="hps"/>
        </w:rPr>
        <w:t>l’</w:t>
      </w:r>
      <w:r>
        <w:rPr>
          <w:rStyle w:val="hps"/>
        </w:rPr>
        <w:t xml:space="preserve">intégration </w:t>
      </w:r>
      <w:r w:rsidR="00FD4BCA">
        <w:rPr>
          <w:rStyle w:val="hps"/>
        </w:rPr>
        <w:t xml:space="preserve">du patrimoine culturel immatériel dans les </w:t>
      </w:r>
      <w:r>
        <w:rPr>
          <w:rStyle w:val="hps"/>
        </w:rPr>
        <w:t xml:space="preserve">programmes éducatifs. </w:t>
      </w:r>
      <w:r w:rsidR="004F7770">
        <w:rPr>
          <w:rStyle w:val="hps"/>
        </w:rPr>
        <w:t>Par conséquent, l</w:t>
      </w:r>
      <w:r>
        <w:rPr>
          <w:rStyle w:val="hps"/>
        </w:rPr>
        <w:t xml:space="preserve">e défi actuel </w:t>
      </w:r>
      <w:r w:rsidR="004F7770">
        <w:rPr>
          <w:rStyle w:val="hps"/>
        </w:rPr>
        <w:t xml:space="preserve">consiste à faire en sorte </w:t>
      </w:r>
      <w:r>
        <w:rPr>
          <w:rStyle w:val="hps"/>
        </w:rPr>
        <w:t xml:space="preserve">que le réseau </w:t>
      </w:r>
      <w:r w:rsidR="004F7770">
        <w:rPr>
          <w:rStyle w:val="hps"/>
        </w:rPr>
        <w:t xml:space="preserve">soit </w:t>
      </w:r>
      <w:r>
        <w:rPr>
          <w:rStyle w:val="hps"/>
        </w:rPr>
        <w:t xml:space="preserve">correctement équipé pour prendre en charge la prestation de services de formation et de conseil dans tous les domaines du programme élargi. Le Secrétariat envisage pour ce faire une diversification des spécialisations au sein du réseau, </w:t>
      </w:r>
      <w:r w:rsidR="004F7770">
        <w:rPr>
          <w:rStyle w:val="hps"/>
        </w:rPr>
        <w:t xml:space="preserve">en </w:t>
      </w:r>
      <w:r>
        <w:rPr>
          <w:rStyle w:val="hps"/>
        </w:rPr>
        <w:t xml:space="preserve">tenant compte des demandes de priorité et des points forts spécifiques de chacun des membres du réseau. En conséquence, le Secrétariat adoptera une approche thématique et interdisciplinaire plus spécialisée en </w:t>
      </w:r>
      <w:r w:rsidR="004F7770">
        <w:rPr>
          <w:rStyle w:val="hps"/>
        </w:rPr>
        <w:t xml:space="preserve">proposant </w:t>
      </w:r>
      <w:r>
        <w:rPr>
          <w:rStyle w:val="hps"/>
        </w:rPr>
        <w:t>des activités de formation sur mesure pour constituer des groupes</w:t>
      </w:r>
      <w:r w:rsidR="004F7770">
        <w:rPr>
          <w:rStyle w:val="hps"/>
        </w:rPr>
        <w:t xml:space="preserve"> thématiques</w:t>
      </w:r>
      <w:r>
        <w:rPr>
          <w:rStyle w:val="hps"/>
        </w:rPr>
        <w:t xml:space="preserve"> </w:t>
      </w:r>
      <w:r w:rsidR="004F7770">
        <w:rPr>
          <w:rStyle w:val="hps"/>
        </w:rPr>
        <w:t xml:space="preserve">plus spécialisés </w:t>
      </w:r>
      <w:r>
        <w:rPr>
          <w:rStyle w:val="hps"/>
        </w:rPr>
        <w:t xml:space="preserve">de facilitateurs. Une seconde innovation méthodologique porte sur le renforcement des capacités pour </w:t>
      </w:r>
      <w:r w:rsidR="004F7770">
        <w:rPr>
          <w:rStyle w:val="hps"/>
        </w:rPr>
        <w:t xml:space="preserve">l’établissement des </w:t>
      </w:r>
      <w:r>
        <w:rPr>
          <w:rStyle w:val="hps"/>
        </w:rPr>
        <w:t xml:space="preserve">rapports périodiques, qui suivra </w:t>
      </w:r>
      <w:r w:rsidR="004F7770">
        <w:rPr>
          <w:rStyle w:val="hps"/>
        </w:rPr>
        <w:t xml:space="preserve">à compter de 2020 </w:t>
      </w:r>
      <w:r>
        <w:rPr>
          <w:rStyle w:val="hps"/>
        </w:rPr>
        <w:t>un cycle régional. Par conséquent, le Secrétariat prévoit des activités de formation régionales à l</w:t>
      </w:r>
      <w:r w:rsidR="00924865">
        <w:rPr>
          <w:rStyle w:val="hps"/>
        </w:rPr>
        <w:t>’</w:t>
      </w:r>
      <w:r>
        <w:rPr>
          <w:rStyle w:val="hps"/>
        </w:rPr>
        <w:t xml:space="preserve">attention des points focaux </w:t>
      </w:r>
      <w:proofErr w:type="spellStart"/>
      <w:r w:rsidR="00E94022">
        <w:rPr>
          <w:rStyle w:val="hps"/>
        </w:rPr>
        <w:t>natuionaux</w:t>
      </w:r>
      <w:proofErr w:type="spellEnd"/>
      <w:r w:rsidR="00E94022">
        <w:rPr>
          <w:rStyle w:val="hps"/>
        </w:rPr>
        <w:t xml:space="preserve"> </w:t>
      </w:r>
      <w:r>
        <w:rPr>
          <w:rStyle w:val="hps"/>
        </w:rPr>
        <w:t>chargés de la préparation des rapports périodiques dans leur</w:t>
      </w:r>
      <w:r w:rsidR="004F7770">
        <w:rPr>
          <w:rStyle w:val="hps"/>
        </w:rPr>
        <w:t>s</w:t>
      </w:r>
      <w:r>
        <w:rPr>
          <w:rStyle w:val="hps"/>
        </w:rPr>
        <w:t xml:space="preserve"> pays respectif</w:t>
      </w:r>
      <w:r w:rsidR="004F7770">
        <w:rPr>
          <w:rStyle w:val="hps"/>
        </w:rPr>
        <w:t>s</w:t>
      </w:r>
      <w:r>
        <w:rPr>
          <w:rStyle w:val="hps"/>
        </w:rPr>
        <w:t xml:space="preserve">. En outre, le Secrétariat poursuivra son travail de traduction des nouveaux </w:t>
      </w:r>
      <w:r w:rsidR="004F7770">
        <w:rPr>
          <w:rStyle w:val="hps"/>
        </w:rPr>
        <w:t xml:space="preserve">matériels </w:t>
      </w:r>
      <w:r>
        <w:rPr>
          <w:rStyle w:val="hps"/>
        </w:rPr>
        <w:t>de formation, d</w:t>
      </w:r>
      <w:r w:rsidR="00924865">
        <w:rPr>
          <w:rStyle w:val="hps"/>
        </w:rPr>
        <w:t>’</w:t>
      </w:r>
      <w:r>
        <w:rPr>
          <w:rStyle w:val="hps"/>
        </w:rPr>
        <w:t>amélioration du suivi des programmes et de réseautage avec les universités actives dans le domaine du patrimoine culturel immatériel.</w:t>
      </w:r>
    </w:p>
    <w:p w14:paraId="08130004" w14:textId="64E07C9F" w:rsidR="00634CB4" w:rsidRPr="00B70449" w:rsidRDefault="00634CB4" w:rsidP="000C19EF">
      <w:pPr>
        <w:pStyle w:val="5GAparabodytext"/>
        <w:rPr>
          <w:rStyle w:val="ParagraphChar"/>
        </w:rPr>
      </w:pPr>
      <w:r>
        <w:rPr>
          <w:rStyle w:val="hps"/>
          <w:b/>
        </w:rPr>
        <w:t>Produit 2.1</w:t>
      </w:r>
      <w:r w:rsidR="00E94022" w:rsidRPr="00B25683">
        <w:rPr>
          <w:rStyle w:val="hps"/>
          <w:bCs w:val="0"/>
        </w:rPr>
        <w:t> :</w:t>
      </w:r>
      <w:r>
        <w:rPr>
          <w:rStyle w:val="hps"/>
        </w:rPr>
        <w:t xml:space="preserve"> Le réseau de facilitateurs reste essentiel à la mise en œuvre efficace du programme de renforcement des capacités au niveau national. Les facilitateurs assurent un lien crucial entre l</w:t>
      </w:r>
      <w:r w:rsidR="00924865">
        <w:rPr>
          <w:rStyle w:val="hps"/>
        </w:rPr>
        <w:t>’</w:t>
      </w:r>
      <w:r>
        <w:rPr>
          <w:rStyle w:val="hps"/>
        </w:rPr>
        <w:t>approche globale</w:t>
      </w:r>
      <w:r>
        <w:rPr>
          <w:rStyle w:val="ParagraphChar"/>
        </w:rPr>
        <w:t xml:space="preserve"> du programme et les besoins et priorités des communautés au niveau local. La nature du réseau a évolué depuis sa création </w:t>
      </w:r>
      <w:r w:rsidR="00317063">
        <w:rPr>
          <w:rStyle w:val="ParagraphChar"/>
        </w:rPr>
        <w:t xml:space="preserve">à mesure que </w:t>
      </w:r>
      <w:r>
        <w:rPr>
          <w:rStyle w:val="ParagraphChar"/>
        </w:rPr>
        <w:lastRenderedPageBreak/>
        <w:t xml:space="preserve">les facilitateurs ont acquis </w:t>
      </w:r>
      <w:r w:rsidR="00317063">
        <w:rPr>
          <w:rStyle w:val="ParagraphChar"/>
        </w:rPr>
        <w:t>de l</w:t>
      </w:r>
      <w:r w:rsidR="00924865">
        <w:rPr>
          <w:rStyle w:val="ParagraphChar"/>
        </w:rPr>
        <w:t>’</w:t>
      </w:r>
      <w:r>
        <w:rPr>
          <w:rStyle w:val="ParagraphChar"/>
        </w:rPr>
        <w:t xml:space="preserve">expérience dans </w:t>
      </w:r>
      <w:r w:rsidR="00317063">
        <w:rPr>
          <w:rStyle w:val="ParagraphChar"/>
        </w:rPr>
        <w:t>des</w:t>
      </w:r>
      <w:r>
        <w:rPr>
          <w:rStyle w:val="ParagraphChar"/>
        </w:rPr>
        <w:t xml:space="preserve"> domaines thématiques spécifiques importants pour </w:t>
      </w:r>
      <w:r w:rsidR="00317063">
        <w:rPr>
          <w:rStyle w:val="ParagraphChar"/>
        </w:rPr>
        <w:t>les travaux</w:t>
      </w:r>
      <w:r>
        <w:rPr>
          <w:rStyle w:val="ParagraphChar"/>
        </w:rPr>
        <w:t xml:space="preserve"> de la Convention. Le groupe de travail interrégional a été établi au cours du dernier exercice biennal pour soutenir ce changement de stratégie et réfléchir aux questions </w:t>
      </w:r>
      <w:r w:rsidR="00317063">
        <w:rPr>
          <w:rStyle w:val="ParagraphChar"/>
        </w:rPr>
        <w:t xml:space="preserve">relatives </w:t>
      </w:r>
      <w:r>
        <w:rPr>
          <w:rStyle w:val="ParagraphChar"/>
        </w:rPr>
        <w:t>au développement du réseau. À cet égard, le réseau se concentrera, dans sa nouvelle approche, sur l</w:t>
      </w:r>
      <w:r w:rsidR="00924865">
        <w:rPr>
          <w:rStyle w:val="ParagraphChar"/>
        </w:rPr>
        <w:t>’</w:t>
      </w:r>
      <w:r>
        <w:rPr>
          <w:rStyle w:val="ParagraphChar"/>
        </w:rPr>
        <w:t>établissement de groupes de travail thématiques pour faciliter le partage d</w:t>
      </w:r>
      <w:r w:rsidR="00924865">
        <w:rPr>
          <w:rStyle w:val="ParagraphChar"/>
        </w:rPr>
        <w:t>’</w:t>
      </w:r>
      <w:r>
        <w:rPr>
          <w:rStyle w:val="ParagraphChar"/>
        </w:rPr>
        <w:t>expertise et d</w:t>
      </w:r>
      <w:r w:rsidR="00924865">
        <w:rPr>
          <w:rStyle w:val="ParagraphChar"/>
        </w:rPr>
        <w:t>’</w:t>
      </w:r>
      <w:r>
        <w:rPr>
          <w:rStyle w:val="ParagraphChar"/>
        </w:rPr>
        <w:t>expérience autour de thèmes spécifiques. Pour ce faire, les ateliers de formation des formateurs se</w:t>
      </w:r>
      <w:r w:rsidR="00317063">
        <w:rPr>
          <w:rStyle w:val="ParagraphChar"/>
        </w:rPr>
        <w:t>ront</w:t>
      </w:r>
      <w:r>
        <w:rPr>
          <w:rStyle w:val="ParagraphChar"/>
        </w:rPr>
        <w:t xml:space="preserve"> </w:t>
      </w:r>
      <w:r w:rsidR="00317063">
        <w:rPr>
          <w:rStyle w:val="ParagraphChar"/>
        </w:rPr>
        <w:t>plus spécialisés</w:t>
      </w:r>
      <w:r>
        <w:rPr>
          <w:rStyle w:val="ParagraphChar"/>
        </w:rPr>
        <w:t xml:space="preserve">, </w:t>
      </w:r>
      <w:r w:rsidR="00317063">
        <w:rPr>
          <w:rStyle w:val="ParagraphChar"/>
        </w:rPr>
        <w:t xml:space="preserve">avec un </w:t>
      </w:r>
      <w:r>
        <w:rPr>
          <w:rStyle w:val="ParagraphChar"/>
        </w:rPr>
        <w:t xml:space="preserve">premier </w:t>
      </w:r>
      <w:r w:rsidR="00317063">
        <w:rPr>
          <w:rStyle w:val="ParagraphChar"/>
        </w:rPr>
        <w:t xml:space="preserve">atelier </w:t>
      </w:r>
      <w:r>
        <w:rPr>
          <w:rStyle w:val="ParagraphChar"/>
        </w:rPr>
        <w:t xml:space="preserve">consacré au suivi et </w:t>
      </w:r>
      <w:r w:rsidR="00317063">
        <w:rPr>
          <w:rStyle w:val="ParagraphChar"/>
        </w:rPr>
        <w:t xml:space="preserve">à l’établissement de </w:t>
      </w:r>
      <w:r>
        <w:rPr>
          <w:rStyle w:val="ParagraphChar"/>
        </w:rPr>
        <w:t xml:space="preserve">rapports périodiques pour les facilitateurs en Amérique latine et aux Caraïbes, conformément au cycle </w:t>
      </w:r>
      <w:r w:rsidR="00317063">
        <w:rPr>
          <w:rStyle w:val="ParagraphChar"/>
        </w:rPr>
        <w:t xml:space="preserve">régional </w:t>
      </w:r>
      <w:r>
        <w:rPr>
          <w:rStyle w:val="ParagraphChar"/>
        </w:rPr>
        <w:t xml:space="preserve">de </w:t>
      </w:r>
      <w:r w:rsidR="000C19EF">
        <w:rPr>
          <w:rStyle w:val="ParagraphChar"/>
        </w:rPr>
        <w:t>soumission</w:t>
      </w:r>
      <w:r w:rsidR="00317063">
        <w:rPr>
          <w:rStyle w:val="ParagraphChar"/>
        </w:rPr>
        <w:t xml:space="preserve"> des </w:t>
      </w:r>
      <w:r>
        <w:rPr>
          <w:rStyle w:val="ParagraphChar"/>
        </w:rPr>
        <w:t>rapports périodiques adopté par le Comité (</w:t>
      </w:r>
      <w:hyperlink r:id="rId12" w:history="1">
        <w:r w:rsidR="00947AC3">
          <w:rPr>
            <w:rStyle w:val="Hyperlink"/>
          </w:rPr>
          <w:t>d</w:t>
        </w:r>
        <w:r>
          <w:rPr>
            <w:rStyle w:val="Hyperlink"/>
          </w:rPr>
          <w:t>écision 13.COM 8</w:t>
        </w:r>
      </w:hyperlink>
      <w:r>
        <w:rPr>
          <w:rStyle w:val="ParagraphChar"/>
        </w:rPr>
        <w:t xml:space="preserve">). </w:t>
      </w:r>
      <w:r w:rsidR="00317063">
        <w:rPr>
          <w:rStyle w:val="ParagraphChar"/>
        </w:rPr>
        <w:t>Le patrimoine culturel immatériel et de l’éducation constitue un autre</w:t>
      </w:r>
      <w:r>
        <w:rPr>
          <w:rStyle w:val="ParagraphChar"/>
        </w:rPr>
        <w:t xml:space="preserve"> thème </w:t>
      </w:r>
      <w:r w:rsidR="00317063">
        <w:rPr>
          <w:rStyle w:val="ParagraphChar"/>
        </w:rPr>
        <w:t xml:space="preserve">prioritaire de la première partie de l’année 2020 ; </w:t>
      </w:r>
      <w:r>
        <w:rPr>
          <w:rStyle w:val="ParagraphChar"/>
        </w:rPr>
        <w:t xml:space="preserve">un groupe restreint de dix facilitateurs sera formé sur ce </w:t>
      </w:r>
      <w:r w:rsidR="00317063">
        <w:rPr>
          <w:rStyle w:val="ParagraphChar"/>
        </w:rPr>
        <w:t>thème</w:t>
      </w:r>
      <w:r>
        <w:rPr>
          <w:rStyle w:val="ParagraphChar"/>
        </w:rPr>
        <w:t>. Enfin, la page Web dédiée au réseau de</w:t>
      </w:r>
      <w:r w:rsidR="00317063">
        <w:rPr>
          <w:rStyle w:val="ParagraphChar"/>
        </w:rPr>
        <w:t>s</w:t>
      </w:r>
      <w:r>
        <w:rPr>
          <w:rStyle w:val="ParagraphChar"/>
        </w:rPr>
        <w:t xml:space="preserve"> facilitateurs sera améliorée, avec la mise en avant des profils des facilitateurs et l</w:t>
      </w:r>
      <w:r w:rsidR="00924865">
        <w:rPr>
          <w:rStyle w:val="ParagraphChar"/>
        </w:rPr>
        <w:t>’</w:t>
      </w:r>
      <w:r>
        <w:rPr>
          <w:rStyle w:val="ParagraphChar"/>
        </w:rPr>
        <w:t>introduction d</w:t>
      </w:r>
      <w:r w:rsidR="00924865">
        <w:rPr>
          <w:rStyle w:val="ParagraphChar"/>
        </w:rPr>
        <w:t>’</w:t>
      </w:r>
      <w:r>
        <w:rPr>
          <w:rStyle w:val="ParagraphChar"/>
        </w:rPr>
        <w:t xml:space="preserve">une nouvelle fonction de recherche qui aidera à </w:t>
      </w:r>
      <w:r w:rsidR="00317063">
        <w:rPr>
          <w:rStyle w:val="ParagraphChar"/>
        </w:rPr>
        <w:t xml:space="preserve">facilement </w:t>
      </w:r>
      <w:r>
        <w:rPr>
          <w:rStyle w:val="ParagraphChar"/>
        </w:rPr>
        <w:t>identifier les domaines thématiques d</w:t>
      </w:r>
      <w:r w:rsidR="00924865">
        <w:rPr>
          <w:rStyle w:val="ParagraphChar"/>
        </w:rPr>
        <w:t>’</w:t>
      </w:r>
      <w:r>
        <w:rPr>
          <w:rStyle w:val="ParagraphChar"/>
        </w:rPr>
        <w:t>expérience.</w:t>
      </w:r>
    </w:p>
    <w:p w14:paraId="450485F8" w14:textId="4D15A48D" w:rsidR="00634CB4" w:rsidRPr="003D0599" w:rsidRDefault="00634CB4" w:rsidP="006E18FF">
      <w:pPr>
        <w:pStyle w:val="5GAparabodytext"/>
        <w:rPr>
          <w:rStyle w:val="hps"/>
        </w:rPr>
      </w:pPr>
      <w:r>
        <w:rPr>
          <w:rStyle w:val="hps"/>
          <w:b/>
        </w:rPr>
        <w:t>Produit 2.2</w:t>
      </w:r>
      <w:r w:rsidR="00E94022" w:rsidRPr="00B25683">
        <w:rPr>
          <w:rStyle w:val="hps"/>
          <w:bCs w:val="0"/>
        </w:rPr>
        <w:t> :</w:t>
      </w:r>
      <w:r>
        <w:rPr>
          <w:rStyle w:val="hps"/>
        </w:rPr>
        <w:t xml:space="preserve"> Avec ce produit, le Secrétariat mettra en œuvre le nouveau format de formation </w:t>
      </w:r>
      <w:r w:rsidR="006E18FF">
        <w:rPr>
          <w:rStyle w:val="hps"/>
        </w:rPr>
        <w:t xml:space="preserve">novateur </w:t>
      </w:r>
      <w:r>
        <w:rPr>
          <w:rStyle w:val="hps"/>
        </w:rPr>
        <w:t xml:space="preserve">sur </w:t>
      </w:r>
      <w:r w:rsidR="006E18FF">
        <w:rPr>
          <w:rStyle w:val="hps"/>
        </w:rPr>
        <w:t xml:space="preserve">l’établissement des </w:t>
      </w:r>
      <w:r>
        <w:rPr>
          <w:rStyle w:val="hps"/>
        </w:rPr>
        <w:t>rapports périodiques qu</w:t>
      </w:r>
      <w:r w:rsidR="00924865">
        <w:rPr>
          <w:rStyle w:val="hps"/>
        </w:rPr>
        <w:t>’</w:t>
      </w:r>
      <w:r>
        <w:rPr>
          <w:rStyle w:val="hps"/>
        </w:rPr>
        <w:t>il a élaboré en organisant</w:t>
      </w:r>
      <w:r w:rsidR="006E18FF">
        <w:rPr>
          <w:rStyle w:val="hps"/>
        </w:rPr>
        <w:t xml:space="preserve"> -</w:t>
      </w:r>
      <w:r>
        <w:rPr>
          <w:rStyle w:val="hps"/>
        </w:rPr>
        <w:t xml:space="preserve"> pour la première fois </w:t>
      </w:r>
      <w:r w:rsidR="006E18FF">
        <w:rPr>
          <w:rStyle w:val="hps"/>
        </w:rPr>
        <w:t xml:space="preserve">- </w:t>
      </w:r>
      <w:r>
        <w:rPr>
          <w:rStyle w:val="hps"/>
        </w:rPr>
        <w:t xml:space="preserve">une formation </w:t>
      </w:r>
      <w:r w:rsidR="006E18FF">
        <w:rPr>
          <w:rStyle w:val="hps"/>
        </w:rPr>
        <w:t xml:space="preserve">pour les </w:t>
      </w:r>
      <w:r>
        <w:rPr>
          <w:rStyle w:val="hps"/>
        </w:rPr>
        <w:t>points focaux nationaux chargés de la préparation des rapports périodiques de leur</w:t>
      </w:r>
      <w:r w:rsidR="006E18FF">
        <w:rPr>
          <w:rStyle w:val="hps"/>
        </w:rPr>
        <w:t>s</w:t>
      </w:r>
      <w:r>
        <w:rPr>
          <w:rStyle w:val="hps"/>
        </w:rPr>
        <w:t xml:space="preserve"> pays respectif</w:t>
      </w:r>
      <w:r w:rsidR="006E18FF">
        <w:rPr>
          <w:rStyle w:val="hps"/>
        </w:rPr>
        <w:t>s</w:t>
      </w:r>
      <w:r>
        <w:rPr>
          <w:rStyle w:val="hps"/>
        </w:rPr>
        <w:t xml:space="preserve">. Cet atelier </w:t>
      </w:r>
      <w:r w:rsidR="006E18FF">
        <w:rPr>
          <w:rStyle w:val="hps"/>
        </w:rPr>
        <w:t xml:space="preserve">régional </w:t>
      </w:r>
      <w:r>
        <w:rPr>
          <w:rStyle w:val="hps"/>
        </w:rPr>
        <w:t>de formation aura lieu en Amérique latine et aux Caraïbes (</w:t>
      </w:r>
      <w:r w:rsidR="006E18FF">
        <w:rPr>
          <w:rStyle w:val="hps"/>
        </w:rPr>
        <w:t>sous réserve</w:t>
      </w:r>
      <w:r>
        <w:rPr>
          <w:rStyle w:val="hps"/>
        </w:rPr>
        <w:t xml:space="preserve"> d</w:t>
      </w:r>
      <w:r w:rsidR="00924865">
        <w:rPr>
          <w:rStyle w:val="hps"/>
        </w:rPr>
        <w:t>’</w:t>
      </w:r>
      <w:r>
        <w:rPr>
          <w:rStyle w:val="hps"/>
        </w:rPr>
        <w:t>un cofinancement par un pays-hôte), car c</w:t>
      </w:r>
      <w:r w:rsidR="00924865">
        <w:rPr>
          <w:rStyle w:val="hps"/>
        </w:rPr>
        <w:t>’</w:t>
      </w:r>
      <w:r>
        <w:rPr>
          <w:rStyle w:val="hps"/>
        </w:rPr>
        <w:t>est la première région à soumettre des rapports selon les modalités régional</w:t>
      </w:r>
      <w:r w:rsidR="006E18FF">
        <w:rPr>
          <w:rStyle w:val="hps"/>
        </w:rPr>
        <w:t>e</w:t>
      </w:r>
      <w:r w:rsidR="00E94022">
        <w:rPr>
          <w:rStyle w:val="hps"/>
        </w:rPr>
        <w:t>s</w:t>
      </w:r>
      <w:r>
        <w:rPr>
          <w:rStyle w:val="hps"/>
        </w:rPr>
        <w:t xml:space="preserve"> susmentionné</w:t>
      </w:r>
      <w:r w:rsidR="00E94022">
        <w:rPr>
          <w:rStyle w:val="hps"/>
        </w:rPr>
        <w:t>es</w:t>
      </w:r>
      <w:r>
        <w:rPr>
          <w:rStyle w:val="hps"/>
        </w:rPr>
        <w:t>. Le Secrétariat travaillera avec deux facilitateurs principaux et utilisera l</w:t>
      </w:r>
      <w:r w:rsidR="00924865">
        <w:rPr>
          <w:rStyle w:val="hps"/>
        </w:rPr>
        <w:t>’</w:t>
      </w:r>
      <w:r>
        <w:rPr>
          <w:rStyle w:val="hps"/>
        </w:rPr>
        <w:t>ensemble d</w:t>
      </w:r>
      <w:r w:rsidR="006E18FF">
        <w:rPr>
          <w:rStyle w:val="hps"/>
        </w:rPr>
        <w:t>u</w:t>
      </w:r>
      <w:r>
        <w:rPr>
          <w:rStyle w:val="hps"/>
        </w:rPr>
        <w:t xml:space="preserve"> </w:t>
      </w:r>
      <w:r w:rsidR="006E18FF">
        <w:rPr>
          <w:rStyle w:val="hps"/>
        </w:rPr>
        <w:t xml:space="preserve">matériel </w:t>
      </w:r>
      <w:r>
        <w:rPr>
          <w:rStyle w:val="hps"/>
        </w:rPr>
        <w:t xml:space="preserve">de formation </w:t>
      </w:r>
      <w:r w:rsidR="006E18FF">
        <w:rPr>
          <w:rStyle w:val="hps"/>
        </w:rPr>
        <w:t xml:space="preserve">élaboré </w:t>
      </w:r>
      <w:r>
        <w:rPr>
          <w:rStyle w:val="hps"/>
        </w:rPr>
        <w:t>par le Secrétariat. Par ailleurs, le Secrétariat traduira en français l</w:t>
      </w:r>
      <w:r w:rsidR="00924865">
        <w:rPr>
          <w:rStyle w:val="hps"/>
        </w:rPr>
        <w:t>’</w:t>
      </w:r>
      <w:r>
        <w:rPr>
          <w:rStyle w:val="hps"/>
        </w:rPr>
        <w:t xml:space="preserve">ensemble des </w:t>
      </w:r>
      <w:r w:rsidR="006E18FF">
        <w:rPr>
          <w:rStyle w:val="hps"/>
        </w:rPr>
        <w:t xml:space="preserve">matériels </w:t>
      </w:r>
      <w:r>
        <w:rPr>
          <w:rStyle w:val="hps"/>
        </w:rPr>
        <w:t xml:space="preserve">de formation sur </w:t>
      </w:r>
      <w:r w:rsidR="006E18FF">
        <w:rPr>
          <w:rStyle w:val="hps"/>
        </w:rPr>
        <w:t xml:space="preserve">l’établissement des </w:t>
      </w:r>
      <w:r>
        <w:rPr>
          <w:rStyle w:val="hps"/>
        </w:rPr>
        <w:t xml:space="preserve">rapports périodiques ainsi que </w:t>
      </w:r>
      <w:r w:rsidR="006E18FF">
        <w:rPr>
          <w:rStyle w:val="hps"/>
        </w:rPr>
        <w:t xml:space="preserve">les </w:t>
      </w:r>
      <w:r>
        <w:rPr>
          <w:rStyle w:val="hps"/>
        </w:rPr>
        <w:t xml:space="preserve">nouveaux </w:t>
      </w:r>
      <w:r w:rsidR="006E18FF">
        <w:rPr>
          <w:rStyle w:val="hps"/>
        </w:rPr>
        <w:t xml:space="preserve">matériels </w:t>
      </w:r>
      <w:r>
        <w:rPr>
          <w:rStyle w:val="hps"/>
        </w:rPr>
        <w:t>sur l</w:t>
      </w:r>
      <w:r w:rsidR="00924865">
        <w:rPr>
          <w:rStyle w:val="hps"/>
        </w:rPr>
        <w:t>’</w:t>
      </w:r>
      <w:r>
        <w:rPr>
          <w:rStyle w:val="hps"/>
        </w:rPr>
        <w:t>élaboration des politiques, afin qu</w:t>
      </w:r>
      <w:r w:rsidR="00924865">
        <w:rPr>
          <w:rStyle w:val="hps"/>
        </w:rPr>
        <w:t>’</w:t>
      </w:r>
      <w:r>
        <w:rPr>
          <w:rStyle w:val="hps"/>
        </w:rPr>
        <w:t xml:space="preserve">ils soient disponibles en trois langues (anglais, espagnol et français). </w:t>
      </w:r>
      <w:r w:rsidR="006E18FF">
        <w:rPr>
          <w:rStyle w:val="hps"/>
        </w:rPr>
        <w:t>L</w:t>
      </w:r>
      <w:r>
        <w:rPr>
          <w:rStyle w:val="hps"/>
        </w:rPr>
        <w:t>e Secrétariat mettra à jour le navigateur</w:t>
      </w:r>
      <w:r w:rsidR="006E18FF">
        <w:rPr>
          <w:rStyle w:val="hps"/>
        </w:rPr>
        <w:t xml:space="preserve"> des matériels</w:t>
      </w:r>
      <w:r>
        <w:rPr>
          <w:rStyle w:val="hps"/>
        </w:rPr>
        <w:t xml:space="preserve"> afin de faciliter l</w:t>
      </w:r>
      <w:r w:rsidR="00924865">
        <w:rPr>
          <w:rStyle w:val="hps"/>
        </w:rPr>
        <w:t>’</w:t>
      </w:r>
      <w:r>
        <w:rPr>
          <w:rStyle w:val="hps"/>
        </w:rPr>
        <w:t xml:space="preserve">accès aux </w:t>
      </w:r>
      <w:r w:rsidR="006E18FF">
        <w:rPr>
          <w:rStyle w:val="hps"/>
        </w:rPr>
        <w:t xml:space="preserve">matériels </w:t>
      </w:r>
      <w:r>
        <w:rPr>
          <w:rStyle w:val="hps"/>
        </w:rPr>
        <w:t>de renforcement des capacités.</w:t>
      </w:r>
    </w:p>
    <w:p w14:paraId="2D51268E" w14:textId="353E9A49" w:rsidR="004C3AE3" w:rsidRPr="00417470" w:rsidRDefault="004C3AE3" w:rsidP="00F144BC">
      <w:pPr>
        <w:pStyle w:val="5GAparabodytext"/>
        <w:rPr>
          <w:rStyle w:val="hps"/>
        </w:rPr>
      </w:pPr>
      <w:r>
        <w:rPr>
          <w:rStyle w:val="ParagraphChar"/>
          <w:b/>
        </w:rPr>
        <w:t>Produit 2.3</w:t>
      </w:r>
      <w:r w:rsidR="00E94022" w:rsidRPr="00B25683">
        <w:rPr>
          <w:rStyle w:val="ParagraphChar"/>
          <w:bCs w:val="0"/>
        </w:rPr>
        <w:t> :</w:t>
      </w:r>
      <w:r>
        <w:rPr>
          <w:rStyle w:val="hps"/>
        </w:rPr>
        <w:t xml:space="preserve"> Conformément au cadre </w:t>
      </w:r>
      <w:r w:rsidR="006E18FF">
        <w:rPr>
          <w:rStyle w:val="hps"/>
        </w:rPr>
        <w:t xml:space="preserve">global </w:t>
      </w:r>
      <w:r>
        <w:rPr>
          <w:rStyle w:val="hps"/>
        </w:rPr>
        <w:t xml:space="preserve">de résultats </w:t>
      </w:r>
      <w:r w:rsidR="006E18FF">
        <w:rPr>
          <w:rStyle w:val="hps"/>
        </w:rPr>
        <w:t xml:space="preserve">de </w:t>
      </w:r>
      <w:r>
        <w:rPr>
          <w:rStyle w:val="hps"/>
        </w:rPr>
        <w:t xml:space="preserve">la Convention, le Secrétariat continuera à </w:t>
      </w:r>
      <w:r w:rsidR="00E94022">
        <w:rPr>
          <w:rStyle w:val="hps"/>
        </w:rPr>
        <w:t>assurer le suivi du</w:t>
      </w:r>
      <w:r>
        <w:rPr>
          <w:rStyle w:val="hps"/>
        </w:rPr>
        <w:t xml:space="preserve"> programme de renforcement des capacités et à partager les informations avec les partenaires concernés. Il gérera l</w:t>
      </w:r>
      <w:r w:rsidR="00924865">
        <w:rPr>
          <w:rStyle w:val="hps"/>
        </w:rPr>
        <w:t>’</w:t>
      </w:r>
      <w:r>
        <w:rPr>
          <w:rStyle w:val="hps"/>
        </w:rPr>
        <w:t>outil de planification et de rapports en ligne pour les activités de renforcement des capacités et en améliorera encore les fonctionnalités afin de pouvoir analyser les données sur le profil des participants. Par ailleurs, la brochure du programme de renforcement des capacités élaborée en 2019 sera traduite et diffusée dans les six langues officielles des Nations Unies.</w:t>
      </w:r>
    </w:p>
    <w:p w14:paraId="5C0BFE5A" w14:textId="1ACA252F" w:rsidR="004C3AE3" w:rsidRPr="00870FD2" w:rsidRDefault="004C3AE3" w:rsidP="00B2127C">
      <w:pPr>
        <w:pStyle w:val="5GAparabodytext"/>
        <w:rPr>
          <w:rStyle w:val="ParagraphChar"/>
          <w:bCs w:val="0"/>
          <w:iCs w:val="0"/>
        </w:rPr>
      </w:pPr>
      <w:r>
        <w:rPr>
          <w:rStyle w:val="ParagraphChar"/>
          <w:b/>
        </w:rPr>
        <w:t>Produit 2.4</w:t>
      </w:r>
      <w:r w:rsidR="00E94022" w:rsidRPr="00B25683">
        <w:rPr>
          <w:rStyle w:val="ParagraphChar"/>
          <w:bCs w:val="0"/>
        </w:rPr>
        <w:t> :</w:t>
      </w:r>
      <w:r>
        <w:rPr>
          <w:rStyle w:val="ParagraphChar"/>
        </w:rPr>
        <w:t xml:space="preserve"> Le Secrétariat </w:t>
      </w:r>
      <w:r w:rsidR="006E18FF">
        <w:rPr>
          <w:rStyle w:val="ParagraphChar"/>
        </w:rPr>
        <w:t xml:space="preserve">reconnaît </w:t>
      </w:r>
      <w:r>
        <w:rPr>
          <w:rStyle w:val="ParagraphChar"/>
        </w:rPr>
        <w:t xml:space="preserve">de plus en plus </w:t>
      </w:r>
      <w:r w:rsidR="006E18FF">
        <w:rPr>
          <w:rStyle w:val="ParagraphChar"/>
        </w:rPr>
        <w:t xml:space="preserve">le </w:t>
      </w:r>
      <w:r>
        <w:rPr>
          <w:rStyle w:val="ParagraphChar"/>
        </w:rPr>
        <w:t>rôle important que jouent les établissements d</w:t>
      </w:r>
      <w:r w:rsidR="00924865">
        <w:rPr>
          <w:rStyle w:val="ParagraphChar"/>
        </w:rPr>
        <w:t>’</w:t>
      </w:r>
      <w:r>
        <w:rPr>
          <w:rStyle w:val="ParagraphChar"/>
        </w:rPr>
        <w:t xml:space="preserve">enseignement supérieur dans la formation des </w:t>
      </w:r>
      <w:r w:rsidR="006E18FF">
        <w:rPr>
          <w:rStyle w:val="ParagraphChar"/>
        </w:rPr>
        <w:t xml:space="preserve">futurs </w:t>
      </w:r>
      <w:r>
        <w:rPr>
          <w:rStyle w:val="ParagraphChar"/>
        </w:rPr>
        <w:t xml:space="preserve">décideurs, planificateurs et administrateurs aux activités liées à la sauvegarde du patrimoine vivant. Par le biais de réseaux universitaires récents, il a </w:t>
      </w:r>
      <w:r w:rsidR="00E94022">
        <w:rPr>
          <w:rStyle w:val="ParagraphChar"/>
        </w:rPr>
        <w:t xml:space="preserve">été </w:t>
      </w:r>
      <w:r>
        <w:rPr>
          <w:rStyle w:val="ParagraphChar"/>
        </w:rPr>
        <w:t>également observé que l</w:t>
      </w:r>
      <w:r w:rsidR="00924865">
        <w:rPr>
          <w:rStyle w:val="ParagraphChar"/>
        </w:rPr>
        <w:t>’</w:t>
      </w:r>
      <w:r>
        <w:rPr>
          <w:rStyle w:val="ParagraphChar"/>
        </w:rPr>
        <w:t>enseignement sur le patrimoine culturel immatériel est fortement dispersé entre les différentes disciplines (études sur le patrimoine, anthropologie, environnement, etc.). En s</w:t>
      </w:r>
      <w:r w:rsidR="00924865">
        <w:rPr>
          <w:rStyle w:val="ParagraphChar"/>
        </w:rPr>
        <w:t>’</w:t>
      </w:r>
      <w:r>
        <w:rPr>
          <w:rStyle w:val="ParagraphChar"/>
        </w:rPr>
        <w:t xml:space="preserve">appuyant sur la réussite des activités de mise en réseau des deux derniers exercices biennaux, le Secrétariat propose </w:t>
      </w:r>
      <w:r w:rsidR="00B2127C">
        <w:rPr>
          <w:rStyle w:val="ParagraphChar"/>
        </w:rPr>
        <w:t xml:space="preserve">d’accroître le nombre d’universités engagées dans la mise en réseau </w:t>
      </w:r>
      <w:r>
        <w:rPr>
          <w:rStyle w:val="ParagraphChar"/>
        </w:rPr>
        <w:t>à travers le monde, en</w:t>
      </w:r>
      <w:r w:rsidR="00B2127C">
        <w:rPr>
          <w:rStyle w:val="ParagraphChar"/>
        </w:rPr>
        <w:t xml:space="preserve"> y associant dix universités supplémentaire</w:t>
      </w:r>
      <w:r w:rsidR="00E94022">
        <w:rPr>
          <w:rStyle w:val="ParagraphChar"/>
        </w:rPr>
        <w:t>s</w:t>
      </w:r>
      <w:r w:rsidR="00B2127C">
        <w:rPr>
          <w:rStyle w:val="ParagraphChar"/>
        </w:rPr>
        <w:t>,</w:t>
      </w:r>
      <w:r>
        <w:rPr>
          <w:rStyle w:val="ParagraphChar"/>
        </w:rPr>
        <w:t xml:space="preserve"> veillant à assurer un équilibre régional optimal.</w:t>
      </w:r>
    </w:p>
    <w:p w14:paraId="7E2AA827" w14:textId="5B9821C1" w:rsidR="008737AC" w:rsidRPr="00B003EF" w:rsidRDefault="008737AC">
      <w:pPr>
        <w:pStyle w:val="Heading2"/>
        <w:tabs>
          <w:tab w:val="left" w:pos="567"/>
        </w:tabs>
        <w:snapToGrid w:val="0"/>
        <w:spacing w:before="360" w:after="240"/>
        <w:ind w:left="567"/>
        <w:jc w:val="both"/>
        <w:rPr>
          <w:rFonts w:ascii="Arial" w:hAnsi="Arial" w:cs="Arial"/>
          <w:i w:val="0"/>
          <w:sz w:val="22"/>
          <w:szCs w:val="22"/>
        </w:rPr>
      </w:pPr>
      <w:r>
        <w:rPr>
          <w:rFonts w:ascii="Arial" w:hAnsi="Arial"/>
          <w:bCs w:val="0"/>
          <w:i w:val="0"/>
          <w:iCs w:val="0"/>
          <w:snapToGrid w:val="0"/>
          <w:sz w:val="22"/>
          <w:szCs w:val="22"/>
        </w:rPr>
        <w:t xml:space="preserve">Résultat escompté 3 : </w:t>
      </w:r>
      <w:r>
        <w:rPr>
          <w:rFonts w:ascii="Arial" w:hAnsi="Arial"/>
          <w:i w:val="0"/>
          <w:sz w:val="22"/>
          <w:szCs w:val="22"/>
        </w:rPr>
        <w:t>Appui à l</w:t>
      </w:r>
      <w:r w:rsidR="00924865">
        <w:rPr>
          <w:rFonts w:ascii="Arial" w:hAnsi="Arial"/>
          <w:i w:val="0"/>
          <w:sz w:val="22"/>
          <w:szCs w:val="22"/>
        </w:rPr>
        <w:t>’</w:t>
      </w:r>
      <w:r>
        <w:rPr>
          <w:rFonts w:ascii="Arial" w:hAnsi="Arial"/>
          <w:i w:val="0"/>
          <w:sz w:val="22"/>
          <w:szCs w:val="22"/>
        </w:rPr>
        <w:t>intégration du patrimoine culturel immatériel dans les plans, politiques et programmes de développement</w:t>
      </w:r>
    </w:p>
    <w:p w14:paraId="23F0BE05" w14:textId="63FEA736" w:rsidR="00A27731" w:rsidRPr="00870FD2" w:rsidRDefault="00A27731" w:rsidP="00B2127C">
      <w:pPr>
        <w:pStyle w:val="5GAparabodytext"/>
        <w:rPr>
          <w:rStyle w:val="hps"/>
          <w:bCs w:val="0"/>
          <w:iCs w:val="0"/>
        </w:rPr>
      </w:pPr>
      <w:r>
        <w:rPr>
          <w:snapToGrid w:val="0"/>
        </w:rPr>
        <w:t>L</w:t>
      </w:r>
      <w:r w:rsidR="00924865">
        <w:rPr>
          <w:snapToGrid w:val="0"/>
        </w:rPr>
        <w:t>’</w:t>
      </w:r>
      <w:r>
        <w:rPr>
          <w:snapToGrid w:val="0"/>
        </w:rPr>
        <w:t xml:space="preserve">intégration du patrimoine culturel immatériel aux plans, politiques et programmes de développement </w:t>
      </w:r>
      <w:r w:rsidR="00B2127C">
        <w:rPr>
          <w:snapToGrid w:val="0"/>
        </w:rPr>
        <w:t>s’est avérée</w:t>
      </w:r>
      <w:r>
        <w:rPr>
          <w:snapToGrid w:val="0"/>
        </w:rPr>
        <w:t xml:space="preserve"> efficac</w:t>
      </w:r>
      <w:r w:rsidR="00B2127C">
        <w:rPr>
          <w:snapToGrid w:val="0"/>
        </w:rPr>
        <w:t>e</w:t>
      </w:r>
      <w:r>
        <w:rPr>
          <w:snapToGrid w:val="0"/>
        </w:rPr>
        <w:t xml:space="preserve"> </w:t>
      </w:r>
      <w:r w:rsidR="00B2127C">
        <w:rPr>
          <w:snapToGrid w:val="0"/>
        </w:rPr>
        <w:t xml:space="preserve">pour </w:t>
      </w:r>
      <w:r>
        <w:rPr>
          <w:snapToGrid w:val="0"/>
        </w:rPr>
        <w:t>soutenir la réalisation des objectifs du Programme de développement durable à l</w:t>
      </w:r>
      <w:r w:rsidR="00924865">
        <w:rPr>
          <w:snapToGrid w:val="0"/>
        </w:rPr>
        <w:t>’</w:t>
      </w:r>
      <w:r>
        <w:rPr>
          <w:snapToGrid w:val="0"/>
        </w:rPr>
        <w:t>horizon 2030 et des ODD. À cet égard, des progrès ont été accomplis ces deux dernières années en matière d</w:t>
      </w:r>
      <w:r w:rsidR="00924865">
        <w:rPr>
          <w:snapToGrid w:val="0"/>
        </w:rPr>
        <w:t>’</w:t>
      </w:r>
      <w:r>
        <w:rPr>
          <w:snapToGrid w:val="0"/>
        </w:rPr>
        <w:t>intégration du patrimoine culturel immatériel à l</w:t>
      </w:r>
      <w:r w:rsidR="00924865">
        <w:rPr>
          <w:snapToGrid w:val="0"/>
        </w:rPr>
        <w:t>’</w:t>
      </w:r>
      <w:r>
        <w:rPr>
          <w:snapToGrid w:val="0"/>
        </w:rPr>
        <w:t xml:space="preserve">éducation formelle et non formelle, ce qui contribue directement à </w:t>
      </w:r>
      <w:r w:rsidR="00B2127C">
        <w:rPr>
          <w:snapToGrid w:val="0"/>
        </w:rPr>
        <w:t xml:space="preserve">la thématique 7 de </w:t>
      </w:r>
      <w:r>
        <w:rPr>
          <w:snapToGrid w:val="0"/>
        </w:rPr>
        <w:t>l</w:t>
      </w:r>
      <w:r w:rsidR="00924865">
        <w:rPr>
          <w:snapToGrid w:val="0"/>
        </w:rPr>
        <w:t>’</w:t>
      </w:r>
      <w:r>
        <w:rPr>
          <w:snapToGrid w:val="0"/>
        </w:rPr>
        <w:t xml:space="preserve">ODD 4, et </w:t>
      </w:r>
      <w:r w:rsidR="00B2127C">
        <w:rPr>
          <w:snapToGrid w:val="0"/>
        </w:rPr>
        <w:t>constitue une</w:t>
      </w:r>
      <w:r>
        <w:rPr>
          <w:snapToGrid w:val="0"/>
        </w:rPr>
        <w:t xml:space="preserve"> priorité </w:t>
      </w:r>
      <w:r w:rsidR="00B2127C">
        <w:rPr>
          <w:snapToGrid w:val="0"/>
        </w:rPr>
        <w:t xml:space="preserve">élevée au titre de </w:t>
      </w:r>
      <w:r>
        <w:rPr>
          <w:snapToGrid w:val="0"/>
        </w:rPr>
        <w:t>la Convention de 2003.</w:t>
      </w:r>
    </w:p>
    <w:p w14:paraId="2EFC6117" w14:textId="05A3103A" w:rsidR="00A27731" w:rsidRPr="00D85E86" w:rsidRDefault="004C3AE3" w:rsidP="00FD4293">
      <w:pPr>
        <w:pStyle w:val="5GAparabodytext"/>
        <w:rPr>
          <w:rStyle w:val="ParagraphChar"/>
          <w:bCs w:val="0"/>
          <w:iCs w:val="0"/>
        </w:rPr>
      </w:pPr>
      <w:r>
        <w:rPr>
          <w:rStyle w:val="ParagraphChar"/>
          <w:b/>
        </w:rPr>
        <w:lastRenderedPageBreak/>
        <w:t>Produit 3.1</w:t>
      </w:r>
      <w:r w:rsidR="00E94022" w:rsidRPr="00D85E86">
        <w:rPr>
          <w:rStyle w:val="ParagraphChar"/>
          <w:bCs w:val="0"/>
        </w:rPr>
        <w:t> :</w:t>
      </w:r>
      <w:r w:rsidRPr="00D85E86">
        <w:rPr>
          <w:rStyle w:val="ParagraphChar"/>
          <w:bCs w:val="0"/>
        </w:rPr>
        <w:t xml:space="preserve"> </w:t>
      </w:r>
      <w:r>
        <w:rPr>
          <w:snapToGrid w:val="0"/>
        </w:rPr>
        <w:t>Compte tenu de l</w:t>
      </w:r>
      <w:r w:rsidR="00924865">
        <w:rPr>
          <w:snapToGrid w:val="0"/>
        </w:rPr>
        <w:t>’</w:t>
      </w:r>
      <w:r>
        <w:rPr>
          <w:snapToGrid w:val="0"/>
        </w:rPr>
        <w:t>intérêt croissant des États parties pour la nouvelle priorité qu</w:t>
      </w:r>
      <w:r w:rsidR="00924865">
        <w:rPr>
          <w:snapToGrid w:val="0"/>
        </w:rPr>
        <w:t>’</w:t>
      </w:r>
      <w:r>
        <w:rPr>
          <w:snapToGrid w:val="0"/>
        </w:rPr>
        <w:t>est la « sauvegarde du patrimoine culturel immatériel dans le cadre de l</w:t>
      </w:r>
      <w:r w:rsidR="00924865">
        <w:rPr>
          <w:snapToGrid w:val="0"/>
        </w:rPr>
        <w:t>’</w:t>
      </w:r>
      <w:r>
        <w:rPr>
          <w:snapToGrid w:val="0"/>
        </w:rPr>
        <w:t>éducation formelle et non formelle » et afin de faciliter le travail dans ce domaine, à l</w:t>
      </w:r>
      <w:r w:rsidR="00924865">
        <w:rPr>
          <w:snapToGrid w:val="0"/>
        </w:rPr>
        <w:t>’</w:t>
      </w:r>
      <w:r>
        <w:rPr>
          <w:snapToGrid w:val="0"/>
        </w:rPr>
        <w:t>échelle mondiale, l</w:t>
      </w:r>
      <w:r w:rsidR="00924865">
        <w:rPr>
          <w:snapToGrid w:val="0"/>
        </w:rPr>
        <w:t>’</w:t>
      </w:r>
      <w:r>
        <w:rPr>
          <w:snapToGrid w:val="0"/>
        </w:rPr>
        <w:t>UNESCO a créé un centre d</w:t>
      </w:r>
      <w:r w:rsidR="00924865">
        <w:rPr>
          <w:snapToGrid w:val="0"/>
        </w:rPr>
        <w:t>’</w:t>
      </w:r>
      <w:r>
        <w:rPr>
          <w:snapToGrid w:val="0"/>
        </w:rPr>
        <w:t>échanges destiné au partage de connaissances, à la coopération, à la formation et à l</w:t>
      </w:r>
      <w:r w:rsidR="00924865">
        <w:rPr>
          <w:snapToGrid w:val="0"/>
        </w:rPr>
        <w:t>’</w:t>
      </w:r>
      <w:r>
        <w:rPr>
          <w:snapToGrid w:val="0"/>
        </w:rPr>
        <w:t>innovation sur le patrimoine culturel immatériel et l</w:t>
      </w:r>
      <w:r w:rsidR="00924865">
        <w:rPr>
          <w:snapToGrid w:val="0"/>
        </w:rPr>
        <w:t>’</w:t>
      </w:r>
      <w:r>
        <w:rPr>
          <w:snapToGrid w:val="0"/>
        </w:rPr>
        <w:t xml:space="preserve">éducation. </w:t>
      </w:r>
      <w:r>
        <w:rPr>
          <w:rStyle w:val="ParagraphChar"/>
        </w:rPr>
        <w:t xml:space="preserve">À partir de ce travail, le Secrétariat veillera à ce que la page </w:t>
      </w:r>
      <w:r w:rsidRPr="00D85E86">
        <w:rPr>
          <w:rStyle w:val="ParagraphChar"/>
        </w:rPr>
        <w:t>web et les ressources soient disponibles en deux langues (anglais et français) et à ce que la brochure d</w:t>
      </w:r>
      <w:r w:rsidR="00924865" w:rsidRPr="00D85E86">
        <w:rPr>
          <w:rStyle w:val="ParagraphChar"/>
        </w:rPr>
        <w:t>’</w:t>
      </w:r>
      <w:r w:rsidRPr="00D85E86">
        <w:rPr>
          <w:rStyle w:val="ParagraphChar"/>
        </w:rPr>
        <w:t xml:space="preserve">information </w:t>
      </w:r>
      <w:r w:rsidR="00B2127C" w:rsidRPr="00D85E86">
        <w:rPr>
          <w:rStyle w:val="ParagraphChar"/>
        </w:rPr>
        <w:t xml:space="preserve">qui l’accompagne </w:t>
      </w:r>
      <w:r w:rsidRPr="00D85E86">
        <w:rPr>
          <w:rStyle w:val="ParagraphChar"/>
        </w:rPr>
        <w:t>soit diffusée dans les six langues officielles des Nations Unies. En outre, le Secrétariat s</w:t>
      </w:r>
      <w:r w:rsidR="00924865" w:rsidRPr="00D85E86">
        <w:rPr>
          <w:rStyle w:val="ParagraphChar"/>
        </w:rPr>
        <w:t>’</w:t>
      </w:r>
      <w:r w:rsidRPr="00D85E86">
        <w:rPr>
          <w:rStyle w:val="ParagraphChar"/>
        </w:rPr>
        <w:t>adressera aux peuples autochtones et aux associations activement engagées dans l</w:t>
      </w:r>
      <w:r w:rsidR="00924865" w:rsidRPr="00D85E86">
        <w:rPr>
          <w:rStyle w:val="ParagraphChar"/>
        </w:rPr>
        <w:t>’</w:t>
      </w:r>
      <w:r w:rsidRPr="00D85E86">
        <w:rPr>
          <w:rStyle w:val="ParagraphChar"/>
        </w:rPr>
        <w:t>intégration de leur patrimoine vivant aux programmes éducatifs formels et non formels</w:t>
      </w:r>
      <w:r w:rsidR="00E94022" w:rsidRPr="00D85E86">
        <w:rPr>
          <w:rStyle w:val="ParagraphChar"/>
        </w:rPr>
        <w:t>,</w:t>
      </w:r>
      <w:r w:rsidRPr="00D85E86">
        <w:rPr>
          <w:rStyle w:val="ParagraphChar"/>
        </w:rPr>
        <w:t xml:space="preserve"> afin </w:t>
      </w:r>
      <w:r w:rsidR="00B2127C" w:rsidRPr="00D85E86">
        <w:rPr>
          <w:rStyle w:val="ParagraphChar"/>
        </w:rPr>
        <w:t xml:space="preserve">de tenir compte de </w:t>
      </w:r>
      <w:r w:rsidRPr="00D85E86">
        <w:rPr>
          <w:rStyle w:val="ParagraphChar"/>
        </w:rPr>
        <w:t>leur</w:t>
      </w:r>
      <w:r w:rsidR="00B2127C" w:rsidRPr="00D85E86">
        <w:rPr>
          <w:rStyle w:val="ParagraphChar"/>
        </w:rPr>
        <w:t>s</w:t>
      </w:r>
      <w:r w:rsidRPr="00D85E86">
        <w:rPr>
          <w:rStyle w:val="ParagraphChar"/>
        </w:rPr>
        <w:t xml:space="preserve"> expérience</w:t>
      </w:r>
      <w:r w:rsidR="00B2127C" w:rsidRPr="00D85E86">
        <w:rPr>
          <w:rStyle w:val="ParagraphChar"/>
        </w:rPr>
        <w:t>s</w:t>
      </w:r>
      <w:r w:rsidRPr="00D85E86">
        <w:rPr>
          <w:rStyle w:val="ParagraphChar"/>
        </w:rPr>
        <w:t xml:space="preserve"> dans le </w:t>
      </w:r>
      <w:r w:rsidRPr="00D85E86">
        <w:rPr>
          <w:snapToGrid w:val="0"/>
        </w:rPr>
        <w:t>centre d</w:t>
      </w:r>
      <w:r w:rsidR="00924865" w:rsidRPr="00D85E86">
        <w:rPr>
          <w:snapToGrid w:val="0"/>
        </w:rPr>
        <w:t>’</w:t>
      </w:r>
      <w:r w:rsidRPr="00D85E86">
        <w:rPr>
          <w:snapToGrid w:val="0"/>
        </w:rPr>
        <w:t xml:space="preserve">échanges </w:t>
      </w:r>
      <w:r w:rsidR="00B2127C" w:rsidRPr="00D85E86">
        <w:rPr>
          <w:snapToGrid w:val="0"/>
        </w:rPr>
        <w:t xml:space="preserve">d’information </w:t>
      </w:r>
      <w:r w:rsidRPr="00D85E86">
        <w:rPr>
          <w:snapToGrid w:val="0"/>
        </w:rPr>
        <w:t>de l</w:t>
      </w:r>
      <w:r w:rsidR="00924865" w:rsidRPr="00D85E86">
        <w:rPr>
          <w:snapToGrid w:val="0"/>
        </w:rPr>
        <w:t>’</w:t>
      </w:r>
      <w:r w:rsidRPr="00D85E86">
        <w:rPr>
          <w:snapToGrid w:val="0"/>
        </w:rPr>
        <w:t>UNESCO destiné au partage de</w:t>
      </w:r>
      <w:r w:rsidR="00B2127C" w:rsidRPr="00D85E86">
        <w:rPr>
          <w:snapToGrid w:val="0"/>
        </w:rPr>
        <w:t>s</w:t>
      </w:r>
      <w:r w:rsidRPr="00D85E86">
        <w:rPr>
          <w:snapToGrid w:val="0"/>
        </w:rPr>
        <w:t xml:space="preserve"> connaissances, à la coopération, à la formation et à l</w:t>
      </w:r>
      <w:r w:rsidR="00924865" w:rsidRPr="00D85E86">
        <w:rPr>
          <w:snapToGrid w:val="0"/>
        </w:rPr>
        <w:t>’</w:t>
      </w:r>
      <w:r w:rsidRPr="00D85E86">
        <w:rPr>
          <w:snapToGrid w:val="0"/>
        </w:rPr>
        <w:t>innovation sur le patrimoine culturel immatériel et l</w:t>
      </w:r>
      <w:r w:rsidR="00924865" w:rsidRPr="00D85E86">
        <w:rPr>
          <w:snapToGrid w:val="0"/>
        </w:rPr>
        <w:t>’</w:t>
      </w:r>
      <w:r w:rsidRPr="00D85E86">
        <w:rPr>
          <w:snapToGrid w:val="0"/>
        </w:rPr>
        <w:t xml:space="preserve">éducation. </w:t>
      </w:r>
      <w:r w:rsidR="00B2127C" w:rsidRPr="00D85E86">
        <w:rPr>
          <w:snapToGrid w:val="0"/>
        </w:rPr>
        <w:t>Cet effort répond à la demande</w:t>
      </w:r>
      <w:r w:rsidRPr="00D85E86">
        <w:rPr>
          <w:snapToGrid w:val="0"/>
        </w:rPr>
        <w:t xml:space="preserve"> </w:t>
      </w:r>
      <w:r w:rsidR="00B2127C" w:rsidRPr="00D85E86">
        <w:rPr>
          <w:snapToGrid w:val="0"/>
        </w:rPr>
        <w:t>d</w:t>
      </w:r>
      <w:r w:rsidRPr="00D85E86">
        <w:rPr>
          <w:snapToGrid w:val="0"/>
        </w:rPr>
        <w:t>u Comité, qui a reconnu</w:t>
      </w:r>
      <w:r w:rsidRPr="00D85E86">
        <w:rPr>
          <w:rStyle w:val="ParagraphChar"/>
        </w:rPr>
        <w:t xml:space="preserve"> l</w:t>
      </w:r>
      <w:r w:rsidR="00924865" w:rsidRPr="00D85E86">
        <w:rPr>
          <w:rStyle w:val="ParagraphChar"/>
        </w:rPr>
        <w:t>’</w:t>
      </w:r>
      <w:r w:rsidRPr="00D85E86">
        <w:rPr>
          <w:rStyle w:val="ParagraphChar"/>
        </w:rPr>
        <w:t>importance pour les peuples autochtones du monde</w:t>
      </w:r>
      <w:r w:rsidR="00B2127C" w:rsidRPr="00D85E86">
        <w:rPr>
          <w:rStyle w:val="ParagraphChar"/>
        </w:rPr>
        <w:t xml:space="preserve"> entier</w:t>
      </w:r>
      <w:r w:rsidRPr="00D85E86">
        <w:rPr>
          <w:rStyle w:val="ParagraphChar"/>
        </w:rPr>
        <w:t xml:space="preserve"> d</w:t>
      </w:r>
      <w:r w:rsidR="00924865" w:rsidRPr="00D85E86">
        <w:rPr>
          <w:rStyle w:val="ParagraphChar"/>
        </w:rPr>
        <w:t>’</w:t>
      </w:r>
      <w:r w:rsidRPr="00D85E86">
        <w:rPr>
          <w:rStyle w:val="ParagraphChar"/>
        </w:rPr>
        <w:t>assurer la durabilité, l</w:t>
      </w:r>
      <w:r w:rsidR="00924865" w:rsidRPr="00D85E86">
        <w:rPr>
          <w:rStyle w:val="ParagraphChar"/>
        </w:rPr>
        <w:t>’</w:t>
      </w:r>
      <w:r w:rsidRPr="00D85E86">
        <w:rPr>
          <w:rStyle w:val="ParagraphChar"/>
        </w:rPr>
        <w:t>apprentissage, l</w:t>
      </w:r>
      <w:r w:rsidR="00924865" w:rsidRPr="00D85E86">
        <w:rPr>
          <w:rStyle w:val="ParagraphChar"/>
        </w:rPr>
        <w:t>’</w:t>
      </w:r>
      <w:r w:rsidRPr="00D85E86">
        <w:rPr>
          <w:rStyle w:val="ParagraphChar"/>
        </w:rPr>
        <w:t>utilisation et la transmission de leur langue en tant que vecteur fondamental du patrimoine culturel immatériel</w:t>
      </w:r>
      <w:r w:rsidR="00B2127C" w:rsidRPr="00D85E86">
        <w:rPr>
          <w:rStyle w:val="ParagraphChar"/>
        </w:rPr>
        <w:t>. Le Comité</w:t>
      </w:r>
      <w:r w:rsidRPr="00D85E86">
        <w:rPr>
          <w:rStyle w:val="ParagraphChar"/>
        </w:rPr>
        <w:t xml:space="preserve"> a invité le Secrétariat à poursuivre ses </w:t>
      </w:r>
      <w:r w:rsidR="00FD4293" w:rsidRPr="00D85E86">
        <w:rPr>
          <w:rStyle w:val="ParagraphChar"/>
        </w:rPr>
        <w:t xml:space="preserve">travaux </w:t>
      </w:r>
      <w:r w:rsidRPr="00D85E86">
        <w:rPr>
          <w:rStyle w:val="ParagraphChar"/>
        </w:rPr>
        <w:t>à cet égard (</w:t>
      </w:r>
      <w:hyperlink r:id="rId13" w:history="1">
        <w:r w:rsidR="00947AC3">
          <w:rPr>
            <w:rStyle w:val="Hyperlink"/>
          </w:rPr>
          <w:t>d</w:t>
        </w:r>
        <w:r w:rsidR="00E94022" w:rsidRPr="00D85E86">
          <w:rPr>
            <w:rStyle w:val="Hyperlink"/>
          </w:rPr>
          <w:t xml:space="preserve">écision </w:t>
        </w:r>
        <w:r w:rsidRPr="00D85E86">
          <w:rPr>
            <w:rStyle w:val="Hyperlink"/>
          </w:rPr>
          <w:t>13.COM 20</w:t>
        </w:r>
      </w:hyperlink>
      <w:r w:rsidRPr="00D85E86">
        <w:rPr>
          <w:rStyle w:val="ParagraphChar"/>
        </w:rPr>
        <w:t>). Les informations provenant du centre d</w:t>
      </w:r>
      <w:r w:rsidR="00924865" w:rsidRPr="00D85E86">
        <w:rPr>
          <w:rStyle w:val="ParagraphChar"/>
        </w:rPr>
        <w:t>’</w:t>
      </w:r>
      <w:r w:rsidRPr="00D85E86">
        <w:rPr>
          <w:rStyle w:val="ParagraphChar"/>
        </w:rPr>
        <w:t xml:space="preserve">échanges </w:t>
      </w:r>
      <w:r w:rsidR="00FD4293" w:rsidRPr="00D85E86">
        <w:rPr>
          <w:rStyle w:val="ParagraphChar"/>
        </w:rPr>
        <w:t xml:space="preserve">d’information </w:t>
      </w:r>
      <w:r w:rsidRPr="00D85E86">
        <w:rPr>
          <w:rStyle w:val="ParagraphChar"/>
        </w:rPr>
        <w:t xml:space="preserve">et </w:t>
      </w:r>
      <w:r w:rsidR="00FD4293" w:rsidRPr="00D85E86">
        <w:rPr>
          <w:rStyle w:val="ParagraphChar"/>
        </w:rPr>
        <w:t xml:space="preserve">les progrès réalisés jusqu’à présent </w:t>
      </w:r>
      <w:r w:rsidRPr="00D85E86">
        <w:rPr>
          <w:rStyle w:val="ParagraphChar"/>
        </w:rPr>
        <w:t xml:space="preserve">sur </w:t>
      </w:r>
      <w:r w:rsidR="00FD4293" w:rsidRPr="00D85E86">
        <w:rPr>
          <w:rStyle w:val="ParagraphChar"/>
        </w:rPr>
        <w:t xml:space="preserve">cette </w:t>
      </w:r>
      <w:r w:rsidRPr="00D85E86">
        <w:rPr>
          <w:rStyle w:val="ParagraphChar"/>
        </w:rPr>
        <w:t>priorité seront communiqués dans le cadre d</w:t>
      </w:r>
      <w:r w:rsidR="00924865" w:rsidRPr="00D85E86">
        <w:rPr>
          <w:rStyle w:val="ParagraphChar"/>
        </w:rPr>
        <w:t>’</w:t>
      </w:r>
      <w:r w:rsidRPr="00D85E86">
        <w:rPr>
          <w:rStyle w:val="ParagraphChar"/>
        </w:rPr>
        <w:t>un événement parallèle à l</w:t>
      </w:r>
      <w:r w:rsidR="00924865" w:rsidRPr="00D85E86">
        <w:rPr>
          <w:rStyle w:val="ParagraphChar"/>
        </w:rPr>
        <w:t>’</w:t>
      </w:r>
      <w:r w:rsidRPr="00D85E86">
        <w:rPr>
          <w:rStyle w:val="ParagraphChar"/>
        </w:rPr>
        <w:t>occasion de la huitième session de l</w:t>
      </w:r>
      <w:r w:rsidR="00924865" w:rsidRPr="00D85E86">
        <w:rPr>
          <w:rStyle w:val="ParagraphChar"/>
        </w:rPr>
        <w:t>’</w:t>
      </w:r>
      <w:r w:rsidRPr="00D85E86">
        <w:rPr>
          <w:rStyle w:val="ParagraphChar"/>
        </w:rPr>
        <w:t>Assemblée générale des États parties qui se tiendra en juin 2020.</w:t>
      </w:r>
    </w:p>
    <w:p w14:paraId="5DC240A3" w14:textId="519ED14D" w:rsidR="00F32883" w:rsidRPr="00870FD2" w:rsidRDefault="00F32883" w:rsidP="00314B10">
      <w:pPr>
        <w:pStyle w:val="5GAparabodytext"/>
        <w:rPr>
          <w:rStyle w:val="ParagraphChar"/>
        </w:rPr>
      </w:pPr>
      <w:r>
        <w:rPr>
          <w:rStyle w:val="ParagraphChar"/>
          <w:b/>
        </w:rPr>
        <w:t>Produit 3.2</w:t>
      </w:r>
      <w:r w:rsidR="00E94022" w:rsidRPr="00D85E86">
        <w:rPr>
          <w:rStyle w:val="ParagraphChar"/>
          <w:bCs w:val="0"/>
        </w:rPr>
        <w:t> :</w:t>
      </w:r>
      <w:r>
        <w:rPr>
          <w:rStyle w:val="ParagraphChar"/>
        </w:rPr>
        <w:t xml:space="preserve"> Le Secrétariat s</w:t>
      </w:r>
      <w:r w:rsidR="00924865">
        <w:rPr>
          <w:rStyle w:val="ParagraphChar"/>
        </w:rPr>
        <w:t>’</w:t>
      </w:r>
      <w:r>
        <w:rPr>
          <w:rStyle w:val="ParagraphChar"/>
        </w:rPr>
        <w:t xml:space="preserve">appuiera sur les expériences </w:t>
      </w:r>
      <w:r w:rsidR="00314B10">
        <w:rPr>
          <w:rStyle w:val="ParagraphChar"/>
        </w:rPr>
        <w:t xml:space="preserve">acquises lors </w:t>
      </w:r>
      <w:r>
        <w:rPr>
          <w:rStyle w:val="ParagraphChar"/>
        </w:rPr>
        <w:t>de sa participation à la huitième session de l</w:t>
      </w:r>
      <w:r w:rsidR="00924865">
        <w:rPr>
          <w:rStyle w:val="ParagraphChar"/>
        </w:rPr>
        <w:t>’</w:t>
      </w:r>
      <w:r>
        <w:rPr>
          <w:rStyle w:val="ParagraphChar"/>
        </w:rPr>
        <w:t>Instance permanente</w:t>
      </w:r>
      <w:r w:rsidR="00314B10">
        <w:rPr>
          <w:rStyle w:val="ParagraphChar"/>
        </w:rPr>
        <w:t xml:space="preserve"> des Nations Unies</w:t>
      </w:r>
      <w:r>
        <w:rPr>
          <w:rStyle w:val="ParagraphChar"/>
        </w:rPr>
        <w:t xml:space="preserve"> sur les questions autochtones, </w:t>
      </w:r>
      <w:r w:rsidR="00314B10">
        <w:rPr>
          <w:rStyle w:val="ParagraphChar"/>
        </w:rPr>
        <w:t xml:space="preserve">tenue </w:t>
      </w:r>
      <w:r>
        <w:rPr>
          <w:rStyle w:val="ParagraphChar"/>
        </w:rPr>
        <w:t>en 2019, pour renforcer les liens avec d</w:t>
      </w:r>
      <w:r w:rsidR="00924865">
        <w:rPr>
          <w:rStyle w:val="ParagraphChar"/>
        </w:rPr>
        <w:t>’</w:t>
      </w:r>
      <w:r>
        <w:rPr>
          <w:rStyle w:val="ParagraphChar"/>
        </w:rPr>
        <w:t xml:space="preserve">autres </w:t>
      </w:r>
      <w:r w:rsidR="00314B10">
        <w:rPr>
          <w:rStyle w:val="ParagraphChar"/>
        </w:rPr>
        <w:t xml:space="preserve">institutions </w:t>
      </w:r>
      <w:r>
        <w:rPr>
          <w:rStyle w:val="ParagraphChar"/>
        </w:rPr>
        <w:t xml:space="preserve">des Nations Unies qui travaillent dans le domaine de la culture et du développement durable. Ces échanges sont importants pour informer les organismes partenaires </w:t>
      </w:r>
      <w:proofErr w:type="gramStart"/>
      <w:r w:rsidR="00314B10">
        <w:rPr>
          <w:rStyle w:val="ParagraphChar"/>
        </w:rPr>
        <w:t>des derniers développement</w:t>
      </w:r>
      <w:proofErr w:type="gramEnd"/>
      <w:r>
        <w:rPr>
          <w:rStyle w:val="ParagraphChar"/>
        </w:rPr>
        <w:t xml:space="preserve"> dans la mise en œuvre de la Convention et </w:t>
      </w:r>
      <w:r w:rsidR="00314B10">
        <w:rPr>
          <w:rStyle w:val="ParagraphChar"/>
        </w:rPr>
        <w:t>pour créer</w:t>
      </w:r>
      <w:r>
        <w:rPr>
          <w:rStyle w:val="ParagraphChar"/>
        </w:rPr>
        <w:t xml:space="preserve"> de</w:t>
      </w:r>
      <w:r w:rsidR="00314B10">
        <w:rPr>
          <w:rStyle w:val="ParagraphChar"/>
        </w:rPr>
        <w:t>s</w:t>
      </w:r>
      <w:r>
        <w:rPr>
          <w:rStyle w:val="ParagraphChar"/>
        </w:rPr>
        <w:t xml:space="preserve"> synergies avec leur</w:t>
      </w:r>
      <w:r w:rsidR="00314B10">
        <w:rPr>
          <w:rStyle w:val="ParagraphChar"/>
        </w:rPr>
        <w:t>s</w:t>
      </w:r>
      <w:r>
        <w:rPr>
          <w:rStyle w:val="ParagraphChar"/>
        </w:rPr>
        <w:t xml:space="preserve"> </w:t>
      </w:r>
      <w:r w:rsidR="00314B10">
        <w:rPr>
          <w:rStyle w:val="ParagraphChar"/>
        </w:rPr>
        <w:t>travaux</w:t>
      </w:r>
      <w:r>
        <w:rPr>
          <w:rStyle w:val="ParagraphChar"/>
        </w:rPr>
        <w:t>. En outre, le plan de travail pour les six premiers mois de 2020 vise à poursuivre les échanges fructueux entre l</w:t>
      </w:r>
      <w:r w:rsidR="00924865">
        <w:rPr>
          <w:rStyle w:val="ParagraphChar"/>
        </w:rPr>
        <w:t>’</w:t>
      </w:r>
      <w:r>
        <w:rPr>
          <w:rStyle w:val="ParagraphChar"/>
        </w:rPr>
        <w:t>UNESCO et les autres partenaires au sein du système des Nations Unies, comme l</w:t>
      </w:r>
      <w:r w:rsidR="00924865">
        <w:rPr>
          <w:rStyle w:val="ParagraphChar"/>
        </w:rPr>
        <w:t>’</w:t>
      </w:r>
      <w:r>
        <w:rPr>
          <w:rStyle w:val="ParagraphChar"/>
        </w:rPr>
        <w:t>Organisation mondiale de la propriété intellectuelle et la Conventi</w:t>
      </w:r>
      <w:r w:rsidR="00D85E86">
        <w:rPr>
          <w:rStyle w:val="ParagraphChar"/>
        </w:rPr>
        <w:t>on sur la diversité biologique.</w:t>
      </w:r>
    </w:p>
    <w:p w14:paraId="78835330" w14:textId="7A8F2255" w:rsidR="006E52E8" w:rsidRPr="00D85E86" w:rsidRDefault="008737AC" w:rsidP="00870FD2">
      <w:pPr>
        <w:pStyle w:val="Heading2"/>
        <w:tabs>
          <w:tab w:val="left" w:pos="567"/>
        </w:tabs>
        <w:snapToGrid w:val="0"/>
        <w:spacing w:before="360" w:after="240"/>
        <w:ind w:left="567"/>
        <w:jc w:val="both"/>
        <w:rPr>
          <w:rStyle w:val="hps"/>
          <w:rFonts w:ascii="Arial" w:hAnsi="Arial" w:cs="Arial"/>
          <w:bCs w:val="0"/>
          <w:iCs w:val="0"/>
          <w:sz w:val="22"/>
          <w:szCs w:val="22"/>
          <w:highlight w:val="cyan"/>
        </w:rPr>
      </w:pPr>
      <w:r>
        <w:rPr>
          <w:rFonts w:ascii="Arial" w:hAnsi="Arial"/>
          <w:bCs w:val="0"/>
          <w:i w:val="0"/>
          <w:iCs w:val="0"/>
          <w:snapToGrid w:val="0"/>
          <w:sz w:val="22"/>
          <w:szCs w:val="22"/>
        </w:rPr>
        <w:t>Résultat escompté 4 : Promotion des objectifs de la Convention par des actions de sensibilisation et d</w:t>
      </w:r>
      <w:r w:rsidR="00924865">
        <w:rPr>
          <w:rFonts w:ascii="Arial" w:hAnsi="Arial"/>
          <w:bCs w:val="0"/>
          <w:i w:val="0"/>
          <w:iCs w:val="0"/>
          <w:snapToGrid w:val="0"/>
          <w:sz w:val="22"/>
          <w:szCs w:val="22"/>
        </w:rPr>
        <w:t>’</w:t>
      </w:r>
      <w:r>
        <w:rPr>
          <w:rFonts w:ascii="Arial" w:hAnsi="Arial"/>
          <w:bCs w:val="0"/>
          <w:i w:val="0"/>
          <w:iCs w:val="0"/>
          <w:snapToGrid w:val="0"/>
          <w:sz w:val="22"/>
          <w:szCs w:val="22"/>
        </w:rPr>
        <w:t>information</w:t>
      </w:r>
    </w:p>
    <w:p w14:paraId="719A37F2" w14:textId="055CDB61" w:rsidR="00581375" w:rsidRPr="00870FD2" w:rsidRDefault="001E0C16" w:rsidP="00314B10">
      <w:pPr>
        <w:pStyle w:val="5GAparabodytext"/>
        <w:rPr>
          <w:rStyle w:val="ParagraphChar"/>
        </w:rPr>
      </w:pPr>
      <w:r>
        <w:rPr>
          <w:rStyle w:val="ParagraphChar"/>
        </w:rPr>
        <w:t>Un travail d</w:t>
      </w:r>
      <w:r w:rsidR="00924865">
        <w:rPr>
          <w:rStyle w:val="ParagraphChar"/>
        </w:rPr>
        <w:t>’</w:t>
      </w:r>
      <w:r>
        <w:rPr>
          <w:rStyle w:val="ParagraphChar"/>
        </w:rPr>
        <w:t>amélioration de la sensibilisation et de l</w:t>
      </w:r>
      <w:r w:rsidR="00924865">
        <w:rPr>
          <w:rStyle w:val="ParagraphChar"/>
        </w:rPr>
        <w:t>’</w:t>
      </w:r>
      <w:r>
        <w:rPr>
          <w:rStyle w:val="ParagraphChar"/>
        </w:rPr>
        <w:t>information pour promouvoir les objectifs de la Convention est actuellement en cours. À la suite des progrès réalisés au cours du dernier exercice biennal pour mieux faire comprendre l</w:t>
      </w:r>
      <w:r w:rsidR="00924865">
        <w:rPr>
          <w:rStyle w:val="ParagraphChar"/>
        </w:rPr>
        <w:t>’</w:t>
      </w:r>
      <w:r>
        <w:rPr>
          <w:rStyle w:val="ParagraphChar"/>
        </w:rPr>
        <w:t xml:space="preserve">importance de la sauvegarde du patrimoine culturel immatériel, le Secrétariat poursuivra ses </w:t>
      </w:r>
      <w:r w:rsidR="00314B10">
        <w:rPr>
          <w:rStyle w:val="ParagraphChar"/>
        </w:rPr>
        <w:t xml:space="preserve">travaux pour démontrer la pertinence </w:t>
      </w:r>
      <w:r>
        <w:rPr>
          <w:rStyle w:val="ParagraphChar"/>
        </w:rPr>
        <w:t>du patrimoine culturel immatériel dans la société d</w:t>
      </w:r>
      <w:r w:rsidR="00924865">
        <w:rPr>
          <w:rStyle w:val="ParagraphChar"/>
        </w:rPr>
        <w:t>’</w:t>
      </w:r>
      <w:r>
        <w:rPr>
          <w:rStyle w:val="ParagraphChar"/>
        </w:rPr>
        <w:t>aujourd</w:t>
      </w:r>
      <w:r w:rsidR="00924865">
        <w:rPr>
          <w:rStyle w:val="ParagraphChar"/>
        </w:rPr>
        <w:t>’</w:t>
      </w:r>
      <w:r>
        <w:rPr>
          <w:rStyle w:val="ParagraphChar"/>
        </w:rPr>
        <w:t xml:space="preserve">hui, et </w:t>
      </w:r>
      <w:r w:rsidR="00314B10">
        <w:rPr>
          <w:rStyle w:val="ParagraphChar"/>
        </w:rPr>
        <w:t>pour communiquer</w:t>
      </w:r>
      <w:r>
        <w:rPr>
          <w:rStyle w:val="ParagraphChar"/>
        </w:rPr>
        <w:t xml:space="preserve"> sur les expériences du vaste éventail d</w:t>
      </w:r>
      <w:r w:rsidR="00924865">
        <w:rPr>
          <w:rStyle w:val="ParagraphChar"/>
        </w:rPr>
        <w:t>’</w:t>
      </w:r>
      <w:r>
        <w:rPr>
          <w:rStyle w:val="ParagraphChar"/>
        </w:rPr>
        <w:t>acteurs impliqués dans la mise en œuvre de la Convention de 2003.</w:t>
      </w:r>
    </w:p>
    <w:p w14:paraId="3E99E676" w14:textId="69918515" w:rsidR="00D5098C" w:rsidRPr="00870FD2" w:rsidRDefault="00D5098C" w:rsidP="00D85E86">
      <w:pPr>
        <w:pStyle w:val="5GAparabodytext"/>
        <w:rPr>
          <w:rStyle w:val="ParagraphChar"/>
          <w:rFonts w:eastAsia="Calibri"/>
        </w:rPr>
      </w:pPr>
      <w:r>
        <w:rPr>
          <w:rStyle w:val="ParagraphChar"/>
          <w:b/>
        </w:rPr>
        <w:t>Produit 4.1</w:t>
      </w:r>
      <w:r w:rsidR="00E94022" w:rsidRPr="00D85E86">
        <w:rPr>
          <w:rStyle w:val="ParagraphChar"/>
          <w:bCs w:val="0"/>
        </w:rPr>
        <w:t> :</w:t>
      </w:r>
      <w:r>
        <w:rPr>
          <w:rStyle w:val="ParagraphChar"/>
        </w:rPr>
        <w:t xml:space="preserve"> Les initiatives pilotes </w:t>
      </w:r>
      <w:r w:rsidR="00777EA4">
        <w:rPr>
          <w:rStyle w:val="ParagraphChar"/>
        </w:rPr>
        <w:t xml:space="preserve">d’information </w:t>
      </w:r>
      <w:r>
        <w:rPr>
          <w:rStyle w:val="ParagraphChar"/>
        </w:rPr>
        <w:t xml:space="preserve">mises en œuvre en 2019 </w:t>
      </w:r>
      <w:r w:rsidRPr="00D85E86">
        <w:rPr>
          <w:rStyle w:val="ParagraphChar"/>
        </w:rPr>
        <w:t>conformément au plan d</w:t>
      </w:r>
      <w:r w:rsidR="00924865" w:rsidRPr="00D85E86">
        <w:rPr>
          <w:rStyle w:val="ParagraphChar"/>
        </w:rPr>
        <w:t>’</w:t>
      </w:r>
      <w:r w:rsidRPr="00D85E86">
        <w:rPr>
          <w:rStyle w:val="ParagraphChar"/>
        </w:rPr>
        <w:t>information et de communication</w:t>
      </w:r>
      <w:r>
        <w:rPr>
          <w:rStyle w:val="ParagraphChar"/>
        </w:rPr>
        <w:t xml:space="preserve"> </w:t>
      </w:r>
      <w:r w:rsidR="00777EA4">
        <w:rPr>
          <w:rStyle w:val="ParagraphChar"/>
        </w:rPr>
        <w:t>continueront de guider et de façonner</w:t>
      </w:r>
      <w:r>
        <w:rPr>
          <w:rStyle w:val="ParagraphChar"/>
        </w:rPr>
        <w:t xml:space="preserve"> le développement et la mise en œuvre d</w:t>
      </w:r>
      <w:r w:rsidR="00924865">
        <w:rPr>
          <w:rStyle w:val="ParagraphChar"/>
        </w:rPr>
        <w:t>’</w:t>
      </w:r>
      <w:r>
        <w:rPr>
          <w:rStyle w:val="ParagraphChar"/>
        </w:rPr>
        <w:t xml:space="preserve">une communication efficace </w:t>
      </w:r>
      <w:r w:rsidR="00777EA4">
        <w:rPr>
          <w:rStyle w:val="ParagraphChar"/>
        </w:rPr>
        <w:t xml:space="preserve">de </w:t>
      </w:r>
      <w:r>
        <w:rPr>
          <w:rStyle w:val="ParagraphChar"/>
        </w:rPr>
        <w:t xml:space="preserve">la Convention. Le Secrétariat se chargera de la production de supports de communication </w:t>
      </w:r>
      <w:r w:rsidR="00777EA4">
        <w:rPr>
          <w:rStyle w:val="ParagraphChar"/>
        </w:rPr>
        <w:t>axés sur des</w:t>
      </w:r>
      <w:r>
        <w:rPr>
          <w:rStyle w:val="ParagraphChar"/>
        </w:rPr>
        <w:t xml:space="preserve"> domaines </w:t>
      </w:r>
      <w:r w:rsidR="00777EA4">
        <w:rPr>
          <w:rStyle w:val="ParagraphChar"/>
        </w:rPr>
        <w:t xml:space="preserve">thématiques </w:t>
      </w:r>
      <w:r>
        <w:rPr>
          <w:rStyle w:val="ParagraphChar"/>
        </w:rPr>
        <w:t>clés liés à la sauvegarde, à savoir le patrimoine culturel immatériel dans les situations d</w:t>
      </w:r>
      <w:r w:rsidR="00924865">
        <w:rPr>
          <w:rStyle w:val="ParagraphChar"/>
        </w:rPr>
        <w:t>’</w:t>
      </w:r>
      <w:r>
        <w:rPr>
          <w:rStyle w:val="ParagraphChar"/>
        </w:rPr>
        <w:t xml:space="preserve">urgence, ainsi </w:t>
      </w:r>
      <w:r w:rsidR="00124069">
        <w:rPr>
          <w:rStyle w:val="ParagraphChar"/>
        </w:rPr>
        <w:t xml:space="preserve">qu’à la large </w:t>
      </w:r>
      <w:r>
        <w:rPr>
          <w:rStyle w:val="ParagraphChar"/>
        </w:rPr>
        <w:t xml:space="preserve">diffusion des supports existants et </w:t>
      </w:r>
      <w:r w:rsidR="00124069">
        <w:rPr>
          <w:rStyle w:val="ParagraphChar"/>
        </w:rPr>
        <w:t xml:space="preserve">à </w:t>
      </w:r>
      <w:r>
        <w:rPr>
          <w:rStyle w:val="ParagraphChar"/>
        </w:rPr>
        <w:t xml:space="preserve">leur traduction dans différentes langues. De plus, les activités de communication seront organisées </w:t>
      </w:r>
      <w:r w:rsidR="00124069">
        <w:rPr>
          <w:rStyle w:val="ParagraphChar"/>
        </w:rPr>
        <w:t>pour promouvoir</w:t>
      </w:r>
      <w:r>
        <w:rPr>
          <w:rStyle w:val="ParagraphChar"/>
        </w:rPr>
        <w:t xml:space="preserve"> l</w:t>
      </w:r>
      <w:r w:rsidR="00924865">
        <w:rPr>
          <w:rStyle w:val="ParagraphChar"/>
        </w:rPr>
        <w:t>’</w:t>
      </w:r>
      <w:r>
        <w:rPr>
          <w:rStyle w:val="ParagraphChar"/>
        </w:rPr>
        <w:t xml:space="preserve">impact </w:t>
      </w:r>
      <w:r w:rsidR="00124069">
        <w:rPr>
          <w:rStyle w:val="ParagraphChar"/>
        </w:rPr>
        <w:t>des travaux</w:t>
      </w:r>
      <w:r>
        <w:rPr>
          <w:rStyle w:val="ParagraphChar"/>
        </w:rPr>
        <w:t xml:space="preserve"> de la Convention lors d</w:t>
      </w:r>
      <w:r w:rsidR="00924865">
        <w:rPr>
          <w:rStyle w:val="ParagraphChar"/>
        </w:rPr>
        <w:t>’</w:t>
      </w:r>
      <w:r>
        <w:rPr>
          <w:rStyle w:val="ParagraphChar"/>
        </w:rPr>
        <w:t>événements stratégiques clés</w:t>
      </w:r>
      <w:r w:rsidR="00E94022">
        <w:rPr>
          <w:rStyle w:val="ParagraphChar"/>
        </w:rPr>
        <w:t>,</w:t>
      </w:r>
      <w:r>
        <w:rPr>
          <w:rStyle w:val="ParagraphChar"/>
        </w:rPr>
        <w:t xml:space="preserve"> tels </w:t>
      </w:r>
      <w:r w:rsidR="00124069">
        <w:rPr>
          <w:rStyle w:val="ParagraphChar"/>
        </w:rPr>
        <w:t>qu’une manifestation</w:t>
      </w:r>
      <w:r>
        <w:rPr>
          <w:rStyle w:val="ParagraphChar"/>
        </w:rPr>
        <w:t xml:space="preserve"> célébrant la clôture de l</w:t>
      </w:r>
      <w:r w:rsidR="00924865">
        <w:rPr>
          <w:rStyle w:val="ParagraphChar"/>
        </w:rPr>
        <w:t>’</w:t>
      </w:r>
      <w:r>
        <w:rPr>
          <w:rStyle w:val="ParagraphChar"/>
        </w:rPr>
        <w:t>Année internationale des langues autochtones à la huitième session de l</w:t>
      </w:r>
      <w:r w:rsidR="00924865">
        <w:rPr>
          <w:rStyle w:val="ParagraphChar"/>
        </w:rPr>
        <w:t>’</w:t>
      </w:r>
      <w:r>
        <w:rPr>
          <w:rStyle w:val="ParagraphChar"/>
        </w:rPr>
        <w:t>Assemblée générale des États parties à la Convention de 2003. Ces actions seront également soutenues par la consolidation des outils Web nécessaires.</w:t>
      </w:r>
    </w:p>
    <w:p w14:paraId="6A4D6F71" w14:textId="1EFB073D" w:rsidR="008737AC" w:rsidRPr="00D154B2" w:rsidRDefault="008737AC" w:rsidP="00B159EF">
      <w:pPr>
        <w:pStyle w:val="Heading4"/>
        <w:ind w:left="567" w:hanging="567"/>
      </w:pPr>
      <w:r>
        <w:lastRenderedPageBreak/>
        <w:t>AUTRES DIS</w:t>
      </w:r>
      <w:r w:rsidR="00D85E86">
        <w:t>POSITIONS ET PROJET DE DÉCISION</w:t>
      </w:r>
    </w:p>
    <w:p w14:paraId="37B93717" w14:textId="08120383" w:rsidR="008737AC" w:rsidRPr="00870FD2" w:rsidRDefault="00124069" w:rsidP="00F144BC">
      <w:pPr>
        <w:pStyle w:val="5GAparabodytext"/>
        <w:rPr>
          <w:rStyle w:val="hps"/>
          <w:rFonts w:cs="Times New Roman"/>
          <w:bCs w:val="0"/>
          <w:iCs w:val="0"/>
          <w:caps/>
          <w:snapToGrid w:val="0"/>
          <w:szCs w:val="24"/>
        </w:rPr>
      </w:pPr>
      <w:r>
        <w:t>Afin d’</w:t>
      </w:r>
      <w:r w:rsidR="008737AC">
        <w:t xml:space="preserve">éviter </w:t>
      </w:r>
      <w:r>
        <w:t>d</w:t>
      </w:r>
      <w:r w:rsidR="008737AC">
        <w:t xml:space="preserve">es interruptions ou </w:t>
      </w:r>
      <w:r>
        <w:t>d</w:t>
      </w:r>
      <w:r w:rsidR="008737AC">
        <w:t xml:space="preserve">es retards </w:t>
      </w:r>
      <w:r>
        <w:t>dans l’</w:t>
      </w:r>
      <w:r w:rsidR="008737AC">
        <w:t>exécution, le Comité a décidé (</w:t>
      </w:r>
      <w:hyperlink r:id="rId14" w:history="1">
        <w:r w:rsidR="00947AC3">
          <w:rPr>
            <w:rStyle w:val="Hyperlink"/>
          </w:rPr>
          <w:t>d</w:t>
        </w:r>
        <w:r w:rsidR="008737AC">
          <w:rPr>
            <w:rStyle w:val="Hyperlink"/>
          </w:rPr>
          <w:t>écision 12.COM 7</w:t>
        </w:r>
      </w:hyperlink>
      <w:r w:rsidR="008737AC">
        <w:t>) d</w:t>
      </w:r>
      <w:r w:rsidR="00924865">
        <w:t>’</w:t>
      </w:r>
      <w:r w:rsidR="008737AC">
        <w:t>autoriser le Secrétariat à effectuer des transferts entre les R</w:t>
      </w:r>
      <w:r w:rsidR="00E94022">
        <w:t>E</w:t>
      </w:r>
      <w:r w:rsidR="008737AC">
        <w:t xml:space="preserve"> inclus dans les propositions spécifiques approuvées par le Bureau à concurrence d</w:t>
      </w:r>
      <w:r w:rsidR="00924865">
        <w:t>’</w:t>
      </w:r>
      <w:r w:rsidR="008737AC">
        <w:t>un montant cumulé équivalant à 2 </w:t>
      </w:r>
      <w:r>
        <w:t xml:space="preserve">pour cent </w:t>
      </w:r>
      <w:r w:rsidR="008737AC">
        <w:t>de l</w:t>
      </w:r>
      <w:r w:rsidR="00924865">
        <w:t>’</w:t>
      </w:r>
      <w:r w:rsidR="008737AC">
        <w:t xml:space="preserve">allocation </w:t>
      </w:r>
      <w:r>
        <w:t xml:space="preserve">totale </w:t>
      </w:r>
      <w:r w:rsidR="008737AC">
        <w:t>initiale proposée à l</w:t>
      </w:r>
      <w:r w:rsidR="00924865">
        <w:t>’</w:t>
      </w:r>
      <w:r w:rsidR="008737AC">
        <w:t>Assemblée générale à cette fin, soit un montant de 8 590 dollars des États-</w:t>
      </w:r>
      <w:bookmarkStart w:id="0" w:name="_GoBack"/>
      <w:bookmarkEnd w:id="0"/>
      <w:r w:rsidR="008737AC">
        <w:t>Unis. Le Secrétariat est ensuite tenu d</w:t>
      </w:r>
      <w:r w:rsidR="00924865">
        <w:t>’</w:t>
      </w:r>
      <w:r w:rsidR="008737AC">
        <w:t xml:space="preserve">informer les membres du Bureau par écrit, lors de la session suivant cette action, des détails et des raisons de ces transferts. Conformément à la décision du Comité, tout transfert </w:t>
      </w:r>
      <w:r>
        <w:t>supérieur à ce montant</w:t>
      </w:r>
      <w:r w:rsidR="008737AC">
        <w:t xml:space="preserve"> nécessite</w:t>
      </w:r>
      <w:r>
        <w:t>rait</w:t>
      </w:r>
      <w:r w:rsidR="008737AC">
        <w:t xml:space="preserve"> l</w:t>
      </w:r>
      <w:r w:rsidR="00924865">
        <w:t>’</w:t>
      </w:r>
      <w:r w:rsidR="008737AC">
        <w:t>approbation préalable par le Bureau d</w:t>
      </w:r>
      <w:r w:rsidR="00924865">
        <w:t>’</w:t>
      </w:r>
      <w:r w:rsidR="008737AC">
        <w:t>un plan de dépenses révisé.</w:t>
      </w:r>
    </w:p>
    <w:p w14:paraId="60B6ED33" w14:textId="77777777" w:rsidR="0057439C" w:rsidRPr="006E52E8" w:rsidRDefault="008737AC" w:rsidP="00285C94">
      <w:pPr>
        <w:pStyle w:val="5GAparabodytext"/>
      </w:pPr>
      <w:r>
        <w:t>Le Bureau souhaitera peut-être adopter la décision suivante :</w:t>
      </w:r>
    </w:p>
    <w:p w14:paraId="64B6A0A8" w14:textId="77777777" w:rsidR="00D95C4C" w:rsidRPr="00FD624F" w:rsidRDefault="004A34A0" w:rsidP="002D3C97">
      <w:pPr>
        <w:pStyle w:val="COMTitleDecision"/>
        <w:rPr>
          <w:rFonts w:eastAsia="SimSun"/>
        </w:rPr>
      </w:pPr>
      <w:r>
        <w:t>PROJET DE DECISION 14.COM 2.BUR 3</w:t>
      </w:r>
    </w:p>
    <w:p w14:paraId="4D3E32C9" w14:textId="77777777" w:rsidR="00D95C4C" w:rsidRPr="00285BB4" w:rsidRDefault="00285BB4" w:rsidP="00285BB4">
      <w:pPr>
        <w:pStyle w:val="COMPreambulaDecisions"/>
        <w:rPr>
          <w:rFonts w:eastAsia="SimSun"/>
        </w:rPr>
      </w:pPr>
      <w:r>
        <w:t>Le Bureau,</w:t>
      </w:r>
    </w:p>
    <w:p w14:paraId="662F161E" w14:textId="3F9DB7EF" w:rsidR="00992CD1" w:rsidRPr="00870FD2" w:rsidRDefault="00D95C4C" w:rsidP="00870FD2">
      <w:pPr>
        <w:pStyle w:val="COMParaDecision"/>
      </w:pPr>
      <w:r>
        <w:t>Ayant examiné</w:t>
      </w:r>
      <w:r>
        <w:rPr>
          <w:u w:val="none"/>
        </w:rPr>
        <w:t xml:space="preserve"> le document LHE/19/14.COM 2.BUR/3 et son annexe, et le docu</w:t>
      </w:r>
      <w:r w:rsidR="00D85E86">
        <w:rPr>
          <w:u w:val="none"/>
        </w:rPr>
        <w:t>ment LHE/19/14.COM 2.BUR/INF.3,</w:t>
      </w:r>
    </w:p>
    <w:p w14:paraId="37707994" w14:textId="417C783C" w:rsidR="00992CD1" w:rsidRPr="003A19C0" w:rsidRDefault="00992CD1" w:rsidP="003A6FCB">
      <w:pPr>
        <w:pStyle w:val="COMParaDecision"/>
        <w:rPr>
          <w:u w:val="none"/>
        </w:rPr>
      </w:pPr>
      <w:r>
        <w:t>Approuve</w:t>
      </w:r>
      <w:r>
        <w:rPr>
          <w:u w:val="none"/>
        </w:rPr>
        <w:t xml:space="preserve"> la Proposition d</w:t>
      </w:r>
      <w:r w:rsidR="00924865">
        <w:rPr>
          <w:u w:val="none"/>
        </w:rPr>
        <w:t>’</w:t>
      </w:r>
      <w:r>
        <w:rPr>
          <w:u w:val="none"/>
        </w:rPr>
        <w:t xml:space="preserve">utilisation des fonds alloués aux « autres fonctions du Comité », </w:t>
      </w:r>
      <w:r w:rsidR="003A6FCB">
        <w:rPr>
          <w:u w:val="none"/>
        </w:rPr>
        <w:t xml:space="preserve">telle qu’annexée </w:t>
      </w:r>
      <w:r w:rsidR="00947AC3">
        <w:rPr>
          <w:u w:val="none"/>
        </w:rPr>
        <w:t>à la présente d</w:t>
      </w:r>
      <w:r>
        <w:rPr>
          <w:u w:val="none"/>
        </w:rPr>
        <w:t>écision ;</w:t>
      </w:r>
    </w:p>
    <w:p w14:paraId="70F50631" w14:textId="530A33B1" w:rsidR="00992CD1" w:rsidRPr="003A19C0" w:rsidRDefault="00992CD1" w:rsidP="003A6FCB">
      <w:pPr>
        <w:pStyle w:val="COMParaDecision"/>
        <w:rPr>
          <w:u w:val="none"/>
        </w:rPr>
      </w:pPr>
      <w:r>
        <w:t>Demande</w:t>
      </w:r>
      <w:r>
        <w:rPr>
          <w:u w:val="none"/>
        </w:rPr>
        <w:t xml:space="preserve"> au Secrétariat d</w:t>
      </w:r>
      <w:r w:rsidR="00924865">
        <w:rPr>
          <w:u w:val="none"/>
        </w:rPr>
        <w:t>’</w:t>
      </w:r>
      <w:r>
        <w:rPr>
          <w:u w:val="none"/>
        </w:rPr>
        <w:t xml:space="preserve">élaborer un rapport sur </w:t>
      </w:r>
      <w:r w:rsidR="003A6FCB">
        <w:rPr>
          <w:u w:val="none"/>
        </w:rPr>
        <w:t>l’état d</w:t>
      </w:r>
      <w:r w:rsidR="00924865">
        <w:rPr>
          <w:u w:val="none"/>
        </w:rPr>
        <w:t>’</w:t>
      </w:r>
      <w:r>
        <w:rPr>
          <w:u w:val="none"/>
        </w:rPr>
        <w:t>avancement de la mise en œuvre et sur la façon dont les fonds sont dépensés ;</w:t>
      </w:r>
    </w:p>
    <w:p w14:paraId="02FB876E" w14:textId="5617B7CD" w:rsidR="00992CD1" w:rsidRPr="00FD5A47" w:rsidRDefault="00992CD1" w:rsidP="00992CD1">
      <w:pPr>
        <w:pStyle w:val="COMParaDecision"/>
        <w:rPr>
          <w:u w:val="none"/>
        </w:rPr>
      </w:pPr>
      <w:r>
        <w:t>Invite</w:t>
      </w:r>
      <w:r>
        <w:rPr>
          <w:u w:val="none"/>
        </w:rPr>
        <w:t xml:space="preserve"> la Présidente du Comité à porter cette décision à l</w:t>
      </w:r>
      <w:r w:rsidR="00924865">
        <w:rPr>
          <w:u w:val="none"/>
        </w:rPr>
        <w:t>’</w:t>
      </w:r>
      <w:r>
        <w:rPr>
          <w:u w:val="none"/>
        </w:rPr>
        <w:t>attention du Comité à sa quatorzième session.</w:t>
      </w:r>
    </w:p>
    <w:p w14:paraId="26AB4DC3" w14:textId="77777777" w:rsidR="009B07D4" w:rsidRDefault="009B07D4" w:rsidP="001F26CF">
      <w:pPr>
        <w:pStyle w:val="COMParaDecision"/>
        <w:numPr>
          <w:ilvl w:val="0"/>
          <w:numId w:val="0"/>
        </w:numPr>
        <w:jc w:val="left"/>
      </w:pPr>
    </w:p>
    <w:p w14:paraId="14D2E6D1" w14:textId="77777777" w:rsidR="009B07D4" w:rsidRPr="00696A00" w:rsidRDefault="009B07D4" w:rsidP="009B07D4">
      <w:pPr>
        <w:pStyle w:val="Marge"/>
        <w:pageBreakBefore/>
        <w:tabs>
          <w:tab w:val="clear" w:pos="567"/>
        </w:tabs>
        <w:spacing w:before="120" w:after="120"/>
        <w:jc w:val="center"/>
        <w:rPr>
          <w:rFonts w:cs="Arial"/>
          <w:b/>
          <w:bCs/>
          <w:szCs w:val="22"/>
        </w:rPr>
      </w:pPr>
      <w:r>
        <w:rPr>
          <w:b/>
          <w:bCs/>
          <w:szCs w:val="22"/>
        </w:rPr>
        <w:lastRenderedPageBreak/>
        <w:t>ANNEXE</w:t>
      </w:r>
    </w:p>
    <w:p w14:paraId="79EDA382" w14:textId="15E4C521" w:rsidR="009B07D4" w:rsidRPr="00696A00" w:rsidRDefault="009B07D4" w:rsidP="009B07D4">
      <w:pPr>
        <w:pStyle w:val="Marge"/>
        <w:tabs>
          <w:tab w:val="clear" w:pos="567"/>
        </w:tabs>
        <w:spacing w:before="120" w:after="120"/>
        <w:jc w:val="center"/>
        <w:rPr>
          <w:rFonts w:cs="Arial"/>
          <w:b/>
          <w:bCs/>
          <w:szCs w:val="22"/>
        </w:rPr>
      </w:pPr>
      <w:r>
        <w:rPr>
          <w:b/>
          <w:bCs/>
          <w:szCs w:val="22"/>
        </w:rPr>
        <w:t>Proposition d</w:t>
      </w:r>
      <w:r w:rsidR="00924865">
        <w:rPr>
          <w:b/>
          <w:bCs/>
          <w:szCs w:val="22"/>
        </w:rPr>
        <w:t>’</w:t>
      </w:r>
      <w:r>
        <w:rPr>
          <w:b/>
          <w:bCs/>
          <w:szCs w:val="22"/>
        </w:rPr>
        <w:t>utilisation des fonds alloués aux « autres fonctions du Comité »</w:t>
      </w:r>
      <w:r>
        <w:rPr>
          <w:b/>
          <w:bCs/>
          <w:szCs w:val="22"/>
        </w:rPr>
        <w:br/>
        <w:t>pour la période du 1er janvier 2020 au 30 juin 2020</w:t>
      </w:r>
    </w:p>
    <w:p w14:paraId="2CA6AC49" w14:textId="684EC140" w:rsidR="009B07D4" w:rsidRPr="00696A00" w:rsidRDefault="009B07D4" w:rsidP="009B07D4">
      <w:pPr>
        <w:pStyle w:val="Marge"/>
        <w:spacing w:before="360" w:after="360"/>
        <w:rPr>
          <w:rFonts w:cs="Arial"/>
          <w:szCs w:val="22"/>
        </w:rPr>
      </w:pPr>
      <w:r>
        <w:t>Les fonds doivent être utilisés conformément au Règlement financier du Compte spécial affecté au Fonds pour la sauvegarde du patrimoine culturel immatériel et au Règlement financier de l</w:t>
      </w:r>
      <w:r w:rsidR="00924865">
        <w:t>’</w:t>
      </w:r>
      <w:r>
        <w:t>UNESCO afin de couvrir tous les coûts dans le respect total des principes budgétaires afin d</w:t>
      </w:r>
      <w:r w:rsidR="00924865">
        <w:t>’</w:t>
      </w:r>
      <w:r>
        <w:t>atteindre les objectifs du projet. Ces coûts incluent : la formation, les séminaires et réunions ; la préparation des rapports techniques ; le suivi et l</w:t>
      </w:r>
      <w:r w:rsidR="00924865">
        <w:t>’</w:t>
      </w:r>
      <w:r>
        <w:t>évaluation ; la sous-traitance ; le personnel ; les déplacements ; l</w:t>
      </w:r>
      <w:r w:rsidR="00924865">
        <w:t>’</w:t>
      </w:r>
      <w:r>
        <w:t>équipement, et toute autre dépense nécessaire à la mise en œuvre des activités du projet.</w:t>
      </w:r>
    </w:p>
    <w:tbl>
      <w:tblPr>
        <w:tblStyle w:val="TableGrid"/>
        <w:tblW w:w="5000" w:type="pct"/>
        <w:tblLayout w:type="fixed"/>
        <w:tblLook w:val="04A0" w:firstRow="1" w:lastRow="0" w:firstColumn="1" w:lastColumn="0" w:noHBand="0" w:noVBand="1"/>
      </w:tblPr>
      <w:tblGrid>
        <w:gridCol w:w="2263"/>
        <w:gridCol w:w="7365"/>
      </w:tblGrid>
      <w:tr w:rsidR="009B07D4" w:rsidRPr="00696A00" w14:paraId="09536104" w14:textId="77777777" w:rsidTr="00C96427">
        <w:trPr>
          <w:cantSplit/>
        </w:trPr>
        <w:tc>
          <w:tcPr>
            <w:tcW w:w="1175" w:type="pct"/>
            <w:shd w:val="clear" w:color="auto" w:fill="F2F2F2" w:themeFill="background1" w:themeFillShade="F2"/>
            <w:vAlign w:val="center"/>
          </w:tcPr>
          <w:p w14:paraId="112C4251" w14:textId="77777777" w:rsidR="009B07D4" w:rsidRPr="008943FA" w:rsidRDefault="009B07D4" w:rsidP="00C96427">
            <w:pPr>
              <w:keepNext/>
              <w:spacing w:before="120" w:after="120"/>
              <w:rPr>
                <w:rFonts w:ascii="Arial" w:hAnsi="Arial" w:cs="Arial"/>
                <w:b/>
                <w:bCs/>
                <w:sz w:val="22"/>
                <w:szCs w:val="22"/>
              </w:rPr>
            </w:pPr>
          </w:p>
        </w:tc>
        <w:tc>
          <w:tcPr>
            <w:tcW w:w="3825" w:type="pct"/>
            <w:shd w:val="clear" w:color="auto" w:fill="F2F2F2" w:themeFill="background1" w:themeFillShade="F2"/>
            <w:vAlign w:val="center"/>
          </w:tcPr>
          <w:p w14:paraId="69F8D013" w14:textId="147B3768" w:rsidR="009B07D4" w:rsidRPr="00696A00" w:rsidRDefault="009B07D4" w:rsidP="00D85E86">
            <w:pPr>
              <w:keepNext/>
              <w:spacing w:before="120" w:after="120"/>
              <w:rPr>
                <w:rFonts w:ascii="Arial" w:hAnsi="Arial" w:cs="Arial"/>
                <w:b/>
                <w:bCs/>
                <w:sz w:val="22"/>
                <w:szCs w:val="22"/>
              </w:rPr>
            </w:pPr>
            <w:r>
              <w:rPr>
                <w:rFonts w:ascii="Arial" w:hAnsi="Arial"/>
                <w:b/>
                <w:bCs/>
                <w:sz w:val="22"/>
                <w:szCs w:val="22"/>
              </w:rPr>
              <w:t>Budget total alloué :</w:t>
            </w:r>
            <w:r>
              <w:rPr>
                <w:rFonts w:ascii="Arial" w:hAnsi="Arial"/>
                <w:b/>
                <w:bCs/>
                <w:sz w:val="22"/>
                <w:szCs w:val="22"/>
              </w:rPr>
              <w:br/>
              <w:t>429 </w:t>
            </w:r>
            <w:r w:rsidR="004E40C7">
              <w:rPr>
                <w:rFonts w:ascii="Arial" w:hAnsi="Arial"/>
                <w:b/>
                <w:bCs/>
                <w:sz w:val="22"/>
                <w:szCs w:val="22"/>
              </w:rPr>
              <w:t>54</w:t>
            </w:r>
            <w:r w:rsidR="00D85E86">
              <w:rPr>
                <w:rFonts w:ascii="Arial" w:hAnsi="Arial"/>
                <w:b/>
                <w:bCs/>
                <w:sz w:val="22"/>
                <w:szCs w:val="22"/>
              </w:rPr>
              <w:t>6</w:t>
            </w:r>
            <w:r w:rsidR="004E40C7">
              <w:rPr>
                <w:rFonts w:ascii="Arial" w:hAnsi="Arial"/>
                <w:b/>
                <w:bCs/>
                <w:sz w:val="22"/>
                <w:szCs w:val="22"/>
              </w:rPr>
              <w:t> </w:t>
            </w:r>
            <w:r>
              <w:rPr>
                <w:rFonts w:ascii="Arial" w:hAnsi="Arial"/>
                <w:b/>
                <w:bCs/>
                <w:sz w:val="22"/>
                <w:szCs w:val="22"/>
              </w:rPr>
              <w:t>dollars des États-Unis</w:t>
            </w:r>
          </w:p>
        </w:tc>
      </w:tr>
    </w:tbl>
    <w:p w14:paraId="5EBD9072" w14:textId="77777777" w:rsidR="009B07D4" w:rsidRPr="008943FA" w:rsidRDefault="009B07D4" w:rsidP="00253355">
      <w:pPr>
        <w:pStyle w:val="Marge"/>
        <w:spacing w:after="0"/>
        <w:rPr>
          <w:rFonts w:cs="Arial"/>
          <w:szCs w:val="22"/>
        </w:rPr>
      </w:pPr>
    </w:p>
    <w:tbl>
      <w:tblPr>
        <w:tblStyle w:val="TableGrid"/>
        <w:tblW w:w="5002" w:type="pct"/>
        <w:tblLook w:val="04A0" w:firstRow="1" w:lastRow="0" w:firstColumn="1" w:lastColumn="0" w:noHBand="0" w:noVBand="1"/>
      </w:tblPr>
      <w:tblGrid>
        <w:gridCol w:w="730"/>
        <w:gridCol w:w="1558"/>
        <w:gridCol w:w="2888"/>
        <w:gridCol w:w="4456"/>
      </w:tblGrid>
      <w:tr w:rsidR="009B07D4" w:rsidRPr="00BA0B91" w14:paraId="39BC1EE4" w14:textId="77777777" w:rsidTr="00C96427">
        <w:trPr>
          <w:cantSplit/>
        </w:trPr>
        <w:tc>
          <w:tcPr>
            <w:tcW w:w="1188" w:type="pct"/>
            <w:gridSpan w:val="2"/>
            <w:shd w:val="clear" w:color="auto" w:fill="808080" w:themeFill="background1" w:themeFillShade="80"/>
            <w:vAlign w:val="center"/>
          </w:tcPr>
          <w:p w14:paraId="295B55E2" w14:textId="1A5A09F5" w:rsidR="009B07D4" w:rsidRPr="00696A00" w:rsidRDefault="009B07D4" w:rsidP="004E40C7">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 xml:space="preserve">Indicateur de performance 1 du </w:t>
            </w:r>
            <w:r w:rsidR="004E40C7">
              <w:rPr>
                <w:rFonts w:ascii="Arial" w:hAnsi="Arial"/>
                <w:b/>
                <w:bCs/>
                <w:color w:val="FFFFFF" w:themeColor="background1"/>
                <w:sz w:val="22"/>
                <w:szCs w:val="22"/>
              </w:rPr>
              <w:t>39C</w:t>
            </w:r>
            <w:r>
              <w:rPr>
                <w:rFonts w:ascii="Arial" w:hAnsi="Arial"/>
                <w:b/>
                <w:bCs/>
                <w:color w:val="FFFFFF" w:themeColor="background1"/>
                <w:sz w:val="22"/>
                <w:szCs w:val="22"/>
              </w:rPr>
              <w:t>/5</w:t>
            </w:r>
          </w:p>
        </w:tc>
        <w:tc>
          <w:tcPr>
            <w:tcW w:w="3812" w:type="pct"/>
            <w:gridSpan w:val="2"/>
            <w:shd w:val="clear" w:color="auto" w:fill="808080" w:themeFill="background1" w:themeFillShade="80"/>
            <w:vAlign w:val="center"/>
          </w:tcPr>
          <w:p w14:paraId="2FFA8B3B" w14:textId="65284AFB" w:rsidR="009B07D4" w:rsidRPr="00696A00" w:rsidRDefault="00F144BC" w:rsidP="00F144BC">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Exercice d’une b</w:t>
            </w:r>
            <w:r w:rsidR="006125DA">
              <w:rPr>
                <w:rFonts w:ascii="Arial" w:hAnsi="Arial"/>
                <w:b/>
                <w:bCs/>
                <w:color w:val="FFFFFF" w:themeColor="background1"/>
                <w:sz w:val="22"/>
                <w:szCs w:val="22"/>
              </w:rPr>
              <w:t xml:space="preserve">onne gouvernance </w:t>
            </w:r>
            <w:r>
              <w:rPr>
                <w:rFonts w:ascii="Arial" w:hAnsi="Arial"/>
                <w:b/>
                <w:bCs/>
                <w:color w:val="FFFFFF" w:themeColor="background1"/>
                <w:sz w:val="22"/>
                <w:szCs w:val="22"/>
              </w:rPr>
              <w:t>au moyen de</w:t>
            </w:r>
            <w:r w:rsidR="004E40C7">
              <w:rPr>
                <w:rFonts w:ascii="Arial" w:hAnsi="Arial"/>
                <w:b/>
                <w:bCs/>
                <w:color w:val="FFFFFF" w:themeColor="background1"/>
                <w:sz w:val="22"/>
                <w:szCs w:val="22"/>
              </w:rPr>
              <w:t xml:space="preserve"> l’adoption et </w:t>
            </w:r>
            <w:r>
              <w:rPr>
                <w:rFonts w:ascii="Arial" w:hAnsi="Arial"/>
                <w:b/>
                <w:bCs/>
                <w:color w:val="FFFFFF" w:themeColor="background1"/>
                <w:sz w:val="22"/>
                <w:szCs w:val="22"/>
              </w:rPr>
              <w:t xml:space="preserve">de la mise en œuvre </w:t>
            </w:r>
            <w:r w:rsidR="004E40C7">
              <w:rPr>
                <w:rFonts w:ascii="Arial" w:hAnsi="Arial"/>
                <w:b/>
                <w:bCs/>
                <w:color w:val="FFFFFF" w:themeColor="background1"/>
                <w:sz w:val="22"/>
                <w:szCs w:val="22"/>
              </w:rPr>
              <w:t>des résolutions/décisions stratégique</w:t>
            </w:r>
            <w:r>
              <w:rPr>
                <w:rFonts w:ascii="Arial" w:hAnsi="Arial"/>
                <w:b/>
                <w:bCs/>
                <w:color w:val="FFFFFF" w:themeColor="background1"/>
                <w:sz w:val="22"/>
                <w:szCs w:val="22"/>
              </w:rPr>
              <w:t>s</w:t>
            </w:r>
            <w:r w:rsidR="004E40C7">
              <w:rPr>
                <w:rFonts w:ascii="Arial" w:hAnsi="Arial"/>
                <w:b/>
                <w:bCs/>
                <w:color w:val="FFFFFF" w:themeColor="background1"/>
                <w:sz w:val="22"/>
                <w:szCs w:val="22"/>
              </w:rPr>
              <w:t xml:space="preserve"> des organes directeurs de la Convention de 2003</w:t>
            </w:r>
          </w:p>
        </w:tc>
      </w:tr>
      <w:tr w:rsidR="009B07D4" w:rsidRPr="00BA0B91" w14:paraId="7EA8A7A9" w14:textId="77777777" w:rsidTr="00870FD2">
        <w:trPr>
          <w:cantSplit/>
          <w:trHeight w:val="794"/>
        </w:trPr>
        <w:tc>
          <w:tcPr>
            <w:tcW w:w="1188" w:type="pct"/>
            <w:gridSpan w:val="2"/>
            <w:vMerge w:val="restart"/>
            <w:shd w:val="clear" w:color="auto" w:fill="F2F2F2" w:themeFill="background1" w:themeFillShade="F2"/>
            <w:vAlign w:val="center"/>
          </w:tcPr>
          <w:p w14:paraId="111A2DEE" w14:textId="64DAB3C2" w:rsidR="009B07D4" w:rsidRPr="00696A00" w:rsidRDefault="009B07D4">
            <w:pPr>
              <w:keepNext/>
              <w:spacing w:before="60" w:after="60"/>
              <w:rPr>
                <w:rFonts w:ascii="Arial" w:hAnsi="Arial" w:cs="Arial"/>
                <w:b/>
                <w:bCs/>
                <w:sz w:val="22"/>
                <w:szCs w:val="22"/>
              </w:rPr>
            </w:pPr>
            <w:r>
              <w:rPr>
                <w:rFonts w:ascii="Arial" w:hAnsi="Arial"/>
                <w:b/>
                <w:bCs/>
                <w:sz w:val="22"/>
                <w:szCs w:val="22"/>
              </w:rPr>
              <w:t xml:space="preserve">Fonds du PCI – Ligne budgétaire 3 </w:t>
            </w:r>
            <w:r>
              <w:rPr>
                <w:rFonts w:ascii="Arial" w:hAnsi="Arial"/>
                <w:b/>
                <w:bCs/>
                <w:sz w:val="22"/>
                <w:szCs w:val="22"/>
              </w:rPr>
              <w:br/>
              <w:t>Résultat escompté 1</w:t>
            </w:r>
          </w:p>
        </w:tc>
        <w:tc>
          <w:tcPr>
            <w:tcW w:w="3812" w:type="pct"/>
            <w:gridSpan w:val="2"/>
            <w:shd w:val="clear" w:color="auto" w:fill="F2F2F2" w:themeFill="background1" w:themeFillShade="F2"/>
            <w:vAlign w:val="center"/>
          </w:tcPr>
          <w:p w14:paraId="3460BFBE" w14:textId="5138AF8D" w:rsidR="009B07D4" w:rsidRPr="00696A00" w:rsidRDefault="009B07D4" w:rsidP="00C96427">
            <w:pPr>
              <w:keepNext/>
              <w:spacing w:before="60" w:after="60"/>
              <w:rPr>
                <w:rFonts w:ascii="Arial" w:hAnsi="Arial" w:cs="Arial"/>
                <w:b/>
                <w:bCs/>
                <w:sz w:val="22"/>
                <w:szCs w:val="22"/>
              </w:rPr>
            </w:pPr>
            <w:r>
              <w:rPr>
                <w:rFonts w:ascii="Arial" w:hAnsi="Arial"/>
                <w:b/>
                <w:bCs/>
                <w:sz w:val="22"/>
                <w:szCs w:val="22"/>
              </w:rPr>
              <w:t>Bonne gouvernance de la Convention de 2003 facilitée par l</w:t>
            </w:r>
            <w:r w:rsidR="00924865">
              <w:rPr>
                <w:rFonts w:ascii="Arial" w:hAnsi="Arial"/>
                <w:b/>
                <w:bCs/>
                <w:sz w:val="22"/>
                <w:szCs w:val="22"/>
              </w:rPr>
              <w:t>’</w:t>
            </w:r>
            <w:r>
              <w:rPr>
                <w:rFonts w:ascii="Arial" w:hAnsi="Arial"/>
                <w:b/>
                <w:bCs/>
                <w:sz w:val="22"/>
                <w:szCs w:val="22"/>
              </w:rPr>
              <w:t>amélioration du suivi et des services de gestion des connaissances</w:t>
            </w:r>
          </w:p>
        </w:tc>
      </w:tr>
      <w:tr w:rsidR="009B07D4" w:rsidRPr="00E4227D" w14:paraId="2DBB624D" w14:textId="77777777" w:rsidTr="00C96427">
        <w:trPr>
          <w:cantSplit/>
        </w:trPr>
        <w:tc>
          <w:tcPr>
            <w:tcW w:w="1188" w:type="pct"/>
            <w:gridSpan w:val="2"/>
            <w:vMerge/>
            <w:shd w:val="clear" w:color="auto" w:fill="auto"/>
            <w:vAlign w:val="center"/>
          </w:tcPr>
          <w:p w14:paraId="2734F977" w14:textId="77777777" w:rsidR="009B07D4" w:rsidRPr="008943FA" w:rsidRDefault="009B07D4" w:rsidP="00C96427">
            <w:pPr>
              <w:keepNext/>
              <w:spacing w:before="60" w:after="60"/>
              <w:rPr>
                <w:rFonts w:ascii="Arial" w:hAnsi="Arial" w:cs="Arial"/>
                <w:b/>
                <w:bCs/>
                <w:sz w:val="22"/>
                <w:szCs w:val="22"/>
              </w:rPr>
            </w:pPr>
          </w:p>
        </w:tc>
        <w:tc>
          <w:tcPr>
            <w:tcW w:w="3812" w:type="pct"/>
            <w:gridSpan w:val="2"/>
            <w:shd w:val="clear" w:color="auto" w:fill="F2F2F2" w:themeFill="background1" w:themeFillShade="F2"/>
            <w:vAlign w:val="center"/>
          </w:tcPr>
          <w:p w14:paraId="36531E3A" w14:textId="55D1781E" w:rsidR="009B07D4" w:rsidRPr="00696A00" w:rsidRDefault="009B07D4" w:rsidP="004E40C7">
            <w:pPr>
              <w:keepNext/>
              <w:spacing w:before="60" w:after="60"/>
              <w:rPr>
                <w:rFonts w:ascii="Arial" w:hAnsi="Arial" w:cs="Arial"/>
                <w:b/>
                <w:bCs/>
                <w:sz w:val="22"/>
                <w:szCs w:val="22"/>
              </w:rPr>
            </w:pPr>
            <w:r>
              <w:rPr>
                <w:rFonts w:ascii="Arial" w:hAnsi="Arial"/>
                <w:b/>
                <w:bCs/>
                <w:sz w:val="22"/>
                <w:szCs w:val="22"/>
              </w:rPr>
              <w:t>Budget alloué : 97 </w:t>
            </w:r>
            <w:r w:rsidR="004E40C7">
              <w:rPr>
                <w:rFonts w:ascii="Arial" w:hAnsi="Arial"/>
                <w:b/>
                <w:bCs/>
                <w:sz w:val="22"/>
                <w:szCs w:val="22"/>
              </w:rPr>
              <w:t>187 </w:t>
            </w:r>
            <w:r>
              <w:rPr>
                <w:rFonts w:ascii="Arial" w:hAnsi="Arial"/>
                <w:b/>
                <w:bCs/>
                <w:sz w:val="22"/>
                <w:szCs w:val="22"/>
              </w:rPr>
              <w:t>dollars des États-Unis</w:t>
            </w:r>
          </w:p>
        </w:tc>
      </w:tr>
      <w:tr w:rsidR="009B07D4" w:rsidRPr="00BA0B91" w14:paraId="3DE52F0B" w14:textId="77777777" w:rsidTr="00C96427">
        <w:trPr>
          <w:cantSplit/>
        </w:trPr>
        <w:tc>
          <w:tcPr>
            <w:tcW w:w="379" w:type="pct"/>
            <w:shd w:val="clear" w:color="auto" w:fill="F2F2F2" w:themeFill="background1" w:themeFillShade="F2"/>
            <w:vAlign w:val="center"/>
          </w:tcPr>
          <w:p w14:paraId="08B6E58A" w14:textId="77777777" w:rsidR="009B07D4" w:rsidRPr="008943FA" w:rsidRDefault="009B07D4" w:rsidP="00C96427">
            <w:pPr>
              <w:keepNext/>
              <w:spacing w:before="60" w:after="60"/>
              <w:jc w:val="center"/>
              <w:rPr>
                <w:rFonts w:ascii="Arial" w:hAnsi="Arial" w:cs="Arial"/>
                <w:i/>
                <w:iCs/>
                <w:sz w:val="22"/>
                <w:szCs w:val="22"/>
              </w:rPr>
            </w:pPr>
          </w:p>
        </w:tc>
        <w:tc>
          <w:tcPr>
            <w:tcW w:w="2308" w:type="pct"/>
            <w:gridSpan w:val="2"/>
            <w:shd w:val="clear" w:color="auto" w:fill="F2F2F2" w:themeFill="background1" w:themeFillShade="F2"/>
            <w:vAlign w:val="center"/>
          </w:tcPr>
          <w:p w14:paraId="6B909022" w14:textId="77777777" w:rsidR="009B07D4" w:rsidRPr="00696A00" w:rsidRDefault="009B07D4" w:rsidP="00C96427">
            <w:pPr>
              <w:keepNext/>
              <w:spacing w:before="60" w:after="60"/>
              <w:jc w:val="center"/>
              <w:rPr>
                <w:rFonts w:ascii="Arial" w:hAnsi="Arial" w:cs="Arial"/>
                <w:i/>
                <w:iCs/>
                <w:sz w:val="22"/>
                <w:szCs w:val="22"/>
              </w:rPr>
            </w:pPr>
            <w:r>
              <w:rPr>
                <w:rFonts w:ascii="Arial" w:hAnsi="Arial"/>
                <w:i/>
                <w:iCs/>
                <w:sz w:val="22"/>
                <w:szCs w:val="22"/>
              </w:rPr>
              <w:t>Produits</w:t>
            </w:r>
          </w:p>
        </w:tc>
        <w:tc>
          <w:tcPr>
            <w:tcW w:w="2313" w:type="pct"/>
            <w:shd w:val="clear" w:color="auto" w:fill="F2F2F2" w:themeFill="background1" w:themeFillShade="F2"/>
            <w:vAlign w:val="center"/>
          </w:tcPr>
          <w:p w14:paraId="23F6609D" w14:textId="77777777" w:rsidR="009B07D4" w:rsidRPr="00696A00" w:rsidRDefault="009B07D4" w:rsidP="00C96427">
            <w:pPr>
              <w:keepNext/>
              <w:spacing w:before="60" w:after="60"/>
              <w:jc w:val="center"/>
              <w:rPr>
                <w:rFonts w:ascii="Arial" w:hAnsi="Arial" w:cs="Arial"/>
                <w:i/>
                <w:iCs/>
                <w:sz w:val="22"/>
                <w:szCs w:val="22"/>
              </w:rPr>
            </w:pPr>
            <w:r>
              <w:rPr>
                <w:rFonts w:ascii="Arial" w:hAnsi="Arial"/>
                <w:i/>
                <w:iCs/>
                <w:sz w:val="22"/>
                <w:szCs w:val="22"/>
              </w:rPr>
              <w:t>Indicateurs (repères)</w:t>
            </w:r>
            <w:r>
              <w:rPr>
                <w:rFonts w:ascii="Arial" w:hAnsi="Arial"/>
                <w:i/>
                <w:iCs/>
                <w:sz w:val="22"/>
                <w:szCs w:val="22"/>
              </w:rPr>
              <w:br/>
              <w:t>du 1er janvier 2020 au 30 juin 2020</w:t>
            </w:r>
          </w:p>
        </w:tc>
      </w:tr>
      <w:tr w:rsidR="009B07D4" w:rsidRPr="00BA0B91" w14:paraId="48102BE7" w14:textId="77777777" w:rsidTr="00253355">
        <w:trPr>
          <w:cantSplit/>
          <w:trHeight w:val="894"/>
        </w:trPr>
        <w:tc>
          <w:tcPr>
            <w:tcW w:w="379" w:type="pct"/>
            <w:shd w:val="clear" w:color="auto" w:fill="auto"/>
            <w:vAlign w:val="center"/>
          </w:tcPr>
          <w:p w14:paraId="1C4A81D4" w14:textId="77777777" w:rsidR="009B07D4" w:rsidRPr="00696A00" w:rsidRDefault="009B07D4" w:rsidP="00C96427">
            <w:pPr>
              <w:spacing w:before="60" w:after="60"/>
              <w:jc w:val="center"/>
              <w:rPr>
                <w:rFonts w:ascii="Arial" w:hAnsi="Arial" w:cs="Arial"/>
                <w:iCs/>
                <w:sz w:val="22"/>
                <w:szCs w:val="22"/>
              </w:rPr>
            </w:pPr>
            <w:r>
              <w:rPr>
                <w:rFonts w:ascii="Arial" w:hAnsi="Arial"/>
                <w:iCs/>
                <w:sz w:val="22"/>
                <w:szCs w:val="22"/>
              </w:rPr>
              <w:t>1.1</w:t>
            </w:r>
          </w:p>
        </w:tc>
        <w:tc>
          <w:tcPr>
            <w:tcW w:w="2308" w:type="pct"/>
            <w:gridSpan w:val="2"/>
            <w:shd w:val="clear" w:color="auto" w:fill="auto"/>
            <w:vAlign w:val="center"/>
          </w:tcPr>
          <w:p w14:paraId="71636AC5" w14:textId="0F1AC39A" w:rsidR="009B07D4" w:rsidRPr="00D85E86" w:rsidRDefault="00D1657F" w:rsidP="005E3E11">
            <w:pPr>
              <w:spacing w:before="60" w:after="60"/>
              <w:rPr>
                <w:rFonts w:ascii="Arial" w:hAnsi="Arial" w:cs="Arial"/>
                <w:sz w:val="22"/>
                <w:szCs w:val="22"/>
              </w:rPr>
            </w:pPr>
            <w:r w:rsidRPr="00D85E86">
              <w:rPr>
                <w:rFonts w:ascii="Arial" w:hAnsi="Arial"/>
                <w:sz w:val="22"/>
                <w:szCs w:val="22"/>
              </w:rPr>
              <w:t>Services en ligne tenus à jour et disponibles en continu</w:t>
            </w:r>
          </w:p>
        </w:tc>
        <w:tc>
          <w:tcPr>
            <w:tcW w:w="2313" w:type="pct"/>
            <w:shd w:val="clear" w:color="auto" w:fill="auto"/>
            <w:vAlign w:val="center"/>
          </w:tcPr>
          <w:p w14:paraId="0E03EFB8" w14:textId="599FC418" w:rsidR="009B07D4" w:rsidRPr="00D85E86" w:rsidRDefault="00D1657F">
            <w:pPr>
              <w:pStyle w:val="ListParagraph"/>
              <w:numPr>
                <w:ilvl w:val="0"/>
                <w:numId w:val="19"/>
              </w:numPr>
              <w:spacing w:before="60" w:after="60"/>
              <w:ind w:left="357" w:hanging="357"/>
              <w:contextualSpacing w:val="0"/>
              <w:rPr>
                <w:rFonts w:ascii="Arial" w:hAnsi="Arial" w:cs="Arial"/>
                <w:sz w:val="22"/>
                <w:szCs w:val="22"/>
              </w:rPr>
            </w:pPr>
            <w:r w:rsidRPr="00D85E86">
              <w:rPr>
                <w:rFonts w:ascii="Arial" w:hAnsi="Arial"/>
                <w:sz w:val="22"/>
                <w:szCs w:val="22"/>
              </w:rPr>
              <w:t>Interruption des services de gestion des connaissances inférieure à trois jours, due à des opérations de maintenance par le Secrétariat</w:t>
            </w:r>
          </w:p>
        </w:tc>
      </w:tr>
      <w:tr w:rsidR="00D1657F" w:rsidRPr="00255403" w14:paraId="0942BF96" w14:textId="77777777" w:rsidTr="00C96427">
        <w:trPr>
          <w:cantSplit/>
        </w:trPr>
        <w:tc>
          <w:tcPr>
            <w:tcW w:w="379" w:type="pct"/>
            <w:shd w:val="clear" w:color="auto" w:fill="auto"/>
            <w:vAlign w:val="center"/>
          </w:tcPr>
          <w:p w14:paraId="6BE85C42" w14:textId="56D01398" w:rsidR="00D1657F" w:rsidRPr="00696A00" w:rsidRDefault="00D1657F" w:rsidP="00D1657F">
            <w:pPr>
              <w:spacing w:before="60" w:after="60"/>
              <w:jc w:val="center"/>
              <w:rPr>
                <w:rFonts w:ascii="Arial" w:hAnsi="Arial" w:cs="Arial"/>
                <w:iCs/>
                <w:sz w:val="22"/>
                <w:szCs w:val="22"/>
              </w:rPr>
            </w:pPr>
            <w:r>
              <w:rPr>
                <w:rFonts w:ascii="Arial" w:hAnsi="Arial"/>
                <w:iCs/>
                <w:sz w:val="22"/>
                <w:szCs w:val="22"/>
              </w:rPr>
              <w:t>1.2</w:t>
            </w:r>
          </w:p>
        </w:tc>
        <w:tc>
          <w:tcPr>
            <w:tcW w:w="2308" w:type="pct"/>
            <w:gridSpan w:val="2"/>
            <w:shd w:val="clear" w:color="auto" w:fill="auto"/>
            <w:vAlign w:val="center"/>
          </w:tcPr>
          <w:p w14:paraId="4C28526D" w14:textId="7664C039" w:rsidR="00D1657F" w:rsidRPr="00D85E86" w:rsidRDefault="00D1657F" w:rsidP="00D1657F">
            <w:pPr>
              <w:spacing w:before="60" w:after="60"/>
              <w:rPr>
                <w:rFonts w:ascii="Arial" w:hAnsi="Arial" w:cs="Arial"/>
                <w:sz w:val="22"/>
                <w:szCs w:val="22"/>
              </w:rPr>
            </w:pPr>
            <w:r w:rsidRPr="00D85E86">
              <w:rPr>
                <w:rFonts w:ascii="Arial" w:hAnsi="Arial"/>
                <w:sz w:val="22"/>
                <w:szCs w:val="22"/>
              </w:rPr>
              <w:t>Optimisation des processus et délais de réaction grâce aux interfaces de suivi et aux flux de travail en ligne</w:t>
            </w:r>
          </w:p>
        </w:tc>
        <w:tc>
          <w:tcPr>
            <w:tcW w:w="2313" w:type="pct"/>
            <w:shd w:val="clear" w:color="auto" w:fill="auto"/>
            <w:vAlign w:val="center"/>
          </w:tcPr>
          <w:p w14:paraId="41EF0294" w14:textId="122F36AF" w:rsidR="00D1657F" w:rsidRPr="00D85E86" w:rsidRDefault="00D1657F" w:rsidP="00D1657F">
            <w:pPr>
              <w:pStyle w:val="ListParagraph"/>
              <w:numPr>
                <w:ilvl w:val="0"/>
                <w:numId w:val="19"/>
              </w:numPr>
              <w:spacing w:before="60" w:after="60"/>
              <w:ind w:left="357" w:hanging="357"/>
              <w:contextualSpacing w:val="0"/>
              <w:rPr>
                <w:rFonts w:ascii="Arial" w:hAnsi="Arial" w:cs="Arial"/>
                <w:sz w:val="22"/>
                <w:szCs w:val="22"/>
              </w:rPr>
            </w:pPr>
            <w:r w:rsidRPr="00D85E86">
              <w:rPr>
                <w:rFonts w:ascii="Arial" w:hAnsi="Arial"/>
                <w:sz w:val="22"/>
                <w:szCs w:val="22"/>
              </w:rPr>
              <w:t>Trois nouvelles interfaces de suivi</w:t>
            </w:r>
          </w:p>
        </w:tc>
      </w:tr>
      <w:tr w:rsidR="00D1657F" w:rsidRPr="00BA0B91" w14:paraId="5EB99C27" w14:textId="77777777" w:rsidTr="00C96427">
        <w:trPr>
          <w:cantSplit/>
        </w:trPr>
        <w:tc>
          <w:tcPr>
            <w:tcW w:w="379" w:type="pct"/>
            <w:shd w:val="clear" w:color="auto" w:fill="auto"/>
            <w:vAlign w:val="center"/>
          </w:tcPr>
          <w:p w14:paraId="2F711064" w14:textId="6132AE0D" w:rsidR="00D1657F" w:rsidRPr="00696A00" w:rsidRDefault="00D1657F" w:rsidP="00D1657F">
            <w:pPr>
              <w:spacing w:before="60" w:after="60"/>
              <w:jc w:val="center"/>
              <w:rPr>
                <w:rFonts w:ascii="Arial" w:hAnsi="Arial" w:cs="Arial"/>
                <w:iCs/>
                <w:sz w:val="22"/>
                <w:szCs w:val="22"/>
              </w:rPr>
            </w:pPr>
            <w:r>
              <w:rPr>
                <w:rFonts w:ascii="Arial" w:hAnsi="Arial"/>
                <w:iCs/>
                <w:sz w:val="22"/>
                <w:szCs w:val="22"/>
              </w:rPr>
              <w:t>1.3</w:t>
            </w:r>
          </w:p>
        </w:tc>
        <w:tc>
          <w:tcPr>
            <w:tcW w:w="2308" w:type="pct"/>
            <w:gridSpan w:val="2"/>
            <w:shd w:val="clear" w:color="auto" w:fill="auto"/>
            <w:vAlign w:val="center"/>
          </w:tcPr>
          <w:p w14:paraId="1F8E8D25" w14:textId="33045A79" w:rsidR="00D1657F" w:rsidRPr="00D85E86" w:rsidRDefault="00D1657F" w:rsidP="00D1657F">
            <w:pPr>
              <w:spacing w:before="60" w:after="60"/>
              <w:rPr>
                <w:rFonts w:ascii="Arial" w:hAnsi="Arial" w:cs="Arial"/>
                <w:sz w:val="22"/>
                <w:szCs w:val="22"/>
              </w:rPr>
            </w:pPr>
            <w:r w:rsidRPr="00D85E86">
              <w:rPr>
                <w:rFonts w:ascii="Arial" w:hAnsi="Arial"/>
                <w:sz w:val="22"/>
                <w:szCs w:val="22"/>
              </w:rPr>
              <w:t>Amélioration de la fonction centre d</w:t>
            </w:r>
            <w:r w:rsidR="00924865" w:rsidRPr="00D85E86">
              <w:rPr>
                <w:rFonts w:ascii="Arial" w:hAnsi="Arial"/>
                <w:sz w:val="22"/>
                <w:szCs w:val="22"/>
              </w:rPr>
              <w:t>’</w:t>
            </w:r>
            <w:r w:rsidRPr="00D85E86">
              <w:rPr>
                <w:rFonts w:ascii="Arial" w:hAnsi="Arial"/>
                <w:sz w:val="22"/>
                <w:szCs w:val="22"/>
              </w:rPr>
              <w:t>échanges du système de gestion des connaissances</w:t>
            </w:r>
          </w:p>
        </w:tc>
        <w:tc>
          <w:tcPr>
            <w:tcW w:w="2313" w:type="pct"/>
            <w:shd w:val="clear" w:color="auto" w:fill="auto"/>
            <w:vAlign w:val="center"/>
          </w:tcPr>
          <w:p w14:paraId="3AC97C7D" w14:textId="7AAD8FB7" w:rsidR="00D1657F" w:rsidRPr="00D85E86" w:rsidRDefault="00D1657F" w:rsidP="00D1657F">
            <w:pPr>
              <w:pStyle w:val="ListParagraph"/>
              <w:numPr>
                <w:ilvl w:val="0"/>
                <w:numId w:val="19"/>
              </w:numPr>
              <w:spacing w:before="60" w:after="60"/>
              <w:ind w:left="357" w:hanging="357"/>
              <w:contextualSpacing w:val="0"/>
              <w:rPr>
                <w:rFonts w:ascii="Arial" w:hAnsi="Arial" w:cs="Arial"/>
                <w:sz w:val="22"/>
                <w:szCs w:val="22"/>
              </w:rPr>
            </w:pPr>
            <w:r w:rsidRPr="00D85E86">
              <w:rPr>
                <w:rFonts w:ascii="Arial" w:hAnsi="Arial"/>
                <w:sz w:val="22"/>
                <w:szCs w:val="22"/>
              </w:rPr>
              <w:t>Un nouveau produit d</w:t>
            </w:r>
            <w:r w:rsidR="00924865" w:rsidRPr="00D85E86">
              <w:rPr>
                <w:rFonts w:ascii="Arial" w:hAnsi="Arial"/>
                <w:sz w:val="22"/>
                <w:szCs w:val="22"/>
              </w:rPr>
              <w:t>’</w:t>
            </w:r>
            <w:r w:rsidRPr="00D85E86">
              <w:rPr>
                <w:rFonts w:ascii="Arial" w:hAnsi="Arial"/>
                <w:sz w:val="22"/>
                <w:szCs w:val="22"/>
              </w:rPr>
              <w:t>exploration de données</w:t>
            </w:r>
          </w:p>
        </w:tc>
      </w:tr>
      <w:tr w:rsidR="00D1657F" w:rsidRPr="002725EC" w14:paraId="2B087EDC" w14:textId="77777777" w:rsidTr="00C96427">
        <w:trPr>
          <w:cantSplit/>
        </w:trPr>
        <w:tc>
          <w:tcPr>
            <w:tcW w:w="379" w:type="pct"/>
            <w:shd w:val="clear" w:color="auto" w:fill="auto"/>
            <w:vAlign w:val="center"/>
          </w:tcPr>
          <w:p w14:paraId="11A86EB8" w14:textId="704C00B0" w:rsidR="00D1657F" w:rsidRPr="00696A00" w:rsidRDefault="00D1657F" w:rsidP="00D1657F">
            <w:pPr>
              <w:spacing w:before="60" w:after="60"/>
              <w:jc w:val="center"/>
              <w:rPr>
                <w:rFonts w:ascii="Arial" w:hAnsi="Arial" w:cs="Arial"/>
                <w:iCs/>
                <w:sz w:val="22"/>
                <w:szCs w:val="22"/>
              </w:rPr>
            </w:pPr>
            <w:r>
              <w:rPr>
                <w:rFonts w:ascii="Arial" w:hAnsi="Arial"/>
                <w:iCs/>
                <w:sz w:val="22"/>
                <w:szCs w:val="22"/>
              </w:rPr>
              <w:t>1.4</w:t>
            </w:r>
          </w:p>
        </w:tc>
        <w:tc>
          <w:tcPr>
            <w:tcW w:w="2308" w:type="pct"/>
            <w:gridSpan w:val="2"/>
            <w:shd w:val="clear" w:color="auto" w:fill="auto"/>
            <w:vAlign w:val="center"/>
          </w:tcPr>
          <w:p w14:paraId="05AC4790" w14:textId="1F82A537" w:rsidR="00D1657F" w:rsidRPr="00D85E86" w:rsidRDefault="00D1657F" w:rsidP="00D1657F">
            <w:pPr>
              <w:spacing w:before="60" w:after="60"/>
              <w:rPr>
                <w:rFonts w:ascii="Arial" w:hAnsi="Arial" w:cs="Arial"/>
                <w:sz w:val="22"/>
                <w:szCs w:val="22"/>
              </w:rPr>
            </w:pPr>
            <w:r w:rsidRPr="00D85E86">
              <w:rPr>
                <w:rFonts w:ascii="Arial" w:hAnsi="Arial"/>
                <w:sz w:val="22"/>
                <w:szCs w:val="22"/>
              </w:rPr>
              <w:t>Renforcement de l</w:t>
            </w:r>
            <w:r w:rsidR="00924865" w:rsidRPr="00D85E86">
              <w:rPr>
                <w:rFonts w:ascii="Arial" w:hAnsi="Arial"/>
                <w:sz w:val="22"/>
                <w:szCs w:val="22"/>
              </w:rPr>
              <w:t>’</w:t>
            </w:r>
            <w:r w:rsidRPr="00D85E86">
              <w:rPr>
                <w:rFonts w:ascii="Arial" w:hAnsi="Arial"/>
                <w:sz w:val="22"/>
                <w:szCs w:val="22"/>
              </w:rPr>
              <w:t>interaction avec les acteurs clés, pour une amélioration des synergies</w:t>
            </w:r>
          </w:p>
        </w:tc>
        <w:tc>
          <w:tcPr>
            <w:tcW w:w="2313" w:type="pct"/>
            <w:shd w:val="clear" w:color="auto" w:fill="auto"/>
            <w:vAlign w:val="center"/>
          </w:tcPr>
          <w:p w14:paraId="3D421410" w14:textId="77777777" w:rsidR="00D1657F" w:rsidRPr="00D85E86" w:rsidRDefault="00D1657F" w:rsidP="00D1657F">
            <w:pPr>
              <w:pStyle w:val="ListParagraph"/>
              <w:numPr>
                <w:ilvl w:val="0"/>
                <w:numId w:val="19"/>
              </w:numPr>
              <w:spacing w:before="60" w:after="60"/>
              <w:ind w:left="357" w:hanging="357"/>
              <w:contextualSpacing w:val="0"/>
              <w:rPr>
                <w:rFonts w:ascii="Arial" w:hAnsi="Arial" w:cs="Arial"/>
                <w:sz w:val="22"/>
                <w:szCs w:val="22"/>
              </w:rPr>
            </w:pPr>
            <w:r w:rsidRPr="00D85E86">
              <w:rPr>
                <w:rFonts w:ascii="Arial" w:hAnsi="Arial"/>
                <w:sz w:val="22"/>
                <w:szCs w:val="22"/>
              </w:rPr>
              <w:t>Une nouvelle interconnexion mise en œuvre</w:t>
            </w:r>
          </w:p>
        </w:tc>
      </w:tr>
    </w:tbl>
    <w:p w14:paraId="2C242A7D" w14:textId="77777777" w:rsidR="009B07D4" w:rsidRPr="008943FA" w:rsidRDefault="009B07D4" w:rsidP="001F26CF">
      <w:pPr>
        <w:pStyle w:val="COMParaDecision"/>
        <w:numPr>
          <w:ilvl w:val="0"/>
          <w:numId w:val="0"/>
        </w:numPr>
        <w:jc w:val="left"/>
      </w:pPr>
    </w:p>
    <w:tbl>
      <w:tblPr>
        <w:tblStyle w:val="TableGrid"/>
        <w:tblW w:w="5000" w:type="pct"/>
        <w:tblLook w:val="04A0" w:firstRow="1" w:lastRow="0" w:firstColumn="1" w:lastColumn="0" w:noHBand="0" w:noVBand="1"/>
      </w:tblPr>
      <w:tblGrid>
        <w:gridCol w:w="699"/>
        <w:gridCol w:w="1564"/>
        <w:gridCol w:w="2900"/>
        <w:gridCol w:w="4465"/>
      </w:tblGrid>
      <w:tr w:rsidR="008F0C71" w:rsidRPr="00BA0B91" w14:paraId="5B4CCE27" w14:textId="77777777" w:rsidTr="00C96427">
        <w:trPr>
          <w:cantSplit/>
        </w:trPr>
        <w:tc>
          <w:tcPr>
            <w:tcW w:w="1175" w:type="pct"/>
            <w:gridSpan w:val="2"/>
            <w:shd w:val="clear" w:color="auto" w:fill="808080" w:themeFill="background1" w:themeFillShade="80"/>
            <w:vAlign w:val="center"/>
          </w:tcPr>
          <w:p w14:paraId="577BFF44" w14:textId="5FF9F72E" w:rsidR="008F0C71" w:rsidRPr="00696A00" w:rsidRDefault="008F0C71" w:rsidP="00345A18">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lastRenderedPageBreak/>
              <w:t xml:space="preserve">Indicateur de performance 2 du </w:t>
            </w:r>
            <w:r w:rsidR="00345A18">
              <w:rPr>
                <w:rFonts w:ascii="Arial" w:hAnsi="Arial"/>
                <w:b/>
                <w:bCs/>
                <w:color w:val="FFFFFF" w:themeColor="background1"/>
                <w:sz w:val="22"/>
                <w:szCs w:val="22"/>
              </w:rPr>
              <w:t>39C</w:t>
            </w:r>
            <w:r>
              <w:rPr>
                <w:rFonts w:ascii="Arial" w:hAnsi="Arial"/>
                <w:b/>
                <w:bCs/>
                <w:color w:val="FFFFFF" w:themeColor="background1"/>
                <w:sz w:val="22"/>
                <w:szCs w:val="22"/>
              </w:rPr>
              <w:t>/5</w:t>
            </w:r>
          </w:p>
        </w:tc>
        <w:tc>
          <w:tcPr>
            <w:tcW w:w="3825" w:type="pct"/>
            <w:gridSpan w:val="2"/>
            <w:shd w:val="clear" w:color="auto" w:fill="808080" w:themeFill="background1" w:themeFillShade="80"/>
            <w:vAlign w:val="center"/>
          </w:tcPr>
          <w:p w14:paraId="4AFCB231" w14:textId="7A1EA284" w:rsidR="008F0C71" w:rsidRPr="00696A00" w:rsidRDefault="008F0C71" w:rsidP="00F144BC">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Nombre d</w:t>
            </w:r>
            <w:r w:rsidR="00924865">
              <w:rPr>
                <w:rFonts w:ascii="Arial" w:hAnsi="Arial"/>
                <w:b/>
                <w:bCs/>
                <w:color w:val="FFFFFF" w:themeColor="background1"/>
                <w:sz w:val="22"/>
                <w:szCs w:val="22"/>
              </w:rPr>
              <w:t>’</w:t>
            </w:r>
            <w:r>
              <w:rPr>
                <w:rFonts w:ascii="Arial" w:hAnsi="Arial"/>
                <w:b/>
                <w:bCs/>
                <w:color w:val="FFFFFF" w:themeColor="background1"/>
                <w:sz w:val="22"/>
                <w:szCs w:val="22"/>
              </w:rPr>
              <w:t>États membres soutenus</w:t>
            </w:r>
            <w:r w:rsidR="00F144BC">
              <w:rPr>
                <w:rFonts w:ascii="Arial" w:hAnsi="Arial"/>
                <w:b/>
                <w:bCs/>
                <w:color w:val="FFFFFF" w:themeColor="background1"/>
                <w:sz w:val="22"/>
                <w:szCs w:val="22"/>
              </w:rPr>
              <w:t xml:space="preserve"> qui</w:t>
            </w:r>
            <w:r>
              <w:rPr>
                <w:rFonts w:ascii="Arial" w:hAnsi="Arial"/>
                <w:b/>
                <w:bCs/>
                <w:color w:val="FFFFFF" w:themeColor="background1"/>
                <w:sz w:val="22"/>
                <w:szCs w:val="22"/>
              </w:rPr>
              <w:t xml:space="preserve"> utilis</w:t>
            </w:r>
            <w:r w:rsidR="00F144BC">
              <w:rPr>
                <w:rFonts w:ascii="Arial" w:hAnsi="Arial"/>
                <w:b/>
                <w:bCs/>
                <w:color w:val="FFFFFF" w:themeColor="background1"/>
                <w:sz w:val="22"/>
                <w:szCs w:val="22"/>
              </w:rPr>
              <w:t>e</w:t>
            </w:r>
            <w:r>
              <w:rPr>
                <w:rFonts w:ascii="Arial" w:hAnsi="Arial"/>
                <w:b/>
                <w:bCs/>
                <w:color w:val="FFFFFF" w:themeColor="background1"/>
                <w:sz w:val="22"/>
                <w:szCs w:val="22"/>
              </w:rPr>
              <w:t>nt des ressources humaines et institutionnelles renforcées pour la sauvegarde du</w:t>
            </w:r>
            <w:r w:rsidR="00D85E86">
              <w:rPr>
                <w:rFonts w:ascii="Arial" w:hAnsi="Arial"/>
                <w:b/>
                <w:bCs/>
                <w:color w:val="FFFFFF" w:themeColor="background1"/>
                <w:sz w:val="22"/>
                <w:szCs w:val="22"/>
              </w:rPr>
              <w:t xml:space="preserve"> patrimoine culturel immatériel</w:t>
            </w:r>
          </w:p>
        </w:tc>
      </w:tr>
      <w:tr w:rsidR="008F0C71" w:rsidRPr="00BA0B91" w14:paraId="5A60B0AC" w14:textId="77777777" w:rsidTr="00870FD2">
        <w:trPr>
          <w:cantSplit/>
          <w:trHeight w:val="794"/>
        </w:trPr>
        <w:tc>
          <w:tcPr>
            <w:tcW w:w="1175" w:type="pct"/>
            <w:gridSpan w:val="2"/>
            <w:vMerge w:val="restart"/>
            <w:shd w:val="clear" w:color="auto" w:fill="F2F2F2" w:themeFill="background1" w:themeFillShade="F2"/>
            <w:vAlign w:val="center"/>
          </w:tcPr>
          <w:p w14:paraId="10C9414F" w14:textId="2E0712F4" w:rsidR="008F0C71" w:rsidRPr="00696A00" w:rsidRDefault="008F0C71">
            <w:pPr>
              <w:keepNext/>
              <w:spacing w:before="60" w:after="60"/>
              <w:rPr>
                <w:rFonts w:ascii="Arial" w:hAnsi="Arial" w:cs="Arial"/>
                <w:b/>
                <w:bCs/>
                <w:sz w:val="22"/>
                <w:szCs w:val="22"/>
              </w:rPr>
            </w:pPr>
            <w:r>
              <w:rPr>
                <w:rFonts w:ascii="Arial" w:hAnsi="Arial"/>
                <w:b/>
                <w:bCs/>
                <w:sz w:val="22"/>
                <w:szCs w:val="22"/>
              </w:rPr>
              <w:t xml:space="preserve">Fonds du PCI – Ligne budgétaire 3 </w:t>
            </w:r>
            <w:r>
              <w:rPr>
                <w:rFonts w:ascii="Arial" w:hAnsi="Arial"/>
                <w:b/>
                <w:bCs/>
                <w:sz w:val="22"/>
                <w:szCs w:val="22"/>
              </w:rPr>
              <w:br/>
              <w:t>Résultat escompté 2</w:t>
            </w:r>
          </w:p>
        </w:tc>
        <w:tc>
          <w:tcPr>
            <w:tcW w:w="3825" w:type="pct"/>
            <w:gridSpan w:val="2"/>
            <w:shd w:val="clear" w:color="auto" w:fill="F2F2F2" w:themeFill="background1" w:themeFillShade="F2"/>
            <w:vAlign w:val="center"/>
          </w:tcPr>
          <w:p w14:paraId="13DB2D2C" w14:textId="606EDAED" w:rsidR="008F0C71" w:rsidRPr="00696A00" w:rsidRDefault="008F0C71">
            <w:pPr>
              <w:keepNext/>
              <w:spacing w:before="60" w:after="60"/>
              <w:rPr>
                <w:rFonts w:ascii="Arial" w:hAnsi="Arial" w:cs="Arial"/>
                <w:b/>
                <w:bCs/>
                <w:sz w:val="22"/>
                <w:szCs w:val="22"/>
              </w:rPr>
            </w:pPr>
            <w:r>
              <w:rPr>
                <w:rFonts w:ascii="Arial" w:hAnsi="Arial"/>
                <w:b/>
                <w:bCs/>
                <w:sz w:val="22"/>
                <w:szCs w:val="22"/>
              </w:rPr>
              <w:t xml:space="preserve">Mise en œuvre de la Convention dans les États membres encouragée par un programme de renforcement des capacités consolidé </w:t>
            </w:r>
          </w:p>
        </w:tc>
      </w:tr>
      <w:tr w:rsidR="008F0C71" w:rsidRPr="00E4227D" w14:paraId="4965B2F5" w14:textId="77777777" w:rsidTr="00C96427">
        <w:trPr>
          <w:cantSplit/>
        </w:trPr>
        <w:tc>
          <w:tcPr>
            <w:tcW w:w="1175" w:type="pct"/>
            <w:gridSpan w:val="2"/>
            <w:vMerge/>
            <w:shd w:val="clear" w:color="auto" w:fill="F2F2F2" w:themeFill="background1" w:themeFillShade="F2"/>
            <w:vAlign w:val="center"/>
          </w:tcPr>
          <w:p w14:paraId="4A669F75" w14:textId="77777777" w:rsidR="008F0C71" w:rsidRPr="008943FA" w:rsidRDefault="008F0C71" w:rsidP="00C96427">
            <w:pPr>
              <w:keepNext/>
              <w:spacing w:before="60" w:after="60"/>
              <w:rPr>
                <w:rFonts w:ascii="Arial" w:hAnsi="Arial" w:cs="Arial"/>
                <w:b/>
                <w:bCs/>
                <w:sz w:val="22"/>
                <w:szCs w:val="22"/>
              </w:rPr>
            </w:pPr>
          </w:p>
        </w:tc>
        <w:tc>
          <w:tcPr>
            <w:tcW w:w="3825" w:type="pct"/>
            <w:gridSpan w:val="2"/>
            <w:shd w:val="clear" w:color="auto" w:fill="F2F2F2" w:themeFill="background1" w:themeFillShade="F2"/>
            <w:vAlign w:val="center"/>
          </w:tcPr>
          <w:p w14:paraId="5E0037B3" w14:textId="17D1B075" w:rsidR="008F0C71" w:rsidRPr="00696A00" w:rsidRDefault="008F0C71">
            <w:pPr>
              <w:keepNext/>
              <w:spacing w:before="60" w:after="60"/>
              <w:rPr>
                <w:rFonts w:ascii="Arial" w:hAnsi="Arial" w:cs="Arial"/>
                <w:b/>
                <w:bCs/>
                <w:sz w:val="22"/>
                <w:szCs w:val="22"/>
              </w:rPr>
            </w:pPr>
            <w:r>
              <w:rPr>
                <w:rFonts w:ascii="Arial" w:hAnsi="Arial"/>
                <w:b/>
                <w:bCs/>
                <w:sz w:val="22"/>
                <w:szCs w:val="22"/>
              </w:rPr>
              <w:t>Budget alloué : 183 301 dollars des États-Unis</w:t>
            </w:r>
          </w:p>
        </w:tc>
      </w:tr>
      <w:tr w:rsidR="008F0C71" w:rsidRPr="00BA0B91" w14:paraId="02992F8E" w14:textId="77777777" w:rsidTr="00D85E86">
        <w:trPr>
          <w:cantSplit/>
        </w:trPr>
        <w:tc>
          <w:tcPr>
            <w:tcW w:w="363" w:type="pct"/>
            <w:shd w:val="clear" w:color="auto" w:fill="F2F2F2" w:themeFill="background1" w:themeFillShade="F2"/>
            <w:vAlign w:val="center"/>
          </w:tcPr>
          <w:p w14:paraId="5D8F2E2E" w14:textId="77777777" w:rsidR="008F0C71" w:rsidRPr="008943FA" w:rsidRDefault="008F0C71" w:rsidP="00C96427">
            <w:pPr>
              <w:keepNext/>
              <w:spacing w:before="60" w:after="60"/>
              <w:jc w:val="right"/>
              <w:rPr>
                <w:rFonts w:ascii="Arial" w:hAnsi="Arial" w:cs="Arial"/>
                <w:i/>
                <w:iCs/>
                <w:sz w:val="22"/>
                <w:szCs w:val="22"/>
              </w:rPr>
            </w:pPr>
          </w:p>
        </w:tc>
        <w:tc>
          <w:tcPr>
            <w:tcW w:w="2318" w:type="pct"/>
            <w:gridSpan w:val="2"/>
            <w:shd w:val="clear" w:color="auto" w:fill="F2F2F2" w:themeFill="background1" w:themeFillShade="F2"/>
            <w:vAlign w:val="center"/>
          </w:tcPr>
          <w:p w14:paraId="58EB77FF"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Produits</w:t>
            </w:r>
          </w:p>
        </w:tc>
        <w:tc>
          <w:tcPr>
            <w:tcW w:w="2319" w:type="pct"/>
            <w:tcBorders>
              <w:bottom w:val="single" w:sz="4" w:space="0" w:color="000000"/>
            </w:tcBorders>
            <w:shd w:val="clear" w:color="auto" w:fill="F2F2F2" w:themeFill="background1" w:themeFillShade="F2"/>
            <w:vAlign w:val="center"/>
          </w:tcPr>
          <w:p w14:paraId="5C6750F2"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Indicateurs (repères)</w:t>
            </w:r>
            <w:r>
              <w:rPr>
                <w:rFonts w:ascii="Arial" w:hAnsi="Arial"/>
                <w:i/>
                <w:iCs/>
                <w:sz w:val="22"/>
                <w:szCs w:val="22"/>
              </w:rPr>
              <w:br/>
              <w:t>du 1er janvier 2020 au 30 juin 2020</w:t>
            </w:r>
          </w:p>
        </w:tc>
      </w:tr>
      <w:tr w:rsidR="00DE308A" w:rsidRPr="00BA0B91" w14:paraId="1B79F9AD" w14:textId="77777777" w:rsidTr="00D85E86">
        <w:trPr>
          <w:cantSplit/>
        </w:trPr>
        <w:tc>
          <w:tcPr>
            <w:tcW w:w="363" w:type="pct"/>
            <w:vMerge w:val="restart"/>
            <w:shd w:val="clear" w:color="auto" w:fill="auto"/>
            <w:vAlign w:val="center"/>
          </w:tcPr>
          <w:p w14:paraId="33F1F96B" w14:textId="751DB996" w:rsidR="00DE308A" w:rsidRPr="00696A00" w:rsidRDefault="00DE308A">
            <w:pPr>
              <w:spacing w:before="60" w:after="60"/>
              <w:jc w:val="center"/>
              <w:rPr>
                <w:rFonts w:ascii="Arial" w:hAnsi="Arial" w:cs="Arial"/>
                <w:iCs/>
                <w:sz w:val="22"/>
                <w:szCs w:val="22"/>
              </w:rPr>
            </w:pPr>
            <w:r>
              <w:rPr>
                <w:rFonts w:ascii="Arial" w:hAnsi="Arial"/>
                <w:iCs/>
                <w:sz w:val="22"/>
                <w:szCs w:val="22"/>
              </w:rPr>
              <w:t>2.1</w:t>
            </w:r>
          </w:p>
        </w:tc>
        <w:tc>
          <w:tcPr>
            <w:tcW w:w="2318" w:type="pct"/>
            <w:gridSpan w:val="2"/>
            <w:vMerge w:val="restart"/>
            <w:shd w:val="clear" w:color="auto" w:fill="auto"/>
            <w:vAlign w:val="center"/>
          </w:tcPr>
          <w:p w14:paraId="64FA4EDE" w14:textId="77777777" w:rsidR="00DE308A" w:rsidRPr="00D85E86" w:rsidRDefault="00DE308A" w:rsidP="00C96427">
            <w:pPr>
              <w:spacing w:before="60" w:after="60"/>
              <w:rPr>
                <w:rFonts w:ascii="Arial" w:hAnsi="Arial" w:cs="Arial"/>
                <w:sz w:val="22"/>
                <w:szCs w:val="22"/>
              </w:rPr>
            </w:pPr>
            <w:r w:rsidRPr="00D85E86">
              <w:rPr>
                <w:rFonts w:ascii="Arial" w:hAnsi="Arial"/>
                <w:sz w:val="22"/>
                <w:szCs w:val="22"/>
              </w:rPr>
              <w:t>Réseau de facilitateurs renforcé</w:t>
            </w:r>
          </w:p>
        </w:tc>
        <w:tc>
          <w:tcPr>
            <w:tcW w:w="2319" w:type="pct"/>
            <w:tcBorders>
              <w:bottom w:val="nil"/>
            </w:tcBorders>
            <w:shd w:val="clear" w:color="auto" w:fill="auto"/>
            <w:vAlign w:val="center"/>
          </w:tcPr>
          <w:p w14:paraId="71B0820C" w14:textId="10659E9D" w:rsidR="00DE308A" w:rsidRPr="00696A00" w:rsidRDefault="00DE308A" w:rsidP="00870FD2">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Coordination du réseau et travail thématique soutenus par le biais du groupe de travail interrégional du réseau de facilitateurs</w:t>
            </w:r>
          </w:p>
        </w:tc>
      </w:tr>
      <w:tr w:rsidR="00DE308A" w:rsidRPr="00BA0B91" w14:paraId="50D336FF" w14:textId="77777777" w:rsidTr="00D85E86">
        <w:trPr>
          <w:cantSplit/>
        </w:trPr>
        <w:tc>
          <w:tcPr>
            <w:tcW w:w="363" w:type="pct"/>
            <w:vMerge/>
            <w:shd w:val="clear" w:color="auto" w:fill="auto"/>
            <w:vAlign w:val="center"/>
          </w:tcPr>
          <w:p w14:paraId="316C2A4E"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1D9FBE9E"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1460636E" w14:textId="519B60FF" w:rsidR="00DE308A" w:rsidRPr="00696A00" w:rsidRDefault="00DE308A" w:rsidP="00870FD2">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10 à 15 facilitateurs formés (en Amérique latine-Caraïbes) à la mise en œuvre du cadre de résultats global et aux rapports périodiques, y compris de nouveaux membres (dans l</w:t>
            </w:r>
            <w:r w:rsidR="00924865">
              <w:rPr>
                <w:rFonts w:ascii="Arial" w:hAnsi="Arial"/>
                <w:iCs/>
                <w:sz w:val="22"/>
                <w:szCs w:val="22"/>
              </w:rPr>
              <w:t>’</w:t>
            </w:r>
            <w:r>
              <w:rPr>
                <w:rFonts w:ascii="Arial" w:hAnsi="Arial"/>
                <w:iCs/>
                <w:sz w:val="22"/>
                <w:szCs w:val="22"/>
              </w:rPr>
              <w:t>attente d</w:t>
            </w:r>
            <w:r w:rsidR="00924865">
              <w:rPr>
                <w:rFonts w:ascii="Arial" w:hAnsi="Arial"/>
                <w:iCs/>
                <w:sz w:val="22"/>
                <w:szCs w:val="22"/>
              </w:rPr>
              <w:t>’</w:t>
            </w:r>
            <w:r>
              <w:rPr>
                <w:rFonts w:ascii="Arial" w:hAnsi="Arial"/>
                <w:iCs/>
                <w:sz w:val="22"/>
                <w:szCs w:val="22"/>
              </w:rPr>
              <w:t>un cofinancement par un pays-hôte)</w:t>
            </w:r>
          </w:p>
        </w:tc>
      </w:tr>
      <w:tr w:rsidR="00DE308A" w:rsidRPr="00BA0B91" w14:paraId="5007ACAF" w14:textId="77777777" w:rsidTr="00870FD2">
        <w:trPr>
          <w:cantSplit/>
        </w:trPr>
        <w:tc>
          <w:tcPr>
            <w:tcW w:w="363" w:type="pct"/>
            <w:vMerge/>
            <w:shd w:val="clear" w:color="auto" w:fill="auto"/>
            <w:vAlign w:val="center"/>
          </w:tcPr>
          <w:p w14:paraId="51F1ABC7"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3F57D4A6"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2785B89A" w14:textId="7AD6B205" w:rsidR="00DE308A" w:rsidRPr="00C06F15" w:rsidRDefault="00DE308A" w:rsidP="00870FD2">
            <w:pPr>
              <w:pStyle w:val="ListParagraph"/>
              <w:numPr>
                <w:ilvl w:val="0"/>
                <w:numId w:val="19"/>
              </w:numPr>
              <w:spacing w:before="60" w:after="60"/>
              <w:ind w:left="360"/>
              <w:contextualSpacing w:val="0"/>
              <w:rPr>
                <w:rFonts w:ascii="Arial" w:hAnsi="Arial" w:cs="Arial"/>
                <w:sz w:val="22"/>
                <w:szCs w:val="22"/>
              </w:rPr>
            </w:pPr>
            <w:r>
              <w:rPr>
                <w:rFonts w:ascii="Arial" w:hAnsi="Arial"/>
                <w:sz w:val="22"/>
                <w:szCs w:val="22"/>
              </w:rPr>
              <w:t>10 facilitateurs formés (dans les États arabes) dans un domaine thématique (dans l</w:t>
            </w:r>
            <w:r w:rsidR="00924865">
              <w:rPr>
                <w:rFonts w:ascii="Arial" w:hAnsi="Arial"/>
                <w:sz w:val="22"/>
                <w:szCs w:val="22"/>
              </w:rPr>
              <w:t>’</w:t>
            </w:r>
            <w:r>
              <w:rPr>
                <w:rFonts w:ascii="Arial" w:hAnsi="Arial"/>
                <w:sz w:val="22"/>
                <w:szCs w:val="22"/>
              </w:rPr>
              <w:t>attente d</w:t>
            </w:r>
            <w:r w:rsidR="00924865">
              <w:rPr>
                <w:rFonts w:ascii="Arial" w:hAnsi="Arial"/>
                <w:sz w:val="22"/>
                <w:szCs w:val="22"/>
              </w:rPr>
              <w:t>’</w:t>
            </w:r>
            <w:r>
              <w:rPr>
                <w:rFonts w:ascii="Arial" w:hAnsi="Arial"/>
                <w:sz w:val="22"/>
                <w:szCs w:val="22"/>
              </w:rPr>
              <w:t>un cofinancement par des pays-hôtes)</w:t>
            </w:r>
          </w:p>
        </w:tc>
      </w:tr>
      <w:tr w:rsidR="00DE308A" w:rsidRPr="00BA0B91" w14:paraId="6066D22E" w14:textId="77777777" w:rsidTr="00870FD2">
        <w:trPr>
          <w:cantSplit/>
        </w:trPr>
        <w:tc>
          <w:tcPr>
            <w:tcW w:w="363" w:type="pct"/>
            <w:vMerge/>
            <w:shd w:val="clear" w:color="auto" w:fill="auto"/>
            <w:vAlign w:val="center"/>
          </w:tcPr>
          <w:p w14:paraId="51788D04"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18C6AB52"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18A72C9A" w14:textId="44A58E9B" w:rsidR="00DE308A" w:rsidRPr="00DE308A" w:rsidRDefault="00DE308A" w:rsidP="00870FD2">
            <w:pPr>
              <w:pStyle w:val="ListParagraph"/>
              <w:numPr>
                <w:ilvl w:val="0"/>
                <w:numId w:val="19"/>
              </w:numPr>
              <w:spacing w:before="60" w:after="60"/>
              <w:ind w:left="360"/>
              <w:contextualSpacing w:val="0"/>
              <w:rPr>
                <w:rFonts w:ascii="Arial" w:hAnsi="Arial" w:cs="Arial"/>
                <w:sz w:val="22"/>
                <w:szCs w:val="22"/>
              </w:rPr>
            </w:pPr>
            <w:r>
              <w:rPr>
                <w:rFonts w:ascii="Arial" w:hAnsi="Arial"/>
                <w:sz w:val="22"/>
                <w:szCs w:val="22"/>
              </w:rPr>
              <w:t>10 facilitateurs formés à la sauvegarde du patrimoine culturel immatériel dans l</w:t>
            </w:r>
            <w:r w:rsidR="00924865">
              <w:rPr>
                <w:rFonts w:ascii="Arial" w:hAnsi="Arial"/>
                <w:sz w:val="22"/>
                <w:szCs w:val="22"/>
              </w:rPr>
              <w:t>’</w:t>
            </w:r>
            <w:r>
              <w:rPr>
                <w:rFonts w:ascii="Arial" w:hAnsi="Arial"/>
                <w:sz w:val="22"/>
                <w:szCs w:val="22"/>
              </w:rPr>
              <w:t>édu</w:t>
            </w:r>
            <w:r w:rsidR="00D85E86">
              <w:rPr>
                <w:rFonts w:ascii="Arial" w:hAnsi="Arial"/>
                <w:sz w:val="22"/>
                <w:szCs w:val="22"/>
              </w:rPr>
              <w:t>cation formelle et non formelle</w:t>
            </w:r>
          </w:p>
        </w:tc>
      </w:tr>
      <w:tr w:rsidR="00DE308A" w:rsidRPr="00BA0B91" w14:paraId="0A200991" w14:textId="77777777" w:rsidTr="00870FD2">
        <w:trPr>
          <w:cantSplit/>
        </w:trPr>
        <w:tc>
          <w:tcPr>
            <w:tcW w:w="363" w:type="pct"/>
            <w:vMerge/>
            <w:shd w:val="clear" w:color="auto" w:fill="auto"/>
            <w:vAlign w:val="center"/>
          </w:tcPr>
          <w:p w14:paraId="639A1E6D"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bottom w:val="single" w:sz="4" w:space="0" w:color="auto"/>
              <w:right w:val="single" w:sz="4" w:space="0" w:color="auto"/>
            </w:tcBorders>
            <w:shd w:val="clear" w:color="auto" w:fill="auto"/>
            <w:vAlign w:val="center"/>
          </w:tcPr>
          <w:p w14:paraId="2A8E3522"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2C9924A8" w14:textId="77777777" w:rsidR="00DE308A" w:rsidRPr="00DE308A" w:rsidRDefault="00DE308A" w:rsidP="00870FD2">
            <w:pPr>
              <w:pStyle w:val="ListParagraph"/>
              <w:numPr>
                <w:ilvl w:val="0"/>
                <w:numId w:val="19"/>
              </w:numPr>
              <w:spacing w:before="60" w:after="60"/>
              <w:ind w:left="360"/>
              <w:contextualSpacing w:val="0"/>
              <w:rPr>
                <w:rFonts w:ascii="Arial" w:hAnsi="Arial" w:cs="Arial"/>
                <w:sz w:val="22"/>
                <w:szCs w:val="22"/>
              </w:rPr>
            </w:pPr>
            <w:r>
              <w:rPr>
                <w:rFonts w:ascii="Arial" w:hAnsi="Arial"/>
                <w:sz w:val="22"/>
                <w:szCs w:val="22"/>
              </w:rPr>
              <w:t>Page Web sur le réseau de facilitateurs tenue à jour</w:t>
            </w:r>
          </w:p>
        </w:tc>
      </w:tr>
      <w:tr w:rsidR="00DE308A" w:rsidRPr="00BA0B91" w14:paraId="0797A186" w14:textId="77777777" w:rsidTr="00D85E86">
        <w:trPr>
          <w:cantSplit/>
          <w:trHeight w:val="1181"/>
        </w:trPr>
        <w:tc>
          <w:tcPr>
            <w:tcW w:w="363" w:type="pct"/>
            <w:vMerge w:val="restart"/>
            <w:tcBorders>
              <w:right w:val="single" w:sz="4" w:space="0" w:color="auto"/>
            </w:tcBorders>
            <w:shd w:val="clear" w:color="auto" w:fill="auto"/>
            <w:vAlign w:val="center"/>
          </w:tcPr>
          <w:p w14:paraId="0A1BAC90" w14:textId="0855DD18" w:rsidR="00DE308A" w:rsidRPr="00696A00" w:rsidRDefault="00DE308A" w:rsidP="00DE308A">
            <w:pPr>
              <w:spacing w:before="60" w:after="60"/>
              <w:jc w:val="center"/>
              <w:rPr>
                <w:rFonts w:ascii="Arial" w:hAnsi="Arial" w:cs="Arial"/>
                <w:iCs/>
                <w:sz w:val="22"/>
                <w:szCs w:val="22"/>
              </w:rPr>
            </w:pPr>
            <w:r>
              <w:rPr>
                <w:rFonts w:ascii="Arial" w:hAnsi="Arial"/>
                <w:iCs/>
                <w:sz w:val="22"/>
                <w:szCs w:val="22"/>
              </w:rPr>
              <w:t>2.2</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7BC38" w14:textId="77777777" w:rsidR="00DE308A" w:rsidRPr="00696A00" w:rsidRDefault="00DE308A" w:rsidP="00C96427">
            <w:pPr>
              <w:spacing w:before="60" w:after="60"/>
              <w:rPr>
                <w:rFonts w:ascii="Arial" w:hAnsi="Arial" w:cs="Arial"/>
                <w:iCs/>
                <w:sz w:val="22"/>
                <w:szCs w:val="22"/>
              </w:rPr>
            </w:pPr>
            <w:r>
              <w:rPr>
                <w:rFonts w:ascii="Arial" w:hAnsi="Arial"/>
                <w:iCs/>
                <w:sz w:val="22"/>
                <w:szCs w:val="22"/>
              </w:rPr>
              <w:t>Poursuite du développement des contenu et format du programme de renforcement de capacités pour répondre aux principaux défis de mise en œuvre et aux décisions des organes statutaires</w:t>
            </w:r>
          </w:p>
        </w:tc>
        <w:tc>
          <w:tcPr>
            <w:tcW w:w="2319" w:type="pct"/>
            <w:tcBorders>
              <w:top w:val="single" w:sz="4" w:space="0" w:color="auto"/>
              <w:left w:val="single" w:sz="4" w:space="0" w:color="auto"/>
              <w:bottom w:val="nil"/>
            </w:tcBorders>
            <w:shd w:val="clear" w:color="auto" w:fill="auto"/>
            <w:vAlign w:val="center"/>
          </w:tcPr>
          <w:p w14:paraId="3DBC9B1E" w14:textId="5101D58F" w:rsidR="00DE308A" w:rsidRPr="00D85E86" w:rsidRDefault="00C32B9E" w:rsidP="00D85E86">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34 points focaux nationaux pour les rapports périodiques formés aux rapports périodiques en Amérique latine-Caraïbes (dans l</w:t>
            </w:r>
            <w:r w:rsidR="00924865">
              <w:rPr>
                <w:rFonts w:ascii="Arial" w:hAnsi="Arial"/>
                <w:iCs/>
                <w:sz w:val="22"/>
                <w:szCs w:val="22"/>
              </w:rPr>
              <w:t>’</w:t>
            </w:r>
            <w:r>
              <w:rPr>
                <w:rFonts w:ascii="Arial" w:hAnsi="Arial"/>
                <w:iCs/>
                <w:sz w:val="22"/>
                <w:szCs w:val="22"/>
              </w:rPr>
              <w:t>attente d</w:t>
            </w:r>
            <w:r w:rsidR="00924865">
              <w:rPr>
                <w:rFonts w:ascii="Arial" w:hAnsi="Arial"/>
                <w:iCs/>
                <w:sz w:val="22"/>
                <w:szCs w:val="22"/>
              </w:rPr>
              <w:t>’</w:t>
            </w:r>
            <w:r>
              <w:rPr>
                <w:rFonts w:ascii="Arial" w:hAnsi="Arial"/>
                <w:iCs/>
                <w:sz w:val="22"/>
                <w:szCs w:val="22"/>
              </w:rPr>
              <w:t>un cofinancement par un pays-hôte)</w:t>
            </w:r>
          </w:p>
        </w:tc>
      </w:tr>
      <w:tr w:rsidR="00DE308A" w:rsidRPr="00BA0B91" w14:paraId="3F9B775F" w14:textId="77777777" w:rsidTr="00D85E86">
        <w:trPr>
          <w:cantSplit/>
          <w:trHeight w:val="762"/>
        </w:trPr>
        <w:tc>
          <w:tcPr>
            <w:tcW w:w="363" w:type="pct"/>
            <w:vMerge/>
            <w:tcBorders>
              <w:right w:val="single" w:sz="4" w:space="0" w:color="auto"/>
            </w:tcBorders>
            <w:shd w:val="clear" w:color="auto" w:fill="auto"/>
            <w:vAlign w:val="center"/>
          </w:tcPr>
          <w:p w14:paraId="5F1C3A11" w14:textId="77777777" w:rsidR="00DE308A" w:rsidRPr="008943FA" w:rsidRDefault="00DE308A" w:rsidP="00DE308A">
            <w:pPr>
              <w:spacing w:before="60" w:after="60"/>
              <w:jc w:val="center"/>
              <w:rPr>
                <w:rFonts w:ascii="Arial" w:hAnsi="Arial" w:cs="Arial"/>
                <w:iCs/>
                <w:sz w:val="22"/>
                <w:szCs w:val="22"/>
              </w:rPr>
            </w:pPr>
          </w:p>
        </w:tc>
        <w:tc>
          <w:tcPr>
            <w:tcW w:w="2318" w:type="pct"/>
            <w:gridSpan w:val="2"/>
            <w:vMerge/>
            <w:tcBorders>
              <w:top w:val="nil"/>
              <w:left w:val="single" w:sz="4" w:space="0" w:color="auto"/>
              <w:bottom w:val="single" w:sz="4" w:space="0" w:color="auto"/>
              <w:right w:val="single" w:sz="4" w:space="0" w:color="auto"/>
            </w:tcBorders>
            <w:shd w:val="clear" w:color="auto" w:fill="auto"/>
            <w:vAlign w:val="center"/>
          </w:tcPr>
          <w:p w14:paraId="58EC7458" w14:textId="77777777" w:rsidR="00DE308A" w:rsidRPr="008943FA" w:rsidRDefault="00DE308A" w:rsidP="00C96427">
            <w:pPr>
              <w:spacing w:before="60" w:after="60"/>
              <w:rPr>
                <w:rFonts w:ascii="Arial" w:hAnsi="Arial" w:cs="Arial"/>
                <w:iCs/>
                <w:sz w:val="22"/>
                <w:szCs w:val="22"/>
              </w:rPr>
            </w:pPr>
          </w:p>
        </w:tc>
        <w:tc>
          <w:tcPr>
            <w:tcW w:w="2319" w:type="pct"/>
            <w:tcBorders>
              <w:top w:val="nil"/>
              <w:left w:val="single" w:sz="4" w:space="0" w:color="auto"/>
              <w:bottom w:val="nil"/>
            </w:tcBorders>
            <w:shd w:val="clear" w:color="auto" w:fill="auto"/>
            <w:vAlign w:val="center"/>
          </w:tcPr>
          <w:p w14:paraId="02382977" w14:textId="3F610DD6" w:rsidR="00DE308A" w:rsidRPr="00DE308A" w:rsidRDefault="00D85E86" w:rsidP="00D85E86">
            <w:pPr>
              <w:pStyle w:val="ListParagraph"/>
              <w:numPr>
                <w:ilvl w:val="0"/>
                <w:numId w:val="19"/>
              </w:numPr>
              <w:spacing w:before="60" w:after="60"/>
              <w:ind w:left="360"/>
              <w:contextualSpacing w:val="0"/>
              <w:rPr>
                <w:rFonts w:ascii="Arial" w:hAnsi="Arial" w:cs="Arial"/>
                <w:iCs/>
                <w:sz w:val="22"/>
                <w:szCs w:val="22"/>
              </w:rPr>
            </w:pPr>
            <w:r w:rsidRPr="00D85E86">
              <w:rPr>
                <w:rFonts w:ascii="Arial" w:hAnsi="Arial" w:cs="Arial"/>
                <w:iCs/>
                <w:sz w:val="22"/>
                <w:szCs w:val="22"/>
              </w:rPr>
              <w:t xml:space="preserve">Supports de formation sur les rapports </w:t>
            </w:r>
            <w:r w:rsidRPr="00D85E86">
              <w:rPr>
                <w:rFonts w:ascii="Arial" w:hAnsi="Arial"/>
                <w:iCs/>
                <w:sz w:val="22"/>
                <w:szCs w:val="22"/>
              </w:rPr>
              <w:t>périodiques</w:t>
            </w:r>
            <w:r w:rsidRPr="00D85E86">
              <w:rPr>
                <w:rFonts w:ascii="Arial" w:hAnsi="Arial" w:cs="Arial"/>
                <w:iCs/>
                <w:sz w:val="22"/>
                <w:szCs w:val="22"/>
              </w:rPr>
              <w:t xml:space="preserve"> et l’élaboration de politiques disponibles en trois langues</w:t>
            </w:r>
          </w:p>
        </w:tc>
      </w:tr>
      <w:tr w:rsidR="00D85E86" w:rsidRPr="00DE308A" w14:paraId="35FA3581" w14:textId="77777777" w:rsidTr="00D85E86">
        <w:trPr>
          <w:cantSplit/>
          <w:trHeight w:val="435"/>
        </w:trPr>
        <w:tc>
          <w:tcPr>
            <w:tcW w:w="363" w:type="pct"/>
            <w:vMerge/>
            <w:tcBorders>
              <w:right w:val="single" w:sz="4" w:space="0" w:color="auto"/>
            </w:tcBorders>
            <w:shd w:val="clear" w:color="auto" w:fill="auto"/>
            <w:vAlign w:val="center"/>
          </w:tcPr>
          <w:p w14:paraId="4A3F59BF" w14:textId="77777777" w:rsidR="00D85E86" w:rsidRPr="008943FA" w:rsidRDefault="00D85E86" w:rsidP="00DE308A">
            <w:pPr>
              <w:spacing w:before="60" w:after="60"/>
              <w:jc w:val="center"/>
              <w:rPr>
                <w:rFonts w:ascii="Arial" w:hAnsi="Arial" w:cs="Arial"/>
                <w:iCs/>
                <w:sz w:val="22"/>
                <w:szCs w:val="22"/>
              </w:rPr>
            </w:pPr>
          </w:p>
        </w:tc>
        <w:tc>
          <w:tcPr>
            <w:tcW w:w="2318" w:type="pct"/>
            <w:gridSpan w:val="2"/>
            <w:vMerge/>
            <w:tcBorders>
              <w:top w:val="nil"/>
              <w:left w:val="single" w:sz="4" w:space="0" w:color="auto"/>
              <w:bottom w:val="single" w:sz="4" w:space="0" w:color="auto"/>
              <w:right w:val="single" w:sz="4" w:space="0" w:color="auto"/>
            </w:tcBorders>
            <w:shd w:val="clear" w:color="auto" w:fill="auto"/>
            <w:vAlign w:val="center"/>
          </w:tcPr>
          <w:p w14:paraId="7B62C3E2" w14:textId="77777777" w:rsidR="00D85E86" w:rsidRPr="008943FA" w:rsidRDefault="00D85E86" w:rsidP="00C96427">
            <w:pPr>
              <w:spacing w:before="60" w:after="60"/>
              <w:rPr>
                <w:rFonts w:ascii="Arial" w:hAnsi="Arial" w:cs="Arial"/>
                <w:iCs/>
                <w:sz w:val="22"/>
                <w:szCs w:val="22"/>
              </w:rPr>
            </w:pPr>
          </w:p>
        </w:tc>
        <w:tc>
          <w:tcPr>
            <w:tcW w:w="2319" w:type="pct"/>
            <w:tcBorders>
              <w:top w:val="nil"/>
              <w:left w:val="single" w:sz="4" w:space="0" w:color="auto"/>
            </w:tcBorders>
            <w:shd w:val="clear" w:color="auto" w:fill="auto"/>
            <w:vAlign w:val="center"/>
          </w:tcPr>
          <w:p w14:paraId="1701AA98" w14:textId="77777777" w:rsidR="00D85E86" w:rsidRPr="00DE308A" w:rsidRDefault="00D85E86" w:rsidP="00870FD2">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Navigateur sur les supports tenu à jour</w:t>
            </w:r>
          </w:p>
        </w:tc>
      </w:tr>
      <w:tr w:rsidR="00DE308A" w:rsidRPr="00BA0B91" w14:paraId="0C1F6C27" w14:textId="77777777" w:rsidTr="00870FD2">
        <w:trPr>
          <w:cantSplit/>
        </w:trPr>
        <w:tc>
          <w:tcPr>
            <w:tcW w:w="363" w:type="pct"/>
            <w:vMerge w:val="restart"/>
            <w:tcBorders>
              <w:right w:val="single" w:sz="4" w:space="0" w:color="auto"/>
            </w:tcBorders>
            <w:shd w:val="clear" w:color="auto" w:fill="auto"/>
            <w:vAlign w:val="center"/>
          </w:tcPr>
          <w:p w14:paraId="673BC6C6" w14:textId="77777777" w:rsidR="00DE308A" w:rsidRDefault="00DE308A" w:rsidP="00DE308A">
            <w:pPr>
              <w:spacing w:before="60" w:after="60"/>
              <w:jc w:val="center"/>
              <w:rPr>
                <w:rFonts w:ascii="Arial" w:hAnsi="Arial" w:cs="Arial"/>
                <w:iCs/>
                <w:sz w:val="22"/>
                <w:szCs w:val="22"/>
              </w:rPr>
            </w:pPr>
            <w:r>
              <w:rPr>
                <w:rFonts w:ascii="Arial" w:hAnsi="Arial"/>
                <w:iCs/>
                <w:sz w:val="22"/>
                <w:szCs w:val="22"/>
              </w:rPr>
              <w:t>2.3</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4586CD" w14:textId="77777777" w:rsidR="00DE308A" w:rsidRPr="00DE308A" w:rsidRDefault="00DE308A" w:rsidP="00C96427">
            <w:pPr>
              <w:spacing w:before="60" w:after="60"/>
              <w:rPr>
                <w:rFonts w:ascii="Arial" w:hAnsi="Arial" w:cs="Arial"/>
                <w:iCs/>
                <w:sz w:val="22"/>
                <w:szCs w:val="22"/>
              </w:rPr>
            </w:pPr>
            <w:r>
              <w:rPr>
                <w:rFonts w:ascii="Arial" w:hAnsi="Arial"/>
                <w:iCs/>
                <w:sz w:val="22"/>
                <w:szCs w:val="22"/>
              </w:rPr>
              <w:t>Suivi du programme de renforcement des capacités assuré et informations partagées avec les partenaires compétents</w:t>
            </w:r>
          </w:p>
        </w:tc>
        <w:tc>
          <w:tcPr>
            <w:tcW w:w="2319" w:type="pct"/>
            <w:tcBorders>
              <w:top w:val="single" w:sz="4" w:space="0" w:color="auto"/>
              <w:left w:val="single" w:sz="4" w:space="0" w:color="auto"/>
              <w:bottom w:val="nil"/>
              <w:right w:val="single" w:sz="4" w:space="0" w:color="auto"/>
            </w:tcBorders>
            <w:shd w:val="clear" w:color="auto" w:fill="auto"/>
            <w:vAlign w:val="center"/>
          </w:tcPr>
          <w:p w14:paraId="35515465" w14:textId="0504E59F" w:rsidR="00DE308A" w:rsidRPr="00DE308A" w:rsidRDefault="00DE308A" w:rsidP="00870FD2">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Nouvelle révision de l</w:t>
            </w:r>
            <w:r w:rsidR="00924865">
              <w:rPr>
                <w:rFonts w:ascii="Arial" w:hAnsi="Arial"/>
                <w:iCs/>
                <w:sz w:val="22"/>
                <w:szCs w:val="22"/>
              </w:rPr>
              <w:t>’</w:t>
            </w:r>
            <w:r>
              <w:rPr>
                <w:rFonts w:ascii="Arial" w:hAnsi="Arial"/>
                <w:iCs/>
                <w:sz w:val="22"/>
                <w:szCs w:val="22"/>
              </w:rPr>
              <w:t>outil de planification et de rapports en ligne pour les activités de renforcement des capacités afin de suivre les profils des participants concernant l</w:t>
            </w:r>
            <w:r w:rsidR="00924865">
              <w:rPr>
                <w:rFonts w:ascii="Arial" w:hAnsi="Arial"/>
                <w:iCs/>
                <w:sz w:val="22"/>
                <w:szCs w:val="22"/>
              </w:rPr>
              <w:t>’</w:t>
            </w:r>
            <w:r>
              <w:rPr>
                <w:rFonts w:ascii="Arial" w:hAnsi="Arial"/>
                <w:iCs/>
                <w:sz w:val="22"/>
                <w:szCs w:val="22"/>
              </w:rPr>
              <w:t>inclusion</w:t>
            </w:r>
          </w:p>
        </w:tc>
      </w:tr>
      <w:tr w:rsidR="00DE308A" w:rsidRPr="00DE308A" w14:paraId="3CDE215D" w14:textId="77777777" w:rsidTr="00870FD2">
        <w:trPr>
          <w:cantSplit/>
        </w:trPr>
        <w:tc>
          <w:tcPr>
            <w:tcW w:w="363" w:type="pct"/>
            <w:vMerge/>
            <w:tcBorders>
              <w:right w:val="single" w:sz="4" w:space="0" w:color="auto"/>
            </w:tcBorders>
            <w:shd w:val="clear" w:color="auto" w:fill="auto"/>
            <w:vAlign w:val="center"/>
          </w:tcPr>
          <w:p w14:paraId="2C84D642" w14:textId="77777777" w:rsidR="00DE308A" w:rsidRPr="008943FA" w:rsidRDefault="00DE308A" w:rsidP="00DE308A">
            <w:pPr>
              <w:spacing w:before="60" w:after="60"/>
              <w:jc w:val="center"/>
              <w:rPr>
                <w:rFonts w:ascii="Arial" w:hAnsi="Arial" w:cs="Arial"/>
                <w:iCs/>
                <w:sz w:val="22"/>
                <w:szCs w:val="22"/>
              </w:rPr>
            </w:pPr>
          </w:p>
        </w:tc>
        <w:tc>
          <w:tcPr>
            <w:tcW w:w="2318" w:type="pct"/>
            <w:gridSpan w:val="2"/>
            <w:vMerge/>
            <w:tcBorders>
              <w:left w:val="single" w:sz="4" w:space="0" w:color="auto"/>
              <w:bottom w:val="single" w:sz="4" w:space="0" w:color="auto"/>
              <w:right w:val="single" w:sz="4" w:space="0" w:color="auto"/>
            </w:tcBorders>
            <w:shd w:val="clear" w:color="auto" w:fill="auto"/>
            <w:vAlign w:val="center"/>
          </w:tcPr>
          <w:p w14:paraId="7F1C5D64" w14:textId="77777777" w:rsidR="00DE308A" w:rsidRPr="008943FA" w:rsidRDefault="00DE308A" w:rsidP="00C96427">
            <w:pPr>
              <w:spacing w:before="60" w:after="60"/>
              <w:rPr>
                <w:rFonts w:ascii="Arial" w:hAnsi="Arial" w:cs="Arial"/>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7E37C71A" w14:textId="4EF14F71" w:rsidR="00DE308A" w:rsidRPr="00870FD2" w:rsidRDefault="00DE308A" w:rsidP="00870FD2">
            <w:pPr>
              <w:pStyle w:val="ListParagraph"/>
              <w:numPr>
                <w:ilvl w:val="0"/>
                <w:numId w:val="19"/>
              </w:numPr>
              <w:spacing w:before="60" w:after="60"/>
              <w:ind w:left="360"/>
              <w:contextualSpacing w:val="0"/>
              <w:rPr>
                <w:rFonts w:ascii="Arial" w:hAnsi="Arial" w:cs="Arial"/>
                <w:iCs/>
                <w:sz w:val="22"/>
                <w:szCs w:val="22"/>
              </w:rPr>
            </w:pPr>
            <w:r>
              <w:rPr>
                <w:rFonts w:ascii="Arial" w:hAnsi="Arial"/>
                <w:iCs/>
                <w:sz w:val="22"/>
                <w:szCs w:val="22"/>
              </w:rPr>
              <w:t>Brochure d</w:t>
            </w:r>
            <w:r w:rsidR="00924865">
              <w:rPr>
                <w:rFonts w:ascii="Arial" w:hAnsi="Arial"/>
                <w:iCs/>
                <w:sz w:val="22"/>
                <w:szCs w:val="22"/>
              </w:rPr>
              <w:t>’</w:t>
            </w:r>
            <w:r>
              <w:rPr>
                <w:rFonts w:ascii="Arial" w:hAnsi="Arial"/>
                <w:iCs/>
                <w:sz w:val="22"/>
                <w:szCs w:val="22"/>
              </w:rPr>
              <w:t>information sur le programme disponible dans les six langues officielles des Nations Unies</w:t>
            </w:r>
          </w:p>
        </w:tc>
      </w:tr>
      <w:tr w:rsidR="008C0E9C" w:rsidRPr="00BA0B91" w14:paraId="6A2D8126" w14:textId="77777777" w:rsidTr="00870FD2">
        <w:trPr>
          <w:cantSplit/>
          <w:trHeight w:val="1020"/>
        </w:trPr>
        <w:tc>
          <w:tcPr>
            <w:tcW w:w="363" w:type="pct"/>
            <w:shd w:val="clear" w:color="auto" w:fill="auto"/>
            <w:vAlign w:val="center"/>
          </w:tcPr>
          <w:p w14:paraId="30B2BC6F" w14:textId="77777777" w:rsidR="008C0E9C" w:rsidRDefault="008C0E9C" w:rsidP="00DE308A">
            <w:pPr>
              <w:spacing w:before="60" w:after="60"/>
              <w:jc w:val="center"/>
              <w:rPr>
                <w:rFonts w:ascii="Arial" w:hAnsi="Arial" w:cs="Arial"/>
                <w:iCs/>
                <w:sz w:val="22"/>
                <w:szCs w:val="22"/>
              </w:rPr>
            </w:pPr>
            <w:r>
              <w:rPr>
                <w:rFonts w:ascii="Arial" w:hAnsi="Arial"/>
                <w:iCs/>
                <w:sz w:val="22"/>
                <w:szCs w:val="22"/>
              </w:rPr>
              <w:lastRenderedPageBreak/>
              <w:t>2.4</w:t>
            </w:r>
          </w:p>
        </w:tc>
        <w:tc>
          <w:tcPr>
            <w:tcW w:w="2318" w:type="pct"/>
            <w:gridSpan w:val="2"/>
            <w:tcBorders>
              <w:top w:val="single" w:sz="4" w:space="0" w:color="auto"/>
            </w:tcBorders>
            <w:shd w:val="clear" w:color="auto" w:fill="auto"/>
            <w:vAlign w:val="center"/>
          </w:tcPr>
          <w:p w14:paraId="53F3CB62" w14:textId="73021C70" w:rsidR="008C0E9C" w:rsidRPr="00DE308A" w:rsidRDefault="008C0E9C" w:rsidP="00C96427">
            <w:pPr>
              <w:spacing w:before="60" w:after="60"/>
              <w:rPr>
                <w:rFonts w:ascii="Arial" w:hAnsi="Arial" w:cs="Arial"/>
                <w:iCs/>
                <w:sz w:val="22"/>
                <w:szCs w:val="22"/>
              </w:rPr>
            </w:pPr>
            <w:r>
              <w:rPr>
                <w:rFonts w:ascii="Arial" w:hAnsi="Arial"/>
                <w:iCs/>
                <w:sz w:val="22"/>
                <w:szCs w:val="22"/>
              </w:rPr>
              <w:t>Renforcement de la mise en réseau et des partenariats avec les établissements d</w:t>
            </w:r>
            <w:r w:rsidR="00924865">
              <w:rPr>
                <w:rFonts w:ascii="Arial" w:hAnsi="Arial"/>
                <w:iCs/>
                <w:sz w:val="22"/>
                <w:szCs w:val="22"/>
              </w:rPr>
              <w:t>’</w:t>
            </w:r>
            <w:r>
              <w:rPr>
                <w:rFonts w:ascii="Arial" w:hAnsi="Arial"/>
                <w:iCs/>
                <w:sz w:val="22"/>
                <w:szCs w:val="22"/>
              </w:rPr>
              <w:t>enseignement supérieur</w:t>
            </w:r>
          </w:p>
        </w:tc>
        <w:tc>
          <w:tcPr>
            <w:tcW w:w="2319" w:type="pct"/>
            <w:tcBorders>
              <w:top w:val="single" w:sz="4" w:space="0" w:color="auto"/>
            </w:tcBorders>
            <w:shd w:val="clear" w:color="auto" w:fill="auto"/>
            <w:vAlign w:val="center"/>
          </w:tcPr>
          <w:p w14:paraId="4ACE5F5E" w14:textId="45717663" w:rsidR="008C0E9C" w:rsidRPr="00DE308A" w:rsidRDefault="008C0E9C" w:rsidP="00870FD2">
            <w:pPr>
              <w:pStyle w:val="ListParagraph"/>
              <w:numPr>
                <w:ilvl w:val="0"/>
                <w:numId w:val="19"/>
              </w:numPr>
              <w:spacing w:before="60" w:after="60"/>
              <w:ind w:left="360"/>
              <w:rPr>
                <w:rFonts w:ascii="Arial" w:hAnsi="Arial" w:cs="Arial"/>
                <w:iCs/>
                <w:sz w:val="22"/>
                <w:szCs w:val="22"/>
              </w:rPr>
            </w:pPr>
            <w:r>
              <w:rPr>
                <w:rFonts w:ascii="Arial" w:hAnsi="Arial"/>
                <w:iCs/>
                <w:sz w:val="22"/>
                <w:szCs w:val="22"/>
              </w:rPr>
              <w:t>10 universités supplémentaires engagées dans des activités en réseau, notamment la région des États arabes</w:t>
            </w:r>
          </w:p>
        </w:tc>
      </w:tr>
    </w:tbl>
    <w:p w14:paraId="6EC06D23" w14:textId="77777777" w:rsidR="008F0C71" w:rsidRPr="008943FA" w:rsidRDefault="008F0C71" w:rsidP="00D85E86">
      <w:pPr>
        <w:pStyle w:val="COMParaDecision"/>
        <w:numPr>
          <w:ilvl w:val="0"/>
          <w:numId w:val="0"/>
        </w:numPr>
        <w:spacing w:after="0"/>
        <w:jc w:val="left"/>
      </w:pPr>
    </w:p>
    <w:tbl>
      <w:tblPr>
        <w:tblStyle w:val="TableGrid"/>
        <w:tblW w:w="5002" w:type="pct"/>
        <w:tblLayout w:type="fixed"/>
        <w:tblLook w:val="04A0" w:firstRow="1" w:lastRow="0" w:firstColumn="1" w:lastColumn="0" w:noHBand="0" w:noVBand="1"/>
      </w:tblPr>
      <w:tblGrid>
        <w:gridCol w:w="700"/>
        <w:gridCol w:w="1564"/>
        <w:gridCol w:w="2901"/>
        <w:gridCol w:w="4467"/>
      </w:tblGrid>
      <w:tr w:rsidR="008F0C71" w:rsidRPr="00BA0B91" w14:paraId="1397BABC" w14:textId="77777777" w:rsidTr="00C96427">
        <w:trPr>
          <w:cantSplit/>
        </w:trPr>
        <w:tc>
          <w:tcPr>
            <w:tcW w:w="1175" w:type="pct"/>
            <w:gridSpan w:val="2"/>
            <w:shd w:val="clear" w:color="auto" w:fill="808080" w:themeFill="background1" w:themeFillShade="80"/>
            <w:vAlign w:val="center"/>
          </w:tcPr>
          <w:p w14:paraId="6727CBDA" w14:textId="5D8C88BA" w:rsidR="008F0C71" w:rsidRPr="00696A00" w:rsidRDefault="008F0C71" w:rsidP="00345A18">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 xml:space="preserve">Indicateur de performance 3 du </w:t>
            </w:r>
            <w:r w:rsidR="00345A18">
              <w:rPr>
                <w:rFonts w:ascii="Arial" w:hAnsi="Arial"/>
                <w:b/>
                <w:bCs/>
                <w:color w:val="FFFFFF" w:themeColor="background1"/>
                <w:sz w:val="22"/>
                <w:szCs w:val="22"/>
              </w:rPr>
              <w:t>39C</w:t>
            </w:r>
            <w:r>
              <w:rPr>
                <w:rFonts w:ascii="Arial" w:hAnsi="Arial"/>
                <w:b/>
                <w:bCs/>
                <w:color w:val="FFFFFF" w:themeColor="background1"/>
                <w:sz w:val="22"/>
                <w:szCs w:val="22"/>
              </w:rPr>
              <w:t>/5</w:t>
            </w:r>
          </w:p>
        </w:tc>
        <w:tc>
          <w:tcPr>
            <w:tcW w:w="3825" w:type="pct"/>
            <w:gridSpan w:val="2"/>
            <w:shd w:val="clear" w:color="auto" w:fill="808080" w:themeFill="background1" w:themeFillShade="80"/>
            <w:vAlign w:val="center"/>
          </w:tcPr>
          <w:p w14:paraId="7CC45903" w14:textId="78CEC9D8" w:rsidR="008F0C71" w:rsidRPr="006125DA" w:rsidRDefault="008F0C71" w:rsidP="00253355">
            <w:pPr>
              <w:keepNext/>
              <w:spacing w:before="60" w:after="60"/>
              <w:rPr>
                <w:rFonts w:ascii="Arial" w:hAnsi="Arial" w:cs="Arial"/>
                <w:b/>
                <w:bCs/>
                <w:color w:val="FFFFFF" w:themeColor="background1"/>
                <w:sz w:val="22"/>
                <w:szCs w:val="22"/>
              </w:rPr>
            </w:pPr>
            <w:r>
              <w:rPr>
                <w:rFonts w:ascii="Arial" w:hAnsi="Arial"/>
                <w:b/>
                <w:bCs/>
                <w:color w:val="FFFFFF" w:themeColor="background1"/>
                <w:sz w:val="22"/>
                <w:szCs w:val="22"/>
              </w:rPr>
              <w:t>Nombre d</w:t>
            </w:r>
            <w:r w:rsidR="00924865">
              <w:rPr>
                <w:rFonts w:ascii="Arial" w:hAnsi="Arial"/>
                <w:b/>
                <w:bCs/>
                <w:color w:val="FFFFFF" w:themeColor="background1"/>
                <w:sz w:val="22"/>
                <w:szCs w:val="22"/>
              </w:rPr>
              <w:t>’</w:t>
            </w:r>
            <w:r>
              <w:rPr>
                <w:rFonts w:ascii="Arial" w:hAnsi="Arial"/>
                <w:b/>
                <w:bCs/>
                <w:color w:val="FFFFFF" w:themeColor="background1"/>
                <w:sz w:val="22"/>
                <w:szCs w:val="22"/>
              </w:rPr>
              <w:t xml:space="preserve">États membres soutenus </w:t>
            </w:r>
            <w:r w:rsidR="00F144BC">
              <w:rPr>
                <w:rFonts w:ascii="Arial" w:hAnsi="Arial"/>
                <w:b/>
                <w:bCs/>
                <w:color w:val="FFFFFF" w:themeColor="background1"/>
                <w:sz w:val="22"/>
                <w:szCs w:val="22"/>
              </w:rPr>
              <w:t xml:space="preserve">qui ont </w:t>
            </w:r>
            <w:r>
              <w:rPr>
                <w:rFonts w:ascii="Arial" w:hAnsi="Arial"/>
                <w:b/>
                <w:bCs/>
                <w:color w:val="FFFFFF" w:themeColor="background1"/>
                <w:sz w:val="22"/>
                <w:szCs w:val="22"/>
              </w:rPr>
              <w:t xml:space="preserve">intégré le patrimoine culturel immatériel </w:t>
            </w:r>
            <w:r w:rsidR="00F144BC">
              <w:rPr>
                <w:rFonts w:ascii="Arial" w:hAnsi="Arial"/>
                <w:b/>
                <w:bCs/>
                <w:color w:val="FFFFFF" w:themeColor="background1"/>
                <w:sz w:val="22"/>
                <w:szCs w:val="22"/>
              </w:rPr>
              <w:t xml:space="preserve">dans </w:t>
            </w:r>
            <w:r>
              <w:rPr>
                <w:rFonts w:ascii="Arial" w:hAnsi="Arial"/>
                <w:b/>
                <w:bCs/>
                <w:color w:val="FFFFFF" w:themeColor="background1"/>
                <w:sz w:val="22"/>
                <w:szCs w:val="22"/>
              </w:rPr>
              <w:t>leurs plans, politiques et programmes</w:t>
            </w:r>
            <w:r w:rsidR="00F144BC">
              <w:rPr>
                <w:rFonts w:ascii="Arial" w:hAnsi="Arial"/>
                <w:b/>
                <w:bCs/>
                <w:color w:val="FFFFFF" w:themeColor="background1"/>
                <w:sz w:val="22"/>
                <w:szCs w:val="22"/>
              </w:rPr>
              <w:t xml:space="preserve"> </w:t>
            </w:r>
            <w:r>
              <w:rPr>
                <w:rFonts w:ascii="Arial" w:hAnsi="Arial"/>
                <w:b/>
                <w:bCs/>
                <w:color w:val="FFFFFF" w:themeColor="background1"/>
                <w:sz w:val="22"/>
                <w:szCs w:val="22"/>
              </w:rPr>
              <w:t>à titre de contribution à la réalisation des ODD en tenant compte de</w:t>
            </w:r>
            <w:r w:rsidR="00F144BC">
              <w:rPr>
                <w:rFonts w:ascii="Arial" w:hAnsi="Arial"/>
                <w:b/>
                <w:bCs/>
                <w:color w:val="FFFFFF" w:themeColor="background1"/>
                <w:sz w:val="22"/>
                <w:szCs w:val="22"/>
              </w:rPr>
              <w:t>s</w:t>
            </w:r>
            <w:r>
              <w:rPr>
                <w:rFonts w:ascii="Arial" w:hAnsi="Arial"/>
                <w:b/>
                <w:bCs/>
                <w:color w:val="FFFFFF" w:themeColor="background1"/>
                <w:sz w:val="22"/>
                <w:szCs w:val="22"/>
              </w:rPr>
              <w:t xml:space="preserve"> </w:t>
            </w:r>
            <w:r w:rsidR="00F144BC">
              <w:rPr>
                <w:rFonts w:ascii="Arial" w:hAnsi="Arial"/>
                <w:b/>
                <w:bCs/>
                <w:color w:val="FFFFFF" w:themeColor="background1"/>
                <w:sz w:val="22"/>
                <w:szCs w:val="22"/>
              </w:rPr>
              <w:t>questions de genre</w:t>
            </w:r>
          </w:p>
        </w:tc>
      </w:tr>
      <w:tr w:rsidR="008F0C71" w:rsidRPr="00BA0B91" w14:paraId="6E07DC25" w14:textId="77777777" w:rsidTr="00870FD2">
        <w:trPr>
          <w:cantSplit/>
          <w:trHeight w:val="794"/>
        </w:trPr>
        <w:tc>
          <w:tcPr>
            <w:tcW w:w="1175" w:type="pct"/>
            <w:gridSpan w:val="2"/>
            <w:vMerge w:val="restart"/>
            <w:shd w:val="clear" w:color="auto" w:fill="F2F2F2" w:themeFill="background1" w:themeFillShade="F2"/>
            <w:vAlign w:val="center"/>
          </w:tcPr>
          <w:p w14:paraId="3EE36E7A" w14:textId="2CD797FF" w:rsidR="008F0C71" w:rsidRPr="00696A00" w:rsidRDefault="00F159D7" w:rsidP="00C96427">
            <w:pPr>
              <w:keepNext/>
              <w:spacing w:before="60" w:after="60"/>
              <w:rPr>
                <w:rFonts w:ascii="Arial" w:hAnsi="Arial" w:cs="Arial"/>
                <w:b/>
                <w:bCs/>
                <w:sz w:val="22"/>
                <w:szCs w:val="22"/>
              </w:rPr>
            </w:pPr>
            <w:r>
              <w:rPr>
                <w:rFonts w:ascii="Arial" w:hAnsi="Arial"/>
                <w:b/>
                <w:bCs/>
                <w:sz w:val="22"/>
                <w:szCs w:val="22"/>
              </w:rPr>
              <w:t xml:space="preserve">Fonds du PCI – Ligne budgétaire 3 </w:t>
            </w:r>
            <w:r>
              <w:rPr>
                <w:rFonts w:ascii="Arial" w:hAnsi="Arial"/>
                <w:b/>
                <w:bCs/>
                <w:sz w:val="22"/>
                <w:szCs w:val="22"/>
              </w:rPr>
              <w:br/>
              <w:t>Résultat escompté 3</w:t>
            </w:r>
          </w:p>
        </w:tc>
        <w:tc>
          <w:tcPr>
            <w:tcW w:w="3825" w:type="pct"/>
            <w:gridSpan w:val="2"/>
            <w:shd w:val="clear" w:color="auto" w:fill="F2F2F2" w:themeFill="background1" w:themeFillShade="F2"/>
            <w:vAlign w:val="center"/>
          </w:tcPr>
          <w:p w14:paraId="3612104B" w14:textId="1606E4EC" w:rsidR="008F0C71" w:rsidRPr="00696A00" w:rsidRDefault="008F0C71" w:rsidP="00C96427">
            <w:pPr>
              <w:keepNext/>
              <w:spacing w:before="60" w:after="60"/>
              <w:rPr>
                <w:rFonts w:ascii="Arial" w:hAnsi="Arial" w:cs="Arial"/>
                <w:b/>
                <w:bCs/>
                <w:sz w:val="22"/>
                <w:szCs w:val="22"/>
              </w:rPr>
            </w:pPr>
            <w:r>
              <w:rPr>
                <w:rFonts w:ascii="Arial" w:hAnsi="Arial"/>
                <w:b/>
                <w:bCs/>
                <w:sz w:val="22"/>
                <w:szCs w:val="22"/>
              </w:rPr>
              <w:t>Appui à l</w:t>
            </w:r>
            <w:r w:rsidR="00924865">
              <w:rPr>
                <w:rFonts w:ascii="Arial" w:hAnsi="Arial"/>
                <w:b/>
                <w:bCs/>
                <w:sz w:val="22"/>
                <w:szCs w:val="22"/>
              </w:rPr>
              <w:t>’</w:t>
            </w:r>
            <w:r>
              <w:rPr>
                <w:rFonts w:ascii="Arial" w:hAnsi="Arial"/>
                <w:b/>
                <w:bCs/>
                <w:sz w:val="22"/>
                <w:szCs w:val="22"/>
              </w:rPr>
              <w:t>intégration du patrimoine culturel immatériel dans les plans, politiques et programmes de développement</w:t>
            </w:r>
          </w:p>
        </w:tc>
      </w:tr>
      <w:tr w:rsidR="008F0C71" w:rsidRPr="00E4227D" w14:paraId="467A316D" w14:textId="77777777" w:rsidTr="00C96427">
        <w:trPr>
          <w:cantSplit/>
        </w:trPr>
        <w:tc>
          <w:tcPr>
            <w:tcW w:w="1175" w:type="pct"/>
            <w:gridSpan w:val="2"/>
            <w:vMerge/>
            <w:shd w:val="clear" w:color="auto" w:fill="F2F2F2" w:themeFill="background1" w:themeFillShade="F2"/>
            <w:vAlign w:val="center"/>
          </w:tcPr>
          <w:p w14:paraId="3E955B8C" w14:textId="77777777" w:rsidR="008F0C71" w:rsidRPr="008943FA" w:rsidRDefault="008F0C71" w:rsidP="00C96427">
            <w:pPr>
              <w:keepNext/>
              <w:spacing w:before="60" w:after="60"/>
              <w:rPr>
                <w:rFonts w:ascii="Arial" w:hAnsi="Arial" w:cs="Arial"/>
                <w:b/>
                <w:bCs/>
                <w:sz w:val="22"/>
                <w:szCs w:val="22"/>
              </w:rPr>
            </w:pPr>
          </w:p>
        </w:tc>
        <w:tc>
          <w:tcPr>
            <w:tcW w:w="3825" w:type="pct"/>
            <w:gridSpan w:val="2"/>
            <w:shd w:val="clear" w:color="auto" w:fill="F2F2F2" w:themeFill="background1" w:themeFillShade="F2"/>
            <w:vAlign w:val="center"/>
          </w:tcPr>
          <w:p w14:paraId="02E5D71D" w14:textId="65EED7EB" w:rsidR="008F0C71" w:rsidRPr="00696A00" w:rsidRDefault="008F0C71">
            <w:pPr>
              <w:keepNext/>
              <w:spacing w:before="60" w:after="60"/>
              <w:rPr>
                <w:rFonts w:ascii="Arial" w:hAnsi="Arial" w:cs="Arial"/>
                <w:b/>
                <w:bCs/>
                <w:sz w:val="22"/>
                <w:szCs w:val="22"/>
              </w:rPr>
            </w:pPr>
            <w:r>
              <w:rPr>
                <w:rFonts w:ascii="Arial" w:hAnsi="Arial"/>
                <w:b/>
                <w:bCs/>
                <w:sz w:val="22"/>
                <w:szCs w:val="22"/>
              </w:rPr>
              <w:t>Budget alloué : 62 715 dollars des États-Unis</w:t>
            </w:r>
          </w:p>
        </w:tc>
      </w:tr>
      <w:tr w:rsidR="008F0C71" w:rsidRPr="00BA0B91" w14:paraId="516649DF" w14:textId="77777777" w:rsidTr="00870FD2">
        <w:trPr>
          <w:cantSplit/>
        </w:trPr>
        <w:tc>
          <w:tcPr>
            <w:tcW w:w="363" w:type="pct"/>
            <w:shd w:val="clear" w:color="auto" w:fill="F2F2F2" w:themeFill="background1" w:themeFillShade="F2"/>
            <w:vAlign w:val="center"/>
          </w:tcPr>
          <w:p w14:paraId="58C6FDC9" w14:textId="77777777" w:rsidR="008F0C71" w:rsidRPr="008943FA" w:rsidRDefault="008F0C71" w:rsidP="00C96427">
            <w:pPr>
              <w:keepNext/>
              <w:spacing w:before="60" w:after="60"/>
              <w:jc w:val="right"/>
              <w:rPr>
                <w:rFonts w:ascii="Arial" w:hAnsi="Arial" w:cs="Arial"/>
                <w:i/>
                <w:iCs/>
                <w:sz w:val="22"/>
                <w:szCs w:val="22"/>
              </w:rPr>
            </w:pPr>
          </w:p>
        </w:tc>
        <w:tc>
          <w:tcPr>
            <w:tcW w:w="2318" w:type="pct"/>
            <w:gridSpan w:val="2"/>
            <w:shd w:val="clear" w:color="auto" w:fill="F2F2F2" w:themeFill="background1" w:themeFillShade="F2"/>
            <w:vAlign w:val="center"/>
          </w:tcPr>
          <w:p w14:paraId="6502FB08"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Produits</w:t>
            </w:r>
          </w:p>
        </w:tc>
        <w:tc>
          <w:tcPr>
            <w:tcW w:w="2319" w:type="pct"/>
            <w:tcBorders>
              <w:bottom w:val="single" w:sz="4" w:space="0" w:color="auto"/>
            </w:tcBorders>
            <w:shd w:val="clear" w:color="auto" w:fill="F2F2F2" w:themeFill="background1" w:themeFillShade="F2"/>
            <w:vAlign w:val="center"/>
          </w:tcPr>
          <w:p w14:paraId="3E655B24"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Indicateurs (repères)</w:t>
            </w:r>
            <w:r>
              <w:rPr>
                <w:rFonts w:ascii="Arial" w:hAnsi="Arial"/>
                <w:i/>
                <w:iCs/>
                <w:sz w:val="22"/>
                <w:szCs w:val="22"/>
              </w:rPr>
              <w:br/>
              <w:t>du 1er janvier 2020 au 30 juin 2020</w:t>
            </w:r>
          </w:p>
        </w:tc>
      </w:tr>
      <w:tr w:rsidR="00DE308A" w:rsidRPr="00BA0B91" w14:paraId="13260AA1" w14:textId="77777777" w:rsidTr="00870FD2">
        <w:trPr>
          <w:cantSplit/>
        </w:trPr>
        <w:tc>
          <w:tcPr>
            <w:tcW w:w="363" w:type="pct"/>
            <w:vMerge w:val="restart"/>
            <w:shd w:val="clear" w:color="auto" w:fill="auto"/>
            <w:vAlign w:val="center"/>
          </w:tcPr>
          <w:p w14:paraId="5C2CC906" w14:textId="77777777" w:rsidR="00DE308A" w:rsidRPr="00696A00" w:rsidRDefault="00DE308A" w:rsidP="00C96427">
            <w:pPr>
              <w:spacing w:before="60" w:after="60"/>
              <w:jc w:val="center"/>
              <w:rPr>
                <w:rFonts w:ascii="Arial" w:hAnsi="Arial" w:cs="Arial"/>
                <w:iCs/>
                <w:sz w:val="22"/>
                <w:szCs w:val="22"/>
              </w:rPr>
            </w:pPr>
            <w:r>
              <w:rPr>
                <w:rFonts w:ascii="Arial" w:hAnsi="Arial"/>
                <w:iCs/>
                <w:sz w:val="22"/>
                <w:szCs w:val="22"/>
              </w:rPr>
              <w:t>3.1</w:t>
            </w:r>
          </w:p>
        </w:tc>
        <w:tc>
          <w:tcPr>
            <w:tcW w:w="2318" w:type="pct"/>
            <w:gridSpan w:val="2"/>
            <w:vMerge w:val="restart"/>
            <w:tcBorders>
              <w:right w:val="single" w:sz="4" w:space="0" w:color="auto"/>
            </w:tcBorders>
            <w:shd w:val="clear" w:color="auto" w:fill="auto"/>
            <w:vAlign w:val="center"/>
          </w:tcPr>
          <w:p w14:paraId="3D28E34A" w14:textId="298D2F27" w:rsidR="00DE308A" w:rsidRPr="00D85E86" w:rsidRDefault="00DE308A" w:rsidP="00C96427">
            <w:pPr>
              <w:spacing w:before="60" w:after="60"/>
              <w:rPr>
                <w:rFonts w:ascii="Arial" w:hAnsi="Arial" w:cs="Arial"/>
                <w:sz w:val="22"/>
                <w:szCs w:val="22"/>
              </w:rPr>
            </w:pPr>
            <w:r w:rsidRPr="00D85E86">
              <w:rPr>
                <w:rFonts w:ascii="Arial" w:hAnsi="Arial"/>
                <w:sz w:val="22"/>
                <w:szCs w:val="22"/>
              </w:rPr>
              <w:t>Centre d</w:t>
            </w:r>
            <w:r w:rsidR="00924865" w:rsidRPr="00D85E86">
              <w:rPr>
                <w:rFonts w:ascii="Arial" w:hAnsi="Arial"/>
                <w:sz w:val="22"/>
                <w:szCs w:val="22"/>
              </w:rPr>
              <w:t>’</w:t>
            </w:r>
            <w:r w:rsidRPr="00D85E86">
              <w:rPr>
                <w:rFonts w:ascii="Arial" w:hAnsi="Arial"/>
                <w:sz w:val="22"/>
                <w:szCs w:val="22"/>
              </w:rPr>
              <w:t>échanges mondial destiné au partage de connaissances, à la coopération, à la formation et à l</w:t>
            </w:r>
            <w:r w:rsidR="00924865" w:rsidRPr="00D85E86">
              <w:rPr>
                <w:rFonts w:ascii="Arial" w:hAnsi="Arial"/>
                <w:sz w:val="22"/>
                <w:szCs w:val="22"/>
              </w:rPr>
              <w:t>’</w:t>
            </w:r>
            <w:r w:rsidRPr="00D85E86">
              <w:rPr>
                <w:rFonts w:ascii="Arial" w:hAnsi="Arial"/>
                <w:sz w:val="22"/>
                <w:szCs w:val="22"/>
              </w:rPr>
              <w:t>innovation sur le patrimoine culturel immatériel et le fonctionnement de l</w:t>
            </w:r>
            <w:r w:rsidR="00924865" w:rsidRPr="00D85E86">
              <w:rPr>
                <w:rFonts w:ascii="Arial" w:hAnsi="Arial"/>
                <w:sz w:val="22"/>
                <w:szCs w:val="22"/>
              </w:rPr>
              <w:t>’</w:t>
            </w:r>
            <w:r w:rsidRPr="00D85E86">
              <w:rPr>
                <w:rFonts w:ascii="Arial" w:hAnsi="Arial"/>
                <w:sz w:val="22"/>
                <w:szCs w:val="22"/>
              </w:rPr>
              <w:t>éducation</w:t>
            </w:r>
          </w:p>
        </w:tc>
        <w:tc>
          <w:tcPr>
            <w:tcW w:w="2319" w:type="pct"/>
            <w:tcBorders>
              <w:top w:val="single" w:sz="4" w:space="0" w:color="auto"/>
              <w:left w:val="single" w:sz="4" w:space="0" w:color="auto"/>
              <w:bottom w:val="nil"/>
              <w:right w:val="single" w:sz="4" w:space="0" w:color="auto"/>
            </w:tcBorders>
            <w:shd w:val="clear" w:color="auto" w:fill="auto"/>
            <w:vAlign w:val="center"/>
          </w:tcPr>
          <w:p w14:paraId="64A46E3D" w14:textId="24285B75" w:rsidR="00DE308A" w:rsidRPr="00C06F15" w:rsidRDefault="00DE308A" w:rsidP="00870FD2">
            <w:pPr>
              <w:pStyle w:val="ListParagraph"/>
              <w:numPr>
                <w:ilvl w:val="0"/>
                <w:numId w:val="20"/>
              </w:numPr>
              <w:spacing w:before="60" w:after="60"/>
              <w:ind w:left="360"/>
              <w:contextualSpacing w:val="0"/>
              <w:rPr>
                <w:rFonts w:ascii="Arial" w:hAnsi="Arial" w:cs="Arial"/>
                <w:sz w:val="22"/>
                <w:szCs w:val="22"/>
              </w:rPr>
            </w:pPr>
            <w:r>
              <w:rPr>
                <w:rFonts w:ascii="Arial" w:hAnsi="Arial"/>
                <w:sz w:val="22"/>
                <w:szCs w:val="22"/>
              </w:rPr>
              <w:t>Page Web et ressources pour le centre d</w:t>
            </w:r>
            <w:r w:rsidR="00924865">
              <w:rPr>
                <w:rFonts w:ascii="Arial" w:hAnsi="Arial"/>
                <w:sz w:val="22"/>
                <w:szCs w:val="22"/>
              </w:rPr>
              <w:t>’</w:t>
            </w:r>
            <w:r>
              <w:rPr>
                <w:rFonts w:ascii="Arial" w:hAnsi="Arial"/>
                <w:sz w:val="22"/>
                <w:szCs w:val="22"/>
              </w:rPr>
              <w:t>échanges disponibles en deux langues</w:t>
            </w:r>
          </w:p>
        </w:tc>
      </w:tr>
      <w:tr w:rsidR="00DE308A" w:rsidRPr="00DE308A" w14:paraId="593A9422" w14:textId="77777777" w:rsidTr="00870FD2">
        <w:trPr>
          <w:cantSplit/>
        </w:trPr>
        <w:tc>
          <w:tcPr>
            <w:tcW w:w="363" w:type="pct"/>
            <w:vMerge/>
            <w:shd w:val="clear" w:color="auto" w:fill="auto"/>
            <w:vAlign w:val="center"/>
          </w:tcPr>
          <w:p w14:paraId="35728E9E"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06D60BDC"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5C919CD6" w14:textId="070632D4" w:rsidR="00DE308A" w:rsidRPr="00870FD2" w:rsidRDefault="00DE308A" w:rsidP="00870FD2">
            <w:pPr>
              <w:pStyle w:val="ListParagraph"/>
              <w:numPr>
                <w:ilvl w:val="0"/>
                <w:numId w:val="20"/>
              </w:numPr>
              <w:spacing w:before="60" w:after="60"/>
              <w:ind w:left="360"/>
              <w:contextualSpacing w:val="0"/>
              <w:rPr>
                <w:rFonts w:ascii="Arial" w:hAnsi="Arial" w:cs="Arial"/>
                <w:sz w:val="22"/>
                <w:szCs w:val="22"/>
              </w:rPr>
            </w:pPr>
            <w:r>
              <w:rPr>
                <w:rFonts w:ascii="Arial" w:hAnsi="Arial"/>
                <w:sz w:val="22"/>
                <w:szCs w:val="22"/>
              </w:rPr>
              <w:t>Brochure d</w:t>
            </w:r>
            <w:r w:rsidR="00924865">
              <w:rPr>
                <w:rFonts w:ascii="Arial" w:hAnsi="Arial"/>
                <w:sz w:val="22"/>
                <w:szCs w:val="22"/>
              </w:rPr>
              <w:t>’</w:t>
            </w:r>
            <w:r>
              <w:rPr>
                <w:rFonts w:ascii="Arial" w:hAnsi="Arial"/>
                <w:sz w:val="22"/>
                <w:szCs w:val="22"/>
              </w:rPr>
              <w:t>information sur le programme disponible dans les six langues officielles des Nations Unies</w:t>
            </w:r>
          </w:p>
        </w:tc>
      </w:tr>
      <w:tr w:rsidR="00DE308A" w:rsidRPr="00BA0B91" w14:paraId="10604F5F" w14:textId="77777777" w:rsidTr="00870FD2">
        <w:trPr>
          <w:cantSplit/>
        </w:trPr>
        <w:tc>
          <w:tcPr>
            <w:tcW w:w="363" w:type="pct"/>
            <w:vMerge/>
            <w:shd w:val="clear" w:color="auto" w:fill="auto"/>
            <w:vAlign w:val="center"/>
          </w:tcPr>
          <w:p w14:paraId="3751C6C0" w14:textId="77777777" w:rsidR="00DE308A" w:rsidRPr="00870FD2"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57428AE4" w14:textId="77777777" w:rsidR="00DE308A" w:rsidRPr="00870FD2"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2ED7302F" w14:textId="77EA386F" w:rsidR="00DE308A" w:rsidRPr="00DE308A" w:rsidRDefault="00DE308A" w:rsidP="00870FD2">
            <w:pPr>
              <w:pStyle w:val="ListParagraph"/>
              <w:numPr>
                <w:ilvl w:val="0"/>
                <w:numId w:val="20"/>
              </w:numPr>
              <w:spacing w:before="60" w:after="60"/>
              <w:ind w:left="360"/>
              <w:contextualSpacing w:val="0"/>
              <w:rPr>
                <w:rFonts w:ascii="Arial" w:hAnsi="Arial" w:cs="Arial"/>
                <w:sz w:val="22"/>
                <w:szCs w:val="22"/>
              </w:rPr>
            </w:pPr>
            <w:r>
              <w:rPr>
                <w:rFonts w:ascii="Arial" w:hAnsi="Arial"/>
                <w:sz w:val="22"/>
                <w:szCs w:val="22"/>
              </w:rPr>
              <w:t>Événement parallèle organisé à l</w:t>
            </w:r>
            <w:r w:rsidR="00924865">
              <w:rPr>
                <w:rFonts w:ascii="Arial" w:hAnsi="Arial"/>
                <w:sz w:val="22"/>
                <w:szCs w:val="22"/>
              </w:rPr>
              <w:t>’</w:t>
            </w:r>
            <w:r>
              <w:rPr>
                <w:rFonts w:ascii="Arial" w:hAnsi="Arial"/>
                <w:sz w:val="22"/>
                <w:szCs w:val="22"/>
              </w:rPr>
              <w:t>Assemblée générale sur les progrès réalisés conformément à la nouvelle priorité de financement</w:t>
            </w:r>
          </w:p>
        </w:tc>
      </w:tr>
      <w:tr w:rsidR="00DE308A" w:rsidRPr="00BA0B91" w14:paraId="58E5866E" w14:textId="77777777" w:rsidTr="00D85E86">
        <w:trPr>
          <w:cantSplit/>
        </w:trPr>
        <w:tc>
          <w:tcPr>
            <w:tcW w:w="363" w:type="pct"/>
            <w:vMerge/>
            <w:shd w:val="clear" w:color="auto" w:fill="auto"/>
            <w:vAlign w:val="center"/>
          </w:tcPr>
          <w:p w14:paraId="59D1B040" w14:textId="77777777" w:rsidR="00DE308A" w:rsidRPr="008943FA"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5C635EB1" w14:textId="77777777" w:rsidR="00DE308A" w:rsidRPr="008943FA" w:rsidRDefault="00DE308A" w:rsidP="00C96427">
            <w:pPr>
              <w:spacing w:before="60" w:after="60"/>
              <w:rPr>
                <w:rFonts w:ascii="Arial" w:hAnsi="Arial" w:cs="Arial"/>
                <w:i/>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6B34852A" w14:textId="58F2497B" w:rsidR="00DE308A" w:rsidRPr="00DE308A" w:rsidRDefault="00C32B9E" w:rsidP="000C630C">
            <w:pPr>
              <w:pStyle w:val="ListParagraph"/>
              <w:numPr>
                <w:ilvl w:val="0"/>
                <w:numId w:val="20"/>
              </w:numPr>
              <w:spacing w:before="60" w:after="60"/>
              <w:ind w:left="360"/>
              <w:contextualSpacing w:val="0"/>
              <w:rPr>
                <w:rFonts w:ascii="Arial" w:hAnsi="Arial" w:cs="Arial"/>
                <w:sz w:val="22"/>
                <w:szCs w:val="22"/>
              </w:rPr>
            </w:pPr>
            <w:r>
              <w:rPr>
                <w:rFonts w:ascii="Arial" w:hAnsi="Arial"/>
                <w:sz w:val="22"/>
                <w:szCs w:val="22"/>
              </w:rPr>
              <w:t>Expériences des peuples autochtones vis-à-vis de la sauvegarde de leur patrimoine vivant dans l</w:t>
            </w:r>
            <w:r w:rsidR="00924865">
              <w:rPr>
                <w:rFonts w:ascii="Arial" w:hAnsi="Arial"/>
                <w:sz w:val="22"/>
                <w:szCs w:val="22"/>
              </w:rPr>
              <w:t>’</w:t>
            </w:r>
            <w:r>
              <w:rPr>
                <w:rFonts w:ascii="Arial" w:hAnsi="Arial"/>
                <w:sz w:val="22"/>
                <w:szCs w:val="22"/>
              </w:rPr>
              <w:t>éducation formelle et non formelle incluses dans le travail du centre d</w:t>
            </w:r>
            <w:r w:rsidR="00924865">
              <w:rPr>
                <w:rFonts w:ascii="Arial" w:hAnsi="Arial"/>
                <w:sz w:val="22"/>
                <w:szCs w:val="22"/>
              </w:rPr>
              <w:t>’</w:t>
            </w:r>
            <w:r>
              <w:rPr>
                <w:rFonts w:ascii="Arial" w:hAnsi="Arial"/>
                <w:sz w:val="22"/>
                <w:szCs w:val="22"/>
              </w:rPr>
              <w:t>échanges de l</w:t>
            </w:r>
            <w:r w:rsidR="00924865">
              <w:rPr>
                <w:rFonts w:ascii="Arial" w:hAnsi="Arial"/>
                <w:sz w:val="22"/>
                <w:szCs w:val="22"/>
              </w:rPr>
              <w:t>’</w:t>
            </w:r>
            <w:r>
              <w:rPr>
                <w:rFonts w:ascii="Arial" w:hAnsi="Arial"/>
                <w:sz w:val="22"/>
                <w:szCs w:val="22"/>
              </w:rPr>
              <w:t>UNESCO sur ce thème.</w:t>
            </w:r>
          </w:p>
        </w:tc>
      </w:tr>
      <w:tr w:rsidR="008F0C71" w:rsidRPr="00BA0B91" w14:paraId="56117EC0" w14:textId="77777777" w:rsidTr="00870FD2">
        <w:trPr>
          <w:cantSplit/>
          <w:trHeight w:val="1254"/>
        </w:trPr>
        <w:tc>
          <w:tcPr>
            <w:tcW w:w="363" w:type="pct"/>
            <w:shd w:val="clear" w:color="auto" w:fill="auto"/>
            <w:vAlign w:val="center"/>
          </w:tcPr>
          <w:p w14:paraId="786312A2" w14:textId="77777777" w:rsidR="008F0C71" w:rsidRPr="00696A00" w:rsidRDefault="008F0C71" w:rsidP="00C96427">
            <w:pPr>
              <w:spacing w:before="60" w:after="60"/>
              <w:jc w:val="center"/>
              <w:rPr>
                <w:rFonts w:ascii="Arial" w:hAnsi="Arial" w:cs="Arial"/>
                <w:iCs/>
                <w:sz w:val="22"/>
                <w:szCs w:val="22"/>
              </w:rPr>
            </w:pPr>
            <w:r>
              <w:rPr>
                <w:rFonts w:ascii="Arial" w:hAnsi="Arial"/>
                <w:iCs/>
                <w:sz w:val="22"/>
                <w:szCs w:val="22"/>
              </w:rPr>
              <w:t>3.2</w:t>
            </w:r>
          </w:p>
        </w:tc>
        <w:tc>
          <w:tcPr>
            <w:tcW w:w="2318" w:type="pct"/>
            <w:gridSpan w:val="2"/>
            <w:shd w:val="clear" w:color="auto" w:fill="auto"/>
            <w:vAlign w:val="center"/>
          </w:tcPr>
          <w:p w14:paraId="0BCEC78B" w14:textId="47B5DAB2" w:rsidR="008F0C71" w:rsidRPr="00696A00" w:rsidRDefault="00DE308A" w:rsidP="00C96427">
            <w:pPr>
              <w:spacing w:before="60" w:after="60"/>
              <w:rPr>
                <w:rFonts w:ascii="Arial" w:hAnsi="Arial" w:cs="Arial"/>
                <w:iCs/>
                <w:sz w:val="22"/>
                <w:szCs w:val="22"/>
              </w:rPr>
            </w:pPr>
            <w:r>
              <w:rPr>
                <w:rFonts w:ascii="Arial" w:hAnsi="Arial"/>
                <w:iCs/>
                <w:sz w:val="22"/>
                <w:szCs w:val="22"/>
              </w:rPr>
              <w:t>Renforcement des synergies entre la Convention de 2003 et le travail du système des Nations Unies dans le cadre du Programme de développement durable à l</w:t>
            </w:r>
            <w:r w:rsidR="00924865">
              <w:rPr>
                <w:rFonts w:ascii="Arial" w:hAnsi="Arial"/>
                <w:iCs/>
                <w:sz w:val="22"/>
                <w:szCs w:val="22"/>
              </w:rPr>
              <w:t>’</w:t>
            </w:r>
            <w:r>
              <w:rPr>
                <w:rFonts w:ascii="Arial" w:hAnsi="Arial"/>
                <w:iCs/>
                <w:sz w:val="22"/>
                <w:szCs w:val="22"/>
              </w:rPr>
              <w:t>horizon 2030</w:t>
            </w:r>
          </w:p>
        </w:tc>
        <w:tc>
          <w:tcPr>
            <w:tcW w:w="2319" w:type="pct"/>
            <w:tcBorders>
              <w:top w:val="single" w:sz="4" w:space="0" w:color="auto"/>
            </w:tcBorders>
            <w:shd w:val="clear" w:color="auto" w:fill="auto"/>
            <w:vAlign w:val="center"/>
          </w:tcPr>
          <w:p w14:paraId="16C9C82F" w14:textId="0CCC3685" w:rsidR="008F0C71" w:rsidRPr="00870FD2" w:rsidRDefault="00DE308A" w:rsidP="00870FD2">
            <w:pPr>
              <w:pStyle w:val="ListParagraph"/>
              <w:numPr>
                <w:ilvl w:val="0"/>
                <w:numId w:val="21"/>
              </w:numPr>
              <w:spacing w:before="60" w:after="60"/>
              <w:ind w:left="360"/>
              <w:rPr>
                <w:rFonts w:ascii="Arial" w:hAnsi="Arial" w:cs="Arial"/>
                <w:iCs/>
                <w:sz w:val="22"/>
                <w:szCs w:val="22"/>
              </w:rPr>
            </w:pPr>
            <w:r>
              <w:rPr>
                <w:rFonts w:ascii="Arial" w:hAnsi="Arial"/>
                <w:iCs/>
                <w:sz w:val="22"/>
                <w:szCs w:val="22"/>
              </w:rPr>
              <w:t>Suivi de la participation à l</w:t>
            </w:r>
            <w:r w:rsidR="00924865">
              <w:rPr>
                <w:rFonts w:ascii="Arial" w:hAnsi="Arial"/>
                <w:iCs/>
                <w:sz w:val="22"/>
                <w:szCs w:val="22"/>
              </w:rPr>
              <w:t>’</w:t>
            </w:r>
            <w:r>
              <w:rPr>
                <w:rFonts w:ascii="Arial" w:hAnsi="Arial"/>
                <w:iCs/>
                <w:sz w:val="22"/>
                <w:szCs w:val="22"/>
              </w:rPr>
              <w:t>Instance permanente sur les questions autochtones des Nations Unies</w:t>
            </w:r>
          </w:p>
        </w:tc>
      </w:tr>
    </w:tbl>
    <w:p w14:paraId="2CA3DC52" w14:textId="77777777" w:rsidR="008F0C71" w:rsidRPr="008943FA" w:rsidRDefault="008F0C71" w:rsidP="00D85E86">
      <w:pPr>
        <w:pStyle w:val="COMParaDecision"/>
        <w:numPr>
          <w:ilvl w:val="0"/>
          <w:numId w:val="0"/>
        </w:numPr>
        <w:spacing w:after="0"/>
        <w:jc w:val="left"/>
      </w:pPr>
    </w:p>
    <w:tbl>
      <w:tblPr>
        <w:tblStyle w:val="TableGrid"/>
        <w:tblW w:w="5002" w:type="pct"/>
        <w:tblLayout w:type="fixed"/>
        <w:tblLook w:val="04A0" w:firstRow="1" w:lastRow="0" w:firstColumn="1" w:lastColumn="0" w:noHBand="0" w:noVBand="1"/>
      </w:tblPr>
      <w:tblGrid>
        <w:gridCol w:w="700"/>
        <w:gridCol w:w="1564"/>
        <w:gridCol w:w="2901"/>
        <w:gridCol w:w="4467"/>
      </w:tblGrid>
      <w:tr w:rsidR="008F0C71" w:rsidRPr="00BA0B91" w14:paraId="34BE2BCD" w14:textId="77777777" w:rsidTr="00870FD2">
        <w:trPr>
          <w:cantSplit/>
        </w:trPr>
        <w:tc>
          <w:tcPr>
            <w:tcW w:w="1175" w:type="pct"/>
            <w:gridSpan w:val="2"/>
            <w:tcBorders>
              <w:bottom w:val="single" w:sz="4" w:space="0" w:color="000000"/>
            </w:tcBorders>
            <w:shd w:val="clear" w:color="auto" w:fill="808080" w:themeFill="background1" w:themeFillShade="80"/>
            <w:vAlign w:val="center"/>
          </w:tcPr>
          <w:p w14:paraId="25480DE8" w14:textId="3045A707" w:rsidR="008F0C71" w:rsidRPr="00696A00" w:rsidRDefault="008F0C71" w:rsidP="00253355">
            <w:pPr>
              <w:keepNext/>
              <w:spacing w:before="60" w:after="60"/>
              <w:rPr>
                <w:rFonts w:ascii="Arial" w:hAnsi="Arial" w:cs="Arial"/>
                <w:b/>
                <w:bCs/>
                <w:color w:val="FFFFFF" w:themeColor="background1"/>
                <w:sz w:val="22"/>
                <w:szCs w:val="22"/>
              </w:rPr>
            </w:pPr>
            <w:r>
              <w:rPr>
                <w:rFonts w:ascii="Arial" w:hAnsi="Arial"/>
                <w:b/>
                <w:bCs/>
                <w:color w:val="FFFFFF" w:themeColor="background1"/>
                <w:sz w:val="22"/>
                <w:szCs w:val="22"/>
              </w:rPr>
              <w:t xml:space="preserve">Indicateur de performance 5 du </w:t>
            </w:r>
            <w:r w:rsidR="00345A18">
              <w:rPr>
                <w:rFonts w:ascii="Arial" w:hAnsi="Arial"/>
                <w:b/>
                <w:bCs/>
                <w:color w:val="FFFFFF" w:themeColor="background1"/>
                <w:sz w:val="22"/>
                <w:szCs w:val="22"/>
              </w:rPr>
              <w:t>39</w:t>
            </w:r>
            <w:r>
              <w:rPr>
                <w:rFonts w:ascii="Arial" w:hAnsi="Arial"/>
                <w:b/>
                <w:bCs/>
                <w:color w:val="FFFFFF" w:themeColor="background1"/>
                <w:sz w:val="22"/>
                <w:szCs w:val="22"/>
              </w:rPr>
              <w:t>C/5</w:t>
            </w:r>
          </w:p>
        </w:tc>
        <w:tc>
          <w:tcPr>
            <w:tcW w:w="3825" w:type="pct"/>
            <w:gridSpan w:val="2"/>
            <w:shd w:val="clear" w:color="auto" w:fill="808080" w:themeFill="background1" w:themeFillShade="80"/>
            <w:vAlign w:val="center"/>
          </w:tcPr>
          <w:p w14:paraId="584A4822" w14:textId="44EA7EC8" w:rsidR="008F0C71" w:rsidRPr="00696A00" w:rsidRDefault="008F0C71" w:rsidP="00253355">
            <w:pPr>
              <w:keepNext/>
              <w:spacing w:before="60" w:after="60"/>
              <w:rPr>
                <w:rFonts w:ascii="Arial" w:hAnsi="Arial" w:cs="Arial"/>
                <w:b/>
                <w:bCs/>
                <w:color w:val="FFFFFF" w:themeColor="background1"/>
                <w:sz w:val="22"/>
                <w:szCs w:val="22"/>
              </w:rPr>
            </w:pPr>
            <w:r>
              <w:rPr>
                <w:rFonts w:ascii="Arial" w:hAnsi="Arial"/>
                <w:b/>
                <w:bCs/>
                <w:color w:val="FFFFFF" w:themeColor="background1"/>
                <w:sz w:val="22"/>
                <w:szCs w:val="22"/>
              </w:rPr>
              <w:t>Nombre d</w:t>
            </w:r>
            <w:r w:rsidR="00924865">
              <w:rPr>
                <w:rFonts w:ascii="Arial" w:hAnsi="Arial"/>
                <w:b/>
                <w:bCs/>
                <w:color w:val="FFFFFF" w:themeColor="background1"/>
                <w:sz w:val="22"/>
                <w:szCs w:val="22"/>
              </w:rPr>
              <w:t>’</w:t>
            </w:r>
            <w:r>
              <w:rPr>
                <w:rFonts w:ascii="Arial" w:hAnsi="Arial"/>
                <w:b/>
                <w:bCs/>
                <w:color w:val="FFFFFF" w:themeColor="background1"/>
                <w:sz w:val="22"/>
                <w:szCs w:val="22"/>
              </w:rPr>
              <w:t xml:space="preserve">initiatives </w:t>
            </w:r>
            <w:r w:rsidR="00F144BC">
              <w:rPr>
                <w:rFonts w:ascii="Arial" w:hAnsi="Arial"/>
                <w:b/>
                <w:bCs/>
                <w:color w:val="FFFFFF" w:themeColor="background1"/>
                <w:sz w:val="22"/>
                <w:szCs w:val="22"/>
              </w:rPr>
              <w:t xml:space="preserve">lancées </w:t>
            </w:r>
            <w:r>
              <w:rPr>
                <w:rFonts w:ascii="Arial" w:hAnsi="Arial"/>
                <w:b/>
                <w:bCs/>
                <w:color w:val="FFFFFF" w:themeColor="background1"/>
                <w:sz w:val="22"/>
                <w:szCs w:val="22"/>
              </w:rPr>
              <w:t xml:space="preserve">par des États membres soutenus </w:t>
            </w:r>
            <w:r w:rsidR="00F144BC">
              <w:rPr>
                <w:rFonts w:ascii="Arial" w:hAnsi="Arial"/>
                <w:b/>
                <w:bCs/>
                <w:color w:val="FFFFFF" w:themeColor="background1"/>
                <w:sz w:val="22"/>
                <w:szCs w:val="22"/>
              </w:rPr>
              <w:t xml:space="preserve">qui ont amélioré la </w:t>
            </w:r>
            <w:r>
              <w:rPr>
                <w:rFonts w:ascii="Arial" w:hAnsi="Arial"/>
                <w:b/>
                <w:bCs/>
                <w:color w:val="FFFFFF" w:themeColor="background1"/>
                <w:sz w:val="22"/>
                <w:szCs w:val="22"/>
              </w:rPr>
              <w:t xml:space="preserve">connaissance et </w:t>
            </w:r>
            <w:r w:rsidR="00F144BC">
              <w:rPr>
                <w:rFonts w:ascii="Arial" w:hAnsi="Arial"/>
                <w:b/>
                <w:bCs/>
                <w:color w:val="FFFFFF" w:themeColor="background1"/>
                <w:sz w:val="22"/>
                <w:szCs w:val="22"/>
              </w:rPr>
              <w:t xml:space="preserve">la </w:t>
            </w:r>
            <w:r>
              <w:rPr>
                <w:rFonts w:ascii="Arial" w:hAnsi="Arial"/>
                <w:b/>
                <w:bCs/>
                <w:color w:val="FFFFFF" w:themeColor="background1"/>
                <w:sz w:val="22"/>
                <w:szCs w:val="22"/>
              </w:rPr>
              <w:t>compréhension de la sauvegarde du patrimoine culturel immatériel et de la Convention de 2003</w:t>
            </w:r>
          </w:p>
        </w:tc>
      </w:tr>
      <w:tr w:rsidR="008F0C71" w:rsidRPr="00BA0B91" w14:paraId="00C39B63" w14:textId="77777777" w:rsidTr="00870FD2">
        <w:trPr>
          <w:cantSplit/>
          <w:trHeight w:val="794"/>
        </w:trPr>
        <w:tc>
          <w:tcPr>
            <w:tcW w:w="1175" w:type="pct"/>
            <w:gridSpan w:val="2"/>
            <w:vMerge w:val="restart"/>
            <w:shd w:val="clear" w:color="auto" w:fill="F2F2F2" w:themeFill="background1" w:themeFillShade="F2"/>
            <w:vAlign w:val="center"/>
          </w:tcPr>
          <w:p w14:paraId="4BCAA635" w14:textId="51BAFE96" w:rsidR="008F0C71" w:rsidRPr="00696A00" w:rsidRDefault="00F159D7">
            <w:pPr>
              <w:keepNext/>
              <w:spacing w:before="60" w:after="60"/>
              <w:rPr>
                <w:rFonts w:ascii="Arial" w:hAnsi="Arial" w:cs="Arial"/>
                <w:b/>
                <w:bCs/>
                <w:sz w:val="22"/>
                <w:szCs w:val="22"/>
              </w:rPr>
            </w:pPr>
            <w:r>
              <w:rPr>
                <w:rFonts w:ascii="Arial" w:hAnsi="Arial"/>
                <w:b/>
                <w:bCs/>
                <w:sz w:val="22"/>
                <w:szCs w:val="22"/>
              </w:rPr>
              <w:t xml:space="preserve">Fonds du PCI – Ligne budgétaire 3 </w:t>
            </w:r>
            <w:r>
              <w:rPr>
                <w:rFonts w:ascii="Arial" w:hAnsi="Arial"/>
                <w:b/>
                <w:bCs/>
                <w:sz w:val="22"/>
                <w:szCs w:val="22"/>
              </w:rPr>
              <w:br/>
              <w:t>Résultat escompté 4</w:t>
            </w:r>
          </w:p>
        </w:tc>
        <w:tc>
          <w:tcPr>
            <w:tcW w:w="3825" w:type="pct"/>
            <w:gridSpan w:val="2"/>
            <w:shd w:val="clear" w:color="auto" w:fill="F2F2F2" w:themeFill="background1" w:themeFillShade="F2"/>
            <w:vAlign w:val="center"/>
          </w:tcPr>
          <w:p w14:paraId="38571B6B" w14:textId="410EB4A1" w:rsidR="008F0C71" w:rsidRPr="00696A00" w:rsidRDefault="008F0C71" w:rsidP="00C96427">
            <w:pPr>
              <w:keepNext/>
              <w:spacing w:before="60" w:after="60"/>
              <w:rPr>
                <w:rFonts w:ascii="Arial" w:hAnsi="Arial" w:cs="Arial"/>
                <w:b/>
                <w:bCs/>
                <w:sz w:val="22"/>
                <w:szCs w:val="22"/>
              </w:rPr>
            </w:pPr>
            <w:r>
              <w:rPr>
                <w:rFonts w:ascii="Arial" w:hAnsi="Arial"/>
                <w:b/>
                <w:bCs/>
                <w:sz w:val="22"/>
                <w:szCs w:val="22"/>
              </w:rPr>
              <w:t>Promotion des objectifs de la Convention par des actions de sensibilisation et d</w:t>
            </w:r>
            <w:r w:rsidR="00924865">
              <w:rPr>
                <w:rFonts w:ascii="Arial" w:hAnsi="Arial"/>
                <w:b/>
                <w:bCs/>
                <w:sz w:val="22"/>
                <w:szCs w:val="22"/>
              </w:rPr>
              <w:t>’</w:t>
            </w:r>
            <w:r>
              <w:rPr>
                <w:rFonts w:ascii="Arial" w:hAnsi="Arial"/>
                <w:b/>
                <w:bCs/>
                <w:sz w:val="22"/>
                <w:szCs w:val="22"/>
              </w:rPr>
              <w:t>information</w:t>
            </w:r>
          </w:p>
        </w:tc>
      </w:tr>
      <w:tr w:rsidR="008F0C71" w:rsidRPr="00F159D7" w14:paraId="67029358" w14:textId="77777777" w:rsidTr="00870FD2">
        <w:trPr>
          <w:cantSplit/>
        </w:trPr>
        <w:tc>
          <w:tcPr>
            <w:tcW w:w="1175" w:type="pct"/>
            <w:gridSpan w:val="2"/>
            <w:vMerge/>
            <w:tcBorders>
              <w:top w:val="nil"/>
            </w:tcBorders>
            <w:shd w:val="clear" w:color="auto" w:fill="F2F2F2" w:themeFill="background1" w:themeFillShade="F2"/>
            <w:vAlign w:val="center"/>
          </w:tcPr>
          <w:p w14:paraId="6B2CCB53" w14:textId="77777777" w:rsidR="008F0C71" w:rsidRPr="008943FA" w:rsidRDefault="008F0C71" w:rsidP="00C96427">
            <w:pPr>
              <w:keepNext/>
              <w:spacing w:before="60" w:after="60"/>
              <w:rPr>
                <w:rFonts w:ascii="Arial" w:hAnsi="Arial" w:cs="Arial"/>
                <w:b/>
                <w:bCs/>
                <w:sz w:val="22"/>
                <w:szCs w:val="22"/>
              </w:rPr>
            </w:pPr>
          </w:p>
        </w:tc>
        <w:tc>
          <w:tcPr>
            <w:tcW w:w="3825" w:type="pct"/>
            <w:gridSpan w:val="2"/>
            <w:shd w:val="clear" w:color="auto" w:fill="F2F2F2" w:themeFill="background1" w:themeFillShade="F2"/>
            <w:vAlign w:val="center"/>
          </w:tcPr>
          <w:p w14:paraId="30812F5B" w14:textId="0DC5AB45" w:rsidR="008F0C71" w:rsidRPr="00696A00" w:rsidRDefault="008F0C71">
            <w:pPr>
              <w:keepNext/>
              <w:spacing w:before="60" w:after="60"/>
              <w:rPr>
                <w:rFonts w:ascii="Arial" w:hAnsi="Arial" w:cs="Arial"/>
                <w:b/>
                <w:bCs/>
                <w:sz w:val="22"/>
                <w:szCs w:val="22"/>
              </w:rPr>
            </w:pPr>
            <w:r>
              <w:rPr>
                <w:rFonts w:ascii="Arial" w:hAnsi="Arial"/>
                <w:b/>
                <w:bCs/>
                <w:sz w:val="22"/>
                <w:szCs w:val="22"/>
              </w:rPr>
              <w:t>Budget alloué : 86 343 dollars des États-Unis</w:t>
            </w:r>
          </w:p>
        </w:tc>
      </w:tr>
      <w:tr w:rsidR="008F0C71" w:rsidRPr="00BA0B91" w14:paraId="71F80671" w14:textId="77777777" w:rsidTr="00C96427">
        <w:trPr>
          <w:cantSplit/>
        </w:trPr>
        <w:tc>
          <w:tcPr>
            <w:tcW w:w="363" w:type="pct"/>
            <w:shd w:val="clear" w:color="auto" w:fill="F2F2F2" w:themeFill="background1" w:themeFillShade="F2"/>
            <w:vAlign w:val="center"/>
          </w:tcPr>
          <w:p w14:paraId="68DB7646" w14:textId="77777777" w:rsidR="008F0C71" w:rsidRPr="008943FA" w:rsidRDefault="008F0C71" w:rsidP="00C96427">
            <w:pPr>
              <w:keepNext/>
              <w:spacing w:before="60" w:after="60"/>
              <w:jc w:val="right"/>
              <w:rPr>
                <w:rFonts w:ascii="Arial" w:hAnsi="Arial" w:cs="Arial"/>
                <w:i/>
                <w:iCs/>
                <w:sz w:val="22"/>
                <w:szCs w:val="22"/>
              </w:rPr>
            </w:pPr>
          </w:p>
        </w:tc>
        <w:tc>
          <w:tcPr>
            <w:tcW w:w="2318" w:type="pct"/>
            <w:gridSpan w:val="2"/>
            <w:shd w:val="clear" w:color="auto" w:fill="F2F2F2" w:themeFill="background1" w:themeFillShade="F2"/>
            <w:vAlign w:val="center"/>
          </w:tcPr>
          <w:p w14:paraId="46555D6E"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Produits</w:t>
            </w:r>
          </w:p>
        </w:tc>
        <w:tc>
          <w:tcPr>
            <w:tcW w:w="2319" w:type="pct"/>
            <w:shd w:val="clear" w:color="auto" w:fill="F2F2F2" w:themeFill="background1" w:themeFillShade="F2"/>
            <w:vAlign w:val="center"/>
          </w:tcPr>
          <w:p w14:paraId="53EE246B" w14:textId="77777777" w:rsidR="008F0C71" w:rsidRPr="00696A00" w:rsidRDefault="008F0C71" w:rsidP="00C96427">
            <w:pPr>
              <w:keepNext/>
              <w:spacing w:before="60" w:after="60"/>
              <w:jc w:val="center"/>
              <w:rPr>
                <w:rFonts w:ascii="Arial" w:hAnsi="Arial" w:cs="Arial"/>
                <w:i/>
                <w:iCs/>
                <w:sz w:val="22"/>
                <w:szCs w:val="22"/>
              </w:rPr>
            </w:pPr>
            <w:r>
              <w:rPr>
                <w:rFonts w:ascii="Arial" w:hAnsi="Arial"/>
                <w:i/>
                <w:iCs/>
                <w:sz w:val="22"/>
                <w:szCs w:val="22"/>
              </w:rPr>
              <w:t>Indicateurs (repères)</w:t>
            </w:r>
            <w:r>
              <w:rPr>
                <w:rFonts w:ascii="Arial" w:hAnsi="Arial"/>
                <w:i/>
                <w:iCs/>
                <w:sz w:val="22"/>
                <w:szCs w:val="22"/>
              </w:rPr>
              <w:br/>
              <w:t>du 1er janvier 2020 au 30 juin 2020</w:t>
            </w:r>
          </w:p>
        </w:tc>
      </w:tr>
      <w:tr w:rsidR="008F0C71" w:rsidRPr="00BA0B91" w14:paraId="21B89EED" w14:textId="77777777" w:rsidTr="00253355">
        <w:trPr>
          <w:cantSplit/>
          <w:trHeight w:val="816"/>
        </w:trPr>
        <w:tc>
          <w:tcPr>
            <w:tcW w:w="363" w:type="pct"/>
            <w:shd w:val="clear" w:color="auto" w:fill="auto"/>
            <w:vAlign w:val="center"/>
          </w:tcPr>
          <w:p w14:paraId="531C1AA1" w14:textId="77777777" w:rsidR="008F0C71" w:rsidRPr="00696A00" w:rsidRDefault="008F0C71" w:rsidP="00C96427">
            <w:pPr>
              <w:spacing w:before="60" w:after="60"/>
              <w:jc w:val="center"/>
              <w:rPr>
                <w:rFonts w:ascii="Arial" w:hAnsi="Arial" w:cs="Arial"/>
                <w:iCs/>
                <w:sz w:val="22"/>
                <w:szCs w:val="22"/>
              </w:rPr>
            </w:pPr>
            <w:r>
              <w:rPr>
                <w:rFonts w:ascii="Arial" w:hAnsi="Arial"/>
                <w:iCs/>
                <w:sz w:val="22"/>
                <w:szCs w:val="22"/>
              </w:rPr>
              <w:t>4.1</w:t>
            </w:r>
          </w:p>
        </w:tc>
        <w:tc>
          <w:tcPr>
            <w:tcW w:w="2318" w:type="pct"/>
            <w:gridSpan w:val="2"/>
            <w:shd w:val="clear" w:color="auto" w:fill="auto"/>
            <w:vAlign w:val="center"/>
          </w:tcPr>
          <w:p w14:paraId="78367CCF" w14:textId="314A0039" w:rsidR="008F0C71" w:rsidRPr="00696A00" w:rsidRDefault="000F65F0" w:rsidP="00C96427">
            <w:pPr>
              <w:spacing w:before="60" w:after="60"/>
              <w:rPr>
                <w:rFonts w:ascii="Arial" w:hAnsi="Arial" w:cs="Arial"/>
                <w:color w:val="000000"/>
                <w:sz w:val="22"/>
                <w:szCs w:val="22"/>
              </w:rPr>
            </w:pPr>
            <w:r>
              <w:rPr>
                <w:rFonts w:ascii="Arial" w:hAnsi="Arial"/>
                <w:color w:val="000000"/>
                <w:sz w:val="22"/>
                <w:szCs w:val="22"/>
              </w:rPr>
              <w:t>Outils de communication et d</w:t>
            </w:r>
            <w:r w:rsidR="00924865">
              <w:rPr>
                <w:rFonts w:ascii="Arial" w:hAnsi="Arial"/>
                <w:color w:val="000000"/>
                <w:sz w:val="22"/>
                <w:szCs w:val="22"/>
              </w:rPr>
              <w:t>’</w:t>
            </w:r>
            <w:r>
              <w:rPr>
                <w:rFonts w:ascii="Arial" w:hAnsi="Arial"/>
                <w:color w:val="000000"/>
                <w:sz w:val="22"/>
                <w:szCs w:val="22"/>
              </w:rPr>
              <w:t>information développés et mis en œuvre pour promouvoir les objectifs de la Convention</w:t>
            </w:r>
          </w:p>
        </w:tc>
        <w:tc>
          <w:tcPr>
            <w:tcW w:w="2319" w:type="pct"/>
            <w:shd w:val="clear" w:color="auto" w:fill="auto"/>
            <w:vAlign w:val="center"/>
          </w:tcPr>
          <w:p w14:paraId="5D5F07BC" w14:textId="705848E1" w:rsidR="008F0C71" w:rsidRPr="00C06F15" w:rsidRDefault="000F65F0" w:rsidP="00870FD2">
            <w:pPr>
              <w:pStyle w:val="ListParagraph"/>
              <w:numPr>
                <w:ilvl w:val="0"/>
                <w:numId w:val="20"/>
              </w:numPr>
              <w:spacing w:before="60" w:after="60"/>
              <w:ind w:left="360"/>
              <w:contextualSpacing w:val="0"/>
              <w:rPr>
                <w:rFonts w:ascii="Arial" w:hAnsi="Arial" w:cs="Arial"/>
                <w:iCs/>
                <w:sz w:val="22"/>
                <w:szCs w:val="22"/>
              </w:rPr>
            </w:pPr>
            <w:r>
              <w:rPr>
                <w:rFonts w:ascii="Arial" w:hAnsi="Arial"/>
                <w:iCs/>
                <w:sz w:val="22"/>
                <w:szCs w:val="22"/>
              </w:rPr>
              <w:t>Outil/support/activité d</w:t>
            </w:r>
            <w:r w:rsidR="00924865">
              <w:rPr>
                <w:rFonts w:ascii="Arial" w:hAnsi="Arial"/>
                <w:iCs/>
                <w:sz w:val="22"/>
                <w:szCs w:val="22"/>
              </w:rPr>
              <w:t>’</w:t>
            </w:r>
            <w:r>
              <w:rPr>
                <w:rFonts w:ascii="Arial" w:hAnsi="Arial"/>
                <w:iCs/>
                <w:sz w:val="22"/>
                <w:szCs w:val="22"/>
              </w:rPr>
              <w:t>information produit et diffusé</w:t>
            </w:r>
          </w:p>
        </w:tc>
      </w:tr>
    </w:tbl>
    <w:p w14:paraId="42B5A597" w14:textId="77777777" w:rsidR="008F0C71" w:rsidRPr="00253355" w:rsidRDefault="008F0C71" w:rsidP="00D85E86">
      <w:pPr>
        <w:pStyle w:val="COMParaDecision"/>
        <w:numPr>
          <w:ilvl w:val="0"/>
          <w:numId w:val="0"/>
        </w:numPr>
        <w:spacing w:after="0"/>
        <w:jc w:val="left"/>
        <w:rPr>
          <w:sz w:val="10"/>
          <w:szCs w:val="10"/>
          <w:u w:val="none"/>
        </w:rPr>
      </w:pPr>
    </w:p>
    <w:sectPr w:rsidR="008F0C71" w:rsidRPr="00253355" w:rsidSect="00655736">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22C21" w16cid:durableId="207E8409"/>
  <w16cid:commentId w16cid:paraId="1283BE3D" w16cid:durableId="207E840A"/>
  <w16cid:commentId w16cid:paraId="6325F23D" w16cid:durableId="207E840B"/>
  <w16cid:commentId w16cid:paraId="41CB0453" w16cid:durableId="207E8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6AA2" w14:textId="77777777" w:rsidR="00B2127C" w:rsidRDefault="00B2127C" w:rsidP="00655736">
      <w:r>
        <w:separator/>
      </w:r>
    </w:p>
  </w:endnote>
  <w:endnote w:type="continuationSeparator" w:id="0">
    <w:p w14:paraId="2391FC01" w14:textId="77777777" w:rsidR="00B2127C" w:rsidRDefault="00B2127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0F8C" w14:textId="77777777" w:rsidR="00B2127C" w:rsidRDefault="00B2127C" w:rsidP="00655736">
      <w:r>
        <w:separator/>
      </w:r>
    </w:p>
  </w:footnote>
  <w:footnote w:type="continuationSeparator" w:id="0">
    <w:p w14:paraId="43D1B82E" w14:textId="77777777" w:rsidR="00B2127C" w:rsidRDefault="00B2127C"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DF29" w14:textId="5F07A696" w:rsidR="00B2127C" w:rsidRPr="002D3C97" w:rsidRDefault="00B2127C" w:rsidP="002D3C97">
    <w:pPr>
      <w:pStyle w:val="Header"/>
      <w:rPr>
        <w:rFonts w:ascii="Arial" w:hAnsi="Arial" w:cs="Arial"/>
      </w:rPr>
    </w:pPr>
    <w:r>
      <w:rPr>
        <w:rFonts w:ascii="Arial" w:hAnsi="Arial"/>
        <w:sz w:val="20"/>
        <w:szCs w:val="20"/>
      </w:rPr>
      <w:t xml:space="preserve">LHE/19/14.COM 2.BUR/3 – page </w:t>
    </w:r>
    <w:r w:rsidRPr="00C23A97">
      <w:rPr>
        <w:rStyle w:val="PageNumber"/>
        <w:rFonts w:ascii="Arial" w:hAnsi="Arial" w:cs="Arial"/>
        <w:sz w:val="20"/>
        <w:szCs w:val="20"/>
      </w:rPr>
      <w:fldChar w:fldCharType="begin"/>
    </w:r>
    <w:r w:rsidRPr="002D3C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947AC3">
      <w:rPr>
        <w:rStyle w:val="PageNumber"/>
        <w:rFonts w:ascii="Arial" w:hAnsi="Arial" w:cs="Arial"/>
        <w:noProof/>
        <w:sz w:val="20"/>
        <w:szCs w:val="20"/>
      </w:rPr>
      <w:t>8</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9E46" w14:textId="0A769204" w:rsidR="00B2127C" w:rsidRPr="0063300C" w:rsidRDefault="00B2127C" w:rsidP="002D3C97">
    <w:pPr>
      <w:pStyle w:val="Header"/>
      <w:jc w:val="right"/>
      <w:rPr>
        <w:rFonts w:ascii="Arial" w:hAnsi="Arial" w:cs="Arial"/>
      </w:rPr>
    </w:pPr>
    <w:r>
      <w:rPr>
        <w:rFonts w:ascii="Arial" w:hAnsi="Arial"/>
        <w:sz w:val="20"/>
        <w:szCs w:val="20"/>
      </w:rPr>
      <w:t xml:space="preserve">LHE/19/14.COM 2.BUR/3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947AC3">
      <w:rPr>
        <w:rStyle w:val="PageNumber"/>
        <w:rFonts w:ascii="Arial" w:hAnsi="Arial" w:cs="Arial"/>
        <w:noProof/>
        <w:sz w:val="20"/>
        <w:szCs w:val="20"/>
      </w:rPr>
      <w:t>7</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9CEA" w14:textId="15AB9F7D" w:rsidR="00B2127C" w:rsidRPr="00F32C23" w:rsidRDefault="00AD2FC8">
    <w:pPr>
      <w:pStyle w:val="Header"/>
    </w:pPr>
    <w:r>
      <w:rPr>
        <w:noProof/>
        <w:lang w:val="en-US" w:eastAsia="ko-KR"/>
      </w:rPr>
      <w:drawing>
        <wp:anchor distT="0" distB="0" distL="114300" distR="114300" simplePos="0" relativeHeight="251659776" behindDoc="0" locked="0" layoutInCell="1" allowOverlap="1" wp14:anchorId="6D5B2FD9" wp14:editId="25DC8BAC">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1B172" w14:textId="77777777" w:rsidR="00B2127C" w:rsidRPr="009721D3" w:rsidRDefault="00B2127C" w:rsidP="00655736">
    <w:pPr>
      <w:pStyle w:val="Header"/>
      <w:spacing w:after="520"/>
      <w:jc w:val="right"/>
      <w:rPr>
        <w:rFonts w:ascii="Arial" w:hAnsi="Arial" w:cs="Arial"/>
        <w:b/>
        <w:sz w:val="44"/>
        <w:szCs w:val="44"/>
        <w:lang w:val="en-US"/>
      </w:rPr>
    </w:pPr>
    <w:r w:rsidRPr="009721D3">
      <w:rPr>
        <w:rFonts w:ascii="Arial" w:hAnsi="Arial"/>
        <w:b/>
        <w:sz w:val="44"/>
        <w:szCs w:val="44"/>
        <w:lang w:val="en-US"/>
      </w:rPr>
      <w:t>14 COM 2 BUR</w:t>
    </w:r>
  </w:p>
  <w:p w14:paraId="36614698" w14:textId="3330637A" w:rsidR="00B2127C" w:rsidRPr="00947AC3" w:rsidRDefault="00AD2FC8" w:rsidP="002D3C97">
    <w:pPr>
      <w:jc w:val="right"/>
      <w:rPr>
        <w:rFonts w:ascii="Arial" w:hAnsi="Arial" w:cs="Arial"/>
        <w:b/>
        <w:sz w:val="22"/>
        <w:szCs w:val="22"/>
        <w:lang w:val="en-US"/>
      </w:rPr>
    </w:pPr>
    <w:r w:rsidRPr="00947AC3">
      <w:rPr>
        <w:rFonts w:ascii="Arial" w:hAnsi="Arial"/>
        <w:b/>
        <w:sz w:val="22"/>
        <w:szCs w:val="22"/>
        <w:lang w:val="en-US"/>
      </w:rPr>
      <w:t>LHE</w:t>
    </w:r>
    <w:r w:rsidR="00B2127C" w:rsidRPr="00947AC3">
      <w:rPr>
        <w:rFonts w:ascii="Arial" w:hAnsi="Arial"/>
        <w:b/>
        <w:sz w:val="22"/>
        <w:szCs w:val="22"/>
        <w:lang w:val="en-US"/>
      </w:rPr>
      <w:t>/19/14.COM 2.BUR/3</w:t>
    </w:r>
  </w:p>
  <w:p w14:paraId="4CDE0970" w14:textId="320D32CE" w:rsidR="00B2127C" w:rsidRPr="00A73F63" w:rsidRDefault="00B2127C" w:rsidP="00B25683">
    <w:pPr>
      <w:jc w:val="right"/>
      <w:rPr>
        <w:rFonts w:ascii="Arial" w:eastAsiaTheme="minorEastAsia" w:hAnsi="Arial" w:cs="Arial"/>
        <w:b/>
        <w:sz w:val="22"/>
        <w:szCs w:val="22"/>
      </w:rPr>
    </w:pPr>
    <w:r>
      <w:rPr>
        <w:rFonts w:ascii="Arial" w:hAnsi="Arial"/>
        <w:b/>
        <w:sz w:val="22"/>
        <w:szCs w:val="22"/>
      </w:rPr>
      <w:t xml:space="preserve">Paris, le </w:t>
    </w:r>
    <w:r w:rsidR="00B25683">
      <w:rPr>
        <w:rFonts w:ascii="Arial" w:hAnsi="Arial"/>
        <w:b/>
        <w:sz w:val="22"/>
        <w:szCs w:val="22"/>
      </w:rPr>
      <w:t>4</w:t>
    </w:r>
    <w:r>
      <w:rPr>
        <w:rFonts w:ascii="Arial" w:hAnsi="Arial"/>
        <w:b/>
        <w:sz w:val="22"/>
        <w:szCs w:val="22"/>
      </w:rPr>
      <w:t xml:space="preserve"> </w:t>
    </w:r>
    <w:r w:rsidR="00B25683">
      <w:rPr>
        <w:rFonts w:ascii="Arial" w:hAnsi="Arial"/>
        <w:b/>
        <w:sz w:val="22"/>
        <w:szCs w:val="22"/>
      </w:rPr>
      <w:t>juin</w:t>
    </w:r>
    <w:r>
      <w:rPr>
        <w:rFonts w:ascii="Arial" w:hAnsi="Arial"/>
        <w:b/>
        <w:sz w:val="22"/>
        <w:szCs w:val="22"/>
      </w:rPr>
      <w:t> 2019</w:t>
    </w:r>
  </w:p>
  <w:p w14:paraId="7D1CEDD1" w14:textId="77777777" w:rsidR="00B2127C" w:rsidRPr="000819BF" w:rsidRDefault="00B2127C" w:rsidP="000048ED">
    <w:pPr>
      <w:jc w:val="right"/>
      <w:rPr>
        <w:rFonts w:ascii="Arial" w:hAnsi="Arial" w:cs="Arial"/>
        <w:b/>
        <w:sz w:val="22"/>
        <w:szCs w:val="22"/>
      </w:rPr>
    </w:pPr>
    <w:r>
      <w:rPr>
        <w:rFonts w:ascii="Arial" w:hAnsi="Arial"/>
        <w:b/>
        <w:sz w:val="22"/>
        <w:szCs w:val="22"/>
      </w:rPr>
      <w:t>Original : anglais</w:t>
    </w:r>
  </w:p>
  <w:p w14:paraId="59DC6CDA" w14:textId="77777777" w:rsidR="00B2127C" w:rsidRPr="000819BF" w:rsidRDefault="00B21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375"/>
    <w:multiLevelType w:val="hybridMultilevel"/>
    <w:tmpl w:val="A4829A20"/>
    <w:lvl w:ilvl="0" w:tplc="5BA40E28">
      <w:start w:val="1"/>
      <w:numFmt w:val="decimal"/>
      <w:pStyle w:val="5GAparabodytext"/>
      <w:lvlText w:val="%1."/>
      <w:lvlJc w:val="left"/>
      <w:pPr>
        <w:ind w:left="927" w:hanging="360"/>
      </w:pPr>
      <w:rPr>
        <w:rFonts w:ascii="Arial" w:eastAsia="Times New Roman" w:hAnsi="Arial" w:cs="Arial"/>
        <w:b w:val="0"/>
        <w:bCs w:val="0"/>
        <w:i w:val="0"/>
        <w:i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F960B4"/>
    <w:multiLevelType w:val="hybridMultilevel"/>
    <w:tmpl w:val="AA46D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B27CC8A2"/>
    <w:lvl w:ilvl="0" w:tplc="28605036">
      <w:start w:val="1"/>
      <w:numFmt w:val="upperRoman"/>
      <w:pStyle w:val="Heading4"/>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3447DA"/>
    <w:multiLevelType w:val="hybridMultilevel"/>
    <w:tmpl w:val="2BA0FC2C"/>
    <w:lvl w:ilvl="0" w:tplc="A76A2AF6">
      <w:start w:val="1"/>
      <w:numFmt w:val="decimal"/>
      <w:lvlText w:val="%1."/>
      <w:lvlJc w:val="left"/>
      <w:pPr>
        <w:ind w:left="720" w:hanging="360"/>
      </w:pPr>
      <w:rPr>
        <w:rFonts w:ascii="Arial" w:hAnsi="Arial" w:cs="Arial" w:hint="default"/>
        <w:b w:val="0"/>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7765A9"/>
    <w:multiLevelType w:val="hybridMultilevel"/>
    <w:tmpl w:val="99E09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B82CF8"/>
    <w:multiLevelType w:val="hybridMultilevel"/>
    <w:tmpl w:val="E908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7"/>
  </w:num>
  <w:num w:numId="5">
    <w:abstractNumId w:val="14"/>
  </w:num>
  <w:num w:numId="6">
    <w:abstractNumId w:val="1"/>
  </w:num>
  <w:num w:numId="7">
    <w:abstractNumId w:val="3"/>
  </w:num>
  <w:num w:numId="8">
    <w:abstractNumId w:val="10"/>
  </w:num>
  <w:num w:numId="9">
    <w:abstractNumId w:val="5"/>
  </w:num>
  <w:num w:numId="10">
    <w:abstractNumId w:val="7"/>
  </w:num>
  <w:num w:numId="11">
    <w:abstractNumId w:val="9"/>
  </w:num>
  <w:num w:numId="12">
    <w:abstractNumId w:val="8"/>
  </w:num>
  <w:num w:numId="13">
    <w:abstractNumId w:val="12"/>
  </w:num>
  <w:num w:numId="14">
    <w:abstractNumId w:val="12"/>
    <w:lvlOverride w:ilvl="0">
      <w:startOverride w:val="1"/>
    </w:lvlOverride>
  </w:num>
  <w:num w:numId="15">
    <w:abstractNumId w:val="12"/>
  </w:num>
  <w:num w:numId="16">
    <w:abstractNumId w:val="12"/>
  </w:num>
  <w:num w:numId="17">
    <w:abstractNumId w:val="12"/>
  </w:num>
  <w:num w:numId="18">
    <w:abstractNumId w:val="12"/>
    <w:lvlOverride w:ilvl="0">
      <w:startOverride w:val="1"/>
    </w:lvlOverride>
  </w:num>
  <w:num w:numId="19">
    <w:abstractNumId w:val="4"/>
  </w:num>
  <w:num w:numId="20">
    <w:abstractNumId w:val="15"/>
  </w:num>
  <w:num w:numId="21">
    <w:abstractNumId w:val="16"/>
  </w:num>
  <w:num w:numId="22">
    <w:abstractNumId w:val="12"/>
    <w:lvlOverride w:ilvl="0">
      <w:startOverride w:val="1"/>
    </w:lvlOverride>
  </w:num>
  <w:num w:numId="23">
    <w:abstractNumId w:val="12"/>
  </w:num>
  <w:num w:numId="24">
    <w:abstractNumId w:val="11"/>
  </w:num>
  <w:num w:numId="25">
    <w:abstractNumId w:val="12"/>
  </w:num>
  <w:num w:numId="26">
    <w:abstractNumId w:val="12"/>
  </w:num>
  <w:num w:numId="27">
    <w:abstractNumId w:val="8"/>
  </w:num>
  <w:num w:numId="28">
    <w:abstractNumId w:val="8"/>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32AC"/>
    <w:rsid w:val="00015C9B"/>
    <w:rsid w:val="00023BED"/>
    <w:rsid w:val="00026A03"/>
    <w:rsid w:val="00041A66"/>
    <w:rsid w:val="00046A52"/>
    <w:rsid w:val="0005176E"/>
    <w:rsid w:val="00052358"/>
    <w:rsid w:val="000562F2"/>
    <w:rsid w:val="00056E10"/>
    <w:rsid w:val="00060BEF"/>
    <w:rsid w:val="000701AC"/>
    <w:rsid w:val="00074D26"/>
    <w:rsid w:val="000765F7"/>
    <w:rsid w:val="00077AB7"/>
    <w:rsid w:val="000819BF"/>
    <w:rsid w:val="00081CD8"/>
    <w:rsid w:val="00082DB9"/>
    <w:rsid w:val="00085C97"/>
    <w:rsid w:val="000915D8"/>
    <w:rsid w:val="000A49FA"/>
    <w:rsid w:val="000A7F0E"/>
    <w:rsid w:val="000B1C8F"/>
    <w:rsid w:val="000B7EBF"/>
    <w:rsid w:val="000C0D61"/>
    <w:rsid w:val="000C19EF"/>
    <w:rsid w:val="000C241F"/>
    <w:rsid w:val="000C630C"/>
    <w:rsid w:val="000C6EF4"/>
    <w:rsid w:val="000C7470"/>
    <w:rsid w:val="000F3A3F"/>
    <w:rsid w:val="000F65F0"/>
    <w:rsid w:val="000F7DDC"/>
    <w:rsid w:val="00100CA6"/>
    <w:rsid w:val="00102557"/>
    <w:rsid w:val="00113176"/>
    <w:rsid w:val="0011357D"/>
    <w:rsid w:val="00124069"/>
    <w:rsid w:val="00126050"/>
    <w:rsid w:val="00131092"/>
    <w:rsid w:val="00134EAF"/>
    <w:rsid w:val="00136269"/>
    <w:rsid w:val="00137CEE"/>
    <w:rsid w:val="00142D21"/>
    <w:rsid w:val="001434CD"/>
    <w:rsid w:val="00143CDC"/>
    <w:rsid w:val="001446C3"/>
    <w:rsid w:val="00144E32"/>
    <w:rsid w:val="0014528E"/>
    <w:rsid w:val="001540CF"/>
    <w:rsid w:val="00155172"/>
    <w:rsid w:val="00164C3D"/>
    <w:rsid w:val="00164D56"/>
    <w:rsid w:val="00167B10"/>
    <w:rsid w:val="00172075"/>
    <w:rsid w:val="0017402F"/>
    <w:rsid w:val="00175D44"/>
    <w:rsid w:val="00180433"/>
    <w:rsid w:val="0019255C"/>
    <w:rsid w:val="00192ECA"/>
    <w:rsid w:val="001947F2"/>
    <w:rsid w:val="00195408"/>
    <w:rsid w:val="001966A6"/>
    <w:rsid w:val="00196C1B"/>
    <w:rsid w:val="001A0EB3"/>
    <w:rsid w:val="001B0F73"/>
    <w:rsid w:val="001B37CC"/>
    <w:rsid w:val="001C2891"/>
    <w:rsid w:val="001C2DB7"/>
    <w:rsid w:val="001C41D5"/>
    <w:rsid w:val="001C7F59"/>
    <w:rsid w:val="001D5C04"/>
    <w:rsid w:val="001D6F12"/>
    <w:rsid w:val="001E0C16"/>
    <w:rsid w:val="001E4934"/>
    <w:rsid w:val="001F02D6"/>
    <w:rsid w:val="001F26CF"/>
    <w:rsid w:val="001F39DD"/>
    <w:rsid w:val="0021176E"/>
    <w:rsid w:val="00222A2D"/>
    <w:rsid w:val="00223029"/>
    <w:rsid w:val="00231C89"/>
    <w:rsid w:val="00234745"/>
    <w:rsid w:val="002351A6"/>
    <w:rsid w:val="00236D34"/>
    <w:rsid w:val="002407AF"/>
    <w:rsid w:val="0024453C"/>
    <w:rsid w:val="002470CD"/>
    <w:rsid w:val="00253355"/>
    <w:rsid w:val="002553ED"/>
    <w:rsid w:val="00255403"/>
    <w:rsid w:val="00264D2C"/>
    <w:rsid w:val="002707C7"/>
    <w:rsid w:val="00271A22"/>
    <w:rsid w:val="00271C66"/>
    <w:rsid w:val="002725EC"/>
    <w:rsid w:val="0027466B"/>
    <w:rsid w:val="00277662"/>
    <w:rsid w:val="002838A5"/>
    <w:rsid w:val="00284B4F"/>
    <w:rsid w:val="00285BB4"/>
    <w:rsid w:val="00285C94"/>
    <w:rsid w:val="002864EE"/>
    <w:rsid w:val="00291372"/>
    <w:rsid w:val="002A4982"/>
    <w:rsid w:val="002A5FED"/>
    <w:rsid w:val="002B07D5"/>
    <w:rsid w:val="002B2977"/>
    <w:rsid w:val="002B3AE2"/>
    <w:rsid w:val="002C099A"/>
    <w:rsid w:val="002C09E3"/>
    <w:rsid w:val="002C376D"/>
    <w:rsid w:val="002D3C97"/>
    <w:rsid w:val="002E7C9A"/>
    <w:rsid w:val="00314B10"/>
    <w:rsid w:val="00315ABD"/>
    <w:rsid w:val="00317063"/>
    <w:rsid w:val="0032229D"/>
    <w:rsid w:val="003352C1"/>
    <w:rsid w:val="00337CEB"/>
    <w:rsid w:val="00340F83"/>
    <w:rsid w:val="00342DC4"/>
    <w:rsid w:val="00344B58"/>
    <w:rsid w:val="0034539A"/>
    <w:rsid w:val="00345A18"/>
    <w:rsid w:val="00345CB4"/>
    <w:rsid w:val="003519C6"/>
    <w:rsid w:val="00355D77"/>
    <w:rsid w:val="00365E5D"/>
    <w:rsid w:val="0036785F"/>
    <w:rsid w:val="00367A6F"/>
    <w:rsid w:val="00372030"/>
    <w:rsid w:val="00375D42"/>
    <w:rsid w:val="00382CE6"/>
    <w:rsid w:val="0039068B"/>
    <w:rsid w:val="003A54FD"/>
    <w:rsid w:val="003A6FCB"/>
    <w:rsid w:val="003B1488"/>
    <w:rsid w:val="003D0599"/>
    <w:rsid w:val="003D069C"/>
    <w:rsid w:val="003D2867"/>
    <w:rsid w:val="003D3BF8"/>
    <w:rsid w:val="003D7646"/>
    <w:rsid w:val="003E4324"/>
    <w:rsid w:val="003E507F"/>
    <w:rsid w:val="003F113A"/>
    <w:rsid w:val="003F3E63"/>
    <w:rsid w:val="003F65CC"/>
    <w:rsid w:val="004039F5"/>
    <w:rsid w:val="00407480"/>
    <w:rsid w:val="00411E08"/>
    <w:rsid w:val="00414643"/>
    <w:rsid w:val="00417470"/>
    <w:rsid w:val="00421021"/>
    <w:rsid w:val="004421E5"/>
    <w:rsid w:val="004442EA"/>
    <w:rsid w:val="004446B1"/>
    <w:rsid w:val="00447731"/>
    <w:rsid w:val="00452284"/>
    <w:rsid w:val="004549C8"/>
    <w:rsid w:val="00457C8E"/>
    <w:rsid w:val="0046651C"/>
    <w:rsid w:val="004665A5"/>
    <w:rsid w:val="00475F27"/>
    <w:rsid w:val="00477050"/>
    <w:rsid w:val="00484AF9"/>
    <w:rsid w:val="004856CA"/>
    <w:rsid w:val="00486F87"/>
    <w:rsid w:val="00487E67"/>
    <w:rsid w:val="0049705E"/>
    <w:rsid w:val="004A0C98"/>
    <w:rsid w:val="004A3003"/>
    <w:rsid w:val="004A34A0"/>
    <w:rsid w:val="004C3853"/>
    <w:rsid w:val="004C3AE3"/>
    <w:rsid w:val="004D3B0B"/>
    <w:rsid w:val="004E0C7C"/>
    <w:rsid w:val="004E40C7"/>
    <w:rsid w:val="004E42F8"/>
    <w:rsid w:val="004F3DA1"/>
    <w:rsid w:val="004F7770"/>
    <w:rsid w:val="005008A8"/>
    <w:rsid w:val="00506B57"/>
    <w:rsid w:val="00506FB1"/>
    <w:rsid w:val="005145D5"/>
    <w:rsid w:val="005176AF"/>
    <w:rsid w:val="00526183"/>
    <w:rsid w:val="00526B7B"/>
    <w:rsid w:val="005308CE"/>
    <w:rsid w:val="0053181D"/>
    <w:rsid w:val="00532F8E"/>
    <w:rsid w:val="0053318C"/>
    <w:rsid w:val="00533F14"/>
    <w:rsid w:val="005344DF"/>
    <w:rsid w:val="0054442D"/>
    <w:rsid w:val="0055227C"/>
    <w:rsid w:val="00554FB8"/>
    <w:rsid w:val="00563004"/>
    <w:rsid w:val="0057439C"/>
    <w:rsid w:val="00580A2C"/>
    <w:rsid w:val="00581375"/>
    <w:rsid w:val="005863A1"/>
    <w:rsid w:val="00594ABF"/>
    <w:rsid w:val="005A198D"/>
    <w:rsid w:val="005A37DF"/>
    <w:rsid w:val="005A7CFF"/>
    <w:rsid w:val="005B0127"/>
    <w:rsid w:val="005B7A35"/>
    <w:rsid w:val="005C4B73"/>
    <w:rsid w:val="005D110F"/>
    <w:rsid w:val="005E1D2B"/>
    <w:rsid w:val="005E3E11"/>
    <w:rsid w:val="005E7074"/>
    <w:rsid w:val="005F2BAF"/>
    <w:rsid w:val="005F344F"/>
    <w:rsid w:val="005F4814"/>
    <w:rsid w:val="00600D93"/>
    <w:rsid w:val="00606764"/>
    <w:rsid w:val="006125DA"/>
    <w:rsid w:val="00613A9F"/>
    <w:rsid w:val="00623825"/>
    <w:rsid w:val="00627E2D"/>
    <w:rsid w:val="0063298D"/>
    <w:rsid w:val="0063300C"/>
    <w:rsid w:val="00634CB4"/>
    <w:rsid w:val="00655736"/>
    <w:rsid w:val="00663B8D"/>
    <w:rsid w:val="0068757D"/>
    <w:rsid w:val="0069505E"/>
    <w:rsid w:val="00696710"/>
    <w:rsid w:val="00696C8D"/>
    <w:rsid w:val="006A2A29"/>
    <w:rsid w:val="006A2AC2"/>
    <w:rsid w:val="006A3617"/>
    <w:rsid w:val="006A3A4C"/>
    <w:rsid w:val="006B6058"/>
    <w:rsid w:val="006D57EA"/>
    <w:rsid w:val="006E18FF"/>
    <w:rsid w:val="006E46E4"/>
    <w:rsid w:val="006E51F3"/>
    <w:rsid w:val="006E52E8"/>
    <w:rsid w:val="006F2624"/>
    <w:rsid w:val="006F2707"/>
    <w:rsid w:val="006F35C3"/>
    <w:rsid w:val="006F521A"/>
    <w:rsid w:val="0071146A"/>
    <w:rsid w:val="00717DA5"/>
    <w:rsid w:val="007328B7"/>
    <w:rsid w:val="00742626"/>
    <w:rsid w:val="00744484"/>
    <w:rsid w:val="00747566"/>
    <w:rsid w:val="00755757"/>
    <w:rsid w:val="007616D2"/>
    <w:rsid w:val="00761ADA"/>
    <w:rsid w:val="007646F9"/>
    <w:rsid w:val="00773188"/>
    <w:rsid w:val="00777EA4"/>
    <w:rsid w:val="00783782"/>
    <w:rsid w:val="00783BBA"/>
    <w:rsid w:val="00783FA3"/>
    <w:rsid w:val="00784B8C"/>
    <w:rsid w:val="007879E1"/>
    <w:rsid w:val="007B705B"/>
    <w:rsid w:val="007C78B1"/>
    <w:rsid w:val="007D5212"/>
    <w:rsid w:val="007E3103"/>
    <w:rsid w:val="007E7080"/>
    <w:rsid w:val="007E730D"/>
    <w:rsid w:val="007F7EDA"/>
    <w:rsid w:val="00823A11"/>
    <w:rsid w:val="00825D84"/>
    <w:rsid w:val="0085405E"/>
    <w:rsid w:val="0085414A"/>
    <w:rsid w:val="00856297"/>
    <w:rsid w:val="0086269D"/>
    <w:rsid w:val="0086543A"/>
    <w:rsid w:val="00870FD2"/>
    <w:rsid w:val="008724E5"/>
    <w:rsid w:val="008737AC"/>
    <w:rsid w:val="00876589"/>
    <w:rsid w:val="0088426C"/>
    <w:rsid w:val="00884A9D"/>
    <w:rsid w:val="0088512B"/>
    <w:rsid w:val="00887999"/>
    <w:rsid w:val="008910EA"/>
    <w:rsid w:val="0089124F"/>
    <w:rsid w:val="008943FA"/>
    <w:rsid w:val="00896070"/>
    <w:rsid w:val="008A2A8C"/>
    <w:rsid w:val="008A2B2D"/>
    <w:rsid w:val="008A2F37"/>
    <w:rsid w:val="008A4E1E"/>
    <w:rsid w:val="008B2653"/>
    <w:rsid w:val="008C0E9C"/>
    <w:rsid w:val="008C14F1"/>
    <w:rsid w:val="008C296C"/>
    <w:rsid w:val="008C6184"/>
    <w:rsid w:val="008C77B6"/>
    <w:rsid w:val="008D4305"/>
    <w:rsid w:val="008E1A85"/>
    <w:rsid w:val="008F0C71"/>
    <w:rsid w:val="008F5FC3"/>
    <w:rsid w:val="009055AE"/>
    <w:rsid w:val="00905FF7"/>
    <w:rsid w:val="009112F8"/>
    <w:rsid w:val="009136A8"/>
    <w:rsid w:val="009163A7"/>
    <w:rsid w:val="00924865"/>
    <w:rsid w:val="00926EB2"/>
    <w:rsid w:val="009301A2"/>
    <w:rsid w:val="009434DC"/>
    <w:rsid w:val="00946D0B"/>
    <w:rsid w:val="00947AC3"/>
    <w:rsid w:val="00950D5A"/>
    <w:rsid w:val="00955877"/>
    <w:rsid w:val="00955D4E"/>
    <w:rsid w:val="0095719A"/>
    <w:rsid w:val="00961E44"/>
    <w:rsid w:val="0096252A"/>
    <w:rsid w:val="00962C3B"/>
    <w:rsid w:val="009721D3"/>
    <w:rsid w:val="009730C3"/>
    <w:rsid w:val="0098028E"/>
    <w:rsid w:val="00991507"/>
    <w:rsid w:val="00992CD1"/>
    <w:rsid w:val="009A18CD"/>
    <w:rsid w:val="009A4D68"/>
    <w:rsid w:val="009A5091"/>
    <w:rsid w:val="009B07D4"/>
    <w:rsid w:val="009B1ED4"/>
    <w:rsid w:val="009B3135"/>
    <w:rsid w:val="009C04EA"/>
    <w:rsid w:val="009C5934"/>
    <w:rsid w:val="009D5428"/>
    <w:rsid w:val="009E5BAA"/>
    <w:rsid w:val="00A104E0"/>
    <w:rsid w:val="00A12558"/>
    <w:rsid w:val="00A13903"/>
    <w:rsid w:val="00A27731"/>
    <w:rsid w:val="00A34ED5"/>
    <w:rsid w:val="00A407BF"/>
    <w:rsid w:val="00A45DBF"/>
    <w:rsid w:val="00A51E92"/>
    <w:rsid w:val="00A70845"/>
    <w:rsid w:val="00A73F63"/>
    <w:rsid w:val="00A755A2"/>
    <w:rsid w:val="00A7596B"/>
    <w:rsid w:val="00A80A65"/>
    <w:rsid w:val="00A81BF0"/>
    <w:rsid w:val="00AA3572"/>
    <w:rsid w:val="00AA6660"/>
    <w:rsid w:val="00AA7F9D"/>
    <w:rsid w:val="00AB2C36"/>
    <w:rsid w:val="00AB6DDE"/>
    <w:rsid w:val="00AB70B6"/>
    <w:rsid w:val="00AD18C5"/>
    <w:rsid w:val="00AD1A86"/>
    <w:rsid w:val="00AD2FC8"/>
    <w:rsid w:val="00AE103E"/>
    <w:rsid w:val="00AE7E0B"/>
    <w:rsid w:val="00AF0A07"/>
    <w:rsid w:val="00AF4AEC"/>
    <w:rsid w:val="00AF625E"/>
    <w:rsid w:val="00B003EF"/>
    <w:rsid w:val="00B02E02"/>
    <w:rsid w:val="00B1111B"/>
    <w:rsid w:val="00B12BF8"/>
    <w:rsid w:val="00B159EF"/>
    <w:rsid w:val="00B2127C"/>
    <w:rsid w:val="00B25683"/>
    <w:rsid w:val="00B2613C"/>
    <w:rsid w:val="00B4346D"/>
    <w:rsid w:val="00B620D7"/>
    <w:rsid w:val="00B70449"/>
    <w:rsid w:val="00B70C98"/>
    <w:rsid w:val="00B86B26"/>
    <w:rsid w:val="00BA0B91"/>
    <w:rsid w:val="00BA1FA7"/>
    <w:rsid w:val="00BB04AF"/>
    <w:rsid w:val="00BB6F83"/>
    <w:rsid w:val="00BC4C5C"/>
    <w:rsid w:val="00BD4406"/>
    <w:rsid w:val="00BD52C9"/>
    <w:rsid w:val="00BE6354"/>
    <w:rsid w:val="00BF606C"/>
    <w:rsid w:val="00BF775E"/>
    <w:rsid w:val="00C138D1"/>
    <w:rsid w:val="00C1579C"/>
    <w:rsid w:val="00C23A97"/>
    <w:rsid w:val="00C26E65"/>
    <w:rsid w:val="00C32B9E"/>
    <w:rsid w:val="00C53BB0"/>
    <w:rsid w:val="00C64552"/>
    <w:rsid w:val="00C64855"/>
    <w:rsid w:val="00C708ED"/>
    <w:rsid w:val="00C70EA7"/>
    <w:rsid w:val="00C716C4"/>
    <w:rsid w:val="00C7433F"/>
    <w:rsid w:val="00C7516E"/>
    <w:rsid w:val="00C75770"/>
    <w:rsid w:val="00C85DE1"/>
    <w:rsid w:val="00C91DC9"/>
    <w:rsid w:val="00C958E8"/>
    <w:rsid w:val="00C96427"/>
    <w:rsid w:val="00CA042A"/>
    <w:rsid w:val="00CA56BB"/>
    <w:rsid w:val="00CA614F"/>
    <w:rsid w:val="00CB0542"/>
    <w:rsid w:val="00CB1655"/>
    <w:rsid w:val="00CB1672"/>
    <w:rsid w:val="00CB34E0"/>
    <w:rsid w:val="00CB3DF8"/>
    <w:rsid w:val="00CB4168"/>
    <w:rsid w:val="00CB44D2"/>
    <w:rsid w:val="00CB77E1"/>
    <w:rsid w:val="00D00B2B"/>
    <w:rsid w:val="00D02C55"/>
    <w:rsid w:val="00D06D52"/>
    <w:rsid w:val="00D14756"/>
    <w:rsid w:val="00D154B2"/>
    <w:rsid w:val="00D1657F"/>
    <w:rsid w:val="00D24877"/>
    <w:rsid w:val="00D4635F"/>
    <w:rsid w:val="00D5098C"/>
    <w:rsid w:val="00D5116D"/>
    <w:rsid w:val="00D704E3"/>
    <w:rsid w:val="00D72A9B"/>
    <w:rsid w:val="00D8250F"/>
    <w:rsid w:val="00D83148"/>
    <w:rsid w:val="00D85E86"/>
    <w:rsid w:val="00D8625C"/>
    <w:rsid w:val="00D930EC"/>
    <w:rsid w:val="00D95C4C"/>
    <w:rsid w:val="00DA36ED"/>
    <w:rsid w:val="00DA3D9A"/>
    <w:rsid w:val="00DA4647"/>
    <w:rsid w:val="00DA4A8B"/>
    <w:rsid w:val="00DC0764"/>
    <w:rsid w:val="00DD6737"/>
    <w:rsid w:val="00DD7355"/>
    <w:rsid w:val="00DE171E"/>
    <w:rsid w:val="00DE2AE2"/>
    <w:rsid w:val="00DE308A"/>
    <w:rsid w:val="00DE34F1"/>
    <w:rsid w:val="00DE6160"/>
    <w:rsid w:val="00DF3023"/>
    <w:rsid w:val="00DF4942"/>
    <w:rsid w:val="00DF63F0"/>
    <w:rsid w:val="00DF6629"/>
    <w:rsid w:val="00E03F91"/>
    <w:rsid w:val="00E132F0"/>
    <w:rsid w:val="00E244E1"/>
    <w:rsid w:val="00E4227D"/>
    <w:rsid w:val="00E424F9"/>
    <w:rsid w:val="00E425AE"/>
    <w:rsid w:val="00E4320E"/>
    <w:rsid w:val="00E45158"/>
    <w:rsid w:val="00E477C2"/>
    <w:rsid w:val="00E627B1"/>
    <w:rsid w:val="00E66D0B"/>
    <w:rsid w:val="00E70169"/>
    <w:rsid w:val="00E708A2"/>
    <w:rsid w:val="00E71AAE"/>
    <w:rsid w:val="00E7575A"/>
    <w:rsid w:val="00E9085A"/>
    <w:rsid w:val="00E90D9C"/>
    <w:rsid w:val="00E9238E"/>
    <w:rsid w:val="00E92E35"/>
    <w:rsid w:val="00E935B5"/>
    <w:rsid w:val="00E9376C"/>
    <w:rsid w:val="00E94022"/>
    <w:rsid w:val="00EA0FF6"/>
    <w:rsid w:val="00EA335E"/>
    <w:rsid w:val="00EA528C"/>
    <w:rsid w:val="00EA580C"/>
    <w:rsid w:val="00EA6A9F"/>
    <w:rsid w:val="00EB493D"/>
    <w:rsid w:val="00EB754F"/>
    <w:rsid w:val="00EC025A"/>
    <w:rsid w:val="00EC6F8D"/>
    <w:rsid w:val="00EC7479"/>
    <w:rsid w:val="00EE2D80"/>
    <w:rsid w:val="00EE49F4"/>
    <w:rsid w:val="00EE5187"/>
    <w:rsid w:val="00EE74DF"/>
    <w:rsid w:val="00EE7946"/>
    <w:rsid w:val="00EF2992"/>
    <w:rsid w:val="00EF34E2"/>
    <w:rsid w:val="00EF7928"/>
    <w:rsid w:val="00F00E8A"/>
    <w:rsid w:val="00F144BC"/>
    <w:rsid w:val="00F159D7"/>
    <w:rsid w:val="00F17999"/>
    <w:rsid w:val="00F21AC0"/>
    <w:rsid w:val="00F25F82"/>
    <w:rsid w:val="00F26148"/>
    <w:rsid w:val="00F30DC6"/>
    <w:rsid w:val="00F32883"/>
    <w:rsid w:val="00F32C23"/>
    <w:rsid w:val="00F356E0"/>
    <w:rsid w:val="00F418DA"/>
    <w:rsid w:val="00F52B55"/>
    <w:rsid w:val="00F53DE9"/>
    <w:rsid w:val="00F576CB"/>
    <w:rsid w:val="00F7035D"/>
    <w:rsid w:val="00F71A02"/>
    <w:rsid w:val="00F72B7A"/>
    <w:rsid w:val="00F74F7B"/>
    <w:rsid w:val="00F831BD"/>
    <w:rsid w:val="00F8370D"/>
    <w:rsid w:val="00FA0D63"/>
    <w:rsid w:val="00FA122C"/>
    <w:rsid w:val="00FA172D"/>
    <w:rsid w:val="00FA34AB"/>
    <w:rsid w:val="00FA403F"/>
    <w:rsid w:val="00FA5A8B"/>
    <w:rsid w:val="00FB1474"/>
    <w:rsid w:val="00FB1DDE"/>
    <w:rsid w:val="00FC6F4D"/>
    <w:rsid w:val="00FD0FFF"/>
    <w:rsid w:val="00FD1226"/>
    <w:rsid w:val="00FD3CB6"/>
    <w:rsid w:val="00FD4293"/>
    <w:rsid w:val="00FD4BCA"/>
    <w:rsid w:val="00FE086A"/>
    <w:rsid w:val="00FF01A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3CBB83E"/>
  <w15:docId w15:val="{1836850F-36B2-4A2C-B98C-127B8424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5GAparabodytext">
    <w:name w:val="5GA para body text"/>
    <w:basedOn w:val="Marge"/>
    <w:autoRedefine/>
    <w:uiPriority w:val="99"/>
    <w:qFormat/>
    <w:rsid w:val="00285C94"/>
    <w:pPr>
      <w:numPr>
        <w:numId w:val="29"/>
      </w:numPr>
      <w:spacing w:after="120"/>
      <w:ind w:left="567" w:hanging="567"/>
    </w:pPr>
    <w:rPr>
      <w:rFonts w:cs="Arial"/>
      <w:bCs/>
      <w:iCs/>
      <w:snapToGrid/>
      <w:szCs w:val="22"/>
      <w:lang w:eastAsia="fr-FR"/>
    </w:rPr>
  </w:style>
  <w:style w:type="character" w:styleId="Hyperlink">
    <w:name w:val="Hyperlink"/>
    <w:basedOn w:val="DefaultParagraphFont"/>
    <w:uiPriority w:val="99"/>
    <w:unhideWhenUsed/>
    <w:rsid w:val="00761ADA"/>
    <w:rPr>
      <w:color w:val="0000FF" w:themeColor="hyperlink"/>
      <w:u w:val="single"/>
    </w:rPr>
  </w:style>
  <w:style w:type="character" w:styleId="FollowedHyperlink">
    <w:name w:val="FollowedHyperlink"/>
    <w:basedOn w:val="DefaultParagraphFont"/>
    <w:uiPriority w:val="99"/>
    <w:semiHidden/>
    <w:unhideWhenUsed/>
    <w:rsid w:val="00E92E35"/>
    <w:rPr>
      <w:color w:val="800080" w:themeColor="followedHyperlink"/>
      <w:u w:val="single"/>
    </w:rPr>
  </w:style>
  <w:style w:type="paragraph" w:customStyle="1" w:styleId="Sansinterligne3">
    <w:name w:val="Sans interligne3"/>
    <w:uiPriority w:val="1"/>
    <w:qFormat/>
    <w:rsid w:val="00447731"/>
    <w:rPr>
      <w:rFonts w:ascii="Times New Roman" w:eastAsia="Times New Roman" w:hAnsi="Times New Roman"/>
      <w:sz w:val="24"/>
      <w:szCs w:val="24"/>
    </w:rPr>
  </w:style>
  <w:style w:type="character" w:customStyle="1" w:styleId="hps">
    <w:name w:val="hps"/>
    <w:rsid w:val="008737AC"/>
  </w:style>
  <w:style w:type="character" w:customStyle="1" w:styleId="MargeChar">
    <w:name w:val="Marge Char"/>
    <w:link w:val="Marge"/>
    <w:rsid w:val="009B07D4"/>
    <w:rPr>
      <w:rFonts w:ascii="Arial" w:eastAsia="Times New Roman" w:hAnsi="Arial"/>
      <w:snapToGrid w:val="0"/>
      <w:sz w:val="22"/>
      <w:szCs w:val="24"/>
      <w:lang w:eastAsia="en-US"/>
    </w:rPr>
  </w:style>
  <w:style w:type="paragraph" w:styleId="ListParagraph">
    <w:name w:val="List Paragraph"/>
    <w:basedOn w:val="Normal"/>
    <w:uiPriority w:val="34"/>
    <w:qFormat/>
    <w:rsid w:val="009B07D4"/>
    <w:pPr>
      <w:ind w:left="720"/>
      <w:contextualSpacing/>
    </w:pPr>
  </w:style>
  <w:style w:type="character" w:styleId="CommentReference">
    <w:name w:val="annotation reference"/>
    <w:basedOn w:val="DefaultParagraphFont"/>
    <w:uiPriority w:val="99"/>
    <w:semiHidden/>
    <w:unhideWhenUsed/>
    <w:rsid w:val="00AA3572"/>
    <w:rPr>
      <w:sz w:val="16"/>
      <w:szCs w:val="16"/>
    </w:rPr>
  </w:style>
  <w:style w:type="paragraph" w:styleId="CommentText">
    <w:name w:val="annotation text"/>
    <w:basedOn w:val="Normal"/>
    <w:link w:val="CommentTextChar"/>
    <w:uiPriority w:val="99"/>
    <w:semiHidden/>
    <w:unhideWhenUsed/>
    <w:rsid w:val="00AA3572"/>
    <w:rPr>
      <w:sz w:val="20"/>
      <w:szCs w:val="20"/>
    </w:rPr>
  </w:style>
  <w:style w:type="character" w:customStyle="1" w:styleId="CommentTextChar">
    <w:name w:val="Comment Text Char"/>
    <w:basedOn w:val="DefaultParagraphFont"/>
    <w:link w:val="CommentText"/>
    <w:uiPriority w:val="99"/>
    <w:semiHidden/>
    <w:rsid w:val="00AA35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3572"/>
    <w:rPr>
      <w:b/>
      <w:bCs/>
    </w:rPr>
  </w:style>
  <w:style w:type="character" w:customStyle="1" w:styleId="CommentSubjectChar">
    <w:name w:val="Comment Subject Char"/>
    <w:basedOn w:val="CommentTextChar"/>
    <w:link w:val="CommentSubject"/>
    <w:uiPriority w:val="99"/>
    <w:semiHidden/>
    <w:rsid w:val="00AA3572"/>
    <w:rPr>
      <w:rFonts w:ascii="Times New Roman" w:eastAsia="Times New Roman" w:hAnsi="Times New Roman"/>
      <w:b/>
      <w:bCs/>
    </w:rPr>
  </w:style>
  <w:style w:type="paragraph" w:customStyle="1" w:styleId="Paragraph">
    <w:name w:val="Paragraph"/>
    <w:basedOn w:val="Normal"/>
    <w:link w:val="ParagraphChar"/>
    <w:qFormat/>
    <w:rsid w:val="004C3AE3"/>
    <w:pPr>
      <w:numPr>
        <w:numId w:val="24"/>
      </w:numPr>
      <w:spacing w:before="240"/>
      <w:ind w:left="567" w:hanging="567"/>
      <w:jc w:val="both"/>
    </w:pPr>
    <w:rPr>
      <w:rFonts w:ascii="Arial" w:hAnsi="Arial" w:cs="Arial"/>
      <w:sz w:val="22"/>
      <w:szCs w:val="22"/>
    </w:rPr>
  </w:style>
  <w:style w:type="character" w:customStyle="1" w:styleId="ParagraphChar">
    <w:name w:val="Paragraph Char"/>
    <w:link w:val="Paragraph"/>
    <w:rsid w:val="004C3AE3"/>
    <w:rPr>
      <w:rFonts w:ascii="Arial" w:eastAsia="Times New Roman" w:hAnsi="Arial" w:cs="Arial"/>
      <w:sz w:val="22"/>
      <w:szCs w:val="22"/>
      <w:lang w:val="fr-FR"/>
    </w:rPr>
  </w:style>
  <w:style w:type="paragraph" w:styleId="Revision">
    <w:name w:val="Revision"/>
    <w:hidden/>
    <w:uiPriority w:val="99"/>
    <w:semiHidden/>
    <w:rsid w:val="006F2707"/>
    <w:rPr>
      <w:rFonts w:ascii="Times New Roman" w:eastAsia="Times New Roman" w:hAnsi="Times New Roman"/>
      <w:sz w:val="24"/>
      <w:szCs w:val="24"/>
    </w:rPr>
  </w:style>
  <w:style w:type="paragraph" w:styleId="NormalWeb">
    <w:name w:val="Normal (Web)"/>
    <w:basedOn w:val="Normal"/>
    <w:uiPriority w:val="99"/>
    <w:semiHidden/>
    <w:unhideWhenUsed/>
    <w:rsid w:val="006F521A"/>
    <w:rPr>
      <w:rFonts w:eastAsiaTheme="minorHAnsi"/>
    </w:rPr>
  </w:style>
  <w:style w:type="character" w:customStyle="1" w:styleId="highlight">
    <w:name w:val="highlight"/>
    <w:basedOn w:val="DefaultParagraphFont"/>
    <w:rsid w:val="0071146A"/>
  </w:style>
  <w:style w:type="paragraph" w:styleId="FootnoteText">
    <w:name w:val="footnote text"/>
    <w:basedOn w:val="Normal"/>
    <w:link w:val="FootnoteTextChar"/>
    <w:uiPriority w:val="99"/>
    <w:semiHidden/>
    <w:unhideWhenUsed/>
    <w:rsid w:val="00B70C98"/>
    <w:rPr>
      <w:sz w:val="20"/>
      <w:szCs w:val="20"/>
    </w:rPr>
  </w:style>
  <w:style w:type="character" w:customStyle="1" w:styleId="FootnoteTextChar">
    <w:name w:val="Footnote Text Char"/>
    <w:basedOn w:val="DefaultParagraphFont"/>
    <w:link w:val="FootnoteText"/>
    <w:uiPriority w:val="99"/>
    <w:semiHidden/>
    <w:rsid w:val="00B70C98"/>
    <w:rPr>
      <w:rFonts w:ascii="Times New Roman" w:eastAsia="Times New Roman" w:hAnsi="Times New Roman"/>
    </w:rPr>
  </w:style>
  <w:style w:type="character" w:styleId="FootnoteReference">
    <w:name w:val="footnote reference"/>
    <w:basedOn w:val="DefaultParagraphFont"/>
    <w:uiPriority w:val="99"/>
    <w:semiHidden/>
    <w:unhideWhenUsed/>
    <w:rsid w:val="00B70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9398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7014376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7998154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3344920">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844032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resolutions/7.GA/8" TargetMode="External"/><Relationship Id="rId13" Type="http://schemas.openxmlformats.org/officeDocument/2006/relationships/hyperlink" Target="https://ich.unesco.org/fr/Decisions/13.COM/20"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ch.unesco.org/fr/Decisions/13.COM/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19-14.COM_2.BUR-INF.3-FR.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fr/decisions-bureau/13.COM%202.BUR/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Decisions/12.COM/7" TargetMode="External"/><Relationship Id="rId14" Type="http://schemas.openxmlformats.org/officeDocument/2006/relationships/hyperlink" Target="https://ich.unesco.org/fr/Decisions/12.COM/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50D0-69FB-431B-BDDA-998953ED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450</TotalTime>
  <Pages>10</Pages>
  <Words>4609</Words>
  <Characters>26277</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24</cp:revision>
  <cp:lastPrinted>2019-05-29T17:36:00Z</cp:lastPrinted>
  <dcterms:created xsi:type="dcterms:W3CDTF">2019-05-16T18:01:00Z</dcterms:created>
  <dcterms:modified xsi:type="dcterms:W3CDTF">2019-06-05T07:46:00Z</dcterms:modified>
</cp:coreProperties>
</file>