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9C1DF"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564F4706"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3A64A82B" w14:textId="77777777" w:rsidR="00EC6F8D" w:rsidRPr="00293C60" w:rsidRDefault="00EC7479" w:rsidP="00EC6F8D">
      <w:pPr>
        <w:spacing w:before="840"/>
        <w:jc w:val="center"/>
        <w:rPr>
          <w:rFonts w:ascii="Arial" w:hAnsi="Arial" w:cs="Arial"/>
          <w:b/>
          <w:sz w:val="22"/>
          <w:szCs w:val="22"/>
          <w:lang w:val="en-GB"/>
        </w:rPr>
      </w:pPr>
      <w:r>
        <w:rPr>
          <w:rFonts w:ascii="Arial" w:eastAsiaTheme="minorEastAsia" w:hAnsi="Arial" w:cs="Arial"/>
          <w:b/>
          <w:sz w:val="22"/>
          <w:szCs w:val="22"/>
          <w:lang w:val="en-GB" w:eastAsia="ko-KR"/>
        </w:rPr>
        <w:t>Meeting of the Bureau</w:t>
      </w:r>
    </w:p>
    <w:p w14:paraId="42943E2E" w14:textId="77777777" w:rsidR="009D5428" w:rsidRPr="00A73F63" w:rsidRDefault="00EC7479" w:rsidP="005E7074">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 xml:space="preserve">UNESCO Headquarters, Paris, </w:t>
      </w:r>
      <w:r w:rsidRPr="00A73F63">
        <w:rPr>
          <w:rFonts w:ascii="Arial" w:eastAsiaTheme="minorEastAsia" w:hAnsi="Arial" w:cs="Arial"/>
          <w:b/>
          <w:sz w:val="22"/>
          <w:szCs w:val="22"/>
          <w:lang w:val="en-GB" w:eastAsia="ko-KR"/>
        </w:rPr>
        <w:t xml:space="preserve">Room </w:t>
      </w:r>
      <w:r w:rsidRPr="00870FD2">
        <w:rPr>
          <w:rFonts w:ascii="Arial" w:eastAsiaTheme="minorEastAsia" w:hAnsi="Arial" w:cs="Arial"/>
          <w:b/>
          <w:sz w:val="22"/>
          <w:szCs w:val="22"/>
          <w:lang w:val="en-GB" w:eastAsia="ko-KR"/>
        </w:rPr>
        <w:t>VIII</w:t>
      </w:r>
    </w:p>
    <w:p w14:paraId="4C224C44" w14:textId="3C8DE5D9" w:rsidR="00EC6F8D" w:rsidRPr="00337CEB" w:rsidRDefault="00264D2C" w:rsidP="00EC6F8D">
      <w:pPr>
        <w:jc w:val="center"/>
        <w:rPr>
          <w:rFonts w:ascii="Arial" w:eastAsiaTheme="minorEastAsia" w:hAnsi="Arial" w:cs="Arial"/>
          <w:b/>
          <w:sz w:val="22"/>
          <w:szCs w:val="22"/>
          <w:lang w:val="en-GB" w:eastAsia="ko-KR"/>
        </w:rPr>
      </w:pPr>
      <w:r w:rsidRPr="00870FD2">
        <w:rPr>
          <w:rFonts w:ascii="Arial" w:hAnsi="Arial" w:cs="Arial"/>
          <w:b/>
          <w:sz w:val="22"/>
          <w:szCs w:val="22"/>
          <w:lang w:val="en-GB"/>
        </w:rPr>
        <w:t>18</w:t>
      </w:r>
      <w:r w:rsidR="00EC7479" w:rsidRPr="00870FD2">
        <w:rPr>
          <w:rFonts w:ascii="Arial" w:hAnsi="Arial" w:cs="Arial"/>
          <w:b/>
          <w:sz w:val="22"/>
          <w:szCs w:val="22"/>
          <w:lang w:val="en-GB"/>
        </w:rPr>
        <w:t xml:space="preserve"> </w:t>
      </w:r>
      <w:r w:rsidR="000C6EF4" w:rsidRPr="00A73F63">
        <w:rPr>
          <w:rFonts w:ascii="Arial" w:hAnsi="Arial" w:cs="Arial"/>
          <w:b/>
          <w:sz w:val="22"/>
          <w:szCs w:val="22"/>
          <w:lang w:val="en-GB"/>
        </w:rPr>
        <w:t>June</w:t>
      </w:r>
      <w:r w:rsidR="00337CEB" w:rsidRPr="00A73F63">
        <w:rPr>
          <w:rFonts w:ascii="Arial" w:hAnsi="Arial" w:cs="Arial"/>
          <w:b/>
          <w:sz w:val="22"/>
          <w:szCs w:val="22"/>
          <w:lang w:val="en-GB"/>
        </w:rPr>
        <w:t xml:space="preserve"> 201</w:t>
      </w:r>
      <w:r w:rsidR="002D3C97" w:rsidRPr="00A73F63">
        <w:rPr>
          <w:rFonts w:ascii="Arial" w:eastAsiaTheme="minorEastAsia" w:hAnsi="Arial" w:cs="Arial"/>
          <w:b/>
          <w:sz w:val="22"/>
          <w:szCs w:val="22"/>
          <w:lang w:val="en-GB" w:eastAsia="ko-KR"/>
        </w:rPr>
        <w:t>9</w:t>
      </w:r>
      <w:r w:rsidR="00EC7479" w:rsidRPr="00A73F63">
        <w:rPr>
          <w:rFonts w:ascii="Arial" w:eastAsiaTheme="minorEastAsia" w:hAnsi="Arial" w:cs="Arial"/>
          <w:b/>
          <w:sz w:val="22"/>
          <w:szCs w:val="22"/>
          <w:lang w:val="en-GB" w:eastAsia="ko-KR"/>
        </w:rPr>
        <w:t xml:space="preserve">, </w:t>
      </w:r>
      <w:r w:rsidR="00A73F63" w:rsidRPr="00A73F63">
        <w:rPr>
          <w:rFonts w:ascii="Arial" w:eastAsiaTheme="minorEastAsia" w:hAnsi="Arial" w:cs="Arial"/>
          <w:b/>
          <w:sz w:val="22"/>
          <w:szCs w:val="22"/>
          <w:lang w:val="en-GB" w:eastAsia="ko-KR"/>
        </w:rPr>
        <w:t xml:space="preserve">10 </w:t>
      </w:r>
      <w:r w:rsidR="00EC7479" w:rsidRPr="00A73F63">
        <w:rPr>
          <w:rFonts w:ascii="Arial" w:eastAsiaTheme="minorEastAsia" w:hAnsi="Arial" w:cs="Arial"/>
          <w:b/>
          <w:sz w:val="22"/>
          <w:szCs w:val="22"/>
          <w:lang w:val="en-GB" w:eastAsia="ko-KR"/>
        </w:rPr>
        <w:t xml:space="preserve">a.m. – </w:t>
      </w:r>
      <w:r w:rsidR="00A73F63" w:rsidRPr="00A73F63">
        <w:rPr>
          <w:rFonts w:ascii="Arial" w:eastAsiaTheme="minorEastAsia" w:hAnsi="Arial" w:cs="Arial"/>
          <w:b/>
          <w:sz w:val="22"/>
          <w:szCs w:val="22"/>
          <w:lang w:val="en-GB" w:eastAsia="ko-KR"/>
        </w:rPr>
        <w:t xml:space="preserve">1 </w:t>
      </w:r>
      <w:r w:rsidR="00EC7479" w:rsidRPr="00A73F63">
        <w:rPr>
          <w:rFonts w:ascii="Arial" w:eastAsiaTheme="minorEastAsia" w:hAnsi="Arial" w:cs="Arial"/>
          <w:b/>
          <w:sz w:val="22"/>
          <w:szCs w:val="22"/>
          <w:lang w:val="en-GB" w:eastAsia="ko-KR"/>
        </w:rPr>
        <w:t>p.m.</w:t>
      </w:r>
    </w:p>
    <w:p w14:paraId="5AD4B993"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264D2C">
        <w:rPr>
          <w:rFonts w:ascii="Arial" w:hAnsi="Arial" w:cs="Arial"/>
          <w:b/>
          <w:sz w:val="22"/>
          <w:szCs w:val="22"/>
          <w:u w:val="single"/>
          <w:lang w:val="en-GB"/>
        </w:rPr>
        <w:t>3</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2DE01352" w14:textId="77777777" w:rsidR="000C6EF4" w:rsidRPr="00696A00" w:rsidRDefault="000C6EF4" w:rsidP="000C6EF4">
      <w:pPr>
        <w:pStyle w:val="Sansinterligne2"/>
        <w:spacing w:after="960"/>
        <w:jc w:val="center"/>
        <w:rPr>
          <w:rFonts w:ascii="Arial" w:hAnsi="Arial" w:cs="Arial"/>
          <w:b/>
          <w:sz w:val="22"/>
          <w:szCs w:val="22"/>
          <w:lang w:val="en-GB"/>
        </w:rPr>
      </w:pPr>
      <w:r w:rsidRPr="00696A00">
        <w:rPr>
          <w:rFonts w:ascii="Arial" w:hAnsi="Arial" w:cs="Arial"/>
          <w:b/>
          <w:sz w:val="22"/>
          <w:szCs w:val="22"/>
          <w:lang w:val="en-GB"/>
        </w:rPr>
        <w:t>Utilization of the funds allocated for ‘</w:t>
      </w:r>
      <w:r>
        <w:rPr>
          <w:rFonts w:ascii="Arial" w:hAnsi="Arial" w:cs="Arial"/>
          <w:b/>
          <w:sz w:val="22"/>
          <w:szCs w:val="22"/>
          <w:lang w:val="en-GB"/>
        </w:rPr>
        <w:t>O</w:t>
      </w:r>
      <w:r w:rsidRPr="00696A00">
        <w:rPr>
          <w:rFonts w:ascii="Arial" w:hAnsi="Arial" w:cs="Arial"/>
          <w:b/>
          <w:sz w:val="22"/>
          <w:szCs w:val="22"/>
          <w:lang w:val="en-GB"/>
        </w:rPr>
        <w:t>ther functions of the Committee’</w:t>
      </w:r>
      <w:r w:rsidRPr="00696A00">
        <w:rPr>
          <w:rFonts w:ascii="Arial" w:hAnsi="Arial" w:cs="Arial"/>
          <w:b/>
          <w:sz w:val="22"/>
          <w:szCs w:val="22"/>
          <w:lang w:val="en-GB"/>
        </w:rPr>
        <w:br/>
        <w:t>under the Plan for the use of the resources of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819BF" w14:paraId="717899EC" w14:textId="77777777" w:rsidTr="00EC6F8D">
        <w:trPr>
          <w:jc w:val="center"/>
        </w:trPr>
        <w:tc>
          <w:tcPr>
            <w:tcW w:w="5670" w:type="dxa"/>
            <w:vAlign w:val="center"/>
          </w:tcPr>
          <w:p w14:paraId="0851FF3E"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4CB9A7D1" w14:textId="03A2B253" w:rsidR="000C6EF4" w:rsidRDefault="000C6EF4" w:rsidP="00CA56BB">
            <w:pPr>
              <w:pStyle w:val="Sansinterligne2"/>
              <w:spacing w:before="200" w:after="200"/>
              <w:jc w:val="both"/>
              <w:rPr>
                <w:rFonts w:ascii="Arial" w:hAnsi="Arial" w:cs="Arial"/>
                <w:sz w:val="22"/>
                <w:szCs w:val="22"/>
                <w:lang w:val="en-GB"/>
              </w:rPr>
            </w:pPr>
            <w:r w:rsidRPr="00696A00">
              <w:rPr>
                <w:rFonts w:ascii="Arial" w:hAnsi="Arial" w:cs="Arial"/>
                <w:sz w:val="22"/>
                <w:szCs w:val="22"/>
                <w:lang w:val="en-GB"/>
              </w:rPr>
              <w:t>The Plan for the use of the resources of the Intangible Cultural Heritage Fund</w:t>
            </w:r>
            <w:r w:rsidR="004709AB">
              <w:rPr>
                <w:rFonts w:ascii="Arial" w:hAnsi="Arial" w:cs="Arial"/>
                <w:sz w:val="22"/>
                <w:szCs w:val="22"/>
                <w:lang w:val="en-GB"/>
              </w:rPr>
              <w:t>,</w:t>
            </w:r>
            <w:r w:rsidRPr="00696A00">
              <w:rPr>
                <w:rFonts w:ascii="Arial" w:hAnsi="Arial" w:cs="Arial"/>
                <w:sz w:val="22"/>
                <w:szCs w:val="22"/>
                <w:lang w:val="en-GB"/>
              </w:rPr>
              <w:t xml:space="preserve"> approved by the General Assembly for the period</w:t>
            </w:r>
            <w:r>
              <w:rPr>
                <w:rFonts w:ascii="Arial" w:hAnsi="Arial" w:cs="Arial"/>
                <w:sz w:val="22"/>
                <w:szCs w:val="22"/>
                <w:lang w:val="en-GB"/>
              </w:rPr>
              <w:t>s 1 January 2018 to 31 December 2019</w:t>
            </w:r>
            <w:r w:rsidRPr="00696A00">
              <w:rPr>
                <w:rFonts w:ascii="Arial" w:hAnsi="Arial" w:cs="Arial"/>
                <w:sz w:val="22"/>
                <w:szCs w:val="22"/>
                <w:lang w:val="en-GB"/>
              </w:rPr>
              <w:t xml:space="preserve"> and 1 January </w:t>
            </w:r>
            <w:r>
              <w:rPr>
                <w:rFonts w:ascii="Arial" w:hAnsi="Arial" w:cs="Arial"/>
                <w:sz w:val="22"/>
                <w:szCs w:val="22"/>
                <w:lang w:val="en-GB"/>
              </w:rPr>
              <w:t>2020 to 30 June 2020</w:t>
            </w:r>
            <w:r w:rsidR="004709AB">
              <w:rPr>
                <w:rFonts w:ascii="Arial" w:hAnsi="Arial" w:cs="Arial"/>
                <w:sz w:val="22"/>
                <w:szCs w:val="22"/>
                <w:lang w:val="en-GB"/>
              </w:rPr>
              <w:t>,</w:t>
            </w:r>
            <w:r w:rsidRPr="00696A00">
              <w:rPr>
                <w:rFonts w:ascii="Arial" w:hAnsi="Arial" w:cs="Arial"/>
                <w:sz w:val="22"/>
                <w:szCs w:val="22"/>
                <w:lang w:val="en-GB"/>
              </w:rPr>
              <w:t xml:space="preserve"> provides that 20</w:t>
            </w:r>
            <w:r w:rsidR="004709AB">
              <w:rPr>
                <w:rFonts w:ascii="Arial" w:hAnsi="Arial" w:cs="Arial"/>
                <w:sz w:val="22"/>
                <w:szCs w:val="22"/>
                <w:lang w:val="en-GB"/>
              </w:rPr>
              <w:t xml:space="preserve"> per cent</w:t>
            </w:r>
            <w:r w:rsidR="004709AB" w:rsidRPr="00696A00">
              <w:rPr>
                <w:rFonts w:ascii="Arial" w:hAnsi="Arial" w:cs="Arial"/>
                <w:sz w:val="22"/>
                <w:szCs w:val="22"/>
                <w:lang w:val="en-GB"/>
              </w:rPr>
              <w:t xml:space="preserve"> </w:t>
            </w:r>
            <w:r w:rsidRPr="00696A00">
              <w:rPr>
                <w:rFonts w:ascii="Arial" w:hAnsi="Arial" w:cs="Arial"/>
                <w:sz w:val="22"/>
                <w:szCs w:val="22"/>
                <w:lang w:val="en-GB"/>
              </w:rPr>
              <w:t>of the resources be allocated to ‘</w:t>
            </w:r>
            <w:r>
              <w:rPr>
                <w:rFonts w:ascii="Arial" w:hAnsi="Arial" w:cs="Arial"/>
                <w:sz w:val="22"/>
                <w:szCs w:val="22"/>
                <w:lang w:val="en-GB"/>
              </w:rPr>
              <w:t>O</w:t>
            </w:r>
            <w:r w:rsidRPr="00696A00">
              <w:rPr>
                <w:rFonts w:ascii="Arial" w:hAnsi="Arial" w:cs="Arial"/>
                <w:sz w:val="22"/>
                <w:szCs w:val="22"/>
                <w:lang w:val="en-GB"/>
              </w:rPr>
              <w:t>ther functions of the Committee’ as described in Article 7 of the Convention and the Operational Directives. The present document provides a specific proposal prepared by the Secretariat for the utilization of these funds for the period 1 January</w:t>
            </w:r>
            <w:r>
              <w:rPr>
                <w:rFonts w:ascii="Arial" w:hAnsi="Arial" w:cs="Arial"/>
                <w:sz w:val="22"/>
                <w:szCs w:val="22"/>
                <w:lang w:val="en-GB"/>
              </w:rPr>
              <w:t xml:space="preserve"> 2020 </w:t>
            </w:r>
            <w:r w:rsidRPr="00696A00">
              <w:rPr>
                <w:rFonts w:ascii="Arial" w:hAnsi="Arial" w:cs="Arial"/>
                <w:sz w:val="22"/>
                <w:szCs w:val="22"/>
                <w:lang w:val="en-GB"/>
              </w:rPr>
              <w:t>to 3</w:t>
            </w:r>
            <w:r>
              <w:rPr>
                <w:rFonts w:ascii="Arial" w:hAnsi="Arial" w:cs="Arial"/>
                <w:sz w:val="22"/>
                <w:szCs w:val="22"/>
                <w:lang w:val="en-GB"/>
              </w:rPr>
              <w:t>0</w:t>
            </w:r>
            <w:r w:rsidRPr="00696A00">
              <w:rPr>
                <w:rFonts w:ascii="Arial" w:hAnsi="Arial" w:cs="Arial"/>
                <w:sz w:val="22"/>
                <w:szCs w:val="22"/>
                <w:lang w:val="en-GB"/>
              </w:rPr>
              <w:t> </w:t>
            </w:r>
            <w:r>
              <w:rPr>
                <w:rFonts w:ascii="Arial" w:hAnsi="Arial" w:cs="Arial"/>
                <w:sz w:val="22"/>
                <w:szCs w:val="22"/>
                <w:lang w:val="en-GB"/>
              </w:rPr>
              <w:t>June</w:t>
            </w:r>
            <w:r w:rsidRPr="00696A00">
              <w:rPr>
                <w:rFonts w:ascii="Arial" w:hAnsi="Arial" w:cs="Arial"/>
                <w:sz w:val="22"/>
                <w:szCs w:val="22"/>
                <w:lang w:val="en-GB"/>
              </w:rPr>
              <w:t> </w:t>
            </w:r>
            <w:r>
              <w:rPr>
                <w:rFonts w:ascii="Arial" w:hAnsi="Arial" w:cs="Arial"/>
                <w:sz w:val="22"/>
                <w:szCs w:val="22"/>
                <w:lang w:val="en-GB"/>
              </w:rPr>
              <w:t>2020</w:t>
            </w:r>
            <w:r w:rsidRPr="00696A00">
              <w:rPr>
                <w:rFonts w:ascii="Arial" w:hAnsi="Arial" w:cs="Arial"/>
                <w:sz w:val="22"/>
                <w:szCs w:val="22"/>
                <w:lang w:val="en-GB"/>
              </w:rPr>
              <w:t>. Exercising the authority delegated to it by the Committee, the Bureau is invited to decide upon the utilization of these funds.</w:t>
            </w:r>
          </w:p>
          <w:p w14:paraId="0967E2E8" w14:textId="139FCBC2" w:rsidR="00EC6F8D" w:rsidRPr="00497791" w:rsidRDefault="00EC6F8D">
            <w:pPr>
              <w:pStyle w:val="Sansinterligne2"/>
              <w:spacing w:before="200" w:after="200"/>
              <w:jc w:val="both"/>
              <w:rPr>
                <w:rFonts w:ascii="Arial" w:hAnsi="Arial" w:cs="Arial"/>
                <w:bCs/>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CB34E0" w:rsidRPr="00497791">
              <w:rPr>
                <w:rFonts w:ascii="Arial" w:hAnsi="Arial" w:cs="Arial"/>
                <w:bCs/>
                <w:sz w:val="22"/>
                <w:szCs w:val="22"/>
                <w:lang w:val="en-GB"/>
              </w:rPr>
              <w:t>2</w:t>
            </w:r>
            <w:r w:rsidR="00090974" w:rsidRPr="00497791">
              <w:rPr>
                <w:rFonts w:ascii="Arial" w:hAnsi="Arial" w:cs="Arial"/>
                <w:bCs/>
                <w:sz w:val="22"/>
                <w:szCs w:val="22"/>
                <w:lang w:val="en-GB"/>
              </w:rPr>
              <w:t>2</w:t>
            </w:r>
          </w:p>
        </w:tc>
      </w:tr>
    </w:tbl>
    <w:p w14:paraId="3AB5E30D" w14:textId="77777777" w:rsidR="00761ADA" w:rsidRPr="00696A00" w:rsidRDefault="00655736" w:rsidP="00B159EF">
      <w:pPr>
        <w:pStyle w:val="Heading4"/>
        <w:ind w:left="567" w:hanging="567"/>
        <w:rPr>
          <w:snapToGrid/>
        </w:rPr>
      </w:pPr>
      <w:r w:rsidRPr="00414643">
        <w:br w:type="page"/>
      </w:r>
      <w:r w:rsidR="00761ADA">
        <w:lastRenderedPageBreak/>
        <w:t>INTRODUCTION</w:t>
      </w:r>
    </w:p>
    <w:p w14:paraId="6ED44E59" w14:textId="699C3E67" w:rsidR="00761ADA" w:rsidRPr="00DE3121" w:rsidRDefault="00761ADA" w:rsidP="00466104">
      <w:pPr>
        <w:pStyle w:val="5GAparabodytext"/>
        <w:rPr>
          <w:snapToGrid w:val="0"/>
          <w:lang w:eastAsia="en-US"/>
        </w:rPr>
      </w:pPr>
      <w:r w:rsidRPr="00DE3121">
        <w:rPr>
          <w:snapToGrid w:val="0"/>
          <w:lang w:eastAsia="en-US"/>
        </w:rPr>
        <w:t>The Plan for the use of the resources of the Intangible Cultural Heritage Fund and the budget plan adopted by the General Assembly at its seventh session (</w:t>
      </w:r>
      <w:hyperlink r:id="rId8" w:history="1">
        <w:r w:rsidR="00DD7355" w:rsidRPr="00DE3121">
          <w:rPr>
            <w:rStyle w:val="Hyperlink"/>
            <w:snapToGrid w:val="0"/>
            <w:lang w:eastAsia="en-US"/>
          </w:rPr>
          <w:t>Resolution 7.GA 8</w:t>
        </w:r>
      </w:hyperlink>
      <w:r w:rsidRPr="00DE3121">
        <w:rPr>
          <w:snapToGrid w:val="0"/>
          <w:lang w:eastAsia="en-US"/>
        </w:rPr>
        <w:t>) allocates 20</w:t>
      </w:r>
      <w:r w:rsidR="005D57C9" w:rsidRPr="00DE3121">
        <w:rPr>
          <w:snapToGrid w:val="0"/>
          <w:lang w:eastAsia="en-US"/>
        </w:rPr>
        <w:t xml:space="preserve"> per cent </w:t>
      </w:r>
      <w:r w:rsidRPr="00DE3121">
        <w:rPr>
          <w:snapToGrid w:val="0"/>
          <w:lang w:eastAsia="en-US"/>
        </w:rPr>
        <w:t>of the total for ‘Other functions of the Committee’ as described in Article 7 of the Convention and in the Operational Directives for the period</w:t>
      </w:r>
      <w:r w:rsidR="005D57C9" w:rsidRPr="00DE3121">
        <w:rPr>
          <w:snapToGrid w:val="0"/>
          <w:lang w:eastAsia="en-US"/>
        </w:rPr>
        <w:t>s</w:t>
      </w:r>
      <w:r w:rsidRPr="00DE3121">
        <w:rPr>
          <w:snapToGrid w:val="0"/>
          <w:lang w:eastAsia="en-US"/>
        </w:rPr>
        <w:t xml:space="preserve"> 1 January 2018 to 31 December 2019 </w:t>
      </w:r>
      <w:r w:rsidR="005D57C9" w:rsidRPr="00DE3121">
        <w:rPr>
          <w:snapToGrid w:val="0"/>
          <w:lang w:eastAsia="en-US"/>
        </w:rPr>
        <w:t>and</w:t>
      </w:r>
      <w:r w:rsidRPr="00DE3121">
        <w:rPr>
          <w:snapToGrid w:val="0"/>
          <w:lang w:eastAsia="en-US"/>
        </w:rPr>
        <w:t xml:space="preserve"> 1 January 2020 to 30 June 2020.</w:t>
      </w:r>
    </w:p>
    <w:p w14:paraId="61CEAA5C" w14:textId="091F291C" w:rsidR="00761ADA" w:rsidRPr="00DE3121" w:rsidRDefault="00761ADA">
      <w:pPr>
        <w:pStyle w:val="5GAparabodytext"/>
      </w:pPr>
      <w:r w:rsidRPr="00DE3121">
        <w:t xml:space="preserve">In its </w:t>
      </w:r>
      <w:hyperlink r:id="rId9" w:history="1">
        <w:r w:rsidRPr="00DE3121">
          <w:rPr>
            <w:rStyle w:val="Hyperlink"/>
          </w:rPr>
          <w:t>Decision </w:t>
        </w:r>
        <w:r w:rsidR="00E92E35" w:rsidRPr="00DE3121">
          <w:rPr>
            <w:rStyle w:val="Hyperlink"/>
          </w:rPr>
          <w:t>12.COM 7</w:t>
        </w:r>
      </w:hyperlink>
      <w:r w:rsidRPr="00DE3121">
        <w:t>, the Committee decided to continue with the mechanism set in place in previous sessions for authorizing expenditures in this cat</w:t>
      </w:r>
      <w:bookmarkStart w:id="0" w:name="_GoBack"/>
      <w:bookmarkEnd w:id="0"/>
      <w:r w:rsidRPr="00DE3121">
        <w:t xml:space="preserve">egory. In that </w:t>
      </w:r>
      <w:r w:rsidR="00466104" w:rsidRPr="00DE3121">
        <w:t>decision</w:t>
      </w:r>
      <w:r w:rsidRPr="00DE3121">
        <w:t>, the Committee delegate</w:t>
      </w:r>
      <w:r w:rsidR="00C64552" w:rsidRPr="00DE3121">
        <w:t>d</w:t>
      </w:r>
      <w:r w:rsidRPr="00DE3121">
        <w:t xml:space="preserve"> </w:t>
      </w:r>
      <w:r w:rsidR="00C64552" w:rsidRPr="00DE3121">
        <w:t>‘</w:t>
      </w:r>
      <w:r w:rsidRPr="00DE3121">
        <w:t xml:space="preserve">to its Bureau the authority to decide upon the utilization of the funds allocated under </w:t>
      </w:r>
      <w:r w:rsidR="00867976">
        <w:t>budget line</w:t>
      </w:r>
      <w:r w:rsidRPr="00DE3121">
        <w:t> 3 of the Plan, on the basis of specific proposals to be prepared by the Secretariat’. While deciding on the plan for the utilization of the funds for ‘Other functions of the Committee’</w:t>
      </w:r>
      <w:r w:rsidR="00E92E35" w:rsidRPr="00DE3121">
        <w:t xml:space="preserve"> in June 2018</w:t>
      </w:r>
      <w:r w:rsidRPr="00DE3121">
        <w:t xml:space="preserve"> (</w:t>
      </w:r>
      <w:hyperlink r:id="rId10" w:history="1">
        <w:r w:rsidR="00E92E35" w:rsidRPr="00DE3121">
          <w:rPr>
            <w:rStyle w:val="Hyperlink"/>
          </w:rPr>
          <w:t>Decision 13.COM 2.BUR 3</w:t>
        </w:r>
      </w:hyperlink>
      <w:r w:rsidRPr="00DE3121">
        <w:t xml:space="preserve">), the Bureau of the </w:t>
      </w:r>
      <w:r w:rsidR="00E92E35" w:rsidRPr="00DE3121">
        <w:t>thirteenth</w:t>
      </w:r>
      <w:r w:rsidRPr="00DE3121">
        <w:t xml:space="preserve"> session of the Committee approved a plan for the period 1 January </w:t>
      </w:r>
      <w:r w:rsidR="00E92E35" w:rsidRPr="00DE3121">
        <w:t>2018 to 31 December 2019</w:t>
      </w:r>
      <w:r w:rsidRPr="00DE3121">
        <w:t xml:space="preserve">, on the understanding that the Bureau of the </w:t>
      </w:r>
      <w:r w:rsidR="00E92E35" w:rsidRPr="00DE3121">
        <w:t>fourteenth</w:t>
      </w:r>
      <w:r w:rsidRPr="00DE3121">
        <w:t xml:space="preserve"> session of the Committee would be tasked, in </w:t>
      </w:r>
      <w:r w:rsidR="00E92E35" w:rsidRPr="00DE3121">
        <w:t>mid-2019</w:t>
      </w:r>
      <w:r w:rsidRPr="00DE3121">
        <w:t xml:space="preserve">, with approving the proposal for the utilization of these funds for the period 1 January </w:t>
      </w:r>
      <w:r w:rsidR="00E92E35" w:rsidRPr="00DE3121">
        <w:t>2020</w:t>
      </w:r>
      <w:r w:rsidRPr="00DE3121">
        <w:t xml:space="preserve"> to 30 June </w:t>
      </w:r>
      <w:r w:rsidR="00E92E35" w:rsidRPr="00DE3121">
        <w:t>2020</w:t>
      </w:r>
      <w:r w:rsidRPr="00DE3121">
        <w:t>.</w:t>
      </w:r>
    </w:p>
    <w:p w14:paraId="506A7957" w14:textId="4353411A" w:rsidR="00085C97" w:rsidRPr="00DE3121" w:rsidRDefault="002A4982" w:rsidP="0078363F">
      <w:pPr>
        <w:pStyle w:val="5GAparabodytext"/>
      </w:pPr>
      <w:r w:rsidRPr="00DE3121">
        <w:t>As approved by the General Assembly, t</w:t>
      </w:r>
      <w:r w:rsidR="00085C97" w:rsidRPr="00DE3121">
        <w:t>he amount of US$429,54</w:t>
      </w:r>
      <w:r w:rsidR="0078363F">
        <w:t>6</w:t>
      </w:r>
      <w:r w:rsidR="00085C97" w:rsidRPr="00DE3121">
        <w:t xml:space="preserve"> is available for this purpose for the period 1 January 2020 to 30 June 2020. Part II of </w:t>
      </w:r>
      <w:r w:rsidR="005D57C9" w:rsidRPr="00DE3121">
        <w:t>this</w:t>
      </w:r>
      <w:r w:rsidR="00085C97" w:rsidRPr="00DE3121">
        <w:t xml:space="preserve"> document, therefore, introduces a specific proposal prepared by the Secretariat for the utilization of these funds for this period; the proposal constitutes the annex to the draft decision proposed below. It is understood that this proposal will have to be absorbed within the proposal for the 2020</w:t>
      </w:r>
      <w:r w:rsidR="005D57C9" w:rsidRPr="00DE3121">
        <w:t>–</w:t>
      </w:r>
      <w:r w:rsidR="00085C97" w:rsidRPr="00DE3121">
        <w:t>2021 biennium, which will be examined by the Bureau of the fifteenth session of the Committee in mid-2020 on the basis of the 40C/5, as adopted by the UNESCO General Conference in October/November 2019</w:t>
      </w:r>
      <w:r w:rsidR="00C64552" w:rsidRPr="00DE3121">
        <w:t>.</w:t>
      </w:r>
      <w:r w:rsidR="00085C97" w:rsidRPr="00DE3121">
        <w:t xml:space="preserve"> </w:t>
      </w:r>
      <w:r w:rsidR="00C64552" w:rsidRPr="00DE3121">
        <w:t xml:space="preserve">The Bureau will examine </w:t>
      </w:r>
      <w:r w:rsidR="0011357D" w:rsidRPr="00DE3121">
        <w:t xml:space="preserve">the </w:t>
      </w:r>
      <w:r w:rsidR="00C64552" w:rsidRPr="00DE3121">
        <w:t>proposal for the 2020</w:t>
      </w:r>
      <w:r w:rsidR="005D57C9" w:rsidRPr="00DE3121">
        <w:t>–</w:t>
      </w:r>
      <w:r w:rsidR="00C64552" w:rsidRPr="00DE3121">
        <w:t xml:space="preserve">2021 biennium, immediately </w:t>
      </w:r>
      <w:r w:rsidR="005D57C9" w:rsidRPr="00DE3121">
        <w:t xml:space="preserve">after </w:t>
      </w:r>
      <w:r w:rsidR="00C64552" w:rsidRPr="00DE3121">
        <w:t xml:space="preserve">the adoption of a new Plan for the use of the resources of the Fund </w:t>
      </w:r>
      <w:r w:rsidR="0011357D" w:rsidRPr="00DE3121">
        <w:t>by</w:t>
      </w:r>
      <w:r w:rsidR="00085C97" w:rsidRPr="00DE3121">
        <w:t xml:space="preserve"> the eighth session of the General Assembly of the States Parties to the Convention.</w:t>
      </w:r>
    </w:p>
    <w:p w14:paraId="1FBDEA5B" w14:textId="77777777" w:rsidR="00962C3B" w:rsidRPr="00DE3121" w:rsidRDefault="00962C3B" w:rsidP="0078363F">
      <w:pPr>
        <w:pStyle w:val="Heading4"/>
        <w:spacing w:before="360"/>
        <w:ind w:left="567" w:hanging="567"/>
        <w:jc w:val="both"/>
        <w:rPr>
          <w:rFonts w:cs="Arial"/>
          <w:bCs w:val="0"/>
          <w:smallCaps/>
          <w:szCs w:val="22"/>
        </w:rPr>
      </w:pPr>
      <w:r w:rsidRPr="00DE3121">
        <w:t>PROPOSAL FOR THE UTILIZATION OF FUNDS FOR ‘OTHER FUNCTIONS OF THE COMMITTEE’</w:t>
      </w:r>
    </w:p>
    <w:p w14:paraId="53D4602D" w14:textId="57309FB0" w:rsidR="00134EAF" w:rsidRPr="00DE3121" w:rsidRDefault="00134EAF" w:rsidP="00CB5B86">
      <w:pPr>
        <w:pStyle w:val="5GAparabodytext"/>
      </w:pPr>
      <w:r w:rsidRPr="00DE3121">
        <w:t>For greater consistency and better integration with the related reports to the governing bodies of both the Convention and UNESCO, the spending plan proposed by</w:t>
      </w:r>
      <w:r w:rsidR="006D57EA" w:rsidRPr="00DE3121">
        <w:t xml:space="preserve"> the Secretariat</w:t>
      </w:r>
      <w:r w:rsidRPr="00DE3121">
        <w:t xml:space="preserve"> is based on a results framework which is </w:t>
      </w:r>
      <w:r w:rsidR="00DC0764" w:rsidRPr="00DE3121">
        <w:t xml:space="preserve">fully </w:t>
      </w:r>
      <w:r w:rsidRPr="00DE3121">
        <w:t xml:space="preserve">aligned with the five performance indicators included in the </w:t>
      </w:r>
      <w:r w:rsidR="00CB5B86">
        <w:t>39</w:t>
      </w:r>
      <w:r w:rsidRPr="00DE3121">
        <w:t>C/5 for Major Programme IV on Culture, Main Line of Action 2, and Expected Result 6 ‘Intangible cultural heritage identified and safeguarded by Member States and communities, in particular through the effective implementation of the 2003 Convention’. Only performance indicator 4</w:t>
      </w:r>
      <w:r w:rsidR="005D57C9" w:rsidRPr="00DE3121">
        <w:t>,</w:t>
      </w:r>
      <w:r w:rsidRPr="00DE3121">
        <w:t xml:space="preserve"> dedicated to International Assistance</w:t>
      </w:r>
      <w:r w:rsidR="005D57C9" w:rsidRPr="00DE3121">
        <w:t>,</w:t>
      </w:r>
      <w:r w:rsidRPr="00DE3121">
        <w:t xml:space="preserve"> is not reflected in the proposal since International Assistance is </w:t>
      </w:r>
      <w:r w:rsidR="00A81BF0" w:rsidRPr="00DE3121">
        <w:t>supported</w:t>
      </w:r>
      <w:r w:rsidRPr="00DE3121">
        <w:t xml:space="preserve"> by a line of the Fund other than that of ‘Other functions of the Committee’.</w:t>
      </w:r>
      <w:r w:rsidR="00DC0764" w:rsidRPr="00DE3121">
        <w:t xml:space="preserve"> The Bureau is therefore asked to approve the proposal, in the annex</w:t>
      </w:r>
      <w:r w:rsidR="0011357D" w:rsidRPr="00DE3121">
        <w:t>, presented in the form of a</w:t>
      </w:r>
      <w:r w:rsidR="00DC0764" w:rsidRPr="00DE3121">
        <w:t xml:space="preserve"> results framework with the financial allocations for each </w:t>
      </w:r>
      <w:r w:rsidR="00466104" w:rsidRPr="00DE3121">
        <w:t xml:space="preserve">Expected Result </w:t>
      </w:r>
      <w:r w:rsidR="00DC0764" w:rsidRPr="00DE3121">
        <w:t>(ER).</w:t>
      </w:r>
    </w:p>
    <w:p w14:paraId="13D0F2F6" w14:textId="10D776E3" w:rsidR="00BF606C" w:rsidRPr="00DE3121" w:rsidRDefault="00BF606C" w:rsidP="0078363F">
      <w:pPr>
        <w:pStyle w:val="5GAparabodytext"/>
      </w:pPr>
      <w:r w:rsidRPr="00DE3121">
        <w:t>The proposal remains in line with the 2018</w:t>
      </w:r>
      <w:r w:rsidR="005D57C9" w:rsidRPr="00DE3121">
        <w:t>–</w:t>
      </w:r>
      <w:r w:rsidRPr="00DE3121">
        <w:t>2019 results framework of the</w:t>
      </w:r>
      <w:r w:rsidR="004C3853" w:rsidRPr="00DE3121">
        <w:t xml:space="preserve"> budget</w:t>
      </w:r>
      <w:r w:rsidRPr="00DE3121">
        <w:t xml:space="preserve"> line ‘Other functions of the Committee’ and builds on lessons learnt from activities already implemented during 2018</w:t>
      </w:r>
      <w:r w:rsidR="00887999" w:rsidRPr="00DE3121">
        <w:t xml:space="preserve">, </w:t>
      </w:r>
      <w:r w:rsidR="005D57C9" w:rsidRPr="00DE3121">
        <w:t xml:space="preserve">as </w:t>
      </w:r>
      <w:r w:rsidRPr="00DE3121">
        <w:t>captured in the report to the Bureau (document</w:t>
      </w:r>
      <w:r w:rsidR="0078363F">
        <w:t xml:space="preserve"> </w:t>
      </w:r>
      <w:hyperlink r:id="rId11" w:history="1">
        <w:r w:rsidR="0078363F" w:rsidRPr="0078363F">
          <w:rPr>
            <w:rStyle w:val="Hyperlink"/>
          </w:rPr>
          <w:t>LHE</w:t>
        </w:r>
        <w:r w:rsidRPr="0078363F">
          <w:rPr>
            <w:rStyle w:val="Hyperlink"/>
          </w:rPr>
          <w:t>/19/14.COM 2.BUR/INF.3</w:t>
        </w:r>
      </w:hyperlink>
      <w:r w:rsidRPr="00DE3121">
        <w:t>). In this vein,</w:t>
      </w:r>
      <w:r w:rsidR="004C3853" w:rsidRPr="00DE3121">
        <w:t xml:space="preserve"> </w:t>
      </w:r>
      <w:r w:rsidRPr="00DE3121">
        <w:t>the table below shows that th</w:t>
      </w:r>
      <w:r w:rsidR="004C3853" w:rsidRPr="00DE3121">
        <w:t xml:space="preserve">is proposal, for the most part, </w:t>
      </w:r>
      <w:r w:rsidR="0021176E" w:rsidRPr="00DE3121">
        <w:t xml:space="preserve">requests support for </w:t>
      </w:r>
      <w:r w:rsidR="004C3853" w:rsidRPr="00DE3121">
        <w:t xml:space="preserve">the </w:t>
      </w:r>
      <w:r w:rsidR="00CB5B86">
        <w:t>areas that are in line with the approved 39 C/5</w:t>
      </w:r>
      <w:r w:rsidR="004C3853" w:rsidRPr="00DE3121">
        <w:t xml:space="preserve">, with the main focus </w:t>
      </w:r>
      <w:r w:rsidR="00C64552" w:rsidRPr="00DE3121">
        <w:t>continuing</w:t>
      </w:r>
      <w:r w:rsidR="004C3853" w:rsidRPr="00DE3121">
        <w:t xml:space="preserve"> to be </w:t>
      </w:r>
      <w:r w:rsidR="006A3A4C" w:rsidRPr="00DE3121">
        <w:t xml:space="preserve">support </w:t>
      </w:r>
      <w:r w:rsidR="000C241F" w:rsidRPr="00DE3121">
        <w:t xml:space="preserve">to Member States for the implementation of the Convention at </w:t>
      </w:r>
      <w:r w:rsidR="005D57C9" w:rsidRPr="00DE3121">
        <w:t xml:space="preserve">the </w:t>
      </w:r>
      <w:r w:rsidR="000C241F" w:rsidRPr="00DE3121">
        <w:t xml:space="preserve">national level </w:t>
      </w:r>
      <w:r w:rsidR="005D57C9" w:rsidRPr="00DE3121">
        <w:t>by</w:t>
      </w:r>
      <w:r w:rsidR="000C241F" w:rsidRPr="00DE3121">
        <w:t xml:space="preserve"> strengthening</w:t>
      </w:r>
      <w:r w:rsidR="005D57C9" w:rsidRPr="00DE3121">
        <w:t xml:space="preserve"> </w:t>
      </w:r>
      <w:r w:rsidR="000C241F" w:rsidRPr="00DE3121">
        <w:t>the capacity</w:t>
      </w:r>
      <w:r w:rsidR="005D57C9" w:rsidRPr="00DE3121">
        <w:t>-</w:t>
      </w:r>
      <w:r w:rsidR="000C241F" w:rsidRPr="00DE3121">
        <w:t xml:space="preserve">building programme (ER2). As in </w:t>
      </w:r>
      <w:r w:rsidR="005176AF" w:rsidRPr="00DE3121">
        <w:t>previous</w:t>
      </w:r>
      <w:r w:rsidR="000C241F" w:rsidRPr="00DE3121">
        <w:t xml:space="preserve"> biennia, this budget </w:t>
      </w:r>
      <w:r w:rsidR="00421021" w:rsidRPr="00DE3121">
        <w:t>line</w:t>
      </w:r>
      <w:r w:rsidR="000C241F" w:rsidRPr="00DE3121">
        <w:t xml:space="preserve"> will </w:t>
      </w:r>
      <w:r w:rsidR="00367A6F" w:rsidRPr="00DE3121">
        <w:t xml:space="preserve">also </w:t>
      </w:r>
      <w:r w:rsidR="000C241F" w:rsidRPr="00DE3121">
        <w:t>continue to provide precious support to the</w:t>
      </w:r>
      <w:r w:rsidR="00421021" w:rsidRPr="00DE3121">
        <w:t xml:space="preserve"> Convention in areas that </w:t>
      </w:r>
      <w:r w:rsidR="00367A6F" w:rsidRPr="00DE3121">
        <w:t xml:space="preserve">sometimes experience difficulties </w:t>
      </w:r>
      <w:r w:rsidR="005D57C9" w:rsidRPr="00DE3121">
        <w:t xml:space="preserve">in </w:t>
      </w:r>
      <w:r w:rsidR="0039068B" w:rsidRPr="00DE3121">
        <w:t>mobiliz</w:t>
      </w:r>
      <w:r w:rsidR="005D57C9" w:rsidRPr="00DE3121">
        <w:t>ing</w:t>
      </w:r>
      <w:r w:rsidR="0039068B" w:rsidRPr="00DE3121">
        <w:t xml:space="preserve"> </w:t>
      </w:r>
      <w:r w:rsidR="00367A6F" w:rsidRPr="00DE3121">
        <w:t xml:space="preserve">consistent </w:t>
      </w:r>
      <w:r w:rsidR="00CB5B86">
        <w:t>voluntary contributions</w:t>
      </w:r>
      <w:r w:rsidR="00421021" w:rsidRPr="00DE3121">
        <w:t xml:space="preserve"> for their implementation. In this regard, this proposal </w:t>
      </w:r>
      <w:r w:rsidR="005D57C9" w:rsidRPr="00DE3121">
        <w:t xml:space="preserve">again </w:t>
      </w:r>
      <w:r w:rsidR="00367A6F" w:rsidRPr="00DE3121">
        <w:t>allocates</w:t>
      </w:r>
      <w:r w:rsidR="005D57C9" w:rsidRPr="00DE3121">
        <w:t xml:space="preserve"> </w:t>
      </w:r>
      <w:r w:rsidR="00421021" w:rsidRPr="00DE3121">
        <w:t>funds for the</w:t>
      </w:r>
      <w:r w:rsidR="000C241F" w:rsidRPr="00DE3121">
        <w:t xml:space="preserve"> enhancement of the Convention’s knowledge management services (ER1) and </w:t>
      </w:r>
      <w:r w:rsidR="00421021" w:rsidRPr="00DE3121">
        <w:t>the promotion of the Convention t</w:t>
      </w:r>
      <w:r w:rsidR="005D57C9" w:rsidRPr="00DE3121">
        <w:t>h</w:t>
      </w:r>
      <w:r w:rsidR="00421021" w:rsidRPr="00DE3121">
        <w:t xml:space="preserve">rough </w:t>
      </w:r>
      <w:r w:rsidR="00421021" w:rsidRPr="00DE3121">
        <w:rPr>
          <w:rStyle w:val="hps"/>
        </w:rPr>
        <w:t>awareness</w:t>
      </w:r>
      <w:r w:rsidR="005D57C9" w:rsidRPr="00DE3121">
        <w:rPr>
          <w:rStyle w:val="hps"/>
        </w:rPr>
        <w:t>-</w:t>
      </w:r>
      <w:r w:rsidR="00421021" w:rsidRPr="00DE3121">
        <w:rPr>
          <w:rStyle w:val="hps"/>
        </w:rPr>
        <w:t>raising initiatives and the produ</w:t>
      </w:r>
      <w:r w:rsidR="00C26E65" w:rsidRPr="00DE3121">
        <w:rPr>
          <w:rStyle w:val="hps"/>
        </w:rPr>
        <w:t xml:space="preserve">ction of outreach </w:t>
      </w:r>
      <w:r w:rsidR="00C26E65" w:rsidRPr="00DE3121">
        <w:rPr>
          <w:rStyle w:val="hps"/>
        </w:rPr>
        <w:lastRenderedPageBreak/>
        <w:t>materials (ER</w:t>
      </w:r>
      <w:r w:rsidR="00421021" w:rsidRPr="00DE3121">
        <w:rPr>
          <w:rStyle w:val="hps"/>
        </w:rPr>
        <w:t>4).</w:t>
      </w:r>
      <w:r w:rsidR="000C241F" w:rsidRPr="00DE3121">
        <w:t xml:space="preserve"> </w:t>
      </w:r>
      <w:r w:rsidR="00172075" w:rsidRPr="00DE3121">
        <w:t>Finally,</w:t>
      </w:r>
      <w:r w:rsidR="008B2653" w:rsidRPr="00DE3121">
        <w:t xml:space="preserve"> during the first six months of 2020,</w:t>
      </w:r>
      <w:r w:rsidR="00172075" w:rsidRPr="00DE3121">
        <w:t xml:space="preserve"> </w:t>
      </w:r>
      <w:r w:rsidR="0039068B" w:rsidRPr="00DE3121">
        <w:t xml:space="preserve">it is proposed that </w:t>
      </w:r>
      <w:r w:rsidR="00172075" w:rsidRPr="00DE3121">
        <w:t xml:space="preserve">this </w:t>
      </w:r>
      <w:r w:rsidR="00C26E65" w:rsidRPr="00DE3121">
        <w:t>budget line</w:t>
      </w:r>
      <w:r w:rsidR="00172075" w:rsidRPr="00DE3121">
        <w:t xml:space="preserve"> </w:t>
      </w:r>
      <w:r w:rsidR="0039068B" w:rsidRPr="00DE3121">
        <w:t xml:space="preserve">also continue to </w:t>
      </w:r>
      <w:r w:rsidR="008B2653" w:rsidRPr="00DE3121">
        <w:t>support</w:t>
      </w:r>
      <w:r w:rsidR="00172075" w:rsidRPr="00DE3121">
        <w:t xml:space="preserve"> </w:t>
      </w:r>
      <w:r w:rsidR="008B2653" w:rsidRPr="00DE3121">
        <w:t xml:space="preserve">the </w:t>
      </w:r>
      <w:r w:rsidR="00172075" w:rsidRPr="00DE3121">
        <w:t>work initiated during the current biennium on the integration of intangible cultural heritage into development plans, policies and programmes</w:t>
      </w:r>
      <w:r w:rsidR="00C26E65" w:rsidRPr="00DE3121">
        <w:t xml:space="preserve"> (ER3).</w:t>
      </w:r>
    </w:p>
    <w:tbl>
      <w:tblPr>
        <w:tblW w:w="9072" w:type="dxa"/>
        <w:tblInd w:w="567" w:type="dxa"/>
        <w:tblLook w:val="04A0" w:firstRow="1" w:lastRow="0" w:firstColumn="1" w:lastColumn="0" w:noHBand="0" w:noVBand="1"/>
      </w:tblPr>
      <w:tblGrid>
        <w:gridCol w:w="7010"/>
        <w:gridCol w:w="2062"/>
      </w:tblGrid>
      <w:tr w:rsidR="006E51F3" w:rsidRPr="00DE3121" w14:paraId="18F08D62" w14:textId="77777777" w:rsidTr="00B159EF">
        <w:tc>
          <w:tcPr>
            <w:tcW w:w="6662" w:type="dxa"/>
            <w:shd w:val="clear" w:color="auto" w:fill="BFBFBF"/>
            <w:vAlign w:val="center"/>
          </w:tcPr>
          <w:p w14:paraId="5205852F" w14:textId="77777777" w:rsidR="006E51F3" w:rsidRPr="00DE3121" w:rsidRDefault="006E51F3" w:rsidP="00C96427">
            <w:pPr>
              <w:spacing w:before="60" w:after="60"/>
              <w:rPr>
                <w:rFonts w:ascii="Arial" w:hAnsi="Arial" w:cs="Arial"/>
                <w:b/>
                <w:sz w:val="20"/>
                <w:szCs w:val="20"/>
                <w:lang w:val="en-GB"/>
              </w:rPr>
            </w:pPr>
            <w:r w:rsidRPr="00DE3121">
              <w:rPr>
                <w:rFonts w:ascii="Arial" w:hAnsi="Arial" w:cs="Arial"/>
                <w:b/>
                <w:sz w:val="20"/>
                <w:szCs w:val="20"/>
                <w:lang w:val="en-GB"/>
              </w:rPr>
              <w:t>Expected Result</w:t>
            </w:r>
          </w:p>
        </w:tc>
        <w:tc>
          <w:tcPr>
            <w:tcW w:w="1960" w:type="dxa"/>
            <w:shd w:val="clear" w:color="auto" w:fill="BFBFBF"/>
            <w:vAlign w:val="center"/>
          </w:tcPr>
          <w:p w14:paraId="38D3304B" w14:textId="77777777" w:rsidR="006E51F3" w:rsidRPr="00DE3121" w:rsidRDefault="006E51F3" w:rsidP="00C96427">
            <w:pPr>
              <w:spacing w:before="60" w:after="60"/>
              <w:jc w:val="center"/>
              <w:rPr>
                <w:rFonts w:ascii="Arial" w:hAnsi="Arial" w:cs="Arial"/>
                <w:b/>
                <w:sz w:val="20"/>
                <w:szCs w:val="20"/>
                <w:lang w:val="en-GB"/>
              </w:rPr>
            </w:pPr>
            <w:r w:rsidRPr="00DE3121">
              <w:rPr>
                <w:rFonts w:ascii="Arial" w:hAnsi="Arial" w:cs="Arial"/>
                <w:b/>
                <w:sz w:val="20"/>
                <w:szCs w:val="20"/>
                <w:lang w:val="en-GB"/>
              </w:rPr>
              <w:t>1 January – 30 June 2020</w:t>
            </w:r>
          </w:p>
        </w:tc>
      </w:tr>
      <w:tr w:rsidR="006E51F3" w:rsidRPr="00DE3121" w14:paraId="30956010" w14:textId="77777777" w:rsidTr="00B159EF">
        <w:tc>
          <w:tcPr>
            <w:tcW w:w="6662" w:type="dxa"/>
            <w:shd w:val="clear" w:color="auto" w:fill="auto"/>
          </w:tcPr>
          <w:p w14:paraId="5F6C9DCD" w14:textId="77777777" w:rsidR="006E51F3" w:rsidRPr="00DE3121" w:rsidRDefault="006E51F3" w:rsidP="00C96427">
            <w:pPr>
              <w:spacing w:before="60" w:after="60"/>
              <w:rPr>
                <w:rFonts w:ascii="Arial" w:hAnsi="Arial" w:cs="Arial"/>
                <w:sz w:val="20"/>
                <w:szCs w:val="20"/>
                <w:lang w:val="en-GB"/>
              </w:rPr>
            </w:pPr>
            <w:r w:rsidRPr="00DE3121">
              <w:rPr>
                <w:rFonts w:ascii="Arial" w:hAnsi="Arial" w:cs="Arial"/>
                <w:sz w:val="20"/>
                <w:szCs w:val="20"/>
                <w:lang w:val="en-GB"/>
              </w:rPr>
              <w:t>ER 1: Sound governance of the 2003 Convention facilitated by enhanced monitoring and knowledge management services</w:t>
            </w:r>
          </w:p>
        </w:tc>
        <w:tc>
          <w:tcPr>
            <w:tcW w:w="1960" w:type="dxa"/>
            <w:shd w:val="clear" w:color="auto" w:fill="auto"/>
          </w:tcPr>
          <w:p w14:paraId="64EE99F6" w14:textId="6F4B0840" w:rsidR="006E51F3" w:rsidRPr="00DE3121" w:rsidRDefault="00887999" w:rsidP="00C96427">
            <w:pPr>
              <w:spacing w:before="60" w:after="60"/>
              <w:jc w:val="center"/>
              <w:rPr>
                <w:rFonts w:ascii="Arial" w:hAnsi="Arial" w:cs="Arial"/>
                <w:sz w:val="20"/>
                <w:szCs w:val="20"/>
                <w:lang w:val="en-GB"/>
              </w:rPr>
            </w:pPr>
            <w:r w:rsidRPr="00DE3121">
              <w:rPr>
                <w:rFonts w:ascii="Arial" w:hAnsi="Arial" w:cs="Arial"/>
                <w:sz w:val="20"/>
                <w:szCs w:val="20"/>
                <w:lang w:val="en-GB"/>
              </w:rPr>
              <w:t>23</w:t>
            </w:r>
            <w:r w:rsidR="006E51F3" w:rsidRPr="00DE3121">
              <w:rPr>
                <w:rFonts w:ascii="Arial" w:hAnsi="Arial" w:cs="Arial"/>
                <w:sz w:val="20"/>
                <w:szCs w:val="20"/>
                <w:lang w:val="en-GB"/>
              </w:rPr>
              <w:t>%</w:t>
            </w:r>
          </w:p>
        </w:tc>
      </w:tr>
      <w:tr w:rsidR="006E51F3" w:rsidRPr="00DE3121" w14:paraId="224F2685" w14:textId="77777777" w:rsidTr="00B159EF">
        <w:tc>
          <w:tcPr>
            <w:tcW w:w="6662" w:type="dxa"/>
            <w:shd w:val="clear" w:color="auto" w:fill="auto"/>
          </w:tcPr>
          <w:p w14:paraId="6D931CA7" w14:textId="06B48EC3" w:rsidR="006E51F3" w:rsidRPr="00DE3121" w:rsidRDefault="006E51F3">
            <w:pPr>
              <w:spacing w:before="60" w:after="60"/>
              <w:rPr>
                <w:rFonts w:ascii="Arial" w:hAnsi="Arial" w:cs="Arial"/>
                <w:sz w:val="20"/>
                <w:szCs w:val="20"/>
                <w:lang w:val="en-GB"/>
              </w:rPr>
            </w:pPr>
            <w:r w:rsidRPr="00DE3121">
              <w:rPr>
                <w:rFonts w:ascii="Arial" w:hAnsi="Arial" w:cs="Arial"/>
                <w:sz w:val="20"/>
                <w:szCs w:val="20"/>
                <w:lang w:val="en-GB"/>
              </w:rPr>
              <w:t xml:space="preserve">ER 2: Implementation of the Convention in Member States encouraged through a strengthened capacity-building programme </w:t>
            </w:r>
          </w:p>
        </w:tc>
        <w:tc>
          <w:tcPr>
            <w:tcW w:w="1960" w:type="dxa"/>
            <w:shd w:val="clear" w:color="auto" w:fill="auto"/>
          </w:tcPr>
          <w:p w14:paraId="3FBF2083" w14:textId="57D5720E" w:rsidR="006E51F3" w:rsidRPr="00DE3121" w:rsidRDefault="00887999" w:rsidP="00C96427">
            <w:pPr>
              <w:spacing w:before="60" w:after="60"/>
              <w:jc w:val="center"/>
              <w:rPr>
                <w:rFonts w:ascii="Arial" w:hAnsi="Arial" w:cs="Arial"/>
                <w:sz w:val="20"/>
                <w:szCs w:val="20"/>
                <w:lang w:val="en-GB"/>
              </w:rPr>
            </w:pPr>
            <w:r w:rsidRPr="00DE3121">
              <w:rPr>
                <w:rFonts w:ascii="Arial" w:hAnsi="Arial" w:cs="Arial"/>
                <w:sz w:val="20"/>
                <w:szCs w:val="20"/>
                <w:lang w:val="en-GB"/>
              </w:rPr>
              <w:t>43</w:t>
            </w:r>
            <w:r w:rsidR="006E51F3" w:rsidRPr="00DE3121">
              <w:rPr>
                <w:rFonts w:ascii="Arial" w:hAnsi="Arial" w:cs="Arial"/>
                <w:sz w:val="20"/>
                <w:szCs w:val="20"/>
                <w:lang w:val="en-GB"/>
              </w:rPr>
              <w:t>%</w:t>
            </w:r>
          </w:p>
        </w:tc>
      </w:tr>
      <w:tr w:rsidR="006E51F3" w:rsidRPr="00DE3121" w14:paraId="7AEF12C1" w14:textId="77777777" w:rsidTr="00B159EF">
        <w:tc>
          <w:tcPr>
            <w:tcW w:w="6662" w:type="dxa"/>
            <w:shd w:val="clear" w:color="auto" w:fill="auto"/>
          </w:tcPr>
          <w:p w14:paraId="5185897E" w14:textId="77777777" w:rsidR="006E51F3" w:rsidRPr="00DE3121" w:rsidRDefault="006E51F3" w:rsidP="00C96427">
            <w:pPr>
              <w:spacing w:before="60" w:after="60"/>
              <w:rPr>
                <w:rFonts w:ascii="Arial" w:hAnsi="Arial" w:cs="Arial"/>
                <w:sz w:val="20"/>
                <w:szCs w:val="20"/>
                <w:lang w:val="en-GB"/>
              </w:rPr>
            </w:pPr>
            <w:r w:rsidRPr="00DE3121">
              <w:rPr>
                <w:rFonts w:ascii="Arial" w:hAnsi="Arial" w:cs="Arial"/>
                <w:sz w:val="20"/>
                <w:szCs w:val="20"/>
                <w:lang w:val="en-GB"/>
              </w:rPr>
              <w:t>ER 3: Integration of intangible cultural heritage into development plans, policies and programmes</w:t>
            </w:r>
            <w:r w:rsidRPr="00DE3121" w:rsidDel="00975A7A">
              <w:rPr>
                <w:rFonts w:ascii="Arial" w:hAnsi="Arial" w:cs="Arial"/>
                <w:sz w:val="20"/>
                <w:szCs w:val="20"/>
                <w:lang w:val="en-GB"/>
              </w:rPr>
              <w:t xml:space="preserve"> </w:t>
            </w:r>
            <w:r w:rsidRPr="00DE3121">
              <w:rPr>
                <w:rFonts w:ascii="Arial" w:hAnsi="Arial" w:cs="Arial"/>
                <w:sz w:val="20"/>
                <w:szCs w:val="20"/>
                <w:lang w:val="en-GB"/>
              </w:rPr>
              <w:t>supported</w:t>
            </w:r>
          </w:p>
        </w:tc>
        <w:tc>
          <w:tcPr>
            <w:tcW w:w="1960" w:type="dxa"/>
            <w:shd w:val="clear" w:color="auto" w:fill="auto"/>
          </w:tcPr>
          <w:p w14:paraId="0AF88410" w14:textId="32856B2A" w:rsidR="006E51F3" w:rsidRPr="00DE3121" w:rsidRDefault="004442EA" w:rsidP="00C96427">
            <w:pPr>
              <w:spacing w:before="60" w:after="60"/>
              <w:jc w:val="center"/>
              <w:rPr>
                <w:rFonts w:ascii="Arial" w:hAnsi="Arial" w:cs="Arial"/>
                <w:sz w:val="20"/>
                <w:szCs w:val="20"/>
                <w:lang w:val="en-GB"/>
              </w:rPr>
            </w:pPr>
            <w:r w:rsidRPr="00DE3121">
              <w:rPr>
                <w:rFonts w:ascii="Arial" w:hAnsi="Arial" w:cs="Arial"/>
                <w:sz w:val="20"/>
                <w:szCs w:val="20"/>
                <w:lang w:val="en-GB"/>
              </w:rPr>
              <w:t>14</w:t>
            </w:r>
            <w:r w:rsidR="006E51F3" w:rsidRPr="00DE3121">
              <w:rPr>
                <w:rFonts w:ascii="Arial" w:hAnsi="Arial" w:cs="Arial"/>
                <w:sz w:val="20"/>
                <w:szCs w:val="20"/>
                <w:lang w:val="en-GB"/>
              </w:rPr>
              <w:t>%</w:t>
            </w:r>
          </w:p>
        </w:tc>
      </w:tr>
      <w:tr w:rsidR="006E51F3" w:rsidRPr="00DE3121" w14:paraId="5BFE0CB7" w14:textId="77777777" w:rsidTr="00B159EF">
        <w:tc>
          <w:tcPr>
            <w:tcW w:w="6662" w:type="dxa"/>
            <w:shd w:val="clear" w:color="auto" w:fill="auto"/>
          </w:tcPr>
          <w:p w14:paraId="40AF781D" w14:textId="77777777" w:rsidR="006E51F3" w:rsidRPr="00DE3121" w:rsidRDefault="006E51F3" w:rsidP="00C96427">
            <w:pPr>
              <w:spacing w:before="60" w:after="60"/>
              <w:rPr>
                <w:rFonts w:ascii="Arial" w:hAnsi="Arial" w:cs="Arial"/>
                <w:sz w:val="20"/>
                <w:szCs w:val="20"/>
                <w:lang w:val="en-GB"/>
              </w:rPr>
            </w:pPr>
            <w:r w:rsidRPr="00DE3121">
              <w:rPr>
                <w:rFonts w:ascii="Arial" w:hAnsi="Arial" w:cs="Arial"/>
                <w:sz w:val="20"/>
                <w:szCs w:val="20"/>
                <w:lang w:val="en-GB"/>
              </w:rPr>
              <w:t>ER 4: Objectives of the Convention promoted through awareness-raising and outreach</w:t>
            </w:r>
          </w:p>
        </w:tc>
        <w:tc>
          <w:tcPr>
            <w:tcW w:w="1960" w:type="dxa"/>
            <w:shd w:val="clear" w:color="auto" w:fill="auto"/>
          </w:tcPr>
          <w:p w14:paraId="269FD012" w14:textId="436CE933" w:rsidR="006E51F3" w:rsidRPr="00DE3121" w:rsidRDefault="00887999" w:rsidP="00C96427">
            <w:pPr>
              <w:spacing w:before="60" w:after="60"/>
              <w:jc w:val="center"/>
              <w:rPr>
                <w:rFonts w:ascii="Arial" w:hAnsi="Arial" w:cs="Arial"/>
                <w:sz w:val="20"/>
                <w:szCs w:val="20"/>
                <w:lang w:val="en-GB"/>
              </w:rPr>
            </w:pPr>
            <w:r w:rsidRPr="00DE3121">
              <w:rPr>
                <w:rFonts w:ascii="Arial" w:hAnsi="Arial" w:cs="Arial"/>
                <w:sz w:val="20"/>
                <w:szCs w:val="20"/>
                <w:lang w:val="en-GB"/>
              </w:rPr>
              <w:t>20</w:t>
            </w:r>
            <w:r w:rsidR="006E51F3" w:rsidRPr="00DE3121">
              <w:rPr>
                <w:rFonts w:ascii="Arial" w:hAnsi="Arial" w:cs="Arial"/>
                <w:sz w:val="20"/>
                <w:szCs w:val="20"/>
                <w:lang w:val="en-GB"/>
              </w:rPr>
              <w:t>%</w:t>
            </w:r>
          </w:p>
        </w:tc>
      </w:tr>
      <w:tr w:rsidR="006E51F3" w:rsidRPr="00DE3121" w14:paraId="66F5171D" w14:textId="77777777" w:rsidTr="00B159EF">
        <w:tc>
          <w:tcPr>
            <w:tcW w:w="6662" w:type="dxa"/>
            <w:shd w:val="clear" w:color="auto" w:fill="auto"/>
          </w:tcPr>
          <w:p w14:paraId="3C3AC1F1" w14:textId="77777777" w:rsidR="006E51F3" w:rsidRPr="00DE3121" w:rsidRDefault="006E51F3" w:rsidP="001A0EB3">
            <w:pPr>
              <w:spacing w:before="60" w:after="60"/>
              <w:jc w:val="both"/>
              <w:rPr>
                <w:rFonts w:ascii="Arial" w:hAnsi="Arial" w:cs="Arial"/>
                <w:sz w:val="20"/>
                <w:szCs w:val="20"/>
                <w:lang w:val="en-GB"/>
              </w:rPr>
            </w:pPr>
            <w:r w:rsidRPr="00DE3121">
              <w:rPr>
                <w:rFonts w:ascii="Arial" w:hAnsi="Arial" w:cs="Arial"/>
                <w:sz w:val="20"/>
                <w:szCs w:val="20"/>
                <w:lang w:val="en-GB"/>
              </w:rPr>
              <w:t>Total budget</w:t>
            </w:r>
          </w:p>
        </w:tc>
        <w:tc>
          <w:tcPr>
            <w:tcW w:w="1960" w:type="dxa"/>
            <w:shd w:val="clear" w:color="auto" w:fill="auto"/>
          </w:tcPr>
          <w:p w14:paraId="352EFEE3" w14:textId="77777777" w:rsidR="006E51F3" w:rsidRPr="00DE3121" w:rsidRDefault="006E51F3" w:rsidP="00C96427">
            <w:pPr>
              <w:spacing w:before="60" w:after="60"/>
              <w:jc w:val="center"/>
              <w:rPr>
                <w:rFonts w:ascii="Arial" w:hAnsi="Arial" w:cs="Arial"/>
                <w:sz w:val="20"/>
                <w:szCs w:val="20"/>
                <w:lang w:val="en-GB"/>
              </w:rPr>
            </w:pPr>
            <w:r w:rsidRPr="00DE3121">
              <w:rPr>
                <w:rFonts w:ascii="Arial" w:hAnsi="Arial" w:cs="Arial"/>
                <w:sz w:val="20"/>
                <w:szCs w:val="20"/>
                <w:lang w:val="en-GB"/>
              </w:rPr>
              <w:t>100%</w:t>
            </w:r>
          </w:p>
        </w:tc>
      </w:tr>
    </w:tbl>
    <w:p w14:paraId="73E4D75B" w14:textId="3F185F4C" w:rsidR="00CB44D2" w:rsidRPr="0078363F" w:rsidRDefault="008737AC" w:rsidP="00870FD2">
      <w:pPr>
        <w:pStyle w:val="Heading2"/>
        <w:tabs>
          <w:tab w:val="left" w:pos="567"/>
        </w:tabs>
        <w:snapToGrid w:val="0"/>
        <w:spacing w:before="360" w:after="240"/>
        <w:ind w:left="567"/>
        <w:jc w:val="both"/>
        <w:rPr>
          <w:rStyle w:val="hps"/>
          <w:rFonts w:ascii="Times New Roman" w:hAnsi="Times New Roman"/>
          <w:bCs w:val="0"/>
          <w:iCs w:val="0"/>
          <w:sz w:val="24"/>
          <w:szCs w:val="24"/>
          <w:lang w:val="en-US"/>
        </w:rPr>
      </w:pPr>
      <w:r w:rsidRPr="00DE3121">
        <w:rPr>
          <w:rFonts w:ascii="Arial" w:hAnsi="Arial" w:cs="Arial"/>
          <w:bCs w:val="0"/>
          <w:i w:val="0"/>
          <w:iCs w:val="0"/>
          <w:snapToGrid w:val="0"/>
          <w:sz w:val="22"/>
          <w:szCs w:val="22"/>
          <w:lang w:val="en-GB" w:eastAsia="en-US"/>
        </w:rPr>
        <w:t>Expected Result 1: Sound governance of the 2003 Convention facilitated by enhanced monitoring and knowledge management services</w:t>
      </w:r>
    </w:p>
    <w:p w14:paraId="423E436F" w14:textId="6715A986" w:rsidR="00533F14" w:rsidRPr="0078363F" w:rsidRDefault="00594ABF" w:rsidP="00466104">
      <w:pPr>
        <w:pStyle w:val="5GAparabodytext"/>
        <w:rPr>
          <w:rStyle w:val="hps"/>
        </w:rPr>
      </w:pPr>
      <w:r w:rsidRPr="00DE3121">
        <w:rPr>
          <w:rStyle w:val="ParagraphChar"/>
        </w:rPr>
        <w:t xml:space="preserve">The sound governance of the 2003 Convention relies largely on the capacity of the Secretariat and of States Parties to follow up accurately </w:t>
      </w:r>
      <w:r w:rsidR="005D57C9" w:rsidRPr="00DE3121">
        <w:rPr>
          <w:rStyle w:val="ParagraphChar"/>
        </w:rPr>
        <w:t xml:space="preserve">on </w:t>
      </w:r>
      <w:r w:rsidRPr="00DE3121">
        <w:rPr>
          <w:rStyle w:val="ParagraphChar"/>
        </w:rPr>
        <w:t xml:space="preserve">the implementation </w:t>
      </w:r>
      <w:r w:rsidR="003F65CC" w:rsidRPr="00DE3121">
        <w:rPr>
          <w:rStyle w:val="ParagraphChar"/>
          <w:bCs w:val="0"/>
          <w:iCs w:val="0"/>
        </w:rPr>
        <w:t xml:space="preserve">and development of </w:t>
      </w:r>
      <w:r w:rsidRPr="00DE3121">
        <w:rPr>
          <w:rStyle w:val="ParagraphChar"/>
        </w:rPr>
        <w:t>the Convention</w:t>
      </w:r>
      <w:r w:rsidR="005D57C9" w:rsidRPr="00DE3121">
        <w:rPr>
          <w:rStyle w:val="ParagraphChar"/>
        </w:rPr>
        <w:t>;</w:t>
      </w:r>
      <w:r w:rsidR="007F7EDA" w:rsidRPr="00DE3121">
        <w:rPr>
          <w:rStyle w:val="ParagraphChar"/>
        </w:rPr>
        <w:t xml:space="preserve"> </w:t>
      </w:r>
      <w:r w:rsidR="005D57C9" w:rsidRPr="00DE3121">
        <w:rPr>
          <w:rStyle w:val="ParagraphChar"/>
        </w:rPr>
        <w:t>this</w:t>
      </w:r>
      <w:r w:rsidR="007F7EDA" w:rsidRPr="00DE3121">
        <w:rPr>
          <w:rStyle w:val="ParagraphChar"/>
        </w:rPr>
        <w:t xml:space="preserve"> can only be achieved through </w:t>
      </w:r>
      <w:r w:rsidR="00BF775E" w:rsidRPr="00DE3121">
        <w:rPr>
          <w:rStyle w:val="ParagraphChar"/>
        </w:rPr>
        <w:t>the knowledge management services provided</w:t>
      </w:r>
      <w:r w:rsidR="002B07D5" w:rsidRPr="00DE3121">
        <w:rPr>
          <w:rStyle w:val="ParagraphChar"/>
        </w:rPr>
        <w:t xml:space="preserve"> by the system developed by the Secretariat since 2006</w:t>
      </w:r>
      <w:r w:rsidRPr="00DE3121">
        <w:rPr>
          <w:rStyle w:val="ParagraphChar"/>
        </w:rPr>
        <w:t xml:space="preserve">. </w:t>
      </w:r>
      <w:r w:rsidR="003F65CC" w:rsidRPr="00DE3121">
        <w:rPr>
          <w:rStyle w:val="ParagraphChar"/>
          <w:bCs w:val="0"/>
          <w:iCs w:val="0"/>
        </w:rPr>
        <w:t xml:space="preserve">Over the years, the Convention has accumulated a high volume of information generated through various mechanisms </w:t>
      </w:r>
      <w:r w:rsidR="00175D44" w:rsidRPr="00DE3121">
        <w:rPr>
          <w:rStyle w:val="ParagraphChar"/>
          <w:bCs w:val="0"/>
          <w:iCs w:val="0"/>
        </w:rPr>
        <w:t xml:space="preserve">and operational activities </w:t>
      </w:r>
      <w:r w:rsidR="003F65CC" w:rsidRPr="00DE3121">
        <w:rPr>
          <w:rStyle w:val="ParagraphChar"/>
          <w:bCs w:val="0"/>
          <w:iCs w:val="0"/>
        </w:rPr>
        <w:t xml:space="preserve">of the Convention. </w:t>
      </w:r>
      <w:r w:rsidR="00A7596B" w:rsidRPr="00DE3121">
        <w:rPr>
          <w:rStyle w:val="ParagraphChar"/>
          <w:bCs w:val="0"/>
          <w:iCs w:val="0"/>
        </w:rPr>
        <w:t xml:space="preserve">It is essential that the monitoring tools and knowledge management services continue to improve and adapt to the evolving nature of the normative instrument. Furthermore, information under the 2003 Convention tends to be compartmentalized or buried under layers, away from users. </w:t>
      </w:r>
      <w:r w:rsidR="00783FA3" w:rsidRPr="00DE3121">
        <w:rPr>
          <w:rStyle w:val="ParagraphChar"/>
          <w:bCs w:val="0"/>
          <w:iCs w:val="0"/>
        </w:rPr>
        <w:t>F</w:t>
      </w:r>
      <w:r w:rsidR="00277662" w:rsidRPr="00DE3121">
        <w:rPr>
          <w:rStyle w:val="ParagraphChar"/>
          <w:bCs w:val="0"/>
          <w:iCs w:val="0"/>
        </w:rPr>
        <w:t xml:space="preserve">urther </w:t>
      </w:r>
      <w:r w:rsidR="00F21AC0" w:rsidRPr="00DE3121">
        <w:rPr>
          <w:rStyle w:val="ParagraphChar"/>
          <w:bCs w:val="0"/>
          <w:iCs w:val="0"/>
        </w:rPr>
        <w:t>developments</w:t>
      </w:r>
      <w:r w:rsidR="00277662" w:rsidRPr="00DE3121">
        <w:rPr>
          <w:rStyle w:val="ParagraphChar"/>
          <w:bCs w:val="0"/>
          <w:iCs w:val="0"/>
        </w:rPr>
        <w:t xml:space="preserve"> are needed to simplify access to </w:t>
      </w:r>
      <w:r w:rsidR="004E0C7C" w:rsidRPr="00DE3121">
        <w:rPr>
          <w:rStyle w:val="ParagraphChar"/>
          <w:bCs w:val="0"/>
          <w:iCs w:val="0"/>
        </w:rPr>
        <w:t>information</w:t>
      </w:r>
      <w:r w:rsidR="00277662" w:rsidRPr="00DE3121">
        <w:rPr>
          <w:rStyle w:val="ParagraphChar"/>
          <w:bCs w:val="0"/>
          <w:iCs w:val="0"/>
        </w:rPr>
        <w:t xml:space="preserve"> and ensure smooth interactions with key </w:t>
      </w:r>
      <w:r w:rsidR="00905FF7" w:rsidRPr="00DE3121">
        <w:rPr>
          <w:rStyle w:val="ParagraphChar"/>
          <w:bCs w:val="0"/>
          <w:iCs w:val="0"/>
        </w:rPr>
        <w:t xml:space="preserve">systems and </w:t>
      </w:r>
      <w:r w:rsidR="00277662" w:rsidRPr="00DE3121">
        <w:rPr>
          <w:rStyle w:val="ParagraphChar"/>
          <w:bCs w:val="0"/>
          <w:iCs w:val="0"/>
        </w:rPr>
        <w:t>stakeholders.</w:t>
      </w:r>
      <w:r w:rsidR="00CB44D2" w:rsidRPr="00DE3121">
        <w:rPr>
          <w:rStyle w:val="ParagraphChar"/>
          <w:bCs w:val="0"/>
          <w:iCs w:val="0"/>
        </w:rPr>
        <w:t xml:space="preserve"> </w:t>
      </w:r>
      <w:r w:rsidR="00CB44D2" w:rsidRPr="00DE3121">
        <w:rPr>
          <w:rStyle w:val="hps"/>
          <w:bCs w:val="0"/>
          <w:iCs w:val="0"/>
        </w:rPr>
        <w:t xml:space="preserve">Therefore, during the first semester of 2020, work will </w:t>
      </w:r>
      <w:r w:rsidR="00144E32" w:rsidRPr="00DE3121">
        <w:rPr>
          <w:rStyle w:val="hps"/>
          <w:bCs w:val="0"/>
          <w:iCs w:val="0"/>
        </w:rPr>
        <w:t xml:space="preserve">ensure continuous access to the Convention’s knowledge management services and </w:t>
      </w:r>
      <w:r w:rsidR="00EB493D" w:rsidRPr="00DE3121">
        <w:rPr>
          <w:rStyle w:val="hps"/>
          <w:bCs w:val="0"/>
          <w:iCs w:val="0"/>
        </w:rPr>
        <w:t>enhanc</w:t>
      </w:r>
      <w:r w:rsidR="00144E32" w:rsidRPr="00DE3121">
        <w:rPr>
          <w:rStyle w:val="hps"/>
          <w:bCs w:val="0"/>
          <w:iCs w:val="0"/>
        </w:rPr>
        <w:t>e</w:t>
      </w:r>
      <w:r w:rsidR="00CB44D2" w:rsidRPr="00DE3121">
        <w:rPr>
          <w:rStyle w:val="hps"/>
          <w:bCs w:val="0"/>
          <w:iCs w:val="0"/>
        </w:rPr>
        <w:t xml:space="preserve"> its usefulness to its diverse constituencies.</w:t>
      </w:r>
    </w:p>
    <w:p w14:paraId="4F2E9D15" w14:textId="61B2C4C9" w:rsidR="001434CD" w:rsidRPr="0078363F" w:rsidRDefault="001434CD" w:rsidP="00466104">
      <w:pPr>
        <w:pStyle w:val="5GAparabodytext"/>
        <w:rPr>
          <w:rStyle w:val="hps"/>
          <w:bCs w:val="0"/>
          <w:iCs w:val="0"/>
        </w:rPr>
      </w:pPr>
      <w:r w:rsidRPr="00DE3121">
        <w:rPr>
          <w:rStyle w:val="hps"/>
          <w:b/>
        </w:rPr>
        <w:t>Output 1.1</w:t>
      </w:r>
      <w:r w:rsidRPr="0078363F">
        <w:rPr>
          <w:rStyle w:val="hps"/>
          <w:bCs w:val="0"/>
        </w:rPr>
        <w:t>:</w:t>
      </w:r>
      <w:r w:rsidRPr="00DE3121">
        <w:rPr>
          <w:rStyle w:val="hps"/>
        </w:rPr>
        <w:t xml:space="preserve"> </w:t>
      </w:r>
      <w:r w:rsidR="005D57C9" w:rsidRPr="00DE3121">
        <w:rPr>
          <w:rStyle w:val="hps"/>
        </w:rPr>
        <w:t>An increasing number of</w:t>
      </w:r>
      <w:r w:rsidR="00175D0B" w:rsidRPr="00DE3121">
        <w:rPr>
          <w:rStyle w:val="hps"/>
        </w:rPr>
        <w:t xml:space="preserve"> stakeholders of the 2003 Convention rely on the data and tools provided by its knowledge management system. It is crucial to </w:t>
      </w:r>
      <w:r w:rsidR="005D57C9" w:rsidRPr="00DE3121">
        <w:rPr>
          <w:rStyle w:val="hps"/>
        </w:rPr>
        <w:t xml:space="preserve">regularly </w:t>
      </w:r>
      <w:r w:rsidR="00175D0B" w:rsidRPr="00DE3121">
        <w:rPr>
          <w:rStyle w:val="hps"/>
        </w:rPr>
        <w:t xml:space="preserve">adapt the backbone of the system to </w:t>
      </w:r>
      <w:r w:rsidR="0082101E" w:rsidRPr="00DE3121">
        <w:rPr>
          <w:rStyle w:val="hps"/>
        </w:rPr>
        <w:t xml:space="preserve">better </w:t>
      </w:r>
      <w:r w:rsidR="005D57C9" w:rsidRPr="00DE3121">
        <w:rPr>
          <w:rStyle w:val="hps"/>
        </w:rPr>
        <w:t>tackle</w:t>
      </w:r>
      <w:r w:rsidR="0082101E" w:rsidRPr="00DE3121">
        <w:rPr>
          <w:rStyle w:val="hps"/>
        </w:rPr>
        <w:t xml:space="preserve"> issues </w:t>
      </w:r>
      <w:r w:rsidR="005D57C9" w:rsidRPr="00DE3121">
        <w:rPr>
          <w:rStyle w:val="hps"/>
        </w:rPr>
        <w:t>such as</w:t>
      </w:r>
      <w:r w:rsidR="0082101E" w:rsidRPr="00DE3121">
        <w:rPr>
          <w:rStyle w:val="hps"/>
        </w:rPr>
        <w:t xml:space="preserve"> saturation, obsolescence, online intrusions or hacking. While some </w:t>
      </w:r>
      <w:r w:rsidR="00051E6F" w:rsidRPr="00DE3121">
        <w:rPr>
          <w:rStyle w:val="hps"/>
        </w:rPr>
        <w:t>parts</w:t>
      </w:r>
      <w:r w:rsidR="0082101E" w:rsidRPr="00DE3121">
        <w:rPr>
          <w:rStyle w:val="hps"/>
        </w:rPr>
        <w:t xml:space="preserve"> are </w:t>
      </w:r>
      <w:r w:rsidR="005D57C9" w:rsidRPr="00DE3121">
        <w:rPr>
          <w:rStyle w:val="hps"/>
        </w:rPr>
        <w:t>beyond</w:t>
      </w:r>
      <w:r w:rsidR="0082101E" w:rsidRPr="00DE3121">
        <w:rPr>
          <w:rStyle w:val="hps"/>
        </w:rPr>
        <w:t xml:space="preserve"> the control of </w:t>
      </w:r>
      <w:r w:rsidR="005D57C9" w:rsidRPr="00DE3121">
        <w:rPr>
          <w:rStyle w:val="hps"/>
        </w:rPr>
        <w:t xml:space="preserve">the </w:t>
      </w:r>
      <w:r w:rsidR="0082101E" w:rsidRPr="00DE3121">
        <w:rPr>
          <w:rStyle w:val="hps"/>
        </w:rPr>
        <w:t>2003 Convention Secretariat (for instance server maintenance, internet connectivity</w:t>
      </w:r>
      <w:r w:rsidR="00051E6F" w:rsidRPr="00DE3121">
        <w:rPr>
          <w:rStyle w:val="hps"/>
        </w:rPr>
        <w:t xml:space="preserve"> or </w:t>
      </w:r>
      <w:r w:rsidR="0082101E" w:rsidRPr="00DE3121">
        <w:rPr>
          <w:rStyle w:val="hps"/>
        </w:rPr>
        <w:t>firewall</w:t>
      </w:r>
      <w:r w:rsidR="005D57C9" w:rsidRPr="00DE3121">
        <w:rPr>
          <w:rStyle w:val="hps"/>
        </w:rPr>
        <w:t>s</w:t>
      </w:r>
      <w:r w:rsidR="0082101E" w:rsidRPr="00DE3121">
        <w:rPr>
          <w:rStyle w:val="hps"/>
        </w:rPr>
        <w:t xml:space="preserve">), </w:t>
      </w:r>
      <w:r w:rsidR="00051E6F" w:rsidRPr="00DE3121">
        <w:rPr>
          <w:rStyle w:val="hps"/>
        </w:rPr>
        <w:t xml:space="preserve">technical and security updates of the system will be implemented to avoid applicative shortages of more than half a day </w:t>
      </w:r>
      <w:r w:rsidR="00692150" w:rsidRPr="00DE3121">
        <w:rPr>
          <w:rStyle w:val="hps"/>
        </w:rPr>
        <w:t>per</w:t>
      </w:r>
      <w:r w:rsidR="00051E6F" w:rsidRPr="00DE3121">
        <w:rPr>
          <w:rStyle w:val="hps"/>
        </w:rPr>
        <w:t xml:space="preserve"> month.</w:t>
      </w:r>
    </w:p>
    <w:p w14:paraId="41E6D83A" w14:textId="290D0F9C" w:rsidR="00231C89" w:rsidRPr="00DE3121" w:rsidRDefault="00F21AC0" w:rsidP="00AB1432">
      <w:pPr>
        <w:pStyle w:val="5GAparabodytext"/>
        <w:rPr>
          <w:rStyle w:val="hps"/>
          <w:bCs w:val="0"/>
          <w:iCs w:val="0"/>
        </w:rPr>
      </w:pPr>
      <w:r w:rsidRPr="00DE3121">
        <w:rPr>
          <w:rStyle w:val="hps"/>
          <w:b/>
        </w:rPr>
        <w:t>Output 1.</w:t>
      </w:r>
      <w:r w:rsidR="00144E32" w:rsidRPr="00DE3121">
        <w:rPr>
          <w:rStyle w:val="hps"/>
          <w:b/>
        </w:rPr>
        <w:t>2</w:t>
      </w:r>
      <w:r w:rsidRPr="0078363F">
        <w:rPr>
          <w:rStyle w:val="hps"/>
          <w:bCs w:val="0"/>
        </w:rPr>
        <w:t>:</w:t>
      </w:r>
      <w:r w:rsidRPr="00DE3121">
        <w:rPr>
          <w:rStyle w:val="hps"/>
        </w:rPr>
        <w:t xml:space="preserve"> </w:t>
      </w:r>
      <w:r w:rsidR="00CB1655" w:rsidRPr="00DE3121">
        <w:rPr>
          <w:rStyle w:val="hps"/>
        </w:rPr>
        <w:t xml:space="preserve">As a continuation of the improvements to be made on </w:t>
      </w:r>
      <w:r w:rsidR="00082DB9" w:rsidRPr="00DE3121">
        <w:rPr>
          <w:rStyle w:val="hps"/>
        </w:rPr>
        <w:t>monitoring interfaces and online workflows</w:t>
      </w:r>
      <w:r w:rsidR="00CB1655" w:rsidRPr="00DE3121">
        <w:rPr>
          <w:rStyle w:val="hps"/>
        </w:rPr>
        <w:t>, three developments are proposed</w:t>
      </w:r>
      <w:r w:rsidR="00231C89" w:rsidRPr="00DE3121">
        <w:rPr>
          <w:rStyle w:val="hps"/>
        </w:rPr>
        <w:t>,</w:t>
      </w:r>
      <w:r w:rsidR="00CB1655" w:rsidRPr="00DE3121">
        <w:rPr>
          <w:rStyle w:val="hps"/>
        </w:rPr>
        <w:t xml:space="preserve"> </w:t>
      </w:r>
      <w:r w:rsidR="00231C89" w:rsidRPr="00DE3121">
        <w:rPr>
          <w:rStyle w:val="hps"/>
        </w:rPr>
        <w:t xml:space="preserve">which are </w:t>
      </w:r>
      <w:r w:rsidR="00CB6B0F" w:rsidRPr="00DE3121">
        <w:rPr>
          <w:rStyle w:val="hps"/>
        </w:rPr>
        <w:t xml:space="preserve">intended </w:t>
      </w:r>
      <w:r w:rsidR="00CB1655" w:rsidRPr="00DE3121">
        <w:rPr>
          <w:rStyle w:val="hps"/>
        </w:rPr>
        <w:t>to support the recent developments under the 2003 Convention</w:t>
      </w:r>
      <w:r w:rsidR="00284B4F" w:rsidRPr="00DE3121">
        <w:rPr>
          <w:rStyle w:val="hps"/>
        </w:rPr>
        <w:t>.</w:t>
      </w:r>
      <w:r w:rsidR="00082DB9" w:rsidRPr="00DE3121">
        <w:rPr>
          <w:rStyle w:val="hps"/>
        </w:rPr>
        <w:t xml:space="preserve"> </w:t>
      </w:r>
      <w:r w:rsidR="00126050" w:rsidRPr="00DE3121">
        <w:rPr>
          <w:rStyle w:val="hps"/>
        </w:rPr>
        <w:t xml:space="preserve">Firstly, </w:t>
      </w:r>
      <w:r w:rsidR="00284B4F" w:rsidRPr="00DE3121">
        <w:rPr>
          <w:rStyle w:val="hps"/>
        </w:rPr>
        <w:t xml:space="preserve">the online tools corresponding to the evaluation of nomination files </w:t>
      </w:r>
      <w:r w:rsidR="00D06D52" w:rsidRPr="00DE3121">
        <w:rPr>
          <w:rStyle w:val="hps"/>
        </w:rPr>
        <w:t>need</w:t>
      </w:r>
      <w:r w:rsidR="00284B4F" w:rsidRPr="00DE3121">
        <w:rPr>
          <w:rStyle w:val="hps"/>
        </w:rPr>
        <w:t xml:space="preserve"> to be adjusted to take into account the experiences of the Evaluation Body over the last several cycles and to </w:t>
      </w:r>
      <w:r w:rsidR="00D06D52" w:rsidRPr="00DE3121">
        <w:rPr>
          <w:rStyle w:val="hps"/>
        </w:rPr>
        <w:t xml:space="preserve">accommodate the ‘upstream dialogue’ between the Evaluation Body and submitting States introduced on </w:t>
      </w:r>
      <w:r w:rsidR="00CB6B0F" w:rsidRPr="00DE3121">
        <w:rPr>
          <w:rStyle w:val="hps"/>
        </w:rPr>
        <w:t xml:space="preserve">a </w:t>
      </w:r>
      <w:r w:rsidR="00D06D52" w:rsidRPr="00DE3121">
        <w:rPr>
          <w:rStyle w:val="hps"/>
        </w:rPr>
        <w:t>provisional basis for the 2019 cycle.</w:t>
      </w:r>
      <w:r w:rsidR="00284B4F" w:rsidRPr="00DE3121">
        <w:rPr>
          <w:rStyle w:val="hps"/>
        </w:rPr>
        <w:t xml:space="preserve"> </w:t>
      </w:r>
      <w:r w:rsidR="00126050" w:rsidRPr="00DE3121">
        <w:rPr>
          <w:rStyle w:val="hps"/>
        </w:rPr>
        <w:t>Secondly,</w:t>
      </w:r>
      <w:r w:rsidR="00082DB9" w:rsidRPr="00DE3121">
        <w:rPr>
          <w:rStyle w:val="hps"/>
        </w:rPr>
        <w:t xml:space="preserve"> </w:t>
      </w:r>
      <w:r w:rsidR="00231C89" w:rsidRPr="00DE3121">
        <w:rPr>
          <w:rStyle w:val="hps"/>
        </w:rPr>
        <w:t xml:space="preserve">the knowledge managements system shall be further equipped to manage information on the safeguarding situations of elements inscribed on the Lists of the 2003 Convention. This development corresponds </w:t>
      </w:r>
      <w:r w:rsidR="00CB6B0F" w:rsidRPr="00DE3121">
        <w:rPr>
          <w:rStyle w:val="hps"/>
        </w:rPr>
        <w:t xml:space="preserve">to </w:t>
      </w:r>
      <w:r w:rsidR="00231C89" w:rsidRPr="00DE3121">
        <w:rPr>
          <w:rStyle w:val="hps"/>
        </w:rPr>
        <w:t xml:space="preserve">the reflection </w:t>
      </w:r>
      <w:r w:rsidR="00CB6B0F" w:rsidRPr="00DE3121">
        <w:rPr>
          <w:rStyle w:val="hps"/>
        </w:rPr>
        <w:t>launched by the</w:t>
      </w:r>
      <w:r w:rsidR="00231C89" w:rsidRPr="00DE3121">
        <w:rPr>
          <w:rStyle w:val="hps"/>
        </w:rPr>
        <w:t xml:space="preserve"> Committee at its thirteenth session in 2018 on the Listing mechanism in general and monitoring of inscribed elements in particular. Finally, it will be important </w:t>
      </w:r>
      <w:r w:rsidR="00365E5D" w:rsidRPr="00DE3121">
        <w:rPr>
          <w:rStyle w:val="hps"/>
        </w:rPr>
        <w:t>to develop a new set of tools</w:t>
      </w:r>
      <w:r w:rsidR="00486F87" w:rsidRPr="00DE3121">
        <w:rPr>
          <w:rStyle w:val="hps"/>
        </w:rPr>
        <w:t xml:space="preserve"> </w:t>
      </w:r>
      <w:r w:rsidR="00231C89" w:rsidRPr="00DE3121">
        <w:rPr>
          <w:rStyle w:val="hps"/>
        </w:rPr>
        <w:t>to monitor</w:t>
      </w:r>
      <w:r w:rsidR="00486F87" w:rsidRPr="00DE3121">
        <w:rPr>
          <w:rStyle w:val="hps"/>
        </w:rPr>
        <w:t xml:space="preserve"> the implementation of International Assistance gra</w:t>
      </w:r>
      <w:r w:rsidR="006A2A29" w:rsidRPr="00DE3121">
        <w:rPr>
          <w:rStyle w:val="hps"/>
        </w:rPr>
        <w:t xml:space="preserve">nted in order to support the efforts being made by the Committee to fully operationalize this mechanism </w:t>
      </w:r>
      <w:r w:rsidR="00CB6B0F" w:rsidRPr="00DE3121">
        <w:rPr>
          <w:rStyle w:val="hps"/>
        </w:rPr>
        <w:t>to</w:t>
      </w:r>
      <w:r w:rsidR="006A2A29" w:rsidRPr="00DE3121">
        <w:rPr>
          <w:rStyle w:val="hps"/>
        </w:rPr>
        <w:t xml:space="preserve"> support national efforts </w:t>
      </w:r>
      <w:r w:rsidR="00CB6B0F" w:rsidRPr="00DE3121">
        <w:rPr>
          <w:rStyle w:val="hps"/>
        </w:rPr>
        <w:t xml:space="preserve">to </w:t>
      </w:r>
      <w:r w:rsidR="006A2A29" w:rsidRPr="00DE3121">
        <w:rPr>
          <w:rStyle w:val="hps"/>
        </w:rPr>
        <w:t>safeguard intangible cultural heritage.</w:t>
      </w:r>
    </w:p>
    <w:p w14:paraId="021CCB2B" w14:textId="2342BDAA" w:rsidR="0054442D" w:rsidRPr="00DE3121" w:rsidRDefault="00082DB9" w:rsidP="00466104">
      <w:pPr>
        <w:pStyle w:val="5GAparabodytext"/>
        <w:rPr>
          <w:rStyle w:val="hps"/>
        </w:rPr>
      </w:pPr>
      <w:r w:rsidRPr="00DE3121">
        <w:rPr>
          <w:rStyle w:val="hps"/>
          <w:b/>
        </w:rPr>
        <w:lastRenderedPageBreak/>
        <w:t>Output 1.</w:t>
      </w:r>
      <w:r w:rsidR="00144E32" w:rsidRPr="00DE3121">
        <w:rPr>
          <w:rStyle w:val="hps"/>
          <w:b/>
        </w:rPr>
        <w:t>3</w:t>
      </w:r>
      <w:r w:rsidRPr="0078363F">
        <w:rPr>
          <w:rStyle w:val="hps"/>
          <w:bCs w:val="0"/>
        </w:rPr>
        <w:t>:</w:t>
      </w:r>
      <w:r w:rsidR="0054442D" w:rsidRPr="00DE3121">
        <w:rPr>
          <w:rStyle w:val="hps"/>
        </w:rPr>
        <w:t xml:space="preserve"> The usefulness of </w:t>
      </w:r>
      <w:r w:rsidR="006A2A29" w:rsidRPr="00DE3121">
        <w:rPr>
          <w:rStyle w:val="hps"/>
        </w:rPr>
        <w:t xml:space="preserve">information collected over the years on various aspects of the Convention </w:t>
      </w:r>
      <w:r w:rsidR="0054442D" w:rsidRPr="00DE3121">
        <w:rPr>
          <w:rStyle w:val="hps"/>
        </w:rPr>
        <w:t>depends largely on the way</w:t>
      </w:r>
      <w:r w:rsidR="006A2A29" w:rsidRPr="00DE3121">
        <w:rPr>
          <w:rStyle w:val="hps"/>
        </w:rPr>
        <w:t>s</w:t>
      </w:r>
      <w:r w:rsidR="0054442D" w:rsidRPr="00DE3121">
        <w:rPr>
          <w:rStyle w:val="hps"/>
        </w:rPr>
        <w:t xml:space="preserve"> in which it can be accessed. In 2018 and 2019, the Secretariat started to </w:t>
      </w:r>
      <w:r w:rsidR="00CB6B0F" w:rsidRPr="00DE3121">
        <w:rPr>
          <w:rStyle w:val="hps"/>
        </w:rPr>
        <w:t xml:space="preserve">systematically </w:t>
      </w:r>
      <w:r w:rsidR="0054442D" w:rsidRPr="00DE3121">
        <w:rPr>
          <w:rStyle w:val="hps"/>
        </w:rPr>
        <w:t>index th</w:t>
      </w:r>
      <w:r w:rsidR="00905FF7" w:rsidRPr="00DE3121">
        <w:rPr>
          <w:rStyle w:val="hps"/>
        </w:rPr>
        <w:t>is</w:t>
      </w:r>
      <w:r w:rsidR="0054442D" w:rsidRPr="00DE3121">
        <w:rPr>
          <w:rStyle w:val="hps"/>
        </w:rPr>
        <w:t xml:space="preserve"> content</w:t>
      </w:r>
      <w:r w:rsidR="006A2A29" w:rsidRPr="00DE3121">
        <w:rPr>
          <w:rStyle w:val="hps"/>
        </w:rPr>
        <w:t xml:space="preserve"> and</w:t>
      </w:r>
      <w:r w:rsidR="00051E6F" w:rsidRPr="00DE3121">
        <w:rPr>
          <w:rStyle w:val="hps"/>
        </w:rPr>
        <w:t>,</w:t>
      </w:r>
      <w:r w:rsidR="006A2A29" w:rsidRPr="00DE3121">
        <w:rPr>
          <w:rStyle w:val="hps"/>
        </w:rPr>
        <w:t xml:space="preserve"> in parallel</w:t>
      </w:r>
      <w:r w:rsidR="00051E6F" w:rsidRPr="00DE3121">
        <w:rPr>
          <w:rStyle w:val="hps"/>
        </w:rPr>
        <w:t>,</w:t>
      </w:r>
      <w:r w:rsidR="006A2A29" w:rsidRPr="00DE3121">
        <w:rPr>
          <w:rStyle w:val="hps"/>
        </w:rPr>
        <w:t xml:space="preserve"> </w:t>
      </w:r>
      <w:r w:rsidR="00CB6B0F" w:rsidRPr="00DE3121">
        <w:rPr>
          <w:rStyle w:val="hps"/>
        </w:rPr>
        <w:t>initiated</w:t>
      </w:r>
      <w:r w:rsidR="006A2A29" w:rsidRPr="00DE3121">
        <w:rPr>
          <w:rStyle w:val="hps"/>
        </w:rPr>
        <w:t xml:space="preserve"> the data visualization initiative ‘Dive into Intangible Cultural Heritage’</w:t>
      </w:r>
      <w:r w:rsidR="007B705B" w:rsidRPr="00DE3121">
        <w:rPr>
          <w:rStyle w:val="hps"/>
        </w:rPr>
        <w:t xml:space="preserve"> to explore the thematic interconnectedness of information in the field of intangible cultural heritage</w:t>
      </w:r>
      <w:r w:rsidR="0054442D" w:rsidRPr="00DE3121">
        <w:rPr>
          <w:rStyle w:val="hps"/>
        </w:rPr>
        <w:t xml:space="preserve">. Based on these efforts, the </w:t>
      </w:r>
      <w:r w:rsidR="00905FF7" w:rsidRPr="00DE3121">
        <w:rPr>
          <w:rStyle w:val="hps"/>
        </w:rPr>
        <w:t xml:space="preserve">further </w:t>
      </w:r>
      <w:r w:rsidR="0054442D" w:rsidRPr="00DE3121">
        <w:rPr>
          <w:rStyle w:val="hps"/>
        </w:rPr>
        <w:t>expan</w:t>
      </w:r>
      <w:r w:rsidR="007B705B" w:rsidRPr="00DE3121">
        <w:rPr>
          <w:rStyle w:val="hps"/>
        </w:rPr>
        <w:t>sion of</w:t>
      </w:r>
      <w:r w:rsidR="0054442D" w:rsidRPr="00DE3121">
        <w:rPr>
          <w:rStyle w:val="hps"/>
        </w:rPr>
        <w:t xml:space="preserve"> </w:t>
      </w:r>
      <w:r w:rsidR="00905FF7" w:rsidRPr="00DE3121">
        <w:rPr>
          <w:rStyle w:val="hps"/>
        </w:rPr>
        <w:t>data</w:t>
      </w:r>
      <w:r w:rsidR="00BA4111" w:rsidRPr="00DE3121">
        <w:rPr>
          <w:rStyle w:val="hps"/>
        </w:rPr>
        <w:t>-</w:t>
      </w:r>
      <w:r w:rsidR="00905FF7" w:rsidRPr="00DE3121">
        <w:rPr>
          <w:rStyle w:val="hps"/>
        </w:rPr>
        <w:t xml:space="preserve">mining possibilities </w:t>
      </w:r>
      <w:r w:rsidR="007B705B" w:rsidRPr="00DE3121">
        <w:rPr>
          <w:rStyle w:val="hps"/>
        </w:rPr>
        <w:t xml:space="preserve">is proposed in order to </w:t>
      </w:r>
      <w:r w:rsidR="00905FF7" w:rsidRPr="00DE3121">
        <w:rPr>
          <w:rStyle w:val="hps"/>
        </w:rPr>
        <w:t>offer thematic views and exports</w:t>
      </w:r>
      <w:r w:rsidR="007B705B" w:rsidRPr="00DE3121">
        <w:rPr>
          <w:rStyle w:val="hps"/>
        </w:rPr>
        <w:t xml:space="preserve"> and to</w:t>
      </w:r>
      <w:r w:rsidR="00EE2D80" w:rsidRPr="00DE3121">
        <w:rPr>
          <w:rStyle w:val="hps"/>
        </w:rPr>
        <w:t xml:space="preserve"> </w:t>
      </w:r>
      <w:r w:rsidR="00D704E3" w:rsidRPr="00DE3121">
        <w:rPr>
          <w:rStyle w:val="hps"/>
        </w:rPr>
        <w:t xml:space="preserve">better </w:t>
      </w:r>
      <w:r w:rsidR="007B705B" w:rsidRPr="00DE3121">
        <w:rPr>
          <w:rStyle w:val="hps"/>
        </w:rPr>
        <w:t>explore</w:t>
      </w:r>
      <w:r w:rsidR="004549C8" w:rsidRPr="00DE3121">
        <w:rPr>
          <w:rStyle w:val="hps"/>
        </w:rPr>
        <w:t xml:space="preserve"> the multidimensional impacts of intangible cultural heritage</w:t>
      </w:r>
      <w:r w:rsidR="007B705B" w:rsidRPr="00DE3121">
        <w:rPr>
          <w:rStyle w:val="hps"/>
        </w:rPr>
        <w:t xml:space="preserve"> safeguarding</w:t>
      </w:r>
      <w:r w:rsidR="00051E6F" w:rsidRPr="00DE3121">
        <w:rPr>
          <w:rStyle w:val="hps"/>
        </w:rPr>
        <w:t xml:space="preserve">, for instance </w:t>
      </w:r>
      <w:r w:rsidR="00FB4F8B" w:rsidRPr="00DE3121">
        <w:rPr>
          <w:rStyle w:val="hps"/>
        </w:rPr>
        <w:t xml:space="preserve">through </w:t>
      </w:r>
      <w:r w:rsidR="00051E6F" w:rsidRPr="00DE3121">
        <w:rPr>
          <w:rStyle w:val="hps"/>
        </w:rPr>
        <w:t xml:space="preserve">linkages </w:t>
      </w:r>
      <w:r w:rsidR="00FB4F8B" w:rsidRPr="00DE3121">
        <w:rPr>
          <w:rStyle w:val="hps"/>
        </w:rPr>
        <w:t xml:space="preserve">with </w:t>
      </w:r>
      <w:r w:rsidR="00051E6F" w:rsidRPr="00DE3121">
        <w:rPr>
          <w:rStyle w:val="hps"/>
        </w:rPr>
        <w:t xml:space="preserve">Sustainable Development Goals, </w:t>
      </w:r>
      <w:r w:rsidR="00FB4F8B" w:rsidRPr="00DE3121">
        <w:rPr>
          <w:rStyle w:val="hps"/>
        </w:rPr>
        <w:t>emergencies, cities or indigenous peoples</w:t>
      </w:r>
      <w:r w:rsidR="004549C8" w:rsidRPr="00DE3121">
        <w:rPr>
          <w:rStyle w:val="hps"/>
        </w:rPr>
        <w:t>.</w:t>
      </w:r>
    </w:p>
    <w:p w14:paraId="25AAE79F" w14:textId="7087387F" w:rsidR="002725EC" w:rsidRPr="00DE3121" w:rsidRDefault="00082DB9" w:rsidP="00466104">
      <w:pPr>
        <w:pStyle w:val="5GAparabodytext"/>
        <w:rPr>
          <w:rStyle w:val="hps"/>
          <w:lang w:val="en-GB"/>
        </w:rPr>
      </w:pPr>
      <w:r w:rsidRPr="00DE3121">
        <w:rPr>
          <w:rStyle w:val="hps"/>
          <w:b/>
          <w:lang w:val="en-GB"/>
        </w:rPr>
        <w:t>Output 1.</w:t>
      </w:r>
      <w:r w:rsidR="00144E32" w:rsidRPr="00DE3121">
        <w:rPr>
          <w:rStyle w:val="hps"/>
          <w:b/>
          <w:lang w:val="en-GB"/>
        </w:rPr>
        <w:t>4</w:t>
      </w:r>
      <w:r w:rsidRPr="0078363F">
        <w:rPr>
          <w:rStyle w:val="hps"/>
          <w:bCs w:val="0"/>
          <w:lang w:val="en-GB"/>
        </w:rPr>
        <w:t>:</w:t>
      </w:r>
      <w:r w:rsidRPr="00DE3121">
        <w:rPr>
          <w:rStyle w:val="hps"/>
          <w:lang w:val="en-GB"/>
        </w:rPr>
        <w:t xml:space="preserve"> </w:t>
      </w:r>
      <w:r w:rsidR="00905FF7" w:rsidRPr="00DE3121">
        <w:rPr>
          <w:rStyle w:val="hps"/>
          <w:lang w:val="en-GB"/>
        </w:rPr>
        <w:t xml:space="preserve">The </w:t>
      </w:r>
      <w:r w:rsidR="001C2891" w:rsidRPr="00DE3121">
        <w:rPr>
          <w:rStyle w:val="hps"/>
          <w:lang w:val="en-GB"/>
        </w:rPr>
        <w:t>sustainability of</w:t>
      </w:r>
      <w:r w:rsidR="00905FF7" w:rsidRPr="00DE3121">
        <w:rPr>
          <w:rStyle w:val="hps"/>
          <w:lang w:val="en-GB"/>
        </w:rPr>
        <w:t xml:space="preserve"> </w:t>
      </w:r>
      <w:r w:rsidR="00052358" w:rsidRPr="00DE3121">
        <w:rPr>
          <w:rStyle w:val="hps"/>
          <w:lang w:val="en-GB"/>
        </w:rPr>
        <w:t xml:space="preserve">the </w:t>
      </w:r>
      <w:r w:rsidR="00905FF7" w:rsidRPr="00DE3121">
        <w:rPr>
          <w:rStyle w:val="hps"/>
          <w:lang w:val="en-GB"/>
        </w:rPr>
        <w:t xml:space="preserve">knowledge management system </w:t>
      </w:r>
      <w:r w:rsidR="00052358" w:rsidRPr="00DE3121">
        <w:rPr>
          <w:rStyle w:val="hps"/>
          <w:lang w:val="en-GB"/>
        </w:rPr>
        <w:t xml:space="preserve">developed around the 2003 Convention </w:t>
      </w:r>
      <w:r w:rsidR="00046A52" w:rsidRPr="00DE3121">
        <w:rPr>
          <w:rStyle w:val="hps"/>
          <w:lang w:val="en-GB"/>
        </w:rPr>
        <w:t xml:space="preserve">requires the system to </w:t>
      </w:r>
      <w:r w:rsidR="00856297" w:rsidRPr="00DE3121">
        <w:rPr>
          <w:rStyle w:val="hps"/>
          <w:lang w:val="en-GB"/>
        </w:rPr>
        <w:t>remain</w:t>
      </w:r>
      <w:r w:rsidR="00052358" w:rsidRPr="00DE3121">
        <w:rPr>
          <w:rStyle w:val="hps"/>
          <w:lang w:val="en-GB"/>
        </w:rPr>
        <w:t xml:space="preserve"> </w:t>
      </w:r>
      <w:r w:rsidR="00856297" w:rsidRPr="00DE3121">
        <w:rPr>
          <w:rStyle w:val="hps"/>
          <w:lang w:val="en-GB"/>
        </w:rPr>
        <w:t>‘</w:t>
      </w:r>
      <w:r w:rsidR="00052358" w:rsidRPr="00DE3121">
        <w:rPr>
          <w:rStyle w:val="hps"/>
          <w:lang w:val="en-GB"/>
        </w:rPr>
        <w:t>open</w:t>
      </w:r>
      <w:r w:rsidR="00856297" w:rsidRPr="00DE3121">
        <w:rPr>
          <w:rStyle w:val="hps"/>
          <w:lang w:val="en-GB"/>
        </w:rPr>
        <w:t>’</w:t>
      </w:r>
      <w:r w:rsidR="00052358" w:rsidRPr="00DE3121">
        <w:rPr>
          <w:rStyle w:val="hps"/>
          <w:lang w:val="en-GB"/>
        </w:rPr>
        <w:t xml:space="preserve"> </w:t>
      </w:r>
      <w:r w:rsidR="00856297" w:rsidRPr="00DE3121">
        <w:rPr>
          <w:rStyle w:val="hps"/>
          <w:lang w:val="en-GB"/>
        </w:rPr>
        <w:t xml:space="preserve">to allow </w:t>
      </w:r>
      <w:r w:rsidR="00052358" w:rsidRPr="00DE3121">
        <w:rPr>
          <w:rStyle w:val="hps"/>
          <w:lang w:val="en-GB"/>
        </w:rPr>
        <w:t xml:space="preserve">harmonious interaction with key stakeholders and UNESCO-wide </w:t>
      </w:r>
      <w:r w:rsidR="00FB1474" w:rsidRPr="00DE3121">
        <w:rPr>
          <w:rStyle w:val="hps"/>
          <w:lang w:val="en-GB"/>
        </w:rPr>
        <w:t>frameworks</w:t>
      </w:r>
      <w:r w:rsidR="00052358" w:rsidRPr="00DE3121">
        <w:rPr>
          <w:rStyle w:val="hps"/>
          <w:lang w:val="en-GB"/>
        </w:rPr>
        <w:t>.</w:t>
      </w:r>
      <w:r w:rsidR="001C2891" w:rsidRPr="00DE3121">
        <w:rPr>
          <w:rStyle w:val="hps"/>
          <w:lang w:val="en-GB"/>
        </w:rPr>
        <w:t xml:space="preserve"> In this regard,</w:t>
      </w:r>
      <w:r w:rsidR="00052358" w:rsidRPr="00DE3121">
        <w:rPr>
          <w:rStyle w:val="hps"/>
          <w:lang w:val="en-GB"/>
        </w:rPr>
        <w:t xml:space="preserve"> </w:t>
      </w:r>
      <w:r w:rsidR="00856297" w:rsidRPr="00DE3121">
        <w:rPr>
          <w:rStyle w:val="hps"/>
          <w:lang w:val="en-GB"/>
        </w:rPr>
        <w:t xml:space="preserve">further </w:t>
      </w:r>
      <w:r w:rsidR="001C2891" w:rsidRPr="00DE3121">
        <w:rPr>
          <w:rStyle w:val="hps"/>
          <w:lang w:val="en-GB"/>
        </w:rPr>
        <w:t>d</w:t>
      </w:r>
      <w:r w:rsidR="00052358" w:rsidRPr="00DE3121">
        <w:rPr>
          <w:rStyle w:val="hps"/>
          <w:lang w:val="en-GB"/>
        </w:rPr>
        <w:t xml:space="preserve">evelopments </w:t>
      </w:r>
      <w:r w:rsidR="00FB1474" w:rsidRPr="00DE3121">
        <w:rPr>
          <w:rStyle w:val="hps"/>
          <w:lang w:val="en-GB"/>
        </w:rPr>
        <w:t xml:space="preserve">will be undertaken to strengthen links with datasets managed by other </w:t>
      </w:r>
      <w:r w:rsidR="00382CE6" w:rsidRPr="00DE3121">
        <w:rPr>
          <w:rStyle w:val="hps"/>
          <w:lang w:val="en-GB"/>
        </w:rPr>
        <w:t xml:space="preserve">UNESCO </w:t>
      </w:r>
      <w:r w:rsidR="00FB1474" w:rsidRPr="00DE3121">
        <w:rPr>
          <w:rStyle w:val="hps"/>
          <w:lang w:val="en-GB"/>
        </w:rPr>
        <w:t>Sectors, UNESCO Chairs, and with UNESCO Digital Asset Management systems such as the new UNESDOC system and the multimedia platform.</w:t>
      </w:r>
    </w:p>
    <w:p w14:paraId="28847EAE" w14:textId="640D4373" w:rsidR="008737AC" w:rsidRPr="00DE3121" w:rsidRDefault="008737AC" w:rsidP="00136269">
      <w:pPr>
        <w:pStyle w:val="Heading2"/>
        <w:tabs>
          <w:tab w:val="left" w:pos="567"/>
        </w:tabs>
        <w:snapToGrid w:val="0"/>
        <w:spacing w:before="360" w:after="240"/>
        <w:ind w:left="567"/>
        <w:jc w:val="both"/>
        <w:rPr>
          <w:rFonts w:ascii="Arial" w:hAnsi="Arial" w:cs="Arial"/>
          <w:bCs w:val="0"/>
          <w:i w:val="0"/>
          <w:iCs w:val="0"/>
          <w:snapToGrid w:val="0"/>
          <w:sz w:val="22"/>
          <w:szCs w:val="22"/>
          <w:lang w:val="en-GB" w:eastAsia="en-US"/>
        </w:rPr>
      </w:pPr>
      <w:r w:rsidRPr="00DE3121">
        <w:rPr>
          <w:rFonts w:ascii="Arial" w:hAnsi="Arial" w:cs="Arial"/>
          <w:bCs w:val="0"/>
          <w:i w:val="0"/>
          <w:iCs w:val="0"/>
          <w:snapToGrid w:val="0"/>
          <w:sz w:val="22"/>
          <w:szCs w:val="22"/>
          <w:lang w:val="en-GB" w:eastAsia="en-US"/>
        </w:rPr>
        <w:t>Expected Result 2: Implementation of the Convention in Member States encouraged through a strengthened capacity-building programme</w:t>
      </w:r>
    </w:p>
    <w:p w14:paraId="4C90824F" w14:textId="639E6F49" w:rsidR="007D5212" w:rsidRPr="002565D0" w:rsidRDefault="006F2707" w:rsidP="00466104">
      <w:pPr>
        <w:pStyle w:val="5GAparabodytext"/>
        <w:rPr>
          <w:rStyle w:val="hps"/>
        </w:rPr>
      </w:pPr>
      <w:r w:rsidRPr="0078363F">
        <w:rPr>
          <w:rStyle w:val="hps"/>
        </w:rPr>
        <w:t xml:space="preserve">The global capacity-building programme </w:t>
      </w:r>
      <w:r w:rsidR="00CB6B0F" w:rsidRPr="00DE3121">
        <w:rPr>
          <w:rStyle w:val="hps"/>
          <w:bCs w:val="0"/>
          <w:iCs w:val="0"/>
        </w:rPr>
        <w:t>remains a</w:t>
      </w:r>
      <w:r w:rsidR="00CB6B0F" w:rsidRPr="0078363F">
        <w:rPr>
          <w:rStyle w:val="hps"/>
        </w:rPr>
        <w:t xml:space="preserve"> </w:t>
      </w:r>
      <w:r w:rsidRPr="0078363F">
        <w:rPr>
          <w:rStyle w:val="hps"/>
        </w:rPr>
        <w:t xml:space="preserve">high priority among States Parties as it adapts to </w:t>
      </w:r>
      <w:r w:rsidR="00CB6B0F" w:rsidRPr="00DE3121">
        <w:rPr>
          <w:rStyle w:val="hps"/>
          <w:bCs w:val="0"/>
          <w:iCs w:val="0"/>
        </w:rPr>
        <w:t xml:space="preserve">effectively </w:t>
      </w:r>
      <w:r w:rsidRPr="0078363F">
        <w:rPr>
          <w:rStyle w:val="hps"/>
        </w:rPr>
        <w:t>respond to the increasing and evolving demands that emerge in implementing the Convention worldwide.</w:t>
      </w:r>
      <w:r w:rsidR="00E477C2" w:rsidRPr="0078363F">
        <w:rPr>
          <w:rStyle w:val="hps"/>
        </w:rPr>
        <w:t xml:space="preserve"> </w:t>
      </w:r>
      <w:r w:rsidR="007D5212" w:rsidRPr="0078363F">
        <w:rPr>
          <w:rStyle w:val="hps"/>
        </w:rPr>
        <w:t xml:space="preserve">The membership has successfully </w:t>
      </w:r>
      <w:r w:rsidR="001D6F12" w:rsidRPr="00DE3121">
        <w:rPr>
          <w:rStyle w:val="hps"/>
          <w:bCs w:val="0"/>
          <w:iCs w:val="0"/>
        </w:rPr>
        <w:t>increased</w:t>
      </w:r>
      <w:r w:rsidR="007D5212" w:rsidRPr="0078363F">
        <w:rPr>
          <w:rStyle w:val="hps"/>
        </w:rPr>
        <w:t xml:space="preserve"> and the development of </w:t>
      </w:r>
      <w:r w:rsidR="00E477C2" w:rsidRPr="0078363F">
        <w:rPr>
          <w:rStyle w:val="hps"/>
        </w:rPr>
        <w:t>innovative training approaches and materials</w:t>
      </w:r>
      <w:r w:rsidR="007D5212" w:rsidRPr="0078363F">
        <w:rPr>
          <w:rStyle w:val="hps"/>
        </w:rPr>
        <w:t xml:space="preserve"> </w:t>
      </w:r>
      <w:r w:rsidR="000915D8" w:rsidRPr="00DE3121">
        <w:rPr>
          <w:rStyle w:val="hps"/>
          <w:bCs w:val="0"/>
          <w:iCs w:val="0"/>
        </w:rPr>
        <w:t>has</w:t>
      </w:r>
      <w:r w:rsidR="007D5212" w:rsidRPr="00121AEF">
        <w:rPr>
          <w:rStyle w:val="hps"/>
        </w:rPr>
        <w:t xml:space="preserve"> advanc</w:t>
      </w:r>
      <w:r w:rsidR="000915D8" w:rsidRPr="00DE3121">
        <w:rPr>
          <w:rStyle w:val="hps"/>
          <w:bCs w:val="0"/>
          <w:iCs w:val="0"/>
        </w:rPr>
        <w:t>ed</w:t>
      </w:r>
      <w:r w:rsidR="007D5212" w:rsidRPr="00121AEF">
        <w:rPr>
          <w:rStyle w:val="hps"/>
        </w:rPr>
        <w:t xml:space="preserve"> </w:t>
      </w:r>
      <w:r w:rsidR="00E477C2" w:rsidRPr="00121AEF">
        <w:rPr>
          <w:rStyle w:val="hps"/>
        </w:rPr>
        <w:t xml:space="preserve">in </w:t>
      </w:r>
      <w:r w:rsidR="00606764" w:rsidRPr="00121AEF">
        <w:rPr>
          <w:rStyle w:val="hps"/>
        </w:rPr>
        <w:t xml:space="preserve">several </w:t>
      </w:r>
      <w:r w:rsidR="00E477C2" w:rsidRPr="00121AEF">
        <w:rPr>
          <w:rStyle w:val="hps"/>
        </w:rPr>
        <w:t xml:space="preserve">new thematic areas </w:t>
      </w:r>
      <w:r w:rsidR="00CB6B0F" w:rsidRPr="00DE3121">
        <w:rPr>
          <w:rStyle w:val="hps"/>
          <w:bCs w:val="0"/>
          <w:iCs w:val="0"/>
        </w:rPr>
        <w:t>requested by</w:t>
      </w:r>
      <w:r w:rsidR="00CB6B0F" w:rsidRPr="0078363F">
        <w:rPr>
          <w:rStyle w:val="hps"/>
        </w:rPr>
        <w:t xml:space="preserve"> </w:t>
      </w:r>
      <w:r w:rsidR="00E477C2" w:rsidRPr="0078363F">
        <w:rPr>
          <w:rStyle w:val="hps"/>
        </w:rPr>
        <w:t>the Committee,</w:t>
      </w:r>
      <w:r w:rsidR="00056E10" w:rsidRPr="0078363F">
        <w:rPr>
          <w:rStyle w:val="hps"/>
        </w:rPr>
        <w:t xml:space="preserve"> such as periodic reporting</w:t>
      </w:r>
      <w:r w:rsidR="001D6F12" w:rsidRPr="00DE3121">
        <w:rPr>
          <w:rStyle w:val="hps"/>
          <w:bCs w:val="0"/>
          <w:iCs w:val="0"/>
        </w:rPr>
        <w:t xml:space="preserve"> under the Convention</w:t>
      </w:r>
      <w:r w:rsidR="00EA6A9F" w:rsidRPr="00121AEF">
        <w:rPr>
          <w:rStyle w:val="hps"/>
        </w:rPr>
        <w:t xml:space="preserve">, the </w:t>
      </w:r>
      <w:r w:rsidR="00056E10" w:rsidRPr="00121AEF">
        <w:rPr>
          <w:rStyle w:val="hps"/>
        </w:rPr>
        <w:t xml:space="preserve">safeguarding </w:t>
      </w:r>
      <w:r w:rsidR="00EA6A9F" w:rsidRPr="00121AEF">
        <w:rPr>
          <w:rStyle w:val="hps"/>
        </w:rPr>
        <w:t xml:space="preserve">of </w:t>
      </w:r>
      <w:r w:rsidR="00056E10" w:rsidRPr="00121AEF">
        <w:rPr>
          <w:rStyle w:val="hps"/>
        </w:rPr>
        <w:t xml:space="preserve">intangible cultural heritage in emergencies </w:t>
      </w:r>
      <w:r w:rsidR="00692150" w:rsidRPr="00DE3121">
        <w:rPr>
          <w:rStyle w:val="hps"/>
          <w:bCs w:val="0"/>
          <w:iCs w:val="0"/>
        </w:rPr>
        <w:t>as well as</w:t>
      </w:r>
      <w:r w:rsidR="00EA6A9F" w:rsidRPr="0078363F">
        <w:rPr>
          <w:rStyle w:val="hps"/>
        </w:rPr>
        <w:t xml:space="preserve"> </w:t>
      </w:r>
      <w:r w:rsidR="00CB6B0F" w:rsidRPr="00DE3121">
        <w:rPr>
          <w:rStyle w:val="hps"/>
          <w:bCs w:val="0"/>
          <w:iCs w:val="0"/>
        </w:rPr>
        <w:t>the integration of</w:t>
      </w:r>
      <w:r w:rsidR="00EA6A9F" w:rsidRPr="0078363F">
        <w:rPr>
          <w:rStyle w:val="hps"/>
        </w:rPr>
        <w:t xml:space="preserve"> </w:t>
      </w:r>
      <w:r w:rsidR="00692150" w:rsidRPr="00DE3121">
        <w:rPr>
          <w:rStyle w:val="hps"/>
          <w:bCs w:val="0"/>
          <w:iCs w:val="0"/>
        </w:rPr>
        <w:t xml:space="preserve">intangible cultural heritage </w:t>
      </w:r>
      <w:r w:rsidR="00056E10" w:rsidRPr="0078363F">
        <w:rPr>
          <w:rStyle w:val="hps"/>
        </w:rPr>
        <w:t>in</w:t>
      </w:r>
      <w:r w:rsidR="00692150" w:rsidRPr="00DE3121">
        <w:rPr>
          <w:rStyle w:val="hps"/>
          <w:bCs w:val="0"/>
          <w:iCs w:val="0"/>
        </w:rPr>
        <w:t>to</w:t>
      </w:r>
      <w:r w:rsidR="00056E10" w:rsidRPr="0078363F">
        <w:rPr>
          <w:rStyle w:val="hps"/>
        </w:rPr>
        <w:t xml:space="preserve"> education programmes.</w:t>
      </w:r>
      <w:r w:rsidR="00E477C2" w:rsidRPr="0078363F">
        <w:rPr>
          <w:rStyle w:val="hps"/>
        </w:rPr>
        <w:t xml:space="preserve"> </w:t>
      </w:r>
      <w:r w:rsidR="00056E10" w:rsidRPr="0078363F">
        <w:rPr>
          <w:rStyle w:val="hps"/>
        </w:rPr>
        <w:t>T</w:t>
      </w:r>
      <w:r w:rsidRPr="0078363F">
        <w:rPr>
          <w:rStyle w:val="hps"/>
        </w:rPr>
        <w:t>he</w:t>
      </w:r>
      <w:r w:rsidR="00D4635F" w:rsidRPr="0078363F">
        <w:rPr>
          <w:rStyle w:val="hps"/>
        </w:rPr>
        <w:t>refore, the</w:t>
      </w:r>
      <w:r w:rsidRPr="0078363F">
        <w:rPr>
          <w:rStyle w:val="hps"/>
        </w:rPr>
        <w:t xml:space="preserve"> </w:t>
      </w:r>
      <w:r w:rsidR="003E4324" w:rsidRPr="0078363F">
        <w:rPr>
          <w:rStyle w:val="hps"/>
        </w:rPr>
        <w:t xml:space="preserve">current </w:t>
      </w:r>
      <w:r w:rsidRPr="0078363F">
        <w:rPr>
          <w:rStyle w:val="hps"/>
        </w:rPr>
        <w:t>challenge is to ensure that the network is well</w:t>
      </w:r>
      <w:r w:rsidR="00CB6B0F" w:rsidRPr="00DE3121">
        <w:rPr>
          <w:rStyle w:val="hps"/>
          <w:bCs w:val="0"/>
          <w:iCs w:val="0"/>
        </w:rPr>
        <w:t>-</w:t>
      </w:r>
      <w:r w:rsidRPr="0078363F">
        <w:rPr>
          <w:rStyle w:val="hps"/>
        </w:rPr>
        <w:t>equipped to assume</w:t>
      </w:r>
      <w:r w:rsidR="00606764" w:rsidRPr="0078363F">
        <w:rPr>
          <w:rStyle w:val="hps"/>
        </w:rPr>
        <w:t xml:space="preserve"> responsibility for delivering </w:t>
      </w:r>
      <w:r w:rsidRPr="0078363F">
        <w:rPr>
          <w:rStyle w:val="hps"/>
        </w:rPr>
        <w:t xml:space="preserve">training and advisory </w:t>
      </w:r>
      <w:r w:rsidR="00606764" w:rsidRPr="0078363F">
        <w:rPr>
          <w:rStyle w:val="hps"/>
        </w:rPr>
        <w:t>services</w:t>
      </w:r>
      <w:r w:rsidR="00D4635F" w:rsidRPr="0078363F">
        <w:rPr>
          <w:rStyle w:val="hps"/>
        </w:rPr>
        <w:t xml:space="preserve"> in all areas</w:t>
      </w:r>
      <w:r w:rsidR="007D5212" w:rsidRPr="0078363F">
        <w:rPr>
          <w:rStyle w:val="hps"/>
        </w:rPr>
        <w:t xml:space="preserve"> of the </w:t>
      </w:r>
      <w:r w:rsidR="00EA6A9F" w:rsidRPr="0078363F">
        <w:rPr>
          <w:rStyle w:val="hps"/>
        </w:rPr>
        <w:t>expanded</w:t>
      </w:r>
      <w:r w:rsidR="007D5212" w:rsidRPr="0078363F">
        <w:rPr>
          <w:rStyle w:val="hps"/>
        </w:rPr>
        <w:t xml:space="preserve"> curriculum</w:t>
      </w:r>
      <w:r w:rsidR="00D4635F" w:rsidRPr="0078363F">
        <w:rPr>
          <w:rStyle w:val="hps"/>
        </w:rPr>
        <w:t xml:space="preserve">. </w:t>
      </w:r>
      <w:r w:rsidR="000915D8" w:rsidRPr="00DE3121">
        <w:rPr>
          <w:rStyle w:val="hps"/>
          <w:bCs w:val="0"/>
          <w:iCs w:val="0"/>
        </w:rPr>
        <w:t>To this end,</w:t>
      </w:r>
      <w:r w:rsidR="00606764" w:rsidRPr="00121AEF">
        <w:rPr>
          <w:rStyle w:val="hps"/>
        </w:rPr>
        <w:t xml:space="preserve"> </w:t>
      </w:r>
      <w:r w:rsidR="00D4635F" w:rsidRPr="00121AEF">
        <w:rPr>
          <w:rStyle w:val="hps"/>
        </w:rPr>
        <w:t xml:space="preserve">the Secretariat is envisioning a diversification of specializations within </w:t>
      </w:r>
      <w:r w:rsidR="00606764" w:rsidRPr="00121AEF">
        <w:rPr>
          <w:rStyle w:val="hps"/>
        </w:rPr>
        <w:t>the network</w:t>
      </w:r>
      <w:r w:rsidR="00D4635F" w:rsidRPr="00121AEF">
        <w:rPr>
          <w:rStyle w:val="hps"/>
        </w:rPr>
        <w:t>,</w:t>
      </w:r>
      <w:r w:rsidR="00A51E92" w:rsidRPr="00121AEF">
        <w:rPr>
          <w:rStyle w:val="hps"/>
        </w:rPr>
        <w:t xml:space="preserve"> </w:t>
      </w:r>
      <w:r w:rsidR="00D4635F" w:rsidRPr="00121AEF">
        <w:rPr>
          <w:rStyle w:val="hps"/>
        </w:rPr>
        <w:t xml:space="preserve">taking into account </w:t>
      </w:r>
      <w:r w:rsidR="00A51E92" w:rsidRPr="00121AEF">
        <w:rPr>
          <w:rStyle w:val="hps"/>
        </w:rPr>
        <w:t xml:space="preserve">priority demands </w:t>
      </w:r>
      <w:r w:rsidR="00D4635F" w:rsidRPr="00121AEF">
        <w:rPr>
          <w:rStyle w:val="hps"/>
        </w:rPr>
        <w:t>and the particular strengths of individual network members.</w:t>
      </w:r>
      <w:r w:rsidR="00A51E92" w:rsidRPr="00121AEF">
        <w:rPr>
          <w:rStyle w:val="hps"/>
        </w:rPr>
        <w:t xml:space="preserve"> Accordingly</w:t>
      </w:r>
      <w:r w:rsidR="00D4635F" w:rsidRPr="00121AEF">
        <w:rPr>
          <w:rStyle w:val="hps"/>
        </w:rPr>
        <w:t xml:space="preserve">, </w:t>
      </w:r>
      <w:r w:rsidR="00056E10" w:rsidRPr="00121AEF">
        <w:rPr>
          <w:rStyle w:val="hps"/>
        </w:rPr>
        <w:t xml:space="preserve">the </w:t>
      </w:r>
      <w:r w:rsidRPr="00121AEF">
        <w:rPr>
          <w:rStyle w:val="hps"/>
        </w:rPr>
        <w:t xml:space="preserve">Secretariat </w:t>
      </w:r>
      <w:r w:rsidR="0068757D" w:rsidRPr="00121AEF">
        <w:rPr>
          <w:rStyle w:val="hps"/>
        </w:rPr>
        <w:t xml:space="preserve">will </w:t>
      </w:r>
      <w:r w:rsidR="00CB6B0F" w:rsidRPr="00DE3121">
        <w:rPr>
          <w:rStyle w:val="hps"/>
          <w:bCs w:val="0"/>
          <w:iCs w:val="0"/>
        </w:rPr>
        <w:t>adopt</w:t>
      </w:r>
      <w:r w:rsidR="0098028E" w:rsidRPr="0078363F">
        <w:rPr>
          <w:rStyle w:val="hps"/>
        </w:rPr>
        <w:t xml:space="preserve"> </w:t>
      </w:r>
      <w:r w:rsidR="009434DC" w:rsidRPr="0078363F">
        <w:rPr>
          <w:rStyle w:val="hps"/>
        </w:rPr>
        <w:t>a more specialized thematic and interdisciplinary approach</w:t>
      </w:r>
      <w:r w:rsidR="00B1111B" w:rsidRPr="0078363F">
        <w:rPr>
          <w:rStyle w:val="hps"/>
        </w:rPr>
        <w:t xml:space="preserve"> </w:t>
      </w:r>
      <w:r w:rsidR="00B4346D" w:rsidRPr="0078363F">
        <w:rPr>
          <w:rStyle w:val="hps"/>
        </w:rPr>
        <w:t xml:space="preserve">by </w:t>
      </w:r>
      <w:r w:rsidR="00B1111B" w:rsidRPr="0078363F">
        <w:rPr>
          <w:rStyle w:val="hps"/>
        </w:rPr>
        <w:t>offer</w:t>
      </w:r>
      <w:r w:rsidR="00B4346D" w:rsidRPr="0078363F">
        <w:rPr>
          <w:rStyle w:val="hps"/>
        </w:rPr>
        <w:t>ing tailored</w:t>
      </w:r>
      <w:r w:rsidR="00B1111B" w:rsidRPr="0078363F">
        <w:rPr>
          <w:rStyle w:val="hps"/>
        </w:rPr>
        <w:t xml:space="preserve"> </w:t>
      </w:r>
      <w:r w:rsidR="00B4346D" w:rsidRPr="0078363F">
        <w:rPr>
          <w:rStyle w:val="hps"/>
        </w:rPr>
        <w:t>training</w:t>
      </w:r>
      <w:r w:rsidR="00A70845" w:rsidRPr="00DE3121">
        <w:rPr>
          <w:rStyle w:val="hps"/>
          <w:bCs w:val="0"/>
          <w:iCs w:val="0"/>
        </w:rPr>
        <w:t xml:space="preserve"> activities</w:t>
      </w:r>
      <w:r w:rsidR="00B4346D" w:rsidRPr="0078363F">
        <w:rPr>
          <w:rStyle w:val="hps"/>
        </w:rPr>
        <w:t xml:space="preserve"> </w:t>
      </w:r>
      <w:r w:rsidR="00EA6A9F" w:rsidRPr="0078363F">
        <w:rPr>
          <w:rStyle w:val="hps"/>
        </w:rPr>
        <w:t xml:space="preserve">to </w:t>
      </w:r>
      <w:r w:rsidR="00B4346D" w:rsidRPr="0078363F">
        <w:rPr>
          <w:rStyle w:val="hps"/>
        </w:rPr>
        <w:t xml:space="preserve">thematically </w:t>
      </w:r>
      <w:r w:rsidR="00CB6B0F" w:rsidRPr="00DE3121">
        <w:rPr>
          <w:rStyle w:val="hps"/>
          <w:bCs w:val="0"/>
          <w:iCs w:val="0"/>
        </w:rPr>
        <w:t xml:space="preserve">build </w:t>
      </w:r>
      <w:r w:rsidR="00B4346D" w:rsidRPr="00121AEF">
        <w:rPr>
          <w:rStyle w:val="hps"/>
        </w:rPr>
        <w:t>more</w:t>
      </w:r>
      <w:r w:rsidR="00563004" w:rsidRPr="00121AEF">
        <w:rPr>
          <w:rStyle w:val="hps"/>
        </w:rPr>
        <w:t xml:space="preserve"> specialized</w:t>
      </w:r>
      <w:r w:rsidR="00AA7F9D" w:rsidRPr="00121AEF">
        <w:rPr>
          <w:rStyle w:val="hps"/>
        </w:rPr>
        <w:t xml:space="preserve"> groups</w:t>
      </w:r>
      <w:r w:rsidR="000915D8" w:rsidRPr="00DE3121">
        <w:rPr>
          <w:rStyle w:val="hps"/>
          <w:bCs w:val="0"/>
          <w:iCs w:val="0"/>
        </w:rPr>
        <w:t xml:space="preserve"> of facilitators</w:t>
      </w:r>
      <w:r w:rsidR="00B1111B" w:rsidRPr="00121AEF">
        <w:rPr>
          <w:rStyle w:val="hps"/>
        </w:rPr>
        <w:t xml:space="preserve">. </w:t>
      </w:r>
      <w:r w:rsidR="000915D8" w:rsidRPr="00121AEF">
        <w:rPr>
          <w:rStyle w:val="hps"/>
        </w:rPr>
        <w:t>A second methodological innovation concerns capacity building for periodic reporting</w:t>
      </w:r>
      <w:r w:rsidR="001D6F12" w:rsidRPr="00DE3121">
        <w:rPr>
          <w:rStyle w:val="hps"/>
          <w:bCs w:val="0"/>
          <w:iCs w:val="0"/>
        </w:rPr>
        <w:t>, which will follow a regional cycle</w:t>
      </w:r>
      <w:r w:rsidR="00CB6B0F" w:rsidRPr="00DE3121">
        <w:rPr>
          <w:rStyle w:val="hps"/>
          <w:bCs w:val="0"/>
          <w:iCs w:val="0"/>
        </w:rPr>
        <w:t xml:space="preserve"> as of 2020</w:t>
      </w:r>
      <w:r w:rsidR="001D6F12" w:rsidRPr="00DE3121">
        <w:rPr>
          <w:rStyle w:val="hps"/>
          <w:bCs w:val="0"/>
          <w:iCs w:val="0"/>
        </w:rPr>
        <w:t>.</w:t>
      </w:r>
      <w:r w:rsidR="000915D8" w:rsidRPr="00121AEF">
        <w:rPr>
          <w:rStyle w:val="hps"/>
        </w:rPr>
        <w:t xml:space="preserve"> Accordingly, </w:t>
      </w:r>
      <w:r w:rsidR="00A70845" w:rsidRPr="00121AEF">
        <w:rPr>
          <w:rStyle w:val="hps"/>
          <w:bCs w:val="0"/>
          <w:iCs w:val="0"/>
        </w:rPr>
        <w:t xml:space="preserve">the Secretariat foresees </w:t>
      </w:r>
      <w:r w:rsidR="000915D8" w:rsidRPr="00121AEF">
        <w:rPr>
          <w:rStyle w:val="hps"/>
        </w:rPr>
        <w:t>regional training activities for national focal points in charge of preparing the periodic reports in their respective countries.</w:t>
      </w:r>
      <w:r w:rsidR="00AA7F9D" w:rsidRPr="00121AEF">
        <w:rPr>
          <w:rStyle w:val="hps"/>
        </w:rPr>
        <w:t xml:space="preserve"> </w:t>
      </w:r>
      <w:r w:rsidR="00A70845" w:rsidRPr="00DE3121">
        <w:rPr>
          <w:rStyle w:val="hps"/>
          <w:bCs w:val="0"/>
          <w:iCs w:val="0"/>
        </w:rPr>
        <w:t>In addition</w:t>
      </w:r>
      <w:r w:rsidR="00AA7F9D" w:rsidRPr="00121AEF">
        <w:rPr>
          <w:rStyle w:val="hps"/>
        </w:rPr>
        <w:t xml:space="preserve">, the Secretariat will pursue its </w:t>
      </w:r>
      <w:r w:rsidR="00A70845" w:rsidRPr="00DE3121">
        <w:rPr>
          <w:rStyle w:val="hps"/>
          <w:bCs w:val="0"/>
          <w:iCs w:val="0"/>
        </w:rPr>
        <w:t xml:space="preserve">ongoing </w:t>
      </w:r>
      <w:r w:rsidR="00AA7F9D" w:rsidRPr="00121AEF">
        <w:rPr>
          <w:rStyle w:val="hps"/>
        </w:rPr>
        <w:t>work o</w:t>
      </w:r>
      <w:r w:rsidR="00CB6B0F" w:rsidRPr="00DE3121">
        <w:rPr>
          <w:rStyle w:val="hps"/>
          <w:bCs w:val="0"/>
          <w:iCs w:val="0"/>
        </w:rPr>
        <w:t xml:space="preserve">n </w:t>
      </w:r>
      <w:r w:rsidR="000915D8" w:rsidRPr="00DE3121">
        <w:rPr>
          <w:rStyle w:val="hps"/>
          <w:bCs w:val="0"/>
          <w:iCs w:val="0"/>
        </w:rPr>
        <w:t xml:space="preserve">translating new training materials, improving programme monitoring and </w:t>
      </w:r>
      <w:r w:rsidR="00955D4E" w:rsidRPr="00121AEF">
        <w:rPr>
          <w:rStyle w:val="hps"/>
        </w:rPr>
        <w:t>networking with universitie</w:t>
      </w:r>
      <w:r w:rsidR="00F26148" w:rsidRPr="00121AEF">
        <w:rPr>
          <w:rStyle w:val="hps"/>
        </w:rPr>
        <w:t>s</w:t>
      </w:r>
      <w:r w:rsidR="007D5212" w:rsidRPr="00121AEF">
        <w:rPr>
          <w:rStyle w:val="hps"/>
        </w:rPr>
        <w:t xml:space="preserve"> </w:t>
      </w:r>
      <w:r w:rsidR="00A70845" w:rsidRPr="00DE3121">
        <w:rPr>
          <w:rStyle w:val="hps"/>
          <w:bCs w:val="0"/>
          <w:iCs w:val="0"/>
        </w:rPr>
        <w:t>active in the field of intangible cultural heritage</w:t>
      </w:r>
      <w:r w:rsidR="001D6F12" w:rsidRPr="00DE3121">
        <w:rPr>
          <w:rStyle w:val="hps"/>
          <w:bCs w:val="0"/>
          <w:iCs w:val="0"/>
        </w:rPr>
        <w:t>.</w:t>
      </w:r>
    </w:p>
    <w:p w14:paraId="08130004" w14:textId="64841972" w:rsidR="00634CB4" w:rsidRPr="00DE3121" w:rsidRDefault="00634CB4" w:rsidP="00466104">
      <w:pPr>
        <w:pStyle w:val="5GAparabodytext"/>
        <w:rPr>
          <w:rStyle w:val="ParagraphChar"/>
        </w:rPr>
      </w:pPr>
      <w:r w:rsidRPr="002565D0">
        <w:rPr>
          <w:rStyle w:val="hps"/>
          <w:b/>
          <w:bCs w:val="0"/>
        </w:rPr>
        <w:t>Output 2.1</w:t>
      </w:r>
      <w:r w:rsidRPr="0078363F">
        <w:rPr>
          <w:rStyle w:val="hps"/>
          <w:bCs w:val="0"/>
        </w:rPr>
        <w:t>:</w:t>
      </w:r>
      <w:r w:rsidRPr="002565D0">
        <w:rPr>
          <w:rStyle w:val="hps"/>
        </w:rPr>
        <w:t xml:space="preserve"> The facilitators’ network </w:t>
      </w:r>
      <w:r w:rsidR="00CB1672" w:rsidRPr="002565D0">
        <w:rPr>
          <w:rStyle w:val="hps"/>
        </w:rPr>
        <w:t>remains</w:t>
      </w:r>
      <w:r w:rsidRPr="002565D0">
        <w:rPr>
          <w:rStyle w:val="hps"/>
        </w:rPr>
        <w:t xml:space="preserve"> </w:t>
      </w:r>
      <w:r w:rsidR="001F39DD" w:rsidRPr="002565D0">
        <w:rPr>
          <w:rStyle w:val="hps"/>
        </w:rPr>
        <w:t>essential</w:t>
      </w:r>
      <w:r w:rsidRPr="002565D0">
        <w:rPr>
          <w:rStyle w:val="hps"/>
        </w:rPr>
        <w:t xml:space="preserve"> </w:t>
      </w:r>
      <w:r w:rsidR="001F39DD" w:rsidRPr="002565D0">
        <w:rPr>
          <w:rStyle w:val="hps"/>
        </w:rPr>
        <w:t>for</w:t>
      </w:r>
      <w:r w:rsidRPr="002565D0">
        <w:rPr>
          <w:rStyle w:val="hps"/>
        </w:rPr>
        <w:t xml:space="preserve"> the effective implementation of the capacity-building programme </w:t>
      </w:r>
      <w:r w:rsidR="001F39DD" w:rsidRPr="002565D0">
        <w:rPr>
          <w:rStyle w:val="hps"/>
        </w:rPr>
        <w:t xml:space="preserve">at </w:t>
      </w:r>
      <w:r w:rsidR="00CB6B0F" w:rsidRPr="00DE3121">
        <w:rPr>
          <w:rStyle w:val="hps"/>
        </w:rPr>
        <w:t xml:space="preserve">the </w:t>
      </w:r>
      <w:r w:rsidR="001F39DD" w:rsidRPr="002565D0">
        <w:rPr>
          <w:rStyle w:val="hps"/>
        </w:rPr>
        <w:t>national level</w:t>
      </w:r>
      <w:r w:rsidRPr="002565D0">
        <w:rPr>
          <w:rStyle w:val="hps"/>
        </w:rPr>
        <w:t>. Facilitators provide a crucial link between the global approach</w:t>
      </w:r>
      <w:r w:rsidRPr="00DE3121">
        <w:rPr>
          <w:rStyle w:val="ParagraphChar"/>
        </w:rPr>
        <w:t xml:space="preserve"> of the programme and the needs and priorities of communities at the local level. The nature of the network has evolved since its creation as facilitators become more experienced </w:t>
      </w:r>
      <w:r w:rsidR="00CB6B0F" w:rsidRPr="00DE3121">
        <w:rPr>
          <w:rStyle w:val="ParagraphChar"/>
        </w:rPr>
        <w:t>in taking</w:t>
      </w:r>
      <w:r w:rsidRPr="00DE3121">
        <w:rPr>
          <w:rStyle w:val="ParagraphChar"/>
        </w:rPr>
        <w:t xml:space="preserve"> on</w:t>
      </w:r>
      <w:r w:rsidR="008C6184" w:rsidRPr="00DE3121">
        <w:rPr>
          <w:rStyle w:val="ParagraphChar"/>
        </w:rPr>
        <w:t xml:space="preserve"> specific</w:t>
      </w:r>
      <w:r w:rsidRPr="00DE3121">
        <w:rPr>
          <w:rStyle w:val="ParagraphChar"/>
        </w:rPr>
        <w:t xml:space="preserve"> thematic areas </w:t>
      </w:r>
      <w:r w:rsidR="00CB6B0F" w:rsidRPr="00DE3121">
        <w:rPr>
          <w:rStyle w:val="ParagraphChar"/>
        </w:rPr>
        <w:t>relevant</w:t>
      </w:r>
      <w:r w:rsidRPr="00DE3121">
        <w:rPr>
          <w:rStyle w:val="ParagraphChar"/>
        </w:rPr>
        <w:t xml:space="preserve"> to the </w:t>
      </w:r>
      <w:r w:rsidR="00CB6B0F" w:rsidRPr="00DE3121">
        <w:rPr>
          <w:rStyle w:val="ParagraphChar"/>
        </w:rPr>
        <w:t xml:space="preserve">work of the </w:t>
      </w:r>
      <w:r w:rsidRPr="00DE3121">
        <w:rPr>
          <w:rStyle w:val="ParagraphChar"/>
        </w:rPr>
        <w:t xml:space="preserve">Convention. </w:t>
      </w:r>
      <w:r w:rsidR="007E7080" w:rsidRPr="00DE3121">
        <w:rPr>
          <w:rStyle w:val="ParagraphChar"/>
        </w:rPr>
        <w:t xml:space="preserve">The interregional working group was established </w:t>
      </w:r>
      <w:r w:rsidR="00EE7946" w:rsidRPr="00DE3121">
        <w:rPr>
          <w:rStyle w:val="ParagraphChar"/>
        </w:rPr>
        <w:t>during</w:t>
      </w:r>
      <w:r w:rsidR="007E7080" w:rsidRPr="00DE3121">
        <w:rPr>
          <w:rStyle w:val="ParagraphChar"/>
        </w:rPr>
        <w:t xml:space="preserve"> </w:t>
      </w:r>
      <w:r w:rsidR="00CB6B0F" w:rsidRPr="00DE3121">
        <w:rPr>
          <w:rStyle w:val="ParagraphChar"/>
        </w:rPr>
        <w:t xml:space="preserve">the </w:t>
      </w:r>
      <w:r w:rsidR="007E7080" w:rsidRPr="00DE3121">
        <w:rPr>
          <w:rStyle w:val="ParagraphChar"/>
        </w:rPr>
        <w:t xml:space="preserve">last biennium to support this strategic shift and reflect on issues </w:t>
      </w:r>
      <w:r w:rsidR="00DE2AE2" w:rsidRPr="00DE3121">
        <w:rPr>
          <w:rStyle w:val="ParagraphChar"/>
        </w:rPr>
        <w:t xml:space="preserve">relating to the </w:t>
      </w:r>
      <w:r w:rsidR="00CB6B0F" w:rsidRPr="00DE3121">
        <w:rPr>
          <w:rStyle w:val="ParagraphChar"/>
        </w:rPr>
        <w:t xml:space="preserve">development of the </w:t>
      </w:r>
      <w:r w:rsidR="007E7080" w:rsidRPr="00DE3121">
        <w:rPr>
          <w:rStyle w:val="ParagraphChar"/>
        </w:rPr>
        <w:t xml:space="preserve">network. </w:t>
      </w:r>
      <w:r w:rsidR="003352C1" w:rsidRPr="00DE3121">
        <w:rPr>
          <w:rStyle w:val="ParagraphChar"/>
        </w:rPr>
        <w:t>In this regard</w:t>
      </w:r>
      <w:r w:rsidRPr="00DE3121">
        <w:rPr>
          <w:rStyle w:val="ParagraphChar"/>
        </w:rPr>
        <w:t xml:space="preserve">, a new approach for the network will focus on </w:t>
      </w:r>
      <w:r w:rsidR="00CB6B0F" w:rsidRPr="00DE3121">
        <w:rPr>
          <w:rStyle w:val="ParagraphChar"/>
        </w:rPr>
        <w:t>establishing</w:t>
      </w:r>
      <w:r w:rsidRPr="00DE3121">
        <w:rPr>
          <w:rStyle w:val="ParagraphChar"/>
        </w:rPr>
        <w:t xml:space="preserve"> thematic working groups to facilitate the sharing of expertise and experience around specific themes.</w:t>
      </w:r>
      <w:r w:rsidR="00EE7946" w:rsidRPr="00DE3121">
        <w:rPr>
          <w:rStyle w:val="ParagraphChar"/>
        </w:rPr>
        <w:t xml:space="preserve"> </w:t>
      </w:r>
      <w:r w:rsidR="003352C1" w:rsidRPr="00DE3121">
        <w:rPr>
          <w:rStyle w:val="ParagraphChar"/>
        </w:rPr>
        <w:t>To this end</w:t>
      </w:r>
      <w:r w:rsidR="00EE7946" w:rsidRPr="00DE3121">
        <w:rPr>
          <w:rStyle w:val="ParagraphChar"/>
        </w:rPr>
        <w:t xml:space="preserve">, </w:t>
      </w:r>
      <w:r w:rsidR="00D83148" w:rsidRPr="00DE3121">
        <w:rPr>
          <w:rStyle w:val="ParagraphChar"/>
        </w:rPr>
        <w:t xml:space="preserve">the </w:t>
      </w:r>
      <w:r w:rsidR="00EE7946" w:rsidRPr="00DE3121">
        <w:rPr>
          <w:rStyle w:val="ParagraphChar"/>
        </w:rPr>
        <w:t xml:space="preserve">training of trainers </w:t>
      </w:r>
      <w:r w:rsidR="00A70845" w:rsidRPr="00DE3121">
        <w:rPr>
          <w:rStyle w:val="ParagraphChar"/>
        </w:rPr>
        <w:t>workshop</w:t>
      </w:r>
      <w:r w:rsidR="00D83148" w:rsidRPr="00DE3121">
        <w:rPr>
          <w:rStyle w:val="ParagraphChar"/>
        </w:rPr>
        <w:t>s will be more speciali</w:t>
      </w:r>
      <w:r w:rsidR="00CB6B0F" w:rsidRPr="00DE3121">
        <w:rPr>
          <w:rStyle w:val="ParagraphChar"/>
        </w:rPr>
        <w:t>z</w:t>
      </w:r>
      <w:r w:rsidR="00D83148" w:rsidRPr="00DE3121">
        <w:rPr>
          <w:rStyle w:val="ParagraphChar"/>
        </w:rPr>
        <w:t>ed</w:t>
      </w:r>
      <w:r w:rsidR="00CB6B0F" w:rsidRPr="00DE3121">
        <w:rPr>
          <w:rStyle w:val="ParagraphChar"/>
        </w:rPr>
        <w:t>,</w:t>
      </w:r>
      <w:r w:rsidR="00D83148" w:rsidRPr="00DE3121">
        <w:rPr>
          <w:rStyle w:val="ParagraphChar"/>
        </w:rPr>
        <w:t xml:space="preserve"> with a</w:t>
      </w:r>
      <w:r w:rsidR="00CB6B0F" w:rsidRPr="00DE3121">
        <w:rPr>
          <w:rStyle w:val="ParagraphChar"/>
        </w:rPr>
        <w:t>n initial workshop</w:t>
      </w:r>
      <w:r w:rsidR="00D83148" w:rsidRPr="00DE3121">
        <w:rPr>
          <w:rStyle w:val="ParagraphChar"/>
        </w:rPr>
        <w:t xml:space="preserve"> focusing</w:t>
      </w:r>
      <w:r w:rsidR="00A70845" w:rsidRPr="00DE3121">
        <w:rPr>
          <w:rStyle w:val="ParagraphChar"/>
        </w:rPr>
        <w:t xml:space="preserve"> </w:t>
      </w:r>
      <w:r w:rsidR="00EE7946" w:rsidRPr="00DE3121">
        <w:rPr>
          <w:rStyle w:val="ParagraphChar"/>
        </w:rPr>
        <w:t>on monitoring and periodic reporting</w:t>
      </w:r>
      <w:r w:rsidR="007E7080" w:rsidRPr="00DE3121">
        <w:rPr>
          <w:rStyle w:val="ParagraphChar"/>
        </w:rPr>
        <w:t xml:space="preserve"> </w:t>
      </w:r>
      <w:r w:rsidR="00D83148" w:rsidRPr="00DE3121">
        <w:rPr>
          <w:rStyle w:val="ParagraphChar"/>
        </w:rPr>
        <w:t>for facilitators</w:t>
      </w:r>
      <w:r w:rsidR="007E7080" w:rsidRPr="00DE3121">
        <w:rPr>
          <w:rStyle w:val="ParagraphChar"/>
        </w:rPr>
        <w:t xml:space="preserve"> in Latin America and the Caribbean</w:t>
      </w:r>
      <w:r w:rsidR="005344DF" w:rsidRPr="00DE3121">
        <w:rPr>
          <w:rStyle w:val="ParagraphChar"/>
        </w:rPr>
        <w:t xml:space="preserve"> in conformity with the</w:t>
      </w:r>
      <w:r w:rsidR="006D57EA" w:rsidRPr="00DE3121">
        <w:rPr>
          <w:rStyle w:val="ParagraphChar"/>
        </w:rPr>
        <w:t xml:space="preserve"> regional cycle of reporting adopted by the</w:t>
      </w:r>
      <w:r w:rsidR="005344DF" w:rsidRPr="00DE3121">
        <w:rPr>
          <w:rStyle w:val="ParagraphChar"/>
        </w:rPr>
        <w:t xml:space="preserve"> Committee </w:t>
      </w:r>
      <w:r w:rsidR="006D57EA" w:rsidRPr="00DE3121">
        <w:rPr>
          <w:rStyle w:val="ParagraphChar"/>
        </w:rPr>
        <w:t>(</w:t>
      </w:r>
      <w:hyperlink r:id="rId12" w:history="1">
        <w:r w:rsidR="005344DF" w:rsidRPr="00DE3121">
          <w:rPr>
            <w:rStyle w:val="Hyperlink"/>
            <w:lang w:val="en-GB"/>
          </w:rPr>
          <w:t>Decision 13.COM </w:t>
        </w:r>
        <w:r w:rsidR="006D57EA" w:rsidRPr="00DE3121">
          <w:rPr>
            <w:rStyle w:val="Hyperlink"/>
            <w:lang w:val="en-GB"/>
          </w:rPr>
          <w:t>8</w:t>
        </w:r>
      </w:hyperlink>
      <w:r w:rsidR="006D57EA" w:rsidRPr="00DE3121">
        <w:rPr>
          <w:rStyle w:val="ParagraphChar"/>
        </w:rPr>
        <w:t>)</w:t>
      </w:r>
      <w:r w:rsidR="00EE7946" w:rsidRPr="00DE3121">
        <w:rPr>
          <w:rStyle w:val="ParagraphChar"/>
        </w:rPr>
        <w:t>.</w:t>
      </w:r>
      <w:r w:rsidR="007E7080" w:rsidRPr="00DE3121">
        <w:rPr>
          <w:rStyle w:val="ParagraphChar"/>
        </w:rPr>
        <w:t xml:space="preserve"> </w:t>
      </w:r>
      <w:r w:rsidR="005D110F" w:rsidRPr="00DE3121">
        <w:rPr>
          <w:rStyle w:val="ParagraphChar"/>
        </w:rPr>
        <w:t xml:space="preserve">Another theme </w:t>
      </w:r>
      <w:r w:rsidR="009C04EA" w:rsidRPr="00DE3121">
        <w:rPr>
          <w:rStyle w:val="ParagraphChar"/>
        </w:rPr>
        <w:t xml:space="preserve">to be </w:t>
      </w:r>
      <w:r w:rsidR="00CB6B0F" w:rsidRPr="00DE3121">
        <w:rPr>
          <w:rStyle w:val="ParagraphChar"/>
        </w:rPr>
        <w:t xml:space="preserve">granted </w:t>
      </w:r>
      <w:r w:rsidR="009C04EA" w:rsidRPr="00DE3121">
        <w:rPr>
          <w:rStyle w:val="ParagraphChar"/>
        </w:rPr>
        <w:t>priority</w:t>
      </w:r>
      <w:r w:rsidR="005D110F" w:rsidRPr="00DE3121">
        <w:rPr>
          <w:rStyle w:val="ParagraphChar"/>
        </w:rPr>
        <w:t xml:space="preserve"> during the first part of 2020 is </w:t>
      </w:r>
      <w:r w:rsidR="00CB1672" w:rsidRPr="00DE3121">
        <w:rPr>
          <w:rStyle w:val="ParagraphChar"/>
        </w:rPr>
        <w:t>i</w:t>
      </w:r>
      <w:r w:rsidRPr="00DE3121">
        <w:rPr>
          <w:rStyle w:val="ParagraphChar"/>
        </w:rPr>
        <w:t>ntangible cultural heritage and education</w:t>
      </w:r>
      <w:r w:rsidR="00CB6B0F" w:rsidRPr="00DE3121">
        <w:rPr>
          <w:rStyle w:val="ParagraphChar"/>
        </w:rPr>
        <w:t>;</w:t>
      </w:r>
      <w:r w:rsidR="0014528E" w:rsidRPr="00DE3121">
        <w:rPr>
          <w:rStyle w:val="ParagraphChar"/>
        </w:rPr>
        <w:t xml:space="preserve"> </w:t>
      </w:r>
      <w:r w:rsidR="00CB6B0F" w:rsidRPr="00DE3121">
        <w:rPr>
          <w:rStyle w:val="ParagraphChar"/>
        </w:rPr>
        <w:t xml:space="preserve">a </w:t>
      </w:r>
      <w:r w:rsidR="00D83148" w:rsidRPr="00DE3121">
        <w:rPr>
          <w:rStyle w:val="ParagraphChar"/>
        </w:rPr>
        <w:t xml:space="preserve">core group of </w:t>
      </w:r>
      <w:r w:rsidRPr="00DE3121">
        <w:rPr>
          <w:rStyle w:val="ParagraphChar"/>
        </w:rPr>
        <w:t>ten facilitators</w:t>
      </w:r>
      <w:r w:rsidR="0014528E" w:rsidRPr="00DE3121">
        <w:rPr>
          <w:rStyle w:val="ParagraphChar"/>
        </w:rPr>
        <w:t xml:space="preserve"> will be trained</w:t>
      </w:r>
      <w:r w:rsidRPr="00DE3121">
        <w:rPr>
          <w:rStyle w:val="ParagraphChar"/>
        </w:rPr>
        <w:t xml:space="preserve"> on th</w:t>
      </w:r>
      <w:r w:rsidR="0014528E" w:rsidRPr="00DE3121">
        <w:rPr>
          <w:rStyle w:val="ParagraphChar"/>
        </w:rPr>
        <w:t>is</w:t>
      </w:r>
      <w:r w:rsidRPr="00DE3121">
        <w:rPr>
          <w:rStyle w:val="ParagraphChar"/>
        </w:rPr>
        <w:t xml:space="preserve"> topic.</w:t>
      </w:r>
      <w:r w:rsidR="001F39DD" w:rsidRPr="00DE3121">
        <w:rPr>
          <w:rStyle w:val="ParagraphChar"/>
        </w:rPr>
        <w:t xml:space="preserve"> Finally, t</w:t>
      </w:r>
      <w:r w:rsidRPr="00DE3121">
        <w:rPr>
          <w:rStyle w:val="ParagraphChar"/>
        </w:rPr>
        <w:t xml:space="preserve">he webpage on the facilitators’ network will </w:t>
      </w:r>
      <w:r w:rsidR="001F39DD" w:rsidRPr="00DE3121">
        <w:rPr>
          <w:rStyle w:val="ParagraphChar"/>
        </w:rPr>
        <w:t xml:space="preserve">be enhanced by </w:t>
      </w:r>
      <w:r w:rsidRPr="00DE3121">
        <w:rPr>
          <w:rStyle w:val="ParagraphChar"/>
        </w:rPr>
        <w:t>highlight</w:t>
      </w:r>
      <w:r w:rsidR="001F39DD" w:rsidRPr="00DE3121">
        <w:rPr>
          <w:rStyle w:val="ParagraphChar"/>
        </w:rPr>
        <w:t>ing</w:t>
      </w:r>
      <w:r w:rsidRPr="00DE3121">
        <w:rPr>
          <w:rStyle w:val="ParagraphChar"/>
        </w:rPr>
        <w:t xml:space="preserve"> the profiles of facilitators</w:t>
      </w:r>
      <w:r w:rsidR="001F39DD" w:rsidRPr="00DE3121">
        <w:rPr>
          <w:rStyle w:val="ParagraphChar"/>
        </w:rPr>
        <w:t xml:space="preserve"> and introducing</w:t>
      </w:r>
      <w:r w:rsidRPr="00DE3121">
        <w:rPr>
          <w:rStyle w:val="ParagraphChar"/>
        </w:rPr>
        <w:t xml:space="preserve"> a new search function </w:t>
      </w:r>
      <w:r w:rsidR="001F39DD" w:rsidRPr="00DE3121">
        <w:rPr>
          <w:rStyle w:val="ParagraphChar"/>
        </w:rPr>
        <w:t>that will help to easily identify</w:t>
      </w:r>
      <w:r w:rsidRPr="00DE3121">
        <w:rPr>
          <w:rStyle w:val="ParagraphChar"/>
        </w:rPr>
        <w:t xml:space="preserve"> thematic areas of experience</w:t>
      </w:r>
      <w:r w:rsidR="006D57EA" w:rsidRPr="00DE3121">
        <w:rPr>
          <w:rStyle w:val="ParagraphChar"/>
        </w:rPr>
        <w:t>.</w:t>
      </w:r>
    </w:p>
    <w:p w14:paraId="450485F8" w14:textId="48506788" w:rsidR="00634CB4" w:rsidRPr="00DE3121" w:rsidRDefault="00634CB4" w:rsidP="00466104">
      <w:pPr>
        <w:pStyle w:val="5GAparabodytext"/>
        <w:rPr>
          <w:rStyle w:val="hps"/>
          <w:lang w:val="en-GB"/>
        </w:rPr>
      </w:pPr>
      <w:r w:rsidRPr="00DE3121">
        <w:rPr>
          <w:rStyle w:val="hps"/>
          <w:b/>
          <w:lang w:val="en-GB"/>
        </w:rPr>
        <w:lastRenderedPageBreak/>
        <w:t>Output 2.2</w:t>
      </w:r>
      <w:r w:rsidRPr="00DE3121">
        <w:rPr>
          <w:rStyle w:val="hps"/>
          <w:lang w:val="en-GB"/>
        </w:rPr>
        <w:t xml:space="preserve">: </w:t>
      </w:r>
      <w:r w:rsidR="003519C6" w:rsidRPr="00DE3121">
        <w:rPr>
          <w:rStyle w:val="hps"/>
          <w:lang w:val="en-GB"/>
        </w:rPr>
        <w:t>Under this output, the Secretariat will implement the new innovative training format on periodic reporting that it developed, by holding</w:t>
      </w:r>
      <w:r w:rsidR="007F7117" w:rsidRPr="00DE3121">
        <w:rPr>
          <w:rStyle w:val="hps"/>
          <w:lang w:val="en-GB"/>
        </w:rPr>
        <w:t xml:space="preserve"> – for the first time – </w:t>
      </w:r>
      <w:r w:rsidR="00B70449" w:rsidRPr="00DE3121">
        <w:rPr>
          <w:rStyle w:val="hps"/>
          <w:lang w:val="en-GB"/>
        </w:rPr>
        <w:t>a training</w:t>
      </w:r>
      <w:r w:rsidR="007F7117" w:rsidRPr="00DE3121">
        <w:rPr>
          <w:rStyle w:val="hps"/>
          <w:lang w:val="en-GB"/>
        </w:rPr>
        <w:t xml:space="preserve"> session for </w:t>
      </w:r>
      <w:r w:rsidR="003519C6" w:rsidRPr="00DE3121">
        <w:rPr>
          <w:rStyle w:val="hps"/>
          <w:lang w:val="en-GB"/>
        </w:rPr>
        <w:t>national focal points in charge of preparing the periodic reports</w:t>
      </w:r>
      <w:r w:rsidR="00B70449" w:rsidRPr="00DE3121">
        <w:rPr>
          <w:rStyle w:val="hps"/>
          <w:lang w:val="en-GB"/>
        </w:rPr>
        <w:t xml:space="preserve"> of their respective countr</w:t>
      </w:r>
      <w:r w:rsidR="007F7117" w:rsidRPr="00DE3121">
        <w:rPr>
          <w:rStyle w:val="hps"/>
          <w:lang w:val="en-GB"/>
        </w:rPr>
        <w:t>ies</w:t>
      </w:r>
      <w:r w:rsidR="003519C6" w:rsidRPr="00DE3121">
        <w:rPr>
          <w:rStyle w:val="hps"/>
          <w:lang w:val="en-GB"/>
        </w:rPr>
        <w:t xml:space="preserve">. </w:t>
      </w:r>
      <w:r w:rsidR="00B70449" w:rsidRPr="00DE3121">
        <w:rPr>
          <w:rStyle w:val="hps"/>
          <w:lang w:val="en-GB"/>
        </w:rPr>
        <w:t xml:space="preserve">This </w:t>
      </w:r>
      <w:r w:rsidR="003519C6" w:rsidRPr="00DE3121">
        <w:rPr>
          <w:rStyle w:val="hps"/>
          <w:lang w:val="en-GB"/>
        </w:rPr>
        <w:t xml:space="preserve">regional training workshop will be held in Latin America and the </w:t>
      </w:r>
      <w:r w:rsidR="00B70449" w:rsidRPr="00DE3121">
        <w:rPr>
          <w:rStyle w:val="hps"/>
          <w:lang w:val="en-GB"/>
        </w:rPr>
        <w:t xml:space="preserve">Caribbean (pending </w:t>
      </w:r>
      <w:r w:rsidR="006F2624" w:rsidRPr="00DE3121">
        <w:rPr>
          <w:rStyle w:val="hps"/>
          <w:lang w:val="en-GB"/>
        </w:rPr>
        <w:t>co-</w:t>
      </w:r>
      <w:r w:rsidR="00B70449" w:rsidRPr="00DE3121">
        <w:rPr>
          <w:rStyle w:val="hps"/>
          <w:lang w:val="en-GB"/>
        </w:rPr>
        <w:t>financing from a host country),</w:t>
      </w:r>
      <w:r w:rsidR="003519C6" w:rsidRPr="00DE3121">
        <w:rPr>
          <w:rStyle w:val="hps"/>
          <w:lang w:val="en-GB"/>
        </w:rPr>
        <w:t xml:space="preserve"> </w:t>
      </w:r>
      <w:r w:rsidR="007F7117" w:rsidRPr="00DE3121">
        <w:rPr>
          <w:rStyle w:val="hps"/>
          <w:lang w:val="en-GB"/>
        </w:rPr>
        <w:t>as</w:t>
      </w:r>
      <w:r w:rsidR="003519C6" w:rsidRPr="00DE3121">
        <w:rPr>
          <w:rStyle w:val="hps"/>
          <w:lang w:val="en-GB"/>
        </w:rPr>
        <w:t xml:space="preserve"> it is the first region to report under the </w:t>
      </w:r>
      <w:r w:rsidR="007F7117" w:rsidRPr="00DE3121">
        <w:rPr>
          <w:rStyle w:val="hps"/>
          <w:lang w:val="en-GB"/>
        </w:rPr>
        <w:t xml:space="preserve">above-mentioned </w:t>
      </w:r>
      <w:r w:rsidR="003519C6" w:rsidRPr="00DE3121">
        <w:rPr>
          <w:rStyle w:val="hps"/>
          <w:lang w:val="en-GB"/>
        </w:rPr>
        <w:t xml:space="preserve">regional </w:t>
      </w:r>
      <w:r w:rsidR="00B70449" w:rsidRPr="00DE3121">
        <w:rPr>
          <w:rStyle w:val="hps"/>
          <w:lang w:val="en-GB"/>
        </w:rPr>
        <w:t xml:space="preserve">reporting </w:t>
      </w:r>
      <w:r w:rsidR="003519C6" w:rsidRPr="00DE3121">
        <w:rPr>
          <w:rStyle w:val="hps"/>
          <w:lang w:val="en-GB"/>
        </w:rPr>
        <w:t xml:space="preserve">cycle modality. </w:t>
      </w:r>
      <w:r w:rsidR="00B70449" w:rsidRPr="00DE3121">
        <w:rPr>
          <w:rStyle w:val="hps"/>
          <w:lang w:val="en-GB"/>
        </w:rPr>
        <w:t>The Secretariat will work with two lead facilitators and use the set of training materials developed by the</w:t>
      </w:r>
      <w:r w:rsidR="00CB1672" w:rsidRPr="00DE3121">
        <w:rPr>
          <w:rStyle w:val="hps"/>
          <w:lang w:val="en-GB"/>
        </w:rPr>
        <w:t xml:space="preserve"> Secretariat</w:t>
      </w:r>
      <w:r w:rsidR="00B70449" w:rsidRPr="00DE3121">
        <w:rPr>
          <w:rStyle w:val="hps"/>
          <w:lang w:val="en-GB"/>
        </w:rPr>
        <w:t xml:space="preserve">. Moreover, the Secretariat will translate the </w:t>
      </w:r>
      <w:r w:rsidR="00CB1672" w:rsidRPr="00DE3121">
        <w:rPr>
          <w:rStyle w:val="hps"/>
          <w:lang w:val="en-GB"/>
        </w:rPr>
        <w:t>set of training materials on periodic reporting</w:t>
      </w:r>
      <w:r w:rsidR="00B70449" w:rsidRPr="00DE3121">
        <w:rPr>
          <w:rStyle w:val="hps"/>
          <w:lang w:val="en-GB"/>
        </w:rPr>
        <w:t xml:space="preserve"> together with new materials on</w:t>
      </w:r>
      <w:r w:rsidR="00CB1672" w:rsidRPr="00DE3121">
        <w:rPr>
          <w:rStyle w:val="hps"/>
          <w:lang w:val="en-GB"/>
        </w:rPr>
        <w:t xml:space="preserve"> policy development</w:t>
      </w:r>
      <w:r w:rsidR="00696710" w:rsidRPr="00DE3121">
        <w:rPr>
          <w:rStyle w:val="hps"/>
          <w:lang w:val="en-GB"/>
        </w:rPr>
        <w:t xml:space="preserve"> into French</w:t>
      </w:r>
      <w:r w:rsidR="00B70449" w:rsidRPr="00DE3121">
        <w:rPr>
          <w:rStyle w:val="hps"/>
          <w:lang w:val="en-GB"/>
        </w:rPr>
        <w:t xml:space="preserve"> to make them</w:t>
      </w:r>
      <w:r w:rsidRPr="00DE3121">
        <w:rPr>
          <w:rStyle w:val="hps"/>
          <w:lang w:val="en-GB"/>
        </w:rPr>
        <w:t xml:space="preserve"> available in three languages</w:t>
      </w:r>
      <w:r w:rsidR="00AD18C5" w:rsidRPr="00DE3121">
        <w:rPr>
          <w:rStyle w:val="hps"/>
          <w:lang w:val="en-GB"/>
        </w:rPr>
        <w:t xml:space="preserve"> (English, </w:t>
      </w:r>
      <w:r w:rsidR="00DF3023" w:rsidRPr="00DE3121">
        <w:rPr>
          <w:rStyle w:val="hps"/>
          <w:lang w:val="en-GB"/>
        </w:rPr>
        <w:t>Spanish</w:t>
      </w:r>
      <w:r w:rsidR="00AD18C5" w:rsidRPr="00DE3121">
        <w:rPr>
          <w:rStyle w:val="hps"/>
          <w:lang w:val="en-GB"/>
        </w:rPr>
        <w:t xml:space="preserve"> and French)</w:t>
      </w:r>
      <w:r w:rsidRPr="00DE3121">
        <w:rPr>
          <w:rStyle w:val="hps"/>
          <w:lang w:val="en-GB"/>
        </w:rPr>
        <w:t xml:space="preserve">. </w:t>
      </w:r>
      <w:r w:rsidR="006F2624" w:rsidRPr="00DE3121">
        <w:rPr>
          <w:rStyle w:val="hps"/>
          <w:lang w:val="en-GB"/>
        </w:rPr>
        <w:t>Finally, the Secretariat will</w:t>
      </w:r>
      <w:r w:rsidR="00B70449" w:rsidRPr="00DE3121">
        <w:rPr>
          <w:rStyle w:val="hps"/>
          <w:lang w:val="en-GB"/>
        </w:rPr>
        <w:t xml:space="preserve"> update the </w:t>
      </w:r>
      <w:r w:rsidRPr="00DE3121">
        <w:rPr>
          <w:rStyle w:val="hps"/>
          <w:lang w:val="en-GB"/>
        </w:rPr>
        <w:t>materials browser to facilitate access to t</w:t>
      </w:r>
      <w:r w:rsidR="006D57EA" w:rsidRPr="00DE3121">
        <w:rPr>
          <w:rStyle w:val="hps"/>
          <w:lang w:val="en-GB"/>
        </w:rPr>
        <w:t>he capacity-building materials.</w:t>
      </w:r>
    </w:p>
    <w:p w14:paraId="2D51268E" w14:textId="3896B302" w:rsidR="004C3AE3" w:rsidRPr="00DE3121" w:rsidRDefault="004C3AE3" w:rsidP="00466104">
      <w:pPr>
        <w:pStyle w:val="5GAparabodytext"/>
        <w:rPr>
          <w:rStyle w:val="hps"/>
          <w:lang w:val="en-GB"/>
        </w:rPr>
      </w:pPr>
      <w:r w:rsidRPr="00DE3121">
        <w:rPr>
          <w:rStyle w:val="ParagraphChar"/>
          <w:b/>
        </w:rPr>
        <w:t>Output 2.3</w:t>
      </w:r>
      <w:r w:rsidRPr="00DE3121">
        <w:rPr>
          <w:rStyle w:val="ParagraphChar"/>
        </w:rPr>
        <w:t>:</w:t>
      </w:r>
      <w:r w:rsidRPr="00DE3121">
        <w:rPr>
          <w:rStyle w:val="hps"/>
          <w:lang w:val="en-GB"/>
        </w:rPr>
        <w:t xml:space="preserve"> In line with the overall results framework for the Convention, the Secretariat will continue to monitor the capacity-building programme and share information with relevant partners.</w:t>
      </w:r>
      <w:r w:rsidR="00926EB2" w:rsidRPr="00DE3121">
        <w:rPr>
          <w:rStyle w:val="hps"/>
          <w:lang w:val="en-GB"/>
        </w:rPr>
        <w:t xml:space="preserve"> </w:t>
      </w:r>
      <w:r w:rsidR="00B70C98" w:rsidRPr="00DE3121">
        <w:rPr>
          <w:rStyle w:val="hps"/>
          <w:lang w:val="en-GB"/>
        </w:rPr>
        <w:t>It</w:t>
      </w:r>
      <w:r w:rsidRPr="00DE3121">
        <w:rPr>
          <w:rStyle w:val="hps"/>
          <w:lang w:val="en-GB"/>
        </w:rPr>
        <w:t xml:space="preserve"> will</w:t>
      </w:r>
      <w:r w:rsidR="00417470" w:rsidRPr="00DE3121">
        <w:rPr>
          <w:rStyle w:val="hps"/>
          <w:lang w:val="en-GB"/>
        </w:rPr>
        <w:t xml:space="preserve"> maintain the </w:t>
      </w:r>
      <w:r w:rsidRPr="00DE3121">
        <w:rPr>
          <w:rStyle w:val="hps"/>
          <w:lang w:val="en-GB"/>
        </w:rPr>
        <w:t>online planning and reporting tool for capacity-building activities</w:t>
      </w:r>
      <w:r w:rsidR="00417470" w:rsidRPr="00DE3121">
        <w:rPr>
          <w:rStyle w:val="hps"/>
          <w:lang w:val="en-GB"/>
        </w:rPr>
        <w:t xml:space="preserve"> and further improve the </w:t>
      </w:r>
      <w:r w:rsidR="005E3E11" w:rsidRPr="0078363F">
        <w:rPr>
          <w:rStyle w:val="hps"/>
          <w:lang w:val="en-GB"/>
        </w:rPr>
        <w:t xml:space="preserve">functionalities </w:t>
      </w:r>
      <w:r w:rsidR="00B70C98" w:rsidRPr="00DE3121">
        <w:rPr>
          <w:rStyle w:val="hps"/>
          <w:lang w:val="en-GB"/>
        </w:rPr>
        <w:t>to</w:t>
      </w:r>
      <w:r w:rsidRPr="00DE3121">
        <w:rPr>
          <w:rStyle w:val="hps"/>
          <w:lang w:val="en-GB"/>
        </w:rPr>
        <w:t xml:space="preserve"> </w:t>
      </w:r>
      <w:r w:rsidR="005E3E11" w:rsidRPr="0078363F">
        <w:rPr>
          <w:rStyle w:val="hps"/>
          <w:lang w:val="en-GB"/>
        </w:rPr>
        <w:t xml:space="preserve">be able to analyse the </w:t>
      </w:r>
      <w:r w:rsidRPr="00DE3121">
        <w:rPr>
          <w:rStyle w:val="hps"/>
          <w:lang w:val="en-GB"/>
        </w:rPr>
        <w:t>data</w:t>
      </w:r>
      <w:r w:rsidR="00926EB2" w:rsidRPr="00DE3121">
        <w:rPr>
          <w:rStyle w:val="hps"/>
          <w:lang w:val="en-GB"/>
        </w:rPr>
        <w:t xml:space="preserve"> on </w:t>
      </w:r>
      <w:r w:rsidR="007F7117" w:rsidRPr="00DE3121">
        <w:rPr>
          <w:rStyle w:val="hps"/>
          <w:lang w:val="en-GB"/>
        </w:rPr>
        <w:t>participants’</w:t>
      </w:r>
      <w:r w:rsidR="00926EB2" w:rsidRPr="00DE3121">
        <w:rPr>
          <w:rStyle w:val="hps"/>
          <w:lang w:val="en-GB"/>
        </w:rPr>
        <w:t xml:space="preserve"> profiles</w:t>
      </w:r>
      <w:r w:rsidR="007F7117" w:rsidRPr="00DE3121">
        <w:rPr>
          <w:rStyle w:val="hps"/>
          <w:lang w:val="en-GB"/>
        </w:rPr>
        <w:t xml:space="preserve">. </w:t>
      </w:r>
      <w:r w:rsidRPr="00DE3121">
        <w:rPr>
          <w:rStyle w:val="hps"/>
          <w:lang w:val="en-GB"/>
        </w:rPr>
        <w:t xml:space="preserve">Furthermore, the capacity-building programme pamphlet developed in 2019 will be translated and made available in </w:t>
      </w:r>
      <w:r w:rsidR="00E9085A" w:rsidRPr="00DE3121">
        <w:rPr>
          <w:rStyle w:val="hps"/>
          <w:lang w:val="en-GB"/>
        </w:rPr>
        <w:t xml:space="preserve">the </w:t>
      </w:r>
      <w:r w:rsidR="00DF3023" w:rsidRPr="00DE3121">
        <w:rPr>
          <w:rStyle w:val="hps"/>
          <w:lang w:val="en-GB"/>
        </w:rPr>
        <w:t>six</w:t>
      </w:r>
      <w:r w:rsidRPr="00DE3121">
        <w:rPr>
          <w:rStyle w:val="hps"/>
          <w:lang w:val="en-GB"/>
        </w:rPr>
        <w:t xml:space="preserve"> UN language</w:t>
      </w:r>
      <w:r w:rsidR="004A3003" w:rsidRPr="00DE3121">
        <w:rPr>
          <w:rStyle w:val="hps"/>
          <w:lang w:val="en-GB"/>
        </w:rPr>
        <w:t>s</w:t>
      </w:r>
      <w:r w:rsidR="00DF3023" w:rsidRPr="00DE3121">
        <w:rPr>
          <w:rStyle w:val="hps"/>
          <w:lang w:val="en-GB"/>
        </w:rPr>
        <w:t>.</w:t>
      </w:r>
    </w:p>
    <w:p w14:paraId="5C0BFE5A" w14:textId="49046FE4" w:rsidR="004C3AE3" w:rsidRPr="00DE3121" w:rsidRDefault="004C3AE3" w:rsidP="00466104">
      <w:pPr>
        <w:pStyle w:val="5GAparabodytext"/>
        <w:rPr>
          <w:rStyle w:val="ParagraphChar"/>
          <w:bCs w:val="0"/>
          <w:iCs w:val="0"/>
        </w:rPr>
      </w:pPr>
      <w:r w:rsidRPr="00DE3121">
        <w:rPr>
          <w:rStyle w:val="ParagraphChar"/>
          <w:b/>
        </w:rPr>
        <w:t>Output 2.4</w:t>
      </w:r>
      <w:r w:rsidR="008C0E9C" w:rsidRPr="0078363F">
        <w:rPr>
          <w:rStyle w:val="ParagraphChar"/>
          <w:bCs w:val="0"/>
        </w:rPr>
        <w:t>:</w:t>
      </w:r>
      <w:r w:rsidR="008C0E9C" w:rsidRPr="00DE3121">
        <w:rPr>
          <w:rStyle w:val="ParagraphChar"/>
        </w:rPr>
        <w:t xml:space="preserve"> </w:t>
      </w:r>
      <w:r w:rsidR="00C91DC9" w:rsidRPr="00DE3121">
        <w:rPr>
          <w:rStyle w:val="ParagraphChar"/>
        </w:rPr>
        <w:t>T</w:t>
      </w:r>
      <w:r w:rsidR="008C0E9C" w:rsidRPr="00DE3121">
        <w:rPr>
          <w:rStyle w:val="ParagraphChar"/>
        </w:rPr>
        <w:t>he Secretariat</w:t>
      </w:r>
      <w:r w:rsidR="00C91DC9" w:rsidRPr="00DE3121">
        <w:rPr>
          <w:rStyle w:val="ParagraphChar"/>
        </w:rPr>
        <w:t xml:space="preserve"> increasingly recognizes the important role that tertiary education institutions play in training future decision-makers, planners and administrators to work in the field of safeguarding </w:t>
      </w:r>
      <w:r w:rsidR="00CB4168" w:rsidRPr="00DE3121">
        <w:rPr>
          <w:rStyle w:val="ParagraphChar"/>
        </w:rPr>
        <w:t>living</w:t>
      </w:r>
      <w:r w:rsidR="00C91DC9" w:rsidRPr="00DE3121">
        <w:rPr>
          <w:rStyle w:val="ParagraphChar"/>
        </w:rPr>
        <w:t xml:space="preserve"> heritage.</w:t>
      </w:r>
      <w:r w:rsidR="00342DC4" w:rsidRPr="00DE3121">
        <w:rPr>
          <w:rStyle w:val="ParagraphChar"/>
        </w:rPr>
        <w:t xml:space="preserve"> Through recent university networking, it has also </w:t>
      </w:r>
      <w:r w:rsidR="00711E24">
        <w:rPr>
          <w:rStyle w:val="ParagraphChar"/>
        </w:rPr>
        <w:t xml:space="preserve">been </w:t>
      </w:r>
      <w:r w:rsidR="00342DC4" w:rsidRPr="00DE3121">
        <w:rPr>
          <w:rStyle w:val="ParagraphChar"/>
        </w:rPr>
        <w:t xml:space="preserve">observed that teaching about intangible cultural heritage is highly dispersed throughout different disciplines (heritage studies, anthropology, </w:t>
      </w:r>
      <w:r w:rsidR="007F7117" w:rsidRPr="00DE3121">
        <w:rPr>
          <w:rStyle w:val="ParagraphChar"/>
        </w:rPr>
        <w:t xml:space="preserve">the </w:t>
      </w:r>
      <w:r w:rsidR="00342DC4" w:rsidRPr="00DE3121">
        <w:rPr>
          <w:rStyle w:val="ParagraphChar"/>
        </w:rPr>
        <w:t>environment, etc.).</w:t>
      </w:r>
      <w:r w:rsidR="008C0E9C" w:rsidRPr="00DE3121">
        <w:rPr>
          <w:rStyle w:val="ParagraphChar"/>
        </w:rPr>
        <w:t xml:space="preserve"> </w:t>
      </w:r>
      <w:r w:rsidR="00506B57" w:rsidRPr="00DE3121">
        <w:rPr>
          <w:rStyle w:val="ParagraphChar"/>
        </w:rPr>
        <w:t>Building on the success of</w:t>
      </w:r>
      <w:r w:rsidR="004A3003" w:rsidRPr="00DE3121">
        <w:rPr>
          <w:rStyle w:val="ParagraphChar"/>
        </w:rPr>
        <w:t xml:space="preserve"> </w:t>
      </w:r>
      <w:r w:rsidR="00506B57" w:rsidRPr="00DE3121">
        <w:rPr>
          <w:rStyle w:val="ParagraphChar"/>
        </w:rPr>
        <w:t xml:space="preserve">networking activities </w:t>
      </w:r>
      <w:r w:rsidR="00342DC4" w:rsidRPr="00DE3121">
        <w:rPr>
          <w:rStyle w:val="ParagraphChar"/>
        </w:rPr>
        <w:t>from</w:t>
      </w:r>
      <w:r w:rsidR="00506B57" w:rsidRPr="00DE3121">
        <w:rPr>
          <w:rStyle w:val="ParagraphChar"/>
        </w:rPr>
        <w:t xml:space="preserve"> the past two bienni</w:t>
      </w:r>
      <w:r w:rsidR="007F7117" w:rsidRPr="00DE3121">
        <w:rPr>
          <w:rStyle w:val="ParagraphChar"/>
        </w:rPr>
        <w:t>a</w:t>
      </w:r>
      <w:r w:rsidR="00506B57" w:rsidRPr="00DE3121">
        <w:rPr>
          <w:rStyle w:val="ParagraphChar"/>
        </w:rPr>
        <w:t xml:space="preserve">, the Secretariat </w:t>
      </w:r>
      <w:r w:rsidR="00B12BF8" w:rsidRPr="00DE3121">
        <w:rPr>
          <w:rStyle w:val="ParagraphChar"/>
        </w:rPr>
        <w:t xml:space="preserve">proposes </w:t>
      </w:r>
      <w:r w:rsidR="00506B57" w:rsidRPr="00DE3121">
        <w:rPr>
          <w:rStyle w:val="ParagraphChar"/>
        </w:rPr>
        <w:t>increas</w:t>
      </w:r>
      <w:r w:rsidR="007F7117" w:rsidRPr="00DE3121">
        <w:rPr>
          <w:rStyle w:val="ParagraphChar"/>
        </w:rPr>
        <w:t>ing</w:t>
      </w:r>
      <w:r w:rsidR="008C0E9C" w:rsidRPr="00DE3121">
        <w:rPr>
          <w:rStyle w:val="ParagraphChar"/>
        </w:rPr>
        <w:t xml:space="preserve"> the number of universities engaged in networ</w:t>
      </w:r>
      <w:r w:rsidR="00506B57" w:rsidRPr="00DE3121">
        <w:rPr>
          <w:rStyle w:val="ParagraphChar"/>
        </w:rPr>
        <w:t>king across the globe</w:t>
      </w:r>
      <w:r w:rsidR="008C0E9C" w:rsidRPr="00DE3121">
        <w:rPr>
          <w:rStyle w:val="ParagraphChar"/>
        </w:rPr>
        <w:t xml:space="preserve"> </w:t>
      </w:r>
      <w:r w:rsidR="00506B57" w:rsidRPr="00DE3121">
        <w:rPr>
          <w:rStyle w:val="ParagraphChar"/>
        </w:rPr>
        <w:t xml:space="preserve">by bringing </w:t>
      </w:r>
      <w:r w:rsidR="00991507" w:rsidRPr="00DE3121">
        <w:rPr>
          <w:rStyle w:val="ParagraphChar"/>
        </w:rPr>
        <w:t>ten</w:t>
      </w:r>
      <w:r w:rsidR="00506B57" w:rsidRPr="00DE3121">
        <w:rPr>
          <w:rStyle w:val="ParagraphChar"/>
        </w:rPr>
        <w:t xml:space="preserve"> additional universities on board</w:t>
      </w:r>
      <w:r w:rsidR="007F7117" w:rsidRPr="00DE3121">
        <w:rPr>
          <w:rStyle w:val="ParagraphChar"/>
        </w:rPr>
        <w:t>,</w:t>
      </w:r>
      <w:r w:rsidR="00696710" w:rsidRPr="00DE3121">
        <w:rPr>
          <w:rStyle w:val="ParagraphChar"/>
        </w:rPr>
        <w:t xml:space="preserve"> ensuring </w:t>
      </w:r>
      <w:r w:rsidR="007F7117" w:rsidRPr="00DE3121">
        <w:rPr>
          <w:rStyle w:val="ParagraphChar"/>
        </w:rPr>
        <w:t xml:space="preserve">a </w:t>
      </w:r>
      <w:r w:rsidR="00696710" w:rsidRPr="00DE3121">
        <w:rPr>
          <w:rStyle w:val="ParagraphChar"/>
        </w:rPr>
        <w:t>maximum regional balance</w:t>
      </w:r>
      <w:r w:rsidR="00506B57" w:rsidRPr="00DE3121">
        <w:rPr>
          <w:rStyle w:val="ParagraphChar"/>
        </w:rPr>
        <w:t>.</w:t>
      </w:r>
    </w:p>
    <w:p w14:paraId="7E2AA827" w14:textId="77777777" w:rsidR="008737AC" w:rsidRPr="00DE3121" w:rsidRDefault="008737AC">
      <w:pPr>
        <w:pStyle w:val="Heading2"/>
        <w:tabs>
          <w:tab w:val="left" w:pos="567"/>
        </w:tabs>
        <w:snapToGrid w:val="0"/>
        <w:spacing w:before="360" w:after="240"/>
        <w:ind w:left="567"/>
        <w:jc w:val="both"/>
        <w:rPr>
          <w:rFonts w:ascii="Arial" w:hAnsi="Arial" w:cs="Arial"/>
          <w:i w:val="0"/>
          <w:sz w:val="22"/>
          <w:szCs w:val="22"/>
          <w:lang w:val="en-GB"/>
        </w:rPr>
      </w:pPr>
      <w:r w:rsidRPr="00DE3121">
        <w:rPr>
          <w:rFonts w:ascii="Arial" w:hAnsi="Arial" w:cs="Arial"/>
          <w:bCs w:val="0"/>
          <w:i w:val="0"/>
          <w:iCs w:val="0"/>
          <w:snapToGrid w:val="0"/>
          <w:sz w:val="22"/>
          <w:szCs w:val="22"/>
          <w:lang w:val="en-GB" w:eastAsia="en-US"/>
        </w:rPr>
        <w:t xml:space="preserve">Expected Result 3: </w:t>
      </w:r>
      <w:r w:rsidRPr="00DE3121">
        <w:rPr>
          <w:rFonts w:ascii="Arial" w:hAnsi="Arial" w:cs="Arial"/>
          <w:i w:val="0"/>
          <w:sz w:val="22"/>
          <w:szCs w:val="22"/>
          <w:lang w:val="en-GB"/>
        </w:rPr>
        <w:t>Integration of intangible cultural heritage into the development plans, policies and programmes supported</w:t>
      </w:r>
    </w:p>
    <w:p w14:paraId="23F0BE05" w14:textId="090B86AA" w:rsidR="00A27731" w:rsidRPr="0078363F" w:rsidRDefault="00A27731" w:rsidP="00466104">
      <w:pPr>
        <w:pStyle w:val="5GAparabodytext"/>
        <w:rPr>
          <w:rStyle w:val="hps"/>
          <w:bCs w:val="0"/>
          <w:iCs w:val="0"/>
          <w:lang w:val="en-GB"/>
        </w:rPr>
      </w:pPr>
      <w:r w:rsidRPr="00DE3121">
        <w:rPr>
          <w:snapToGrid w:val="0"/>
          <w:lang w:eastAsia="en-US"/>
        </w:rPr>
        <w:t xml:space="preserve">Integrating intangible cultural heritage into development plans, policies and programmes has proved effective </w:t>
      </w:r>
      <w:r w:rsidR="00FA5A8B" w:rsidRPr="00DE3121">
        <w:rPr>
          <w:snapToGrid w:val="0"/>
          <w:lang w:eastAsia="en-US"/>
        </w:rPr>
        <w:t>in supporting</w:t>
      </w:r>
      <w:r w:rsidR="002B3AE2" w:rsidRPr="00DE3121">
        <w:rPr>
          <w:snapToGrid w:val="0"/>
          <w:lang w:eastAsia="en-US"/>
        </w:rPr>
        <w:t xml:space="preserve"> the </w:t>
      </w:r>
      <w:r w:rsidRPr="00DE3121">
        <w:rPr>
          <w:snapToGrid w:val="0"/>
          <w:lang w:eastAsia="en-US"/>
        </w:rPr>
        <w:t>attain</w:t>
      </w:r>
      <w:r w:rsidR="002B3AE2" w:rsidRPr="00DE3121">
        <w:rPr>
          <w:snapToGrid w:val="0"/>
          <w:lang w:eastAsia="en-US"/>
        </w:rPr>
        <w:t>ment</w:t>
      </w:r>
      <w:r w:rsidRPr="00DE3121">
        <w:rPr>
          <w:snapToGrid w:val="0"/>
          <w:lang w:eastAsia="en-US"/>
        </w:rPr>
        <w:t xml:space="preserve"> </w:t>
      </w:r>
      <w:r w:rsidR="007F7117" w:rsidRPr="00DE3121">
        <w:rPr>
          <w:snapToGrid w:val="0"/>
          <w:lang w:eastAsia="en-US"/>
        </w:rPr>
        <w:t xml:space="preserve">of </w:t>
      </w:r>
      <w:r w:rsidRPr="00DE3121">
        <w:rPr>
          <w:snapToGrid w:val="0"/>
          <w:lang w:eastAsia="en-US"/>
        </w:rPr>
        <w:t>the objectives of the 2030 Sustainable Development Agenda</w:t>
      </w:r>
      <w:r w:rsidR="005F344F" w:rsidRPr="00DE3121">
        <w:rPr>
          <w:snapToGrid w:val="0"/>
          <w:lang w:eastAsia="en-US"/>
        </w:rPr>
        <w:t xml:space="preserve"> and</w:t>
      </w:r>
      <w:r w:rsidRPr="00DE3121">
        <w:rPr>
          <w:snapToGrid w:val="0"/>
          <w:lang w:eastAsia="en-US"/>
        </w:rPr>
        <w:t xml:space="preserve"> the SDGs. In this </w:t>
      </w:r>
      <w:r w:rsidR="00EE74DF" w:rsidRPr="00DE3121">
        <w:rPr>
          <w:snapToGrid w:val="0"/>
          <w:lang w:eastAsia="en-US"/>
        </w:rPr>
        <w:t>regard</w:t>
      </w:r>
      <w:r w:rsidRPr="00DE3121">
        <w:rPr>
          <w:snapToGrid w:val="0"/>
          <w:lang w:eastAsia="en-US"/>
        </w:rPr>
        <w:t xml:space="preserve">, over the past two years, some progress </w:t>
      </w:r>
      <w:r w:rsidR="007F7117" w:rsidRPr="00DE3121">
        <w:rPr>
          <w:snapToGrid w:val="0"/>
          <w:lang w:eastAsia="en-US"/>
        </w:rPr>
        <w:t xml:space="preserve">has been made in </w:t>
      </w:r>
      <w:r w:rsidRPr="00DE3121">
        <w:rPr>
          <w:snapToGrid w:val="0"/>
          <w:lang w:eastAsia="en-US"/>
        </w:rPr>
        <w:t>integrating intangible cultural heritage in</w:t>
      </w:r>
      <w:r w:rsidR="007F7117" w:rsidRPr="00DE3121">
        <w:rPr>
          <w:snapToGrid w:val="0"/>
          <w:lang w:eastAsia="en-US"/>
        </w:rPr>
        <w:t>to</w:t>
      </w:r>
      <w:r w:rsidRPr="00DE3121">
        <w:rPr>
          <w:snapToGrid w:val="0"/>
          <w:lang w:eastAsia="en-US"/>
        </w:rPr>
        <w:t xml:space="preserve"> formal and non-formal education, which directly contributes to SDG 4</w:t>
      </w:r>
      <w:r w:rsidR="00AB1432">
        <w:rPr>
          <w:snapToGrid w:val="0"/>
          <w:lang w:eastAsia="en-US"/>
        </w:rPr>
        <w:t xml:space="preserve"> target 7</w:t>
      </w:r>
      <w:r w:rsidRPr="00DE3121">
        <w:rPr>
          <w:snapToGrid w:val="0"/>
          <w:lang w:eastAsia="en-US"/>
        </w:rPr>
        <w:t xml:space="preserve"> and </w:t>
      </w:r>
      <w:r w:rsidR="007F7117" w:rsidRPr="00DE3121">
        <w:rPr>
          <w:snapToGrid w:val="0"/>
          <w:lang w:eastAsia="en-US"/>
        </w:rPr>
        <w:t xml:space="preserve">is a </w:t>
      </w:r>
      <w:r w:rsidRPr="00DE3121">
        <w:rPr>
          <w:snapToGrid w:val="0"/>
          <w:lang w:eastAsia="en-US"/>
        </w:rPr>
        <w:t>high priority under the 2003 Convention</w:t>
      </w:r>
      <w:r w:rsidR="007E3103" w:rsidRPr="00DE3121">
        <w:rPr>
          <w:snapToGrid w:val="0"/>
          <w:lang w:eastAsia="en-US"/>
        </w:rPr>
        <w:t>.</w:t>
      </w:r>
    </w:p>
    <w:p w14:paraId="2EFC6117" w14:textId="1966FC6F" w:rsidR="00A27731" w:rsidRPr="00DE3121" w:rsidRDefault="004C3AE3" w:rsidP="00466104">
      <w:pPr>
        <w:pStyle w:val="5GAparabodytext"/>
        <w:rPr>
          <w:rStyle w:val="ParagraphChar"/>
          <w:bCs w:val="0"/>
          <w:iCs w:val="0"/>
        </w:rPr>
      </w:pPr>
      <w:r w:rsidRPr="00DE3121">
        <w:rPr>
          <w:rStyle w:val="ParagraphChar"/>
          <w:b/>
        </w:rPr>
        <w:t>Output 3.1</w:t>
      </w:r>
      <w:r w:rsidR="00E9085A" w:rsidRPr="00D3305D">
        <w:rPr>
          <w:rStyle w:val="ParagraphChar"/>
          <w:bCs w:val="0"/>
        </w:rPr>
        <w:t>:</w:t>
      </w:r>
      <w:r w:rsidR="00342DC4" w:rsidRPr="00D3305D">
        <w:rPr>
          <w:rStyle w:val="ParagraphChar"/>
          <w:bCs w:val="0"/>
        </w:rPr>
        <w:t xml:space="preserve"> </w:t>
      </w:r>
      <w:r w:rsidR="00A27731" w:rsidRPr="00DE3121">
        <w:rPr>
          <w:snapToGrid w:val="0"/>
          <w:lang w:eastAsia="en-US"/>
        </w:rPr>
        <w:t>Given the increasing interest from States Parties in the new priority on ‘Safeguarding intangible cultural heritage through formal and non-formal education’ and in order to facilitate work in this area, at the global level, UNESCO has established a clearing house for knowledge sharing, cooperation, training and innovation on intangible cultural heritage and education.</w:t>
      </w:r>
      <w:r w:rsidR="007E3103" w:rsidRPr="00DE3121">
        <w:rPr>
          <w:snapToGrid w:val="0"/>
          <w:lang w:eastAsia="en-US"/>
        </w:rPr>
        <w:t xml:space="preserve"> </w:t>
      </w:r>
      <w:r w:rsidR="002B2977" w:rsidRPr="00DE3121">
        <w:rPr>
          <w:rStyle w:val="ParagraphChar"/>
        </w:rPr>
        <w:t xml:space="preserve">Building </w:t>
      </w:r>
      <w:r w:rsidR="00A104E0" w:rsidRPr="00DE3121">
        <w:rPr>
          <w:rStyle w:val="ParagraphChar"/>
        </w:rPr>
        <w:t>on this</w:t>
      </w:r>
      <w:r w:rsidR="003D2867" w:rsidRPr="00DE3121">
        <w:rPr>
          <w:rStyle w:val="ParagraphChar"/>
        </w:rPr>
        <w:t xml:space="preserve"> work</w:t>
      </w:r>
      <w:r w:rsidR="007E3103" w:rsidRPr="00DE3121">
        <w:rPr>
          <w:rStyle w:val="ParagraphChar"/>
        </w:rPr>
        <w:t>, the Secretariat will ensure</w:t>
      </w:r>
      <w:r w:rsidR="00F74F7B" w:rsidRPr="00DE3121">
        <w:rPr>
          <w:rStyle w:val="ParagraphChar"/>
        </w:rPr>
        <w:t xml:space="preserve"> that</w:t>
      </w:r>
      <w:r w:rsidR="007E3103" w:rsidRPr="00DE3121">
        <w:rPr>
          <w:rStyle w:val="ParagraphChar"/>
        </w:rPr>
        <w:t xml:space="preserve"> the webpage and resources are available in two languages (English and French) and </w:t>
      </w:r>
      <w:r w:rsidR="007F7117" w:rsidRPr="00DE3121">
        <w:rPr>
          <w:rStyle w:val="ParagraphChar"/>
        </w:rPr>
        <w:t xml:space="preserve">that </w:t>
      </w:r>
      <w:r w:rsidR="007E3103" w:rsidRPr="00DE3121">
        <w:rPr>
          <w:rStyle w:val="ParagraphChar"/>
        </w:rPr>
        <w:t xml:space="preserve">the accompanying information pamphlet is </w:t>
      </w:r>
      <w:r w:rsidR="00F74F7B" w:rsidRPr="00DE3121">
        <w:rPr>
          <w:rStyle w:val="ParagraphChar"/>
        </w:rPr>
        <w:t>produced</w:t>
      </w:r>
      <w:r w:rsidR="007E3103" w:rsidRPr="00DE3121">
        <w:rPr>
          <w:rStyle w:val="ParagraphChar"/>
        </w:rPr>
        <w:t xml:space="preserve"> in </w:t>
      </w:r>
      <w:r w:rsidR="00E9085A" w:rsidRPr="00DE3121">
        <w:rPr>
          <w:rStyle w:val="ParagraphChar"/>
        </w:rPr>
        <w:t xml:space="preserve">the </w:t>
      </w:r>
      <w:r w:rsidR="00DF3023" w:rsidRPr="00DE3121">
        <w:rPr>
          <w:rStyle w:val="ParagraphChar"/>
        </w:rPr>
        <w:t>six</w:t>
      </w:r>
      <w:r w:rsidR="007E3103" w:rsidRPr="00DE3121">
        <w:rPr>
          <w:rStyle w:val="ParagraphChar"/>
        </w:rPr>
        <w:t xml:space="preserve"> UN languages. Furthermore,</w:t>
      </w:r>
      <w:r w:rsidR="003D0599" w:rsidRPr="00DE3121">
        <w:rPr>
          <w:rStyle w:val="ParagraphChar"/>
        </w:rPr>
        <w:t xml:space="preserve"> the</w:t>
      </w:r>
      <w:r w:rsidR="003D0599" w:rsidRPr="0078363F">
        <w:rPr>
          <w:rStyle w:val="ParagraphChar"/>
        </w:rPr>
        <w:t xml:space="preserve"> Secretariat will reach out to indigenous peoples and associations that are actively engaged in integrating their living heritage in</w:t>
      </w:r>
      <w:r w:rsidR="007F7117" w:rsidRPr="0078363F">
        <w:rPr>
          <w:rStyle w:val="ParagraphChar"/>
        </w:rPr>
        <w:t>to</w:t>
      </w:r>
      <w:r w:rsidR="003D0599" w:rsidRPr="0078363F">
        <w:rPr>
          <w:rStyle w:val="ParagraphChar"/>
        </w:rPr>
        <w:t xml:space="preserve"> formal and non-formal education programmes to reflect their experiences in the UNESCO </w:t>
      </w:r>
      <w:r w:rsidR="003D0599" w:rsidRPr="0078363F">
        <w:rPr>
          <w:snapToGrid w:val="0"/>
          <w:lang w:eastAsia="en-US"/>
        </w:rPr>
        <w:t>clearing house for knowledge sharing, cooperation, training and innovation on intangible cultural heritage and education.</w:t>
      </w:r>
      <w:r w:rsidR="003D0599" w:rsidRPr="00DE3121">
        <w:rPr>
          <w:snapToGrid w:val="0"/>
          <w:lang w:eastAsia="en-US"/>
        </w:rPr>
        <w:t xml:space="preserve"> This effort is </w:t>
      </w:r>
      <w:r w:rsidR="007F7117" w:rsidRPr="00DE3121">
        <w:rPr>
          <w:snapToGrid w:val="0"/>
          <w:lang w:eastAsia="en-US"/>
        </w:rPr>
        <w:t>in</w:t>
      </w:r>
      <w:r w:rsidR="003D0599" w:rsidRPr="00DE3121">
        <w:rPr>
          <w:snapToGrid w:val="0"/>
          <w:lang w:eastAsia="en-US"/>
        </w:rPr>
        <w:t xml:space="preserve"> response to the Committee, which recognized the</w:t>
      </w:r>
      <w:r w:rsidR="003D0599" w:rsidRPr="00DE3121">
        <w:rPr>
          <w:rStyle w:val="ParagraphChar"/>
        </w:rPr>
        <w:t xml:space="preserve"> importance for indigenous peoples world</w:t>
      </w:r>
      <w:r w:rsidR="007F7117" w:rsidRPr="00DE3121">
        <w:rPr>
          <w:rStyle w:val="ParagraphChar"/>
        </w:rPr>
        <w:t>wide</w:t>
      </w:r>
      <w:r w:rsidR="003D0599" w:rsidRPr="00DE3121">
        <w:rPr>
          <w:rStyle w:val="ParagraphChar"/>
        </w:rPr>
        <w:t xml:space="preserve"> </w:t>
      </w:r>
      <w:r w:rsidR="007F7117" w:rsidRPr="00DE3121">
        <w:rPr>
          <w:rStyle w:val="ParagraphChar"/>
        </w:rPr>
        <w:t>of</w:t>
      </w:r>
      <w:r w:rsidR="003D0599" w:rsidRPr="00DE3121">
        <w:rPr>
          <w:rStyle w:val="ParagraphChar"/>
        </w:rPr>
        <w:t xml:space="preserve"> ensur</w:t>
      </w:r>
      <w:r w:rsidR="007F7117" w:rsidRPr="00DE3121">
        <w:rPr>
          <w:rStyle w:val="ParagraphChar"/>
        </w:rPr>
        <w:t>ing</w:t>
      </w:r>
      <w:r w:rsidR="003D0599" w:rsidRPr="00DE3121">
        <w:rPr>
          <w:rStyle w:val="ParagraphChar"/>
        </w:rPr>
        <w:t xml:space="preserve"> the sustainability, learning, use and transmission of their language</w:t>
      </w:r>
      <w:r w:rsidR="007F7117" w:rsidRPr="00DE3121">
        <w:rPr>
          <w:rStyle w:val="ParagraphChar"/>
        </w:rPr>
        <w:t>s</w:t>
      </w:r>
      <w:r w:rsidR="003D0599" w:rsidRPr="00DE3121">
        <w:rPr>
          <w:rStyle w:val="ParagraphChar"/>
        </w:rPr>
        <w:t xml:space="preserve"> as fundamental vehicle</w:t>
      </w:r>
      <w:r w:rsidR="007F7117" w:rsidRPr="00DE3121">
        <w:rPr>
          <w:rStyle w:val="ParagraphChar"/>
        </w:rPr>
        <w:t>s</w:t>
      </w:r>
      <w:r w:rsidR="003D0599" w:rsidRPr="00DE3121">
        <w:rPr>
          <w:rStyle w:val="ParagraphChar"/>
        </w:rPr>
        <w:t xml:space="preserve"> of intangible cultural heritage</w:t>
      </w:r>
      <w:r w:rsidR="007F7117" w:rsidRPr="00DE3121">
        <w:rPr>
          <w:rStyle w:val="ParagraphChar"/>
        </w:rPr>
        <w:t>.</w:t>
      </w:r>
      <w:r w:rsidR="003D0599" w:rsidRPr="00DE3121">
        <w:rPr>
          <w:rStyle w:val="ParagraphChar"/>
        </w:rPr>
        <w:t xml:space="preserve"> </w:t>
      </w:r>
      <w:r w:rsidR="007F7117" w:rsidRPr="00DE3121">
        <w:rPr>
          <w:rStyle w:val="ParagraphChar"/>
        </w:rPr>
        <w:t>The Committee</w:t>
      </w:r>
      <w:r w:rsidR="003D0599" w:rsidRPr="00DE3121">
        <w:rPr>
          <w:rStyle w:val="ParagraphChar"/>
        </w:rPr>
        <w:t xml:space="preserve"> invited the Secretariat to pursue its work in this area (</w:t>
      </w:r>
      <w:hyperlink r:id="rId13" w:history="1">
        <w:r w:rsidR="00090974" w:rsidRPr="00090974">
          <w:rPr>
            <w:rStyle w:val="Hyperlink"/>
            <w:lang w:val="en-GB"/>
          </w:rPr>
          <w:t>Decision </w:t>
        </w:r>
        <w:r w:rsidR="003D0599" w:rsidRPr="00090974">
          <w:rPr>
            <w:rStyle w:val="Hyperlink"/>
            <w:lang w:val="en-GB"/>
          </w:rPr>
          <w:t>13.COM 20</w:t>
        </w:r>
      </w:hyperlink>
      <w:r w:rsidR="003D0599" w:rsidRPr="00DE3121">
        <w:rPr>
          <w:rStyle w:val="ParagraphChar"/>
        </w:rPr>
        <w:t>).</w:t>
      </w:r>
      <w:r w:rsidR="007E3103" w:rsidRPr="00DE3121">
        <w:rPr>
          <w:rStyle w:val="ParagraphChar"/>
        </w:rPr>
        <w:t xml:space="preserve"> </w:t>
      </w:r>
      <w:r w:rsidR="003D0599" w:rsidRPr="00DE3121">
        <w:rPr>
          <w:rStyle w:val="ParagraphChar"/>
        </w:rPr>
        <w:t>I</w:t>
      </w:r>
      <w:r w:rsidR="007E3103" w:rsidRPr="00DE3121">
        <w:rPr>
          <w:rStyle w:val="ParagraphChar"/>
        </w:rPr>
        <w:t xml:space="preserve">nformation from the </w:t>
      </w:r>
      <w:r w:rsidR="00E9085A" w:rsidRPr="00DE3121">
        <w:rPr>
          <w:rStyle w:val="ParagraphChar"/>
        </w:rPr>
        <w:t>clearing</w:t>
      </w:r>
      <w:r w:rsidR="00BA4111" w:rsidRPr="00DE3121">
        <w:rPr>
          <w:rStyle w:val="ParagraphChar"/>
        </w:rPr>
        <w:t xml:space="preserve"> </w:t>
      </w:r>
      <w:r w:rsidR="00E9085A" w:rsidRPr="00DE3121">
        <w:rPr>
          <w:rStyle w:val="ParagraphChar"/>
        </w:rPr>
        <w:t>house</w:t>
      </w:r>
      <w:r w:rsidR="007E3103" w:rsidRPr="00DE3121">
        <w:rPr>
          <w:rStyle w:val="ParagraphChar"/>
        </w:rPr>
        <w:t xml:space="preserve"> and progress on the priority thus far will be disseminated through a side event at the eighth session of the General Assembly of State Parties, to be held in June 2020.</w:t>
      </w:r>
    </w:p>
    <w:p w14:paraId="5DC240A3" w14:textId="008345ED" w:rsidR="00F32883" w:rsidRPr="00DE3121" w:rsidRDefault="00F32883" w:rsidP="00466104">
      <w:pPr>
        <w:pStyle w:val="5GAparabodytext"/>
        <w:rPr>
          <w:rStyle w:val="ParagraphChar"/>
        </w:rPr>
      </w:pPr>
      <w:r w:rsidRPr="00DE3121">
        <w:rPr>
          <w:rStyle w:val="ParagraphChar"/>
          <w:b/>
        </w:rPr>
        <w:t xml:space="preserve">Output </w:t>
      </w:r>
      <w:r w:rsidR="004E42F8" w:rsidRPr="00DE3121">
        <w:rPr>
          <w:rStyle w:val="ParagraphChar"/>
          <w:b/>
        </w:rPr>
        <w:t>3.2</w:t>
      </w:r>
      <w:r w:rsidR="00E9085A" w:rsidRPr="00D3305D">
        <w:rPr>
          <w:rStyle w:val="ParagraphChar"/>
          <w:bCs w:val="0"/>
        </w:rPr>
        <w:t>:</w:t>
      </w:r>
      <w:r w:rsidR="004E42F8" w:rsidRPr="00DE3121">
        <w:rPr>
          <w:rStyle w:val="ParagraphChar"/>
        </w:rPr>
        <w:t xml:space="preserve"> The</w:t>
      </w:r>
      <w:r w:rsidRPr="00DE3121">
        <w:rPr>
          <w:rStyle w:val="ParagraphChar"/>
        </w:rPr>
        <w:t xml:space="preserve"> Secretariat will build on its experiences from its participation </w:t>
      </w:r>
      <w:r w:rsidR="007F7117" w:rsidRPr="00DE3121">
        <w:rPr>
          <w:rStyle w:val="ParagraphChar"/>
        </w:rPr>
        <w:t xml:space="preserve">in </w:t>
      </w:r>
      <w:r w:rsidRPr="00DE3121">
        <w:rPr>
          <w:rStyle w:val="ParagraphChar"/>
        </w:rPr>
        <w:t>the</w:t>
      </w:r>
      <w:r w:rsidR="007E3103" w:rsidRPr="00DE3121">
        <w:rPr>
          <w:rStyle w:val="ParagraphChar"/>
        </w:rPr>
        <w:t xml:space="preserve"> </w:t>
      </w:r>
      <w:r w:rsidR="000C7470" w:rsidRPr="00DE3121">
        <w:rPr>
          <w:rStyle w:val="ParagraphChar"/>
        </w:rPr>
        <w:t>eighteen</w:t>
      </w:r>
      <w:r w:rsidR="007E3103" w:rsidRPr="00DE3121">
        <w:rPr>
          <w:rStyle w:val="ParagraphChar"/>
        </w:rPr>
        <w:t>th session of the</w:t>
      </w:r>
      <w:r w:rsidRPr="00DE3121">
        <w:rPr>
          <w:rStyle w:val="ParagraphChar"/>
        </w:rPr>
        <w:t xml:space="preserve"> United Nations Permanent Forum on Indigenous Issues</w:t>
      </w:r>
      <w:r w:rsidR="007E3103" w:rsidRPr="00DE3121">
        <w:rPr>
          <w:rStyle w:val="ParagraphChar"/>
        </w:rPr>
        <w:t>, held</w:t>
      </w:r>
      <w:r w:rsidRPr="00DE3121">
        <w:rPr>
          <w:rStyle w:val="ParagraphChar"/>
        </w:rPr>
        <w:t xml:space="preserve"> in 2019</w:t>
      </w:r>
      <w:r w:rsidR="007E3103" w:rsidRPr="00DE3121">
        <w:rPr>
          <w:rStyle w:val="ParagraphChar"/>
        </w:rPr>
        <w:t>,</w:t>
      </w:r>
      <w:r w:rsidRPr="00DE3121">
        <w:rPr>
          <w:rStyle w:val="ParagraphChar"/>
        </w:rPr>
        <w:t xml:space="preserve"> to strengthen ties with other UN agencies working in the field of culture and sustainable </w:t>
      </w:r>
      <w:r w:rsidRPr="00DE3121">
        <w:rPr>
          <w:rStyle w:val="ParagraphChar"/>
        </w:rPr>
        <w:lastRenderedPageBreak/>
        <w:t xml:space="preserve">development. </w:t>
      </w:r>
      <w:r w:rsidRPr="00DE3121">
        <w:rPr>
          <w:rStyle w:val="ParagraphChar"/>
          <w:rFonts w:eastAsia="Calibri"/>
        </w:rPr>
        <w:t>These exchanges are important for updating partner agencies on the latest developments in the implementation of the Convention and the creation of synergies with their work.</w:t>
      </w:r>
      <w:r w:rsidR="007E3103" w:rsidRPr="00DE3121">
        <w:rPr>
          <w:rStyle w:val="ParagraphChar"/>
          <w:rFonts w:eastAsia="Calibri"/>
        </w:rPr>
        <w:t xml:space="preserve"> </w:t>
      </w:r>
      <w:r w:rsidR="004039F5" w:rsidRPr="00DE3121">
        <w:rPr>
          <w:rStyle w:val="ParagraphChar"/>
          <w:rFonts w:eastAsia="Calibri"/>
        </w:rPr>
        <w:t>In addition to this</w:t>
      </w:r>
      <w:r w:rsidR="007E3103" w:rsidRPr="00DE3121">
        <w:rPr>
          <w:rStyle w:val="ParagraphChar"/>
          <w:rFonts w:eastAsia="Calibri"/>
        </w:rPr>
        <w:t xml:space="preserve">, </w:t>
      </w:r>
      <w:r w:rsidR="004039F5" w:rsidRPr="00DE3121">
        <w:rPr>
          <w:rStyle w:val="ParagraphChar"/>
          <w:rFonts w:eastAsia="Calibri"/>
        </w:rPr>
        <w:t xml:space="preserve">the </w:t>
      </w:r>
      <w:r w:rsidR="00E9085A" w:rsidRPr="00DE3121">
        <w:rPr>
          <w:rStyle w:val="ParagraphChar"/>
          <w:rFonts w:eastAsia="Calibri"/>
        </w:rPr>
        <w:t>work plan</w:t>
      </w:r>
      <w:r w:rsidR="004039F5" w:rsidRPr="00DE3121">
        <w:rPr>
          <w:rStyle w:val="ParagraphChar"/>
          <w:rFonts w:eastAsia="Calibri"/>
        </w:rPr>
        <w:t xml:space="preserve"> for the first six months of 2020</w:t>
      </w:r>
      <w:r w:rsidR="007E3103" w:rsidRPr="00DE3121">
        <w:rPr>
          <w:rStyle w:val="ParagraphChar"/>
          <w:rFonts w:eastAsia="Calibri"/>
        </w:rPr>
        <w:t xml:space="preserve"> </w:t>
      </w:r>
      <w:r w:rsidR="004039F5" w:rsidRPr="00DE3121">
        <w:rPr>
          <w:rStyle w:val="ParagraphChar"/>
          <w:rFonts w:eastAsia="Calibri"/>
        </w:rPr>
        <w:t>seeks</w:t>
      </w:r>
      <w:r w:rsidR="007E3103" w:rsidRPr="00DE3121">
        <w:rPr>
          <w:rStyle w:val="ParagraphChar"/>
          <w:rFonts w:eastAsia="Calibri"/>
        </w:rPr>
        <w:t xml:space="preserve"> </w:t>
      </w:r>
      <w:r w:rsidR="004039F5" w:rsidRPr="00DE3121">
        <w:rPr>
          <w:rStyle w:val="ParagraphChar"/>
          <w:rFonts w:eastAsia="Calibri"/>
        </w:rPr>
        <w:t>to</w:t>
      </w:r>
      <w:r w:rsidRPr="00DE3121">
        <w:rPr>
          <w:rStyle w:val="ParagraphChar"/>
          <w:rFonts w:eastAsia="Calibri"/>
        </w:rPr>
        <w:t xml:space="preserve"> continue </w:t>
      </w:r>
      <w:r w:rsidR="004039F5" w:rsidRPr="00DE3121">
        <w:rPr>
          <w:rStyle w:val="ParagraphChar"/>
          <w:rFonts w:eastAsia="Calibri"/>
        </w:rPr>
        <w:t>the</w:t>
      </w:r>
      <w:r w:rsidRPr="00DE3121">
        <w:rPr>
          <w:rStyle w:val="ParagraphChar"/>
          <w:rFonts w:eastAsia="Calibri"/>
        </w:rPr>
        <w:t xml:space="preserve"> </w:t>
      </w:r>
      <w:r w:rsidR="004039F5" w:rsidRPr="00DE3121">
        <w:rPr>
          <w:rStyle w:val="ParagraphChar"/>
          <w:rFonts w:eastAsia="Calibri"/>
        </w:rPr>
        <w:t xml:space="preserve">fruitful </w:t>
      </w:r>
      <w:r w:rsidRPr="00DE3121">
        <w:rPr>
          <w:rStyle w:val="ParagraphChar"/>
          <w:rFonts w:eastAsia="Calibri"/>
        </w:rPr>
        <w:t xml:space="preserve">exchanges </w:t>
      </w:r>
      <w:r w:rsidR="004039F5" w:rsidRPr="00DE3121">
        <w:rPr>
          <w:rStyle w:val="ParagraphChar"/>
          <w:rFonts w:eastAsia="Calibri"/>
        </w:rPr>
        <w:t>maintained between UNESCO and other</w:t>
      </w:r>
      <w:r w:rsidRPr="00DE3121">
        <w:rPr>
          <w:rStyle w:val="ParagraphChar"/>
          <w:rFonts w:eastAsia="Calibri"/>
        </w:rPr>
        <w:t xml:space="preserve"> partners in the UN system, such as the World Intellectual Property Organization and the Conve</w:t>
      </w:r>
      <w:r w:rsidR="00D3305D">
        <w:rPr>
          <w:rStyle w:val="ParagraphChar"/>
          <w:rFonts w:eastAsia="Calibri"/>
        </w:rPr>
        <w:t>ntion for Biological Diversity.</w:t>
      </w:r>
    </w:p>
    <w:p w14:paraId="78835330" w14:textId="7BC1AE28" w:rsidR="006E52E8" w:rsidRPr="0033023D" w:rsidRDefault="008737AC" w:rsidP="00870FD2">
      <w:pPr>
        <w:pStyle w:val="Heading2"/>
        <w:tabs>
          <w:tab w:val="left" w:pos="567"/>
        </w:tabs>
        <w:snapToGrid w:val="0"/>
        <w:spacing w:before="360" w:after="240"/>
        <w:ind w:left="567"/>
        <w:jc w:val="both"/>
        <w:rPr>
          <w:rStyle w:val="hps"/>
          <w:rFonts w:ascii="Arial" w:hAnsi="Arial" w:cs="Arial"/>
          <w:bCs w:val="0"/>
          <w:iCs w:val="0"/>
          <w:sz w:val="22"/>
          <w:szCs w:val="22"/>
          <w:lang w:val="en-US"/>
        </w:rPr>
      </w:pPr>
      <w:r w:rsidRPr="0033023D">
        <w:rPr>
          <w:rFonts w:ascii="Arial" w:hAnsi="Arial" w:cs="Arial"/>
          <w:bCs w:val="0"/>
          <w:i w:val="0"/>
          <w:iCs w:val="0"/>
          <w:snapToGrid w:val="0"/>
          <w:sz w:val="22"/>
          <w:szCs w:val="22"/>
          <w:lang w:val="en-GB" w:eastAsia="en-US"/>
        </w:rPr>
        <w:t>Expected Result 4: Objectives of the Convention promoted through awareness-raising and outreach</w:t>
      </w:r>
    </w:p>
    <w:p w14:paraId="719A37F2" w14:textId="5C353D3F" w:rsidR="00581375" w:rsidRPr="0078363F" w:rsidRDefault="001E0C16" w:rsidP="00466104">
      <w:pPr>
        <w:pStyle w:val="5GAparabodytext"/>
        <w:rPr>
          <w:rStyle w:val="ParagraphChar"/>
        </w:rPr>
      </w:pPr>
      <w:r w:rsidRPr="00DE3121">
        <w:rPr>
          <w:rStyle w:val="ParagraphChar"/>
        </w:rPr>
        <w:t>Increasing</w:t>
      </w:r>
      <w:r w:rsidR="00581375" w:rsidRPr="00DE3121">
        <w:rPr>
          <w:rStyle w:val="ParagraphChar"/>
        </w:rPr>
        <w:t xml:space="preserve"> effective awareness and outreach to promote the objective</w:t>
      </w:r>
      <w:r w:rsidR="00F25F82" w:rsidRPr="00DE3121">
        <w:rPr>
          <w:rStyle w:val="ParagraphChar"/>
        </w:rPr>
        <w:t>s</w:t>
      </w:r>
      <w:r w:rsidR="00581375" w:rsidRPr="00DE3121">
        <w:rPr>
          <w:rStyle w:val="ParagraphChar"/>
        </w:rPr>
        <w:t xml:space="preserve"> of the Convention is </w:t>
      </w:r>
      <w:r w:rsidR="0089124F" w:rsidRPr="00DE3121">
        <w:rPr>
          <w:rStyle w:val="ParagraphChar"/>
        </w:rPr>
        <w:t>an</w:t>
      </w:r>
      <w:r w:rsidR="00581375" w:rsidRPr="00DE3121">
        <w:rPr>
          <w:rStyle w:val="ParagraphChar"/>
        </w:rPr>
        <w:t xml:space="preserve"> ongoing work</w:t>
      </w:r>
      <w:r w:rsidR="007F7117" w:rsidRPr="00DE3121">
        <w:rPr>
          <w:rStyle w:val="ParagraphChar"/>
        </w:rPr>
        <w:t xml:space="preserve"> </w:t>
      </w:r>
      <w:r w:rsidR="00581375" w:rsidRPr="00DE3121">
        <w:rPr>
          <w:rStyle w:val="ParagraphChar"/>
        </w:rPr>
        <w:t>in</w:t>
      </w:r>
      <w:r w:rsidR="007F7117" w:rsidRPr="00DE3121">
        <w:rPr>
          <w:rStyle w:val="ParagraphChar"/>
        </w:rPr>
        <w:t xml:space="preserve"> </w:t>
      </w:r>
      <w:r w:rsidR="00581375" w:rsidRPr="00DE3121">
        <w:rPr>
          <w:rStyle w:val="ParagraphChar"/>
        </w:rPr>
        <w:t>process. Further to the progress in the last biennium towards generat</w:t>
      </w:r>
      <w:r w:rsidR="00DA3D9A" w:rsidRPr="00DE3121">
        <w:rPr>
          <w:rStyle w:val="ParagraphChar"/>
        </w:rPr>
        <w:t>ing</w:t>
      </w:r>
      <w:r w:rsidR="00581375" w:rsidRPr="00DE3121">
        <w:rPr>
          <w:rStyle w:val="ParagraphChar"/>
        </w:rPr>
        <w:t xml:space="preserve"> </w:t>
      </w:r>
      <w:r w:rsidR="0057791F" w:rsidRPr="00DE3121">
        <w:rPr>
          <w:rStyle w:val="ParagraphChar"/>
        </w:rPr>
        <w:t xml:space="preserve">a </w:t>
      </w:r>
      <w:r w:rsidR="00581375" w:rsidRPr="00DE3121">
        <w:rPr>
          <w:rStyle w:val="ParagraphChar"/>
        </w:rPr>
        <w:t xml:space="preserve">greater </w:t>
      </w:r>
      <w:r w:rsidR="0089124F" w:rsidRPr="00DE3121">
        <w:rPr>
          <w:rStyle w:val="ParagraphChar"/>
        </w:rPr>
        <w:t xml:space="preserve">understanding </w:t>
      </w:r>
      <w:r w:rsidR="0057791F" w:rsidRPr="00DE3121">
        <w:rPr>
          <w:rStyle w:val="ParagraphChar"/>
        </w:rPr>
        <w:t xml:space="preserve">of </w:t>
      </w:r>
      <w:r w:rsidR="00581375" w:rsidRPr="00DE3121">
        <w:rPr>
          <w:rStyle w:val="ParagraphChar"/>
        </w:rPr>
        <w:t xml:space="preserve">the importance of safeguarding intangible cultural heritage, the Secretariat will continue its work </w:t>
      </w:r>
      <w:r w:rsidR="00180433" w:rsidRPr="00DE3121">
        <w:rPr>
          <w:rStyle w:val="ParagraphChar"/>
        </w:rPr>
        <w:t>in</w:t>
      </w:r>
      <w:r w:rsidR="00581375" w:rsidRPr="00DE3121">
        <w:rPr>
          <w:rStyle w:val="ParagraphChar"/>
        </w:rPr>
        <w:t xml:space="preserve"> </w:t>
      </w:r>
      <w:r w:rsidR="00E424F9" w:rsidRPr="00DE3121">
        <w:rPr>
          <w:rStyle w:val="ParagraphChar"/>
        </w:rPr>
        <w:t>demonstrat</w:t>
      </w:r>
      <w:r w:rsidR="00180433" w:rsidRPr="00DE3121">
        <w:rPr>
          <w:rStyle w:val="ParagraphChar"/>
        </w:rPr>
        <w:t>ing</w:t>
      </w:r>
      <w:r w:rsidR="00581375" w:rsidRPr="00DE3121">
        <w:rPr>
          <w:rStyle w:val="ParagraphChar"/>
        </w:rPr>
        <w:t xml:space="preserve"> the relevance of intangible cultural heritage in today’s society, </w:t>
      </w:r>
      <w:r w:rsidR="005863A1" w:rsidRPr="00DE3121">
        <w:rPr>
          <w:rStyle w:val="ParagraphChar"/>
        </w:rPr>
        <w:t>as well as communicat</w:t>
      </w:r>
      <w:r w:rsidR="005145D5" w:rsidRPr="00DE3121">
        <w:rPr>
          <w:rStyle w:val="ParagraphChar"/>
        </w:rPr>
        <w:t>ing</w:t>
      </w:r>
      <w:r w:rsidR="005863A1" w:rsidRPr="00DE3121">
        <w:rPr>
          <w:rStyle w:val="ParagraphChar"/>
        </w:rPr>
        <w:t xml:space="preserve"> </w:t>
      </w:r>
      <w:r w:rsidR="008F5FC3" w:rsidRPr="00DE3121">
        <w:rPr>
          <w:rStyle w:val="ParagraphChar"/>
        </w:rPr>
        <w:t>th</w:t>
      </w:r>
      <w:r w:rsidR="00581375" w:rsidRPr="00DE3121">
        <w:rPr>
          <w:rStyle w:val="ParagraphChar"/>
        </w:rPr>
        <w:t xml:space="preserve">e experiences of </w:t>
      </w:r>
      <w:r w:rsidR="005863A1" w:rsidRPr="00DE3121">
        <w:rPr>
          <w:rStyle w:val="ParagraphChar"/>
        </w:rPr>
        <w:t xml:space="preserve">the wide range of actors involved </w:t>
      </w:r>
      <w:r w:rsidR="005145D5" w:rsidRPr="00DE3121">
        <w:rPr>
          <w:rStyle w:val="ParagraphChar"/>
        </w:rPr>
        <w:t>in</w:t>
      </w:r>
      <w:r w:rsidR="00581375" w:rsidRPr="00DE3121">
        <w:rPr>
          <w:rStyle w:val="ParagraphChar"/>
        </w:rPr>
        <w:t xml:space="preserve"> the implementation of the 2003 Convention.</w:t>
      </w:r>
    </w:p>
    <w:p w14:paraId="3E99E676" w14:textId="6C1601A4" w:rsidR="00D5098C" w:rsidRPr="00DE3121" w:rsidRDefault="00D5098C" w:rsidP="00466104">
      <w:pPr>
        <w:pStyle w:val="5GAparabodytext"/>
        <w:rPr>
          <w:rStyle w:val="ParagraphChar"/>
          <w:rFonts w:eastAsia="Calibri"/>
        </w:rPr>
      </w:pPr>
      <w:r w:rsidRPr="00DE3121">
        <w:rPr>
          <w:rStyle w:val="ParagraphChar"/>
          <w:b/>
        </w:rPr>
        <w:t>Output 4.1</w:t>
      </w:r>
      <w:r w:rsidR="00E9085A" w:rsidRPr="00D3305D">
        <w:rPr>
          <w:rStyle w:val="ParagraphChar"/>
          <w:bCs w:val="0"/>
        </w:rPr>
        <w:t>:</w:t>
      </w:r>
      <w:r w:rsidRPr="00DE3121">
        <w:rPr>
          <w:rStyle w:val="ParagraphChar"/>
        </w:rPr>
        <w:t xml:space="preserve"> </w:t>
      </w:r>
      <w:r w:rsidRPr="00DE3121">
        <w:rPr>
          <w:rStyle w:val="ParagraphChar"/>
          <w:rFonts w:eastAsia="Calibri"/>
        </w:rPr>
        <w:t xml:space="preserve">The pilot outreach initiatives implemented </w:t>
      </w:r>
      <w:r w:rsidR="00192ECA" w:rsidRPr="00DE3121">
        <w:rPr>
          <w:rStyle w:val="ParagraphChar"/>
          <w:rFonts w:eastAsia="Calibri"/>
        </w:rPr>
        <w:t>in 2019</w:t>
      </w:r>
      <w:r w:rsidR="0057791F" w:rsidRPr="00DE3121">
        <w:rPr>
          <w:rStyle w:val="ParagraphChar"/>
          <w:rFonts w:eastAsia="Calibri"/>
        </w:rPr>
        <w:t>,</w:t>
      </w:r>
      <w:r w:rsidR="00192ECA" w:rsidRPr="00DE3121">
        <w:rPr>
          <w:rStyle w:val="ParagraphChar"/>
          <w:rFonts w:eastAsia="Calibri"/>
        </w:rPr>
        <w:t xml:space="preserve"> </w:t>
      </w:r>
      <w:r w:rsidR="00192ECA" w:rsidRPr="0078363F">
        <w:rPr>
          <w:rStyle w:val="ParagraphChar"/>
          <w:rFonts w:eastAsia="Calibri"/>
        </w:rPr>
        <w:t xml:space="preserve">according to the </w:t>
      </w:r>
      <w:r w:rsidR="002C376D" w:rsidRPr="0078363F">
        <w:rPr>
          <w:rStyle w:val="ParagraphChar"/>
          <w:rFonts w:eastAsia="Calibri"/>
        </w:rPr>
        <w:t xml:space="preserve">outreach and </w:t>
      </w:r>
      <w:r w:rsidR="00192ECA" w:rsidRPr="0078363F">
        <w:rPr>
          <w:rStyle w:val="ParagraphChar"/>
          <w:rFonts w:eastAsia="Calibri"/>
        </w:rPr>
        <w:t>communication plan</w:t>
      </w:r>
      <w:r w:rsidR="0057791F" w:rsidRPr="0078363F">
        <w:rPr>
          <w:rStyle w:val="ParagraphChar"/>
          <w:rFonts w:eastAsia="Calibri"/>
        </w:rPr>
        <w:t>,</w:t>
      </w:r>
      <w:r w:rsidR="00192ECA" w:rsidRPr="0078363F">
        <w:rPr>
          <w:rStyle w:val="ParagraphChar"/>
          <w:rFonts w:eastAsia="Calibri"/>
        </w:rPr>
        <w:t xml:space="preserve"> </w:t>
      </w:r>
      <w:r w:rsidRPr="00DE3121">
        <w:rPr>
          <w:rStyle w:val="ParagraphChar"/>
          <w:rFonts w:eastAsia="Calibri"/>
        </w:rPr>
        <w:t xml:space="preserve">will continue to guide and shape the development and implementation of impactful communication </w:t>
      </w:r>
      <w:r w:rsidR="0057791F" w:rsidRPr="00DE3121">
        <w:rPr>
          <w:rStyle w:val="ParagraphChar"/>
          <w:rFonts w:eastAsia="Calibri"/>
        </w:rPr>
        <w:t xml:space="preserve">of </w:t>
      </w:r>
      <w:r w:rsidRPr="00DE3121">
        <w:rPr>
          <w:rStyle w:val="ParagraphChar"/>
          <w:rFonts w:eastAsia="Calibri"/>
        </w:rPr>
        <w:t xml:space="preserve">the Convention. </w:t>
      </w:r>
      <w:r w:rsidR="000701AC" w:rsidRPr="00DE3121">
        <w:rPr>
          <w:rStyle w:val="ParagraphChar"/>
          <w:rFonts w:eastAsia="Calibri"/>
        </w:rPr>
        <w:t>T</w:t>
      </w:r>
      <w:r w:rsidRPr="00DE3121">
        <w:rPr>
          <w:rStyle w:val="ParagraphChar"/>
          <w:rFonts w:eastAsia="Calibri"/>
        </w:rPr>
        <w:t xml:space="preserve">he Secretariat will proceed with </w:t>
      </w:r>
      <w:r w:rsidR="00291372" w:rsidRPr="00DE3121">
        <w:rPr>
          <w:rStyle w:val="ParagraphChar"/>
          <w:rFonts w:eastAsia="Calibri"/>
        </w:rPr>
        <w:t xml:space="preserve">the </w:t>
      </w:r>
      <w:r w:rsidRPr="00DE3121">
        <w:rPr>
          <w:rStyle w:val="ParagraphChar"/>
        </w:rPr>
        <w:t>production of communication material</w:t>
      </w:r>
      <w:r w:rsidR="0057791F" w:rsidRPr="00DE3121">
        <w:rPr>
          <w:rStyle w:val="ParagraphChar"/>
        </w:rPr>
        <w:t>s</w:t>
      </w:r>
      <w:r w:rsidRPr="00DE3121">
        <w:rPr>
          <w:rStyle w:val="ParagraphChar"/>
        </w:rPr>
        <w:t xml:space="preserve"> focusing on key thematic areas related to safeguarding</w:t>
      </w:r>
      <w:r w:rsidR="00EF7928" w:rsidRPr="00DE3121">
        <w:rPr>
          <w:rStyle w:val="ParagraphChar"/>
        </w:rPr>
        <w:t>,</w:t>
      </w:r>
      <w:r w:rsidR="00E132F0" w:rsidRPr="00DE3121">
        <w:rPr>
          <w:rStyle w:val="ParagraphChar"/>
        </w:rPr>
        <w:t xml:space="preserve"> </w:t>
      </w:r>
      <w:r w:rsidR="00EF7928" w:rsidRPr="00DE3121">
        <w:rPr>
          <w:rStyle w:val="ParagraphChar"/>
        </w:rPr>
        <w:t xml:space="preserve">namely </w:t>
      </w:r>
      <w:r w:rsidR="00484AF9" w:rsidRPr="00DE3121">
        <w:rPr>
          <w:rStyle w:val="ParagraphChar"/>
        </w:rPr>
        <w:t>intangible cultural heritage in emergencies</w:t>
      </w:r>
      <w:r w:rsidR="00372030" w:rsidRPr="00DE3121">
        <w:rPr>
          <w:rStyle w:val="ParagraphChar"/>
        </w:rPr>
        <w:t xml:space="preserve">, as well as the wide dissemination of existing materials and </w:t>
      </w:r>
      <w:r w:rsidRPr="00DE3121">
        <w:rPr>
          <w:rStyle w:val="ParagraphChar"/>
        </w:rPr>
        <w:t>the</w:t>
      </w:r>
      <w:r w:rsidR="00372030" w:rsidRPr="00DE3121">
        <w:rPr>
          <w:rStyle w:val="ParagraphChar"/>
        </w:rPr>
        <w:t>ir</w:t>
      </w:r>
      <w:r w:rsidRPr="00DE3121">
        <w:rPr>
          <w:rStyle w:val="ParagraphChar"/>
        </w:rPr>
        <w:t xml:space="preserve"> translation into different languages</w:t>
      </w:r>
      <w:r w:rsidR="00E132F0" w:rsidRPr="00DE3121">
        <w:rPr>
          <w:rStyle w:val="ParagraphChar"/>
        </w:rPr>
        <w:t>.</w:t>
      </w:r>
      <w:r w:rsidRPr="00DE3121">
        <w:rPr>
          <w:rStyle w:val="ParagraphChar"/>
        </w:rPr>
        <w:t xml:space="preserve"> </w:t>
      </w:r>
      <w:r w:rsidR="00E132F0" w:rsidRPr="00DE3121">
        <w:rPr>
          <w:rStyle w:val="ParagraphChar"/>
        </w:rPr>
        <w:t>Moreover,</w:t>
      </w:r>
      <w:r w:rsidRPr="00DE3121">
        <w:rPr>
          <w:rStyle w:val="ParagraphChar"/>
        </w:rPr>
        <w:t xml:space="preserve"> communication activities </w:t>
      </w:r>
      <w:r w:rsidR="00E132F0" w:rsidRPr="00DE3121">
        <w:rPr>
          <w:rStyle w:val="ParagraphChar"/>
        </w:rPr>
        <w:t xml:space="preserve">will be </w:t>
      </w:r>
      <w:r w:rsidR="0057791F" w:rsidRPr="00DE3121">
        <w:rPr>
          <w:rStyle w:val="ParagraphChar"/>
        </w:rPr>
        <w:t xml:space="preserve">organized to promote </w:t>
      </w:r>
      <w:r w:rsidRPr="00DE3121">
        <w:rPr>
          <w:rStyle w:val="ParagraphChar"/>
        </w:rPr>
        <w:t>the impact of the work of the Convention at key strategic events</w:t>
      </w:r>
      <w:r w:rsidR="00291372" w:rsidRPr="00DE3121">
        <w:rPr>
          <w:rStyle w:val="ParagraphChar"/>
        </w:rPr>
        <w:t>,</w:t>
      </w:r>
      <w:r w:rsidRPr="00DE3121">
        <w:rPr>
          <w:rStyle w:val="ParagraphChar"/>
        </w:rPr>
        <w:t xml:space="preserve"> such as</w:t>
      </w:r>
      <w:r w:rsidR="003A54FD" w:rsidRPr="00DE3121">
        <w:rPr>
          <w:rStyle w:val="ParagraphChar"/>
        </w:rPr>
        <w:t xml:space="preserve"> </w:t>
      </w:r>
      <w:r w:rsidR="009112F8" w:rsidRPr="00DE3121">
        <w:rPr>
          <w:rStyle w:val="ParagraphChar"/>
        </w:rPr>
        <w:t xml:space="preserve">an event marking the closing of the International Year of Indigenous Languages at </w:t>
      </w:r>
      <w:r w:rsidRPr="00DE3121">
        <w:rPr>
          <w:rStyle w:val="ParagraphChar"/>
        </w:rPr>
        <w:t>the eighth session of the General Assembly</w:t>
      </w:r>
      <w:r w:rsidR="00E132F0" w:rsidRPr="00DE3121">
        <w:rPr>
          <w:rStyle w:val="ParagraphChar"/>
        </w:rPr>
        <w:t xml:space="preserve"> </w:t>
      </w:r>
      <w:r w:rsidR="003A54FD" w:rsidRPr="00DE3121">
        <w:rPr>
          <w:rStyle w:val="ParagraphChar"/>
        </w:rPr>
        <w:t>of States Parties to the 2003 Convention</w:t>
      </w:r>
      <w:r w:rsidRPr="00DE3121">
        <w:rPr>
          <w:rStyle w:val="ParagraphChar"/>
        </w:rPr>
        <w:t>. These actions w</w:t>
      </w:r>
      <w:r w:rsidR="002864EE" w:rsidRPr="00DE3121">
        <w:rPr>
          <w:rStyle w:val="ParagraphChar"/>
        </w:rPr>
        <w:t xml:space="preserve">ill </w:t>
      </w:r>
      <w:r w:rsidRPr="00DE3121">
        <w:rPr>
          <w:rStyle w:val="ParagraphChar"/>
        </w:rPr>
        <w:t xml:space="preserve">also be supported by the enhancement of </w:t>
      </w:r>
      <w:r w:rsidR="0057791F" w:rsidRPr="00DE3121">
        <w:rPr>
          <w:rStyle w:val="ParagraphChar"/>
        </w:rPr>
        <w:t xml:space="preserve">the necessary </w:t>
      </w:r>
      <w:r w:rsidR="009C5934" w:rsidRPr="00DE3121">
        <w:rPr>
          <w:rStyle w:val="ParagraphChar"/>
        </w:rPr>
        <w:t>web</w:t>
      </w:r>
      <w:r w:rsidRPr="00DE3121">
        <w:rPr>
          <w:rStyle w:val="ParagraphChar"/>
        </w:rPr>
        <w:t xml:space="preserve"> tools.</w:t>
      </w:r>
    </w:p>
    <w:p w14:paraId="6A4D6F71" w14:textId="69F252F5" w:rsidR="008737AC" w:rsidRPr="00DE3121" w:rsidRDefault="008737AC" w:rsidP="00D3305D">
      <w:pPr>
        <w:pStyle w:val="Heading4"/>
        <w:spacing w:before="360"/>
        <w:ind w:left="567" w:hanging="567"/>
      </w:pPr>
      <w:r w:rsidRPr="00DE3121">
        <w:t>OTHE</w:t>
      </w:r>
      <w:r w:rsidR="00D3305D">
        <w:t>R PROVISIONS AND DRAFT DECISION</w:t>
      </w:r>
    </w:p>
    <w:p w14:paraId="37B93717" w14:textId="51983F90" w:rsidR="008737AC" w:rsidRPr="0078363F" w:rsidRDefault="008737AC" w:rsidP="00466104">
      <w:pPr>
        <w:pStyle w:val="5GAparabodytext"/>
        <w:rPr>
          <w:rStyle w:val="hps"/>
          <w:rFonts w:cs="Times New Roman"/>
          <w:bCs w:val="0"/>
          <w:iCs w:val="0"/>
          <w:caps/>
          <w:snapToGrid w:val="0"/>
          <w:szCs w:val="24"/>
          <w:lang w:val="en-GB" w:eastAsia="en-US"/>
        </w:rPr>
      </w:pPr>
      <w:r w:rsidRPr="00DE3121">
        <w:t>In order to avoid interruptions or delays in execution, the Committee decided (</w:t>
      </w:r>
      <w:hyperlink r:id="rId14" w:history="1">
        <w:r w:rsidRPr="00DE3121">
          <w:rPr>
            <w:rStyle w:val="Hyperlink"/>
          </w:rPr>
          <w:t>Decision</w:t>
        </w:r>
        <w:r w:rsidR="00C96427" w:rsidRPr="00DE3121">
          <w:rPr>
            <w:rStyle w:val="Hyperlink"/>
          </w:rPr>
          <w:t> </w:t>
        </w:r>
        <w:r w:rsidRPr="00DE3121">
          <w:rPr>
            <w:rStyle w:val="Hyperlink"/>
          </w:rPr>
          <w:t>12.COM 7</w:t>
        </w:r>
      </w:hyperlink>
      <w:r w:rsidRPr="00DE3121">
        <w:t>) to authorize the Secretariat to make transfers between ERs included within the specific proposals approved by the Bureau up to a cumulative amount equivalent to 2</w:t>
      </w:r>
      <w:r w:rsidR="0057791F" w:rsidRPr="00DE3121">
        <w:t xml:space="preserve"> per cent </w:t>
      </w:r>
      <w:r w:rsidRPr="00DE3121">
        <w:t>of the initial total allocation proposed to the General Assembly for this purpose</w:t>
      </w:r>
      <w:r w:rsidR="003D2867" w:rsidRPr="00DE3121">
        <w:t xml:space="preserve">. This is </w:t>
      </w:r>
      <w:r w:rsidR="00D154B2" w:rsidRPr="00DE3121">
        <w:t>equivalent to US$8,590</w:t>
      </w:r>
      <w:r w:rsidRPr="00DE3121">
        <w:t>. The Secretariat would then inform the Bureau in writing, at the session following such action, of the details and reasons for such transfers. As decided by the Committee, any transfers larger than that amount would require the Bureau’s prior approval of a revised plan of expenditure.</w:t>
      </w:r>
    </w:p>
    <w:p w14:paraId="60B6ED33" w14:textId="77777777" w:rsidR="0057439C" w:rsidRPr="00DE3121" w:rsidRDefault="008737AC" w:rsidP="00466104">
      <w:pPr>
        <w:pStyle w:val="5GAparabodytext"/>
      </w:pPr>
      <w:r w:rsidRPr="00DE3121">
        <w:t xml:space="preserve">The </w:t>
      </w:r>
      <w:r w:rsidRPr="00DE3121">
        <w:rPr>
          <w:rFonts w:eastAsia="SimSun"/>
          <w:lang w:eastAsia="zh-CN"/>
        </w:rPr>
        <w:t xml:space="preserve">Bureau </w:t>
      </w:r>
      <w:r w:rsidRPr="00DE3121">
        <w:t>may wish to adopt the following decision:</w:t>
      </w:r>
    </w:p>
    <w:p w14:paraId="64B6A0A8" w14:textId="77777777" w:rsidR="00D95C4C" w:rsidRPr="00DE3121" w:rsidRDefault="004A34A0" w:rsidP="002D3C97">
      <w:pPr>
        <w:pStyle w:val="COMTitleDecision"/>
        <w:rPr>
          <w:rFonts w:eastAsia="SimSun"/>
        </w:rPr>
      </w:pPr>
      <w:r w:rsidRPr="00DE3121">
        <w:t xml:space="preserve">DRAFT </w:t>
      </w:r>
      <w:r w:rsidR="00CB0542" w:rsidRPr="00DE3121">
        <w:t>DECISION 1</w:t>
      </w:r>
      <w:r w:rsidR="002D3C97" w:rsidRPr="00DE3121">
        <w:t>4</w:t>
      </w:r>
      <w:r w:rsidR="00EC6F8D" w:rsidRPr="00DE3121">
        <w:t>.COM</w:t>
      </w:r>
      <w:r w:rsidR="00EC7479" w:rsidRPr="00DE3121">
        <w:rPr>
          <w:lang w:val="en-US"/>
        </w:rPr>
        <w:t> </w:t>
      </w:r>
      <w:r w:rsidR="00F52B55" w:rsidRPr="00DE3121">
        <w:rPr>
          <w:lang w:val="en-US"/>
        </w:rPr>
        <w:t>2</w:t>
      </w:r>
      <w:r w:rsidR="00EC7479" w:rsidRPr="00DE3121">
        <w:rPr>
          <w:lang w:val="en-US"/>
        </w:rPr>
        <w:t>.BUR</w:t>
      </w:r>
      <w:r w:rsidR="00D95C4C" w:rsidRPr="00DE3121">
        <w:t xml:space="preserve"> </w:t>
      </w:r>
      <w:r w:rsidR="00F52B55" w:rsidRPr="00DE3121">
        <w:t>3</w:t>
      </w:r>
    </w:p>
    <w:p w14:paraId="4D3E32C9" w14:textId="77777777" w:rsidR="00D95C4C" w:rsidRPr="00DE3121" w:rsidRDefault="00285BB4" w:rsidP="00285BB4">
      <w:pPr>
        <w:pStyle w:val="COMPreambulaDecisions"/>
        <w:rPr>
          <w:rFonts w:eastAsia="SimSun"/>
        </w:rPr>
      </w:pPr>
      <w:r w:rsidRPr="00DE3121">
        <w:t xml:space="preserve">The </w:t>
      </w:r>
      <w:r w:rsidR="00EC7479" w:rsidRPr="00DE3121">
        <w:t>Bureau</w:t>
      </w:r>
      <w:r w:rsidRPr="00DE3121">
        <w:t>,</w:t>
      </w:r>
    </w:p>
    <w:p w14:paraId="662F161E" w14:textId="0C34D029" w:rsidR="00992CD1" w:rsidRPr="00DE3121" w:rsidRDefault="00D95C4C" w:rsidP="00870FD2">
      <w:pPr>
        <w:pStyle w:val="COMParaDecision"/>
      </w:pPr>
      <w:r w:rsidRPr="00DE3121">
        <w:t>Having examined</w:t>
      </w:r>
      <w:r w:rsidRPr="00DE3121">
        <w:rPr>
          <w:u w:val="none"/>
        </w:rPr>
        <w:t xml:space="preserve"> doc</w:t>
      </w:r>
      <w:r w:rsidR="00CB0542" w:rsidRPr="00DE3121">
        <w:rPr>
          <w:u w:val="none"/>
        </w:rPr>
        <w:t xml:space="preserve">ument </w:t>
      </w:r>
      <w:r w:rsidR="002D3C97" w:rsidRPr="00DE3121">
        <w:rPr>
          <w:u w:val="none"/>
        </w:rPr>
        <w:t>LHE</w:t>
      </w:r>
      <w:r w:rsidR="00CB0542" w:rsidRPr="00DE3121">
        <w:rPr>
          <w:u w:val="none"/>
        </w:rPr>
        <w:t>/1</w:t>
      </w:r>
      <w:r w:rsidR="002D3C97" w:rsidRPr="00DE3121">
        <w:rPr>
          <w:u w:val="none"/>
        </w:rPr>
        <w:t>9</w:t>
      </w:r>
      <w:r w:rsidR="00337CEB" w:rsidRPr="00DE3121">
        <w:rPr>
          <w:u w:val="none"/>
        </w:rPr>
        <w:t>/1</w:t>
      </w:r>
      <w:r w:rsidR="002D3C97" w:rsidRPr="00DE3121">
        <w:rPr>
          <w:u w:val="none"/>
        </w:rPr>
        <w:t>4</w:t>
      </w:r>
      <w:r w:rsidR="00EC6F8D" w:rsidRPr="00DE3121">
        <w:rPr>
          <w:u w:val="none"/>
        </w:rPr>
        <w:t>.COM</w:t>
      </w:r>
      <w:r w:rsidR="00EC7479" w:rsidRPr="00DE3121">
        <w:rPr>
          <w:u w:val="none"/>
          <w:lang w:val="en-US"/>
        </w:rPr>
        <w:t> </w:t>
      </w:r>
      <w:r w:rsidR="00F52B55" w:rsidRPr="00DE3121">
        <w:rPr>
          <w:u w:val="none"/>
          <w:lang w:val="en-US"/>
        </w:rPr>
        <w:t>2</w:t>
      </w:r>
      <w:r w:rsidR="00EC7479" w:rsidRPr="00DE3121">
        <w:rPr>
          <w:u w:val="none"/>
          <w:lang w:val="en-US"/>
        </w:rPr>
        <w:t>.BUR</w:t>
      </w:r>
      <w:r w:rsidR="004A34A0" w:rsidRPr="00DE3121">
        <w:rPr>
          <w:u w:val="none"/>
        </w:rPr>
        <w:t>/</w:t>
      </w:r>
      <w:r w:rsidR="00F52B55" w:rsidRPr="00DE3121">
        <w:rPr>
          <w:u w:val="none"/>
        </w:rPr>
        <w:t>3</w:t>
      </w:r>
      <w:r w:rsidR="00992CD1" w:rsidRPr="00DE3121">
        <w:rPr>
          <w:u w:val="none"/>
        </w:rPr>
        <w:t xml:space="preserve"> and its annex </w:t>
      </w:r>
      <w:r w:rsidR="0057791F" w:rsidRPr="00DE3121">
        <w:rPr>
          <w:u w:val="none"/>
        </w:rPr>
        <w:t xml:space="preserve">as well as </w:t>
      </w:r>
      <w:r w:rsidR="00992CD1" w:rsidRPr="00DE3121">
        <w:rPr>
          <w:u w:val="none"/>
        </w:rPr>
        <w:t>document </w:t>
      </w:r>
      <w:r w:rsidR="006D57EA" w:rsidRPr="00DE3121">
        <w:rPr>
          <w:u w:val="none"/>
        </w:rPr>
        <w:t>LHE</w:t>
      </w:r>
      <w:r w:rsidR="00D3305D">
        <w:rPr>
          <w:u w:val="none"/>
        </w:rPr>
        <w:t>/19/14.COM 2.BUR/INF.3,</w:t>
      </w:r>
    </w:p>
    <w:p w14:paraId="37707994" w14:textId="3786BD52" w:rsidR="00992CD1" w:rsidRPr="00DE3121" w:rsidRDefault="00992CD1" w:rsidP="00992CD1">
      <w:pPr>
        <w:pStyle w:val="COMParaDecision"/>
        <w:rPr>
          <w:u w:val="none"/>
        </w:rPr>
      </w:pPr>
      <w:r w:rsidRPr="00DE3121">
        <w:t>Approves</w:t>
      </w:r>
      <w:r w:rsidRPr="00DE3121">
        <w:rPr>
          <w:u w:val="none"/>
        </w:rPr>
        <w:t xml:space="preserve"> the Proposal for the utilization of the funds for ‘Other functions of the Committee’</w:t>
      </w:r>
      <w:r w:rsidR="0057791F" w:rsidRPr="00DE3121">
        <w:rPr>
          <w:u w:val="none"/>
        </w:rPr>
        <w:t>,</w:t>
      </w:r>
      <w:r w:rsidRPr="00DE3121">
        <w:rPr>
          <w:u w:val="none"/>
        </w:rPr>
        <w:t xml:space="preserve"> as annexed to this Decision;</w:t>
      </w:r>
    </w:p>
    <w:p w14:paraId="70F50631" w14:textId="2CB0C0C9" w:rsidR="00992CD1" w:rsidRPr="00DE3121" w:rsidRDefault="00992CD1" w:rsidP="00992CD1">
      <w:pPr>
        <w:pStyle w:val="COMParaDecision"/>
        <w:rPr>
          <w:u w:val="none"/>
        </w:rPr>
      </w:pPr>
      <w:r w:rsidRPr="00DE3121">
        <w:t>Requests</w:t>
      </w:r>
      <w:r w:rsidRPr="00DE3121">
        <w:rPr>
          <w:u w:val="none"/>
        </w:rPr>
        <w:t xml:space="preserve"> that the Secretariat report on the implementation </w:t>
      </w:r>
      <w:r w:rsidR="0057791F" w:rsidRPr="00DE3121">
        <w:rPr>
          <w:u w:val="none"/>
        </w:rPr>
        <w:t xml:space="preserve">progress </w:t>
      </w:r>
      <w:r w:rsidRPr="00DE3121">
        <w:rPr>
          <w:u w:val="none"/>
        </w:rPr>
        <w:t xml:space="preserve">and the way </w:t>
      </w:r>
      <w:r w:rsidR="0057791F" w:rsidRPr="00DE3121">
        <w:rPr>
          <w:u w:val="none"/>
        </w:rPr>
        <w:t xml:space="preserve">in which </w:t>
      </w:r>
      <w:r w:rsidRPr="00DE3121">
        <w:rPr>
          <w:u w:val="none"/>
        </w:rPr>
        <w:t>the funds are spent;</w:t>
      </w:r>
    </w:p>
    <w:p w14:paraId="02FB876E" w14:textId="77777777" w:rsidR="00992CD1" w:rsidRPr="00DE3121" w:rsidRDefault="00992CD1" w:rsidP="00992CD1">
      <w:pPr>
        <w:pStyle w:val="COMParaDecision"/>
        <w:rPr>
          <w:u w:val="none"/>
        </w:rPr>
      </w:pPr>
      <w:r w:rsidRPr="00DE3121">
        <w:t>Invites</w:t>
      </w:r>
      <w:r w:rsidRPr="00DE3121">
        <w:rPr>
          <w:u w:val="none"/>
        </w:rPr>
        <w:t xml:space="preserve"> the Chairperson of the Committee to bring this decision to the attention of the Committee at its fourteenth session.</w:t>
      </w:r>
    </w:p>
    <w:p w14:paraId="26AB4DC3" w14:textId="77777777" w:rsidR="009B07D4" w:rsidRDefault="009B07D4" w:rsidP="001F26CF">
      <w:pPr>
        <w:pStyle w:val="COMParaDecision"/>
        <w:numPr>
          <w:ilvl w:val="0"/>
          <w:numId w:val="0"/>
        </w:numPr>
        <w:jc w:val="left"/>
      </w:pPr>
    </w:p>
    <w:p w14:paraId="14D2E6D1" w14:textId="77777777" w:rsidR="009B07D4" w:rsidRPr="00696A00" w:rsidRDefault="009B07D4" w:rsidP="009B07D4">
      <w:pPr>
        <w:pStyle w:val="Marge"/>
        <w:pageBreakBefore/>
        <w:tabs>
          <w:tab w:val="clear" w:pos="567"/>
        </w:tabs>
        <w:spacing w:before="120" w:after="120"/>
        <w:jc w:val="center"/>
        <w:rPr>
          <w:rFonts w:cs="Arial"/>
          <w:b/>
          <w:bCs/>
          <w:szCs w:val="22"/>
          <w:lang w:val="en-GB"/>
        </w:rPr>
      </w:pPr>
      <w:r w:rsidRPr="00696A00">
        <w:rPr>
          <w:rFonts w:cs="Arial"/>
          <w:b/>
          <w:bCs/>
          <w:szCs w:val="22"/>
          <w:lang w:val="en-GB"/>
        </w:rPr>
        <w:lastRenderedPageBreak/>
        <w:t>ANNEX</w:t>
      </w:r>
    </w:p>
    <w:p w14:paraId="79EDA382" w14:textId="77777777" w:rsidR="009B07D4" w:rsidRPr="00696A00" w:rsidRDefault="009B07D4" w:rsidP="009B07D4">
      <w:pPr>
        <w:pStyle w:val="Marge"/>
        <w:tabs>
          <w:tab w:val="clear" w:pos="567"/>
        </w:tabs>
        <w:spacing w:before="120" w:after="120"/>
        <w:jc w:val="center"/>
        <w:rPr>
          <w:rFonts w:cs="Arial"/>
          <w:b/>
          <w:bCs/>
          <w:szCs w:val="22"/>
          <w:lang w:val="en-GB"/>
        </w:rPr>
      </w:pPr>
      <w:r w:rsidRPr="00696A00">
        <w:rPr>
          <w:rFonts w:cs="Arial"/>
          <w:b/>
          <w:bCs/>
          <w:szCs w:val="22"/>
          <w:lang w:val="en-GB"/>
        </w:rPr>
        <w:t>Proposal for the utilization of the funds for ‘</w:t>
      </w:r>
      <w:r>
        <w:rPr>
          <w:rFonts w:cs="Arial"/>
          <w:b/>
          <w:bCs/>
          <w:szCs w:val="22"/>
          <w:lang w:val="en-GB"/>
        </w:rPr>
        <w:t>O</w:t>
      </w:r>
      <w:r w:rsidRPr="00696A00">
        <w:rPr>
          <w:rFonts w:cs="Arial"/>
          <w:b/>
          <w:bCs/>
          <w:szCs w:val="22"/>
          <w:lang w:val="en-GB"/>
        </w:rPr>
        <w:t>ther functions of the Committee’</w:t>
      </w:r>
      <w:r>
        <w:rPr>
          <w:rFonts w:cs="Arial"/>
          <w:b/>
          <w:bCs/>
          <w:szCs w:val="22"/>
          <w:lang w:val="en-GB"/>
        </w:rPr>
        <w:br/>
        <w:t>for the period</w:t>
      </w:r>
      <w:r w:rsidRPr="00696A00">
        <w:rPr>
          <w:rFonts w:cs="Arial"/>
          <w:b/>
          <w:bCs/>
          <w:szCs w:val="22"/>
          <w:lang w:val="en-GB"/>
        </w:rPr>
        <w:t xml:space="preserve"> 1 January</w:t>
      </w:r>
      <w:r>
        <w:rPr>
          <w:rFonts w:cs="Arial"/>
          <w:b/>
          <w:bCs/>
          <w:szCs w:val="22"/>
          <w:lang w:val="en-GB"/>
        </w:rPr>
        <w:t> 2020</w:t>
      </w:r>
      <w:r w:rsidRPr="00696A00">
        <w:rPr>
          <w:rFonts w:cs="Arial"/>
          <w:b/>
          <w:bCs/>
          <w:szCs w:val="22"/>
          <w:lang w:val="en-GB"/>
        </w:rPr>
        <w:t xml:space="preserve"> to 3</w:t>
      </w:r>
      <w:r>
        <w:rPr>
          <w:rFonts w:cs="Arial"/>
          <w:b/>
          <w:bCs/>
          <w:szCs w:val="22"/>
          <w:lang w:val="en-GB"/>
        </w:rPr>
        <w:t>0 June 2020</w:t>
      </w:r>
    </w:p>
    <w:p w14:paraId="2CA6AC49" w14:textId="43DEA958" w:rsidR="009B07D4" w:rsidRPr="00696A00" w:rsidRDefault="0057791F" w:rsidP="009B07D4">
      <w:pPr>
        <w:pStyle w:val="Marge"/>
        <w:spacing w:before="360" w:after="360"/>
        <w:rPr>
          <w:rFonts w:cs="Arial"/>
          <w:szCs w:val="22"/>
          <w:lang w:val="en-GB"/>
        </w:rPr>
      </w:pPr>
      <w:r>
        <w:rPr>
          <w:rFonts w:cs="Arial"/>
          <w:szCs w:val="22"/>
          <w:lang w:val="en-GB"/>
        </w:rPr>
        <w:t>The f</w:t>
      </w:r>
      <w:r w:rsidRPr="00696A00">
        <w:rPr>
          <w:rFonts w:cs="Arial"/>
          <w:szCs w:val="22"/>
          <w:lang w:val="en-GB"/>
        </w:rPr>
        <w:t xml:space="preserve">unds </w:t>
      </w:r>
      <w:r w:rsidR="009B07D4" w:rsidRPr="00696A00">
        <w:rPr>
          <w:rFonts w:cs="Arial"/>
          <w:szCs w:val="22"/>
          <w:lang w:val="en-GB"/>
        </w:rPr>
        <w:t xml:space="preserve">shall be used in conformity with the Financial Regulations of the Special Account for the Fund for the Safeguarding of the Intangible Cultural Heritage and the Financial Regulations of UNESCO to cover all costs in line with </w:t>
      </w:r>
      <w:r>
        <w:rPr>
          <w:rFonts w:cs="Arial"/>
          <w:szCs w:val="22"/>
          <w:lang w:val="en-GB"/>
        </w:rPr>
        <w:t xml:space="preserve">the </w:t>
      </w:r>
      <w:r w:rsidR="009B07D4" w:rsidRPr="00696A00">
        <w:rPr>
          <w:rFonts w:cs="Arial"/>
          <w:szCs w:val="22"/>
          <w:lang w:val="en-GB"/>
        </w:rPr>
        <w:t xml:space="preserve">full budgeting principles to achieve the </w:t>
      </w:r>
      <w:r>
        <w:rPr>
          <w:rFonts w:cs="Arial"/>
          <w:szCs w:val="22"/>
          <w:lang w:val="en-GB"/>
        </w:rPr>
        <w:t xml:space="preserve">objectives of the </w:t>
      </w:r>
      <w:r w:rsidR="009B07D4" w:rsidRPr="00696A00">
        <w:rPr>
          <w:rFonts w:cs="Arial"/>
          <w:szCs w:val="22"/>
          <w:lang w:val="en-GB"/>
        </w:rPr>
        <w:t>project. These costs include</w:t>
      </w:r>
      <w:r w:rsidR="009B07D4">
        <w:rPr>
          <w:rFonts w:cs="Arial"/>
          <w:szCs w:val="22"/>
          <w:lang w:val="en-GB"/>
        </w:rPr>
        <w:t>:</w:t>
      </w:r>
      <w:r w:rsidR="009B07D4" w:rsidRPr="00696A00">
        <w:rPr>
          <w:rFonts w:cs="Arial"/>
          <w:szCs w:val="22"/>
          <w:lang w:val="en-GB"/>
        </w:rPr>
        <w:t xml:space="preserve"> training, seminars and meetings; </w:t>
      </w:r>
      <w:r w:rsidR="009B07D4">
        <w:rPr>
          <w:rFonts w:cs="Arial"/>
          <w:szCs w:val="22"/>
          <w:lang w:val="en-GB"/>
        </w:rPr>
        <w:t xml:space="preserve">the </w:t>
      </w:r>
      <w:r w:rsidR="009B07D4" w:rsidRPr="00696A00">
        <w:rPr>
          <w:rFonts w:cs="Arial"/>
          <w:szCs w:val="22"/>
          <w:lang w:val="en-GB"/>
        </w:rPr>
        <w:t>preparation of technical reports; monitoring and evaluation; subcontracts; staff; travel; equipment</w:t>
      </w:r>
      <w:r w:rsidR="009B07D4">
        <w:rPr>
          <w:rFonts w:cs="Arial"/>
          <w:szCs w:val="22"/>
          <w:lang w:val="en-GB"/>
        </w:rPr>
        <w:t>;</w:t>
      </w:r>
      <w:r w:rsidR="009B07D4" w:rsidRPr="00696A00">
        <w:rPr>
          <w:rFonts w:cs="Arial"/>
          <w:szCs w:val="22"/>
          <w:lang w:val="en-GB"/>
        </w:rPr>
        <w:t xml:space="preserve"> and any other item necessary to implement the activities</w:t>
      </w:r>
      <w:r>
        <w:rPr>
          <w:rFonts w:cs="Arial"/>
          <w:szCs w:val="22"/>
          <w:lang w:val="en-GB"/>
        </w:rPr>
        <w:t xml:space="preserve"> of the project</w:t>
      </w:r>
      <w:r w:rsidR="009B07D4" w:rsidRPr="00696A00">
        <w:rPr>
          <w:rFonts w:cs="Arial"/>
          <w:szCs w:val="22"/>
          <w:lang w:val="en-GB"/>
        </w:rPr>
        <w:t>.</w:t>
      </w:r>
    </w:p>
    <w:tbl>
      <w:tblPr>
        <w:tblStyle w:val="TableGrid"/>
        <w:tblW w:w="5000" w:type="pct"/>
        <w:tblLayout w:type="fixed"/>
        <w:tblLook w:val="04A0" w:firstRow="1" w:lastRow="0" w:firstColumn="1" w:lastColumn="0" w:noHBand="0" w:noVBand="1"/>
      </w:tblPr>
      <w:tblGrid>
        <w:gridCol w:w="2263"/>
        <w:gridCol w:w="7365"/>
      </w:tblGrid>
      <w:tr w:rsidR="009B07D4" w:rsidRPr="00696A00" w14:paraId="09536104" w14:textId="77777777" w:rsidTr="00C96427">
        <w:trPr>
          <w:cantSplit/>
        </w:trPr>
        <w:tc>
          <w:tcPr>
            <w:tcW w:w="1175" w:type="pct"/>
            <w:shd w:val="clear" w:color="auto" w:fill="F2F2F2" w:themeFill="background1" w:themeFillShade="F2"/>
            <w:vAlign w:val="center"/>
          </w:tcPr>
          <w:p w14:paraId="112C4251" w14:textId="77777777" w:rsidR="009B07D4" w:rsidRPr="00696A00" w:rsidRDefault="009B07D4" w:rsidP="00C96427">
            <w:pPr>
              <w:keepNext/>
              <w:spacing w:before="120" w:after="120"/>
              <w:rPr>
                <w:rFonts w:ascii="Arial" w:hAnsi="Arial" w:cs="Arial"/>
                <w:b/>
                <w:bCs/>
                <w:sz w:val="22"/>
                <w:szCs w:val="22"/>
                <w:lang w:val="en-GB"/>
              </w:rPr>
            </w:pPr>
          </w:p>
        </w:tc>
        <w:tc>
          <w:tcPr>
            <w:tcW w:w="3825" w:type="pct"/>
            <w:shd w:val="clear" w:color="auto" w:fill="F2F2F2" w:themeFill="background1" w:themeFillShade="F2"/>
            <w:vAlign w:val="center"/>
          </w:tcPr>
          <w:p w14:paraId="69F8D013" w14:textId="22F1381E" w:rsidR="009B07D4" w:rsidRPr="00696A00" w:rsidRDefault="009B07D4" w:rsidP="00C96427">
            <w:pPr>
              <w:keepNext/>
              <w:spacing w:before="120" w:after="120"/>
              <w:rPr>
                <w:rFonts w:ascii="Arial" w:hAnsi="Arial" w:cs="Arial"/>
                <w:b/>
                <w:bCs/>
                <w:sz w:val="22"/>
                <w:szCs w:val="22"/>
                <w:lang w:val="en-GB"/>
              </w:rPr>
            </w:pPr>
            <w:r w:rsidRPr="00696A00">
              <w:rPr>
                <w:rFonts w:ascii="Arial" w:hAnsi="Arial" w:cs="Arial"/>
                <w:b/>
                <w:bCs/>
                <w:sz w:val="22"/>
                <w:szCs w:val="22"/>
                <w:lang w:val="en-GB"/>
              </w:rPr>
              <w:t>Total budgetary allocation:</w:t>
            </w:r>
            <w:r w:rsidRPr="00696A00">
              <w:rPr>
                <w:rFonts w:ascii="Arial" w:hAnsi="Arial" w:cs="Arial"/>
                <w:b/>
                <w:bCs/>
                <w:sz w:val="22"/>
                <w:szCs w:val="22"/>
                <w:lang w:val="en-GB"/>
              </w:rPr>
              <w:br/>
              <w:t>US$</w:t>
            </w:r>
            <w:r>
              <w:rPr>
                <w:rFonts w:ascii="Arial" w:hAnsi="Arial" w:cs="Arial"/>
                <w:b/>
                <w:bCs/>
                <w:sz w:val="22"/>
                <w:szCs w:val="22"/>
                <w:lang w:val="en-GB"/>
              </w:rPr>
              <w:t>429,54</w:t>
            </w:r>
            <w:r w:rsidR="00D3305D">
              <w:rPr>
                <w:rFonts w:ascii="Arial" w:hAnsi="Arial" w:cs="Arial"/>
                <w:b/>
                <w:bCs/>
                <w:sz w:val="22"/>
                <w:szCs w:val="22"/>
                <w:lang w:val="en-GB"/>
              </w:rPr>
              <w:t>6</w:t>
            </w:r>
          </w:p>
        </w:tc>
      </w:tr>
    </w:tbl>
    <w:p w14:paraId="5EBD9072" w14:textId="77777777" w:rsidR="009B07D4" w:rsidRPr="00870FD2" w:rsidRDefault="009B07D4" w:rsidP="00497791">
      <w:pPr>
        <w:pStyle w:val="Marge"/>
        <w:spacing w:after="0"/>
        <w:rPr>
          <w:rFonts w:cs="Arial"/>
          <w:szCs w:val="22"/>
          <w:lang w:val="en-GB"/>
        </w:rPr>
      </w:pPr>
    </w:p>
    <w:tbl>
      <w:tblPr>
        <w:tblStyle w:val="TableGrid"/>
        <w:tblW w:w="5002" w:type="pct"/>
        <w:tblLook w:val="04A0" w:firstRow="1" w:lastRow="0" w:firstColumn="1" w:lastColumn="0" w:noHBand="0" w:noVBand="1"/>
      </w:tblPr>
      <w:tblGrid>
        <w:gridCol w:w="730"/>
        <w:gridCol w:w="1558"/>
        <w:gridCol w:w="2888"/>
        <w:gridCol w:w="4456"/>
      </w:tblGrid>
      <w:tr w:rsidR="009B07D4" w:rsidRPr="0078363F" w14:paraId="39BC1EE4" w14:textId="77777777" w:rsidTr="00C96427">
        <w:trPr>
          <w:cantSplit/>
        </w:trPr>
        <w:tc>
          <w:tcPr>
            <w:tcW w:w="1188" w:type="pct"/>
            <w:gridSpan w:val="2"/>
            <w:shd w:val="clear" w:color="auto" w:fill="808080" w:themeFill="background1" w:themeFillShade="80"/>
            <w:vAlign w:val="center"/>
          </w:tcPr>
          <w:p w14:paraId="295B55E2" w14:textId="2DE81E1A" w:rsidR="009B07D4" w:rsidRPr="00696A00" w:rsidRDefault="00AB1432" w:rsidP="00C96427">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39</w:t>
            </w:r>
            <w:r w:rsidR="009B07D4" w:rsidRPr="00696A00">
              <w:rPr>
                <w:rFonts w:ascii="Arial" w:hAnsi="Arial" w:cs="Arial"/>
                <w:b/>
                <w:bCs/>
                <w:color w:val="FFFFFF" w:themeColor="background1"/>
                <w:sz w:val="22"/>
                <w:szCs w:val="22"/>
                <w:lang w:val="en-GB"/>
              </w:rPr>
              <w:t>C/5 Performance Indicator 1</w:t>
            </w:r>
          </w:p>
        </w:tc>
        <w:tc>
          <w:tcPr>
            <w:tcW w:w="3812" w:type="pct"/>
            <w:gridSpan w:val="2"/>
            <w:shd w:val="clear" w:color="auto" w:fill="808080" w:themeFill="background1" w:themeFillShade="80"/>
            <w:vAlign w:val="center"/>
          </w:tcPr>
          <w:p w14:paraId="2FFA8B3B" w14:textId="3CD797F3" w:rsidR="009B07D4" w:rsidRPr="00696A00" w:rsidRDefault="00AB1432" w:rsidP="00C96427">
            <w:pPr>
              <w:keepNext/>
              <w:spacing w:before="120" w:after="120"/>
              <w:rPr>
                <w:rFonts w:ascii="Arial" w:hAnsi="Arial" w:cs="Arial"/>
                <w:b/>
                <w:bCs/>
                <w:color w:val="FFFFFF" w:themeColor="background1"/>
                <w:sz w:val="22"/>
                <w:szCs w:val="22"/>
                <w:lang w:val="en-GB"/>
              </w:rPr>
            </w:pPr>
            <w:r w:rsidRPr="00AB1432">
              <w:rPr>
                <w:rFonts w:ascii="Arial" w:hAnsi="Arial" w:cs="Arial"/>
                <w:b/>
                <w:bCs/>
                <w:color w:val="FFFFFF" w:themeColor="background1"/>
                <w:sz w:val="22"/>
                <w:szCs w:val="22"/>
                <w:lang w:val="en-GB"/>
              </w:rPr>
              <w:t>Sound governance exercised through the adoption and implementation of strategic resolutions/decisions of the governing bodies of the 2003 Convention</w:t>
            </w:r>
          </w:p>
        </w:tc>
      </w:tr>
      <w:tr w:rsidR="009B07D4" w:rsidRPr="0078363F" w14:paraId="7EA8A7A9" w14:textId="77777777" w:rsidTr="00870FD2">
        <w:trPr>
          <w:cantSplit/>
          <w:trHeight w:val="794"/>
        </w:trPr>
        <w:tc>
          <w:tcPr>
            <w:tcW w:w="1188" w:type="pct"/>
            <w:gridSpan w:val="2"/>
            <w:vMerge w:val="restart"/>
            <w:shd w:val="clear" w:color="auto" w:fill="F2F2F2" w:themeFill="background1" w:themeFillShade="F2"/>
            <w:vAlign w:val="center"/>
          </w:tcPr>
          <w:p w14:paraId="111A2DEE" w14:textId="64DAB3C2" w:rsidR="009B07D4" w:rsidRPr="00696A00" w:rsidRDefault="009B07D4">
            <w:pPr>
              <w:keepNext/>
              <w:spacing w:before="60" w:after="60"/>
              <w:rPr>
                <w:rFonts w:ascii="Arial" w:hAnsi="Arial" w:cs="Arial"/>
                <w:b/>
                <w:bCs/>
                <w:sz w:val="22"/>
                <w:szCs w:val="22"/>
                <w:lang w:val="en-GB"/>
              </w:rPr>
            </w:pPr>
            <w:r w:rsidRPr="00870FD2">
              <w:rPr>
                <w:rFonts w:ascii="Arial" w:hAnsi="Arial" w:cs="Arial"/>
                <w:b/>
                <w:bCs/>
                <w:sz w:val="22"/>
                <w:szCs w:val="22"/>
                <w:lang w:val="en-GB"/>
              </w:rPr>
              <w:t>ICH Fund</w:t>
            </w:r>
            <w:r w:rsidR="00F159D7" w:rsidRPr="00F159D7">
              <w:rPr>
                <w:rFonts w:ascii="Arial" w:hAnsi="Arial" w:cs="Arial"/>
                <w:b/>
                <w:bCs/>
                <w:sz w:val="22"/>
                <w:szCs w:val="22"/>
                <w:lang w:val="en-GB"/>
              </w:rPr>
              <w:t xml:space="preserve"> – Budget Line 3</w:t>
            </w:r>
            <w:r w:rsidRPr="00870FD2">
              <w:rPr>
                <w:rFonts w:ascii="Arial" w:hAnsi="Arial" w:cs="Arial"/>
                <w:b/>
                <w:bCs/>
                <w:sz w:val="22"/>
                <w:szCs w:val="22"/>
                <w:lang w:val="en-GB"/>
              </w:rPr>
              <w:t xml:space="preserve"> </w:t>
            </w:r>
            <w:r w:rsidR="00F159D7" w:rsidRPr="00F159D7">
              <w:rPr>
                <w:rFonts w:ascii="Arial" w:hAnsi="Arial" w:cs="Arial"/>
                <w:b/>
                <w:bCs/>
                <w:sz w:val="22"/>
                <w:szCs w:val="22"/>
                <w:lang w:val="en-GB"/>
              </w:rPr>
              <w:br/>
            </w:r>
            <w:r w:rsidRPr="00870FD2">
              <w:rPr>
                <w:rFonts w:ascii="Arial" w:hAnsi="Arial" w:cs="Arial"/>
                <w:b/>
                <w:bCs/>
                <w:sz w:val="22"/>
                <w:szCs w:val="22"/>
                <w:lang w:val="en-GB"/>
              </w:rPr>
              <w:t>Expected Result 1</w:t>
            </w:r>
          </w:p>
        </w:tc>
        <w:tc>
          <w:tcPr>
            <w:tcW w:w="3812" w:type="pct"/>
            <w:gridSpan w:val="2"/>
            <w:shd w:val="clear" w:color="auto" w:fill="F2F2F2" w:themeFill="background1" w:themeFillShade="F2"/>
            <w:vAlign w:val="center"/>
          </w:tcPr>
          <w:p w14:paraId="3460BFBE" w14:textId="77777777" w:rsidR="009B07D4" w:rsidRPr="00696A00" w:rsidRDefault="009B07D4" w:rsidP="00C96427">
            <w:pPr>
              <w:keepNext/>
              <w:spacing w:before="60" w:after="60"/>
              <w:rPr>
                <w:rFonts w:ascii="Arial" w:hAnsi="Arial" w:cs="Arial"/>
                <w:b/>
                <w:bCs/>
                <w:sz w:val="22"/>
                <w:szCs w:val="22"/>
                <w:lang w:val="en-GB"/>
              </w:rPr>
            </w:pPr>
            <w:r w:rsidRPr="00696A00">
              <w:rPr>
                <w:rFonts w:ascii="Arial" w:hAnsi="Arial" w:cs="Arial"/>
                <w:b/>
                <w:bCs/>
                <w:sz w:val="22"/>
                <w:szCs w:val="22"/>
                <w:lang w:val="en-GB"/>
              </w:rPr>
              <w:t xml:space="preserve">Sound governance of the 2003 Convention facilitated by enhanced </w:t>
            </w:r>
            <w:r w:rsidRPr="00656462">
              <w:rPr>
                <w:rFonts w:ascii="Arial" w:hAnsi="Arial" w:cs="Arial"/>
                <w:b/>
                <w:bCs/>
                <w:sz w:val="22"/>
                <w:szCs w:val="22"/>
                <w:lang w:val="en-GB"/>
              </w:rPr>
              <w:t>monitoring</w:t>
            </w:r>
            <w:r>
              <w:rPr>
                <w:rFonts w:ascii="Arial" w:hAnsi="Arial" w:cs="Arial"/>
                <w:b/>
                <w:bCs/>
                <w:sz w:val="22"/>
                <w:szCs w:val="22"/>
                <w:lang w:val="en-GB"/>
              </w:rPr>
              <w:t xml:space="preserve"> and </w:t>
            </w:r>
            <w:r w:rsidRPr="00696A00">
              <w:rPr>
                <w:rFonts w:ascii="Arial" w:hAnsi="Arial" w:cs="Arial"/>
                <w:b/>
                <w:bCs/>
                <w:sz w:val="22"/>
                <w:szCs w:val="22"/>
                <w:lang w:val="en-GB"/>
              </w:rPr>
              <w:t>knowledge management services</w:t>
            </w:r>
          </w:p>
        </w:tc>
      </w:tr>
      <w:tr w:rsidR="009B07D4" w:rsidRPr="00E4227D" w14:paraId="2DBB624D" w14:textId="77777777" w:rsidTr="00C96427">
        <w:trPr>
          <w:cantSplit/>
        </w:trPr>
        <w:tc>
          <w:tcPr>
            <w:tcW w:w="1188" w:type="pct"/>
            <w:gridSpan w:val="2"/>
            <w:vMerge/>
            <w:shd w:val="clear" w:color="auto" w:fill="auto"/>
            <w:vAlign w:val="center"/>
          </w:tcPr>
          <w:p w14:paraId="2734F977" w14:textId="77777777" w:rsidR="009B07D4" w:rsidRPr="00696A00" w:rsidRDefault="009B07D4" w:rsidP="00C96427">
            <w:pPr>
              <w:keepNext/>
              <w:spacing w:before="60" w:after="60"/>
              <w:rPr>
                <w:rFonts w:ascii="Arial" w:hAnsi="Arial" w:cs="Arial"/>
                <w:b/>
                <w:bCs/>
                <w:sz w:val="22"/>
                <w:szCs w:val="22"/>
                <w:lang w:val="en-GB"/>
              </w:rPr>
            </w:pPr>
          </w:p>
        </w:tc>
        <w:tc>
          <w:tcPr>
            <w:tcW w:w="3812" w:type="pct"/>
            <w:gridSpan w:val="2"/>
            <w:shd w:val="clear" w:color="auto" w:fill="F2F2F2" w:themeFill="background1" w:themeFillShade="F2"/>
            <w:vAlign w:val="center"/>
          </w:tcPr>
          <w:p w14:paraId="36531E3A" w14:textId="35ED0A36" w:rsidR="009B07D4" w:rsidRPr="00696A00" w:rsidRDefault="009B07D4">
            <w:pPr>
              <w:keepNext/>
              <w:spacing w:before="60" w:after="60"/>
              <w:rPr>
                <w:rFonts w:ascii="Arial" w:hAnsi="Arial" w:cs="Arial"/>
                <w:b/>
                <w:bCs/>
                <w:sz w:val="22"/>
                <w:szCs w:val="22"/>
                <w:lang w:val="en-GB"/>
              </w:rPr>
            </w:pPr>
            <w:r w:rsidRPr="00696A00">
              <w:rPr>
                <w:rFonts w:ascii="Arial" w:hAnsi="Arial" w:cs="Arial"/>
                <w:b/>
                <w:bCs/>
                <w:sz w:val="22"/>
                <w:szCs w:val="22"/>
                <w:lang w:val="en-GB"/>
              </w:rPr>
              <w:t xml:space="preserve">Budgetary allocation: </w:t>
            </w:r>
            <w:r w:rsidRPr="00C06F15">
              <w:rPr>
                <w:rFonts w:ascii="Arial" w:hAnsi="Arial" w:cs="Arial"/>
                <w:b/>
                <w:bCs/>
                <w:sz w:val="22"/>
                <w:szCs w:val="22"/>
                <w:lang w:val="en-GB"/>
              </w:rPr>
              <w:t>US$</w:t>
            </w:r>
            <w:r w:rsidR="000F65F0">
              <w:rPr>
                <w:rFonts w:ascii="Arial" w:hAnsi="Arial" w:cs="Arial"/>
                <w:b/>
                <w:bCs/>
                <w:sz w:val="22"/>
                <w:szCs w:val="22"/>
                <w:lang w:val="en-GB"/>
              </w:rPr>
              <w:t>97,18</w:t>
            </w:r>
            <w:r w:rsidR="00AB1432">
              <w:rPr>
                <w:rFonts w:ascii="Arial" w:hAnsi="Arial" w:cs="Arial"/>
                <w:b/>
                <w:bCs/>
                <w:sz w:val="22"/>
                <w:szCs w:val="22"/>
                <w:lang w:val="en-GB"/>
              </w:rPr>
              <w:t>7</w:t>
            </w:r>
          </w:p>
        </w:tc>
      </w:tr>
      <w:tr w:rsidR="009B07D4" w:rsidRPr="0078363F" w14:paraId="3DE52F0B" w14:textId="77777777" w:rsidTr="00C96427">
        <w:trPr>
          <w:cantSplit/>
        </w:trPr>
        <w:tc>
          <w:tcPr>
            <w:tcW w:w="379" w:type="pct"/>
            <w:shd w:val="clear" w:color="auto" w:fill="F2F2F2" w:themeFill="background1" w:themeFillShade="F2"/>
            <w:vAlign w:val="center"/>
          </w:tcPr>
          <w:p w14:paraId="08B6E58A" w14:textId="77777777" w:rsidR="009B07D4" w:rsidRPr="00696A00" w:rsidRDefault="009B07D4" w:rsidP="00C96427">
            <w:pPr>
              <w:keepNext/>
              <w:spacing w:before="60" w:after="60"/>
              <w:jc w:val="center"/>
              <w:rPr>
                <w:rFonts w:ascii="Arial" w:hAnsi="Arial" w:cs="Arial"/>
                <w:i/>
                <w:iCs/>
                <w:sz w:val="22"/>
                <w:szCs w:val="22"/>
                <w:lang w:val="en-GB"/>
              </w:rPr>
            </w:pPr>
          </w:p>
        </w:tc>
        <w:tc>
          <w:tcPr>
            <w:tcW w:w="2308" w:type="pct"/>
            <w:gridSpan w:val="2"/>
            <w:shd w:val="clear" w:color="auto" w:fill="F2F2F2" w:themeFill="background1" w:themeFillShade="F2"/>
            <w:vAlign w:val="center"/>
          </w:tcPr>
          <w:p w14:paraId="6B909022" w14:textId="77777777" w:rsidR="009B07D4" w:rsidRPr="00696A00" w:rsidRDefault="009B07D4" w:rsidP="00C96427">
            <w:pPr>
              <w:keepNext/>
              <w:spacing w:before="60" w:after="60"/>
              <w:jc w:val="center"/>
              <w:rPr>
                <w:rFonts w:ascii="Arial" w:hAnsi="Arial" w:cs="Arial"/>
                <w:i/>
                <w:iCs/>
                <w:sz w:val="22"/>
                <w:szCs w:val="22"/>
                <w:lang w:val="en-GB"/>
              </w:rPr>
            </w:pPr>
            <w:r>
              <w:rPr>
                <w:rFonts w:ascii="Arial" w:hAnsi="Arial" w:cs="Arial"/>
                <w:i/>
                <w:iCs/>
                <w:sz w:val="22"/>
                <w:szCs w:val="22"/>
                <w:lang w:val="en-GB"/>
              </w:rPr>
              <w:t>Outputs</w:t>
            </w:r>
          </w:p>
        </w:tc>
        <w:tc>
          <w:tcPr>
            <w:tcW w:w="2313" w:type="pct"/>
            <w:shd w:val="clear" w:color="auto" w:fill="F2F2F2" w:themeFill="background1" w:themeFillShade="F2"/>
            <w:vAlign w:val="center"/>
          </w:tcPr>
          <w:p w14:paraId="23F6609D" w14:textId="77777777" w:rsidR="009B07D4" w:rsidRPr="00696A00" w:rsidRDefault="009B07D4" w:rsidP="00C96427">
            <w:pPr>
              <w:keepNext/>
              <w:spacing w:before="60" w:after="60"/>
              <w:jc w:val="center"/>
              <w:rPr>
                <w:rFonts w:ascii="Arial" w:hAnsi="Arial" w:cs="Arial"/>
                <w:i/>
                <w:iCs/>
                <w:sz w:val="22"/>
                <w:szCs w:val="22"/>
                <w:lang w:val="en-GB"/>
              </w:rPr>
            </w:pPr>
            <w:r w:rsidRPr="00696A00">
              <w:rPr>
                <w:rFonts w:ascii="Arial" w:hAnsi="Arial" w:cs="Arial"/>
                <w:i/>
                <w:iCs/>
                <w:sz w:val="22"/>
                <w:szCs w:val="22"/>
                <w:lang w:val="en-GB"/>
              </w:rPr>
              <w:t>Indicators (</w:t>
            </w:r>
            <w:r>
              <w:rPr>
                <w:rFonts w:ascii="Arial" w:hAnsi="Arial" w:cs="Arial"/>
                <w:i/>
                <w:iCs/>
                <w:sz w:val="22"/>
                <w:szCs w:val="22"/>
                <w:lang w:val="en-GB"/>
              </w:rPr>
              <w:t>benchmarks</w:t>
            </w:r>
            <w:r w:rsidRPr="00696A00">
              <w:rPr>
                <w:rFonts w:ascii="Arial" w:hAnsi="Arial" w:cs="Arial"/>
                <w:i/>
                <w:iCs/>
                <w:sz w:val="22"/>
                <w:szCs w:val="22"/>
                <w:lang w:val="en-GB"/>
              </w:rPr>
              <w:t>)</w:t>
            </w:r>
            <w:r>
              <w:rPr>
                <w:rFonts w:ascii="Arial" w:hAnsi="Arial" w:cs="Arial"/>
                <w:i/>
                <w:iCs/>
                <w:sz w:val="22"/>
                <w:szCs w:val="22"/>
                <w:lang w:val="en-GB"/>
              </w:rPr>
              <w:br/>
              <w:t>1 January </w:t>
            </w:r>
            <w:r w:rsidR="00DF6629">
              <w:rPr>
                <w:rFonts w:ascii="Arial" w:hAnsi="Arial" w:cs="Arial"/>
                <w:i/>
                <w:iCs/>
                <w:sz w:val="22"/>
                <w:szCs w:val="22"/>
                <w:lang w:val="en-GB"/>
              </w:rPr>
              <w:t>2020</w:t>
            </w:r>
            <w:r>
              <w:rPr>
                <w:rFonts w:ascii="Arial" w:hAnsi="Arial" w:cs="Arial"/>
                <w:i/>
                <w:iCs/>
                <w:sz w:val="22"/>
                <w:szCs w:val="22"/>
                <w:lang w:val="en-GB"/>
              </w:rPr>
              <w:t xml:space="preserve"> to </w:t>
            </w:r>
            <w:r w:rsidR="00DF6629">
              <w:rPr>
                <w:rFonts w:ascii="Arial" w:hAnsi="Arial" w:cs="Arial"/>
                <w:i/>
                <w:iCs/>
                <w:sz w:val="22"/>
                <w:szCs w:val="22"/>
                <w:lang w:val="en-GB"/>
              </w:rPr>
              <w:t>30 June 2020</w:t>
            </w:r>
          </w:p>
        </w:tc>
      </w:tr>
      <w:tr w:rsidR="009B07D4" w:rsidRPr="0078363F" w14:paraId="48102BE7" w14:textId="77777777" w:rsidTr="00C96427">
        <w:trPr>
          <w:cantSplit/>
        </w:trPr>
        <w:tc>
          <w:tcPr>
            <w:tcW w:w="379" w:type="pct"/>
            <w:shd w:val="clear" w:color="auto" w:fill="auto"/>
            <w:vAlign w:val="center"/>
          </w:tcPr>
          <w:p w14:paraId="1C4A81D4" w14:textId="77777777" w:rsidR="009B07D4" w:rsidRPr="00696A00" w:rsidRDefault="009B07D4" w:rsidP="00C96427">
            <w:pPr>
              <w:spacing w:before="60" w:after="60"/>
              <w:jc w:val="center"/>
              <w:rPr>
                <w:rFonts w:ascii="Arial" w:hAnsi="Arial" w:cs="Arial"/>
                <w:iCs/>
                <w:sz w:val="22"/>
                <w:szCs w:val="22"/>
                <w:lang w:val="en-GB"/>
              </w:rPr>
            </w:pPr>
            <w:r w:rsidRPr="00696A00">
              <w:rPr>
                <w:rFonts w:ascii="Arial" w:hAnsi="Arial" w:cs="Arial"/>
                <w:iCs/>
                <w:sz w:val="22"/>
                <w:szCs w:val="22"/>
                <w:lang w:val="en-GB"/>
              </w:rPr>
              <w:t>1.1</w:t>
            </w:r>
          </w:p>
        </w:tc>
        <w:tc>
          <w:tcPr>
            <w:tcW w:w="2308" w:type="pct"/>
            <w:gridSpan w:val="2"/>
            <w:shd w:val="clear" w:color="auto" w:fill="auto"/>
            <w:vAlign w:val="center"/>
          </w:tcPr>
          <w:p w14:paraId="71636AC5" w14:textId="108F6C4C" w:rsidR="009B07D4" w:rsidRPr="00D3305D" w:rsidRDefault="00D1657F" w:rsidP="005E3E11">
            <w:pPr>
              <w:spacing w:before="60" w:after="60"/>
              <w:rPr>
                <w:rFonts w:ascii="Arial" w:hAnsi="Arial" w:cs="Arial"/>
                <w:sz w:val="22"/>
                <w:szCs w:val="22"/>
                <w:lang w:val="en-GB"/>
              </w:rPr>
            </w:pPr>
            <w:r w:rsidRPr="00D3305D">
              <w:rPr>
                <w:rFonts w:ascii="Arial" w:hAnsi="Arial" w:cs="Arial"/>
                <w:sz w:val="22"/>
                <w:szCs w:val="22"/>
                <w:lang w:val="en-GB"/>
              </w:rPr>
              <w:t>Online services maintained and continuously available</w:t>
            </w:r>
          </w:p>
        </w:tc>
        <w:tc>
          <w:tcPr>
            <w:tcW w:w="2313" w:type="pct"/>
            <w:shd w:val="clear" w:color="auto" w:fill="auto"/>
            <w:vAlign w:val="center"/>
          </w:tcPr>
          <w:p w14:paraId="0E03EFB8" w14:textId="5B9FB9EF" w:rsidR="009B07D4" w:rsidRPr="00D3305D" w:rsidRDefault="00D1657F">
            <w:pPr>
              <w:pStyle w:val="ListParagraph"/>
              <w:numPr>
                <w:ilvl w:val="0"/>
                <w:numId w:val="19"/>
              </w:numPr>
              <w:spacing w:before="60" w:after="60"/>
              <w:ind w:left="357" w:hanging="357"/>
              <w:contextualSpacing w:val="0"/>
              <w:rPr>
                <w:rFonts w:ascii="Arial" w:hAnsi="Arial" w:cs="Arial"/>
                <w:sz w:val="22"/>
                <w:szCs w:val="22"/>
                <w:lang w:val="en-GB"/>
              </w:rPr>
            </w:pPr>
            <w:r w:rsidRPr="00D3305D">
              <w:rPr>
                <w:rFonts w:ascii="Arial" w:hAnsi="Arial" w:cs="Arial"/>
                <w:sz w:val="22"/>
                <w:szCs w:val="22"/>
                <w:lang w:val="en-GB"/>
              </w:rPr>
              <w:t xml:space="preserve">Less than three-day </w:t>
            </w:r>
            <w:r w:rsidR="001434CD" w:rsidRPr="00D3305D">
              <w:rPr>
                <w:rFonts w:ascii="Arial" w:hAnsi="Arial" w:cs="Arial"/>
                <w:sz w:val="22"/>
                <w:szCs w:val="22"/>
                <w:lang w:val="en-GB"/>
              </w:rPr>
              <w:t xml:space="preserve">knowledge management </w:t>
            </w:r>
            <w:r w:rsidRPr="00D3305D">
              <w:rPr>
                <w:rFonts w:ascii="Arial" w:hAnsi="Arial" w:cs="Arial"/>
                <w:sz w:val="22"/>
                <w:szCs w:val="22"/>
                <w:lang w:val="en-GB"/>
              </w:rPr>
              <w:t xml:space="preserve">service shortage </w:t>
            </w:r>
            <w:r w:rsidR="001434CD" w:rsidRPr="00D3305D">
              <w:rPr>
                <w:rFonts w:ascii="Arial" w:hAnsi="Arial" w:cs="Arial"/>
                <w:sz w:val="22"/>
                <w:szCs w:val="22"/>
                <w:lang w:val="en-GB"/>
              </w:rPr>
              <w:t>attributable to maintenance by the Secretariat</w:t>
            </w:r>
          </w:p>
        </w:tc>
      </w:tr>
      <w:tr w:rsidR="00D1657F" w:rsidRPr="00255403" w14:paraId="0942BF96" w14:textId="77777777" w:rsidTr="00C96427">
        <w:trPr>
          <w:cantSplit/>
        </w:trPr>
        <w:tc>
          <w:tcPr>
            <w:tcW w:w="379" w:type="pct"/>
            <w:shd w:val="clear" w:color="auto" w:fill="auto"/>
            <w:vAlign w:val="center"/>
          </w:tcPr>
          <w:p w14:paraId="6BE85C42" w14:textId="56D01398" w:rsidR="00D1657F" w:rsidRPr="00696A00" w:rsidRDefault="00D1657F" w:rsidP="00D1657F">
            <w:pPr>
              <w:spacing w:before="60" w:after="60"/>
              <w:jc w:val="center"/>
              <w:rPr>
                <w:rFonts w:ascii="Arial" w:hAnsi="Arial" w:cs="Arial"/>
                <w:iCs/>
                <w:sz w:val="22"/>
                <w:szCs w:val="22"/>
                <w:lang w:val="en-GB"/>
              </w:rPr>
            </w:pPr>
            <w:r>
              <w:rPr>
                <w:rFonts w:ascii="Arial" w:hAnsi="Arial" w:cs="Arial"/>
                <w:iCs/>
                <w:sz w:val="22"/>
                <w:szCs w:val="22"/>
                <w:lang w:val="en-GB"/>
              </w:rPr>
              <w:t>1.2</w:t>
            </w:r>
          </w:p>
        </w:tc>
        <w:tc>
          <w:tcPr>
            <w:tcW w:w="2308" w:type="pct"/>
            <w:gridSpan w:val="2"/>
            <w:shd w:val="clear" w:color="auto" w:fill="auto"/>
            <w:vAlign w:val="center"/>
          </w:tcPr>
          <w:p w14:paraId="4C28526D" w14:textId="7664C039" w:rsidR="00D1657F" w:rsidRPr="00D3305D" w:rsidRDefault="00D1657F" w:rsidP="00D1657F">
            <w:pPr>
              <w:spacing w:before="60" w:after="60"/>
              <w:rPr>
                <w:rFonts w:ascii="Arial" w:hAnsi="Arial" w:cs="Arial"/>
                <w:sz w:val="22"/>
                <w:szCs w:val="22"/>
                <w:lang w:val="en-GB"/>
              </w:rPr>
            </w:pPr>
            <w:r w:rsidRPr="00D3305D">
              <w:rPr>
                <w:rFonts w:ascii="Arial" w:hAnsi="Arial" w:cs="Arial"/>
                <w:sz w:val="22"/>
                <w:szCs w:val="22"/>
                <w:lang w:val="en-GB"/>
              </w:rPr>
              <w:t>Processes and response time optimized thanks to monitoring interfaces and online workflows</w:t>
            </w:r>
          </w:p>
        </w:tc>
        <w:tc>
          <w:tcPr>
            <w:tcW w:w="2313" w:type="pct"/>
            <w:shd w:val="clear" w:color="auto" w:fill="auto"/>
            <w:vAlign w:val="center"/>
          </w:tcPr>
          <w:p w14:paraId="41EF0294" w14:textId="122F36AF" w:rsidR="00D1657F" w:rsidRPr="00D3305D" w:rsidRDefault="00D1657F" w:rsidP="00D1657F">
            <w:pPr>
              <w:pStyle w:val="ListParagraph"/>
              <w:numPr>
                <w:ilvl w:val="0"/>
                <w:numId w:val="19"/>
              </w:numPr>
              <w:spacing w:before="60" w:after="60"/>
              <w:ind w:left="357" w:hanging="357"/>
              <w:contextualSpacing w:val="0"/>
              <w:rPr>
                <w:rFonts w:ascii="Arial" w:hAnsi="Arial" w:cs="Arial"/>
                <w:sz w:val="22"/>
                <w:szCs w:val="22"/>
                <w:lang w:val="en-GB"/>
              </w:rPr>
            </w:pPr>
            <w:r w:rsidRPr="00D3305D">
              <w:rPr>
                <w:rFonts w:ascii="Arial" w:hAnsi="Arial" w:cs="Arial"/>
                <w:sz w:val="22"/>
                <w:szCs w:val="22"/>
                <w:lang w:val="en-GB"/>
              </w:rPr>
              <w:t>Three new monitoring interfaces</w:t>
            </w:r>
          </w:p>
        </w:tc>
      </w:tr>
      <w:tr w:rsidR="00D1657F" w:rsidRPr="0078363F" w14:paraId="5EB99C27" w14:textId="77777777" w:rsidTr="00C96427">
        <w:trPr>
          <w:cantSplit/>
        </w:trPr>
        <w:tc>
          <w:tcPr>
            <w:tcW w:w="379" w:type="pct"/>
            <w:shd w:val="clear" w:color="auto" w:fill="auto"/>
            <w:vAlign w:val="center"/>
          </w:tcPr>
          <w:p w14:paraId="2F711064" w14:textId="5E82FCCD" w:rsidR="00D1657F" w:rsidRPr="00696A00" w:rsidRDefault="00D1657F" w:rsidP="00D1657F">
            <w:pPr>
              <w:spacing w:before="60" w:after="60"/>
              <w:jc w:val="center"/>
              <w:rPr>
                <w:rFonts w:ascii="Arial" w:hAnsi="Arial" w:cs="Arial"/>
                <w:iCs/>
                <w:sz w:val="22"/>
                <w:szCs w:val="22"/>
                <w:lang w:val="en-GB"/>
              </w:rPr>
            </w:pPr>
            <w:r w:rsidRPr="00696A00">
              <w:rPr>
                <w:rFonts w:ascii="Arial" w:hAnsi="Arial" w:cs="Arial"/>
                <w:iCs/>
                <w:sz w:val="22"/>
                <w:szCs w:val="22"/>
                <w:lang w:val="en-GB"/>
              </w:rPr>
              <w:t>1.</w:t>
            </w:r>
            <w:r>
              <w:rPr>
                <w:rFonts w:ascii="Arial" w:hAnsi="Arial" w:cs="Arial"/>
                <w:iCs/>
                <w:sz w:val="22"/>
                <w:szCs w:val="22"/>
                <w:lang w:val="en-GB"/>
              </w:rPr>
              <w:t>3</w:t>
            </w:r>
          </w:p>
        </w:tc>
        <w:tc>
          <w:tcPr>
            <w:tcW w:w="2308" w:type="pct"/>
            <w:gridSpan w:val="2"/>
            <w:shd w:val="clear" w:color="auto" w:fill="auto"/>
            <w:vAlign w:val="center"/>
          </w:tcPr>
          <w:p w14:paraId="1F8E8D25" w14:textId="77777777" w:rsidR="00D1657F" w:rsidRPr="00D3305D" w:rsidRDefault="00D1657F" w:rsidP="00D1657F">
            <w:pPr>
              <w:spacing w:before="60" w:after="60"/>
              <w:rPr>
                <w:rFonts w:ascii="Arial" w:hAnsi="Arial" w:cs="Arial"/>
                <w:sz w:val="22"/>
                <w:szCs w:val="22"/>
                <w:lang w:val="en-GB"/>
              </w:rPr>
            </w:pPr>
            <w:r w:rsidRPr="00D3305D">
              <w:rPr>
                <w:rFonts w:ascii="Arial" w:hAnsi="Arial" w:cs="Arial"/>
                <w:sz w:val="22"/>
                <w:szCs w:val="22"/>
                <w:lang w:val="en-GB"/>
              </w:rPr>
              <w:t>Clearing-house function of the Knowledge Management System enhanced</w:t>
            </w:r>
          </w:p>
        </w:tc>
        <w:tc>
          <w:tcPr>
            <w:tcW w:w="2313" w:type="pct"/>
            <w:shd w:val="clear" w:color="auto" w:fill="auto"/>
            <w:vAlign w:val="center"/>
          </w:tcPr>
          <w:p w14:paraId="3AC97C7D" w14:textId="19ACDE9E" w:rsidR="00D1657F" w:rsidRPr="00D3305D" w:rsidRDefault="00D1657F" w:rsidP="00D1657F">
            <w:pPr>
              <w:pStyle w:val="ListParagraph"/>
              <w:numPr>
                <w:ilvl w:val="0"/>
                <w:numId w:val="19"/>
              </w:numPr>
              <w:spacing w:before="60" w:after="60"/>
              <w:ind w:left="357" w:hanging="357"/>
              <w:contextualSpacing w:val="0"/>
              <w:rPr>
                <w:rFonts w:ascii="Arial" w:hAnsi="Arial" w:cs="Arial"/>
                <w:sz w:val="22"/>
                <w:szCs w:val="22"/>
                <w:lang w:val="en-GB"/>
              </w:rPr>
            </w:pPr>
            <w:r w:rsidRPr="00D3305D">
              <w:rPr>
                <w:rFonts w:ascii="Arial" w:hAnsi="Arial" w:cs="Arial"/>
                <w:sz w:val="22"/>
                <w:szCs w:val="22"/>
                <w:lang w:val="en-GB"/>
              </w:rPr>
              <w:t>One new data</w:t>
            </w:r>
            <w:r w:rsidR="00BA4111" w:rsidRPr="00D3305D">
              <w:rPr>
                <w:rFonts w:ascii="Arial" w:hAnsi="Arial" w:cs="Arial"/>
                <w:sz w:val="22"/>
                <w:szCs w:val="22"/>
                <w:lang w:val="en-GB"/>
              </w:rPr>
              <w:t>-</w:t>
            </w:r>
            <w:r w:rsidRPr="00D3305D">
              <w:rPr>
                <w:rFonts w:ascii="Arial" w:hAnsi="Arial" w:cs="Arial"/>
                <w:sz w:val="22"/>
                <w:szCs w:val="22"/>
                <w:lang w:val="en-GB"/>
              </w:rPr>
              <w:t>mining product</w:t>
            </w:r>
          </w:p>
        </w:tc>
      </w:tr>
      <w:tr w:rsidR="00D1657F" w:rsidRPr="002725EC" w14:paraId="2B087EDC" w14:textId="77777777" w:rsidTr="00C96427">
        <w:trPr>
          <w:cantSplit/>
        </w:trPr>
        <w:tc>
          <w:tcPr>
            <w:tcW w:w="379" w:type="pct"/>
            <w:shd w:val="clear" w:color="auto" w:fill="auto"/>
            <w:vAlign w:val="center"/>
          </w:tcPr>
          <w:p w14:paraId="11A86EB8" w14:textId="70BCF651" w:rsidR="00D1657F" w:rsidRPr="00696A00" w:rsidRDefault="00D1657F" w:rsidP="00D1657F">
            <w:pPr>
              <w:spacing w:before="60" w:after="60"/>
              <w:jc w:val="center"/>
              <w:rPr>
                <w:rFonts w:ascii="Arial" w:hAnsi="Arial" w:cs="Arial"/>
                <w:iCs/>
                <w:sz w:val="22"/>
                <w:szCs w:val="22"/>
                <w:lang w:val="en-GB"/>
              </w:rPr>
            </w:pPr>
            <w:r w:rsidRPr="00696A00">
              <w:rPr>
                <w:rFonts w:ascii="Arial" w:hAnsi="Arial" w:cs="Arial"/>
                <w:iCs/>
                <w:sz w:val="22"/>
                <w:szCs w:val="22"/>
                <w:lang w:val="en-GB"/>
              </w:rPr>
              <w:t>1.</w:t>
            </w:r>
            <w:r>
              <w:rPr>
                <w:rFonts w:ascii="Arial" w:hAnsi="Arial" w:cs="Arial"/>
                <w:iCs/>
                <w:sz w:val="22"/>
                <w:szCs w:val="22"/>
                <w:lang w:val="en-GB"/>
              </w:rPr>
              <w:t>4</w:t>
            </w:r>
          </w:p>
        </w:tc>
        <w:tc>
          <w:tcPr>
            <w:tcW w:w="2308" w:type="pct"/>
            <w:gridSpan w:val="2"/>
            <w:shd w:val="clear" w:color="auto" w:fill="auto"/>
            <w:vAlign w:val="center"/>
          </w:tcPr>
          <w:p w14:paraId="05AC4790" w14:textId="77777777" w:rsidR="00D1657F" w:rsidRPr="00D3305D" w:rsidRDefault="00D1657F" w:rsidP="00D1657F">
            <w:pPr>
              <w:spacing w:before="60" w:after="60"/>
              <w:rPr>
                <w:rFonts w:ascii="Arial" w:hAnsi="Arial" w:cs="Arial"/>
                <w:sz w:val="22"/>
                <w:szCs w:val="22"/>
                <w:lang w:val="en-GB"/>
              </w:rPr>
            </w:pPr>
            <w:r w:rsidRPr="00D3305D">
              <w:rPr>
                <w:rFonts w:ascii="Arial" w:hAnsi="Arial" w:cs="Arial"/>
                <w:sz w:val="22"/>
                <w:szCs w:val="22"/>
                <w:lang w:val="en-GB"/>
              </w:rPr>
              <w:t>Interaction with key stakeholders strengthened for improved synergies</w:t>
            </w:r>
          </w:p>
        </w:tc>
        <w:tc>
          <w:tcPr>
            <w:tcW w:w="2313" w:type="pct"/>
            <w:shd w:val="clear" w:color="auto" w:fill="auto"/>
            <w:vAlign w:val="center"/>
          </w:tcPr>
          <w:p w14:paraId="3D421410" w14:textId="77777777" w:rsidR="00D1657F" w:rsidRPr="00D3305D" w:rsidRDefault="00D1657F" w:rsidP="00D1657F">
            <w:pPr>
              <w:pStyle w:val="ListParagraph"/>
              <w:numPr>
                <w:ilvl w:val="0"/>
                <w:numId w:val="19"/>
              </w:numPr>
              <w:spacing w:before="60" w:after="60"/>
              <w:ind w:left="357" w:hanging="357"/>
              <w:contextualSpacing w:val="0"/>
              <w:rPr>
                <w:rFonts w:ascii="Arial" w:hAnsi="Arial" w:cs="Arial"/>
                <w:sz w:val="22"/>
                <w:szCs w:val="22"/>
                <w:lang w:val="en-GB"/>
              </w:rPr>
            </w:pPr>
            <w:r w:rsidRPr="00D3305D">
              <w:rPr>
                <w:rFonts w:ascii="Arial" w:hAnsi="Arial" w:cs="Arial"/>
                <w:sz w:val="22"/>
                <w:szCs w:val="22"/>
                <w:lang w:val="en-GB"/>
              </w:rPr>
              <w:t>One new interconnection implemented</w:t>
            </w:r>
          </w:p>
        </w:tc>
      </w:tr>
    </w:tbl>
    <w:p w14:paraId="2C242A7D" w14:textId="77777777" w:rsidR="009B07D4" w:rsidRDefault="009B07D4" w:rsidP="00497791">
      <w:pPr>
        <w:pStyle w:val="COMParaDecision"/>
        <w:numPr>
          <w:ilvl w:val="0"/>
          <w:numId w:val="0"/>
        </w:numPr>
        <w:jc w:val="left"/>
        <w:rPr>
          <w:lang w:val="en-US"/>
        </w:rPr>
      </w:pPr>
    </w:p>
    <w:tbl>
      <w:tblPr>
        <w:tblStyle w:val="TableGrid"/>
        <w:tblW w:w="5000" w:type="pct"/>
        <w:tblLook w:val="04A0" w:firstRow="1" w:lastRow="0" w:firstColumn="1" w:lastColumn="0" w:noHBand="0" w:noVBand="1"/>
      </w:tblPr>
      <w:tblGrid>
        <w:gridCol w:w="699"/>
        <w:gridCol w:w="1564"/>
        <w:gridCol w:w="2900"/>
        <w:gridCol w:w="4465"/>
      </w:tblGrid>
      <w:tr w:rsidR="008F0C71" w:rsidRPr="0078363F" w14:paraId="5B4CCE27" w14:textId="77777777" w:rsidTr="00C96427">
        <w:trPr>
          <w:cantSplit/>
        </w:trPr>
        <w:tc>
          <w:tcPr>
            <w:tcW w:w="1175" w:type="pct"/>
            <w:gridSpan w:val="2"/>
            <w:shd w:val="clear" w:color="auto" w:fill="808080" w:themeFill="background1" w:themeFillShade="80"/>
            <w:vAlign w:val="center"/>
          </w:tcPr>
          <w:p w14:paraId="577BFF44" w14:textId="17E5103E" w:rsidR="008F0C71" w:rsidRPr="00696A00" w:rsidRDefault="00721354" w:rsidP="00721354">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lastRenderedPageBreak/>
              <w:t>39</w:t>
            </w:r>
            <w:r w:rsidR="008F0C71" w:rsidRPr="00696A00">
              <w:rPr>
                <w:rFonts w:ascii="Arial" w:hAnsi="Arial" w:cs="Arial"/>
                <w:b/>
                <w:bCs/>
                <w:color w:val="FFFFFF" w:themeColor="background1"/>
                <w:sz w:val="22"/>
                <w:szCs w:val="22"/>
                <w:lang w:val="en-GB"/>
              </w:rPr>
              <w:t>C/5 Performance Indicator 2</w:t>
            </w:r>
          </w:p>
        </w:tc>
        <w:tc>
          <w:tcPr>
            <w:tcW w:w="3825" w:type="pct"/>
            <w:gridSpan w:val="2"/>
            <w:shd w:val="clear" w:color="auto" w:fill="808080" w:themeFill="background1" w:themeFillShade="80"/>
            <w:vAlign w:val="center"/>
          </w:tcPr>
          <w:p w14:paraId="4AFCB231" w14:textId="099E6ECA" w:rsidR="008F0C71" w:rsidRPr="00696A00" w:rsidRDefault="008F0C71" w:rsidP="00C96427">
            <w:pPr>
              <w:keepNext/>
              <w:spacing w:before="120" w:after="120"/>
              <w:rPr>
                <w:rFonts w:ascii="Arial" w:hAnsi="Arial" w:cs="Arial"/>
                <w:b/>
                <w:bCs/>
                <w:color w:val="FFFFFF" w:themeColor="background1"/>
                <w:sz w:val="22"/>
                <w:szCs w:val="22"/>
                <w:lang w:val="en-GB"/>
              </w:rPr>
            </w:pPr>
            <w:r w:rsidRPr="00696A00">
              <w:rPr>
                <w:rFonts w:ascii="Arial" w:hAnsi="Arial" w:cs="Arial"/>
                <w:b/>
                <w:bCs/>
                <w:color w:val="FFFFFF" w:themeColor="background1"/>
                <w:sz w:val="22"/>
                <w:szCs w:val="22"/>
                <w:lang w:val="en-GB"/>
              </w:rPr>
              <w:t xml:space="preserve">Number of supported Member States utilizing strengthened human and institutional resources for </w:t>
            </w:r>
            <w:r>
              <w:rPr>
                <w:rFonts w:ascii="Arial" w:hAnsi="Arial" w:cs="Arial"/>
                <w:b/>
                <w:bCs/>
                <w:color w:val="FFFFFF" w:themeColor="background1"/>
                <w:sz w:val="22"/>
                <w:szCs w:val="22"/>
                <w:lang w:val="en-GB"/>
              </w:rPr>
              <w:t xml:space="preserve">the safeguarding of </w:t>
            </w:r>
            <w:r w:rsidR="00D3305D">
              <w:rPr>
                <w:rFonts w:ascii="Arial" w:hAnsi="Arial" w:cs="Arial"/>
                <w:b/>
                <w:bCs/>
                <w:color w:val="FFFFFF" w:themeColor="background1"/>
                <w:sz w:val="22"/>
                <w:szCs w:val="22"/>
                <w:lang w:val="en-GB"/>
              </w:rPr>
              <w:t>intangible cultural heritage</w:t>
            </w:r>
          </w:p>
        </w:tc>
      </w:tr>
      <w:tr w:rsidR="008F0C71" w:rsidRPr="0078363F" w14:paraId="5A60B0AC" w14:textId="77777777" w:rsidTr="00870FD2">
        <w:trPr>
          <w:cantSplit/>
          <w:trHeight w:val="794"/>
        </w:trPr>
        <w:tc>
          <w:tcPr>
            <w:tcW w:w="1175" w:type="pct"/>
            <w:gridSpan w:val="2"/>
            <w:vMerge w:val="restart"/>
            <w:shd w:val="clear" w:color="auto" w:fill="F2F2F2" w:themeFill="background1" w:themeFillShade="F2"/>
            <w:vAlign w:val="center"/>
          </w:tcPr>
          <w:p w14:paraId="10C9414F" w14:textId="2E0712F4" w:rsidR="008F0C71" w:rsidRPr="00696A00" w:rsidRDefault="008F0C71">
            <w:pPr>
              <w:keepNext/>
              <w:spacing w:before="60" w:after="60"/>
              <w:rPr>
                <w:rFonts w:ascii="Arial" w:hAnsi="Arial" w:cs="Arial"/>
                <w:b/>
                <w:bCs/>
                <w:sz w:val="22"/>
                <w:szCs w:val="22"/>
                <w:lang w:val="en-GB"/>
              </w:rPr>
            </w:pPr>
            <w:r w:rsidRPr="00870FD2">
              <w:rPr>
                <w:rFonts w:ascii="Arial" w:hAnsi="Arial" w:cs="Arial"/>
                <w:b/>
                <w:bCs/>
                <w:sz w:val="22"/>
                <w:szCs w:val="22"/>
                <w:lang w:val="en-GB"/>
              </w:rPr>
              <w:t>ICH Fund</w:t>
            </w:r>
            <w:r w:rsidR="00F159D7">
              <w:rPr>
                <w:rFonts w:ascii="Arial" w:hAnsi="Arial" w:cs="Arial"/>
                <w:b/>
                <w:bCs/>
                <w:sz w:val="22"/>
                <w:szCs w:val="22"/>
                <w:lang w:val="en-GB"/>
              </w:rPr>
              <w:t xml:space="preserve"> – Budget Line 3</w:t>
            </w:r>
            <w:r w:rsidRPr="00870FD2">
              <w:rPr>
                <w:rFonts w:ascii="Arial" w:hAnsi="Arial" w:cs="Arial"/>
                <w:b/>
                <w:bCs/>
                <w:sz w:val="22"/>
                <w:szCs w:val="22"/>
                <w:lang w:val="en-GB"/>
              </w:rPr>
              <w:t xml:space="preserve"> </w:t>
            </w:r>
            <w:r w:rsidR="00F159D7">
              <w:rPr>
                <w:rFonts w:ascii="Arial" w:hAnsi="Arial" w:cs="Arial"/>
                <w:b/>
                <w:bCs/>
                <w:sz w:val="22"/>
                <w:szCs w:val="22"/>
                <w:lang w:val="en-GB"/>
              </w:rPr>
              <w:br/>
            </w:r>
            <w:r w:rsidRPr="00870FD2">
              <w:rPr>
                <w:rFonts w:ascii="Arial" w:hAnsi="Arial" w:cs="Arial"/>
                <w:b/>
                <w:bCs/>
                <w:sz w:val="22"/>
                <w:szCs w:val="22"/>
                <w:lang w:val="en-GB"/>
              </w:rPr>
              <w:t>Expected Result 2</w:t>
            </w:r>
          </w:p>
        </w:tc>
        <w:tc>
          <w:tcPr>
            <w:tcW w:w="3825" w:type="pct"/>
            <w:gridSpan w:val="2"/>
            <w:shd w:val="clear" w:color="auto" w:fill="F2F2F2" w:themeFill="background1" w:themeFillShade="F2"/>
            <w:vAlign w:val="center"/>
          </w:tcPr>
          <w:p w14:paraId="13DB2D2C" w14:textId="606EDAED" w:rsidR="008F0C71" w:rsidRPr="00696A00" w:rsidRDefault="008F0C71">
            <w:pPr>
              <w:keepNext/>
              <w:spacing w:before="60" w:after="60"/>
              <w:rPr>
                <w:rFonts w:ascii="Arial" w:hAnsi="Arial" w:cs="Arial"/>
                <w:b/>
                <w:bCs/>
                <w:sz w:val="22"/>
                <w:szCs w:val="22"/>
                <w:lang w:val="en-GB"/>
              </w:rPr>
            </w:pPr>
            <w:r w:rsidRPr="00696A00">
              <w:rPr>
                <w:rFonts w:ascii="Arial" w:hAnsi="Arial" w:cs="Arial"/>
                <w:b/>
                <w:bCs/>
                <w:sz w:val="22"/>
                <w:szCs w:val="22"/>
                <w:lang w:val="en-GB"/>
              </w:rPr>
              <w:t xml:space="preserve">Implementation of the Convention in Member States encouraged through a strengthened capacity-building programme </w:t>
            </w:r>
          </w:p>
        </w:tc>
      </w:tr>
      <w:tr w:rsidR="008F0C71" w:rsidRPr="00E4227D" w14:paraId="4965B2F5" w14:textId="77777777" w:rsidTr="00C96427">
        <w:trPr>
          <w:cantSplit/>
        </w:trPr>
        <w:tc>
          <w:tcPr>
            <w:tcW w:w="1175" w:type="pct"/>
            <w:gridSpan w:val="2"/>
            <w:vMerge/>
            <w:shd w:val="clear" w:color="auto" w:fill="F2F2F2" w:themeFill="background1" w:themeFillShade="F2"/>
            <w:vAlign w:val="center"/>
          </w:tcPr>
          <w:p w14:paraId="4A669F75" w14:textId="77777777" w:rsidR="008F0C71" w:rsidRPr="00696A00" w:rsidRDefault="008F0C71" w:rsidP="00C96427">
            <w:pPr>
              <w:keepNext/>
              <w:spacing w:before="60" w:after="60"/>
              <w:rPr>
                <w:rFonts w:ascii="Arial" w:hAnsi="Arial" w:cs="Arial"/>
                <w:b/>
                <w:bCs/>
                <w:sz w:val="22"/>
                <w:szCs w:val="22"/>
                <w:lang w:val="en-GB"/>
              </w:rPr>
            </w:pPr>
          </w:p>
        </w:tc>
        <w:tc>
          <w:tcPr>
            <w:tcW w:w="3825" w:type="pct"/>
            <w:gridSpan w:val="2"/>
            <w:shd w:val="clear" w:color="auto" w:fill="F2F2F2" w:themeFill="background1" w:themeFillShade="F2"/>
            <w:vAlign w:val="center"/>
          </w:tcPr>
          <w:p w14:paraId="5E0037B3" w14:textId="17D1B075" w:rsidR="008F0C71" w:rsidRPr="00696A00" w:rsidRDefault="008F0C71">
            <w:pPr>
              <w:keepNext/>
              <w:spacing w:before="60" w:after="60"/>
              <w:rPr>
                <w:rFonts w:ascii="Arial" w:hAnsi="Arial" w:cs="Arial"/>
                <w:b/>
                <w:bCs/>
                <w:sz w:val="22"/>
                <w:szCs w:val="22"/>
                <w:lang w:val="en-GB"/>
              </w:rPr>
            </w:pPr>
            <w:r w:rsidRPr="00696A00">
              <w:rPr>
                <w:rFonts w:ascii="Arial" w:hAnsi="Arial" w:cs="Arial"/>
                <w:b/>
                <w:bCs/>
                <w:sz w:val="22"/>
                <w:szCs w:val="22"/>
                <w:lang w:val="en-GB"/>
              </w:rPr>
              <w:t xml:space="preserve">Budgetary allocations: </w:t>
            </w:r>
            <w:r w:rsidRPr="00C06F15">
              <w:rPr>
                <w:rFonts w:ascii="Arial" w:hAnsi="Arial" w:cs="Arial"/>
                <w:b/>
                <w:bCs/>
                <w:sz w:val="22"/>
                <w:szCs w:val="22"/>
                <w:lang w:val="en-GB"/>
              </w:rPr>
              <w:t>US$</w:t>
            </w:r>
            <w:r w:rsidR="000F65F0">
              <w:rPr>
                <w:rFonts w:ascii="Arial" w:hAnsi="Arial" w:cs="Arial"/>
                <w:b/>
                <w:bCs/>
                <w:sz w:val="22"/>
                <w:szCs w:val="22"/>
                <w:lang w:val="en-GB"/>
              </w:rPr>
              <w:t>183,301</w:t>
            </w:r>
          </w:p>
        </w:tc>
      </w:tr>
      <w:tr w:rsidR="008F0C71" w:rsidRPr="0078363F" w14:paraId="02992F8E" w14:textId="77777777" w:rsidTr="00C96427">
        <w:trPr>
          <w:cantSplit/>
        </w:trPr>
        <w:tc>
          <w:tcPr>
            <w:tcW w:w="363" w:type="pct"/>
            <w:shd w:val="clear" w:color="auto" w:fill="F2F2F2" w:themeFill="background1" w:themeFillShade="F2"/>
            <w:vAlign w:val="center"/>
          </w:tcPr>
          <w:p w14:paraId="5D8F2E2E" w14:textId="77777777" w:rsidR="008F0C71" w:rsidRPr="00696A00" w:rsidRDefault="008F0C71" w:rsidP="00C96427">
            <w:pPr>
              <w:keepNext/>
              <w:spacing w:before="60" w:after="60"/>
              <w:jc w:val="right"/>
              <w:rPr>
                <w:rFonts w:ascii="Arial" w:hAnsi="Arial" w:cs="Arial"/>
                <w:i/>
                <w:iCs/>
                <w:sz w:val="22"/>
                <w:szCs w:val="22"/>
                <w:lang w:val="en-GB"/>
              </w:rPr>
            </w:pPr>
          </w:p>
        </w:tc>
        <w:tc>
          <w:tcPr>
            <w:tcW w:w="2318" w:type="pct"/>
            <w:gridSpan w:val="2"/>
            <w:shd w:val="clear" w:color="auto" w:fill="F2F2F2" w:themeFill="background1" w:themeFillShade="F2"/>
            <w:vAlign w:val="center"/>
          </w:tcPr>
          <w:p w14:paraId="58EB77FF" w14:textId="77777777" w:rsidR="008F0C71" w:rsidRPr="00696A00" w:rsidRDefault="008F0C71" w:rsidP="00C96427">
            <w:pPr>
              <w:keepNext/>
              <w:spacing w:before="60" w:after="60"/>
              <w:jc w:val="center"/>
              <w:rPr>
                <w:rFonts w:ascii="Arial" w:hAnsi="Arial" w:cs="Arial"/>
                <w:i/>
                <w:iCs/>
                <w:sz w:val="22"/>
                <w:szCs w:val="22"/>
                <w:lang w:val="en-GB"/>
              </w:rPr>
            </w:pPr>
            <w:r>
              <w:rPr>
                <w:rFonts w:ascii="Arial" w:hAnsi="Arial" w:cs="Arial"/>
                <w:i/>
                <w:iCs/>
                <w:sz w:val="22"/>
                <w:szCs w:val="22"/>
                <w:lang w:val="en-GB"/>
              </w:rPr>
              <w:t>Outputs</w:t>
            </w:r>
          </w:p>
        </w:tc>
        <w:tc>
          <w:tcPr>
            <w:tcW w:w="2319" w:type="pct"/>
            <w:shd w:val="clear" w:color="auto" w:fill="F2F2F2" w:themeFill="background1" w:themeFillShade="F2"/>
            <w:vAlign w:val="center"/>
          </w:tcPr>
          <w:p w14:paraId="5C6750F2" w14:textId="77777777" w:rsidR="008F0C71" w:rsidRPr="00696A00" w:rsidRDefault="008F0C71" w:rsidP="00C96427">
            <w:pPr>
              <w:keepNext/>
              <w:spacing w:before="60" w:after="60"/>
              <w:jc w:val="center"/>
              <w:rPr>
                <w:rFonts w:ascii="Arial" w:hAnsi="Arial" w:cs="Arial"/>
                <w:i/>
                <w:iCs/>
                <w:sz w:val="22"/>
                <w:szCs w:val="22"/>
                <w:lang w:val="en-GB"/>
              </w:rPr>
            </w:pPr>
            <w:r w:rsidRPr="00696A00">
              <w:rPr>
                <w:rFonts w:ascii="Arial" w:hAnsi="Arial" w:cs="Arial"/>
                <w:i/>
                <w:iCs/>
                <w:sz w:val="22"/>
                <w:szCs w:val="22"/>
                <w:lang w:val="en-GB"/>
              </w:rPr>
              <w:t>Indicators (</w:t>
            </w:r>
            <w:r>
              <w:rPr>
                <w:rFonts w:ascii="Arial" w:hAnsi="Arial" w:cs="Arial"/>
                <w:i/>
                <w:iCs/>
                <w:sz w:val="22"/>
                <w:szCs w:val="22"/>
                <w:lang w:val="en-GB"/>
              </w:rPr>
              <w:t>benchmarks</w:t>
            </w:r>
            <w:r w:rsidRPr="00696A00">
              <w:rPr>
                <w:rFonts w:ascii="Arial" w:hAnsi="Arial" w:cs="Arial"/>
                <w:i/>
                <w:iCs/>
                <w:sz w:val="22"/>
                <w:szCs w:val="22"/>
                <w:lang w:val="en-GB"/>
              </w:rPr>
              <w:t>)</w:t>
            </w:r>
            <w:r>
              <w:rPr>
                <w:rFonts w:ascii="Arial" w:hAnsi="Arial" w:cs="Arial"/>
                <w:i/>
                <w:iCs/>
                <w:sz w:val="22"/>
                <w:szCs w:val="22"/>
                <w:lang w:val="en-GB"/>
              </w:rPr>
              <w:br/>
              <w:t>1 January 2020 to 30 June 2020</w:t>
            </w:r>
          </w:p>
        </w:tc>
      </w:tr>
      <w:tr w:rsidR="00DE308A" w:rsidRPr="0078363F" w14:paraId="1B79F9AD" w14:textId="77777777" w:rsidTr="00E701F5">
        <w:trPr>
          <w:cantSplit/>
        </w:trPr>
        <w:tc>
          <w:tcPr>
            <w:tcW w:w="363" w:type="pct"/>
            <w:vMerge w:val="restart"/>
            <w:shd w:val="clear" w:color="auto" w:fill="auto"/>
            <w:vAlign w:val="center"/>
          </w:tcPr>
          <w:p w14:paraId="33F1F96B" w14:textId="751DB996" w:rsidR="00DE308A" w:rsidRPr="00696A00" w:rsidRDefault="00DE308A">
            <w:pPr>
              <w:spacing w:before="60" w:after="60"/>
              <w:jc w:val="center"/>
              <w:rPr>
                <w:rFonts w:ascii="Arial" w:hAnsi="Arial" w:cs="Arial"/>
                <w:iCs/>
                <w:sz w:val="22"/>
                <w:szCs w:val="22"/>
                <w:lang w:val="en-GB"/>
              </w:rPr>
            </w:pPr>
            <w:r>
              <w:rPr>
                <w:rFonts w:ascii="Arial" w:hAnsi="Arial" w:cs="Arial"/>
                <w:iCs/>
                <w:sz w:val="22"/>
                <w:szCs w:val="22"/>
                <w:lang w:val="en-GB"/>
              </w:rPr>
              <w:t>2</w:t>
            </w:r>
            <w:r w:rsidRPr="00696A00">
              <w:rPr>
                <w:rFonts w:ascii="Arial" w:hAnsi="Arial" w:cs="Arial"/>
                <w:iCs/>
                <w:sz w:val="22"/>
                <w:szCs w:val="22"/>
                <w:lang w:val="en-GB"/>
              </w:rPr>
              <w:t>.1</w:t>
            </w:r>
          </w:p>
        </w:tc>
        <w:tc>
          <w:tcPr>
            <w:tcW w:w="2318" w:type="pct"/>
            <w:gridSpan w:val="2"/>
            <w:vMerge w:val="restart"/>
            <w:shd w:val="clear" w:color="auto" w:fill="auto"/>
            <w:vAlign w:val="center"/>
          </w:tcPr>
          <w:p w14:paraId="64FA4EDE" w14:textId="77777777" w:rsidR="00DE308A" w:rsidRPr="00D3305D" w:rsidRDefault="00DE308A" w:rsidP="00C96427">
            <w:pPr>
              <w:spacing w:before="60" w:after="60"/>
              <w:rPr>
                <w:rFonts w:ascii="Arial" w:hAnsi="Arial" w:cs="Arial"/>
                <w:sz w:val="22"/>
                <w:szCs w:val="22"/>
                <w:lang w:val="en-GB"/>
              </w:rPr>
            </w:pPr>
            <w:r w:rsidRPr="00D3305D">
              <w:rPr>
                <w:rFonts w:ascii="Arial" w:hAnsi="Arial" w:cs="Arial"/>
                <w:sz w:val="22"/>
                <w:szCs w:val="22"/>
                <w:lang w:val="en-GB"/>
              </w:rPr>
              <w:t>Facilitators’ network strengthened</w:t>
            </w:r>
          </w:p>
        </w:tc>
        <w:tc>
          <w:tcPr>
            <w:tcW w:w="2319" w:type="pct"/>
            <w:tcBorders>
              <w:bottom w:val="nil"/>
            </w:tcBorders>
            <w:shd w:val="clear" w:color="auto" w:fill="auto"/>
            <w:vAlign w:val="center"/>
          </w:tcPr>
          <w:p w14:paraId="71B0820C" w14:textId="10659E9D" w:rsidR="00DE308A" w:rsidRPr="00696A00" w:rsidRDefault="00DE308A" w:rsidP="00870FD2">
            <w:pPr>
              <w:pStyle w:val="ListParagraph"/>
              <w:numPr>
                <w:ilvl w:val="0"/>
                <w:numId w:val="19"/>
              </w:numPr>
              <w:spacing w:before="60" w:after="60"/>
              <w:ind w:left="360"/>
              <w:contextualSpacing w:val="0"/>
              <w:rPr>
                <w:rFonts w:ascii="Arial" w:hAnsi="Arial" w:cs="Arial"/>
                <w:iCs/>
                <w:sz w:val="22"/>
                <w:szCs w:val="22"/>
                <w:lang w:val="en-GB"/>
              </w:rPr>
            </w:pPr>
            <w:r w:rsidRPr="00DE308A">
              <w:rPr>
                <w:rFonts w:ascii="Arial" w:hAnsi="Arial" w:cs="Arial"/>
                <w:iCs/>
                <w:sz w:val="22"/>
                <w:szCs w:val="22"/>
                <w:lang w:val="en-GB"/>
              </w:rPr>
              <w:t>Network coordination and thematic work supported through the interregional working group of the facilitators’ network</w:t>
            </w:r>
          </w:p>
        </w:tc>
      </w:tr>
      <w:tr w:rsidR="00DE308A" w:rsidRPr="0078363F" w14:paraId="50D336FF" w14:textId="77777777" w:rsidTr="00E701F5">
        <w:trPr>
          <w:cantSplit/>
        </w:trPr>
        <w:tc>
          <w:tcPr>
            <w:tcW w:w="363" w:type="pct"/>
            <w:vMerge/>
            <w:shd w:val="clear" w:color="auto" w:fill="auto"/>
            <w:vAlign w:val="center"/>
          </w:tcPr>
          <w:p w14:paraId="316C2A4E" w14:textId="77777777" w:rsidR="00DE308A" w:rsidRPr="00696A00" w:rsidRDefault="00DE308A" w:rsidP="00C96427">
            <w:pPr>
              <w:spacing w:before="60" w:after="60"/>
              <w:jc w:val="center"/>
              <w:rPr>
                <w:rFonts w:ascii="Arial" w:hAnsi="Arial" w:cs="Arial"/>
                <w:iCs/>
                <w:sz w:val="22"/>
                <w:szCs w:val="22"/>
                <w:lang w:val="en-GB"/>
              </w:rPr>
            </w:pPr>
          </w:p>
        </w:tc>
        <w:tc>
          <w:tcPr>
            <w:tcW w:w="2318" w:type="pct"/>
            <w:gridSpan w:val="2"/>
            <w:vMerge/>
            <w:tcBorders>
              <w:right w:val="single" w:sz="4" w:space="0" w:color="auto"/>
            </w:tcBorders>
            <w:shd w:val="clear" w:color="auto" w:fill="auto"/>
            <w:vAlign w:val="center"/>
          </w:tcPr>
          <w:p w14:paraId="1D9FBE9E" w14:textId="77777777" w:rsidR="00DE308A" w:rsidRPr="00696A00" w:rsidRDefault="00DE308A" w:rsidP="00C96427">
            <w:pPr>
              <w:spacing w:before="60" w:after="60"/>
              <w:rPr>
                <w:rFonts w:ascii="Arial" w:hAnsi="Arial" w:cs="Arial"/>
                <w:i/>
                <w:iCs/>
                <w:sz w:val="22"/>
                <w:szCs w:val="22"/>
                <w:lang w:val="en-GB"/>
              </w:rPr>
            </w:pPr>
          </w:p>
        </w:tc>
        <w:tc>
          <w:tcPr>
            <w:tcW w:w="2319" w:type="pct"/>
            <w:tcBorders>
              <w:top w:val="nil"/>
              <w:left w:val="single" w:sz="4" w:space="0" w:color="auto"/>
              <w:bottom w:val="nil"/>
              <w:right w:val="single" w:sz="4" w:space="0" w:color="auto"/>
            </w:tcBorders>
            <w:shd w:val="clear" w:color="auto" w:fill="auto"/>
            <w:vAlign w:val="center"/>
          </w:tcPr>
          <w:p w14:paraId="1460636E" w14:textId="018647DE" w:rsidR="00DE308A" w:rsidRPr="00696A00" w:rsidRDefault="00DE308A" w:rsidP="00870FD2">
            <w:pPr>
              <w:pStyle w:val="ListParagraph"/>
              <w:numPr>
                <w:ilvl w:val="0"/>
                <w:numId w:val="19"/>
              </w:numPr>
              <w:spacing w:before="60" w:after="60"/>
              <w:ind w:left="360"/>
              <w:contextualSpacing w:val="0"/>
              <w:rPr>
                <w:rFonts w:ascii="Arial" w:hAnsi="Arial" w:cs="Arial"/>
                <w:iCs/>
                <w:sz w:val="22"/>
                <w:szCs w:val="22"/>
                <w:lang w:val="en-GB"/>
              </w:rPr>
            </w:pPr>
            <w:r w:rsidRPr="00DE308A">
              <w:rPr>
                <w:rFonts w:ascii="Arial" w:hAnsi="Arial" w:cs="Arial"/>
                <w:iCs/>
                <w:sz w:val="22"/>
                <w:szCs w:val="22"/>
                <w:lang w:val="en-GB"/>
              </w:rPr>
              <w:t>10</w:t>
            </w:r>
            <w:r w:rsidR="009730C3">
              <w:rPr>
                <w:rFonts w:ascii="Arial" w:hAnsi="Arial" w:cs="Arial"/>
                <w:iCs/>
                <w:sz w:val="22"/>
                <w:szCs w:val="22"/>
                <w:lang w:val="en-GB"/>
              </w:rPr>
              <w:t xml:space="preserve"> to 15</w:t>
            </w:r>
            <w:r w:rsidRPr="00DE308A">
              <w:rPr>
                <w:rFonts w:ascii="Arial" w:hAnsi="Arial" w:cs="Arial"/>
                <w:iCs/>
                <w:sz w:val="22"/>
                <w:szCs w:val="22"/>
                <w:lang w:val="en-GB"/>
              </w:rPr>
              <w:t xml:space="preserve"> facilitators trained (in LAC) on the implementation of the </w:t>
            </w:r>
            <w:r w:rsidR="00EE7946">
              <w:rPr>
                <w:rFonts w:ascii="Arial" w:hAnsi="Arial" w:cs="Arial"/>
                <w:iCs/>
                <w:sz w:val="22"/>
                <w:szCs w:val="22"/>
                <w:lang w:val="en-GB"/>
              </w:rPr>
              <w:t>overall results framework</w:t>
            </w:r>
            <w:r w:rsidRPr="00DE308A">
              <w:rPr>
                <w:rFonts w:ascii="Arial" w:hAnsi="Arial" w:cs="Arial"/>
                <w:iCs/>
                <w:sz w:val="22"/>
                <w:szCs w:val="22"/>
                <w:lang w:val="en-GB"/>
              </w:rPr>
              <w:t xml:space="preserve"> and periodic reporting, including new members (pending </w:t>
            </w:r>
            <w:r w:rsidR="006F2624">
              <w:rPr>
                <w:rFonts w:ascii="Arial" w:hAnsi="Arial" w:cs="Arial"/>
                <w:iCs/>
                <w:sz w:val="22"/>
                <w:szCs w:val="22"/>
                <w:lang w:val="en-GB"/>
              </w:rPr>
              <w:t>co-</w:t>
            </w:r>
            <w:r w:rsidRPr="00DE308A">
              <w:rPr>
                <w:rFonts w:ascii="Arial" w:hAnsi="Arial" w:cs="Arial"/>
                <w:iCs/>
                <w:sz w:val="22"/>
                <w:szCs w:val="22"/>
                <w:lang w:val="en-GB"/>
              </w:rPr>
              <w:t>financing from host country)</w:t>
            </w:r>
          </w:p>
        </w:tc>
      </w:tr>
      <w:tr w:rsidR="00DE308A" w:rsidRPr="0078363F" w14:paraId="5007ACAF" w14:textId="77777777" w:rsidTr="00870FD2">
        <w:trPr>
          <w:cantSplit/>
        </w:trPr>
        <w:tc>
          <w:tcPr>
            <w:tcW w:w="363" w:type="pct"/>
            <w:vMerge/>
            <w:shd w:val="clear" w:color="auto" w:fill="auto"/>
            <w:vAlign w:val="center"/>
          </w:tcPr>
          <w:p w14:paraId="51F1ABC7" w14:textId="77777777" w:rsidR="00DE308A" w:rsidRPr="00696A00" w:rsidRDefault="00DE308A" w:rsidP="00C96427">
            <w:pPr>
              <w:spacing w:before="60" w:after="60"/>
              <w:jc w:val="center"/>
              <w:rPr>
                <w:rFonts w:ascii="Arial" w:hAnsi="Arial" w:cs="Arial"/>
                <w:iCs/>
                <w:sz w:val="22"/>
                <w:szCs w:val="22"/>
                <w:lang w:val="en-GB"/>
              </w:rPr>
            </w:pPr>
          </w:p>
        </w:tc>
        <w:tc>
          <w:tcPr>
            <w:tcW w:w="2318" w:type="pct"/>
            <w:gridSpan w:val="2"/>
            <w:vMerge/>
            <w:tcBorders>
              <w:right w:val="single" w:sz="4" w:space="0" w:color="auto"/>
            </w:tcBorders>
            <w:shd w:val="clear" w:color="auto" w:fill="auto"/>
            <w:vAlign w:val="center"/>
          </w:tcPr>
          <w:p w14:paraId="3F57D4A6" w14:textId="77777777" w:rsidR="00DE308A" w:rsidRPr="00696A00" w:rsidRDefault="00DE308A" w:rsidP="00C96427">
            <w:pPr>
              <w:spacing w:before="60" w:after="60"/>
              <w:rPr>
                <w:rFonts w:ascii="Arial" w:hAnsi="Arial" w:cs="Arial"/>
                <w:i/>
                <w:iCs/>
                <w:sz w:val="22"/>
                <w:szCs w:val="22"/>
                <w:lang w:val="en-GB"/>
              </w:rPr>
            </w:pPr>
          </w:p>
        </w:tc>
        <w:tc>
          <w:tcPr>
            <w:tcW w:w="2319" w:type="pct"/>
            <w:tcBorders>
              <w:top w:val="nil"/>
              <w:left w:val="single" w:sz="4" w:space="0" w:color="auto"/>
              <w:bottom w:val="nil"/>
              <w:right w:val="single" w:sz="4" w:space="0" w:color="auto"/>
            </w:tcBorders>
            <w:shd w:val="clear" w:color="auto" w:fill="auto"/>
            <w:vAlign w:val="center"/>
          </w:tcPr>
          <w:p w14:paraId="2785B89A" w14:textId="696186ED" w:rsidR="00DE308A" w:rsidRPr="00C06F15" w:rsidRDefault="00DE308A" w:rsidP="00870FD2">
            <w:pPr>
              <w:pStyle w:val="ListParagraph"/>
              <w:numPr>
                <w:ilvl w:val="0"/>
                <w:numId w:val="19"/>
              </w:numPr>
              <w:spacing w:before="60" w:after="60"/>
              <w:ind w:left="360"/>
              <w:contextualSpacing w:val="0"/>
              <w:rPr>
                <w:rFonts w:ascii="Arial" w:hAnsi="Arial" w:cs="Arial"/>
                <w:sz w:val="22"/>
                <w:szCs w:val="22"/>
                <w:lang w:val="en-GB"/>
              </w:rPr>
            </w:pPr>
            <w:r w:rsidRPr="00DE308A">
              <w:rPr>
                <w:rFonts w:ascii="Arial" w:hAnsi="Arial" w:cs="Arial"/>
                <w:sz w:val="22"/>
                <w:szCs w:val="22"/>
                <w:lang w:val="en-GB"/>
              </w:rPr>
              <w:t xml:space="preserve">10 facilitators trained (in Arab States) </w:t>
            </w:r>
            <w:r w:rsidR="009730C3">
              <w:rPr>
                <w:rFonts w:ascii="Arial" w:hAnsi="Arial" w:cs="Arial"/>
                <w:sz w:val="22"/>
                <w:szCs w:val="22"/>
                <w:lang w:val="en-GB"/>
              </w:rPr>
              <w:t xml:space="preserve">in </w:t>
            </w:r>
            <w:r w:rsidR="006D57EA">
              <w:rPr>
                <w:rFonts w:ascii="Arial" w:hAnsi="Arial" w:cs="Arial"/>
                <w:sz w:val="22"/>
                <w:szCs w:val="22"/>
                <w:lang w:val="en-GB"/>
              </w:rPr>
              <w:t xml:space="preserve">one thematic area </w:t>
            </w:r>
            <w:r w:rsidRPr="00DE308A">
              <w:rPr>
                <w:rFonts w:ascii="Arial" w:hAnsi="Arial" w:cs="Arial"/>
                <w:sz w:val="22"/>
                <w:szCs w:val="22"/>
                <w:lang w:val="en-GB"/>
              </w:rPr>
              <w:t xml:space="preserve">(pending </w:t>
            </w:r>
            <w:r w:rsidR="006F2624">
              <w:rPr>
                <w:rFonts w:ascii="Arial" w:hAnsi="Arial" w:cs="Arial"/>
                <w:sz w:val="22"/>
                <w:szCs w:val="22"/>
                <w:lang w:val="en-GB"/>
              </w:rPr>
              <w:t>co-</w:t>
            </w:r>
            <w:r w:rsidRPr="00DE308A">
              <w:rPr>
                <w:rFonts w:ascii="Arial" w:hAnsi="Arial" w:cs="Arial"/>
                <w:sz w:val="22"/>
                <w:szCs w:val="22"/>
                <w:lang w:val="en-GB"/>
              </w:rPr>
              <w:t>financing from host countries)</w:t>
            </w:r>
          </w:p>
        </w:tc>
      </w:tr>
      <w:tr w:rsidR="00DE308A" w:rsidRPr="0078363F" w14:paraId="6066D22E" w14:textId="77777777" w:rsidTr="00870FD2">
        <w:trPr>
          <w:cantSplit/>
        </w:trPr>
        <w:tc>
          <w:tcPr>
            <w:tcW w:w="363" w:type="pct"/>
            <w:vMerge/>
            <w:shd w:val="clear" w:color="auto" w:fill="auto"/>
            <w:vAlign w:val="center"/>
          </w:tcPr>
          <w:p w14:paraId="51788D04" w14:textId="77777777" w:rsidR="00DE308A" w:rsidRDefault="00DE308A" w:rsidP="00C96427">
            <w:pPr>
              <w:spacing w:before="60" w:after="60"/>
              <w:jc w:val="center"/>
              <w:rPr>
                <w:rFonts w:ascii="Arial" w:hAnsi="Arial" w:cs="Arial"/>
                <w:iCs/>
                <w:sz w:val="22"/>
                <w:szCs w:val="22"/>
                <w:lang w:val="en-GB"/>
              </w:rPr>
            </w:pPr>
          </w:p>
        </w:tc>
        <w:tc>
          <w:tcPr>
            <w:tcW w:w="2318" w:type="pct"/>
            <w:gridSpan w:val="2"/>
            <w:vMerge/>
            <w:tcBorders>
              <w:right w:val="single" w:sz="4" w:space="0" w:color="auto"/>
            </w:tcBorders>
            <w:shd w:val="clear" w:color="auto" w:fill="auto"/>
            <w:vAlign w:val="center"/>
          </w:tcPr>
          <w:p w14:paraId="18C6AB52" w14:textId="77777777" w:rsidR="00DE308A" w:rsidRPr="00696A00" w:rsidRDefault="00DE308A" w:rsidP="00C96427">
            <w:pPr>
              <w:spacing w:before="60" w:after="60"/>
              <w:rPr>
                <w:rFonts w:ascii="Arial" w:hAnsi="Arial" w:cs="Arial"/>
                <w:i/>
                <w:iCs/>
                <w:sz w:val="22"/>
                <w:szCs w:val="22"/>
                <w:lang w:val="en-GB"/>
              </w:rPr>
            </w:pPr>
          </w:p>
        </w:tc>
        <w:tc>
          <w:tcPr>
            <w:tcW w:w="2319" w:type="pct"/>
            <w:tcBorders>
              <w:top w:val="nil"/>
              <w:left w:val="single" w:sz="4" w:space="0" w:color="auto"/>
              <w:bottom w:val="nil"/>
              <w:right w:val="single" w:sz="4" w:space="0" w:color="auto"/>
            </w:tcBorders>
            <w:shd w:val="clear" w:color="auto" w:fill="auto"/>
            <w:vAlign w:val="center"/>
          </w:tcPr>
          <w:p w14:paraId="18A72C9A" w14:textId="7C3805AC" w:rsidR="00DE308A" w:rsidRPr="00DE308A" w:rsidRDefault="00DE308A" w:rsidP="00870FD2">
            <w:pPr>
              <w:pStyle w:val="ListParagraph"/>
              <w:numPr>
                <w:ilvl w:val="0"/>
                <w:numId w:val="19"/>
              </w:numPr>
              <w:spacing w:before="60" w:after="60"/>
              <w:ind w:left="360"/>
              <w:contextualSpacing w:val="0"/>
              <w:rPr>
                <w:rFonts w:ascii="Arial" w:hAnsi="Arial" w:cs="Arial"/>
                <w:sz w:val="22"/>
                <w:szCs w:val="22"/>
                <w:lang w:val="en-GB"/>
              </w:rPr>
            </w:pPr>
            <w:r w:rsidRPr="00DE308A">
              <w:rPr>
                <w:rFonts w:ascii="Arial" w:hAnsi="Arial" w:cs="Arial"/>
                <w:sz w:val="22"/>
                <w:szCs w:val="22"/>
                <w:lang w:val="en-GB"/>
              </w:rPr>
              <w:t xml:space="preserve">10 facilitators trained </w:t>
            </w:r>
            <w:r w:rsidR="0057791F">
              <w:rPr>
                <w:rFonts w:ascii="Arial" w:hAnsi="Arial" w:cs="Arial"/>
                <w:sz w:val="22"/>
                <w:szCs w:val="22"/>
                <w:lang w:val="en-GB"/>
              </w:rPr>
              <w:t>i</w:t>
            </w:r>
            <w:r w:rsidR="0057791F" w:rsidRPr="00DE308A">
              <w:rPr>
                <w:rFonts w:ascii="Arial" w:hAnsi="Arial" w:cs="Arial"/>
                <w:sz w:val="22"/>
                <w:szCs w:val="22"/>
                <w:lang w:val="en-GB"/>
              </w:rPr>
              <w:t xml:space="preserve">n </w:t>
            </w:r>
            <w:r w:rsidR="00026A03">
              <w:rPr>
                <w:rFonts w:ascii="Arial" w:hAnsi="Arial" w:cs="Arial"/>
                <w:sz w:val="22"/>
                <w:szCs w:val="22"/>
                <w:lang w:val="en-GB"/>
              </w:rPr>
              <w:t>safeguarding intangible cultural heritage in formal and non-formal education</w:t>
            </w:r>
          </w:p>
        </w:tc>
      </w:tr>
      <w:tr w:rsidR="00DE308A" w:rsidRPr="0078363F" w14:paraId="0A200991" w14:textId="77777777" w:rsidTr="00E701F5">
        <w:trPr>
          <w:cantSplit/>
        </w:trPr>
        <w:tc>
          <w:tcPr>
            <w:tcW w:w="363" w:type="pct"/>
            <w:vMerge/>
            <w:shd w:val="clear" w:color="auto" w:fill="auto"/>
            <w:vAlign w:val="center"/>
          </w:tcPr>
          <w:p w14:paraId="639A1E6D" w14:textId="77777777" w:rsidR="00DE308A" w:rsidRDefault="00DE308A" w:rsidP="00C96427">
            <w:pPr>
              <w:spacing w:before="60" w:after="60"/>
              <w:jc w:val="center"/>
              <w:rPr>
                <w:rFonts w:ascii="Arial" w:hAnsi="Arial" w:cs="Arial"/>
                <w:iCs/>
                <w:sz w:val="22"/>
                <w:szCs w:val="22"/>
                <w:lang w:val="en-GB"/>
              </w:rPr>
            </w:pPr>
          </w:p>
        </w:tc>
        <w:tc>
          <w:tcPr>
            <w:tcW w:w="2318" w:type="pct"/>
            <w:gridSpan w:val="2"/>
            <w:vMerge/>
            <w:tcBorders>
              <w:bottom w:val="single" w:sz="4" w:space="0" w:color="auto"/>
              <w:right w:val="single" w:sz="4" w:space="0" w:color="auto"/>
            </w:tcBorders>
            <w:shd w:val="clear" w:color="auto" w:fill="auto"/>
            <w:vAlign w:val="center"/>
          </w:tcPr>
          <w:p w14:paraId="2A8E3522" w14:textId="77777777" w:rsidR="00DE308A" w:rsidRPr="00696A00" w:rsidRDefault="00DE308A" w:rsidP="00C96427">
            <w:pPr>
              <w:spacing w:before="60" w:after="60"/>
              <w:rPr>
                <w:rFonts w:ascii="Arial" w:hAnsi="Arial" w:cs="Arial"/>
                <w:i/>
                <w:iCs/>
                <w:sz w:val="22"/>
                <w:szCs w:val="22"/>
                <w:lang w:val="en-GB"/>
              </w:rPr>
            </w:pPr>
          </w:p>
        </w:tc>
        <w:tc>
          <w:tcPr>
            <w:tcW w:w="2319" w:type="pct"/>
            <w:tcBorders>
              <w:top w:val="nil"/>
              <w:left w:val="single" w:sz="4" w:space="0" w:color="auto"/>
              <w:bottom w:val="single" w:sz="4" w:space="0" w:color="auto"/>
              <w:right w:val="single" w:sz="4" w:space="0" w:color="auto"/>
            </w:tcBorders>
            <w:shd w:val="clear" w:color="auto" w:fill="auto"/>
            <w:vAlign w:val="center"/>
          </w:tcPr>
          <w:p w14:paraId="2C9924A8" w14:textId="2D6276A5" w:rsidR="00DE308A" w:rsidRPr="00DE308A" w:rsidRDefault="00DE308A" w:rsidP="00870FD2">
            <w:pPr>
              <w:pStyle w:val="ListParagraph"/>
              <w:numPr>
                <w:ilvl w:val="0"/>
                <w:numId w:val="19"/>
              </w:numPr>
              <w:spacing w:before="60" w:after="60"/>
              <w:ind w:left="360"/>
              <w:contextualSpacing w:val="0"/>
              <w:rPr>
                <w:rFonts w:ascii="Arial" w:hAnsi="Arial" w:cs="Arial"/>
                <w:sz w:val="22"/>
                <w:szCs w:val="22"/>
                <w:lang w:val="en-GB"/>
              </w:rPr>
            </w:pPr>
            <w:r w:rsidRPr="00DE308A">
              <w:rPr>
                <w:rFonts w:ascii="Arial" w:hAnsi="Arial" w:cs="Arial"/>
                <w:sz w:val="22"/>
                <w:szCs w:val="22"/>
                <w:lang w:val="en-GB"/>
              </w:rPr>
              <w:t>Webpage on facilitators</w:t>
            </w:r>
            <w:r w:rsidR="0057791F">
              <w:rPr>
                <w:rFonts w:ascii="Arial" w:hAnsi="Arial" w:cs="Arial"/>
                <w:sz w:val="22"/>
                <w:szCs w:val="22"/>
                <w:lang w:val="en-GB"/>
              </w:rPr>
              <w:t>’</w:t>
            </w:r>
            <w:r w:rsidRPr="00DE308A">
              <w:rPr>
                <w:rFonts w:ascii="Arial" w:hAnsi="Arial" w:cs="Arial"/>
                <w:sz w:val="22"/>
                <w:szCs w:val="22"/>
                <w:lang w:val="en-GB"/>
              </w:rPr>
              <w:t xml:space="preserve"> network maintained</w:t>
            </w:r>
          </w:p>
        </w:tc>
      </w:tr>
      <w:tr w:rsidR="00E701F5" w:rsidRPr="0078363F" w14:paraId="0797A186" w14:textId="77777777" w:rsidTr="0078363F">
        <w:trPr>
          <w:cantSplit/>
          <w:trHeight w:val="897"/>
        </w:trPr>
        <w:tc>
          <w:tcPr>
            <w:tcW w:w="363" w:type="pct"/>
            <w:vMerge w:val="restart"/>
            <w:tcBorders>
              <w:right w:val="single" w:sz="4" w:space="0" w:color="auto"/>
            </w:tcBorders>
            <w:shd w:val="clear" w:color="auto" w:fill="auto"/>
            <w:vAlign w:val="center"/>
          </w:tcPr>
          <w:p w14:paraId="0A1BAC90" w14:textId="0855DD18" w:rsidR="00E701F5" w:rsidRPr="00696A00" w:rsidRDefault="00E701F5" w:rsidP="00DE308A">
            <w:pPr>
              <w:spacing w:before="60" w:after="60"/>
              <w:jc w:val="center"/>
              <w:rPr>
                <w:rFonts w:ascii="Arial" w:hAnsi="Arial" w:cs="Arial"/>
                <w:iCs/>
                <w:sz w:val="22"/>
                <w:szCs w:val="22"/>
                <w:lang w:val="en-GB"/>
              </w:rPr>
            </w:pPr>
            <w:r>
              <w:rPr>
                <w:rFonts w:ascii="Arial" w:hAnsi="Arial" w:cs="Arial"/>
                <w:iCs/>
                <w:sz w:val="22"/>
                <w:szCs w:val="22"/>
                <w:lang w:val="en-GB"/>
              </w:rPr>
              <w:t>2</w:t>
            </w:r>
            <w:r w:rsidRPr="00696A00">
              <w:rPr>
                <w:rFonts w:ascii="Arial" w:hAnsi="Arial" w:cs="Arial"/>
                <w:iCs/>
                <w:sz w:val="22"/>
                <w:szCs w:val="22"/>
                <w:lang w:val="en-GB"/>
              </w:rPr>
              <w:t>.</w:t>
            </w:r>
            <w:r>
              <w:rPr>
                <w:rFonts w:ascii="Arial" w:hAnsi="Arial" w:cs="Arial"/>
                <w:iCs/>
                <w:sz w:val="22"/>
                <w:szCs w:val="22"/>
                <w:lang w:val="en-GB"/>
              </w:rPr>
              <w:t>2</w:t>
            </w:r>
          </w:p>
        </w:tc>
        <w:tc>
          <w:tcPr>
            <w:tcW w:w="2318" w:type="pct"/>
            <w:gridSpan w:val="2"/>
            <w:vMerge w:val="restart"/>
            <w:tcBorders>
              <w:top w:val="single" w:sz="4" w:space="0" w:color="auto"/>
              <w:left w:val="single" w:sz="4" w:space="0" w:color="auto"/>
              <w:right w:val="single" w:sz="4" w:space="0" w:color="auto"/>
            </w:tcBorders>
            <w:shd w:val="clear" w:color="auto" w:fill="auto"/>
            <w:vAlign w:val="center"/>
          </w:tcPr>
          <w:p w14:paraId="62B7BC38" w14:textId="77777777" w:rsidR="00E701F5" w:rsidRPr="00D3305D" w:rsidRDefault="00E701F5" w:rsidP="00C96427">
            <w:pPr>
              <w:spacing w:before="60" w:after="60"/>
              <w:rPr>
                <w:rFonts w:ascii="Arial" w:hAnsi="Arial" w:cs="Arial"/>
                <w:sz w:val="22"/>
                <w:szCs w:val="22"/>
                <w:lang w:val="en-GB"/>
              </w:rPr>
            </w:pPr>
            <w:r w:rsidRPr="00D3305D">
              <w:rPr>
                <w:rFonts w:ascii="Arial" w:hAnsi="Arial" w:cs="Arial"/>
                <w:sz w:val="22"/>
                <w:szCs w:val="22"/>
                <w:lang w:val="en-GB"/>
              </w:rPr>
              <w:t>Content and format of the capacity-building programme further developed to respond to major implementation challenges and decisions of statutory organs</w:t>
            </w:r>
          </w:p>
        </w:tc>
        <w:tc>
          <w:tcPr>
            <w:tcW w:w="2319" w:type="pct"/>
            <w:tcBorders>
              <w:top w:val="single" w:sz="4" w:space="0" w:color="auto"/>
              <w:left w:val="single" w:sz="4" w:space="0" w:color="auto"/>
              <w:bottom w:val="nil"/>
            </w:tcBorders>
            <w:shd w:val="clear" w:color="auto" w:fill="auto"/>
            <w:vAlign w:val="center"/>
          </w:tcPr>
          <w:p w14:paraId="3DBC9B1E" w14:textId="083C0716" w:rsidR="00E701F5" w:rsidRPr="00E701F5" w:rsidRDefault="00E701F5" w:rsidP="00E701F5">
            <w:pPr>
              <w:pStyle w:val="ListParagraph"/>
              <w:numPr>
                <w:ilvl w:val="0"/>
                <w:numId w:val="19"/>
              </w:numPr>
              <w:spacing w:before="60" w:after="60"/>
              <w:ind w:left="360"/>
              <w:contextualSpacing w:val="0"/>
              <w:rPr>
                <w:rFonts w:ascii="Arial" w:hAnsi="Arial" w:cs="Arial"/>
                <w:iCs/>
                <w:sz w:val="22"/>
                <w:szCs w:val="22"/>
                <w:lang w:val="en-GB"/>
              </w:rPr>
            </w:pPr>
            <w:r w:rsidRPr="00DE308A">
              <w:rPr>
                <w:rFonts w:ascii="Arial" w:hAnsi="Arial" w:cs="Arial"/>
                <w:iCs/>
                <w:sz w:val="22"/>
                <w:szCs w:val="22"/>
                <w:lang w:val="en-GB"/>
              </w:rPr>
              <w:t xml:space="preserve">34 national focal points for periodic reporting trained </w:t>
            </w:r>
            <w:r w:rsidR="0057791F">
              <w:rPr>
                <w:rFonts w:ascii="Arial" w:hAnsi="Arial" w:cs="Arial"/>
                <w:iCs/>
                <w:sz w:val="22"/>
                <w:szCs w:val="22"/>
                <w:lang w:val="en-GB"/>
              </w:rPr>
              <w:t>i</w:t>
            </w:r>
            <w:r w:rsidRPr="00DE308A">
              <w:rPr>
                <w:rFonts w:ascii="Arial" w:hAnsi="Arial" w:cs="Arial"/>
                <w:iCs/>
                <w:sz w:val="22"/>
                <w:szCs w:val="22"/>
                <w:lang w:val="en-GB"/>
              </w:rPr>
              <w:t xml:space="preserve">n periodic reporting in LAC (pending </w:t>
            </w:r>
            <w:r>
              <w:rPr>
                <w:rFonts w:ascii="Arial" w:hAnsi="Arial" w:cs="Arial"/>
                <w:iCs/>
                <w:sz w:val="22"/>
                <w:szCs w:val="22"/>
                <w:lang w:val="en-GB"/>
              </w:rPr>
              <w:t>co-</w:t>
            </w:r>
            <w:r w:rsidRPr="00DE308A">
              <w:rPr>
                <w:rFonts w:ascii="Arial" w:hAnsi="Arial" w:cs="Arial"/>
                <w:iCs/>
                <w:sz w:val="22"/>
                <w:szCs w:val="22"/>
                <w:lang w:val="en-GB"/>
              </w:rPr>
              <w:t>financing from host country)</w:t>
            </w:r>
          </w:p>
        </w:tc>
      </w:tr>
      <w:tr w:rsidR="00721354" w:rsidRPr="0078363F" w14:paraId="2FF16AB1" w14:textId="77777777" w:rsidTr="0078363F">
        <w:trPr>
          <w:cantSplit/>
          <w:trHeight w:val="907"/>
        </w:trPr>
        <w:tc>
          <w:tcPr>
            <w:tcW w:w="363" w:type="pct"/>
            <w:vMerge/>
            <w:tcBorders>
              <w:right w:val="single" w:sz="4" w:space="0" w:color="auto"/>
            </w:tcBorders>
            <w:shd w:val="clear" w:color="auto" w:fill="auto"/>
            <w:vAlign w:val="center"/>
          </w:tcPr>
          <w:p w14:paraId="18859614" w14:textId="77777777" w:rsidR="00721354" w:rsidRDefault="00721354" w:rsidP="00DE308A">
            <w:pPr>
              <w:spacing w:before="60" w:after="60"/>
              <w:jc w:val="center"/>
              <w:rPr>
                <w:rFonts w:ascii="Arial" w:hAnsi="Arial" w:cs="Arial"/>
                <w:iCs/>
                <w:sz w:val="22"/>
                <w:szCs w:val="22"/>
                <w:lang w:val="en-GB"/>
              </w:rPr>
            </w:pPr>
          </w:p>
        </w:tc>
        <w:tc>
          <w:tcPr>
            <w:tcW w:w="2318" w:type="pct"/>
            <w:gridSpan w:val="2"/>
            <w:vMerge/>
            <w:tcBorders>
              <w:left w:val="single" w:sz="4" w:space="0" w:color="auto"/>
              <w:right w:val="single" w:sz="4" w:space="0" w:color="auto"/>
            </w:tcBorders>
            <w:shd w:val="clear" w:color="auto" w:fill="auto"/>
            <w:vAlign w:val="center"/>
          </w:tcPr>
          <w:p w14:paraId="57DB2AD2" w14:textId="77777777" w:rsidR="00721354" w:rsidRPr="00D3305D" w:rsidRDefault="00721354" w:rsidP="00C96427">
            <w:pPr>
              <w:spacing w:before="60" w:after="60"/>
              <w:rPr>
                <w:rFonts w:ascii="Arial" w:hAnsi="Arial" w:cs="Arial"/>
                <w:sz w:val="22"/>
                <w:szCs w:val="22"/>
                <w:lang w:val="en-GB"/>
              </w:rPr>
            </w:pPr>
          </w:p>
        </w:tc>
        <w:tc>
          <w:tcPr>
            <w:tcW w:w="2319" w:type="pct"/>
            <w:tcBorders>
              <w:top w:val="nil"/>
              <w:left w:val="single" w:sz="4" w:space="0" w:color="auto"/>
              <w:bottom w:val="nil"/>
            </w:tcBorders>
            <w:shd w:val="clear" w:color="auto" w:fill="auto"/>
            <w:vAlign w:val="center"/>
          </w:tcPr>
          <w:p w14:paraId="0E06A4EA" w14:textId="139E7DB1" w:rsidR="00721354" w:rsidRPr="00DE308A" w:rsidRDefault="00721354" w:rsidP="0078363F">
            <w:pPr>
              <w:pStyle w:val="ListParagraph"/>
              <w:numPr>
                <w:ilvl w:val="0"/>
                <w:numId w:val="19"/>
              </w:numPr>
              <w:spacing w:before="60" w:after="60"/>
              <w:ind w:left="360"/>
              <w:contextualSpacing w:val="0"/>
              <w:rPr>
                <w:rFonts w:ascii="Arial" w:hAnsi="Arial" w:cs="Arial"/>
                <w:iCs/>
                <w:sz w:val="22"/>
                <w:szCs w:val="22"/>
                <w:lang w:val="en-GB"/>
              </w:rPr>
            </w:pPr>
            <w:r w:rsidRPr="00DE308A">
              <w:rPr>
                <w:rFonts w:ascii="Arial" w:hAnsi="Arial" w:cs="Arial"/>
                <w:iCs/>
                <w:sz w:val="22"/>
                <w:szCs w:val="22"/>
                <w:lang w:val="en-GB"/>
              </w:rPr>
              <w:t>Training materials on periodic reporting and policy development available in three languages</w:t>
            </w:r>
          </w:p>
        </w:tc>
      </w:tr>
      <w:tr w:rsidR="00E701F5" w:rsidRPr="00DE308A" w14:paraId="35FA3581" w14:textId="77777777" w:rsidTr="00E701F5">
        <w:trPr>
          <w:cantSplit/>
          <w:trHeight w:val="340"/>
        </w:trPr>
        <w:tc>
          <w:tcPr>
            <w:tcW w:w="363" w:type="pct"/>
            <w:vMerge/>
            <w:tcBorders>
              <w:right w:val="single" w:sz="4" w:space="0" w:color="auto"/>
            </w:tcBorders>
            <w:shd w:val="clear" w:color="auto" w:fill="auto"/>
            <w:vAlign w:val="center"/>
          </w:tcPr>
          <w:p w14:paraId="4A3F59BF" w14:textId="77777777" w:rsidR="00E701F5" w:rsidRDefault="00E701F5" w:rsidP="00DE308A">
            <w:pPr>
              <w:spacing w:before="60" w:after="60"/>
              <w:jc w:val="center"/>
              <w:rPr>
                <w:rFonts w:ascii="Arial" w:hAnsi="Arial" w:cs="Arial"/>
                <w:iCs/>
                <w:sz w:val="22"/>
                <w:szCs w:val="22"/>
                <w:lang w:val="en-GB"/>
              </w:rPr>
            </w:pPr>
          </w:p>
        </w:tc>
        <w:tc>
          <w:tcPr>
            <w:tcW w:w="2318" w:type="pct"/>
            <w:gridSpan w:val="2"/>
            <w:vMerge/>
            <w:tcBorders>
              <w:left w:val="single" w:sz="4" w:space="0" w:color="auto"/>
              <w:right w:val="single" w:sz="4" w:space="0" w:color="auto"/>
            </w:tcBorders>
            <w:shd w:val="clear" w:color="auto" w:fill="auto"/>
            <w:vAlign w:val="center"/>
          </w:tcPr>
          <w:p w14:paraId="7B62C3E2" w14:textId="77777777" w:rsidR="00E701F5" w:rsidRPr="00D3305D" w:rsidRDefault="00E701F5" w:rsidP="00C96427">
            <w:pPr>
              <w:spacing w:before="60" w:after="60"/>
              <w:rPr>
                <w:rFonts w:ascii="Arial" w:hAnsi="Arial" w:cs="Arial"/>
                <w:sz w:val="22"/>
                <w:szCs w:val="22"/>
                <w:lang w:val="en-GB"/>
              </w:rPr>
            </w:pPr>
          </w:p>
        </w:tc>
        <w:tc>
          <w:tcPr>
            <w:tcW w:w="2319" w:type="pct"/>
            <w:tcBorders>
              <w:top w:val="nil"/>
              <w:left w:val="single" w:sz="4" w:space="0" w:color="auto"/>
            </w:tcBorders>
            <w:shd w:val="clear" w:color="auto" w:fill="auto"/>
            <w:vAlign w:val="center"/>
          </w:tcPr>
          <w:p w14:paraId="1701AA98" w14:textId="5BFD4F23" w:rsidR="00E701F5" w:rsidRPr="00DE308A" w:rsidRDefault="00E701F5" w:rsidP="00E701F5">
            <w:pPr>
              <w:pStyle w:val="ListParagraph"/>
              <w:numPr>
                <w:ilvl w:val="0"/>
                <w:numId w:val="19"/>
              </w:numPr>
              <w:spacing w:before="60" w:after="60"/>
              <w:ind w:left="360"/>
              <w:contextualSpacing w:val="0"/>
              <w:rPr>
                <w:rFonts w:ascii="Arial" w:hAnsi="Arial" w:cs="Arial"/>
                <w:iCs/>
                <w:sz w:val="22"/>
                <w:szCs w:val="22"/>
                <w:lang w:val="en-GB"/>
              </w:rPr>
            </w:pPr>
            <w:r w:rsidRPr="00DE308A">
              <w:rPr>
                <w:rFonts w:ascii="Arial" w:hAnsi="Arial" w:cs="Arial"/>
                <w:iCs/>
                <w:sz w:val="22"/>
                <w:szCs w:val="22"/>
                <w:lang w:val="en-GB"/>
              </w:rPr>
              <w:t>Materials browser maintained</w:t>
            </w:r>
          </w:p>
        </w:tc>
      </w:tr>
      <w:tr w:rsidR="00DE308A" w:rsidRPr="0078363F" w14:paraId="0C1F6C27" w14:textId="77777777" w:rsidTr="00870FD2">
        <w:trPr>
          <w:cantSplit/>
        </w:trPr>
        <w:tc>
          <w:tcPr>
            <w:tcW w:w="363" w:type="pct"/>
            <w:vMerge w:val="restart"/>
            <w:tcBorders>
              <w:right w:val="single" w:sz="4" w:space="0" w:color="auto"/>
            </w:tcBorders>
            <w:shd w:val="clear" w:color="auto" w:fill="auto"/>
            <w:vAlign w:val="center"/>
          </w:tcPr>
          <w:p w14:paraId="673BC6C6" w14:textId="77777777" w:rsidR="00DE308A" w:rsidRDefault="00DE308A" w:rsidP="00DE308A">
            <w:pPr>
              <w:spacing w:before="60" w:after="60"/>
              <w:jc w:val="center"/>
              <w:rPr>
                <w:rFonts w:ascii="Arial" w:hAnsi="Arial" w:cs="Arial"/>
                <w:iCs/>
                <w:sz w:val="22"/>
                <w:szCs w:val="22"/>
                <w:lang w:val="en-GB"/>
              </w:rPr>
            </w:pPr>
            <w:r>
              <w:rPr>
                <w:rFonts w:ascii="Arial" w:hAnsi="Arial" w:cs="Arial"/>
                <w:iCs/>
                <w:sz w:val="22"/>
                <w:szCs w:val="22"/>
                <w:lang w:val="en-GB"/>
              </w:rPr>
              <w:t>2.3</w:t>
            </w:r>
          </w:p>
        </w:tc>
        <w:tc>
          <w:tcPr>
            <w:tcW w:w="23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4586CD" w14:textId="77777777" w:rsidR="00DE308A" w:rsidRPr="00D3305D" w:rsidRDefault="00DE308A" w:rsidP="00C96427">
            <w:pPr>
              <w:spacing w:before="60" w:after="60"/>
              <w:rPr>
                <w:rFonts w:ascii="Arial" w:hAnsi="Arial" w:cs="Arial"/>
                <w:sz w:val="22"/>
                <w:szCs w:val="22"/>
                <w:lang w:val="en-GB"/>
              </w:rPr>
            </w:pPr>
            <w:r w:rsidRPr="00D3305D">
              <w:rPr>
                <w:rFonts w:ascii="Arial" w:hAnsi="Arial" w:cs="Arial"/>
                <w:sz w:val="22"/>
                <w:szCs w:val="22"/>
                <w:lang w:val="en-GB"/>
              </w:rPr>
              <w:t>Monitoring of the capacity-building programme ensured and information shared with relevant partners</w:t>
            </w:r>
          </w:p>
        </w:tc>
        <w:tc>
          <w:tcPr>
            <w:tcW w:w="2319" w:type="pct"/>
            <w:tcBorders>
              <w:top w:val="single" w:sz="4" w:space="0" w:color="auto"/>
              <w:left w:val="single" w:sz="4" w:space="0" w:color="auto"/>
              <w:bottom w:val="nil"/>
              <w:right w:val="single" w:sz="4" w:space="0" w:color="auto"/>
            </w:tcBorders>
            <w:shd w:val="clear" w:color="auto" w:fill="auto"/>
            <w:vAlign w:val="center"/>
          </w:tcPr>
          <w:p w14:paraId="35515465" w14:textId="42489E6E" w:rsidR="00DE308A" w:rsidRPr="00DE308A" w:rsidRDefault="0057791F" w:rsidP="00870FD2">
            <w:pPr>
              <w:pStyle w:val="ListParagraph"/>
              <w:numPr>
                <w:ilvl w:val="0"/>
                <w:numId w:val="19"/>
              </w:numPr>
              <w:spacing w:before="60" w:after="60"/>
              <w:ind w:left="360"/>
              <w:contextualSpacing w:val="0"/>
              <w:rPr>
                <w:rFonts w:ascii="Arial" w:hAnsi="Arial" w:cs="Arial"/>
                <w:iCs/>
                <w:sz w:val="22"/>
                <w:szCs w:val="22"/>
                <w:lang w:val="en-GB"/>
              </w:rPr>
            </w:pPr>
            <w:r>
              <w:rPr>
                <w:rFonts w:ascii="Arial" w:hAnsi="Arial" w:cs="Arial"/>
                <w:iCs/>
                <w:sz w:val="22"/>
                <w:szCs w:val="22"/>
                <w:lang w:val="en-GB"/>
              </w:rPr>
              <w:t>O</w:t>
            </w:r>
            <w:r w:rsidR="00DE308A" w:rsidRPr="00DE308A">
              <w:rPr>
                <w:rFonts w:ascii="Arial" w:hAnsi="Arial" w:cs="Arial"/>
                <w:iCs/>
                <w:sz w:val="22"/>
                <w:szCs w:val="22"/>
                <w:lang w:val="en-GB"/>
              </w:rPr>
              <w:t>nline planning and reporting tool for capacity-building activities further revised to track participants</w:t>
            </w:r>
            <w:r>
              <w:rPr>
                <w:rFonts w:ascii="Arial" w:hAnsi="Arial" w:cs="Arial"/>
                <w:iCs/>
                <w:sz w:val="22"/>
                <w:szCs w:val="22"/>
                <w:lang w:val="en-GB"/>
              </w:rPr>
              <w:t>’</w:t>
            </w:r>
            <w:r w:rsidR="00DE308A" w:rsidRPr="00DE308A">
              <w:rPr>
                <w:rFonts w:ascii="Arial" w:hAnsi="Arial" w:cs="Arial"/>
                <w:iCs/>
                <w:sz w:val="22"/>
                <w:szCs w:val="22"/>
                <w:lang w:val="en-GB"/>
              </w:rPr>
              <w:t xml:space="preserve"> profiles related to inclusion</w:t>
            </w:r>
          </w:p>
        </w:tc>
      </w:tr>
      <w:tr w:rsidR="00DE308A" w:rsidRPr="00DE308A" w14:paraId="3CDE215D" w14:textId="77777777" w:rsidTr="00870FD2">
        <w:trPr>
          <w:cantSplit/>
        </w:trPr>
        <w:tc>
          <w:tcPr>
            <w:tcW w:w="363" w:type="pct"/>
            <w:vMerge/>
            <w:tcBorders>
              <w:right w:val="single" w:sz="4" w:space="0" w:color="auto"/>
            </w:tcBorders>
            <w:shd w:val="clear" w:color="auto" w:fill="auto"/>
            <w:vAlign w:val="center"/>
          </w:tcPr>
          <w:p w14:paraId="2C84D642" w14:textId="77777777" w:rsidR="00DE308A" w:rsidRDefault="00DE308A" w:rsidP="00DE308A">
            <w:pPr>
              <w:spacing w:before="60" w:after="60"/>
              <w:jc w:val="center"/>
              <w:rPr>
                <w:rFonts w:ascii="Arial" w:hAnsi="Arial" w:cs="Arial"/>
                <w:iCs/>
                <w:sz w:val="22"/>
                <w:szCs w:val="22"/>
                <w:lang w:val="en-GB"/>
              </w:rPr>
            </w:pPr>
          </w:p>
        </w:tc>
        <w:tc>
          <w:tcPr>
            <w:tcW w:w="2318" w:type="pct"/>
            <w:gridSpan w:val="2"/>
            <w:vMerge/>
            <w:tcBorders>
              <w:left w:val="single" w:sz="4" w:space="0" w:color="auto"/>
              <w:bottom w:val="single" w:sz="4" w:space="0" w:color="auto"/>
              <w:right w:val="single" w:sz="4" w:space="0" w:color="auto"/>
            </w:tcBorders>
            <w:shd w:val="clear" w:color="auto" w:fill="auto"/>
            <w:vAlign w:val="center"/>
          </w:tcPr>
          <w:p w14:paraId="7F1C5D64" w14:textId="77777777" w:rsidR="00DE308A" w:rsidRPr="00DE308A" w:rsidRDefault="00DE308A" w:rsidP="00C96427">
            <w:pPr>
              <w:spacing w:before="60" w:after="60"/>
              <w:rPr>
                <w:rFonts w:ascii="Arial" w:hAnsi="Arial" w:cs="Arial"/>
                <w:iCs/>
                <w:sz w:val="22"/>
                <w:szCs w:val="22"/>
                <w:lang w:val="en-GB"/>
              </w:rPr>
            </w:pPr>
          </w:p>
        </w:tc>
        <w:tc>
          <w:tcPr>
            <w:tcW w:w="2319" w:type="pct"/>
            <w:tcBorders>
              <w:top w:val="nil"/>
              <w:left w:val="single" w:sz="4" w:space="0" w:color="auto"/>
              <w:bottom w:val="single" w:sz="4" w:space="0" w:color="auto"/>
              <w:right w:val="single" w:sz="4" w:space="0" w:color="auto"/>
            </w:tcBorders>
            <w:shd w:val="clear" w:color="auto" w:fill="auto"/>
            <w:vAlign w:val="center"/>
          </w:tcPr>
          <w:p w14:paraId="7E37C71A" w14:textId="2DE6F052" w:rsidR="00DE308A" w:rsidRPr="00870FD2" w:rsidRDefault="00DE308A" w:rsidP="00870FD2">
            <w:pPr>
              <w:pStyle w:val="ListParagraph"/>
              <w:numPr>
                <w:ilvl w:val="0"/>
                <w:numId w:val="19"/>
              </w:numPr>
              <w:spacing w:before="60" w:after="60"/>
              <w:ind w:left="360"/>
              <w:contextualSpacing w:val="0"/>
              <w:rPr>
                <w:rFonts w:ascii="Arial" w:hAnsi="Arial" w:cs="Arial"/>
                <w:iCs/>
                <w:sz w:val="22"/>
                <w:szCs w:val="22"/>
                <w:lang w:val="en-US"/>
              </w:rPr>
            </w:pPr>
            <w:r w:rsidRPr="00870FD2">
              <w:rPr>
                <w:rFonts w:ascii="Arial" w:hAnsi="Arial" w:cs="Arial"/>
                <w:iCs/>
                <w:sz w:val="22"/>
                <w:szCs w:val="22"/>
                <w:lang w:val="en-US"/>
              </w:rPr>
              <w:t xml:space="preserve">Programme information pamphlet </w:t>
            </w:r>
            <w:r w:rsidR="003B1488" w:rsidRPr="00870FD2">
              <w:rPr>
                <w:rFonts w:ascii="Arial" w:hAnsi="Arial" w:cs="Arial"/>
                <w:iCs/>
                <w:sz w:val="22"/>
                <w:szCs w:val="22"/>
                <w:lang w:val="en-US"/>
              </w:rPr>
              <w:t>available</w:t>
            </w:r>
            <w:r w:rsidRPr="00870FD2">
              <w:rPr>
                <w:rFonts w:ascii="Arial" w:hAnsi="Arial" w:cs="Arial"/>
                <w:iCs/>
                <w:sz w:val="22"/>
                <w:szCs w:val="22"/>
                <w:lang w:val="en-US"/>
              </w:rPr>
              <w:t xml:space="preserve"> in </w:t>
            </w:r>
            <w:r w:rsidR="003B1488">
              <w:rPr>
                <w:rFonts w:ascii="Arial" w:hAnsi="Arial" w:cs="Arial"/>
                <w:iCs/>
                <w:sz w:val="22"/>
                <w:szCs w:val="22"/>
                <w:lang w:val="en-US"/>
              </w:rPr>
              <w:t xml:space="preserve">the </w:t>
            </w:r>
            <w:r w:rsidR="00DF3023" w:rsidRPr="00870FD2">
              <w:rPr>
                <w:rFonts w:ascii="Arial" w:hAnsi="Arial" w:cs="Arial"/>
                <w:iCs/>
                <w:sz w:val="22"/>
                <w:szCs w:val="22"/>
                <w:lang w:val="en-US"/>
              </w:rPr>
              <w:t xml:space="preserve">six </w:t>
            </w:r>
            <w:r w:rsidRPr="00870FD2">
              <w:rPr>
                <w:rFonts w:ascii="Arial" w:hAnsi="Arial" w:cs="Arial"/>
                <w:iCs/>
                <w:sz w:val="22"/>
                <w:szCs w:val="22"/>
                <w:lang w:val="en-US"/>
              </w:rPr>
              <w:t>UN languages</w:t>
            </w:r>
          </w:p>
        </w:tc>
      </w:tr>
      <w:tr w:rsidR="008C0E9C" w:rsidRPr="0078363F" w14:paraId="6A2D8126" w14:textId="77777777" w:rsidTr="00870FD2">
        <w:trPr>
          <w:cantSplit/>
          <w:trHeight w:val="1020"/>
        </w:trPr>
        <w:tc>
          <w:tcPr>
            <w:tcW w:w="363" w:type="pct"/>
            <w:shd w:val="clear" w:color="auto" w:fill="auto"/>
            <w:vAlign w:val="center"/>
          </w:tcPr>
          <w:p w14:paraId="30B2BC6F" w14:textId="77777777" w:rsidR="008C0E9C" w:rsidRDefault="008C0E9C" w:rsidP="00DE308A">
            <w:pPr>
              <w:spacing w:before="60" w:after="60"/>
              <w:jc w:val="center"/>
              <w:rPr>
                <w:rFonts w:ascii="Arial" w:hAnsi="Arial" w:cs="Arial"/>
                <w:iCs/>
                <w:sz w:val="22"/>
                <w:szCs w:val="22"/>
                <w:lang w:val="en-GB"/>
              </w:rPr>
            </w:pPr>
            <w:r>
              <w:rPr>
                <w:rFonts w:ascii="Arial" w:hAnsi="Arial" w:cs="Arial"/>
                <w:iCs/>
                <w:sz w:val="22"/>
                <w:szCs w:val="22"/>
                <w:lang w:val="en-GB"/>
              </w:rPr>
              <w:t>2.4</w:t>
            </w:r>
          </w:p>
        </w:tc>
        <w:tc>
          <w:tcPr>
            <w:tcW w:w="2318" w:type="pct"/>
            <w:gridSpan w:val="2"/>
            <w:tcBorders>
              <w:top w:val="single" w:sz="4" w:space="0" w:color="auto"/>
            </w:tcBorders>
            <w:shd w:val="clear" w:color="auto" w:fill="auto"/>
            <w:vAlign w:val="center"/>
          </w:tcPr>
          <w:p w14:paraId="53F3CB62" w14:textId="77777777" w:rsidR="008C0E9C" w:rsidRPr="00DE308A" w:rsidRDefault="008C0E9C" w:rsidP="00C96427">
            <w:pPr>
              <w:spacing w:before="60" w:after="60"/>
              <w:rPr>
                <w:rFonts w:ascii="Arial" w:hAnsi="Arial" w:cs="Arial"/>
                <w:iCs/>
                <w:sz w:val="22"/>
                <w:szCs w:val="22"/>
                <w:lang w:val="en-GB"/>
              </w:rPr>
            </w:pPr>
            <w:r w:rsidRPr="00DE308A">
              <w:rPr>
                <w:rFonts w:ascii="Arial" w:hAnsi="Arial" w:cs="Arial"/>
                <w:iCs/>
                <w:sz w:val="22"/>
                <w:szCs w:val="22"/>
                <w:lang w:val="en-GB"/>
              </w:rPr>
              <w:t>Networking and partnerships with tertiary educational institutions strengthened</w:t>
            </w:r>
          </w:p>
        </w:tc>
        <w:tc>
          <w:tcPr>
            <w:tcW w:w="2319" w:type="pct"/>
            <w:tcBorders>
              <w:top w:val="single" w:sz="4" w:space="0" w:color="auto"/>
            </w:tcBorders>
            <w:shd w:val="clear" w:color="auto" w:fill="auto"/>
            <w:vAlign w:val="center"/>
          </w:tcPr>
          <w:p w14:paraId="4ACE5F5E" w14:textId="76F2C576" w:rsidR="008C0E9C" w:rsidRPr="00DE308A" w:rsidRDefault="008C0E9C" w:rsidP="00870FD2">
            <w:pPr>
              <w:pStyle w:val="ListParagraph"/>
              <w:numPr>
                <w:ilvl w:val="0"/>
                <w:numId w:val="19"/>
              </w:numPr>
              <w:spacing w:before="60" w:after="60"/>
              <w:ind w:left="360"/>
              <w:rPr>
                <w:rFonts w:ascii="Arial" w:hAnsi="Arial" w:cs="Arial"/>
                <w:iCs/>
                <w:sz w:val="22"/>
                <w:szCs w:val="22"/>
                <w:lang w:val="en-GB"/>
              </w:rPr>
            </w:pPr>
            <w:r w:rsidRPr="00DE308A">
              <w:rPr>
                <w:rFonts w:ascii="Arial" w:hAnsi="Arial" w:cs="Arial"/>
                <w:iCs/>
                <w:sz w:val="22"/>
                <w:szCs w:val="22"/>
                <w:lang w:val="en-GB"/>
              </w:rPr>
              <w:t>10 additional universities engage</w:t>
            </w:r>
            <w:r w:rsidR="00825D84">
              <w:rPr>
                <w:rFonts w:ascii="Arial" w:hAnsi="Arial" w:cs="Arial"/>
                <w:iCs/>
                <w:sz w:val="22"/>
                <w:szCs w:val="22"/>
                <w:lang w:val="en-GB"/>
              </w:rPr>
              <w:t>d</w:t>
            </w:r>
            <w:r w:rsidRPr="00DE308A">
              <w:rPr>
                <w:rFonts w:ascii="Arial" w:hAnsi="Arial" w:cs="Arial"/>
                <w:iCs/>
                <w:sz w:val="22"/>
                <w:szCs w:val="22"/>
                <w:lang w:val="en-GB"/>
              </w:rPr>
              <w:t xml:space="preserve"> in networking activities</w:t>
            </w:r>
            <w:r w:rsidR="00825D84">
              <w:rPr>
                <w:rFonts w:ascii="Arial" w:hAnsi="Arial" w:cs="Arial"/>
                <w:iCs/>
                <w:sz w:val="22"/>
                <w:szCs w:val="22"/>
                <w:lang w:val="en-GB"/>
              </w:rPr>
              <w:t xml:space="preserve">, including </w:t>
            </w:r>
            <w:r w:rsidR="0057791F">
              <w:rPr>
                <w:rFonts w:ascii="Arial" w:hAnsi="Arial" w:cs="Arial"/>
                <w:iCs/>
                <w:sz w:val="22"/>
                <w:szCs w:val="22"/>
                <w:lang w:val="en-GB"/>
              </w:rPr>
              <w:t xml:space="preserve">the </w:t>
            </w:r>
            <w:r w:rsidR="00825D84">
              <w:rPr>
                <w:rFonts w:ascii="Arial" w:hAnsi="Arial" w:cs="Arial"/>
                <w:iCs/>
                <w:sz w:val="22"/>
                <w:szCs w:val="22"/>
                <w:lang w:val="en-GB"/>
              </w:rPr>
              <w:t>Arab States region</w:t>
            </w:r>
          </w:p>
        </w:tc>
      </w:tr>
    </w:tbl>
    <w:p w14:paraId="6EC06D23" w14:textId="77777777" w:rsidR="008F0C71" w:rsidRDefault="008F0C71" w:rsidP="001F26CF">
      <w:pPr>
        <w:pStyle w:val="COMParaDecision"/>
        <w:numPr>
          <w:ilvl w:val="0"/>
          <w:numId w:val="0"/>
        </w:numPr>
        <w:jc w:val="left"/>
        <w:rPr>
          <w:lang w:val="en-US"/>
        </w:rPr>
      </w:pPr>
    </w:p>
    <w:tbl>
      <w:tblPr>
        <w:tblStyle w:val="TableGrid"/>
        <w:tblW w:w="5002" w:type="pct"/>
        <w:tblLayout w:type="fixed"/>
        <w:tblLook w:val="04A0" w:firstRow="1" w:lastRow="0" w:firstColumn="1" w:lastColumn="0" w:noHBand="0" w:noVBand="1"/>
      </w:tblPr>
      <w:tblGrid>
        <w:gridCol w:w="700"/>
        <w:gridCol w:w="1564"/>
        <w:gridCol w:w="2901"/>
        <w:gridCol w:w="4467"/>
      </w:tblGrid>
      <w:tr w:rsidR="008F0C71" w:rsidRPr="0078363F" w14:paraId="1397BABC" w14:textId="77777777" w:rsidTr="00C96427">
        <w:trPr>
          <w:cantSplit/>
        </w:trPr>
        <w:tc>
          <w:tcPr>
            <w:tcW w:w="1175" w:type="pct"/>
            <w:gridSpan w:val="2"/>
            <w:shd w:val="clear" w:color="auto" w:fill="808080" w:themeFill="background1" w:themeFillShade="80"/>
            <w:vAlign w:val="center"/>
          </w:tcPr>
          <w:p w14:paraId="6727CBDA" w14:textId="5A8E4876" w:rsidR="008F0C71" w:rsidRPr="00696A00" w:rsidRDefault="00721354" w:rsidP="00C96427">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lastRenderedPageBreak/>
              <w:t>39</w:t>
            </w:r>
            <w:r w:rsidR="008F0C71" w:rsidRPr="00696A00">
              <w:rPr>
                <w:rFonts w:ascii="Arial" w:hAnsi="Arial" w:cs="Arial"/>
                <w:b/>
                <w:bCs/>
                <w:color w:val="FFFFFF" w:themeColor="background1"/>
                <w:sz w:val="22"/>
                <w:szCs w:val="22"/>
                <w:lang w:val="en-GB"/>
              </w:rPr>
              <w:t>C/5 Performance Indicator 3</w:t>
            </w:r>
          </w:p>
        </w:tc>
        <w:tc>
          <w:tcPr>
            <w:tcW w:w="3825" w:type="pct"/>
            <w:gridSpan w:val="2"/>
            <w:shd w:val="clear" w:color="auto" w:fill="808080" w:themeFill="background1" w:themeFillShade="80"/>
            <w:vAlign w:val="center"/>
          </w:tcPr>
          <w:p w14:paraId="7CC45903" w14:textId="77777777" w:rsidR="008F0C71" w:rsidRPr="006125DA" w:rsidRDefault="008F0C71" w:rsidP="00C96427">
            <w:pPr>
              <w:keepNext/>
              <w:spacing w:before="120" w:after="120"/>
              <w:rPr>
                <w:rFonts w:ascii="Arial" w:hAnsi="Arial" w:cs="Arial"/>
                <w:b/>
                <w:bCs/>
                <w:color w:val="FFFFFF" w:themeColor="background1"/>
                <w:sz w:val="22"/>
                <w:szCs w:val="22"/>
                <w:lang w:val="en-US"/>
              </w:rPr>
            </w:pPr>
            <w:r>
              <w:rPr>
                <w:rFonts w:ascii="Arial" w:hAnsi="Arial" w:cs="Arial"/>
                <w:b/>
                <w:bCs/>
                <w:color w:val="FFFFFF" w:themeColor="background1"/>
                <w:sz w:val="22"/>
                <w:szCs w:val="22"/>
                <w:lang w:val="en-GB"/>
              </w:rPr>
              <w:t xml:space="preserve">Number of supported Member States which have integrated intangible cultural heritage into their plans, policies and programmes, </w:t>
            </w:r>
            <w:r w:rsidR="006125DA">
              <w:rPr>
                <w:rFonts w:ascii="Arial" w:hAnsi="Arial" w:cs="Arial"/>
                <w:b/>
                <w:bCs/>
                <w:color w:val="FFFFFF" w:themeColor="background1"/>
                <w:sz w:val="22"/>
                <w:szCs w:val="22"/>
                <w:lang w:val="en-GB"/>
              </w:rPr>
              <w:t xml:space="preserve">in particular, </w:t>
            </w:r>
            <w:r w:rsidR="006125DA" w:rsidRPr="006125DA">
              <w:rPr>
                <w:rFonts w:ascii="Arial" w:hAnsi="Arial" w:cs="Arial"/>
                <w:b/>
                <w:bCs/>
                <w:color w:val="FFFFFF" w:themeColor="background1"/>
                <w:sz w:val="22"/>
                <w:szCs w:val="22"/>
                <w:lang w:val="en-GB"/>
              </w:rPr>
              <w:t>as a contribution towards the achievement of SDGs in a gender-responsive manner</w:t>
            </w:r>
          </w:p>
        </w:tc>
      </w:tr>
      <w:tr w:rsidR="008F0C71" w:rsidRPr="0078363F" w14:paraId="6E07DC25" w14:textId="77777777" w:rsidTr="00870FD2">
        <w:trPr>
          <w:cantSplit/>
          <w:trHeight w:val="794"/>
        </w:trPr>
        <w:tc>
          <w:tcPr>
            <w:tcW w:w="1175" w:type="pct"/>
            <w:gridSpan w:val="2"/>
            <w:vMerge w:val="restart"/>
            <w:shd w:val="clear" w:color="auto" w:fill="F2F2F2" w:themeFill="background1" w:themeFillShade="F2"/>
            <w:vAlign w:val="center"/>
          </w:tcPr>
          <w:p w14:paraId="3EE36E7A" w14:textId="2CD797FF" w:rsidR="008F0C71" w:rsidRPr="00696A00" w:rsidRDefault="00F159D7" w:rsidP="00C96427">
            <w:pPr>
              <w:keepNext/>
              <w:spacing w:before="60" w:after="60"/>
              <w:rPr>
                <w:rFonts w:ascii="Arial" w:hAnsi="Arial" w:cs="Arial"/>
                <w:b/>
                <w:bCs/>
                <w:sz w:val="22"/>
                <w:szCs w:val="22"/>
                <w:lang w:val="en-GB"/>
              </w:rPr>
            </w:pPr>
            <w:r w:rsidRPr="00F159D7">
              <w:rPr>
                <w:rFonts w:ascii="Arial" w:hAnsi="Arial" w:cs="Arial"/>
                <w:b/>
                <w:bCs/>
                <w:sz w:val="22"/>
                <w:szCs w:val="22"/>
                <w:lang w:val="en-GB"/>
              </w:rPr>
              <w:t>ICH Fund – Budget Line 3</w:t>
            </w:r>
            <w:r>
              <w:rPr>
                <w:rFonts w:ascii="Arial" w:hAnsi="Arial" w:cs="Arial"/>
                <w:b/>
                <w:bCs/>
                <w:sz w:val="22"/>
                <w:szCs w:val="22"/>
                <w:lang w:val="en-GB"/>
              </w:rPr>
              <w:br/>
            </w:r>
            <w:r w:rsidR="008F0C71" w:rsidRPr="00870FD2">
              <w:rPr>
                <w:rFonts w:ascii="Arial" w:hAnsi="Arial" w:cs="Arial"/>
                <w:b/>
                <w:bCs/>
                <w:sz w:val="22"/>
                <w:szCs w:val="22"/>
                <w:lang w:val="en-GB"/>
              </w:rPr>
              <w:t>Expected Result 3</w:t>
            </w:r>
          </w:p>
        </w:tc>
        <w:tc>
          <w:tcPr>
            <w:tcW w:w="3825" w:type="pct"/>
            <w:gridSpan w:val="2"/>
            <w:shd w:val="clear" w:color="auto" w:fill="F2F2F2" w:themeFill="background1" w:themeFillShade="F2"/>
            <w:vAlign w:val="center"/>
          </w:tcPr>
          <w:p w14:paraId="3612104B" w14:textId="77777777" w:rsidR="008F0C71" w:rsidRPr="00696A00" w:rsidRDefault="008F0C71" w:rsidP="00C96427">
            <w:pPr>
              <w:keepNext/>
              <w:spacing w:before="60" w:after="60"/>
              <w:rPr>
                <w:rFonts w:ascii="Arial" w:hAnsi="Arial" w:cs="Arial"/>
                <w:b/>
                <w:bCs/>
                <w:sz w:val="22"/>
                <w:szCs w:val="22"/>
                <w:lang w:val="en-GB"/>
              </w:rPr>
            </w:pPr>
            <w:r>
              <w:rPr>
                <w:rFonts w:ascii="Arial" w:hAnsi="Arial" w:cs="Arial"/>
                <w:b/>
                <w:bCs/>
                <w:sz w:val="22"/>
                <w:szCs w:val="22"/>
                <w:lang w:val="en-GB"/>
              </w:rPr>
              <w:t>I</w:t>
            </w:r>
            <w:r w:rsidRPr="008A6D2F">
              <w:rPr>
                <w:rFonts w:ascii="Arial" w:hAnsi="Arial" w:cs="Arial"/>
                <w:b/>
                <w:bCs/>
                <w:sz w:val="22"/>
                <w:szCs w:val="22"/>
                <w:lang w:val="en-GB"/>
              </w:rPr>
              <w:t>ntegration of intangible cultural heritage in</w:t>
            </w:r>
            <w:r>
              <w:rPr>
                <w:rFonts w:ascii="Arial" w:hAnsi="Arial" w:cs="Arial"/>
                <w:b/>
                <w:bCs/>
                <w:sz w:val="22"/>
                <w:szCs w:val="22"/>
                <w:lang w:val="en-GB"/>
              </w:rPr>
              <w:t>to</w:t>
            </w:r>
            <w:r w:rsidRPr="008A6D2F">
              <w:rPr>
                <w:rFonts w:ascii="Arial" w:hAnsi="Arial" w:cs="Arial"/>
                <w:b/>
                <w:bCs/>
                <w:sz w:val="22"/>
                <w:szCs w:val="22"/>
                <w:lang w:val="en-GB"/>
              </w:rPr>
              <w:t xml:space="preserve"> development plans, policies and programmes</w:t>
            </w:r>
            <w:r>
              <w:rPr>
                <w:rFonts w:ascii="Arial" w:hAnsi="Arial" w:cs="Arial"/>
                <w:b/>
                <w:bCs/>
                <w:sz w:val="22"/>
                <w:szCs w:val="22"/>
                <w:lang w:val="en-GB"/>
              </w:rPr>
              <w:t xml:space="preserve"> supported</w:t>
            </w:r>
          </w:p>
        </w:tc>
      </w:tr>
      <w:tr w:rsidR="008F0C71" w:rsidRPr="00E4227D" w14:paraId="467A316D" w14:textId="77777777" w:rsidTr="00C96427">
        <w:trPr>
          <w:cantSplit/>
        </w:trPr>
        <w:tc>
          <w:tcPr>
            <w:tcW w:w="1175" w:type="pct"/>
            <w:gridSpan w:val="2"/>
            <w:vMerge/>
            <w:shd w:val="clear" w:color="auto" w:fill="F2F2F2" w:themeFill="background1" w:themeFillShade="F2"/>
            <w:vAlign w:val="center"/>
          </w:tcPr>
          <w:p w14:paraId="3E955B8C" w14:textId="77777777" w:rsidR="008F0C71" w:rsidRPr="00696A00" w:rsidRDefault="008F0C71" w:rsidP="00C96427">
            <w:pPr>
              <w:keepNext/>
              <w:spacing w:before="60" w:after="60"/>
              <w:rPr>
                <w:rFonts w:ascii="Arial" w:hAnsi="Arial" w:cs="Arial"/>
                <w:b/>
                <w:bCs/>
                <w:sz w:val="22"/>
                <w:szCs w:val="22"/>
                <w:lang w:val="en-GB"/>
              </w:rPr>
            </w:pPr>
          </w:p>
        </w:tc>
        <w:tc>
          <w:tcPr>
            <w:tcW w:w="3825" w:type="pct"/>
            <w:gridSpan w:val="2"/>
            <w:shd w:val="clear" w:color="auto" w:fill="F2F2F2" w:themeFill="background1" w:themeFillShade="F2"/>
            <w:vAlign w:val="center"/>
          </w:tcPr>
          <w:p w14:paraId="02E5D71D" w14:textId="65EED7EB" w:rsidR="008F0C71" w:rsidRPr="00696A00" w:rsidRDefault="008F0C71">
            <w:pPr>
              <w:keepNext/>
              <w:spacing w:before="60" w:after="60"/>
              <w:rPr>
                <w:rFonts w:ascii="Arial" w:hAnsi="Arial" w:cs="Arial"/>
                <w:b/>
                <w:bCs/>
                <w:sz w:val="22"/>
                <w:szCs w:val="22"/>
                <w:lang w:val="en-GB"/>
              </w:rPr>
            </w:pPr>
            <w:r w:rsidRPr="00696A00">
              <w:rPr>
                <w:rFonts w:ascii="Arial" w:hAnsi="Arial" w:cs="Arial"/>
                <w:b/>
                <w:bCs/>
                <w:sz w:val="22"/>
                <w:szCs w:val="22"/>
                <w:lang w:val="en-GB"/>
              </w:rPr>
              <w:t xml:space="preserve">Budgetary allocation: </w:t>
            </w:r>
            <w:r w:rsidRPr="00323D97">
              <w:rPr>
                <w:rFonts w:ascii="Arial" w:hAnsi="Arial" w:cs="Arial"/>
                <w:b/>
                <w:bCs/>
                <w:sz w:val="22"/>
                <w:szCs w:val="22"/>
                <w:lang w:val="en-GB"/>
              </w:rPr>
              <w:t>US$</w:t>
            </w:r>
            <w:r w:rsidR="000F65F0">
              <w:rPr>
                <w:rFonts w:ascii="Arial" w:hAnsi="Arial" w:cs="Arial"/>
                <w:b/>
                <w:bCs/>
                <w:sz w:val="22"/>
                <w:szCs w:val="22"/>
                <w:lang w:val="en-GB"/>
              </w:rPr>
              <w:t>62,715</w:t>
            </w:r>
          </w:p>
        </w:tc>
      </w:tr>
      <w:tr w:rsidR="008F0C71" w:rsidRPr="0078363F" w14:paraId="516649DF" w14:textId="77777777" w:rsidTr="00870FD2">
        <w:trPr>
          <w:cantSplit/>
        </w:trPr>
        <w:tc>
          <w:tcPr>
            <w:tcW w:w="363" w:type="pct"/>
            <w:shd w:val="clear" w:color="auto" w:fill="F2F2F2" w:themeFill="background1" w:themeFillShade="F2"/>
            <w:vAlign w:val="center"/>
          </w:tcPr>
          <w:p w14:paraId="58C6FDC9" w14:textId="77777777" w:rsidR="008F0C71" w:rsidRPr="00696A00" w:rsidRDefault="008F0C71" w:rsidP="00C96427">
            <w:pPr>
              <w:keepNext/>
              <w:spacing w:before="60" w:after="60"/>
              <w:jc w:val="right"/>
              <w:rPr>
                <w:rFonts w:ascii="Arial" w:hAnsi="Arial" w:cs="Arial"/>
                <w:i/>
                <w:iCs/>
                <w:sz w:val="22"/>
                <w:szCs w:val="22"/>
                <w:lang w:val="en-GB"/>
              </w:rPr>
            </w:pPr>
          </w:p>
        </w:tc>
        <w:tc>
          <w:tcPr>
            <w:tcW w:w="2318" w:type="pct"/>
            <w:gridSpan w:val="2"/>
            <w:shd w:val="clear" w:color="auto" w:fill="F2F2F2" w:themeFill="background1" w:themeFillShade="F2"/>
            <w:vAlign w:val="center"/>
          </w:tcPr>
          <w:p w14:paraId="6502FB08" w14:textId="77777777" w:rsidR="008F0C71" w:rsidRPr="00696A00" w:rsidRDefault="008F0C71" w:rsidP="00C96427">
            <w:pPr>
              <w:keepNext/>
              <w:spacing w:before="60" w:after="60"/>
              <w:jc w:val="center"/>
              <w:rPr>
                <w:rFonts w:ascii="Arial" w:hAnsi="Arial" w:cs="Arial"/>
                <w:i/>
                <w:iCs/>
                <w:sz w:val="22"/>
                <w:szCs w:val="22"/>
                <w:lang w:val="en-GB"/>
              </w:rPr>
            </w:pPr>
            <w:r>
              <w:rPr>
                <w:rFonts w:ascii="Arial" w:hAnsi="Arial" w:cs="Arial"/>
                <w:i/>
                <w:iCs/>
                <w:sz w:val="22"/>
                <w:szCs w:val="22"/>
                <w:lang w:val="en-GB"/>
              </w:rPr>
              <w:t>Outputs</w:t>
            </w:r>
          </w:p>
        </w:tc>
        <w:tc>
          <w:tcPr>
            <w:tcW w:w="2319" w:type="pct"/>
            <w:tcBorders>
              <w:bottom w:val="single" w:sz="4" w:space="0" w:color="auto"/>
            </w:tcBorders>
            <w:shd w:val="clear" w:color="auto" w:fill="F2F2F2" w:themeFill="background1" w:themeFillShade="F2"/>
            <w:vAlign w:val="center"/>
          </w:tcPr>
          <w:p w14:paraId="3E655B24" w14:textId="77777777" w:rsidR="008F0C71" w:rsidRPr="00696A00" w:rsidRDefault="008F0C71" w:rsidP="00C96427">
            <w:pPr>
              <w:keepNext/>
              <w:spacing w:before="60" w:after="60"/>
              <w:jc w:val="center"/>
              <w:rPr>
                <w:rFonts w:ascii="Arial" w:hAnsi="Arial" w:cs="Arial"/>
                <w:i/>
                <w:iCs/>
                <w:sz w:val="22"/>
                <w:szCs w:val="22"/>
                <w:lang w:val="en-GB"/>
              </w:rPr>
            </w:pPr>
            <w:r w:rsidRPr="00696A00">
              <w:rPr>
                <w:rFonts w:ascii="Arial" w:hAnsi="Arial" w:cs="Arial"/>
                <w:i/>
                <w:iCs/>
                <w:sz w:val="22"/>
                <w:szCs w:val="22"/>
                <w:lang w:val="en-GB"/>
              </w:rPr>
              <w:t>Indicators (</w:t>
            </w:r>
            <w:r>
              <w:rPr>
                <w:rFonts w:ascii="Arial" w:hAnsi="Arial" w:cs="Arial"/>
                <w:i/>
                <w:iCs/>
                <w:sz w:val="22"/>
                <w:szCs w:val="22"/>
                <w:lang w:val="en-GB"/>
              </w:rPr>
              <w:t>benchmarks</w:t>
            </w:r>
            <w:r w:rsidRPr="00696A00">
              <w:rPr>
                <w:rFonts w:ascii="Arial" w:hAnsi="Arial" w:cs="Arial"/>
                <w:i/>
                <w:iCs/>
                <w:sz w:val="22"/>
                <w:szCs w:val="22"/>
                <w:lang w:val="en-GB"/>
              </w:rPr>
              <w:t>)</w:t>
            </w:r>
            <w:r>
              <w:rPr>
                <w:rFonts w:ascii="Arial" w:hAnsi="Arial" w:cs="Arial"/>
                <w:i/>
                <w:iCs/>
                <w:sz w:val="22"/>
                <w:szCs w:val="22"/>
                <w:lang w:val="en-GB"/>
              </w:rPr>
              <w:br/>
              <w:t>1 January 2020 to 30 June 2020</w:t>
            </w:r>
          </w:p>
        </w:tc>
      </w:tr>
      <w:tr w:rsidR="00DE308A" w:rsidRPr="0078363F" w14:paraId="13260AA1" w14:textId="77777777" w:rsidTr="00870FD2">
        <w:trPr>
          <w:cantSplit/>
        </w:trPr>
        <w:tc>
          <w:tcPr>
            <w:tcW w:w="363" w:type="pct"/>
            <w:vMerge w:val="restart"/>
            <w:shd w:val="clear" w:color="auto" w:fill="auto"/>
            <w:vAlign w:val="center"/>
          </w:tcPr>
          <w:p w14:paraId="5C2CC906" w14:textId="77777777" w:rsidR="00DE308A" w:rsidRPr="00696A00" w:rsidRDefault="00DE308A" w:rsidP="00C96427">
            <w:pPr>
              <w:spacing w:before="60" w:after="60"/>
              <w:jc w:val="center"/>
              <w:rPr>
                <w:rFonts w:ascii="Arial" w:hAnsi="Arial" w:cs="Arial"/>
                <w:iCs/>
                <w:sz w:val="22"/>
                <w:szCs w:val="22"/>
                <w:lang w:val="en-GB"/>
              </w:rPr>
            </w:pPr>
            <w:r>
              <w:rPr>
                <w:rFonts w:ascii="Arial" w:hAnsi="Arial" w:cs="Arial"/>
                <w:iCs/>
                <w:sz w:val="22"/>
                <w:szCs w:val="22"/>
                <w:lang w:val="en-GB"/>
              </w:rPr>
              <w:t>3</w:t>
            </w:r>
            <w:r w:rsidRPr="00696A00">
              <w:rPr>
                <w:rFonts w:ascii="Arial" w:hAnsi="Arial" w:cs="Arial"/>
                <w:iCs/>
                <w:sz w:val="22"/>
                <w:szCs w:val="22"/>
                <w:lang w:val="en-GB"/>
              </w:rPr>
              <w:t>.</w:t>
            </w:r>
            <w:r>
              <w:rPr>
                <w:rFonts w:ascii="Arial" w:hAnsi="Arial" w:cs="Arial"/>
                <w:iCs/>
                <w:sz w:val="22"/>
                <w:szCs w:val="22"/>
                <w:lang w:val="en-GB"/>
              </w:rPr>
              <w:t>1</w:t>
            </w:r>
          </w:p>
        </w:tc>
        <w:tc>
          <w:tcPr>
            <w:tcW w:w="2318" w:type="pct"/>
            <w:gridSpan w:val="2"/>
            <w:vMerge w:val="restart"/>
            <w:tcBorders>
              <w:right w:val="single" w:sz="4" w:space="0" w:color="auto"/>
            </w:tcBorders>
            <w:shd w:val="clear" w:color="auto" w:fill="auto"/>
            <w:vAlign w:val="center"/>
          </w:tcPr>
          <w:p w14:paraId="3D28E34A" w14:textId="77777777" w:rsidR="00DE308A" w:rsidRPr="00D3305D" w:rsidRDefault="00DE308A" w:rsidP="00C96427">
            <w:pPr>
              <w:spacing w:before="60" w:after="60"/>
              <w:rPr>
                <w:rFonts w:ascii="Arial" w:hAnsi="Arial" w:cs="Arial"/>
                <w:sz w:val="22"/>
                <w:szCs w:val="22"/>
                <w:lang w:val="en-GB"/>
              </w:rPr>
            </w:pPr>
            <w:r w:rsidRPr="00D3305D">
              <w:rPr>
                <w:rFonts w:ascii="Arial" w:hAnsi="Arial" w:cs="Arial"/>
                <w:sz w:val="22"/>
                <w:szCs w:val="22"/>
                <w:lang w:val="en-GB"/>
              </w:rPr>
              <w:t>Global clearing house for knowledge sharing, cooperation, training and innovation on intangible cultural heritage and education functioning</w:t>
            </w:r>
          </w:p>
        </w:tc>
        <w:tc>
          <w:tcPr>
            <w:tcW w:w="2319" w:type="pct"/>
            <w:tcBorders>
              <w:top w:val="single" w:sz="4" w:space="0" w:color="auto"/>
              <w:left w:val="single" w:sz="4" w:space="0" w:color="auto"/>
              <w:bottom w:val="nil"/>
              <w:right w:val="single" w:sz="4" w:space="0" w:color="auto"/>
            </w:tcBorders>
            <w:shd w:val="clear" w:color="auto" w:fill="auto"/>
            <w:vAlign w:val="center"/>
          </w:tcPr>
          <w:p w14:paraId="64A46E3D" w14:textId="77777777" w:rsidR="00DE308A" w:rsidRPr="00C06F15" w:rsidRDefault="00DE308A" w:rsidP="00870FD2">
            <w:pPr>
              <w:pStyle w:val="ListParagraph"/>
              <w:numPr>
                <w:ilvl w:val="0"/>
                <w:numId w:val="20"/>
              </w:numPr>
              <w:spacing w:before="60" w:after="60"/>
              <w:ind w:left="360"/>
              <w:contextualSpacing w:val="0"/>
              <w:rPr>
                <w:rFonts w:ascii="Arial" w:hAnsi="Arial" w:cs="Arial"/>
                <w:sz w:val="22"/>
                <w:szCs w:val="22"/>
                <w:lang w:val="en-GB"/>
              </w:rPr>
            </w:pPr>
            <w:r w:rsidRPr="00DE308A">
              <w:rPr>
                <w:rFonts w:ascii="Arial" w:hAnsi="Arial" w:cs="Arial"/>
                <w:sz w:val="22"/>
                <w:szCs w:val="22"/>
                <w:lang w:val="en-GB"/>
              </w:rPr>
              <w:t>Webpage and resources for the clearing house available in two languages</w:t>
            </w:r>
          </w:p>
        </w:tc>
      </w:tr>
      <w:tr w:rsidR="00DE308A" w:rsidRPr="00DE308A" w14:paraId="593A9422" w14:textId="77777777" w:rsidTr="00870FD2">
        <w:trPr>
          <w:cantSplit/>
        </w:trPr>
        <w:tc>
          <w:tcPr>
            <w:tcW w:w="363" w:type="pct"/>
            <w:vMerge/>
            <w:shd w:val="clear" w:color="auto" w:fill="auto"/>
            <w:vAlign w:val="center"/>
          </w:tcPr>
          <w:p w14:paraId="35728E9E" w14:textId="77777777" w:rsidR="00DE308A" w:rsidRDefault="00DE308A" w:rsidP="00C96427">
            <w:pPr>
              <w:spacing w:before="60" w:after="60"/>
              <w:jc w:val="center"/>
              <w:rPr>
                <w:rFonts w:ascii="Arial" w:hAnsi="Arial" w:cs="Arial"/>
                <w:iCs/>
                <w:sz w:val="22"/>
                <w:szCs w:val="22"/>
                <w:lang w:val="en-GB"/>
              </w:rPr>
            </w:pPr>
          </w:p>
        </w:tc>
        <w:tc>
          <w:tcPr>
            <w:tcW w:w="2318" w:type="pct"/>
            <w:gridSpan w:val="2"/>
            <w:vMerge/>
            <w:tcBorders>
              <w:right w:val="single" w:sz="4" w:space="0" w:color="auto"/>
            </w:tcBorders>
            <w:shd w:val="clear" w:color="auto" w:fill="auto"/>
            <w:vAlign w:val="center"/>
          </w:tcPr>
          <w:p w14:paraId="06D60BDC" w14:textId="77777777" w:rsidR="00DE308A" w:rsidRPr="00DE308A" w:rsidRDefault="00DE308A" w:rsidP="00C96427">
            <w:pPr>
              <w:spacing w:before="60" w:after="60"/>
              <w:rPr>
                <w:rFonts w:ascii="Arial" w:hAnsi="Arial" w:cs="Arial"/>
                <w:i/>
                <w:iCs/>
                <w:sz w:val="22"/>
                <w:szCs w:val="22"/>
                <w:lang w:val="en-GB"/>
              </w:rPr>
            </w:pPr>
          </w:p>
        </w:tc>
        <w:tc>
          <w:tcPr>
            <w:tcW w:w="2319" w:type="pct"/>
            <w:tcBorders>
              <w:top w:val="nil"/>
              <w:left w:val="single" w:sz="4" w:space="0" w:color="auto"/>
              <w:bottom w:val="nil"/>
              <w:right w:val="single" w:sz="4" w:space="0" w:color="auto"/>
            </w:tcBorders>
            <w:shd w:val="clear" w:color="auto" w:fill="auto"/>
            <w:vAlign w:val="center"/>
          </w:tcPr>
          <w:p w14:paraId="5C919CD6" w14:textId="16DE3AC0" w:rsidR="00DE308A" w:rsidRPr="00870FD2" w:rsidRDefault="00DE308A" w:rsidP="00870FD2">
            <w:pPr>
              <w:pStyle w:val="ListParagraph"/>
              <w:numPr>
                <w:ilvl w:val="0"/>
                <w:numId w:val="20"/>
              </w:numPr>
              <w:spacing w:before="60" w:after="60"/>
              <w:ind w:left="360"/>
              <w:contextualSpacing w:val="0"/>
              <w:rPr>
                <w:rFonts w:ascii="Arial" w:hAnsi="Arial" w:cs="Arial"/>
                <w:sz w:val="22"/>
                <w:szCs w:val="22"/>
              </w:rPr>
            </w:pPr>
            <w:r w:rsidRPr="00870FD2">
              <w:rPr>
                <w:rFonts w:ascii="Arial" w:hAnsi="Arial" w:cs="Arial"/>
                <w:sz w:val="22"/>
                <w:szCs w:val="22"/>
              </w:rPr>
              <w:t xml:space="preserve">Programme information pamphlet available in </w:t>
            </w:r>
            <w:r w:rsidR="003B1488">
              <w:rPr>
                <w:rFonts w:ascii="Arial" w:hAnsi="Arial" w:cs="Arial"/>
                <w:sz w:val="22"/>
                <w:szCs w:val="22"/>
              </w:rPr>
              <w:t xml:space="preserve">the </w:t>
            </w:r>
            <w:r w:rsidR="00DF3023" w:rsidRPr="00870FD2">
              <w:rPr>
                <w:rFonts w:ascii="Arial" w:hAnsi="Arial" w:cs="Arial"/>
                <w:sz w:val="22"/>
                <w:szCs w:val="22"/>
              </w:rPr>
              <w:t>six</w:t>
            </w:r>
            <w:r w:rsidRPr="00870FD2">
              <w:rPr>
                <w:rFonts w:ascii="Arial" w:hAnsi="Arial" w:cs="Arial"/>
                <w:sz w:val="22"/>
                <w:szCs w:val="22"/>
              </w:rPr>
              <w:t xml:space="preserve"> UN languages</w:t>
            </w:r>
          </w:p>
        </w:tc>
      </w:tr>
      <w:tr w:rsidR="00DE308A" w:rsidRPr="0078363F" w14:paraId="10604F5F" w14:textId="77777777" w:rsidTr="00870FD2">
        <w:trPr>
          <w:cantSplit/>
        </w:trPr>
        <w:tc>
          <w:tcPr>
            <w:tcW w:w="363" w:type="pct"/>
            <w:vMerge/>
            <w:shd w:val="clear" w:color="auto" w:fill="auto"/>
            <w:vAlign w:val="center"/>
          </w:tcPr>
          <w:p w14:paraId="3751C6C0" w14:textId="77777777" w:rsidR="00DE308A" w:rsidRPr="00870FD2" w:rsidRDefault="00DE308A" w:rsidP="00C96427">
            <w:pPr>
              <w:spacing w:before="60" w:after="60"/>
              <w:jc w:val="center"/>
              <w:rPr>
                <w:rFonts w:ascii="Arial" w:hAnsi="Arial" w:cs="Arial"/>
                <w:iCs/>
                <w:sz w:val="22"/>
                <w:szCs w:val="22"/>
              </w:rPr>
            </w:pPr>
          </w:p>
        </w:tc>
        <w:tc>
          <w:tcPr>
            <w:tcW w:w="2318" w:type="pct"/>
            <w:gridSpan w:val="2"/>
            <w:vMerge/>
            <w:tcBorders>
              <w:right w:val="single" w:sz="4" w:space="0" w:color="auto"/>
            </w:tcBorders>
            <w:shd w:val="clear" w:color="auto" w:fill="auto"/>
            <w:vAlign w:val="center"/>
          </w:tcPr>
          <w:p w14:paraId="57428AE4" w14:textId="77777777" w:rsidR="00DE308A" w:rsidRPr="00870FD2" w:rsidRDefault="00DE308A" w:rsidP="00C96427">
            <w:pPr>
              <w:spacing w:before="60" w:after="60"/>
              <w:rPr>
                <w:rFonts w:ascii="Arial" w:hAnsi="Arial" w:cs="Arial"/>
                <w:i/>
                <w:iCs/>
                <w:sz w:val="22"/>
                <w:szCs w:val="22"/>
              </w:rPr>
            </w:pPr>
          </w:p>
        </w:tc>
        <w:tc>
          <w:tcPr>
            <w:tcW w:w="2319" w:type="pct"/>
            <w:tcBorders>
              <w:top w:val="nil"/>
              <w:left w:val="single" w:sz="4" w:space="0" w:color="auto"/>
              <w:bottom w:val="nil"/>
              <w:right w:val="single" w:sz="4" w:space="0" w:color="auto"/>
            </w:tcBorders>
            <w:shd w:val="clear" w:color="auto" w:fill="auto"/>
            <w:vAlign w:val="center"/>
          </w:tcPr>
          <w:p w14:paraId="2ED7302F" w14:textId="77777777" w:rsidR="00DE308A" w:rsidRPr="00DE308A" w:rsidRDefault="00DE308A" w:rsidP="00870FD2">
            <w:pPr>
              <w:pStyle w:val="ListParagraph"/>
              <w:numPr>
                <w:ilvl w:val="0"/>
                <w:numId w:val="20"/>
              </w:numPr>
              <w:spacing w:before="60" w:after="60"/>
              <w:ind w:left="360"/>
              <w:contextualSpacing w:val="0"/>
              <w:rPr>
                <w:rFonts w:ascii="Arial" w:hAnsi="Arial" w:cs="Arial"/>
                <w:sz w:val="22"/>
                <w:szCs w:val="22"/>
                <w:lang w:val="en-GB"/>
              </w:rPr>
            </w:pPr>
            <w:r w:rsidRPr="00DE308A">
              <w:rPr>
                <w:rFonts w:ascii="Arial" w:hAnsi="Arial" w:cs="Arial"/>
                <w:sz w:val="22"/>
                <w:szCs w:val="22"/>
                <w:lang w:val="en-GB"/>
              </w:rPr>
              <w:t>Side event organized at the GA on progress achieved under the new funding priority</w:t>
            </w:r>
          </w:p>
        </w:tc>
      </w:tr>
      <w:tr w:rsidR="00DE308A" w:rsidRPr="0078363F" w14:paraId="58E5866E" w14:textId="77777777" w:rsidTr="0078363F">
        <w:trPr>
          <w:cantSplit/>
        </w:trPr>
        <w:tc>
          <w:tcPr>
            <w:tcW w:w="363" w:type="pct"/>
            <w:vMerge/>
            <w:shd w:val="clear" w:color="auto" w:fill="auto"/>
            <w:vAlign w:val="center"/>
          </w:tcPr>
          <w:p w14:paraId="59D1B040" w14:textId="77777777" w:rsidR="00DE308A" w:rsidRDefault="00DE308A" w:rsidP="00C96427">
            <w:pPr>
              <w:spacing w:before="60" w:after="60"/>
              <w:jc w:val="center"/>
              <w:rPr>
                <w:rFonts w:ascii="Arial" w:hAnsi="Arial" w:cs="Arial"/>
                <w:iCs/>
                <w:sz w:val="22"/>
                <w:szCs w:val="22"/>
                <w:lang w:val="en-GB"/>
              </w:rPr>
            </w:pPr>
          </w:p>
        </w:tc>
        <w:tc>
          <w:tcPr>
            <w:tcW w:w="2318" w:type="pct"/>
            <w:gridSpan w:val="2"/>
            <w:vMerge/>
            <w:tcBorders>
              <w:right w:val="single" w:sz="4" w:space="0" w:color="auto"/>
            </w:tcBorders>
            <w:shd w:val="clear" w:color="auto" w:fill="auto"/>
            <w:vAlign w:val="center"/>
          </w:tcPr>
          <w:p w14:paraId="5C635EB1" w14:textId="77777777" w:rsidR="00DE308A" w:rsidRPr="00DE308A" w:rsidRDefault="00DE308A" w:rsidP="00C96427">
            <w:pPr>
              <w:spacing w:before="60" w:after="60"/>
              <w:rPr>
                <w:rFonts w:ascii="Arial" w:hAnsi="Arial" w:cs="Arial"/>
                <w:i/>
                <w:iCs/>
                <w:sz w:val="22"/>
                <w:szCs w:val="22"/>
                <w:lang w:val="en-GB"/>
              </w:rPr>
            </w:pPr>
          </w:p>
        </w:tc>
        <w:tc>
          <w:tcPr>
            <w:tcW w:w="2319" w:type="pct"/>
            <w:tcBorders>
              <w:top w:val="nil"/>
              <w:left w:val="single" w:sz="4" w:space="0" w:color="auto"/>
              <w:bottom w:val="single" w:sz="4" w:space="0" w:color="auto"/>
              <w:right w:val="single" w:sz="4" w:space="0" w:color="auto"/>
            </w:tcBorders>
            <w:shd w:val="clear" w:color="auto" w:fill="auto"/>
            <w:vAlign w:val="center"/>
          </w:tcPr>
          <w:p w14:paraId="6B34852A" w14:textId="1F7EB5CE" w:rsidR="00DE308A" w:rsidRPr="00DE308A" w:rsidRDefault="00C32B9E" w:rsidP="0078363F">
            <w:pPr>
              <w:pStyle w:val="ListParagraph"/>
              <w:numPr>
                <w:ilvl w:val="0"/>
                <w:numId w:val="20"/>
              </w:numPr>
              <w:spacing w:before="60" w:after="60"/>
              <w:ind w:left="360"/>
              <w:contextualSpacing w:val="0"/>
              <w:rPr>
                <w:rFonts w:ascii="Arial" w:hAnsi="Arial" w:cs="Arial"/>
                <w:sz w:val="22"/>
                <w:szCs w:val="22"/>
                <w:lang w:val="en-GB"/>
              </w:rPr>
            </w:pPr>
            <w:r>
              <w:rPr>
                <w:rFonts w:ascii="Arial" w:hAnsi="Arial" w:cs="Arial"/>
                <w:sz w:val="22"/>
                <w:szCs w:val="22"/>
                <w:lang w:val="en-GB"/>
              </w:rPr>
              <w:t xml:space="preserve">Experiences of indigenous peoples with </w:t>
            </w:r>
            <w:r w:rsidR="00DE308A" w:rsidRPr="00DE308A">
              <w:rPr>
                <w:rFonts w:ascii="Arial" w:hAnsi="Arial" w:cs="Arial"/>
                <w:sz w:val="22"/>
                <w:szCs w:val="22"/>
                <w:lang w:val="en-GB"/>
              </w:rPr>
              <w:t>safeguard</w:t>
            </w:r>
            <w:r>
              <w:rPr>
                <w:rFonts w:ascii="Arial" w:hAnsi="Arial" w:cs="Arial"/>
                <w:sz w:val="22"/>
                <w:szCs w:val="22"/>
                <w:lang w:val="en-GB"/>
              </w:rPr>
              <w:t>ing their</w:t>
            </w:r>
            <w:r w:rsidR="00DE308A" w:rsidRPr="00DE308A">
              <w:rPr>
                <w:rFonts w:ascii="Arial" w:hAnsi="Arial" w:cs="Arial"/>
                <w:sz w:val="22"/>
                <w:szCs w:val="22"/>
                <w:lang w:val="en-GB"/>
              </w:rPr>
              <w:t xml:space="preserve"> living heritage </w:t>
            </w:r>
            <w:r>
              <w:rPr>
                <w:rFonts w:ascii="Arial" w:hAnsi="Arial" w:cs="Arial"/>
                <w:sz w:val="22"/>
                <w:szCs w:val="22"/>
                <w:lang w:val="en-GB"/>
              </w:rPr>
              <w:t>in formal and non-formal</w:t>
            </w:r>
            <w:r w:rsidRPr="00DE308A">
              <w:rPr>
                <w:rFonts w:ascii="Arial" w:hAnsi="Arial" w:cs="Arial"/>
                <w:sz w:val="22"/>
                <w:szCs w:val="22"/>
                <w:lang w:val="en-GB"/>
              </w:rPr>
              <w:t xml:space="preserve"> </w:t>
            </w:r>
            <w:r w:rsidR="00DE308A" w:rsidRPr="00DE308A">
              <w:rPr>
                <w:rFonts w:ascii="Arial" w:hAnsi="Arial" w:cs="Arial"/>
                <w:sz w:val="22"/>
                <w:szCs w:val="22"/>
                <w:lang w:val="en-GB"/>
              </w:rPr>
              <w:t>education</w:t>
            </w:r>
            <w:r>
              <w:rPr>
                <w:rFonts w:ascii="Arial" w:hAnsi="Arial" w:cs="Arial"/>
                <w:sz w:val="22"/>
                <w:szCs w:val="22"/>
                <w:lang w:val="en-GB"/>
              </w:rPr>
              <w:t xml:space="preserve"> included in the work of UNESCO’s clearing</w:t>
            </w:r>
            <w:r w:rsidR="00466104">
              <w:rPr>
                <w:rFonts w:ascii="Arial" w:hAnsi="Arial" w:cs="Arial"/>
                <w:sz w:val="22"/>
                <w:szCs w:val="22"/>
                <w:lang w:val="en-GB"/>
              </w:rPr>
              <w:t xml:space="preserve"> </w:t>
            </w:r>
            <w:r>
              <w:rPr>
                <w:rFonts w:ascii="Arial" w:hAnsi="Arial" w:cs="Arial"/>
                <w:sz w:val="22"/>
                <w:szCs w:val="22"/>
                <w:lang w:val="en-GB"/>
              </w:rPr>
              <w:t>house on this topic</w:t>
            </w:r>
          </w:p>
        </w:tc>
      </w:tr>
      <w:tr w:rsidR="008F0C71" w:rsidRPr="0078363F" w14:paraId="56117EC0" w14:textId="77777777" w:rsidTr="00870FD2">
        <w:trPr>
          <w:cantSplit/>
          <w:trHeight w:val="1254"/>
        </w:trPr>
        <w:tc>
          <w:tcPr>
            <w:tcW w:w="363" w:type="pct"/>
            <w:shd w:val="clear" w:color="auto" w:fill="auto"/>
            <w:vAlign w:val="center"/>
          </w:tcPr>
          <w:p w14:paraId="786312A2" w14:textId="77777777" w:rsidR="008F0C71" w:rsidRPr="00696A00" w:rsidRDefault="008F0C71" w:rsidP="00C96427">
            <w:pPr>
              <w:spacing w:before="60" w:after="60"/>
              <w:jc w:val="center"/>
              <w:rPr>
                <w:rFonts w:ascii="Arial" w:hAnsi="Arial" w:cs="Arial"/>
                <w:iCs/>
                <w:sz w:val="22"/>
                <w:szCs w:val="22"/>
                <w:lang w:val="en-GB"/>
              </w:rPr>
            </w:pPr>
            <w:r>
              <w:rPr>
                <w:rFonts w:ascii="Arial" w:hAnsi="Arial" w:cs="Arial"/>
                <w:iCs/>
                <w:sz w:val="22"/>
                <w:szCs w:val="22"/>
                <w:lang w:val="en-GB"/>
              </w:rPr>
              <w:t>3</w:t>
            </w:r>
            <w:r w:rsidRPr="00696A00">
              <w:rPr>
                <w:rFonts w:ascii="Arial" w:hAnsi="Arial" w:cs="Arial"/>
                <w:iCs/>
                <w:sz w:val="22"/>
                <w:szCs w:val="22"/>
                <w:lang w:val="en-GB"/>
              </w:rPr>
              <w:t>.</w:t>
            </w:r>
            <w:r>
              <w:rPr>
                <w:rFonts w:ascii="Arial" w:hAnsi="Arial" w:cs="Arial"/>
                <w:iCs/>
                <w:sz w:val="22"/>
                <w:szCs w:val="22"/>
                <w:lang w:val="en-GB"/>
              </w:rPr>
              <w:t>2</w:t>
            </w:r>
          </w:p>
        </w:tc>
        <w:tc>
          <w:tcPr>
            <w:tcW w:w="2318" w:type="pct"/>
            <w:gridSpan w:val="2"/>
            <w:shd w:val="clear" w:color="auto" w:fill="auto"/>
            <w:vAlign w:val="center"/>
          </w:tcPr>
          <w:p w14:paraId="0BCEC78B" w14:textId="77777777" w:rsidR="008F0C71" w:rsidRPr="00696A00" w:rsidRDefault="00DE308A" w:rsidP="00C96427">
            <w:pPr>
              <w:spacing w:before="60" w:after="60"/>
              <w:rPr>
                <w:rFonts w:ascii="Arial" w:hAnsi="Arial" w:cs="Arial"/>
                <w:iCs/>
                <w:sz w:val="22"/>
                <w:szCs w:val="22"/>
                <w:lang w:val="en-GB"/>
              </w:rPr>
            </w:pPr>
            <w:r w:rsidRPr="00DE308A">
              <w:rPr>
                <w:rFonts w:ascii="Arial" w:hAnsi="Arial" w:cs="Arial"/>
                <w:iCs/>
                <w:sz w:val="22"/>
                <w:szCs w:val="22"/>
                <w:lang w:val="en-GB"/>
              </w:rPr>
              <w:t>Synergies between the 2003 Convention and work of the UN system in the framework of the 2030 Agenda for sustainable development strengthened</w:t>
            </w:r>
          </w:p>
        </w:tc>
        <w:tc>
          <w:tcPr>
            <w:tcW w:w="2319" w:type="pct"/>
            <w:tcBorders>
              <w:top w:val="single" w:sz="4" w:space="0" w:color="auto"/>
            </w:tcBorders>
            <w:shd w:val="clear" w:color="auto" w:fill="auto"/>
            <w:vAlign w:val="center"/>
          </w:tcPr>
          <w:p w14:paraId="16C9C82F" w14:textId="53650FFE" w:rsidR="008F0C71" w:rsidRPr="00870FD2" w:rsidRDefault="00DE308A" w:rsidP="00870FD2">
            <w:pPr>
              <w:pStyle w:val="ListParagraph"/>
              <w:numPr>
                <w:ilvl w:val="0"/>
                <w:numId w:val="21"/>
              </w:numPr>
              <w:spacing w:before="60" w:after="60"/>
              <w:ind w:left="360"/>
              <w:rPr>
                <w:rFonts w:ascii="Arial" w:hAnsi="Arial" w:cs="Arial"/>
                <w:iCs/>
                <w:sz w:val="22"/>
                <w:szCs w:val="22"/>
                <w:lang w:val="en-GB"/>
              </w:rPr>
            </w:pPr>
            <w:r w:rsidRPr="00870FD2">
              <w:rPr>
                <w:rFonts w:ascii="Arial" w:hAnsi="Arial" w:cs="Arial"/>
                <w:iCs/>
                <w:sz w:val="22"/>
                <w:szCs w:val="22"/>
                <w:lang w:val="en-GB"/>
              </w:rPr>
              <w:t xml:space="preserve">Follow-up to the participation in the UN </w:t>
            </w:r>
            <w:r w:rsidR="00FA122C" w:rsidRPr="00870FD2">
              <w:rPr>
                <w:rFonts w:ascii="Arial" w:hAnsi="Arial" w:cs="Arial"/>
                <w:iCs/>
                <w:sz w:val="22"/>
                <w:szCs w:val="22"/>
                <w:lang w:val="en-GB"/>
              </w:rPr>
              <w:t>P</w:t>
            </w:r>
            <w:r w:rsidR="005A198D" w:rsidRPr="00870FD2">
              <w:rPr>
                <w:rFonts w:ascii="Arial" w:hAnsi="Arial" w:cs="Arial"/>
                <w:iCs/>
                <w:sz w:val="22"/>
                <w:szCs w:val="22"/>
                <w:lang w:val="en-GB"/>
              </w:rPr>
              <w:t>ermanent</w:t>
            </w:r>
            <w:r w:rsidRPr="00870FD2">
              <w:rPr>
                <w:rFonts w:ascii="Arial" w:hAnsi="Arial" w:cs="Arial"/>
                <w:iCs/>
                <w:sz w:val="22"/>
                <w:szCs w:val="22"/>
                <w:lang w:val="en-GB"/>
              </w:rPr>
              <w:t xml:space="preserve"> </w:t>
            </w:r>
            <w:r w:rsidR="00FA122C" w:rsidRPr="00870FD2">
              <w:rPr>
                <w:rFonts w:ascii="Arial" w:hAnsi="Arial" w:cs="Arial"/>
                <w:iCs/>
                <w:sz w:val="22"/>
                <w:szCs w:val="22"/>
                <w:lang w:val="en-GB"/>
              </w:rPr>
              <w:t>F</w:t>
            </w:r>
            <w:r w:rsidRPr="00870FD2">
              <w:rPr>
                <w:rFonts w:ascii="Arial" w:hAnsi="Arial" w:cs="Arial"/>
                <w:iCs/>
                <w:sz w:val="22"/>
                <w:szCs w:val="22"/>
                <w:lang w:val="en-GB"/>
              </w:rPr>
              <w:t>orum</w:t>
            </w:r>
            <w:r w:rsidR="00FA122C" w:rsidRPr="00870FD2">
              <w:rPr>
                <w:rFonts w:ascii="Arial" w:hAnsi="Arial" w:cs="Arial"/>
                <w:iCs/>
                <w:sz w:val="22"/>
                <w:szCs w:val="22"/>
                <w:lang w:val="en-GB"/>
              </w:rPr>
              <w:t xml:space="preserve"> on Indigenous Issues</w:t>
            </w:r>
          </w:p>
        </w:tc>
      </w:tr>
    </w:tbl>
    <w:p w14:paraId="2CA3DC52" w14:textId="77777777" w:rsidR="008F0C71" w:rsidRDefault="008F0C71" w:rsidP="001F26CF">
      <w:pPr>
        <w:pStyle w:val="COMParaDecision"/>
        <w:numPr>
          <w:ilvl w:val="0"/>
          <w:numId w:val="0"/>
        </w:numPr>
        <w:jc w:val="left"/>
        <w:rPr>
          <w:lang w:val="en-US"/>
        </w:rPr>
      </w:pPr>
    </w:p>
    <w:tbl>
      <w:tblPr>
        <w:tblStyle w:val="TableGrid"/>
        <w:tblW w:w="5002" w:type="pct"/>
        <w:tblLayout w:type="fixed"/>
        <w:tblLook w:val="04A0" w:firstRow="1" w:lastRow="0" w:firstColumn="1" w:lastColumn="0" w:noHBand="0" w:noVBand="1"/>
      </w:tblPr>
      <w:tblGrid>
        <w:gridCol w:w="700"/>
        <w:gridCol w:w="1564"/>
        <w:gridCol w:w="2901"/>
        <w:gridCol w:w="4467"/>
      </w:tblGrid>
      <w:tr w:rsidR="008F0C71" w:rsidRPr="0078363F" w14:paraId="34BE2BCD" w14:textId="77777777" w:rsidTr="00870FD2">
        <w:trPr>
          <w:cantSplit/>
        </w:trPr>
        <w:tc>
          <w:tcPr>
            <w:tcW w:w="1175" w:type="pct"/>
            <w:gridSpan w:val="2"/>
            <w:tcBorders>
              <w:bottom w:val="single" w:sz="4" w:space="0" w:color="000000"/>
            </w:tcBorders>
            <w:shd w:val="clear" w:color="auto" w:fill="808080" w:themeFill="background1" w:themeFillShade="80"/>
            <w:vAlign w:val="center"/>
          </w:tcPr>
          <w:p w14:paraId="25480DE8" w14:textId="43820C8D" w:rsidR="008F0C71" w:rsidRPr="00696A00" w:rsidRDefault="00721354" w:rsidP="00C96427">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39</w:t>
            </w:r>
            <w:r w:rsidR="008F0C71" w:rsidRPr="00696A00">
              <w:rPr>
                <w:rFonts w:ascii="Arial" w:hAnsi="Arial" w:cs="Arial"/>
                <w:b/>
                <w:bCs/>
                <w:color w:val="FFFFFF" w:themeColor="background1"/>
                <w:sz w:val="22"/>
                <w:szCs w:val="22"/>
                <w:lang w:val="en-GB"/>
              </w:rPr>
              <w:t>C/5 Performance Indicator 5</w:t>
            </w:r>
          </w:p>
        </w:tc>
        <w:tc>
          <w:tcPr>
            <w:tcW w:w="3825" w:type="pct"/>
            <w:gridSpan w:val="2"/>
            <w:shd w:val="clear" w:color="auto" w:fill="808080" w:themeFill="background1" w:themeFillShade="80"/>
            <w:vAlign w:val="center"/>
          </w:tcPr>
          <w:p w14:paraId="584A4822" w14:textId="77777777" w:rsidR="008F0C71" w:rsidRPr="00696A00" w:rsidRDefault="008F0C71" w:rsidP="00C96427">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Number of initiatives undertaken by supported Member States which have enhanced knowledge and understanding of intangible cultural heritage safeguarding and of the 2003 Convention</w:t>
            </w:r>
          </w:p>
        </w:tc>
      </w:tr>
      <w:tr w:rsidR="008F0C71" w:rsidRPr="0078363F" w14:paraId="00C39B63" w14:textId="77777777" w:rsidTr="00870FD2">
        <w:trPr>
          <w:cantSplit/>
          <w:trHeight w:val="794"/>
        </w:trPr>
        <w:tc>
          <w:tcPr>
            <w:tcW w:w="1175" w:type="pct"/>
            <w:gridSpan w:val="2"/>
            <w:vMerge w:val="restart"/>
            <w:shd w:val="clear" w:color="auto" w:fill="F2F2F2" w:themeFill="background1" w:themeFillShade="F2"/>
            <w:vAlign w:val="center"/>
          </w:tcPr>
          <w:p w14:paraId="4BCAA635" w14:textId="51BAFE96" w:rsidR="008F0C71" w:rsidRPr="00696A00" w:rsidRDefault="00F159D7">
            <w:pPr>
              <w:keepNext/>
              <w:spacing w:before="60" w:after="60"/>
              <w:rPr>
                <w:rFonts w:ascii="Arial" w:hAnsi="Arial" w:cs="Arial"/>
                <w:b/>
                <w:bCs/>
                <w:sz w:val="22"/>
                <w:szCs w:val="22"/>
                <w:lang w:val="en-GB"/>
              </w:rPr>
            </w:pPr>
            <w:r w:rsidRPr="00F159D7">
              <w:rPr>
                <w:rFonts w:ascii="Arial" w:hAnsi="Arial" w:cs="Arial"/>
                <w:b/>
                <w:bCs/>
                <w:sz w:val="22"/>
                <w:szCs w:val="22"/>
                <w:lang w:val="en-GB"/>
              </w:rPr>
              <w:t>ICH Fund – Budget Line 3</w:t>
            </w:r>
            <w:r>
              <w:rPr>
                <w:rFonts w:ascii="Arial" w:hAnsi="Arial" w:cs="Arial"/>
                <w:b/>
                <w:bCs/>
                <w:sz w:val="22"/>
                <w:szCs w:val="22"/>
                <w:lang w:val="en-GB"/>
              </w:rPr>
              <w:br/>
            </w:r>
            <w:r w:rsidR="008F0C71" w:rsidRPr="00870FD2">
              <w:rPr>
                <w:rFonts w:ascii="Arial" w:hAnsi="Arial" w:cs="Arial"/>
                <w:b/>
                <w:bCs/>
                <w:sz w:val="22"/>
                <w:szCs w:val="22"/>
                <w:lang w:val="en-GB"/>
              </w:rPr>
              <w:t>Expected Result 4</w:t>
            </w:r>
          </w:p>
        </w:tc>
        <w:tc>
          <w:tcPr>
            <w:tcW w:w="3825" w:type="pct"/>
            <w:gridSpan w:val="2"/>
            <w:shd w:val="clear" w:color="auto" w:fill="F2F2F2" w:themeFill="background1" w:themeFillShade="F2"/>
            <w:vAlign w:val="center"/>
          </w:tcPr>
          <w:p w14:paraId="38571B6B" w14:textId="77777777" w:rsidR="008F0C71" w:rsidRPr="00696A00" w:rsidRDefault="008F0C71" w:rsidP="00C96427">
            <w:pPr>
              <w:keepNext/>
              <w:spacing w:before="60" w:after="60"/>
              <w:rPr>
                <w:rFonts w:ascii="Arial" w:hAnsi="Arial" w:cs="Arial"/>
                <w:b/>
                <w:bCs/>
                <w:sz w:val="22"/>
                <w:szCs w:val="22"/>
                <w:lang w:val="en-GB"/>
              </w:rPr>
            </w:pPr>
            <w:r w:rsidRPr="00696A00">
              <w:rPr>
                <w:rFonts w:ascii="Arial" w:hAnsi="Arial" w:cs="Arial"/>
                <w:b/>
                <w:bCs/>
                <w:sz w:val="22"/>
                <w:szCs w:val="22"/>
                <w:lang w:val="en-GB"/>
              </w:rPr>
              <w:t>Objectives of the Convention promoted through awareness</w:t>
            </w:r>
            <w:r>
              <w:rPr>
                <w:rFonts w:ascii="Arial" w:hAnsi="Arial" w:cs="Arial"/>
                <w:b/>
                <w:bCs/>
                <w:sz w:val="22"/>
                <w:szCs w:val="22"/>
                <w:lang w:val="en-GB"/>
              </w:rPr>
              <w:t>-raising</w:t>
            </w:r>
            <w:r w:rsidRPr="00696A00">
              <w:rPr>
                <w:rFonts w:ascii="Arial" w:hAnsi="Arial" w:cs="Arial"/>
                <w:b/>
                <w:bCs/>
                <w:sz w:val="22"/>
                <w:szCs w:val="22"/>
                <w:lang w:val="en-GB"/>
              </w:rPr>
              <w:t xml:space="preserve"> and outreach</w:t>
            </w:r>
          </w:p>
        </w:tc>
      </w:tr>
      <w:tr w:rsidR="008F0C71" w:rsidRPr="00F159D7" w14:paraId="67029358" w14:textId="77777777" w:rsidTr="00870FD2">
        <w:trPr>
          <w:cantSplit/>
        </w:trPr>
        <w:tc>
          <w:tcPr>
            <w:tcW w:w="1175" w:type="pct"/>
            <w:gridSpan w:val="2"/>
            <w:vMerge/>
            <w:tcBorders>
              <w:top w:val="nil"/>
            </w:tcBorders>
            <w:shd w:val="clear" w:color="auto" w:fill="F2F2F2" w:themeFill="background1" w:themeFillShade="F2"/>
            <w:vAlign w:val="center"/>
          </w:tcPr>
          <w:p w14:paraId="6B2CCB53" w14:textId="77777777" w:rsidR="008F0C71" w:rsidRPr="00696A00" w:rsidRDefault="008F0C71" w:rsidP="00C96427">
            <w:pPr>
              <w:keepNext/>
              <w:spacing w:before="60" w:after="60"/>
              <w:rPr>
                <w:rFonts w:ascii="Arial" w:hAnsi="Arial" w:cs="Arial"/>
                <w:b/>
                <w:bCs/>
                <w:sz w:val="22"/>
                <w:szCs w:val="22"/>
                <w:lang w:val="en-GB"/>
              </w:rPr>
            </w:pPr>
          </w:p>
        </w:tc>
        <w:tc>
          <w:tcPr>
            <w:tcW w:w="3825" w:type="pct"/>
            <w:gridSpan w:val="2"/>
            <w:shd w:val="clear" w:color="auto" w:fill="F2F2F2" w:themeFill="background1" w:themeFillShade="F2"/>
            <w:vAlign w:val="center"/>
          </w:tcPr>
          <w:p w14:paraId="30812F5B" w14:textId="0DC5AB45" w:rsidR="008F0C71" w:rsidRPr="00696A00" w:rsidRDefault="008F0C71">
            <w:pPr>
              <w:keepNext/>
              <w:spacing w:before="60" w:after="60"/>
              <w:rPr>
                <w:rFonts w:ascii="Arial" w:hAnsi="Arial" w:cs="Arial"/>
                <w:b/>
                <w:bCs/>
                <w:sz w:val="22"/>
                <w:szCs w:val="22"/>
                <w:lang w:val="en-GB"/>
              </w:rPr>
            </w:pPr>
            <w:r w:rsidRPr="00696A00">
              <w:rPr>
                <w:rFonts w:ascii="Arial" w:hAnsi="Arial" w:cs="Arial"/>
                <w:b/>
                <w:bCs/>
                <w:sz w:val="22"/>
                <w:szCs w:val="22"/>
                <w:lang w:val="en-GB"/>
              </w:rPr>
              <w:t xml:space="preserve">Budgetary allocation: </w:t>
            </w:r>
            <w:r w:rsidRPr="00323D97">
              <w:rPr>
                <w:rFonts w:ascii="Arial" w:hAnsi="Arial" w:cs="Arial"/>
                <w:b/>
                <w:bCs/>
                <w:sz w:val="22"/>
                <w:szCs w:val="22"/>
                <w:lang w:val="en-GB"/>
              </w:rPr>
              <w:t>US$</w:t>
            </w:r>
            <w:r w:rsidR="000F65F0">
              <w:rPr>
                <w:rFonts w:ascii="Arial" w:hAnsi="Arial" w:cs="Arial"/>
                <w:b/>
                <w:bCs/>
                <w:sz w:val="22"/>
                <w:szCs w:val="22"/>
                <w:lang w:val="en-GB"/>
              </w:rPr>
              <w:t>86,343</w:t>
            </w:r>
          </w:p>
        </w:tc>
      </w:tr>
      <w:tr w:rsidR="008F0C71" w:rsidRPr="0078363F" w14:paraId="71F80671" w14:textId="77777777" w:rsidTr="00C96427">
        <w:trPr>
          <w:cantSplit/>
        </w:trPr>
        <w:tc>
          <w:tcPr>
            <w:tcW w:w="363" w:type="pct"/>
            <w:shd w:val="clear" w:color="auto" w:fill="F2F2F2" w:themeFill="background1" w:themeFillShade="F2"/>
            <w:vAlign w:val="center"/>
          </w:tcPr>
          <w:p w14:paraId="68DB7646" w14:textId="77777777" w:rsidR="008F0C71" w:rsidRPr="00696A00" w:rsidRDefault="008F0C71" w:rsidP="00C96427">
            <w:pPr>
              <w:keepNext/>
              <w:spacing w:before="60" w:after="60"/>
              <w:jc w:val="right"/>
              <w:rPr>
                <w:rFonts w:ascii="Arial" w:hAnsi="Arial" w:cs="Arial"/>
                <w:i/>
                <w:iCs/>
                <w:sz w:val="22"/>
                <w:szCs w:val="22"/>
                <w:lang w:val="en-GB"/>
              </w:rPr>
            </w:pPr>
          </w:p>
        </w:tc>
        <w:tc>
          <w:tcPr>
            <w:tcW w:w="2318" w:type="pct"/>
            <w:gridSpan w:val="2"/>
            <w:shd w:val="clear" w:color="auto" w:fill="F2F2F2" w:themeFill="background1" w:themeFillShade="F2"/>
            <w:vAlign w:val="center"/>
          </w:tcPr>
          <w:p w14:paraId="46555D6E" w14:textId="77777777" w:rsidR="008F0C71" w:rsidRPr="00696A00" w:rsidRDefault="008F0C71" w:rsidP="00C96427">
            <w:pPr>
              <w:keepNext/>
              <w:spacing w:before="60" w:after="60"/>
              <w:jc w:val="center"/>
              <w:rPr>
                <w:rFonts w:ascii="Arial" w:hAnsi="Arial" w:cs="Arial"/>
                <w:i/>
                <w:iCs/>
                <w:sz w:val="22"/>
                <w:szCs w:val="22"/>
                <w:lang w:val="en-GB"/>
              </w:rPr>
            </w:pPr>
            <w:r>
              <w:rPr>
                <w:rFonts w:ascii="Arial" w:hAnsi="Arial" w:cs="Arial"/>
                <w:i/>
                <w:iCs/>
                <w:sz w:val="22"/>
                <w:szCs w:val="22"/>
                <w:lang w:val="en-GB"/>
              </w:rPr>
              <w:t>Outputs</w:t>
            </w:r>
          </w:p>
        </w:tc>
        <w:tc>
          <w:tcPr>
            <w:tcW w:w="2319" w:type="pct"/>
            <w:shd w:val="clear" w:color="auto" w:fill="F2F2F2" w:themeFill="background1" w:themeFillShade="F2"/>
            <w:vAlign w:val="center"/>
          </w:tcPr>
          <w:p w14:paraId="53EE246B" w14:textId="77777777" w:rsidR="008F0C71" w:rsidRPr="00696A00" w:rsidRDefault="008F0C71" w:rsidP="00C96427">
            <w:pPr>
              <w:keepNext/>
              <w:spacing w:before="60" w:after="60"/>
              <w:jc w:val="center"/>
              <w:rPr>
                <w:rFonts w:ascii="Arial" w:hAnsi="Arial" w:cs="Arial"/>
                <w:i/>
                <w:iCs/>
                <w:sz w:val="22"/>
                <w:szCs w:val="22"/>
                <w:lang w:val="en-GB"/>
              </w:rPr>
            </w:pPr>
            <w:r w:rsidRPr="00696A00">
              <w:rPr>
                <w:rFonts w:ascii="Arial" w:hAnsi="Arial" w:cs="Arial"/>
                <w:i/>
                <w:iCs/>
                <w:sz w:val="22"/>
                <w:szCs w:val="22"/>
                <w:lang w:val="en-GB"/>
              </w:rPr>
              <w:t>Indicators (</w:t>
            </w:r>
            <w:r>
              <w:rPr>
                <w:rFonts w:ascii="Arial" w:hAnsi="Arial" w:cs="Arial"/>
                <w:i/>
                <w:iCs/>
                <w:sz w:val="22"/>
                <w:szCs w:val="22"/>
                <w:lang w:val="en-GB"/>
              </w:rPr>
              <w:t>benchmarks</w:t>
            </w:r>
            <w:r w:rsidRPr="00696A00">
              <w:rPr>
                <w:rFonts w:ascii="Arial" w:hAnsi="Arial" w:cs="Arial"/>
                <w:i/>
                <w:iCs/>
                <w:sz w:val="22"/>
                <w:szCs w:val="22"/>
                <w:lang w:val="en-GB"/>
              </w:rPr>
              <w:t>)</w:t>
            </w:r>
            <w:r>
              <w:rPr>
                <w:rFonts w:ascii="Arial" w:hAnsi="Arial" w:cs="Arial"/>
                <w:i/>
                <w:iCs/>
                <w:sz w:val="22"/>
                <w:szCs w:val="22"/>
                <w:lang w:val="en-GB"/>
              </w:rPr>
              <w:br/>
              <w:t>1 January 2020 to 30 June 2020</w:t>
            </w:r>
          </w:p>
        </w:tc>
      </w:tr>
      <w:tr w:rsidR="008F0C71" w:rsidRPr="0078363F" w14:paraId="21B89EED" w14:textId="77777777" w:rsidTr="00870FD2">
        <w:trPr>
          <w:cantSplit/>
          <w:trHeight w:val="1061"/>
        </w:trPr>
        <w:tc>
          <w:tcPr>
            <w:tcW w:w="363" w:type="pct"/>
            <w:shd w:val="clear" w:color="auto" w:fill="auto"/>
            <w:vAlign w:val="center"/>
          </w:tcPr>
          <w:p w14:paraId="531C1AA1" w14:textId="77777777" w:rsidR="008F0C71" w:rsidRPr="00696A00" w:rsidRDefault="008F0C71" w:rsidP="00C96427">
            <w:pPr>
              <w:spacing w:before="60" w:after="60"/>
              <w:jc w:val="center"/>
              <w:rPr>
                <w:rFonts w:ascii="Arial" w:hAnsi="Arial" w:cs="Arial"/>
                <w:iCs/>
                <w:sz w:val="22"/>
                <w:szCs w:val="22"/>
                <w:lang w:val="en-GB"/>
              </w:rPr>
            </w:pPr>
            <w:r>
              <w:rPr>
                <w:rFonts w:ascii="Arial" w:hAnsi="Arial" w:cs="Arial"/>
                <w:iCs/>
                <w:sz w:val="22"/>
                <w:szCs w:val="22"/>
                <w:lang w:val="en-GB"/>
              </w:rPr>
              <w:t>4</w:t>
            </w:r>
            <w:r w:rsidRPr="00696A00">
              <w:rPr>
                <w:rFonts w:ascii="Arial" w:hAnsi="Arial" w:cs="Arial"/>
                <w:iCs/>
                <w:sz w:val="22"/>
                <w:szCs w:val="22"/>
                <w:lang w:val="en-GB"/>
              </w:rPr>
              <w:t>.</w:t>
            </w:r>
            <w:r>
              <w:rPr>
                <w:rFonts w:ascii="Arial" w:hAnsi="Arial" w:cs="Arial"/>
                <w:iCs/>
                <w:sz w:val="22"/>
                <w:szCs w:val="22"/>
                <w:lang w:val="en-GB"/>
              </w:rPr>
              <w:t>1</w:t>
            </w:r>
          </w:p>
        </w:tc>
        <w:tc>
          <w:tcPr>
            <w:tcW w:w="2318" w:type="pct"/>
            <w:gridSpan w:val="2"/>
            <w:shd w:val="clear" w:color="auto" w:fill="auto"/>
            <w:vAlign w:val="center"/>
          </w:tcPr>
          <w:p w14:paraId="78367CCF" w14:textId="77777777" w:rsidR="008F0C71" w:rsidRPr="00497791" w:rsidRDefault="000F65F0" w:rsidP="00C96427">
            <w:pPr>
              <w:spacing w:before="60" w:after="60"/>
              <w:rPr>
                <w:rFonts w:ascii="Arial" w:hAnsi="Arial" w:cs="Arial"/>
                <w:iCs/>
                <w:color w:val="000000"/>
                <w:sz w:val="22"/>
                <w:szCs w:val="22"/>
                <w:lang w:val="en-GB"/>
              </w:rPr>
            </w:pPr>
            <w:r w:rsidRPr="00497791">
              <w:rPr>
                <w:rFonts w:ascii="Arial" w:hAnsi="Arial" w:cs="Arial"/>
                <w:iCs/>
                <w:color w:val="000000"/>
                <w:sz w:val="22"/>
                <w:szCs w:val="22"/>
                <w:lang w:val="en-GB"/>
              </w:rPr>
              <w:t>Communication and outreach tools developed and implemented to promote the objectives of the Convention</w:t>
            </w:r>
          </w:p>
        </w:tc>
        <w:tc>
          <w:tcPr>
            <w:tcW w:w="2319" w:type="pct"/>
            <w:shd w:val="clear" w:color="auto" w:fill="auto"/>
            <w:vAlign w:val="center"/>
          </w:tcPr>
          <w:p w14:paraId="5D5F07BC" w14:textId="77777777" w:rsidR="008F0C71" w:rsidRPr="00C06F15" w:rsidRDefault="000F65F0" w:rsidP="00870FD2">
            <w:pPr>
              <w:pStyle w:val="ListParagraph"/>
              <w:numPr>
                <w:ilvl w:val="0"/>
                <w:numId w:val="20"/>
              </w:numPr>
              <w:spacing w:before="60" w:after="60"/>
              <w:ind w:left="360"/>
              <w:contextualSpacing w:val="0"/>
              <w:rPr>
                <w:rFonts w:ascii="Arial" w:hAnsi="Arial" w:cs="Arial"/>
                <w:iCs/>
                <w:sz w:val="22"/>
                <w:szCs w:val="22"/>
                <w:lang w:val="en-GB"/>
              </w:rPr>
            </w:pPr>
            <w:r w:rsidRPr="000F65F0">
              <w:rPr>
                <w:rFonts w:ascii="Arial" w:hAnsi="Arial" w:cs="Arial"/>
                <w:iCs/>
                <w:sz w:val="22"/>
                <w:szCs w:val="22"/>
                <w:lang w:val="en-GB"/>
              </w:rPr>
              <w:t>Outreach tool/material/activity produced and disseminated</w:t>
            </w:r>
          </w:p>
        </w:tc>
      </w:tr>
    </w:tbl>
    <w:p w14:paraId="42B5A597" w14:textId="77777777" w:rsidR="008F0C71" w:rsidRPr="009B07D4" w:rsidRDefault="008F0C71" w:rsidP="001F26CF">
      <w:pPr>
        <w:pStyle w:val="COMParaDecision"/>
        <w:numPr>
          <w:ilvl w:val="0"/>
          <w:numId w:val="0"/>
        </w:numPr>
        <w:jc w:val="left"/>
        <w:rPr>
          <w:lang w:val="en-US"/>
        </w:rPr>
      </w:pPr>
    </w:p>
    <w:sectPr w:rsidR="008F0C71" w:rsidRPr="009B07D4" w:rsidSect="00655736">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6E553" w16cid:durableId="208FA0AD"/>
  <w16cid:commentId w16cid:paraId="1283BE3D" w16cid:durableId="207E840A"/>
  <w16cid:commentId w16cid:paraId="43A2D479" w16cid:durableId="208FB1DF"/>
  <w16cid:commentId w16cid:paraId="44E71785" w16cid:durableId="208FB2E4"/>
  <w16cid:commentId w16cid:paraId="6325F23D" w16cid:durableId="207E840B"/>
  <w16cid:commentId w16cid:paraId="41CB0453" w16cid:durableId="207E840C"/>
  <w16cid:commentId w16cid:paraId="71061321" w16cid:durableId="208FA0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CD8D5" w14:textId="77777777" w:rsidR="00A4527A" w:rsidRDefault="00A4527A" w:rsidP="00655736">
      <w:r>
        <w:separator/>
      </w:r>
    </w:p>
  </w:endnote>
  <w:endnote w:type="continuationSeparator" w:id="0">
    <w:p w14:paraId="57B84E59" w14:textId="77777777" w:rsidR="00A4527A" w:rsidRDefault="00A4527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1864E" w14:textId="77777777" w:rsidR="00A4527A" w:rsidRDefault="00A4527A" w:rsidP="00655736">
      <w:r>
        <w:separator/>
      </w:r>
    </w:p>
  </w:footnote>
  <w:footnote w:type="continuationSeparator" w:id="0">
    <w:p w14:paraId="6A262A58" w14:textId="77777777" w:rsidR="00A4527A" w:rsidRDefault="00A4527A"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DF29" w14:textId="1AE42567" w:rsidR="0057791F" w:rsidRPr="002D3C97" w:rsidRDefault="0057791F" w:rsidP="002D3C97">
    <w:pPr>
      <w:pStyle w:val="Header"/>
      <w:rPr>
        <w:rFonts w:ascii="Arial" w:hAnsi="Arial" w:cs="Arial"/>
      </w:rPr>
    </w:pPr>
    <w:r w:rsidRPr="002D3C97">
      <w:rPr>
        <w:rFonts w:ascii="Arial" w:hAnsi="Arial" w:cs="Arial"/>
        <w:sz w:val="20"/>
        <w:szCs w:val="20"/>
      </w:rPr>
      <w:t>LHE/19/14.</w:t>
    </w:r>
    <w:r w:rsidRPr="00A73F63">
      <w:rPr>
        <w:rFonts w:ascii="Arial" w:hAnsi="Arial" w:cs="Arial"/>
        <w:sz w:val="20"/>
        <w:szCs w:val="20"/>
      </w:rPr>
      <w:t>COM </w:t>
    </w:r>
    <w:r w:rsidRPr="00870FD2">
      <w:rPr>
        <w:rFonts w:ascii="Arial" w:hAnsi="Arial" w:cs="Arial"/>
        <w:sz w:val="20"/>
        <w:szCs w:val="20"/>
      </w:rPr>
      <w:t>2</w:t>
    </w:r>
    <w:r w:rsidRPr="00A73F63">
      <w:rPr>
        <w:rFonts w:ascii="Arial" w:hAnsi="Arial" w:cs="Arial"/>
        <w:sz w:val="20"/>
        <w:szCs w:val="20"/>
      </w:rPr>
      <w:t>.BUR</w:t>
    </w:r>
    <w:r w:rsidRPr="002D3C97">
      <w:rPr>
        <w:rFonts w:ascii="Arial" w:hAnsi="Arial" w:cs="Arial"/>
        <w:sz w:val="20"/>
        <w:szCs w:val="20"/>
      </w:rPr>
      <w:t>/</w:t>
    </w:r>
    <w:r>
      <w:rPr>
        <w:rFonts w:ascii="Arial" w:hAnsi="Arial" w:cs="Arial"/>
        <w:sz w:val="20"/>
        <w:szCs w:val="20"/>
      </w:rPr>
      <w:t>3</w:t>
    </w:r>
    <w:r w:rsidRPr="002D3C97">
      <w:rPr>
        <w:rFonts w:ascii="Arial" w:hAnsi="Arial" w:cs="Arial"/>
        <w:sz w:val="20"/>
        <w:szCs w:val="20"/>
      </w:rPr>
      <w:t xml:space="preserve"> – page </w:t>
    </w:r>
    <w:r w:rsidRPr="00C23A97">
      <w:rPr>
        <w:rStyle w:val="PageNumber"/>
        <w:rFonts w:ascii="Arial" w:hAnsi="Arial" w:cs="Arial"/>
        <w:sz w:val="20"/>
        <w:szCs w:val="20"/>
        <w:lang w:val="en-GB"/>
      </w:rPr>
      <w:fldChar w:fldCharType="begin"/>
    </w:r>
    <w:r w:rsidRPr="002D3C97">
      <w:rPr>
        <w:rStyle w:val="PageNumber"/>
        <w:rFonts w:ascii="Arial" w:hAnsi="Arial" w:cs="Arial"/>
        <w:sz w:val="20"/>
        <w:szCs w:val="20"/>
      </w:rPr>
      <w:instrText xml:space="preserve"> PAGE </w:instrText>
    </w:r>
    <w:r w:rsidRPr="00C23A97">
      <w:rPr>
        <w:rStyle w:val="PageNumber"/>
        <w:rFonts w:ascii="Arial" w:hAnsi="Arial" w:cs="Arial"/>
        <w:sz w:val="20"/>
        <w:szCs w:val="20"/>
        <w:lang w:val="en-GB"/>
      </w:rPr>
      <w:fldChar w:fldCharType="separate"/>
    </w:r>
    <w:r w:rsidR="00497791">
      <w:rPr>
        <w:rStyle w:val="PageNumber"/>
        <w:rFonts w:ascii="Arial" w:hAnsi="Arial" w:cs="Arial"/>
        <w:noProof/>
        <w:sz w:val="20"/>
        <w:szCs w:val="20"/>
      </w:rPr>
      <w:t>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9E46" w14:textId="4A0D9C8B" w:rsidR="0057791F" w:rsidRPr="0063300C" w:rsidRDefault="0057791F" w:rsidP="002D3C97">
    <w:pPr>
      <w:pStyle w:val="Header"/>
      <w:jc w:val="right"/>
      <w:rPr>
        <w:rFonts w:ascii="Arial" w:hAnsi="Arial" w:cs="Arial"/>
        <w:lang w:val="en-GB"/>
      </w:rPr>
    </w:pPr>
    <w:r>
      <w:rPr>
        <w:rFonts w:ascii="Arial" w:hAnsi="Arial" w:cs="Arial"/>
        <w:sz w:val="20"/>
        <w:szCs w:val="20"/>
        <w:lang w:val="en-GB"/>
      </w:rPr>
      <w:t>LHE/19/14.COM 2.</w:t>
    </w:r>
    <w:r w:rsidRPr="00A73F63">
      <w:rPr>
        <w:rFonts w:ascii="Arial" w:hAnsi="Arial" w:cs="Arial"/>
        <w:sz w:val="20"/>
        <w:szCs w:val="20"/>
        <w:lang w:val="en-GB"/>
      </w:rPr>
      <w:t>BUR/</w:t>
    </w:r>
    <w:r w:rsidRPr="00870FD2">
      <w:rPr>
        <w:rFonts w:ascii="Arial" w:hAnsi="Arial" w:cs="Arial"/>
        <w:sz w:val="20"/>
        <w:szCs w:val="20"/>
        <w:lang w:val="en-GB"/>
      </w:rPr>
      <w:t>3</w:t>
    </w:r>
    <w:r w:rsidRPr="00A73F63">
      <w:rPr>
        <w:rFonts w:ascii="Arial" w:hAnsi="Arial" w:cs="Arial"/>
        <w:sz w:val="20"/>
        <w:szCs w:val="20"/>
        <w:lang w:val="en-GB"/>
      </w:rPr>
      <w:t xml:space="preserve"> – page</w:t>
    </w:r>
    <w:r w:rsidRPr="0063300C">
      <w:rPr>
        <w:rFonts w:ascii="Arial" w:hAnsi="Arial" w:cs="Arial"/>
        <w:sz w:val="20"/>
        <w:szCs w:val="20"/>
        <w:lang w:val="en-GB"/>
      </w:rPr>
      <w:t xml:space="preserv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497791">
      <w:rPr>
        <w:rStyle w:val="PageNumber"/>
        <w:rFonts w:ascii="Arial" w:hAnsi="Arial" w:cs="Arial"/>
        <w:noProof/>
        <w:sz w:val="20"/>
        <w:szCs w:val="20"/>
        <w:lang w:val="en-GB"/>
      </w:rPr>
      <w:t>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9CEA" w14:textId="77777777" w:rsidR="0057791F" w:rsidRPr="00F32C23" w:rsidRDefault="0057791F">
    <w:pPr>
      <w:pStyle w:val="Header"/>
      <w:rPr>
        <w:lang w:val="en-GB"/>
      </w:rPr>
    </w:pPr>
    <w:r>
      <w:rPr>
        <w:noProof/>
        <w:lang w:val="en-US" w:eastAsia="ko-KR"/>
      </w:rPr>
      <w:drawing>
        <wp:anchor distT="0" distB="0" distL="114300" distR="114300" simplePos="0" relativeHeight="251657728" behindDoc="0" locked="0" layoutInCell="1" allowOverlap="1" wp14:anchorId="4BC823D7" wp14:editId="5813C546">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1B172" w14:textId="77777777" w:rsidR="0057791F" w:rsidRPr="00F30DC6" w:rsidRDefault="0057791F" w:rsidP="00655736">
    <w:pPr>
      <w:pStyle w:val="Header"/>
      <w:spacing w:after="520"/>
      <w:jc w:val="right"/>
      <w:rPr>
        <w:rFonts w:ascii="Arial" w:hAnsi="Arial" w:cs="Arial"/>
        <w:b/>
        <w:sz w:val="44"/>
        <w:szCs w:val="44"/>
        <w:lang w:val="en-GB"/>
      </w:rPr>
    </w:pPr>
    <w:r>
      <w:rPr>
        <w:rFonts w:ascii="Arial" w:hAnsi="Arial" w:cs="Arial"/>
        <w:b/>
        <w:sz w:val="44"/>
        <w:szCs w:val="44"/>
        <w:lang w:val="en-GB"/>
      </w:rPr>
      <w:t>14 </w:t>
    </w:r>
    <w:r w:rsidRPr="00F30DC6">
      <w:rPr>
        <w:rFonts w:ascii="Arial" w:hAnsi="Arial" w:cs="Arial"/>
        <w:b/>
        <w:sz w:val="44"/>
        <w:szCs w:val="44"/>
        <w:lang w:val="en-GB"/>
      </w:rPr>
      <w:t>COM</w:t>
    </w:r>
    <w:r>
      <w:rPr>
        <w:rFonts w:ascii="Arial" w:hAnsi="Arial" w:cs="Arial"/>
        <w:b/>
        <w:sz w:val="44"/>
        <w:szCs w:val="44"/>
        <w:lang w:val="en-GB"/>
      </w:rPr>
      <w:t> 2 BUR</w:t>
    </w:r>
  </w:p>
  <w:p w14:paraId="36614698" w14:textId="77777777" w:rsidR="0057791F" w:rsidRPr="00A73F63" w:rsidRDefault="0057791F" w:rsidP="002D3C97">
    <w:pPr>
      <w:jc w:val="right"/>
      <w:rPr>
        <w:rFonts w:ascii="Arial" w:hAnsi="Arial" w:cs="Arial"/>
        <w:b/>
        <w:sz w:val="22"/>
        <w:szCs w:val="22"/>
        <w:lang w:val="en-GB"/>
      </w:rPr>
    </w:pPr>
    <w:r>
      <w:rPr>
        <w:rFonts w:ascii="Arial" w:hAnsi="Arial" w:cs="Arial"/>
        <w:b/>
        <w:sz w:val="22"/>
        <w:szCs w:val="22"/>
        <w:lang w:val="en-GB"/>
      </w:rPr>
      <w:t>LHE/19</w:t>
    </w:r>
    <w:r w:rsidRPr="009D5428">
      <w:rPr>
        <w:rFonts w:ascii="Arial" w:hAnsi="Arial" w:cs="Arial"/>
        <w:b/>
        <w:sz w:val="22"/>
        <w:szCs w:val="22"/>
        <w:lang w:val="en-GB"/>
      </w:rPr>
      <w:t>/</w:t>
    </w:r>
    <w:r>
      <w:rPr>
        <w:rFonts w:ascii="Arial" w:hAnsi="Arial" w:cs="Arial"/>
        <w:b/>
        <w:sz w:val="22"/>
        <w:szCs w:val="22"/>
        <w:lang w:val="en-GB"/>
      </w:rPr>
      <w:t>14</w:t>
    </w:r>
    <w:r w:rsidRPr="009D5428">
      <w:rPr>
        <w:rFonts w:ascii="Arial" w:hAnsi="Arial" w:cs="Arial"/>
        <w:b/>
        <w:sz w:val="22"/>
        <w:szCs w:val="22"/>
        <w:lang w:val="en-GB"/>
      </w:rPr>
      <w:t>.</w:t>
    </w:r>
    <w:r w:rsidRPr="00A73F63">
      <w:rPr>
        <w:rFonts w:ascii="Arial" w:hAnsi="Arial" w:cs="Arial"/>
        <w:b/>
        <w:sz w:val="22"/>
        <w:szCs w:val="22"/>
        <w:lang w:val="en-GB"/>
      </w:rPr>
      <w:t>COM</w:t>
    </w:r>
    <w:r w:rsidRPr="00A73F63">
      <w:rPr>
        <w:rFonts w:ascii="Arial" w:hAnsi="Arial" w:cs="Arial"/>
        <w:b/>
        <w:sz w:val="22"/>
        <w:szCs w:val="22"/>
        <w:lang w:val="en-US"/>
      </w:rPr>
      <w:t> 2.BUR</w:t>
    </w:r>
    <w:r w:rsidRPr="00A73F63">
      <w:rPr>
        <w:rFonts w:ascii="Arial" w:hAnsi="Arial" w:cs="Arial"/>
        <w:b/>
        <w:sz w:val="22"/>
        <w:szCs w:val="22"/>
        <w:lang w:val="en-GB"/>
      </w:rPr>
      <w:t>/</w:t>
    </w:r>
    <w:r w:rsidRPr="00870FD2">
      <w:rPr>
        <w:rFonts w:ascii="Arial" w:hAnsi="Arial" w:cs="Arial"/>
        <w:b/>
        <w:sz w:val="22"/>
        <w:szCs w:val="22"/>
        <w:lang w:val="en-GB"/>
      </w:rPr>
      <w:t>3</w:t>
    </w:r>
  </w:p>
  <w:p w14:paraId="4CDE0970" w14:textId="1DDAB967" w:rsidR="0057791F" w:rsidRPr="00A73F63" w:rsidRDefault="0057791F" w:rsidP="0078363F">
    <w:pPr>
      <w:jc w:val="right"/>
      <w:rPr>
        <w:rFonts w:ascii="Arial" w:eastAsiaTheme="minorEastAsia" w:hAnsi="Arial" w:cs="Arial"/>
        <w:b/>
        <w:sz w:val="22"/>
        <w:szCs w:val="22"/>
        <w:lang w:eastAsia="ko-KR"/>
      </w:rPr>
    </w:pPr>
    <w:r w:rsidRPr="00A73F63">
      <w:rPr>
        <w:rFonts w:ascii="Arial" w:hAnsi="Arial" w:cs="Arial"/>
        <w:b/>
        <w:sz w:val="22"/>
        <w:szCs w:val="22"/>
      </w:rPr>
      <w:t xml:space="preserve">Paris, </w:t>
    </w:r>
    <w:r w:rsidR="0078363F">
      <w:rPr>
        <w:rFonts w:ascii="Arial" w:hAnsi="Arial" w:cs="Arial"/>
        <w:b/>
        <w:sz w:val="22"/>
        <w:szCs w:val="22"/>
      </w:rPr>
      <w:t>4</w:t>
    </w:r>
    <w:r>
      <w:rPr>
        <w:rFonts w:ascii="Arial" w:hAnsi="Arial" w:cs="Arial"/>
        <w:b/>
        <w:sz w:val="22"/>
        <w:szCs w:val="22"/>
      </w:rPr>
      <w:t xml:space="preserve"> </w:t>
    </w:r>
    <w:r w:rsidR="0078363F">
      <w:rPr>
        <w:rFonts w:ascii="Arial" w:hAnsi="Arial" w:cs="Arial"/>
        <w:b/>
        <w:sz w:val="22"/>
        <w:szCs w:val="22"/>
      </w:rPr>
      <w:t>June</w:t>
    </w:r>
    <w:r w:rsidRPr="00A73F63">
      <w:rPr>
        <w:rFonts w:ascii="Arial" w:hAnsi="Arial" w:cs="Arial"/>
        <w:b/>
        <w:sz w:val="22"/>
        <w:szCs w:val="22"/>
      </w:rPr>
      <w:t xml:space="preserve"> 201</w:t>
    </w:r>
    <w:r w:rsidRPr="00A73F63">
      <w:rPr>
        <w:rFonts w:ascii="Arial" w:eastAsiaTheme="minorEastAsia" w:hAnsi="Arial" w:cs="Arial"/>
        <w:b/>
        <w:sz w:val="22"/>
        <w:szCs w:val="22"/>
        <w:lang w:eastAsia="ko-KR"/>
      </w:rPr>
      <w:t>9</w:t>
    </w:r>
  </w:p>
  <w:p w14:paraId="7D1CEDD1" w14:textId="77777777" w:rsidR="0057791F" w:rsidRPr="000819BF" w:rsidRDefault="0057791F" w:rsidP="000048ED">
    <w:pPr>
      <w:jc w:val="right"/>
      <w:rPr>
        <w:rFonts w:ascii="Arial" w:hAnsi="Arial" w:cs="Arial"/>
        <w:b/>
        <w:sz w:val="22"/>
        <w:szCs w:val="22"/>
      </w:rPr>
    </w:pPr>
    <w:r w:rsidRPr="00A73F63">
      <w:rPr>
        <w:rFonts w:ascii="Arial" w:hAnsi="Arial" w:cs="Arial"/>
        <w:b/>
        <w:sz w:val="22"/>
        <w:szCs w:val="22"/>
      </w:rPr>
      <w:t>Original: English</w:t>
    </w:r>
  </w:p>
  <w:p w14:paraId="59DC6CDA" w14:textId="77777777" w:rsidR="0057791F" w:rsidRPr="000819BF" w:rsidRDefault="00577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375"/>
    <w:multiLevelType w:val="hybridMultilevel"/>
    <w:tmpl w:val="0EB0C8E4"/>
    <w:lvl w:ilvl="0" w:tplc="6AA6C3AA">
      <w:start w:val="1"/>
      <w:numFmt w:val="decimal"/>
      <w:pStyle w:val="5GAparabodytext"/>
      <w:lvlText w:val="%1."/>
      <w:lvlJc w:val="left"/>
      <w:pPr>
        <w:ind w:left="927" w:hanging="360"/>
      </w:pPr>
      <w:rPr>
        <w:rFonts w:ascii="Arial" w:eastAsia="Times New Roman" w:hAnsi="Arial" w:cs="Arial"/>
        <w:b w:val="0"/>
        <w:bCs w:val="0"/>
        <w:i w:val="0"/>
        <w:i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F960B4"/>
    <w:multiLevelType w:val="hybridMultilevel"/>
    <w:tmpl w:val="AA46D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B27CC8A2"/>
    <w:lvl w:ilvl="0" w:tplc="28605036">
      <w:start w:val="1"/>
      <w:numFmt w:val="upperRoman"/>
      <w:pStyle w:val="Heading4"/>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3447DA"/>
    <w:multiLevelType w:val="hybridMultilevel"/>
    <w:tmpl w:val="2BA0FC2C"/>
    <w:lvl w:ilvl="0" w:tplc="A76A2AF6">
      <w:start w:val="1"/>
      <w:numFmt w:val="decimal"/>
      <w:lvlText w:val="%1."/>
      <w:lvlJc w:val="left"/>
      <w:pPr>
        <w:ind w:left="720" w:hanging="360"/>
      </w:pPr>
      <w:rPr>
        <w:rFonts w:ascii="Arial" w:hAnsi="Arial" w:cs="Arial" w:hint="default"/>
        <w:b w:val="0"/>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7765A9"/>
    <w:multiLevelType w:val="hybridMultilevel"/>
    <w:tmpl w:val="99E09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B82CF8"/>
    <w:multiLevelType w:val="hybridMultilevel"/>
    <w:tmpl w:val="E9089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2"/>
  </w:num>
  <w:num w:numId="4">
    <w:abstractNumId w:val="17"/>
  </w:num>
  <w:num w:numId="5">
    <w:abstractNumId w:val="14"/>
  </w:num>
  <w:num w:numId="6">
    <w:abstractNumId w:val="1"/>
  </w:num>
  <w:num w:numId="7">
    <w:abstractNumId w:val="3"/>
  </w:num>
  <w:num w:numId="8">
    <w:abstractNumId w:val="10"/>
  </w:num>
  <w:num w:numId="9">
    <w:abstractNumId w:val="5"/>
  </w:num>
  <w:num w:numId="10">
    <w:abstractNumId w:val="7"/>
  </w:num>
  <w:num w:numId="11">
    <w:abstractNumId w:val="9"/>
  </w:num>
  <w:num w:numId="12">
    <w:abstractNumId w:val="8"/>
  </w:num>
  <w:num w:numId="13">
    <w:abstractNumId w:val="12"/>
  </w:num>
  <w:num w:numId="14">
    <w:abstractNumId w:val="12"/>
    <w:lvlOverride w:ilvl="0">
      <w:startOverride w:val="1"/>
    </w:lvlOverride>
  </w:num>
  <w:num w:numId="15">
    <w:abstractNumId w:val="12"/>
  </w:num>
  <w:num w:numId="16">
    <w:abstractNumId w:val="12"/>
  </w:num>
  <w:num w:numId="17">
    <w:abstractNumId w:val="12"/>
  </w:num>
  <w:num w:numId="18">
    <w:abstractNumId w:val="12"/>
    <w:lvlOverride w:ilvl="0">
      <w:startOverride w:val="1"/>
    </w:lvlOverride>
  </w:num>
  <w:num w:numId="19">
    <w:abstractNumId w:val="4"/>
  </w:num>
  <w:num w:numId="20">
    <w:abstractNumId w:val="15"/>
  </w:num>
  <w:num w:numId="21">
    <w:abstractNumId w:val="16"/>
  </w:num>
  <w:num w:numId="22">
    <w:abstractNumId w:val="12"/>
    <w:lvlOverride w:ilvl="0">
      <w:startOverride w:val="1"/>
    </w:lvlOverride>
  </w:num>
  <w:num w:numId="23">
    <w:abstractNumId w:val="12"/>
  </w:num>
  <w:num w:numId="24">
    <w:abstractNumId w:val="11"/>
  </w:num>
  <w:num w:numId="25">
    <w:abstractNumId w:val="12"/>
  </w:num>
  <w:num w:numId="26">
    <w:abstractNumId w:val="12"/>
  </w:num>
  <w:num w:numId="27">
    <w:abstractNumId w:val="8"/>
  </w:num>
  <w:num w:numId="28">
    <w:abstractNumId w:val="8"/>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32AC"/>
    <w:rsid w:val="00015C9B"/>
    <w:rsid w:val="00023BED"/>
    <w:rsid w:val="00026A03"/>
    <w:rsid w:val="00041A66"/>
    <w:rsid w:val="00046A52"/>
    <w:rsid w:val="0005176E"/>
    <w:rsid w:val="00051E6F"/>
    <w:rsid w:val="00052358"/>
    <w:rsid w:val="000562F2"/>
    <w:rsid w:val="00056E10"/>
    <w:rsid w:val="000701AC"/>
    <w:rsid w:val="00074D26"/>
    <w:rsid w:val="000765F7"/>
    <w:rsid w:val="00077AB7"/>
    <w:rsid w:val="000819BF"/>
    <w:rsid w:val="00081CD8"/>
    <w:rsid w:val="00082DB9"/>
    <w:rsid w:val="00085C97"/>
    <w:rsid w:val="00090974"/>
    <w:rsid w:val="000915D8"/>
    <w:rsid w:val="000A49FA"/>
    <w:rsid w:val="000A7F0E"/>
    <w:rsid w:val="000B1C8F"/>
    <w:rsid w:val="000B7EBF"/>
    <w:rsid w:val="000C0D61"/>
    <w:rsid w:val="000C241F"/>
    <w:rsid w:val="000C6EF4"/>
    <w:rsid w:val="000C7470"/>
    <w:rsid w:val="000F3A3F"/>
    <w:rsid w:val="000F65F0"/>
    <w:rsid w:val="000F7DDC"/>
    <w:rsid w:val="00100CA6"/>
    <w:rsid w:val="00102557"/>
    <w:rsid w:val="00113176"/>
    <w:rsid w:val="0011357D"/>
    <w:rsid w:val="00121AEF"/>
    <w:rsid w:val="00126050"/>
    <w:rsid w:val="00131092"/>
    <w:rsid w:val="00134EAF"/>
    <w:rsid w:val="00136269"/>
    <w:rsid w:val="00137CEE"/>
    <w:rsid w:val="00142D21"/>
    <w:rsid w:val="001434CD"/>
    <w:rsid w:val="00143CDC"/>
    <w:rsid w:val="001446C3"/>
    <w:rsid w:val="00144E32"/>
    <w:rsid w:val="0014528E"/>
    <w:rsid w:val="001540CF"/>
    <w:rsid w:val="00164C3D"/>
    <w:rsid w:val="00164D56"/>
    <w:rsid w:val="00167B10"/>
    <w:rsid w:val="00172075"/>
    <w:rsid w:val="0017402F"/>
    <w:rsid w:val="00175D0B"/>
    <w:rsid w:val="00175D44"/>
    <w:rsid w:val="00180433"/>
    <w:rsid w:val="0019255C"/>
    <w:rsid w:val="00192ECA"/>
    <w:rsid w:val="001947F2"/>
    <w:rsid w:val="00195408"/>
    <w:rsid w:val="001966A6"/>
    <w:rsid w:val="00196C1B"/>
    <w:rsid w:val="001A0EB3"/>
    <w:rsid w:val="001B0F73"/>
    <w:rsid w:val="001B37CC"/>
    <w:rsid w:val="001C2891"/>
    <w:rsid w:val="001C2DB7"/>
    <w:rsid w:val="001C41D5"/>
    <w:rsid w:val="001C7F59"/>
    <w:rsid w:val="001D5C04"/>
    <w:rsid w:val="001D6F12"/>
    <w:rsid w:val="001E0C16"/>
    <w:rsid w:val="001E4934"/>
    <w:rsid w:val="001F02D6"/>
    <w:rsid w:val="001F26CF"/>
    <w:rsid w:val="001F39DD"/>
    <w:rsid w:val="0021176E"/>
    <w:rsid w:val="00222A2D"/>
    <w:rsid w:val="00223029"/>
    <w:rsid w:val="00231C89"/>
    <w:rsid w:val="00234745"/>
    <w:rsid w:val="002351A6"/>
    <w:rsid w:val="00236D34"/>
    <w:rsid w:val="002407AF"/>
    <w:rsid w:val="0024453C"/>
    <w:rsid w:val="002470CD"/>
    <w:rsid w:val="002553ED"/>
    <w:rsid w:val="00255403"/>
    <w:rsid w:val="002565D0"/>
    <w:rsid w:val="00264D2C"/>
    <w:rsid w:val="002707C7"/>
    <w:rsid w:val="00271C66"/>
    <w:rsid w:val="002725EC"/>
    <w:rsid w:val="0027466B"/>
    <w:rsid w:val="00277662"/>
    <w:rsid w:val="002838A5"/>
    <w:rsid w:val="00284B4F"/>
    <w:rsid w:val="00285BB4"/>
    <w:rsid w:val="00285C94"/>
    <w:rsid w:val="002864EE"/>
    <w:rsid w:val="00291372"/>
    <w:rsid w:val="002A4982"/>
    <w:rsid w:val="002A5FED"/>
    <w:rsid w:val="002B07D5"/>
    <w:rsid w:val="002B2977"/>
    <w:rsid w:val="002B3AE2"/>
    <w:rsid w:val="002C099A"/>
    <w:rsid w:val="002C09E3"/>
    <w:rsid w:val="002C376D"/>
    <w:rsid w:val="002D3C97"/>
    <w:rsid w:val="002E7C9A"/>
    <w:rsid w:val="00315ABD"/>
    <w:rsid w:val="0032229D"/>
    <w:rsid w:val="0033023D"/>
    <w:rsid w:val="003352C1"/>
    <w:rsid w:val="00337CEB"/>
    <w:rsid w:val="00340F83"/>
    <w:rsid w:val="00342DC4"/>
    <w:rsid w:val="00344B58"/>
    <w:rsid w:val="0034539A"/>
    <w:rsid w:val="00345CB4"/>
    <w:rsid w:val="003519C6"/>
    <w:rsid w:val="00355D77"/>
    <w:rsid w:val="00365E5D"/>
    <w:rsid w:val="00367A6F"/>
    <w:rsid w:val="00372030"/>
    <w:rsid w:val="00375D42"/>
    <w:rsid w:val="00382CE6"/>
    <w:rsid w:val="0039068B"/>
    <w:rsid w:val="003A54FD"/>
    <w:rsid w:val="003B1488"/>
    <w:rsid w:val="003D0599"/>
    <w:rsid w:val="003D069C"/>
    <w:rsid w:val="003D2867"/>
    <w:rsid w:val="003D3BF8"/>
    <w:rsid w:val="003D7646"/>
    <w:rsid w:val="003E4324"/>
    <w:rsid w:val="003E507F"/>
    <w:rsid w:val="003F113A"/>
    <w:rsid w:val="003F3E63"/>
    <w:rsid w:val="003F65CC"/>
    <w:rsid w:val="004039F5"/>
    <w:rsid w:val="00407480"/>
    <w:rsid w:val="00411E08"/>
    <w:rsid w:val="00414643"/>
    <w:rsid w:val="00417470"/>
    <w:rsid w:val="00421021"/>
    <w:rsid w:val="004421E5"/>
    <w:rsid w:val="004442EA"/>
    <w:rsid w:val="004446B1"/>
    <w:rsid w:val="00447731"/>
    <w:rsid w:val="00452284"/>
    <w:rsid w:val="004549C8"/>
    <w:rsid w:val="00457C8E"/>
    <w:rsid w:val="00466104"/>
    <w:rsid w:val="0046651C"/>
    <w:rsid w:val="004665A5"/>
    <w:rsid w:val="004709AB"/>
    <w:rsid w:val="00477050"/>
    <w:rsid w:val="00484AF9"/>
    <w:rsid w:val="004856CA"/>
    <w:rsid w:val="00486F87"/>
    <w:rsid w:val="00487E67"/>
    <w:rsid w:val="0049705E"/>
    <w:rsid w:val="00497791"/>
    <w:rsid w:val="004A3003"/>
    <w:rsid w:val="004A34A0"/>
    <w:rsid w:val="004C3853"/>
    <w:rsid w:val="004C3AE3"/>
    <w:rsid w:val="004D3B0B"/>
    <w:rsid w:val="004E0C7C"/>
    <w:rsid w:val="004E42F8"/>
    <w:rsid w:val="004F3DA1"/>
    <w:rsid w:val="005008A8"/>
    <w:rsid w:val="00506B57"/>
    <w:rsid w:val="00506FB1"/>
    <w:rsid w:val="005145D5"/>
    <w:rsid w:val="005176AF"/>
    <w:rsid w:val="00526183"/>
    <w:rsid w:val="00526B7B"/>
    <w:rsid w:val="005308CE"/>
    <w:rsid w:val="00532F8E"/>
    <w:rsid w:val="0053318C"/>
    <w:rsid w:val="00533F14"/>
    <w:rsid w:val="005344DF"/>
    <w:rsid w:val="0054442D"/>
    <w:rsid w:val="0055227C"/>
    <w:rsid w:val="00554FB8"/>
    <w:rsid w:val="00563004"/>
    <w:rsid w:val="0057439C"/>
    <w:rsid w:val="0057791F"/>
    <w:rsid w:val="00580A2C"/>
    <w:rsid w:val="00581375"/>
    <w:rsid w:val="005863A1"/>
    <w:rsid w:val="00594ABF"/>
    <w:rsid w:val="005A198D"/>
    <w:rsid w:val="005A37DF"/>
    <w:rsid w:val="005B0127"/>
    <w:rsid w:val="005B7A35"/>
    <w:rsid w:val="005C4B73"/>
    <w:rsid w:val="005D110F"/>
    <w:rsid w:val="005D57C9"/>
    <w:rsid w:val="005E1D2B"/>
    <w:rsid w:val="005E3E11"/>
    <w:rsid w:val="005E7074"/>
    <w:rsid w:val="005F2BAF"/>
    <w:rsid w:val="005F344F"/>
    <w:rsid w:val="005F4814"/>
    <w:rsid w:val="00600D93"/>
    <w:rsid w:val="00606764"/>
    <w:rsid w:val="006125DA"/>
    <w:rsid w:val="00613A9F"/>
    <w:rsid w:val="00623825"/>
    <w:rsid w:val="00627E2D"/>
    <w:rsid w:val="0063298D"/>
    <w:rsid w:val="0063300C"/>
    <w:rsid w:val="00634CB4"/>
    <w:rsid w:val="00655736"/>
    <w:rsid w:val="00663B8D"/>
    <w:rsid w:val="0068757D"/>
    <w:rsid w:val="00692150"/>
    <w:rsid w:val="0069505E"/>
    <w:rsid w:val="00696710"/>
    <w:rsid w:val="00696C8D"/>
    <w:rsid w:val="006A2A29"/>
    <w:rsid w:val="006A2AC2"/>
    <w:rsid w:val="006A3617"/>
    <w:rsid w:val="006A3A4C"/>
    <w:rsid w:val="006B6058"/>
    <w:rsid w:val="006D57EA"/>
    <w:rsid w:val="006E46E4"/>
    <w:rsid w:val="006E51F3"/>
    <w:rsid w:val="006E52E8"/>
    <w:rsid w:val="006F2624"/>
    <w:rsid w:val="006F2707"/>
    <w:rsid w:val="006F35C3"/>
    <w:rsid w:val="006F521A"/>
    <w:rsid w:val="0071146A"/>
    <w:rsid w:val="00711E24"/>
    <w:rsid w:val="00717DA5"/>
    <w:rsid w:val="00721354"/>
    <w:rsid w:val="007328B7"/>
    <w:rsid w:val="00742626"/>
    <w:rsid w:val="00744484"/>
    <w:rsid w:val="00747566"/>
    <w:rsid w:val="00755757"/>
    <w:rsid w:val="007616D2"/>
    <w:rsid w:val="00761ADA"/>
    <w:rsid w:val="007646F9"/>
    <w:rsid w:val="00773188"/>
    <w:rsid w:val="0078363F"/>
    <w:rsid w:val="00783782"/>
    <w:rsid w:val="00783BBA"/>
    <w:rsid w:val="00783FA3"/>
    <w:rsid w:val="00784B8C"/>
    <w:rsid w:val="007879E1"/>
    <w:rsid w:val="007B705B"/>
    <w:rsid w:val="007C78B1"/>
    <w:rsid w:val="007D5212"/>
    <w:rsid w:val="007E3103"/>
    <w:rsid w:val="007E7080"/>
    <w:rsid w:val="007E730D"/>
    <w:rsid w:val="007F7117"/>
    <w:rsid w:val="007F7EDA"/>
    <w:rsid w:val="0082101E"/>
    <w:rsid w:val="00823A11"/>
    <w:rsid w:val="00825D84"/>
    <w:rsid w:val="0085405E"/>
    <w:rsid w:val="0085414A"/>
    <w:rsid w:val="00856297"/>
    <w:rsid w:val="0086269D"/>
    <w:rsid w:val="0086543A"/>
    <w:rsid w:val="00867976"/>
    <w:rsid w:val="00870FD2"/>
    <w:rsid w:val="008724E5"/>
    <w:rsid w:val="008737AC"/>
    <w:rsid w:val="00876589"/>
    <w:rsid w:val="0088426C"/>
    <w:rsid w:val="00884A9D"/>
    <w:rsid w:val="0088512B"/>
    <w:rsid w:val="00887999"/>
    <w:rsid w:val="0089124F"/>
    <w:rsid w:val="00896070"/>
    <w:rsid w:val="008A2A8C"/>
    <w:rsid w:val="008A2B2D"/>
    <w:rsid w:val="008A2F37"/>
    <w:rsid w:val="008A4E1E"/>
    <w:rsid w:val="008B2653"/>
    <w:rsid w:val="008C0E9C"/>
    <w:rsid w:val="008C14F1"/>
    <w:rsid w:val="008C296C"/>
    <w:rsid w:val="008C6184"/>
    <w:rsid w:val="008C77B6"/>
    <w:rsid w:val="008D4305"/>
    <w:rsid w:val="008E1A85"/>
    <w:rsid w:val="008F0C71"/>
    <w:rsid w:val="008F5FC3"/>
    <w:rsid w:val="009055AE"/>
    <w:rsid w:val="00905FF7"/>
    <w:rsid w:val="009112F8"/>
    <w:rsid w:val="009163A7"/>
    <w:rsid w:val="00926EB2"/>
    <w:rsid w:val="009301A2"/>
    <w:rsid w:val="009434DC"/>
    <w:rsid w:val="00946D0B"/>
    <w:rsid w:val="00950D5A"/>
    <w:rsid w:val="00955877"/>
    <w:rsid w:val="00955D4E"/>
    <w:rsid w:val="0095719A"/>
    <w:rsid w:val="00961E44"/>
    <w:rsid w:val="0096252A"/>
    <w:rsid w:val="00962C3B"/>
    <w:rsid w:val="009730C3"/>
    <w:rsid w:val="0098028E"/>
    <w:rsid w:val="00991507"/>
    <w:rsid w:val="00992CD1"/>
    <w:rsid w:val="009A18CD"/>
    <w:rsid w:val="009A4D68"/>
    <w:rsid w:val="009A5091"/>
    <w:rsid w:val="009B07D4"/>
    <w:rsid w:val="009B1ED4"/>
    <w:rsid w:val="009B3135"/>
    <w:rsid w:val="009C04EA"/>
    <w:rsid w:val="009C5934"/>
    <w:rsid w:val="009D5428"/>
    <w:rsid w:val="009E5BAA"/>
    <w:rsid w:val="00A104E0"/>
    <w:rsid w:val="00A12558"/>
    <w:rsid w:val="00A13903"/>
    <w:rsid w:val="00A27731"/>
    <w:rsid w:val="00A34ED5"/>
    <w:rsid w:val="00A407BF"/>
    <w:rsid w:val="00A4527A"/>
    <w:rsid w:val="00A45DBF"/>
    <w:rsid w:val="00A51E92"/>
    <w:rsid w:val="00A70845"/>
    <w:rsid w:val="00A73F63"/>
    <w:rsid w:val="00A755A2"/>
    <w:rsid w:val="00A7596B"/>
    <w:rsid w:val="00A80A65"/>
    <w:rsid w:val="00A81BF0"/>
    <w:rsid w:val="00AA3572"/>
    <w:rsid w:val="00AA6660"/>
    <w:rsid w:val="00AA7F9D"/>
    <w:rsid w:val="00AB1432"/>
    <w:rsid w:val="00AB2C36"/>
    <w:rsid w:val="00AB6DDE"/>
    <w:rsid w:val="00AB70B6"/>
    <w:rsid w:val="00AD18C5"/>
    <w:rsid w:val="00AD1A86"/>
    <w:rsid w:val="00AE103E"/>
    <w:rsid w:val="00AE7E0B"/>
    <w:rsid w:val="00AF0A07"/>
    <w:rsid w:val="00AF4AEC"/>
    <w:rsid w:val="00AF625E"/>
    <w:rsid w:val="00B003EF"/>
    <w:rsid w:val="00B02E02"/>
    <w:rsid w:val="00B1111B"/>
    <w:rsid w:val="00B12BF8"/>
    <w:rsid w:val="00B159EF"/>
    <w:rsid w:val="00B2613C"/>
    <w:rsid w:val="00B4346D"/>
    <w:rsid w:val="00B620D7"/>
    <w:rsid w:val="00B70449"/>
    <w:rsid w:val="00B70C98"/>
    <w:rsid w:val="00B86B26"/>
    <w:rsid w:val="00BA1FA7"/>
    <w:rsid w:val="00BA4111"/>
    <w:rsid w:val="00BB04AF"/>
    <w:rsid w:val="00BB6F83"/>
    <w:rsid w:val="00BC4C5C"/>
    <w:rsid w:val="00BD4406"/>
    <w:rsid w:val="00BD52C9"/>
    <w:rsid w:val="00BE6354"/>
    <w:rsid w:val="00BF606C"/>
    <w:rsid w:val="00BF775E"/>
    <w:rsid w:val="00C138D1"/>
    <w:rsid w:val="00C1579C"/>
    <w:rsid w:val="00C23A97"/>
    <w:rsid w:val="00C26E65"/>
    <w:rsid w:val="00C32B9E"/>
    <w:rsid w:val="00C53BB0"/>
    <w:rsid w:val="00C64552"/>
    <w:rsid w:val="00C64855"/>
    <w:rsid w:val="00C708ED"/>
    <w:rsid w:val="00C70EA7"/>
    <w:rsid w:val="00C716C4"/>
    <w:rsid w:val="00C7433F"/>
    <w:rsid w:val="00C7516E"/>
    <w:rsid w:val="00C75770"/>
    <w:rsid w:val="00C85DE1"/>
    <w:rsid w:val="00C91DC9"/>
    <w:rsid w:val="00C958E8"/>
    <w:rsid w:val="00C96427"/>
    <w:rsid w:val="00CA042A"/>
    <w:rsid w:val="00CA56BB"/>
    <w:rsid w:val="00CB0542"/>
    <w:rsid w:val="00CB1655"/>
    <w:rsid w:val="00CB1672"/>
    <w:rsid w:val="00CB34E0"/>
    <w:rsid w:val="00CB3DF8"/>
    <w:rsid w:val="00CB4168"/>
    <w:rsid w:val="00CB44D2"/>
    <w:rsid w:val="00CB5B86"/>
    <w:rsid w:val="00CB6B0F"/>
    <w:rsid w:val="00CB77E1"/>
    <w:rsid w:val="00D00B2B"/>
    <w:rsid w:val="00D06D52"/>
    <w:rsid w:val="00D14756"/>
    <w:rsid w:val="00D154B2"/>
    <w:rsid w:val="00D1657F"/>
    <w:rsid w:val="00D24877"/>
    <w:rsid w:val="00D3305D"/>
    <w:rsid w:val="00D4635F"/>
    <w:rsid w:val="00D5098C"/>
    <w:rsid w:val="00D5116D"/>
    <w:rsid w:val="00D704E3"/>
    <w:rsid w:val="00D72A9B"/>
    <w:rsid w:val="00D8250F"/>
    <w:rsid w:val="00D83148"/>
    <w:rsid w:val="00D8625C"/>
    <w:rsid w:val="00D9100F"/>
    <w:rsid w:val="00D930EC"/>
    <w:rsid w:val="00D95C4C"/>
    <w:rsid w:val="00DA36ED"/>
    <w:rsid w:val="00DA3D9A"/>
    <w:rsid w:val="00DA4647"/>
    <w:rsid w:val="00DA4A8B"/>
    <w:rsid w:val="00DC0764"/>
    <w:rsid w:val="00DD6737"/>
    <w:rsid w:val="00DD7355"/>
    <w:rsid w:val="00DE171E"/>
    <w:rsid w:val="00DE2AE2"/>
    <w:rsid w:val="00DE308A"/>
    <w:rsid w:val="00DE3121"/>
    <w:rsid w:val="00DE34F1"/>
    <w:rsid w:val="00DE6160"/>
    <w:rsid w:val="00DF3023"/>
    <w:rsid w:val="00DF4942"/>
    <w:rsid w:val="00DF63F0"/>
    <w:rsid w:val="00DF6629"/>
    <w:rsid w:val="00E03F91"/>
    <w:rsid w:val="00E132F0"/>
    <w:rsid w:val="00E244E1"/>
    <w:rsid w:val="00E30E2A"/>
    <w:rsid w:val="00E4227D"/>
    <w:rsid w:val="00E424F9"/>
    <w:rsid w:val="00E425AE"/>
    <w:rsid w:val="00E4320E"/>
    <w:rsid w:val="00E45158"/>
    <w:rsid w:val="00E477C2"/>
    <w:rsid w:val="00E627B1"/>
    <w:rsid w:val="00E66D0B"/>
    <w:rsid w:val="00E70169"/>
    <w:rsid w:val="00E701F5"/>
    <w:rsid w:val="00E708A2"/>
    <w:rsid w:val="00E71AAE"/>
    <w:rsid w:val="00E7575A"/>
    <w:rsid w:val="00E9085A"/>
    <w:rsid w:val="00E90D9C"/>
    <w:rsid w:val="00E92082"/>
    <w:rsid w:val="00E9238E"/>
    <w:rsid w:val="00E92E35"/>
    <w:rsid w:val="00E935B5"/>
    <w:rsid w:val="00E9376C"/>
    <w:rsid w:val="00EA0FF6"/>
    <w:rsid w:val="00EA335E"/>
    <w:rsid w:val="00EA528C"/>
    <w:rsid w:val="00EA580C"/>
    <w:rsid w:val="00EA6A9F"/>
    <w:rsid w:val="00EB493D"/>
    <w:rsid w:val="00EB754F"/>
    <w:rsid w:val="00EC025A"/>
    <w:rsid w:val="00EC6F8D"/>
    <w:rsid w:val="00EC7479"/>
    <w:rsid w:val="00EE2D80"/>
    <w:rsid w:val="00EE49F4"/>
    <w:rsid w:val="00EE5187"/>
    <w:rsid w:val="00EE74DF"/>
    <w:rsid w:val="00EE7946"/>
    <w:rsid w:val="00EF2992"/>
    <w:rsid w:val="00EF34E2"/>
    <w:rsid w:val="00EF7928"/>
    <w:rsid w:val="00F00E8A"/>
    <w:rsid w:val="00F159D7"/>
    <w:rsid w:val="00F17999"/>
    <w:rsid w:val="00F21049"/>
    <w:rsid w:val="00F21AC0"/>
    <w:rsid w:val="00F25F82"/>
    <w:rsid w:val="00F26148"/>
    <w:rsid w:val="00F30DC6"/>
    <w:rsid w:val="00F32883"/>
    <w:rsid w:val="00F32C23"/>
    <w:rsid w:val="00F356E0"/>
    <w:rsid w:val="00F52B55"/>
    <w:rsid w:val="00F53DE9"/>
    <w:rsid w:val="00F576CB"/>
    <w:rsid w:val="00F7035D"/>
    <w:rsid w:val="00F71A02"/>
    <w:rsid w:val="00F72B7A"/>
    <w:rsid w:val="00F74F7B"/>
    <w:rsid w:val="00F831BD"/>
    <w:rsid w:val="00F8370D"/>
    <w:rsid w:val="00FA0D63"/>
    <w:rsid w:val="00FA122C"/>
    <w:rsid w:val="00FA172D"/>
    <w:rsid w:val="00FA34AB"/>
    <w:rsid w:val="00FA403F"/>
    <w:rsid w:val="00FA5A8B"/>
    <w:rsid w:val="00FB1474"/>
    <w:rsid w:val="00FB1DDE"/>
    <w:rsid w:val="00FB4F8B"/>
    <w:rsid w:val="00FD0FFF"/>
    <w:rsid w:val="00FD1226"/>
    <w:rsid w:val="00FD3CB6"/>
    <w:rsid w:val="00FE086A"/>
    <w:rsid w:val="00FF01A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CBB83E"/>
  <w15:docId w15:val="{1836850F-36B2-4A2C-B98C-127B8424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basedOn w:val="Marge"/>
    <w:autoRedefine/>
    <w:uiPriority w:val="99"/>
    <w:qFormat/>
    <w:rsid w:val="00466104"/>
    <w:pPr>
      <w:numPr>
        <w:numId w:val="29"/>
      </w:numPr>
      <w:spacing w:after="120"/>
      <w:ind w:left="567" w:hanging="567"/>
    </w:pPr>
    <w:rPr>
      <w:rFonts w:cs="Arial"/>
      <w:bCs/>
      <w:iCs/>
      <w:snapToGrid/>
      <w:szCs w:val="22"/>
      <w:lang w:val="en-US" w:eastAsia="fr-FR"/>
    </w:rPr>
  </w:style>
  <w:style w:type="character" w:styleId="Hyperlink">
    <w:name w:val="Hyperlink"/>
    <w:basedOn w:val="DefaultParagraphFont"/>
    <w:uiPriority w:val="99"/>
    <w:unhideWhenUsed/>
    <w:rsid w:val="00761ADA"/>
    <w:rPr>
      <w:color w:val="0000FF" w:themeColor="hyperlink"/>
      <w:u w:val="single"/>
    </w:rPr>
  </w:style>
  <w:style w:type="character" w:styleId="FollowedHyperlink">
    <w:name w:val="FollowedHyperlink"/>
    <w:basedOn w:val="DefaultParagraphFont"/>
    <w:uiPriority w:val="99"/>
    <w:semiHidden/>
    <w:unhideWhenUsed/>
    <w:rsid w:val="00E92E35"/>
    <w:rPr>
      <w:color w:val="800080" w:themeColor="followedHyperlink"/>
      <w:u w:val="single"/>
    </w:rPr>
  </w:style>
  <w:style w:type="paragraph" w:customStyle="1" w:styleId="Sansinterligne3">
    <w:name w:val="Sans interligne3"/>
    <w:uiPriority w:val="1"/>
    <w:qFormat/>
    <w:rsid w:val="00447731"/>
    <w:rPr>
      <w:rFonts w:ascii="Times New Roman" w:eastAsia="Times New Roman" w:hAnsi="Times New Roman"/>
      <w:sz w:val="24"/>
      <w:szCs w:val="24"/>
    </w:rPr>
  </w:style>
  <w:style w:type="character" w:customStyle="1" w:styleId="hps">
    <w:name w:val="hps"/>
    <w:rsid w:val="008737AC"/>
  </w:style>
  <w:style w:type="character" w:customStyle="1" w:styleId="MargeChar">
    <w:name w:val="Marge Char"/>
    <w:link w:val="Marge"/>
    <w:rsid w:val="009B07D4"/>
    <w:rPr>
      <w:rFonts w:ascii="Arial" w:eastAsia="Times New Roman" w:hAnsi="Arial"/>
      <w:snapToGrid w:val="0"/>
      <w:sz w:val="22"/>
      <w:szCs w:val="24"/>
      <w:lang w:eastAsia="en-US"/>
    </w:rPr>
  </w:style>
  <w:style w:type="paragraph" w:styleId="ListParagraph">
    <w:name w:val="List Paragraph"/>
    <w:basedOn w:val="Normal"/>
    <w:uiPriority w:val="34"/>
    <w:qFormat/>
    <w:rsid w:val="009B07D4"/>
    <w:pPr>
      <w:ind w:left="720"/>
      <w:contextualSpacing/>
    </w:pPr>
  </w:style>
  <w:style w:type="character" w:styleId="CommentReference">
    <w:name w:val="annotation reference"/>
    <w:basedOn w:val="DefaultParagraphFont"/>
    <w:uiPriority w:val="99"/>
    <w:semiHidden/>
    <w:unhideWhenUsed/>
    <w:rsid w:val="00AA3572"/>
    <w:rPr>
      <w:sz w:val="16"/>
      <w:szCs w:val="16"/>
    </w:rPr>
  </w:style>
  <w:style w:type="paragraph" w:styleId="CommentText">
    <w:name w:val="annotation text"/>
    <w:basedOn w:val="Normal"/>
    <w:link w:val="CommentTextChar"/>
    <w:uiPriority w:val="99"/>
    <w:semiHidden/>
    <w:unhideWhenUsed/>
    <w:rsid w:val="00AA3572"/>
    <w:rPr>
      <w:sz w:val="20"/>
      <w:szCs w:val="20"/>
    </w:rPr>
  </w:style>
  <w:style w:type="character" w:customStyle="1" w:styleId="CommentTextChar">
    <w:name w:val="Comment Text Char"/>
    <w:basedOn w:val="DefaultParagraphFont"/>
    <w:link w:val="CommentText"/>
    <w:uiPriority w:val="99"/>
    <w:semiHidden/>
    <w:rsid w:val="00AA357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3572"/>
    <w:rPr>
      <w:b/>
      <w:bCs/>
    </w:rPr>
  </w:style>
  <w:style w:type="character" w:customStyle="1" w:styleId="CommentSubjectChar">
    <w:name w:val="Comment Subject Char"/>
    <w:basedOn w:val="CommentTextChar"/>
    <w:link w:val="CommentSubject"/>
    <w:uiPriority w:val="99"/>
    <w:semiHidden/>
    <w:rsid w:val="00AA3572"/>
    <w:rPr>
      <w:rFonts w:ascii="Times New Roman" w:eastAsia="Times New Roman" w:hAnsi="Times New Roman"/>
      <w:b/>
      <w:bCs/>
    </w:rPr>
  </w:style>
  <w:style w:type="paragraph" w:customStyle="1" w:styleId="Paragraph">
    <w:name w:val="Paragraph"/>
    <w:basedOn w:val="Normal"/>
    <w:link w:val="ParagraphChar"/>
    <w:qFormat/>
    <w:rsid w:val="004C3AE3"/>
    <w:pPr>
      <w:numPr>
        <w:numId w:val="24"/>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4C3AE3"/>
    <w:rPr>
      <w:rFonts w:ascii="Arial" w:eastAsia="Times New Roman" w:hAnsi="Arial" w:cs="Arial"/>
      <w:sz w:val="22"/>
      <w:szCs w:val="22"/>
      <w:lang w:val="en-GB"/>
    </w:rPr>
  </w:style>
  <w:style w:type="paragraph" w:styleId="Revision">
    <w:name w:val="Revision"/>
    <w:hidden/>
    <w:uiPriority w:val="99"/>
    <w:semiHidden/>
    <w:rsid w:val="006F2707"/>
    <w:rPr>
      <w:rFonts w:ascii="Times New Roman" w:eastAsia="Times New Roman" w:hAnsi="Times New Roman"/>
      <w:sz w:val="24"/>
      <w:szCs w:val="24"/>
    </w:rPr>
  </w:style>
  <w:style w:type="paragraph" w:styleId="NormalWeb">
    <w:name w:val="Normal (Web)"/>
    <w:basedOn w:val="Normal"/>
    <w:uiPriority w:val="99"/>
    <w:semiHidden/>
    <w:unhideWhenUsed/>
    <w:rsid w:val="006F521A"/>
    <w:rPr>
      <w:rFonts w:eastAsiaTheme="minorHAnsi"/>
    </w:rPr>
  </w:style>
  <w:style w:type="character" w:customStyle="1" w:styleId="highlight">
    <w:name w:val="highlight"/>
    <w:basedOn w:val="DefaultParagraphFont"/>
    <w:rsid w:val="0071146A"/>
  </w:style>
  <w:style w:type="paragraph" w:styleId="FootnoteText">
    <w:name w:val="footnote text"/>
    <w:basedOn w:val="Normal"/>
    <w:link w:val="FootnoteTextChar"/>
    <w:uiPriority w:val="99"/>
    <w:semiHidden/>
    <w:unhideWhenUsed/>
    <w:rsid w:val="00B70C98"/>
    <w:rPr>
      <w:sz w:val="20"/>
      <w:szCs w:val="20"/>
    </w:rPr>
  </w:style>
  <w:style w:type="character" w:customStyle="1" w:styleId="FootnoteTextChar">
    <w:name w:val="Footnote Text Char"/>
    <w:basedOn w:val="DefaultParagraphFont"/>
    <w:link w:val="FootnoteText"/>
    <w:uiPriority w:val="99"/>
    <w:semiHidden/>
    <w:rsid w:val="00B70C98"/>
    <w:rPr>
      <w:rFonts w:ascii="Times New Roman" w:eastAsia="Times New Roman" w:hAnsi="Times New Roman"/>
    </w:rPr>
  </w:style>
  <w:style w:type="character" w:styleId="FootnoteReference">
    <w:name w:val="footnote reference"/>
    <w:basedOn w:val="DefaultParagraphFont"/>
    <w:uiPriority w:val="99"/>
    <w:semiHidden/>
    <w:unhideWhenUsed/>
    <w:rsid w:val="00B70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9398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7014376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7998154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3344920">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8440321">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7.GA/8" TargetMode="External"/><Relationship Id="rId13" Type="http://schemas.openxmlformats.org/officeDocument/2006/relationships/hyperlink" Target="https://ich.unesco.org/en/Decisions/13.COM/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3.COM/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19-14.COM_2.BUR-INF.3-EN.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en/decisions-bureau/13.COM%202.BUR/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Decisions/12.COM/7" TargetMode="External"/><Relationship Id="rId14" Type="http://schemas.openxmlformats.org/officeDocument/2006/relationships/hyperlink" Target="https://ich.unesco.org/en/Decisions/12.COM/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9553-EE97-4263-813B-E60738B6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0</TotalTime>
  <Pages>9</Pages>
  <Words>4108</Words>
  <Characters>23421</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2</cp:revision>
  <cp:lastPrinted>2019-05-20T10:13:00Z</cp:lastPrinted>
  <dcterms:created xsi:type="dcterms:W3CDTF">2019-06-04T13:20:00Z</dcterms:created>
  <dcterms:modified xsi:type="dcterms:W3CDTF">2019-06-04T13:20:00Z</dcterms:modified>
</cp:coreProperties>
</file>