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tblInd w:w="0" w:type="dxa"/>
        <w:tblLook w:val="04A0" w:firstRow="1" w:lastRow="0" w:firstColumn="1" w:lastColumn="0" w:noHBand="0" w:noVBand="1"/>
      </w:tblPr>
      <w:tblGrid>
        <w:gridCol w:w="4819"/>
        <w:gridCol w:w="4819"/>
      </w:tblGrid>
      <w:tr w:rsidR="00E95AE2" w:rsidRPr="00BF1B64" w14:paraId="75B872F7" w14:textId="77777777" w:rsidTr="00650AE7">
        <w:tc>
          <w:tcPr>
            <w:tcW w:w="4927" w:type="dxa"/>
            <w:tcBorders>
              <w:top w:val="nil"/>
              <w:left w:val="nil"/>
              <w:bottom w:val="nil"/>
              <w:right w:val="nil"/>
            </w:tcBorders>
          </w:tcPr>
          <w:p w14:paraId="43DF914D" w14:textId="4536B09E" w:rsidR="00E95AE2" w:rsidRPr="00E95AE2" w:rsidRDefault="00E95AE2" w:rsidP="00053504">
            <w:pPr>
              <w:rPr>
                <w:rFonts w:ascii="Arial" w:hAnsi="Arial" w:cs="Arial"/>
                <w:bCs/>
                <w:sz w:val="22"/>
                <w:szCs w:val="22"/>
              </w:rPr>
            </w:pPr>
          </w:p>
        </w:tc>
        <w:tc>
          <w:tcPr>
            <w:tcW w:w="4927" w:type="dxa"/>
            <w:tcBorders>
              <w:top w:val="nil"/>
              <w:left w:val="nil"/>
              <w:bottom w:val="nil"/>
              <w:right w:val="nil"/>
            </w:tcBorders>
          </w:tcPr>
          <w:p w14:paraId="67C117BC" w14:textId="77777777" w:rsidR="00E95AE2" w:rsidRPr="004B72C1" w:rsidRDefault="00E95AE2" w:rsidP="00BF1B64">
            <w:pPr>
              <w:spacing w:after="120"/>
              <w:rPr>
                <w:rFonts w:ascii="Arial" w:hAnsi="Arial" w:cs="Arial"/>
                <w:b/>
                <w:sz w:val="22"/>
                <w:szCs w:val="22"/>
              </w:rPr>
            </w:pPr>
          </w:p>
        </w:tc>
      </w:tr>
    </w:tbl>
    <w:p w14:paraId="401F6E9C" w14:textId="4B6C7F5B" w:rsidR="00EC6F8D" w:rsidRPr="00293C60" w:rsidRDefault="00EC6F8D" w:rsidP="00EC6F8D">
      <w:pPr>
        <w:spacing w:before="1440"/>
        <w:jc w:val="center"/>
        <w:rPr>
          <w:rFonts w:ascii="Arial" w:hAnsi="Arial" w:cs="Arial"/>
          <w:b/>
          <w:sz w:val="22"/>
          <w:szCs w:val="22"/>
        </w:rPr>
      </w:pPr>
      <w:r>
        <w:rPr>
          <w:rFonts w:ascii="Arial" w:hAnsi="Arial"/>
          <w:b/>
          <w:sz w:val="22"/>
          <w:szCs w:val="22"/>
        </w:rPr>
        <w:t>CONVENTION POUR LA SAUVEGARDE DU</w:t>
      </w:r>
      <w:r>
        <w:rPr>
          <w:rFonts w:ascii="Arial" w:hAnsi="Arial"/>
          <w:b/>
          <w:sz w:val="22"/>
          <w:szCs w:val="22"/>
        </w:rPr>
        <w:br/>
        <w:t>PATRIMOINE CULTUREL IMMATÉRIEL</w:t>
      </w:r>
    </w:p>
    <w:p w14:paraId="10E31A56" w14:textId="77777777" w:rsidR="00EC6F8D" w:rsidRPr="00293C60" w:rsidRDefault="00EC6F8D" w:rsidP="00EC6F8D">
      <w:pPr>
        <w:spacing w:before="1200"/>
        <w:jc w:val="center"/>
        <w:rPr>
          <w:rFonts w:ascii="Arial" w:hAnsi="Arial" w:cs="Arial"/>
          <w:b/>
          <w:sz w:val="22"/>
          <w:szCs w:val="22"/>
        </w:rPr>
      </w:pPr>
      <w:r>
        <w:rPr>
          <w:rFonts w:ascii="Arial" w:hAnsi="Arial"/>
          <w:b/>
          <w:sz w:val="22"/>
          <w:szCs w:val="22"/>
        </w:rPr>
        <w:t>COMITÉ INTERGOUVERNEMENTAL DE</w:t>
      </w:r>
      <w:r>
        <w:rPr>
          <w:rFonts w:ascii="Arial" w:hAnsi="Arial"/>
          <w:b/>
          <w:sz w:val="22"/>
          <w:szCs w:val="22"/>
        </w:rPr>
        <w:br/>
        <w:t>SAUVEGARDE DU PATRIMOINE CULTUREL IMMATÉRIEL</w:t>
      </w:r>
    </w:p>
    <w:p w14:paraId="7376098A" w14:textId="77777777" w:rsidR="00EC6F8D" w:rsidRPr="00293C60" w:rsidRDefault="00C5776D" w:rsidP="001D14FE">
      <w:pPr>
        <w:spacing w:before="840"/>
        <w:jc w:val="center"/>
        <w:rPr>
          <w:rFonts w:ascii="Arial" w:hAnsi="Arial" w:cs="Arial"/>
          <w:b/>
          <w:sz w:val="22"/>
          <w:szCs w:val="22"/>
        </w:rPr>
      </w:pPr>
      <w:r>
        <w:rPr>
          <w:rFonts w:ascii="Arial" w:hAnsi="Arial"/>
          <w:b/>
          <w:sz w:val="22"/>
          <w:szCs w:val="22"/>
        </w:rPr>
        <w:t>Quatorzième session</w:t>
      </w:r>
    </w:p>
    <w:p w14:paraId="1258EB19" w14:textId="77777777" w:rsidR="00C5776D" w:rsidRPr="00F83405" w:rsidRDefault="00C5776D" w:rsidP="00C5776D">
      <w:pPr>
        <w:jc w:val="center"/>
        <w:rPr>
          <w:rFonts w:ascii="Arial" w:eastAsia="Malgun Gothic" w:hAnsi="Arial" w:cs="Arial"/>
          <w:b/>
          <w:sz w:val="22"/>
          <w:szCs w:val="22"/>
        </w:rPr>
      </w:pPr>
      <w:r>
        <w:rPr>
          <w:rFonts w:ascii="Arial" w:hAnsi="Arial"/>
          <w:b/>
          <w:sz w:val="22"/>
          <w:szCs w:val="22"/>
        </w:rPr>
        <w:t>Bogotá, République de Colombie</w:t>
      </w:r>
    </w:p>
    <w:p w14:paraId="783FCA36" w14:textId="77777777" w:rsidR="00EC6F8D" w:rsidRPr="00337CEB" w:rsidRDefault="00C5776D" w:rsidP="00C5776D">
      <w:pPr>
        <w:jc w:val="center"/>
        <w:rPr>
          <w:rFonts w:ascii="Arial" w:eastAsiaTheme="minorEastAsia" w:hAnsi="Arial" w:cs="Arial"/>
          <w:b/>
          <w:sz w:val="22"/>
          <w:szCs w:val="22"/>
        </w:rPr>
      </w:pPr>
      <w:r>
        <w:rPr>
          <w:rFonts w:ascii="Arial" w:hAnsi="Arial"/>
          <w:b/>
          <w:sz w:val="22"/>
          <w:szCs w:val="22"/>
        </w:rPr>
        <w:t>9 – 14 décembre 2019</w:t>
      </w:r>
    </w:p>
    <w:p w14:paraId="7017405F" w14:textId="3BA47589" w:rsidR="00C7136F" w:rsidRPr="001A6AD0" w:rsidRDefault="00C7136F" w:rsidP="002C52B6">
      <w:pPr>
        <w:pStyle w:val="Sansinterligne2"/>
        <w:spacing w:before="1200" w:after="1200"/>
        <w:contextualSpacing/>
        <w:jc w:val="center"/>
        <w:rPr>
          <w:rFonts w:ascii="Arial" w:hAnsi="Arial" w:cs="Arial"/>
          <w:b/>
          <w:caps/>
          <w:sz w:val="22"/>
          <w:szCs w:val="22"/>
        </w:rPr>
      </w:pPr>
      <w:r w:rsidRPr="001A6AD0">
        <w:rPr>
          <w:rFonts w:ascii="Arial" w:hAnsi="Arial"/>
          <w:b/>
          <w:caps/>
          <w:sz w:val="22"/>
          <w:szCs w:val="22"/>
        </w:rPr>
        <w:t>Rapport financier pour la période</w:t>
      </w:r>
    </w:p>
    <w:p w14:paraId="423D794C" w14:textId="1AA79366" w:rsidR="00EC6F8D" w:rsidRPr="001A6AD0" w:rsidRDefault="002C52B6" w:rsidP="002C52B6">
      <w:pPr>
        <w:pStyle w:val="Sansinterligne2"/>
        <w:spacing w:before="1200" w:after="1200"/>
        <w:contextualSpacing/>
        <w:jc w:val="center"/>
        <w:rPr>
          <w:rFonts w:ascii="Arial" w:hAnsi="Arial" w:cs="Arial"/>
          <w:b/>
          <w:caps/>
          <w:sz w:val="22"/>
          <w:szCs w:val="22"/>
        </w:rPr>
      </w:pPr>
      <w:r w:rsidRPr="001A6AD0">
        <w:rPr>
          <w:rFonts w:ascii="Arial" w:hAnsi="Arial"/>
          <w:b/>
          <w:caps/>
          <w:sz w:val="22"/>
          <w:szCs w:val="22"/>
        </w:rPr>
        <w:t>allant du 1</w:t>
      </w:r>
      <w:r w:rsidRPr="001A6AD0">
        <w:rPr>
          <w:rFonts w:ascii="Arial" w:hAnsi="Arial"/>
          <w:b/>
          <w:caps/>
          <w:sz w:val="22"/>
          <w:szCs w:val="22"/>
          <w:vertAlign w:val="superscript"/>
        </w:rPr>
        <w:t>er</w:t>
      </w:r>
      <w:r w:rsidRPr="001A6AD0">
        <w:rPr>
          <w:rFonts w:ascii="Arial" w:hAnsi="Arial"/>
          <w:b/>
          <w:caps/>
          <w:sz w:val="22"/>
          <w:szCs w:val="22"/>
        </w:rPr>
        <w:t xml:space="preserve"> janvier 2018 au 30 juin 2019</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533D50" w14:paraId="518C7B48" w14:textId="77777777" w:rsidTr="00EC6F8D">
        <w:trPr>
          <w:jc w:val="center"/>
        </w:trPr>
        <w:tc>
          <w:tcPr>
            <w:tcW w:w="5670" w:type="dxa"/>
            <w:vAlign w:val="center"/>
          </w:tcPr>
          <w:p w14:paraId="4B631FDE" w14:textId="77777777" w:rsidR="00EC6F8D" w:rsidRPr="00293C60" w:rsidRDefault="00EC6F8D" w:rsidP="00CA56BB">
            <w:pPr>
              <w:pStyle w:val="Sansinterligne1"/>
              <w:spacing w:before="200" w:after="200"/>
              <w:jc w:val="center"/>
              <w:rPr>
                <w:rFonts w:ascii="Arial" w:hAnsi="Arial" w:cs="Arial"/>
                <w:b/>
                <w:sz w:val="22"/>
                <w:szCs w:val="22"/>
              </w:rPr>
            </w:pPr>
            <w:r>
              <w:rPr>
                <w:rFonts w:ascii="Arial" w:hAnsi="Arial"/>
                <w:b/>
                <w:sz w:val="22"/>
                <w:szCs w:val="22"/>
              </w:rPr>
              <w:t>Résumé</w:t>
            </w:r>
          </w:p>
          <w:p w14:paraId="34CA5786" w14:textId="5A4DD95C" w:rsidR="00EC6F8D" w:rsidRPr="004B472F" w:rsidRDefault="004B472F" w:rsidP="00EF16AA">
            <w:pPr>
              <w:pStyle w:val="Sansinterligne2"/>
              <w:spacing w:before="200" w:after="200"/>
              <w:jc w:val="both"/>
              <w:rPr>
                <w:rFonts w:ascii="Arial" w:hAnsi="Arial" w:cs="Arial"/>
                <w:sz w:val="22"/>
                <w:szCs w:val="22"/>
              </w:rPr>
            </w:pPr>
            <w:r>
              <w:rPr>
                <w:rFonts w:ascii="Arial" w:hAnsi="Arial"/>
                <w:sz w:val="22"/>
                <w:szCs w:val="22"/>
              </w:rPr>
              <w:t>Ce document rend compte de l’utilisation du Fonds du patrimoine culturel immatériel et présente, dans ses annexes, le rapport financier pour la période allant du 1</w:t>
            </w:r>
            <w:r>
              <w:rPr>
                <w:rFonts w:ascii="Arial" w:hAnsi="Arial"/>
                <w:sz w:val="22"/>
                <w:szCs w:val="22"/>
                <w:vertAlign w:val="superscript"/>
              </w:rPr>
              <w:t>er</w:t>
            </w:r>
            <w:r>
              <w:rPr>
                <w:rFonts w:ascii="Arial" w:hAnsi="Arial"/>
                <w:sz w:val="22"/>
                <w:szCs w:val="22"/>
              </w:rPr>
              <w:t> janvier 2018 au 30 juin 2019.</w:t>
            </w:r>
          </w:p>
        </w:tc>
      </w:tr>
    </w:tbl>
    <w:p w14:paraId="15625D90" w14:textId="77777777" w:rsidR="006543DB" w:rsidRPr="00304951" w:rsidRDefault="00655736" w:rsidP="004B472F">
      <w:pPr>
        <w:pStyle w:val="Titre4"/>
        <w:keepNext w:val="0"/>
        <w:keepLines w:val="0"/>
        <w:numPr>
          <w:ilvl w:val="0"/>
          <w:numId w:val="0"/>
        </w:numPr>
        <w:spacing w:before="240"/>
        <w:jc w:val="both"/>
      </w:pPr>
      <w:r>
        <w:br w:type="page"/>
      </w:r>
    </w:p>
    <w:p w14:paraId="5B574CAC" w14:textId="11509052" w:rsidR="005850F3" w:rsidRDefault="005850F3" w:rsidP="005850F3">
      <w:pPr>
        <w:pStyle w:val="COMPara"/>
        <w:numPr>
          <w:ilvl w:val="0"/>
          <w:numId w:val="13"/>
        </w:numPr>
        <w:tabs>
          <w:tab w:val="left" w:pos="567"/>
        </w:tabs>
        <w:ind w:left="567" w:hanging="567"/>
        <w:jc w:val="both"/>
      </w:pPr>
      <w:r>
        <w:lastRenderedPageBreak/>
        <w:t>Le rapport financier présenté dans le document </w:t>
      </w:r>
      <w:hyperlink r:id="rId8" w:history="1">
        <w:r w:rsidRPr="00C833F6">
          <w:rPr>
            <w:rStyle w:val="Lienhypertexte"/>
          </w:rPr>
          <w:t>LHE/19/14.COM/INF.7</w:t>
        </w:r>
      </w:hyperlink>
      <w:r>
        <w:t xml:space="preserve"> couvre la période allant du 1</w:t>
      </w:r>
      <w:r>
        <w:rPr>
          <w:vertAlign w:val="superscript"/>
        </w:rPr>
        <w:t>er</w:t>
      </w:r>
      <w:r>
        <w:t> janvier 2018 au 30 juin 2019, pendant laquelle le Compte spécial du Fonds du patrimoine culturel immatériel (ci-après « le Fonds ») a été utilisé conformément au plan approuvé par l’Assemblée générale lors de sa septième session en juin 2018 (</w:t>
      </w:r>
      <w:hyperlink r:id="rId9" w:history="1">
        <w:r w:rsidR="000E550A">
          <w:rPr>
            <w:rStyle w:val="Lienhypertexte"/>
          </w:rPr>
          <w:t>résolutio</w:t>
        </w:r>
        <w:r w:rsidR="000E550A" w:rsidRPr="000E550A">
          <w:rPr>
            <w:rStyle w:val="Lienhypertexte"/>
          </w:rPr>
          <w:t>n</w:t>
        </w:r>
        <w:r w:rsidR="000E550A" w:rsidRPr="000E550A">
          <w:rPr>
            <w:u w:val="single"/>
          </w:rPr>
          <w:t> </w:t>
        </w:r>
        <w:r w:rsidRPr="000E550A">
          <w:rPr>
            <w:rStyle w:val="Lienhypertexte"/>
          </w:rPr>
          <w:t>7.</w:t>
        </w:r>
        <w:r>
          <w:rPr>
            <w:rStyle w:val="Lienhypertexte"/>
          </w:rPr>
          <w:t>GA </w:t>
        </w:r>
      </w:hyperlink>
      <w:r>
        <w:rPr>
          <w:rStyle w:val="Lienhypertexte"/>
        </w:rPr>
        <w:t>8</w:t>
      </w:r>
      <w:r>
        <w:t>). Conformément à l’article 7.5 du Règlement financier du Fonds, un rapport financier pour l’ensemble de l’exercice biennal (du 1</w:t>
      </w:r>
      <w:r>
        <w:rPr>
          <w:vertAlign w:val="superscript"/>
        </w:rPr>
        <w:t>er</w:t>
      </w:r>
      <w:r>
        <w:t> janvier 201</w:t>
      </w:r>
      <w:r w:rsidR="00291B5C">
        <w:t>8</w:t>
      </w:r>
      <w:r>
        <w:t xml:space="preserve"> au 31 décembre 2019) sera soumis à l’Assemblée générale des États parties lors de sa huitième session en juin 2020.</w:t>
      </w:r>
    </w:p>
    <w:p w14:paraId="7E34AEC8" w14:textId="3B6C9160" w:rsidR="00B61451" w:rsidRDefault="002318D6" w:rsidP="00053504">
      <w:pPr>
        <w:pStyle w:val="COMPara"/>
        <w:numPr>
          <w:ilvl w:val="0"/>
          <w:numId w:val="13"/>
        </w:numPr>
        <w:tabs>
          <w:tab w:val="left" w:pos="567"/>
        </w:tabs>
        <w:ind w:left="567" w:hanging="567"/>
        <w:jc w:val="both"/>
      </w:pPr>
      <w:r>
        <w:t>Le Fonds est régi par le Règlement financier du Compte spécial pour le Fonds pour la sauvegarde du patrimoine culturel immatériel, adopté par le Comité lors de sa première session extraordinaire (</w:t>
      </w:r>
      <w:hyperlink r:id="rId10" w:history="1">
        <w:r>
          <w:rPr>
            <w:rStyle w:val="Lienhypertexte"/>
          </w:rPr>
          <w:t>décision 1.EXT.COM 9</w:t>
        </w:r>
      </w:hyperlink>
      <w:r>
        <w:t xml:space="preserve">). Ses sources de </w:t>
      </w:r>
      <w:r w:rsidR="00E227F0">
        <w:t xml:space="preserve">recettes </w:t>
      </w:r>
      <w:r>
        <w:t>sont définies à l’article 25.3 de la Convention et à l’article 4 du Règlement financier susmentionné.</w:t>
      </w:r>
    </w:p>
    <w:p w14:paraId="632E648F" w14:textId="40DD2080" w:rsidR="00E25D45" w:rsidRDefault="00E25D45" w:rsidP="00E25D45">
      <w:pPr>
        <w:pStyle w:val="COMPara"/>
        <w:numPr>
          <w:ilvl w:val="0"/>
          <w:numId w:val="13"/>
        </w:numPr>
        <w:tabs>
          <w:tab w:val="left" w:pos="567"/>
        </w:tabs>
        <w:ind w:left="567" w:hanging="567"/>
        <w:jc w:val="both"/>
      </w:pPr>
      <w:r>
        <w:t>Les dépenses des contributions non affectées sont régies par le plan pour l’utilisation des ressources du Fonds, adopté lors de chaque exercice biennal par l’Assemblée générale, conformément à l’article 7 (c) de la Convention. Conformément à l’article 25.5 de la Convention, le Comité approuve les contributions spécifiques versées au Fonds. Leur utilisation ne suit pas l’exercice comptable de deux ans.</w:t>
      </w:r>
    </w:p>
    <w:p w14:paraId="3F253F52" w14:textId="535B19E3" w:rsidR="006543DB" w:rsidRPr="00785AA3" w:rsidRDefault="006543DB" w:rsidP="006543DB">
      <w:pPr>
        <w:pStyle w:val="Default"/>
        <w:keepNext/>
        <w:numPr>
          <w:ilvl w:val="0"/>
          <w:numId w:val="16"/>
        </w:numPr>
        <w:spacing w:before="240" w:after="120"/>
        <w:ind w:left="567" w:hanging="567"/>
        <w:jc w:val="both"/>
        <w:rPr>
          <w:b/>
          <w:bCs/>
          <w:sz w:val="22"/>
          <w:szCs w:val="22"/>
        </w:rPr>
      </w:pPr>
      <w:r>
        <w:rPr>
          <w:b/>
          <w:bCs/>
          <w:sz w:val="22"/>
          <w:szCs w:val="22"/>
        </w:rPr>
        <w:t xml:space="preserve">Recettes </w:t>
      </w:r>
      <w:r>
        <w:rPr>
          <w:b/>
          <w:bCs/>
          <w:color w:val="auto"/>
          <w:sz w:val="22"/>
        </w:rPr>
        <w:t>(état financier I)</w:t>
      </w:r>
      <w:r w:rsidRPr="00785AA3">
        <w:rPr>
          <w:rStyle w:val="Appelnotedebasdep"/>
          <w:b/>
          <w:bCs/>
          <w:sz w:val="22"/>
          <w:szCs w:val="22"/>
          <w:lang w:val="en-GB"/>
        </w:rPr>
        <w:footnoteReference w:id="1"/>
      </w:r>
    </w:p>
    <w:p w14:paraId="12FB08A7" w14:textId="356FF863" w:rsidR="006543DB" w:rsidRDefault="006543DB" w:rsidP="006543DB">
      <w:pPr>
        <w:pStyle w:val="COMPara"/>
        <w:numPr>
          <w:ilvl w:val="0"/>
          <w:numId w:val="13"/>
        </w:numPr>
        <w:tabs>
          <w:tab w:val="left" w:pos="567"/>
        </w:tabs>
        <w:ind w:left="567" w:hanging="567"/>
        <w:jc w:val="both"/>
      </w:pPr>
      <w:r>
        <w:t>Pendant la période considérée</w:t>
      </w:r>
      <w:r w:rsidR="0062225B">
        <w:t xml:space="preserve"> (1 janvier 2018 – 30 juin 2019)</w:t>
      </w:r>
      <w:r>
        <w:t>, les recettes du Fonds se composaient comme suit :</w:t>
      </w:r>
    </w:p>
    <w:tbl>
      <w:tblPr>
        <w:tblW w:w="9214" w:type="dxa"/>
        <w:tblInd w:w="567" w:type="dxa"/>
        <w:tblLayout w:type="fixed"/>
        <w:tblLook w:val="04A0" w:firstRow="1" w:lastRow="0" w:firstColumn="1" w:lastColumn="0" w:noHBand="0" w:noVBand="1"/>
      </w:tblPr>
      <w:tblGrid>
        <w:gridCol w:w="7225"/>
        <w:gridCol w:w="1989"/>
      </w:tblGrid>
      <w:tr w:rsidR="006543DB" w:rsidRPr="00533D50" w14:paraId="2E019A39" w14:textId="77777777" w:rsidTr="00BD435F">
        <w:trPr>
          <w:cantSplit/>
        </w:trPr>
        <w:tc>
          <w:tcPr>
            <w:tcW w:w="7225" w:type="dxa"/>
            <w:shd w:val="clear" w:color="auto" w:fill="auto"/>
            <w:vAlign w:val="center"/>
          </w:tcPr>
          <w:p w14:paraId="4387BCAB" w14:textId="77777777" w:rsidR="006543DB" w:rsidRPr="00785AA3" w:rsidRDefault="006543DB" w:rsidP="006543DB">
            <w:pPr>
              <w:pStyle w:val="Paragraph"/>
              <w:numPr>
                <w:ilvl w:val="0"/>
                <w:numId w:val="19"/>
              </w:numPr>
              <w:spacing w:before="60" w:after="60"/>
              <w:ind w:left="357" w:hanging="357"/>
              <w:jc w:val="left"/>
              <w:rPr>
                <w:rFonts w:eastAsia="MS Mincho"/>
                <w:bCs w:val="0"/>
                <w:sz w:val="20"/>
                <w:szCs w:val="20"/>
              </w:rPr>
            </w:pPr>
            <w:r>
              <w:rPr>
                <w:bCs w:val="0"/>
                <w:sz w:val="20"/>
                <w:szCs w:val="20"/>
                <w:u w:val="single"/>
              </w:rPr>
              <w:t>Contributions réglementaires obligatoires et volontaires des États parties</w:t>
            </w:r>
            <w:r w:rsidRPr="00785AA3">
              <w:rPr>
                <w:rStyle w:val="Appelnotedebasdep"/>
                <w:bCs w:val="0"/>
                <w:sz w:val="20"/>
                <w:szCs w:val="20"/>
              </w:rPr>
              <w:footnoteReference w:id="2"/>
            </w:r>
          </w:p>
        </w:tc>
        <w:tc>
          <w:tcPr>
            <w:tcW w:w="1989" w:type="dxa"/>
            <w:shd w:val="clear" w:color="auto" w:fill="auto"/>
            <w:vAlign w:val="center"/>
          </w:tcPr>
          <w:p w14:paraId="495DC955" w14:textId="77777777" w:rsidR="006543DB" w:rsidRPr="00785AA3" w:rsidRDefault="006543DB" w:rsidP="000C2080">
            <w:pPr>
              <w:pStyle w:val="Paragraph"/>
              <w:spacing w:before="60" w:after="60"/>
              <w:jc w:val="right"/>
              <w:rPr>
                <w:bCs w:val="0"/>
                <w:sz w:val="20"/>
                <w:szCs w:val="20"/>
              </w:rPr>
            </w:pPr>
            <w:r>
              <w:rPr>
                <w:bCs w:val="0"/>
                <w:sz w:val="20"/>
                <w:szCs w:val="20"/>
              </w:rPr>
              <w:br/>
            </w:r>
          </w:p>
        </w:tc>
      </w:tr>
      <w:tr w:rsidR="006543DB" w:rsidRPr="00785AA3" w14:paraId="348EC224" w14:textId="77777777" w:rsidTr="00BD435F">
        <w:trPr>
          <w:cantSplit/>
        </w:trPr>
        <w:tc>
          <w:tcPr>
            <w:tcW w:w="7225" w:type="dxa"/>
            <w:shd w:val="clear" w:color="auto" w:fill="auto"/>
            <w:vAlign w:val="center"/>
          </w:tcPr>
          <w:p w14:paraId="0E86361B" w14:textId="11334FA5" w:rsidR="006543DB" w:rsidRPr="00785AA3" w:rsidRDefault="006543DB" w:rsidP="005850F3">
            <w:pPr>
              <w:pStyle w:val="Paragraph"/>
              <w:spacing w:before="60" w:after="60"/>
              <w:ind w:left="317"/>
              <w:jc w:val="left"/>
              <w:rPr>
                <w:rFonts w:eastAsia="MS Mincho"/>
                <w:bCs w:val="0"/>
                <w:sz w:val="20"/>
                <w:szCs w:val="20"/>
              </w:rPr>
            </w:pPr>
            <w:r>
              <w:rPr>
                <w:bCs w:val="0"/>
                <w:sz w:val="20"/>
                <w:szCs w:val="20"/>
              </w:rPr>
              <w:t>Contributions obligatoires de 173 États parties à la Convention, telles que décrites à l’article 26.1 de la Convention</w:t>
            </w:r>
            <w:r w:rsidR="00EF16AA">
              <w:rPr>
                <w:bCs w:val="0"/>
                <w:sz w:val="20"/>
                <w:szCs w:val="20"/>
              </w:rPr>
              <w:t>.</w:t>
            </w:r>
          </w:p>
        </w:tc>
        <w:tc>
          <w:tcPr>
            <w:tcW w:w="1989" w:type="dxa"/>
            <w:shd w:val="clear" w:color="auto" w:fill="auto"/>
            <w:vAlign w:val="center"/>
          </w:tcPr>
          <w:p w14:paraId="4DD66287" w14:textId="77777777" w:rsidR="006543DB" w:rsidRPr="00785AA3" w:rsidRDefault="006543DB" w:rsidP="005850F3">
            <w:pPr>
              <w:pStyle w:val="Paragraph"/>
              <w:spacing w:before="60" w:after="60"/>
              <w:jc w:val="right"/>
              <w:rPr>
                <w:rFonts w:eastAsia="MS Mincho"/>
                <w:bCs w:val="0"/>
                <w:sz w:val="20"/>
                <w:szCs w:val="20"/>
              </w:rPr>
            </w:pPr>
            <w:r>
              <w:rPr>
                <w:bCs w:val="0"/>
                <w:sz w:val="20"/>
                <w:szCs w:val="20"/>
              </w:rPr>
              <w:t>3 629 786 dollars des États-Unis</w:t>
            </w:r>
          </w:p>
        </w:tc>
      </w:tr>
      <w:tr w:rsidR="006543DB" w:rsidRPr="00785AA3" w14:paraId="6179BA20" w14:textId="77777777" w:rsidTr="00BD435F">
        <w:trPr>
          <w:cantSplit/>
        </w:trPr>
        <w:tc>
          <w:tcPr>
            <w:tcW w:w="7225" w:type="dxa"/>
            <w:shd w:val="clear" w:color="auto" w:fill="auto"/>
            <w:vAlign w:val="center"/>
          </w:tcPr>
          <w:p w14:paraId="63BAA489" w14:textId="77777777" w:rsidR="006543DB" w:rsidRPr="00785AA3" w:rsidRDefault="006543DB" w:rsidP="005850F3">
            <w:pPr>
              <w:pStyle w:val="Paragraph"/>
              <w:spacing w:before="60" w:after="60"/>
              <w:ind w:left="317"/>
              <w:jc w:val="left"/>
              <w:rPr>
                <w:rFonts w:eastAsia="MS Mincho"/>
                <w:bCs w:val="0"/>
                <w:sz w:val="20"/>
                <w:szCs w:val="20"/>
              </w:rPr>
            </w:pPr>
            <w:r>
              <w:rPr>
                <w:bCs w:val="0"/>
                <w:sz w:val="20"/>
                <w:szCs w:val="20"/>
              </w:rPr>
              <w:t>Contributions volontaires reçues de la part de deux des cinq États parties qui, au moment de leur ratification, ont eu recours à l’article 26.2 de la Convention.</w:t>
            </w:r>
          </w:p>
        </w:tc>
        <w:tc>
          <w:tcPr>
            <w:tcW w:w="1989" w:type="dxa"/>
            <w:shd w:val="clear" w:color="auto" w:fill="auto"/>
            <w:vAlign w:val="center"/>
          </w:tcPr>
          <w:p w14:paraId="0A470439" w14:textId="460DF92B" w:rsidR="006543DB" w:rsidRPr="00785AA3" w:rsidRDefault="00F50798" w:rsidP="005850F3">
            <w:pPr>
              <w:pStyle w:val="Paragraph"/>
              <w:spacing w:before="60" w:after="60"/>
              <w:jc w:val="right"/>
              <w:rPr>
                <w:rFonts w:eastAsia="MS Mincho"/>
                <w:bCs w:val="0"/>
                <w:sz w:val="20"/>
                <w:szCs w:val="20"/>
              </w:rPr>
            </w:pPr>
            <w:r>
              <w:rPr>
                <w:bCs w:val="0"/>
                <w:sz w:val="20"/>
                <w:szCs w:val="20"/>
              </w:rPr>
              <w:t>36</w:t>
            </w:r>
            <w:r w:rsidR="006543DB">
              <w:rPr>
                <w:bCs w:val="0"/>
                <w:sz w:val="20"/>
                <w:szCs w:val="20"/>
              </w:rPr>
              <w:t>3 260 dollars des États-Unis</w:t>
            </w:r>
          </w:p>
        </w:tc>
      </w:tr>
      <w:tr w:rsidR="006543DB" w:rsidRPr="00785AA3" w14:paraId="3F18A403" w14:textId="77777777" w:rsidTr="00BD435F">
        <w:trPr>
          <w:cantSplit/>
        </w:trPr>
        <w:tc>
          <w:tcPr>
            <w:tcW w:w="7225" w:type="dxa"/>
            <w:shd w:val="clear" w:color="auto" w:fill="auto"/>
            <w:vAlign w:val="center"/>
          </w:tcPr>
          <w:p w14:paraId="15E6390A" w14:textId="77777777" w:rsidR="006543DB" w:rsidRPr="00785AA3" w:rsidRDefault="006543DB" w:rsidP="00B61451">
            <w:pPr>
              <w:pStyle w:val="Paragraph"/>
              <w:keepNext/>
              <w:numPr>
                <w:ilvl w:val="0"/>
                <w:numId w:val="19"/>
              </w:numPr>
              <w:spacing w:before="240" w:after="60"/>
              <w:ind w:left="357" w:hanging="357"/>
              <w:jc w:val="left"/>
              <w:rPr>
                <w:rFonts w:eastAsia="MS Mincho"/>
                <w:bCs w:val="0"/>
                <w:sz w:val="20"/>
                <w:szCs w:val="20"/>
              </w:rPr>
            </w:pPr>
            <w:r>
              <w:rPr>
                <w:bCs w:val="0"/>
                <w:sz w:val="20"/>
                <w:szCs w:val="20"/>
                <w:u w:val="single"/>
              </w:rPr>
              <w:t>Contributions volontaires supplémentaires</w:t>
            </w:r>
          </w:p>
        </w:tc>
        <w:tc>
          <w:tcPr>
            <w:tcW w:w="1989" w:type="dxa"/>
            <w:shd w:val="clear" w:color="auto" w:fill="auto"/>
            <w:vAlign w:val="center"/>
          </w:tcPr>
          <w:p w14:paraId="3C26FF30" w14:textId="77777777" w:rsidR="006543DB" w:rsidRPr="00785AA3" w:rsidRDefault="006543DB" w:rsidP="000C2080">
            <w:pPr>
              <w:pStyle w:val="Paragraph"/>
              <w:keepNext/>
              <w:spacing w:before="60" w:after="60"/>
              <w:jc w:val="right"/>
              <w:rPr>
                <w:sz w:val="20"/>
                <w:szCs w:val="20"/>
                <w:highlight w:val="yellow"/>
              </w:rPr>
            </w:pPr>
          </w:p>
        </w:tc>
      </w:tr>
      <w:tr w:rsidR="006543DB" w:rsidRPr="00496CB6" w14:paraId="0E7E2F36" w14:textId="77777777" w:rsidTr="00BD435F">
        <w:trPr>
          <w:cantSplit/>
        </w:trPr>
        <w:tc>
          <w:tcPr>
            <w:tcW w:w="7225" w:type="dxa"/>
            <w:shd w:val="clear" w:color="auto" w:fill="auto"/>
            <w:vAlign w:val="center"/>
          </w:tcPr>
          <w:p w14:paraId="2F58DD2F" w14:textId="77777777" w:rsidR="006543DB" w:rsidRPr="00785AA3" w:rsidRDefault="006543DB" w:rsidP="000C2080">
            <w:pPr>
              <w:pStyle w:val="Paragraph"/>
              <w:keepNext/>
              <w:spacing w:before="60" w:after="60"/>
              <w:jc w:val="left"/>
              <w:rPr>
                <w:rFonts w:eastAsia="MS Mincho"/>
                <w:bCs w:val="0"/>
                <w:i/>
                <w:sz w:val="20"/>
                <w:szCs w:val="20"/>
              </w:rPr>
            </w:pPr>
            <w:r>
              <w:rPr>
                <w:bCs w:val="0"/>
                <w:i/>
                <w:iCs/>
                <w:sz w:val="20"/>
                <w:szCs w:val="20"/>
              </w:rPr>
              <w:t>Contributions affectées à des fins spécifiques se rapportant à des projets déterminés approuvés par le Comité, conformément à l’article 25.5 de la Convention</w:t>
            </w:r>
          </w:p>
        </w:tc>
        <w:tc>
          <w:tcPr>
            <w:tcW w:w="1989" w:type="dxa"/>
            <w:shd w:val="clear" w:color="auto" w:fill="auto"/>
            <w:vAlign w:val="center"/>
          </w:tcPr>
          <w:p w14:paraId="7F2A2298" w14:textId="77777777" w:rsidR="006543DB" w:rsidRPr="00785AA3" w:rsidRDefault="006543DB" w:rsidP="000C2080">
            <w:pPr>
              <w:pStyle w:val="Paragraph"/>
              <w:keepNext/>
              <w:spacing w:before="60" w:after="60"/>
              <w:jc w:val="right"/>
              <w:rPr>
                <w:i/>
                <w:strike/>
                <w:sz w:val="20"/>
                <w:szCs w:val="20"/>
                <w:highlight w:val="yellow"/>
              </w:rPr>
            </w:pPr>
          </w:p>
        </w:tc>
      </w:tr>
      <w:tr w:rsidR="006543DB" w:rsidRPr="00785AA3" w14:paraId="11E451EA" w14:textId="77777777" w:rsidTr="00BD435F">
        <w:trPr>
          <w:cantSplit/>
        </w:trPr>
        <w:tc>
          <w:tcPr>
            <w:tcW w:w="7225" w:type="dxa"/>
            <w:shd w:val="clear" w:color="auto" w:fill="auto"/>
            <w:vAlign w:val="center"/>
          </w:tcPr>
          <w:p w14:paraId="19E5E630" w14:textId="77777777" w:rsidR="006543DB" w:rsidRPr="002F4EC7" w:rsidRDefault="00847E71" w:rsidP="000C2080">
            <w:pPr>
              <w:pStyle w:val="Paragraph"/>
              <w:spacing w:before="60" w:after="60"/>
              <w:ind w:left="318"/>
              <w:rPr>
                <w:bCs w:val="0"/>
                <w:sz w:val="20"/>
                <w:szCs w:val="20"/>
              </w:rPr>
            </w:pPr>
            <w:r>
              <w:rPr>
                <w:bCs w:val="0"/>
                <w:sz w:val="20"/>
                <w:szCs w:val="20"/>
              </w:rPr>
              <w:t>Aucune</w:t>
            </w:r>
          </w:p>
        </w:tc>
        <w:tc>
          <w:tcPr>
            <w:tcW w:w="1989" w:type="dxa"/>
            <w:shd w:val="clear" w:color="auto" w:fill="auto"/>
            <w:vAlign w:val="center"/>
          </w:tcPr>
          <w:p w14:paraId="23BC826D" w14:textId="77777777" w:rsidR="006543DB" w:rsidRPr="00785AA3" w:rsidRDefault="006543DB" w:rsidP="000C2080">
            <w:pPr>
              <w:pStyle w:val="Paragraph"/>
              <w:spacing w:before="60" w:after="60"/>
              <w:jc w:val="right"/>
              <w:rPr>
                <w:rFonts w:eastAsia="MS Mincho"/>
                <w:bCs w:val="0"/>
                <w:sz w:val="20"/>
                <w:szCs w:val="20"/>
              </w:rPr>
            </w:pPr>
          </w:p>
        </w:tc>
      </w:tr>
      <w:tr w:rsidR="006543DB" w:rsidRPr="00533D50" w14:paraId="3DB86B32" w14:textId="77777777" w:rsidTr="00BD435F">
        <w:trPr>
          <w:cantSplit/>
          <w:trHeight w:val="692"/>
        </w:trPr>
        <w:tc>
          <w:tcPr>
            <w:tcW w:w="7225" w:type="dxa"/>
            <w:shd w:val="clear" w:color="auto" w:fill="auto"/>
            <w:vAlign w:val="center"/>
          </w:tcPr>
          <w:p w14:paraId="7F2727F7" w14:textId="2B61C95C" w:rsidR="006543DB" w:rsidRPr="00785AA3" w:rsidRDefault="006543DB">
            <w:pPr>
              <w:pStyle w:val="Paragraph"/>
              <w:spacing w:before="60" w:after="60"/>
              <w:jc w:val="left"/>
              <w:rPr>
                <w:i/>
                <w:sz w:val="20"/>
                <w:szCs w:val="20"/>
              </w:rPr>
            </w:pPr>
            <w:r>
              <w:rPr>
                <w:bCs w:val="0"/>
                <w:i/>
                <w:iCs/>
                <w:sz w:val="20"/>
                <w:szCs w:val="20"/>
              </w:rPr>
              <w:t>Sous-fonds destiné exclusivement au renforcement des capacités humaines du Secrétariat</w:t>
            </w:r>
            <w:r>
              <w:rPr>
                <w:bCs w:val="0"/>
                <w:i/>
                <w:iCs/>
                <w:sz w:val="20"/>
                <w:szCs w:val="20"/>
              </w:rPr>
              <w:br/>
              <w:t>(</w:t>
            </w:r>
            <w:hyperlink r:id="rId11" w:history="1">
              <w:r>
                <w:rPr>
                  <w:rStyle w:val="Lienhypertexte"/>
                  <w:sz w:val="20"/>
                  <w:szCs w:val="20"/>
                </w:rPr>
                <w:t xml:space="preserve">résolution 3.GA </w:t>
              </w:r>
              <w:r>
                <w:rPr>
                  <w:rStyle w:val="Lienhypertexte"/>
                  <w:iCs/>
                  <w:sz w:val="20"/>
                  <w:szCs w:val="20"/>
                </w:rPr>
                <w:t>9</w:t>
              </w:r>
            </w:hyperlink>
            <w:r>
              <w:rPr>
                <w:bCs w:val="0"/>
                <w:i/>
                <w:iCs/>
                <w:sz w:val="20"/>
                <w:szCs w:val="20"/>
              </w:rPr>
              <w:t>)</w:t>
            </w:r>
            <w:r w:rsidRPr="00785AA3">
              <w:rPr>
                <w:bCs w:val="0"/>
                <w:sz w:val="20"/>
                <w:szCs w:val="20"/>
                <w:vertAlign w:val="superscript"/>
              </w:rPr>
              <w:footnoteReference w:id="3"/>
            </w:r>
          </w:p>
        </w:tc>
        <w:tc>
          <w:tcPr>
            <w:tcW w:w="1989" w:type="dxa"/>
            <w:shd w:val="clear" w:color="auto" w:fill="auto"/>
            <w:vAlign w:val="center"/>
          </w:tcPr>
          <w:p w14:paraId="1C352425" w14:textId="77777777" w:rsidR="006543DB" w:rsidRPr="00785AA3" w:rsidRDefault="006543DB" w:rsidP="000C2080">
            <w:pPr>
              <w:pStyle w:val="Paragraph"/>
              <w:spacing w:before="60" w:after="60"/>
              <w:jc w:val="right"/>
              <w:rPr>
                <w:sz w:val="20"/>
                <w:szCs w:val="20"/>
              </w:rPr>
            </w:pPr>
          </w:p>
        </w:tc>
      </w:tr>
      <w:tr w:rsidR="006543DB" w:rsidRPr="00785AA3" w14:paraId="13D4F3E4" w14:textId="77777777" w:rsidTr="00BD435F">
        <w:trPr>
          <w:cantSplit/>
        </w:trPr>
        <w:tc>
          <w:tcPr>
            <w:tcW w:w="7225" w:type="dxa"/>
            <w:shd w:val="clear" w:color="auto" w:fill="auto"/>
            <w:vAlign w:val="center"/>
          </w:tcPr>
          <w:p w14:paraId="66F52924" w14:textId="77777777" w:rsidR="006543DB" w:rsidRPr="00785AA3" w:rsidRDefault="006543DB" w:rsidP="00847E71">
            <w:pPr>
              <w:pStyle w:val="Paragraph"/>
              <w:spacing w:before="60" w:after="60"/>
              <w:ind w:left="318"/>
              <w:jc w:val="left"/>
              <w:rPr>
                <w:rFonts w:eastAsia="MS Mincho"/>
                <w:bCs w:val="0"/>
                <w:sz w:val="20"/>
                <w:szCs w:val="20"/>
              </w:rPr>
            </w:pPr>
            <w:r>
              <w:rPr>
                <w:bCs w:val="0"/>
                <w:sz w:val="20"/>
                <w:szCs w:val="20"/>
              </w:rPr>
              <w:t>De la Chine, de la Finlande, du Kazakhstan, de Monaco et du Monténégro</w:t>
            </w:r>
          </w:p>
        </w:tc>
        <w:tc>
          <w:tcPr>
            <w:tcW w:w="1989" w:type="dxa"/>
            <w:shd w:val="clear" w:color="auto" w:fill="auto"/>
            <w:vAlign w:val="center"/>
          </w:tcPr>
          <w:p w14:paraId="66382AF5" w14:textId="77777777" w:rsidR="006543DB" w:rsidRPr="00785AA3" w:rsidRDefault="006543DB" w:rsidP="00847E71">
            <w:pPr>
              <w:pStyle w:val="Paragraph"/>
              <w:spacing w:before="60" w:after="60"/>
              <w:jc w:val="right"/>
              <w:rPr>
                <w:rFonts w:eastAsia="MS Mincho"/>
                <w:bCs w:val="0"/>
                <w:sz w:val="20"/>
                <w:szCs w:val="20"/>
              </w:rPr>
            </w:pPr>
            <w:r>
              <w:rPr>
                <w:bCs w:val="0"/>
                <w:sz w:val="20"/>
                <w:szCs w:val="20"/>
              </w:rPr>
              <w:t>77 772 dollars des États-Unis</w:t>
            </w:r>
          </w:p>
        </w:tc>
      </w:tr>
      <w:tr w:rsidR="006543DB" w:rsidRPr="00785AA3" w14:paraId="3E7AC3DC" w14:textId="77777777" w:rsidTr="00BD435F">
        <w:trPr>
          <w:cantSplit/>
        </w:trPr>
        <w:tc>
          <w:tcPr>
            <w:tcW w:w="7225" w:type="dxa"/>
            <w:shd w:val="clear" w:color="auto" w:fill="auto"/>
            <w:vAlign w:val="center"/>
          </w:tcPr>
          <w:p w14:paraId="64021A82" w14:textId="6176A9FC" w:rsidR="006543DB" w:rsidRPr="00785AA3" w:rsidRDefault="006543DB" w:rsidP="00E227F0">
            <w:pPr>
              <w:pStyle w:val="Paragraph"/>
              <w:numPr>
                <w:ilvl w:val="0"/>
                <w:numId w:val="19"/>
              </w:numPr>
              <w:spacing w:before="240" w:after="60"/>
              <w:ind w:left="357" w:hanging="357"/>
              <w:jc w:val="left"/>
              <w:rPr>
                <w:rFonts w:eastAsia="MS Mincho"/>
                <w:bCs w:val="0"/>
                <w:sz w:val="20"/>
                <w:szCs w:val="20"/>
              </w:rPr>
            </w:pPr>
            <w:r>
              <w:rPr>
                <w:bCs w:val="0"/>
                <w:sz w:val="20"/>
                <w:szCs w:val="20"/>
                <w:u w:val="single"/>
              </w:rPr>
              <w:t xml:space="preserve">Intérêts </w:t>
            </w:r>
            <w:r w:rsidR="00E227F0">
              <w:rPr>
                <w:bCs w:val="0"/>
                <w:sz w:val="20"/>
                <w:szCs w:val="20"/>
                <w:u w:val="single"/>
              </w:rPr>
              <w:t>au crédit</w:t>
            </w:r>
            <w:r>
              <w:rPr>
                <w:bCs w:val="0"/>
                <w:sz w:val="20"/>
                <w:szCs w:val="20"/>
                <w:u w:val="single"/>
              </w:rPr>
              <w:t xml:space="preserve"> du Fonds</w:t>
            </w:r>
          </w:p>
        </w:tc>
        <w:tc>
          <w:tcPr>
            <w:tcW w:w="1989" w:type="dxa"/>
            <w:shd w:val="clear" w:color="auto" w:fill="auto"/>
            <w:vAlign w:val="center"/>
          </w:tcPr>
          <w:p w14:paraId="3FBFDC7F" w14:textId="77777777" w:rsidR="006543DB" w:rsidRPr="00785AA3" w:rsidRDefault="006543DB" w:rsidP="00D34BD8">
            <w:pPr>
              <w:pStyle w:val="Paragraph"/>
              <w:spacing w:before="240" w:after="60"/>
              <w:jc w:val="right"/>
              <w:rPr>
                <w:rFonts w:eastAsia="MS Mincho"/>
                <w:bCs w:val="0"/>
                <w:sz w:val="20"/>
                <w:szCs w:val="20"/>
              </w:rPr>
            </w:pPr>
            <w:r>
              <w:rPr>
                <w:bCs w:val="0"/>
                <w:sz w:val="20"/>
                <w:szCs w:val="20"/>
              </w:rPr>
              <w:t>372 949 dollars des États-Unis</w:t>
            </w:r>
          </w:p>
        </w:tc>
      </w:tr>
      <w:tr w:rsidR="006543DB" w:rsidRPr="00785AA3" w14:paraId="3F4E461C" w14:textId="77777777" w:rsidTr="00BD435F">
        <w:trPr>
          <w:cantSplit/>
        </w:trPr>
        <w:tc>
          <w:tcPr>
            <w:tcW w:w="7225" w:type="dxa"/>
            <w:shd w:val="clear" w:color="auto" w:fill="auto"/>
            <w:vAlign w:val="center"/>
          </w:tcPr>
          <w:p w14:paraId="06B8B2F4" w14:textId="77777777" w:rsidR="006543DB" w:rsidRPr="00785AA3" w:rsidRDefault="006543DB" w:rsidP="00B61451">
            <w:pPr>
              <w:pStyle w:val="Paragraph"/>
              <w:spacing w:before="240" w:after="60"/>
              <w:ind w:firstLine="34"/>
              <w:jc w:val="right"/>
              <w:rPr>
                <w:b/>
                <w:sz w:val="20"/>
                <w:szCs w:val="20"/>
              </w:rPr>
            </w:pPr>
            <w:r>
              <w:rPr>
                <w:b/>
                <w:sz w:val="20"/>
                <w:szCs w:val="20"/>
              </w:rPr>
              <w:t>TOTAL</w:t>
            </w:r>
          </w:p>
        </w:tc>
        <w:tc>
          <w:tcPr>
            <w:tcW w:w="1989" w:type="dxa"/>
            <w:shd w:val="clear" w:color="auto" w:fill="auto"/>
            <w:vAlign w:val="center"/>
          </w:tcPr>
          <w:p w14:paraId="76B600EC" w14:textId="3788A3F7" w:rsidR="006543DB" w:rsidRPr="00785AA3" w:rsidRDefault="006543DB" w:rsidP="00476AF2">
            <w:pPr>
              <w:pStyle w:val="ListParagraph1"/>
              <w:spacing w:before="240" w:after="60"/>
              <w:ind w:left="142"/>
              <w:jc w:val="right"/>
              <w:rPr>
                <w:rFonts w:eastAsia="MS Mincho"/>
                <w:b/>
                <w:sz w:val="20"/>
                <w:szCs w:val="20"/>
              </w:rPr>
            </w:pPr>
            <w:r>
              <w:rPr>
                <w:b/>
                <w:bCs/>
                <w:sz w:val="20"/>
                <w:szCs w:val="20"/>
              </w:rPr>
              <w:t>4 </w:t>
            </w:r>
            <w:r w:rsidR="00476AF2">
              <w:rPr>
                <w:b/>
                <w:bCs/>
                <w:sz w:val="20"/>
                <w:szCs w:val="20"/>
              </w:rPr>
              <w:t>443 767 </w:t>
            </w:r>
            <w:r>
              <w:rPr>
                <w:b/>
                <w:bCs/>
                <w:sz w:val="20"/>
                <w:szCs w:val="20"/>
              </w:rPr>
              <w:t>dollars des États-Unis</w:t>
            </w:r>
          </w:p>
        </w:tc>
      </w:tr>
    </w:tbl>
    <w:p w14:paraId="38E47B10" w14:textId="63D3CA69" w:rsidR="006543DB" w:rsidRDefault="006543DB" w:rsidP="006543DB">
      <w:pPr>
        <w:pStyle w:val="COMPara"/>
        <w:numPr>
          <w:ilvl w:val="0"/>
          <w:numId w:val="13"/>
        </w:numPr>
        <w:tabs>
          <w:tab w:val="left" w:pos="567"/>
        </w:tabs>
        <w:spacing w:before="240"/>
        <w:ind w:left="567" w:hanging="567"/>
        <w:jc w:val="both"/>
      </w:pPr>
      <w:r>
        <w:lastRenderedPageBreak/>
        <w:t xml:space="preserve">Le total des recettes au 30 juin 2019 est inférieur de </w:t>
      </w:r>
      <w:r w:rsidR="00476AF2">
        <w:t>4.</w:t>
      </w:r>
      <w:r>
        <w:t xml:space="preserve">6 % à celui du précédent exercice biennal pour la même période. Cette diminution est principalement due à la réduction du montant des contributions volontaires supplémentaires reçues, qui est passé de 618 868 dollars des États-Unis à 77 772 dollars des États-Unis, soit une </w:t>
      </w:r>
      <w:r w:rsidR="00C831FE">
        <w:t xml:space="preserve">baisse </w:t>
      </w:r>
      <w:r>
        <w:t>de 87 %</w:t>
      </w:r>
      <w:r w:rsidR="0062225B">
        <w:t xml:space="preserve"> (voir </w:t>
      </w:r>
      <w:hyperlink r:id="rId12" w:history="1">
        <w:r w:rsidR="0062225B" w:rsidRPr="00C833F6">
          <w:rPr>
            <w:rStyle w:val="Lienhypertexte"/>
          </w:rPr>
          <w:t>document LHE/19/14.COM/6</w:t>
        </w:r>
      </w:hyperlink>
      <w:r w:rsidR="0062225B" w:rsidRPr="00496CB6">
        <w:t>)</w:t>
      </w:r>
      <w:r w:rsidRPr="00496CB6">
        <w:t>.</w:t>
      </w:r>
      <w:r>
        <w:t xml:space="preserve"> Cette </w:t>
      </w:r>
      <w:r w:rsidR="00C831FE">
        <w:t xml:space="preserve">baisse </w:t>
      </w:r>
      <w:r>
        <w:t xml:space="preserve">a </w:t>
      </w:r>
      <w:r w:rsidR="00C831FE">
        <w:t>un impact sur les</w:t>
      </w:r>
      <w:r>
        <w:t xml:space="preserve"> fonds alloués aux activités spécifiques approuvées par le Comité et </w:t>
      </w:r>
      <w:r w:rsidR="00C831FE">
        <w:t xml:space="preserve">le </w:t>
      </w:r>
      <w:r>
        <w:t xml:space="preserve">sous-fonds créé pour renforcer les capacités humaines du Secrétariat. La diminution du total des recettes perçues est en partie compensée par l’augmentation des intérêts produits, qui sont passés de 178 588 dollars des États-Unis à 372 949 dollars des États-Unis. Au 30 juin 2019, le total des impayés représentait </w:t>
      </w:r>
      <w:r w:rsidR="00476AF2">
        <w:t>78 </w:t>
      </w:r>
      <w:r>
        <w:t>% des contributions obligatoires pour 2019.</w:t>
      </w:r>
    </w:p>
    <w:p w14:paraId="669EE750" w14:textId="510BBDD4" w:rsidR="006543DB" w:rsidRPr="0078543D" w:rsidRDefault="006543DB" w:rsidP="006543DB">
      <w:pPr>
        <w:pStyle w:val="Default"/>
        <w:keepNext/>
        <w:numPr>
          <w:ilvl w:val="0"/>
          <w:numId w:val="16"/>
        </w:numPr>
        <w:spacing w:before="240" w:after="120"/>
        <w:ind w:left="567" w:hanging="567"/>
        <w:jc w:val="both"/>
        <w:rPr>
          <w:b/>
          <w:bCs/>
          <w:sz w:val="22"/>
          <w:szCs w:val="22"/>
        </w:rPr>
      </w:pPr>
      <w:r>
        <w:rPr>
          <w:b/>
          <w:bCs/>
          <w:sz w:val="22"/>
          <w:szCs w:val="22"/>
        </w:rPr>
        <w:t>Échelonnement des crédits et des dépenses pour la période du 1</w:t>
      </w:r>
      <w:r>
        <w:rPr>
          <w:b/>
          <w:bCs/>
          <w:sz w:val="22"/>
          <w:szCs w:val="22"/>
          <w:vertAlign w:val="superscript"/>
        </w:rPr>
        <w:t>er</w:t>
      </w:r>
      <w:r>
        <w:rPr>
          <w:b/>
          <w:bCs/>
          <w:sz w:val="22"/>
          <w:szCs w:val="22"/>
        </w:rPr>
        <w:t> janvier 2018 au 30 juin 2019 (état financier I</w:t>
      </w:r>
      <w:r w:rsidR="00C831FE">
        <w:rPr>
          <w:b/>
          <w:bCs/>
          <w:sz w:val="22"/>
          <w:szCs w:val="22"/>
        </w:rPr>
        <w:t xml:space="preserve"> et échelonnement </w:t>
      </w:r>
      <w:r w:rsidR="00EF16AA">
        <w:rPr>
          <w:b/>
          <w:bCs/>
          <w:sz w:val="22"/>
          <w:szCs w:val="22"/>
        </w:rPr>
        <w:t>1.1</w:t>
      </w:r>
      <w:r>
        <w:rPr>
          <w:b/>
          <w:bCs/>
          <w:sz w:val="22"/>
          <w:szCs w:val="22"/>
        </w:rPr>
        <w:t>, pages 6-7)</w:t>
      </w:r>
      <w:r w:rsidRPr="00BB2DEA">
        <w:rPr>
          <w:rStyle w:val="Appelnotedebasdep"/>
          <w:b/>
          <w:bCs/>
          <w:sz w:val="22"/>
          <w:szCs w:val="22"/>
          <w:lang w:val="en-GB"/>
        </w:rPr>
        <w:footnoteReference w:id="4"/>
      </w:r>
    </w:p>
    <w:p w14:paraId="791CC678" w14:textId="684CDD1A" w:rsidR="006543DB" w:rsidRDefault="006543DB" w:rsidP="006543DB">
      <w:pPr>
        <w:pStyle w:val="COMPara"/>
        <w:numPr>
          <w:ilvl w:val="0"/>
          <w:numId w:val="13"/>
        </w:numPr>
        <w:tabs>
          <w:tab w:val="left" w:pos="567"/>
        </w:tabs>
        <w:ind w:left="567" w:hanging="567"/>
        <w:jc w:val="both"/>
      </w:pPr>
      <w:r>
        <w:t xml:space="preserve">Par sa </w:t>
      </w:r>
      <w:hyperlink r:id="rId13" w:history="1">
        <w:r>
          <w:rPr>
            <w:rStyle w:val="Lienhypertexte"/>
          </w:rPr>
          <w:t>résolution 7.GA </w:t>
        </w:r>
      </w:hyperlink>
      <w:r>
        <w:rPr>
          <w:rStyle w:val="Lienhypertexte"/>
        </w:rPr>
        <w:t>8</w:t>
      </w:r>
      <w:r>
        <w:t>, l’Assemblée générale a approuvé un budget de 8 590 922 dollars des États-Unis pour la période du 1</w:t>
      </w:r>
      <w:r>
        <w:rPr>
          <w:vertAlign w:val="superscript"/>
        </w:rPr>
        <w:t>er</w:t>
      </w:r>
      <w:r>
        <w:t> janvier 2018 au 31 décembre 2019, comme le montre l’échelonnement des crédits et des dépenses. Cela correspond au solde du Fonds au 1</w:t>
      </w:r>
      <w:r>
        <w:rPr>
          <w:vertAlign w:val="superscript"/>
        </w:rPr>
        <w:t>er</w:t>
      </w:r>
      <w:r>
        <w:t> janvier 2018 (9 590 922 dollars des États-Unis) après déduction du Fonds de réserve accumulé jusqu’à ce jour (</w:t>
      </w:r>
      <w:r w:rsidR="00C831FE">
        <w:t>1 million</w:t>
      </w:r>
      <w:r w:rsidR="007345A5">
        <w:t xml:space="preserve"> </w:t>
      </w:r>
      <w:r w:rsidR="00C831FE">
        <w:t>de</w:t>
      </w:r>
      <w:r>
        <w:t> dollars des États-Unis).</w:t>
      </w:r>
    </w:p>
    <w:p w14:paraId="5FF6E4B3" w14:textId="158107EE" w:rsidR="006543DB" w:rsidRDefault="006543DB" w:rsidP="006543DB">
      <w:pPr>
        <w:pStyle w:val="COMPara"/>
        <w:numPr>
          <w:ilvl w:val="0"/>
          <w:numId w:val="13"/>
        </w:numPr>
        <w:tabs>
          <w:tab w:val="left" w:pos="567"/>
        </w:tabs>
        <w:ind w:left="567" w:hanging="567"/>
        <w:jc w:val="both"/>
      </w:pPr>
      <w:r>
        <w:t>L’état financier I indique une dépense totale de 4 051 180 dollars des États-Unis au 30 juin 2019, soit 47 % du budget approuvé. Les explications relatives à chaque ligne budgétaire de l’échelonnement des crédits et dépenses sont données ci-dessous.</w:t>
      </w:r>
    </w:p>
    <w:p w14:paraId="1DB091A7" w14:textId="3E8EBF95" w:rsidR="006543DB" w:rsidRPr="0062225B" w:rsidRDefault="006543DB" w:rsidP="006543DB">
      <w:pPr>
        <w:pStyle w:val="COMPara"/>
        <w:numPr>
          <w:ilvl w:val="0"/>
          <w:numId w:val="13"/>
        </w:numPr>
        <w:tabs>
          <w:tab w:val="left" w:pos="567"/>
        </w:tabs>
        <w:ind w:left="567" w:hanging="567"/>
        <w:jc w:val="both"/>
      </w:pPr>
      <w:r>
        <w:t>Conformément aux priorités définies par les Orientations pour l’utilisation des ressources du Fonds, au chapitre II.1 des Directives opérationnelles, l’Assemblée générale a décidé que la majorité des ressources (</w:t>
      </w:r>
      <w:r>
        <w:rPr>
          <w:b/>
          <w:bCs/>
        </w:rPr>
        <w:t>ligne budgétaire 1</w:t>
      </w:r>
      <w:r>
        <w:t xml:space="preserve">, 52,55 %) serait de nouveau allouée à l’attribution d’une assistance internationale aux États parties pour appuyer leurs efforts nationaux de sauvegarde du patrimoine culturel immatériel. Les dépenses au titre </w:t>
      </w:r>
      <w:r w:rsidRPr="0062225B">
        <w:t xml:space="preserve">de cette ligne budgétaire correspondent à l’assistance internationale accordée par le Comité ou son Bureau à </w:t>
      </w:r>
      <w:r w:rsidRPr="00650AE7">
        <w:t>dix-neuf</w:t>
      </w:r>
      <w:r w:rsidRPr="0062225B">
        <w:t xml:space="preserve"> projets. Cela représente une augmentation de </w:t>
      </w:r>
      <w:r w:rsidR="00C831FE">
        <w:t>81,3</w:t>
      </w:r>
      <w:r w:rsidR="00C831FE" w:rsidRPr="0062225B">
        <w:t> </w:t>
      </w:r>
      <w:r w:rsidRPr="0062225B">
        <w:t>% par rapport à l’exercice biennal précédent. Huit des projets approuvés ont été soumis par des États parties du groupe électoral Va (Afrique). Au 30 juin 2019, sept autres projets – un approuvé par le Bureau qui s’est réuni en mars 2018 (</w:t>
      </w:r>
      <w:hyperlink r:id="rId14" w:history="1">
        <w:r w:rsidRPr="0062225B">
          <w:rPr>
            <w:rStyle w:val="Lienhypertexte"/>
          </w:rPr>
          <w:t>décision 13.COM 1.BUR 3.7</w:t>
        </w:r>
      </w:hyperlink>
      <w:r w:rsidRPr="0062225B">
        <w:t>), un par le dernier Comité (</w:t>
      </w:r>
      <w:hyperlink r:id="rId15" w:history="1">
        <w:r w:rsidRPr="0062225B">
          <w:rPr>
            <w:rStyle w:val="Lienhypertexte"/>
          </w:rPr>
          <w:t>décisions 13.COM 10.d</w:t>
        </w:r>
      </w:hyperlink>
      <w:hyperlink r:id="rId16" w:history="1">
        <w:r w:rsidRPr="00C833F6">
          <w:rPr>
            <w:rStyle w:val="Lienhypertexte"/>
            <w:color w:val="auto"/>
            <w:u w:val="none"/>
          </w:rPr>
          <w:t xml:space="preserve"> et </w:t>
        </w:r>
        <w:r w:rsidRPr="0062225B">
          <w:rPr>
            <w:rStyle w:val="Lienhypertexte"/>
          </w:rPr>
          <w:t>14.COM 2.BUR 4</w:t>
        </w:r>
      </w:hyperlink>
      <w:r w:rsidRPr="0062225B">
        <w:t>), deux par le Bureau qui s’est réuni en mars 2019 (</w:t>
      </w:r>
      <w:hyperlink r:id="rId17" w:history="1">
        <w:r w:rsidRPr="0062225B">
          <w:rPr>
            <w:rStyle w:val="Lienhypertexte"/>
          </w:rPr>
          <w:t>décisions 14.COM 1.BUR 3.2</w:t>
        </w:r>
        <w:r w:rsidRPr="00C833F6">
          <w:rPr>
            <w:rStyle w:val="Lienhypertexte"/>
            <w:color w:val="auto"/>
            <w:u w:val="none"/>
          </w:rPr>
          <w:t xml:space="preserve"> et</w:t>
        </w:r>
        <w:r w:rsidRPr="0062225B">
          <w:rPr>
            <w:rStyle w:val="Lienhypertexte"/>
          </w:rPr>
          <w:t xml:space="preserve"> 14.COM 1.BUR 3.3</w:t>
        </w:r>
      </w:hyperlink>
      <w:r w:rsidRPr="0062225B">
        <w:t xml:space="preserve">) et trois par le Bureau qui s’est réuni en </w:t>
      </w:r>
      <w:r w:rsidR="00C831FE">
        <w:t>juin</w:t>
      </w:r>
      <w:r w:rsidR="00C831FE" w:rsidRPr="0062225B">
        <w:t> </w:t>
      </w:r>
      <w:r w:rsidRPr="0062225B">
        <w:t>2019 (</w:t>
      </w:r>
      <w:hyperlink r:id="rId18" w:history="1">
        <w:r w:rsidRPr="0062225B">
          <w:rPr>
            <w:rStyle w:val="Lienhypertexte"/>
          </w:rPr>
          <w:t>décisions 14.COM 2.BUR 5.3, 14.COM 2.BUR 5.4</w:t>
        </w:r>
        <w:r w:rsidRPr="00C833F6">
          <w:rPr>
            <w:rStyle w:val="Lienhypertexte"/>
            <w:color w:val="auto"/>
            <w:u w:val="none"/>
          </w:rPr>
          <w:t xml:space="preserve"> et</w:t>
        </w:r>
        <w:r w:rsidRPr="0062225B">
          <w:rPr>
            <w:rStyle w:val="Lienhypertexte"/>
          </w:rPr>
          <w:t xml:space="preserve"> 14.COM 2.BUR 5.5</w:t>
        </w:r>
      </w:hyperlink>
      <w:r w:rsidRPr="0062225B">
        <w:t xml:space="preserve">) – n’ont pas encore fait l’objet d’un contrat et ne sont donc pas pris en compte dans </w:t>
      </w:r>
      <w:r w:rsidR="00B62ADD">
        <w:t>l’</w:t>
      </w:r>
      <w:r w:rsidRPr="0062225B">
        <w:t>état financier</w:t>
      </w:r>
      <w:r w:rsidR="0077071A">
        <w:t xml:space="preserve"> </w:t>
      </w:r>
      <w:r w:rsidR="00B62ADD">
        <w:t>I</w:t>
      </w:r>
      <w:r w:rsidRPr="0062225B">
        <w:t>. Le taux de dépenses de l’assistance internationale (51,7 %),</w:t>
      </w:r>
      <w:r w:rsidR="00650AE7">
        <w:t xml:space="preserve"> </w:t>
      </w:r>
      <w:r w:rsidRPr="0062225B">
        <w:t>devrait passer à 68 % à la fin de l’exercice biennal, dès lors que les contrats susmentionnés auront été établis, entraînant une augmentation d’environ 40 % par rapport au taux de dépenses du dernier exercice biennal.</w:t>
      </w:r>
    </w:p>
    <w:p w14:paraId="3AFE7945" w14:textId="4C922E41" w:rsidR="008E47F0" w:rsidRPr="0062225B" w:rsidRDefault="00E978E1" w:rsidP="006543DB">
      <w:pPr>
        <w:pStyle w:val="COMPara"/>
        <w:numPr>
          <w:ilvl w:val="0"/>
          <w:numId w:val="13"/>
        </w:numPr>
        <w:tabs>
          <w:tab w:val="left" w:pos="567"/>
        </w:tabs>
        <w:ind w:left="567" w:hanging="567"/>
        <w:jc w:val="both"/>
      </w:pPr>
      <w:r w:rsidRPr="0062225B">
        <w:t xml:space="preserve">La nouvelle </w:t>
      </w:r>
      <w:r w:rsidRPr="0062225B">
        <w:rPr>
          <w:b/>
        </w:rPr>
        <w:t>ligne budgétaire 1.1</w:t>
      </w:r>
      <w:r w:rsidRPr="0062225B">
        <w:t xml:space="preserve"> a été créée par l’Assemblée générale lors de sa septième session en 2018 </w:t>
      </w:r>
      <w:r w:rsidR="00C831FE">
        <w:t>afin de</w:t>
      </w:r>
      <w:r w:rsidRPr="0062225B">
        <w:t xml:space="preserve"> couvrir pour l’exercice biennal </w:t>
      </w:r>
      <w:r w:rsidR="00C831FE">
        <w:t xml:space="preserve"> le coût d</w:t>
      </w:r>
      <w:r w:rsidR="0062225B" w:rsidRPr="0062225B">
        <w:t>es</w:t>
      </w:r>
      <w:r w:rsidRPr="0062225B">
        <w:t xml:space="preserve"> trois postes à durée déterminée (un P3, un P2 et un G5) financés par des fonds extrabudgétaires, pour activer pleinement le mécanisme d</w:t>
      </w:r>
      <w:r w:rsidR="00FA028D">
        <w:t>’</w:t>
      </w:r>
      <w:r w:rsidRPr="0062225B">
        <w:t>assistance internationale et assurer le suivi et l’évaluation de sa mise en œuvre (</w:t>
      </w:r>
      <w:hyperlink r:id="rId19" w:history="1">
        <w:r w:rsidRPr="0062225B">
          <w:rPr>
            <w:rStyle w:val="Lienhypertexte"/>
          </w:rPr>
          <w:t>résolution</w:t>
        </w:r>
        <w:r w:rsidR="001B5944">
          <w:rPr>
            <w:rStyle w:val="Lienhypertexte"/>
          </w:rPr>
          <w:t> </w:t>
        </w:r>
        <w:r w:rsidRPr="0062225B">
          <w:rPr>
            <w:rStyle w:val="Lienhypertexte"/>
          </w:rPr>
          <w:t>7.GA 8</w:t>
        </w:r>
      </w:hyperlink>
      <w:r w:rsidRPr="0062225B">
        <w:t xml:space="preserve">). Le 30 juin 2019 la procédure de recrutement pour ces trois postes était encore en cours. Le budget alloué à cette ligne budgétaire n’avait donc pas été entamé au moment de la préparation de cet état financier. </w:t>
      </w:r>
      <w:r w:rsidRPr="00650AE7">
        <w:t>La procédure de recrutement s’est achevée en septembre 2019.</w:t>
      </w:r>
    </w:p>
    <w:p w14:paraId="19D0795B" w14:textId="53A77593" w:rsidR="006543DB" w:rsidRPr="000D35DF" w:rsidRDefault="006543DB" w:rsidP="006543DB">
      <w:pPr>
        <w:pStyle w:val="COMPara"/>
        <w:numPr>
          <w:ilvl w:val="0"/>
          <w:numId w:val="13"/>
        </w:numPr>
        <w:tabs>
          <w:tab w:val="left" w:pos="567"/>
        </w:tabs>
        <w:ind w:left="567" w:hanging="567"/>
        <w:jc w:val="both"/>
      </w:pPr>
      <w:r w:rsidRPr="0062225B">
        <w:t xml:space="preserve">Au cours de la période considérée, le Secrétariat a reçu </w:t>
      </w:r>
      <w:r w:rsidRPr="00650AE7">
        <w:t>trois</w:t>
      </w:r>
      <w:r w:rsidRPr="0062225B">
        <w:t xml:space="preserve"> demandes d’assistance préparatoire pour une candidature à la Liste du patrimoine culturel immatériel nécessitant une</w:t>
      </w:r>
      <w:r>
        <w:t xml:space="preserve"> sauvegarde urgente – dont une a été retirée par l’État partie demandeur – et une demande d’assistance préparatoire pour des propositions au Registre des bonnes pratiques de sauvegarde. Le Bureau a approuvé cette dernière lorsqu’il s’est réuni en juin 2018 </w:t>
      </w:r>
      <w:r>
        <w:lastRenderedPageBreak/>
        <w:t>(</w:t>
      </w:r>
      <w:hyperlink r:id="rId20" w:history="1">
        <w:r>
          <w:rPr>
            <w:rStyle w:val="Lienhypertexte"/>
          </w:rPr>
          <w:t>décision 13.COM 2.BUR 6</w:t>
        </w:r>
      </w:hyperlink>
      <w:r>
        <w:t xml:space="preserve">) et a examiné les deux autres après la fin de la période considérée. Les dépenses figurant dans la </w:t>
      </w:r>
      <w:r>
        <w:rPr>
          <w:b/>
        </w:rPr>
        <w:t>ligne budgétaire 2</w:t>
      </w:r>
      <w:r>
        <w:t xml:space="preserve"> incluent également l’octroi d’une assistance technique à trois États parties pour leur demande d’assistance internationale, conformément à la </w:t>
      </w:r>
      <w:hyperlink r:id="rId21" w:history="1">
        <w:r w:rsidRPr="00BD435F">
          <w:rPr>
            <w:rStyle w:val="Lienhypertexte"/>
          </w:rPr>
          <w:t>décision 8.COM 7.c</w:t>
        </w:r>
      </w:hyperlink>
      <w:r>
        <w:t>.</w:t>
      </w:r>
    </w:p>
    <w:p w14:paraId="6DCC48AF" w14:textId="59C8367D" w:rsidR="006543DB" w:rsidRPr="00C938EE" w:rsidRDefault="006543DB" w:rsidP="008E47F0">
      <w:pPr>
        <w:pStyle w:val="COMPara"/>
        <w:numPr>
          <w:ilvl w:val="0"/>
          <w:numId w:val="13"/>
        </w:numPr>
        <w:tabs>
          <w:tab w:val="left" w:pos="567"/>
        </w:tabs>
        <w:ind w:left="567" w:hanging="567"/>
        <w:jc w:val="both"/>
      </w:pPr>
      <w:r>
        <w:t>L’utilisation du budget pour les « autres fonctions du Comité » (</w:t>
      </w:r>
      <w:r>
        <w:rPr>
          <w:b/>
        </w:rPr>
        <w:t>ligne budgétaire 3</w:t>
      </w:r>
      <w:r>
        <w:t>) est décidée par le Bureau sur la base de propositions spécifiques préparées par le Secrétariat (</w:t>
      </w:r>
      <w:hyperlink r:id="rId22" w:history="1">
        <w:r>
          <w:rPr>
            <w:rStyle w:val="Lienhypertexte"/>
          </w:rPr>
          <w:t>décision 12.COM 7</w:t>
        </w:r>
      </w:hyperlink>
      <w:r>
        <w:t xml:space="preserve">). Conformément au plan approuvé par le Bureau dans sa </w:t>
      </w:r>
      <w:hyperlink r:id="rId23" w:history="1">
        <w:r>
          <w:rPr>
            <w:rStyle w:val="Lienhypertexte"/>
          </w:rPr>
          <w:t>décision 13.COM 2.BUR 3</w:t>
        </w:r>
      </w:hyperlink>
      <w:r>
        <w:t xml:space="preserve">, ces fonds ont été alloués au renforcement des capacités et aux conseils sur les mesures de sauvegarde et les bonnes pratiques (36 %), aux actions de sensibilisation et d’information (27 %), aux services de gestion des connaissances (20 %) et à l’intégration du patrimoine culturel immatériel dans des programmes, des politiques et des plans de développement (17 %). Environ 60,1 % des fonds approuvés pour l’exercice biennal actuel avaient été engagés au 30 juin 2019. Un rapport détaillé portant sur l’avancée de la mise en œuvre de ces fonds figure dans le </w:t>
      </w:r>
      <w:hyperlink r:id="rId24" w:history="1">
        <w:r w:rsidRPr="00C833F6">
          <w:rPr>
            <w:rStyle w:val="Lienhypertexte"/>
          </w:rPr>
          <w:t>document LHE/19/14.COM/5.b</w:t>
        </w:r>
      </w:hyperlink>
      <w:r>
        <w:t>, intitulé « Rapport du Secrétariat sur ses activités (de janvier  2018 à juin 2019) ».</w:t>
      </w:r>
    </w:p>
    <w:p w14:paraId="510D5D5B" w14:textId="77777777" w:rsidR="006543DB" w:rsidRPr="00776B2B" w:rsidRDefault="006543DB" w:rsidP="006543DB">
      <w:pPr>
        <w:pStyle w:val="COMPara"/>
        <w:numPr>
          <w:ilvl w:val="0"/>
          <w:numId w:val="13"/>
        </w:numPr>
        <w:tabs>
          <w:tab w:val="left" w:pos="567"/>
        </w:tabs>
        <w:ind w:left="567" w:hanging="567"/>
        <w:jc w:val="both"/>
      </w:pPr>
      <w:r>
        <w:t>À la suite de la recommandation du Service d’évaluation et d’audit dans son audit des méthodes de travail des conventions culturelles (</w:t>
      </w:r>
      <w:hyperlink r:id="rId25" w:history="1">
        <w:r>
          <w:rPr>
            <w:rStyle w:val="Lienhypertexte"/>
          </w:rPr>
          <w:t>IOS/AUD/2013/06</w:t>
        </w:r>
      </w:hyperlink>
      <w:r>
        <w:t xml:space="preserve">), le Comité a demandé au Secrétariat, dans </w:t>
      </w:r>
      <w:r>
        <w:rPr>
          <w:rStyle w:val="Lienhypertexte"/>
          <w:color w:val="auto"/>
          <w:u w:val="none"/>
        </w:rPr>
        <w:t>sa</w:t>
      </w:r>
      <w:r>
        <w:rPr>
          <w:rStyle w:val="Lienhypertexte"/>
        </w:rPr>
        <w:t xml:space="preserve"> </w:t>
      </w:r>
      <w:hyperlink r:id="rId26" w:history="1">
        <w:r>
          <w:rPr>
            <w:rStyle w:val="Lienhypertexte"/>
          </w:rPr>
          <w:t>décision 8.COM 11</w:t>
        </w:r>
      </w:hyperlink>
      <w:r>
        <w:rPr>
          <w:rStyle w:val="Lienhypertexte"/>
          <w:color w:val="auto"/>
          <w:u w:val="none"/>
        </w:rPr>
        <w:t>,</w:t>
      </w:r>
      <w:r>
        <w:t xml:space="preserve"> d’appliquer la politique de recouvrement des coûts de manière cohérente dans le cadre de l’utilisation des ressources du Fonds. Par conséquent, et conformément à l’article 5.2 du Règlement financier du Fonds, toutes les dépenses directes ont été imputées aux lignes budgétaires 1 à 3. La </w:t>
      </w:r>
      <w:hyperlink r:id="rId27" w:history="1">
        <w:r>
          <w:rPr>
            <w:rStyle w:val="Lienhypertexte"/>
          </w:rPr>
          <w:t>décision 8.COM 11</w:t>
        </w:r>
      </w:hyperlink>
      <w:r>
        <w:rPr>
          <w:rStyle w:val="Lienhypertexte"/>
          <w:u w:val="none"/>
        </w:rPr>
        <w:t xml:space="preserve"> </w:t>
      </w:r>
      <w:r>
        <w:t>est systématiquement appliquée et continuera à être appliquée lors des futurs cycles.</w:t>
      </w:r>
    </w:p>
    <w:p w14:paraId="08C34899" w14:textId="1F0559AB" w:rsidR="006543DB" w:rsidRPr="002318D6" w:rsidRDefault="006543DB" w:rsidP="006543DB">
      <w:pPr>
        <w:pStyle w:val="COMPara"/>
        <w:numPr>
          <w:ilvl w:val="0"/>
          <w:numId w:val="13"/>
        </w:numPr>
        <w:tabs>
          <w:tab w:val="left" w:pos="567"/>
        </w:tabs>
        <w:ind w:left="567" w:hanging="567"/>
        <w:jc w:val="both"/>
      </w:pPr>
      <w:r>
        <w:t xml:space="preserve">La </w:t>
      </w:r>
      <w:r>
        <w:rPr>
          <w:b/>
        </w:rPr>
        <w:t>ligne budgétaire 4</w:t>
      </w:r>
      <w:r>
        <w:t xml:space="preserve">, utilisée pour financer la participation d’experts représentant des pays en développement membres du Comité, de son Bureau ou de ses organes subsidiaires lors de leurs sessions, affiche un taux de dépenses de 50,1 %. Les coûts engagés pour la participation desdits experts à la quatorzième session du Comité </w:t>
      </w:r>
      <w:r w:rsidR="00476AF2">
        <w:t xml:space="preserve">devraient faire </w:t>
      </w:r>
      <w:r>
        <w:t>passer ce taux à 100 %, soit une augmentation de 40 % par rapport à l’exercice biennal précédent.</w:t>
      </w:r>
    </w:p>
    <w:p w14:paraId="46C4D592" w14:textId="5F8E6D21" w:rsidR="006543DB" w:rsidRPr="002318D6" w:rsidRDefault="006543DB" w:rsidP="006543DB">
      <w:pPr>
        <w:pStyle w:val="COMPara"/>
        <w:numPr>
          <w:ilvl w:val="0"/>
          <w:numId w:val="13"/>
        </w:numPr>
        <w:tabs>
          <w:tab w:val="left" w:pos="567"/>
        </w:tabs>
        <w:ind w:left="567" w:hanging="567"/>
        <w:jc w:val="both"/>
      </w:pPr>
      <w:r>
        <w:t xml:space="preserve">Le taux de dépenses de la </w:t>
      </w:r>
      <w:r>
        <w:rPr>
          <w:b/>
        </w:rPr>
        <w:t>ligne budgétaire 5</w:t>
      </w:r>
      <w:r>
        <w:t xml:space="preserve"> </w:t>
      </w:r>
      <w:r w:rsidR="00B62ADD">
        <w:t xml:space="preserve">a </w:t>
      </w:r>
      <w:r>
        <w:t xml:space="preserve">atteint 67,6 %. Les décaissements incluent les frais de participation des </w:t>
      </w:r>
      <w:r w:rsidR="0077071A">
        <w:t>trente-six </w:t>
      </w:r>
      <w:r>
        <w:t>experts éligibles des États parties en développement non membres du Comité, mais membres de l’Organe d’évaluation en 2018 et 2019, ainsi que les frais de participation d’experts à la treizième session du Comité. Les frais de participation des experts des États parties en développement non membres du Comité à la quatorzième session du Comité feront passer ce taux à 100 %, comme lors de l’exercice biennal précédent.</w:t>
      </w:r>
    </w:p>
    <w:p w14:paraId="08422087" w14:textId="4CA43A56" w:rsidR="006543DB" w:rsidRPr="002318D6" w:rsidRDefault="006543DB" w:rsidP="006543DB">
      <w:pPr>
        <w:pStyle w:val="COMPara"/>
        <w:numPr>
          <w:ilvl w:val="0"/>
          <w:numId w:val="13"/>
        </w:numPr>
        <w:tabs>
          <w:tab w:val="left" w:pos="567"/>
        </w:tabs>
        <w:ind w:left="567" w:hanging="567"/>
        <w:jc w:val="both"/>
      </w:pPr>
      <w:r>
        <w:t xml:space="preserve">La </w:t>
      </w:r>
      <w:r>
        <w:rPr>
          <w:b/>
        </w:rPr>
        <w:t xml:space="preserve">ligne budgétaire 6 </w:t>
      </w:r>
      <w:r>
        <w:t>affiche un taux de dépenses de 50,6 %, ce qui correspond aux frais de participation des six organisations non gouvernementales (ONG) accréditées membres de l’Organe d’évaluation en 2018 et 2019 et à la participation de vingt-six ONG à la treizième session du Comité. Ce chiffre ne tient toutefois pas compte des engagements qui seront provisionnés pour la participation d’ONG accréditées de pays en développant à la quatorzième session du Comité. Ces frais de participation entraîneront une hausse significative du taux de dépenses – peut-être jusqu’à 100 % – d’ici la fin de cet exercice biennal, contre 65,7 % lors du précédent.</w:t>
      </w:r>
    </w:p>
    <w:p w14:paraId="6BE69064" w14:textId="0763D5C8" w:rsidR="006543DB" w:rsidRPr="00EF4582" w:rsidRDefault="006543DB" w:rsidP="006543DB">
      <w:pPr>
        <w:pStyle w:val="COMPara"/>
        <w:numPr>
          <w:ilvl w:val="0"/>
          <w:numId w:val="13"/>
        </w:numPr>
        <w:tabs>
          <w:tab w:val="left" w:pos="567"/>
        </w:tabs>
        <w:ind w:left="567" w:hanging="567"/>
        <w:jc w:val="both"/>
      </w:pPr>
      <w:r>
        <w:t xml:space="preserve">La </w:t>
      </w:r>
      <w:r>
        <w:rPr>
          <w:b/>
        </w:rPr>
        <w:t>ligne budgétaire 7</w:t>
      </w:r>
      <w:r>
        <w:t xml:space="preserve"> affiche un taux de dépenses de 40,0 %, ce qui correspond aux </w:t>
      </w:r>
      <w:r w:rsidR="00FA028D">
        <w:t xml:space="preserve">honoraires </w:t>
      </w:r>
      <w:r>
        <w:t>des membres éligibles de l’Organe d’évaluation (neuf en 2018 et huit en 2019) et aux honoraires versés au Président et au Rapporteur de l’Organe pour les missions supplémentaires qu’ils ont remplies. Ce taux reste relativement faible du fait de la nécessité d'établir les contrats des membres de l’Organe d'évaluation au début du cycle d'évaluation alors que seul un quart du budget est disponible.</w:t>
      </w:r>
    </w:p>
    <w:p w14:paraId="073E32C2" w14:textId="16BB578D" w:rsidR="006543DB" w:rsidRPr="00D140FF" w:rsidRDefault="006543DB" w:rsidP="006543DB">
      <w:pPr>
        <w:pStyle w:val="COMPara"/>
        <w:numPr>
          <w:ilvl w:val="0"/>
          <w:numId w:val="13"/>
        </w:numPr>
        <w:tabs>
          <w:tab w:val="left" w:pos="567"/>
        </w:tabs>
        <w:ind w:left="567" w:hanging="567"/>
        <w:jc w:val="both"/>
      </w:pPr>
      <w:r>
        <w:t xml:space="preserve">Le Fonds de réserve </w:t>
      </w:r>
      <w:r w:rsidRPr="00650AE7">
        <w:t>(</w:t>
      </w:r>
      <w:r>
        <w:rPr>
          <w:b/>
        </w:rPr>
        <w:t>ligne budgétaire 8</w:t>
      </w:r>
      <w:r w:rsidRPr="00650AE7">
        <w:t>)</w:t>
      </w:r>
      <w:r>
        <w:t xml:space="preserve"> a été créé conformément au Règlement financier du Compte spécial </w:t>
      </w:r>
      <w:r w:rsidR="009662B0">
        <w:t>pour le</w:t>
      </w:r>
      <w:r>
        <w:t xml:space="preserve"> Fonds pour la sauvegarde du patrimoine culturel immatériel afin de répondre aux demandes d’assistance internationale en cas d’extrême urgence si les fonds alloués à l’assistance internationale (ligne budgétaire 1) sont épuisés. Au cours de la période considérée, le Fonds de réserve n’a pas été entamé.</w:t>
      </w:r>
    </w:p>
    <w:p w14:paraId="3F8149C1" w14:textId="6EEDAC01" w:rsidR="00E25D45" w:rsidRPr="00785AA3" w:rsidRDefault="00E25D45" w:rsidP="00E25D45">
      <w:pPr>
        <w:pStyle w:val="Default"/>
        <w:keepNext/>
        <w:numPr>
          <w:ilvl w:val="0"/>
          <w:numId w:val="16"/>
        </w:numPr>
        <w:spacing w:before="240" w:after="120"/>
        <w:ind w:left="567" w:hanging="567"/>
        <w:jc w:val="both"/>
        <w:rPr>
          <w:b/>
          <w:bCs/>
        </w:rPr>
      </w:pPr>
      <w:r>
        <w:rPr>
          <w:b/>
          <w:bCs/>
        </w:rPr>
        <w:lastRenderedPageBreak/>
        <w:t>Rapports supplémentaires</w:t>
      </w:r>
    </w:p>
    <w:p w14:paraId="5DF73C31" w14:textId="575AF294" w:rsidR="00E25D45" w:rsidRPr="004F1FC7" w:rsidRDefault="00E25D45" w:rsidP="00E25D45">
      <w:pPr>
        <w:pStyle w:val="COMPara"/>
        <w:numPr>
          <w:ilvl w:val="0"/>
          <w:numId w:val="13"/>
        </w:numPr>
        <w:tabs>
          <w:tab w:val="left" w:pos="567"/>
        </w:tabs>
        <w:ind w:left="567" w:hanging="567"/>
        <w:jc w:val="both"/>
      </w:pPr>
      <w:r>
        <w:t xml:space="preserve">L’annexe II du présent </w:t>
      </w:r>
      <w:r w:rsidR="009662B0">
        <w:t>document</w:t>
      </w:r>
      <w:r>
        <w:t xml:space="preserve"> contient la liste des contributions volontaires supplémentaires versées entre janvier 2018 et juin 2019 à des fins spécifiques, comme le prévoit l’article 25.5 de la Convention, à la suite d’une décision du Comité. La liste jointe au </w:t>
      </w:r>
      <w:hyperlink r:id="rId28" w:history="1">
        <w:r w:rsidRPr="00C833F6">
          <w:rPr>
            <w:rStyle w:val="Lienhypertexte"/>
          </w:rPr>
          <w:t>document LHE/19/14.COM/6</w:t>
        </w:r>
      </w:hyperlink>
      <w:r>
        <w:t xml:space="preserve"> indique quant à elle l’ensemble des contributions volontaires reçues depuis la treizième session du Comité pour soutenir la Convention de 2003, ainsi que toutes les modalités qui leur sont associées. En outre, conformément au paragraphe 77 des Directives opérationnelles, </w:t>
      </w:r>
      <w:hyperlink r:id="rId29" w:history="1">
        <w:r>
          <w:rPr>
            <w:rStyle w:val="Lienhypertexte"/>
          </w:rPr>
          <w:t>une liste des donateurs mise à jour</w:t>
        </w:r>
      </w:hyperlink>
      <w:r>
        <w:t xml:space="preserve"> est disponible sur le site Internet de la Convention. L’annexe III présente les dépenses totales engagées pour chaque projet spécifique, de son lancement au 30 juin 2019.</w:t>
      </w:r>
    </w:p>
    <w:p w14:paraId="5E565A7D" w14:textId="77777777" w:rsidR="00200D9F" w:rsidRDefault="00E25D45" w:rsidP="00BD435F">
      <w:pPr>
        <w:pStyle w:val="COMPara"/>
        <w:numPr>
          <w:ilvl w:val="0"/>
          <w:numId w:val="13"/>
        </w:numPr>
        <w:tabs>
          <w:tab w:val="left" w:pos="567"/>
        </w:tabs>
        <w:ind w:left="567" w:hanging="567"/>
        <w:jc w:val="both"/>
        <w:sectPr w:rsidR="00200D9F" w:rsidSect="00200D9F">
          <w:headerReference w:type="even" r:id="rId30"/>
          <w:headerReference w:type="default" r:id="rId31"/>
          <w:headerReference w:type="first" r:id="rId32"/>
          <w:pgSz w:w="11906" w:h="16838" w:code="9"/>
          <w:pgMar w:top="1418" w:right="1134" w:bottom="1134" w:left="1134" w:header="397" w:footer="284" w:gutter="0"/>
          <w:cols w:space="708"/>
          <w:titlePg/>
          <w:docGrid w:linePitch="360"/>
        </w:sectPr>
      </w:pPr>
      <w:r>
        <w:t>L’annexe IV contient les prévisions au 30 juin 2019, établies d’après les estimations du Secrétariat, relatives à l’utilisation future des fonds alloués aux projets en cours en fonction des fonds non engagés à cette date et des budgets approuvés par le Comité.</w:t>
      </w:r>
    </w:p>
    <w:p w14:paraId="782DFBA3" w14:textId="4CF2850A" w:rsidR="006543DB" w:rsidRDefault="008F1CAA" w:rsidP="006543DB">
      <w:pPr>
        <w:pStyle w:val="Annex"/>
        <w:rPr>
          <w:u w:val="single"/>
        </w:rPr>
      </w:pPr>
      <w:r>
        <w:rPr>
          <w:u w:val="single"/>
        </w:rPr>
        <w:lastRenderedPageBreak/>
        <w:t>ANNEXE I</w:t>
      </w:r>
    </w:p>
    <w:p w14:paraId="0A99DC14" w14:textId="77777777" w:rsidR="00E978E1" w:rsidRPr="00E155D4" w:rsidRDefault="00E978E1" w:rsidP="00E978E1">
      <w:pPr>
        <w:rPr>
          <w:lang w:eastAsia="zh-CN"/>
        </w:rPr>
      </w:pPr>
    </w:p>
    <w:p w14:paraId="5DD67182" w14:textId="531612E9" w:rsidR="00D92600" w:rsidRDefault="00E978E1" w:rsidP="00E978E1">
      <w:pPr>
        <w:pStyle w:val="Annex"/>
        <w:pageBreakBefore w:val="0"/>
        <w:spacing w:before="0" w:after="120"/>
        <w:jc w:val="right"/>
        <w:outlineLvl w:val="9"/>
        <w:rPr>
          <w:b w:val="0"/>
        </w:rPr>
      </w:pPr>
      <w:r>
        <w:rPr>
          <w:b w:val="0"/>
        </w:rPr>
        <w:t>État financier I</w:t>
      </w:r>
    </w:p>
    <w:p w14:paraId="64224987" w14:textId="0DC5F17F" w:rsidR="00E94908" w:rsidRPr="00A01018" w:rsidRDefault="00E94908" w:rsidP="00A01018">
      <w:pPr>
        <w:rPr>
          <w:b/>
        </w:rPr>
      </w:pPr>
    </w:p>
    <w:p w14:paraId="40ED8E20" w14:textId="513F27CE" w:rsidR="00E978E1" w:rsidRPr="00533D50" w:rsidRDefault="00EE256B" w:rsidP="00BD435F">
      <w:pPr>
        <w:rPr>
          <w:b/>
        </w:rPr>
      </w:pPr>
      <w:r w:rsidRPr="00EE256B">
        <w:rPr>
          <w:noProof/>
          <w:lang w:eastAsia="ja-JP"/>
        </w:rPr>
        <w:drawing>
          <wp:inline distT="0" distB="0" distL="0" distR="0" wp14:anchorId="25359308" wp14:editId="7D237A66">
            <wp:extent cx="6840220" cy="6239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40220" cy="6239155"/>
                    </a:xfrm>
                    <a:prstGeom prst="rect">
                      <a:avLst/>
                    </a:prstGeom>
                    <a:noFill/>
                    <a:ln>
                      <a:noFill/>
                    </a:ln>
                  </pic:spPr>
                </pic:pic>
              </a:graphicData>
            </a:graphic>
          </wp:inline>
        </w:drawing>
      </w:r>
    </w:p>
    <w:p w14:paraId="10A3D503" w14:textId="730A15BB" w:rsidR="00E978E1" w:rsidRDefault="00E978E1" w:rsidP="00533D50">
      <w:pPr>
        <w:jc w:val="center"/>
        <w:rPr>
          <w:rFonts w:ascii="Arial" w:eastAsia="SimSun" w:hAnsi="Arial" w:cs="Arial"/>
          <w:bCs/>
          <w:sz w:val="22"/>
          <w:szCs w:val="22"/>
        </w:rPr>
      </w:pPr>
      <w:r>
        <w:br w:type="page"/>
      </w:r>
    </w:p>
    <w:p w14:paraId="24B4CB83" w14:textId="19A1BEB1" w:rsidR="00C17C1C" w:rsidRDefault="00C17C1C" w:rsidP="00C17C1C">
      <w:pPr>
        <w:pStyle w:val="Annex"/>
        <w:pageBreakBefore w:val="0"/>
        <w:spacing w:before="0" w:after="120"/>
        <w:jc w:val="right"/>
        <w:outlineLvl w:val="9"/>
        <w:rPr>
          <w:b w:val="0"/>
        </w:rPr>
      </w:pPr>
      <w:r>
        <w:rPr>
          <w:b w:val="0"/>
        </w:rPr>
        <w:lastRenderedPageBreak/>
        <w:t>Tableau</w:t>
      </w:r>
      <w:r w:rsidR="005D246D">
        <w:rPr>
          <w:b w:val="0"/>
        </w:rPr>
        <w:t> </w:t>
      </w:r>
      <w:r>
        <w:rPr>
          <w:b w:val="0"/>
        </w:rPr>
        <w:t>1.1</w:t>
      </w:r>
    </w:p>
    <w:p w14:paraId="64A3EA74" w14:textId="26CC318E" w:rsidR="00E978E1" w:rsidRDefault="00EE256B" w:rsidP="00D76121">
      <w:pPr>
        <w:jc w:val="center"/>
        <w:rPr>
          <w:rFonts w:ascii="Arial" w:eastAsia="SimSun" w:hAnsi="Arial" w:cs="Arial"/>
          <w:bCs/>
          <w:sz w:val="22"/>
          <w:szCs w:val="22"/>
        </w:rPr>
      </w:pPr>
      <w:r w:rsidRPr="00EE256B">
        <w:rPr>
          <w:rFonts w:eastAsia="SimSun"/>
          <w:noProof/>
          <w:lang w:eastAsia="ja-JP"/>
        </w:rPr>
        <w:drawing>
          <wp:inline distT="0" distB="0" distL="0" distR="0" wp14:anchorId="6C380BA1" wp14:editId="73EC94E4">
            <wp:extent cx="6840220" cy="88178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40220" cy="8817884"/>
                    </a:xfrm>
                    <a:prstGeom prst="rect">
                      <a:avLst/>
                    </a:prstGeom>
                    <a:noFill/>
                    <a:ln>
                      <a:noFill/>
                    </a:ln>
                  </pic:spPr>
                </pic:pic>
              </a:graphicData>
            </a:graphic>
          </wp:inline>
        </w:drawing>
      </w:r>
    </w:p>
    <w:p w14:paraId="635E3814" w14:textId="3573B7D7" w:rsidR="007134E6" w:rsidRDefault="00E978E1">
      <w:pPr>
        <w:pStyle w:val="Annex"/>
        <w:pageBreakBefore w:val="0"/>
        <w:spacing w:before="0" w:after="120"/>
        <w:jc w:val="right"/>
        <w:outlineLvl w:val="9"/>
        <w:rPr>
          <w:b w:val="0"/>
        </w:rPr>
      </w:pPr>
      <w:r>
        <w:rPr>
          <w:b w:val="0"/>
        </w:rPr>
        <w:lastRenderedPageBreak/>
        <w:t>État financier II</w:t>
      </w:r>
    </w:p>
    <w:p w14:paraId="33608C59" w14:textId="77777777" w:rsidR="007134E6" w:rsidRPr="00E155D4" w:rsidRDefault="007134E6" w:rsidP="00E155D4">
      <w:pPr>
        <w:rPr>
          <w:lang w:eastAsia="zh-CN"/>
        </w:rPr>
      </w:pPr>
    </w:p>
    <w:p w14:paraId="2DA5B210" w14:textId="29E3B643" w:rsidR="00E978E1" w:rsidRPr="00533D50" w:rsidRDefault="00EE256B" w:rsidP="00BD435F">
      <w:pPr>
        <w:pStyle w:val="Annex"/>
        <w:pageBreakBefore w:val="0"/>
        <w:spacing w:before="0" w:after="120"/>
        <w:jc w:val="right"/>
        <w:outlineLvl w:val="9"/>
        <w:rPr>
          <w:b w:val="0"/>
        </w:rPr>
      </w:pPr>
      <w:r w:rsidRPr="00EE256B">
        <w:rPr>
          <w:noProof/>
          <w:lang w:eastAsia="ja-JP"/>
        </w:rPr>
        <w:drawing>
          <wp:inline distT="0" distB="0" distL="0" distR="0" wp14:anchorId="66DEC83D" wp14:editId="100B4F95">
            <wp:extent cx="6616700" cy="6685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16700" cy="6685280"/>
                    </a:xfrm>
                    <a:prstGeom prst="rect">
                      <a:avLst/>
                    </a:prstGeom>
                    <a:noFill/>
                    <a:ln>
                      <a:noFill/>
                    </a:ln>
                  </pic:spPr>
                </pic:pic>
              </a:graphicData>
            </a:graphic>
          </wp:inline>
        </w:drawing>
      </w:r>
    </w:p>
    <w:p w14:paraId="274D0A13" w14:textId="77777777" w:rsidR="00E978E1" w:rsidRDefault="00E978E1">
      <w:pPr>
        <w:rPr>
          <w:rFonts w:ascii="Arial" w:eastAsia="SimSun" w:hAnsi="Arial" w:cs="Arial"/>
          <w:bCs/>
          <w:sz w:val="22"/>
          <w:szCs w:val="22"/>
        </w:rPr>
      </w:pPr>
      <w:r>
        <w:br w:type="page"/>
      </w:r>
    </w:p>
    <w:p w14:paraId="1C8823D8" w14:textId="3971C2F8" w:rsidR="00C60EDB" w:rsidRDefault="00E978E1">
      <w:pPr>
        <w:pStyle w:val="Annex"/>
        <w:pageBreakBefore w:val="0"/>
        <w:spacing w:before="0" w:after="120"/>
        <w:jc w:val="right"/>
        <w:outlineLvl w:val="9"/>
        <w:rPr>
          <w:b w:val="0"/>
        </w:rPr>
      </w:pPr>
      <w:r>
        <w:rPr>
          <w:b w:val="0"/>
        </w:rPr>
        <w:lastRenderedPageBreak/>
        <w:t>État financier III</w:t>
      </w:r>
    </w:p>
    <w:p w14:paraId="5C516F2C" w14:textId="77777777" w:rsidR="007134E6" w:rsidRPr="00E155D4" w:rsidRDefault="007134E6" w:rsidP="00E155D4">
      <w:pPr>
        <w:rPr>
          <w:lang w:eastAsia="zh-CN"/>
        </w:rPr>
      </w:pPr>
    </w:p>
    <w:p w14:paraId="25571441" w14:textId="74A55C34" w:rsidR="00E978E1" w:rsidRPr="00BD435F" w:rsidRDefault="00EE256B" w:rsidP="00BD435F">
      <w:pPr>
        <w:jc w:val="center"/>
        <w:rPr>
          <w:lang w:eastAsia="zh-CN"/>
        </w:rPr>
      </w:pPr>
      <w:r w:rsidRPr="00EE256B">
        <w:rPr>
          <w:noProof/>
          <w:lang w:eastAsia="ja-JP"/>
        </w:rPr>
        <w:drawing>
          <wp:inline distT="0" distB="0" distL="0" distR="0" wp14:anchorId="748DDD66" wp14:editId="286F9AA2">
            <wp:extent cx="6840220" cy="73168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840220" cy="7316818"/>
                    </a:xfrm>
                    <a:prstGeom prst="rect">
                      <a:avLst/>
                    </a:prstGeom>
                    <a:noFill/>
                    <a:ln>
                      <a:noFill/>
                    </a:ln>
                  </pic:spPr>
                </pic:pic>
              </a:graphicData>
            </a:graphic>
          </wp:inline>
        </w:drawing>
      </w:r>
      <w:r w:rsidR="000C3AA4" w:rsidRPr="000C3AA4" w:rsidDel="000C3AA4">
        <w:t xml:space="preserve"> </w:t>
      </w:r>
    </w:p>
    <w:p w14:paraId="29063FA7" w14:textId="77777777" w:rsidR="00E978E1" w:rsidRDefault="00E978E1">
      <w:pPr>
        <w:rPr>
          <w:rFonts w:ascii="Arial" w:eastAsia="SimSun" w:hAnsi="Arial" w:cs="Arial"/>
          <w:bCs/>
          <w:sz w:val="22"/>
          <w:szCs w:val="22"/>
        </w:rPr>
      </w:pPr>
      <w:r>
        <w:br w:type="page"/>
      </w:r>
    </w:p>
    <w:p w14:paraId="0518098A" w14:textId="23D6E35B" w:rsidR="00E978E1" w:rsidRDefault="00E978E1" w:rsidP="00533D50">
      <w:pPr>
        <w:pStyle w:val="COMPara"/>
        <w:numPr>
          <w:ilvl w:val="0"/>
          <w:numId w:val="0"/>
        </w:numPr>
        <w:tabs>
          <w:tab w:val="left" w:pos="567"/>
        </w:tabs>
        <w:spacing w:before="360" w:after="240"/>
        <w:ind w:left="720"/>
        <w:jc w:val="center"/>
        <w:rPr>
          <w:b/>
          <w:u w:val="single"/>
        </w:rPr>
      </w:pPr>
      <w:r>
        <w:rPr>
          <w:b/>
          <w:u w:val="single"/>
        </w:rPr>
        <w:lastRenderedPageBreak/>
        <w:t>ANNEXE II</w:t>
      </w:r>
    </w:p>
    <w:p w14:paraId="123E9157" w14:textId="4BB2F6C5" w:rsidR="00D92600" w:rsidRPr="00A01018" w:rsidRDefault="00EE256B" w:rsidP="00E978E1">
      <w:pPr>
        <w:pStyle w:val="COMPara"/>
        <w:numPr>
          <w:ilvl w:val="0"/>
          <w:numId w:val="0"/>
        </w:numPr>
        <w:tabs>
          <w:tab w:val="left" w:pos="567"/>
        </w:tabs>
        <w:spacing w:before="360" w:after="240"/>
        <w:ind w:left="720"/>
        <w:jc w:val="center"/>
        <w:rPr>
          <w:b/>
          <w:u w:val="single"/>
        </w:rPr>
      </w:pPr>
      <w:r w:rsidRPr="00EE256B">
        <w:rPr>
          <w:noProof/>
          <w:lang w:eastAsia="ja-JP"/>
        </w:rPr>
        <w:drawing>
          <wp:inline distT="0" distB="0" distL="0" distR="0" wp14:anchorId="1D628803" wp14:editId="038E214E">
            <wp:extent cx="5883275" cy="539178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83275" cy="5391785"/>
                    </a:xfrm>
                    <a:prstGeom prst="rect">
                      <a:avLst/>
                    </a:prstGeom>
                    <a:noFill/>
                    <a:ln>
                      <a:noFill/>
                    </a:ln>
                  </pic:spPr>
                </pic:pic>
              </a:graphicData>
            </a:graphic>
          </wp:inline>
        </w:drawing>
      </w:r>
      <w:r w:rsidR="000C3AA4" w:rsidRPr="000C3AA4" w:rsidDel="000C3AA4">
        <w:t xml:space="preserve"> </w:t>
      </w:r>
    </w:p>
    <w:p w14:paraId="3DED2320" w14:textId="12D0A97D" w:rsidR="00E978E1" w:rsidRPr="00533D50" w:rsidRDefault="00C17C1C">
      <w:pPr>
        <w:rPr>
          <w:rFonts w:ascii="Arial" w:hAnsi="Arial" w:cs="Arial"/>
          <w:b/>
          <w:snapToGrid w:val="0"/>
          <w:sz w:val="22"/>
          <w:szCs w:val="22"/>
          <w:u w:val="single"/>
        </w:rPr>
      </w:pPr>
      <w:r>
        <w:br w:type="page"/>
      </w:r>
    </w:p>
    <w:p w14:paraId="405904F0" w14:textId="77777777" w:rsidR="00BB4BC8" w:rsidRDefault="00BB4BC8" w:rsidP="00E978E1">
      <w:pPr>
        <w:pStyle w:val="COMPara"/>
        <w:numPr>
          <w:ilvl w:val="0"/>
          <w:numId w:val="0"/>
        </w:numPr>
        <w:tabs>
          <w:tab w:val="left" w:pos="567"/>
        </w:tabs>
        <w:spacing w:before="360" w:after="240"/>
        <w:ind w:left="360"/>
        <w:jc w:val="center"/>
        <w:rPr>
          <w:b/>
          <w:u w:val="single"/>
        </w:rPr>
        <w:sectPr w:rsidR="00BB4BC8" w:rsidSect="00200D9F">
          <w:headerReference w:type="first" r:id="rId38"/>
          <w:pgSz w:w="11906" w:h="16838" w:code="9"/>
          <w:pgMar w:top="1418" w:right="567" w:bottom="1134" w:left="567" w:header="397" w:footer="284" w:gutter="0"/>
          <w:cols w:space="708"/>
          <w:docGrid w:linePitch="360"/>
        </w:sectPr>
      </w:pPr>
    </w:p>
    <w:p w14:paraId="3B8D6325" w14:textId="77777777" w:rsidR="004609A7" w:rsidRDefault="00E978E1" w:rsidP="00D76121">
      <w:pPr>
        <w:pStyle w:val="COMPara"/>
        <w:numPr>
          <w:ilvl w:val="0"/>
          <w:numId w:val="0"/>
        </w:numPr>
        <w:tabs>
          <w:tab w:val="left" w:pos="567"/>
        </w:tabs>
        <w:spacing w:before="360" w:after="240"/>
        <w:jc w:val="center"/>
        <w:rPr>
          <w:b/>
          <w:u w:val="single"/>
        </w:rPr>
      </w:pPr>
      <w:r>
        <w:rPr>
          <w:b/>
          <w:u w:val="single"/>
        </w:rPr>
        <w:lastRenderedPageBreak/>
        <w:t>ANNEXE III</w:t>
      </w:r>
    </w:p>
    <w:p w14:paraId="6635D03C" w14:textId="092D86EE" w:rsidR="004609A7" w:rsidRDefault="00EE256B" w:rsidP="00D76121">
      <w:pPr>
        <w:pStyle w:val="COMPara"/>
        <w:numPr>
          <w:ilvl w:val="0"/>
          <w:numId w:val="0"/>
        </w:numPr>
        <w:tabs>
          <w:tab w:val="left" w:pos="567"/>
        </w:tabs>
        <w:spacing w:before="360" w:after="240"/>
        <w:jc w:val="center"/>
        <w:rPr>
          <w:b/>
          <w:u w:val="single"/>
        </w:rPr>
      </w:pPr>
      <w:r w:rsidRPr="00EE256B">
        <w:rPr>
          <w:noProof/>
          <w:lang w:eastAsia="ja-JP"/>
        </w:rPr>
        <w:drawing>
          <wp:inline distT="0" distB="0" distL="0" distR="0" wp14:anchorId="73DC6DA5" wp14:editId="7C571B90">
            <wp:extent cx="9354821" cy="55898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359020" cy="5592389"/>
                    </a:xfrm>
                    <a:prstGeom prst="rect">
                      <a:avLst/>
                    </a:prstGeom>
                    <a:noFill/>
                    <a:ln>
                      <a:noFill/>
                    </a:ln>
                  </pic:spPr>
                </pic:pic>
              </a:graphicData>
            </a:graphic>
          </wp:inline>
        </w:drawing>
      </w:r>
      <w:r w:rsidR="00745CD2" w:rsidRPr="00745CD2" w:rsidDel="00745CD2">
        <w:t xml:space="preserve"> </w:t>
      </w:r>
    </w:p>
    <w:p w14:paraId="0A3C6A47" w14:textId="724EEA0E" w:rsidR="00E978E1" w:rsidRDefault="00E978E1" w:rsidP="00533D50">
      <w:pPr>
        <w:pStyle w:val="COMPara"/>
        <w:numPr>
          <w:ilvl w:val="0"/>
          <w:numId w:val="0"/>
        </w:numPr>
        <w:tabs>
          <w:tab w:val="left" w:pos="567"/>
        </w:tabs>
        <w:spacing w:before="360" w:after="240"/>
        <w:ind w:left="720" w:hanging="360"/>
        <w:jc w:val="center"/>
        <w:rPr>
          <w:b/>
          <w:u w:val="single"/>
        </w:rPr>
      </w:pPr>
      <w:bookmarkStart w:id="0" w:name="_GoBack"/>
      <w:bookmarkEnd w:id="0"/>
      <w:r>
        <w:rPr>
          <w:b/>
          <w:u w:val="single"/>
        </w:rPr>
        <w:lastRenderedPageBreak/>
        <w:t>ANNEXE IV</w:t>
      </w:r>
    </w:p>
    <w:p w14:paraId="58760CC0" w14:textId="51848945" w:rsidR="00C01E07" w:rsidRDefault="00EE256B" w:rsidP="00533D50">
      <w:pPr>
        <w:pStyle w:val="COMPara"/>
        <w:numPr>
          <w:ilvl w:val="0"/>
          <w:numId w:val="0"/>
        </w:numPr>
        <w:tabs>
          <w:tab w:val="left" w:pos="567"/>
        </w:tabs>
        <w:spacing w:before="360" w:after="240"/>
        <w:ind w:left="720" w:hanging="360"/>
        <w:jc w:val="center"/>
        <w:rPr>
          <w:b/>
          <w:u w:val="single"/>
        </w:rPr>
      </w:pPr>
      <w:r w:rsidRPr="00EE256B">
        <w:rPr>
          <w:noProof/>
          <w:lang w:eastAsia="ja-JP"/>
        </w:rPr>
        <w:drawing>
          <wp:inline distT="0" distB="0" distL="0" distR="0" wp14:anchorId="1DD3E299" wp14:editId="16BE8A13">
            <wp:extent cx="8764270" cy="41325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764270" cy="4132580"/>
                    </a:xfrm>
                    <a:prstGeom prst="rect">
                      <a:avLst/>
                    </a:prstGeom>
                    <a:noFill/>
                    <a:ln>
                      <a:noFill/>
                    </a:ln>
                  </pic:spPr>
                </pic:pic>
              </a:graphicData>
            </a:graphic>
          </wp:inline>
        </w:drawing>
      </w:r>
    </w:p>
    <w:p w14:paraId="36B08AC4" w14:textId="6B1A0B45" w:rsidR="00E978E1" w:rsidRPr="00BB2DEA" w:rsidRDefault="00E978E1" w:rsidP="00E978E1">
      <w:pPr>
        <w:pStyle w:val="Annex"/>
        <w:pageBreakBefore w:val="0"/>
        <w:spacing w:before="0" w:after="120"/>
        <w:jc w:val="right"/>
        <w:outlineLvl w:val="9"/>
        <w:rPr>
          <w:b w:val="0"/>
        </w:rPr>
      </w:pPr>
    </w:p>
    <w:p w14:paraId="63023F10" w14:textId="7DD2E405" w:rsidR="00E978E1" w:rsidRPr="005D246D" w:rsidRDefault="00E978E1" w:rsidP="00E978E1">
      <w:pPr>
        <w:rPr>
          <w:rFonts w:ascii="Arial" w:hAnsi="Arial" w:cs="Arial"/>
          <w:sz w:val="20"/>
          <w:szCs w:val="20"/>
          <w:lang w:val="en-GB" w:eastAsia="zh-CN"/>
        </w:rPr>
      </w:pPr>
    </w:p>
    <w:p w14:paraId="1E8290F3" w14:textId="6927EE20" w:rsidR="00E978E1" w:rsidRPr="005D246D" w:rsidRDefault="00E978E1" w:rsidP="00E978E1">
      <w:pPr>
        <w:rPr>
          <w:rFonts w:ascii="Arial" w:hAnsi="Arial" w:cs="Arial"/>
          <w:sz w:val="20"/>
          <w:szCs w:val="20"/>
          <w:lang w:val="en-GB" w:eastAsia="zh-CN"/>
        </w:rPr>
      </w:pPr>
    </w:p>
    <w:p w14:paraId="171BA124" w14:textId="77777777" w:rsidR="00BF1B64" w:rsidRPr="005D246D" w:rsidRDefault="00BF1B64" w:rsidP="006543DB">
      <w:pPr>
        <w:pStyle w:val="COMPara"/>
        <w:numPr>
          <w:ilvl w:val="0"/>
          <w:numId w:val="0"/>
        </w:numPr>
        <w:ind w:left="567" w:hanging="567"/>
        <w:jc w:val="both"/>
        <w:rPr>
          <w:sz w:val="20"/>
          <w:szCs w:val="20"/>
        </w:rPr>
      </w:pPr>
    </w:p>
    <w:sectPr w:rsidR="00BF1B64" w:rsidRPr="005D246D" w:rsidSect="00533D50">
      <w:headerReference w:type="first" r:id="rId41"/>
      <w:footerReference w:type="first" r:id="rId42"/>
      <w:pgSz w:w="16838" w:h="11906" w:orient="landscape" w:code="9"/>
      <w:pgMar w:top="1134" w:right="678" w:bottom="1134" w:left="567"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6563B9" w16cid:durableId="215083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66B36" w14:textId="77777777" w:rsidR="0021305B" w:rsidRDefault="0021305B" w:rsidP="00655736">
      <w:r>
        <w:separator/>
      </w:r>
    </w:p>
  </w:endnote>
  <w:endnote w:type="continuationSeparator" w:id="0">
    <w:p w14:paraId="0A017F64" w14:textId="77777777" w:rsidR="0021305B" w:rsidRDefault="0021305B"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54724" w14:textId="77777777" w:rsidR="00C60EDB" w:rsidRDefault="00C60E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0093F" w14:textId="77777777" w:rsidR="0021305B" w:rsidRDefault="0021305B" w:rsidP="00655736">
      <w:r>
        <w:separator/>
      </w:r>
    </w:p>
  </w:footnote>
  <w:footnote w:type="continuationSeparator" w:id="0">
    <w:p w14:paraId="7BB1D807" w14:textId="77777777" w:rsidR="0021305B" w:rsidRDefault="0021305B" w:rsidP="00655736">
      <w:r>
        <w:continuationSeparator/>
      </w:r>
    </w:p>
  </w:footnote>
  <w:footnote w:id="1">
    <w:p w14:paraId="4FC8A890" w14:textId="5EE45938" w:rsidR="006543DB" w:rsidRPr="004F251A" w:rsidRDefault="006543DB" w:rsidP="006543DB">
      <w:pPr>
        <w:pStyle w:val="Notedebasdepage"/>
        <w:spacing w:before="60" w:after="60"/>
        <w:ind w:left="567" w:hanging="567"/>
        <w:jc w:val="both"/>
        <w:rPr>
          <w:rFonts w:ascii="Arial" w:hAnsi="Arial" w:cs="Arial"/>
          <w:sz w:val="18"/>
        </w:rPr>
      </w:pPr>
      <w:r w:rsidRPr="000E550A">
        <w:rPr>
          <w:rStyle w:val="Appelnotedebasdep"/>
          <w:rFonts w:ascii="Arial" w:hAnsi="Arial" w:cs="Arial"/>
          <w:sz w:val="18"/>
          <w:lang w:val="en-GB"/>
        </w:rPr>
        <w:footnoteRef/>
      </w:r>
      <w:r w:rsidRPr="000E550A">
        <w:rPr>
          <w:rFonts w:ascii="Arial" w:hAnsi="Arial"/>
          <w:sz w:val="18"/>
          <w:vertAlign w:val="superscript"/>
        </w:rPr>
        <w:t>.</w:t>
      </w:r>
      <w:r>
        <w:rPr>
          <w:rFonts w:ascii="Arial" w:hAnsi="Arial"/>
          <w:sz w:val="18"/>
        </w:rPr>
        <w:tab/>
        <w:t>Chiffres arrondis au dollar supérieur par rapport à l’état financier I, pages 6-7.</w:t>
      </w:r>
    </w:p>
  </w:footnote>
  <w:footnote w:id="2">
    <w:p w14:paraId="5FF78DD4" w14:textId="77777777" w:rsidR="006543DB" w:rsidRPr="004F251A" w:rsidRDefault="006543DB" w:rsidP="006543DB">
      <w:pPr>
        <w:pStyle w:val="Paragraph"/>
        <w:tabs>
          <w:tab w:val="left" w:pos="0"/>
        </w:tabs>
        <w:spacing w:before="60" w:after="60"/>
        <w:ind w:left="567" w:hanging="567"/>
        <w:rPr>
          <w:bCs w:val="0"/>
          <w:sz w:val="18"/>
          <w:szCs w:val="20"/>
        </w:rPr>
      </w:pPr>
      <w:r w:rsidRPr="000E550A">
        <w:rPr>
          <w:rStyle w:val="Appelnotedebasdep"/>
          <w:rFonts w:eastAsia="MS Mincho"/>
          <w:bCs w:val="0"/>
          <w:sz w:val="18"/>
          <w:szCs w:val="20"/>
        </w:rPr>
        <w:footnoteRef/>
      </w:r>
      <w:r w:rsidRPr="000E550A">
        <w:rPr>
          <w:bCs w:val="0"/>
          <w:sz w:val="18"/>
          <w:szCs w:val="20"/>
          <w:vertAlign w:val="superscript"/>
        </w:rPr>
        <w:t>.</w:t>
      </w:r>
      <w:r>
        <w:rPr>
          <w:bCs w:val="0"/>
          <w:sz w:val="18"/>
          <w:szCs w:val="20"/>
        </w:rPr>
        <w:tab/>
        <w:t xml:space="preserve">Dans l’état financier I, les contributions </w:t>
      </w:r>
      <w:r>
        <w:rPr>
          <w:bCs w:val="0"/>
          <w:color w:val="auto"/>
          <w:sz w:val="18"/>
          <w:szCs w:val="20"/>
        </w:rPr>
        <w:t xml:space="preserve">obligatoires pour la période 2018-2019 figurent en tant que recettes, qu’elles aient été perçues ou non ; dans l’état financier II, le montant impayé dû par les États parties au 30 juin 2019 était de 1 435 058 dollars des États-Unis. </w:t>
      </w:r>
      <w:r>
        <w:rPr>
          <w:bCs w:val="0"/>
          <w:sz w:val="18"/>
          <w:szCs w:val="20"/>
        </w:rPr>
        <w:t>Les contributions volontaires apparaissent comme recettes à la date de leur réception seulement.</w:t>
      </w:r>
    </w:p>
  </w:footnote>
  <w:footnote w:id="3">
    <w:p w14:paraId="3708DEF9" w14:textId="3F21E7DC" w:rsidR="006543DB" w:rsidRPr="004F251A" w:rsidRDefault="006543DB" w:rsidP="006543DB">
      <w:pPr>
        <w:pStyle w:val="Notedebasdepage"/>
        <w:ind w:left="567" w:hanging="567"/>
        <w:jc w:val="both"/>
        <w:rPr>
          <w:rFonts w:ascii="Arial" w:eastAsia="MS Mincho" w:hAnsi="Arial" w:cs="Arial"/>
          <w:sz w:val="18"/>
        </w:rPr>
      </w:pPr>
      <w:r w:rsidRPr="000E550A">
        <w:rPr>
          <w:rStyle w:val="Appelnotedebasdep"/>
          <w:rFonts w:ascii="Arial" w:hAnsi="Arial" w:cs="Arial"/>
          <w:sz w:val="18"/>
          <w:lang w:val="en-GB"/>
        </w:rPr>
        <w:footnoteRef/>
      </w:r>
      <w:r w:rsidRPr="000E550A">
        <w:rPr>
          <w:rFonts w:ascii="Arial" w:hAnsi="Arial"/>
          <w:sz w:val="18"/>
          <w:vertAlign w:val="superscript"/>
        </w:rPr>
        <w:t>.</w:t>
      </w:r>
      <w:r>
        <w:rPr>
          <w:rFonts w:ascii="Arial" w:hAnsi="Arial"/>
          <w:sz w:val="18"/>
        </w:rPr>
        <w:tab/>
        <w:t xml:space="preserve">Depuis sa création en 2010 jusqu’au 30 juin 2019, le sous-fonds – destiné exclusivement au renforcement des capacités humaines du Secrétariat – a reçu des contributions s’élevant à un total de </w:t>
      </w:r>
      <w:r w:rsidRPr="00650AE7">
        <w:rPr>
          <w:rFonts w:ascii="Arial" w:hAnsi="Arial"/>
          <w:sz w:val="18"/>
        </w:rPr>
        <w:t>1</w:t>
      </w:r>
      <w:r w:rsidR="002A2545" w:rsidRPr="00650AE7">
        <w:rPr>
          <w:rFonts w:ascii="Arial" w:hAnsi="Arial"/>
          <w:sz w:val="18"/>
        </w:rPr>
        <w:t>,</w:t>
      </w:r>
      <w:r w:rsidRPr="00650AE7">
        <w:rPr>
          <w:rFonts w:ascii="Arial" w:hAnsi="Arial"/>
          <w:sz w:val="18"/>
        </w:rPr>
        <w:t>5</w:t>
      </w:r>
      <w:r w:rsidR="00EF16AA" w:rsidRPr="00650AE7">
        <w:rPr>
          <w:rFonts w:ascii="Arial" w:hAnsi="Arial"/>
          <w:sz w:val="18"/>
        </w:rPr>
        <w:t xml:space="preserve"> </w:t>
      </w:r>
      <w:r w:rsidR="001B5944" w:rsidRPr="00650AE7">
        <w:rPr>
          <w:rFonts w:ascii="Arial" w:hAnsi="Arial"/>
          <w:sz w:val="18"/>
        </w:rPr>
        <w:t>million</w:t>
      </w:r>
      <w:r w:rsidR="00EF16AA" w:rsidRPr="00650AE7">
        <w:rPr>
          <w:rFonts w:ascii="Arial" w:hAnsi="Arial"/>
          <w:sz w:val="18"/>
        </w:rPr>
        <w:t xml:space="preserve"> de</w:t>
      </w:r>
      <w:r w:rsidR="001B5944" w:rsidRPr="00650AE7">
        <w:rPr>
          <w:rFonts w:ascii="Arial" w:hAnsi="Arial"/>
          <w:sz w:val="18"/>
        </w:rPr>
        <w:t xml:space="preserve"> </w:t>
      </w:r>
      <w:r w:rsidRPr="00650AE7">
        <w:rPr>
          <w:rFonts w:ascii="Arial" w:hAnsi="Arial"/>
          <w:sz w:val="18"/>
        </w:rPr>
        <w:t>dollars des États-Unis</w:t>
      </w:r>
      <w:r w:rsidRPr="00496CB6">
        <w:rPr>
          <w:rFonts w:ascii="Arial" w:hAnsi="Arial"/>
          <w:sz w:val="18"/>
        </w:rPr>
        <w:t>.</w:t>
      </w:r>
    </w:p>
  </w:footnote>
  <w:footnote w:id="4">
    <w:p w14:paraId="6A5ED1F1" w14:textId="77777777" w:rsidR="006543DB" w:rsidRPr="004F251A" w:rsidRDefault="006543DB" w:rsidP="006543DB">
      <w:pPr>
        <w:pStyle w:val="Notedebasdepage"/>
        <w:ind w:left="567" w:hanging="567"/>
        <w:jc w:val="both"/>
        <w:rPr>
          <w:rFonts w:ascii="Arial" w:hAnsi="Arial" w:cs="Arial"/>
          <w:sz w:val="18"/>
        </w:rPr>
      </w:pPr>
      <w:r w:rsidRPr="00B8181A">
        <w:rPr>
          <w:rStyle w:val="Appelnotedebasdep"/>
          <w:rFonts w:ascii="Arial" w:hAnsi="Arial" w:cs="Arial"/>
          <w:sz w:val="18"/>
          <w:lang w:val="en-GB"/>
        </w:rPr>
        <w:footnoteRef/>
      </w:r>
      <w:r w:rsidRPr="00B8181A">
        <w:rPr>
          <w:rFonts w:ascii="Arial" w:hAnsi="Arial"/>
          <w:sz w:val="18"/>
          <w:vertAlign w:val="superscript"/>
        </w:rPr>
        <w:t>.</w:t>
      </w:r>
      <w:r>
        <w:rPr>
          <w:rFonts w:ascii="Arial" w:hAnsi="Arial"/>
          <w:sz w:val="18"/>
        </w:rPr>
        <w:tab/>
        <w:t>Chiffres arrondis au dollar supérieur par rapport à l’état financier I, pages 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80C6" w14:textId="4270411E" w:rsidR="00C37F14" w:rsidRPr="00CE1359" w:rsidRDefault="00C5776D" w:rsidP="00CE1359">
    <w:pPr>
      <w:pStyle w:val="En-tte"/>
      <w:rPr>
        <w:rFonts w:ascii="Arial" w:hAnsi="Arial" w:cs="Arial"/>
      </w:rPr>
    </w:pPr>
    <w:r>
      <w:rPr>
        <w:rFonts w:ascii="Arial" w:hAnsi="Arial"/>
        <w:sz w:val="20"/>
        <w:szCs w:val="20"/>
      </w:rPr>
      <w:t xml:space="preserve">LHE/19/14.COM/INF.7 – page </w:t>
    </w:r>
    <w:r w:rsidR="00D95C4C" w:rsidRPr="00C23A97">
      <w:rPr>
        <w:rStyle w:val="Numrodepage"/>
        <w:rFonts w:ascii="Arial" w:hAnsi="Arial" w:cs="Arial"/>
        <w:sz w:val="20"/>
        <w:szCs w:val="20"/>
      </w:rPr>
      <w:fldChar w:fldCharType="begin"/>
    </w:r>
    <w:r w:rsidR="00D95C4C" w:rsidRPr="00C23A97">
      <w:rPr>
        <w:rStyle w:val="Numrodepage"/>
        <w:rFonts w:ascii="Arial" w:hAnsi="Arial" w:cs="Arial"/>
        <w:sz w:val="20"/>
        <w:szCs w:val="20"/>
      </w:rPr>
      <w:instrText xml:space="preserve"> PAGE </w:instrText>
    </w:r>
    <w:r w:rsidR="00D95C4C" w:rsidRPr="00C23A97">
      <w:rPr>
        <w:rStyle w:val="Numrodepage"/>
        <w:rFonts w:ascii="Arial" w:hAnsi="Arial" w:cs="Arial"/>
        <w:sz w:val="20"/>
        <w:szCs w:val="20"/>
      </w:rPr>
      <w:fldChar w:fldCharType="separate"/>
    </w:r>
    <w:r w:rsidR="0002488C">
      <w:rPr>
        <w:rStyle w:val="Numrodepage"/>
        <w:rFonts w:ascii="Arial" w:hAnsi="Arial" w:cs="Arial"/>
        <w:noProof/>
        <w:sz w:val="20"/>
        <w:szCs w:val="20"/>
      </w:rPr>
      <w:t>12</w:t>
    </w:r>
    <w:r w:rsidR="00D95C4C" w:rsidRPr="00C23A97">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3C63" w14:textId="5D65759A" w:rsidR="00C37F14" w:rsidRPr="00BD435F" w:rsidRDefault="00C5776D" w:rsidP="00BD435F">
    <w:pPr>
      <w:pStyle w:val="En-tte"/>
      <w:jc w:val="right"/>
      <w:rPr>
        <w:rFonts w:ascii="Arial" w:hAnsi="Arial" w:cs="Arial"/>
      </w:rPr>
    </w:pPr>
    <w:r>
      <w:rPr>
        <w:rFonts w:ascii="Arial" w:hAnsi="Arial"/>
        <w:sz w:val="20"/>
        <w:szCs w:val="20"/>
      </w:rPr>
      <w:t xml:space="preserve">LHE/19/14.COM/INF.7 – page </w:t>
    </w:r>
    <w:r w:rsidR="004A34A0" w:rsidRPr="0063300C">
      <w:rPr>
        <w:rStyle w:val="Numrodepage"/>
        <w:rFonts w:ascii="Arial" w:hAnsi="Arial" w:cs="Arial"/>
        <w:sz w:val="20"/>
        <w:szCs w:val="20"/>
      </w:rPr>
      <w:fldChar w:fldCharType="begin"/>
    </w:r>
    <w:r w:rsidR="004A34A0" w:rsidRPr="0063300C">
      <w:rPr>
        <w:rStyle w:val="Numrodepage"/>
        <w:rFonts w:ascii="Arial" w:hAnsi="Arial" w:cs="Arial"/>
        <w:sz w:val="20"/>
        <w:szCs w:val="20"/>
      </w:rPr>
      <w:instrText xml:space="preserve"> PAGE </w:instrText>
    </w:r>
    <w:r w:rsidR="004A34A0" w:rsidRPr="0063300C">
      <w:rPr>
        <w:rStyle w:val="Numrodepage"/>
        <w:rFonts w:ascii="Arial" w:hAnsi="Arial" w:cs="Arial"/>
        <w:sz w:val="20"/>
        <w:szCs w:val="20"/>
      </w:rPr>
      <w:fldChar w:fldCharType="separate"/>
    </w:r>
    <w:r w:rsidR="0002488C">
      <w:rPr>
        <w:rStyle w:val="Numrodepage"/>
        <w:rFonts w:ascii="Arial" w:hAnsi="Arial" w:cs="Arial"/>
        <w:noProof/>
        <w:sz w:val="20"/>
        <w:szCs w:val="20"/>
      </w:rPr>
      <w:t>9</w:t>
    </w:r>
    <w:r w:rsidR="004A34A0" w:rsidRPr="0063300C">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65B6" w14:textId="27015D4C" w:rsidR="00D95C4C" w:rsidRPr="00E95AE2" w:rsidRDefault="00BD435F">
    <w:pPr>
      <w:pStyle w:val="En-tte"/>
      <w:rPr>
        <w:sz w:val="22"/>
        <w:szCs w:val="22"/>
      </w:rPr>
    </w:pPr>
    <w:r>
      <w:rPr>
        <w:noProof/>
        <w:lang w:eastAsia="ja-JP"/>
      </w:rPr>
      <w:drawing>
        <wp:anchor distT="0" distB="0" distL="114300" distR="114300" simplePos="0" relativeHeight="251659264" behindDoc="0" locked="0" layoutInCell="1" allowOverlap="1" wp14:anchorId="7A6502B3" wp14:editId="5235B0E0">
          <wp:simplePos x="0" y="0"/>
          <wp:positionH relativeFrom="page">
            <wp:posOffset>342265</wp:posOffset>
          </wp:positionH>
          <wp:positionV relativeFrom="page">
            <wp:posOffset>255905</wp:posOffset>
          </wp:positionV>
          <wp:extent cx="2037600" cy="1530000"/>
          <wp:effectExtent l="0" t="0" r="1270" b="0"/>
          <wp:wrapNone/>
          <wp:docPr id="4" name="Picture 1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2FCDE" w14:textId="77777777" w:rsidR="00D95C4C" w:rsidRPr="00F30DC6" w:rsidRDefault="00337CEB" w:rsidP="00C5776D">
    <w:pPr>
      <w:pStyle w:val="En-tte"/>
      <w:spacing w:after="520"/>
      <w:jc w:val="right"/>
      <w:rPr>
        <w:rFonts w:ascii="Arial" w:hAnsi="Arial" w:cs="Arial"/>
        <w:b/>
        <w:sz w:val="44"/>
        <w:szCs w:val="44"/>
      </w:rPr>
    </w:pPr>
    <w:r>
      <w:rPr>
        <w:rFonts w:ascii="Arial" w:hAnsi="Arial"/>
        <w:b/>
        <w:sz w:val="44"/>
        <w:szCs w:val="44"/>
      </w:rPr>
      <w:t>14 COM</w:t>
    </w:r>
  </w:p>
  <w:p w14:paraId="2F1B8CF8" w14:textId="77777777" w:rsidR="00D95C4C" w:rsidRPr="009D5428" w:rsidRDefault="00C5776D" w:rsidP="00C5776D">
    <w:pPr>
      <w:jc w:val="right"/>
      <w:rPr>
        <w:rFonts w:ascii="Arial" w:hAnsi="Arial" w:cs="Arial"/>
        <w:b/>
        <w:sz w:val="22"/>
        <w:szCs w:val="22"/>
      </w:rPr>
    </w:pPr>
    <w:r w:rsidRPr="00496CB6">
      <w:rPr>
        <w:rFonts w:ascii="Arial" w:hAnsi="Arial"/>
        <w:b/>
        <w:sz w:val="22"/>
        <w:szCs w:val="22"/>
      </w:rPr>
      <w:t>LHE/19/14.COM/INF.</w:t>
    </w:r>
    <w:r w:rsidRPr="00650AE7">
      <w:rPr>
        <w:rFonts w:ascii="Arial" w:hAnsi="Arial"/>
        <w:b/>
        <w:sz w:val="22"/>
        <w:szCs w:val="22"/>
      </w:rPr>
      <w:t>7</w:t>
    </w:r>
  </w:p>
  <w:p w14:paraId="4EFBC209" w14:textId="2B26C706" w:rsidR="00D95C4C" w:rsidRPr="00337CEB" w:rsidRDefault="00D95C4C" w:rsidP="00655736">
    <w:pPr>
      <w:jc w:val="right"/>
      <w:rPr>
        <w:rFonts w:ascii="Arial" w:eastAsiaTheme="minorEastAsia" w:hAnsi="Arial" w:cs="Arial"/>
        <w:b/>
        <w:sz w:val="22"/>
        <w:szCs w:val="22"/>
      </w:rPr>
    </w:pPr>
    <w:r>
      <w:rPr>
        <w:rFonts w:ascii="Arial" w:hAnsi="Arial"/>
        <w:b/>
        <w:sz w:val="22"/>
        <w:szCs w:val="22"/>
      </w:rPr>
      <w:t xml:space="preserve">Paris, </w:t>
    </w:r>
    <w:r w:rsidR="0062225B">
      <w:rPr>
        <w:rFonts w:ascii="Arial" w:hAnsi="Arial"/>
        <w:b/>
        <w:sz w:val="22"/>
        <w:szCs w:val="22"/>
      </w:rPr>
      <w:t xml:space="preserve">le </w:t>
    </w:r>
    <w:r w:rsidR="00496CB6">
      <w:rPr>
        <w:rFonts w:ascii="Arial" w:hAnsi="Arial"/>
        <w:b/>
        <w:sz w:val="22"/>
        <w:szCs w:val="22"/>
      </w:rPr>
      <w:t>8 novembre</w:t>
    </w:r>
    <w:r>
      <w:rPr>
        <w:rFonts w:ascii="Arial" w:hAnsi="Arial"/>
        <w:b/>
        <w:sz w:val="22"/>
        <w:szCs w:val="22"/>
      </w:rPr>
      <w:t xml:space="preserve"> 2019</w:t>
    </w:r>
  </w:p>
  <w:p w14:paraId="2B4FB919" w14:textId="77777777" w:rsidR="00D95C4C" w:rsidRPr="00F32C23" w:rsidRDefault="00D95C4C" w:rsidP="000048ED">
    <w:pPr>
      <w:jc w:val="right"/>
      <w:rPr>
        <w:rFonts w:ascii="Arial" w:hAnsi="Arial" w:cs="Arial"/>
        <w:b/>
        <w:sz w:val="22"/>
        <w:szCs w:val="22"/>
      </w:rPr>
    </w:pPr>
    <w:r>
      <w:rPr>
        <w:rFonts w:ascii="Arial" w:hAnsi="Arial"/>
        <w:b/>
        <w:sz w:val="22"/>
        <w:szCs w:val="22"/>
      </w:rPr>
      <w:t>Original : anglais</w:t>
    </w:r>
  </w:p>
  <w:p w14:paraId="2C7CC827" w14:textId="77777777" w:rsidR="00D95C4C" w:rsidRPr="00650AE7" w:rsidRDefault="00D95C4C">
    <w:pPr>
      <w:pStyle w:val="En-tte"/>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81062" w14:textId="77777777" w:rsidR="00200D9F" w:rsidRPr="00E95AE2" w:rsidRDefault="00200D9F">
    <w:pPr>
      <w:pStyle w:val="En-tte"/>
      <w:rPr>
        <w:sz w:val="22"/>
        <w:szCs w:val="22"/>
      </w:rPr>
    </w:pPr>
    <w:r>
      <w:rPr>
        <w:noProof/>
        <w:lang w:eastAsia="ja-JP"/>
      </w:rPr>
      <w:drawing>
        <wp:anchor distT="0" distB="0" distL="114300" distR="114300" simplePos="0" relativeHeight="251661312" behindDoc="0" locked="0" layoutInCell="1" allowOverlap="1" wp14:anchorId="0E57D58A" wp14:editId="5AA7CB4D">
          <wp:simplePos x="0" y="0"/>
          <wp:positionH relativeFrom="page">
            <wp:posOffset>360045</wp:posOffset>
          </wp:positionH>
          <wp:positionV relativeFrom="page">
            <wp:posOffset>252095</wp:posOffset>
          </wp:positionV>
          <wp:extent cx="2037600" cy="1530000"/>
          <wp:effectExtent l="0" t="0" r="1270" b="0"/>
          <wp:wrapNone/>
          <wp:docPr id="6" name="Picture 1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95FD0" w14:textId="77777777" w:rsidR="00200D9F" w:rsidRPr="00F30DC6" w:rsidRDefault="00200D9F" w:rsidP="00C5776D">
    <w:pPr>
      <w:pStyle w:val="En-tte"/>
      <w:spacing w:after="520"/>
      <w:jc w:val="right"/>
      <w:rPr>
        <w:rFonts w:ascii="Arial" w:hAnsi="Arial" w:cs="Arial"/>
        <w:b/>
        <w:sz w:val="44"/>
        <w:szCs w:val="44"/>
      </w:rPr>
    </w:pPr>
    <w:r>
      <w:rPr>
        <w:rFonts w:ascii="Arial" w:hAnsi="Arial"/>
        <w:b/>
        <w:sz w:val="44"/>
        <w:szCs w:val="44"/>
      </w:rPr>
      <w:t>14 COM</w:t>
    </w:r>
  </w:p>
  <w:p w14:paraId="118D6ABC" w14:textId="77777777" w:rsidR="00200D9F" w:rsidRPr="009D5428" w:rsidRDefault="00200D9F" w:rsidP="00C5776D">
    <w:pPr>
      <w:jc w:val="right"/>
      <w:rPr>
        <w:rFonts w:ascii="Arial" w:hAnsi="Arial" w:cs="Arial"/>
        <w:b/>
        <w:sz w:val="22"/>
        <w:szCs w:val="22"/>
      </w:rPr>
    </w:pPr>
    <w:r w:rsidRPr="00496CB6">
      <w:rPr>
        <w:rFonts w:ascii="Arial" w:hAnsi="Arial"/>
        <w:b/>
        <w:sz w:val="22"/>
        <w:szCs w:val="22"/>
      </w:rPr>
      <w:t>LHE/19/14.COM/INF.</w:t>
    </w:r>
    <w:r w:rsidRPr="00650AE7">
      <w:rPr>
        <w:rFonts w:ascii="Arial" w:hAnsi="Arial"/>
        <w:b/>
        <w:sz w:val="22"/>
        <w:szCs w:val="22"/>
      </w:rPr>
      <w:t>7</w:t>
    </w:r>
  </w:p>
  <w:p w14:paraId="79445C4D" w14:textId="77777777" w:rsidR="00200D9F" w:rsidRPr="00337CEB" w:rsidRDefault="00200D9F" w:rsidP="00655736">
    <w:pPr>
      <w:jc w:val="right"/>
      <w:rPr>
        <w:rFonts w:ascii="Arial" w:eastAsiaTheme="minorEastAsia" w:hAnsi="Arial" w:cs="Arial"/>
        <w:b/>
        <w:sz w:val="22"/>
        <w:szCs w:val="22"/>
      </w:rPr>
    </w:pPr>
    <w:r>
      <w:rPr>
        <w:rFonts w:ascii="Arial" w:hAnsi="Arial"/>
        <w:b/>
        <w:sz w:val="22"/>
        <w:szCs w:val="22"/>
      </w:rPr>
      <w:t>Paris, le 8 novembre 2019</w:t>
    </w:r>
  </w:p>
  <w:p w14:paraId="4E95E40B" w14:textId="77777777" w:rsidR="00200D9F" w:rsidRPr="00F32C23" w:rsidRDefault="00200D9F" w:rsidP="000048ED">
    <w:pPr>
      <w:jc w:val="right"/>
      <w:rPr>
        <w:rFonts w:ascii="Arial" w:hAnsi="Arial" w:cs="Arial"/>
        <w:b/>
        <w:sz w:val="22"/>
        <w:szCs w:val="22"/>
      </w:rPr>
    </w:pPr>
    <w:r>
      <w:rPr>
        <w:rFonts w:ascii="Arial" w:hAnsi="Arial"/>
        <w:b/>
        <w:sz w:val="22"/>
        <w:szCs w:val="22"/>
      </w:rPr>
      <w:t>Original : anglais</w:t>
    </w:r>
  </w:p>
  <w:p w14:paraId="675A4D64" w14:textId="77777777" w:rsidR="00200D9F" w:rsidRPr="00650AE7" w:rsidRDefault="00200D9F">
    <w:pPr>
      <w:pStyle w:val="En-tte"/>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9BF76" w14:textId="145D3135" w:rsidR="00C60EDB" w:rsidRPr="00E95AE2" w:rsidRDefault="00C60EDB">
    <w:pPr>
      <w:pStyle w:val="En-tte"/>
      <w:rPr>
        <w:sz w:val="22"/>
        <w:szCs w:val="22"/>
        <w:lang w:val="en-GB"/>
      </w:rPr>
    </w:pPr>
  </w:p>
  <w:p w14:paraId="120A6F93" w14:textId="65F0FB4B" w:rsidR="00C60EDB" w:rsidRPr="0063300C" w:rsidRDefault="00C60EDB" w:rsidP="00533D50">
    <w:pPr>
      <w:pStyle w:val="En-tte"/>
      <w:rPr>
        <w:rFonts w:ascii="Arial" w:hAnsi="Arial" w:cs="Arial"/>
      </w:rPr>
    </w:pPr>
    <w:r>
      <w:rPr>
        <w:rFonts w:ascii="Arial" w:hAnsi="Arial"/>
        <w:sz w:val="20"/>
        <w:szCs w:val="20"/>
      </w:rPr>
      <w:t xml:space="preserve">LHE/19/14.COM/INF.7 – page </w:t>
    </w:r>
    <w:r w:rsidRPr="0063300C">
      <w:rPr>
        <w:rStyle w:val="Numrodepage"/>
        <w:rFonts w:ascii="Arial" w:hAnsi="Arial" w:cs="Arial"/>
        <w:sz w:val="20"/>
        <w:szCs w:val="20"/>
      </w:rPr>
      <w:fldChar w:fldCharType="begin"/>
    </w:r>
    <w:r w:rsidRPr="0063300C">
      <w:rPr>
        <w:rStyle w:val="Numrodepage"/>
        <w:rFonts w:ascii="Arial" w:hAnsi="Arial" w:cs="Arial"/>
        <w:sz w:val="20"/>
        <w:szCs w:val="20"/>
      </w:rPr>
      <w:instrText xml:space="preserve"> PAGE </w:instrText>
    </w:r>
    <w:r w:rsidRPr="0063300C">
      <w:rPr>
        <w:rStyle w:val="Numrodepage"/>
        <w:rFonts w:ascii="Arial" w:hAnsi="Arial" w:cs="Arial"/>
        <w:sz w:val="20"/>
        <w:szCs w:val="20"/>
      </w:rPr>
      <w:fldChar w:fldCharType="separate"/>
    </w:r>
    <w:r w:rsidR="0002488C">
      <w:rPr>
        <w:rStyle w:val="Numrodepage"/>
        <w:rFonts w:ascii="Arial" w:hAnsi="Arial" w:cs="Arial"/>
        <w:noProof/>
        <w:sz w:val="20"/>
        <w:szCs w:val="20"/>
      </w:rPr>
      <w:t>11</w:t>
    </w:r>
    <w:r w:rsidRPr="0063300C">
      <w:rPr>
        <w:rStyle w:val="Numrodepage"/>
        <w:rFonts w:ascii="Arial" w:hAnsi="Arial" w:cs="Arial"/>
        <w:sz w:val="20"/>
        <w:szCs w:val="20"/>
      </w:rPr>
      <w:fldChar w:fldCharType="end"/>
    </w:r>
  </w:p>
  <w:p w14:paraId="36DE533A" w14:textId="77777777" w:rsidR="00C60EDB" w:rsidRPr="00E95AE2" w:rsidRDefault="00C60EDB">
    <w:pPr>
      <w:pStyle w:val="En-tte"/>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124F"/>
    <w:multiLevelType w:val="hybridMultilevel"/>
    <w:tmpl w:val="E0386812"/>
    <w:lvl w:ilvl="0" w:tplc="9BD272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1AC23FD"/>
    <w:multiLevelType w:val="hybridMultilevel"/>
    <w:tmpl w:val="50705A4A"/>
    <w:lvl w:ilvl="0" w:tplc="0AAA5900">
      <w:start w:val="1"/>
      <w:numFmt w:val="decimal"/>
      <w:lvlText w:val="%1."/>
      <w:lvlJc w:val="left"/>
      <w:pPr>
        <w:tabs>
          <w:tab w:val="num" w:pos="363"/>
        </w:tabs>
        <w:ind w:left="363" w:hanging="360"/>
      </w:pPr>
      <w:rPr>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CD4806C">
      <w:start w:val="1"/>
      <w:numFmt w:val="lowerLetter"/>
      <w:lvlText w:val="%3)"/>
      <w:lvlJc w:val="left"/>
      <w:pPr>
        <w:ind w:left="1983" w:hanging="360"/>
      </w:pPr>
      <w:rPr>
        <w:rFonts w:hint="default"/>
      </w:r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3" w15:restartNumberingAfterBreak="0">
    <w:nsid w:val="13B52813"/>
    <w:multiLevelType w:val="hybridMultilevel"/>
    <w:tmpl w:val="C7E41B56"/>
    <w:lvl w:ilvl="0" w:tplc="BB08C1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5F07BFE"/>
    <w:multiLevelType w:val="hybridMultilevel"/>
    <w:tmpl w:val="D7B28A4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B5E6D19E">
      <w:start w:val="1"/>
      <w:numFmt w:val="lowerLetter"/>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6E7066B"/>
    <w:multiLevelType w:val="hybridMultilevel"/>
    <w:tmpl w:val="4E2E996E"/>
    <w:lvl w:ilvl="0" w:tplc="222C604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0D0316"/>
    <w:multiLevelType w:val="hybridMultilevel"/>
    <w:tmpl w:val="E24AD55A"/>
    <w:lvl w:ilvl="0" w:tplc="76CAC304">
      <w:start w:val="1"/>
      <w:numFmt w:val="decimal"/>
      <w:lvlText w:val="%1."/>
      <w:lvlJc w:val="left"/>
      <w:pPr>
        <w:ind w:left="1070" w:hanging="360"/>
      </w:pPr>
    </w:lvl>
    <w:lvl w:ilvl="1" w:tplc="040C0019">
      <w:start w:val="1"/>
      <w:numFmt w:val="lowerLetter"/>
      <w:lvlText w:val="%2."/>
      <w:lvlJc w:val="left"/>
      <w:pPr>
        <w:ind w:left="1790" w:hanging="360"/>
      </w:pPr>
    </w:lvl>
    <w:lvl w:ilvl="2" w:tplc="040C001B">
      <w:start w:val="1"/>
      <w:numFmt w:val="lowerRoman"/>
      <w:lvlText w:val="%3."/>
      <w:lvlJc w:val="right"/>
      <w:pPr>
        <w:ind w:left="2510" w:hanging="180"/>
      </w:pPr>
    </w:lvl>
    <w:lvl w:ilvl="3" w:tplc="040C000F">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094069"/>
    <w:multiLevelType w:val="hybridMultilevel"/>
    <w:tmpl w:val="36F6039A"/>
    <w:lvl w:ilvl="0" w:tplc="2196BEE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BD40C5"/>
    <w:multiLevelType w:val="hybridMultilevel"/>
    <w:tmpl w:val="B9E64288"/>
    <w:lvl w:ilvl="0" w:tplc="08A29940">
      <w:start w:val="1"/>
      <w:numFmt w:val="lowerLetter"/>
      <w:lvlText w:val="%1)"/>
      <w:lvlJc w:val="left"/>
      <w:pPr>
        <w:ind w:left="720" w:hanging="360"/>
      </w:pPr>
      <w:rPr>
        <w:rFonts w:ascii="Arial" w:eastAsia="MS Mincho"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15:restartNumberingAfterBreak="0">
    <w:nsid w:val="43B71665"/>
    <w:multiLevelType w:val="hybridMultilevel"/>
    <w:tmpl w:val="7340C63C"/>
    <w:lvl w:ilvl="0" w:tplc="D04ECF5C">
      <w:start w:val="1"/>
      <w:numFmt w:val="decimal"/>
      <w:lvlText w:val="%1."/>
      <w:lvlJc w:val="left"/>
      <w:pPr>
        <w:ind w:left="502"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49306B62"/>
    <w:multiLevelType w:val="hybridMultilevel"/>
    <w:tmpl w:val="EC2CD5EC"/>
    <w:lvl w:ilvl="0" w:tplc="28D840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AB522A"/>
    <w:multiLevelType w:val="hybridMultilevel"/>
    <w:tmpl w:val="AEB61486"/>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671A8C"/>
    <w:multiLevelType w:val="hybridMultilevel"/>
    <w:tmpl w:val="3794947C"/>
    <w:lvl w:ilvl="0" w:tplc="0E460466">
      <w:start w:val="1"/>
      <w:numFmt w:val="lowerLetter"/>
      <w:lvlText w:val="%1)"/>
      <w:lvlJc w:val="left"/>
      <w:pPr>
        <w:ind w:left="5676" w:hanging="360"/>
      </w:pPr>
      <w:rPr>
        <w:rFonts w:hint="default"/>
        <w:sz w:val="20"/>
        <w:u w:val="single"/>
      </w:rPr>
    </w:lvl>
    <w:lvl w:ilvl="1" w:tplc="040C0019" w:tentative="1">
      <w:start w:val="1"/>
      <w:numFmt w:val="lowerLetter"/>
      <w:lvlText w:val="%2."/>
      <w:lvlJc w:val="left"/>
      <w:pPr>
        <w:ind w:left="6396" w:hanging="360"/>
      </w:pPr>
    </w:lvl>
    <w:lvl w:ilvl="2" w:tplc="040C001B" w:tentative="1">
      <w:start w:val="1"/>
      <w:numFmt w:val="lowerRoman"/>
      <w:lvlText w:val="%3."/>
      <w:lvlJc w:val="right"/>
      <w:pPr>
        <w:ind w:left="7116" w:hanging="180"/>
      </w:pPr>
    </w:lvl>
    <w:lvl w:ilvl="3" w:tplc="040C000F" w:tentative="1">
      <w:start w:val="1"/>
      <w:numFmt w:val="decimal"/>
      <w:lvlText w:val="%4."/>
      <w:lvlJc w:val="left"/>
      <w:pPr>
        <w:ind w:left="7836" w:hanging="360"/>
      </w:pPr>
    </w:lvl>
    <w:lvl w:ilvl="4" w:tplc="040C0019" w:tentative="1">
      <w:start w:val="1"/>
      <w:numFmt w:val="lowerLetter"/>
      <w:lvlText w:val="%5."/>
      <w:lvlJc w:val="left"/>
      <w:pPr>
        <w:ind w:left="8556" w:hanging="360"/>
      </w:pPr>
    </w:lvl>
    <w:lvl w:ilvl="5" w:tplc="040C001B" w:tentative="1">
      <w:start w:val="1"/>
      <w:numFmt w:val="lowerRoman"/>
      <w:lvlText w:val="%6."/>
      <w:lvlJc w:val="right"/>
      <w:pPr>
        <w:ind w:left="9276" w:hanging="180"/>
      </w:pPr>
    </w:lvl>
    <w:lvl w:ilvl="6" w:tplc="040C000F" w:tentative="1">
      <w:start w:val="1"/>
      <w:numFmt w:val="decimal"/>
      <w:lvlText w:val="%7."/>
      <w:lvlJc w:val="left"/>
      <w:pPr>
        <w:ind w:left="9996" w:hanging="360"/>
      </w:pPr>
    </w:lvl>
    <w:lvl w:ilvl="7" w:tplc="040C0019" w:tentative="1">
      <w:start w:val="1"/>
      <w:numFmt w:val="lowerLetter"/>
      <w:lvlText w:val="%8."/>
      <w:lvlJc w:val="left"/>
      <w:pPr>
        <w:ind w:left="10716" w:hanging="360"/>
      </w:pPr>
    </w:lvl>
    <w:lvl w:ilvl="8" w:tplc="040C001B" w:tentative="1">
      <w:start w:val="1"/>
      <w:numFmt w:val="lowerRoman"/>
      <w:lvlText w:val="%9."/>
      <w:lvlJc w:val="right"/>
      <w:pPr>
        <w:ind w:left="11436" w:hanging="180"/>
      </w:pPr>
    </w:lvl>
  </w:abstractNum>
  <w:abstractNum w:abstractNumId="20" w15:restartNumberingAfterBreak="0">
    <w:nsid w:val="58BF5ABE"/>
    <w:multiLevelType w:val="hybridMultilevel"/>
    <w:tmpl w:val="BB7E6B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2" w15:restartNumberingAfterBreak="0">
    <w:nsid w:val="5F0B0161"/>
    <w:multiLevelType w:val="hybridMultilevel"/>
    <w:tmpl w:val="A4C83EF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D010205"/>
    <w:multiLevelType w:val="hybridMultilevel"/>
    <w:tmpl w:val="41D8546A"/>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7"/>
  </w:num>
  <w:num w:numId="3">
    <w:abstractNumId w:val="4"/>
  </w:num>
  <w:num w:numId="4">
    <w:abstractNumId w:val="25"/>
  </w:num>
  <w:num w:numId="5">
    <w:abstractNumId w:val="23"/>
  </w:num>
  <w:num w:numId="6">
    <w:abstractNumId w:val="1"/>
  </w:num>
  <w:num w:numId="7">
    <w:abstractNumId w:val="5"/>
  </w:num>
  <w:num w:numId="8">
    <w:abstractNumId w:val="16"/>
  </w:num>
  <w:num w:numId="9">
    <w:abstractNumId w:val="6"/>
  </w:num>
  <w:num w:numId="10">
    <w:abstractNumId w:val="10"/>
  </w:num>
  <w:num w:numId="11">
    <w:abstractNumId w:val="14"/>
  </w:num>
  <w:num w:numId="12">
    <w:abstractNumId w:val="11"/>
  </w:num>
  <w:num w:numId="13">
    <w:abstractNumId w:val="6"/>
    <w:lvlOverride w:ilvl="0">
      <w:startOverride w:val="1"/>
    </w:lvlOverride>
  </w:num>
  <w:num w:numId="14">
    <w:abstractNumId w:val="3"/>
  </w:num>
  <w:num w:numId="15">
    <w:abstractNumId w:val="20"/>
  </w:num>
  <w:num w:numId="16">
    <w:abstractNumId w:val="22"/>
  </w:num>
  <w:num w:numId="17">
    <w:abstractNumId w:val="2"/>
  </w:num>
  <w:num w:numId="18">
    <w:abstractNumId w:val="19"/>
  </w:num>
  <w:num w:numId="19">
    <w:abstractNumId w:val="13"/>
  </w:num>
  <w:num w:numId="20">
    <w:abstractNumId w:val="15"/>
  </w:num>
  <w:num w:numId="21">
    <w:abstractNumId w:val="18"/>
  </w:num>
  <w:num w:numId="22">
    <w:abstractNumId w:val="0"/>
  </w:num>
  <w:num w:numId="23">
    <w:abstractNumId w:val="12"/>
  </w:num>
  <w:num w:numId="24">
    <w:abstractNumId w:val="17"/>
  </w:num>
  <w:num w:numId="25">
    <w:abstractNumId w:val="8"/>
  </w:num>
  <w:num w:numId="26">
    <w:abstractNumId w:val="9"/>
  </w:num>
  <w:num w:numId="27">
    <w:abstractNumId w:val="6"/>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num>
  <w:num w:numId="32">
    <w:abstractNumId w:val="6"/>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FR"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2488C"/>
    <w:rsid w:val="00041A66"/>
    <w:rsid w:val="0005176E"/>
    <w:rsid w:val="00053504"/>
    <w:rsid w:val="000646F5"/>
    <w:rsid w:val="000765F7"/>
    <w:rsid w:val="00077AB7"/>
    <w:rsid w:val="00081CD8"/>
    <w:rsid w:val="000A7F0E"/>
    <w:rsid w:val="000B1C8F"/>
    <w:rsid w:val="000C0D61"/>
    <w:rsid w:val="000C3AA4"/>
    <w:rsid w:val="000E550A"/>
    <w:rsid w:val="000F3A3F"/>
    <w:rsid w:val="00102557"/>
    <w:rsid w:val="00122B76"/>
    <w:rsid w:val="0013791A"/>
    <w:rsid w:val="001600DD"/>
    <w:rsid w:val="00164D56"/>
    <w:rsid w:val="00167B10"/>
    <w:rsid w:val="0017402F"/>
    <w:rsid w:val="00196C1B"/>
    <w:rsid w:val="001A124B"/>
    <w:rsid w:val="001A6AD0"/>
    <w:rsid w:val="001B0F73"/>
    <w:rsid w:val="001B5944"/>
    <w:rsid w:val="001C2DB7"/>
    <w:rsid w:val="001D14FE"/>
    <w:rsid w:val="001D5C04"/>
    <w:rsid w:val="001F26CF"/>
    <w:rsid w:val="00200D9F"/>
    <w:rsid w:val="0021305B"/>
    <w:rsid w:val="00222A2D"/>
    <w:rsid w:val="00223029"/>
    <w:rsid w:val="002318D6"/>
    <w:rsid w:val="00234745"/>
    <w:rsid w:val="002351A6"/>
    <w:rsid w:val="00235DF8"/>
    <w:rsid w:val="002407AF"/>
    <w:rsid w:val="00260FC1"/>
    <w:rsid w:val="00266B62"/>
    <w:rsid w:val="0027466B"/>
    <w:rsid w:val="002838A5"/>
    <w:rsid w:val="00285BB4"/>
    <w:rsid w:val="00291B5C"/>
    <w:rsid w:val="002A2545"/>
    <w:rsid w:val="002C09E3"/>
    <w:rsid w:val="002C52B6"/>
    <w:rsid w:val="00337CEB"/>
    <w:rsid w:val="00344B58"/>
    <w:rsid w:val="0034539A"/>
    <w:rsid w:val="00345CB4"/>
    <w:rsid w:val="00370699"/>
    <w:rsid w:val="00375D42"/>
    <w:rsid w:val="0038452F"/>
    <w:rsid w:val="0039290B"/>
    <w:rsid w:val="003B5B6B"/>
    <w:rsid w:val="003D069C"/>
    <w:rsid w:val="003D7646"/>
    <w:rsid w:val="003F113A"/>
    <w:rsid w:val="003F3E63"/>
    <w:rsid w:val="00407480"/>
    <w:rsid w:val="00414643"/>
    <w:rsid w:val="004421E5"/>
    <w:rsid w:val="00452284"/>
    <w:rsid w:val="00457C8E"/>
    <w:rsid w:val="004609A7"/>
    <w:rsid w:val="00476AF2"/>
    <w:rsid w:val="004832CF"/>
    <w:rsid w:val="004856CA"/>
    <w:rsid w:val="00487E67"/>
    <w:rsid w:val="00496CB6"/>
    <w:rsid w:val="0049705E"/>
    <w:rsid w:val="004A34A0"/>
    <w:rsid w:val="004A63B8"/>
    <w:rsid w:val="004B472F"/>
    <w:rsid w:val="004B72C1"/>
    <w:rsid w:val="004C7783"/>
    <w:rsid w:val="005008A8"/>
    <w:rsid w:val="005067E4"/>
    <w:rsid w:val="00526B7B"/>
    <w:rsid w:val="005308CE"/>
    <w:rsid w:val="0053318C"/>
    <w:rsid w:val="00533D50"/>
    <w:rsid w:val="005607D3"/>
    <w:rsid w:val="0057439C"/>
    <w:rsid w:val="005850F3"/>
    <w:rsid w:val="00585A9C"/>
    <w:rsid w:val="005B0127"/>
    <w:rsid w:val="005B7A35"/>
    <w:rsid w:val="005C1DB5"/>
    <w:rsid w:val="005C26D6"/>
    <w:rsid w:val="005C4B73"/>
    <w:rsid w:val="005D246D"/>
    <w:rsid w:val="005E1D2B"/>
    <w:rsid w:val="005E7074"/>
    <w:rsid w:val="005F1AF6"/>
    <w:rsid w:val="005F2BAF"/>
    <w:rsid w:val="00600D93"/>
    <w:rsid w:val="0062225B"/>
    <w:rsid w:val="0063300C"/>
    <w:rsid w:val="00650AE7"/>
    <w:rsid w:val="006543DB"/>
    <w:rsid w:val="00655736"/>
    <w:rsid w:val="00663B8D"/>
    <w:rsid w:val="00665036"/>
    <w:rsid w:val="00696C8D"/>
    <w:rsid w:val="006A2AC2"/>
    <w:rsid w:val="006A3617"/>
    <w:rsid w:val="006C68AF"/>
    <w:rsid w:val="006E46E4"/>
    <w:rsid w:val="007001D9"/>
    <w:rsid w:val="007134E6"/>
    <w:rsid w:val="00717DA5"/>
    <w:rsid w:val="007345A5"/>
    <w:rsid w:val="00744484"/>
    <w:rsid w:val="00745CD2"/>
    <w:rsid w:val="00747566"/>
    <w:rsid w:val="0077071A"/>
    <w:rsid w:val="00773188"/>
    <w:rsid w:val="00783782"/>
    <w:rsid w:val="00784B8C"/>
    <w:rsid w:val="007879E1"/>
    <w:rsid w:val="007B3E7D"/>
    <w:rsid w:val="007E51F2"/>
    <w:rsid w:val="007E5358"/>
    <w:rsid w:val="008012B5"/>
    <w:rsid w:val="00823A11"/>
    <w:rsid w:val="00847E71"/>
    <w:rsid w:val="00851803"/>
    <w:rsid w:val="0085405E"/>
    <w:rsid w:val="00854081"/>
    <w:rsid w:val="0085414A"/>
    <w:rsid w:val="00861AFE"/>
    <w:rsid w:val="0086269D"/>
    <w:rsid w:val="00864959"/>
    <w:rsid w:val="00864F84"/>
    <w:rsid w:val="0086543A"/>
    <w:rsid w:val="008724E5"/>
    <w:rsid w:val="00884A9D"/>
    <w:rsid w:val="0088512B"/>
    <w:rsid w:val="008A2B2D"/>
    <w:rsid w:val="008A4E1E"/>
    <w:rsid w:val="008B493C"/>
    <w:rsid w:val="008C296C"/>
    <w:rsid w:val="008D4305"/>
    <w:rsid w:val="008E091D"/>
    <w:rsid w:val="008E1A85"/>
    <w:rsid w:val="008E47F0"/>
    <w:rsid w:val="008F1CAA"/>
    <w:rsid w:val="008F37F6"/>
    <w:rsid w:val="00906463"/>
    <w:rsid w:val="009163A7"/>
    <w:rsid w:val="00946D0B"/>
    <w:rsid w:val="00955877"/>
    <w:rsid w:val="009662B0"/>
    <w:rsid w:val="0098262F"/>
    <w:rsid w:val="009A0C69"/>
    <w:rsid w:val="009A18CD"/>
    <w:rsid w:val="009D5428"/>
    <w:rsid w:val="009E1639"/>
    <w:rsid w:val="00A01018"/>
    <w:rsid w:val="00A12558"/>
    <w:rsid w:val="00A13903"/>
    <w:rsid w:val="00A32B3C"/>
    <w:rsid w:val="00A34ED5"/>
    <w:rsid w:val="00A45DBF"/>
    <w:rsid w:val="00A755A2"/>
    <w:rsid w:val="00AA6660"/>
    <w:rsid w:val="00AB2C36"/>
    <w:rsid w:val="00AB6DDE"/>
    <w:rsid w:val="00AB70B6"/>
    <w:rsid w:val="00AD1A86"/>
    <w:rsid w:val="00AE103E"/>
    <w:rsid w:val="00AF0A07"/>
    <w:rsid w:val="00AF4AEC"/>
    <w:rsid w:val="00AF625E"/>
    <w:rsid w:val="00B012FD"/>
    <w:rsid w:val="00B11349"/>
    <w:rsid w:val="00B139BE"/>
    <w:rsid w:val="00B54AEA"/>
    <w:rsid w:val="00B61451"/>
    <w:rsid w:val="00B62ADD"/>
    <w:rsid w:val="00B8181A"/>
    <w:rsid w:val="00BA241A"/>
    <w:rsid w:val="00BB04AF"/>
    <w:rsid w:val="00BB4BC8"/>
    <w:rsid w:val="00BC467F"/>
    <w:rsid w:val="00BD435F"/>
    <w:rsid w:val="00BD52C9"/>
    <w:rsid w:val="00BE6354"/>
    <w:rsid w:val="00BF1B64"/>
    <w:rsid w:val="00C01E07"/>
    <w:rsid w:val="00C138D1"/>
    <w:rsid w:val="00C15B12"/>
    <w:rsid w:val="00C17C1C"/>
    <w:rsid w:val="00C23A97"/>
    <w:rsid w:val="00C279D7"/>
    <w:rsid w:val="00C37F14"/>
    <w:rsid w:val="00C5776D"/>
    <w:rsid w:val="00C60EDB"/>
    <w:rsid w:val="00C64855"/>
    <w:rsid w:val="00C70EA7"/>
    <w:rsid w:val="00C7136F"/>
    <w:rsid w:val="00C72D72"/>
    <w:rsid w:val="00C7433F"/>
    <w:rsid w:val="00C7516E"/>
    <w:rsid w:val="00C75770"/>
    <w:rsid w:val="00C831FE"/>
    <w:rsid w:val="00C833F6"/>
    <w:rsid w:val="00CA56BB"/>
    <w:rsid w:val="00CB0542"/>
    <w:rsid w:val="00CE1359"/>
    <w:rsid w:val="00D00B2B"/>
    <w:rsid w:val="00D0256B"/>
    <w:rsid w:val="00D140FF"/>
    <w:rsid w:val="00D24877"/>
    <w:rsid w:val="00D34BD8"/>
    <w:rsid w:val="00D76121"/>
    <w:rsid w:val="00D8250F"/>
    <w:rsid w:val="00D92600"/>
    <w:rsid w:val="00D95C4C"/>
    <w:rsid w:val="00DA36ED"/>
    <w:rsid w:val="00DA5CF9"/>
    <w:rsid w:val="00DE34F1"/>
    <w:rsid w:val="00DE6160"/>
    <w:rsid w:val="00DF4942"/>
    <w:rsid w:val="00E00159"/>
    <w:rsid w:val="00E155D4"/>
    <w:rsid w:val="00E227F0"/>
    <w:rsid w:val="00E244E1"/>
    <w:rsid w:val="00E25D45"/>
    <w:rsid w:val="00E41163"/>
    <w:rsid w:val="00E627B1"/>
    <w:rsid w:val="00E70169"/>
    <w:rsid w:val="00E9376C"/>
    <w:rsid w:val="00E94908"/>
    <w:rsid w:val="00E95AE2"/>
    <w:rsid w:val="00E978E1"/>
    <w:rsid w:val="00EA335E"/>
    <w:rsid w:val="00EA528C"/>
    <w:rsid w:val="00EA580C"/>
    <w:rsid w:val="00EB6CA6"/>
    <w:rsid w:val="00EB75FF"/>
    <w:rsid w:val="00EC6F8D"/>
    <w:rsid w:val="00EC7D22"/>
    <w:rsid w:val="00EE256B"/>
    <w:rsid w:val="00EE49F4"/>
    <w:rsid w:val="00EF16AA"/>
    <w:rsid w:val="00EF34E2"/>
    <w:rsid w:val="00F30DC6"/>
    <w:rsid w:val="00F32C23"/>
    <w:rsid w:val="00F37D7D"/>
    <w:rsid w:val="00F50798"/>
    <w:rsid w:val="00F53DE9"/>
    <w:rsid w:val="00F576CB"/>
    <w:rsid w:val="00F7035D"/>
    <w:rsid w:val="00F71A02"/>
    <w:rsid w:val="00F76F52"/>
    <w:rsid w:val="00FA028D"/>
    <w:rsid w:val="00FA0D63"/>
    <w:rsid w:val="00FC3B84"/>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13AA040"/>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fr-FR"/>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fr-FR"/>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qFormat/>
    <w:rsid w:val="006543DB"/>
    <w:pPr>
      <w:ind w:left="720"/>
      <w:contextualSpacing/>
    </w:pPr>
  </w:style>
  <w:style w:type="character" w:styleId="Lienhypertexte">
    <w:name w:val="Hyperlink"/>
    <w:unhideWhenUsed/>
    <w:rsid w:val="006543DB"/>
    <w:rPr>
      <w:color w:val="0000FF"/>
      <w:u w:val="single"/>
    </w:rPr>
  </w:style>
  <w:style w:type="character" w:styleId="Lienhypertextesuivivisit">
    <w:name w:val="FollowedHyperlink"/>
    <w:basedOn w:val="Policepardfaut"/>
    <w:uiPriority w:val="99"/>
    <w:semiHidden/>
    <w:unhideWhenUsed/>
    <w:rsid w:val="006543DB"/>
    <w:rPr>
      <w:color w:val="800080" w:themeColor="followedHyperlink"/>
      <w:u w:val="single"/>
    </w:rPr>
  </w:style>
  <w:style w:type="paragraph" w:customStyle="1" w:styleId="Default">
    <w:name w:val="Default"/>
    <w:link w:val="DefaultChar"/>
    <w:uiPriority w:val="99"/>
    <w:rsid w:val="006543DB"/>
    <w:pPr>
      <w:autoSpaceDE w:val="0"/>
      <w:autoSpaceDN w:val="0"/>
      <w:adjustRightInd w:val="0"/>
    </w:pPr>
    <w:rPr>
      <w:rFonts w:ascii="Arial" w:hAnsi="Arial" w:cs="Arial"/>
      <w:color w:val="000000"/>
      <w:sz w:val="24"/>
      <w:szCs w:val="24"/>
      <w:lang w:eastAsia="zh-CN"/>
    </w:rPr>
  </w:style>
  <w:style w:type="paragraph" w:styleId="Notedebasdepage">
    <w:name w:val="footnote text"/>
    <w:basedOn w:val="Normal"/>
    <w:link w:val="NotedebasdepageCar"/>
    <w:uiPriority w:val="99"/>
    <w:unhideWhenUsed/>
    <w:rsid w:val="006543DB"/>
    <w:rPr>
      <w:sz w:val="20"/>
      <w:szCs w:val="20"/>
    </w:rPr>
  </w:style>
  <w:style w:type="character" w:customStyle="1" w:styleId="NotedebasdepageCar">
    <w:name w:val="Note de bas de page Car"/>
    <w:basedOn w:val="Policepardfaut"/>
    <w:link w:val="Notedebasdepage"/>
    <w:uiPriority w:val="99"/>
    <w:rsid w:val="006543DB"/>
    <w:rPr>
      <w:rFonts w:ascii="Times New Roman" w:eastAsia="Times New Roman" w:hAnsi="Times New Roman"/>
    </w:rPr>
  </w:style>
  <w:style w:type="character" w:styleId="Appelnotedebasdep">
    <w:name w:val="footnote reference"/>
    <w:uiPriority w:val="99"/>
    <w:unhideWhenUsed/>
    <w:rsid w:val="006543DB"/>
    <w:rPr>
      <w:vertAlign w:val="superscript"/>
    </w:rPr>
  </w:style>
  <w:style w:type="character" w:customStyle="1" w:styleId="DefaultChar">
    <w:name w:val="Default Char"/>
    <w:link w:val="Default"/>
    <w:uiPriority w:val="99"/>
    <w:rsid w:val="006543DB"/>
    <w:rPr>
      <w:rFonts w:ascii="Arial" w:hAnsi="Arial" w:cs="Arial"/>
      <w:color w:val="000000"/>
      <w:sz w:val="24"/>
      <w:szCs w:val="24"/>
      <w:lang w:val="fr-FR" w:eastAsia="zh-CN"/>
    </w:rPr>
  </w:style>
  <w:style w:type="paragraph" w:customStyle="1" w:styleId="Paragraph">
    <w:name w:val="Paragraph"/>
    <w:basedOn w:val="Default"/>
    <w:link w:val="ParagraphChar"/>
    <w:qFormat/>
    <w:rsid w:val="006543DB"/>
    <w:pPr>
      <w:spacing w:after="240"/>
      <w:jc w:val="both"/>
    </w:pPr>
    <w:rPr>
      <w:bCs/>
      <w:sz w:val="22"/>
      <w:szCs w:val="22"/>
    </w:rPr>
  </w:style>
  <w:style w:type="character" w:customStyle="1" w:styleId="ParagraphChar">
    <w:name w:val="Paragraph Char"/>
    <w:link w:val="Paragraph"/>
    <w:rsid w:val="006543DB"/>
    <w:rPr>
      <w:rFonts w:ascii="Arial" w:hAnsi="Arial" w:cs="Arial"/>
      <w:bCs/>
      <w:color w:val="000000"/>
      <w:sz w:val="22"/>
      <w:szCs w:val="22"/>
      <w:lang w:val="fr-FR" w:eastAsia="zh-CN"/>
    </w:rPr>
  </w:style>
  <w:style w:type="paragraph" w:customStyle="1" w:styleId="ListParagraph1">
    <w:name w:val="List Paragraph1"/>
    <w:basedOn w:val="Normal"/>
    <w:qFormat/>
    <w:rsid w:val="006543DB"/>
    <w:pPr>
      <w:tabs>
        <w:tab w:val="left" w:pos="567"/>
      </w:tabs>
      <w:snapToGrid w:val="0"/>
      <w:spacing w:after="120"/>
      <w:jc w:val="both"/>
    </w:pPr>
    <w:rPr>
      <w:rFonts w:ascii="Arial" w:hAnsi="Arial" w:cs="Arial"/>
      <w:snapToGrid w:val="0"/>
      <w:sz w:val="22"/>
      <w:szCs w:val="22"/>
      <w:lang w:eastAsia="en-US"/>
    </w:rPr>
  </w:style>
  <w:style w:type="character" w:customStyle="1" w:styleId="hps">
    <w:name w:val="hps"/>
    <w:rsid w:val="006543DB"/>
  </w:style>
  <w:style w:type="paragraph" w:styleId="Notedefin">
    <w:name w:val="endnote text"/>
    <w:basedOn w:val="Normal"/>
    <w:link w:val="NotedefinCar"/>
    <w:uiPriority w:val="99"/>
    <w:semiHidden/>
    <w:unhideWhenUsed/>
    <w:rsid w:val="006543DB"/>
    <w:rPr>
      <w:sz w:val="20"/>
      <w:szCs w:val="20"/>
    </w:rPr>
  </w:style>
  <w:style w:type="character" w:customStyle="1" w:styleId="NotedefinCar">
    <w:name w:val="Note de fin Car"/>
    <w:basedOn w:val="Policepardfaut"/>
    <w:link w:val="Notedefin"/>
    <w:uiPriority w:val="99"/>
    <w:semiHidden/>
    <w:rsid w:val="006543DB"/>
    <w:rPr>
      <w:rFonts w:ascii="Times New Roman" w:eastAsia="Times New Roman" w:hAnsi="Times New Roman"/>
    </w:rPr>
  </w:style>
  <w:style w:type="character" w:styleId="Appeldenotedefin">
    <w:name w:val="endnote reference"/>
    <w:basedOn w:val="Policepardfaut"/>
    <w:uiPriority w:val="99"/>
    <w:semiHidden/>
    <w:unhideWhenUsed/>
    <w:rsid w:val="006543DB"/>
    <w:rPr>
      <w:vertAlign w:val="superscript"/>
    </w:rPr>
  </w:style>
  <w:style w:type="paragraph" w:customStyle="1" w:styleId="Annex">
    <w:name w:val="Annex"/>
    <w:basedOn w:val="Default"/>
    <w:next w:val="Normal"/>
    <w:rsid w:val="006543DB"/>
    <w:pPr>
      <w:pageBreakBefore/>
      <w:spacing w:before="360" w:after="240"/>
      <w:jc w:val="center"/>
      <w:outlineLvl w:val="0"/>
    </w:pPr>
    <w:rPr>
      <w:b/>
      <w:bCs/>
      <w:color w:val="auto"/>
      <w:sz w:val="22"/>
      <w:szCs w:val="22"/>
    </w:rPr>
  </w:style>
  <w:style w:type="character" w:styleId="Marquedecommentaire">
    <w:name w:val="annotation reference"/>
    <w:basedOn w:val="Policepardfaut"/>
    <w:uiPriority w:val="99"/>
    <w:semiHidden/>
    <w:unhideWhenUsed/>
    <w:rsid w:val="006543DB"/>
    <w:rPr>
      <w:sz w:val="16"/>
      <w:szCs w:val="16"/>
    </w:rPr>
  </w:style>
  <w:style w:type="paragraph" w:styleId="Commentaire">
    <w:name w:val="annotation text"/>
    <w:basedOn w:val="Normal"/>
    <w:link w:val="CommentaireCar"/>
    <w:uiPriority w:val="99"/>
    <w:unhideWhenUsed/>
    <w:rsid w:val="006543DB"/>
    <w:rPr>
      <w:sz w:val="20"/>
      <w:szCs w:val="20"/>
    </w:rPr>
  </w:style>
  <w:style w:type="character" w:customStyle="1" w:styleId="CommentaireCar">
    <w:name w:val="Commentaire Car"/>
    <w:basedOn w:val="Policepardfaut"/>
    <w:link w:val="Commentaire"/>
    <w:uiPriority w:val="99"/>
    <w:rsid w:val="006543DB"/>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6543DB"/>
    <w:rPr>
      <w:b/>
      <w:bCs/>
    </w:rPr>
  </w:style>
  <w:style w:type="character" w:customStyle="1" w:styleId="ObjetducommentaireCar">
    <w:name w:val="Objet du commentaire Car"/>
    <w:basedOn w:val="CommentaireCar"/>
    <w:link w:val="Objetducommentaire"/>
    <w:uiPriority w:val="99"/>
    <w:semiHidden/>
    <w:rsid w:val="006543DB"/>
    <w:rPr>
      <w:rFonts w:ascii="Times New Roman" w:eastAsia="Times New Roman" w:hAnsi="Times New Roman"/>
      <w:b/>
      <w:bCs/>
    </w:rPr>
  </w:style>
  <w:style w:type="paragraph" w:styleId="Rvision">
    <w:name w:val="Revision"/>
    <w:hidden/>
    <w:uiPriority w:val="99"/>
    <w:semiHidden/>
    <w:rsid w:val="006543D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6520">
      <w:bodyDiv w:val="1"/>
      <w:marLeft w:val="0"/>
      <w:marRight w:val="0"/>
      <w:marTop w:val="0"/>
      <w:marBottom w:val="0"/>
      <w:divBdr>
        <w:top w:val="none" w:sz="0" w:space="0" w:color="auto"/>
        <w:left w:val="none" w:sz="0" w:space="0" w:color="auto"/>
        <w:bottom w:val="none" w:sz="0" w:space="0" w:color="auto"/>
        <w:right w:val="none" w:sz="0" w:space="0" w:color="auto"/>
      </w:divBdr>
    </w:div>
    <w:div w:id="355430408">
      <w:bodyDiv w:val="1"/>
      <w:marLeft w:val="0"/>
      <w:marRight w:val="0"/>
      <w:marTop w:val="0"/>
      <w:marBottom w:val="0"/>
      <w:divBdr>
        <w:top w:val="none" w:sz="0" w:space="0" w:color="auto"/>
        <w:left w:val="none" w:sz="0" w:space="0" w:color="auto"/>
        <w:bottom w:val="none" w:sz="0" w:space="0" w:color="auto"/>
        <w:right w:val="none" w:sz="0" w:space="0" w:color="auto"/>
      </w:divBdr>
    </w:div>
    <w:div w:id="70964841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71724586">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96907317">
      <w:bodyDiv w:val="1"/>
      <w:marLeft w:val="0"/>
      <w:marRight w:val="0"/>
      <w:marTop w:val="0"/>
      <w:marBottom w:val="0"/>
      <w:divBdr>
        <w:top w:val="none" w:sz="0" w:space="0" w:color="auto"/>
        <w:left w:val="none" w:sz="0" w:space="0" w:color="auto"/>
        <w:bottom w:val="none" w:sz="0" w:space="0" w:color="auto"/>
        <w:right w:val="none" w:sz="0" w:space="0" w:color="auto"/>
      </w:divBdr>
    </w:div>
    <w:div w:id="1163010269">
      <w:bodyDiv w:val="1"/>
      <w:marLeft w:val="0"/>
      <w:marRight w:val="0"/>
      <w:marTop w:val="0"/>
      <w:marBottom w:val="0"/>
      <w:divBdr>
        <w:top w:val="none" w:sz="0" w:space="0" w:color="auto"/>
        <w:left w:val="none" w:sz="0" w:space="0" w:color="auto"/>
        <w:bottom w:val="none" w:sz="0" w:space="0" w:color="auto"/>
        <w:right w:val="none" w:sz="0" w:space="0" w:color="auto"/>
      </w:divBdr>
    </w:div>
    <w:div w:id="1202472175">
      <w:bodyDiv w:val="1"/>
      <w:marLeft w:val="0"/>
      <w:marRight w:val="0"/>
      <w:marTop w:val="0"/>
      <w:marBottom w:val="0"/>
      <w:divBdr>
        <w:top w:val="none" w:sz="0" w:space="0" w:color="auto"/>
        <w:left w:val="none" w:sz="0" w:space="0" w:color="auto"/>
        <w:bottom w:val="none" w:sz="0" w:space="0" w:color="auto"/>
        <w:right w:val="none" w:sz="0" w:space="0" w:color="auto"/>
      </w:divBdr>
    </w:div>
    <w:div w:id="1254894467">
      <w:bodyDiv w:val="1"/>
      <w:marLeft w:val="0"/>
      <w:marRight w:val="0"/>
      <w:marTop w:val="0"/>
      <w:marBottom w:val="0"/>
      <w:divBdr>
        <w:top w:val="none" w:sz="0" w:space="0" w:color="auto"/>
        <w:left w:val="none" w:sz="0" w:space="0" w:color="auto"/>
        <w:bottom w:val="none" w:sz="0" w:space="0" w:color="auto"/>
        <w:right w:val="none" w:sz="0" w:space="0" w:color="auto"/>
      </w:divBdr>
    </w:div>
    <w:div w:id="129702475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27084836">
      <w:bodyDiv w:val="1"/>
      <w:marLeft w:val="0"/>
      <w:marRight w:val="0"/>
      <w:marTop w:val="0"/>
      <w:marBottom w:val="0"/>
      <w:divBdr>
        <w:top w:val="none" w:sz="0" w:space="0" w:color="auto"/>
        <w:left w:val="none" w:sz="0" w:space="0" w:color="auto"/>
        <w:bottom w:val="none" w:sz="0" w:space="0" w:color="auto"/>
        <w:right w:val="none" w:sz="0" w:space="0" w:color="auto"/>
      </w:divBdr>
    </w:div>
    <w:div w:id="169037672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77616623">
      <w:bodyDiv w:val="1"/>
      <w:marLeft w:val="0"/>
      <w:marRight w:val="0"/>
      <w:marTop w:val="0"/>
      <w:marBottom w:val="0"/>
      <w:divBdr>
        <w:top w:val="none" w:sz="0" w:space="0" w:color="auto"/>
        <w:left w:val="none" w:sz="0" w:space="0" w:color="auto"/>
        <w:bottom w:val="none" w:sz="0" w:space="0" w:color="auto"/>
        <w:right w:val="none" w:sz="0" w:space="0" w:color="auto"/>
      </w:divBdr>
    </w:div>
    <w:div w:id="1908760934">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06585816">
      <w:bodyDiv w:val="1"/>
      <w:marLeft w:val="0"/>
      <w:marRight w:val="0"/>
      <w:marTop w:val="0"/>
      <w:marBottom w:val="0"/>
      <w:divBdr>
        <w:top w:val="none" w:sz="0" w:space="0" w:color="auto"/>
        <w:left w:val="none" w:sz="0" w:space="0" w:color="auto"/>
        <w:bottom w:val="none" w:sz="0" w:space="0" w:color="auto"/>
        <w:right w:val="none" w:sz="0" w:space="0" w:color="auto"/>
      </w:divBdr>
    </w:div>
    <w:div w:id="2116898388">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19-14.COM-INF.7-FR.docx" TargetMode="External"/><Relationship Id="rId13" Type="http://schemas.openxmlformats.org/officeDocument/2006/relationships/hyperlink" Target="https://ich.unesco.org/fr/Decisions/7.GA/8" TargetMode="External"/><Relationship Id="rId18" Type="http://schemas.openxmlformats.org/officeDocument/2006/relationships/hyperlink" Target="https://ich.unesco.org/doc/src/LHE-19-14.COM_2.BUR-Decisions-FR.docx" TargetMode="External"/><Relationship Id="rId26" Type="http://schemas.openxmlformats.org/officeDocument/2006/relationships/hyperlink" Target="https://ich.unesco.org/fr/Decisions/8.COM/11" TargetMode="External"/><Relationship Id="rId39"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https://ich.unesco.org/fr/Decisions/8.COM/7.c" TargetMode="External"/><Relationship Id="rId34" Type="http://schemas.openxmlformats.org/officeDocument/2006/relationships/image" Target="media/image3.emf"/><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ch.unesco.org/doc/src/LHE-19-14.COM-6-FR.docx" TargetMode="External"/><Relationship Id="rId17" Type="http://schemas.openxmlformats.org/officeDocument/2006/relationships/hyperlink" Target="https://ich.unesco.org/doc/src/LHE-19-14.COM_1.BUR-Decisions-FR.docx" TargetMode="External"/><Relationship Id="rId25" Type="http://schemas.openxmlformats.org/officeDocument/2006/relationships/hyperlink" Target="https://ich.unesco.org/doc/src/IOS-AUD-2013-06-FR.pdf" TargetMode="External"/><Relationship Id="rId33" Type="http://schemas.openxmlformats.org/officeDocument/2006/relationships/image" Target="media/image2.emf"/><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ich.unesco.org/doc/src/LHE-19-14.COM_2.BUR-Decisions-FR.docx" TargetMode="External"/><Relationship Id="rId20" Type="http://schemas.openxmlformats.org/officeDocument/2006/relationships/hyperlink" Target="https://ich.unesco.org/doc/src/ITH-18-13.COM_2.BUR-Decisions_Rev.-FR.docx" TargetMode="External"/><Relationship Id="rId29" Type="http://schemas.openxmlformats.org/officeDocument/2006/relationships/hyperlink" Target="https://ich.unesco.org/fr/donateurs"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Resolutions/3.GA/9" TargetMode="External"/><Relationship Id="rId24" Type="http://schemas.openxmlformats.org/officeDocument/2006/relationships/hyperlink" Target="https://ich.unesco.org/doc/src/LHE-19-14.COM-5.b-EN.docx" TargetMode="External"/><Relationship Id="rId32" Type="http://schemas.openxmlformats.org/officeDocument/2006/relationships/header" Target="header3.xml"/><Relationship Id="rId37" Type="http://schemas.openxmlformats.org/officeDocument/2006/relationships/image" Target="media/image6.emf"/><Relationship Id="rId40" Type="http://schemas.openxmlformats.org/officeDocument/2006/relationships/image" Target="media/image8.emf"/><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ich.unesco.org/en/Decisions/13.COM/10.d" TargetMode="External"/><Relationship Id="rId23" Type="http://schemas.openxmlformats.org/officeDocument/2006/relationships/hyperlink" Target="https://ich.unesco.org/doc/src/ITH-18-13.COM_2.BUR-Decisions_Rev.-FR.docx" TargetMode="External"/><Relationship Id="rId28" Type="http://schemas.openxmlformats.org/officeDocument/2006/relationships/hyperlink" Target="https://ich.unesco.org/doc/src/LHE-19-14.COM-6-EN.docx" TargetMode="External"/><Relationship Id="rId36" Type="http://schemas.openxmlformats.org/officeDocument/2006/relationships/image" Target="media/image5.emf"/><Relationship Id="rId10" Type="http://schemas.openxmlformats.org/officeDocument/2006/relationships/hyperlink" Target="https://ich.unesco.org/doc/src/00192-FR-PDF.pdf" TargetMode="External"/><Relationship Id="rId19" Type="http://schemas.openxmlformats.org/officeDocument/2006/relationships/hyperlink" Target="https://ich.unesco.org/fr/Decisions/7.GA/8" TargetMode="External"/><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fr/Decisions/7.GA/8" TargetMode="External"/><Relationship Id="rId14" Type="http://schemas.openxmlformats.org/officeDocument/2006/relationships/hyperlink" Target="https://ich.unesco.org/doc/src/ITH-18-13.COM_1.BUR-Decisions-FR.docx" TargetMode="External"/><Relationship Id="rId22" Type="http://schemas.openxmlformats.org/officeDocument/2006/relationships/hyperlink" Target="https://ich.unesco.org/fr/Decisions/12.COM/7" TargetMode="External"/><Relationship Id="rId27" Type="http://schemas.openxmlformats.org/officeDocument/2006/relationships/hyperlink" Target="https://ich.unesco.org/fr/Decisions/8.COM/11" TargetMode="External"/><Relationship Id="rId30" Type="http://schemas.openxmlformats.org/officeDocument/2006/relationships/header" Target="header1.xml"/><Relationship Id="rId35" Type="http://schemas.openxmlformats.org/officeDocument/2006/relationships/image" Target="media/image4.emf"/><Relationship Id="rId43"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D9C8D-7DB4-43AF-A7FB-1231DEF9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2218</Words>
  <Characters>12204</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14</cp:revision>
  <cp:lastPrinted>2019-11-08T16:38:00Z</cp:lastPrinted>
  <dcterms:created xsi:type="dcterms:W3CDTF">2019-11-08T18:11:00Z</dcterms:created>
  <dcterms:modified xsi:type="dcterms:W3CDTF">2019-11-08T21:20:00Z</dcterms:modified>
</cp:coreProperties>
</file>