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66487" w14:textId="7882C62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436B3E06"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043741C0" w14:textId="77777777" w:rsidR="00EC6F8D" w:rsidRPr="00293C60" w:rsidRDefault="00C5776D" w:rsidP="001D14FE">
      <w:pPr>
        <w:spacing w:before="840"/>
        <w:jc w:val="center"/>
        <w:rPr>
          <w:rFonts w:ascii="Arial" w:hAnsi="Arial" w:cs="Arial"/>
          <w:b/>
          <w:sz w:val="22"/>
          <w:szCs w:val="22"/>
          <w:lang w:val="en-GB"/>
        </w:rPr>
      </w:pPr>
      <w:r>
        <w:rPr>
          <w:rFonts w:ascii="Arial" w:eastAsiaTheme="minorEastAsia" w:hAnsi="Arial" w:cs="Arial"/>
          <w:b/>
          <w:sz w:val="22"/>
          <w:szCs w:val="22"/>
          <w:lang w:val="en-GB" w:eastAsia="ko-KR"/>
        </w:rPr>
        <w:t>Fou</w:t>
      </w:r>
      <w:r w:rsidR="001D14FE">
        <w:rPr>
          <w:rFonts w:ascii="Arial" w:eastAsiaTheme="minorEastAsia" w:hAnsi="Arial" w:cs="Arial"/>
          <w:b/>
          <w:sz w:val="22"/>
          <w:szCs w:val="22"/>
          <w:lang w:val="en-GB" w:eastAsia="ko-KR"/>
        </w:rPr>
        <w:t>rteen</w:t>
      </w:r>
      <w:r w:rsidR="00CB0542">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56E226DC" w14:textId="77777777" w:rsidR="00C5776D" w:rsidRPr="00F83405" w:rsidRDefault="00C5776D" w:rsidP="00C5776D">
      <w:pPr>
        <w:jc w:val="center"/>
        <w:rPr>
          <w:rFonts w:ascii="Arial" w:eastAsia="Malgun Gothic" w:hAnsi="Arial" w:cs="Arial"/>
          <w:b/>
          <w:sz w:val="22"/>
          <w:szCs w:val="22"/>
          <w:lang w:val="en-GB" w:eastAsia="ko-KR"/>
        </w:rPr>
      </w:pPr>
      <w:r>
        <w:rPr>
          <w:rFonts w:ascii="Arial" w:eastAsia="Malgun Gothic" w:hAnsi="Arial" w:cs="Arial"/>
          <w:b/>
          <w:sz w:val="22"/>
          <w:szCs w:val="22"/>
          <w:lang w:val="en-GB" w:eastAsia="ko-KR"/>
        </w:rPr>
        <w:t>Bogot</w:t>
      </w:r>
      <w:r w:rsidRPr="0007013D">
        <w:rPr>
          <w:rFonts w:ascii="Arial" w:eastAsia="Malgun Gothic" w:hAnsi="Arial" w:cs="Arial"/>
          <w:b/>
          <w:sz w:val="22"/>
          <w:szCs w:val="22"/>
          <w:lang w:val="en-GB" w:eastAsia="ko-KR"/>
        </w:rPr>
        <w:t>á</w:t>
      </w:r>
      <w:r>
        <w:rPr>
          <w:rFonts w:ascii="Arial" w:eastAsia="Malgun Gothic" w:hAnsi="Arial" w:cs="Arial" w:hint="eastAsia"/>
          <w:b/>
          <w:sz w:val="22"/>
          <w:szCs w:val="22"/>
          <w:lang w:val="en-GB" w:eastAsia="ko-KR"/>
        </w:rPr>
        <w:t xml:space="preserve">, Republic of </w:t>
      </w:r>
      <w:r>
        <w:rPr>
          <w:rFonts w:ascii="Arial" w:eastAsia="Malgun Gothic" w:hAnsi="Arial" w:cs="Arial"/>
          <w:b/>
          <w:sz w:val="22"/>
          <w:szCs w:val="22"/>
          <w:lang w:val="en-GB" w:eastAsia="ko-KR"/>
        </w:rPr>
        <w:t>Colombia</w:t>
      </w:r>
    </w:p>
    <w:p w14:paraId="3CF9A408" w14:textId="77777777" w:rsidR="00EC6F8D" w:rsidRPr="00337CEB" w:rsidRDefault="00C5776D" w:rsidP="00C5776D">
      <w:pPr>
        <w:jc w:val="center"/>
        <w:rPr>
          <w:rFonts w:ascii="Arial" w:eastAsiaTheme="minorEastAsia" w:hAnsi="Arial" w:cs="Arial"/>
          <w:b/>
          <w:sz w:val="22"/>
          <w:szCs w:val="22"/>
          <w:lang w:val="en-GB" w:eastAsia="ko-KR"/>
        </w:rPr>
      </w:pPr>
      <w:r>
        <w:rPr>
          <w:rFonts w:ascii="Arial" w:hAnsi="Arial" w:cs="Arial"/>
          <w:b/>
          <w:sz w:val="22"/>
          <w:szCs w:val="22"/>
          <w:lang w:val="en-GB"/>
        </w:rPr>
        <w:t xml:space="preserve">9 </w:t>
      </w:r>
      <w:r w:rsidRPr="00EC6F8D">
        <w:rPr>
          <w:rFonts w:ascii="Arial" w:hAnsi="Arial" w:cs="Arial"/>
          <w:b/>
          <w:sz w:val="22"/>
          <w:szCs w:val="22"/>
          <w:lang w:val="en-GB"/>
        </w:rPr>
        <w:t xml:space="preserve">to </w:t>
      </w:r>
      <w:r>
        <w:rPr>
          <w:rFonts w:ascii="Arial" w:hAnsi="Arial" w:cs="Arial"/>
          <w:b/>
          <w:sz w:val="22"/>
          <w:szCs w:val="22"/>
          <w:lang w:val="en-GB"/>
        </w:rPr>
        <w:t>14 December 201</w:t>
      </w:r>
      <w:r>
        <w:rPr>
          <w:rFonts w:ascii="Arial" w:eastAsia="Malgun Gothic" w:hAnsi="Arial" w:cs="Arial"/>
          <w:b/>
          <w:sz w:val="22"/>
          <w:szCs w:val="22"/>
          <w:lang w:val="en-GB" w:eastAsia="ko-KR"/>
        </w:rPr>
        <w:t>9</w:t>
      </w:r>
    </w:p>
    <w:p w14:paraId="5016A624" w14:textId="06FECA1E" w:rsidR="00C7136F" w:rsidRDefault="00C7136F" w:rsidP="002C52B6">
      <w:pPr>
        <w:pStyle w:val="Sansinterligne2"/>
        <w:spacing w:before="1200" w:after="1200"/>
        <w:contextualSpacing/>
        <w:jc w:val="center"/>
        <w:rPr>
          <w:rFonts w:ascii="Arial" w:hAnsi="Arial" w:cs="Arial"/>
          <w:b/>
          <w:sz w:val="22"/>
          <w:szCs w:val="22"/>
          <w:lang w:val="en-GB"/>
        </w:rPr>
      </w:pPr>
      <w:r>
        <w:rPr>
          <w:rFonts w:ascii="Arial" w:hAnsi="Arial" w:cs="Arial"/>
          <w:b/>
          <w:sz w:val="22"/>
          <w:szCs w:val="22"/>
          <w:lang w:val="en-GB"/>
        </w:rPr>
        <w:t xml:space="preserve">FINANCIAL </w:t>
      </w:r>
      <w:r w:rsidR="00C279D7">
        <w:rPr>
          <w:rFonts w:ascii="Arial" w:hAnsi="Arial" w:cs="Arial"/>
          <w:b/>
          <w:sz w:val="22"/>
          <w:szCs w:val="22"/>
          <w:lang w:val="en-GB"/>
        </w:rPr>
        <w:t>REPORT</w:t>
      </w:r>
      <w:r w:rsidR="002C52B6" w:rsidRPr="002C52B6">
        <w:rPr>
          <w:rFonts w:ascii="Arial" w:hAnsi="Arial" w:cs="Arial"/>
          <w:b/>
          <w:sz w:val="22"/>
          <w:szCs w:val="22"/>
          <w:lang w:val="en-GB"/>
        </w:rPr>
        <w:t xml:space="preserve"> FOR THE PERIOD</w:t>
      </w:r>
    </w:p>
    <w:p w14:paraId="0FF087C0" w14:textId="77777777" w:rsidR="00EC6F8D" w:rsidRPr="00293C60" w:rsidRDefault="002C52B6" w:rsidP="002C52B6">
      <w:pPr>
        <w:pStyle w:val="Sansinterligne2"/>
        <w:spacing w:before="1200" w:after="1200"/>
        <w:contextualSpacing/>
        <w:jc w:val="center"/>
        <w:rPr>
          <w:rFonts w:ascii="Arial" w:hAnsi="Arial" w:cs="Arial"/>
          <w:b/>
          <w:sz w:val="22"/>
          <w:szCs w:val="22"/>
          <w:lang w:val="en-GB"/>
        </w:rPr>
      </w:pPr>
      <w:r w:rsidRPr="002C52B6">
        <w:rPr>
          <w:rFonts w:ascii="Arial" w:hAnsi="Arial" w:cs="Arial"/>
          <w:b/>
          <w:sz w:val="22"/>
          <w:szCs w:val="22"/>
          <w:lang w:val="en-GB"/>
        </w:rPr>
        <w:t>1 JANUARY 20</w:t>
      </w:r>
      <w:r>
        <w:rPr>
          <w:rFonts w:ascii="Arial" w:hAnsi="Arial" w:cs="Arial"/>
          <w:b/>
          <w:sz w:val="22"/>
          <w:szCs w:val="22"/>
          <w:lang w:val="en-GB"/>
        </w:rPr>
        <w:t>18</w:t>
      </w:r>
      <w:r w:rsidR="00C7136F">
        <w:rPr>
          <w:rFonts w:ascii="Arial" w:hAnsi="Arial" w:cs="Arial"/>
          <w:b/>
          <w:sz w:val="22"/>
          <w:szCs w:val="22"/>
          <w:lang w:val="en-GB"/>
        </w:rPr>
        <w:t xml:space="preserve"> –</w:t>
      </w:r>
      <w:r w:rsidRPr="002C52B6">
        <w:rPr>
          <w:rFonts w:ascii="Arial" w:hAnsi="Arial" w:cs="Arial"/>
          <w:b/>
          <w:sz w:val="22"/>
          <w:szCs w:val="22"/>
          <w:lang w:val="en-GB"/>
        </w:rPr>
        <w:t xml:space="preserve"> 30</w:t>
      </w:r>
      <w:r w:rsidR="00C7136F">
        <w:rPr>
          <w:rFonts w:ascii="Arial" w:hAnsi="Arial" w:cs="Arial"/>
          <w:b/>
          <w:sz w:val="22"/>
          <w:szCs w:val="22"/>
          <w:lang w:val="en-GB"/>
        </w:rPr>
        <w:t xml:space="preserve"> </w:t>
      </w:r>
      <w:r w:rsidRPr="002C52B6">
        <w:rPr>
          <w:rFonts w:ascii="Arial" w:hAnsi="Arial" w:cs="Arial"/>
          <w:b/>
          <w:sz w:val="22"/>
          <w:szCs w:val="22"/>
          <w:lang w:val="en-GB"/>
        </w:rPr>
        <w:t>JUNE 20</w:t>
      </w:r>
      <w:r>
        <w:rPr>
          <w:rFonts w:ascii="Arial" w:hAnsi="Arial" w:cs="Arial"/>
          <w:b/>
          <w:sz w:val="22"/>
          <w:szCs w:val="22"/>
          <w:lang w:val="en-GB"/>
        </w:rPr>
        <w:t>19</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3686A" w14:paraId="5A16F633" w14:textId="77777777" w:rsidTr="00EC6F8D">
        <w:trPr>
          <w:jc w:val="center"/>
        </w:trPr>
        <w:tc>
          <w:tcPr>
            <w:tcW w:w="5670" w:type="dxa"/>
            <w:vAlign w:val="center"/>
          </w:tcPr>
          <w:p w14:paraId="19948DF8"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731725ED" w14:textId="0E3426E6" w:rsidR="00EC6F8D" w:rsidRPr="004B472F" w:rsidRDefault="004B472F" w:rsidP="00954227">
            <w:pPr>
              <w:pStyle w:val="Sansinterligne2"/>
              <w:spacing w:before="200" w:after="200"/>
              <w:jc w:val="both"/>
              <w:rPr>
                <w:rFonts w:ascii="Arial" w:hAnsi="Arial" w:cs="Arial"/>
                <w:sz w:val="22"/>
                <w:szCs w:val="22"/>
                <w:lang w:val="en-GB"/>
              </w:rPr>
            </w:pPr>
            <w:r>
              <w:rPr>
                <w:rFonts w:ascii="Arial" w:hAnsi="Arial" w:cs="Arial"/>
                <w:sz w:val="22"/>
                <w:szCs w:val="22"/>
                <w:lang w:val="en-GB"/>
              </w:rPr>
              <w:t>This</w:t>
            </w:r>
            <w:r w:rsidR="00F37D7D" w:rsidRPr="00BB2DEA">
              <w:rPr>
                <w:rFonts w:ascii="Arial" w:hAnsi="Arial" w:cs="Arial"/>
                <w:sz w:val="22"/>
                <w:szCs w:val="22"/>
                <w:lang w:val="en-GB"/>
              </w:rPr>
              <w:t xml:space="preserve"> document reports on the use of the Intangible Cultural Heritage Fund and presents, in </w:t>
            </w:r>
            <w:r>
              <w:rPr>
                <w:rFonts w:ascii="Arial" w:hAnsi="Arial" w:cs="Arial"/>
                <w:sz w:val="22"/>
                <w:szCs w:val="22"/>
                <w:lang w:val="en-GB"/>
              </w:rPr>
              <w:t xml:space="preserve">its </w:t>
            </w:r>
            <w:r w:rsidR="00F37D7D" w:rsidRPr="00BB2DEA">
              <w:rPr>
                <w:rFonts w:ascii="Arial" w:hAnsi="Arial" w:cs="Arial"/>
                <w:sz w:val="22"/>
                <w:szCs w:val="22"/>
                <w:lang w:val="en-GB"/>
              </w:rPr>
              <w:t>Annex</w:t>
            </w:r>
            <w:r w:rsidR="00C279D7">
              <w:rPr>
                <w:rFonts w:ascii="Arial" w:hAnsi="Arial" w:cs="Arial"/>
                <w:sz w:val="22"/>
                <w:szCs w:val="22"/>
                <w:lang w:val="en-GB"/>
              </w:rPr>
              <w:t>es</w:t>
            </w:r>
            <w:r w:rsidR="00F37D7D" w:rsidRPr="00BB2DEA">
              <w:rPr>
                <w:rFonts w:ascii="Arial" w:hAnsi="Arial" w:cs="Arial"/>
                <w:sz w:val="22"/>
                <w:szCs w:val="22"/>
                <w:lang w:val="en-GB"/>
              </w:rPr>
              <w:t>, the Financial Report for the period 1</w:t>
            </w:r>
            <w:r w:rsidR="00F37D7D" w:rsidRPr="00BB2DEA">
              <w:rPr>
                <w:rFonts w:ascii="Arial" w:hAnsi="Arial" w:cs="Arial"/>
                <w:sz w:val="22"/>
                <w:szCs w:val="22"/>
                <w:lang w:val="en-US"/>
              </w:rPr>
              <w:t> </w:t>
            </w:r>
            <w:r w:rsidR="00F37D7D" w:rsidRPr="00BB2DEA">
              <w:rPr>
                <w:rFonts w:ascii="Arial" w:hAnsi="Arial" w:cs="Arial"/>
                <w:sz w:val="22"/>
                <w:szCs w:val="22"/>
                <w:lang w:val="en-GB"/>
              </w:rPr>
              <w:t>January</w:t>
            </w:r>
            <w:r w:rsidR="00F37D7D" w:rsidRPr="00BB2DEA">
              <w:rPr>
                <w:rFonts w:ascii="Arial" w:hAnsi="Arial" w:cs="Arial"/>
                <w:sz w:val="22"/>
                <w:szCs w:val="22"/>
                <w:lang w:val="en-US"/>
              </w:rPr>
              <w:t> </w:t>
            </w:r>
            <w:r w:rsidR="00F37D7D">
              <w:rPr>
                <w:rFonts w:ascii="Arial" w:hAnsi="Arial" w:cs="Arial"/>
                <w:sz w:val="22"/>
                <w:szCs w:val="22"/>
                <w:lang w:val="en-GB"/>
              </w:rPr>
              <w:t>201</w:t>
            </w:r>
            <w:r w:rsidR="00C279D7">
              <w:rPr>
                <w:rFonts w:ascii="Arial" w:hAnsi="Arial" w:cs="Arial"/>
                <w:sz w:val="22"/>
                <w:szCs w:val="22"/>
                <w:lang w:val="en-GB"/>
              </w:rPr>
              <w:t>8</w:t>
            </w:r>
            <w:r w:rsidR="00F37D7D">
              <w:rPr>
                <w:rFonts w:ascii="Arial" w:hAnsi="Arial" w:cs="Arial"/>
                <w:sz w:val="22"/>
                <w:szCs w:val="22"/>
                <w:lang w:val="en-GB"/>
              </w:rPr>
              <w:t xml:space="preserve"> to 30 June 20</w:t>
            </w:r>
            <w:r w:rsidR="00C279D7">
              <w:rPr>
                <w:rFonts w:ascii="Arial" w:hAnsi="Arial" w:cs="Arial"/>
                <w:sz w:val="22"/>
                <w:szCs w:val="22"/>
                <w:lang w:val="en-GB"/>
              </w:rPr>
              <w:t>19</w:t>
            </w:r>
            <w:r w:rsidR="00954227">
              <w:rPr>
                <w:rFonts w:ascii="Arial" w:hAnsi="Arial" w:cs="Arial"/>
                <w:sz w:val="22"/>
                <w:szCs w:val="22"/>
                <w:lang w:val="en-GB"/>
              </w:rPr>
              <w:t>.</w:t>
            </w:r>
          </w:p>
        </w:tc>
      </w:tr>
    </w:tbl>
    <w:p w14:paraId="3DEFDB2B" w14:textId="77777777" w:rsidR="006543DB" w:rsidRPr="00304951" w:rsidRDefault="00655736" w:rsidP="004B472F">
      <w:pPr>
        <w:pStyle w:val="Titre4"/>
        <w:keepNext w:val="0"/>
        <w:keepLines w:val="0"/>
        <w:numPr>
          <w:ilvl w:val="0"/>
          <w:numId w:val="0"/>
        </w:numPr>
        <w:spacing w:before="240"/>
        <w:jc w:val="both"/>
      </w:pPr>
      <w:r w:rsidRPr="00414643">
        <w:br w:type="page"/>
      </w:r>
    </w:p>
    <w:p w14:paraId="35B7D5E4" w14:textId="099D92AE" w:rsidR="005850F3" w:rsidRDefault="005850F3" w:rsidP="005850F3">
      <w:pPr>
        <w:pStyle w:val="COMPara"/>
        <w:numPr>
          <w:ilvl w:val="0"/>
          <w:numId w:val="13"/>
        </w:numPr>
        <w:tabs>
          <w:tab w:val="left" w:pos="567"/>
        </w:tabs>
        <w:ind w:left="567" w:hanging="567"/>
        <w:jc w:val="both"/>
      </w:pPr>
      <w:r w:rsidRPr="00785AA3">
        <w:lastRenderedPageBreak/>
        <w:t xml:space="preserve">The Financial </w:t>
      </w:r>
      <w:r w:rsidRPr="00BB2DEA">
        <w:t xml:space="preserve">Report in </w:t>
      </w:r>
      <w:hyperlink r:id="rId8" w:history="1">
        <w:r w:rsidR="00B61451" w:rsidRPr="00EA2D77">
          <w:rPr>
            <w:rStyle w:val="Lienhypertexte"/>
          </w:rPr>
          <w:t>d</w:t>
        </w:r>
        <w:r w:rsidRPr="00EA2D77">
          <w:rPr>
            <w:rStyle w:val="Lienhypertexte"/>
          </w:rPr>
          <w:t xml:space="preserve">ocument </w:t>
        </w:r>
        <w:r w:rsidR="00D140FF" w:rsidRPr="00EA2D77">
          <w:rPr>
            <w:rStyle w:val="Lienhypertexte"/>
          </w:rPr>
          <w:t>LHE</w:t>
        </w:r>
        <w:r w:rsidRPr="00EA2D77">
          <w:rPr>
            <w:rStyle w:val="Lienhypertexte"/>
          </w:rPr>
          <w:t>/19/14.COM/INF.7</w:t>
        </w:r>
      </w:hyperlink>
      <w:r w:rsidRPr="00785AA3">
        <w:t xml:space="preserve"> cover</w:t>
      </w:r>
      <w:r>
        <w:t>s the period 1 January 2018 to 30</w:t>
      </w:r>
      <w:r w:rsidRPr="00785AA3">
        <w:t> </w:t>
      </w:r>
      <w:r>
        <w:t>June 2019</w:t>
      </w:r>
      <w:r w:rsidRPr="00785AA3">
        <w:t>, during w</w:t>
      </w:r>
      <w:r w:rsidRPr="00BE68D8">
        <w:t xml:space="preserve">hich the </w:t>
      </w:r>
      <w:r w:rsidR="00B61451" w:rsidRPr="00BE68D8">
        <w:t xml:space="preserve">Intangible Cultural Heritage Special Account </w:t>
      </w:r>
      <w:r w:rsidR="00B61451" w:rsidRPr="00A352F6">
        <w:t xml:space="preserve">(hereafter </w:t>
      </w:r>
      <w:r w:rsidR="00B61451">
        <w:t>‘</w:t>
      </w:r>
      <w:r w:rsidR="00B61451" w:rsidRPr="00A352F6">
        <w:t>the Fund</w:t>
      </w:r>
      <w:r w:rsidR="00B61451">
        <w:t>’</w:t>
      </w:r>
      <w:r w:rsidR="00B61451" w:rsidRPr="00A352F6">
        <w:t>)</w:t>
      </w:r>
      <w:r w:rsidR="00B61451" w:rsidRPr="00BC1302" w:rsidDel="00601C54">
        <w:t xml:space="preserve"> </w:t>
      </w:r>
      <w:r w:rsidRPr="00A352F6">
        <w:t>was</w:t>
      </w:r>
      <w:r w:rsidRPr="00785AA3">
        <w:t xml:space="preserve"> used according to the Plan approved by the </w:t>
      </w:r>
      <w:r>
        <w:t>seventh</w:t>
      </w:r>
      <w:r w:rsidRPr="00785AA3">
        <w:t xml:space="preserve"> session of t</w:t>
      </w:r>
      <w:r>
        <w:t>he General Assembly in June 2018</w:t>
      </w:r>
      <w:r w:rsidRPr="00785AA3">
        <w:t xml:space="preserve"> (</w:t>
      </w:r>
      <w:hyperlink r:id="rId9" w:history="1">
        <w:r>
          <w:rPr>
            <w:rStyle w:val="Lienhypertexte"/>
          </w:rPr>
          <w:t>Resolution</w:t>
        </w:r>
        <w:r w:rsidR="00C54E91">
          <w:rPr>
            <w:rStyle w:val="Lienhypertexte"/>
          </w:rPr>
          <w:t> </w:t>
        </w:r>
        <w:r>
          <w:rPr>
            <w:rStyle w:val="Lienhypertexte"/>
          </w:rPr>
          <w:t>7</w:t>
        </w:r>
        <w:r w:rsidRPr="00024E4E">
          <w:rPr>
            <w:rStyle w:val="Lienhypertexte"/>
          </w:rPr>
          <w:t>.GA </w:t>
        </w:r>
      </w:hyperlink>
      <w:r>
        <w:rPr>
          <w:rStyle w:val="Lienhypertexte"/>
        </w:rPr>
        <w:t>8</w:t>
      </w:r>
      <w:r w:rsidRPr="00785AA3">
        <w:t xml:space="preserve">). </w:t>
      </w:r>
      <w:r>
        <w:t>According to Article 7.5 of the Financial Regulations</w:t>
      </w:r>
      <w:r w:rsidR="00B61451">
        <w:t xml:space="preserve"> of the Fund</w:t>
      </w:r>
      <w:r>
        <w:t>, a</w:t>
      </w:r>
      <w:r w:rsidRPr="00785AA3">
        <w:t xml:space="preserve"> financial report for the</w:t>
      </w:r>
      <w:r>
        <w:t xml:space="preserve"> entire biennium (1 January 2018 to 31 December 2019</w:t>
      </w:r>
      <w:r w:rsidRPr="00785AA3">
        <w:t xml:space="preserve">) will be </w:t>
      </w:r>
      <w:r>
        <w:t>submitted</w:t>
      </w:r>
      <w:r w:rsidRPr="00785AA3">
        <w:t xml:space="preserve"> to the General Assembly of the States Parties </w:t>
      </w:r>
      <w:r>
        <w:t>at</w:t>
      </w:r>
      <w:r w:rsidRPr="00785AA3">
        <w:t xml:space="preserve"> its </w:t>
      </w:r>
      <w:r>
        <w:t>eighth</w:t>
      </w:r>
      <w:r w:rsidRPr="00785AA3">
        <w:t xml:space="preserve"> session</w:t>
      </w:r>
      <w:r w:rsidR="00B61451">
        <w:t xml:space="preserve"> in June 2020</w:t>
      </w:r>
      <w:r w:rsidRPr="00785AA3">
        <w:t>.</w:t>
      </w:r>
    </w:p>
    <w:p w14:paraId="68955A6D" w14:textId="67FA98C3" w:rsidR="00B61451" w:rsidRDefault="002318D6" w:rsidP="00053504">
      <w:pPr>
        <w:pStyle w:val="COMPara"/>
        <w:numPr>
          <w:ilvl w:val="0"/>
          <w:numId w:val="13"/>
        </w:numPr>
        <w:tabs>
          <w:tab w:val="left" w:pos="567"/>
        </w:tabs>
        <w:ind w:left="567" w:hanging="567"/>
        <w:jc w:val="both"/>
      </w:pPr>
      <w:r>
        <w:t xml:space="preserve">The Fund is governed by the </w:t>
      </w:r>
      <w:r w:rsidRPr="00BC1302">
        <w:t>Financial Re</w:t>
      </w:r>
      <w:r w:rsidRPr="00303F35">
        <w:t>gulations of the Special Account for the Fund for the Safeguarding of the Intangible Cultural Heritage, adopted by the</w:t>
      </w:r>
      <w:r w:rsidRPr="00785AA3">
        <w:t xml:space="preserve"> Committee at its first extraordinary session (</w:t>
      </w:r>
      <w:hyperlink r:id="rId10" w:history="1">
        <w:r w:rsidRPr="00785AA3">
          <w:rPr>
            <w:rStyle w:val="Lienhypertexte"/>
          </w:rPr>
          <w:t>Decision</w:t>
        </w:r>
        <w:r>
          <w:rPr>
            <w:rStyle w:val="Lienhypertexte"/>
          </w:rPr>
          <w:t> </w:t>
        </w:r>
        <w:r w:rsidRPr="00785AA3">
          <w:rPr>
            <w:rStyle w:val="Lienhypertexte"/>
          </w:rPr>
          <w:t>1.EXT.COM 9</w:t>
        </w:r>
      </w:hyperlink>
      <w:r w:rsidRPr="00785AA3">
        <w:t>)</w:t>
      </w:r>
      <w:r>
        <w:t xml:space="preserve">. Its </w:t>
      </w:r>
      <w:r w:rsidR="00DA5CF9">
        <w:t xml:space="preserve">sources of income are governed by </w:t>
      </w:r>
      <w:r w:rsidR="00E25D45" w:rsidRPr="00BE68D8">
        <w:t>Article 25.3 of the Convention</w:t>
      </w:r>
      <w:r>
        <w:t xml:space="preserve"> and Article 4 of the above-mentioned Financial </w:t>
      </w:r>
      <w:r w:rsidR="009E6360">
        <w:t>Regulations</w:t>
      </w:r>
      <w:r w:rsidR="00E25D45" w:rsidRPr="00785AA3">
        <w:t>.</w:t>
      </w:r>
    </w:p>
    <w:p w14:paraId="44BAF631" w14:textId="77777777" w:rsidR="00E25D45" w:rsidRDefault="00E25D45" w:rsidP="00E25D45">
      <w:pPr>
        <w:pStyle w:val="COMPara"/>
        <w:numPr>
          <w:ilvl w:val="0"/>
          <w:numId w:val="13"/>
        </w:numPr>
        <w:tabs>
          <w:tab w:val="left" w:pos="567"/>
        </w:tabs>
        <w:ind w:left="567" w:hanging="567"/>
        <w:jc w:val="both"/>
      </w:pPr>
      <w:r w:rsidRPr="00785AA3">
        <w:t xml:space="preserve">Expenditures </w:t>
      </w:r>
      <w:r>
        <w:t xml:space="preserve">of non-earmarked contributions </w:t>
      </w:r>
      <w:r w:rsidRPr="00785AA3">
        <w:t xml:space="preserve">are governed by the Plan for the use of the resources of the Fund, </w:t>
      </w:r>
      <w:r>
        <w:t xml:space="preserve">which is </w:t>
      </w:r>
      <w:r w:rsidRPr="00785AA3">
        <w:t>adopted each biennium by the General Assembly</w:t>
      </w:r>
      <w:r>
        <w:t xml:space="preserve"> according to </w:t>
      </w:r>
      <w:r w:rsidRPr="00785AA3">
        <w:t>Article 7 (c) of the Convention</w:t>
      </w:r>
      <w:r>
        <w:t>. In accordance with Article 25.5 of the Convention, the Committee approves earmarked contributions made to the Fund and t</w:t>
      </w:r>
      <w:r w:rsidRPr="00785AA3">
        <w:t xml:space="preserve">heir use does not follow the two-yearly accounting </w:t>
      </w:r>
      <w:r>
        <w:t>period.</w:t>
      </w:r>
    </w:p>
    <w:p w14:paraId="53839389" w14:textId="01C4F942" w:rsidR="006543DB" w:rsidRPr="00785AA3" w:rsidRDefault="006543DB" w:rsidP="006543DB">
      <w:pPr>
        <w:pStyle w:val="Default"/>
        <w:keepNext/>
        <w:numPr>
          <w:ilvl w:val="0"/>
          <w:numId w:val="16"/>
        </w:numPr>
        <w:spacing w:before="240" w:after="120"/>
        <w:ind w:left="567" w:hanging="567"/>
        <w:jc w:val="both"/>
        <w:rPr>
          <w:b/>
          <w:bCs/>
          <w:sz w:val="22"/>
          <w:szCs w:val="22"/>
          <w:lang w:val="en-GB"/>
        </w:rPr>
      </w:pPr>
      <w:r w:rsidRPr="00785AA3">
        <w:rPr>
          <w:b/>
          <w:bCs/>
          <w:sz w:val="22"/>
          <w:szCs w:val="22"/>
          <w:lang w:val="en-GB"/>
        </w:rPr>
        <w:t xml:space="preserve">Income </w:t>
      </w:r>
      <w:r w:rsidR="00E978E1">
        <w:rPr>
          <w:rFonts w:eastAsia="MS Mincho" w:cs="Times New Roman"/>
          <w:b/>
          <w:bCs/>
          <w:color w:val="auto"/>
          <w:sz w:val="22"/>
          <w:lang w:val="en-GB"/>
        </w:rPr>
        <w:t>(S</w:t>
      </w:r>
      <w:r w:rsidRPr="00785AA3">
        <w:rPr>
          <w:rFonts w:eastAsia="MS Mincho" w:cs="Times New Roman"/>
          <w:b/>
          <w:bCs/>
          <w:color w:val="auto"/>
          <w:sz w:val="22"/>
          <w:lang w:val="en-GB"/>
        </w:rPr>
        <w:t>tatement I)</w:t>
      </w:r>
      <w:r w:rsidRPr="00785AA3">
        <w:rPr>
          <w:rStyle w:val="Appelnotedebasdep"/>
          <w:b/>
          <w:bCs/>
          <w:sz w:val="22"/>
          <w:szCs w:val="22"/>
          <w:lang w:val="en-GB"/>
        </w:rPr>
        <w:footnoteReference w:id="1"/>
      </w:r>
    </w:p>
    <w:p w14:paraId="79BFD186" w14:textId="77777777" w:rsidR="006543DB" w:rsidRDefault="006543DB" w:rsidP="006543DB">
      <w:pPr>
        <w:pStyle w:val="COMPara"/>
        <w:numPr>
          <w:ilvl w:val="0"/>
          <w:numId w:val="13"/>
        </w:numPr>
        <w:tabs>
          <w:tab w:val="left" w:pos="567"/>
        </w:tabs>
        <w:ind w:left="567" w:hanging="567"/>
        <w:jc w:val="both"/>
      </w:pPr>
      <w:r w:rsidRPr="00785AA3">
        <w:t>During the reporting period</w:t>
      </w:r>
      <w:r w:rsidR="002A07F6">
        <w:t xml:space="preserve"> (1 January 2018 – 30 June 2019)</w:t>
      </w:r>
      <w:r w:rsidRPr="00785AA3">
        <w:t xml:space="preserve">, </w:t>
      </w:r>
      <w:r>
        <w:t xml:space="preserve">the </w:t>
      </w:r>
      <w:r w:rsidRPr="00785AA3">
        <w:t xml:space="preserve">income </w:t>
      </w:r>
      <w:r>
        <w:t>of</w:t>
      </w:r>
      <w:r w:rsidRPr="00785AA3">
        <w:t xml:space="preserve"> the Fund consisted of:</w:t>
      </w:r>
    </w:p>
    <w:tbl>
      <w:tblPr>
        <w:tblW w:w="9072" w:type="dxa"/>
        <w:tblInd w:w="567" w:type="dxa"/>
        <w:tblLayout w:type="fixed"/>
        <w:tblLook w:val="04A0" w:firstRow="1" w:lastRow="0" w:firstColumn="1" w:lastColumn="0" w:noHBand="0" w:noVBand="1"/>
      </w:tblPr>
      <w:tblGrid>
        <w:gridCol w:w="7225"/>
        <w:gridCol w:w="1847"/>
      </w:tblGrid>
      <w:tr w:rsidR="006543DB" w:rsidRPr="00F3686A" w14:paraId="3CB62EA6" w14:textId="77777777" w:rsidTr="000C2080">
        <w:trPr>
          <w:cantSplit/>
        </w:trPr>
        <w:tc>
          <w:tcPr>
            <w:tcW w:w="7225" w:type="dxa"/>
            <w:shd w:val="clear" w:color="auto" w:fill="auto"/>
            <w:vAlign w:val="center"/>
          </w:tcPr>
          <w:p w14:paraId="4ED5EAF4" w14:textId="77777777" w:rsidR="006543DB" w:rsidRPr="00785AA3" w:rsidRDefault="006543DB" w:rsidP="006543DB">
            <w:pPr>
              <w:pStyle w:val="Paragraph"/>
              <w:numPr>
                <w:ilvl w:val="0"/>
                <w:numId w:val="19"/>
              </w:numPr>
              <w:spacing w:before="60" w:after="60"/>
              <w:ind w:left="357" w:hanging="357"/>
              <w:jc w:val="left"/>
              <w:rPr>
                <w:rFonts w:eastAsia="MS Mincho"/>
                <w:bCs w:val="0"/>
                <w:sz w:val="20"/>
                <w:szCs w:val="20"/>
              </w:rPr>
            </w:pPr>
            <w:r>
              <w:rPr>
                <w:bCs w:val="0"/>
                <w:sz w:val="20"/>
                <w:szCs w:val="20"/>
                <w:u w:val="single"/>
              </w:rPr>
              <w:t>C</w:t>
            </w:r>
            <w:r w:rsidRPr="00785AA3">
              <w:rPr>
                <w:bCs w:val="0"/>
                <w:sz w:val="20"/>
                <w:szCs w:val="20"/>
                <w:u w:val="single"/>
              </w:rPr>
              <w:t>ompulsory and voluntary</w:t>
            </w:r>
            <w:r>
              <w:rPr>
                <w:bCs w:val="0"/>
                <w:sz w:val="20"/>
                <w:szCs w:val="20"/>
                <w:u w:val="single"/>
              </w:rPr>
              <w:t xml:space="preserve"> assessed</w:t>
            </w:r>
            <w:r w:rsidRPr="00785AA3">
              <w:rPr>
                <w:bCs w:val="0"/>
                <w:sz w:val="20"/>
                <w:szCs w:val="20"/>
                <w:u w:val="single"/>
              </w:rPr>
              <w:t xml:space="preserve"> contributions from States Parties</w:t>
            </w:r>
            <w:r w:rsidRPr="00785AA3">
              <w:rPr>
                <w:rStyle w:val="Appelnotedebasdep"/>
                <w:bCs w:val="0"/>
                <w:sz w:val="20"/>
                <w:szCs w:val="20"/>
              </w:rPr>
              <w:footnoteReference w:id="2"/>
            </w:r>
          </w:p>
        </w:tc>
        <w:tc>
          <w:tcPr>
            <w:tcW w:w="1847" w:type="dxa"/>
            <w:shd w:val="clear" w:color="auto" w:fill="auto"/>
            <w:vAlign w:val="center"/>
          </w:tcPr>
          <w:p w14:paraId="7FA3746B" w14:textId="77777777" w:rsidR="006543DB" w:rsidRPr="00785AA3" w:rsidRDefault="006543DB" w:rsidP="000C2080">
            <w:pPr>
              <w:pStyle w:val="Paragraph"/>
              <w:spacing w:before="60" w:after="60"/>
              <w:jc w:val="right"/>
              <w:rPr>
                <w:bCs w:val="0"/>
                <w:sz w:val="20"/>
                <w:szCs w:val="20"/>
              </w:rPr>
            </w:pPr>
            <w:r w:rsidRPr="00785AA3">
              <w:rPr>
                <w:bCs w:val="0"/>
                <w:sz w:val="20"/>
                <w:szCs w:val="20"/>
              </w:rPr>
              <w:br/>
            </w:r>
          </w:p>
        </w:tc>
      </w:tr>
      <w:tr w:rsidR="006543DB" w:rsidRPr="00785AA3" w14:paraId="28DE893B" w14:textId="77777777" w:rsidTr="000C2080">
        <w:trPr>
          <w:cantSplit/>
        </w:trPr>
        <w:tc>
          <w:tcPr>
            <w:tcW w:w="7225" w:type="dxa"/>
            <w:shd w:val="clear" w:color="auto" w:fill="auto"/>
            <w:vAlign w:val="center"/>
          </w:tcPr>
          <w:p w14:paraId="342860DC" w14:textId="77777777" w:rsidR="006543DB" w:rsidRPr="00785AA3" w:rsidRDefault="006543DB" w:rsidP="005850F3">
            <w:pPr>
              <w:pStyle w:val="Paragraph"/>
              <w:spacing w:before="60" w:after="60"/>
              <w:ind w:left="317"/>
              <w:jc w:val="left"/>
              <w:rPr>
                <w:rFonts w:eastAsia="MS Mincho"/>
                <w:bCs w:val="0"/>
                <w:sz w:val="20"/>
                <w:szCs w:val="20"/>
              </w:rPr>
            </w:pPr>
            <w:r>
              <w:rPr>
                <w:rFonts w:eastAsia="MS Mincho"/>
                <w:bCs w:val="0"/>
                <w:sz w:val="20"/>
                <w:szCs w:val="20"/>
              </w:rPr>
              <w:t xml:space="preserve">Compulsory contributions </w:t>
            </w:r>
            <w:r w:rsidR="009E6360">
              <w:rPr>
                <w:rFonts w:eastAsia="MS Mincho"/>
                <w:bCs w:val="0"/>
                <w:sz w:val="20"/>
                <w:szCs w:val="20"/>
              </w:rPr>
              <w:t>from</w:t>
            </w:r>
            <w:r>
              <w:rPr>
                <w:rFonts w:eastAsia="MS Mincho"/>
                <w:bCs w:val="0"/>
                <w:sz w:val="20"/>
                <w:szCs w:val="20"/>
              </w:rPr>
              <w:t xml:space="preserve"> </w:t>
            </w:r>
            <w:r w:rsidR="005850F3" w:rsidRPr="007B3E7D">
              <w:rPr>
                <w:rFonts w:eastAsia="MS Mincho"/>
                <w:bCs w:val="0"/>
                <w:sz w:val="20"/>
                <w:szCs w:val="20"/>
              </w:rPr>
              <w:t>173</w:t>
            </w:r>
            <w:r w:rsidRPr="00785AA3">
              <w:rPr>
                <w:rFonts w:eastAsia="MS Mincho"/>
                <w:bCs w:val="0"/>
                <w:sz w:val="20"/>
                <w:szCs w:val="20"/>
              </w:rPr>
              <w:t xml:space="preserve"> States Parties to the Convention, as described in Article 26.1 of the Convention</w:t>
            </w:r>
            <w:r>
              <w:rPr>
                <w:rFonts w:eastAsia="MS Mincho"/>
                <w:bCs w:val="0"/>
                <w:sz w:val="20"/>
                <w:szCs w:val="20"/>
              </w:rPr>
              <w:t>.</w:t>
            </w:r>
          </w:p>
        </w:tc>
        <w:tc>
          <w:tcPr>
            <w:tcW w:w="1847" w:type="dxa"/>
            <w:shd w:val="clear" w:color="auto" w:fill="auto"/>
            <w:vAlign w:val="center"/>
          </w:tcPr>
          <w:p w14:paraId="0C18A780" w14:textId="77777777" w:rsidR="006543DB" w:rsidRPr="00785AA3" w:rsidRDefault="006543DB" w:rsidP="005850F3">
            <w:pPr>
              <w:pStyle w:val="Paragraph"/>
              <w:spacing w:before="60" w:after="60"/>
              <w:jc w:val="right"/>
              <w:rPr>
                <w:rFonts w:eastAsia="MS Mincho"/>
                <w:bCs w:val="0"/>
                <w:sz w:val="20"/>
                <w:szCs w:val="20"/>
              </w:rPr>
            </w:pPr>
            <w:r>
              <w:rPr>
                <w:bCs w:val="0"/>
                <w:sz w:val="20"/>
                <w:szCs w:val="20"/>
              </w:rPr>
              <w:t>US$3,</w:t>
            </w:r>
            <w:r w:rsidR="005850F3">
              <w:rPr>
                <w:bCs w:val="0"/>
                <w:sz w:val="20"/>
                <w:szCs w:val="20"/>
              </w:rPr>
              <w:t>629</w:t>
            </w:r>
            <w:r>
              <w:rPr>
                <w:bCs w:val="0"/>
                <w:sz w:val="20"/>
                <w:szCs w:val="20"/>
              </w:rPr>
              <w:t>,7</w:t>
            </w:r>
            <w:r w:rsidR="005850F3">
              <w:rPr>
                <w:bCs w:val="0"/>
                <w:sz w:val="20"/>
                <w:szCs w:val="20"/>
              </w:rPr>
              <w:t>86</w:t>
            </w:r>
          </w:p>
        </w:tc>
      </w:tr>
      <w:tr w:rsidR="006543DB" w:rsidRPr="00785AA3" w14:paraId="45CFA26B" w14:textId="77777777" w:rsidTr="000C2080">
        <w:trPr>
          <w:cantSplit/>
        </w:trPr>
        <w:tc>
          <w:tcPr>
            <w:tcW w:w="7225" w:type="dxa"/>
            <w:shd w:val="clear" w:color="auto" w:fill="auto"/>
            <w:vAlign w:val="center"/>
          </w:tcPr>
          <w:p w14:paraId="7C436AF5" w14:textId="77777777" w:rsidR="006543DB" w:rsidRPr="00785AA3" w:rsidRDefault="006543DB" w:rsidP="005850F3">
            <w:pPr>
              <w:pStyle w:val="Paragraph"/>
              <w:spacing w:before="60" w:after="60"/>
              <w:ind w:left="317"/>
              <w:jc w:val="left"/>
              <w:rPr>
                <w:rFonts w:eastAsia="MS Mincho"/>
                <w:bCs w:val="0"/>
                <w:sz w:val="20"/>
                <w:szCs w:val="20"/>
              </w:rPr>
            </w:pPr>
            <w:r w:rsidRPr="00785AA3">
              <w:rPr>
                <w:rFonts w:eastAsia="MS Mincho"/>
                <w:bCs w:val="0"/>
                <w:sz w:val="20"/>
                <w:szCs w:val="20"/>
              </w:rPr>
              <w:t xml:space="preserve">Voluntary contributions </w:t>
            </w:r>
            <w:r>
              <w:rPr>
                <w:rFonts w:eastAsia="MS Mincho"/>
                <w:bCs w:val="0"/>
                <w:sz w:val="20"/>
                <w:szCs w:val="20"/>
              </w:rPr>
              <w:t>received from</w:t>
            </w:r>
            <w:r w:rsidRPr="00785AA3">
              <w:rPr>
                <w:rFonts w:eastAsia="MS Mincho"/>
                <w:bCs w:val="0"/>
                <w:sz w:val="20"/>
                <w:szCs w:val="20"/>
              </w:rPr>
              <w:t xml:space="preserve"> </w:t>
            </w:r>
            <w:r w:rsidR="005850F3" w:rsidRPr="007B3E7D">
              <w:rPr>
                <w:rFonts w:eastAsia="MS Mincho"/>
                <w:bCs w:val="0"/>
                <w:sz w:val="20"/>
                <w:szCs w:val="20"/>
              </w:rPr>
              <w:t>two</w:t>
            </w:r>
            <w:r w:rsidRPr="007B3E7D">
              <w:rPr>
                <w:rFonts w:eastAsia="MS Mincho"/>
                <w:bCs w:val="0"/>
                <w:sz w:val="20"/>
                <w:szCs w:val="20"/>
              </w:rPr>
              <w:t xml:space="preserve"> of the five</w:t>
            </w:r>
            <w:r w:rsidRPr="00785AA3">
              <w:rPr>
                <w:rFonts w:eastAsia="MS Mincho"/>
                <w:bCs w:val="0"/>
                <w:sz w:val="20"/>
                <w:szCs w:val="20"/>
              </w:rPr>
              <w:t xml:space="preserve"> States Parties which, at the time of their ratification, had recourse to Article 26.2 of the Convention</w:t>
            </w:r>
            <w:r>
              <w:rPr>
                <w:rFonts w:eastAsia="MS Mincho"/>
                <w:bCs w:val="0"/>
                <w:sz w:val="20"/>
                <w:szCs w:val="20"/>
              </w:rPr>
              <w:t>.</w:t>
            </w:r>
          </w:p>
        </w:tc>
        <w:tc>
          <w:tcPr>
            <w:tcW w:w="1847" w:type="dxa"/>
            <w:shd w:val="clear" w:color="auto" w:fill="auto"/>
            <w:vAlign w:val="center"/>
          </w:tcPr>
          <w:p w14:paraId="416B20A1" w14:textId="77777777" w:rsidR="006543DB" w:rsidRPr="00785AA3" w:rsidRDefault="006543DB" w:rsidP="005850F3">
            <w:pPr>
              <w:pStyle w:val="Paragraph"/>
              <w:spacing w:before="60" w:after="60"/>
              <w:jc w:val="right"/>
              <w:rPr>
                <w:rFonts w:eastAsia="MS Mincho"/>
                <w:bCs w:val="0"/>
                <w:sz w:val="20"/>
                <w:szCs w:val="20"/>
              </w:rPr>
            </w:pPr>
            <w:r>
              <w:rPr>
                <w:bCs w:val="0"/>
                <w:sz w:val="20"/>
                <w:szCs w:val="20"/>
              </w:rPr>
              <w:t>US$</w:t>
            </w:r>
            <w:r w:rsidR="005850F3">
              <w:rPr>
                <w:bCs w:val="0"/>
                <w:sz w:val="20"/>
                <w:szCs w:val="20"/>
              </w:rPr>
              <w:t>363</w:t>
            </w:r>
            <w:r>
              <w:rPr>
                <w:bCs w:val="0"/>
                <w:sz w:val="20"/>
                <w:szCs w:val="20"/>
              </w:rPr>
              <w:t>,</w:t>
            </w:r>
            <w:r w:rsidR="005850F3">
              <w:rPr>
                <w:bCs w:val="0"/>
                <w:sz w:val="20"/>
                <w:szCs w:val="20"/>
              </w:rPr>
              <w:t>2</w:t>
            </w:r>
            <w:r>
              <w:rPr>
                <w:bCs w:val="0"/>
                <w:sz w:val="20"/>
                <w:szCs w:val="20"/>
              </w:rPr>
              <w:t>6</w:t>
            </w:r>
            <w:r w:rsidR="005850F3">
              <w:rPr>
                <w:bCs w:val="0"/>
                <w:sz w:val="20"/>
                <w:szCs w:val="20"/>
              </w:rPr>
              <w:t>0</w:t>
            </w:r>
          </w:p>
        </w:tc>
      </w:tr>
      <w:tr w:rsidR="006543DB" w:rsidRPr="00785AA3" w14:paraId="6B3AB523" w14:textId="77777777" w:rsidTr="000C2080">
        <w:trPr>
          <w:cantSplit/>
        </w:trPr>
        <w:tc>
          <w:tcPr>
            <w:tcW w:w="7225" w:type="dxa"/>
            <w:shd w:val="clear" w:color="auto" w:fill="auto"/>
            <w:vAlign w:val="center"/>
          </w:tcPr>
          <w:p w14:paraId="4996CC38" w14:textId="77777777" w:rsidR="006543DB" w:rsidRPr="00785AA3" w:rsidRDefault="006543DB" w:rsidP="00B61451">
            <w:pPr>
              <w:pStyle w:val="Paragraph"/>
              <w:keepNext/>
              <w:numPr>
                <w:ilvl w:val="0"/>
                <w:numId w:val="19"/>
              </w:numPr>
              <w:spacing w:before="240" w:after="60"/>
              <w:ind w:left="357" w:hanging="357"/>
              <w:jc w:val="left"/>
              <w:rPr>
                <w:rFonts w:eastAsia="MS Mincho"/>
                <w:bCs w:val="0"/>
                <w:sz w:val="20"/>
                <w:szCs w:val="20"/>
              </w:rPr>
            </w:pPr>
            <w:r w:rsidRPr="00785AA3">
              <w:rPr>
                <w:rFonts w:eastAsia="MS Mincho"/>
                <w:bCs w:val="0"/>
                <w:sz w:val="20"/>
                <w:szCs w:val="20"/>
                <w:u w:val="single"/>
              </w:rPr>
              <w:t>Voluntary supplementary contributions</w:t>
            </w:r>
          </w:p>
        </w:tc>
        <w:tc>
          <w:tcPr>
            <w:tcW w:w="1847" w:type="dxa"/>
            <w:shd w:val="clear" w:color="auto" w:fill="auto"/>
            <w:vAlign w:val="center"/>
          </w:tcPr>
          <w:p w14:paraId="39256905" w14:textId="77777777" w:rsidR="006543DB" w:rsidRPr="00785AA3" w:rsidRDefault="006543DB" w:rsidP="000C2080">
            <w:pPr>
              <w:pStyle w:val="Paragraph"/>
              <w:keepNext/>
              <w:spacing w:before="60" w:after="60"/>
              <w:jc w:val="right"/>
              <w:rPr>
                <w:sz w:val="20"/>
                <w:szCs w:val="20"/>
                <w:highlight w:val="yellow"/>
              </w:rPr>
            </w:pPr>
          </w:p>
        </w:tc>
      </w:tr>
      <w:tr w:rsidR="006543DB" w:rsidRPr="00F3686A" w14:paraId="34E54B00" w14:textId="77777777" w:rsidTr="000C2080">
        <w:trPr>
          <w:cantSplit/>
        </w:trPr>
        <w:tc>
          <w:tcPr>
            <w:tcW w:w="7225" w:type="dxa"/>
            <w:shd w:val="clear" w:color="auto" w:fill="auto"/>
            <w:vAlign w:val="center"/>
          </w:tcPr>
          <w:p w14:paraId="4643F521" w14:textId="77777777" w:rsidR="006543DB" w:rsidRPr="00785AA3" w:rsidRDefault="006543DB" w:rsidP="000C2080">
            <w:pPr>
              <w:pStyle w:val="Paragraph"/>
              <w:keepNext/>
              <w:spacing w:before="60" w:after="60"/>
              <w:jc w:val="left"/>
              <w:rPr>
                <w:rFonts w:eastAsia="MS Mincho"/>
                <w:bCs w:val="0"/>
                <w:i/>
                <w:sz w:val="20"/>
                <w:szCs w:val="20"/>
              </w:rPr>
            </w:pPr>
            <w:r w:rsidRPr="00785AA3">
              <w:rPr>
                <w:rFonts w:eastAsia="MS Mincho"/>
                <w:bCs w:val="0"/>
                <w:i/>
                <w:iCs/>
                <w:sz w:val="20"/>
                <w:szCs w:val="20"/>
              </w:rPr>
              <w:t>Contributions made for specific purposes relating to specific projects approved by the Committee, in accordance with Article 25.5 of the Convention</w:t>
            </w:r>
          </w:p>
        </w:tc>
        <w:tc>
          <w:tcPr>
            <w:tcW w:w="1847" w:type="dxa"/>
            <w:shd w:val="clear" w:color="auto" w:fill="auto"/>
            <w:vAlign w:val="center"/>
          </w:tcPr>
          <w:p w14:paraId="381FBEBE" w14:textId="77777777" w:rsidR="006543DB" w:rsidRPr="00785AA3" w:rsidRDefault="006543DB" w:rsidP="000C2080">
            <w:pPr>
              <w:pStyle w:val="Paragraph"/>
              <w:keepNext/>
              <w:spacing w:before="60" w:after="60"/>
              <w:jc w:val="right"/>
              <w:rPr>
                <w:i/>
                <w:strike/>
                <w:sz w:val="20"/>
                <w:szCs w:val="20"/>
                <w:highlight w:val="yellow"/>
              </w:rPr>
            </w:pPr>
          </w:p>
        </w:tc>
      </w:tr>
      <w:tr w:rsidR="006543DB" w:rsidRPr="00785AA3" w14:paraId="4415AA68" w14:textId="77777777" w:rsidTr="000C2080">
        <w:trPr>
          <w:cantSplit/>
        </w:trPr>
        <w:tc>
          <w:tcPr>
            <w:tcW w:w="7225" w:type="dxa"/>
            <w:shd w:val="clear" w:color="auto" w:fill="auto"/>
            <w:vAlign w:val="center"/>
          </w:tcPr>
          <w:p w14:paraId="5B7B1FE2" w14:textId="77777777" w:rsidR="006543DB" w:rsidRPr="002F4EC7" w:rsidRDefault="00847E71" w:rsidP="000C2080">
            <w:pPr>
              <w:pStyle w:val="Paragraph"/>
              <w:spacing w:before="60" w:after="60"/>
              <w:ind w:left="318"/>
              <w:rPr>
                <w:bCs w:val="0"/>
                <w:sz w:val="20"/>
                <w:szCs w:val="20"/>
              </w:rPr>
            </w:pPr>
            <w:r>
              <w:rPr>
                <w:rFonts w:eastAsia="MS Mincho"/>
                <w:bCs w:val="0"/>
                <w:sz w:val="20"/>
                <w:szCs w:val="20"/>
              </w:rPr>
              <w:t>None</w:t>
            </w:r>
          </w:p>
        </w:tc>
        <w:tc>
          <w:tcPr>
            <w:tcW w:w="1847" w:type="dxa"/>
            <w:shd w:val="clear" w:color="auto" w:fill="auto"/>
            <w:vAlign w:val="center"/>
          </w:tcPr>
          <w:p w14:paraId="1D82F5A0" w14:textId="77777777" w:rsidR="006543DB" w:rsidRPr="00785AA3" w:rsidRDefault="006543DB" w:rsidP="000C2080">
            <w:pPr>
              <w:pStyle w:val="Paragraph"/>
              <w:spacing w:before="60" w:after="60"/>
              <w:jc w:val="right"/>
              <w:rPr>
                <w:rFonts w:eastAsia="MS Mincho"/>
                <w:bCs w:val="0"/>
                <w:sz w:val="20"/>
                <w:szCs w:val="20"/>
              </w:rPr>
            </w:pPr>
          </w:p>
        </w:tc>
      </w:tr>
      <w:tr w:rsidR="006543DB" w:rsidRPr="00F3686A" w14:paraId="033E6942" w14:textId="77777777" w:rsidTr="000C2080">
        <w:trPr>
          <w:cantSplit/>
          <w:trHeight w:val="692"/>
        </w:trPr>
        <w:tc>
          <w:tcPr>
            <w:tcW w:w="7225" w:type="dxa"/>
            <w:shd w:val="clear" w:color="auto" w:fill="auto"/>
            <w:vAlign w:val="center"/>
          </w:tcPr>
          <w:p w14:paraId="0E3722DD" w14:textId="7E651932" w:rsidR="006543DB" w:rsidRPr="00785AA3" w:rsidRDefault="006543DB" w:rsidP="002A07F6">
            <w:pPr>
              <w:pStyle w:val="Paragraph"/>
              <w:spacing w:before="60" w:after="60"/>
              <w:jc w:val="left"/>
              <w:rPr>
                <w:i/>
                <w:sz w:val="20"/>
                <w:szCs w:val="20"/>
              </w:rPr>
            </w:pPr>
            <w:r w:rsidRPr="00785AA3">
              <w:rPr>
                <w:bCs w:val="0"/>
                <w:i/>
                <w:iCs/>
                <w:sz w:val="20"/>
                <w:szCs w:val="20"/>
              </w:rPr>
              <w:t>Sub-fund intended exclusively to strengthen the human capacities of the Secretariat</w:t>
            </w:r>
            <w:r w:rsidRPr="00785AA3">
              <w:rPr>
                <w:bCs w:val="0"/>
                <w:i/>
                <w:iCs/>
                <w:sz w:val="20"/>
                <w:szCs w:val="20"/>
              </w:rPr>
              <w:br/>
              <w:t>(</w:t>
            </w:r>
            <w:hyperlink r:id="rId11" w:history="1">
              <w:r w:rsidRPr="002F4EC7">
                <w:rPr>
                  <w:rStyle w:val="Lienhypertexte"/>
                  <w:sz w:val="20"/>
                  <w:szCs w:val="20"/>
                </w:rPr>
                <w:t xml:space="preserve">Resolution 3.GA </w:t>
              </w:r>
              <w:r w:rsidRPr="002F4EC7">
                <w:rPr>
                  <w:rStyle w:val="Lienhypertexte"/>
                  <w:iCs/>
                  <w:sz w:val="20"/>
                  <w:szCs w:val="20"/>
                </w:rPr>
                <w:t>9</w:t>
              </w:r>
            </w:hyperlink>
            <w:r w:rsidRPr="00785AA3">
              <w:rPr>
                <w:bCs w:val="0"/>
                <w:i/>
                <w:iCs/>
                <w:sz w:val="20"/>
                <w:szCs w:val="20"/>
              </w:rPr>
              <w:t>)</w:t>
            </w:r>
            <w:r w:rsidRPr="00785AA3">
              <w:rPr>
                <w:bCs w:val="0"/>
                <w:sz w:val="20"/>
                <w:szCs w:val="20"/>
                <w:vertAlign w:val="superscript"/>
              </w:rPr>
              <w:footnoteReference w:id="3"/>
            </w:r>
          </w:p>
        </w:tc>
        <w:tc>
          <w:tcPr>
            <w:tcW w:w="1847" w:type="dxa"/>
            <w:shd w:val="clear" w:color="auto" w:fill="auto"/>
            <w:vAlign w:val="center"/>
          </w:tcPr>
          <w:p w14:paraId="74412BE8" w14:textId="77777777" w:rsidR="006543DB" w:rsidRPr="00785AA3" w:rsidRDefault="006543DB" w:rsidP="000C2080">
            <w:pPr>
              <w:pStyle w:val="Paragraph"/>
              <w:spacing w:before="60" w:after="60"/>
              <w:jc w:val="right"/>
              <w:rPr>
                <w:sz w:val="20"/>
                <w:szCs w:val="20"/>
              </w:rPr>
            </w:pPr>
          </w:p>
        </w:tc>
      </w:tr>
      <w:tr w:rsidR="006543DB" w:rsidRPr="00785AA3" w14:paraId="714643A0" w14:textId="77777777" w:rsidTr="000C2080">
        <w:trPr>
          <w:cantSplit/>
        </w:trPr>
        <w:tc>
          <w:tcPr>
            <w:tcW w:w="7225" w:type="dxa"/>
            <w:shd w:val="clear" w:color="auto" w:fill="auto"/>
            <w:vAlign w:val="center"/>
          </w:tcPr>
          <w:p w14:paraId="0C58B3C4" w14:textId="77777777" w:rsidR="006543DB" w:rsidRPr="00785AA3" w:rsidRDefault="006543DB" w:rsidP="00847E71">
            <w:pPr>
              <w:pStyle w:val="Paragraph"/>
              <w:spacing w:before="60" w:after="60"/>
              <w:ind w:left="318"/>
              <w:jc w:val="left"/>
              <w:rPr>
                <w:rFonts w:eastAsia="MS Mincho"/>
                <w:bCs w:val="0"/>
                <w:sz w:val="20"/>
                <w:szCs w:val="20"/>
              </w:rPr>
            </w:pPr>
            <w:r>
              <w:rPr>
                <w:rFonts w:eastAsia="MS Mincho"/>
                <w:bCs w:val="0"/>
                <w:sz w:val="20"/>
                <w:szCs w:val="20"/>
              </w:rPr>
              <w:t xml:space="preserve">From </w:t>
            </w:r>
            <w:r w:rsidR="00847E71">
              <w:rPr>
                <w:rFonts w:eastAsia="MS Mincho"/>
                <w:bCs w:val="0"/>
                <w:sz w:val="20"/>
                <w:szCs w:val="20"/>
              </w:rPr>
              <w:t xml:space="preserve">China, Finland, Kazakhstan, </w:t>
            </w:r>
            <w:r>
              <w:rPr>
                <w:rFonts w:eastAsia="MS Mincho"/>
                <w:bCs w:val="0"/>
                <w:sz w:val="20"/>
                <w:szCs w:val="20"/>
              </w:rPr>
              <w:t xml:space="preserve">Monaco and </w:t>
            </w:r>
            <w:r w:rsidR="00847E71">
              <w:rPr>
                <w:rFonts w:eastAsia="MS Mincho"/>
                <w:bCs w:val="0"/>
                <w:sz w:val="20"/>
                <w:szCs w:val="20"/>
              </w:rPr>
              <w:t>Montenegro</w:t>
            </w:r>
          </w:p>
        </w:tc>
        <w:tc>
          <w:tcPr>
            <w:tcW w:w="1847" w:type="dxa"/>
            <w:shd w:val="clear" w:color="auto" w:fill="auto"/>
            <w:vAlign w:val="center"/>
          </w:tcPr>
          <w:p w14:paraId="41F50ED1" w14:textId="77777777" w:rsidR="006543DB" w:rsidRPr="00785AA3" w:rsidRDefault="006543DB" w:rsidP="00847E71">
            <w:pPr>
              <w:pStyle w:val="Paragraph"/>
              <w:spacing w:before="60" w:after="60"/>
              <w:jc w:val="right"/>
              <w:rPr>
                <w:rFonts w:eastAsia="MS Mincho"/>
                <w:bCs w:val="0"/>
                <w:sz w:val="20"/>
                <w:szCs w:val="20"/>
              </w:rPr>
            </w:pPr>
            <w:r>
              <w:rPr>
                <w:bCs w:val="0"/>
                <w:sz w:val="20"/>
                <w:szCs w:val="20"/>
              </w:rPr>
              <w:t>US$</w:t>
            </w:r>
            <w:r w:rsidR="00847E71">
              <w:rPr>
                <w:bCs w:val="0"/>
                <w:sz w:val="20"/>
                <w:szCs w:val="20"/>
              </w:rPr>
              <w:t>77</w:t>
            </w:r>
            <w:r>
              <w:rPr>
                <w:bCs w:val="0"/>
                <w:sz w:val="20"/>
                <w:szCs w:val="20"/>
              </w:rPr>
              <w:t>,</w:t>
            </w:r>
            <w:r w:rsidR="00847E71">
              <w:rPr>
                <w:bCs w:val="0"/>
                <w:sz w:val="20"/>
                <w:szCs w:val="20"/>
              </w:rPr>
              <w:t>772</w:t>
            </w:r>
          </w:p>
        </w:tc>
      </w:tr>
      <w:tr w:rsidR="006543DB" w:rsidRPr="00785AA3" w14:paraId="2D2C67A3" w14:textId="77777777" w:rsidTr="000C2080">
        <w:trPr>
          <w:cantSplit/>
        </w:trPr>
        <w:tc>
          <w:tcPr>
            <w:tcW w:w="7225" w:type="dxa"/>
            <w:shd w:val="clear" w:color="auto" w:fill="auto"/>
            <w:vAlign w:val="center"/>
          </w:tcPr>
          <w:p w14:paraId="2F9D4EA2" w14:textId="05A2FD0D" w:rsidR="006543DB" w:rsidRPr="00785AA3" w:rsidRDefault="006543DB" w:rsidP="003A7C8F">
            <w:pPr>
              <w:pStyle w:val="Paragraph"/>
              <w:numPr>
                <w:ilvl w:val="0"/>
                <w:numId w:val="19"/>
              </w:numPr>
              <w:spacing w:before="240" w:after="60"/>
              <w:ind w:left="357" w:hanging="357"/>
              <w:jc w:val="left"/>
              <w:rPr>
                <w:rFonts w:eastAsia="MS Mincho"/>
                <w:bCs w:val="0"/>
                <w:sz w:val="20"/>
                <w:szCs w:val="20"/>
              </w:rPr>
            </w:pPr>
            <w:r w:rsidRPr="00785AA3">
              <w:rPr>
                <w:rFonts w:eastAsia="MS Mincho"/>
                <w:bCs w:val="0"/>
                <w:sz w:val="20"/>
                <w:szCs w:val="20"/>
                <w:u w:val="single"/>
              </w:rPr>
              <w:t xml:space="preserve">Interest </w:t>
            </w:r>
            <w:r w:rsidR="003A7C8F">
              <w:rPr>
                <w:rFonts w:eastAsia="MS Mincho"/>
                <w:bCs w:val="0"/>
                <w:sz w:val="20"/>
                <w:szCs w:val="20"/>
                <w:u w:val="single"/>
              </w:rPr>
              <w:t>credited to</w:t>
            </w:r>
            <w:r w:rsidRPr="00785AA3">
              <w:rPr>
                <w:rFonts w:eastAsia="MS Mincho"/>
                <w:bCs w:val="0"/>
                <w:sz w:val="20"/>
                <w:szCs w:val="20"/>
                <w:u w:val="single"/>
              </w:rPr>
              <w:t xml:space="preserve"> the Fund</w:t>
            </w:r>
          </w:p>
        </w:tc>
        <w:tc>
          <w:tcPr>
            <w:tcW w:w="1847" w:type="dxa"/>
            <w:shd w:val="clear" w:color="auto" w:fill="auto"/>
            <w:vAlign w:val="center"/>
          </w:tcPr>
          <w:p w14:paraId="40DE59EB" w14:textId="77777777" w:rsidR="006543DB" w:rsidRPr="00785AA3" w:rsidRDefault="006543DB" w:rsidP="00D34BD8">
            <w:pPr>
              <w:pStyle w:val="Paragraph"/>
              <w:spacing w:before="240" w:after="60"/>
              <w:jc w:val="right"/>
              <w:rPr>
                <w:rFonts w:eastAsia="MS Mincho"/>
                <w:bCs w:val="0"/>
                <w:sz w:val="20"/>
                <w:szCs w:val="20"/>
              </w:rPr>
            </w:pPr>
            <w:r>
              <w:rPr>
                <w:rFonts w:eastAsia="MS Mincho"/>
                <w:bCs w:val="0"/>
                <w:sz w:val="20"/>
                <w:szCs w:val="20"/>
              </w:rPr>
              <w:t>US$</w:t>
            </w:r>
            <w:r w:rsidR="00847E71">
              <w:rPr>
                <w:rFonts w:eastAsia="MS Mincho"/>
                <w:bCs w:val="0"/>
                <w:sz w:val="20"/>
                <w:szCs w:val="20"/>
              </w:rPr>
              <w:t>372</w:t>
            </w:r>
            <w:r>
              <w:rPr>
                <w:rFonts w:eastAsia="MS Mincho"/>
                <w:bCs w:val="0"/>
                <w:sz w:val="20"/>
                <w:szCs w:val="20"/>
              </w:rPr>
              <w:t>,</w:t>
            </w:r>
            <w:r w:rsidR="00847E71">
              <w:rPr>
                <w:rFonts w:eastAsia="MS Mincho"/>
                <w:bCs w:val="0"/>
                <w:sz w:val="20"/>
                <w:szCs w:val="20"/>
              </w:rPr>
              <w:t>949</w:t>
            </w:r>
          </w:p>
        </w:tc>
      </w:tr>
      <w:tr w:rsidR="006543DB" w:rsidRPr="00785AA3" w14:paraId="6D115E81" w14:textId="77777777" w:rsidTr="000C2080">
        <w:trPr>
          <w:cantSplit/>
        </w:trPr>
        <w:tc>
          <w:tcPr>
            <w:tcW w:w="7225" w:type="dxa"/>
            <w:shd w:val="clear" w:color="auto" w:fill="auto"/>
            <w:vAlign w:val="center"/>
          </w:tcPr>
          <w:p w14:paraId="1B9094D6" w14:textId="77777777" w:rsidR="006543DB" w:rsidRPr="00785AA3" w:rsidRDefault="006543DB" w:rsidP="00B61451">
            <w:pPr>
              <w:pStyle w:val="Paragraph"/>
              <w:spacing w:before="240" w:after="60"/>
              <w:ind w:firstLine="34"/>
              <w:jc w:val="right"/>
              <w:rPr>
                <w:b/>
                <w:sz w:val="20"/>
                <w:szCs w:val="20"/>
              </w:rPr>
            </w:pPr>
            <w:r w:rsidRPr="00785AA3">
              <w:rPr>
                <w:b/>
                <w:sz w:val="20"/>
                <w:szCs w:val="20"/>
              </w:rPr>
              <w:t>TOTAL</w:t>
            </w:r>
          </w:p>
        </w:tc>
        <w:tc>
          <w:tcPr>
            <w:tcW w:w="1847" w:type="dxa"/>
            <w:shd w:val="clear" w:color="auto" w:fill="auto"/>
            <w:vAlign w:val="center"/>
          </w:tcPr>
          <w:p w14:paraId="14AA8733" w14:textId="22C93250" w:rsidR="006543DB" w:rsidRPr="00785AA3" w:rsidRDefault="006543DB">
            <w:pPr>
              <w:pStyle w:val="ListParagraph1"/>
              <w:spacing w:before="240" w:after="60"/>
              <w:ind w:left="142"/>
              <w:jc w:val="right"/>
              <w:rPr>
                <w:rFonts w:eastAsia="MS Mincho"/>
                <w:b/>
                <w:sz w:val="20"/>
                <w:szCs w:val="20"/>
              </w:rPr>
            </w:pPr>
            <w:r>
              <w:rPr>
                <w:b/>
                <w:bCs/>
                <w:sz w:val="20"/>
                <w:szCs w:val="20"/>
              </w:rPr>
              <w:t>US$4,</w:t>
            </w:r>
            <w:r w:rsidR="001F20E9">
              <w:rPr>
                <w:b/>
                <w:bCs/>
                <w:sz w:val="20"/>
                <w:szCs w:val="20"/>
              </w:rPr>
              <w:t>443</w:t>
            </w:r>
            <w:r>
              <w:rPr>
                <w:b/>
                <w:bCs/>
                <w:sz w:val="20"/>
                <w:szCs w:val="20"/>
              </w:rPr>
              <w:t>,</w:t>
            </w:r>
            <w:r w:rsidR="001F20E9">
              <w:rPr>
                <w:b/>
                <w:bCs/>
                <w:sz w:val="20"/>
                <w:szCs w:val="20"/>
              </w:rPr>
              <w:t>7</w:t>
            </w:r>
            <w:r w:rsidR="00181054">
              <w:rPr>
                <w:b/>
                <w:bCs/>
                <w:sz w:val="20"/>
                <w:szCs w:val="20"/>
              </w:rPr>
              <w:t>6</w:t>
            </w:r>
            <w:r w:rsidR="001F20E9">
              <w:rPr>
                <w:b/>
                <w:bCs/>
                <w:sz w:val="20"/>
                <w:szCs w:val="20"/>
              </w:rPr>
              <w:t>7</w:t>
            </w:r>
          </w:p>
        </w:tc>
      </w:tr>
    </w:tbl>
    <w:p w14:paraId="4E6376CB" w14:textId="452F1D42" w:rsidR="006543DB" w:rsidRDefault="006543DB" w:rsidP="006543DB">
      <w:pPr>
        <w:pStyle w:val="COMPara"/>
        <w:numPr>
          <w:ilvl w:val="0"/>
          <w:numId w:val="13"/>
        </w:numPr>
        <w:tabs>
          <w:tab w:val="left" w:pos="567"/>
        </w:tabs>
        <w:spacing w:before="240"/>
        <w:ind w:left="567" w:hanging="567"/>
        <w:jc w:val="both"/>
      </w:pPr>
      <w:r w:rsidRPr="00A86C09">
        <w:t xml:space="preserve">The </w:t>
      </w:r>
      <w:r>
        <w:t xml:space="preserve">total income as at 30 June </w:t>
      </w:r>
      <w:r w:rsidR="00851803">
        <w:t>2019</w:t>
      </w:r>
      <w:r>
        <w:t xml:space="preserve"> is </w:t>
      </w:r>
      <w:r w:rsidR="00181054">
        <w:t>4.</w:t>
      </w:r>
      <w:r w:rsidR="00851803">
        <w:t>6</w:t>
      </w:r>
      <w:r>
        <w:t xml:space="preserve">% lower than </w:t>
      </w:r>
      <w:r w:rsidR="00954227">
        <w:t xml:space="preserve">the same period of </w:t>
      </w:r>
      <w:r>
        <w:t>the previous biennium</w:t>
      </w:r>
      <w:r w:rsidR="00954227">
        <w:t>.</w:t>
      </w:r>
      <w:r>
        <w:t xml:space="preserve"> This fall is mainly due to the reduction in the amount of voluntary supplementary contributions received, which decreased </w:t>
      </w:r>
      <w:r w:rsidR="00235DF8">
        <w:t xml:space="preserve">by 87% </w:t>
      </w:r>
      <w:r>
        <w:t>from US$</w:t>
      </w:r>
      <w:r w:rsidR="00235DF8">
        <w:t>618,868</w:t>
      </w:r>
      <w:r>
        <w:t xml:space="preserve"> to US$</w:t>
      </w:r>
      <w:r w:rsidR="00235DF8">
        <w:t>77,772</w:t>
      </w:r>
      <w:r w:rsidR="002A07F6">
        <w:t xml:space="preserve"> (see </w:t>
      </w:r>
      <w:hyperlink r:id="rId12" w:history="1">
        <w:r w:rsidR="002A07F6" w:rsidRPr="00EA2D77">
          <w:rPr>
            <w:rStyle w:val="Lienhypertexte"/>
          </w:rPr>
          <w:t>document</w:t>
        </w:r>
        <w:r w:rsidR="00A91261" w:rsidRPr="00EA2D77">
          <w:rPr>
            <w:rStyle w:val="Lienhypertexte"/>
          </w:rPr>
          <w:t> </w:t>
        </w:r>
        <w:r w:rsidR="002A07F6" w:rsidRPr="00EA2D77">
          <w:rPr>
            <w:rStyle w:val="Lienhypertexte"/>
          </w:rPr>
          <w:t>LHE/19/14.COM/6</w:t>
        </w:r>
      </w:hyperlink>
      <w:r w:rsidR="002A07F6">
        <w:t>)</w:t>
      </w:r>
      <w:r>
        <w:t>; this situation affected both the funds dedicated to specific activities approved by the Committee and the Sub-fund for enhancing the human capacities of the Secretariat. The fall in the total income received is partially compensated by the increase in the interest</w:t>
      </w:r>
      <w:r w:rsidRPr="00BE68D8">
        <w:t xml:space="preserve"> </w:t>
      </w:r>
      <w:r>
        <w:t>generated, which grew from US$178,588</w:t>
      </w:r>
      <w:r w:rsidR="005C1DB5">
        <w:t xml:space="preserve"> to $372,949</w:t>
      </w:r>
      <w:r>
        <w:t>. As at 30 June 201</w:t>
      </w:r>
      <w:r w:rsidR="005C1DB5">
        <w:t>9</w:t>
      </w:r>
      <w:r>
        <w:t>, the total unpaid</w:t>
      </w:r>
      <w:r w:rsidR="00D34BD8">
        <w:t xml:space="preserve"> balance</w:t>
      </w:r>
      <w:r w:rsidR="00726C75">
        <w:t xml:space="preserve"> of assessed contributions</w:t>
      </w:r>
      <w:r>
        <w:t xml:space="preserve"> represents </w:t>
      </w:r>
      <w:r w:rsidR="00A77EA8">
        <w:t>78</w:t>
      </w:r>
      <w:r>
        <w:t xml:space="preserve">% of </w:t>
      </w:r>
      <w:r w:rsidR="009E6360">
        <w:t xml:space="preserve">the </w:t>
      </w:r>
      <w:r>
        <w:t>compulsory contributions</w:t>
      </w:r>
      <w:r w:rsidR="00726C75">
        <w:t xml:space="preserve"> due for the year 2019</w:t>
      </w:r>
      <w:r>
        <w:t>.</w:t>
      </w:r>
    </w:p>
    <w:p w14:paraId="58D1345E" w14:textId="75C59999" w:rsidR="006543DB" w:rsidRPr="0078543D" w:rsidRDefault="006543DB" w:rsidP="006543DB">
      <w:pPr>
        <w:pStyle w:val="Default"/>
        <w:keepNext/>
        <w:numPr>
          <w:ilvl w:val="0"/>
          <w:numId w:val="16"/>
        </w:numPr>
        <w:spacing w:before="240" w:after="120"/>
        <w:ind w:left="567" w:hanging="567"/>
        <w:jc w:val="both"/>
        <w:rPr>
          <w:b/>
          <w:bCs/>
          <w:sz w:val="22"/>
          <w:szCs w:val="22"/>
          <w:lang w:val="en-GB"/>
        </w:rPr>
      </w:pPr>
      <w:r w:rsidRPr="00A86C09">
        <w:rPr>
          <w:b/>
          <w:bCs/>
          <w:sz w:val="22"/>
          <w:szCs w:val="22"/>
          <w:lang w:val="en-GB"/>
        </w:rPr>
        <w:t xml:space="preserve">Schedule of appropriations and </w:t>
      </w:r>
      <w:r w:rsidRPr="004F0545">
        <w:rPr>
          <w:b/>
          <w:bCs/>
          <w:sz w:val="22"/>
          <w:szCs w:val="22"/>
          <w:lang w:val="en-GB"/>
        </w:rPr>
        <w:t>expenditure</w:t>
      </w:r>
      <w:r>
        <w:rPr>
          <w:b/>
          <w:bCs/>
          <w:sz w:val="22"/>
          <w:szCs w:val="22"/>
          <w:lang w:val="en-GB"/>
        </w:rPr>
        <w:t xml:space="preserve"> for the period 1 January 201</w:t>
      </w:r>
      <w:r w:rsidR="008B493C">
        <w:rPr>
          <w:b/>
          <w:bCs/>
          <w:sz w:val="22"/>
          <w:szCs w:val="22"/>
          <w:lang w:val="en-GB"/>
        </w:rPr>
        <w:t>8</w:t>
      </w:r>
      <w:r>
        <w:rPr>
          <w:b/>
          <w:bCs/>
          <w:sz w:val="22"/>
          <w:szCs w:val="22"/>
          <w:lang w:val="en-GB"/>
        </w:rPr>
        <w:t xml:space="preserve"> to 30</w:t>
      </w:r>
      <w:r w:rsidRPr="00A86C09">
        <w:rPr>
          <w:b/>
          <w:bCs/>
          <w:sz w:val="22"/>
          <w:szCs w:val="22"/>
          <w:lang w:val="en-GB"/>
        </w:rPr>
        <w:t> </w:t>
      </w:r>
      <w:r>
        <w:rPr>
          <w:b/>
          <w:bCs/>
          <w:sz w:val="22"/>
          <w:szCs w:val="22"/>
          <w:lang w:val="en-GB"/>
        </w:rPr>
        <w:t>June</w:t>
      </w:r>
      <w:r>
        <w:rPr>
          <w:b/>
          <w:bCs/>
          <w:sz w:val="22"/>
          <w:szCs w:val="22"/>
        </w:rPr>
        <w:t> </w:t>
      </w:r>
      <w:r w:rsidR="008B493C">
        <w:rPr>
          <w:b/>
          <w:bCs/>
          <w:sz w:val="22"/>
          <w:szCs w:val="22"/>
          <w:lang w:val="en-GB"/>
        </w:rPr>
        <w:t>2019</w:t>
      </w:r>
      <w:r w:rsidRPr="00A86C09">
        <w:rPr>
          <w:b/>
          <w:bCs/>
          <w:sz w:val="22"/>
          <w:szCs w:val="22"/>
          <w:lang w:val="en-GB"/>
        </w:rPr>
        <w:t xml:space="preserve"> </w:t>
      </w:r>
      <w:r w:rsidRPr="000B21E2">
        <w:rPr>
          <w:b/>
          <w:bCs/>
          <w:sz w:val="22"/>
          <w:szCs w:val="22"/>
          <w:lang w:val="en-GB"/>
        </w:rPr>
        <w:t>(</w:t>
      </w:r>
      <w:r w:rsidRPr="006C68AF">
        <w:rPr>
          <w:b/>
          <w:bCs/>
          <w:sz w:val="22"/>
          <w:szCs w:val="22"/>
          <w:lang w:val="en-GB"/>
        </w:rPr>
        <w:t>Statement I</w:t>
      </w:r>
      <w:r w:rsidR="00B77AB2">
        <w:rPr>
          <w:b/>
          <w:bCs/>
          <w:sz w:val="22"/>
          <w:szCs w:val="22"/>
          <w:lang w:val="en-GB"/>
        </w:rPr>
        <w:t xml:space="preserve"> and Schedule </w:t>
      </w:r>
      <w:r w:rsidR="000E4EF7">
        <w:rPr>
          <w:b/>
          <w:bCs/>
          <w:sz w:val="22"/>
          <w:szCs w:val="22"/>
          <w:lang w:val="en-GB"/>
        </w:rPr>
        <w:t>1.1</w:t>
      </w:r>
      <w:r w:rsidRPr="006C68AF">
        <w:rPr>
          <w:b/>
          <w:bCs/>
          <w:sz w:val="22"/>
          <w:szCs w:val="22"/>
          <w:lang w:val="en-GB"/>
        </w:rPr>
        <w:t>, page</w:t>
      </w:r>
      <w:r w:rsidR="009E6360">
        <w:rPr>
          <w:b/>
          <w:bCs/>
          <w:sz w:val="22"/>
          <w:szCs w:val="22"/>
          <w:lang w:val="en-GB"/>
        </w:rPr>
        <w:t>s</w:t>
      </w:r>
      <w:r w:rsidRPr="006C68AF">
        <w:rPr>
          <w:b/>
          <w:bCs/>
          <w:sz w:val="22"/>
          <w:szCs w:val="22"/>
          <w:lang w:val="en-GB"/>
        </w:rPr>
        <w:t xml:space="preserve"> </w:t>
      </w:r>
      <w:r w:rsidR="00913D1D">
        <w:rPr>
          <w:b/>
          <w:bCs/>
          <w:sz w:val="22"/>
          <w:szCs w:val="22"/>
          <w:lang w:val="en-GB"/>
        </w:rPr>
        <w:t>5</w:t>
      </w:r>
      <w:r w:rsidR="00913D1D" w:rsidRPr="00913D1D">
        <w:rPr>
          <w:rFonts w:eastAsia="MS Mincho"/>
          <w:b/>
          <w:sz w:val="18"/>
          <w:lang w:val="en-GB"/>
        </w:rPr>
        <w:t>–</w:t>
      </w:r>
      <w:r w:rsidR="00913D1D">
        <w:rPr>
          <w:b/>
          <w:bCs/>
          <w:sz w:val="22"/>
          <w:szCs w:val="22"/>
          <w:lang w:val="en-GB"/>
        </w:rPr>
        <w:t>6</w:t>
      </w:r>
      <w:r w:rsidRPr="00BB2DEA">
        <w:rPr>
          <w:b/>
          <w:bCs/>
          <w:sz w:val="22"/>
          <w:szCs w:val="22"/>
          <w:lang w:val="en-GB"/>
        </w:rPr>
        <w:t>)</w:t>
      </w:r>
      <w:r w:rsidRPr="009C1CBC">
        <w:rPr>
          <w:rStyle w:val="Appelnotedebasdep"/>
          <w:bCs/>
          <w:sz w:val="22"/>
          <w:szCs w:val="22"/>
          <w:lang w:val="en-GB"/>
        </w:rPr>
        <w:footnoteReference w:id="4"/>
      </w:r>
    </w:p>
    <w:p w14:paraId="6CD2E631" w14:textId="77777777" w:rsidR="006543DB" w:rsidRDefault="006543DB" w:rsidP="006543DB">
      <w:pPr>
        <w:pStyle w:val="COMPara"/>
        <w:numPr>
          <w:ilvl w:val="0"/>
          <w:numId w:val="13"/>
        </w:numPr>
        <w:tabs>
          <w:tab w:val="left" w:pos="567"/>
        </w:tabs>
        <w:ind w:left="567" w:hanging="567"/>
        <w:jc w:val="both"/>
      </w:pPr>
      <w:r>
        <w:t xml:space="preserve">By its </w:t>
      </w:r>
      <w:hyperlink r:id="rId13" w:history="1">
        <w:r w:rsidR="007E51F2">
          <w:rPr>
            <w:rStyle w:val="Lienhypertexte"/>
          </w:rPr>
          <w:t>Resolution 7</w:t>
        </w:r>
        <w:r w:rsidR="007E51F2" w:rsidRPr="00024E4E">
          <w:rPr>
            <w:rStyle w:val="Lienhypertexte"/>
          </w:rPr>
          <w:t>.GA </w:t>
        </w:r>
      </w:hyperlink>
      <w:r w:rsidR="007E51F2">
        <w:rPr>
          <w:rStyle w:val="Lienhypertexte"/>
        </w:rPr>
        <w:t>8</w:t>
      </w:r>
      <w:r w:rsidRPr="007E51F2">
        <w:rPr>
          <w:rStyle w:val="Lienhypertexte"/>
          <w:color w:val="auto"/>
          <w:u w:val="none"/>
        </w:rPr>
        <w:t>,</w:t>
      </w:r>
      <w:r w:rsidRPr="000B21E2">
        <w:t xml:space="preserve"> the General </w:t>
      </w:r>
      <w:r w:rsidRPr="001D30C3">
        <w:t>Assembly</w:t>
      </w:r>
      <w:r w:rsidRPr="000B21E2">
        <w:t xml:space="preserve"> approved </w:t>
      </w:r>
      <w:r w:rsidRPr="001D30C3">
        <w:t xml:space="preserve">a </w:t>
      </w:r>
      <w:r>
        <w:t xml:space="preserve">budget </w:t>
      </w:r>
      <w:r w:rsidRPr="000B21E2">
        <w:t>of</w:t>
      </w:r>
      <w:r>
        <w:t xml:space="preserve"> </w:t>
      </w:r>
      <w:r w:rsidRPr="00F410D6">
        <w:t>US$</w:t>
      </w:r>
      <w:r w:rsidR="0038452F">
        <w:t>8</w:t>
      </w:r>
      <w:r>
        <w:t>,</w:t>
      </w:r>
      <w:r w:rsidR="0038452F">
        <w:t>590</w:t>
      </w:r>
      <w:r>
        <w:t>,92</w:t>
      </w:r>
      <w:r w:rsidR="0038452F">
        <w:t>2</w:t>
      </w:r>
      <w:r>
        <w:t xml:space="preserve"> for the period </w:t>
      </w:r>
      <w:r w:rsidR="0038452F">
        <w:t>1 January 2018</w:t>
      </w:r>
      <w:r>
        <w:t xml:space="preserve"> to 31 December 201</w:t>
      </w:r>
      <w:r w:rsidR="0038452F">
        <w:t>9</w:t>
      </w:r>
      <w:r>
        <w:t>, as shown by</w:t>
      </w:r>
      <w:r w:rsidRPr="00F410D6">
        <w:t xml:space="preserve"> the schedule of appropriations and expenditure</w:t>
      </w:r>
      <w:r>
        <w:t xml:space="preserve">. This corresponds </w:t>
      </w:r>
      <w:r w:rsidRPr="00F410D6">
        <w:t>to the balance of the Fund</w:t>
      </w:r>
      <w:r>
        <w:t xml:space="preserve"> on 1 January 201</w:t>
      </w:r>
      <w:r w:rsidR="0038452F">
        <w:t>8</w:t>
      </w:r>
      <w:r w:rsidRPr="00F410D6">
        <w:t xml:space="preserve"> (US$</w:t>
      </w:r>
      <w:r w:rsidR="0038452F">
        <w:t>9</w:t>
      </w:r>
      <w:r>
        <w:t>,</w:t>
      </w:r>
      <w:r w:rsidR="0038452F">
        <w:t>590</w:t>
      </w:r>
      <w:r>
        <w:t>,</w:t>
      </w:r>
      <w:r w:rsidR="0038452F">
        <w:t>922</w:t>
      </w:r>
      <w:r w:rsidRPr="00F410D6">
        <w:t xml:space="preserve">) less the Reserve Fund accumulated </w:t>
      </w:r>
      <w:r>
        <w:t xml:space="preserve">up to that date </w:t>
      </w:r>
      <w:r w:rsidRPr="00F410D6">
        <w:t>(US$</w:t>
      </w:r>
      <w:r w:rsidR="0038452F">
        <w:t>1,000,000</w:t>
      </w:r>
      <w:r w:rsidRPr="00F410D6">
        <w:t>).</w:t>
      </w:r>
    </w:p>
    <w:p w14:paraId="71D5E327" w14:textId="580049CC" w:rsidR="006543DB" w:rsidRDefault="006543DB" w:rsidP="006543DB">
      <w:pPr>
        <w:pStyle w:val="COMPara"/>
        <w:numPr>
          <w:ilvl w:val="0"/>
          <w:numId w:val="13"/>
        </w:numPr>
        <w:tabs>
          <w:tab w:val="left" w:pos="567"/>
        </w:tabs>
        <w:ind w:left="567" w:hanging="567"/>
        <w:jc w:val="both"/>
      </w:pPr>
      <w:r>
        <w:t>Statement I</w:t>
      </w:r>
      <w:r w:rsidRPr="00F410D6">
        <w:t xml:space="preserve"> shows a total expenditure of US$</w:t>
      </w:r>
      <w:r w:rsidR="007F21AD">
        <w:t xml:space="preserve"> </w:t>
      </w:r>
      <w:r w:rsidR="0038452F">
        <w:t>4</w:t>
      </w:r>
      <w:r>
        <w:t>,</w:t>
      </w:r>
      <w:r w:rsidR="0038452F">
        <w:t>051</w:t>
      </w:r>
      <w:r>
        <w:t>,</w:t>
      </w:r>
      <w:r w:rsidR="0038452F">
        <w:t>180 as of 30 June 2019</w:t>
      </w:r>
      <w:r w:rsidRPr="00F410D6">
        <w:t xml:space="preserve">, that is </w:t>
      </w:r>
      <w:r w:rsidR="0038452F">
        <w:t>47</w:t>
      </w:r>
      <w:r>
        <w:t>%</w:t>
      </w:r>
      <w:r w:rsidRPr="00F410D6">
        <w:t xml:space="preserve"> of the approved</w:t>
      </w:r>
      <w:r w:rsidRPr="00F410D6" w:rsidDel="001D30C3">
        <w:t xml:space="preserve"> </w:t>
      </w:r>
      <w:r w:rsidRPr="00F410D6">
        <w:t xml:space="preserve">budget. Explanations </w:t>
      </w:r>
      <w:r>
        <w:t>for</w:t>
      </w:r>
      <w:r w:rsidRPr="00F410D6">
        <w:t xml:space="preserve"> each budget line of the schedule of appropriations and expenditure are provided below.</w:t>
      </w:r>
    </w:p>
    <w:p w14:paraId="35784B07" w14:textId="3C39526C" w:rsidR="006543DB" w:rsidRPr="00913D1D" w:rsidRDefault="006543DB" w:rsidP="006543DB">
      <w:pPr>
        <w:pStyle w:val="COMPara"/>
        <w:numPr>
          <w:ilvl w:val="0"/>
          <w:numId w:val="13"/>
        </w:numPr>
        <w:tabs>
          <w:tab w:val="left" w:pos="567"/>
        </w:tabs>
        <w:ind w:left="567" w:hanging="567"/>
        <w:jc w:val="both"/>
      </w:pPr>
      <w:r w:rsidRPr="00C81630">
        <w:t xml:space="preserve">In line with the priorities set by the Guidelines for the use of the resources of the Fund in Chapter II.1 of the Operational Directives, </w:t>
      </w:r>
      <w:r>
        <w:t>the General Assembly</w:t>
      </w:r>
      <w:r w:rsidRPr="00C81630">
        <w:t xml:space="preserve"> </w:t>
      </w:r>
      <w:r w:rsidRPr="000D35DF">
        <w:t xml:space="preserve">decided that the majority of </w:t>
      </w:r>
      <w:r w:rsidRPr="000B21E2">
        <w:t xml:space="preserve">the </w:t>
      </w:r>
      <w:r w:rsidRPr="000D35DF">
        <w:t>resources (</w:t>
      </w:r>
      <w:r w:rsidRPr="000D35DF">
        <w:rPr>
          <w:b/>
          <w:bCs/>
        </w:rPr>
        <w:t>budget line</w:t>
      </w:r>
      <w:r>
        <w:rPr>
          <w:b/>
          <w:bCs/>
        </w:rPr>
        <w:t> </w:t>
      </w:r>
      <w:r w:rsidRPr="000D35DF">
        <w:rPr>
          <w:b/>
          <w:bCs/>
        </w:rPr>
        <w:t>1</w:t>
      </w:r>
      <w:r w:rsidRPr="000D35DF">
        <w:t>, 5</w:t>
      </w:r>
      <w:r w:rsidR="0038452F">
        <w:t>2.55</w:t>
      </w:r>
      <w:r w:rsidR="00A91261">
        <w:t> </w:t>
      </w:r>
      <w:r>
        <w:t>%</w:t>
      </w:r>
      <w:r w:rsidRPr="000D35DF">
        <w:t xml:space="preserve">) </w:t>
      </w:r>
      <w:r w:rsidR="00E00159">
        <w:t xml:space="preserve">would continue to </w:t>
      </w:r>
      <w:r w:rsidRPr="000B21E2">
        <w:t xml:space="preserve">be allocated </w:t>
      </w:r>
      <w:r w:rsidRPr="000D35DF">
        <w:t xml:space="preserve">to the provision of International Assistance to States Parties </w:t>
      </w:r>
      <w:r w:rsidR="00E00159">
        <w:t xml:space="preserve">in order </w:t>
      </w:r>
      <w:r w:rsidRPr="000D35DF">
        <w:t xml:space="preserve">to supplement their national efforts </w:t>
      </w:r>
      <w:r>
        <w:t>to</w:t>
      </w:r>
      <w:r w:rsidRPr="000D35DF">
        <w:t xml:space="preserve"> safeguard intangible cultural heritage. Expenses</w:t>
      </w:r>
      <w:r>
        <w:t xml:space="preserve"> under this line correspond to International Assistance granted by the Committee or its Bureau </w:t>
      </w:r>
      <w:r w:rsidR="00954227">
        <w:t xml:space="preserve">for </w:t>
      </w:r>
      <w:r w:rsidR="00864F84" w:rsidRPr="00D71776">
        <w:t>nineteen</w:t>
      </w:r>
      <w:r>
        <w:t xml:space="preserve"> projects</w:t>
      </w:r>
      <w:r w:rsidR="00370699">
        <w:t>, which represents</w:t>
      </w:r>
      <w:r w:rsidR="00186833">
        <w:t xml:space="preserve"> an</w:t>
      </w:r>
      <w:r w:rsidR="00864F84">
        <w:t xml:space="preserve"> </w:t>
      </w:r>
      <w:r w:rsidR="00CF5531">
        <w:t>81</w:t>
      </w:r>
      <w:r w:rsidR="00266905">
        <w:t>.3</w:t>
      </w:r>
      <w:r w:rsidR="00864F84" w:rsidRPr="00D0256B">
        <w:t>%</w:t>
      </w:r>
      <w:r w:rsidR="00864F84">
        <w:t xml:space="preserve"> increase compared </w:t>
      </w:r>
      <w:r w:rsidR="00954227">
        <w:t xml:space="preserve">to </w:t>
      </w:r>
      <w:r w:rsidR="00864F84">
        <w:t xml:space="preserve">the previous </w:t>
      </w:r>
      <w:r w:rsidR="00864F84" w:rsidRPr="00913D1D">
        <w:t>biennium</w:t>
      </w:r>
      <w:r w:rsidRPr="00913D1D">
        <w:t xml:space="preserve">. </w:t>
      </w:r>
      <w:r w:rsidR="00A32B3C" w:rsidRPr="00913D1D">
        <w:t>Eight of</w:t>
      </w:r>
      <w:r w:rsidRPr="00913D1D">
        <w:t xml:space="preserve"> the projects approved </w:t>
      </w:r>
      <w:r w:rsidR="00A32B3C" w:rsidRPr="00913D1D">
        <w:t xml:space="preserve">were submitted by States Parties </w:t>
      </w:r>
      <w:r w:rsidRPr="00913D1D">
        <w:t>belong</w:t>
      </w:r>
      <w:r w:rsidR="00A32B3C" w:rsidRPr="00913D1D">
        <w:t>ing</w:t>
      </w:r>
      <w:r w:rsidRPr="00913D1D">
        <w:t xml:space="preserve"> to Electoral Group </w:t>
      </w:r>
      <w:proofErr w:type="gramStart"/>
      <w:r w:rsidR="0038452F" w:rsidRPr="00913D1D">
        <w:t>V(</w:t>
      </w:r>
      <w:proofErr w:type="gramEnd"/>
      <w:r w:rsidRPr="00913D1D">
        <w:t>a</w:t>
      </w:r>
      <w:r w:rsidR="0038452F" w:rsidRPr="00913D1D">
        <w:t>)</w:t>
      </w:r>
      <w:r w:rsidRPr="00913D1D">
        <w:t xml:space="preserve">: Africa. </w:t>
      </w:r>
      <w:r w:rsidR="0038452F" w:rsidRPr="00913D1D">
        <w:t>As of 30 June 2019</w:t>
      </w:r>
      <w:r w:rsidRPr="00913D1D">
        <w:t xml:space="preserve">, </w:t>
      </w:r>
      <w:r w:rsidR="0038452F" w:rsidRPr="00913D1D">
        <w:t>seven</w:t>
      </w:r>
      <w:r w:rsidRPr="00913D1D">
        <w:t xml:space="preserve"> other projects – </w:t>
      </w:r>
      <w:r w:rsidR="0038452F" w:rsidRPr="00913D1D">
        <w:t xml:space="preserve">one </w:t>
      </w:r>
      <w:r w:rsidRPr="00913D1D">
        <w:t xml:space="preserve">granted by the Bureau that met in </w:t>
      </w:r>
      <w:r w:rsidR="00F76F52" w:rsidRPr="00913D1D">
        <w:t>March 2018</w:t>
      </w:r>
      <w:r w:rsidRPr="00913D1D">
        <w:t xml:space="preserve"> (</w:t>
      </w:r>
      <w:hyperlink r:id="rId14" w:history="1">
        <w:r w:rsidR="00F76F52" w:rsidRPr="00913D1D">
          <w:rPr>
            <w:rStyle w:val="Lienhypertexte"/>
          </w:rPr>
          <w:t>Decision</w:t>
        </w:r>
        <w:r w:rsidR="001600DD" w:rsidRPr="00913D1D">
          <w:rPr>
            <w:rStyle w:val="Lienhypertexte"/>
          </w:rPr>
          <w:t> </w:t>
        </w:r>
        <w:r w:rsidR="00F76F52" w:rsidRPr="00913D1D">
          <w:rPr>
            <w:rStyle w:val="Lienhypertexte"/>
          </w:rPr>
          <w:t>13.COM 1.BUR 3.7</w:t>
        </w:r>
      </w:hyperlink>
      <w:r w:rsidR="00F76F52" w:rsidRPr="00913D1D">
        <w:t>), one by t</w:t>
      </w:r>
      <w:r w:rsidRPr="00913D1D">
        <w:t>he last Committee (Decision</w:t>
      </w:r>
      <w:r w:rsidR="000E4EF7">
        <w:t>s</w:t>
      </w:r>
      <w:r w:rsidR="00A32B3C" w:rsidRPr="00913D1D">
        <w:t> </w:t>
      </w:r>
      <w:hyperlink r:id="rId15" w:history="1">
        <w:r w:rsidRPr="00913D1D">
          <w:rPr>
            <w:rStyle w:val="Lienhypertexte"/>
          </w:rPr>
          <w:t>1</w:t>
        </w:r>
        <w:r w:rsidR="00F76F52" w:rsidRPr="00913D1D">
          <w:rPr>
            <w:rStyle w:val="Lienhypertexte"/>
          </w:rPr>
          <w:t>3</w:t>
        </w:r>
        <w:r w:rsidRPr="00913D1D">
          <w:rPr>
            <w:rStyle w:val="Lienhypertexte"/>
          </w:rPr>
          <w:t>.COM</w:t>
        </w:r>
        <w:r w:rsidR="00F76F52" w:rsidRPr="00913D1D">
          <w:rPr>
            <w:rStyle w:val="Lienhypertexte"/>
          </w:rPr>
          <w:t> </w:t>
        </w:r>
        <w:r w:rsidRPr="00913D1D">
          <w:rPr>
            <w:rStyle w:val="Lienhypertexte"/>
          </w:rPr>
          <w:t>10.</w:t>
        </w:r>
        <w:r w:rsidR="00F76F52" w:rsidRPr="00913D1D">
          <w:rPr>
            <w:rStyle w:val="Lienhypertexte"/>
          </w:rPr>
          <w:t>d</w:t>
        </w:r>
      </w:hyperlink>
      <w:r w:rsidR="00F76F52" w:rsidRPr="00913D1D">
        <w:t xml:space="preserve"> and </w:t>
      </w:r>
      <w:hyperlink r:id="rId16" w:history="1">
        <w:r w:rsidR="00F76F52" w:rsidRPr="00913D1D">
          <w:rPr>
            <w:rStyle w:val="Lienhypertexte"/>
          </w:rPr>
          <w:t>14.COM 2.BUR 4</w:t>
        </w:r>
      </w:hyperlink>
      <w:r w:rsidRPr="00913D1D">
        <w:t>)</w:t>
      </w:r>
      <w:r w:rsidR="00F76F52" w:rsidRPr="00913D1D">
        <w:t xml:space="preserve">, </w:t>
      </w:r>
      <w:r w:rsidR="00260FC1" w:rsidRPr="00913D1D">
        <w:t>two by the Bureau that met in March 2019 (</w:t>
      </w:r>
      <w:hyperlink r:id="rId17" w:history="1">
        <w:r w:rsidR="00260FC1" w:rsidRPr="00913D1D">
          <w:rPr>
            <w:rStyle w:val="Lienhypertexte"/>
          </w:rPr>
          <w:t>Decisions</w:t>
        </w:r>
        <w:r w:rsidR="00A91261">
          <w:rPr>
            <w:rStyle w:val="Lienhypertexte"/>
          </w:rPr>
          <w:t> </w:t>
        </w:r>
        <w:r w:rsidR="00260FC1" w:rsidRPr="00913D1D">
          <w:rPr>
            <w:rStyle w:val="Lienhypertexte"/>
          </w:rPr>
          <w:t>14.COM 1.BUR 3.2 and 14.COM</w:t>
        </w:r>
        <w:r w:rsidR="00A91261">
          <w:rPr>
            <w:rStyle w:val="Lienhypertexte"/>
          </w:rPr>
          <w:t> </w:t>
        </w:r>
        <w:r w:rsidR="00260FC1" w:rsidRPr="00913D1D">
          <w:rPr>
            <w:rStyle w:val="Lienhypertexte"/>
          </w:rPr>
          <w:t>1.BUR 3.3</w:t>
        </w:r>
      </w:hyperlink>
      <w:r w:rsidR="00260FC1" w:rsidRPr="00913D1D">
        <w:t>) and three by the Bureau that met in June 2019 (</w:t>
      </w:r>
      <w:hyperlink r:id="rId18" w:history="1">
        <w:r w:rsidR="00260FC1" w:rsidRPr="00913D1D">
          <w:rPr>
            <w:rStyle w:val="Lienhypertexte"/>
          </w:rPr>
          <w:t>Decisions</w:t>
        </w:r>
        <w:r w:rsidR="001600DD" w:rsidRPr="00913D1D">
          <w:rPr>
            <w:rStyle w:val="Lienhypertexte"/>
          </w:rPr>
          <w:t> </w:t>
        </w:r>
        <w:r w:rsidR="00260FC1" w:rsidRPr="00913D1D">
          <w:rPr>
            <w:rStyle w:val="Lienhypertexte"/>
          </w:rPr>
          <w:t>14.COM 2.BUR 5.3, 14.COM 2.BUR 5.4 and 14.COM 2.BUR 5.5</w:t>
        </w:r>
      </w:hyperlink>
      <w:r w:rsidR="00260FC1" w:rsidRPr="00913D1D">
        <w:t xml:space="preserve">) </w:t>
      </w:r>
      <w:r w:rsidRPr="00913D1D">
        <w:t>– have not yet materialized into a contract and are therefore not reflected in Statement</w:t>
      </w:r>
      <w:r w:rsidR="00954227">
        <w:t xml:space="preserve"> I</w:t>
      </w:r>
      <w:r w:rsidRPr="00913D1D">
        <w:t xml:space="preserve">. </w:t>
      </w:r>
      <w:r w:rsidR="00260FC1" w:rsidRPr="00913D1D">
        <w:t>T</w:t>
      </w:r>
      <w:r w:rsidRPr="00913D1D">
        <w:t>he expenditure rat</w:t>
      </w:r>
      <w:r w:rsidR="00260FC1" w:rsidRPr="00913D1D">
        <w:t>e of International Assistance (51</w:t>
      </w:r>
      <w:r w:rsidRPr="00913D1D">
        <w:t xml:space="preserve">.7%) is expected to rise to </w:t>
      </w:r>
      <w:r w:rsidR="00370699" w:rsidRPr="00913D1D">
        <w:t>68</w:t>
      </w:r>
      <w:r w:rsidRPr="00913D1D">
        <w:t xml:space="preserve">% at the end of the biennium when the above-mentioned contracts are established, marking an increase of around </w:t>
      </w:r>
      <w:r w:rsidR="00370699" w:rsidRPr="00913D1D">
        <w:t>40</w:t>
      </w:r>
      <w:r w:rsidRPr="00913D1D">
        <w:t>% compared to the expenditure rate of the last biennium.</w:t>
      </w:r>
    </w:p>
    <w:p w14:paraId="62E308C2" w14:textId="7997826F" w:rsidR="008E47F0" w:rsidRPr="00913D1D" w:rsidRDefault="00E978E1" w:rsidP="006543DB">
      <w:pPr>
        <w:pStyle w:val="COMPara"/>
        <w:numPr>
          <w:ilvl w:val="0"/>
          <w:numId w:val="13"/>
        </w:numPr>
        <w:tabs>
          <w:tab w:val="left" w:pos="567"/>
        </w:tabs>
        <w:ind w:left="567" w:hanging="567"/>
        <w:jc w:val="both"/>
      </w:pPr>
      <w:r w:rsidRPr="00913D1D">
        <w:t xml:space="preserve">The new </w:t>
      </w:r>
      <w:r w:rsidRPr="00913D1D">
        <w:rPr>
          <w:b/>
        </w:rPr>
        <w:t>b</w:t>
      </w:r>
      <w:r w:rsidR="008E47F0" w:rsidRPr="00913D1D">
        <w:rPr>
          <w:b/>
        </w:rPr>
        <w:t>udget line 1.1</w:t>
      </w:r>
      <w:r w:rsidR="00BC467F" w:rsidRPr="00913D1D">
        <w:t xml:space="preserve"> was created </w:t>
      </w:r>
      <w:r w:rsidR="00E25D45" w:rsidRPr="00913D1D">
        <w:t xml:space="preserve">by the General Assembly at its seventh session in 2018 </w:t>
      </w:r>
      <w:r w:rsidR="00BC467F" w:rsidRPr="00913D1D">
        <w:t xml:space="preserve">to cover the biennial costs of three extra-budgetary fixed-term </w:t>
      </w:r>
      <w:r w:rsidR="00434B36">
        <w:t>p</w:t>
      </w:r>
      <w:r w:rsidR="00434B36" w:rsidRPr="00913D1D">
        <w:t xml:space="preserve">osts </w:t>
      </w:r>
      <w:r w:rsidR="00BC467F" w:rsidRPr="00913D1D">
        <w:t xml:space="preserve">(one P3, one P2 and one G5) in order to fully activate the International Assistance mechanisms and effectively monitor and evaluate </w:t>
      </w:r>
      <w:r w:rsidR="009E6360" w:rsidRPr="00913D1D">
        <w:t>their</w:t>
      </w:r>
      <w:r w:rsidR="00BC467F" w:rsidRPr="00913D1D">
        <w:t xml:space="preserve"> implementation (</w:t>
      </w:r>
      <w:hyperlink r:id="rId19" w:history="1">
        <w:r w:rsidR="00BC467F" w:rsidRPr="00913D1D">
          <w:rPr>
            <w:rStyle w:val="Lienhypertexte"/>
          </w:rPr>
          <w:t>Resolution</w:t>
        </w:r>
        <w:r w:rsidR="00A91261">
          <w:rPr>
            <w:rStyle w:val="Lienhypertexte"/>
          </w:rPr>
          <w:t> </w:t>
        </w:r>
        <w:r w:rsidR="00BC467F" w:rsidRPr="00913D1D">
          <w:rPr>
            <w:rStyle w:val="Lienhypertexte"/>
          </w:rPr>
          <w:t>7.GA 8</w:t>
        </w:r>
      </w:hyperlink>
      <w:r w:rsidR="00BC467F" w:rsidRPr="00913D1D">
        <w:t>). As at 30 June 2019, the recruitment procedure for th</w:t>
      </w:r>
      <w:r w:rsidR="00E25D45" w:rsidRPr="00913D1D">
        <w:t>e three posts was still ongoing. The budget allocation under this budget line therefore remained untouched</w:t>
      </w:r>
      <w:r w:rsidR="00A32B3C" w:rsidRPr="00913D1D">
        <w:t xml:space="preserve"> at the time </w:t>
      </w:r>
      <w:r w:rsidR="009E6360" w:rsidRPr="00913D1D">
        <w:t>at which</w:t>
      </w:r>
      <w:r w:rsidR="00A32B3C" w:rsidRPr="00913D1D">
        <w:t xml:space="preserve"> the financial statement</w:t>
      </w:r>
      <w:r w:rsidR="009E6360" w:rsidRPr="00913D1D">
        <w:t xml:space="preserve"> was issued</w:t>
      </w:r>
      <w:r w:rsidR="00E25D45" w:rsidRPr="00913D1D">
        <w:t xml:space="preserve">. </w:t>
      </w:r>
      <w:r w:rsidR="00A32B3C" w:rsidRPr="00913D1D">
        <w:t>The recruitment procedure was finalized in September 2019.</w:t>
      </w:r>
    </w:p>
    <w:p w14:paraId="3AD3E3AD" w14:textId="77777777" w:rsidR="006543DB" w:rsidRPr="000D35DF" w:rsidRDefault="006543DB" w:rsidP="006543DB">
      <w:pPr>
        <w:pStyle w:val="COMPara"/>
        <w:numPr>
          <w:ilvl w:val="0"/>
          <w:numId w:val="13"/>
        </w:numPr>
        <w:tabs>
          <w:tab w:val="left" w:pos="567"/>
        </w:tabs>
        <w:ind w:left="567" w:hanging="567"/>
        <w:jc w:val="both"/>
      </w:pPr>
      <w:r w:rsidRPr="00913D1D">
        <w:t xml:space="preserve">During the reporting period, the Secretariat received </w:t>
      </w:r>
      <w:r w:rsidR="007001D9" w:rsidRPr="00913D1D">
        <w:t>three</w:t>
      </w:r>
      <w:r w:rsidRPr="00913D1D">
        <w:t xml:space="preserve"> preparatory assistance request</w:t>
      </w:r>
      <w:r w:rsidR="00370699" w:rsidRPr="00913D1D">
        <w:t>s</w:t>
      </w:r>
      <w:r w:rsidRPr="00913D1D">
        <w:t xml:space="preserve"> for a nomination to the List of Intangible Cultural Heritage in Need of Urgent Safeguarding</w:t>
      </w:r>
      <w:r w:rsidR="007001D9" w:rsidRPr="00913D1D">
        <w:t xml:space="preserve"> – one of which was withdrawn by the requesting State Party –</w:t>
      </w:r>
      <w:r w:rsidRPr="00913D1D">
        <w:t xml:space="preserve"> and</w:t>
      </w:r>
      <w:r w:rsidR="007001D9" w:rsidRPr="00913D1D">
        <w:t xml:space="preserve"> one</w:t>
      </w:r>
      <w:r w:rsidRPr="00913D1D">
        <w:t xml:space="preserve"> preparatory assistance request for proposals</w:t>
      </w:r>
      <w:r w:rsidRPr="00A335E6">
        <w:t xml:space="preserve"> </w:t>
      </w:r>
      <w:r w:rsidR="007001D9">
        <w:t>to</w:t>
      </w:r>
      <w:r w:rsidRPr="00A335E6">
        <w:t xml:space="preserve"> the Register of </w:t>
      </w:r>
      <w:r>
        <w:t xml:space="preserve">Good </w:t>
      </w:r>
      <w:r w:rsidRPr="00A335E6">
        <w:t>Safeguarding Practices.</w:t>
      </w:r>
      <w:r>
        <w:t xml:space="preserve"> The Bureau </w:t>
      </w:r>
      <w:r w:rsidR="00370699">
        <w:t xml:space="preserve">approved </w:t>
      </w:r>
      <w:r w:rsidR="007001D9">
        <w:t>the latter</w:t>
      </w:r>
      <w:r w:rsidR="00370699">
        <w:t xml:space="preserve"> request </w:t>
      </w:r>
      <w:r w:rsidR="00370699" w:rsidRPr="007001D9">
        <w:t>when it met in</w:t>
      </w:r>
      <w:r w:rsidR="007001D9" w:rsidRPr="007001D9">
        <w:t xml:space="preserve"> June 2018 </w:t>
      </w:r>
      <w:r w:rsidR="00370699" w:rsidRPr="007001D9">
        <w:t>(</w:t>
      </w:r>
      <w:hyperlink r:id="rId20" w:history="1">
        <w:r w:rsidR="00370699" w:rsidRPr="007001D9">
          <w:rPr>
            <w:rStyle w:val="Lienhypertexte"/>
          </w:rPr>
          <w:t>Decision</w:t>
        </w:r>
        <w:r w:rsidR="007001D9" w:rsidRPr="007001D9">
          <w:rPr>
            <w:rStyle w:val="Lienhypertexte"/>
          </w:rPr>
          <w:t> 13.COM 2.BUR 6</w:t>
        </w:r>
      </w:hyperlink>
      <w:r w:rsidR="00370699" w:rsidRPr="007001D9">
        <w:t xml:space="preserve">) and </w:t>
      </w:r>
      <w:r w:rsidRPr="007001D9">
        <w:t>examined</w:t>
      </w:r>
      <w:r>
        <w:t xml:space="preserve"> the </w:t>
      </w:r>
      <w:r w:rsidR="00370699">
        <w:t>other two requests</w:t>
      </w:r>
      <w:r>
        <w:t xml:space="preserve"> after the reporting period. E</w:t>
      </w:r>
      <w:r w:rsidRPr="00A335E6">
        <w:t xml:space="preserve">xpenditures reflected in </w:t>
      </w:r>
      <w:r w:rsidRPr="00691183">
        <w:rPr>
          <w:b/>
        </w:rPr>
        <w:t>budget line 2</w:t>
      </w:r>
      <w:r w:rsidRPr="00A335E6">
        <w:t xml:space="preserve"> </w:t>
      </w:r>
      <w:r w:rsidR="00370699">
        <w:t>also include</w:t>
      </w:r>
      <w:r w:rsidRPr="00A335E6">
        <w:t xml:space="preserve"> the provision of technical assistance</w:t>
      </w:r>
      <w:r>
        <w:t xml:space="preserve"> to </w:t>
      </w:r>
      <w:r w:rsidR="00EB6CA6">
        <w:t>three</w:t>
      </w:r>
      <w:r>
        <w:t xml:space="preserve"> States Parties for their International Assistance requests,</w:t>
      </w:r>
      <w:r w:rsidRPr="00A335E6">
        <w:t xml:space="preserve"> in accordance with </w:t>
      </w:r>
      <w:hyperlink r:id="rId21" w:history="1">
        <w:r w:rsidRPr="00A335E6">
          <w:rPr>
            <w:rStyle w:val="Lienhypertexte"/>
          </w:rPr>
          <w:t>Decision 8.COM 7.c</w:t>
        </w:r>
      </w:hyperlink>
      <w:r>
        <w:t>.</w:t>
      </w:r>
    </w:p>
    <w:p w14:paraId="6DD23E95" w14:textId="3003B1E8" w:rsidR="006543DB" w:rsidRPr="00C938EE" w:rsidRDefault="006543DB" w:rsidP="008E47F0">
      <w:pPr>
        <w:pStyle w:val="COMPara"/>
        <w:numPr>
          <w:ilvl w:val="0"/>
          <w:numId w:val="13"/>
        </w:numPr>
        <w:tabs>
          <w:tab w:val="left" w:pos="567"/>
        </w:tabs>
        <w:ind w:left="567" w:hanging="567"/>
        <w:jc w:val="both"/>
      </w:pPr>
      <w:r w:rsidRPr="00F410D6">
        <w:t>The use of the budget for ‘other functions of the Committee’ (</w:t>
      </w:r>
      <w:r w:rsidRPr="008E47F0">
        <w:rPr>
          <w:b/>
        </w:rPr>
        <w:t>budget line 3</w:t>
      </w:r>
      <w:r w:rsidRPr="00F410D6">
        <w:t xml:space="preserve">) is decided by the </w:t>
      </w:r>
      <w:r w:rsidRPr="008E47F0">
        <w:t>Bureau on the basis of specific proposals prepared by the Secretariat (</w:t>
      </w:r>
      <w:hyperlink r:id="rId22" w:history="1">
        <w:r w:rsidRPr="008E47F0">
          <w:rPr>
            <w:rStyle w:val="Lienhypertexte"/>
          </w:rPr>
          <w:t>Decision </w:t>
        </w:r>
        <w:r w:rsidR="00EB6CA6" w:rsidRPr="008E47F0">
          <w:rPr>
            <w:rStyle w:val="Lienhypertexte"/>
          </w:rPr>
          <w:t>12.COM 7</w:t>
        </w:r>
      </w:hyperlink>
      <w:r w:rsidRPr="008E47F0">
        <w:t xml:space="preserve">). According to the plan approved by the Bureau in its </w:t>
      </w:r>
      <w:hyperlink r:id="rId23" w:history="1">
        <w:r w:rsidRPr="008E47F0">
          <w:rPr>
            <w:rStyle w:val="Lienhypertexte"/>
          </w:rPr>
          <w:t>Decision 1</w:t>
        </w:r>
        <w:r w:rsidR="00B54AEA" w:rsidRPr="008E47F0">
          <w:rPr>
            <w:rStyle w:val="Lienhypertexte"/>
          </w:rPr>
          <w:t>3</w:t>
        </w:r>
        <w:r w:rsidRPr="008E47F0">
          <w:rPr>
            <w:rStyle w:val="Lienhypertexte"/>
          </w:rPr>
          <w:t>.COM 2.BUR </w:t>
        </w:r>
        <w:r w:rsidR="00B54AEA" w:rsidRPr="008E47F0">
          <w:rPr>
            <w:rStyle w:val="Lienhypertexte"/>
          </w:rPr>
          <w:t>3</w:t>
        </w:r>
      </w:hyperlink>
      <w:r w:rsidR="004832CF" w:rsidRPr="008E47F0">
        <w:t>,</w:t>
      </w:r>
      <w:r w:rsidRPr="008E47F0">
        <w:t xml:space="preserve"> these funds </w:t>
      </w:r>
      <w:r w:rsidRPr="008E47F0">
        <w:lastRenderedPageBreak/>
        <w:t>were dedicated to: capacity building and guidance on safeguarding measures and good practices (</w:t>
      </w:r>
      <w:r w:rsidR="004832CF" w:rsidRPr="008E47F0">
        <w:t>36</w:t>
      </w:r>
      <w:r w:rsidRPr="008E47F0">
        <w:t xml:space="preserve">%); </w:t>
      </w:r>
      <w:r w:rsidR="008E47F0" w:rsidRPr="008E47F0">
        <w:t xml:space="preserve">awareness raising and outreach (27%); </w:t>
      </w:r>
      <w:r w:rsidRPr="008E47F0">
        <w:t>knowledge-management services (</w:t>
      </w:r>
      <w:r w:rsidR="004832CF" w:rsidRPr="008E47F0">
        <w:t>20</w:t>
      </w:r>
      <w:r w:rsidRPr="008E47F0">
        <w:t xml:space="preserve">%); and </w:t>
      </w:r>
      <w:r w:rsidR="0070102B">
        <w:t xml:space="preserve">the </w:t>
      </w:r>
      <w:r w:rsidR="008E47F0" w:rsidRPr="008E47F0">
        <w:t xml:space="preserve">integration of intangible cultural heritage into development plans, policies and programmes </w:t>
      </w:r>
      <w:r w:rsidRPr="008E47F0">
        <w:t>(</w:t>
      </w:r>
      <w:r w:rsidR="008E47F0" w:rsidRPr="008E47F0">
        <w:t>17</w:t>
      </w:r>
      <w:r w:rsidRPr="008E47F0">
        <w:t xml:space="preserve">%). </w:t>
      </w:r>
      <w:r w:rsidR="008E47F0" w:rsidRPr="008E47F0">
        <w:t>Some 60</w:t>
      </w:r>
      <w:r w:rsidRPr="008E47F0">
        <w:t>.</w:t>
      </w:r>
      <w:r w:rsidR="008E47F0" w:rsidRPr="008E47F0">
        <w:t>1</w:t>
      </w:r>
      <w:r w:rsidRPr="008E47F0">
        <w:t>% of the funds approved for the current biennium were obligated as of 30 June 201</w:t>
      </w:r>
      <w:r w:rsidR="008E47F0" w:rsidRPr="008E47F0">
        <w:t>9</w:t>
      </w:r>
      <w:r w:rsidRPr="008E47F0">
        <w:t xml:space="preserve">. A detailed report on the progress of </w:t>
      </w:r>
      <w:r w:rsidR="009E6360">
        <w:t xml:space="preserve">the </w:t>
      </w:r>
      <w:r w:rsidRPr="008E47F0">
        <w:t xml:space="preserve">implementation of these funds can be found in </w:t>
      </w:r>
      <w:hyperlink r:id="rId24" w:history="1">
        <w:r w:rsidRPr="00EA2D77">
          <w:rPr>
            <w:rStyle w:val="Lienhypertexte"/>
          </w:rPr>
          <w:t xml:space="preserve">document </w:t>
        </w:r>
        <w:r w:rsidR="00D140FF" w:rsidRPr="00EA2D77">
          <w:rPr>
            <w:rStyle w:val="Lienhypertexte"/>
          </w:rPr>
          <w:t>LHE</w:t>
        </w:r>
        <w:r w:rsidR="008E47F0" w:rsidRPr="00EA2D77">
          <w:rPr>
            <w:rStyle w:val="Lienhypertexte"/>
          </w:rPr>
          <w:t>/19</w:t>
        </w:r>
        <w:r w:rsidRPr="00EA2D77">
          <w:rPr>
            <w:rStyle w:val="Lienhypertexte"/>
          </w:rPr>
          <w:t>/1</w:t>
        </w:r>
        <w:r w:rsidR="008E47F0" w:rsidRPr="00EA2D77">
          <w:rPr>
            <w:rStyle w:val="Lienhypertexte"/>
          </w:rPr>
          <w:t>4</w:t>
        </w:r>
        <w:r w:rsidRPr="00EA2D77">
          <w:rPr>
            <w:rStyle w:val="Lienhypertexte"/>
          </w:rPr>
          <w:t>.COM/5.b</w:t>
        </w:r>
      </w:hyperlink>
      <w:r w:rsidRPr="00D71776">
        <w:t>,</w:t>
      </w:r>
      <w:r w:rsidRPr="008E47F0">
        <w:t xml:space="preserve"> ‘Report by the Secretariat on its activities</w:t>
      </w:r>
      <w:r w:rsidR="008E47F0" w:rsidRPr="008E47F0">
        <w:t xml:space="preserve"> (January 2018 to June 2019)</w:t>
      </w:r>
      <w:r w:rsidRPr="008E47F0">
        <w:t>’.</w:t>
      </w:r>
    </w:p>
    <w:p w14:paraId="35B7D90F" w14:textId="77777777" w:rsidR="006543DB" w:rsidRPr="00776B2B" w:rsidRDefault="006543DB" w:rsidP="006543DB">
      <w:pPr>
        <w:pStyle w:val="COMPara"/>
        <w:numPr>
          <w:ilvl w:val="0"/>
          <w:numId w:val="13"/>
        </w:numPr>
        <w:tabs>
          <w:tab w:val="left" w:pos="567"/>
        </w:tabs>
        <w:ind w:left="567" w:hanging="567"/>
        <w:jc w:val="both"/>
      </w:pPr>
      <w:r w:rsidRPr="00776B2B">
        <w:t>Following the Internal Oversight Service’s recommendation in its audit of the working methods of the culture conventions (</w:t>
      </w:r>
      <w:hyperlink r:id="rId25" w:history="1">
        <w:r w:rsidRPr="00776B2B">
          <w:rPr>
            <w:rStyle w:val="Lienhypertexte"/>
          </w:rPr>
          <w:t>IOS/AUD/2013/06</w:t>
        </w:r>
      </w:hyperlink>
      <w:r w:rsidRPr="00776B2B">
        <w:t>), the Committee</w:t>
      </w:r>
      <w:r w:rsidRPr="00A352F6">
        <w:t xml:space="preserve"> </w:t>
      </w:r>
      <w:r w:rsidRPr="00776B2B">
        <w:t>requested</w:t>
      </w:r>
      <w:r>
        <w:t>,</w:t>
      </w:r>
      <w:r w:rsidRPr="00776B2B">
        <w:t xml:space="preserve"> </w:t>
      </w:r>
      <w:r>
        <w:t>by</w:t>
      </w:r>
      <w:r w:rsidRPr="00776B2B">
        <w:t xml:space="preserve"> </w:t>
      </w:r>
      <w:r w:rsidRPr="008E47F0">
        <w:rPr>
          <w:rStyle w:val="Lienhypertexte"/>
          <w:color w:val="auto"/>
          <w:u w:val="none"/>
        </w:rPr>
        <w:t>its</w:t>
      </w:r>
      <w:r w:rsidRPr="00CC5DC2">
        <w:rPr>
          <w:rStyle w:val="Lienhypertexte"/>
        </w:rPr>
        <w:t xml:space="preserve"> </w:t>
      </w:r>
      <w:hyperlink r:id="rId26" w:history="1">
        <w:r w:rsidRPr="00776B2B">
          <w:rPr>
            <w:rStyle w:val="Lienhypertexte"/>
          </w:rPr>
          <w:t>Decision 8.COM 11</w:t>
        </w:r>
      </w:hyperlink>
      <w:r w:rsidRPr="008E47F0">
        <w:rPr>
          <w:rStyle w:val="Lienhypertexte"/>
          <w:color w:val="auto"/>
          <w:u w:val="none"/>
        </w:rPr>
        <w:t>,</w:t>
      </w:r>
      <w:r w:rsidRPr="00776B2B">
        <w:t xml:space="preserve"> t</w:t>
      </w:r>
      <w:r>
        <w:t>hat</w:t>
      </w:r>
      <w:r w:rsidRPr="00776B2B">
        <w:t xml:space="preserve"> the Secretariat apply the cost recovery policy consistently when using the resources of the Fund. Consequently, and as provided in Article 5.2 of the Financial Regulations</w:t>
      </w:r>
      <w:r>
        <w:t xml:space="preserve"> of the Fund</w:t>
      </w:r>
      <w:r w:rsidRPr="00776B2B">
        <w:t>, budget lines 1 to 3 were charged with</w:t>
      </w:r>
      <w:r>
        <w:t xml:space="preserve"> all </w:t>
      </w:r>
      <w:r w:rsidRPr="00776B2B">
        <w:t>direct expenses.</w:t>
      </w:r>
      <w:r w:rsidRPr="001F672F">
        <w:t xml:space="preserve"> </w:t>
      </w:r>
      <w:hyperlink r:id="rId27" w:history="1">
        <w:r w:rsidRPr="00776B2B">
          <w:rPr>
            <w:rStyle w:val="Lienhypertexte"/>
          </w:rPr>
          <w:t>Decision 8.COM 11</w:t>
        </w:r>
      </w:hyperlink>
      <w:r w:rsidRPr="008E47F0">
        <w:rPr>
          <w:rStyle w:val="Lienhypertexte"/>
          <w:u w:val="none"/>
        </w:rPr>
        <w:t xml:space="preserve"> </w:t>
      </w:r>
      <w:r w:rsidRPr="00604AEF">
        <w:t>is</w:t>
      </w:r>
      <w:r>
        <w:t xml:space="preserve"> systematically</w:t>
      </w:r>
      <w:r w:rsidRPr="00604AEF">
        <w:t xml:space="preserve"> applied and will continue to be applied in future cycles.</w:t>
      </w:r>
    </w:p>
    <w:p w14:paraId="690EE2E6" w14:textId="3DF77408" w:rsidR="006543DB" w:rsidRPr="002318D6" w:rsidRDefault="006543DB" w:rsidP="006543DB">
      <w:pPr>
        <w:pStyle w:val="COMPara"/>
        <w:numPr>
          <w:ilvl w:val="0"/>
          <w:numId w:val="13"/>
        </w:numPr>
        <w:tabs>
          <w:tab w:val="left" w:pos="567"/>
        </w:tabs>
        <w:ind w:left="567" w:hanging="567"/>
        <w:jc w:val="both"/>
      </w:pPr>
      <w:r w:rsidRPr="000B21E2">
        <w:rPr>
          <w:b/>
        </w:rPr>
        <w:t>B</w:t>
      </w:r>
      <w:r w:rsidRPr="00227552">
        <w:rPr>
          <w:b/>
        </w:rPr>
        <w:t>udget line</w:t>
      </w:r>
      <w:r>
        <w:rPr>
          <w:b/>
        </w:rPr>
        <w:t> </w:t>
      </w:r>
      <w:r w:rsidRPr="00227552">
        <w:rPr>
          <w:b/>
        </w:rPr>
        <w:t>4</w:t>
      </w:r>
      <w:r w:rsidRPr="000B21E2">
        <w:t xml:space="preserve">, </w:t>
      </w:r>
      <w:r>
        <w:t xml:space="preserve">which is used to finance the participation of experts representing developing States Members </w:t>
      </w:r>
      <w:r w:rsidRPr="002318D6">
        <w:t xml:space="preserve">of the Committee, its Bureau and subsidiary bodies in its sessions, shows an expenditure rate of </w:t>
      </w:r>
      <w:r w:rsidR="008E47F0" w:rsidRPr="002318D6">
        <w:t>50</w:t>
      </w:r>
      <w:r w:rsidRPr="002318D6">
        <w:t>.</w:t>
      </w:r>
      <w:r w:rsidR="008E47F0" w:rsidRPr="002318D6">
        <w:t>1%.</w:t>
      </w:r>
      <w:r w:rsidRPr="002318D6">
        <w:t xml:space="preserve"> </w:t>
      </w:r>
      <w:r w:rsidR="00E41163" w:rsidRPr="00053504">
        <w:t>C</w:t>
      </w:r>
      <w:r w:rsidRPr="00053504">
        <w:t xml:space="preserve">osts that </w:t>
      </w:r>
      <w:r w:rsidR="008E47F0" w:rsidRPr="00053504">
        <w:t>will be</w:t>
      </w:r>
      <w:r w:rsidRPr="00053504">
        <w:t xml:space="preserve"> committed for the participation of such experts in the </w:t>
      </w:r>
      <w:r w:rsidR="008E47F0" w:rsidRPr="00053504">
        <w:t>fourteenth</w:t>
      </w:r>
      <w:r w:rsidRPr="00053504">
        <w:t xml:space="preserve"> session of the Committee</w:t>
      </w:r>
      <w:r w:rsidR="00E41163" w:rsidRPr="00053504">
        <w:t xml:space="preserve"> </w:t>
      </w:r>
      <w:r w:rsidR="00434B36" w:rsidRPr="00053504">
        <w:t>w</w:t>
      </w:r>
      <w:r w:rsidR="00434B36">
        <w:t>ould</w:t>
      </w:r>
      <w:r w:rsidR="00434B36" w:rsidRPr="00053504">
        <w:t xml:space="preserve"> </w:t>
      </w:r>
      <w:r w:rsidR="00E41163" w:rsidRPr="00053504">
        <w:t>increase this rate up to 100%, a 40% increase compared with the previous biennium.</w:t>
      </w:r>
    </w:p>
    <w:p w14:paraId="7B237235" w14:textId="66FA3814" w:rsidR="006543DB" w:rsidRPr="002318D6" w:rsidRDefault="006543DB" w:rsidP="006543DB">
      <w:pPr>
        <w:pStyle w:val="COMPara"/>
        <w:numPr>
          <w:ilvl w:val="0"/>
          <w:numId w:val="13"/>
        </w:numPr>
        <w:tabs>
          <w:tab w:val="left" w:pos="567"/>
        </w:tabs>
        <w:ind w:left="567" w:hanging="567"/>
        <w:jc w:val="both"/>
      </w:pPr>
      <w:r w:rsidRPr="002318D6">
        <w:t xml:space="preserve">The expenditure rate of </w:t>
      </w:r>
      <w:r w:rsidRPr="002318D6">
        <w:rPr>
          <w:b/>
        </w:rPr>
        <w:t>budget line 5</w:t>
      </w:r>
      <w:r w:rsidRPr="002318D6">
        <w:t xml:space="preserve"> reache</w:t>
      </w:r>
      <w:r w:rsidR="007957DC">
        <w:t>d</w:t>
      </w:r>
      <w:r w:rsidRPr="002318D6">
        <w:t xml:space="preserve"> </w:t>
      </w:r>
      <w:r w:rsidR="00E41163" w:rsidRPr="002318D6">
        <w:t>67.6</w:t>
      </w:r>
      <w:r w:rsidRPr="002318D6">
        <w:t xml:space="preserve">%. Disbursements include the participation costs of </w:t>
      </w:r>
      <w:r w:rsidR="005F1AF6" w:rsidRPr="00053504">
        <w:t>thirty-six</w:t>
      </w:r>
      <w:r w:rsidR="00E41163" w:rsidRPr="002318D6">
        <w:t xml:space="preserve"> </w:t>
      </w:r>
      <w:r w:rsidRPr="002318D6">
        <w:t>eligible experts from developing States Parties non-members of the Committee serving on the Evaluation Body in 201</w:t>
      </w:r>
      <w:r w:rsidR="00E41163" w:rsidRPr="002318D6">
        <w:t>8</w:t>
      </w:r>
      <w:r w:rsidRPr="002318D6">
        <w:t xml:space="preserve"> and 201</w:t>
      </w:r>
      <w:r w:rsidR="00E41163" w:rsidRPr="002318D6">
        <w:t>9</w:t>
      </w:r>
      <w:r w:rsidRPr="002318D6">
        <w:t xml:space="preserve"> and the participation costs of experts in the </w:t>
      </w:r>
      <w:r w:rsidR="00E41163" w:rsidRPr="002318D6">
        <w:t>thirteenth</w:t>
      </w:r>
      <w:r w:rsidRPr="002318D6">
        <w:t xml:space="preserve"> session of the Committee. </w:t>
      </w:r>
      <w:r w:rsidR="00E41163" w:rsidRPr="00053504">
        <w:t>P</w:t>
      </w:r>
      <w:r w:rsidRPr="00053504">
        <w:t xml:space="preserve">articipation costs of experts from developing States Parties non-members of the Committee in the </w:t>
      </w:r>
      <w:r w:rsidR="00E41163" w:rsidRPr="00053504">
        <w:t>fourteen</w:t>
      </w:r>
      <w:r w:rsidRPr="00053504">
        <w:t>th session of the Committee</w:t>
      </w:r>
      <w:r w:rsidR="00E41163" w:rsidRPr="00053504">
        <w:t xml:space="preserve"> will increase the expenditure rate to 100%, similar to the previous biennium</w:t>
      </w:r>
      <w:r w:rsidRPr="00053504">
        <w:t>.</w:t>
      </w:r>
    </w:p>
    <w:p w14:paraId="19E16799" w14:textId="77777777" w:rsidR="006543DB" w:rsidRPr="002318D6" w:rsidRDefault="006543DB" w:rsidP="006543DB">
      <w:pPr>
        <w:pStyle w:val="COMPara"/>
        <w:numPr>
          <w:ilvl w:val="0"/>
          <w:numId w:val="13"/>
        </w:numPr>
        <w:tabs>
          <w:tab w:val="left" w:pos="567"/>
        </w:tabs>
        <w:ind w:left="567" w:hanging="567"/>
        <w:jc w:val="both"/>
      </w:pPr>
      <w:r w:rsidRPr="002318D6">
        <w:rPr>
          <w:b/>
        </w:rPr>
        <w:t xml:space="preserve">Budget Line 6 </w:t>
      </w:r>
      <w:r w:rsidRPr="002318D6">
        <w:t xml:space="preserve">shows an expenditure rate of </w:t>
      </w:r>
      <w:r w:rsidR="00E41163" w:rsidRPr="002318D6">
        <w:t>50</w:t>
      </w:r>
      <w:r w:rsidRPr="002318D6">
        <w:t>.</w:t>
      </w:r>
      <w:r w:rsidR="00E41163" w:rsidRPr="002318D6">
        <w:t>6</w:t>
      </w:r>
      <w:r w:rsidRPr="002318D6">
        <w:t>%, which reflects the participation costs of the six accredited non-governmental organizations (NGOs) servin</w:t>
      </w:r>
      <w:r w:rsidR="00E41163" w:rsidRPr="002318D6">
        <w:t>g on the Evaluation Body in 2018 and 2019</w:t>
      </w:r>
      <w:r w:rsidRPr="002318D6">
        <w:t xml:space="preserve"> and the participation of </w:t>
      </w:r>
      <w:r w:rsidR="00864959" w:rsidRPr="00053504">
        <w:t>twenty-six</w:t>
      </w:r>
      <w:r w:rsidRPr="002318D6">
        <w:t xml:space="preserve"> NGOs in the </w:t>
      </w:r>
      <w:r w:rsidR="00E41163" w:rsidRPr="002318D6">
        <w:t>thirteenth</w:t>
      </w:r>
      <w:r w:rsidRPr="002318D6">
        <w:t xml:space="preserve"> session of the Committee. It </w:t>
      </w:r>
      <w:r w:rsidR="00E41163" w:rsidRPr="002318D6">
        <w:t>does not</w:t>
      </w:r>
      <w:r w:rsidR="0070102B">
        <w:t>, however,</w:t>
      </w:r>
      <w:r w:rsidRPr="002318D6">
        <w:t xml:space="preserve"> reflect obligations </w:t>
      </w:r>
      <w:r w:rsidR="00E41163" w:rsidRPr="002318D6">
        <w:t xml:space="preserve">that will be </w:t>
      </w:r>
      <w:r w:rsidRPr="002318D6">
        <w:t xml:space="preserve">provisioned for the participation of accredited NGOs from developing countries in the </w:t>
      </w:r>
      <w:r w:rsidR="00E41163" w:rsidRPr="002318D6">
        <w:t>fourteen</w:t>
      </w:r>
      <w:r w:rsidRPr="002318D6">
        <w:t>th session of the Committee</w:t>
      </w:r>
      <w:r w:rsidR="004A63B8" w:rsidRPr="002318D6">
        <w:t xml:space="preserve">. </w:t>
      </w:r>
      <w:r w:rsidR="004A63B8" w:rsidRPr="00053504">
        <w:t>These costs</w:t>
      </w:r>
      <w:r w:rsidR="00E41163" w:rsidRPr="00053504">
        <w:t xml:space="preserve"> will lead to a significant increase </w:t>
      </w:r>
      <w:r w:rsidR="0070102B">
        <w:t>in</w:t>
      </w:r>
      <w:r w:rsidR="00E41163" w:rsidRPr="00053504">
        <w:t xml:space="preserve"> the expenditure rate</w:t>
      </w:r>
      <w:r w:rsidR="004A63B8" w:rsidRPr="00053504">
        <w:t xml:space="preserve"> – possibly up to 100% – at the end of the biennium</w:t>
      </w:r>
      <w:r w:rsidR="004A63B8" w:rsidRPr="002318D6">
        <w:t>, compared with 65.7% in the previous biennium.</w:t>
      </w:r>
    </w:p>
    <w:p w14:paraId="7750144C" w14:textId="1882F1C6" w:rsidR="006543DB" w:rsidRPr="00B0731A" w:rsidRDefault="006543DB" w:rsidP="006543DB">
      <w:pPr>
        <w:pStyle w:val="COMPara"/>
        <w:numPr>
          <w:ilvl w:val="0"/>
          <w:numId w:val="13"/>
        </w:numPr>
        <w:tabs>
          <w:tab w:val="left" w:pos="567"/>
        </w:tabs>
        <w:ind w:left="567" w:hanging="567"/>
        <w:jc w:val="both"/>
      </w:pPr>
      <w:r w:rsidRPr="000B21E2">
        <w:rPr>
          <w:b/>
        </w:rPr>
        <w:t>B</w:t>
      </w:r>
      <w:r w:rsidRPr="00EF4582">
        <w:rPr>
          <w:b/>
        </w:rPr>
        <w:t>udget line 7</w:t>
      </w:r>
      <w:r w:rsidRPr="00EF4582">
        <w:t xml:space="preserve"> shows an </w:t>
      </w:r>
      <w:r>
        <w:t xml:space="preserve">expenditure </w:t>
      </w:r>
      <w:r w:rsidRPr="00EF4582">
        <w:t xml:space="preserve">rate of </w:t>
      </w:r>
      <w:r w:rsidR="004A63B8">
        <w:t>40</w:t>
      </w:r>
      <w:r w:rsidRPr="000B21E2">
        <w:t>.</w:t>
      </w:r>
      <w:r w:rsidR="004A63B8">
        <w:t>0</w:t>
      </w:r>
      <w:r>
        <w:t>%,</w:t>
      </w:r>
      <w:r w:rsidRPr="00EF4582">
        <w:t xml:space="preserve"> corresponding to the fees of </w:t>
      </w:r>
      <w:r w:rsidRPr="000B21E2">
        <w:t>the eligible members</w:t>
      </w:r>
      <w:r w:rsidRPr="00EF4582">
        <w:t xml:space="preserve"> of the </w:t>
      </w:r>
      <w:r w:rsidRPr="000B21E2">
        <w:t>Evaluation</w:t>
      </w:r>
      <w:r w:rsidRPr="00EF4582">
        <w:t xml:space="preserve"> Body</w:t>
      </w:r>
      <w:r w:rsidRPr="000B21E2">
        <w:t xml:space="preserve"> (</w:t>
      </w:r>
      <w:r w:rsidR="004A63B8" w:rsidRPr="004A63B8">
        <w:t>nine</w:t>
      </w:r>
      <w:r w:rsidRPr="004A63B8">
        <w:t xml:space="preserve"> in 201</w:t>
      </w:r>
      <w:r w:rsidR="004A63B8" w:rsidRPr="004A63B8">
        <w:t>8</w:t>
      </w:r>
      <w:r w:rsidRPr="004A63B8">
        <w:t xml:space="preserve"> and </w:t>
      </w:r>
      <w:r w:rsidR="004A63B8" w:rsidRPr="00B0731A">
        <w:t>eight in 2019</w:t>
      </w:r>
      <w:r w:rsidRPr="00B0731A">
        <w:t>) and the fees paid to the Chairperson and the Rapporteur of the Body for the additional tasks they perform. This rate remains relatively low due to the need to establish the contract of the members of the Evaluation Body at the beginning of the evaluation cycle, when only one fourth of the total budget is available.</w:t>
      </w:r>
    </w:p>
    <w:p w14:paraId="56279EE5" w14:textId="77777777" w:rsidR="006543DB" w:rsidRPr="00D140FF" w:rsidRDefault="006543DB" w:rsidP="006543DB">
      <w:pPr>
        <w:pStyle w:val="COMPara"/>
        <w:numPr>
          <w:ilvl w:val="0"/>
          <w:numId w:val="13"/>
        </w:numPr>
        <w:tabs>
          <w:tab w:val="left" w:pos="567"/>
        </w:tabs>
        <w:ind w:left="567" w:hanging="567"/>
        <w:jc w:val="both"/>
      </w:pPr>
      <w:r w:rsidRPr="00D140FF">
        <w:t xml:space="preserve">The Reserve Fund </w:t>
      </w:r>
      <w:r w:rsidRPr="00D140FF">
        <w:rPr>
          <w:b/>
        </w:rPr>
        <w:t>(budget line 8)</w:t>
      </w:r>
      <w:r w:rsidRPr="00D140FF">
        <w:t xml:space="preserve"> was created in accordance with the Financial Regulations of the Special Account of the Fund for the Safeguarding of the Intangible Cultural Heritage to meet requests for International Assistance in cases of extreme urgency and in the event that the funds allocated to International Assistance (budget line 1) are exhausted. </w:t>
      </w:r>
      <w:r w:rsidR="00D140FF" w:rsidRPr="006C68AF">
        <w:t>During the reporting period, the Reserve Fund remained untouched</w:t>
      </w:r>
      <w:r w:rsidRPr="00D140FF">
        <w:t>.</w:t>
      </w:r>
    </w:p>
    <w:p w14:paraId="490797A0" w14:textId="77777777" w:rsidR="00E25D45" w:rsidRPr="00785AA3" w:rsidRDefault="00E25D45" w:rsidP="00E25D45">
      <w:pPr>
        <w:pStyle w:val="Default"/>
        <w:keepNext/>
        <w:numPr>
          <w:ilvl w:val="0"/>
          <w:numId w:val="16"/>
        </w:numPr>
        <w:spacing w:before="240" w:after="120"/>
        <w:ind w:left="567" w:hanging="567"/>
        <w:jc w:val="both"/>
        <w:rPr>
          <w:b/>
          <w:bCs/>
        </w:rPr>
      </w:pPr>
      <w:r>
        <w:rPr>
          <w:b/>
          <w:bCs/>
        </w:rPr>
        <w:t>Additional reports</w:t>
      </w:r>
    </w:p>
    <w:p w14:paraId="4350A633" w14:textId="4C624727" w:rsidR="00E25D45" w:rsidRPr="004F1FC7" w:rsidRDefault="00E25D45" w:rsidP="00E25D45">
      <w:pPr>
        <w:pStyle w:val="COMPara"/>
        <w:numPr>
          <w:ilvl w:val="0"/>
          <w:numId w:val="13"/>
        </w:numPr>
        <w:tabs>
          <w:tab w:val="left" w:pos="567"/>
        </w:tabs>
        <w:ind w:left="567" w:hanging="567"/>
        <w:jc w:val="both"/>
      </w:pPr>
      <w:r w:rsidRPr="00E978E1">
        <w:t>Annex I</w:t>
      </w:r>
      <w:r w:rsidR="005067E4">
        <w:t>I</w:t>
      </w:r>
      <w:r w:rsidRPr="00E978E1">
        <w:t xml:space="preserve"> of the present</w:t>
      </w:r>
      <w:r>
        <w:t xml:space="preserve"> document</w:t>
      </w:r>
      <w:r w:rsidRPr="00E978E1">
        <w:t xml:space="preserve"> contains the list of voluntary supplementary contributions paid between January</w:t>
      </w:r>
      <w:r>
        <w:t xml:space="preserve"> 2018 and June 2019 </w:t>
      </w:r>
      <w:r w:rsidRPr="009D27C7">
        <w:t xml:space="preserve">for specific purposes, as </w:t>
      </w:r>
      <w:r>
        <w:t>stipulated</w:t>
      </w:r>
      <w:r w:rsidRPr="009D27C7">
        <w:t xml:space="preserve"> </w:t>
      </w:r>
      <w:r>
        <w:t>in</w:t>
      </w:r>
      <w:r w:rsidRPr="009D27C7">
        <w:t xml:space="preserve"> Article 25.5 of the Convention, following a decision of the Committee. </w:t>
      </w:r>
      <w:r>
        <w:t>On the other hand,</w:t>
      </w:r>
      <w:r w:rsidRPr="009D27C7">
        <w:t xml:space="preserve"> the list attached </w:t>
      </w:r>
      <w:r w:rsidRPr="00BB2DEA">
        <w:t xml:space="preserve">to </w:t>
      </w:r>
      <w:hyperlink r:id="rId28" w:history="1">
        <w:r w:rsidRPr="00EA2D77">
          <w:rPr>
            <w:rStyle w:val="Lienhypertexte"/>
          </w:rPr>
          <w:t xml:space="preserve">document </w:t>
        </w:r>
        <w:r w:rsidR="00D140FF" w:rsidRPr="00EA2D77">
          <w:rPr>
            <w:rStyle w:val="Lienhypertexte"/>
          </w:rPr>
          <w:t>LHE</w:t>
        </w:r>
        <w:r w:rsidRPr="00EA2D77">
          <w:rPr>
            <w:rStyle w:val="Lienhypertexte"/>
          </w:rPr>
          <w:t>/19/14.COM/6</w:t>
        </w:r>
      </w:hyperlink>
      <w:r w:rsidRPr="0078543D">
        <w:rPr>
          <w:szCs w:val="24"/>
        </w:rPr>
        <w:t xml:space="preserve"> presents</w:t>
      </w:r>
      <w:r w:rsidRPr="009D27C7">
        <w:rPr>
          <w:szCs w:val="24"/>
        </w:rPr>
        <w:t xml:space="preserve"> all </w:t>
      </w:r>
      <w:r>
        <w:rPr>
          <w:szCs w:val="24"/>
        </w:rPr>
        <w:t xml:space="preserve">the </w:t>
      </w:r>
      <w:r w:rsidRPr="009D27C7">
        <w:rPr>
          <w:szCs w:val="24"/>
        </w:rPr>
        <w:t xml:space="preserve">voluntary contributions received </w:t>
      </w:r>
      <w:r w:rsidRPr="009D27C7">
        <w:t xml:space="preserve">in support of the 2003 Convention, </w:t>
      </w:r>
      <w:r>
        <w:t xml:space="preserve">with </w:t>
      </w:r>
      <w:r w:rsidRPr="009D27C7">
        <w:t xml:space="preserve">all modalities combined, since the </w:t>
      </w:r>
      <w:r>
        <w:t xml:space="preserve">thirteenth </w:t>
      </w:r>
      <w:r w:rsidRPr="009D27C7">
        <w:t>session of the Committee</w:t>
      </w:r>
      <w:r w:rsidRPr="005542A3">
        <w:t>.</w:t>
      </w:r>
      <w:r w:rsidR="00C72D72" w:rsidRPr="00C72D72">
        <w:t xml:space="preserve"> </w:t>
      </w:r>
      <w:r w:rsidR="00C72D72">
        <w:t>In addition, in conformity with</w:t>
      </w:r>
      <w:r w:rsidR="00C72D72" w:rsidRPr="00E73EEB">
        <w:t xml:space="preserve"> paragraph 77 of the Operational Directives</w:t>
      </w:r>
      <w:r w:rsidR="00C72D72">
        <w:t xml:space="preserve">, </w:t>
      </w:r>
      <w:hyperlink r:id="rId29" w:history="1">
        <w:r w:rsidR="00C72D72" w:rsidRPr="006E21A0">
          <w:rPr>
            <w:rStyle w:val="Lienhypertexte"/>
          </w:rPr>
          <w:t>a</w:t>
        </w:r>
        <w:r w:rsidR="00C72D72" w:rsidRPr="00FF4BE3">
          <w:rPr>
            <w:rStyle w:val="Lienhypertexte"/>
          </w:rPr>
          <w:t>n</w:t>
        </w:r>
        <w:r w:rsidR="00FF4BE3" w:rsidRPr="00FF4BE3">
          <w:rPr>
            <w:u w:val="single"/>
          </w:rPr>
          <w:t> </w:t>
        </w:r>
        <w:r w:rsidR="00C72D72" w:rsidRPr="00FF4BE3">
          <w:rPr>
            <w:rStyle w:val="Lienhypertexte"/>
          </w:rPr>
          <w:t>up</w:t>
        </w:r>
        <w:r w:rsidR="00C72D72" w:rsidRPr="006E21A0">
          <w:rPr>
            <w:rStyle w:val="Lienhypertexte"/>
          </w:rPr>
          <w:t>dated list of donors</w:t>
        </w:r>
      </w:hyperlink>
      <w:r w:rsidR="00C72D72">
        <w:t xml:space="preserve"> can be found </w:t>
      </w:r>
      <w:r w:rsidR="00C72D72" w:rsidRPr="00E73EEB">
        <w:t>on the website of the Convention</w:t>
      </w:r>
      <w:r w:rsidR="00C72D72">
        <w:t xml:space="preserve">. </w:t>
      </w:r>
      <w:r w:rsidRPr="00E978E1">
        <w:t>Annex </w:t>
      </w:r>
      <w:r w:rsidR="005067E4">
        <w:t>III</w:t>
      </w:r>
      <w:r w:rsidRPr="00E978E1">
        <w:t xml:space="preserve"> shows the total expenditure incurred for each earmarked project, from its beginning until 30 June 2019</w:t>
      </w:r>
      <w:r w:rsidRPr="004F1FC7">
        <w:t>.</w:t>
      </w:r>
    </w:p>
    <w:p w14:paraId="4D6D0F0E" w14:textId="77777777" w:rsidR="006E336F" w:rsidRDefault="00E25D45" w:rsidP="00C54E91">
      <w:pPr>
        <w:pStyle w:val="COMPara"/>
        <w:numPr>
          <w:ilvl w:val="0"/>
          <w:numId w:val="13"/>
        </w:numPr>
        <w:tabs>
          <w:tab w:val="left" w:pos="567"/>
        </w:tabs>
        <w:ind w:left="567" w:hanging="567"/>
        <w:jc w:val="both"/>
        <w:sectPr w:rsidR="006E336F" w:rsidSect="006E336F">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134" w:left="1134" w:header="397" w:footer="284" w:gutter="0"/>
          <w:cols w:space="708"/>
          <w:titlePg/>
          <w:docGrid w:linePitch="360"/>
        </w:sectPr>
      </w:pPr>
      <w:r w:rsidRPr="00E978E1">
        <w:lastRenderedPageBreak/>
        <w:t>Annex </w:t>
      </w:r>
      <w:r w:rsidR="005067E4">
        <w:rPr>
          <w:rFonts w:eastAsia="Malgun Gothic"/>
          <w:lang w:eastAsia="ko-KR"/>
        </w:rPr>
        <w:t>IV</w:t>
      </w:r>
      <w:r w:rsidRPr="00E978E1">
        <w:t xml:space="preserve"> shows</w:t>
      </w:r>
      <w:r w:rsidRPr="0078543D">
        <w:t xml:space="preserve"> the forecasts as of 30 June 201</w:t>
      </w:r>
      <w:r>
        <w:t>9</w:t>
      </w:r>
      <w:r w:rsidRPr="0078543D">
        <w:t>, based on the Secretariat’s estimation, for the future use of the funds allocated to ongoing projects based on funds not committed at that date and budgets approved by the Committee.</w:t>
      </w:r>
    </w:p>
    <w:p w14:paraId="7725F6B3" w14:textId="77777777" w:rsidR="006543DB" w:rsidRDefault="008F1CAA" w:rsidP="006543DB">
      <w:pPr>
        <w:pStyle w:val="Annex"/>
        <w:rPr>
          <w:u w:val="single"/>
        </w:rPr>
      </w:pPr>
      <w:r>
        <w:rPr>
          <w:u w:val="single"/>
        </w:rPr>
        <w:lastRenderedPageBreak/>
        <w:t>ANNEX</w:t>
      </w:r>
      <w:r w:rsidR="00E978E1">
        <w:rPr>
          <w:u w:val="single"/>
        </w:rPr>
        <w:t xml:space="preserve"> I</w:t>
      </w:r>
    </w:p>
    <w:p w14:paraId="0676192E" w14:textId="77777777" w:rsidR="00E978E1" w:rsidRPr="00E978E1" w:rsidRDefault="00E978E1" w:rsidP="00E978E1">
      <w:pPr>
        <w:rPr>
          <w:lang w:val="en-GB" w:eastAsia="zh-CN"/>
        </w:rPr>
      </w:pPr>
    </w:p>
    <w:p w14:paraId="7BB0BFC4" w14:textId="77777777" w:rsidR="00D92600" w:rsidRDefault="00E978E1" w:rsidP="00E978E1">
      <w:pPr>
        <w:pStyle w:val="Annex"/>
        <w:pageBreakBefore w:val="0"/>
        <w:spacing w:before="0" w:after="120"/>
        <w:jc w:val="right"/>
        <w:outlineLvl w:val="9"/>
        <w:rPr>
          <w:b w:val="0"/>
        </w:rPr>
      </w:pPr>
      <w:r w:rsidRPr="00BB2DEA">
        <w:rPr>
          <w:b w:val="0"/>
        </w:rPr>
        <w:t>Statement I</w:t>
      </w:r>
    </w:p>
    <w:p w14:paraId="46B9BC09" w14:textId="77777777" w:rsidR="00D92600" w:rsidRPr="00533D50" w:rsidRDefault="00D92600" w:rsidP="00533D50">
      <w:pPr>
        <w:rPr>
          <w:b/>
        </w:rPr>
      </w:pPr>
    </w:p>
    <w:p w14:paraId="5E6F8C98" w14:textId="77777777" w:rsidR="00E978E1" w:rsidRPr="00533D50" w:rsidRDefault="00C17C1C" w:rsidP="006E336F">
      <w:pPr>
        <w:pStyle w:val="Annex"/>
        <w:pageBreakBefore w:val="0"/>
        <w:spacing w:before="0" w:after="120"/>
        <w:jc w:val="left"/>
        <w:outlineLvl w:val="9"/>
        <w:rPr>
          <w:b w:val="0"/>
          <w:lang w:val="en-US"/>
        </w:rPr>
      </w:pPr>
      <w:r w:rsidRPr="00C17C1C">
        <w:rPr>
          <w:noProof/>
          <w:lang w:val="fr-FR" w:eastAsia="ja-JP"/>
        </w:rPr>
        <w:drawing>
          <wp:inline distT="0" distB="0" distL="0" distR="0" wp14:anchorId="47001A00" wp14:editId="69F243E5">
            <wp:extent cx="6840220" cy="6283144"/>
            <wp:effectExtent l="0" t="0" r="0" b="381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840220" cy="6283144"/>
                    </a:xfrm>
                    <a:prstGeom prst="rect">
                      <a:avLst/>
                    </a:prstGeom>
                    <a:noFill/>
                    <a:ln>
                      <a:noFill/>
                    </a:ln>
                  </pic:spPr>
                </pic:pic>
              </a:graphicData>
            </a:graphic>
          </wp:inline>
        </w:drawing>
      </w:r>
    </w:p>
    <w:p w14:paraId="78718F90" w14:textId="77777777" w:rsidR="00E978E1" w:rsidRDefault="00E978E1" w:rsidP="00533D50">
      <w:pPr>
        <w:jc w:val="center"/>
        <w:rPr>
          <w:rFonts w:ascii="Arial" w:eastAsia="SimSun" w:hAnsi="Arial" w:cs="Arial"/>
          <w:bCs/>
          <w:sz w:val="22"/>
          <w:szCs w:val="22"/>
          <w:lang w:val="en-GB" w:eastAsia="zh-CN"/>
        </w:rPr>
      </w:pPr>
      <w:r w:rsidRPr="00C72D72">
        <w:rPr>
          <w:b/>
          <w:lang w:val="en-GB"/>
        </w:rPr>
        <w:br w:type="page"/>
      </w:r>
    </w:p>
    <w:p w14:paraId="379D7A2E" w14:textId="1F838E59" w:rsidR="00C17C1C" w:rsidRDefault="00C17C1C" w:rsidP="00C17C1C">
      <w:pPr>
        <w:pStyle w:val="Annex"/>
        <w:pageBreakBefore w:val="0"/>
        <w:spacing w:before="0" w:after="120"/>
        <w:jc w:val="right"/>
        <w:outlineLvl w:val="9"/>
        <w:rPr>
          <w:b w:val="0"/>
        </w:rPr>
      </w:pPr>
      <w:r>
        <w:rPr>
          <w:b w:val="0"/>
        </w:rPr>
        <w:lastRenderedPageBreak/>
        <w:t>Schedule</w:t>
      </w:r>
      <w:r w:rsidR="00A91261">
        <w:rPr>
          <w:b w:val="0"/>
        </w:rPr>
        <w:t> </w:t>
      </w:r>
      <w:r>
        <w:rPr>
          <w:b w:val="0"/>
        </w:rPr>
        <w:t>1.1</w:t>
      </w:r>
    </w:p>
    <w:p w14:paraId="2F64FBB9" w14:textId="4121FBAE" w:rsidR="00E978E1" w:rsidRDefault="00DB1312" w:rsidP="00533D50">
      <w:pPr>
        <w:jc w:val="center"/>
        <w:rPr>
          <w:rFonts w:ascii="Arial" w:eastAsia="SimSun" w:hAnsi="Arial" w:cs="Arial"/>
          <w:bCs/>
          <w:sz w:val="22"/>
          <w:szCs w:val="22"/>
          <w:lang w:val="en-GB" w:eastAsia="zh-CN"/>
        </w:rPr>
      </w:pPr>
      <w:r w:rsidRPr="00DB1312">
        <w:rPr>
          <w:noProof/>
          <w:lang w:eastAsia="ja-JP"/>
        </w:rPr>
        <w:drawing>
          <wp:inline distT="0" distB="0" distL="0" distR="0" wp14:anchorId="70CC6BF6" wp14:editId="7146E477">
            <wp:extent cx="6840220" cy="822747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840220" cy="8227473"/>
                    </a:xfrm>
                    <a:prstGeom prst="rect">
                      <a:avLst/>
                    </a:prstGeom>
                    <a:noFill/>
                    <a:ln>
                      <a:noFill/>
                    </a:ln>
                  </pic:spPr>
                </pic:pic>
              </a:graphicData>
            </a:graphic>
          </wp:inline>
        </w:drawing>
      </w:r>
      <w:r w:rsidR="00E978E1" w:rsidRPr="00C72D72">
        <w:rPr>
          <w:b/>
          <w:lang w:val="en-GB"/>
        </w:rPr>
        <w:br w:type="page"/>
      </w:r>
    </w:p>
    <w:p w14:paraId="5019A6D9" w14:textId="77777777" w:rsidR="00C60EDB" w:rsidRDefault="00E978E1">
      <w:pPr>
        <w:pStyle w:val="Annex"/>
        <w:pageBreakBefore w:val="0"/>
        <w:spacing w:before="0" w:after="120"/>
        <w:jc w:val="right"/>
        <w:outlineLvl w:val="9"/>
        <w:rPr>
          <w:b w:val="0"/>
        </w:rPr>
      </w:pPr>
      <w:r w:rsidRPr="00BB2DEA">
        <w:rPr>
          <w:b w:val="0"/>
        </w:rPr>
        <w:lastRenderedPageBreak/>
        <w:t>Statement I</w:t>
      </w:r>
      <w:r>
        <w:rPr>
          <w:b w:val="0"/>
        </w:rPr>
        <w:t>I</w:t>
      </w:r>
    </w:p>
    <w:p w14:paraId="0322A6FB" w14:textId="77777777" w:rsidR="00C60EDB" w:rsidRDefault="00C60EDB" w:rsidP="00533D50">
      <w:pPr>
        <w:pStyle w:val="Annex"/>
        <w:pageBreakBefore w:val="0"/>
        <w:spacing w:before="0" w:after="120"/>
        <w:outlineLvl w:val="9"/>
        <w:rPr>
          <w:b w:val="0"/>
        </w:rPr>
      </w:pPr>
    </w:p>
    <w:p w14:paraId="636C9DFC" w14:textId="77777777" w:rsidR="00E978E1" w:rsidRPr="00533D50" w:rsidRDefault="00C17C1C" w:rsidP="00533D50">
      <w:pPr>
        <w:pStyle w:val="Annex"/>
        <w:pageBreakBefore w:val="0"/>
        <w:spacing w:before="0" w:after="120"/>
        <w:outlineLvl w:val="9"/>
        <w:rPr>
          <w:b w:val="0"/>
          <w:lang w:val="en-US"/>
        </w:rPr>
      </w:pPr>
      <w:r w:rsidRPr="00C17C1C">
        <w:rPr>
          <w:noProof/>
          <w:lang w:val="fr-FR" w:eastAsia="ja-JP"/>
        </w:rPr>
        <w:drawing>
          <wp:inline distT="0" distB="0" distL="0" distR="0" wp14:anchorId="6BC4794E" wp14:editId="6B6E8D1C">
            <wp:extent cx="6624320" cy="6687820"/>
            <wp:effectExtent l="0" t="0" r="508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24320" cy="6687820"/>
                    </a:xfrm>
                    <a:prstGeom prst="rect">
                      <a:avLst/>
                    </a:prstGeom>
                    <a:noFill/>
                    <a:ln>
                      <a:noFill/>
                    </a:ln>
                  </pic:spPr>
                </pic:pic>
              </a:graphicData>
            </a:graphic>
          </wp:inline>
        </w:drawing>
      </w:r>
    </w:p>
    <w:p w14:paraId="58F5AC3B" w14:textId="77777777" w:rsidR="00E978E1" w:rsidRDefault="00E978E1">
      <w:pPr>
        <w:rPr>
          <w:rFonts w:ascii="Arial" w:eastAsia="SimSun" w:hAnsi="Arial" w:cs="Arial"/>
          <w:bCs/>
          <w:sz w:val="22"/>
          <w:szCs w:val="22"/>
          <w:lang w:val="en-GB" w:eastAsia="zh-CN"/>
        </w:rPr>
      </w:pPr>
      <w:r w:rsidRPr="00C72D72">
        <w:rPr>
          <w:b/>
          <w:lang w:val="en-GB"/>
        </w:rPr>
        <w:br w:type="page"/>
      </w:r>
    </w:p>
    <w:p w14:paraId="63DD428D" w14:textId="77777777" w:rsidR="00C60EDB" w:rsidRDefault="00E978E1">
      <w:pPr>
        <w:pStyle w:val="Annex"/>
        <w:pageBreakBefore w:val="0"/>
        <w:spacing w:before="0" w:after="120"/>
        <w:jc w:val="right"/>
        <w:outlineLvl w:val="9"/>
        <w:rPr>
          <w:b w:val="0"/>
        </w:rPr>
      </w:pPr>
      <w:r w:rsidRPr="00BB2DEA">
        <w:rPr>
          <w:b w:val="0"/>
        </w:rPr>
        <w:lastRenderedPageBreak/>
        <w:t>Statement I</w:t>
      </w:r>
      <w:r>
        <w:rPr>
          <w:b w:val="0"/>
        </w:rPr>
        <w:t>II</w:t>
      </w:r>
    </w:p>
    <w:p w14:paraId="3A4F0360" w14:textId="77777777" w:rsidR="00C60EDB" w:rsidRDefault="00C60EDB" w:rsidP="00533D50">
      <w:pPr>
        <w:pStyle w:val="Annex"/>
        <w:pageBreakBefore w:val="0"/>
        <w:spacing w:before="0" w:after="120"/>
        <w:outlineLvl w:val="9"/>
        <w:rPr>
          <w:b w:val="0"/>
        </w:rPr>
      </w:pPr>
    </w:p>
    <w:p w14:paraId="04413FC9" w14:textId="77777777" w:rsidR="00E978E1" w:rsidRPr="00533D50" w:rsidRDefault="00C17C1C" w:rsidP="00533D50">
      <w:pPr>
        <w:pStyle w:val="Annex"/>
        <w:pageBreakBefore w:val="0"/>
        <w:spacing w:before="0" w:after="120"/>
        <w:outlineLvl w:val="9"/>
        <w:rPr>
          <w:b w:val="0"/>
          <w:lang w:val="en-US"/>
        </w:rPr>
      </w:pPr>
      <w:r w:rsidRPr="00C17C1C">
        <w:rPr>
          <w:noProof/>
          <w:lang w:val="fr-FR" w:eastAsia="ja-JP"/>
        </w:rPr>
        <w:drawing>
          <wp:inline distT="0" distB="0" distL="0" distR="0" wp14:anchorId="0B285B0B" wp14:editId="26396FD1">
            <wp:extent cx="6840220" cy="7448615"/>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40220" cy="7448615"/>
                    </a:xfrm>
                    <a:prstGeom prst="rect">
                      <a:avLst/>
                    </a:prstGeom>
                    <a:noFill/>
                    <a:ln>
                      <a:noFill/>
                    </a:ln>
                  </pic:spPr>
                </pic:pic>
              </a:graphicData>
            </a:graphic>
          </wp:inline>
        </w:drawing>
      </w:r>
    </w:p>
    <w:p w14:paraId="5638C78D" w14:textId="77777777" w:rsidR="00E978E1" w:rsidRDefault="00E978E1">
      <w:pPr>
        <w:rPr>
          <w:rFonts w:ascii="Arial" w:eastAsia="SimSun" w:hAnsi="Arial" w:cs="Arial"/>
          <w:bCs/>
          <w:sz w:val="22"/>
          <w:szCs w:val="22"/>
          <w:lang w:val="en-GB" w:eastAsia="zh-CN"/>
        </w:rPr>
      </w:pPr>
      <w:r w:rsidRPr="00053504">
        <w:rPr>
          <w:b/>
          <w:lang w:val="en-GB"/>
        </w:rPr>
        <w:br w:type="page"/>
      </w:r>
    </w:p>
    <w:p w14:paraId="5B4C5BA4" w14:textId="2C488EC3" w:rsidR="00E978E1" w:rsidRDefault="00E978E1" w:rsidP="0006196C">
      <w:pPr>
        <w:pStyle w:val="COMPara"/>
        <w:numPr>
          <w:ilvl w:val="0"/>
          <w:numId w:val="0"/>
        </w:numPr>
        <w:tabs>
          <w:tab w:val="left" w:pos="567"/>
        </w:tabs>
        <w:spacing w:before="360" w:after="240"/>
        <w:ind w:left="720"/>
        <w:jc w:val="center"/>
        <w:rPr>
          <w:b/>
          <w:u w:val="single"/>
        </w:rPr>
      </w:pPr>
      <w:r w:rsidRPr="00E978E1">
        <w:rPr>
          <w:b/>
          <w:u w:val="single"/>
        </w:rPr>
        <w:lastRenderedPageBreak/>
        <w:t>ANNEX </w:t>
      </w:r>
      <w:r w:rsidR="00C17C1C">
        <w:rPr>
          <w:b/>
          <w:u w:val="single"/>
        </w:rPr>
        <w:t>II</w:t>
      </w:r>
    </w:p>
    <w:p w14:paraId="1B64803E" w14:textId="77777777" w:rsidR="00D92600" w:rsidRPr="00533D50" w:rsidRDefault="00D92600" w:rsidP="00E978E1">
      <w:pPr>
        <w:pStyle w:val="COMPara"/>
        <w:numPr>
          <w:ilvl w:val="0"/>
          <w:numId w:val="0"/>
        </w:numPr>
        <w:tabs>
          <w:tab w:val="left" w:pos="567"/>
        </w:tabs>
        <w:spacing w:before="360" w:after="240"/>
        <w:ind w:left="720"/>
        <w:jc w:val="center"/>
        <w:rPr>
          <w:b/>
          <w:u w:val="single"/>
          <w:lang w:val="en-US"/>
        </w:rPr>
      </w:pPr>
    </w:p>
    <w:p w14:paraId="79987FF2" w14:textId="77777777" w:rsidR="00E978E1" w:rsidRPr="00533D50" w:rsidRDefault="00C17C1C" w:rsidP="0006196C">
      <w:pPr>
        <w:jc w:val="right"/>
        <w:rPr>
          <w:rFonts w:ascii="Arial" w:hAnsi="Arial" w:cs="Arial"/>
          <w:b/>
          <w:snapToGrid w:val="0"/>
          <w:sz w:val="22"/>
          <w:szCs w:val="22"/>
          <w:u w:val="single"/>
          <w:lang w:val="en-US" w:eastAsia="en-US"/>
        </w:rPr>
      </w:pPr>
      <w:r w:rsidRPr="00C17C1C">
        <w:rPr>
          <w:noProof/>
          <w:lang w:eastAsia="ja-JP"/>
        </w:rPr>
        <w:drawing>
          <wp:inline distT="0" distB="0" distL="0" distR="0" wp14:anchorId="04836EF5" wp14:editId="5998AC3E">
            <wp:extent cx="6396714" cy="5658154"/>
            <wp:effectExtent l="0" t="0" r="4445"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52809" cy="5707772"/>
                    </a:xfrm>
                    <a:prstGeom prst="rect">
                      <a:avLst/>
                    </a:prstGeom>
                    <a:noFill/>
                    <a:ln>
                      <a:noFill/>
                    </a:ln>
                  </pic:spPr>
                </pic:pic>
              </a:graphicData>
            </a:graphic>
          </wp:inline>
        </w:drawing>
      </w:r>
      <w:r w:rsidR="00E978E1" w:rsidRPr="00C72D72">
        <w:rPr>
          <w:b/>
          <w:u w:val="single"/>
          <w:lang w:val="en-GB"/>
        </w:rPr>
        <w:br w:type="page"/>
      </w:r>
    </w:p>
    <w:p w14:paraId="6A71544F" w14:textId="77777777" w:rsidR="00BB4BC8" w:rsidRDefault="00BB4BC8" w:rsidP="00E978E1">
      <w:pPr>
        <w:pStyle w:val="COMPara"/>
        <w:numPr>
          <w:ilvl w:val="0"/>
          <w:numId w:val="0"/>
        </w:numPr>
        <w:tabs>
          <w:tab w:val="left" w:pos="567"/>
        </w:tabs>
        <w:spacing w:before="360" w:after="240"/>
        <w:ind w:left="360"/>
        <w:jc w:val="center"/>
        <w:rPr>
          <w:b/>
          <w:u w:val="single"/>
        </w:rPr>
        <w:sectPr w:rsidR="00BB4BC8" w:rsidSect="006E336F">
          <w:headerReference w:type="first" r:id="rId41"/>
          <w:pgSz w:w="11906" w:h="16838" w:code="9"/>
          <w:pgMar w:top="1418" w:right="567" w:bottom="1134" w:left="567" w:header="397" w:footer="284" w:gutter="0"/>
          <w:cols w:space="708"/>
          <w:docGrid w:linePitch="360"/>
        </w:sectPr>
      </w:pPr>
    </w:p>
    <w:p w14:paraId="18BC3C09" w14:textId="77777777" w:rsidR="00C17C1C" w:rsidRDefault="00E978E1" w:rsidP="00533D50">
      <w:pPr>
        <w:pStyle w:val="COMPara"/>
        <w:numPr>
          <w:ilvl w:val="0"/>
          <w:numId w:val="0"/>
        </w:numPr>
        <w:tabs>
          <w:tab w:val="left" w:pos="567"/>
        </w:tabs>
        <w:spacing w:before="360" w:after="240"/>
        <w:jc w:val="center"/>
        <w:rPr>
          <w:b/>
          <w:u w:val="single"/>
        </w:rPr>
      </w:pPr>
      <w:r w:rsidRPr="00E978E1">
        <w:rPr>
          <w:b/>
          <w:u w:val="single"/>
        </w:rPr>
        <w:lastRenderedPageBreak/>
        <w:t>ANNEX</w:t>
      </w:r>
      <w:r>
        <w:rPr>
          <w:b/>
          <w:u w:val="single"/>
        </w:rPr>
        <w:t> </w:t>
      </w:r>
      <w:r w:rsidR="00C17C1C">
        <w:rPr>
          <w:b/>
          <w:u w:val="single"/>
        </w:rPr>
        <w:t>III</w:t>
      </w:r>
    </w:p>
    <w:p w14:paraId="0857D6E0" w14:textId="77777777" w:rsidR="00E978E1" w:rsidRDefault="00C17C1C" w:rsidP="00533D50">
      <w:pPr>
        <w:pStyle w:val="COMPara"/>
        <w:numPr>
          <w:ilvl w:val="0"/>
          <w:numId w:val="0"/>
        </w:numPr>
        <w:tabs>
          <w:tab w:val="left" w:pos="567"/>
        </w:tabs>
        <w:spacing w:before="360" w:after="240"/>
        <w:jc w:val="center"/>
        <w:rPr>
          <w:b/>
          <w:u w:val="single"/>
        </w:rPr>
      </w:pPr>
      <w:r w:rsidRPr="00C17C1C">
        <w:rPr>
          <w:noProof/>
          <w:lang w:val="fr-FR" w:eastAsia="ja-JP"/>
        </w:rPr>
        <w:drawing>
          <wp:inline distT="0" distB="0" distL="0" distR="0" wp14:anchorId="79DC81D5" wp14:editId="1B6DBAA6">
            <wp:extent cx="9356311" cy="5572943"/>
            <wp:effectExtent l="0" t="0" r="0" b="889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369734" cy="5580938"/>
                    </a:xfrm>
                    <a:prstGeom prst="rect">
                      <a:avLst/>
                    </a:prstGeom>
                    <a:noFill/>
                    <a:ln>
                      <a:noFill/>
                    </a:ln>
                  </pic:spPr>
                </pic:pic>
              </a:graphicData>
            </a:graphic>
          </wp:inline>
        </w:drawing>
      </w:r>
      <w:r w:rsidR="00E978E1" w:rsidRPr="00C72D72">
        <w:rPr>
          <w:b/>
          <w:u w:val="single"/>
        </w:rPr>
        <w:br w:type="page"/>
      </w:r>
    </w:p>
    <w:p w14:paraId="2CDB0C4B" w14:textId="77777777" w:rsidR="00E978E1" w:rsidRDefault="00E978E1" w:rsidP="00533D50">
      <w:pPr>
        <w:pStyle w:val="COMPara"/>
        <w:numPr>
          <w:ilvl w:val="0"/>
          <w:numId w:val="0"/>
        </w:numPr>
        <w:tabs>
          <w:tab w:val="left" w:pos="567"/>
        </w:tabs>
        <w:spacing w:before="360" w:after="240"/>
        <w:ind w:left="720" w:hanging="360"/>
        <w:jc w:val="center"/>
        <w:rPr>
          <w:b/>
          <w:u w:val="single"/>
        </w:rPr>
      </w:pPr>
      <w:r w:rsidRPr="00E978E1">
        <w:rPr>
          <w:b/>
          <w:u w:val="single"/>
        </w:rPr>
        <w:lastRenderedPageBreak/>
        <w:t>ANNEX</w:t>
      </w:r>
      <w:r>
        <w:rPr>
          <w:b/>
          <w:u w:val="single"/>
        </w:rPr>
        <w:t> </w:t>
      </w:r>
      <w:r w:rsidR="00C17C1C">
        <w:rPr>
          <w:b/>
          <w:u w:val="single"/>
        </w:rPr>
        <w:t>IV</w:t>
      </w:r>
    </w:p>
    <w:p w14:paraId="6A736692" w14:textId="77777777" w:rsidR="00C60EDB" w:rsidRPr="00E978E1" w:rsidRDefault="00C60EDB" w:rsidP="00E978E1">
      <w:pPr>
        <w:pStyle w:val="COMPara"/>
        <w:numPr>
          <w:ilvl w:val="0"/>
          <w:numId w:val="0"/>
        </w:numPr>
        <w:tabs>
          <w:tab w:val="left" w:pos="567"/>
        </w:tabs>
        <w:spacing w:before="360" w:after="240"/>
        <w:ind w:left="720" w:hanging="360"/>
        <w:jc w:val="center"/>
        <w:rPr>
          <w:b/>
          <w:u w:val="single"/>
        </w:rPr>
      </w:pPr>
      <w:bookmarkStart w:id="0" w:name="_GoBack"/>
      <w:bookmarkEnd w:id="0"/>
    </w:p>
    <w:p w14:paraId="6832DA42" w14:textId="77777777" w:rsidR="00E978E1" w:rsidRPr="00BB2DEA" w:rsidRDefault="00BB4BC8" w:rsidP="00E978E1">
      <w:pPr>
        <w:pStyle w:val="Annex"/>
        <w:pageBreakBefore w:val="0"/>
        <w:spacing w:before="0" w:after="120"/>
        <w:jc w:val="right"/>
        <w:outlineLvl w:val="9"/>
        <w:rPr>
          <w:b w:val="0"/>
        </w:rPr>
      </w:pPr>
      <w:r w:rsidRPr="00BB4BC8">
        <w:rPr>
          <w:noProof/>
          <w:snapToGrid w:val="0"/>
          <w:lang w:val="fr-FR" w:eastAsia="ja-JP"/>
        </w:rPr>
        <w:drawing>
          <wp:inline distT="0" distB="0" distL="0" distR="0" wp14:anchorId="5B9E25EE" wp14:editId="209181EC">
            <wp:extent cx="9664933" cy="4393661"/>
            <wp:effectExtent l="0" t="0" r="0" b="698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674562" cy="4398038"/>
                    </a:xfrm>
                    <a:prstGeom prst="rect">
                      <a:avLst/>
                    </a:prstGeom>
                    <a:noFill/>
                    <a:ln>
                      <a:noFill/>
                    </a:ln>
                  </pic:spPr>
                </pic:pic>
              </a:graphicData>
            </a:graphic>
          </wp:inline>
        </w:drawing>
      </w:r>
    </w:p>
    <w:p w14:paraId="01EC1369" w14:textId="77777777" w:rsidR="00E978E1" w:rsidRPr="00A91261" w:rsidRDefault="00E978E1" w:rsidP="00E978E1">
      <w:pPr>
        <w:rPr>
          <w:rFonts w:ascii="Arial" w:hAnsi="Arial" w:cs="Arial"/>
          <w:sz w:val="21"/>
          <w:szCs w:val="21"/>
          <w:lang w:val="en-GB" w:eastAsia="zh-CN"/>
        </w:rPr>
      </w:pPr>
    </w:p>
    <w:p w14:paraId="58B1592B" w14:textId="77777777" w:rsidR="00E978E1" w:rsidRPr="00A91261" w:rsidRDefault="00E978E1" w:rsidP="00E978E1">
      <w:pPr>
        <w:rPr>
          <w:rFonts w:ascii="Arial" w:hAnsi="Arial" w:cs="Arial"/>
          <w:sz w:val="21"/>
          <w:szCs w:val="21"/>
          <w:lang w:val="en-GB" w:eastAsia="zh-CN"/>
        </w:rPr>
      </w:pPr>
    </w:p>
    <w:p w14:paraId="26B69F0A" w14:textId="77777777" w:rsidR="00BF1B64" w:rsidRPr="00A91261" w:rsidRDefault="00BF1B64" w:rsidP="006543DB">
      <w:pPr>
        <w:pStyle w:val="COMPara"/>
        <w:numPr>
          <w:ilvl w:val="0"/>
          <w:numId w:val="0"/>
        </w:numPr>
        <w:ind w:left="567" w:hanging="567"/>
        <w:jc w:val="both"/>
        <w:rPr>
          <w:sz w:val="21"/>
          <w:szCs w:val="21"/>
        </w:rPr>
      </w:pPr>
    </w:p>
    <w:sectPr w:rsidR="00BF1B64" w:rsidRPr="00A91261" w:rsidSect="00533D50">
      <w:headerReference w:type="first" r:id="rId44"/>
      <w:footerReference w:type="first" r:id="rId45"/>
      <w:pgSz w:w="16838" w:h="11906" w:orient="landscape" w:code="9"/>
      <w:pgMar w:top="1134" w:right="678" w:bottom="1134" w:left="567"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82EB5B" w16cid:durableId="2145FA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FF8DF" w14:textId="77777777" w:rsidR="00477BA2" w:rsidRDefault="00477BA2" w:rsidP="00655736">
      <w:r>
        <w:separator/>
      </w:r>
    </w:p>
  </w:endnote>
  <w:endnote w:type="continuationSeparator" w:id="0">
    <w:p w14:paraId="635B8159" w14:textId="77777777" w:rsidR="00477BA2" w:rsidRDefault="00477BA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95E4E" w14:textId="77777777" w:rsidR="00AF4AE2" w:rsidRDefault="00AF4A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FA54" w14:textId="77777777" w:rsidR="00AF4AE2" w:rsidRDefault="00AF4A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D5D39" w14:textId="77777777" w:rsidR="00AF4AE2" w:rsidRDefault="00AF4AE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BF8F1" w14:textId="77777777" w:rsidR="00C60EDB" w:rsidRDefault="00C60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67DB0" w14:textId="77777777" w:rsidR="00477BA2" w:rsidRDefault="00477BA2" w:rsidP="00655736">
      <w:r>
        <w:separator/>
      </w:r>
    </w:p>
  </w:footnote>
  <w:footnote w:type="continuationSeparator" w:id="0">
    <w:p w14:paraId="19CB77C3" w14:textId="77777777" w:rsidR="00477BA2" w:rsidRDefault="00477BA2" w:rsidP="00655736">
      <w:r>
        <w:continuationSeparator/>
      </w:r>
    </w:p>
  </w:footnote>
  <w:footnote w:id="1">
    <w:p w14:paraId="16A127B5" w14:textId="77777777" w:rsidR="006543DB" w:rsidRPr="004F251A" w:rsidRDefault="006543DB" w:rsidP="006543DB">
      <w:pPr>
        <w:pStyle w:val="Notedebasdepage"/>
        <w:spacing w:before="60" w:after="60"/>
        <w:ind w:left="567" w:hanging="567"/>
        <w:jc w:val="both"/>
        <w:rPr>
          <w:rFonts w:ascii="Arial" w:hAnsi="Arial" w:cs="Arial"/>
          <w:sz w:val="18"/>
          <w:lang w:val="en-GB"/>
        </w:rPr>
      </w:pPr>
      <w:r w:rsidRPr="00E44B0D">
        <w:rPr>
          <w:rStyle w:val="Appelnotedebasdep"/>
          <w:rFonts w:ascii="Arial" w:hAnsi="Arial" w:cs="Arial"/>
          <w:sz w:val="18"/>
          <w:lang w:val="en-GB"/>
        </w:rPr>
        <w:footnoteRef/>
      </w:r>
      <w:r w:rsidRPr="00E44B0D">
        <w:rPr>
          <w:rFonts w:ascii="Arial" w:hAnsi="Arial" w:cs="Arial"/>
          <w:sz w:val="18"/>
          <w:vertAlign w:val="superscript"/>
          <w:lang w:val="en-GB"/>
        </w:rPr>
        <w:t>.</w:t>
      </w:r>
      <w:r w:rsidRPr="004F251A">
        <w:rPr>
          <w:rFonts w:ascii="Arial" w:hAnsi="Arial" w:cs="Arial"/>
          <w:sz w:val="18"/>
          <w:lang w:val="en-GB"/>
        </w:rPr>
        <w:tab/>
      </w:r>
      <w:r w:rsidRPr="004F251A">
        <w:rPr>
          <w:rFonts w:ascii="Arial" w:eastAsia="MS Mincho" w:hAnsi="Arial" w:cs="Arial"/>
          <w:sz w:val="18"/>
          <w:lang w:val="en-GB"/>
        </w:rPr>
        <w:t xml:space="preserve">Figures rounded up to the next highest dollar compared to Financial </w:t>
      </w:r>
      <w:r w:rsidRPr="006C68AF">
        <w:rPr>
          <w:rFonts w:ascii="Arial" w:eastAsia="MS Mincho" w:hAnsi="Arial" w:cs="Arial"/>
          <w:sz w:val="18"/>
          <w:lang w:val="en-GB"/>
        </w:rPr>
        <w:t xml:space="preserve">Statement I, pages </w:t>
      </w:r>
      <w:r w:rsidR="00913D1D">
        <w:rPr>
          <w:rFonts w:ascii="Arial" w:eastAsia="MS Mincho" w:hAnsi="Arial" w:cs="Arial"/>
          <w:sz w:val="18"/>
          <w:lang w:val="en-GB"/>
        </w:rPr>
        <w:t>5</w:t>
      </w:r>
      <w:r w:rsidR="009E6360">
        <w:rPr>
          <w:rFonts w:ascii="Arial" w:eastAsia="MS Mincho" w:hAnsi="Arial" w:cs="Arial"/>
          <w:sz w:val="18"/>
          <w:lang w:val="en-GB"/>
        </w:rPr>
        <w:t>–</w:t>
      </w:r>
      <w:r w:rsidR="00913D1D">
        <w:rPr>
          <w:rFonts w:ascii="Arial" w:eastAsia="MS Mincho" w:hAnsi="Arial" w:cs="Arial"/>
          <w:sz w:val="18"/>
          <w:lang w:val="en-GB"/>
        </w:rPr>
        <w:t>6</w:t>
      </w:r>
      <w:r w:rsidRPr="006C68AF">
        <w:rPr>
          <w:rFonts w:ascii="Arial" w:eastAsia="MS Mincho" w:hAnsi="Arial" w:cs="Arial"/>
          <w:sz w:val="18"/>
          <w:lang w:val="en-GB"/>
        </w:rPr>
        <w:t>.</w:t>
      </w:r>
    </w:p>
  </w:footnote>
  <w:footnote w:id="2">
    <w:p w14:paraId="3F7CF5C3" w14:textId="77777777" w:rsidR="006543DB" w:rsidRPr="004F251A" w:rsidRDefault="006543DB" w:rsidP="006543DB">
      <w:pPr>
        <w:pStyle w:val="Paragraph"/>
        <w:tabs>
          <w:tab w:val="left" w:pos="0"/>
        </w:tabs>
        <w:spacing w:before="60" w:after="60"/>
        <w:ind w:left="567" w:hanging="567"/>
        <w:rPr>
          <w:bCs w:val="0"/>
          <w:sz w:val="18"/>
          <w:szCs w:val="20"/>
        </w:rPr>
      </w:pPr>
      <w:r w:rsidRPr="00E44B0D">
        <w:rPr>
          <w:rStyle w:val="Appelnotedebasdep"/>
          <w:rFonts w:eastAsia="MS Mincho"/>
          <w:bCs w:val="0"/>
          <w:sz w:val="18"/>
          <w:szCs w:val="20"/>
        </w:rPr>
        <w:footnoteRef/>
      </w:r>
      <w:r w:rsidRPr="00E44B0D">
        <w:rPr>
          <w:rFonts w:eastAsia="MS Mincho"/>
          <w:bCs w:val="0"/>
          <w:sz w:val="18"/>
          <w:szCs w:val="20"/>
          <w:vertAlign w:val="superscript"/>
        </w:rPr>
        <w:t>.</w:t>
      </w:r>
      <w:r w:rsidRPr="004F251A">
        <w:rPr>
          <w:rFonts w:eastAsia="MS Mincho"/>
          <w:bCs w:val="0"/>
          <w:sz w:val="18"/>
          <w:szCs w:val="20"/>
        </w:rPr>
        <w:tab/>
        <w:t xml:space="preserve">In Financial Statement I, the assessed compulsory </w:t>
      </w:r>
      <w:r w:rsidRPr="004F251A">
        <w:rPr>
          <w:rFonts w:eastAsia="MS Mincho"/>
          <w:bCs w:val="0"/>
          <w:color w:val="auto"/>
          <w:sz w:val="18"/>
          <w:szCs w:val="20"/>
        </w:rPr>
        <w:t>contributions for the period 20</w:t>
      </w:r>
      <w:r w:rsidR="005850F3">
        <w:rPr>
          <w:rFonts w:eastAsia="MS Mincho"/>
          <w:bCs w:val="0"/>
          <w:color w:val="auto"/>
          <w:sz w:val="18"/>
          <w:szCs w:val="20"/>
        </w:rPr>
        <w:t>18</w:t>
      </w:r>
      <w:r w:rsidRPr="004F251A">
        <w:rPr>
          <w:rFonts w:eastAsia="MS Mincho"/>
          <w:bCs w:val="0"/>
          <w:color w:val="auto"/>
          <w:sz w:val="18"/>
          <w:szCs w:val="20"/>
        </w:rPr>
        <w:t xml:space="preserve"> to 20</w:t>
      </w:r>
      <w:r w:rsidR="005850F3">
        <w:rPr>
          <w:rFonts w:eastAsia="MS Mincho"/>
          <w:bCs w:val="0"/>
          <w:color w:val="auto"/>
          <w:sz w:val="18"/>
          <w:szCs w:val="20"/>
        </w:rPr>
        <w:t>19</w:t>
      </w:r>
      <w:r w:rsidRPr="004F251A">
        <w:rPr>
          <w:rFonts w:eastAsia="MS Mincho"/>
          <w:bCs w:val="0"/>
          <w:color w:val="auto"/>
          <w:sz w:val="18"/>
          <w:szCs w:val="20"/>
        </w:rPr>
        <w:t xml:space="preserve"> are shown as income, whether they have been received or not; in Financial Statement II, the unpaid amount from States Parties due on 30 June 201</w:t>
      </w:r>
      <w:r w:rsidR="005850F3">
        <w:rPr>
          <w:rFonts w:eastAsia="MS Mincho"/>
          <w:bCs w:val="0"/>
          <w:color w:val="auto"/>
          <w:sz w:val="18"/>
          <w:szCs w:val="20"/>
        </w:rPr>
        <w:t>9</w:t>
      </w:r>
      <w:r w:rsidRPr="004F251A">
        <w:rPr>
          <w:rFonts w:eastAsia="MS Mincho"/>
          <w:bCs w:val="0"/>
          <w:color w:val="auto"/>
          <w:sz w:val="18"/>
          <w:szCs w:val="20"/>
        </w:rPr>
        <w:t xml:space="preserve"> was US$1,</w:t>
      </w:r>
      <w:r w:rsidR="005850F3">
        <w:rPr>
          <w:rFonts w:eastAsia="MS Mincho"/>
          <w:bCs w:val="0"/>
          <w:color w:val="auto"/>
          <w:sz w:val="18"/>
          <w:szCs w:val="20"/>
        </w:rPr>
        <w:t>435,058</w:t>
      </w:r>
      <w:r w:rsidRPr="004F251A">
        <w:rPr>
          <w:rFonts w:eastAsia="MS Mincho"/>
          <w:bCs w:val="0"/>
          <w:color w:val="auto"/>
          <w:sz w:val="18"/>
          <w:szCs w:val="20"/>
        </w:rPr>
        <w:t xml:space="preserve">. </w:t>
      </w:r>
      <w:r w:rsidRPr="004F251A">
        <w:rPr>
          <w:rFonts w:eastAsia="MS Mincho"/>
          <w:bCs w:val="0"/>
          <w:sz w:val="18"/>
          <w:szCs w:val="20"/>
        </w:rPr>
        <w:t>The assessed voluntary contributions appear as income only on the date when they are received.</w:t>
      </w:r>
    </w:p>
  </w:footnote>
  <w:footnote w:id="3">
    <w:p w14:paraId="37ED1DB8" w14:textId="114FDD85" w:rsidR="006543DB" w:rsidRPr="004F251A" w:rsidRDefault="006543DB" w:rsidP="006543DB">
      <w:pPr>
        <w:pStyle w:val="Notedebasdepage"/>
        <w:ind w:left="567" w:hanging="567"/>
        <w:jc w:val="both"/>
        <w:rPr>
          <w:rFonts w:ascii="Arial" w:eastAsia="MS Mincho" w:hAnsi="Arial" w:cs="Arial"/>
          <w:sz w:val="18"/>
          <w:lang w:val="en-GB"/>
        </w:rPr>
      </w:pPr>
      <w:r w:rsidRPr="00E44B0D">
        <w:rPr>
          <w:rStyle w:val="Appelnotedebasdep"/>
          <w:rFonts w:ascii="Arial" w:hAnsi="Arial" w:cs="Arial"/>
          <w:sz w:val="18"/>
          <w:lang w:val="en-GB"/>
        </w:rPr>
        <w:footnoteRef/>
      </w:r>
      <w:r w:rsidR="005C1DB5" w:rsidRPr="00E44B0D">
        <w:rPr>
          <w:rFonts w:ascii="Arial" w:eastAsia="MS Mincho" w:hAnsi="Arial" w:cs="Arial"/>
          <w:sz w:val="18"/>
          <w:vertAlign w:val="superscript"/>
          <w:lang w:val="en-GB"/>
        </w:rPr>
        <w:t>.</w:t>
      </w:r>
      <w:r w:rsidRPr="004F251A">
        <w:rPr>
          <w:rFonts w:ascii="Arial" w:eastAsia="MS Mincho" w:hAnsi="Arial" w:cs="Arial"/>
          <w:sz w:val="18"/>
          <w:lang w:val="en-GB"/>
        </w:rPr>
        <w:tab/>
        <w:t>Since its creation in 2010, as of 30 June 201</w:t>
      </w:r>
      <w:r w:rsidR="00847E71">
        <w:rPr>
          <w:rFonts w:ascii="Arial" w:eastAsia="MS Mincho" w:hAnsi="Arial" w:cs="Arial"/>
          <w:sz w:val="18"/>
          <w:lang w:val="en-GB"/>
        </w:rPr>
        <w:t>9</w:t>
      </w:r>
      <w:r w:rsidRPr="004F251A">
        <w:rPr>
          <w:rFonts w:ascii="Arial" w:eastAsia="MS Mincho" w:hAnsi="Arial" w:cs="Arial"/>
          <w:sz w:val="18"/>
          <w:lang w:val="en-GB"/>
        </w:rPr>
        <w:t xml:space="preserve"> the sub-fund – intended exclusively to strengthen the human capacities of the Secretariat – had received contributions amounting to a total of </w:t>
      </w:r>
      <w:r w:rsidRPr="00D71776">
        <w:rPr>
          <w:rFonts w:ascii="Arial" w:eastAsia="MS Mincho" w:hAnsi="Arial" w:cs="Arial"/>
          <w:sz w:val="18"/>
          <w:lang w:val="en-GB"/>
        </w:rPr>
        <w:t>US$1</w:t>
      </w:r>
      <w:r w:rsidR="000E4EF7" w:rsidRPr="00D71776">
        <w:rPr>
          <w:rFonts w:ascii="Arial" w:eastAsia="MS Mincho" w:hAnsi="Arial" w:cs="Arial"/>
          <w:sz w:val="18"/>
          <w:lang w:val="en-GB"/>
        </w:rPr>
        <w:t>.</w:t>
      </w:r>
      <w:r w:rsidR="00847E71" w:rsidRPr="00D71776">
        <w:rPr>
          <w:rFonts w:ascii="Arial" w:eastAsia="MS Mincho" w:hAnsi="Arial" w:cs="Arial"/>
          <w:sz w:val="18"/>
          <w:lang w:val="en-GB"/>
        </w:rPr>
        <w:t>5</w:t>
      </w:r>
      <w:r w:rsidR="004B1B80" w:rsidRPr="00D71776">
        <w:rPr>
          <w:rFonts w:ascii="Arial" w:eastAsia="MS Mincho" w:hAnsi="Arial" w:cs="Arial"/>
          <w:sz w:val="18"/>
          <w:lang w:val="en-GB"/>
        </w:rPr>
        <w:t xml:space="preserve"> million</w:t>
      </w:r>
      <w:r>
        <w:rPr>
          <w:rFonts w:ascii="Arial" w:eastAsia="MS Mincho" w:hAnsi="Arial" w:cs="Arial"/>
          <w:sz w:val="18"/>
          <w:lang w:val="en-GB"/>
        </w:rPr>
        <w:t>.</w:t>
      </w:r>
    </w:p>
  </w:footnote>
  <w:footnote w:id="4">
    <w:p w14:paraId="1E99FA8E" w14:textId="77777777" w:rsidR="006543DB" w:rsidRPr="004F251A" w:rsidRDefault="006543DB" w:rsidP="006543DB">
      <w:pPr>
        <w:pStyle w:val="Notedebasdepage"/>
        <w:ind w:left="567" w:hanging="567"/>
        <w:jc w:val="both"/>
        <w:rPr>
          <w:rFonts w:ascii="Arial" w:hAnsi="Arial" w:cs="Arial"/>
          <w:sz w:val="18"/>
          <w:lang w:val="en-GB"/>
        </w:rPr>
      </w:pPr>
      <w:r w:rsidRPr="00860252">
        <w:rPr>
          <w:rStyle w:val="Appelnotedebasdep"/>
          <w:rFonts w:ascii="Arial" w:hAnsi="Arial" w:cs="Arial"/>
          <w:sz w:val="18"/>
          <w:lang w:val="en-GB"/>
        </w:rPr>
        <w:footnoteRef/>
      </w:r>
      <w:r w:rsidRPr="00860252">
        <w:rPr>
          <w:rFonts w:ascii="Arial" w:eastAsia="MS Mincho" w:hAnsi="Arial" w:cs="Arial"/>
          <w:sz w:val="18"/>
          <w:vertAlign w:val="superscript"/>
          <w:lang w:val="en-GB"/>
        </w:rPr>
        <w:t>.</w:t>
      </w:r>
      <w:r w:rsidRPr="004F251A">
        <w:rPr>
          <w:rFonts w:ascii="Arial" w:eastAsia="MS Mincho" w:hAnsi="Arial" w:cs="Arial"/>
          <w:sz w:val="18"/>
          <w:lang w:val="en-GB"/>
        </w:rPr>
        <w:tab/>
        <w:t xml:space="preserve">Figures rounded up to the next highest dollar compared to Financial Statement I, pages </w:t>
      </w:r>
      <w:r w:rsidR="00913D1D">
        <w:rPr>
          <w:rFonts w:ascii="Arial" w:eastAsia="MS Mincho" w:hAnsi="Arial" w:cs="Arial"/>
          <w:sz w:val="18"/>
          <w:lang w:val="en-GB"/>
        </w:rPr>
        <w:t>5</w:t>
      </w:r>
      <w:r w:rsidR="00395858">
        <w:rPr>
          <w:rFonts w:ascii="Arial" w:eastAsia="MS Mincho" w:hAnsi="Arial" w:cs="Arial"/>
          <w:sz w:val="18"/>
          <w:lang w:val="en-GB"/>
        </w:rPr>
        <w:t>–</w:t>
      </w:r>
      <w:r w:rsidR="00913D1D">
        <w:rPr>
          <w:rFonts w:ascii="Arial" w:eastAsia="MS Mincho" w:hAnsi="Arial" w:cs="Arial"/>
          <w:sz w:val="18"/>
          <w:lang w:val="en-GB"/>
        </w:rPr>
        <w:t>6</w:t>
      </w:r>
      <w:r w:rsidRPr="004F251A">
        <w:rPr>
          <w:rFonts w:ascii="Arial" w:eastAsia="MS Mincho" w:hAnsi="Arial" w:cs="Arial"/>
          <w:sz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B00CB" w14:textId="31F8433D" w:rsidR="00C37F14" w:rsidRPr="00AF4AE2" w:rsidRDefault="00C5776D" w:rsidP="00AF4AE2">
    <w:pPr>
      <w:pStyle w:val="En-tte"/>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/1</w:t>
    </w:r>
    <w:r>
      <w:rPr>
        <w:rFonts w:ascii="Arial" w:hAnsi="Arial" w:cs="Arial"/>
        <w:sz w:val="20"/>
        <w:szCs w:val="20"/>
        <w:lang w:val="en-GB"/>
      </w:rPr>
      <w:t>9</w:t>
    </w:r>
    <w:r w:rsidR="00CB0542">
      <w:rPr>
        <w:rFonts w:ascii="Arial" w:hAnsi="Arial" w:cs="Arial"/>
        <w:sz w:val="20"/>
        <w:szCs w:val="20"/>
        <w:lang w:val="en-GB"/>
      </w:rPr>
      <w:t>/1</w:t>
    </w:r>
    <w:r>
      <w:rPr>
        <w:rFonts w:ascii="Arial" w:hAnsi="Arial" w:cs="Arial"/>
        <w:sz w:val="20"/>
        <w:szCs w:val="20"/>
        <w:lang w:val="en-GB"/>
      </w:rPr>
      <w:t>4</w:t>
    </w:r>
    <w:r w:rsidR="00EC6F8D">
      <w:rPr>
        <w:rFonts w:ascii="Arial" w:hAnsi="Arial" w:cs="Arial"/>
        <w:sz w:val="20"/>
        <w:szCs w:val="20"/>
        <w:lang w:val="en-GB"/>
      </w:rPr>
      <w:t>.COM</w:t>
    </w:r>
    <w:r w:rsidR="00D95C4C" w:rsidRPr="00C23A97">
      <w:rPr>
        <w:rFonts w:ascii="Arial" w:hAnsi="Arial" w:cs="Arial"/>
        <w:sz w:val="20"/>
        <w:szCs w:val="20"/>
        <w:lang w:val="en-GB"/>
      </w:rPr>
      <w:t>/</w:t>
    </w:r>
    <w:r w:rsidR="008F1CAA">
      <w:rPr>
        <w:rFonts w:ascii="Arial" w:hAnsi="Arial" w:cs="Arial"/>
        <w:sz w:val="20"/>
        <w:szCs w:val="20"/>
        <w:lang w:val="en-GB"/>
      </w:rPr>
      <w:t>INF</w:t>
    </w:r>
    <w:r w:rsidR="002C52B6">
      <w:rPr>
        <w:rFonts w:ascii="Arial" w:hAnsi="Arial" w:cs="Arial"/>
        <w:sz w:val="20"/>
        <w:szCs w:val="20"/>
        <w:lang w:val="en-GB"/>
      </w:rPr>
      <w:t>.7</w:t>
    </w:r>
    <w:r w:rsidR="00D95C4C" w:rsidRPr="00C23A97">
      <w:rPr>
        <w:rFonts w:ascii="Arial" w:hAnsi="Arial" w:cs="Arial"/>
        <w:sz w:val="20"/>
        <w:szCs w:val="20"/>
        <w:lang w:val="en-GB"/>
      </w:rPr>
      <w:t xml:space="preserve"> – page </w:t>
    </w:r>
    <w:r w:rsidR="00D95C4C"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95C4C" w:rsidRPr="00C23A97">
      <w:rPr>
        <w:rStyle w:val="Numrodepage"/>
        <w:rFonts w:ascii="Arial" w:hAnsi="Arial" w:cs="Arial"/>
        <w:sz w:val="20"/>
        <w:szCs w:val="20"/>
        <w:lang w:val="en-GB"/>
      </w:rPr>
      <w:fldChar w:fldCharType="separate"/>
    </w:r>
    <w:r w:rsidR="00F3686A">
      <w:rPr>
        <w:rStyle w:val="Numrodepage"/>
        <w:rFonts w:ascii="Arial" w:hAnsi="Arial" w:cs="Arial"/>
        <w:noProof/>
        <w:sz w:val="20"/>
        <w:szCs w:val="20"/>
        <w:lang w:val="en-GB"/>
      </w:rPr>
      <w:t>12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DFB6" w14:textId="255C7104" w:rsidR="00C37F14" w:rsidRPr="00C54E91" w:rsidRDefault="00C5776D" w:rsidP="00C54E91">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53318C">
      <w:rPr>
        <w:rFonts w:ascii="Arial" w:hAnsi="Arial" w:cs="Arial"/>
        <w:sz w:val="20"/>
        <w:szCs w:val="20"/>
        <w:lang w:val="en-GB"/>
      </w:rPr>
      <w:t>/1</w:t>
    </w:r>
    <w:r>
      <w:rPr>
        <w:rFonts w:ascii="Arial" w:hAnsi="Arial" w:cs="Arial"/>
        <w:sz w:val="20"/>
        <w:szCs w:val="20"/>
        <w:lang w:val="en-GB"/>
      </w:rPr>
      <w:t>9</w:t>
    </w:r>
    <w:r w:rsidR="0053318C">
      <w:rPr>
        <w:rFonts w:ascii="Arial" w:hAnsi="Arial" w:cs="Arial"/>
        <w:sz w:val="20"/>
        <w:szCs w:val="20"/>
        <w:lang w:val="en-GB"/>
      </w:rPr>
      <w:t>/1</w:t>
    </w:r>
    <w:r>
      <w:rPr>
        <w:rFonts w:ascii="Arial" w:hAnsi="Arial" w:cs="Arial"/>
        <w:sz w:val="20"/>
        <w:szCs w:val="20"/>
        <w:lang w:val="en-GB"/>
      </w:rPr>
      <w:t>4</w:t>
    </w:r>
    <w:r w:rsidR="00EC6F8D">
      <w:rPr>
        <w:rFonts w:ascii="Arial" w:hAnsi="Arial" w:cs="Arial"/>
        <w:sz w:val="20"/>
        <w:szCs w:val="20"/>
        <w:lang w:val="en-GB"/>
      </w:rPr>
      <w:t>.COM</w:t>
    </w:r>
    <w:r w:rsidR="004A34A0" w:rsidRPr="0063300C">
      <w:rPr>
        <w:rFonts w:ascii="Arial" w:hAnsi="Arial" w:cs="Arial"/>
        <w:sz w:val="20"/>
        <w:szCs w:val="20"/>
        <w:lang w:val="en-GB"/>
      </w:rPr>
      <w:t>/</w:t>
    </w:r>
    <w:r w:rsidR="008F1CAA">
      <w:rPr>
        <w:rFonts w:ascii="Arial" w:hAnsi="Arial" w:cs="Arial"/>
        <w:sz w:val="20"/>
        <w:szCs w:val="20"/>
        <w:lang w:val="en-GB"/>
      </w:rPr>
      <w:t>INF</w:t>
    </w:r>
    <w:r w:rsidR="002C52B6">
      <w:rPr>
        <w:rFonts w:ascii="Arial" w:hAnsi="Arial" w:cs="Arial"/>
        <w:sz w:val="20"/>
        <w:szCs w:val="20"/>
        <w:lang w:val="en-GB"/>
      </w:rPr>
      <w:t>.7</w:t>
    </w:r>
    <w:r w:rsidR="004A34A0" w:rsidRPr="0063300C">
      <w:rPr>
        <w:rFonts w:ascii="Arial" w:hAnsi="Arial" w:cs="Arial"/>
        <w:sz w:val="20"/>
        <w:szCs w:val="20"/>
        <w:lang w:val="en-GB"/>
      </w:rPr>
      <w:t xml:space="preserve"> –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F3686A">
      <w:rPr>
        <w:rStyle w:val="Numrodepage"/>
        <w:rFonts w:ascii="Arial" w:hAnsi="Arial" w:cs="Arial"/>
        <w:noProof/>
        <w:sz w:val="20"/>
        <w:szCs w:val="20"/>
        <w:lang w:val="en-GB"/>
      </w:rPr>
      <w:t>9</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91235" w14:textId="77777777" w:rsidR="00D95C4C" w:rsidRPr="00E95AE2" w:rsidRDefault="00955877">
    <w:pPr>
      <w:pStyle w:val="En-tte"/>
      <w:rPr>
        <w:sz w:val="22"/>
        <w:szCs w:val="22"/>
        <w:lang w:val="en-GB"/>
      </w:rPr>
    </w:pPr>
    <w:r>
      <w:rPr>
        <w:noProof/>
        <w:lang w:eastAsia="ja-JP"/>
      </w:rPr>
      <w:drawing>
        <wp:anchor distT="0" distB="0" distL="114300" distR="114300" simplePos="0" relativeHeight="251657728" behindDoc="0" locked="0" layoutInCell="1" allowOverlap="1" wp14:anchorId="7EF9F1BB" wp14:editId="671D25C2">
          <wp:simplePos x="0" y="0"/>
          <wp:positionH relativeFrom="margin">
            <wp:posOffset>-568960</wp:posOffset>
          </wp:positionH>
          <wp:positionV relativeFrom="paragraph">
            <wp:posOffset>3810</wp:posOffset>
          </wp:positionV>
          <wp:extent cx="2228400" cy="1368000"/>
          <wp:effectExtent l="0" t="0" r="635" b="3810"/>
          <wp:wrapNone/>
          <wp:docPr id="25"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3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C7D7B" w14:textId="77777777" w:rsidR="00D95C4C" w:rsidRPr="00F30DC6" w:rsidRDefault="00337CEB" w:rsidP="00C5776D">
    <w:pPr>
      <w:pStyle w:val="En-tte"/>
      <w:spacing w:after="520"/>
      <w:jc w:val="right"/>
      <w:rPr>
        <w:rFonts w:ascii="Arial" w:hAnsi="Arial" w:cs="Arial"/>
        <w:b/>
        <w:sz w:val="44"/>
        <w:szCs w:val="44"/>
        <w:lang w:val="en-GB"/>
      </w:rPr>
    </w:pPr>
    <w:r>
      <w:rPr>
        <w:rFonts w:ascii="Arial" w:hAnsi="Arial" w:cs="Arial"/>
        <w:b/>
        <w:sz w:val="44"/>
        <w:szCs w:val="44"/>
        <w:lang w:val="en-GB"/>
      </w:rPr>
      <w:t>1</w:t>
    </w:r>
    <w:r w:rsidR="00C5776D">
      <w:rPr>
        <w:rFonts w:ascii="Arial" w:hAnsi="Arial" w:cs="Arial"/>
        <w:b/>
        <w:sz w:val="44"/>
        <w:szCs w:val="44"/>
        <w:lang w:val="en-GB"/>
      </w:rPr>
      <w:t>4</w:t>
    </w:r>
    <w:r w:rsidR="00EC6F8D" w:rsidRPr="00F30DC6">
      <w:rPr>
        <w:rFonts w:ascii="Arial" w:hAnsi="Arial" w:cs="Arial"/>
        <w:b/>
        <w:sz w:val="44"/>
        <w:szCs w:val="44"/>
        <w:lang w:val="en-GB"/>
      </w:rPr>
      <w:t xml:space="preserve"> COM</w:t>
    </w:r>
  </w:p>
  <w:p w14:paraId="4586A5D5" w14:textId="77777777" w:rsidR="00D95C4C" w:rsidRPr="00D71776" w:rsidRDefault="00C5776D" w:rsidP="00C5776D">
    <w:pPr>
      <w:jc w:val="right"/>
      <w:rPr>
        <w:rFonts w:ascii="Arial" w:hAnsi="Arial" w:cs="Arial"/>
        <w:b/>
        <w:sz w:val="22"/>
        <w:szCs w:val="22"/>
        <w:lang w:val="en-GB"/>
      </w:rPr>
    </w:pPr>
    <w:r w:rsidRPr="00D71776">
      <w:rPr>
        <w:rFonts w:ascii="Arial" w:hAnsi="Arial" w:cs="Arial"/>
        <w:b/>
        <w:sz w:val="22"/>
        <w:szCs w:val="22"/>
        <w:lang w:val="en-GB"/>
      </w:rPr>
      <w:t>LHE</w:t>
    </w:r>
    <w:r w:rsidR="00337CEB" w:rsidRPr="00D71776">
      <w:rPr>
        <w:rFonts w:ascii="Arial" w:hAnsi="Arial" w:cs="Arial"/>
        <w:b/>
        <w:sz w:val="22"/>
        <w:szCs w:val="22"/>
        <w:lang w:val="en-GB"/>
      </w:rPr>
      <w:t>/1</w:t>
    </w:r>
    <w:r w:rsidRPr="00D71776">
      <w:rPr>
        <w:rFonts w:ascii="Arial" w:hAnsi="Arial" w:cs="Arial"/>
        <w:b/>
        <w:sz w:val="22"/>
        <w:szCs w:val="22"/>
        <w:lang w:val="en-GB"/>
      </w:rPr>
      <w:t>9</w:t>
    </w:r>
    <w:r w:rsidR="00D95C4C" w:rsidRPr="00D71776">
      <w:rPr>
        <w:rFonts w:ascii="Arial" w:hAnsi="Arial" w:cs="Arial"/>
        <w:b/>
        <w:sz w:val="22"/>
        <w:szCs w:val="22"/>
        <w:lang w:val="en-GB"/>
      </w:rPr>
      <w:t>/</w:t>
    </w:r>
    <w:r w:rsidR="00CB0542" w:rsidRPr="00D71776">
      <w:rPr>
        <w:rFonts w:ascii="Arial" w:hAnsi="Arial" w:cs="Arial"/>
        <w:b/>
        <w:sz w:val="22"/>
        <w:szCs w:val="22"/>
        <w:lang w:val="en-GB"/>
      </w:rPr>
      <w:t>1</w:t>
    </w:r>
    <w:r w:rsidRPr="00D71776">
      <w:rPr>
        <w:rFonts w:ascii="Arial" w:hAnsi="Arial" w:cs="Arial"/>
        <w:b/>
        <w:sz w:val="22"/>
        <w:szCs w:val="22"/>
        <w:lang w:val="en-GB"/>
      </w:rPr>
      <w:t>4</w:t>
    </w:r>
    <w:r w:rsidR="00D95C4C" w:rsidRPr="00D71776">
      <w:rPr>
        <w:rFonts w:ascii="Arial" w:hAnsi="Arial" w:cs="Arial"/>
        <w:b/>
        <w:sz w:val="22"/>
        <w:szCs w:val="22"/>
        <w:lang w:val="en-GB"/>
      </w:rPr>
      <w:t>.</w:t>
    </w:r>
    <w:r w:rsidR="00EC6F8D" w:rsidRPr="00D71776">
      <w:rPr>
        <w:rFonts w:ascii="Arial" w:hAnsi="Arial" w:cs="Arial"/>
        <w:b/>
        <w:sz w:val="22"/>
        <w:szCs w:val="22"/>
        <w:lang w:val="en-GB"/>
      </w:rPr>
      <w:t>COM</w:t>
    </w:r>
    <w:r w:rsidR="00D95C4C" w:rsidRPr="00D71776">
      <w:rPr>
        <w:rFonts w:ascii="Arial" w:hAnsi="Arial" w:cs="Arial"/>
        <w:b/>
        <w:sz w:val="22"/>
        <w:szCs w:val="22"/>
        <w:lang w:val="en-GB"/>
      </w:rPr>
      <w:t>/</w:t>
    </w:r>
    <w:r w:rsidR="002C52B6" w:rsidRPr="00D71776">
      <w:rPr>
        <w:rFonts w:ascii="Arial" w:hAnsi="Arial" w:cs="Arial"/>
        <w:b/>
        <w:sz w:val="22"/>
        <w:szCs w:val="22"/>
        <w:lang w:val="en-GB"/>
      </w:rPr>
      <w:t>INF.</w:t>
    </w:r>
    <w:r w:rsidR="00F37D7D" w:rsidRPr="00D71776">
      <w:rPr>
        <w:rFonts w:ascii="Arial" w:hAnsi="Arial" w:cs="Arial"/>
        <w:b/>
        <w:sz w:val="22"/>
        <w:szCs w:val="22"/>
        <w:lang w:val="en-GB"/>
      </w:rPr>
      <w:t>7</w:t>
    </w:r>
  </w:p>
  <w:p w14:paraId="5994C786" w14:textId="4FC1160E" w:rsidR="00D95C4C" w:rsidRPr="00D71776" w:rsidRDefault="00D95C4C" w:rsidP="00655736">
    <w:pPr>
      <w:jc w:val="right"/>
      <w:rPr>
        <w:rFonts w:ascii="Arial" w:eastAsiaTheme="minorEastAsia" w:hAnsi="Arial" w:cs="Arial"/>
        <w:b/>
        <w:sz w:val="22"/>
        <w:szCs w:val="22"/>
        <w:lang w:val="en-GB" w:eastAsia="ko-KR"/>
      </w:rPr>
    </w:pPr>
    <w:r w:rsidRPr="00D71776">
      <w:rPr>
        <w:rFonts w:ascii="Arial" w:hAnsi="Arial" w:cs="Arial"/>
        <w:b/>
        <w:sz w:val="22"/>
        <w:szCs w:val="22"/>
        <w:lang w:val="en-GB"/>
      </w:rPr>
      <w:t xml:space="preserve">Paris, </w:t>
    </w:r>
    <w:r w:rsidR="00D71776" w:rsidRPr="00D71776">
      <w:rPr>
        <w:rFonts w:ascii="Arial" w:hAnsi="Arial" w:cs="Arial"/>
        <w:b/>
        <w:sz w:val="22"/>
        <w:szCs w:val="22"/>
        <w:lang w:val="en-GB"/>
      </w:rPr>
      <w:t xml:space="preserve">8 </w:t>
    </w:r>
    <w:r w:rsidR="005D1EE7" w:rsidRPr="00D71776">
      <w:rPr>
        <w:rFonts w:ascii="Arial" w:hAnsi="Arial" w:cs="Arial"/>
        <w:b/>
        <w:sz w:val="22"/>
        <w:szCs w:val="22"/>
        <w:lang w:val="en-GB"/>
      </w:rPr>
      <w:t xml:space="preserve">November </w:t>
    </w:r>
    <w:r w:rsidR="00337CEB" w:rsidRPr="00D71776">
      <w:rPr>
        <w:rFonts w:ascii="Arial" w:hAnsi="Arial" w:cs="Arial"/>
        <w:b/>
        <w:sz w:val="22"/>
        <w:szCs w:val="22"/>
        <w:lang w:val="en-GB"/>
      </w:rPr>
      <w:t>201</w:t>
    </w:r>
    <w:r w:rsidR="00C5776D" w:rsidRPr="00D71776">
      <w:rPr>
        <w:rFonts w:ascii="Arial" w:eastAsiaTheme="minorEastAsia" w:hAnsi="Arial" w:cs="Arial"/>
        <w:b/>
        <w:sz w:val="22"/>
        <w:szCs w:val="22"/>
        <w:lang w:val="en-GB" w:eastAsia="ko-KR"/>
      </w:rPr>
      <w:t>9</w:t>
    </w:r>
  </w:p>
  <w:p w14:paraId="3BB75624" w14:textId="77777777" w:rsidR="00D95C4C" w:rsidRPr="00F32C23" w:rsidRDefault="00D95C4C" w:rsidP="000048ED">
    <w:pPr>
      <w:jc w:val="right"/>
      <w:rPr>
        <w:rFonts w:ascii="Arial" w:hAnsi="Arial" w:cs="Arial"/>
        <w:b/>
        <w:sz w:val="22"/>
        <w:szCs w:val="22"/>
        <w:lang w:val="en-GB"/>
      </w:rPr>
    </w:pPr>
    <w:r w:rsidRPr="00D71776">
      <w:rPr>
        <w:rFonts w:ascii="Arial" w:hAnsi="Arial" w:cs="Arial"/>
        <w:b/>
        <w:sz w:val="22"/>
        <w:szCs w:val="22"/>
        <w:lang w:val="en-GB"/>
      </w:rPr>
      <w:t xml:space="preserve">Original: </w:t>
    </w:r>
    <w:r w:rsidR="00BF1B64" w:rsidRPr="00D71776">
      <w:rPr>
        <w:rFonts w:ascii="Arial" w:hAnsi="Arial" w:cs="Arial"/>
        <w:b/>
        <w:sz w:val="22"/>
        <w:szCs w:val="22"/>
        <w:lang w:val="en-GB"/>
      </w:rPr>
      <w:t>English</w:t>
    </w:r>
  </w:p>
  <w:p w14:paraId="03708397" w14:textId="77777777" w:rsidR="00D95C4C" w:rsidRPr="00E95AE2" w:rsidRDefault="00D95C4C">
    <w:pPr>
      <w:pStyle w:val="En-tte"/>
      <w:rPr>
        <w:sz w:val="22"/>
        <w:szCs w:val="22"/>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58FB6" w14:textId="77777777" w:rsidR="006E336F" w:rsidRPr="00E95AE2" w:rsidRDefault="006E336F">
    <w:pPr>
      <w:pStyle w:val="En-tte"/>
      <w:rPr>
        <w:sz w:val="22"/>
        <w:szCs w:val="22"/>
        <w:lang w:val="en-GB"/>
      </w:rPr>
    </w:pPr>
    <w:r>
      <w:rPr>
        <w:noProof/>
        <w:lang w:eastAsia="ja-JP"/>
      </w:rPr>
      <w:drawing>
        <wp:anchor distT="0" distB="0" distL="114300" distR="114300" simplePos="0" relativeHeight="251659776" behindDoc="0" locked="0" layoutInCell="1" allowOverlap="1" wp14:anchorId="4EBE806B" wp14:editId="7D5169C0">
          <wp:simplePos x="0" y="0"/>
          <wp:positionH relativeFrom="margin">
            <wp:align>left</wp:align>
          </wp:positionH>
          <wp:positionV relativeFrom="paragraph">
            <wp:posOffset>3810</wp:posOffset>
          </wp:positionV>
          <wp:extent cx="2228215" cy="1367790"/>
          <wp:effectExtent l="0" t="0" r="635" b="3810"/>
          <wp:wrapNone/>
          <wp:docPr id="2"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71C9F" w14:textId="77777777" w:rsidR="006E336F" w:rsidRPr="00F30DC6" w:rsidRDefault="006E336F" w:rsidP="00C5776D">
    <w:pPr>
      <w:pStyle w:val="En-tte"/>
      <w:spacing w:after="520"/>
      <w:jc w:val="right"/>
      <w:rPr>
        <w:rFonts w:ascii="Arial" w:hAnsi="Arial" w:cs="Arial"/>
        <w:b/>
        <w:sz w:val="44"/>
        <w:szCs w:val="44"/>
        <w:lang w:val="en-GB"/>
      </w:rPr>
    </w:pPr>
    <w:r>
      <w:rPr>
        <w:rFonts w:ascii="Arial" w:hAnsi="Arial" w:cs="Arial"/>
        <w:b/>
        <w:sz w:val="44"/>
        <w:szCs w:val="44"/>
        <w:lang w:val="en-GB"/>
      </w:rPr>
      <w:t>14</w:t>
    </w:r>
    <w:r w:rsidRPr="00F30DC6">
      <w:rPr>
        <w:rFonts w:ascii="Arial" w:hAnsi="Arial" w:cs="Arial"/>
        <w:b/>
        <w:sz w:val="44"/>
        <w:szCs w:val="44"/>
        <w:lang w:val="en-GB"/>
      </w:rPr>
      <w:t xml:space="preserve"> COM</w:t>
    </w:r>
  </w:p>
  <w:p w14:paraId="5971E1FE" w14:textId="77777777" w:rsidR="006E336F" w:rsidRPr="00D71776" w:rsidRDefault="006E336F" w:rsidP="00C5776D">
    <w:pPr>
      <w:jc w:val="right"/>
      <w:rPr>
        <w:rFonts w:ascii="Arial" w:hAnsi="Arial" w:cs="Arial"/>
        <w:b/>
        <w:sz w:val="22"/>
        <w:szCs w:val="22"/>
        <w:lang w:val="en-GB"/>
      </w:rPr>
    </w:pPr>
    <w:r w:rsidRPr="00D71776">
      <w:rPr>
        <w:rFonts w:ascii="Arial" w:hAnsi="Arial" w:cs="Arial"/>
        <w:b/>
        <w:sz w:val="22"/>
        <w:szCs w:val="22"/>
        <w:lang w:val="en-GB"/>
      </w:rPr>
      <w:t>LHE/19/14.COM/INF.7</w:t>
    </w:r>
  </w:p>
  <w:p w14:paraId="00F7AC36" w14:textId="77777777" w:rsidR="006E336F" w:rsidRPr="00D71776" w:rsidRDefault="006E336F" w:rsidP="00655736">
    <w:pPr>
      <w:jc w:val="right"/>
      <w:rPr>
        <w:rFonts w:ascii="Arial" w:eastAsiaTheme="minorEastAsia" w:hAnsi="Arial" w:cs="Arial"/>
        <w:b/>
        <w:sz w:val="22"/>
        <w:szCs w:val="22"/>
        <w:lang w:val="en-GB" w:eastAsia="ko-KR"/>
      </w:rPr>
    </w:pPr>
    <w:r w:rsidRPr="00D71776">
      <w:rPr>
        <w:rFonts w:ascii="Arial" w:hAnsi="Arial" w:cs="Arial"/>
        <w:b/>
        <w:sz w:val="22"/>
        <w:szCs w:val="22"/>
        <w:lang w:val="en-GB"/>
      </w:rPr>
      <w:t>Paris, 8 November 201</w:t>
    </w:r>
    <w:r w:rsidRPr="00D71776">
      <w:rPr>
        <w:rFonts w:ascii="Arial" w:eastAsiaTheme="minorEastAsia" w:hAnsi="Arial" w:cs="Arial"/>
        <w:b/>
        <w:sz w:val="22"/>
        <w:szCs w:val="22"/>
        <w:lang w:val="en-GB" w:eastAsia="ko-KR"/>
      </w:rPr>
      <w:t>9</w:t>
    </w:r>
  </w:p>
  <w:p w14:paraId="38964C6A" w14:textId="77777777" w:rsidR="006E336F" w:rsidRPr="00F32C23" w:rsidRDefault="006E336F" w:rsidP="000048ED">
    <w:pPr>
      <w:jc w:val="right"/>
      <w:rPr>
        <w:rFonts w:ascii="Arial" w:hAnsi="Arial" w:cs="Arial"/>
        <w:b/>
        <w:sz w:val="22"/>
        <w:szCs w:val="22"/>
        <w:lang w:val="en-GB"/>
      </w:rPr>
    </w:pPr>
    <w:r w:rsidRPr="00D71776">
      <w:rPr>
        <w:rFonts w:ascii="Arial" w:hAnsi="Arial" w:cs="Arial"/>
        <w:b/>
        <w:sz w:val="22"/>
        <w:szCs w:val="22"/>
        <w:lang w:val="en-GB"/>
      </w:rPr>
      <w:t>Original: English</w:t>
    </w:r>
  </w:p>
  <w:p w14:paraId="78FE4C35" w14:textId="77777777" w:rsidR="006E336F" w:rsidRPr="00E95AE2" w:rsidRDefault="006E336F">
    <w:pPr>
      <w:pStyle w:val="En-tte"/>
      <w:rPr>
        <w:sz w:val="22"/>
        <w:szCs w:val="22"/>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F0A8" w14:textId="77777777" w:rsidR="00C60EDB" w:rsidRPr="00E95AE2" w:rsidRDefault="00C60EDB">
    <w:pPr>
      <w:pStyle w:val="En-tte"/>
      <w:rPr>
        <w:sz w:val="22"/>
        <w:szCs w:val="22"/>
        <w:lang w:val="en-GB"/>
      </w:rPr>
    </w:pPr>
  </w:p>
  <w:p w14:paraId="6830263C" w14:textId="7BB8B97C" w:rsidR="00C60EDB" w:rsidRPr="0063300C" w:rsidRDefault="00C60EDB" w:rsidP="00533D50">
    <w:pPr>
      <w:pStyle w:val="En-tte"/>
      <w:rPr>
        <w:rFonts w:ascii="Arial" w:hAnsi="Arial" w:cs="Arial"/>
        <w:lang w:val="en-GB"/>
      </w:rPr>
    </w:pPr>
    <w:r>
      <w:rPr>
        <w:rFonts w:ascii="Arial" w:hAnsi="Arial" w:cs="Arial"/>
        <w:sz w:val="20"/>
        <w:szCs w:val="20"/>
        <w:lang w:val="en-GB"/>
      </w:rPr>
      <w:t>LHE/19/14.COM</w:t>
    </w:r>
    <w:r w:rsidRPr="0063300C">
      <w:rPr>
        <w:rFonts w:ascii="Arial" w:hAnsi="Arial" w:cs="Arial"/>
        <w:sz w:val="20"/>
        <w:szCs w:val="20"/>
        <w:lang w:val="en-GB"/>
      </w:rPr>
      <w:t>/</w:t>
    </w:r>
    <w:r>
      <w:rPr>
        <w:rFonts w:ascii="Arial" w:hAnsi="Arial" w:cs="Arial"/>
        <w:sz w:val="20"/>
        <w:szCs w:val="20"/>
        <w:lang w:val="en-GB"/>
      </w:rPr>
      <w:t>INF.7</w:t>
    </w:r>
    <w:r w:rsidRPr="0063300C">
      <w:rPr>
        <w:rFonts w:ascii="Arial" w:hAnsi="Arial" w:cs="Arial"/>
        <w:sz w:val="20"/>
        <w:szCs w:val="20"/>
        <w:lang w:val="en-GB"/>
      </w:rPr>
      <w:t xml:space="preserve"> – page </w:t>
    </w:r>
    <w:r w:rsidRPr="0063300C">
      <w:rPr>
        <w:rStyle w:val="Numrodepage"/>
        <w:rFonts w:ascii="Arial" w:hAnsi="Arial" w:cs="Arial"/>
        <w:sz w:val="20"/>
        <w:szCs w:val="20"/>
        <w:lang w:val="en-GB"/>
      </w:rPr>
      <w:fldChar w:fldCharType="begin"/>
    </w:r>
    <w:r w:rsidRPr="0063300C">
      <w:rPr>
        <w:rStyle w:val="Numrodepage"/>
        <w:rFonts w:ascii="Arial" w:hAnsi="Arial" w:cs="Arial"/>
        <w:sz w:val="20"/>
        <w:szCs w:val="20"/>
        <w:lang w:val="en-GB"/>
      </w:rPr>
      <w:instrText xml:space="preserve"> PAGE </w:instrText>
    </w:r>
    <w:r w:rsidRPr="0063300C">
      <w:rPr>
        <w:rStyle w:val="Numrodepage"/>
        <w:rFonts w:ascii="Arial" w:hAnsi="Arial" w:cs="Arial"/>
        <w:sz w:val="20"/>
        <w:szCs w:val="20"/>
        <w:lang w:val="en-GB"/>
      </w:rPr>
      <w:fldChar w:fldCharType="separate"/>
    </w:r>
    <w:r w:rsidR="00F3686A">
      <w:rPr>
        <w:rStyle w:val="Numrodepage"/>
        <w:rFonts w:ascii="Arial" w:hAnsi="Arial" w:cs="Arial"/>
        <w:noProof/>
        <w:sz w:val="20"/>
        <w:szCs w:val="20"/>
        <w:lang w:val="en-GB"/>
      </w:rPr>
      <w:t>11</w:t>
    </w:r>
    <w:r w:rsidRPr="0063300C">
      <w:rPr>
        <w:rStyle w:val="Numrodepage"/>
        <w:rFonts w:ascii="Arial" w:hAnsi="Arial" w:cs="Arial"/>
        <w:sz w:val="20"/>
        <w:szCs w:val="20"/>
        <w:lang w:val="en-GB"/>
      </w:rPr>
      <w:fldChar w:fldCharType="end"/>
    </w:r>
  </w:p>
  <w:p w14:paraId="1A37B766" w14:textId="77777777" w:rsidR="00C60EDB" w:rsidRPr="00E95AE2" w:rsidRDefault="00C60EDB">
    <w:pPr>
      <w:pStyle w:val="En-tte"/>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124F"/>
    <w:multiLevelType w:val="hybridMultilevel"/>
    <w:tmpl w:val="E0386812"/>
    <w:lvl w:ilvl="0" w:tplc="9BD272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1AC23FD"/>
    <w:multiLevelType w:val="hybridMultilevel"/>
    <w:tmpl w:val="50705A4A"/>
    <w:lvl w:ilvl="0" w:tplc="0AAA5900">
      <w:start w:val="1"/>
      <w:numFmt w:val="decimal"/>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3" w15:restartNumberingAfterBreak="0">
    <w:nsid w:val="13B52813"/>
    <w:multiLevelType w:val="hybridMultilevel"/>
    <w:tmpl w:val="C7E41B56"/>
    <w:lvl w:ilvl="0" w:tplc="BB08C1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5F07BFE"/>
    <w:multiLevelType w:val="hybridMultilevel"/>
    <w:tmpl w:val="D7B28A4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B5E6D19E">
      <w:start w:val="1"/>
      <w:numFmt w:val="lowerLetter"/>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6E7066B"/>
    <w:multiLevelType w:val="hybridMultilevel"/>
    <w:tmpl w:val="4E2E996E"/>
    <w:lvl w:ilvl="0" w:tplc="222C604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0D0316"/>
    <w:multiLevelType w:val="hybridMultilevel"/>
    <w:tmpl w:val="E24AD55A"/>
    <w:lvl w:ilvl="0" w:tplc="76CAC304">
      <w:start w:val="1"/>
      <w:numFmt w:val="decimal"/>
      <w:lvlText w:val="%1."/>
      <w:lvlJc w:val="left"/>
      <w:pPr>
        <w:ind w:left="1070" w:hanging="360"/>
      </w:pPr>
    </w:lvl>
    <w:lvl w:ilvl="1" w:tplc="040C0019">
      <w:start w:val="1"/>
      <w:numFmt w:val="lowerLetter"/>
      <w:lvlText w:val="%2."/>
      <w:lvlJc w:val="left"/>
      <w:pPr>
        <w:ind w:left="1790" w:hanging="360"/>
      </w:pPr>
    </w:lvl>
    <w:lvl w:ilvl="2" w:tplc="040C001B">
      <w:start w:val="1"/>
      <w:numFmt w:val="lowerRoman"/>
      <w:lvlText w:val="%3."/>
      <w:lvlJc w:val="right"/>
      <w:pPr>
        <w:ind w:left="2510" w:hanging="180"/>
      </w:pPr>
    </w:lvl>
    <w:lvl w:ilvl="3" w:tplc="040C000F">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094069"/>
    <w:multiLevelType w:val="hybridMultilevel"/>
    <w:tmpl w:val="36F6039A"/>
    <w:lvl w:ilvl="0" w:tplc="2196BE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BD40C5"/>
    <w:multiLevelType w:val="hybridMultilevel"/>
    <w:tmpl w:val="B9E64288"/>
    <w:lvl w:ilvl="0" w:tplc="08A29940">
      <w:start w:val="1"/>
      <w:numFmt w:val="lowerLetter"/>
      <w:lvlText w:val="%1)"/>
      <w:lvlJc w:val="left"/>
      <w:pPr>
        <w:ind w:left="720" w:hanging="360"/>
      </w:pPr>
      <w:rPr>
        <w:rFonts w:ascii="Arial" w:eastAsia="MS Mincho"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3B71665"/>
    <w:multiLevelType w:val="hybridMultilevel"/>
    <w:tmpl w:val="7340C63C"/>
    <w:lvl w:ilvl="0" w:tplc="D04ECF5C">
      <w:start w:val="1"/>
      <w:numFmt w:val="decimal"/>
      <w:lvlText w:val="%1."/>
      <w:lvlJc w:val="left"/>
      <w:pPr>
        <w:ind w:left="502"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9306B62"/>
    <w:multiLevelType w:val="hybridMultilevel"/>
    <w:tmpl w:val="EC2CD5EC"/>
    <w:lvl w:ilvl="0" w:tplc="28D840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AB522A"/>
    <w:multiLevelType w:val="hybridMultilevel"/>
    <w:tmpl w:val="AEB61486"/>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671A8C"/>
    <w:multiLevelType w:val="hybridMultilevel"/>
    <w:tmpl w:val="3794947C"/>
    <w:lvl w:ilvl="0" w:tplc="0E460466">
      <w:start w:val="1"/>
      <w:numFmt w:val="lowerLetter"/>
      <w:lvlText w:val="%1)"/>
      <w:lvlJc w:val="left"/>
      <w:pPr>
        <w:ind w:left="5676" w:hanging="360"/>
      </w:pPr>
      <w:rPr>
        <w:rFonts w:hint="default"/>
        <w:sz w:val="20"/>
        <w:u w:val="single"/>
      </w:rPr>
    </w:lvl>
    <w:lvl w:ilvl="1" w:tplc="040C0019" w:tentative="1">
      <w:start w:val="1"/>
      <w:numFmt w:val="lowerLetter"/>
      <w:lvlText w:val="%2."/>
      <w:lvlJc w:val="left"/>
      <w:pPr>
        <w:ind w:left="6396" w:hanging="360"/>
      </w:pPr>
    </w:lvl>
    <w:lvl w:ilvl="2" w:tplc="040C001B" w:tentative="1">
      <w:start w:val="1"/>
      <w:numFmt w:val="lowerRoman"/>
      <w:lvlText w:val="%3."/>
      <w:lvlJc w:val="right"/>
      <w:pPr>
        <w:ind w:left="7116" w:hanging="180"/>
      </w:pPr>
    </w:lvl>
    <w:lvl w:ilvl="3" w:tplc="040C000F" w:tentative="1">
      <w:start w:val="1"/>
      <w:numFmt w:val="decimal"/>
      <w:lvlText w:val="%4."/>
      <w:lvlJc w:val="left"/>
      <w:pPr>
        <w:ind w:left="7836" w:hanging="360"/>
      </w:pPr>
    </w:lvl>
    <w:lvl w:ilvl="4" w:tplc="040C0019" w:tentative="1">
      <w:start w:val="1"/>
      <w:numFmt w:val="lowerLetter"/>
      <w:lvlText w:val="%5."/>
      <w:lvlJc w:val="left"/>
      <w:pPr>
        <w:ind w:left="8556" w:hanging="360"/>
      </w:pPr>
    </w:lvl>
    <w:lvl w:ilvl="5" w:tplc="040C001B" w:tentative="1">
      <w:start w:val="1"/>
      <w:numFmt w:val="lowerRoman"/>
      <w:lvlText w:val="%6."/>
      <w:lvlJc w:val="right"/>
      <w:pPr>
        <w:ind w:left="9276" w:hanging="180"/>
      </w:pPr>
    </w:lvl>
    <w:lvl w:ilvl="6" w:tplc="040C000F" w:tentative="1">
      <w:start w:val="1"/>
      <w:numFmt w:val="decimal"/>
      <w:lvlText w:val="%7."/>
      <w:lvlJc w:val="left"/>
      <w:pPr>
        <w:ind w:left="9996" w:hanging="360"/>
      </w:pPr>
    </w:lvl>
    <w:lvl w:ilvl="7" w:tplc="040C0019" w:tentative="1">
      <w:start w:val="1"/>
      <w:numFmt w:val="lowerLetter"/>
      <w:lvlText w:val="%8."/>
      <w:lvlJc w:val="left"/>
      <w:pPr>
        <w:ind w:left="10716" w:hanging="360"/>
      </w:pPr>
    </w:lvl>
    <w:lvl w:ilvl="8" w:tplc="040C001B" w:tentative="1">
      <w:start w:val="1"/>
      <w:numFmt w:val="lowerRoman"/>
      <w:lvlText w:val="%9."/>
      <w:lvlJc w:val="right"/>
      <w:pPr>
        <w:ind w:left="11436" w:hanging="180"/>
      </w:pPr>
    </w:lvl>
  </w:abstractNum>
  <w:abstractNum w:abstractNumId="20" w15:restartNumberingAfterBreak="0">
    <w:nsid w:val="58BF5ABE"/>
    <w:multiLevelType w:val="hybridMultilevel"/>
    <w:tmpl w:val="BB7E6B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2" w15:restartNumberingAfterBreak="0">
    <w:nsid w:val="5F0B0161"/>
    <w:multiLevelType w:val="hybridMultilevel"/>
    <w:tmpl w:val="A4C83EF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D010205"/>
    <w:multiLevelType w:val="hybridMultilevel"/>
    <w:tmpl w:val="41D8546A"/>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7"/>
  </w:num>
  <w:num w:numId="3">
    <w:abstractNumId w:val="4"/>
  </w:num>
  <w:num w:numId="4">
    <w:abstractNumId w:val="25"/>
  </w:num>
  <w:num w:numId="5">
    <w:abstractNumId w:val="23"/>
  </w:num>
  <w:num w:numId="6">
    <w:abstractNumId w:val="1"/>
  </w:num>
  <w:num w:numId="7">
    <w:abstractNumId w:val="5"/>
  </w:num>
  <w:num w:numId="8">
    <w:abstractNumId w:val="16"/>
  </w:num>
  <w:num w:numId="9">
    <w:abstractNumId w:val="6"/>
  </w:num>
  <w:num w:numId="10">
    <w:abstractNumId w:val="10"/>
  </w:num>
  <w:num w:numId="11">
    <w:abstractNumId w:val="14"/>
  </w:num>
  <w:num w:numId="12">
    <w:abstractNumId w:val="11"/>
  </w:num>
  <w:num w:numId="13">
    <w:abstractNumId w:val="6"/>
    <w:lvlOverride w:ilvl="0">
      <w:startOverride w:val="1"/>
    </w:lvlOverride>
  </w:num>
  <w:num w:numId="14">
    <w:abstractNumId w:val="3"/>
  </w:num>
  <w:num w:numId="15">
    <w:abstractNumId w:val="20"/>
  </w:num>
  <w:num w:numId="16">
    <w:abstractNumId w:val="22"/>
  </w:num>
  <w:num w:numId="17">
    <w:abstractNumId w:val="2"/>
  </w:num>
  <w:num w:numId="18">
    <w:abstractNumId w:val="19"/>
  </w:num>
  <w:num w:numId="19">
    <w:abstractNumId w:val="13"/>
  </w:num>
  <w:num w:numId="20">
    <w:abstractNumId w:val="15"/>
  </w:num>
  <w:num w:numId="21">
    <w:abstractNumId w:val="18"/>
  </w:num>
  <w:num w:numId="22">
    <w:abstractNumId w:val="0"/>
  </w:num>
  <w:num w:numId="23">
    <w:abstractNumId w:val="12"/>
  </w:num>
  <w:num w:numId="24">
    <w:abstractNumId w:val="17"/>
  </w:num>
  <w:num w:numId="25">
    <w:abstractNumId w:val="8"/>
  </w:num>
  <w:num w:numId="26">
    <w:abstractNumId w:val="9"/>
  </w:num>
  <w:num w:numId="27">
    <w:abstractNumId w:val="6"/>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num>
  <w:num w:numId="32">
    <w:abstractNumId w:val="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574"/>
    <w:rsid w:val="000048ED"/>
    <w:rsid w:val="000139C3"/>
    <w:rsid w:val="00041A66"/>
    <w:rsid w:val="0005176E"/>
    <w:rsid w:val="00053504"/>
    <w:rsid w:val="0006196C"/>
    <w:rsid w:val="000765F7"/>
    <w:rsid w:val="00077AB7"/>
    <w:rsid w:val="00081CD8"/>
    <w:rsid w:val="000A7F0E"/>
    <w:rsid w:val="000B1C8F"/>
    <w:rsid w:val="000C0D61"/>
    <w:rsid w:val="000E4EF7"/>
    <w:rsid w:val="000F3A3F"/>
    <w:rsid w:val="00102557"/>
    <w:rsid w:val="0013791A"/>
    <w:rsid w:val="001600DD"/>
    <w:rsid w:val="00164D56"/>
    <w:rsid w:val="00167B10"/>
    <w:rsid w:val="0017402F"/>
    <w:rsid w:val="0017464F"/>
    <w:rsid w:val="00181054"/>
    <w:rsid w:val="00186833"/>
    <w:rsid w:val="00196C1B"/>
    <w:rsid w:val="001B0F73"/>
    <w:rsid w:val="001C2DB7"/>
    <w:rsid w:val="001D14FE"/>
    <w:rsid w:val="001D5C04"/>
    <w:rsid w:val="001F20E9"/>
    <w:rsid w:val="001F26CF"/>
    <w:rsid w:val="0021305B"/>
    <w:rsid w:val="00222A2D"/>
    <w:rsid w:val="00223029"/>
    <w:rsid w:val="002318D6"/>
    <w:rsid w:val="00233ED0"/>
    <w:rsid w:val="00234745"/>
    <w:rsid w:val="002351A6"/>
    <w:rsid w:val="00235DF8"/>
    <w:rsid w:val="002407AF"/>
    <w:rsid w:val="00260FC1"/>
    <w:rsid w:val="00266905"/>
    <w:rsid w:val="00266B62"/>
    <w:rsid w:val="0027466B"/>
    <w:rsid w:val="002838A5"/>
    <w:rsid w:val="00285BB4"/>
    <w:rsid w:val="002A07F6"/>
    <w:rsid w:val="002B7D55"/>
    <w:rsid w:val="002C09E3"/>
    <w:rsid w:val="002C52B6"/>
    <w:rsid w:val="0030116B"/>
    <w:rsid w:val="00337CEB"/>
    <w:rsid w:val="00344B58"/>
    <w:rsid w:val="0034539A"/>
    <w:rsid w:val="00345CB4"/>
    <w:rsid w:val="00346E10"/>
    <w:rsid w:val="00370699"/>
    <w:rsid w:val="00375D42"/>
    <w:rsid w:val="0038452F"/>
    <w:rsid w:val="0039290B"/>
    <w:rsid w:val="003936CB"/>
    <w:rsid w:val="00395858"/>
    <w:rsid w:val="003A7C8F"/>
    <w:rsid w:val="003B5B6B"/>
    <w:rsid w:val="003D069C"/>
    <w:rsid w:val="003D36E8"/>
    <w:rsid w:val="003D4F4E"/>
    <w:rsid w:val="003D7646"/>
    <w:rsid w:val="003F113A"/>
    <w:rsid w:val="003F3E63"/>
    <w:rsid w:val="00407480"/>
    <w:rsid w:val="00407961"/>
    <w:rsid w:val="00410054"/>
    <w:rsid w:val="00414643"/>
    <w:rsid w:val="00434B36"/>
    <w:rsid w:val="004421E5"/>
    <w:rsid w:val="0044275C"/>
    <w:rsid w:val="00452284"/>
    <w:rsid w:val="00457C8E"/>
    <w:rsid w:val="00477A90"/>
    <w:rsid w:val="00477BA2"/>
    <w:rsid w:val="004832CF"/>
    <w:rsid w:val="004856CA"/>
    <w:rsid w:val="00487E67"/>
    <w:rsid w:val="0049705E"/>
    <w:rsid w:val="004A34A0"/>
    <w:rsid w:val="004A63B8"/>
    <w:rsid w:val="004B1B80"/>
    <w:rsid w:val="004B472F"/>
    <w:rsid w:val="005008A8"/>
    <w:rsid w:val="005067E4"/>
    <w:rsid w:val="00526B7B"/>
    <w:rsid w:val="005308CE"/>
    <w:rsid w:val="0053318C"/>
    <w:rsid w:val="00533D50"/>
    <w:rsid w:val="005607D3"/>
    <w:rsid w:val="0057439C"/>
    <w:rsid w:val="005762B1"/>
    <w:rsid w:val="005850F3"/>
    <w:rsid w:val="00585A9C"/>
    <w:rsid w:val="005B0127"/>
    <w:rsid w:val="005B7A35"/>
    <w:rsid w:val="005C1DB5"/>
    <w:rsid w:val="005C26D6"/>
    <w:rsid w:val="005C4B73"/>
    <w:rsid w:val="005D1EE7"/>
    <w:rsid w:val="005E1D2B"/>
    <w:rsid w:val="005E7074"/>
    <w:rsid w:val="005F1AF6"/>
    <w:rsid w:val="005F2411"/>
    <w:rsid w:val="005F2BAF"/>
    <w:rsid w:val="00600D93"/>
    <w:rsid w:val="00625A43"/>
    <w:rsid w:val="0063300C"/>
    <w:rsid w:val="006543DB"/>
    <w:rsid w:val="00655736"/>
    <w:rsid w:val="00663B8D"/>
    <w:rsid w:val="00696C8D"/>
    <w:rsid w:val="006A2AC2"/>
    <w:rsid w:val="006A3617"/>
    <w:rsid w:val="006C2DB5"/>
    <w:rsid w:val="006C68AF"/>
    <w:rsid w:val="006E336F"/>
    <w:rsid w:val="006E46E4"/>
    <w:rsid w:val="007001D9"/>
    <w:rsid w:val="0070102B"/>
    <w:rsid w:val="00717DA5"/>
    <w:rsid w:val="00726C75"/>
    <w:rsid w:val="00744484"/>
    <w:rsid w:val="00747566"/>
    <w:rsid w:val="0076104F"/>
    <w:rsid w:val="00773188"/>
    <w:rsid w:val="00783782"/>
    <w:rsid w:val="00784B8C"/>
    <w:rsid w:val="007879E1"/>
    <w:rsid w:val="007957DC"/>
    <w:rsid w:val="007B3E7D"/>
    <w:rsid w:val="007E51F2"/>
    <w:rsid w:val="007E5358"/>
    <w:rsid w:val="007F21AD"/>
    <w:rsid w:val="008012B5"/>
    <w:rsid w:val="00823A11"/>
    <w:rsid w:val="008409F8"/>
    <w:rsid w:val="00847E71"/>
    <w:rsid w:val="00851803"/>
    <w:rsid w:val="0085405E"/>
    <w:rsid w:val="00854081"/>
    <w:rsid w:val="0085414A"/>
    <w:rsid w:val="00860252"/>
    <w:rsid w:val="00861AFE"/>
    <w:rsid w:val="0086269D"/>
    <w:rsid w:val="00864959"/>
    <w:rsid w:val="00864F84"/>
    <w:rsid w:val="0086543A"/>
    <w:rsid w:val="008724E5"/>
    <w:rsid w:val="00873DCE"/>
    <w:rsid w:val="00884A9D"/>
    <w:rsid w:val="0088512B"/>
    <w:rsid w:val="008A2B2D"/>
    <w:rsid w:val="008A4E1E"/>
    <w:rsid w:val="008B340E"/>
    <w:rsid w:val="008B493C"/>
    <w:rsid w:val="008C296C"/>
    <w:rsid w:val="008C2F69"/>
    <w:rsid w:val="008D4305"/>
    <w:rsid w:val="008E091D"/>
    <w:rsid w:val="008E1A85"/>
    <w:rsid w:val="008E47F0"/>
    <w:rsid w:val="008F1CAA"/>
    <w:rsid w:val="00913D1D"/>
    <w:rsid w:val="009163A7"/>
    <w:rsid w:val="00946D0B"/>
    <w:rsid w:val="00954227"/>
    <w:rsid w:val="00955877"/>
    <w:rsid w:val="0098262F"/>
    <w:rsid w:val="00986E2C"/>
    <w:rsid w:val="009A0C69"/>
    <w:rsid w:val="009A18CD"/>
    <w:rsid w:val="009C1CBC"/>
    <w:rsid w:val="009D5428"/>
    <w:rsid w:val="009E6360"/>
    <w:rsid w:val="00A12558"/>
    <w:rsid w:val="00A13903"/>
    <w:rsid w:val="00A32B3C"/>
    <w:rsid w:val="00A34ED5"/>
    <w:rsid w:val="00A45DBF"/>
    <w:rsid w:val="00A755A2"/>
    <w:rsid w:val="00A77EA8"/>
    <w:rsid w:val="00A91261"/>
    <w:rsid w:val="00AA49F6"/>
    <w:rsid w:val="00AA6660"/>
    <w:rsid w:val="00AB2C36"/>
    <w:rsid w:val="00AB4EF6"/>
    <w:rsid w:val="00AB6DDE"/>
    <w:rsid w:val="00AB70B6"/>
    <w:rsid w:val="00AD1A86"/>
    <w:rsid w:val="00AE103E"/>
    <w:rsid w:val="00AF0A07"/>
    <w:rsid w:val="00AF4AE2"/>
    <w:rsid w:val="00AF4AEC"/>
    <w:rsid w:val="00AF625E"/>
    <w:rsid w:val="00B012FD"/>
    <w:rsid w:val="00B0731A"/>
    <w:rsid w:val="00B139BE"/>
    <w:rsid w:val="00B54AEA"/>
    <w:rsid w:val="00B61451"/>
    <w:rsid w:val="00B77AB2"/>
    <w:rsid w:val="00BA241A"/>
    <w:rsid w:val="00BB04AF"/>
    <w:rsid w:val="00BB4BC8"/>
    <w:rsid w:val="00BC467F"/>
    <w:rsid w:val="00BD52C9"/>
    <w:rsid w:val="00BE6354"/>
    <w:rsid w:val="00BF1B64"/>
    <w:rsid w:val="00C138D1"/>
    <w:rsid w:val="00C15B12"/>
    <w:rsid w:val="00C17C1C"/>
    <w:rsid w:val="00C23A97"/>
    <w:rsid w:val="00C279D7"/>
    <w:rsid w:val="00C37F14"/>
    <w:rsid w:val="00C54E91"/>
    <w:rsid w:val="00C5776D"/>
    <w:rsid w:val="00C60EDB"/>
    <w:rsid w:val="00C64855"/>
    <w:rsid w:val="00C70EA7"/>
    <w:rsid w:val="00C7136F"/>
    <w:rsid w:val="00C72D72"/>
    <w:rsid w:val="00C7433F"/>
    <w:rsid w:val="00C7516E"/>
    <w:rsid w:val="00C75770"/>
    <w:rsid w:val="00CA56BB"/>
    <w:rsid w:val="00CB0542"/>
    <w:rsid w:val="00CF5531"/>
    <w:rsid w:val="00D00B2B"/>
    <w:rsid w:val="00D0256B"/>
    <w:rsid w:val="00D140FF"/>
    <w:rsid w:val="00D24877"/>
    <w:rsid w:val="00D34BD8"/>
    <w:rsid w:val="00D71776"/>
    <w:rsid w:val="00D8250F"/>
    <w:rsid w:val="00D92600"/>
    <w:rsid w:val="00D95C4C"/>
    <w:rsid w:val="00DA36ED"/>
    <w:rsid w:val="00DA5CF9"/>
    <w:rsid w:val="00DB1312"/>
    <w:rsid w:val="00DE34F1"/>
    <w:rsid w:val="00DE6160"/>
    <w:rsid w:val="00DF3C95"/>
    <w:rsid w:val="00DF4942"/>
    <w:rsid w:val="00E00159"/>
    <w:rsid w:val="00E244E1"/>
    <w:rsid w:val="00E25D45"/>
    <w:rsid w:val="00E41163"/>
    <w:rsid w:val="00E44B0D"/>
    <w:rsid w:val="00E627B1"/>
    <w:rsid w:val="00E70169"/>
    <w:rsid w:val="00E71DB6"/>
    <w:rsid w:val="00E8387A"/>
    <w:rsid w:val="00E9376C"/>
    <w:rsid w:val="00E95AE2"/>
    <w:rsid w:val="00E978E1"/>
    <w:rsid w:val="00EA2D77"/>
    <w:rsid w:val="00EA335E"/>
    <w:rsid w:val="00EA528C"/>
    <w:rsid w:val="00EA580C"/>
    <w:rsid w:val="00EB6CA6"/>
    <w:rsid w:val="00EC6F8D"/>
    <w:rsid w:val="00EC7D22"/>
    <w:rsid w:val="00EE49F4"/>
    <w:rsid w:val="00EF34E2"/>
    <w:rsid w:val="00F30DC6"/>
    <w:rsid w:val="00F32C23"/>
    <w:rsid w:val="00F352F0"/>
    <w:rsid w:val="00F3686A"/>
    <w:rsid w:val="00F37D7D"/>
    <w:rsid w:val="00F53DE9"/>
    <w:rsid w:val="00F576CB"/>
    <w:rsid w:val="00F7035D"/>
    <w:rsid w:val="00F71A02"/>
    <w:rsid w:val="00F76F52"/>
    <w:rsid w:val="00FA0D63"/>
    <w:rsid w:val="00FC3B84"/>
    <w:rsid w:val="00FD1226"/>
    <w:rsid w:val="00FF4830"/>
    <w:rsid w:val="00FF4BE3"/>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AA0061"/>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qFormat/>
    <w:rsid w:val="006543DB"/>
    <w:pPr>
      <w:ind w:left="720"/>
      <w:contextualSpacing/>
    </w:pPr>
  </w:style>
  <w:style w:type="character" w:styleId="Lienhypertexte">
    <w:name w:val="Hyperlink"/>
    <w:unhideWhenUsed/>
    <w:rsid w:val="006543DB"/>
    <w:rPr>
      <w:color w:val="0000FF"/>
      <w:u w:val="single"/>
    </w:rPr>
  </w:style>
  <w:style w:type="character" w:styleId="Lienhypertextesuivivisit">
    <w:name w:val="FollowedHyperlink"/>
    <w:basedOn w:val="Policepardfaut"/>
    <w:uiPriority w:val="99"/>
    <w:semiHidden/>
    <w:unhideWhenUsed/>
    <w:rsid w:val="006543DB"/>
    <w:rPr>
      <w:color w:val="800080" w:themeColor="followedHyperlink"/>
      <w:u w:val="single"/>
    </w:rPr>
  </w:style>
  <w:style w:type="paragraph" w:customStyle="1" w:styleId="Default">
    <w:name w:val="Default"/>
    <w:link w:val="DefaultChar"/>
    <w:uiPriority w:val="99"/>
    <w:rsid w:val="006543DB"/>
    <w:pPr>
      <w:autoSpaceDE w:val="0"/>
      <w:autoSpaceDN w:val="0"/>
      <w:adjustRightInd w:val="0"/>
    </w:pPr>
    <w:rPr>
      <w:rFonts w:ascii="Arial" w:hAnsi="Arial" w:cs="Arial"/>
      <w:color w:val="000000"/>
      <w:sz w:val="24"/>
      <w:szCs w:val="24"/>
      <w:lang w:val="en-US" w:eastAsia="zh-CN"/>
    </w:rPr>
  </w:style>
  <w:style w:type="paragraph" w:styleId="Notedebasdepage">
    <w:name w:val="footnote text"/>
    <w:basedOn w:val="Normal"/>
    <w:link w:val="NotedebasdepageCar"/>
    <w:uiPriority w:val="99"/>
    <w:unhideWhenUsed/>
    <w:rsid w:val="006543DB"/>
    <w:rPr>
      <w:sz w:val="20"/>
      <w:szCs w:val="20"/>
    </w:rPr>
  </w:style>
  <w:style w:type="character" w:customStyle="1" w:styleId="NotedebasdepageCar">
    <w:name w:val="Note de bas de page Car"/>
    <w:basedOn w:val="Policepardfaut"/>
    <w:link w:val="Notedebasdepage"/>
    <w:uiPriority w:val="99"/>
    <w:rsid w:val="006543DB"/>
    <w:rPr>
      <w:rFonts w:ascii="Times New Roman" w:eastAsia="Times New Roman" w:hAnsi="Times New Roman"/>
    </w:rPr>
  </w:style>
  <w:style w:type="character" w:styleId="Appelnotedebasdep">
    <w:name w:val="footnote reference"/>
    <w:uiPriority w:val="99"/>
    <w:unhideWhenUsed/>
    <w:rsid w:val="006543DB"/>
    <w:rPr>
      <w:vertAlign w:val="superscript"/>
    </w:rPr>
  </w:style>
  <w:style w:type="character" w:customStyle="1" w:styleId="DefaultChar">
    <w:name w:val="Default Char"/>
    <w:link w:val="Default"/>
    <w:uiPriority w:val="99"/>
    <w:rsid w:val="006543DB"/>
    <w:rPr>
      <w:rFonts w:ascii="Arial" w:hAnsi="Arial" w:cs="Arial"/>
      <w:color w:val="000000"/>
      <w:sz w:val="24"/>
      <w:szCs w:val="24"/>
      <w:lang w:val="en-US" w:eastAsia="zh-CN"/>
    </w:rPr>
  </w:style>
  <w:style w:type="paragraph" w:customStyle="1" w:styleId="Paragraph">
    <w:name w:val="Paragraph"/>
    <w:basedOn w:val="Default"/>
    <w:link w:val="ParagraphChar"/>
    <w:qFormat/>
    <w:rsid w:val="006543DB"/>
    <w:pPr>
      <w:spacing w:after="240"/>
      <w:jc w:val="both"/>
    </w:pPr>
    <w:rPr>
      <w:bCs/>
      <w:sz w:val="22"/>
      <w:szCs w:val="22"/>
      <w:lang w:val="en-GB"/>
    </w:rPr>
  </w:style>
  <w:style w:type="character" w:customStyle="1" w:styleId="ParagraphChar">
    <w:name w:val="Paragraph Char"/>
    <w:link w:val="Paragraph"/>
    <w:rsid w:val="006543DB"/>
    <w:rPr>
      <w:rFonts w:ascii="Arial" w:hAnsi="Arial" w:cs="Arial"/>
      <w:bCs/>
      <w:color w:val="000000"/>
      <w:sz w:val="22"/>
      <w:szCs w:val="22"/>
      <w:lang w:val="en-GB" w:eastAsia="zh-CN"/>
    </w:rPr>
  </w:style>
  <w:style w:type="paragraph" w:customStyle="1" w:styleId="ListParagraph1">
    <w:name w:val="List Paragraph1"/>
    <w:basedOn w:val="Normal"/>
    <w:qFormat/>
    <w:rsid w:val="006543DB"/>
    <w:pPr>
      <w:tabs>
        <w:tab w:val="left" w:pos="567"/>
      </w:tabs>
      <w:snapToGrid w:val="0"/>
      <w:spacing w:after="120"/>
      <w:jc w:val="both"/>
    </w:pPr>
    <w:rPr>
      <w:rFonts w:ascii="Arial" w:hAnsi="Arial" w:cs="Arial"/>
      <w:snapToGrid w:val="0"/>
      <w:sz w:val="22"/>
      <w:szCs w:val="22"/>
      <w:lang w:val="en-GB" w:eastAsia="en-US"/>
    </w:rPr>
  </w:style>
  <w:style w:type="character" w:customStyle="1" w:styleId="hps">
    <w:name w:val="hps"/>
    <w:rsid w:val="006543DB"/>
  </w:style>
  <w:style w:type="paragraph" w:styleId="Notedefin">
    <w:name w:val="endnote text"/>
    <w:basedOn w:val="Normal"/>
    <w:link w:val="NotedefinCar"/>
    <w:uiPriority w:val="99"/>
    <w:semiHidden/>
    <w:unhideWhenUsed/>
    <w:rsid w:val="006543DB"/>
    <w:rPr>
      <w:sz w:val="20"/>
      <w:szCs w:val="20"/>
    </w:rPr>
  </w:style>
  <w:style w:type="character" w:customStyle="1" w:styleId="NotedefinCar">
    <w:name w:val="Note de fin Car"/>
    <w:basedOn w:val="Policepardfaut"/>
    <w:link w:val="Notedefin"/>
    <w:uiPriority w:val="99"/>
    <w:semiHidden/>
    <w:rsid w:val="006543DB"/>
    <w:rPr>
      <w:rFonts w:ascii="Times New Roman" w:eastAsia="Times New Roman" w:hAnsi="Times New Roman"/>
    </w:rPr>
  </w:style>
  <w:style w:type="character" w:styleId="Appeldenotedefin">
    <w:name w:val="endnote reference"/>
    <w:basedOn w:val="Policepardfaut"/>
    <w:uiPriority w:val="99"/>
    <w:semiHidden/>
    <w:unhideWhenUsed/>
    <w:rsid w:val="006543DB"/>
    <w:rPr>
      <w:vertAlign w:val="superscript"/>
    </w:rPr>
  </w:style>
  <w:style w:type="paragraph" w:customStyle="1" w:styleId="Annex">
    <w:name w:val="Annex"/>
    <w:basedOn w:val="Default"/>
    <w:next w:val="Normal"/>
    <w:rsid w:val="006543DB"/>
    <w:pPr>
      <w:pageBreakBefore/>
      <w:spacing w:before="360" w:after="240"/>
      <w:jc w:val="center"/>
      <w:outlineLvl w:val="0"/>
    </w:pPr>
    <w:rPr>
      <w:b/>
      <w:bCs/>
      <w:color w:val="auto"/>
      <w:sz w:val="22"/>
      <w:szCs w:val="22"/>
      <w:lang w:val="en-GB"/>
    </w:rPr>
  </w:style>
  <w:style w:type="character" w:styleId="Marquedecommentaire">
    <w:name w:val="annotation reference"/>
    <w:basedOn w:val="Policepardfaut"/>
    <w:uiPriority w:val="99"/>
    <w:semiHidden/>
    <w:unhideWhenUsed/>
    <w:rsid w:val="006543DB"/>
    <w:rPr>
      <w:sz w:val="16"/>
      <w:szCs w:val="16"/>
    </w:rPr>
  </w:style>
  <w:style w:type="paragraph" w:styleId="Commentaire">
    <w:name w:val="annotation text"/>
    <w:basedOn w:val="Normal"/>
    <w:link w:val="CommentaireCar"/>
    <w:uiPriority w:val="99"/>
    <w:unhideWhenUsed/>
    <w:rsid w:val="006543DB"/>
    <w:rPr>
      <w:sz w:val="20"/>
      <w:szCs w:val="20"/>
    </w:rPr>
  </w:style>
  <w:style w:type="character" w:customStyle="1" w:styleId="CommentaireCar">
    <w:name w:val="Commentaire Car"/>
    <w:basedOn w:val="Policepardfaut"/>
    <w:link w:val="Commentaire"/>
    <w:uiPriority w:val="99"/>
    <w:rsid w:val="006543DB"/>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6543DB"/>
    <w:rPr>
      <w:b/>
      <w:bCs/>
    </w:rPr>
  </w:style>
  <w:style w:type="character" w:customStyle="1" w:styleId="ObjetducommentaireCar">
    <w:name w:val="Objet du commentaire Car"/>
    <w:basedOn w:val="CommentaireCar"/>
    <w:link w:val="Objetducommentaire"/>
    <w:uiPriority w:val="99"/>
    <w:semiHidden/>
    <w:rsid w:val="006543DB"/>
    <w:rPr>
      <w:rFonts w:ascii="Times New Roman" w:eastAsia="Times New Roman" w:hAnsi="Times New Roman"/>
      <w:b/>
      <w:bCs/>
    </w:rPr>
  </w:style>
  <w:style w:type="paragraph" w:styleId="Rvision">
    <w:name w:val="Revision"/>
    <w:hidden/>
    <w:uiPriority w:val="99"/>
    <w:semiHidden/>
    <w:rsid w:val="006543D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6520">
      <w:bodyDiv w:val="1"/>
      <w:marLeft w:val="0"/>
      <w:marRight w:val="0"/>
      <w:marTop w:val="0"/>
      <w:marBottom w:val="0"/>
      <w:divBdr>
        <w:top w:val="none" w:sz="0" w:space="0" w:color="auto"/>
        <w:left w:val="none" w:sz="0" w:space="0" w:color="auto"/>
        <w:bottom w:val="none" w:sz="0" w:space="0" w:color="auto"/>
        <w:right w:val="none" w:sz="0" w:space="0" w:color="auto"/>
      </w:divBdr>
    </w:div>
    <w:div w:id="355430408">
      <w:bodyDiv w:val="1"/>
      <w:marLeft w:val="0"/>
      <w:marRight w:val="0"/>
      <w:marTop w:val="0"/>
      <w:marBottom w:val="0"/>
      <w:divBdr>
        <w:top w:val="none" w:sz="0" w:space="0" w:color="auto"/>
        <w:left w:val="none" w:sz="0" w:space="0" w:color="auto"/>
        <w:bottom w:val="none" w:sz="0" w:space="0" w:color="auto"/>
        <w:right w:val="none" w:sz="0" w:space="0" w:color="auto"/>
      </w:divBdr>
    </w:div>
    <w:div w:id="70964841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71724586">
      <w:bodyDiv w:val="1"/>
      <w:marLeft w:val="0"/>
      <w:marRight w:val="0"/>
      <w:marTop w:val="0"/>
      <w:marBottom w:val="0"/>
      <w:divBdr>
        <w:top w:val="none" w:sz="0" w:space="0" w:color="auto"/>
        <w:left w:val="none" w:sz="0" w:space="0" w:color="auto"/>
        <w:bottom w:val="none" w:sz="0" w:space="0" w:color="auto"/>
        <w:right w:val="none" w:sz="0" w:space="0" w:color="auto"/>
      </w:divBdr>
    </w:div>
    <w:div w:id="905800681">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96907317">
      <w:bodyDiv w:val="1"/>
      <w:marLeft w:val="0"/>
      <w:marRight w:val="0"/>
      <w:marTop w:val="0"/>
      <w:marBottom w:val="0"/>
      <w:divBdr>
        <w:top w:val="none" w:sz="0" w:space="0" w:color="auto"/>
        <w:left w:val="none" w:sz="0" w:space="0" w:color="auto"/>
        <w:bottom w:val="none" w:sz="0" w:space="0" w:color="auto"/>
        <w:right w:val="none" w:sz="0" w:space="0" w:color="auto"/>
      </w:divBdr>
    </w:div>
    <w:div w:id="1160542001">
      <w:bodyDiv w:val="1"/>
      <w:marLeft w:val="0"/>
      <w:marRight w:val="0"/>
      <w:marTop w:val="0"/>
      <w:marBottom w:val="0"/>
      <w:divBdr>
        <w:top w:val="none" w:sz="0" w:space="0" w:color="auto"/>
        <w:left w:val="none" w:sz="0" w:space="0" w:color="auto"/>
        <w:bottom w:val="none" w:sz="0" w:space="0" w:color="auto"/>
        <w:right w:val="none" w:sz="0" w:space="0" w:color="auto"/>
      </w:divBdr>
    </w:div>
    <w:div w:id="1163010269">
      <w:bodyDiv w:val="1"/>
      <w:marLeft w:val="0"/>
      <w:marRight w:val="0"/>
      <w:marTop w:val="0"/>
      <w:marBottom w:val="0"/>
      <w:divBdr>
        <w:top w:val="none" w:sz="0" w:space="0" w:color="auto"/>
        <w:left w:val="none" w:sz="0" w:space="0" w:color="auto"/>
        <w:bottom w:val="none" w:sz="0" w:space="0" w:color="auto"/>
        <w:right w:val="none" w:sz="0" w:space="0" w:color="auto"/>
      </w:divBdr>
    </w:div>
    <w:div w:id="1202472175">
      <w:bodyDiv w:val="1"/>
      <w:marLeft w:val="0"/>
      <w:marRight w:val="0"/>
      <w:marTop w:val="0"/>
      <w:marBottom w:val="0"/>
      <w:divBdr>
        <w:top w:val="none" w:sz="0" w:space="0" w:color="auto"/>
        <w:left w:val="none" w:sz="0" w:space="0" w:color="auto"/>
        <w:bottom w:val="none" w:sz="0" w:space="0" w:color="auto"/>
        <w:right w:val="none" w:sz="0" w:space="0" w:color="auto"/>
      </w:divBdr>
    </w:div>
    <w:div w:id="129702475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77616623">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02543945">
      <w:bodyDiv w:val="1"/>
      <w:marLeft w:val="0"/>
      <w:marRight w:val="0"/>
      <w:marTop w:val="0"/>
      <w:marBottom w:val="0"/>
      <w:divBdr>
        <w:top w:val="none" w:sz="0" w:space="0" w:color="auto"/>
        <w:left w:val="none" w:sz="0" w:space="0" w:color="auto"/>
        <w:bottom w:val="none" w:sz="0" w:space="0" w:color="auto"/>
        <w:right w:val="none" w:sz="0" w:space="0" w:color="auto"/>
      </w:divBdr>
    </w:div>
    <w:div w:id="2006585816">
      <w:bodyDiv w:val="1"/>
      <w:marLeft w:val="0"/>
      <w:marRight w:val="0"/>
      <w:marTop w:val="0"/>
      <w:marBottom w:val="0"/>
      <w:divBdr>
        <w:top w:val="none" w:sz="0" w:space="0" w:color="auto"/>
        <w:left w:val="none" w:sz="0" w:space="0" w:color="auto"/>
        <w:bottom w:val="none" w:sz="0" w:space="0" w:color="auto"/>
        <w:right w:val="none" w:sz="0" w:space="0" w:color="auto"/>
      </w:divBdr>
    </w:div>
    <w:div w:id="2117285633">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19-14.COM-INF.7-EN.docx" TargetMode="External"/><Relationship Id="rId13" Type="http://schemas.openxmlformats.org/officeDocument/2006/relationships/hyperlink" Target="https://ich.unesco.org/en/Decisions/7.GA/8" TargetMode="External"/><Relationship Id="rId18" Type="http://schemas.openxmlformats.org/officeDocument/2006/relationships/hyperlink" Target="https://ich.unesco.org/doc/src/LHE-19-14.COM_2.BUR-Decisions-EN.docx" TargetMode="External"/><Relationship Id="rId26" Type="http://schemas.openxmlformats.org/officeDocument/2006/relationships/hyperlink" Target="https://ich.unesco.org/en/Decisions/8.COM/11" TargetMode="External"/><Relationship Id="rId39"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ich.unesco.org/en/Decisions/8.COM/7.c" TargetMode="External"/><Relationship Id="rId34" Type="http://schemas.openxmlformats.org/officeDocument/2006/relationships/header" Target="header3.xml"/><Relationship Id="rId42" Type="http://schemas.openxmlformats.org/officeDocument/2006/relationships/image" Target="media/image7.e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doc/src/LHE-19-14.COM-6-EN.docx" TargetMode="External"/><Relationship Id="rId17" Type="http://schemas.openxmlformats.org/officeDocument/2006/relationships/hyperlink" Target="https://ich.unesco.org/doc/src/LHE-19-14.COM_1.BUR-Decisions-EN.docx" TargetMode="External"/><Relationship Id="rId25" Type="http://schemas.openxmlformats.org/officeDocument/2006/relationships/hyperlink" Target="https://ich.unesco.org/doc/src/IOS-AUD-2013-06-EN.pdf" TargetMode="External"/><Relationship Id="rId33" Type="http://schemas.openxmlformats.org/officeDocument/2006/relationships/footer" Target="footer2.xml"/><Relationship Id="rId38" Type="http://schemas.openxmlformats.org/officeDocument/2006/relationships/image" Target="media/image4.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LHE-19-14.COM_2.BUR-Decisions-EN.docx" TargetMode="External"/><Relationship Id="rId20" Type="http://schemas.openxmlformats.org/officeDocument/2006/relationships/hyperlink" Target="https://ich.unesco.org/doc/src/ITH-18-13.COM_2.BUR-Decisions_Rev.-EN.docx" TargetMode="External"/><Relationship Id="rId29" Type="http://schemas.openxmlformats.org/officeDocument/2006/relationships/hyperlink" Target="https://ich.unesco.org/en/donors"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Resolutions/3.GA/9" TargetMode="External"/><Relationship Id="rId24" Type="http://schemas.openxmlformats.org/officeDocument/2006/relationships/hyperlink" Target="https://ich.unesco.org/doc/src/LHE-19-14.COM-5.b-EN.docx" TargetMode="External"/><Relationship Id="rId32" Type="http://schemas.openxmlformats.org/officeDocument/2006/relationships/footer" Target="footer1.xml"/><Relationship Id="rId37" Type="http://schemas.openxmlformats.org/officeDocument/2006/relationships/image" Target="media/image3.emf"/><Relationship Id="rId40" Type="http://schemas.openxmlformats.org/officeDocument/2006/relationships/image" Target="media/image6.emf"/><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ch.unesco.org/en/Decisions/13.COM/10.d" TargetMode="External"/><Relationship Id="rId23" Type="http://schemas.openxmlformats.org/officeDocument/2006/relationships/hyperlink" Target="https://ich.unesco.org/doc/src/ITH-18-13.COM_2.BUR-Decisions_Rev.-EN.docx" TargetMode="External"/><Relationship Id="rId28" Type="http://schemas.openxmlformats.org/officeDocument/2006/relationships/hyperlink" Target="https://ich.unesco.org/doc/src/LHE-19-14.COM-6-EN.docx" TargetMode="External"/><Relationship Id="rId36" Type="http://schemas.openxmlformats.org/officeDocument/2006/relationships/image" Target="media/image2.emf"/><Relationship Id="rId10" Type="http://schemas.openxmlformats.org/officeDocument/2006/relationships/hyperlink" Target="https://ich.unesco.org/doc/src/00192-EN-PDF.pdf" TargetMode="External"/><Relationship Id="rId19" Type="http://schemas.openxmlformats.org/officeDocument/2006/relationships/hyperlink" Target="https://ich.unesco.org/en/Decisions/7.GA/8" TargetMode="External"/><Relationship Id="rId31" Type="http://schemas.openxmlformats.org/officeDocument/2006/relationships/header" Target="header2.xm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ich.unesco.org/en/Decisions/7.GA/8" TargetMode="External"/><Relationship Id="rId14" Type="http://schemas.openxmlformats.org/officeDocument/2006/relationships/hyperlink" Target="https://ich.unesco.org/doc/src/ITH-18-13.COM_1.BUR-Decisions-EN.docx" TargetMode="External"/><Relationship Id="rId22" Type="http://schemas.openxmlformats.org/officeDocument/2006/relationships/hyperlink" Target="https://ich.unesco.org/en/Decisions/12.COM/7" TargetMode="External"/><Relationship Id="rId27" Type="http://schemas.openxmlformats.org/officeDocument/2006/relationships/hyperlink" Target="https://ich.unesco.org/en/Decisions/8.COM/11"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image" Target="media/image8.emf"/><Relationship Id="rId48"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A0F7B-660D-4285-BC0E-82573120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2057</Words>
  <Characters>11317</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19</cp:revision>
  <cp:lastPrinted>2019-11-07T15:58:00Z</cp:lastPrinted>
  <dcterms:created xsi:type="dcterms:W3CDTF">2019-11-08T18:04:00Z</dcterms:created>
  <dcterms:modified xsi:type="dcterms:W3CDTF">2019-11-08T21:19:00Z</dcterms:modified>
</cp:coreProperties>
</file>