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496598" w14:textId="77777777" w:rsidR="00CC6111" w:rsidRPr="00A61C6E" w:rsidRDefault="00CC6111" w:rsidP="00CC6111">
      <w:pPr>
        <w:spacing w:before="1440"/>
        <w:jc w:val="center"/>
        <w:rPr>
          <w:rFonts w:ascii="Arial" w:hAnsi="Arial" w:cs="Arial"/>
          <w:b/>
          <w:sz w:val="22"/>
          <w:szCs w:val="22"/>
        </w:rPr>
      </w:pPr>
      <w:r w:rsidRPr="00A61C6E">
        <w:rPr>
          <w:rFonts w:ascii="Arial" w:hAnsi="Arial" w:cs="Arial"/>
          <w:b/>
          <w:sz w:val="22"/>
          <w:szCs w:val="22"/>
        </w:rPr>
        <w:t>CONVENTION POUR LA SAUVEGARDE DU</w:t>
      </w:r>
      <w:r w:rsidRPr="00A61C6E">
        <w:rPr>
          <w:rFonts w:ascii="Arial" w:hAnsi="Arial" w:cs="Arial"/>
          <w:b/>
          <w:sz w:val="22"/>
          <w:szCs w:val="22"/>
        </w:rPr>
        <w:br/>
        <w:t>PATRIMOINE CULTUREL IMMATÉRIEL</w:t>
      </w:r>
    </w:p>
    <w:p w14:paraId="08CB646B" w14:textId="77777777" w:rsidR="00CC6111" w:rsidRPr="00A61C6E" w:rsidRDefault="00CC6111" w:rsidP="00CC6111">
      <w:pPr>
        <w:spacing w:before="1200"/>
        <w:jc w:val="center"/>
        <w:rPr>
          <w:rFonts w:ascii="Arial" w:hAnsi="Arial" w:cs="Arial"/>
          <w:b/>
          <w:sz w:val="22"/>
          <w:szCs w:val="22"/>
        </w:rPr>
      </w:pPr>
      <w:r w:rsidRPr="00A61C6E">
        <w:rPr>
          <w:rFonts w:ascii="Arial" w:hAnsi="Arial" w:cs="Arial"/>
          <w:b/>
          <w:sz w:val="22"/>
          <w:szCs w:val="22"/>
        </w:rPr>
        <w:t>COMITÉ INTERGOUVERNEMENTAL DE SAUVEGARDE</w:t>
      </w:r>
      <w:r w:rsidRPr="00A61C6E">
        <w:rPr>
          <w:rFonts w:ascii="Arial" w:hAnsi="Arial" w:cs="Arial"/>
          <w:b/>
          <w:sz w:val="22"/>
          <w:szCs w:val="22"/>
        </w:rPr>
        <w:br/>
        <w:t>DU PATRIMOINE CULTUREL IMMATÉRIEL</w:t>
      </w:r>
    </w:p>
    <w:p w14:paraId="7DD81B6F" w14:textId="77777777" w:rsidR="00CC6111" w:rsidRPr="00B43974" w:rsidRDefault="00CC6111" w:rsidP="00CC6111">
      <w:pPr>
        <w:spacing w:before="840"/>
        <w:jc w:val="center"/>
        <w:rPr>
          <w:rFonts w:ascii="Arial" w:hAnsi="Arial" w:cs="Arial"/>
          <w:b/>
          <w:sz w:val="22"/>
          <w:szCs w:val="22"/>
        </w:rPr>
      </w:pPr>
      <w:r>
        <w:rPr>
          <w:rFonts w:ascii="Arial" w:hAnsi="Arial" w:cs="Arial"/>
          <w:b/>
          <w:sz w:val="22"/>
          <w:szCs w:val="22"/>
        </w:rPr>
        <w:t>Quatorz</w:t>
      </w:r>
      <w:r w:rsidRPr="00996303">
        <w:rPr>
          <w:rFonts w:ascii="Arial" w:hAnsi="Arial" w:cs="Arial"/>
          <w:b/>
          <w:sz w:val="22"/>
          <w:szCs w:val="22"/>
        </w:rPr>
        <w:t>ième</w:t>
      </w:r>
      <w:r>
        <w:rPr>
          <w:rFonts w:ascii="Arial" w:eastAsiaTheme="minorEastAsia" w:hAnsi="Arial" w:cs="Arial" w:hint="eastAsia"/>
          <w:b/>
          <w:sz w:val="22"/>
          <w:szCs w:val="22"/>
          <w:lang w:eastAsia="ko-KR"/>
        </w:rPr>
        <w:t xml:space="preserve"> </w:t>
      </w:r>
      <w:r w:rsidRPr="00B43974">
        <w:rPr>
          <w:rFonts w:ascii="Arial" w:hAnsi="Arial" w:cs="Arial"/>
          <w:b/>
          <w:sz w:val="22"/>
          <w:szCs w:val="22"/>
        </w:rPr>
        <w:t>session</w:t>
      </w:r>
    </w:p>
    <w:p w14:paraId="66A164DD" w14:textId="77777777" w:rsidR="00CC6111" w:rsidRPr="00A61C6E" w:rsidRDefault="00CC6111" w:rsidP="00CC6111">
      <w:pPr>
        <w:jc w:val="center"/>
        <w:rPr>
          <w:rFonts w:ascii="Arial" w:hAnsi="Arial" w:cs="Arial"/>
          <w:b/>
          <w:sz w:val="22"/>
          <w:szCs w:val="22"/>
        </w:rPr>
      </w:pPr>
      <w:r w:rsidRPr="008F09EC">
        <w:rPr>
          <w:rFonts w:ascii="Arial" w:hAnsi="Arial" w:cs="Arial"/>
          <w:b/>
          <w:sz w:val="22"/>
          <w:szCs w:val="22"/>
        </w:rPr>
        <w:t>Bogotá</w:t>
      </w:r>
      <w:r>
        <w:rPr>
          <w:rFonts w:ascii="Arial" w:eastAsiaTheme="minorEastAsia" w:hAnsi="Arial" w:cs="Arial" w:hint="eastAsia"/>
          <w:b/>
          <w:sz w:val="22"/>
          <w:szCs w:val="22"/>
          <w:lang w:eastAsia="ko-KR"/>
        </w:rPr>
        <w:t>,</w:t>
      </w:r>
      <w:r>
        <w:rPr>
          <w:rFonts w:ascii="Arial" w:hAnsi="Arial" w:cs="Arial"/>
          <w:b/>
          <w:sz w:val="22"/>
          <w:szCs w:val="22"/>
        </w:rPr>
        <w:t xml:space="preserve"> République de Colombie</w:t>
      </w:r>
    </w:p>
    <w:p w14:paraId="58A74FB8" w14:textId="77777777" w:rsidR="00CC6111" w:rsidRPr="00495C25" w:rsidRDefault="00CC6111" w:rsidP="00CC6111">
      <w:pPr>
        <w:jc w:val="center"/>
        <w:rPr>
          <w:rFonts w:ascii="Arial" w:eastAsiaTheme="minorEastAsia" w:hAnsi="Arial" w:cs="Arial"/>
          <w:b/>
          <w:sz w:val="22"/>
          <w:szCs w:val="22"/>
          <w:lang w:eastAsia="ko-KR"/>
        </w:rPr>
      </w:pPr>
      <w:r>
        <w:rPr>
          <w:rFonts w:ascii="Arial" w:eastAsiaTheme="minorEastAsia" w:hAnsi="Arial" w:cs="Arial"/>
          <w:b/>
          <w:sz w:val="22"/>
          <w:szCs w:val="22"/>
          <w:lang w:eastAsia="ko-KR"/>
        </w:rPr>
        <w:t xml:space="preserve">9 </w:t>
      </w:r>
      <w:r w:rsidRPr="00A61C6E">
        <w:rPr>
          <w:rFonts w:ascii="Arial" w:hAnsi="Arial" w:cs="Arial"/>
          <w:b/>
          <w:sz w:val="22"/>
          <w:szCs w:val="22"/>
        </w:rPr>
        <w:t xml:space="preserve">– </w:t>
      </w:r>
      <w:r>
        <w:rPr>
          <w:rFonts w:ascii="Arial" w:eastAsiaTheme="minorEastAsia" w:hAnsi="Arial" w:cs="Arial"/>
          <w:b/>
          <w:sz w:val="22"/>
          <w:szCs w:val="22"/>
          <w:lang w:eastAsia="ko-KR"/>
        </w:rPr>
        <w:t xml:space="preserve">14 </w:t>
      </w:r>
      <w:r>
        <w:rPr>
          <w:rFonts w:ascii="Arial" w:hAnsi="Arial" w:cs="Arial"/>
          <w:b/>
          <w:sz w:val="22"/>
          <w:szCs w:val="22"/>
        </w:rPr>
        <w:t>décembre 201</w:t>
      </w:r>
      <w:r>
        <w:rPr>
          <w:rFonts w:ascii="Arial" w:eastAsiaTheme="minorEastAsia" w:hAnsi="Arial" w:cs="Arial"/>
          <w:b/>
          <w:sz w:val="22"/>
          <w:szCs w:val="22"/>
          <w:lang w:eastAsia="ko-KR"/>
        </w:rPr>
        <w:t>9</w:t>
      </w:r>
    </w:p>
    <w:p w14:paraId="25AA3317" w14:textId="77777777" w:rsidR="00CC6111" w:rsidRPr="00177531" w:rsidRDefault="00CC6111" w:rsidP="00CC6111">
      <w:pPr>
        <w:spacing w:before="1200"/>
        <w:jc w:val="center"/>
        <w:rPr>
          <w:rFonts w:ascii="Arial" w:hAnsi="Arial" w:cs="Arial"/>
          <w:b/>
          <w:sz w:val="28"/>
          <w:szCs w:val="28"/>
        </w:rPr>
      </w:pPr>
      <w:r w:rsidRPr="00177531">
        <w:rPr>
          <w:rFonts w:ascii="Arial" w:hAnsi="Arial" w:cs="Arial"/>
          <w:b/>
          <w:sz w:val="28"/>
          <w:szCs w:val="28"/>
          <w:u w:val="single"/>
        </w:rPr>
        <w:t>DÉCISIONS</w:t>
      </w:r>
    </w:p>
    <w:p w14:paraId="0D76CCC1" w14:textId="77777777" w:rsidR="005158FF" w:rsidRPr="00FD624F" w:rsidRDefault="00BC3420" w:rsidP="00BD77A3">
      <w:pPr>
        <w:pStyle w:val="COMTitleDecision"/>
        <w:keepLines/>
        <w:spacing w:before="360" w:after="240"/>
        <w:ind w:left="0"/>
        <w:rPr>
          <w:rFonts w:eastAsia="SimSun"/>
        </w:rPr>
      </w:pPr>
      <w:r w:rsidRPr="00022428">
        <w:br w:type="page"/>
      </w:r>
      <w:r w:rsidR="005158FF">
        <w:lastRenderedPageBreak/>
        <w:t>DÉCISION 1</w:t>
      </w:r>
      <w:r w:rsidR="00877EB6">
        <w:t>4</w:t>
      </w:r>
      <w:r w:rsidR="005158FF">
        <w:t>.COM 2</w:t>
      </w:r>
    </w:p>
    <w:p w14:paraId="2199C1F6" w14:textId="77777777" w:rsidR="00877EB6" w:rsidRDefault="005158FF" w:rsidP="00877EB6">
      <w:pPr>
        <w:pStyle w:val="COMPreambulaDecisions"/>
        <w:ind w:hanging="567"/>
      </w:pPr>
      <w:r>
        <w:t>Le Comité,</w:t>
      </w:r>
    </w:p>
    <w:p w14:paraId="22B2B689" w14:textId="77777777" w:rsidR="00877EB6" w:rsidRPr="00877EB6" w:rsidRDefault="00877EB6" w:rsidP="00771F30">
      <w:pPr>
        <w:numPr>
          <w:ilvl w:val="0"/>
          <w:numId w:val="9"/>
        </w:numPr>
        <w:autoSpaceDE w:val="0"/>
        <w:autoSpaceDN w:val="0"/>
        <w:adjustRightInd w:val="0"/>
        <w:spacing w:after="120"/>
        <w:ind w:left="567" w:hanging="567"/>
        <w:jc w:val="both"/>
        <w:rPr>
          <w:rFonts w:ascii="Arial" w:eastAsia="SimSun" w:hAnsi="Arial" w:cs="Arial"/>
          <w:sz w:val="22"/>
          <w:szCs w:val="22"/>
        </w:rPr>
      </w:pPr>
      <w:r w:rsidRPr="00877EB6">
        <w:rPr>
          <w:rFonts w:ascii="Arial" w:eastAsia="SimSun" w:hAnsi="Arial" w:cs="Arial"/>
          <w:sz w:val="22"/>
          <w:szCs w:val="22"/>
          <w:u w:val="single"/>
        </w:rPr>
        <w:t>Ayant examiné</w:t>
      </w:r>
      <w:r w:rsidRPr="00877EB6">
        <w:rPr>
          <w:rFonts w:ascii="Arial" w:eastAsia="SimSun" w:hAnsi="Arial" w:cs="Arial"/>
          <w:sz w:val="22"/>
          <w:szCs w:val="22"/>
        </w:rPr>
        <w:t xml:space="preserve"> le document </w:t>
      </w:r>
      <w:hyperlink r:id="rId8" w:history="1">
        <w:r w:rsidRPr="00CC49DA">
          <w:rPr>
            <w:rStyle w:val="Hyperlink"/>
            <w:rFonts w:ascii="Arial" w:eastAsia="SimSun" w:hAnsi="Arial" w:cs="Arial"/>
            <w:sz w:val="22"/>
            <w:szCs w:val="22"/>
          </w:rPr>
          <w:t>LHE/19/14.COM/2 Rev</w:t>
        </w:r>
        <w:r w:rsidR="00CC49DA" w:rsidRPr="00CC49DA">
          <w:rPr>
            <w:rStyle w:val="Hyperlink"/>
            <w:rFonts w:ascii="Arial" w:eastAsia="SimSun" w:hAnsi="Arial" w:cs="Arial"/>
            <w:sz w:val="22"/>
            <w:szCs w:val="22"/>
          </w:rPr>
          <w:t>.</w:t>
        </w:r>
      </w:hyperlink>
      <w:r w:rsidR="00CC49DA" w:rsidRPr="00A400B1">
        <w:rPr>
          <w:rStyle w:val="Hyperlink"/>
          <w:rFonts w:ascii="Arial" w:eastAsia="SimSun" w:hAnsi="Arial" w:cs="Arial"/>
          <w:color w:val="auto"/>
          <w:sz w:val="22"/>
          <w:szCs w:val="22"/>
          <w:u w:val="none"/>
        </w:rPr>
        <w:t>,</w:t>
      </w:r>
    </w:p>
    <w:p w14:paraId="3D117A24" w14:textId="67BE4DE6" w:rsidR="00877EB6" w:rsidRPr="00902DED" w:rsidRDefault="00877EB6" w:rsidP="00771F30">
      <w:pPr>
        <w:numPr>
          <w:ilvl w:val="0"/>
          <w:numId w:val="9"/>
        </w:numPr>
        <w:autoSpaceDE w:val="0"/>
        <w:autoSpaceDN w:val="0"/>
        <w:adjustRightInd w:val="0"/>
        <w:spacing w:after="120"/>
        <w:ind w:left="567" w:hanging="567"/>
        <w:jc w:val="both"/>
        <w:rPr>
          <w:rFonts w:ascii="Arial" w:eastAsia="SimSun" w:hAnsi="Arial" w:cs="Arial"/>
          <w:sz w:val="22"/>
          <w:szCs w:val="22"/>
          <w:u w:val="single"/>
        </w:rPr>
      </w:pPr>
      <w:r w:rsidRPr="00877EB6">
        <w:rPr>
          <w:rFonts w:ascii="Arial" w:eastAsia="SimSun" w:hAnsi="Arial" w:cs="Arial"/>
          <w:sz w:val="22"/>
          <w:szCs w:val="22"/>
          <w:u w:val="single"/>
        </w:rPr>
        <w:t>Adopte</w:t>
      </w:r>
      <w:r w:rsidRPr="00877EB6">
        <w:rPr>
          <w:rFonts w:ascii="Arial" w:eastAsia="SimSun" w:hAnsi="Arial" w:cs="Arial"/>
          <w:sz w:val="22"/>
          <w:szCs w:val="22"/>
        </w:rPr>
        <w:t xml:space="preserve"> l</w:t>
      </w:r>
      <w:r w:rsidR="009C104E">
        <w:rPr>
          <w:rFonts w:ascii="Arial" w:eastAsia="SimSun" w:hAnsi="Arial" w:cs="Arial"/>
          <w:sz w:val="22"/>
          <w:szCs w:val="22"/>
        </w:rPr>
        <w:t>’</w:t>
      </w:r>
      <w:r w:rsidRPr="00877EB6">
        <w:rPr>
          <w:rFonts w:ascii="Arial" w:eastAsia="SimSun" w:hAnsi="Arial" w:cs="Arial"/>
          <w:sz w:val="22"/>
          <w:szCs w:val="22"/>
        </w:rPr>
        <w:t>ordre du jour de sa quatorzième session (Bogot</w:t>
      </w:r>
      <w:r w:rsidRPr="00877EB6">
        <w:rPr>
          <w:rFonts w:ascii="Arial" w:eastAsia="SimSun" w:hAnsi="Arial" w:cs="Arial"/>
          <w:bCs/>
          <w:sz w:val="22"/>
          <w:szCs w:val="22"/>
        </w:rPr>
        <w:t>á</w:t>
      </w:r>
      <w:r w:rsidRPr="00877EB6">
        <w:rPr>
          <w:rFonts w:ascii="Arial" w:eastAsia="SimSun" w:hAnsi="Arial" w:cs="Arial"/>
          <w:sz w:val="22"/>
          <w:szCs w:val="22"/>
        </w:rPr>
        <w:t>, République de Colombie, du 9 au 14 décembre 2019) tel que figurant ci-dessous :</w:t>
      </w:r>
    </w:p>
    <w:p w14:paraId="62877EC8" w14:textId="77777777" w:rsidR="00902DED" w:rsidRPr="00A55D46" w:rsidRDefault="00902DED" w:rsidP="00A55D46">
      <w:pPr>
        <w:autoSpaceDE w:val="0"/>
        <w:autoSpaceDN w:val="0"/>
        <w:adjustRightInd w:val="0"/>
        <w:spacing w:before="360" w:after="240"/>
        <w:ind w:left="1134" w:hanging="567"/>
        <w:jc w:val="both"/>
        <w:rPr>
          <w:rFonts w:ascii="Arial" w:eastAsia="SimSun" w:hAnsi="Arial" w:cs="Arial"/>
          <w:b/>
          <w:sz w:val="22"/>
          <w:szCs w:val="22"/>
        </w:rPr>
      </w:pPr>
      <w:r w:rsidRPr="00A55D46">
        <w:rPr>
          <w:rFonts w:ascii="Arial" w:eastAsia="SimSun" w:hAnsi="Arial" w:cs="Arial"/>
          <w:b/>
          <w:sz w:val="22"/>
          <w:szCs w:val="22"/>
        </w:rPr>
        <w:t>Ordre du jour</w:t>
      </w:r>
    </w:p>
    <w:p w14:paraId="0317B858" w14:textId="77777777" w:rsidR="00902DED" w:rsidRPr="00902DED" w:rsidRDefault="00902DED" w:rsidP="00A55D46">
      <w:pPr>
        <w:autoSpaceDE w:val="0"/>
        <w:autoSpaceDN w:val="0"/>
        <w:adjustRightInd w:val="0"/>
        <w:spacing w:after="120"/>
        <w:ind w:left="1134" w:hanging="567"/>
        <w:jc w:val="both"/>
        <w:rPr>
          <w:rFonts w:ascii="Arial" w:eastAsia="SimSun" w:hAnsi="Arial" w:cs="Arial"/>
          <w:sz w:val="22"/>
          <w:szCs w:val="22"/>
        </w:rPr>
      </w:pPr>
      <w:r w:rsidRPr="00902DED">
        <w:rPr>
          <w:rFonts w:ascii="Arial" w:eastAsia="SimSun" w:hAnsi="Arial" w:cs="Arial"/>
          <w:sz w:val="22"/>
          <w:szCs w:val="22"/>
        </w:rPr>
        <w:t>1.</w:t>
      </w:r>
      <w:r w:rsidRPr="00902DED">
        <w:rPr>
          <w:rFonts w:ascii="Arial" w:eastAsia="SimSun" w:hAnsi="Arial" w:cs="Arial"/>
          <w:sz w:val="22"/>
          <w:szCs w:val="22"/>
        </w:rPr>
        <w:tab/>
        <w:t>Ouverture</w:t>
      </w:r>
    </w:p>
    <w:p w14:paraId="4007BAD8" w14:textId="6A2538E0" w:rsidR="00902DED" w:rsidRPr="00902DED" w:rsidRDefault="00902DED" w:rsidP="00A55D46">
      <w:pPr>
        <w:autoSpaceDE w:val="0"/>
        <w:autoSpaceDN w:val="0"/>
        <w:adjustRightInd w:val="0"/>
        <w:spacing w:after="120"/>
        <w:ind w:left="1134" w:hanging="567"/>
        <w:jc w:val="both"/>
        <w:rPr>
          <w:rFonts w:ascii="Arial" w:eastAsia="SimSun" w:hAnsi="Arial" w:cs="Arial"/>
          <w:sz w:val="22"/>
          <w:szCs w:val="22"/>
        </w:rPr>
      </w:pPr>
      <w:r w:rsidRPr="00902DED">
        <w:rPr>
          <w:rFonts w:ascii="Arial" w:eastAsia="SimSun" w:hAnsi="Arial" w:cs="Arial"/>
          <w:sz w:val="22"/>
          <w:szCs w:val="22"/>
        </w:rPr>
        <w:t>2.</w:t>
      </w:r>
      <w:r w:rsidRPr="00902DED">
        <w:rPr>
          <w:rFonts w:ascii="Arial" w:eastAsia="SimSun" w:hAnsi="Arial" w:cs="Arial"/>
          <w:sz w:val="22"/>
          <w:szCs w:val="22"/>
        </w:rPr>
        <w:tab/>
        <w:t>Adoption de l</w:t>
      </w:r>
      <w:r w:rsidR="009C104E">
        <w:rPr>
          <w:rFonts w:ascii="Arial" w:eastAsia="SimSun" w:hAnsi="Arial" w:cs="Arial"/>
          <w:sz w:val="22"/>
          <w:szCs w:val="22"/>
        </w:rPr>
        <w:t>’</w:t>
      </w:r>
      <w:r w:rsidRPr="00902DED">
        <w:rPr>
          <w:rFonts w:ascii="Arial" w:eastAsia="SimSun" w:hAnsi="Arial" w:cs="Arial"/>
          <w:sz w:val="22"/>
          <w:szCs w:val="22"/>
        </w:rPr>
        <w:t>ordre du jour</w:t>
      </w:r>
    </w:p>
    <w:p w14:paraId="0397D720" w14:textId="77777777" w:rsidR="00902DED" w:rsidRPr="00902DED" w:rsidRDefault="00902DED" w:rsidP="00A55D46">
      <w:pPr>
        <w:autoSpaceDE w:val="0"/>
        <w:autoSpaceDN w:val="0"/>
        <w:adjustRightInd w:val="0"/>
        <w:spacing w:after="120"/>
        <w:ind w:left="1134" w:hanging="567"/>
        <w:jc w:val="both"/>
        <w:rPr>
          <w:rFonts w:ascii="Arial" w:eastAsia="SimSun" w:hAnsi="Arial" w:cs="Arial"/>
          <w:sz w:val="22"/>
          <w:szCs w:val="22"/>
        </w:rPr>
      </w:pPr>
      <w:r w:rsidRPr="00902DED">
        <w:rPr>
          <w:rFonts w:ascii="Arial" w:eastAsia="SimSun" w:hAnsi="Arial" w:cs="Arial"/>
          <w:sz w:val="22"/>
          <w:szCs w:val="22"/>
        </w:rPr>
        <w:t>3.</w:t>
      </w:r>
      <w:r w:rsidRPr="00902DED">
        <w:rPr>
          <w:rFonts w:ascii="Arial" w:eastAsia="SimSun" w:hAnsi="Arial" w:cs="Arial"/>
          <w:sz w:val="22"/>
          <w:szCs w:val="22"/>
        </w:rPr>
        <w:tab/>
        <w:t>Observateurs</w:t>
      </w:r>
    </w:p>
    <w:p w14:paraId="7324AB42" w14:textId="77777777" w:rsidR="00902DED" w:rsidRPr="00902DED" w:rsidRDefault="00902DED" w:rsidP="00A55D46">
      <w:pPr>
        <w:autoSpaceDE w:val="0"/>
        <w:autoSpaceDN w:val="0"/>
        <w:adjustRightInd w:val="0"/>
        <w:spacing w:after="120"/>
        <w:ind w:left="1134" w:hanging="567"/>
        <w:jc w:val="both"/>
        <w:rPr>
          <w:rFonts w:ascii="Arial" w:eastAsia="SimSun" w:hAnsi="Arial" w:cs="Arial"/>
          <w:sz w:val="22"/>
          <w:szCs w:val="22"/>
        </w:rPr>
      </w:pPr>
      <w:r w:rsidRPr="00902DED">
        <w:rPr>
          <w:rFonts w:ascii="Arial" w:eastAsia="SimSun" w:hAnsi="Arial" w:cs="Arial"/>
          <w:sz w:val="22"/>
          <w:szCs w:val="22"/>
        </w:rPr>
        <w:t>4.</w:t>
      </w:r>
      <w:r w:rsidRPr="00902DED">
        <w:rPr>
          <w:rFonts w:ascii="Arial" w:eastAsia="SimSun" w:hAnsi="Arial" w:cs="Arial"/>
          <w:sz w:val="22"/>
          <w:szCs w:val="22"/>
        </w:rPr>
        <w:tab/>
        <w:t>Adoption du compte-rendu de la treizième session du Comité</w:t>
      </w:r>
    </w:p>
    <w:p w14:paraId="60CAEB80" w14:textId="77777777" w:rsidR="00902DED" w:rsidRPr="00902DED" w:rsidRDefault="00902DED" w:rsidP="00A55D46">
      <w:pPr>
        <w:autoSpaceDE w:val="0"/>
        <w:autoSpaceDN w:val="0"/>
        <w:adjustRightInd w:val="0"/>
        <w:spacing w:after="120"/>
        <w:ind w:left="1134" w:hanging="567"/>
        <w:jc w:val="both"/>
        <w:rPr>
          <w:rFonts w:ascii="Arial" w:eastAsia="SimSun" w:hAnsi="Arial" w:cs="Arial"/>
          <w:sz w:val="22"/>
          <w:szCs w:val="22"/>
        </w:rPr>
      </w:pPr>
      <w:r w:rsidRPr="00902DED">
        <w:rPr>
          <w:rFonts w:ascii="Arial" w:eastAsia="SimSun" w:hAnsi="Arial" w:cs="Arial"/>
          <w:sz w:val="22"/>
          <w:szCs w:val="22"/>
        </w:rPr>
        <w:t>5.</w:t>
      </w:r>
      <w:r w:rsidRPr="00902DED">
        <w:rPr>
          <w:rFonts w:ascii="Arial" w:eastAsia="SimSun" w:hAnsi="Arial" w:cs="Arial"/>
          <w:sz w:val="22"/>
          <w:szCs w:val="22"/>
        </w:rPr>
        <w:tab/>
        <w:t>Rapports du Comité et du Secrétariat</w:t>
      </w:r>
    </w:p>
    <w:p w14:paraId="5CFD2C69" w14:textId="2809C070" w:rsidR="00902DED" w:rsidRPr="00902DED" w:rsidRDefault="00902DED" w:rsidP="00762657">
      <w:pPr>
        <w:autoSpaceDE w:val="0"/>
        <w:autoSpaceDN w:val="0"/>
        <w:adjustRightInd w:val="0"/>
        <w:spacing w:after="120"/>
        <w:ind w:left="1701" w:hanging="567"/>
        <w:jc w:val="both"/>
        <w:rPr>
          <w:rFonts w:ascii="Arial" w:eastAsia="SimSun" w:hAnsi="Arial" w:cs="Arial"/>
          <w:sz w:val="22"/>
          <w:szCs w:val="22"/>
        </w:rPr>
      </w:pPr>
      <w:r w:rsidRPr="00902DED">
        <w:rPr>
          <w:rFonts w:ascii="Arial" w:eastAsia="SimSun" w:hAnsi="Arial" w:cs="Arial"/>
          <w:sz w:val="22"/>
          <w:szCs w:val="22"/>
        </w:rPr>
        <w:t>a.</w:t>
      </w:r>
      <w:r w:rsidRPr="00902DED">
        <w:rPr>
          <w:rFonts w:ascii="Arial" w:eastAsia="SimSun" w:hAnsi="Arial" w:cs="Arial"/>
          <w:sz w:val="22"/>
          <w:szCs w:val="22"/>
        </w:rPr>
        <w:tab/>
        <w:t>Rapport du Comité à l</w:t>
      </w:r>
      <w:r w:rsidR="009C104E">
        <w:rPr>
          <w:rFonts w:ascii="Arial" w:eastAsia="SimSun" w:hAnsi="Arial" w:cs="Arial"/>
          <w:sz w:val="22"/>
          <w:szCs w:val="22"/>
        </w:rPr>
        <w:t>’</w:t>
      </w:r>
      <w:r w:rsidRPr="00902DED">
        <w:rPr>
          <w:rFonts w:ascii="Arial" w:eastAsia="SimSun" w:hAnsi="Arial" w:cs="Arial"/>
          <w:sz w:val="22"/>
          <w:szCs w:val="22"/>
        </w:rPr>
        <w:t>Assemblée générale sur ses activités</w:t>
      </w:r>
      <w:r w:rsidR="00A55D46">
        <w:rPr>
          <w:rFonts w:ascii="Arial" w:eastAsia="SimSun" w:hAnsi="Arial" w:cs="Arial"/>
          <w:sz w:val="22"/>
          <w:szCs w:val="22"/>
        </w:rPr>
        <w:t xml:space="preserve"> </w:t>
      </w:r>
      <w:r w:rsidRPr="00902DED">
        <w:rPr>
          <w:rFonts w:ascii="Arial" w:eastAsia="SimSun" w:hAnsi="Arial" w:cs="Arial"/>
          <w:sz w:val="22"/>
          <w:szCs w:val="22"/>
        </w:rPr>
        <w:t>(de janvier 2018 à décembre 2019)</w:t>
      </w:r>
    </w:p>
    <w:p w14:paraId="779DA550" w14:textId="77777777" w:rsidR="00902DED" w:rsidRPr="00902DED" w:rsidRDefault="00902DED" w:rsidP="00A55D46">
      <w:pPr>
        <w:autoSpaceDE w:val="0"/>
        <w:autoSpaceDN w:val="0"/>
        <w:adjustRightInd w:val="0"/>
        <w:spacing w:after="120"/>
        <w:ind w:left="1701" w:hanging="567"/>
        <w:jc w:val="both"/>
        <w:rPr>
          <w:rFonts w:ascii="Arial" w:eastAsia="SimSun" w:hAnsi="Arial" w:cs="Arial"/>
          <w:sz w:val="22"/>
          <w:szCs w:val="22"/>
        </w:rPr>
      </w:pPr>
      <w:r w:rsidRPr="00902DED">
        <w:rPr>
          <w:rFonts w:ascii="Arial" w:eastAsia="SimSun" w:hAnsi="Arial" w:cs="Arial"/>
          <w:sz w:val="22"/>
          <w:szCs w:val="22"/>
        </w:rPr>
        <w:t>b.</w:t>
      </w:r>
      <w:r w:rsidRPr="00902DED">
        <w:rPr>
          <w:rFonts w:ascii="Arial" w:eastAsia="SimSun" w:hAnsi="Arial" w:cs="Arial"/>
          <w:sz w:val="22"/>
          <w:szCs w:val="22"/>
        </w:rPr>
        <w:tab/>
        <w:t>Rapport du Secrétariat sur ses activités (de janvier 2018 à juin 2019)</w:t>
      </w:r>
    </w:p>
    <w:p w14:paraId="75DBE0DA" w14:textId="77777777" w:rsidR="00902DED" w:rsidRPr="00902DED" w:rsidRDefault="00902DED" w:rsidP="00A55D46">
      <w:pPr>
        <w:autoSpaceDE w:val="0"/>
        <w:autoSpaceDN w:val="0"/>
        <w:adjustRightInd w:val="0"/>
        <w:spacing w:after="120"/>
        <w:ind w:left="1134" w:hanging="567"/>
        <w:jc w:val="both"/>
        <w:rPr>
          <w:rFonts w:ascii="Arial" w:eastAsia="SimSun" w:hAnsi="Arial" w:cs="Arial"/>
          <w:sz w:val="22"/>
          <w:szCs w:val="22"/>
        </w:rPr>
      </w:pPr>
      <w:r w:rsidRPr="00902DED">
        <w:rPr>
          <w:rFonts w:ascii="Arial" w:eastAsia="SimSun" w:hAnsi="Arial" w:cs="Arial"/>
          <w:sz w:val="22"/>
          <w:szCs w:val="22"/>
        </w:rPr>
        <w:t>6.</w:t>
      </w:r>
      <w:r w:rsidRPr="00902DED">
        <w:rPr>
          <w:rFonts w:ascii="Arial" w:eastAsia="SimSun" w:hAnsi="Arial" w:cs="Arial"/>
          <w:sz w:val="22"/>
          <w:szCs w:val="22"/>
        </w:rPr>
        <w:tab/>
        <w:t>Fonds du patrimoine culturel immatériel : contributions volontaires supplémentaires et autres questions</w:t>
      </w:r>
    </w:p>
    <w:p w14:paraId="3BEAC9E9" w14:textId="1928411C" w:rsidR="00902DED" w:rsidRPr="00902DED" w:rsidRDefault="00902DED" w:rsidP="00762657">
      <w:pPr>
        <w:autoSpaceDE w:val="0"/>
        <w:autoSpaceDN w:val="0"/>
        <w:adjustRightInd w:val="0"/>
        <w:spacing w:after="120"/>
        <w:ind w:left="1134" w:hanging="567"/>
        <w:jc w:val="both"/>
        <w:rPr>
          <w:rFonts w:ascii="Arial" w:eastAsia="SimSun" w:hAnsi="Arial" w:cs="Arial"/>
          <w:sz w:val="22"/>
          <w:szCs w:val="22"/>
        </w:rPr>
      </w:pPr>
      <w:r w:rsidRPr="00902DED">
        <w:rPr>
          <w:rFonts w:ascii="Arial" w:eastAsia="SimSun" w:hAnsi="Arial" w:cs="Arial"/>
          <w:sz w:val="22"/>
          <w:szCs w:val="22"/>
        </w:rPr>
        <w:t>7.</w:t>
      </w:r>
      <w:r w:rsidRPr="00902DED">
        <w:rPr>
          <w:rFonts w:ascii="Arial" w:eastAsia="SimSun" w:hAnsi="Arial" w:cs="Arial"/>
          <w:sz w:val="22"/>
          <w:szCs w:val="22"/>
        </w:rPr>
        <w:tab/>
        <w:t>Projet de plan d</w:t>
      </w:r>
      <w:r w:rsidR="009C104E">
        <w:rPr>
          <w:rFonts w:ascii="Arial" w:eastAsia="SimSun" w:hAnsi="Arial" w:cs="Arial"/>
          <w:sz w:val="22"/>
          <w:szCs w:val="22"/>
        </w:rPr>
        <w:t>’</w:t>
      </w:r>
      <w:r w:rsidRPr="00902DED">
        <w:rPr>
          <w:rFonts w:ascii="Arial" w:eastAsia="SimSun" w:hAnsi="Arial" w:cs="Arial"/>
          <w:sz w:val="22"/>
          <w:szCs w:val="22"/>
        </w:rPr>
        <w:t>utilisation des ressources du Fonds du patrimoine culturel immatériel en 2020–2021</w:t>
      </w:r>
    </w:p>
    <w:p w14:paraId="3950CE81" w14:textId="77777777" w:rsidR="00902DED" w:rsidRPr="00902DED" w:rsidRDefault="00902DED" w:rsidP="00A55D46">
      <w:pPr>
        <w:autoSpaceDE w:val="0"/>
        <w:autoSpaceDN w:val="0"/>
        <w:adjustRightInd w:val="0"/>
        <w:spacing w:after="120"/>
        <w:ind w:left="1134" w:hanging="567"/>
        <w:jc w:val="both"/>
        <w:rPr>
          <w:rFonts w:ascii="Arial" w:eastAsia="SimSun" w:hAnsi="Arial" w:cs="Arial"/>
          <w:sz w:val="22"/>
          <w:szCs w:val="22"/>
        </w:rPr>
      </w:pPr>
      <w:r w:rsidRPr="00902DED">
        <w:rPr>
          <w:rFonts w:ascii="Arial" w:eastAsia="SimSun" w:hAnsi="Arial" w:cs="Arial"/>
          <w:sz w:val="22"/>
          <w:szCs w:val="22"/>
        </w:rPr>
        <w:t>8.</w:t>
      </w:r>
      <w:r w:rsidRPr="00902DED">
        <w:rPr>
          <w:rFonts w:ascii="Arial" w:eastAsia="SimSun" w:hAnsi="Arial" w:cs="Arial"/>
          <w:sz w:val="22"/>
          <w:szCs w:val="22"/>
        </w:rPr>
        <w:tab/>
        <w:t xml:space="preserve">Réforme du mécanisme des rapports périodiques </w:t>
      </w:r>
    </w:p>
    <w:p w14:paraId="6C0F030D" w14:textId="77777777" w:rsidR="00902DED" w:rsidRPr="00902DED" w:rsidRDefault="00902DED" w:rsidP="00A55D46">
      <w:pPr>
        <w:autoSpaceDE w:val="0"/>
        <w:autoSpaceDN w:val="0"/>
        <w:adjustRightInd w:val="0"/>
        <w:spacing w:after="120"/>
        <w:ind w:left="1134" w:hanging="567"/>
        <w:jc w:val="both"/>
        <w:rPr>
          <w:rFonts w:ascii="Arial" w:eastAsia="SimSun" w:hAnsi="Arial" w:cs="Arial"/>
          <w:sz w:val="22"/>
          <w:szCs w:val="22"/>
        </w:rPr>
      </w:pPr>
      <w:r w:rsidRPr="00902DED">
        <w:rPr>
          <w:rFonts w:ascii="Arial" w:eastAsia="SimSun" w:hAnsi="Arial" w:cs="Arial"/>
          <w:sz w:val="22"/>
          <w:szCs w:val="22"/>
        </w:rPr>
        <w:t>9.</w:t>
      </w:r>
      <w:r w:rsidRPr="00902DED">
        <w:rPr>
          <w:rFonts w:ascii="Arial" w:eastAsia="SimSun" w:hAnsi="Arial" w:cs="Arial"/>
          <w:sz w:val="22"/>
          <w:szCs w:val="22"/>
        </w:rPr>
        <w:tab/>
        <w:t>Rapports des États parties</w:t>
      </w:r>
    </w:p>
    <w:p w14:paraId="16F501E9" w14:textId="6B52DF32" w:rsidR="00902DED" w:rsidRPr="00902DED" w:rsidRDefault="00902DED" w:rsidP="00A55D46">
      <w:pPr>
        <w:autoSpaceDE w:val="0"/>
        <w:autoSpaceDN w:val="0"/>
        <w:adjustRightInd w:val="0"/>
        <w:spacing w:after="120"/>
        <w:ind w:left="1701" w:hanging="567"/>
        <w:jc w:val="both"/>
        <w:rPr>
          <w:rFonts w:ascii="Arial" w:eastAsia="SimSun" w:hAnsi="Arial" w:cs="Arial"/>
          <w:sz w:val="22"/>
          <w:szCs w:val="22"/>
        </w:rPr>
      </w:pPr>
      <w:r w:rsidRPr="00902DED">
        <w:rPr>
          <w:rFonts w:ascii="Arial" w:eastAsia="SimSun" w:hAnsi="Arial" w:cs="Arial"/>
          <w:sz w:val="22"/>
          <w:szCs w:val="22"/>
        </w:rPr>
        <w:t>a.</w:t>
      </w:r>
      <w:r w:rsidRPr="00902DED">
        <w:rPr>
          <w:rFonts w:ascii="Arial" w:eastAsia="SimSun" w:hAnsi="Arial" w:cs="Arial"/>
          <w:sz w:val="22"/>
          <w:szCs w:val="22"/>
        </w:rPr>
        <w:tab/>
        <w:t>Examen des rapports des États parties sur l</w:t>
      </w:r>
      <w:r w:rsidR="009C104E">
        <w:rPr>
          <w:rFonts w:ascii="Arial" w:eastAsia="SimSun" w:hAnsi="Arial" w:cs="Arial"/>
          <w:sz w:val="22"/>
          <w:szCs w:val="22"/>
        </w:rPr>
        <w:t>’</w:t>
      </w:r>
      <w:r w:rsidRPr="00902DED">
        <w:rPr>
          <w:rFonts w:ascii="Arial" w:eastAsia="SimSun" w:hAnsi="Arial" w:cs="Arial"/>
          <w:sz w:val="22"/>
          <w:szCs w:val="22"/>
        </w:rPr>
        <w:t>état actuel des éléments inscrits sur la Liste du patrimoine culturel immatériel nécessitant une sauvegarde urgente</w:t>
      </w:r>
    </w:p>
    <w:p w14:paraId="5057089B" w14:textId="5D7271F5" w:rsidR="00902DED" w:rsidRPr="00902DED" w:rsidRDefault="00902DED" w:rsidP="00A55D46">
      <w:pPr>
        <w:autoSpaceDE w:val="0"/>
        <w:autoSpaceDN w:val="0"/>
        <w:adjustRightInd w:val="0"/>
        <w:spacing w:after="120"/>
        <w:ind w:left="1701" w:hanging="567"/>
        <w:jc w:val="both"/>
        <w:rPr>
          <w:rFonts w:ascii="Arial" w:eastAsia="SimSun" w:hAnsi="Arial" w:cs="Arial"/>
          <w:sz w:val="22"/>
          <w:szCs w:val="22"/>
        </w:rPr>
      </w:pPr>
      <w:r w:rsidRPr="00902DED">
        <w:rPr>
          <w:rFonts w:ascii="Arial" w:eastAsia="SimSun" w:hAnsi="Arial" w:cs="Arial"/>
          <w:sz w:val="22"/>
          <w:szCs w:val="22"/>
        </w:rPr>
        <w:t>b.</w:t>
      </w:r>
      <w:r w:rsidRPr="00902DED">
        <w:rPr>
          <w:rFonts w:ascii="Arial" w:eastAsia="SimSun" w:hAnsi="Arial" w:cs="Arial"/>
          <w:sz w:val="22"/>
          <w:szCs w:val="22"/>
        </w:rPr>
        <w:tab/>
        <w:t>Rapports des États parties sur l</w:t>
      </w:r>
      <w:r w:rsidR="009C104E">
        <w:rPr>
          <w:rFonts w:ascii="Arial" w:eastAsia="SimSun" w:hAnsi="Arial" w:cs="Arial"/>
          <w:sz w:val="22"/>
          <w:szCs w:val="22"/>
        </w:rPr>
        <w:t>’</w:t>
      </w:r>
      <w:r w:rsidRPr="00902DED">
        <w:rPr>
          <w:rFonts w:ascii="Arial" w:eastAsia="SimSun" w:hAnsi="Arial" w:cs="Arial"/>
          <w:sz w:val="22"/>
          <w:szCs w:val="22"/>
        </w:rPr>
        <w:t>utilisation de l</w:t>
      </w:r>
      <w:r w:rsidR="009C104E">
        <w:rPr>
          <w:rFonts w:ascii="Arial" w:eastAsia="SimSun" w:hAnsi="Arial" w:cs="Arial"/>
          <w:sz w:val="22"/>
          <w:szCs w:val="22"/>
        </w:rPr>
        <w:t>’</w:t>
      </w:r>
      <w:r w:rsidRPr="00902DED">
        <w:rPr>
          <w:rFonts w:ascii="Arial" w:eastAsia="SimSun" w:hAnsi="Arial" w:cs="Arial"/>
          <w:sz w:val="22"/>
          <w:szCs w:val="22"/>
        </w:rPr>
        <w:t>assistance internationale du Fonds du patrimoine culturel immatériel</w:t>
      </w:r>
    </w:p>
    <w:p w14:paraId="35F20EA8" w14:textId="66106D3E" w:rsidR="00902DED" w:rsidRPr="00902DED" w:rsidRDefault="00902DED" w:rsidP="00A55D46">
      <w:pPr>
        <w:autoSpaceDE w:val="0"/>
        <w:autoSpaceDN w:val="0"/>
        <w:adjustRightInd w:val="0"/>
        <w:spacing w:after="120"/>
        <w:ind w:left="1134" w:hanging="567"/>
        <w:jc w:val="both"/>
        <w:rPr>
          <w:rFonts w:ascii="Arial" w:eastAsia="SimSun" w:hAnsi="Arial" w:cs="Arial"/>
          <w:sz w:val="22"/>
          <w:szCs w:val="22"/>
        </w:rPr>
      </w:pPr>
      <w:r w:rsidRPr="00902DED">
        <w:rPr>
          <w:rFonts w:ascii="Arial" w:eastAsia="SimSun" w:hAnsi="Arial" w:cs="Arial"/>
          <w:sz w:val="22"/>
          <w:szCs w:val="22"/>
        </w:rPr>
        <w:t>10.</w:t>
      </w:r>
      <w:r w:rsidRPr="00902DED">
        <w:rPr>
          <w:rFonts w:ascii="Arial" w:eastAsia="SimSun" w:hAnsi="Arial" w:cs="Arial"/>
          <w:sz w:val="22"/>
          <w:szCs w:val="22"/>
        </w:rPr>
        <w:tab/>
        <w:t>Rapport de l</w:t>
      </w:r>
      <w:r w:rsidR="009C104E">
        <w:rPr>
          <w:rFonts w:ascii="Arial" w:eastAsia="SimSun" w:hAnsi="Arial" w:cs="Arial"/>
          <w:sz w:val="22"/>
          <w:szCs w:val="22"/>
        </w:rPr>
        <w:t>’</w:t>
      </w:r>
      <w:r w:rsidRPr="00902DED">
        <w:rPr>
          <w:rFonts w:ascii="Arial" w:eastAsia="SimSun" w:hAnsi="Arial" w:cs="Arial"/>
          <w:sz w:val="22"/>
          <w:szCs w:val="22"/>
        </w:rPr>
        <w:t>Organe d</w:t>
      </w:r>
      <w:r w:rsidR="009C104E">
        <w:rPr>
          <w:rFonts w:ascii="Arial" w:eastAsia="SimSun" w:hAnsi="Arial" w:cs="Arial"/>
          <w:sz w:val="22"/>
          <w:szCs w:val="22"/>
        </w:rPr>
        <w:t>’</w:t>
      </w:r>
      <w:r w:rsidRPr="00902DED">
        <w:rPr>
          <w:rFonts w:ascii="Arial" w:eastAsia="SimSun" w:hAnsi="Arial" w:cs="Arial"/>
          <w:sz w:val="22"/>
          <w:szCs w:val="22"/>
        </w:rPr>
        <w:t>évaluation sur ses travaux en 2019</w:t>
      </w:r>
    </w:p>
    <w:p w14:paraId="22290F89" w14:textId="77777777" w:rsidR="00902DED" w:rsidRPr="00902DED" w:rsidRDefault="00902DED" w:rsidP="00A55D46">
      <w:pPr>
        <w:autoSpaceDE w:val="0"/>
        <w:autoSpaceDN w:val="0"/>
        <w:adjustRightInd w:val="0"/>
        <w:spacing w:after="120"/>
        <w:ind w:left="1701" w:hanging="567"/>
        <w:jc w:val="both"/>
        <w:rPr>
          <w:rFonts w:ascii="Arial" w:eastAsia="SimSun" w:hAnsi="Arial" w:cs="Arial"/>
          <w:sz w:val="22"/>
          <w:szCs w:val="22"/>
        </w:rPr>
      </w:pPr>
      <w:r w:rsidRPr="00902DED">
        <w:rPr>
          <w:rFonts w:ascii="Arial" w:eastAsia="SimSun" w:hAnsi="Arial" w:cs="Arial"/>
          <w:sz w:val="22"/>
          <w:szCs w:val="22"/>
        </w:rPr>
        <w:t>a.</w:t>
      </w:r>
      <w:r w:rsidRPr="00902DED">
        <w:rPr>
          <w:rFonts w:ascii="Arial" w:eastAsia="SimSun" w:hAnsi="Arial" w:cs="Arial"/>
          <w:sz w:val="22"/>
          <w:szCs w:val="22"/>
        </w:rPr>
        <w:tab/>
        <w:t>Examen des candidatures pour inscription sur la Liste du patrimoine culturel immatériel nécessitant une sauvegarde urgente</w:t>
      </w:r>
    </w:p>
    <w:p w14:paraId="1C45BFB5" w14:textId="53749818" w:rsidR="00902DED" w:rsidRPr="00902DED" w:rsidRDefault="00902DED" w:rsidP="00A55D46">
      <w:pPr>
        <w:autoSpaceDE w:val="0"/>
        <w:autoSpaceDN w:val="0"/>
        <w:adjustRightInd w:val="0"/>
        <w:spacing w:after="120"/>
        <w:ind w:left="1701" w:hanging="567"/>
        <w:jc w:val="both"/>
        <w:rPr>
          <w:rFonts w:ascii="Arial" w:eastAsia="SimSun" w:hAnsi="Arial" w:cs="Arial"/>
          <w:sz w:val="22"/>
          <w:szCs w:val="22"/>
        </w:rPr>
      </w:pPr>
      <w:r w:rsidRPr="00902DED">
        <w:rPr>
          <w:rFonts w:ascii="Arial" w:eastAsia="SimSun" w:hAnsi="Arial" w:cs="Arial"/>
          <w:sz w:val="22"/>
          <w:szCs w:val="22"/>
        </w:rPr>
        <w:t>b.</w:t>
      </w:r>
      <w:r w:rsidRPr="00902DED">
        <w:rPr>
          <w:rFonts w:ascii="Arial" w:eastAsia="SimSun" w:hAnsi="Arial" w:cs="Arial"/>
          <w:sz w:val="22"/>
          <w:szCs w:val="22"/>
        </w:rPr>
        <w:tab/>
        <w:t>Examen des candidatures pour inscription sur la Liste représentative du patrimoine culturel immatériel de l</w:t>
      </w:r>
      <w:r w:rsidR="009C104E">
        <w:rPr>
          <w:rFonts w:ascii="Arial" w:eastAsia="SimSun" w:hAnsi="Arial" w:cs="Arial"/>
          <w:sz w:val="22"/>
          <w:szCs w:val="22"/>
        </w:rPr>
        <w:t>’</w:t>
      </w:r>
      <w:r w:rsidRPr="00902DED">
        <w:rPr>
          <w:rFonts w:ascii="Arial" w:eastAsia="SimSun" w:hAnsi="Arial" w:cs="Arial"/>
          <w:sz w:val="22"/>
          <w:szCs w:val="22"/>
        </w:rPr>
        <w:t>humanité</w:t>
      </w:r>
    </w:p>
    <w:p w14:paraId="3AD83A6D" w14:textId="77777777" w:rsidR="00902DED" w:rsidRPr="00902DED" w:rsidRDefault="00902DED" w:rsidP="00A55D46">
      <w:pPr>
        <w:autoSpaceDE w:val="0"/>
        <w:autoSpaceDN w:val="0"/>
        <w:adjustRightInd w:val="0"/>
        <w:spacing w:after="120"/>
        <w:ind w:left="1701" w:hanging="567"/>
        <w:jc w:val="both"/>
        <w:rPr>
          <w:rFonts w:ascii="Arial" w:eastAsia="SimSun" w:hAnsi="Arial" w:cs="Arial"/>
          <w:sz w:val="22"/>
          <w:szCs w:val="22"/>
        </w:rPr>
      </w:pPr>
      <w:r w:rsidRPr="00902DED">
        <w:rPr>
          <w:rFonts w:ascii="Arial" w:eastAsia="SimSun" w:hAnsi="Arial" w:cs="Arial"/>
          <w:sz w:val="22"/>
          <w:szCs w:val="22"/>
        </w:rPr>
        <w:t>c.</w:t>
      </w:r>
      <w:r w:rsidRPr="00902DED">
        <w:rPr>
          <w:rFonts w:ascii="Arial" w:eastAsia="SimSun" w:hAnsi="Arial" w:cs="Arial"/>
          <w:sz w:val="22"/>
          <w:szCs w:val="22"/>
        </w:rPr>
        <w:tab/>
        <w:t>Examen des propositions au Registre de bonnes pratiques de sauvegarde</w:t>
      </w:r>
    </w:p>
    <w:p w14:paraId="14463FDE" w14:textId="62441335" w:rsidR="00902DED" w:rsidRPr="00902DED" w:rsidRDefault="00902DED" w:rsidP="00A55D46">
      <w:pPr>
        <w:autoSpaceDE w:val="0"/>
        <w:autoSpaceDN w:val="0"/>
        <w:adjustRightInd w:val="0"/>
        <w:spacing w:after="120"/>
        <w:ind w:left="1701" w:hanging="567"/>
        <w:jc w:val="both"/>
        <w:rPr>
          <w:rFonts w:ascii="Arial" w:eastAsia="SimSun" w:hAnsi="Arial" w:cs="Arial"/>
          <w:sz w:val="22"/>
          <w:szCs w:val="22"/>
        </w:rPr>
      </w:pPr>
      <w:r w:rsidRPr="00902DED">
        <w:rPr>
          <w:rFonts w:ascii="Arial" w:eastAsia="SimSun" w:hAnsi="Arial" w:cs="Arial"/>
          <w:sz w:val="22"/>
          <w:szCs w:val="22"/>
        </w:rPr>
        <w:t>d.</w:t>
      </w:r>
      <w:r w:rsidRPr="00902DED">
        <w:rPr>
          <w:rFonts w:ascii="Arial" w:eastAsia="SimSun" w:hAnsi="Arial" w:cs="Arial"/>
          <w:sz w:val="22"/>
          <w:szCs w:val="22"/>
        </w:rPr>
        <w:tab/>
        <w:t>Examen des demandes d</w:t>
      </w:r>
      <w:r w:rsidR="009C104E">
        <w:rPr>
          <w:rFonts w:ascii="Arial" w:eastAsia="SimSun" w:hAnsi="Arial" w:cs="Arial"/>
          <w:sz w:val="22"/>
          <w:szCs w:val="22"/>
        </w:rPr>
        <w:t>’</w:t>
      </w:r>
      <w:r w:rsidRPr="00902DED">
        <w:rPr>
          <w:rFonts w:ascii="Arial" w:eastAsia="SimSun" w:hAnsi="Arial" w:cs="Arial"/>
          <w:sz w:val="22"/>
          <w:szCs w:val="22"/>
        </w:rPr>
        <w:t>assistance internationale</w:t>
      </w:r>
    </w:p>
    <w:p w14:paraId="660CDA13" w14:textId="21A9ACD2" w:rsidR="00902DED" w:rsidRPr="00902DED" w:rsidRDefault="00902DED" w:rsidP="00A55D46">
      <w:pPr>
        <w:autoSpaceDE w:val="0"/>
        <w:autoSpaceDN w:val="0"/>
        <w:adjustRightInd w:val="0"/>
        <w:spacing w:after="120"/>
        <w:ind w:left="1134" w:hanging="567"/>
        <w:jc w:val="both"/>
        <w:rPr>
          <w:rFonts w:ascii="Arial" w:eastAsia="SimSun" w:hAnsi="Arial" w:cs="Arial"/>
          <w:sz w:val="22"/>
          <w:szCs w:val="22"/>
        </w:rPr>
      </w:pPr>
      <w:r w:rsidRPr="00902DED">
        <w:rPr>
          <w:rFonts w:ascii="Arial" w:eastAsia="SimSun" w:hAnsi="Arial" w:cs="Arial"/>
          <w:sz w:val="22"/>
          <w:szCs w:val="22"/>
        </w:rPr>
        <w:t>11.</w:t>
      </w:r>
      <w:r w:rsidRPr="00902DED">
        <w:rPr>
          <w:rFonts w:ascii="Arial" w:eastAsia="SimSun" w:hAnsi="Arial" w:cs="Arial"/>
          <w:sz w:val="22"/>
          <w:szCs w:val="22"/>
        </w:rPr>
        <w:tab/>
        <w:t>Modification du nom d</w:t>
      </w:r>
      <w:r w:rsidR="009C104E">
        <w:rPr>
          <w:rFonts w:ascii="Arial" w:eastAsia="SimSun" w:hAnsi="Arial" w:cs="Arial"/>
          <w:sz w:val="22"/>
          <w:szCs w:val="22"/>
        </w:rPr>
        <w:t>’</w:t>
      </w:r>
      <w:r w:rsidRPr="00902DED">
        <w:rPr>
          <w:rFonts w:ascii="Arial" w:eastAsia="SimSun" w:hAnsi="Arial" w:cs="Arial"/>
          <w:sz w:val="22"/>
          <w:szCs w:val="22"/>
        </w:rPr>
        <w:t>un élément inscrit</w:t>
      </w:r>
    </w:p>
    <w:p w14:paraId="1616EE1C" w14:textId="77777777" w:rsidR="00902DED" w:rsidRPr="00902DED" w:rsidRDefault="00902DED" w:rsidP="00A55D46">
      <w:pPr>
        <w:autoSpaceDE w:val="0"/>
        <w:autoSpaceDN w:val="0"/>
        <w:adjustRightInd w:val="0"/>
        <w:spacing w:after="120"/>
        <w:ind w:left="1134" w:hanging="567"/>
        <w:jc w:val="both"/>
        <w:rPr>
          <w:rFonts w:ascii="Arial" w:eastAsia="SimSun" w:hAnsi="Arial" w:cs="Arial"/>
          <w:sz w:val="22"/>
          <w:szCs w:val="22"/>
        </w:rPr>
      </w:pPr>
      <w:r w:rsidRPr="00902DED">
        <w:rPr>
          <w:rFonts w:ascii="Arial" w:eastAsia="SimSun" w:hAnsi="Arial" w:cs="Arial"/>
          <w:sz w:val="22"/>
          <w:szCs w:val="22"/>
        </w:rPr>
        <w:t>12.</w:t>
      </w:r>
      <w:r w:rsidRPr="00902DED">
        <w:rPr>
          <w:rFonts w:ascii="Arial" w:eastAsia="SimSun" w:hAnsi="Arial" w:cs="Arial"/>
          <w:sz w:val="22"/>
          <w:szCs w:val="22"/>
        </w:rPr>
        <w:tab/>
        <w:t>Suivi des éléments inscrits sur les Listes de la Convention</w:t>
      </w:r>
    </w:p>
    <w:p w14:paraId="08B96E89" w14:textId="0F78541E" w:rsidR="00902DED" w:rsidRPr="00902DED" w:rsidRDefault="00902DED" w:rsidP="00A55D46">
      <w:pPr>
        <w:autoSpaceDE w:val="0"/>
        <w:autoSpaceDN w:val="0"/>
        <w:adjustRightInd w:val="0"/>
        <w:spacing w:after="120"/>
        <w:ind w:left="1134" w:hanging="567"/>
        <w:jc w:val="both"/>
        <w:rPr>
          <w:rFonts w:ascii="Arial" w:eastAsia="SimSun" w:hAnsi="Arial" w:cs="Arial"/>
          <w:sz w:val="22"/>
          <w:szCs w:val="22"/>
        </w:rPr>
      </w:pPr>
      <w:r w:rsidRPr="00902DED">
        <w:rPr>
          <w:rFonts w:ascii="Arial" w:eastAsia="SimSun" w:hAnsi="Arial" w:cs="Arial"/>
          <w:sz w:val="22"/>
          <w:szCs w:val="22"/>
        </w:rPr>
        <w:t>13.</w:t>
      </w:r>
      <w:r w:rsidRPr="00902DED">
        <w:rPr>
          <w:rFonts w:ascii="Arial" w:eastAsia="SimSun" w:hAnsi="Arial" w:cs="Arial"/>
          <w:sz w:val="22"/>
          <w:szCs w:val="22"/>
        </w:rPr>
        <w:tab/>
        <w:t>Le patrimoine culturel immatériel dans les situations d</w:t>
      </w:r>
      <w:r w:rsidR="009C104E">
        <w:rPr>
          <w:rFonts w:ascii="Arial" w:eastAsia="SimSun" w:hAnsi="Arial" w:cs="Arial"/>
          <w:sz w:val="22"/>
          <w:szCs w:val="22"/>
        </w:rPr>
        <w:t>’</w:t>
      </w:r>
      <w:r w:rsidRPr="00902DED">
        <w:rPr>
          <w:rFonts w:ascii="Arial" w:eastAsia="SimSun" w:hAnsi="Arial" w:cs="Arial"/>
          <w:sz w:val="22"/>
          <w:szCs w:val="22"/>
        </w:rPr>
        <w:t>urgence</w:t>
      </w:r>
    </w:p>
    <w:p w14:paraId="4CD22063" w14:textId="28636E99" w:rsidR="00902DED" w:rsidRPr="00902DED" w:rsidRDefault="00902DED" w:rsidP="00A55D46">
      <w:pPr>
        <w:autoSpaceDE w:val="0"/>
        <w:autoSpaceDN w:val="0"/>
        <w:adjustRightInd w:val="0"/>
        <w:spacing w:after="120"/>
        <w:ind w:left="1134" w:hanging="567"/>
        <w:jc w:val="both"/>
        <w:rPr>
          <w:rFonts w:ascii="Arial" w:eastAsia="SimSun" w:hAnsi="Arial" w:cs="Arial"/>
          <w:sz w:val="22"/>
          <w:szCs w:val="22"/>
        </w:rPr>
      </w:pPr>
      <w:r w:rsidRPr="00902DED">
        <w:rPr>
          <w:rFonts w:ascii="Arial" w:eastAsia="SimSun" w:hAnsi="Arial" w:cs="Arial"/>
          <w:sz w:val="22"/>
          <w:szCs w:val="22"/>
        </w:rPr>
        <w:t>14.</w:t>
      </w:r>
      <w:r w:rsidRPr="00902DED">
        <w:rPr>
          <w:rFonts w:ascii="Arial" w:eastAsia="SimSun" w:hAnsi="Arial" w:cs="Arial"/>
          <w:sz w:val="22"/>
          <w:szCs w:val="22"/>
        </w:rPr>
        <w:tab/>
        <w:t>Réflexion sur les mécanismes d</w:t>
      </w:r>
      <w:r w:rsidR="009C104E">
        <w:rPr>
          <w:rFonts w:ascii="Arial" w:eastAsia="SimSun" w:hAnsi="Arial" w:cs="Arial"/>
          <w:sz w:val="22"/>
          <w:szCs w:val="22"/>
        </w:rPr>
        <w:t>’</w:t>
      </w:r>
      <w:r w:rsidRPr="00902DED">
        <w:rPr>
          <w:rFonts w:ascii="Arial" w:eastAsia="SimSun" w:hAnsi="Arial" w:cs="Arial"/>
          <w:sz w:val="22"/>
          <w:szCs w:val="22"/>
        </w:rPr>
        <w:t>inscription sur les Listes de la Convention</w:t>
      </w:r>
    </w:p>
    <w:p w14:paraId="34314CA8" w14:textId="77777777" w:rsidR="00902DED" w:rsidRPr="00902DED" w:rsidRDefault="00902DED" w:rsidP="00A55D46">
      <w:pPr>
        <w:autoSpaceDE w:val="0"/>
        <w:autoSpaceDN w:val="0"/>
        <w:adjustRightInd w:val="0"/>
        <w:spacing w:after="120"/>
        <w:ind w:left="1134" w:hanging="567"/>
        <w:jc w:val="both"/>
        <w:rPr>
          <w:rFonts w:ascii="Arial" w:eastAsia="SimSun" w:hAnsi="Arial" w:cs="Arial"/>
          <w:sz w:val="22"/>
          <w:szCs w:val="22"/>
        </w:rPr>
      </w:pPr>
      <w:r w:rsidRPr="00902DED">
        <w:rPr>
          <w:rFonts w:ascii="Arial" w:eastAsia="SimSun" w:hAnsi="Arial" w:cs="Arial"/>
          <w:sz w:val="22"/>
          <w:szCs w:val="22"/>
        </w:rPr>
        <w:t>15.</w:t>
      </w:r>
      <w:r w:rsidRPr="00902DED">
        <w:rPr>
          <w:rFonts w:ascii="Arial" w:eastAsia="SimSun" w:hAnsi="Arial" w:cs="Arial"/>
          <w:sz w:val="22"/>
          <w:szCs w:val="22"/>
        </w:rPr>
        <w:tab/>
        <w:t>Réflexion sur la participation des organisations non gouvernementales à la mise en œuvre de la Convention</w:t>
      </w:r>
      <w:bookmarkStart w:id="0" w:name="_GoBack"/>
      <w:bookmarkEnd w:id="0"/>
    </w:p>
    <w:p w14:paraId="6256A8F0" w14:textId="77777777" w:rsidR="00902DED" w:rsidRPr="00902DED" w:rsidRDefault="00902DED" w:rsidP="00A55D46">
      <w:pPr>
        <w:autoSpaceDE w:val="0"/>
        <w:autoSpaceDN w:val="0"/>
        <w:adjustRightInd w:val="0"/>
        <w:spacing w:after="120"/>
        <w:ind w:left="1134" w:hanging="567"/>
        <w:jc w:val="both"/>
        <w:rPr>
          <w:rFonts w:ascii="Arial" w:eastAsia="SimSun" w:hAnsi="Arial" w:cs="Arial"/>
          <w:sz w:val="22"/>
          <w:szCs w:val="22"/>
        </w:rPr>
      </w:pPr>
      <w:r w:rsidRPr="00902DED">
        <w:rPr>
          <w:rFonts w:ascii="Arial" w:eastAsia="SimSun" w:hAnsi="Arial" w:cs="Arial"/>
          <w:sz w:val="22"/>
          <w:szCs w:val="22"/>
        </w:rPr>
        <w:lastRenderedPageBreak/>
        <w:t>16.</w:t>
      </w:r>
      <w:r w:rsidRPr="00902DED">
        <w:rPr>
          <w:rFonts w:ascii="Arial" w:eastAsia="SimSun" w:hAnsi="Arial" w:cs="Arial"/>
          <w:sz w:val="22"/>
          <w:szCs w:val="22"/>
        </w:rPr>
        <w:tab/>
        <w:t>Rapport du groupe de travail informel ad hoc à composition non limitée</w:t>
      </w:r>
    </w:p>
    <w:p w14:paraId="319BEC36" w14:textId="77777777" w:rsidR="00902DED" w:rsidRPr="00902DED" w:rsidRDefault="00902DED" w:rsidP="00A55D46">
      <w:pPr>
        <w:autoSpaceDE w:val="0"/>
        <w:autoSpaceDN w:val="0"/>
        <w:adjustRightInd w:val="0"/>
        <w:spacing w:after="120"/>
        <w:ind w:left="1134" w:hanging="567"/>
        <w:jc w:val="both"/>
        <w:rPr>
          <w:rFonts w:ascii="Arial" w:eastAsia="SimSun" w:hAnsi="Arial" w:cs="Arial"/>
          <w:sz w:val="22"/>
          <w:szCs w:val="22"/>
        </w:rPr>
      </w:pPr>
      <w:r w:rsidRPr="00902DED">
        <w:rPr>
          <w:rFonts w:ascii="Arial" w:eastAsia="SimSun" w:hAnsi="Arial" w:cs="Arial"/>
          <w:sz w:val="22"/>
          <w:szCs w:val="22"/>
        </w:rPr>
        <w:t>17.</w:t>
      </w:r>
      <w:r w:rsidRPr="00902DED">
        <w:rPr>
          <w:rFonts w:ascii="Arial" w:eastAsia="SimSun" w:hAnsi="Arial" w:cs="Arial"/>
          <w:sz w:val="22"/>
          <w:szCs w:val="22"/>
        </w:rPr>
        <w:tab/>
        <w:t>Accréditation de nouvelles organisations non gouvernementales et examen des organisations non gouvernementales accréditées</w:t>
      </w:r>
    </w:p>
    <w:p w14:paraId="45C1921B" w14:textId="3492F3F2" w:rsidR="00902DED" w:rsidRPr="00902DED" w:rsidRDefault="00902DED" w:rsidP="00A55D46">
      <w:pPr>
        <w:autoSpaceDE w:val="0"/>
        <w:autoSpaceDN w:val="0"/>
        <w:adjustRightInd w:val="0"/>
        <w:spacing w:after="120"/>
        <w:ind w:left="1134" w:hanging="567"/>
        <w:jc w:val="both"/>
        <w:rPr>
          <w:rFonts w:ascii="Arial" w:eastAsia="SimSun" w:hAnsi="Arial" w:cs="Arial"/>
          <w:sz w:val="22"/>
          <w:szCs w:val="22"/>
        </w:rPr>
      </w:pPr>
      <w:r w:rsidRPr="00902DED">
        <w:rPr>
          <w:rFonts w:ascii="Arial" w:eastAsia="SimSun" w:hAnsi="Arial" w:cs="Arial"/>
          <w:sz w:val="22"/>
          <w:szCs w:val="22"/>
        </w:rPr>
        <w:t>18.</w:t>
      </w:r>
      <w:r w:rsidRPr="00902DED">
        <w:rPr>
          <w:rFonts w:ascii="Arial" w:eastAsia="SimSun" w:hAnsi="Arial" w:cs="Arial"/>
          <w:sz w:val="22"/>
          <w:szCs w:val="22"/>
        </w:rPr>
        <w:tab/>
        <w:t>Établissement de l</w:t>
      </w:r>
      <w:r w:rsidR="009C104E">
        <w:rPr>
          <w:rFonts w:ascii="Arial" w:eastAsia="SimSun" w:hAnsi="Arial" w:cs="Arial"/>
          <w:sz w:val="22"/>
          <w:szCs w:val="22"/>
        </w:rPr>
        <w:t>’</w:t>
      </w:r>
      <w:r w:rsidRPr="00902DED">
        <w:rPr>
          <w:rFonts w:ascii="Arial" w:eastAsia="SimSun" w:hAnsi="Arial" w:cs="Arial"/>
          <w:sz w:val="22"/>
          <w:szCs w:val="22"/>
        </w:rPr>
        <w:t>Organe d</w:t>
      </w:r>
      <w:r w:rsidR="009C104E">
        <w:rPr>
          <w:rFonts w:ascii="Arial" w:eastAsia="SimSun" w:hAnsi="Arial" w:cs="Arial"/>
          <w:sz w:val="22"/>
          <w:szCs w:val="22"/>
        </w:rPr>
        <w:t>’</w:t>
      </w:r>
      <w:r w:rsidRPr="00902DED">
        <w:rPr>
          <w:rFonts w:ascii="Arial" w:eastAsia="SimSun" w:hAnsi="Arial" w:cs="Arial"/>
          <w:sz w:val="22"/>
          <w:szCs w:val="22"/>
        </w:rPr>
        <w:t>évaluation pour le cycle 2020</w:t>
      </w:r>
    </w:p>
    <w:p w14:paraId="2E0F0262" w14:textId="57BDF5CB" w:rsidR="00902DED" w:rsidRPr="00902DED" w:rsidRDefault="00902DED" w:rsidP="00A55D46">
      <w:pPr>
        <w:autoSpaceDE w:val="0"/>
        <w:autoSpaceDN w:val="0"/>
        <w:adjustRightInd w:val="0"/>
        <w:spacing w:after="120"/>
        <w:ind w:left="1134" w:hanging="567"/>
        <w:jc w:val="both"/>
        <w:rPr>
          <w:rFonts w:ascii="Arial" w:eastAsia="SimSun" w:hAnsi="Arial" w:cs="Arial"/>
          <w:sz w:val="22"/>
          <w:szCs w:val="22"/>
        </w:rPr>
      </w:pPr>
      <w:r w:rsidRPr="00902DED">
        <w:rPr>
          <w:rFonts w:ascii="Arial" w:eastAsia="SimSun" w:hAnsi="Arial" w:cs="Arial"/>
          <w:sz w:val="22"/>
          <w:szCs w:val="22"/>
        </w:rPr>
        <w:t>19.</w:t>
      </w:r>
      <w:r w:rsidRPr="00902DED">
        <w:rPr>
          <w:rFonts w:ascii="Arial" w:eastAsia="SimSun" w:hAnsi="Arial" w:cs="Arial"/>
          <w:sz w:val="22"/>
          <w:szCs w:val="22"/>
        </w:rPr>
        <w:tab/>
        <w:t>Suivi de la mise en œuvre des recommandations pertinentes du Groupe de travail à composition non limitée sur la gouvernance, les procédures et les méthodes de travail des organes directeurs de l</w:t>
      </w:r>
      <w:r w:rsidR="009C104E">
        <w:rPr>
          <w:rFonts w:ascii="Arial" w:eastAsia="SimSun" w:hAnsi="Arial" w:cs="Arial"/>
          <w:sz w:val="22"/>
          <w:szCs w:val="22"/>
        </w:rPr>
        <w:t>’</w:t>
      </w:r>
      <w:r w:rsidRPr="00902DED">
        <w:rPr>
          <w:rFonts w:ascii="Arial" w:eastAsia="SimSun" w:hAnsi="Arial" w:cs="Arial"/>
          <w:sz w:val="22"/>
          <w:szCs w:val="22"/>
        </w:rPr>
        <w:t>UNESCO (résolution 39 C/87)</w:t>
      </w:r>
    </w:p>
    <w:p w14:paraId="10DB24A6" w14:textId="77777777" w:rsidR="00902DED" w:rsidRPr="00902DED" w:rsidRDefault="00902DED" w:rsidP="00A55D46">
      <w:pPr>
        <w:autoSpaceDE w:val="0"/>
        <w:autoSpaceDN w:val="0"/>
        <w:adjustRightInd w:val="0"/>
        <w:spacing w:after="120"/>
        <w:ind w:left="1134" w:hanging="567"/>
        <w:jc w:val="both"/>
        <w:rPr>
          <w:rFonts w:ascii="Arial" w:eastAsia="SimSun" w:hAnsi="Arial" w:cs="Arial"/>
          <w:sz w:val="22"/>
          <w:szCs w:val="22"/>
        </w:rPr>
      </w:pPr>
      <w:r w:rsidRPr="00902DED">
        <w:rPr>
          <w:rFonts w:ascii="Arial" w:eastAsia="SimSun" w:hAnsi="Arial" w:cs="Arial"/>
          <w:sz w:val="22"/>
          <w:szCs w:val="22"/>
        </w:rPr>
        <w:t>20.</w:t>
      </w:r>
      <w:r w:rsidRPr="00902DED">
        <w:rPr>
          <w:rFonts w:ascii="Arial" w:eastAsia="SimSun" w:hAnsi="Arial" w:cs="Arial"/>
          <w:sz w:val="22"/>
          <w:szCs w:val="22"/>
        </w:rPr>
        <w:tab/>
        <w:t>Date et lieu de la quinzième session du Comité</w:t>
      </w:r>
    </w:p>
    <w:p w14:paraId="4219ACE0" w14:textId="77777777" w:rsidR="00902DED" w:rsidRPr="00902DED" w:rsidRDefault="00902DED" w:rsidP="00A55D46">
      <w:pPr>
        <w:autoSpaceDE w:val="0"/>
        <w:autoSpaceDN w:val="0"/>
        <w:adjustRightInd w:val="0"/>
        <w:spacing w:after="120"/>
        <w:ind w:left="1134" w:hanging="567"/>
        <w:jc w:val="both"/>
        <w:rPr>
          <w:rFonts w:ascii="Arial" w:eastAsia="SimSun" w:hAnsi="Arial" w:cs="Arial"/>
          <w:sz w:val="22"/>
          <w:szCs w:val="22"/>
        </w:rPr>
      </w:pPr>
      <w:r w:rsidRPr="00902DED">
        <w:rPr>
          <w:rFonts w:ascii="Arial" w:eastAsia="SimSun" w:hAnsi="Arial" w:cs="Arial"/>
          <w:sz w:val="22"/>
          <w:szCs w:val="22"/>
        </w:rPr>
        <w:t>21.</w:t>
      </w:r>
      <w:r w:rsidRPr="00902DED">
        <w:rPr>
          <w:rFonts w:ascii="Arial" w:eastAsia="SimSun" w:hAnsi="Arial" w:cs="Arial"/>
          <w:sz w:val="22"/>
          <w:szCs w:val="22"/>
        </w:rPr>
        <w:tab/>
        <w:t>Élection des membres du Bureau de la quinzième session du Comité</w:t>
      </w:r>
    </w:p>
    <w:p w14:paraId="6E09EC88" w14:textId="77777777" w:rsidR="00902DED" w:rsidRPr="00902DED" w:rsidRDefault="00902DED" w:rsidP="00A55D46">
      <w:pPr>
        <w:autoSpaceDE w:val="0"/>
        <w:autoSpaceDN w:val="0"/>
        <w:adjustRightInd w:val="0"/>
        <w:spacing w:after="120"/>
        <w:ind w:left="1134" w:hanging="567"/>
        <w:jc w:val="both"/>
        <w:rPr>
          <w:rFonts w:ascii="Arial" w:eastAsia="SimSun" w:hAnsi="Arial" w:cs="Arial"/>
          <w:sz w:val="22"/>
          <w:szCs w:val="22"/>
        </w:rPr>
      </w:pPr>
      <w:r w:rsidRPr="00902DED">
        <w:rPr>
          <w:rFonts w:ascii="Arial" w:eastAsia="SimSun" w:hAnsi="Arial" w:cs="Arial"/>
          <w:sz w:val="22"/>
          <w:szCs w:val="22"/>
        </w:rPr>
        <w:t>22.</w:t>
      </w:r>
      <w:r w:rsidRPr="00902DED">
        <w:rPr>
          <w:rFonts w:ascii="Arial" w:eastAsia="SimSun" w:hAnsi="Arial" w:cs="Arial"/>
          <w:sz w:val="22"/>
          <w:szCs w:val="22"/>
        </w:rPr>
        <w:tab/>
        <w:t>Questions diverses</w:t>
      </w:r>
    </w:p>
    <w:p w14:paraId="0DC41179" w14:textId="77777777" w:rsidR="00902DED" w:rsidRPr="00902DED" w:rsidRDefault="00902DED" w:rsidP="00A55D46">
      <w:pPr>
        <w:autoSpaceDE w:val="0"/>
        <w:autoSpaceDN w:val="0"/>
        <w:adjustRightInd w:val="0"/>
        <w:spacing w:after="120"/>
        <w:ind w:left="1134" w:hanging="567"/>
        <w:jc w:val="both"/>
        <w:rPr>
          <w:rFonts w:ascii="Arial" w:eastAsia="SimSun" w:hAnsi="Arial" w:cs="Arial"/>
          <w:sz w:val="22"/>
          <w:szCs w:val="22"/>
        </w:rPr>
      </w:pPr>
      <w:r w:rsidRPr="00902DED">
        <w:rPr>
          <w:rFonts w:ascii="Arial" w:eastAsia="SimSun" w:hAnsi="Arial" w:cs="Arial"/>
          <w:sz w:val="22"/>
          <w:szCs w:val="22"/>
        </w:rPr>
        <w:t>23.</w:t>
      </w:r>
      <w:r w:rsidRPr="00902DED">
        <w:rPr>
          <w:rFonts w:ascii="Arial" w:eastAsia="SimSun" w:hAnsi="Arial" w:cs="Arial"/>
          <w:sz w:val="22"/>
          <w:szCs w:val="22"/>
        </w:rPr>
        <w:tab/>
        <w:t>Adoption de la liste des décisions</w:t>
      </w:r>
    </w:p>
    <w:p w14:paraId="35DF105F" w14:textId="77777777" w:rsidR="00902DED" w:rsidRPr="00902DED" w:rsidRDefault="00902DED" w:rsidP="00A55D46">
      <w:pPr>
        <w:autoSpaceDE w:val="0"/>
        <w:autoSpaceDN w:val="0"/>
        <w:adjustRightInd w:val="0"/>
        <w:spacing w:after="120"/>
        <w:ind w:left="1134" w:hanging="567"/>
        <w:jc w:val="both"/>
        <w:rPr>
          <w:rFonts w:ascii="Arial" w:eastAsia="SimSun" w:hAnsi="Arial" w:cs="Arial"/>
          <w:sz w:val="22"/>
          <w:szCs w:val="22"/>
        </w:rPr>
      </w:pPr>
      <w:r w:rsidRPr="00902DED">
        <w:rPr>
          <w:rFonts w:ascii="Arial" w:eastAsia="SimSun" w:hAnsi="Arial" w:cs="Arial"/>
          <w:sz w:val="22"/>
          <w:szCs w:val="22"/>
        </w:rPr>
        <w:t>24.</w:t>
      </w:r>
      <w:r w:rsidRPr="00902DED">
        <w:rPr>
          <w:rFonts w:ascii="Arial" w:eastAsia="SimSun" w:hAnsi="Arial" w:cs="Arial"/>
          <w:sz w:val="22"/>
          <w:szCs w:val="22"/>
        </w:rPr>
        <w:tab/>
        <w:t>Clôture</w:t>
      </w:r>
    </w:p>
    <w:p w14:paraId="4983D5F1" w14:textId="77777777" w:rsidR="00877EB6" w:rsidRDefault="009B5302" w:rsidP="00A55D46">
      <w:pPr>
        <w:pStyle w:val="COMTitleDecision"/>
        <w:keepLines/>
        <w:spacing w:before="360" w:after="240"/>
        <w:ind w:left="0"/>
      </w:pPr>
      <w:r>
        <w:t>DÉCISION 1</w:t>
      </w:r>
      <w:r w:rsidR="00877EB6">
        <w:t>4</w:t>
      </w:r>
      <w:r>
        <w:t>.COM 3</w:t>
      </w:r>
    </w:p>
    <w:p w14:paraId="61B358B0" w14:textId="77777777" w:rsidR="00877EB6" w:rsidRPr="00877EB6" w:rsidRDefault="00877EB6" w:rsidP="00877EB6">
      <w:pPr>
        <w:pStyle w:val="COMParabodytext"/>
        <w:numPr>
          <w:ilvl w:val="0"/>
          <w:numId w:val="0"/>
        </w:numPr>
        <w:ind w:left="567" w:hanging="567"/>
        <w:rPr>
          <w:lang w:val="fr-FR"/>
        </w:rPr>
      </w:pPr>
      <w:r w:rsidRPr="00877EB6">
        <w:rPr>
          <w:lang w:val="fr-FR"/>
        </w:rPr>
        <w:t>Le Comité,</w:t>
      </w:r>
    </w:p>
    <w:p w14:paraId="385E457C" w14:textId="72375BCE" w:rsidR="00877EB6" w:rsidRPr="00877EB6" w:rsidRDefault="00877EB6" w:rsidP="00877EB6">
      <w:pPr>
        <w:pStyle w:val="COMParabodytext"/>
        <w:rPr>
          <w:u w:val="single"/>
          <w:lang w:val="fr-FR"/>
        </w:rPr>
      </w:pPr>
      <w:r w:rsidRPr="00877EB6">
        <w:rPr>
          <w:u w:val="single"/>
          <w:lang w:val="fr-FR"/>
        </w:rPr>
        <w:t>Ayant examiné</w:t>
      </w:r>
      <w:r w:rsidRPr="00877EB6">
        <w:rPr>
          <w:lang w:val="fr-FR"/>
        </w:rPr>
        <w:t xml:space="preserve"> le document </w:t>
      </w:r>
      <w:hyperlink r:id="rId9" w:history="1">
        <w:r w:rsidR="00034068" w:rsidRPr="00034068">
          <w:rPr>
            <w:rStyle w:val="Hyperlink"/>
            <w:lang w:val="fr-FR"/>
          </w:rPr>
          <w:t>LHE/19/14.COM/3 Rev.</w:t>
        </w:r>
      </w:hyperlink>
      <w:r w:rsidRPr="00B932EA">
        <w:rPr>
          <w:rStyle w:val="Hyperlink"/>
          <w:color w:val="auto"/>
          <w:u w:val="none"/>
          <w:lang w:val="fr-FR"/>
        </w:rPr>
        <w:t>,</w:t>
      </w:r>
    </w:p>
    <w:p w14:paraId="139C6EF5" w14:textId="77777777" w:rsidR="00877EB6" w:rsidRPr="00877EB6" w:rsidRDefault="00877EB6" w:rsidP="00877EB6">
      <w:pPr>
        <w:pStyle w:val="COMParabodytext"/>
        <w:rPr>
          <w:u w:val="single"/>
          <w:lang w:val="fr-FR"/>
        </w:rPr>
      </w:pPr>
      <w:r w:rsidRPr="00877EB6">
        <w:rPr>
          <w:u w:val="single"/>
          <w:lang w:val="fr-FR"/>
        </w:rPr>
        <w:t>Rappelant</w:t>
      </w:r>
      <w:r w:rsidRPr="00877EB6">
        <w:rPr>
          <w:lang w:val="fr-FR"/>
        </w:rPr>
        <w:t xml:space="preserve"> les articles 8.1, 8.2 et 8.3 du Règlement intérieur du Comité intergouvernemental,</w:t>
      </w:r>
    </w:p>
    <w:p w14:paraId="7359565D" w14:textId="77777777" w:rsidR="00877EB6" w:rsidRPr="00877EB6" w:rsidRDefault="00877EB6" w:rsidP="00877EB6">
      <w:pPr>
        <w:pStyle w:val="COMParabodytext"/>
        <w:rPr>
          <w:u w:val="single"/>
          <w:lang w:val="fr-FR"/>
        </w:rPr>
      </w:pPr>
      <w:r w:rsidRPr="00877EB6">
        <w:rPr>
          <w:u w:val="single"/>
          <w:lang w:val="fr-FR"/>
        </w:rPr>
        <w:t>Rappelant en outre</w:t>
      </w:r>
      <w:r w:rsidRPr="00877EB6">
        <w:rPr>
          <w:lang w:val="fr-FR"/>
        </w:rPr>
        <w:t xml:space="preserve"> ses décisions </w:t>
      </w:r>
      <w:hyperlink r:id="rId10" w:history="1">
        <w:r w:rsidRPr="00877EB6">
          <w:rPr>
            <w:rStyle w:val="Hyperlink"/>
            <w:lang w:val="fr-FR"/>
          </w:rPr>
          <w:t>10.COM 3</w:t>
        </w:r>
      </w:hyperlink>
      <w:r w:rsidRPr="00877EB6">
        <w:rPr>
          <w:lang w:val="fr-FR"/>
        </w:rPr>
        <w:t xml:space="preserve">, </w:t>
      </w:r>
      <w:hyperlink r:id="rId11" w:history="1">
        <w:r w:rsidRPr="00877EB6">
          <w:rPr>
            <w:rStyle w:val="Hyperlink"/>
            <w:lang w:val="fr-FR"/>
          </w:rPr>
          <w:t>11.COM 3</w:t>
        </w:r>
      </w:hyperlink>
      <w:r w:rsidRPr="00877EB6">
        <w:rPr>
          <w:lang w:val="fr-FR"/>
        </w:rPr>
        <w:t xml:space="preserve"> et </w:t>
      </w:r>
      <w:hyperlink r:id="rId12" w:history="1">
        <w:r w:rsidRPr="00877EB6">
          <w:rPr>
            <w:rStyle w:val="Hyperlink"/>
            <w:lang w:val="fr-FR"/>
          </w:rPr>
          <w:t>12.COM 3</w:t>
        </w:r>
      </w:hyperlink>
      <w:r w:rsidRPr="00877EB6">
        <w:rPr>
          <w:lang w:val="fr-FR"/>
        </w:rPr>
        <w:t xml:space="preserve">, et </w:t>
      </w:r>
      <w:hyperlink r:id="rId13" w:history="1">
        <w:r w:rsidRPr="00877EB6">
          <w:rPr>
            <w:rStyle w:val="Hyperlink"/>
            <w:lang w:val="fr-FR"/>
          </w:rPr>
          <w:t>13.COM 3</w:t>
        </w:r>
      </w:hyperlink>
    </w:p>
    <w:p w14:paraId="455311D0" w14:textId="77777777" w:rsidR="00877EB6" w:rsidRPr="00877EB6" w:rsidRDefault="00877EB6" w:rsidP="00877EB6">
      <w:pPr>
        <w:pStyle w:val="COMParabodytext"/>
        <w:rPr>
          <w:lang w:val="fr-FR"/>
        </w:rPr>
      </w:pPr>
      <w:r w:rsidRPr="00877EB6">
        <w:rPr>
          <w:u w:val="single"/>
          <w:lang w:val="fr-FR"/>
        </w:rPr>
        <w:t>Prend note</w:t>
      </w:r>
      <w:r w:rsidRPr="00877EB6">
        <w:rPr>
          <w:lang w:val="fr-FR"/>
        </w:rPr>
        <w:t xml:space="preserve"> des observateurs suivants autorisés à participer à sa quatorzième session en vertu des décisions susmentionnées :</w:t>
      </w:r>
    </w:p>
    <w:p w14:paraId="1EDF4549" w14:textId="77777777" w:rsidR="00877EB6" w:rsidRPr="00877EB6" w:rsidRDefault="00877EB6" w:rsidP="00762657">
      <w:pPr>
        <w:pStyle w:val="COMParabodytext"/>
        <w:numPr>
          <w:ilvl w:val="0"/>
          <w:numId w:val="10"/>
        </w:numPr>
        <w:ind w:left="1134" w:hanging="567"/>
        <w:rPr>
          <w:lang w:val="fr-FR"/>
        </w:rPr>
      </w:pPr>
      <w:r w:rsidRPr="00877EB6">
        <w:rPr>
          <w:lang w:val="fr-FR"/>
        </w:rPr>
        <w:t>le Centre international de recherche et de documentation sur les traditions et les langues africaines (CERDOTOLA) ;</w:t>
      </w:r>
    </w:p>
    <w:p w14:paraId="7671CA7F" w14:textId="77777777" w:rsidR="00877EB6" w:rsidRPr="00877EB6" w:rsidRDefault="00877EB6" w:rsidP="00762657">
      <w:pPr>
        <w:pStyle w:val="COMParabodytext"/>
        <w:numPr>
          <w:ilvl w:val="0"/>
          <w:numId w:val="10"/>
        </w:numPr>
        <w:ind w:left="1134" w:hanging="567"/>
        <w:rPr>
          <w:lang w:val="fr-FR"/>
        </w:rPr>
      </w:pPr>
      <w:r w:rsidRPr="00877EB6">
        <w:rPr>
          <w:lang w:val="fr-FR"/>
        </w:rPr>
        <w:t>le Conseil international de la chasse et de la conservation du gibier (CIC) ;</w:t>
      </w:r>
    </w:p>
    <w:p w14:paraId="06726732" w14:textId="77777777" w:rsidR="00877EB6" w:rsidRPr="00877EB6" w:rsidRDefault="00877EB6" w:rsidP="00762657">
      <w:pPr>
        <w:pStyle w:val="COMParabodytext"/>
        <w:numPr>
          <w:ilvl w:val="0"/>
          <w:numId w:val="10"/>
        </w:numPr>
        <w:ind w:left="1134" w:hanging="567"/>
        <w:rPr>
          <w:lang w:val="fr-FR"/>
        </w:rPr>
      </w:pPr>
      <w:r w:rsidRPr="00877EB6">
        <w:rPr>
          <w:lang w:val="fr-FR"/>
        </w:rPr>
        <w:t>le Centre du commerce africain (ATC) ;</w:t>
      </w:r>
    </w:p>
    <w:p w14:paraId="6DEDA2C8" w14:textId="77777777" w:rsidR="00877EB6" w:rsidRPr="00877EB6" w:rsidRDefault="00877EB6" w:rsidP="00762657">
      <w:pPr>
        <w:pStyle w:val="COMParabodytext"/>
        <w:numPr>
          <w:ilvl w:val="0"/>
          <w:numId w:val="10"/>
        </w:numPr>
        <w:ind w:left="1134" w:hanging="567"/>
        <w:rPr>
          <w:lang w:val="fr-FR"/>
        </w:rPr>
      </w:pPr>
      <w:r w:rsidRPr="00877EB6">
        <w:rPr>
          <w:lang w:val="fr-FR"/>
        </w:rPr>
        <w:t>le Centre pour la culture noire et la compréhension internationale (CBCIU).</w:t>
      </w:r>
    </w:p>
    <w:p w14:paraId="508AC6A5" w14:textId="78330F9E" w:rsidR="00877EB6" w:rsidRPr="00877EB6" w:rsidRDefault="00877EB6" w:rsidP="00877EB6">
      <w:pPr>
        <w:pStyle w:val="COMParabodytext"/>
        <w:rPr>
          <w:u w:val="single"/>
          <w:lang w:val="fr-FR"/>
        </w:rPr>
      </w:pPr>
      <w:r w:rsidRPr="00877EB6">
        <w:rPr>
          <w:u w:val="single"/>
          <w:lang w:val="fr-FR"/>
        </w:rPr>
        <w:t>Autorise</w:t>
      </w:r>
      <w:r w:rsidRPr="00877EB6">
        <w:rPr>
          <w:lang w:val="fr-FR"/>
        </w:rPr>
        <w:t xml:space="preserve"> la participation de l</w:t>
      </w:r>
      <w:r w:rsidR="009C104E">
        <w:rPr>
          <w:lang w:val="fr-FR"/>
        </w:rPr>
        <w:t>’</w:t>
      </w:r>
      <w:r w:rsidRPr="00877EB6">
        <w:rPr>
          <w:lang w:val="fr-FR"/>
        </w:rPr>
        <w:t>Organisation arabe pour l</w:t>
      </w:r>
      <w:r w:rsidR="009C104E">
        <w:rPr>
          <w:lang w:val="fr-FR"/>
        </w:rPr>
        <w:t>’</w:t>
      </w:r>
      <w:r w:rsidRPr="00877EB6">
        <w:rPr>
          <w:lang w:val="fr-FR"/>
        </w:rPr>
        <w:t>éducation, la culture et les sciences (ALECSO), en qualité d</w:t>
      </w:r>
      <w:r w:rsidR="009C104E">
        <w:rPr>
          <w:lang w:val="fr-FR"/>
        </w:rPr>
        <w:t>’</w:t>
      </w:r>
      <w:r w:rsidRPr="00877EB6">
        <w:rPr>
          <w:lang w:val="fr-FR"/>
        </w:rPr>
        <w:t>observateur, aux quinzième, seizième et dix-septième sessions du Comité.</w:t>
      </w:r>
    </w:p>
    <w:p w14:paraId="76F388AC" w14:textId="77777777" w:rsidR="00BD77A3" w:rsidRPr="007C6403" w:rsidRDefault="00BD77A3" w:rsidP="00554EA7">
      <w:pPr>
        <w:pStyle w:val="COMTitleDecision"/>
        <w:keepLines/>
        <w:spacing w:before="360"/>
        <w:ind w:left="0"/>
        <w:rPr>
          <w:b w:val="0"/>
        </w:rPr>
      </w:pPr>
      <w:r>
        <w:t xml:space="preserve">DÉCISION </w:t>
      </w:r>
      <w:r w:rsidR="003B1B13">
        <w:t>14</w:t>
      </w:r>
      <w:r>
        <w:t>.COM 4</w:t>
      </w:r>
    </w:p>
    <w:p w14:paraId="77CF1B6D" w14:textId="77777777" w:rsidR="003B1B13" w:rsidRDefault="00BD77A3" w:rsidP="00BD77A3">
      <w:pPr>
        <w:pStyle w:val="COMPreambulaDecisions"/>
        <w:ind w:left="0"/>
      </w:pPr>
      <w:r>
        <w:t>Le Comité,</w:t>
      </w:r>
    </w:p>
    <w:p w14:paraId="5F5C28FF" w14:textId="77777777" w:rsidR="003B1B13" w:rsidRPr="00CC49DA" w:rsidRDefault="003B1B13" w:rsidP="00771F30">
      <w:pPr>
        <w:pStyle w:val="BODYTEXT"/>
        <w:numPr>
          <w:ilvl w:val="0"/>
          <w:numId w:val="11"/>
        </w:numPr>
        <w:tabs>
          <w:tab w:val="clear" w:pos="709"/>
          <w:tab w:val="clear" w:pos="1418"/>
          <w:tab w:val="left" w:pos="567"/>
        </w:tabs>
        <w:spacing w:before="0"/>
        <w:ind w:left="567" w:hanging="567"/>
        <w:rPr>
          <w:color w:val="auto"/>
        </w:rPr>
      </w:pPr>
      <w:r>
        <w:rPr>
          <w:u w:val="single"/>
        </w:rPr>
        <w:t>Ayant examiné</w:t>
      </w:r>
      <w:r>
        <w:t xml:space="preserve"> le document </w:t>
      </w:r>
      <w:hyperlink r:id="rId14" w:history="1">
        <w:r w:rsidRPr="00CC49DA">
          <w:rPr>
            <w:rStyle w:val="Hyperlink"/>
          </w:rPr>
          <w:t>LHE/19/14.COM/4</w:t>
        </w:r>
      </w:hyperlink>
      <w:r w:rsidRPr="00B932EA">
        <w:rPr>
          <w:rStyle w:val="Hyperlink"/>
          <w:color w:val="auto"/>
          <w:u w:val="none"/>
        </w:rPr>
        <w:t>,</w:t>
      </w:r>
    </w:p>
    <w:p w14:paraId="6D9D96FA" w14:textId="77777777" w:rsidR="003B1B13" w:rsidRPr="007C6403" w:rsidRDefault="003B1B13" w:rsidP="00771F30">
      <w:pPr>
        <w:pStyle w:val="BODYTEXT"/>
        <w:numPr>
          <w:ilvl w:val="0"/>
          <w:numId w:val="11"/>
        </w:numPr>
        <w:tabs>
          <w:tab w:val="clear" w:pos="709"/>
          <w:tab w:val="clear" w:pos="1418"/>
          <w:tab w:val="left" w:pos="567"/>
        </w:tabs>
        <w:spacing w:before="0"/>
        <w:ind w:left="567" w:hanging="567"/>
      </w:pPr>
      <w:r>
        <w:rPr>
          <w:u w:val="single"/>
        </w:rPr>
        <w:t>Adopte</w:t>
      </w:r>
      <w:r>
        <w:t xml:space="preserve"> le compte-rendu de la treizième session du Comité présenté dans le présent document. </w:t>
      </w:r>
    </w:p>
    <w:p w14:paraId="51B5D494" w14:textId="77777777" w:rsidR="003B1B13" w:rsidRPr="00743B60" w:rsidRDefault="006E2D5D" w:rsidP="000E69D4">
      <w:pPr>
        <w:pStyle w:val="COMTitleDecision"/>
        <w:keepLines/>
        <w:spacing w:before="360"/>
        <w:ind w:left="0"/>
      </w:pPr>
      <w:r w:rsidRPr="00743B60">
        <w:t xml:space="preserve">DÉCISION </w:t>
      </w:r>
      <w:r w:rsidR="003B1B13" w:rsidRPr="00743B60">
        <w:t>14</w:t>
      </w:r>
      <w:r w:rsidRPr="00743B60">
        <w:t xml:space="preserve">.COM </w:t>
      </w:r>
      <w:r w:rsidR="003B1B13" w:rsidRPr="00743B60">
        <w:t>5.a</w:t>
      </w:r>
    </w:p>
    <w:p w14:paraId="47A91100" w14:textId="77777777" w:rsidR="003B1B13" w:rsidRPr="00743B60" w:rsidRDefault="003B1B13" w:rsidP="00D55D0C">
      <w:pPr>
        <w:pStyle w:val="COMPreambulaDecisions"/>
        <w:ind w:left="0"/>
        <w:rPr>
          <w:rFonts w:eastAsia="SimSun"/>
        </w:rPr>
      </w:pPr>
      <w:r w:rsidRPr="00743B60">
        <w:t>Le Comité,</w:t>
      </w:r>
    </w:p>
    <w:p w14:paraId="3BFE01AB" w14:textId="483DA469" w:rsidR="003B1B13" w:rsidRPr="00743B60" w:rsidRDefault="003B1B13" w:rsidP="00D55D0C">
      <w:pPr>
        <w:pStyle w:val="COMParaDecision"/>
        <w:numPr>
          <w:ilvl w:val="0"/>
          <w:numId w:val="5"/>
        </w:numPr>
        <w:ind w:left="567" w:hanging="567"/>
      </w:pPr>
      <w:r w:rsidRPr="00743B60">
        <w:t>Ayant examiné</w:t>
      </w:r>
      <w:r w:rsidRPr="00743B60">
        <w:rPr>
          <w:u w:val="none"/>
        </w:rPr>
        <w:t xml:space="preserve"> le document </w:t>
      </w:r>
      <w:hyperlink r:id="rId15" w:history="1">
        <w:r w:rsidR="00034068" w:rsidRPr="0037142E">
          <w:rPr>
            <w:rStyle w:val="Hyperlink"/>
          </w:rPr>
          <w:t>LHE/19/14.COM/5.a Rev.</w:t>
        </w:r>
      </w:hyperlink>
      <w:r w:rsidRPr="00743B60">
        <w:rPr>
          <w:u w:val="none"/>
        </w:rPr>
        <w:t>,</w:t>
      </w:r>
    </w:p>
    <w:p w14:paraId="1A92E0B4" w14:textId="12DD798C" w:rsidR="003B1B13" w:rsidRPr="00743B60" w:rsidRDefault="003B1B13" w:rsidP="00D55D0C">
      <w:pPr>
        <w:pStyle w:val="COMParaDecision"/>
        <w:numPr>
          <w:ilvl w:val="0"/>
          <w:numId w:val="5"/>
        </w:numPr>
        <w:ind w:left="567" w:hanging="567"/>
      </w:pPr>
      <w:r w:rsidRPr="00743B60">
        <w:t>Rappelant</w:t>
      </w:r>
      <w:r w:rsidRPr="00743B60">
        <w:rPr>
          <w:u w:val="none"/>
        </w:rPr>
        <w:t xml:space="preserve"> l</w:t>
      </w:r>
      <w:r w:rsidR="009C104E" w:rsidRPr="00743B60">
        <w:rPr>
          <w:u w:val="none"/>
        </w:rPr>
        <w:t>’</w:t>
      </w:r>
      <w:r w:rsidRPr="00743B60">
        <w:rPr>
          <w:u w:val="none"/>
        </w:rPr>
        <w:t>article 30 de la Convention,</w:t>
      </w:r>
    </w:p>
    <w:p w14:paraId="0FC31C3B" w14:textId="1E92FF9D" w:rsidR="003B1B13" w:rsidRPr="00743B60" w:rsidRDefault="003B1B13" w:rsidP="00D55D0C">
      <w:pPr>
        <w:pStyle w:val="COMParaDecision"/>
        <w:numPr>
          <w:ilvl w:val="0"/>
          <w:numId w:val="5"/>
        </w:numPr>
        <w:ind w:left="567" w:hanging="567"/>
      </w:pPr>
      <w:r w:rsidRPr="00743B60">
        <w:lastRenderedPageBreak/>
        <w:t>Accueille</w:t>
      </w:r>
      <w:r w:rsidRPr="00743B60">
        <w:rPr>
          <w:u w:val="none"/>
        </w:rPr>
        <w:t xml:space="preserve"> </w:t>
      </w:r>
      <w:r w:rsidR="00D55D0C" w:rsidRPr="00743B60">
        <w:rPr>
          <w:u w:val="none"/>
        </w:rPr>
        <w:t>Kiribati, Singapour et les Îles Salomon,</w:t>
      </w:r>
      <w:r w:rsidRPr="00743B60">
        <w:rPr>
          <w:u w:val="none"/>
        </w:rPr>
        <w:t xml:space="preserve"> qui ont ratifié la Convention depuis janvier 2018 ;</w:t>
      </w:r>
    </w:p>
    <w:p w14:paraId="4B1EB7CF" w14:textId="50EE0D69" w:rsidR="003B1B13" w:rsidRPr="00743B60" w:rsidRDefault="003B1B13" w:rsidP="00D55D0C">
      <w:pPr>
        <w:pStyle w:val="COMParaDecision"/>
        <w:numPr>
          <w:ilvl w:val="0"/>
          <w:numId w:val="5"/>
        </w:numPr>
        <w:ind w:left="567" w:hanging="567"/>
      </w:pPr>
      <w:r w:rsidRPr="00743B60">
        <w:t>Adopte</w:t>
      </w:r>
      <w:r w:rsidRPr="00743B60">
        <w:rPr>
          <w:u w:val="none"/>
        </w:rPr>
        <w:t xml:space="preserve"> le rapport sur ses activités menées en 2018 et 2019 et </w:t>
      </w:r>
      <w:r w:rsidRPr="00743B60">
        <w:t>demande</w:t>
      </w:r>
      <w:r w:rsidRPr="00743B60">
        <w:rPr>
          <w:u w:val="none"/>
        </w:rPr>
        <w:t xml:space="preserve"> au Secrétariat de le présenter pour examen à la huitième session de l</w:t>
      </w:r>
      <w:r w:rsidR="009C104E" w:rsidRPr="00743B60">
        <w:rPr>
          <w:u w:val="none"/>
        </w:rPr>
        <w:t>’</w:t>
      </w:r>
      <w:r w:rsidRPr="00743B60">
        <w:rPr>
          <w:u w:val="none"/>
        </w:rPr>
        <w:t>Assemblée générale.</w:t>
      </w:r>
    </w:p>
    <w:p w14:paraId="747E58C3" w14:textId="77777777" w:rsidR="003B1B13" w:rsidRPr="00180DAE" w:rsidRDefault="003B1B13" w:rsidP="000E69D4">
      <w:pPr>
        <w:pStyle w:val="COMTitleDecision"/>
        <w:keepLines/>
        <w:spacing w:before="360"/>
        <w:ind w:left="0"/>
        <w:rPr>
          <w:rFonts w:eastAsia="SimSun"/>
        </w:rPr>
      </w:pPr>
      <w:r>
        <w:t>DÉCISION 14</w:t>
      </w:r>
      <w:r w:rsidRPr="00180DAE">
        <w:t xml:space="preserve">.COM </w:t>
      </w:r>
      <w:r>
        <w:t>5.b</w:t>
      </w:r>
    </w:p>
    <w:p w14:paraId="2E202581" w14:textId="77777777" w:rsidR="00BD112F" w:rsidRDefault="00BD112F" w:rsidP="000E69D4">
      <w:pPr>
        <w:pStyle w:val="COMPreambulaDecisions"/>
        <w:ind w:left="0"/>
        <w:rPr>
          <w:rFonts w:eastAsia="SimSun"/>
        </w:rPr>
      </w:pPr>
      <w:r>
        <w:t>Le Comité,</w:t>
      </w:r>
    </w:p>
    <w:p w14:paraId="224B98A9" w14:textId="77777777" w:rsidR="00BD112F" w:rsidRPr="00BD112F" w:rsidRDefault="00BD112F" w:rsidP="00771F30">
      <w:pPr>
        <w:pStyle w:val="COMParaDecision"/>
        <w:numPr>
          <w:ilvl w:val="0"/>
          <w:numId w:val="12"/>
        </w:numPr>
        <w:ind w:left="567" w:hanging="567"/>
        <w:rPr>
          <w:rFonts w:eastAsia="SimSun"/>
        </w:rPr>
      </w:pPr>
      <w:r>
        <w:t>Ayant examiné</w:t>
      </w:r>
      <w:r w:rsidRPr="00BD112F">
        <w:rPr>
          <w:u w:val="none"/>
        </w:rPr>
        <w:t xml:space="preserve"> le document </w:t>
      </w:r>
      <w:hyperlink r:id="rId16" w:history="1">
        <w:r w:rsidRPr="00851C83">
          <w:rPr>
            <w:rStyle w:val="Hyperlink"/>
          </w:rPr>
          <w:t>LHE/19/14.COM/5.b</w:t>
        </w:r>
      </w:hyperlink>
      <w:r w:rsidRPr="00BD112F">
        <w:rPr>
          <w:u w:val="none"/>
        </w:rPr>
        <w:t>,</w:t>
      </w:r>
    </w:p>
    <w:p w14:paraId="492C5A38" w14:textId="77777777" w:rsidR="00BD112F" w:rsidRDefault="00BD112F" w:rsidP="00771F30">
      <w:pPr>
        <w:pStyle w:val="COMParaDecision"/>
        <w:numPr>
          <w:ilvl w:val="0"/>
          <w:numId w:val="5"/>
        </w:numPr>
        <w:ind w:left="567" w:hanging="567"/>
      </w:pPr>
      <w:r>
        <w:t>Rappelant</w:t>
      </w:r>
      <w:r>
        <w:rPr>
          <w:u w:val="none"/>
        </w:rPr>
        <w:t xml:space="preserve"> les décisions </w:t>
      </w:r>
      <w:hyperlink r:id="rId17" w:history="1">
        <w:r>
          <w:rPr>
            <w:rStyle w:val="Hyperlink"/>
          </w:rPr>
          <w:t>8.COM 5.c.1</w:t>
        </w:r>
      </w:hyperlink>
      <w:r>
        <w:rPr>
          <w:rStyle w:val="hps"/>
          <w:u w:val="none"/>
        </w:rPr>
        <w:t xml:space="preserve">, </w:t>
      </w:r>
      <w:hyperlink r:id="rId18" w:history="1">
        <w:r>
          <w:rPr>
            <w:rStyle w:val="Hyperlink"/>
          </w:rPr>
          <w:t>10.COM 10</w:t>
        </w:r>
      </w:hyperlink>
      <w:r>
        <w:rPr>
          <w:rStyle w:val="Hyperlink"/>
          <w:u w:val="none"/>
        </w:rPr>
        <w:t xml:space="preserve"> et</w:t>
      </w:r>
      <w:r>
        <w:rPr>
          <w:rStyle w:val="hps"/>
          <w:u w:val="none"/>
        </w:rPr>
        <w:t xml:space="preserve">, </w:t>
      </w:r>
      <w:hyperlink r:id="rId19" w:history="1">
        <w:r>
          <w:rPr>
            <w:rStyle w:val="Hyperlink"/>
          </w:rPr>
          <w:t>13.COM 5</w:t>
        </w:r>
      </w:hyperlink>
      <w:r>
        <w:rPr>
          <w:rStyle w:val="hps"/>
          <w:u w:val="none"/>
        </w:rPr>
        <w:t>,</w:t>
      </w:r>
    </w:p>
    <w:p w14:paraId="458DF37B" w14:textId="4C158BAD" w:rsidR="00BD112F" w:rsidRDefault="00BD112F" w:rsidP="00771F30">
      <w:pPr>
        <w:pStyle w:val="COMParaDecision"/>
        <w:numPr>
          <w:ilvl w:val="0"/>
          <w:numId w:val="5"/>
        </w:numPr>
        <w:ind w:left="567" w:hanging="567"/>
      </w:pPr>
      <w:r>
        <w:t>Félicite</w:t>
      </w:r>
      <w:r>
        <w:rPr>
          <w:u w:val="none"/>
        </w:rPr>
        <w:t xml:space="preserve"> le Secrétariat pour le soutien opportun apporté aux organes directeurs de la Convention dans l</w:t>
      </w:r>
      <w:r w:rsidR="009C104E">
        <w:rPr>
          <w:u w:val="none"/>
        </w:rPr>
        <w:t>’</w:t>
      </w:r>
      <w:r>
        <w:rPr>
          <w:u w:val="none"/>
        </w:rPr>
        <w:t>exécution de leurs principales résolutions et décisions, et pour son accompagnement de la communauté internationale dans ses efforts continus pour développer la Convention, notamment via le développement du cadre global de résultats, la réflexion en cours sur les mécanismes d</w:t>
      </w:r>
      <w:r w:rsidR="009C104E">
        <w:rPr>
          <w:u w:val="none"/>
        </w:rPr>
        <w:t>’</w:t>
      </w:r>
      <w:r>
        <w:rPr>
          <w:u w:val="none"/>
        </w:rPr>
        <w:t>inscription, ainsi qu</w:t>
      </w:r>
      <w:r w:rsidR="009C104E">
        <w:rPr>
          <w:u w:val="none"/>
        </w:rPr>
        <w:t>’</w:t>
      </w:r>
      <w:r>
        <w:rPr>
          <w:u w:val="none"/>
        </w:rPr>
        <w:t>à travers l</w:t>
      </w:r>
      <w:r w:rsidR="009C104E">
        <w:rPr>
          <w:u w:val="none"/>
        </w:rPr>
        <w:t>’</w:t>
      </w:r>
      <w:r>
        <w:rPr>
          <w:u w:val="none"/>
        </w:rPr>
        <w:t>examen et le soutien technique qu</w:t>
      </w:r>
      <w:r w:rsidR="009C104E">
        <w:rPr>
          <w:u w:val="none"/>
        </w:rPr>
        <w:t>’</w:t>
      </w:r>
      <w:r>
        <w:rPr>
          <w:u w:val="none"/>
        </w:rPr>
        <w:t>il apporte aux nouvelles initiatives thématiques comme le patrimoine culturel immatériel dans les situations d</w:t>
      </w:r>
      <w:r w:rsidR="009C104E">
        <w:rPr>
          <w:u w:val="none"/>
        </w:rPr>
        <w:t>’</w:t>
      </w:r>
      <w:r>
        <w:rPr>
          <w:u w:val="none"/>
        </w:rPr>
        <w:t>urgence, dans l</w:t>
      </w:r>
      <w:r w:rsidR="009C104E">
        <w:rPr>
          <w:u w:val="none"/>
        </w:rPr>
        <w:t>’</w:t>
      </w:r>
      <w:r>
        <w:rPr>
          <w:u w:val="none"/>
        </w:rPr>
        <w:t>éducation et dans les contextes urbains ;</w:t>
      </w:r>
    </w:p>
    <w:p w14:paraId="71C2870E" w14:textId="77777777" w:rsidR="00BD112F" w:rsidRDefault="00BD112F" w:rsidP="00BD112F">
      <w:pPr>
        <w:pStyle w:val="COMParaDecision"/>
        <w:ind w:left="567"/>
        <w:rPr>
          <w:b/>
          <w:u w:val="none"/>
        </w:rPr>
      </w:pPr>
      <w:r>
        <w:rPr>
          <w:b/>
          <w:u w:val="none"/>
        </w:rPr>
        <w:t>Gouvernance de la Convention de 2003</w:t>
      </w:r>
    </w:p>
    <w:p w14:paraId="4EC407F7" w14:textId="2A663BBC" w:rsidR="00BD112F" w:rsidRDefault="00BD112F" w:rsidP="00771F30">
      <w:pPr>
        <w:pStyle w:val="COMParaDecision"/>
        <w:numPr>
          <w:ilvl w:val="0"/>
          <w:numId w:val="5"/>
        </w:numPr>
        <w:ind w:left="567" w:hanging="567"/>
      </w:pPr>
      <w:r>
        <w:t>Félicite en outre</w:t>
      </w:r>
      <w:r>
        <w:rPr>
          <w:u w:val="none"/>
        </w:rPr>
        <w:t xml:space="preserve"> le Secrétariat pour son organisation efficace et dans les délais des réunions statutaires et sa gestion des dossiers de candidature, des rapports périodiques, des demandes d</w:t>
      </w:r>
      <w:r w:rsidR="009C104E">
        <w:rPr>
          <w:u w:val="none"/>
        </w:rPr>
        <w:t>’</w:t>
      </w:r>
      <w:r>
        <w:rPr>
          <w:u w:val="none"/>
        </w:rPr>
        <w:t>accréditation et de renouvellement des organisations non gouvernementales, ainsi que des demandes d</w:t>
      </w:r>
      <w:r w:rsidR="009C104E">
        <w:rPr>
          <w:u w:val="none"/>
        </w:rPr>
        <w:t>’</w:t>
      </w:r>
      <w:r>
        <w:rPr>
          <w:u w:val="none"/>
        </w:rPr>
        <w:t xml:space="preserve">assistance internationale et </w:t>
      </w:r>
      <w:r>
        <w:t>note avec satisfaction</w:t>
      </w:r>
      <w:r>
        <w:rPr>
          <w:u w:val="none"/>
        </w:rPr>
        <w:t xml:space="preserve"> les efforts déployés par le Secrétariat en vue du déploiement du cadre global de résultats de la Convention et de la mise en œuvre opérationnelle du dossier d</w:t>
      </w:r>
      <w:r w:rsidR="009C104E">
        <w:rPr>
          <w:u w:val="none"/>
        </w:rPr>
        <w:t>’</w:t>
      </w:r>
      <w:r>
        <w:rPr>
          <w:u w:val="none"/>
        </w:rPr>
        <w:t>assistance internationale ;</w:t>
      </w:r>
    </w:p>
    <w:p w14:paraId="51726D84" w14:textId="0C249AD1" w:rsidR="00BD112F" w:rsidRDefault="00BD112F" w:rsidP="00771F30">
      <w:pPr>
        <w:pStyle w:val="COMParaDecision"/>
        <w:numPr>
          <w:ilvl w:val="0"/>
          <w:numId w:val="5"/>
        </w:numPr>
        <w:ind w:left="567" w:hanging="567"/>
      </w:pPr>
      <w:r>
        <w:t>Prend note</w:t>
      </w:r>
      <w:r>
        <w:rPr>
          <w:u w:val="none"/>
        </w:rPr>
        <w:t xml:space="preserve"> de l</w:t>
      </w:r>
      <w:r w:rsidR="009C104E">
        <w:rPr>
          <w:u w:val="none"/>
        </w:rPr>
        <w:t>’</w:t>
      </w:r>
      <w:r>
        <w:rPr>
          <w:u w:val="none"/>
        </w:rPr>
        <w:t>initiative « Bibliographie de la Convention du patrimoine culturel immatériel », qui permet de créer une source d</w:t>
      </w:r>
      <w:r w:rsidR="009C104E">
        <w:rPr>
          <w:u w:val="none"/>
        </w:rPr>
        <w:t>’</w:t>
      </w:r>
      <w:r>
        <w:rPr>
          <w:u w:val="none"/>
        </w:rPr>
        <w:t>informations fournie en lien avec la Convention et sa mise en œuvre de façon générale ;</w:t>
      </w:r>
    </w:p>
    <w:p w14:paraId="2DE0322D" w14:textId="005CC16E" w:rsidR="00BD112F" w:rsidRDefault="00BD112F" w:rsidP="00771F30">
      <w:pPr>
        <w:pStyle w:val="COMParaDecision"/>
        <w:numPr>
          <w:ilvl w:val="0"/>
          <w:numId w:val="5"/>
        </w:numPr>
        <w:ind w:left="567" w:hanging="567"/>
      </w:pPr>
      <w:r>
        <w:t>Salue</w:t>
      </w:r>
      <w:r>
        <w:rPr>
          <w:u w:val="none"/>
        </w:rPr>
        <w:t xml:space="preserve"> les résultats de l</w:t>
      </w:r>
      <w:r w:rsidR="009C104E">
        <w:rPr>
          <w:u w:val="none"/>
        </w:rPr>
        <w:t>’</w:t>
      </w:r>
      <w:r>
        <w:rPr>
          <w:u w:val="none"/>
        </w:rPr>
        <w:t xml:space="preserve">enquête sur les alternatives et les solutions disponibles pour simplifier le partage des pratiques de sauvegarde du patrimoine culturel immatériel et </w:t>
      </w:r>
      <w:r>
        <w:t>décide</w:t>
      </w:r>
      <w:r>
        <w:rPr>
          <w:u w:val="none"/>
        </w:rPr>
        <w:t xml:space="preserve"> de tenir compte de ces résultats dans la réflexion globale en cours sur les mécanismes d</w:t>
      </w:r>
      <w:r w:rsidR="009C104E">
        <w:rPr>
          <w:u w:val="none"/>
        </w:rPr>
        <w:t>’</w:t>
      </w:r>
      <w:r>
        <w:rPr>
          <w:u w:val="none"/>
        </w:rPr>
        <w:t>inscription sur les listes de la Convention ;</w:t>
      </w:r>
    </w:p>
    <w:p w14:paraId="0CF1BE4B" w14:textId="77777777" w:rsidR="00BD112F" w:rsidRDefault="00BD112F" w:rsidP="00BD112F">
      <w:pPr>
        <w:pStyle w:val="COMParaDecision"/>
        <w:ind w:left="567"/>
        <w:jc w:val="left"/>
      </w:pPr>
      <w:r>
        <w:rPr>
          <w:b/>
          <w:u w:val="none"/>
        </w:rPr>
        <w:t>Actions opérationnelles</w:t>
      </w:r>
    </w:p>
    <w:p w14:paraId="311E03D6" w14:textId="09CBEFD7" w:rsidR="00BD112F" w:rsidRPr="00323DB8" w:rsidRDefault="00BD112F" w:rsidP="00771F30">
      <w:pPr>
        <w:pStyle w:val="COMParaDecision"/>
        <w:numPr>
          <w:ilvl w:val="0"/>
          <w:numId w:val="5"/>
        </w:numPr>
        <w:ind w:left="567" w:hanging="567"/>
      </w:pPr>
      <w:r>
        <w:t>Exprime sa satisfaction</w:t>
      </w:r>
      <w:r w:rsidRPr="00323DB8">
        <w:rPr>
          <w:u w:val="none"/>
        </w:rPr>
        <w:t xml:space="preserve"> </w:t>
      </w:r>
      <w:r>
        <w:rPr>
          <w:u w:val="none"/>
        </w:rPr>
        <w:t>quant à l</w:t>
      </w:r>
      <w:r w:rsidR="009C104E">
        <w:rPr>
          <w:u w:val="none"/>
        </w:rPr>
        <w:t>’</w:t>
      </w:r>
      <w:r>
        <w:rPr>
          <w:u w:val="none"/>
        </w:rPr>
        <w:t xml:space="preserve">efficacité du programme mondial de renforcement des capacités, qui a contribué à renforcer les capacités nationales de sauvegarde du patrimoine culturel immatériel et </w:t>
      </w:r>
      <w:r>
        <w:t>salue en outre</w:t>
      </w:r>
      <w:r>
        <w:rPr>
          <w:u w:val="none"/>
        </w:rPr>
        <w:t xml:space="preserve"> les nouvelles avancées à cet égard, notamment la création du guide pratique du développement durable et la constitution du groupe de travail interrégional de facilitateurs ;</w:t>
      </w:r>
    </w:p>
    <w:p w14:paraId="6785F23F" w14:textId="39ECEA89" w:rsidR="00136F14" w:rsidRDefault="00136F14" w:rsidP="00771F30">
      <w:pPr>
        <w:pStyle w:val="COMParaDecision"/>
        <w:numPr>
          <w:ilvl w:val="0"/>
          <w:numId w:val="5"/>
        </w:numPr>
        <w:ind w:left="567" w:hanging="567"/>
      </w:pPr>
      <w:r w:rsidRPr="00B46DD6">
        <w:t>Invite</w:t>
      </w:r>
      <w:r w:rsidRPr="00323DB8">
        <w:rPr>
          <w:u w:val="none"/>
        </w:rPr>
        <w:t xml:space="preserve"> </w:t>
      </w:r>
      <w:r w:rsidRPr="00B46DD6">
        <w:rPr>
          <w:u w:val="none"/>
        </w:rPr>
        <w:t>le Secrétariat à poursuivre ses efforts pour le renforcement des capacités nationales en Afrique et dans les Petits États insulaires en développement, y compris dans le contexte du patrimoine culturel immatériel dans les situations d</w:t>
      </w:r>
      <w:r w:rsidR="009C104E">
        <w:rPr>
          <w:u w:val="none"/>
        </w:rPr>
        <w:t>’</w:t>
      </w:r>
      <w:r w:rsidRPr="00B46DD6">
        <w:rPr>
          <w:u w:val="none"/>
        </w:rPr>
        <w:t>urgence ;</w:t>
      </w:r>
    </w:p>
    <w:p w14:paraId="18AB3BFF" w14:textId="01C7BD21" w:rsidR="00BD112F" w:rsidRDefault="00BD112F" w:rsidP="00771F30">
      <w:pPr>
        <w:pStyle w:val="COMParaDecision"/>
        <w:numPr>
          <w:ilvl w:val="0"/>
          <w:numId w:val="5"/>
        </w:numPr>
        <w:ind w:left="567" w:hanging="567"/>
      </w:pPr>
      <w:r>
        <w:t>Remercie</w:t>
      </w:r>
      <w:r>
        <w:rPr>
          <w:u w:val="none"/>
        </w:rPr>
        <w:t xml:space="preserve"> les États parties et les centres de catégorie 2 d</w:t>
      </w:r>
      <w:r w:rsidR="009C104E">
        <w:rPr>
          <w:u w:val="none"/>
        </w:rPr>
        <w:t>’</w:t>
      </w:r>
      <w:r>
        <w:rPr>
          <w:u w:val="none"/>
        </w:rPr>
        <w:t>organiser et de diriger des ateliers de formation régionaux pour les facilitateurs en collaboration étroite avec le Secrétariat, de renforcer et d</w:t>
      </w:r>
      <w:r w:rsidR="009C104E">
        <w:rPr>
          <w:u w:val="none"/>
        </w:rPr>
        <w:t>’</w:t>
      </w:r>
      <w:r>
        <w:rPr>
          <w:u w:val="none"/>
        </w:rPr>
        <w:t>élargir efficacement le réseau régional de facilitateurs et de contribuer aux objectifs stratégiques de l</w:t>
      </w:r>
      <w:r w:rsidR="009C104E">
        <w:rPr>
          <w:u w:val="none"/>
        </w:rPr>
        <w:t>’</w:t>
      </w:r>
      <w:r>
        <w:rPr>
          <w:u w:val="none"/>
        </w:rPr>
        <w:t>UNESCO dans le domaine du patrimoine culturel immatériel ;</w:t>
      </w:r>
    </w:p>
    <w:p w14:paraId="7C2968B2" w14:textId="7C08E5BB" w:rsidR="00BD112F" w:rsidRDefault="00BD112F" w:rsidP="00771F30">
      <w:pPr>
        <w:pStyle w:val="COMParaDecision"/>
        <w:numPr>
          <w:ilvl w:val="0"/>
          <w:numId w:val="5"/>
        </w:numPr>
        <w:ind w:left="567" w:hanging="567"/>
      </w:pPr>
      <w:r>
        <w:t>Souligne</w:t>
      </w:r>
      <w:r>
        <w:rPr>
          <w:u w:val="none"/>
        </w:rPr>
        <w:t xml:space="preserve"> le rôle fondamental joué par l</w:t>
      </w:r>
      <w:r w:rsidR="009C104E">
        <w:rPr>
          <w:u w:val="none"/>
        </w:rPr>
        <w:t>’</w:t>
      </w:r>
      <w:r>
        <w:rPr>
          <w:u w:val="none"/>
        </w:rPr>
        <w:t xml:space="preserve">éducation dans le renforcement de la transmission du patrimoine culturel immatériel et </w:t>
      </w:r>
      <w:r>
        <w:t>salue également</w:t>
      </w:r>
      <w:r>
        <w:rPr>
          <w:u w:val="none"/>
        </w:rPr>
        <w:t xml:space="preserve"> les progrès réalisés dans la mise en œuvre de la priorité de financement « sauvegarde et transmission du patrimoine culturel immatériel dans l</w:t>
      </w:r>
      <w:r w:rsidR="009C104E">
        <w:rPr>
          <w:u w:val="none"/>
        </w:rPr>
        <w:t>’</w:t>
      </w:r>
      <w:r>
        <w:rPr>
          <w:u w:val="none"/>
        </w:rPr>
        <w:t>éducation formelle et non formelle », notamment par le biais du travail intersectoriel accompli à la fois au Siège et dans les bureaux hors Siège et par le biais de la mise en place d</w:t>
      </w:r>
      <w:r w:rsidR="009C104E">
        <w:rPr>
          <w:u w:val="none"/>
        </w:rPr>
        <w:t>’</w:t>
      </w:r>
      <w:r>
        <w:rPr>
          <w:u w:val="none"/>
        </w:rPr>
        <w:t>une plateforme d</w:t>
      </w:r>
      <w:r w:rsidR="009C104E">
        <w:rPr>
          <w:u w:val="none"/>
        </w:rPr>
        <w:t>’</w:t>
      </w:r>
      <w:r>
        <w:rPr>
          <w:u w:val="none"/>
        </w:rPr>
        <w:t>information destinée à favoriser le partage de connaissances, la coopération et l</w:t>
      </w:r>
      <w:r w:rsidR="009C104E">
        <w:rPr>
          <w:u w:val="none"/>
        </w:rPr>
        <w:t>’</w:t>
      </w:r>
      <w:r>
        <w:rPr>
          <w:u w:val="none"/>
        </w:rPr>
        <w:t>innovation sur les thèmes du patrimoine culturel immatériel et de l</w:t>
      </w:r>
      <w:r w:rsidR="009C104E">
        <w:rPr>
          <w:u w:val="none"/>
        </w:rPr>
        <w:t>’</w:t>
      </w:r>
      <w:r>
        <w:rPr>
          <w:u w:val="none"/>
        </w:rPr>
        <w:t>éducation ;</w:t>
      </w:r>
    </w:p>
    <w:p w14:paraId="5BA2644E" w14:textId="5DF5B687" w:rsidR="00BD112F" w:rsidRDefault="00BD112F" w:rsidP="00B932EA">
      <w:pPr>
        <w:pStyle w:val="COMParaDecision"/>
        <w:numPr>
          <w:ilvl w:val="0"/>
          <w:numId w:val="5"/>
        </w:numPr>
        <w:ind w:left="567" w:hanging="567"/>
      </w:pPr>
      <w:r>
        <w:t>Prend note en outre</w:t>
      </w:r>
      <w:r>
        <w:rPr>
          <w:u w:val="none"/>
        </w:rPr>
        <w:t xml:space="preserve"> de l</w:t>
      </w:r>
      <w:r w:rsidR="009C104E">
        <w:rPr>
          <w:u w:val="none"/>
        </w:rPr>
        <w:t>’</w:t>
      </w:r>
      <w:r>
        <w:rPr>
          <w:u w:val="none"/>
        </w:rPr>
        <w:t xml:space="preserve">initiative sur le patrimoine culturel immatériel dans les contextes urbains, </w:t>
      </w:r>
      <w:r>
        <w:t>remercie</w:t>
      </w:r>
      <w:r>
        <w:rPr>
          <w:u w:val="none"/>
        </w:rPr>
        <w:t xml:space="preserve"> le secteur privé de la République populaire de Chine pour sa généreuse contribution à cette initiative et </w:t>
      </w:r>
      <w:r>
        <w:t>invite</w:t>
      </w:r>
      <w:r>
        <w:rPr>
          <w:u w:val="none"/>
        </w:rPr>
        <w:t xml:space="preserve"> le Secrétariat à poursuivre ses efforts dans ce domaine ;</w:t>
      </w:r>
    </w:p>
    <w:p w14:paraId="7FEEF70C" w14:textId="77777777" w:rsidR="00BD112F" w:rsidRDefault="00BD112F" w:rsidP="00BD112F">
      <w:pPr>
        <w:pStyle w:val="COMParaDecision"/>
        <w:keepNext/>
        <w:ind w:left="567"/>
        <w:rPr>
          <w:b/>
          <w:u w:val="none"/>
        </w:rPr>
      </w:pPr>
      <w:r>
        <w:rPr>
          <w:b/>
          <w:u w:val="none"/>
        </w:rPr>
        <w:t>Communication et sensibilisation</w:t>
      </w:r>
    </w:p>
    <w:p w14:paraId="0D888B16" w14:textId="77777777" w:rsidR="00BD112F" w:rsidRDefault="00BD112F" w:rsidP="00771F30">
      <w:pPr>
        <w:pStyle w:val="COMParaDecision"/>
        <w:numPr>
          <w:ilvl w:val="0"/>
          <w:numId w:val="5"/>
        </w:numPr>
        <w:ind w:left="567" w:hanging="567"/>
        <w:rPr>
          <w:u w:val="none"/>
        </w:rPr>
      </w:pPr>
      <w:r>
        <w:t>Apprécie</w:t>
      </w:r>
      <w:r>
        <w:rPr>
          <w:u w:val="none"/>
        </w:rPr>
        <w:t xml:space="preserve"> la mise en œuvre des différentes initiatives de communication et de sensibilisation menées visant à mieux faire connaître la Convention et à accroître sa visibilité, et </w:t>
      </w:r>
      <w:r>
        <w:t>encourage</w:t>
      </w:r>
      <w:r>
        <w:rPr>
          <w:u w:val="none"/>
        </w:rPr>
        <w:t xml:space="preserve"> le Secrétariat à poursuivre ses efforts dans ce domaine ;</w:t>
      </w:r>
    </w:p>
    <w:p w14:paraId="4A4C8B0E" w14:textId="593DB9B3" w:rsidR="00BD112F" w:rsidRDefault="00BD112F" w:rsidP="00771F30">
      <w:pPr>
        <w:pStyle w:val="COMParaDecision"/>
        <w:numPr>
          <w:ilvl w:val="0"/>
          <w:numId w:val="5"/>
        </w:numPr>
        <w:ind w:left="567" w:hanging="567"/>
      </w:pPr>
      <w:r>
        <w:t>Apprécie en outre</w:t>
      </w:r>
      <w:r>
        <w:rPr>
          <w:u w:val="none"/>
        </w:rPr>
        <w:t xml:space="preserve"> le développement supplémentaire de l</w:t>
      </w:r>
      <w:r w:rsidR="009C104E">
        <w:rPr>
          <w:u w:val="none"/>
        </w:rPr>
        <w:t>’</w:t>
      </w:r>
      <w:r>
        <w:rPr>
          <w:u w:val="none"/>
        </w:rPr>
        <w:t xml:space="preserve">initiative « Plongez dans le patrimoine culturel immatériel », et </w:t>
      </w:r>
      <w:r>
        <w:t>remercie</w:t>
      </w:r>
      <w:r>
        <w:rPr>
          <w:u w:val="none"/>
        </w:rPr>
        <w:t xml:space="preserve"> le gouvernement des Pays-Bas de sa généreuse contribution à cette initiative ;</w:t>
      </w:r>
    </w:p>
    <w:p w14:paraId="757F7D89" w14:textId="77777777" w:rsidR="00BD112F" w:rsidRDefault="00BD112F" w:rsidP="00BD112F">
      <w:pPr>
        <w:pStyle w:val="COMParaDecision"/>
        <w:ind w:left="567"/>
      </w:pPr>
      <w:r>
        <w:rPr>
          <w:b/>
          <w:u w:val="none"/>
        </w:rPr>
        <w:t>Contributions volontaires</w:t>
      </w:r>
    </w:p>
    <w:p w14:paraId="36FFEEBA" w14:textId="4A6F004C" w:rsidR="00BD112F" w:rsidRDefault="00BD112F" w:rsidP="00771F30">
      <w:pPr>
        <w:pStyle w:val="COMParaDecision"/>
        <w:numPr>
          <w:ilvl w:val="0"/>
          <w:numId w:val="5"/>
        </w:numPr>
        <w:ind w:left="567" w:hanging="567"/>
      </w:pPr>
      <w:r>
        <w:t>Exprime son inquiétude</w:t>
      </w:r>
      <w:r>
        <w:rPr>
          <w:u w:val="none"/>
        </w:rPr>
        <w:t xml:space="preserve"> au sujet de la baisse continue des contributions volontaires pour la mise en œuvre des deux priorités de financement de la Convention approuvées pour la période 2018</w:t>
      </w:r>
      <w:r w:rsidR="00034068">
        <w:rPr>
          <w:u w:val="none"/>
        </w:rPr>
        <w:noBreakHyphen/>
      </w:r>
      <w:r>
        <w:rPr>
          <w:u w:val="none"/>
        </w:rPr>
        <w:t>2021</w:t>
      </w:r>
      <w:r w:rsidR="00034068">
        <w:rPr>
          <w:u w:val="none"/>
        </w:rPr>
        <w:t xml:space="preserve"> </w:t>
      </w:r>
      <w:r>
        <w:rPr>
          <w:u w:val="none"/>
        </w:rPr>
        <w:t xml:space="preserve">et </w:t>
      </w:r>
      <w:r>
        <w:t>appelle</w:t>
      </w:r>
      <w:r>
        <w:rPr>
          <w:u w:val="none"/>
        </w:rPr>
        <w:t xml:space="preserve"> les États parties à fournir des ressources supplémentaires au Fonds du patrimoine culturel immatériel pour favoriser la viabilité financière et la mise en œuvre opérationnelle des projets.</w:t>
      </w:r>
    </w:p>
    <w:p w14:paraId="13761616" w14:textId="77777777" w:rsidR="006E2D5D" w:rsidRPr="00FD624F" w:rsidRDefault="006E2D5D" w:rsidP="000E69D4">
      <w:pPr>
        <w:pStyle w:val="COMTitleDecision"/>
        <w:keepLines/>
        <w:spacing w:before="360"/>
        <w:ind w:left="0"/>
        <w:rPr>
          <w:rFonts w:eastAsia="SimSun"/>
        </w:rPr>
      </w:pPr>
      <w:r w:rsidRPr="00EA61FD">
        <w:t xml:space="preserve">DÉCISION </w:t>
      </w:r>
      <w:r w:rsidR="00BD112F" w:rsidRPr="00EA61FD">
        <w:t>14</w:t>
      </w:r>
      <w:r w:rsidRPr="00EA61FD">
        <w:t>.COM 6</w:t>
      </w:r>
    </w:p>
    <w:p w14:paraId="343A0C88" w14:textId="77777777" w:rsidR="00BD112F" w:rsidRPr="00BD112F" w:rsidRDefault="00BD112F" w:rsidP="00BD112F">
      <w:pPr>
        <w:pStyle w:val="COMPreambulaDecisions"/>
        <w:ind w:left="0"/>
      </w:pPr>
      <w:r>
        <w:t>Le Comité,</w:t>
      </w:r>
    </w:p>
    <w:p w14:paraId="31FF7C46" w14:textId="70921C40" w:rsidR="00BD112F" w:rsidRPr="00851C83" w:rsidRDefault="00BD112F" w:rsidP="00771F30">
      <w:pPr>
        <w:pStyle w:val="COMParaDecision"/>
        <w:numPr>
          <w:ilvl w:val="0"/>
          <w:numId w:val="13"/>
        </w:numPr>
        <w:ind w:left="567" w:hanging="567"/>
        <w:rPr>
          <w:rFonts w:eastAsia="SimSun"/>
          <w:u w:val="none"/>
        </w:rPr>
      </w:pPr>
      <w:r w:rsidRPr="00BD112F">
        <w:t xml:space="preserve">Ayant examiné </w:t>
      </w:r>
      <w:r w:rsidRPr="00851C83">
        <w:rPr>
          <w:u w:val="none"/>
        </w:rPr>
        <w:t xml:space="preserve">le document </w:t>
      </w:r>
      <w:hyperlink r:id="rId20" w:history="1">
        <w:r w:rsidR="00034068" w:rsidRPr="00034068">
          <w:rPr>
            <w:rStyle w:val="Hyperlink"/>
          </w:rPr>
          <w:t>LHE/19/14.COM/6 Rev.</w:t>
        </w:r>
      </w:hyperlink>
      <w:r w:rsidRPr="00851C83">
        <w:rPr>
          <w:u w:val="none"/>
        </w:rPr>
        <w:t>,</w:t>
      </w:r>
    </w:p>
    <w:p w14:paraId="314F4C1E" w14:textId="082A7C4E" w:rsidR="00BD112F" w:rsidRDefault="00BD112F" w:rsidP="00771F30">
      <w:pPr>
        <w:numPr>
          <w:ilvl w:val="0"/>
          <w:numId w:val="5"/>
        </w:numPr>
        <w:autoSpaceDE w:val="0"/>
        <w:autoSpaceDN w:val="0"/>
        <w:adjustRightInd w:val="0"/>
        <w:spacing w:after="120"/>
        <w:ind w:left="567" w:hanging="567"/>
        <w:jc w:val="both"/>
        <w:rPr>
          <w:rFonts w:ascii="Arial" w:eastAsia="SimSun" w:hAnsi="Arial" w:cs="Arial"/>
          <w:sz w:val="22"/>
          <w:szCs w:val="22"/>
          <w:u w:val="single"/>
        </w:rPr>
      </w:pPr>
      <w:r>
        <w:rPr>
          <w:rFonts w:ascii="Arial" w:hAnsi="Arial"/>
          <w:sz w:val="22"/>
          <w:szCs w:val="22"/>
          <w:u w:val="single"/>
        </w:rPr>
        <w:t>Rappelant</w:t>
      </w:r>
      <w:r>
        <w:rPr>
          <w:rFonts w:ascii="Arial" w:hAnsi="Arial"/>
          <w:sz w:val="22"/>
          <w:szCs w:val="22"/>
        </w:rPr>
        <w:t xml:space="preserve"> l</w:t>
      </w:r>
      <w:r w:rsidR="009C104E">
        <w:rPr>
          <w:rFonts w:ascii="Arial" w:hAnsi="Arial"/>
          <w:sz w:val="22"/>
          <w:szCs w:val="22"/>
        </w:rPr>
        <w:t>’</w:t>
      </w:r>
      <w:r>
        <w:rPr>
          <w:rFonts w:ascii="Arial" w:hAnsi="Arial"/>
          <w:sz w:val="22"/>
          <w:szCs w:val="22"/>
        </w:rPr>
        <w:t>article 25.5 de la Convention et le chapitre II des Directives opérationnelles,</w:t>
      </w:r>
    </w:p>
    <w:p w14:paraId="4A27E7B3" w14:textId="77777777" w:rsidR="00BD112F" w:rsidRDefault="00BD112F" w:rsidP="00771F30">
      <w:pPr>
        <w:numPr>
          <w:ilvl w:val="0"/>
          <w:numId w:val="5"/>
        </w:numPr>
        <w:autoSpaceDE w:val="0"/>
        <w:autoSpaceDN w:val="0"/>
        <w:adjustRightInd w:val="0"/>
        <w:spacing w:after="120"/>
        <w:ind w:left="567" w:hanging="567"/>
        <w:jc w:val="both"/>
        <w:rPr>
          <w:rFonts w:ascii="Arial" w:eastAsia="SimSun" w:hAnsi="Arial" w:cs="Arial"/>
          <w:sz w:val="22"/>
          <w:szCs w:val="22"/>
          <w:u w:val="single"/>
        </w:rPr>
      </w:pPr>
      <w:r>
        <w:rPr>
          <w:rFonts w:ascii="Arial" w:hAnsi="Arial"/>
          <w:sz w:val="22"/>
          <w:szCs w:val="22"/>
          <w:u w:val="single"/>
        </w:rPr>
        <w:t>Rappelant en outre</w:t>
      </w:r>
      <w:r>
        <w:rPr>
          <w:rFonts w:ascii="Arial" w:hAnsi="Arial"/>
          <w:sz w:val="22"/>
          <w:szCs w:val="22"/>
        </w:rPr>
        <w:t xml:space="preserve"> ses décisions précédentes concernant les contributions volontaires supplémentaires au Fonds du patrimoine culturel immatériel, et plus récemment, sa </w:t>
      </w:r>
      <w:r>
        <w:rPr>
          <w:rFonts w:ascii="Arial" w:hAnsi="Arial"/>
          <w:color w:val="0000FF"/>
          <w:sz w:val="22"/>
          <w:szCs w:val="22"/>
          <w:u w:val="single"/>
        </w:rPr>
        <w:t>décision </w:t>
      </w:r>
      <w:hyperlink r:id="rId21" w:history="1">
        <w:r>
          <w:rPr>
            <w:rStyle w:val="Hyperlink"/>
            <w:rFonts w:ascii="Arial" w:hAnsi="Arial"/>
            <w:sz w:val="22"/>
            <w:szCs w:val="22"/>
          </w:rPr>
          <w:t>13.</w:t>
        </w:r>
        <w:r>
          <w:rPr>
            <w:rStyle w:val="Hyperlink"/>
            <w:rFonts w:ascii="Arial" w:hAnsi="Arial"/>
            <w:color w:val="0000FF"/>
            <w:sz w:val="22"/>
            <w:szCs w:val="22"/>
          </w:rPr>
          <w:t>COM</w:t>
        </w:r>
        <w:r>
          <w:rPr>
            <w:rStyle w:val="Hyperlink"/>
            <w:rFonts w:ascii="Arial" w:hAnsi="Arial"/>
            <w:sz w:val="22"/>
            <w:szCs w:val="22"/>
          </w:rPr>
          <w:t xml:space="preserve"> 6</w:t>
        </w:r>
      </w:hyperlink>
      <w:r>
        <w:rPr>
          <w:rFonts w:ascii="Arial" w:hAnsi="Arial"/>
          <w:sz w:val="22"/>
          <w:szCs w:val="22"/>
        </w:rPr>
        <w:t>,</w:t>
      </w:r>
    </w:p>
    <w:p w14:paraId="77F09ED5" w14:textId="77777777" w:rsidR="00BD112F" w:rsidRDefault="00BD112F" w:rsidP="00771F30">
      <w:pPr>
        <w:numPr>
          <w:ilvl w:val="0"/>
          <w:numId w:val="5"/>
        </w:numPr>
        <w:autoSpaceDE w:val="0"/>
        <w:autoSpaceDN w:val="0"/>
        <w:adjustRightInd w:val="0"/>
        <w:spacing w:after="120"/>
        <w:ind w:left="567" w:hanging="567"/>
        <w:jc w:val="both"/>
        <w:rPr>
          <w:rFonts w:ascii="Arial" w:eastAsia="SimSun" w:hAnsi="Arial" w:cs="Arial"/>
          <w:sz w:val="22"/>
          <w:szCs w:val="22"/>
          <w:u w:val="single"/>
        </w:rPr>
      </w:pPr>
      <w:r>
        <w:rPr>
          <w:rFonts w:ascii="Arial" w:hAnsi="Arial"/>
          <w:sz w:val="22"/>
          <w:szCs w:val="22"/>
          <w:u w:val="single"/>
        </w:rPr>
        <w:t>Rappelant également</w:t>
      </w:r>
      <w:r>
        <w:rPr>
          <w:rFonts w:ascii="Arial" w:hAnsi="Arial"/>
          <w:sz w:val="22"/>
          <w:szCs w:val="22"/>
        </w:rPr>
        <w:t xml:space="preserve"> le document du Conseil exécutif </w:t>
      </w:r>
      <w:hyperlink r:id="rId22" w:history="1">
        <w:r>
          <w:rPr>
            <w:rStyle w:val="Hyperlink"/>
            <w:rFonts w:ascii="Arial" w:hAnsi="Arial"/>
            <w:sz w:val="22"/>
            <w:szCs w:val="22"/>
          </w:rPr>
          <w:t>204 EX/5 Partie II.E</w:t>
        </w:r>
      </w:hyperlink>
      <w:r>
        <w:rPr>
          <w:rFonts w:ascii="Arial" w:hAnsi="Arial"/>
          <w:sz w:val="22"/>
          <w:szCs w:val="22"/>
        </w:rPr>
        <w:t xml:space="preserve"> sur la « Politique de recouvrement des coûts : proposition révisée de politique de taux différentiels concernant les taux de gestion » et de la décision qui lui est associée,</w:t>
      </w:r>
    </w:p>
    <w:p w14:paraId="650A454B" w14:textId="5BDDD907" w:rsidR="00BD112F" w:rsidRDefault="00BD112F" w:rsidP="00771F30">
      <w:pPr>
        <w:pStyle w:val="COMParaDecision"/>
        <w:numPr>
          <w:ilvl w:val="0"/>
          <w:numId w:val="5"/>
        </w:numPr>
        <w:ind w:left="567" w:hanging="567"/>
        <w:rPr>
          <w:rFonts w:eastAsia="SimSun"/>
          <w:u w:val="none"/>
        </w:rPr>
      </w:pPr>
      <w:r>
        <w:t>Exprime sa reconnaissance</w:t>
      </w:r>
      <w:r>
        <w:rPr>
          <w:u w:val="none"/>
        </w:rPr>
        <w:t xml:space="preserve"> à tous les donateurs qui ont généreusement soutenu la Convention et son Secrétariat depuis sa dernière session, à savoir le Japon, Monaco, le Monténégro, </w:t>
      </w:r>
      <w:r w:rsidR="00DA1116">
        <w:rPr>
          <w:u w:val="none"/>
        </w:rPr>
        <w:t xml:space="preserve">les Pays-Bas, la Suède et la Suisse, </w:t>
      </w:r>
      <w:r>
        <w:rPr>
          <w:u w:val="none"/>
        </w:rPr>
        <w:t>ainsi qu</w:t>
      </w:r>
      <w:r w:rsidR="009C104E">
        <w:rPr>
          <w:u w:val="none"/>
        </w:rPr>
        <w:t>’</w:t>
      </w:r>
      <w:r>
        <w:rPr>
          <w:u w:val="none"/>
        </w:rPr>
        <w:t>à la République populaire de Chine et Singapour pour leur contribution en nature ;</w:t>
      </w:r>
    </w:p>
    <w:p w14:paraId="56112816" w14:textId="77777777" w:rsidR="00BD112F" w:rsidRDefault="007A488E" w:rsidP="00771F30">
      <w:pPr>
        <w:keepNext/>
        <w:keepLines/>
        <w:numPr>
          <w:ilvl w:val="0"/>
          <w:numId w:val="5"/>
        </w:numPr>
        <w:autoSpaceDE w:val="0"/>
        <w:autoSpaceDN w:val="0"/>
        <w:adjustRightInd w:val="0"/>
        <w:spacing w:after="120"/>
        <w:ind w:left="567" w:hanging="567"/>
        <w:jc w:val="both"/>
        <w:rPr>
          <w:rFonts w:ascii="Arial" w:eastAsia="SimSun" w:hAnsi="Arial" w:cs="Arial"/>
          <w:sz w:val="22"/>
          <w:szCs w:val="22"/>
        </w:rPr>
      </w:pPr>
      <w:r>
        <w:rPr>
          <w:rFonts w:ascii="Arial" w:hAnsi="Arial"/>
          <w:sz w:val="22"/>
          <w:szCs w:val="22"/>
          <w:u w:val="single"/>
        </w:rPr>
        <w:t>E</w:t>
      </w:r>
      <w:r w:rsidR="00BD112F">
        <w:rPr>
          <w:rFonts w:ascii="Arial" w:hAnsi="Arial"/>
          <w:sz w:val="22"/>
          <w:szCs w:val="22"/>
          <w:u w:val="single"/>
        </w:rPr>
        <w:t>ncourage</w:t>
      </w:r>
      <w:r w:rsidR="00BD112F">
        <w:rPr>
          <w:rFonts w:ascii="Arial" w:hAnsi="Arial"/>
          <w:sz w:val="22"/>
          <w:szCs w:val="22"/>
        </w:rPr>
        <w:t xml:space="preserve"> les États parties à envisager la possibilité de soutenir la Convention, en particulier dans le cadre des deux priorités de financement définies pour la période 2018–2021 et du sous-fonds destiné au renforcement des ressources humaines du Secrétariat, en tenant compte des efforts récents et de la mise en œuvre réussie du Fonds du patrimoine culturel immatériel ;</w:t>
      </w:r>
    </w:p>
    <w:p w14:paraId="6B3BA5A9" w14:textId="055972EF" w:rsidR="00BD112F" w:rsidRDefault="00BD112F" w:rsidP="00771F30">
      <w:pPr>
        <w:pStyle w:val="COMParaDecision"/>
        <w:numPr>
          <w:ilvl w:val="0"/>
          <w:numId w:val="5"/>
        </w:numPr>
        <w:ind w:left="567" w:hanging="567"/>
        <w:rPr>
          <w:rFonts w:eastAsia="SimSun"/>
        </w:rPr>
      </w:pPr>
      <w:r>
        <w:t>Encourage en outre</w:t>
      </w:r>
      <w:r>
        <w:rPr>
          <w:u w:val="none"/>
        </w:rPr>
        <w:t xml:space="preserve"> le Secrétariat, en accord avec son plan d</w:t>
      </w:r>
      <w:r w:rsidR="009C104E">
        <w:rPr>
          <w:u w:val="none"/>
        </w:rPr>
        <w:t>’</w:t>
      </w:r>
      <w:r>
        <w:rPr>
          <w:u w:val="none"/>
        </w:rPr>
        <w:t>information et de communication, à poursuivre ses efforts en vue de mobiliser des fonds afin de soutenir la mise en œuvre de la Convention, en particulier pour les deux priorités de financement approuvées pour la période 2018–2021, et d</w:t>
      </w:r>
      <w:r w:rsidR="009C104E">
        <w:rPr>
          <w:u w:val="none"/>
        </w:rPr>
        <w:t>’</w:t>
      </w:r>
      <w:r>
        <w:rPr>
          <w:u w:val="none"/>
        </w:rPr>
        <w:t>améliorer les ressources humaines du Secrétariat ;</w:t>
      </w:r>
    </w:p>
    <w:p w14:paraId="6A4F4425" w14:textId="20F91CFD" w:rsidR="00BD112F" w:rsidRDefault="00BD112F" w:rsidP="00771F30">
      <w:pPr>
        <w:pStyle w:val="COMParaDecision"/>
        <w:numPr>
          <w:ilvl w:val="0"/>
          <w:numId w:val="5"/>
        </w:numPr>
        <w:ind w:left="567" w:hanging="567"/>
      </w:pPr>
      <w:r>
        <w:t>Demande</w:t>
      </w:r>
      <w:r>
        <w:rPr>
          <w:u w:val="none"/>
        </w:rPr>
        <w:t xml:space="preserve"> au Secrétariat de réévaluer ses besoins en ressources humaines et de présenter un nouvel objectif annuel du sous-fonds pour l</w:t>
      </w:r>
      <w:r w:rsidR="009C104E">
        <w:rPr>
          <w:u w:val="none"/>
        </w:rPr>
        <w:t>’</w:t>
      </w:r>
      <w:r>
        <w:rPr>
          <w:u w:val="none"/>
        </w:rPr>
        <w:t>amélioration de ses ressources humaines en vue de son examen par l</w:t>
      </w:r>
      <w:r w:rsidR="009C104E">
        <w:rPr>
          <w:u w:val="none"/>
        </w:rPr>
        <w:t>’</w:t>
      </w:r>
      <w:r>
        <w:rPr>
          <w:u w:val="none"/>
        </w:rPr>
        <w:t>Assemblée générale lors de sa huitième session en 2020 ;</w:t>
      </w:r>
    </w:p>
    <w:p w14:paraId="7DF6341A" w14:textId="720E7BC7" w:rsidR="00BD112F" w:rsidRPr="00B46DD6" w:rsidRDefault="00BD112F" w:rsidP="00B46DD6">
      <w:pPr>
        <w:numPr>
          <w:ilvl w:val="0"/>
          <w:numId w:val="5"/>
        </w:numPr>
        <w:autoSpaceDE w:val="0"/>
        <w:autoSpaceDN w:val="0"/>
        <w:adjustRightInd w:val="0"/>
        <w:spacing w:after="120"/>
        <w:ind w:left="567" w:hanging="567"/>
        <w:jc w:val="both"/>
        <w:rPr>
          <w:rFonts w:ascii="Arial" w:hAnsi="Arial"/>
          <w:sz w:val="22"/>
          <w:szCs w:val="22"/>
        </w:rPr>
      </w:pPr>
      <w:r w:rsidRPr="00B46DD6">
        <w:rPr>
          <w:rFonts w:ascii="Arial" w:hAnsi="Arial"/>
          <w:sz w:val="22"/>
          <w:szCs w:val="22"/>
          <w:u w:val="single"/>
        </w:rPr>
        <w:t>Recommande</w:t>
      </w:r>
      <w:r w:rsidRPr="00B46DD6">
        <w:rPr>
          <w:rFonts w:ascii="Arial" w:hAnsi="Arial"/>
          <w:sz w:val="22"/>
          <w:szCs w:val="22"/>
        </w:rPr>
        <w:t xml:space="preserve"> à l</w:t>
      </w:r>
      <w:r w:rsidR="009C104E">
        <w:rPr>
          <w:rFonts w:ascii="Arial" w:hAnsi="Arial"/>
          <w:sz w:val="22"/>
          <w:szCs w:val="22"/>
        </w:rPr>
        <w:t>’</w:t>
      </w:r>
      <w:r w:rsidRPr="00B46DD6">
        <w:rPr>
          <w:rFonts w:ascii="Arial" w:hAnsi="Arial"/>
          <w:sz w:val="22"/>
          <w:szCs w:val="22"/>
        </w:rPr>
        <w:t>Assemblée générale d</w:t>
      </w:r>
      <w:r w:rsidR="009C104E">
        <w:rPr>
          <w:rFonts w:ascii="Arial" w:hAnsi="Arial"/>
          <w:sz w:val="22"/>
          <w:szCs w:val="22"/>
        </w:rPr>
        <w:t>’</w:t>
      </w:r>
      <w:r w:rsidRPr="00B46DD6">
        <w:rPr>
          <w:rFonts w:ascii="Arial" w:hAnsi="Arial"/>
          <w:sz w:val="22"/>
          <w:szCs w:val="22"/>
        </w:rPr>
        <w:t>approuver le maintien d</w:t>
      </w:r>
      <w:r w:rsidR="009C104E">
        <w:rPr>
          <w:rFonts w:ascii="Arial" w:hAnsi="Arial"/>
          <w:sz w:val="22"/>
          <w:szCs w:val="22"/>
        </w:rPr>
        <w:t>’</w:t>
      </w:r>
      <w:r w:rsidRPr="00B46DD6">
        <w:rPr>
          <w:rFonts w:ascii="Arial" w:hAnsi="Arial"/>
          <w:sz w:val="22"/>
          <w:szCs w:val="22"/>
        </w:rPr>
        <w:t>un taux de gestion à 0 pour cent pour toutes les contributions mises en recouvrement pour le compte spécial du Fonds du patrimoine culturel immatériel</w:t>
      </w:r>
      <w:r w:rsidR="007A488E" w:rsidRPr="007A488E">
        <w:rPr>
          <w:rFonts w:ascii="Arial" w:hAnsi="Arial"/>
          <w:sz w:val="22"/>
          <w:szCs w:val="22"/>
        </w:rPr>
        <w:t xml:space="preserve"> </w:t>
      </w:r>
      <w:r w:rsidR="00DA1116" w:rsidRPr="007A488E">
        <w:rPr>
          <w:rFonts w:ascii="Arial" w:hAnsi="Arial"/>
          <w:sz w:val="22"/>
          <w:szCs w:val="22"/>
        </w:rPr>
        <w:t xml:space="preserve">et </w:t>
      </w:r>
      <w:r w:rsidR="00C37862">
        <w:rPr>
          <w:rFonts w:ascii="Arial" w:hAnsi="Arial"/>
          <w:sz w:val="22"/>
          <w:szCs w:val="22"/>
        </w:rPr>
        <w:t>l</w:t>
      </w:r>
      <w:r w:rsidR="009C104E">
        <w:rPr>
          <w:rFonts w:ascii="Arial" w:hAnsi="Arial"/>
          <w:sz w:val="22"/>
          <w:szCs w:val="22"/>
        </w:rPr>
        <w:t>’</w:t>
      </w:r>
      <w:r w:rsidR="00C37862">
        <w:rPr>
          <w:rFonts w:ascii="Arial" w:hAnsi="Arial"/>
          <w:sz w:val="22"/>
          <w:szCs w:val="22"/>
        </w:rPr>
        <w:t>application d</w:t>
      </w:r>
      <w:r w:rsidR="009C104E">
        <w:rPr>
          <w:rFonts w:ascii="Arial" w:hAnsi="Arial"/>
          <w:sz w:val="22"/>
          <w:szCs w:val="22"/>
        </w:rPr>
        <w:t>’</w:t>
      </w:r>
      <w:r w:rsidR="00C37862">
        <w:rPr>
          <w:rFonts w:ascii="Arial" w:hAnsi="Arial"/>
          <w:sz w:val="22"/>
          <w:szCs w:val="22"/>
        </w:rPr>
        <w:t>un</w:t>
      </w:r>
      <w:r w:rsidR="00DA1116" w:rsidRPr="007A488E">
        <w:rPr>
          <w:rFonts w:ascii="Arial" w:hAnsi="Arial"/>
          <w:sz w:val="22"/>
          <w:szCs w:val="22"/>
        </w:rPr>
        <w:t xml:space="preserve"> taux de gestion à 7 pour cent pour toutes les autres contributions</w:t>
      </w:r>
      <w:r w:rsidR="00031A30" w:rsidRPr="007A488E">
        <w:rPr>
          <w:rFonts w:ascii="Arial" w:hAnsi="Arial"/>
          <w:sz w:val="22"/>
          <w:szCs w:val="22"/>
        </w:rPr>
        <w:t xml:space="preserve"> </w:t>
      </w:r>
      <w:r w:rsidR="00DA1116" w:rsidRPr="007A488E">
        <w:rPr>
          <w:rFonts w:ascii="Arial" w:hAnsi="Arial"/>
          <w:sz w:val="22"/>
          <w:szCs w:val="22"/>
        </w:rPr>
        <w:t xml:space="preserve">; </w:t>
      </w:r>
    </w:p>
    <w:p w14:paraId="6939C287" w14:textId="5134D18B" w:rsidR="00BD112F" w:rsidRDefault="00BD112F" w:rsidP="00771F30">
      <w:pPr>
        <w:numPr>
          <w:ilvl w:val="0"/>
          <w:numId w:val="5"/>
        </w:numPr>
        <w:autoSpaceDE w:val="0"/>
        <w:autoSpaceDN w:val="0"/>
        <w:adjustRightInd w:val="0"/>
        <w:spacing w:after="120"/>
        <w:ind w:left="567" w:hanging="567"/>
        <w:jc w:val="both"/>
        <w:rPr>
          <w:rFonts w:ascii="Arial" w:eastAsia="SimSun" w:hAnsi="Arial" w:cs="Arial"/>
          <w:sz w:val="22"/>
          <w:szCs w:val="22"/>
        </w:rPr>
      </w:pPr>
      <w:r>
        <w:rPr>
          <w:rFonts w:ascii="Arial" w:hAnsi="Arial"/>
          <w:sz w:val="22"/>
          <w:szCs w:val="22"/>
          <w:u w:val="single"/>
        </w:rPr>
        <w:t>Demande en outre</w:t>
      </w:r>
      <w:r>
        <w:rPr>
          <w:rFonts w:ascii="Arial" w:hAnsi="Arial"/>
          <w:sz w:val="22"/>
          <w:szCs w:val="22"/>
        </w:rPr>
        <w:t xml:space="preserve"> au Secrétariat de lui rendre compte, lors de sa quinzième session, de l</w:t>
      </w:r>
      <w:r w:rsidR="009C104E">
        <w:rPr>
          <w:rFonts w:ascii="Arial" w:hAnsi="Arial"/>
          <w:sz w:val="22"/>
          <w:szCs w:val="22"/>
        </w:rPr>
        <w:t>’</w:t>
      </w:r>
      <w:r>
        <w:rPr>
          <w:rFonts w:ascii="Arial" w:hAnsi="Arial"/>
          <w:sz w:val="22"/>
          <w:szCs w:val="22"/>
        </w:rPr>
        <w:t>avancement de la mise en œuvre de toute contribution volontaire supplémentaire qu</w:t>
      </w:r>
      <w:r w:rsidR="009C104E">
        <w:rPr>
          <w:rFonts w:ascii="Arial" w:hAnsi="Arial"/>
          <w:sz w:val="22"/>
          <w:szCs w:val="22"/>
        </w:rPr>
        <w:t>’</w:t>
      </w:r>
      <w:r>
        <w:rPr>
          <w:rFonts w:ascii="Arial" w:hAnsi="Arial"/>
          <w:sz w:val="22"/>
          <w:szCs w:val="22"/>
        </w:rPr>
        <w:t>il aurait reçue depuis la quatorzième session.</w:t>
      </w:r>
    </w:p>
    <w:p w14:paraId="67E8A343" w14:textId="77777777" w:rsidR="00893FDC" w:rsidRPr="002D6108" w:rsidRDefault="00893FDC" w:rsidP="000E69D4">
      <w:pPr>
        <w:pStyle w:val="COMTitleDecision"/>
        <w:keepLines/>
        <w:spacing w:before="360"/>
        <w:ind w:left="0"/>
        <w:rPr>
          <w:rFonts w:eastAsia="SimSun"/>
        </w:rPr>
      </w:pPr>
      <w:r w:rsidRPr="002D6108">
        <w:t xml:space="preserve">DÉCISION </w:t>
      </w:r>
      <w:r w:rsidR="00BD112F" w:rsidRPr="002D6108">
        <w:t>14</w:t>
      </w:r>
      <w:r w:rsidRPr="002D6108">
        <w:t>.COM 7</w:t>
      </w:r>
    </w:p>
    <w:p w14:paraId="62CC2298" w14:textId="77777777" w:rsidR="00BD112F" w:rsidRPr="002D6108" w:rsidRDefault="00BD112F" w:rsidP="000E69D4">
      <w:pPr>
        <w:pStyle w:val="COMPreambulaDecisions"/>
        <w:spacing w:before="120"/>
        <w:ind w:left="0"/>
        <w:rPr>
          <w:rFonts w:eastAsia="SimSun"/>
        </w:rPr>
      </w:pPr>
      <w:r w:rsidRPr="002D6108">
        <w:t>Le Comité,</w:t>
      </w:r>
    </w:p>
    <w:p w14:paraId="4C581894" w14:textId="77777777" w:rsidR="00BD112F" w:rsidRPr="002D6108" w:rsidRDefault="00BD112F" w:rsidP="00771F30">
      <w:pPr>
        <w:pStyle w:val="COMParaDecision"/>
        <w:numPr>
          <w:ilvl w:val="0"/>
          <w:numId w:val="14"/>
        </w:numPr>
        <w:ind w:left="567" w:hanging="567"/>
        <w:rPr>
          <w:rFonts w:eastAsia="SimSun"/>
          <w:u w:val="none"/>
        </w:rPr>
      </w:pPr>
      <w:r w:rsidRPr="002D6108">
        <w:t>Ayant examiné</w:t>
      </w:r>
      <w:r w:rsidRPr="002D6108">
        <w:rPr>
          <w:u w:val="none"/>
        </w:rPr>
        <w:t xml:space="preserve"> les documents </w:t>
      </w:r>
      <w:hyperlink r:id="rId23" w:history="1">
        <w:r w:rsidRPr="002D6108">
          <w:rPr>
            <w:rStyle w:val="Hyperlink"/>
          </w:rPr>
          <w:t>LHE/19/14.COM/7 Rev.2</w:t>
        </w:r>
      </w:hyperlink>
      <w:r w:rsidRPr="002D6108">
        <w:rPr>
          <w:u w:val="none"/>
        </w:rPr>
        <w:t xml:space="preserve"> et </w:t>
      </w:r>
      <w:hyperlink r:id="rId24" w:history="1">
        <w:r w:rsidRPr="002D6108">
          <w:rPr>
            <w:rStyle w:val="Hyperlink"/>
          </w:rPr>
          <w:t>LHE/19/14.COM/7.INF</w:t>
        </w:r>
      </w:hyperlink>
      <w:r w:rsidRPr="002D6108">
        <w:rPr>
          <w:u w:val="none"/>
        </w:rPr>
        <w:t>,</w:t>
      </w:r>
    </w:p>
    <w:p w14:paraId="6AB3CD2A" w14:textId="43FEAF28" w:rsidR="00BD112F" w:rsidRPr="002D6108" w:rsidRDefault="00BD112F" w:rsidP="00771F30">
      <w:pPr>
        <w:pStyle w:val="COMParaDecision"/>
        <w:numPr>
          <w:ilvl w:val="0"/>
          <w:numId w:val="5"/>
        </w:numPr>
        <w:ind w:left="567" w:hanging="567"/>
        <w:rPr>
          <w:u w:val="none"/>
        </w:rPr>
      </w:pPr>
      <w:r w:rsidRPr="002D6108">
        <w:t>Rappelant</w:t>
      </w:r>
      <w:r w:rsidRPr="002D6108">
        <w:rPr>
          <w:u w:val="none"/>
        </w:rPr>
        <w:t xml:space="preserve"> l</w:t>
      </w:r>
      <w:r w:rsidR="009C104E" w:rsidRPr="002D6108">
        <w:rPr>
          <w:u w:val="none"/>
        </w:rPr>
        <w:t>’</w:t>
      </w:r>
      <w:r w:rsidRPr="002D6108">
        <w:rPr>
          <w:u w:val="none"/>
        </w:rPr>
        <w:t xml:space="preserve">article 7(c) de la Convention et la </w:t>
      </w:r>
      <w:hyperlink r:id="rId25" w:history="1">
        <w:r w:rsidRPr="002D6108">
          <w:rPr>
            <w:rStyle w:val="Hyperlink"/>
          </w:rPr>
          <w:t>résolution 7.GA </w:t>
        </w:r>
      </w:hyperlink>
      <w:r w:rsidRPr="002D6108">
        <w:rPr>
          <w:rStyle w:val="Hyperlink"/>
        </w:rPr>
        <w:t>8</w:t>
      </w:r>
      <w:r w:rsidRPr="002D6108">
        <w:rPr>
          <w:u w:val="none"/>
        </w:rPr>
        <w:t xml:space="preserve"> de l</w:t>
      </w:r>
      <w:r w:rsidR="009C104E" w:rsidRPr="002D6108">
        <w:rPr>
          <w:u w:val="none"/>
        </w:rPr>
        <w:t>’</w:t>
      </w:r>
      <w:r w:rsidRPr="002D6108">
        <w:rPr>
          <w:u w:val="none"/>
        </w:rPr>
        <w:t>Assemblée générale,</w:t>
      </w:r>
    </w:p>
    <w:p w14:paraId="0ED2B793" w14:textId="36004646" w:rsidR="00BD112F" w:rsidRPr="002D6108" w:rsidRDefault="00BD112F" w:rsidP="00771F30">
      <w:pPr>
        <w:pStyle w:val="COMParaDecision"/>
        <w:numPr>
          <w:ilvl w:val="0"/>
          <w:numId w:val="5"/>
        </w:numPr>
        <w:ind w:left="567" w:hanging="567"/>
        <w:rPr>
          <w:u w:val="none"/>
        </w:rPr>
      </w:pPr>
      <w:r w:rsidRPr="002D6108">
        <w:t>Rappelant en outre</w:t>
      </w:r>
      <w:r w:rsidRPr="002D6108">
        <w:rPr>
          <w:u w:val="none"/>
        </w:rPr>
        <w:t xml:space="preserve"> les décisions 200 EX/19 et 201 EX/24, ainsi que la résolution portant ouverture de crédits pour 2020-2021 telle qu</w:t>
      </w:r>
      <w:r w:rsidR="009C104E" w:rsidRPr="002D6108">
        <w:rPr>
          <w:u w:val="none"/>
        </w:rPr>
        <w:t>’</w:t>
      </w:r>
      <w:r w:rsidRPr="002D6108">
        <w:rPr>
          <w:u w:val="none"/>
        </w:rPr>
        <w:t>adoptée par la Conférence générale à sa quarantième session,</w:t>
      </w:r>
    </w:p>
    <w:p w14:paraId="44D94AC8" w14:textId="302135D6" w:rsidR="00BD112F" w:rsidRPr="002D6108" w:rsidRDefault="00BD112F" w:rsidP="00771F30">
      <w:pPr>
        <w:pStyle w:val="COMParaDecision"/>
        <w:numPr>
          <w:ilvl w:val="0"/>
          <w:numId w:val="5"/>
        </w:numPr>
        <w:ind w:left="567" w:hanging="567"/>
        <w:rPr>
          <w:u w:val="none"/>
        </w:rPr>
      </w:pPr>
      <w:r w:rsidRPr="002D6108">
        <w:t>Prend note</w:t>
      </w:r>
      <w:r w:rsidRPr="002D6108">
        <w:rPr>
          <w:u w:val="none"/>
        </w:rPr>
        <w:t xml:space="preserve"> de l</w:t>
      </w:r>
      <w:r w:rsidR="009C104E" w:rsidRPr="002D6108">
        <w:rPr>
          <w:u w:val="none"/>
        </w:rPr>
        <w:t>’</w:t>
      </w:r>
      <w:r w:rsidRPr="002D6108">
        <w:rPr>
          <w:u w:val="none"/>
        </w:rPr>
        <w:t xml:space="preserve">état des comptes du Fonds pour 2018-2019 au 30 juin 2019, </w:t>
      </w:r>
      <w:r w:rsidRPr="002D6108">
        <w:t>rappelle</w:t>
      </w:r>
      <w:r w:rsidRPr="002D6108">
        <w:rPr>
          <w:u w:val="none"/>
        </w:rPr>
        <w:t xml:space="preserve"> que le paiement des contributions obligatoires et volontaires mises en recouvrement est, selon l</w:t>
      </w:r>
      <w:r w:rsidR="009C104E" w:rsidRPr="002D6108">
        <w:rPr>
          <w:u w:val="none"/>
        </w:rPr>
        <w:t>’</w:t>
      </w:r>
      <w:r w:rsidRPr="002D6108">
        <w:rPr>
          <w:u w:val="none"/>
        </w:rPr>
        <w:t xml:space="preserve">article 26 de la Convention, une obligation qui incombe à tous les États parties ayant ratifié la Convention et </w:t>
      </w:r>
      <w:r w:rsidRPr="002D6108">
        <w:t>appelle</w:t>
      </w:r>
      <w:r w:rsidRPr="002D6108">
        <w:rPr>
          <w:u w:val="none"/>
        </w:rPr>
        <w:t xml:space="preserve"> tous les États parties qui n</w:t>
      </w:r>
      <w:r w:rsidR="009C104E" w:rsidRPr="002D6108">
        <w:rPr>
          <w:u w:val="none"/>
        </w:rPr>
        <w:t>’</w:t>
      </w:r>
      <w:r w:rsidRPr="002D6108">
        <w:rPr>
          <w:u w:val="none"/>
        </w:rPr>
        <w:t>ont pas encore réglé la totalité de leurs contributions mises en recouvrement pour 2019 ou pour les années antérieures, y compris les contributions volontaires, à s</w:t>
      </w:r>
      <w:r w:rsidR="009C104E" w:rsidRPr="002D6108">
        <w:rPr>
          <w:u w:val="none"/>
        </w:rPr>
        <w:t>’</w:t>
      </w:r>
      <w:r w:rsidRPr="002D6108">
        <w:rPr>
          <w:u w:val="none"/>
        </w:rPr>
        <w:t>assurer du règlement de leurs contributions dans les meilleurs délais ;</w:t>
      </w:r>
    </w:p>
    <w:p w14:paraId="5F16C654" w14:textId="345601F1" w:rsidR="00BD112F" w:rsidRPr="002D6108" w:rsidRDefault="00BD112F" w:rsidP="00771F30">
      <w:pPr>
        <w:pStyle w:val="COMParaDecision"/>
        <w:numPr>
          <w:ilvl w:val="0"/>
          <w:numId w:val="5"/>
        </w:numPr>
        <w:ind w:left="567" w:hanging="567"/>
        <w:rPr>
          <w:u w:val="none"/>
        </w:rPr>
      </w:pPr>
      <w:r w:rsidRPr="002D6108">
        <w:t>Accueille avec satisfaction</w:t>
      </w:r>
      <w:r w:rsidRPr="002D6108">
        <w:rPr>
          <w:u w:val="none"/>
        </w:rPr>
        <w:t xml:space="preserve"> la récente évolution positive de l</w:t>
      </w:r>
      <w:r w:rsidR="009C104E" w:rsidRPr="002D6108">
        <w:rPr>
          <w:u w:val="none"/>
        </w:rPr>
        <w:t>’</w:t>
      </w:r>
      <w:r w:rsidRPr="002D6108">
        <w:rPr>
          <w:u w:val="none"/>
        </w:rPr>
        <w:t xml:space="preserve">utilisation du Fonds, </w:t>
      </w:r>
      <w:r w:rsidRPr="002D6108">
        <w:t>félicite</w:t>
      </w:r>
      <w:r w:rsidRPr="002D6108">
        <w:rPr>
          <w:u w:val="none"/>
        </w:rPr>
        <w:t xml:space="preserve"> le Secrétariat pour ses efforts afin d</w:t>
      </w:r>
      <w:r w:rsidR="009C104E" w:rsidRPr="002D6108">
        <w:rPr>
          <w:u w:val="none"/>
        </w:rPr>
        <w:t>’</w:t>
      </w:r>
      <w:r w:rsidRPr="002D6108">
        <w:rPr>
          <w:u w:val="none"/>
        </w:rPr>
        <w:t>intensifier la mise en œuvre des mécanismes d</w:t>
      </w:r>
      <w:r w:rsidR="009C104E" w:rsidRPr="002D6108">
        <w:rPr>
          <w:u w:val="none"/>
        </w:rPr>
        <w:t>’</w:t>
      </w:r>
      <w:r w:rsidRPr="002D6108">
        <w:rPr>
          <w:u w:val="none"/>
        </w:rPr>
        <w:t xml:space="preserve">assistance internationale, </w:t>
      </w:r>
      <w:r w:rsidRPr="002D6108">
        <w:t>prend également note</w:t>
      </w:r>
      <w:r w:rsidRPr="002D6108">
        <w:rPr>
          <w:u w:val="none"/>
        </w:rPr>
        <w:t xml:space="preserve"> de la constitution d</w:t>
      </w:r>
      <w:r w:rsidR="009C104E" w:rsidRPr="002D6108">
        <w:rPr>
          <w:u w:val="none"/>
        </w:rPr>
        <w:t>’</w:t>
      </w:r>
      <w:r w:rsidRPr="002D6108">
        <w:rPr>
          <w:u w:val="none"/>
        </w:rPr>
        <w:t xml:space="preserve">une équipe spéciale comprenant trois nouveaux postes à durée déterminée, financés par des fonds extrabudgétaires, et </w:t>
      </w:r>
      <w:r w:rsidRPr="002D6108">
        <w:t>attend avec intérêt</w:t>
      </w:r>
      <w:r w:rsidRPr="002D6108">
        <w:rPr>
          <w:u w:val="none"/>
        </w:rPr>
        <w:t xml:space="preserve"> d</w:t>
      </w:r>
      <w:r w:rsidR="009C104E" w:rsidRPr="002D6108">
        <w:rPr>
          <w:u w:val="none"/>
        </w:rPr>
        <w:t>’</w:t>
      </w:r>
      <w:r w:rsidRPr="002D6108">
        <w:rPr>
          <w:u w:val="none"/>
        </w:rPr>
        <w:t>observer l</w:t>
      </w:r>
      <w:r w:rsidR="009C104E" w:rsidRPr="002D6108">
        <w:rPr>
          <w:u w:val="none"/>
        </w:rPr>
        <w:t>’</w:t>
      </w:r>
      <w:r w:rsidRPr="002D6108">
        <w:rPr>
          <w:u w:val="none"/>
        </w:rPr>
        <w:t>amélioration du suivi de l</w:t>
      </w:r>
      <w:r w:rsidR="009C104E" w:rsidRPr="002D6108">
        <w:rPr>
          <w:u w:val="none"/>
        </w:rPr>
        <w:t>’</w:t>
      </w:r>
      <w:r w:rsidRPr="002D6108">
        <w:rPr>
          <w:u w:val="none"/>
        </w:rPr>
        <w:t>impact des projets soutenues par le Fonds ;</w:t>
      </w:r>
    </w:p>
    <w:p w14:paraId="07C35F08" w14:textId="7EC42893" w:rsidR="00BD112F" w:rsidRPr="002D6108" w:rsidRDefault="00BD112F" w:rsidP="00771F30">
      <w:pPr>
        <w:pStyle w:val="COMParaDecision"/>
        <w:numPr>
          <w:ilvl w:val="0"/>
          <w:numId w:val="5"/>
        </w:numPr>
        <w:ind w:left="567" w:hanging="567"/>
        <w:rPr>
          <w:u w:val="none"/>
        </w:rPr>
      </w:pPr>
      <w:r w:rsidRPr="002D6108">
        <w:t>Note</w:t>
      </w:r>
      <w:r w:rsidRPr="002D6108">
        <w:rPr>
          <w:u w:val="none"/>
        </w:rPr>
        <w:t xml:space="preserve"> que, à la suite de l</w:t>
      </w:r>
      <w:r w:rsidR="009C104E" w:rsidRPr="002D6108">
        <w:rPr>
          <w:u w:val="none"/>
        </w:rPr>
        <w:t>’</w:t>
      </w:r>
      <w:r w:rsidRPr="002D6108">
        <w:rPr>
          <w:u w:val="none"/>
        </w:rPr>
        <w:t>intensification de la mise en œuvre du Fonds, l</w:t>
      </w:r>
      <w:r w:rsidR="009C104E" w:rsidRPr="002D6108">
        <w:rPr>
          <w:u w:val="none"/>
        </w:rPr>
        <w:t>’</w:t>
      </w:r>
      <w:r w:rsidRPr="002D6108">
        <w:rPr>
          <w:u w:val="none"/>
        </w:rPr>
        <w:t xml:space="preserve">allocation de fonds destinés à fournir une assistance internationale aux États parties va diminuer en 2020-2021 et, par conséquent, </w:t>
      </w:r>
      <w:r w:rsidRPr="002D6108">
        <w:t>appelle également</w:t>
      </w:r>
      <w:r w:rsidRPr="002D6108">
        <w:rPr>
          <w:u w:val="none"/>
        </w:rPr>
        <w:t xml:space="preserve"> tous les États parties à envisager de verser des contributions volontaires en complément de l</w:t>
      </w:r>
      <w:r w:rsidR="009C104E" w:rsidRPr="002D6108">
        <w:rPr>
          <w:u w:val="none"/>
        </w:rPr>
        <w:t>’</w:t>
      </w:r>
      <w:r w:rsidRPr="002D6108">
        <w:rPr>
          <w:u w:val="none"/>
        </w:rPr>
        <w:t>aide déjà apportée par le Fonds ;</w:t>
      </w:r>
    </w:p>
    <w:p w14:paraId="6D217990" w14:textId="23D56497" w:rsidR="00BD112F" w:rsidRPr="002D6108" w:rsidRDefault="00BD112F" w:rsidP="00771F30">
      <w:pPr>
        <w:pStyle w:val="COMParaDecision"/>
        <w:numPr>
          <w:ilvl w:val="0"/>
          <w:numId w:val="5"/>
        </w:numPr>
        <w:ind w:left="567" w:hanging="567"/>
        <w:rPr>
          <w:u w:val="none"/>
        </w:rPr>
      </w:pPr>
      <w:r w:rsidRPr="002D6108">
        <w:t>Décide</w:t>
      </w:r>
      <w:r w:rsidRPr="002D6108">
        <w:rPr>
          <w:u w:val="none"/>
        </w:rPr>
        <w:t xml:space="preserve"> de fonder le projet de plan d</w:t>
      </w:r>
      <w:r w:rsidR="009C104E" w:rsidRPr="002D6108">
        <w:rPr>
          <w:u w:val="none"/>
        </w:rPr>
        <w:t>’</w:t>
      </w:r>
      <w:r w:rsidRPr="002D6108">
        <w:rPr>
          <w:u w:val="none"/>
        </w:rPr>
        <w:t>utilisation des ressources du Fonds pour les périodes allant du 1er janvier 2020 au 31 décembre 2021 et du 1er janvier au 30 juin 2022 sur la totalité des réserves d</w:t>
      </w:r>
      <w:r w:rsidR="009C104E" w:rsidRPr="002D6108">
        <w:rPr>
          <w:u w:val="none"/>
        </w:rPr>
        <w:t>’</w:t>
      </w:r>
      <w:r w:rsidRPr="002D6108">
        <w:rPr>
          <w:u w:val="none"/>
        </w:rPr>
        <w:t>exploitation non restreintes disponibles au 31 décembre 2019, y compris tout solde non utilisé ;</w:t>
      </w:r>
    </w:p>
    <w:p w14:paraId="38418A57" w14:textId="0EDA126B" w:rsidR="00BD112F" w:rsidRDefault="00BD112F" w:rsidP="00771F30">
      <w:pPr>
        <w:pStyle w:val="COMParaDecision"/>
        <w:keepLines/>
        <w:numPr>
          <w:ilvl w:val="0"/>
          <w:numId w:val="5"/>
        </w:numPr>
        <w:ind w:left="567" w:hanging="567"/>
        <w:rPr>
          <w:u w:val="none"/>
        </w:rPr>
      </w:pPr>
      <w:r w:rsidRPr="002D6108">
        <w:t>Soumet</w:t>
      </w:r>
      <w:r w:rsidRPr="002D6108">
        <w:rPr>
          <w:u w:val="none"/>
        </w:rPr>
        <w:t xml:space="preserve"> à l</w:t>
      </w:r>
      <w:r w:rsidR="009C104E" w:rsidRPr="002D6108">
        <w:rPr>
          <w:u w:val="none"/>
        </w:rPr>
        <w:t>’</w:t>
      </w:r>
      <w:r w:rsidRPr="002D6108">
        <w:rPr>
          <w:u w:val="none"/>
        </w:rPr>
        <w:t>approbation de l</w:t>
      </w:r>
      <w:r w:rsidR="009C104E" w:rsidRPr="002D6108">
        <w:rPr>
          <w:u w:val="none"/>
        </w:rPr>
        <w:t>’</w:t>
      </w:r>
      <w:r w:rsidRPr="002D6108">
        <w:rPr>
          <w:u w:val="none"/>
        </w:rPr>
        <w:t>Assemblée générale, à sa huitième session, le plan d</w:t>
      </w:r>
      <w:r w:rsidR="009C104E" w:rsidRPr="002D6108">
        <w:rPr>
          <w:u w:val="none"/>
        </w:rPr>
        <w:t>’</w:t>
      </w:r>
      <w:r w:rsidRPr="002D6108">
        <w:rPr>
          <w:u w:val="none"/>
        </w:rPr>
        <w:t>utilisation des ressources du Fonds, tel qu</w:t>
      </w:r>
      <w:r w:rsidR="009C104E" w:rsidRPr="002D6108">
        <w:rPr>
          <w:u w:val="none"/>
        </w:rPr>
        <w:t>’</w:t>
      </w:r>
      <w:r w:rsidRPr="002D6108">
        <w:rPr>
          <w:u w:val="none"/>
        </w:rPr>
        <w:t>il figure à l</w:t>
      </w:r>
      <w:r w:rsidR="009C104E" w:rsidRPr="002D6108">
        <w:rPr>
          <w:u w:val="none"/>
        </w:rPr>
        <w:t>’</w:t>
      </w:r>
      <w:r w:rsidRPr="002D6108">
        <w:rPr>
          <w:u w:val="none"/>
        </w:rPr>
        <w:t>annexe du document </w:t>
      </w:r>
      <w:hyperlink r:id="rId26" w:history="1">
        <w:r w:rsidRPr="0074046D">
          <w:rPr>
            <w:rStyle w:val="Hyperlink"/>
          </w:rPr>
          <w:t>LHE/19/14.COM/7</w:t>
        </w:r>
        <w:r w:rsidR="0074046D" w:rsidRPr="0074046D">
          <w:rPr>
            <w:rStyle w:val="Hyperlink"/>
          </w:rPr>
          <w:t> Rev.2</w:t>
        </w:r>
      </w:hyperlink>
      <w:r w:rsidRPr="002D6108">
        <w:rPr>
          <w:u w:val="none"/>
        </w:rPr>
        <w:t xml:space="preserve">, et </w:t>
      </w:r>
      <w:r w:rsidRPr="002D6108">
        <w:t>propose</w:t>
      </w:r>
      <w:r w:rsidRPr="002D6108">
        <w:rPr>
          <w:u w:val="none"/>
        </w:rPr>
        <w:t xml:space="preserve"> à l</w:t>
      </w:r>
      <w:r w:rsidR="009C104E" w:rsidRPr="002D6108">
        <w:rPr>
          <w:u w:val="none"/>
        </w:rPr>
        <w:t>’</w:t>
      </w:r>
      <w:r w:rsidRPr="002D6108">
        <w:rPr>
          <w:u w:val="none"/>
        </w:rPr>
        <w:t>Assemblée générale qu</w:t>
      </w:r>
      <w:r w:rsidR="009C104E" w:rsidRPr="002D6108">
        <w:rPr>
          <w:u w:val="none"/>
        </w:rPr>
        <w:t>’</w:t>
      </w:r>
      <w:r w:rsidRPr="002D6108">
        <w:rPr>
          <w:u w:val="none"/>
        </w:rPr>
        <w:t>un quart du montant établi pour la période de deux ans allant du 1er janvier 2020 au 31 décembre 2021 soit provisoirement alloué au premier semestre de 2022 ;</w:t>
      </w:r>
    </w:p>
    <w:p w14:paraId="5572B892" w14:textId="3330D353" w:rsidR="000A51CE" w:rsidRPr="002D6108" w:rsidRDefault="000A51CE" w:rsidP="00771F30">
      <w:pPr>
        <w:pStyle w:val="COMParaDecision"/>
        <w:keepLines/>
        <w:numPr>
          <w:ilvl w:val="0"/>
          <w:numId w:val="5"/>
        </w:numPr>
        <w:ind w:left="567" w:hanging="567"/>
        <w:rPr>
          <w:u w:val="none"/>
        </w:rPr>
      </w:pPr>
      <w:r w:rsidRPr="007C2929">
        <w:t>Demande</w:t>
      </w:r>
      <w:r w:rsidRPr="002D6108">
        <w:rPr>
          <w:u w:val="none"/>
        </w:rPr>
        <w:t xml:space="preserve"> que le Secrétariat présente, à titre transitoire, une ventilation en pourcentage de la ligne budgétaire 3 du Plan, « Autres fonctions du Comité », en termes de résultats escomptés conformément au C/5 approuvé, pour examen par l’Assemblée générale à sa huitième session en 2020 ; </w:t>
      </w:r>
    </w:p>
    <w:p w14:paraId="7327EDC4" w14:textId="57A59FE8" w:rsidR="000A51CE" w:rsidRPr="002D6108" w:rsidRDefault="000A51CE" w:rsidP="00771F30">
      <w:pPr>
        <w:pStyle w:val="COMParaDecision"/>
        <w:keepLines/>
        <w:numPr>
          <w:ilvl w:val="0"/>
          <w:numId w:val="5"/>
        </w:numPr>
        <w:ind w:left="567" w:hanging="567"/>
        <w:rPr>
          <w:u w:val="none"/>
        </w:rPr>
      </w:pPr>
      <w:r w:rsidRPr="007C2929">
        <w:t>Demande en outre</w:t>
      </w:r>
      <w:r w:rsidRPr="00B932EA">
        <w:rPr>
          <w:u w:val="none"/>
        </w:rPr>
        <w:t xml:space="preserve"> </w:t>
      </w:r>
      <w:r w:rsidRPr="002D6108">
        <w:rPr>
          <w:u w:val="none"/>
        </w:rPr>
        <w:t>que le Secrétariat présente pour examen à la seizième session du Comité et à chaque session suivante lors des années impaires, une ventilation en pourcentage de la ligne budgétaire 3 du Plan, « Autres fonctions du Comité », en termes de résultats escomptés conformément au C/5 approuvé, en vue de sa présentation pour approbation par la session suivante de l’Assemblée générale ;</w:t>
      </w:r>
    </w:p>
    <w:p w14:paraId="4E58460D" w14:textId="1F6B4F5C" w:rsidR="00BD112F" w:rsidRPr="002D6108" w:rsidRDefault="00BD112F" w:rsidP="00771F30">
      <w:pPr>
        <w:pStyle w:val="COMParaDecision"/>
        <w:numPr>
          <w:ilvl w:val="0"/>
          <w:numId w:val="5"/>
        </w:numPr>
        <w:ind w:left="567" w:hanging="567"/>
        <w:rPr>
          <w:u w:val="none"/>
        </w:rPr>
      </w:pPr>
      <w:r w:rsidRPr="002D6108">
        <w:t>Autorise</w:t>
      </w:r>
      <w:r w:rsidRPr="002D6108">
        <w:rPr>
          <w:u w:val="none"/>
        </w:rPr>
        <w:t xml:space="preserve"> le Secrétariat, lors de l</w:t>
      </w:r>
      <w:r w:rsidR="009C104E" w:rsidRPr="002D6108">
        <w:rPr>
          <w:u w:val="none"/>
        </w:rPr>
        <w:t>’</w:t>
      </w:r>
      <w:r w:rsidRPr="002D6108">
        <w:rPr>
          <w:u w:val="none"/>
        </w:rPr>
        <w:t xml:space="preserve">utilisation des fonds alloués au titre de la ligne budgétaire 3 du plan, à effectuer des transferts entre les activités figurant dans les propositions spécifiques </w:t>
      </w:r>
      <w:r w:rsidR="000A51CE">
        <w:rPr>
          <w:u w:val="none"/>
        </w:rPr>
        <w:t>pour la ligne budgétaire 3</w:t>
      </w:r>
      <w:r w:rsidRPr="002D6108">
        <w:rPr>
          <w:u w:val="none"/>
        </w:rPr>
        <w:t>, à concurrence d</w:t>
      </w:r>
      <w:r w:rsidR="009C104E" w:rsidRPr="002D6108">
        <w:rPr>
          <w:u w:val="none"/>
        </w:rPr>
        <w:t>’</w:t>
      </w:r>
      <w:r w:rsidRPr="002D6108">
        <w:rPr>
          <w:u w:val="none"/>
        </w:rPr>
        <w:t>un montant cumulé équivalent à 5 </w:t>
      </w:r>
      <w:r w:rsidR="0074046D">
        <w:rPr>
          <w:u w:val="none"/>
        </w:rPr>
        <w:t>pour cent</w:t>
      </w:r>
      <w:r w:rsidR="0074046D" w:rsidRPr="002D6108">
        <w:rPr>
          <w:u w:val="none"/>
        </w:rPr>
        <w:t xml:space="preserve"> </w:t>
      </w:r>
      <w:r w:rsidRPr="002D6108">
        <w:rPr>
          <w:u w:val="none"/>
        </w:rPr>
        <w:t>de l</w:t>
      </w:r>
      <w:r w:rsidR="009C104E" w:rsidRPr="002D6108">
        <w:rPr>
          <w:u w:val="none"/>
        </w:rPr>
        <w:t>’</w:t>
      </w:r>
      <w:r w:rsidRPr="002D6108">
        <w:rPr>
          <w:u w:val="none"/>
        </w:rPr>
        <w:t>allocation initiale totale proposée à l</w:t>
      </w:r>
      <w:r w:rsidR="009C104E" w:rsidRPr="002D6108">
        <w:rPr>
          <w:u w:val="none"/>
        </w:rPr>
        <w:t>’</w:t>
      </w:r>
      <w:r w:rsidRPr="002D6108">
        <w:rPr>
          <w:u w:val="none"/>
        </w:rPr>
        <w:t xml:space="preserve">Assemblée générale à cette fin, et </w:t>
      </w:r>
      <w:r w:rsidRPr="002D6108">
        <w:t>demande</w:t>
      </w:r>
      <w:r w:rsidRPr="002D6108">
        <w:rPr>
          <w:u w:val="none"/>
        </w:rPr>
        <w:t xml:space="preserve"> au Secrétariat, dans ces cas, d</w:t>
      </w:r>
      <w:r w:rsidR="009C104E" w:rsidRPr="002D6108">
        <w:rPr>
          <w:u w:val="none"/>
        </w:rPr>
        <w:t>’</w:t>
      </w:r>
      <w:r w:rsidRPr="002D6108">
        <w:rPr>
          <w:u w:val="none"/>
        </w:rPr>
        <w:t xml:space="preserve">informer par écrit </w:t>
      </w:r>
      <w:r w:rsidR="000A51CE">
        <w:rPr>
          <w:u w:val="none"/>
        </w:rPr>
        <w:t>le Comité</w:t>
      </w:r>
      <w:r w:rsidRPr="002D6108">
        <w:rPr>
          <w:u w:val="none"/>
        </w:rPr>
        <w:t>, lors de la session suivant cette action, des détails et des raisons de ces transferts ;</w:t>
      </w:r>
    </w:p>
    <w:p w14:paraId="2B845131" w14:textId="72D0378A" w:rsidR="00BD112F" w:rsidRPr="002D6108" w:rsidRDefault="00BD112F" w:rsidP="00771F30">
      <w:pPr>
        <w:pStyle w:val="COMParaDecision"/>
        <w:numPr>
          <w:ilvl w:val="0"/>
          <w:numId w:val="5"/>
        </w:numPr>
        <w:ind w:left="567" w:hanging="567"/>
        <w:rPr>
          <w:u w:val="none"/>
        </w:rPr>
      </w:pPr>
      <w:r w:rsidRPr="002D6108">
        <w:t>Recommande</w:t>
      </w:r>
      <w:r w:rsidRPr="002D6108">
        <w:rPr>
          <w:u w:val="none"/>
        </w:rPr>
        <w:t xml:space="preserve"> à l</w:t>
      </w:r>
      <w:r w:rsidR="009C104E" w:rsidRPr="002D6108">
        <w:rPr>
          <w:u w:val="none"/>
        </w:rPr>
        <w:t>’</w:t>
      </w:r>
      <w:r w:rsidRPr="002D6108">
        <w:rPr>
          <w:u w:val="none"/>
        </w:rPr>
        <w:t>Assemblée générale d</w:t>
      </w:r>
      <w:r w:rsidR="009C104E" w:rsidRPr="002D6108">
        <w:rPr>
          <w:u w:val="none"/>
        </w:rPr>
        <w:t>’</w:t>
      </w:r>
      <w:r w:rsidRPr="002D6108">
        <w:rPr>
          <w:u w:val="none"/>
        </w:rPr>
        <w:t>autoriser le Secrétariat à transférer des fonds entre les lignes budgétaires 4, 5, 6 et 7 jusqu</w:t>
      </w:r>
      <w:r w:rsidR="009C104E" w:rsidRPr="002D6108">
        <w:rPr>
          <w:u w:val="none"/>
        </w:rPr>
        <w:t>’</w:t>
      </w:r>
      <w:r w:rsidRPr="002D6108">
        <w:rPr>
          <w:u w:val="none"/>
        </w:rPr>
        <w:t>à un montant équivalent à 30 </w:t>
      </w:r>
      <w:r w:rsidR="0074046D">
        <w:rPr>
          <w:u w:val="none"/>
        </w:rPr>
        <w:t>pour cent</w:t>
      </w:r>
      <w:r w:rsidR="0074046D" w:rsidRPr="002D6108">
        <w:rPr>
          <w:u w:val="none"/>
        </w:rPr>
        <w:t xml:space="preserve"> </w:t>
      </w:r>
      <w:r w:rsidRPr="002D6108">
        <w:rPr>
          <w:u w:val="none"/>
        </w:rPr>
        <w:t>de leur allocation initiale totale, approuvée par l</w:t>
      </w:r>
      <w:r w:rsidR="009C104E" w:rsidRPr="002D6108">
        <w:rPr>
          <w:u w:val="none"/>
        </w:rPr>
        <w:t>’</w:t>
      </w:r>
      <w:r w:rsidRPr="002D6108">
        <w:rPr>
          <w:u w:val="none"/>
        </w:rPr>
        <w:t xml:space="preserve">Assemblée générale, et </w:t>
      </w:r>
      <w:r w:rsidRPr="002D6108">
        <w:t>demande</w:t>
      </w:r>
      <w:r w:rsidRPr="00B932EA">
        <w:rPr>
          <w:u w:val="none"/>
        </w:rPr>
        <w:t xml:space="preserve"> </w:t>
      </w:r>
      <w:r w:rsidRPr="002D6108">
        <w:rPr>
          <w:u w:val="none"/>
        </w:rPr>
        <w:t>au Secrétariat d</w:t>
      </w:r>
      <w:r w:rsidR="009C104E" w:rsidRPr="002D6108">
        <w:rPr>
          <w:u w:val="none"/>
        </w:rPr>
        <w:t>’</w:t>
      </w:r>
      <w:r w:rsidRPr="002D6108">
        <w:rPr>
          <w:u w:val="none"/>
        </w:rPr>
        <w:t>informer le Comité et l</w:t>
      </w:r>
      <w:r w:rsidR="009C104E" w:rsidRPr="002D6108">
        <w:rPr>
          <w:u w:val="none"/>
        </w:rPr>
        <w:t>’</w:t>
      </w:r>
      <w:r w:rsidRPr="002D6108">
        <w:rPr>
          <w:u w:val="none"/>
        </w:rPr>
        <w:t>Assemblée générale par écrit des détails et des raisons de ces transferts lors de la session suivante ;</w:t>
      </w:r>
    </w:p>
    <w:p w14:paraId="0E2B90EE" w14:textId="02C9A899" w:rsidR="00BD112F" w:rsidRPr="002D6108" w:rsidRDefault="00BD112F" w:rsidP="00771F30">
      <w:pPr>
        <w:pStyle w:val="COMParaDecision"/>
        <w:numPr>
          <w:ilvl w:val="0"/>
          <w:numId w:val="5"/>
        </w:numPr>
        <w:ind w:left="567" w:hanging="567"/>
        <w:rPr>
          <w:u w:val="none"/>
        </w:rPr>
      </w:pPr>
      <w:r w:rsidRPr="002D6108">
        <w:t>Demande en outre</w:t>
      </w:r>
      <w:r w:rsidRPr="002D6108">
        <w:rPr>
          <w:u w:val="none"/>
        </w:rPr>
        <w:t xml:space="preserve"> au Secrétariat de proposer, pour examen par l</w:t>
      </w:r>
      <w:r w:rsidR="009C104E" w:rsidRPr="002D6108">
        <w:rPr>
          <w:u w:val="none"/>
        </w:rPr>
        <w:t>’</w:t>
      </w:r>
      <w:r w:rsidRPr="002D6108">
        <w:rPr>
          <w:u w:val="none"/>
        </w:rPr>
        <w:t>Assemblée générale à sa huitième session en 2020, un projet de révision du Règlement financier du Compte spécial pour le Fonds pour la sauvegarde du patrimoine culturel immatériel afin de l</w:t>
      </w:r>
      <w:r w:rsidR="009C104E" w:rsidRPr="002D6108">
        <w:rPr>
          <w:u w:val="none"/>
        </w:rPr>
        <w:t>’</w:t>
      </w:r>
      <w:r w:rsidRPr="002D6108">
        <w:rPr>
          <w:u w:val="none"/>
        </w:rPr>
        <w:t>harmoniser avec les modèles de règlement financier de l</w:t>
      </w:r>
      <w:r w:rsidR="009C104E" w:rsidRPr="002D6108">
        <w:rPr>
          <w:u w:val="none"/>
        </w:rPr>
        <w:t>’</w:t>
      </w:r>
      <w:r w:rsidRPr="002D6108">
        <w:rPr>
          <w:u w:val="none"/>
        </w:rPr>
        <w:t>UNESCO.</w:t>
      </w:r>
    </w:p>
    <w:p w14:paraId="7F1C1CED" w14:textId="58EE1FA3" w:rsidR="00955D6B" w:rsidRPr="00B932EA" w:rsidRDefault="00955D6B" w:rsidP="00B932EA">
      <w:pPr>
        <w:pStyle w:val="Annex"/>
        <w:pageBreakBefore w:val="0"/>
        <w:spacing w:before="240" w:after="120"/>
      </w:pPr>
      <w:r w:rsidRPr="00B932EA">
        <w:t>ANNEXE</w:t>
      </w:r>
    </w:p>
    <w:tbl>
      <w:tblPr>
        <w:tblW w:w="5000" w:type="pct"/>
        <w:tblInd w:w="38" w:type="dxa"/>
        <w:tblLayout w:type="fixed"/>
        <w:tblCellMar>
          <w:left w:w="170" w:type="dxa"/>
          <w:right w:w="170" w:type="dxa"/>
        </w:tblCellMar>
        <w:tblLook w:val="04A0" w:firstRow="1" w:lastRow="0" w:firstColumn="1" w:lastColumn="0" w:noHBand="0" w:noVBand="1"/>
      </w:tblPr>
      <w:tblGrid>
        <w:gridCol w:w="821"/>
        <w:gridCol w:w="7565"/>
        <w:gridCol w:w="1576"/>
      </w:tblGrid>
      <w:tr w:rsidR="000A51CE" w:rsidRPr="0061112E" w14:paraId="5BE2DC27" w14:textId="77777777" w:rsidTr="002D6108">
        <w:trPr>
          <w:cantSplit/>
          <w:trHeight w:val="432"/>
        </w:trPr>
        <w:tc>
          <w:tcPr>
            <w:tcW w:w="5000" w:type="pct"/>
            <w:gridSpan w:val="3"/>
            <w:tcBorders>
              <w:top w:val="single" w:sz="4" w:space="0" w:color="auto"/>
              <w:left w:val="single" w:sz="4" w:space="0" w:color="auto"/>
              <w:bottom w:val="single" w:sz="4" w:space="0" w:color="auto"/>
              <w:right w:val="single" w:sz="4" w:space="0" w:color="auto"/>
            </w:tcBorders>
            <w:shd w:val="clear" w:color="000000" w:fill="D8D8D8"/>
            <w:noWrap/>
            <w:vAlign w:val="center"/>
          </w:tcPr>
          <w:p w14:paraId="748EB47E" w14:textId="2AF88DFA" w:rsidR="000A51CE" w:rsidRPr="00BB2DEA" w:rsidRDefault="000A51CE" w:rsidP="00B932EA">
            <w:pPr>
              <w:spacing w:before="120" w:after="120"/>
              <w:rPr>
                <w:rFonts w:ascii="Arial" w:hAnsi="Arial" w:cs="Arial"/>
                <w:b/>
                <w:bCs/>
                <w:sz w:val="18"/>
                <w:szCs w:val="18"/>
              </w:rPr>
            </w:pPr>
            <w:r>
              <w:rPr>
                <w:rFonts w:ascii="Arial" w:hAnsi="Arial"/>
                <w:b/>
                <w:bCs/>
                <w:sz w:val="18"/>
                <w:szCs w:val="18"/>
              </w:rPr>
              <w:t>Projet de plan d’utilisation des ressources du Fonds</w:t>
            </w:r>
          </w:p>
        </w:tc>
      </w:tr>
      <w:tr w:rsidR="000A51CE" w:rsidRPr="00AE7DF0" w14:paraId="2C92F2B1" w14:textId="77777777" w:rsidTr="002D6108">
        <w:trPr>
          <w:cantSplit/>
          <w:trHeight w:val="864"/>
        </w:trPr>
        <w:tc>
          <w:tcPr>
            <w:tcW w:w="420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924AA39" w14:textId="77777777" w:rsidR="000A51CE" w:rsidRPr="00BB2DEA" w:rsidRDefault="000A51CE" w:rsidP="00C32102">
            <w:pPr>
              <w:spacing w:before="120" w:after="120"/>
              <w:jc w:val="both"/>
              <w:rPr>
                <w:rFonts w:ascii="Arial" w:hAnsi="Arial" w:cs="Arial"/>
                <w:sz w:val="18"/>
                <w:szCs w:val="18"/>
              </w:rPr>
            </w:pPr>
            <w:r>
              <w:rPr>
                <w:rFonts w:ascii="Arial" w:hAnsi="Arial"/>
                <w:sz w:val="18"/>
                <w:szCs w:val="18"/>
              </w:rPr>
              <w:t>Pour la période allant du 1er janvier 2020 au 31 décembre 2021, ainsi que pour la période allant du 1er janvier au 30 juin 2022, les ressources du Fonds du patrimoine culturel immatériel pourront être utilisées aux fins suivantes :</w:t>
            </w:r>
          </w:p>
        </w:tc>
        <w:tc>
          <w:tcPr>
            <w:tcW w:w="791" w:type="pct"/>
            <w:tcBorders>
              <w:top w:val="nil"/>
              <w:left w:val="nil"/>
              <w:bottom w:val="single" w:sz="4" w:space="0" w:color="auto"/>
              <w:right w:val="single" w:sz="4" w:space="0" w:color="auto"/>
            </w:tcBorders>
            <w:shd w:val="clear" w:color="auto" w:fill="auto"/>
            <w:vAlign w:val="center"/>
          </w:tcPr>
          <w:p w14:paraId="7EA30F51" w14:textId="77777777" w:rsidR="000A51CE" w:rsidRPr="00BB2DEA" w:rsidRDefault="000A51CE" w:rsidP="00B932EA">
            <w:pPr>
              <w:spacing w:before="120" w:after="120"/>
              <w:rPr>
                <w:rFonts w:ascii="Arial" w:hAnsi="Arial" w:cs="Arial"/>
                <w:sz w:val="18"/>
                <w:szCs w:val="18"/>
              </w:rPr>
            </w:pPr>
            <w:r>
              <w:rPr>
                <w:rFonts w:ascii="Arial" w:hAnsi="Arial"/>
                <w:sz w:val="18"/>
                <w:szCs w:val="18"/>
              </w:rPr>
              <w:t>% du montant total</w:t>
            </w:r>
          </w:p>
        </w:tc>
      </w:tr>
      <w:tr w:rsidR="000A51CE" w:rsidRPr="00AE7DF0" w14:paraId="633C24CD" w14:textId="77777777" w:rsidTr="002D6108">
        <w:trPr>
          <w:cantSplit/>
          <w:trHeight w:val="1071"/>
        </w:trPr>
        <w:tc>
          <w:tcPr>
            <w:tcW w:w="412" w:type="pct"/>
            <w:tcBorders>
              <w:top w:val="nil"/>
              <w:left w:val="single" w:sz="4" w:space="0" w:color="auto"/>
              <w:bottom w:val="single" w:sz="4" w:space="0" w:color="auto"/>
              <w:right w:val="single" w:sz="4" w:space="0" w:color="auto"/>
            </w:tcBorders>
            <w:shd w:val="clear" w:color="auto" w:fill="auto"/>
            <w:noWrap/>
            <w:vAlign w:val="center"/>
          </w:tcPr>
          <w:p w14:paraId="1C753D7B" w14:textId="77777777" w:rsidR="000A51CE" w:rsidRPr="00BB2DEA" w:rsidRDefault="000A51CE" w:rsidP="00C32102">
            <w:pPr>
              <w:spacing w:before="120" w:after="120"/>
              <w:rPr>
                <w:rFonts w:ascii="Arial" w:hAnsi="Arial" w:cs="Arial"/>
                <w:sz w:val="18"/>
                <w:szCs w:val="18"/>
              </w:rPr>
            </w:pPr>
            <w:r>
              <w:rPr>
                <w:rFonts w:ascii="Arial" w:hAnsi="Arial"/>
                <w:sz w:val="18"/>
                <w:szCs w:val="18"/>
              </w:rPr>
              <w:t>1.</w:t>
            </w:r>
          </w:p>
        </w:tc>
        <w:tc>
          <w:tcPr>
            <w:tcW w:w="3797" w:type="pct"/>
            <w:tcBorders>
              <w:top w:val="nil"/>
              <w:left w:val="nil"/>
              <w:bottom w:val="single" w:sz="4" w:space="0" w:color="auto"/>
              <w:right w:val="single" w:sz="4" w:space="0" w:color="auto"/>
            </w:tcBorders>
            <w:shd w:val="clear" w:color="auto" w:fill="auto"/>
            <w:vAlign w:val="center"/>
          </w:tcPr>
          <w:p w14:paraId="58C44E9B" w14:textId="1BC494AF" w:rsidR="000A51CE" w:rsidRPr="00BB2DEA" w:rsidRDefault="000A51CE" w:rsidP="00C32102">
            <w:pPr>
              <w:spacing w:before="120" w:after="120"/>
              <w:jc w:val="both"/>
              <w:rPr>
                <w:rFonts w:ascii="Arial" w:hAnsi="Arial" w:cs="Arial"/>
                <w:sz w:val="18"/>
                <w:szCs w:val="18"/>
              </w:rPr>
            </w:pPr>
            <w:r>
              <w:rPr>
                <w:rFonts w:ascii="Arial" w:hAnsi="Arial"/>
                <w:sz w:val="18"/>
                <w:szCs w:val="18"/>
              </w:rPr>
              <w:t>Assistance internationale, y compris la sauvegarde du patrimoine inscrit sur la Liste du patrimoine culturel immatériel nécessitant une sauvegarde urgente, la préparation d’inventaires, et l’appui à d’autres programmes, projets ou activités de sauvegarde ;</w:t>
            </w:r>
          </w:p>
        </w:tc>
        <w:tc>
          <w:tcPr>
            <w:tcW w:w="791" w:type="pct"/>
            <w:tcBorders>
              <w:top w:val="nil"/>
              <w:left w:val="nil"/>
              <w:bottom w:val="single" w:sz="4" w:space="0" w:color="auto"/>
              <w:right w:val="single" w:sz="4" w:space="0" w:color="auto"/>
            </w:tcBorders>
            <w:shd w:val="clear" w:color="auto" w:fill="auto"/>
            <w:noWrap/>
            <w:vAlign w:val="center"/>
          </w:tcPr>
          <w:p w14:paraId="7E086F9D" w14:textId="77777777" w:rsidR="000A51CE" w:rsidRPr="00BB2DEA" w:rsidRDefault="000A51CE" w:rsidP="00B932EA">
            <w:pPr>
              <w:spacing w:before="120" w:after="120"/>
              <w:rPr>
                <w:rFonts w:ascii="Arial" w:hAnsi="Arial" w:cs="Arial"/>
                <w:sz w:val="18"/>
                <w:szCs w:val="18"/>
              </w:rPr>
            </w:pPr>
            <w:r>
              <w:rPr>
                <w:rFonts w:ascii="Arial" w:hAnsi="Arial"/>
                <w:sz w:val="18"/>
                <w:szCs w:val="18"/>
              </w:rPr>
              <w:t>51,96 %</w:t>
            </w:r>
          </w:p>
        </w:tc>
      </w:tr>
      <w:tr w:rsidR="000A51CE" w:rsidRPr="00AE7DF0" w14:paraId="22412ED1" w14:textId="77777777" w:rsidTr="002D6108">
        <w:trPr>
          <w:cantSplit/>
          <w:trHeight w:val="846"/>
        </w:trPr>
        <w:tc>
          <w:tcPr>
            <w:tcW w:w="412" w:type="pct"/>
            <w:tcBorders>
              <w:top w:val="nil"/>
              <w:left w:val="single" w:sz="4" w:space="0" w:color="auto"/>
              <w:bottom w:val="single" w:sz="4" w:space="0" w:color="auto"/>
              <w:right w:val="single" w:sz="4" w:space="0" w:color="auto"/>
            </w:tcBorders>
            <w:shd w:val="clear" w:color="auto" w:fill="auto"/>
            <w:noWrap/>
            <w:vAlign w:val="center"/>
          </w:tcPr>
          <w:p w14:paraId="155CBD05" w14:textId="77777777" w:rsidR="000A51CE" w:rsidRPr="00BB2DEA" w:rsidRDefault="000A51CE" w:rsidP="00C32102">
            <w:pPr>
              <w:spacing w:before="120" w:after="120"/>
              <w:rPr>
                <w:rFonts w:ascii="Arial" w:hAnsi="Arial" w:cs="Arial"/>
                <w:sz w:val="18"/>
                <w:szCs w:val="18"/>
              </w:rPr>
            </w:pPr>
            <w:r>
              <w:rPr>
                <w:rFonts w:ascii="Arial" w:hAnsi="Arial"/>
                <w:sz w:val="18"/>
                <w:szCs w:val="18"/>
              </w:rPr>
              <w:t>1.1</w:t>
            </w:r>
          </w:p>
        </w:tc>
        <w:tc>
          <w:tcPr>
            <w:tcW w:w="3797" w:type="pct"/>
            <w:tcBorders>
              <w:top w:val="nil"/>
              <w:left w:val="nil"/>
              <w:bottom w:val="single" w:sz="4" w:space="0" w:color="auto"/>
              <w:right w:val="single" w:sz="4" w:space="0" w:color="auto"/>
            </w:tcBorders>
            <w:shd w:val="clear" w:color="auto" w:fill="auto"/>
            <w:vAlign w:val="center"/>
          </w:tcPr>
          <w:p w14:paraId="21CC158D" w14:textId="40682B8C" w:rsidR="000A51CE" w:rsidRPr="00BB2DEA" w:rsidRDefault="000A51CE" w:rsidP="00C32102">
            <w:pPr>
              <w:spacing w:before="120" w:after="120"/>
              <w:ind w:right="-1"/>
              <w:jc w:val="both"/>
              <w:rPr>
                <w:rFonts w:ascii="Arial" w:hAnsi="Arial" w:cs="Arial"/>
                <w:sz w:val="18"/>
                <w:szCs w:val="18"/>
              </w:rPr>
            </w:pPr>
            <w:r>
              <w:rPr>
                <w:rFonts w:ascii="Arial" w:hAnsi="Arial"/>
                <w:sz w:val="18"/>
                <w:szCs w:val="18"/>
              </w:rPr>
              <w:t>Renforcement des ressources humaines pour améliorer la mise en œuvre des mécanismes de l’assistance internationale à travers trois postes à durée déterminée financés à l’aide de fonds extrabudgétaires (un P3, un P2 et un</w:t>
            </w:r>
            <w:r w:rsidRPr="0046539B">
              <w:rPr>
                <w:rFonts w:ascii="Arial" w:hAnsi="Arial"/>
                <w:sz w:val="18"/>
                <w:szCs w:val="18"/>
              </w:rPr>
              <w:t> </w:t>
            </w:r>
            <w:r>
              <w:rPr>
                <w:rFonts w:ascii="Arial" w:hAnsi="Arial"/>
                <w:sz w:val="18"/>
                <w:szCs w:val="18"/>
              </w:rPr>
              <w:t>G5) ;</w:t>
            </w:r>
          </w:p>
        </w:tc>
        <w:tc>
          <w:tcPr>
            <w:tcW w:w="791" w:type="pct"/>
            <w:tcBorders>
              <w:top w:val="nil"/>
              <w:left w:val="nil"/>
              <w:bottom w:val="single" w:sz="4" w:space="0" w:color="auto"/>
              <w:right w:val="single" w:sz="4" w:space="0" w:color="auto"/>
            </w:tcBorders>
            <w:shd w:val="clear" w:color="auto" w:fill="auto"/>
            <w:noWrap/>
            <w:vAlign w:val="center"/>
          </w:tcPr>
          <w:p w14:paraId="2D63868F" w14:textId="77777777" w:rsidR="000A51CE" w:rsidRPr="00BB2DEA" w:rsidRDefault="000A51CE" w:rsidP="00B932EA">
            <w:pPr>
              <w:spacing w:before="120" w:after="120"/>
              <w:rPr>
                <w:rFonts w:ascii="Arial" w:hAnsi="Arial" w:cs="Arial"/>
                <w:sz w:val="18"/>
                <w:szCs w:val="18"/>
              </w:rPr>
            </w:pPr>
            <w:r>
              <w:rPr>
                <w:rFonts w:ascii="Arial" w:hAnsi="Arial"/>
                <w:sz w:val="18"/>
                <w:szCs w:val="18"/>
              </w:rPr>
              <w:t>10,79 %</w:t>
            </w:r>
          </w:p>
        </w:tc>
      </w:tr>
      <w:tr w:rsidR="000A51CE" w:rsidRPr="00AE7DF0" w14:paraId="41B20DCA" w14:textId="77777777" w:rsidTr="002D6108">
        <w:trPr>
          <w:cantSplit/>
          <w:trHeight w:val="864"/>
        </w:trPr>
        <w:tc>
          <w:tcPr>
            <w:tcW w:w="412" w:type="pct"/>
            <w:tcBorders>
              <w:top w:val="nil"/>
              <w:left w:val="single" w:sz="4" w:space="0" w:color="auto"/>
              <w:bottom w:val="single" w:sz="4" w:space="0" w:color="auto"/>
              <w:right w:val="single" w:sz="4" w:space="0" w:color="auto"/>
            </w:tcBorders>
            <w:shd w:val="clear" w:color="auto" w:fill="auto"/>
            <w:noWrap/>
            <w:vAlign w:val="center"/>
          </w:tcPr>
          <w:p w14:paraId="39ADDDB8" w14:textId="77777777" w:rsidR="000A51CE" w:rsidRPr="00BB2DEA" w:rsidRDefault="000A51CE" w:rsidP="00C32102">
            <w:pPr>
              <w:spacing w:before="120" w:after="120"/>
              <w:rPr>
                <w:rFonts w:ascii="Arial" w:hAnsi="Arial" w:cs="Arial"/>
                <w:sz w:val="18"/>
                <w:szCs w:val="18"/>
              </w:rPr>
            </w:pPr>
            <w:r>
              <w:rPr>
                <w:rFonts w:ascii="Arial" w:hAnsi="Arial"/>
                <w:sz w:val="18"/>
                <w:szCs w:val="18"/>
              </w:rPr>
              <w:t>2.</w:t>
            </w:r>
          </w:p>
        </w:tc>
        <w:tc>
          <w:tcPr>
            <w:tcW w:w="3797" w:type="pct"/>
            <w:tcBorders>
              <w:top w:val="nil"/>
              <w:left w:val="nil"/>
              <w:bottom w:val="single" w:sz="4" w:space="0" w:color="auto"/>
              <w:right w:val="single" w:sz="4" w:space="0" w:color="auto"/>
            </w:tcBorders>
            <w:shd w:val="clear" w:color="auto" w:fill="auto"/>
            <w:vAlign w:val="center"/>
          </w:tcPr>
          <w:p w14:paraId="5E1FB4DB" w14:textId="08A0C0A7" w:rsidR="000A51CE" w:rsidRPr="00BB2DEA" w:rsidRDefault="000A51CE" w:rsidP="00C32102">
            <w:pPr>
              <w:spacing w:before="120" w:after="120"/>
              <w:jc w:val="both"/>
              <w:rPr>
                <w:rFonts w:ascii="Arial" w:hAnsi="Arial" w:cs="Arial"/>
                <w:sz w:val="18"/>
                <w:szCs w:val="18"/>
              </w:rPr>
            </w:pPr>
            <w:r>
              <w:rPr>
                <w:rFonts w:ascii="Arial" w:hAnsi="Arial"/>
                <w:sz w:val="18"/>
                <w:szCs w:val="18"/>
              </w:rPr>
              <w:t>Assistance préparatoire pour les demandes d’assistance internationale, ainsi que pour les dossiers de candidature à la Liste de sauvegarde urgente et les propositions au Registre de bonnes pratiques de sauvegarde ;</w:t>
            </w:r>
          </w:p>
        </w:tc>
        <w:tc>
          <w:tcPr>
            <w:tcW w:w="791" w:type="pct"/>
            <w:tcBorders>
              <w:top w:val="nil"/>
              <w:left w:val="nil"/>
              <w:bottom w:val="single" w:sz="4" w:space="0" w:color="auto"/>
              <w:right w:val="single" w:sz="4" w:space="0" w:color="auto"/>
            </w:tcBorders>
            <w:shd w:val="clear" w:color="auto" w:fill="auto"/>
            <w:noWrap/>
            <w:vAlign w:val="center"/>
          </w:tcPr>
          <w:p w14:paraId="016A2DAC" w14:textId="77777777" w:rsidR="000A51CE" w:rsidRPr="00BB2DEA" w:rsidRDefault="000A51CE" w:rsidP="00B932EA">
            <w:pPr>
              <w:spacing w:before="120" w:after="120"/>
              <w:rPr>
                <w:rFonts w:ascii="Arial" w:hAnsi="Arial" w:cs="Arial"/>
                <w:sz w:val="18"/>
                <w:szCs w:val="18"/>
              </w:rPr>
            </w:pPr>
            <w:r>
              <w:rPr>
                <w:rFonts w:ascii="Arial" w:hAnsi="Arial"/>
                <w:sz w:val="18"/>
                <w:szCs w:val="18"/>
              </w:rPr>
              <w:t>2,00 %</w:t>
            </w:r>
          </w:p>
        </w:tc>
      </w:tr>
      <w:tr w:rsidR="000A51CE" w:rsidRPr="00AE7DF0" w14:paraId="2641872A" w14:textId="77777777" w:rsidTr="002D6108">
        <w:trPr>
          <w:cantSplit/>
          <w:trHeight w:val="1691"/>
        </w:trPr>
        <w:tc>
          <w:tcPr>
            <w:tcW w:w="412" w:type="pct"/>
            <w:tcBorders>
              <w:top w:val="nil"/>
              <w:left w:val="single" w:sz="4" w:space="0" w:color="auto"/>
              <w:bottom w:val="single" w:sz="4" w:space="0" w:color="auto"/>
              <w:right w:val="single" w:sz="4" w:space="0" w:color="auto"/>
            </w:tcBorders>
            <w:shd w:val="clear" w:color="auto" w:fill="auto"/>
            <w:noWrap/>
            <w:vAlign w:val="center"/>
          </w:tcPr>
          <w:p w14:paraId="66C7D5F9" w14:textId="77777777" w:rsidR="000A51CE" w:rsidRPr="00BB2DEA" w:rsidRDefault="000A51CE" w:rsidP="00C32102">
            <w:pPr>
              <w:spacing w:before="120" w:after="120"/>
              <w:rPr>
                <w:rFonts w:ascii="Arial" w:hAnsi="Arial" w:cs="Arial"/>
                <w:sz w:val="18"/>
                <w:szCs w:val="18"/>
              </w:rPr>
            </w:pPr>
            <w:r>
              <w:rPr>
                <w:rFonts w:ascii="Arial" w:hAnsi="Arial"/>
                <w:sz w:val="18"/>
                <w:szCs w:val="18"/>
              </w:rPr>
              <w:t>3.</w:t>
            </w:r>
          </w:p>
        </w:tc>
        <w:tc>
          <w:tcPr>
            <w:tcW w:w="3797" w:type="pct"/>
            <w:tcBorders>
              <w:top w:val="nil"/>
              <w:left w:val="nil"/>
              <w:bottom w:val="single" w:sz="4" w:space="0" w:color="auto"/>
              <w:right w:val="single" w:sz="4" w:space="0" w:color="auto"/>
            </w:tcBorders>
            <w:shd w:val="clear" w:color="auto" w:fill="auto"/>
            <w:vAlign w:val="center"/>
          </w:tcPr>
          <w:p w14:paraId="1B689843" w14:textId="61B97A8C" w:rsidR="000A51CE" w:rsidRPr="00BB2DEA" w:rsidRDefault="000A51CE" w:rsidP="00C32102">
            <w:pPr>
              <w:spacing w:before="120" w:after="120"/>
              <w:jc w:val="both"/>
              <w:rPr>
                <w:rFonts w:ascii="Arial" w:hAnsi="Arial" w:cs="Arial"/>
                <w:sz w:val="18"/>
                <w:szCs w:val="18"/>
              </w:rPr>
            </w:pPr>
            <w:r>
              <w:rPr>
                <w:rFonts w:ascii="Arial" w:hAnsi="Arial"/>
                <w:sz w:val="18"/>
                <w:szCs w:val="18"/>
              </w:rPr>
              <w:t xml:space="preserve">Autres fonctions du Comité telles que décrites à l’article 7 de la Convention, destinées à promouvoir les objectifs de la Convention et à encourager et assurer le suivi de sa mise en œuvre, à travers notamment le renforcement des capacités à sauvegarder efficacement le patrimoine culturel immatériel, la sensibilisation à l’importance de ce patrimoine, des conseils sur les bonnes pratiques de sauvegarde et l’actualisation et la publication des listes et du Registre des bonnes pratiques de sauvegarde ; </w:t>
            </w:r>
          </w:p>
        </w:tc>
        <w:tc>
          <w:tcPr>
            <w:tcW w:w="791" w:type="pct"/>
            <w:tcBorders>
              <w:top w:val="nil"/>
              <w:left w:val="nil"/>
              <w:bottom w:val="single" w:sz="4" w:space="0" w:color="auto"/>
              <w:right w:val="single" w:sz="4" w:space="0" w:color="auto"/>
            </w:tcBorders>
            <w:shd w:val="clear" w:color="auto" w:fill="auto"/>
            <w:noWrap/>
            <w:vAlign w:val="center"/>
          </w:tcPr>
          <w:p w14:paraId="16A5FDE9" w14:textId="77777777" w:rsidR="000A51CE" w:rsidRPr="00BB2DEA" w:rsidRDefault="000A51CE" w:rsidP="00B932EA">
            <w:pPr>
              <w:spacing w:before="120" w:after="120"/>
              <w:rPr>
                <w:rFonts w:ascii="Arial" w:hAnsi="Arial" w:cs="Arial"/>
                <w:sz w:val="18"/>
                <w:szCs w:val="18"/>
              </w:rPr>
            </w:pPr>
            <w:r>
              <w:rPr>
                <w:rFonts w:ascii="Arial" w:hAnsi="Arial"/>
                <w:sz w:val="18"/>
                <w:szCs w:val="18"/>
              </w:rPr>
              <w:t>20,00 %</w:t>
            </w:r>
          </w:p>
        </w:tc>
      </w:tr>
      <w:tr w:rsidR="000A51CE" w:rsidRPr="00AE7DF0" w14:paraId="7F26A19C" w14:textId="77777777" w:rsidTr="002D6108">
        <w:trPr>
          <w:cantSplit/>
          <w:trHeight w:val="846"/>
        </w:trPr>
        <w:tc>
          <w:tcPr>
            <w:tcW w:w="412" w:type="pct"/>
            <w:tcBorders>
              <w:top w:val="nil"/>
              <w:left w:val="single" w:sz="4" w:space="0" w:color="auto"/>
              <w:bottom w:val="single" w:sz="4" w:space="0" w:color="auto"/>
              <w:right w:val="single" w:sz="4" w:space="0" w:color="auto"/>
            </w:tcBorders>
            <w:shd w:val="clear" w:color="auto" w:fill="auto"/>
            <w:noWrap/>
            <w:vAlign w:val="center"/>
          </w:tcPr>
          <w:p w14:paraId="3AEB26A8" w14:textId="77777777" w:rsidR="000A51CE" w:rsidRPr="00BB2DEA" w:rsidRDefault="000A51CE" w:rsidP="00C32102">
            <w:pPr>
              <w:spacing w:before="120" w:after="120"/>
              <w:rPr>
                <w:rFonts w:ascii="Arial" w:hAnsi="Arial" w:cs="Arial"/>
                <w:sz w:val="18"/>
                <w:szCs w:val="18"/>
              </w:rPr>
            </w:pPr>
            <w:r>
              <w:rPr>
                <w:rFonts w:ascii="Arial" w:hAnsi="Arial"/>
                <w:sz w:val="18"/>
                <w:szCs w:val="18"/>
              </w:rPr>
              <w:t>4.</w:t>
            </w:r>
          </w:p>
        </w:tc>
        <w:tc>
          <w:tcPr>
            <w:tcW w:w="3797" w:type="pct"/>
            <w:tcBorders>
              <w:top w:val="nil"/>
              <w:left w:val="nil"/>
              <w:bottom w:val="single" w:sz="4" w:space="0" w:color="auto"/>
              <w:right w:val="single" w:sz="4" w:space="0" w:color="auto"/>
            </w:tcBorders>
            <w:shd w:val="clear" w:color="auto" w:fill="auto"/>
            <w:vAlign w:val="center"/>
          </w:tcPr>
          <w:p w14:paraId="6A36D10C" w14:textId="2B5775CE" w:rsidR="000A51CE" w:rsidRPr="00BB2DEA" w:rsidRDefault="000A51CE" w:rsidP="00C32102">
            <w:pPr>
              <w:spacing w:before="120" w:after="120"/>
              <w:jc w:val="both"/>
              <w:rPr>
                <w:rFonts w:ascii="Arial" w:hAnsi="Arial" w:cs="Arial"/>
                <w:sz w:val="18"/>
                <w:szCs w:val="18"/>
              </w:rPr>
            </w:pPr>
            <w:r>
              <w:rPr>
                <w:rFonts w:ascii="Arial" w:hAnsi="Arial"/>
                <w:sz w:val="18"/>
                <w:szCs w:val="18"/>
              </w:rPr>
              <w:t>Participation aux sessions du Comité, de son Bureau et de ses organes subsidiaires d’experts du patrimoine culturel immatériel représentant des pays en développement membres du Comité ;</w:t>
            </w:r>
          </w:p>
        </w:tc>
        <w:tc>
          <w:tcPr>
            <w:tcW w:w="791" w:type="pct"/>
            <w:tcBorders>
              <w:top w:val="nil"/>
              <w:left w:val="nil"/>
              <w:bottom w:val="single" w:sz="4" w:space="0" w:color="auto"/>
              <w:right w:val="single" w:sz="4" w:space="0" w:color="auto"/>
            </w:tcBorders>
            <w:shd w:val="clear" w:color="auto" w:fill="auto"/>
            <w:noWrap/>
            <w:vAlign w:val="center"/>
          </w:tcPr>
          <w:p w14:paraId="53FEA747" w14:textId="77777777" w:rsidR="000A51CE" w:rsidRPr="00BB2DEA" w:rsidRDefault="000A51CE" w:rsidP="00B932EA">
            <w:pPr>
              <w:spacing w:before="120" w:after="120"/>
              <w:rPr>
                <w:rFonts w:ascii="Arial" w:hAnsi="Arial" w:cs="Arial"/>
                <w:sz w:val="18"/>
                <w:szCs w:val="18"/>
              </w:rPr>
            </w:pPr>
            <w:r>
              <w:rPr>
                <w:rFonts w:ascii="Arial" w:hAnsi="Arial"/>
                <w:sz w:val="18"/>
                <w:szCs w:val="18"/>
              </w:rPr>
              <w:t>2,63 %</w:t>
            </w:r>
          </w:p>
        </w:tc>
      </w:tr>
      <w:tr w:rsidR="000A51CE" w:rsidRPr="00AE7DF0" w14:paraId="30152C8E" w14:textId="77777777" w:rsidTr="002D6108">
        <w:trPr>
          <w:cantSplit/>
          <w:trHeight w:val="864"/>
        </w:trPr>
        <w:tc>
          <w:tcPr>
            <w:tcW w:w="412" w:type="pct"/>
            <w:tcBorders>
              <w:top w:val="nil"/>
              <w:left w:val="single" w:sz="4" w:space="0" w:color="auto"/>
              <w:bottom w:val="single" w:sz="4" w:space="0" w:color="auto"/>
              <w:right w:val="single" w:sz="4" w:space="0" w:color="auto"/>
            </w:tcBorders>
            <w:shd w:val="clear" w:color="auto" w:fill="auto"/>
            <w:noWrap/>
            <w:vAlign w:val="center"/>
          </w:tcPr>
          <w:p w14:paraId="0812EA04" w14:textId="77777777" w:rsidR="000A51CE" w:rsidRPr="00BB2DEA" w:rsidRDefault="000A51CE" w:rsidP="00C32102">
            <w:pPr>
              <w:spacing w:before="120" w:after="120"/>
              <w:rPr>
                <w:rFonts w:ascii="Arial" w:hAnsi="Arial" w:cs="Arial"/>
                <w:sz w:val="18"/>
                <w:szCs w:val="18"/>
              </w:rPr>
            </w:pPr>
            <w:r>
              <w:rPr>
                <w:rFonts w:ascii="Arial" w:hAnsi="Arial"/>
                <w:sz w:val="18"/>
                <w:szCs w:val="18"/>
              </w:rPr>
              <w:t>5.</w:t>
            </w:r>
          </w:p>
        </w:tc>
        <w:tc>
          <w:tcPr>
            <w:tcW w:w="3797" w:type="pct"/>
            <w:tcBorders>
              <w:top w:val="nil"/>
              <w:left w:val="nil"/>
              <w:bottom w:val="single" w:sz="4" w:space="0" w:color="auto"/>
              <w:right w:val="single" w:sz="4" w:space="0" w:color="auto"/>
            </w:tcBorders>
            <w:shd w:val="clear" w:color="auto" w:fill="auto"/>
            <w:vAlign w:val="center"/>
          </w:tcPr>
          <w:p w14:paraId="58A8572B" w14:textId="58E6503B" w:rsidR="000A51CE" w:rsidRPr="00BB2DEA" w:rsidRDefault="000A51CE" w:rsidP="00C32102">
            <w:pPr>
              <w:spacing w:before="120" w:after="120"/>
              <w:jc w:val="both"/>
              <w:rPr>
                <w:rFonts w:ascii="Arial" w:hAnsi="Arial" w:cs="Arial"/>
                <w:sz w:val="18"/>
                <w:szCs w:val="18"/>
              </w:rPr>
            </w:pPr>
            <w:r>
              <w:rPr>
                <w:rFonts w:ascii="Arial" w:hAnsi="Arial"/>
                <w:sz w:val="18"/>
                <w:szCs w:val="18"/>
              </w:rPr>
              <w:t>Participation aux sessions du Comité et de ses organes consultatifs d’experts du patrimoine culturel immatériel représentant des pays en développement parties à la Convention mais non membres du Comité ;</w:t>
            </w:r>
          </w:p>
        </w:tc>
        <w:tc>
          <w:tcPr>
            <w:tcW w:w="791" w:type="pct"/>
            <w:tcBorders>
              <w:top w:val="nil"/>
              <w:left w:val="nil"/>
              <w:bottom w:val="single" w:sz="4" w:space="0" w:color="auto"/>
              <w:right w:val="single" w:sz="4" w:space="0" w:color="auto"/>
            </w:tcBorders>
            <w:shd w:val="clear" w:color="auto" w:fill="auto"/>
            <w:noWrap/>
            <w:vAlign w:val="center"/>
          </w:tcPr>
          <w:p w14:paraId="4D2503E8" w14:textId="77777777" w:rsidR="000A51CE" w:rsidRPr="00BB2DEA" w:rsidRDefault="000A51CE" w:rsidP="00B932EA">
            <w:pPr>
              <w:spacing w:before="120" w:after="120"/>
              <w:rPr>
                <w:rFonts w:ascii="Arial" w:hAnsi="Arial" w:cs="Arial"/>
                <w:sz w:val="18"/>
                <w:szCs w:val="18"/>
              </w:rPr>
            </w:pPr>
            <w:r>
              <w:rPr>
                <w:rFonts w:ascii="Arial" w:hAnsi="Arial"/>
                <w:sz w:val="18"/>
                <w:szCs w:val="18"/>
              </w:rPr>
              <w:t>3,31 %</w:t>
            </w:r>
          </w:p>
        </w:tc>
      </w:tr>
      <w:tr w:rsidR="000A51CE" w:rsidRPr="00AE7DF0" w14:paraId="6D25F5DD" w14:textId="77777777" w:rsidTr="002D6108">
        <w:trPr>
          <w:cantSplit/>
          <w:trHeight w:val="1484"/>
        </w:trPr>
        <w:tc>
          <w:tcPr>
            <w:tcW w:w="412" w:type="pct"/>
            <w:tcBorders>
              <w:top w:val="nil"/>
              <w:left w:val="single" w:sz="4" w:space="0" w:color="auto"/>
              <w:bottom w:val="single" w:sz="4" w:space="0" w:color="auto"/>
              <w:right w:val="single" w:sz="4" w:space="0" w:color="auto"/>
            </w:tcBorders>
            <w:shd w:val="clear" w:color="auto" w:fill="auto"/>
            <w:noWrap/>
            <w:vAlign w:val="center"/>
          </w:tcPr>
          <w:p w14:paraId="375B0B98" w14:textId="77777777" w:rsidR="000A51CE" w:rsidRPr="00BB2DEA" w:rsidRDefault="000A51CE" w:rsidP="00C32102">
            <w:pPr>
              <w:spacing w:before="120" w:after="120"/>
              <w:rPr>
                <w:rFonts w:ascii="Arial" w:hAnsi="Arial" w:cs="Arial"/>
                <w:sz w:val="18"/>
                <w:szCs w:val="18"/>
              </w:rPr>
            </w:pPr>
            <w:r>
              <w:rPr>
                <w:rFonts w:ascii="Arial" w:hAnsi="Arial"/>
                <w:sz w:val="18"/>
                <w:szCs w:val="18"/>
              </w:rPr>
              <w:t>6.</w:t>
            </w:r>
          </w:p>
        </w:tc>
        <w:tc>
          <w:tcPr>
            <w:tcW w:w="3797" w:type="pct"/>
            <w:tcBorders>
              <w:top w:val="nil"/>
              <w:left w:val="nil"/>
              <w:bottom w:val="single" w:sz="4" w:space="0" w:color="auto"/>
              <w:right w:val="single" w:sz="4" w:space="0" w:color="auto"/>
            </w:tcBorders>
            <w:shd w:val="clear" w:color="auto" w:fill="auto"/>
            <w:vAlign w:val="center"/>
          </w:tcPr>
          <w:p w14:paraId="3AD88F0D" w14:textId="5DF760EF" w:rsidR="000A51CE" w:rsidRPr="00BB2DEA" w:rsidRDefault="000A51CE" w:rsidP="00C32102">
            <w:pPr>
              <w:spacing w:before="120" w:after="120"/>
              <w:jc w:val="both"/>
              <w:rPr>
                <w:rFonts w:ascii="Arial" w:hAnsi="Arial" w:cs="Arial"/>
                <w:sz w:val="18"/>
                <w:szCs w:val="18"/>
              </w:rPr>
            </w:pPr>
            <w:r>
              <w:rPr>
                <w:rFonts w:ascii="Arial" w:hAnsi="Arial"/>
                <w:sz w:val="18"/>
                <w:szCs w:val="18"/>
              </w:rPr>
              <w:t>Participation aux sessions du Comité, de son Bureau et de ses organes consultatifs d’entités publiques ou privées, de personnes physiques, notamment des membres de communautés ou de groupes, qui ont été invitées par le Comité à titre consultatif sur des questions spécifiques, ainsi que d’experts du patrimoine culturel immatériel représentant des ONG accréditées de pays en développement ;</w:t>
            </w:r>
          </w:p>
        </w:tc>
        <w:tc>
          <w:tcPr>
            <w:tcW w:w="791" w:type="pct"/>
            <w:tcBorders>
              <w:top w:val="nil"/>
              <w:left w:val="nil"/>
              <w:bottom w:val="single" w:sz="4" w:space="0" w:color="auto"/>
              <w:right w:val="single" w:sz="4" w:space="0" w:color="auto"/>
            </w:tcBorders>
            <w:shd w:val="clear" w:color="auto" w:fill="auto"/>
            <w:noWrap/>
            <w:vAlign w:val="center"/>
          </w:tcPr>
          <w:p w14:paraId="20F4AE7B" w14:textId="77777777" w:rsidR="000A51CE" w:rsidRPr="00BB2DEA" w:rsidRDefault="000A51CE" w:rsidP="00B932EA">
            <w:pPr>
              <w:spacing w:before="120" w:after="120"/>
              <w:rPr>
                <w:rFonts w:ascii="Arial" w:hAnsi="Arial" w:cs="Arial"/>
                <w:sz w:val="18"/>
                <w:szCs w:val="18"/>
              </w:rPr>
            </w:pPr>
            <w:r>
              <w:rPr>
                <w:rFonts w:ascii="Arial" w:hAnsi="Arial"/>
                <w:sz w:val="18"/>
                <w:szCs w:val="18"/>
              </w:rPr>
              <w:t>3,31 %</w:t>
            </w:r>
          </w:p>
        </w:tc>
      </w:tr>
      <w:tr w:rsidR="000A51CE" w:rsidRPr="00AE7DF0" w14:paraId="132B51C1" w14:textId="77777777" w:rsidTr="002D6108">
        <w:trPr>
          <w:cantSplit/>
          <w:trHeight w:val="846"/>
        </w:trPr>
        <w:tc>
          <w:tcPr>
            <w:tcW w:w="412" w:type="pct"/>
            <w:tcBorders>
              <w:top w:val="nil"/>
              <w:left w:val="single" w:sz="4" w:space="0" w:color="auto"/>
              <w:bottom w:val="single" w:sz="4" w:space="0" w:color="auto"/>
              <w:right w:val="single" w:sz="4" w:space="0" w:color="auto"/>
            </w:tcBorders>
            <w:shd w:val="clear" w:color="auto" w:fill="auto"/>
            <w:noWrap/>
            <w:vAlign w:val="center"/>
          </w:tcPr>
          <w:p w14:paraId="64560B2E" w14:textId="77777777" w:rsidR="000A51CE" w:rsidRPr="00BB2DEA" w:rsidRDefault="000A51CE" w:rsidP="00C32102">
            <w:pPr>
              <w:spacing w:before="120" w:after="120"/>
              <w:rPr>
                <w:rFonts w:ascii="Arial" w:hAnsi="Arial" w:cs="Arial"/>
                <w:sz w:val="18"/>
                <w:szCs w:val="18"/>
              </w:rPr>
            </w:pPr>
            <w:r>
              <w:rPr>
                <w:rFonts w:ascii="Arial" w:hAnsi="Arial"/>
                <w:sz w:val="18"/>
                <w:szCs w:val="18"/>
              </w:rPr>
              <w:t>7.</w:t>
            </w:r>
          </w:p>
        </w:tc>
        <w:tc>
          <w:tcPr>
            <w:tcW w:w="3797" w:type="pct"/>
            <w:tcBorders>
              <w:top w:val="nil"/>
              <w:left w:val="nil"/>
              <w:bottom w:val="single" w:sz="4" w:space="0" w:color="auto"/>
              <w:right w:val="single" w:sz="4" w:space="0" w:color="auto"/>
            </w:tcBorders>
            <w:shd w:val="clear" w:color="auto" w:fill="auto"/>
            <w:vAlign w:val="center"/>
          </w:tcPr>
          <w:p w14:paraId="53F7D321" w14:textId="4859CC54" w:rsidR="000A51CE" w:rsidRPr="00BB2DEA" w:rsidRDefault="000A51CE" w:rsidP="00C32102">
            <w:pPr>
              <w:spacing w:before="120" w:after="120"/>
              <w:jc w:val="both"/>
              <w:rPr>
                <w:rFonts w:ascii="Arial" w:hAnsi="Arial" w:cs="Arial"/>
                <w:sz w:val="18"/>
                <w:szCs w:val="18"/>
              </w:rPr>
            </w:pPr>
            <w:r>
              <w:rPr>
                <w:rFonts w:ascii="Arial" w:hAnsi="Arial"/>
                <w:sz w:val="18"/>
                <w:szCs w:val="18"/>
              </w:rPr>
              <w:t>Coûts des services consultatifs devant être fournis à la demande du Comité, y compris l’aide aux pays en développement dont les représentants ont été nommés membres de l’Organe d’évaluation ;</w:t>
            </w:r>
          </w:p>
        </w:tc>
        <w:tc>
          <w:tcPr>
            <w:tcW w:w="791" w:type="pct"/>
            <w:tcBorders>
              <w:top w:val="nil"/>
              <w:left w:val="nil"/>
              <w:bottom w:val="single" w:sz="4" w:space="0" w:color="auto"/>
              <w:right w:val="single" w:sz="4" w:space="0" w:color="auto"/>
            </w:tcBorders>
            <w:shd w:val="clear" w:color="auto" w:fill="auto"/>
            <w:noWrap/>
            <w:vAlign w:val="center"/>
          </w:tcPr>
          <w:p w14:paraId="656B76A6" w14:textId="77777777" w:rsidR="000A51CE" w:rsidRPr="00BB2DEA" w:rsidRDefault="000A51CE" w:rsidP="00B932EA">
            <w:pPr>
              <w:spacing w:before="120" w:after="120"/>
              <w:rPr>
                <w:rFonts w:ascii="Arial" w:hAnsi="Arial" w:cs="Arial"/>
                <w:sz w:val="18"/>
                <w:szCs w:val="18"/>
              </w:rPr>
            </w:pPr>
            <w:r>
              <w:rPr>
                <w:rFonts w:ascii="Arial" w:hAnsi="Arial"/>
                <w:sz w:val="18"/>
                <w:szCs w:val="18"/>
              </w:rPr>
              <w:t>6,00 %</w:t>
            </w:r>
          </w:p>
        </w:tc>
      </w:tr>
      <w:tr w:rsidR="000A51CE" w:rsidRPr="00AE7DF0" w14:paraId="02DC4BCF" w14:textId="77777777" w:rsidTr="002D6108">
        <w:trPr>
          <w:cantSplit/>
          <w:trHeight w:val="658"/>
        </w:trPr>
        <w:tc>
          <w:tcPr>
            <w:tcW w:w="412" w:type="pct"/>
            <w:tcBorders>
              <w:top w:val="nil"/>
              <w:left w:val="single" w:sz="4" w:space="0" w:color="auto"/>
              <w:bottom w:val="single" w:sz="4" w:space="0" w:color="auto"/>
              <w:right w:val="single" w:sz="4" w:space="0" w:color="auto"/>
            </w:tcBorders>
            <w:shd w:val="clear" w:color="auto" w:fill="auto"/>
            <w:noWrap/>
            <w:vAlign w:val="center"/>
          </w:tcPr>
          <w:p w14:paraId="7FEC1414" w14:textId="77777777" w:rsidR="000A51CE" w:rsidRPr="00BB2DEA" w:rsidRDefault="000A51CE" w:rsidP="00C32102">
            <w:pPr>
              <w:spacing w:before="120" w:after="120"/>
              <w:rPr>
                <w:rFonts w:ascii="Arial" w:hAnsi="Arial" w:cs="Arial"/>
                <w:sz w:val="18"/>
                <w:szCs w:val="18"/>
              </w:rPr>
            </w:pPr>
            <w:r>
              <w:rPr>
                <w:rFonts w:ascii="Arial" w:hAnsi="Arial"/>
                <w:sz w:val="18"/>
                <w:szCs w:val="18"/>
              </w:rPr>
              <w:t>8</w:t>
            </w:r>
          </w:p>
        </w:tc>
        <w:tc>
          <w:tcPr>
            <w:tcW w:w="3797" w:type="pct"/>
            <w:tcBorders>
              <w:top w:val="nil"/>
              <w:left w:val="nil"/>
              <w:bottom w:val="single" w:sz="4" w:space="0" w:color="auto"/>
              <w:right w:val="single" w:sz="4" w:space="0" w:color="auto"/>
            </w:tcBorders>
            <w:shd w:val="clear" w:color="auto" w:fill="auto"/>
            <w:vAlign w:val="center"/>
          </w:tcPr>
          <w:p w14:paraId="1ECB4199" w14:textId="05BF6BA2" w:rsidR="000A51CE" w:rsidRPr="00BB2DEA" w:rsidRDefault="000A51CE" w:rsidP="00C32102">
            <w:pPr>
              <w:spacing w:before="120" w:after="120"/>
              <w:jc w:val="both"/>
              <w:rPr>
                <w:rFonts w:ascii="Arial" w:hAnsi="Arial" w:cs="Arial"/>
                <w:sz w:val="18"/>
                <w:szCs w:val="18"/>
              </w:rPr>
            </w:pPr>
            <w:r>
              <w:rPr>
                <w:rFonts w:ascii="Arial" w:hAnsi="Arial"/>
                <w:sz w:val="18"/>
                <w:szCs w:val="18"/>
              </w:rPr>
              <w:t>Alimentation du Fonds de réserve visé à l’article 6 du Règlement financier du Fonds ;</w:t>
            </w:r>
          </w:p>
        </w:tc>
        <w:tc>
          <w:tcPr>
            <w:tcW w:w="791" w:type="pct"/>
            <w:tcBorders>
              <w:top w:val="nil"/>
              <w:left w:val="nil"/>
              <w:bottom w:val="single" w:sz="4" w:space="0" w:color="auto"/>
              <w:right w:val="single" w:sz="4" w:space="0" w:color="auto"/>
            </w:tcBorders>
            <w:shd w:val="clear" w:color="auto" w:fill="auto"/>
            <w:noWrap/>
            <w:vAlign w:val="center"/>
          </w:tcPr>
          <w:p w14:paraId="76A047A5" w14:textId="77777777" w:rsidR="000A51CE" w:rsidRPr="00BB2DEA" w:rsidRDefault="000A51CE" w:rsidP="00B932EA">
            <w:pPr>
              <w:spacing w:before="120" w:after="120"/>
              <w:rPr>
                <w:rFonts w:ascii="Arial" w:hAnsi="Arial" w:cs="Arial"/>
                <w:sz w:val="18"/>
                <w:szCs w:val="18"/>
              </w:rPr>
            </w:pPr>
            <w:r>
              <w:rPr>
                <w:rFonts w:ascii="Arial" w:hAnsi="Arial"/>
                <w:sz w:val="18"/>
                <w:szCs w:val="18"/>
              </w:rPr>
              <w:t>0 %</w:t>
            </w:r>
          </w:p>
        </w:tc>
      </w:tr>
      <w:tr w:rsidR="000A51CE" w:rsidRPr="00AE7DF0" w14:paraId="5470B569" w14:textId="77777777" w:rsidTr="002D6108">
        <w:trPr>
          <w:cantSplit/>
          <w:trHeight w:val="432"/>
        </w:trPr>
        <w:tc>
          <w:tcPr>
            <w:tcW w:w="412" w:type="pct"/>
            <w:tcBorders>
              <w:top w:val="nil"/>
              <w:left w:val="single" w:sz="4" w:space="0" w:color="auto"/>
              <w:bottom w:val="single" w:sz="4" w:space="0" w:color="auto"/>
              <w:right w:val="single" w:sz="4" w:space="0" w:color="auto"/>
            </w:tcBorders>
            <w:shd w:val="clear" w:color="auto" w:fill="auto"/>
            <w:noWrap/>
            <w:vAlign w:val="center"/>
          </w:tcPr>
          <w:p w14:paraId="585503AA" w14:textId="77777777" w:rsidR="000A51CE" w:rsidRPr="00BB2DEA" w:rsidRDefault="000A51CE" w:rsidP="00C32102">
            <w:pPr>
              <w:spacing w:before="120" w:after="120"/>
              <w:rPr>
                <w:rFonts w:ascii="Arial" w:hAnsi="Arial" w:cs="Arial"/>
                <w:sz w:val="18"/>
                <w:szCs w:val="18"/>
                <w:lang w:val="en-GB"/>
              </w:rPr>
            </w:pPr>
          </w:p>
        </w:tc>
        <w:tc>
          <w:tcPr>
            <w:tcW w:w="3797" w:type="pct"/>
            <w:tcBorders>
              <w:top w:val="nil"/>
              <w:left w:val="nil"/>
              <w:bottom w:val="single" w:sz="4" w:space="0" w:color="auto"/>
              <w:right w:val="single" w:sz="4" w:space="0" w:color="auto"/>
            </w:tcBorders>
            <w:shd w:val="clear" w:color="auto" w:fill="auto"/>
            <w:vAlign w:val="center"/>
          </w:tcPr>
          <w:p w14:paraId="507A64D4" w14:textId="77777777" w:rsidR="000A51CE" w:rsidRPr="00BB2DEA" w:rsidRDefault="000A51CE" w:rsidP="00C32102">
            <w:pPr>
              <w:spacing w:before="120" w:after="120"/>
              <w:jc w:val="both"/>
              <w:rPr>
                <w:rFonts w:ascii="Arial" w:hAnsi="Arial" w:cs="Arial"/>
                <w:sz w:val="18"/>
                <w:szCs w:val="18"/>
              </w:rPr>
            </w:pPr>
            <w:r>
              <w:rPr>
                <w:rFonts w:ascii="Arial" w:hAnsi="Arial"/>
                <w:sz w:val="18"/>
                <w:szCs w:val="18"/>
              </w:rPr>
              <w:t>Sous-total</w:t>
            </w:r>
          </w:p>
        </w:tc>
        <w:tc>
          <w:tcPr>
            <w:tcW w:w="791" w:type="pct"/>
            <w:tcBorders>
              <w:top w:val="nil"/>
              <w:left w:val="nil"/>
              <w:bottom w:val="single" w:sz="4" w:space="0" w:color="auto"/>
              <w:right w:val="single" w:sz="4" w:space="0" w:color="auto"/>
            </w:tcBorders>
            <w:shd w:val="clear" w:color="auto" w:fill="auto"/>
            <w:noWrap/>
            <w:vAlign w:val="center"/>
          </w:tcPr>
          <w:p w14:paraId="027B0238" w14:textId="77777777" w:rsidR="000A51CE" w:rsidRPr="00BB2DEA" w:rsidRDefault="000A51CE" w:rsidP="00B932EA">
            <w:pPr>
              <w:spacing w:before="120" w:after="120"/>
              <w:rPr>
                <w:rFonts w:ascii="Arial" w:hAnsi="Arial" w:cs="Arial"/>
                <w:sz w:val="18"/>
                <w:szCs w:val="18"/>
              </w:rPr>
            </w:pPr>
            <w:r>
              <w:rPr>
                <w:rFonts w:ascii="Arial" w:hAnsi="Arial"/>
                <w:sz w:val="18"/>
                <w:szCs w:val="18"/>
              </w:rPr>
              <w:t>100,00 %</w:t>
            </w:r>
          </w:p>
        </w:tc>
      </w:tr>
      <w:tr w:rsidR="000A51CE" w:rsidRPr="0061112E" w14:paraId="57B62E02" w14:textId="77777777" w:rsidTr="002D6108">
        <w:trPr>
          <w:cantSplit/>
          <w:trHeight w:val="639"/>
        </w:trPr>
        <w:tc>
          <w:tcPr>
            <w:tcW w:w="5000"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2EC6274" w14:textId="4AB45CB6" w:rsidR="000A51CE" w:rsidRPr="00BB2DEA" w:rsidRDefault="000A51CE" w:rsidP="00C32102">
            <w:pPr>
              <w:spacing w:before="120" w:after="120"/>
              <w:jc w:val="both"/>
              <w:rPr>
                <w:rFonts w:ascii="Arial" w:hAnsi="Arial" w:cs="Arial"/>
                <w:sz w:val="18"/>
                <w:szCs w:val="18"/>
              </w:rPr>
            </w:pPr>
            <w:r>
              <w:rPr>
                <w:rFonts w:ascii="Arial" w:hAnsi="Arial"/>
                <w:sz w:val="18"/>
                <w:szCs w:val="18"/>
              </w:rPr>
              <w:t>Les fonds non engagés à la fin de la période couverte par ce Plan sont reportés sur l’exercice financier suivant et doivent être affectés conformément au Plan approuvé par l’Assemblée générale à ce moment-là.</w:t>
            </w:r>
          </w:p>
        </w:tc>
      </w:tr>
    </w:tbl>
    <w:p w14:paraId="3863C2EB" w14:textId="77777777" w:rsidR="007F1D8B" w:rsidRPr="00851C83" w:rsidRDefault="007F1D8B" w:rsidP="000E69D4">
      <w:pPr>
        <w:pStyle w:val="COMTitleDecision"/>
        <w:keepLines/>
        <w:spacing w:before="360"/>
        <w:ind w:left="0"/>
        <w:rPr>
          <w:rFonts w:eastAsia="SimSun"/>
        </w:rPr>
      </w:pPr>
      <w:r w:rsidRPr="00851C83">
        <w:t xml:space="preserve">DÉCISION </w:t>
      </w:r>
      <w:r w:rsidR="00BD112F" w:rsidRPr="00851C83">
        <w:t>14</w:t>
      </w:r>
      <w:r w:rsidRPr="00851C83">
        <w:t xml:space="preserve">.COM </w:t>
      </w:r>
      <w:r w:rsidR="00BD112F" w:rsidRPr="00851C83">
        <w:t>8</w:t>
      </w:r>
    </w:p>
    <w:p w14:paraId="66397DA5" w14:textId="77777777" w:rsidR="007F1D8B" w:rsidRPr="00851C83" w:rsidRDefault="007F1D8B" w:rsidP="000E69D4">
      <w:pPr>
        <w:pStyle w:val="COMPreambulaDecisions"/>
        <w:ind w:left="0"/>
      </w:pPr>
      <w:r w:rsidRPr="00851C83">
        <w:t>Le Comité,</w:t>
      </w:r>
    </w:p>
    <w:p w14:paraId="46961FB2" w14:textId="77777777" w:rsidR="00BD112F" w:rsidRPr="00851C83" w:rsidRDefault="00BD112F" w:rsidP="00771F30">
      <w:pPr>
        <w:pStyle w:val="COMParaDecision"/>
        <w:numPr>
          <w:ilvl w:val="0"/>
          <w:numId w:val="15"/>
        </w:numPr>
        <w:ind w:left="567" w:hanging="567"/>
        <w:jc w:val="left"/>
        <w:rPr>
          <w:rFonts w:eastAsia="SimSun"/>
        </w:rPr>
      </w:pPr>
      <w:r w:rsidRPr="00851C83">
        <w:t>Ayant examiné</w:t>
      </w:r>
      <w:r w:rsidRPr="00851C83">
        <w:rPr>
          <w:u w:val="none"/>
        </w:rPr>
        <w:t xml:space="preserve"> le document</w:t>
      </w:r>
      <w:r w:rsidRPr="00CC49DA">
        <w:rPr>
          <w:u w:val="none"/>
        </w:rPr>
        <w:t xml:space="preserve"> </w:t>
      </w:r>
      <w:hyperlink r:id="rId27" w:history="1">
        <w:r w:rsidRPr="00CC49DA">
          <w:rPr>
            <w:rStyle w:val="Hyperlink"/>
          </w:rPr>
          <w:t>LHE/19/14.COM/8</w:t>
        </w:r>
      </w:hyperlink>
      <w:r w:rsidRPr="00B932EA">
        <w:rPr>
          <w:rStyle w:val="Hyperlink"/>
          <w:color w:val="auto"/>
          <w:u w:val="none"/>
        </w:rPr>
        <w:t>,</w:t>
      </w:r>
    </w:p>
    <w:p w14:paraId="084ADA11" w14:textId="77777777" w:rsidR="00BD112F" w:rsidRPr="00851C83" w:rsidRDefault="00BD112F" w:rsidP="00771F30">
      <w:pPr>
        <w:pStyle w:val="COMParaDecision"/>
        <w:numPr>
          <w:ilvl w:val="0"/>
          <w:numId w:val="5"/>
        </w:numPr>
        <w:ind w:left="567" w:hanging="567"/>
      </w:pPr>
      <w:r w:rsidRPr="00851C83">
        <w:t>Rappelant</w:t>
      </w:r>
      <w:r w:rsidRPr="00851C83">
        <w:rPr>
          <w:u w:val="none"/>
        </w:rPr>
        <w:t xml:space="preserve"> les articles 7(f), 29 et 30 de la Convention, ainsi que le chapitre V des Directives opérationnelles,</w:t>
      </w:r>
    </w:p>
    <w:p w14:paraId="3A9C6EF4" w14:textId="77777777" w:rsidR="00BD112F" w:rsidRPr="00851C83" w:rsidRDefault="00BD112F" w:rsidP="00771F30">
      <w:pPr>
        <w:pStyle w:val="COMParaDecision"/>
        <w:numPr>
          <w:ilvl w:val="0"/>
          <w:numId w:val="5"/>
        </w:numPr>
        <w:ind w:left="567" w:hanging="567"/>
      </w:pPr>
      <w:r w:rsidRPr="00851C83">
        <w:t>Rappelant en outre</w:t>
      </w:r>
      <w:r w:rsidRPr="00851C83">
        <w:rPr>
          <w:u w:val="none"/>
        </w:rPr>
        <w:t xml:space="preserve"> la </w:t>
      </w:r>
      <w:hyperlink r:id="rId28" w:history="1">
        <w:r w:rsidRPr="00851C83">
          <w:rPr>
            <w:rStyle w:val="Hyperlink"/>
          </w:rPr>
          <w:t>décision 12.COM 10</w:t>
        </w:r>
      </w:hyperlink>
      <w:r w:rsidRPr="00851C83">
        <w:rPr>
          <w:u w:val="none"/>
        </w:rPr>
        <w:t xml:space="preserve"> et la </w:t>
      </w:r>
      <w:hyperlink r:id="rId29" w:history="1">
        <w:r w:rsidRPr="00851C83">
          <w:rPr>
            <w:rStyle w:val="Hyperlink"/>
          </w:rPr>
          <w:t>décision 13.COM 8</w:t>
        </w:r>
      </w:hyperlink>
      <w:r w:rsidRPr="00851C83">
        <w:rPr>
          <w:u w:val="none"/>
        </w:rPr>
        <w:t xml:space="preserve">, ainsi que la </w:t>
      </w:r>
      <w:hyperlink r:id="rId30" w:history="1">
        <w:r w:rsidRPr="00851C83">
          <w:rPr>
            <w:rStyle w:val="Hyperlink"/>
          </w:rPr>
          <w:t>résolution 7.GA 10</w:t>
        </w:r>
      </w:hyperlink>
      <w:r w:rsidRPr="00851C83">
        <w:rPr>
          <w:u w:val="none"/>
        </w:rPr>
        <w:t>,</w:t>
      </w:r>
    </w:p>
    <w:p w14:paraId="1E5969FF" w14:textId="6115059B" w:rsidR="00BD112F" w:rsidRDefault="00BD112F" w:rsidP="00771F30">
      <w:pPr>
        <w:pStyle w:val="COMParaDecision"/>
        <w:numPr>
          <w:ilvl w:val="0"/>
          <w:numId w:val="5"/>
        </w:numPr>
        <w:ind w:left="567" w:hanging="567"/>
        <w:rPr>
          <w:u w:val="none"/>
        </w:rPr>
      </w:pPr>
      <w:r>
        <w:t>Accueille favorablement</w:t>
      </w:r>
      <w:r>
        <w:rPr>
          <w:u w:val="none"/>
        </w:rPr>
        <w:t xml:space="preserve"> la réforme du mécanisme de soumission de rapports périodiques, qui comprend la révision du formulaire ICH-10 et les notes d</w:t>
      </w:r>
      <w:r w:rsidR="009C104E">
        <w:rPr>
          <w:u w:val="none"/>
        </w:rPr>
        <w:t>’</w:t>
      </w:r>
      <w:r>
        <w:rPr>
          <w:u w:val="none"/>
        </w:rPr>
        <w:t xml:space="preserve">orientation, et </w:t>
      </w:r>
      <w:r>
        <w:t>reconnaît</w:t>
      </w:r>
      <w:r>
        <w:rPr>
          <w:u w:val="none"/>
        </w:rPr>
        <w:t xml:space="preserve"> que le nouveau système de soumission des rapports sera mis en œuvre à compter du premier cycle de rapport régional en 2020 ;</w:t>
      </w:r>
    </w:p>
    <w:p w14:paraId="67442FEE" w14:textId="77777777" w:rsidR="00BD112F" w:rsidRDefault="00BD112F" w:rsidP="00771F30">
      <w:pPr>
        <w:pStyle w:val="COMParaDecision"/>
        <w:numPr>
          <w:ilvl w:val="0"/>
          <w:numId w:val="5"/>
        </w:numPr>
        <w:ind w:left="567" w:hanging="567"/>
        <w:rPr>
          <w:u w:val="none"/>
        </w:rPr>
      </w:pPr>
      <w:r>
        <w:t>Félicite</w:t>
      </w:r>
      <w:r>
        <w:rPr>
          <w:u w:val="none"/>
        </w:rPr>
        <w:t xml:space="preserve"> le gouvernement de la République de Corée pour sa constante et généreuse contribution à la réforme du mécanisme de soumission des rapports périodiques ;</w:t>
      </w:r>
    </w:p>
    <w:p w14:paraId="3DEFA490" w14:textId="6D7B87A6" w:rsidR="00BD112F" w:rsidRDefault="00BD112F" w:rsidP="00771F30">
      <w:pPr>
        <w:pStyle w:val="COMParaDecision"/>
        <w:numPr>
          <w:ilvl w:val="0"/>
          <w:numId w:val="5"/>
        </w:numPr>
        <w:ind w:left="567" w:hanging="567"/>
      </w:pPr>
      <w:r>
        <w:t>Demande</w:t>
      </w:r>
      <w:r>
        <w:rPr>
          <w:u w:val="none"/>
        </w:rPr>
        <w:t xml:space="preserve"> au Secrétariat d</w:t>
      </w:r>
      <w:r w:rsidR="009C104E">
        <w:rPr>
          <w:u w:val="none"/>
        </w:rPr>
        <w:t>’</w:t>
      </w:r>
      <w:r>
        <w:rPr>
          <w:u w:val="none"/>
        </w:rPr>
        <w:t>informer tous les États parties d</w:t>
      </w:r>
      <w:r w:rsidR="009C104E">
        <w:rPr>
          <w:u w:val="none"/>
        </w:rPr>
        <w:t>’</w:t>
      </w:r>
      <w:r>
        <w:rPr>
          <w:u w:val="none"/>
        </w:rPr>
        <w:t>Amérique latine et des Caraïbes qu</w:t>
      </w:r>
      <w:r w:rsidR="009C104E">
        <w:rPr>
          <w:u w:val="none"/>
        </w:rPr>
        <w:t>’</w:t>
      </w:r>
      <w:r>
        <w:rPr>
          <w:u w:val="none"/>
        </w:rPr>
        <w:t>ils doivent soumettre leurs rapports périodiques sur la mise en œuvre de la Convention de 2003 et l</w:t>
      </w:r>
      <w:r w:rsidR="009C104E">
        <w:rPr>
          <w:u w:val="none"/>
        </w:rPr>
        <w:t>’</w:t>
      </w:r>
      <w:r>
        <w:rPr>
          <w:u w:val="none"/>
        </w:rPr>
        <w:t>état des éléments inscrits sur la Liste représentative du patrimoine culturel immatériel de l</w:t>
      </w:r>
      <w:r w:rsidR="009C104E">
        <w:rPr>
          <w:u w:val="none"/>
        </w:rPr>
        <w:t>’</w:t>
      </w:r>
      <w:r>
        <w:rPr>
          <w:u w:val="none"/>
        </w:rPr>
        <w:t>humanité avant le 15 décembre 2020, pour examen par le Comité lors de sa seizième session en 2021 ;</w:t>
      </w:r>
    </w:p>
    <w:p w14:paraId="2D88FFC1" w14:textId="75BE4FAD" w:rsidR="00BD112F" w:rsidRDefault="00BD112F" w:rsidP="00771F30">
      <w:pPr>
        <w:pStyle w:val="COMParaDecision"/>
        <w:numPr>
          <w:ilvl w:val="0"/>
          <w:numId w:val="5"/>
        </w:numPr>
        <w:ind w:left="567" w:hanging="567"/>
      </w:pPr>
      <w:r>
        <w:t>Encourage</w:t>
      </w:r>
      <w:r>
        <w:rPr>
          <w:u w:val="none"/>
        </w:rPr>
        <w:t xml:space="preserve"> les États parties à utiliser l</w:t>
      </w:r>
      <w:r w:rsidR="009C104E">
        <w:rPr>
          <w:u w:val="none"/>
        </w:rPr>
        <w:t>’</w:t>
      </w:r>
      <w:r>
        <w:rPr>
          <w:u w:val="none"/>
        </w:rPr>
        <w:t>outil en ligne pour soumettre leurs rapports afin de faciliter la collecte d</w:t>
      </w:r>
      <w:r w:rsidR="009C104E">
        <w:rPr>
          <w:u w:val="none"/>
        </w:rPr>
        <w:t>’</w:t>
      </w:r>
      <w:r>
        <w:rPr>
          <w:u w:val="none"/>
        </w:rPr>
        <w:t>informations et d</w:t>
      </w:r>
      <w:r w:rsidR="009C104E">
        <w:rPr>
          <w:u w:val="none"/>
        </w:rPr>
        <w:t>’</w:t>
      </w:r>
      <w:r>
        <w:rPr>
          <w:u w:val="none"/>
        </w:rPr>
        <w:t>analyser plus facilement l</w:t>
      </w:r>
      <w:r w:rsidR="009C104E">
        <w:rPr>
          <w:u w:val="none"/>
        </w:rPr>
        <w:t>’</w:t>
      </w:r>
      <w:r>
        <w:rPr>
          <w:u w:val="none"/>
        </w:rPr>
        <w:t>état de la mise en œuvre de la Convention au niveau national ainsi que des éléments inscrits sur la Liste représentative du patrimoine culturel immatériel de l</w:t>
      </w:r>
      <w:r w:rsidR="009C104E">
        <w:rPr>
          <w:u w:val="none"/>
        </w:rPr>
        <w:t>’</w:t>
      </w:r>
      <w:r>
        <w:rPr>
          <w:u w:val="none"/>
        </w:rPr>
        <w:t>humanité ;</w:t>
      </w:r>
    </w:p>
    <w:p w14:paraId="7BC867FA" w14:textId="540F0FB3" w:rsidR="00BD112F" w:rsidRDefault="00BD112F" w:rsidP="00771F30">
      <w:pPr>
        <w:pStyle w:val="COMParaDecision"/>
        <w:numPr>
          <w:ilvl w:val="0"/>
          <w:numId w:val="5"/>
        </w:numPr>
        <w:ind w:left="567" w:hanging="567"/>
        <w:rPr>
          <w:u w:val="none"/>
        </w:rPr>
      </w:pPr>
      <w:r>
        <w:t>Invite</w:t>
      </w:r>
      <w:r>
        <w:rPr>
          <w:u w:val="none"/>
        </w:rPr>
        <w:t xml:space="preserve"> le Secrétariat à planifier et mettre en œuvre des activités de renforcement des capacités adéquates en Amérique latine et dans les Caraïbes pour faciliter l</w:t>
      </w:r>
      <w:r w:rsidR="009C104E">
        <w:rPr>
          <w:u w:val="none"/>
        </w:rPr>
        <w:t>’</w:t>
      </w:r>
      <w:r>
        <w:rPr>
          <w:u w:val="none"/>
        </w:rPr>
        <w:t>exercice de d</w:t>
      </w:r>
      <w:r w:rsidR="009C104E">
        <w:rPr>
          <w:u w:val="none"/>
        </w:rPr>
        <w:t>’</w:t>
      </w:r>
      <w:r>
        <w:rPr>
          <w:u w:val="none"/>
        </w:rPr>
        <w:t>établissement de rapports périodiques pour les États de cette région dans le contexte du programme global de renforcement des capacités existant en fonction de la disponibilité de contributions volontaires supplémentaires ;</w:t>
      </w:r>
    </w:p>
    <w:p w14:paraId="5249CBFE" w14:textId="0B785F29" w:rsidR="00BD112F" w:rsidRDefault="00BD112F" w:rsidP="00771F30">
      <w:pPr>
        <w:pStyle w:val="COMParaDecision"/>
        <w:numPr>
          <w:ilvl w:val="0"/>
          <w:numId w:val="5"/>
        </w:numPr>
        <w:ind w:left="567" w:hanging="567"/>
        <w:rPr>
          <w:u w:val="none"/>
        </w:rPr>
      </w:pPr>
      <w:r>
        <w:t>Encourage en outre</w:t>
      </w:r>
      <w:r>
        <w:rPr>
          <w:u w:val="none"/>
        </w:rPr>
        <w:t xml:space="preserve"> les États parties à verser des contributions volontaires supplémentaires au Fonds du patrimoine culturel immatériel afin d</w:t>
      </w:r>
      <w:r w:rsidR="009C104E">
        <w:rPr>
          <w:u w:val="none"/>
        </w:rPr>
        <w:t>’</w:t>
      </w:r>
      <w:r>
        <w:rPr>
          <w:u w:val="none"/>
        </w:rPr>
        <w:t>appuyer la mise en œuvre des activités de renforcement des capacités susmentionnées ou à exprimer leur intérêt pour d</w:t>
      </w:r>
      <w:r w:rsidR="009C104E">
        <w:rPr>
          <w:u w:val="none"/>
        </w:rPr>
        <w:t>’</w:t>
      </w:r>
      <w:r>
        <w:rPr>
          <w:u w:val="none"/>
        </w:rPr>
        <w:t>autres modalités de financement afin de les subventionner et de les mettre en œuvre ;</w:t>
      </w:r>
    </w:p>
    <w:p w14:paraId="7423B7F2" w14:textId="721B0788" w:rsidR="00BD112F" w:rsidRDefault="00BD112F" w:rsidP="00771F30">
      <w:pPr>
        <w:pStyle w:val="COMParaDecision"/>
        <w:numPr>
          <w:ilvl w:val="0"/>
          <w:numId w:val="5"/>
        </w:numPr>
        <w:ind w:left="567" w:hanging="567"/>
        <w:rPr>
          <w:u w:val="none"/>
        </w:rPr>
      </w:pPr>
      <w:r>
        <w:t>Demande</w:t>
      </w:r>
      <w:r w:rsidR="0074046D">
        <w:t xml:space="preserve"> en outre</w:t>
      </w:r>
      <w:r w:rsidRPr="00A400B1">
        <w:rPr>
          <w:u w:val="none"/>
        </w:rPr>
        <w:t xml:space="preserve"> </w:t>
      </w:r>
      <w:r>
        <w:rPr>
          <w:u w:val="none"/>
        </w:rPr>
        <w:t>au Secrétariat de rendre compte au Comité du déploiement du mécanisme de soumission de rapports périodiques réformé, y compris des activités de renforcement des capacités menées en Amérique latine et dans les Caraïbes, pour examen lors de sa quinzième session en 2020</w:t>
      </w:r>
      <w:r>
        <w:rPr>
          <w:color w:val="414042"/>
          <w:sz w:val="21"/>
          <w:szCs w:val="21"/>
          <w:u w:val="none"/>
          <w:shd w:val="clear" w:color="auto" w:fill="FFFFFF"/>
        </w:rPr>
        <w:t>.</w:t>
      </w:r>
    </w:p>
    <w:p w14:paraId="1954B59A" w14:textId="77777777" w:rsidR="00851C83" w:rsidRDefault="00851C83" w:rsidP="00EA61FD">
      <w:pPr>
        <w:pStyle w:val="COMTitleDecision"/>
        <w:spacing w:before="360"/>
        <w:ind w:left="0"/>
        <w:rPr>
          <w:rFonts w:eastAsia="SimSun"/>
        </w:rPr>
      </w:pPr>
      <w:r>
        <w:t>DÉCISION 14.COM 9.a</w:t>
      </w:r>
    </w:p>
    <w:p w14:paraId="61C7A3FE" w14:textId="77777777" w:rsidR="00851C83" w:rsidRDefault="00851C83" w:rsidP="00851C83">
      <w:pPr>
        <w:pStyle w:val="COMPreambulaDecisions"/>
        <w:ind w:left="0"/>
        <w:rPr>
          <w:rFonts w:eastAsia="SimSun"/>
        </w:rPr>
      </w:pPr>
      <w:r>
        <w:t>Le Comité,</w:t>
      </w:r>
    </w:p>
    <w:p w14:paraId="42EB3950" w14:textId="0E0B7548" w:rsidR="00851C83" w:rsidRDefault="00851C83" w:rsidP="00771F30">
      <w:pPr>
        <w:pStyle w:val="COMParaDecision"/>
        <w:numPr>
          <w:ilvl w:val="0"/>
          <w:numId w:val="16"/>
        </w:numPr>
        <w:ind w:left="567" w:hanging="567"/>
        <w:rPr>
          <w:rFonts w:eastAsia="SimSun"/>
        </w:rPr>
      </w:pPr>
      <w:r>
        <w:t>Ayant examiné</w:t>
      </w:r>
      <w:r>
        <w:rPr>
          <w:u w:val="none"/>
        </w:rPr>
        <w:t xml:space="preserve"> le document </w:t>
      </w:r>
      <w:hyperlink r:id="rId31" w:history="1">
        <w:r w:rsidR="0074046D" w:rsidRPr="0074046D">
          <w:rPr>
            <w:rStyle w:val="Hyperlink"/>
          </w:rPr>
          <w:t>LHE/19/14.COM/9.a Rev.</w:t>
        </w:r>
      </w:hyperlink>
      <w:r>
        <w:rPr>
          <w:u w:val="none"/>
        </w:rPr>
        <w:t>,</w:t>
      </w:r>
    </w:p>
    <w:p w14:paraId="55029D6F" w14:textId="77777777" w:rsidR="00851C83" w:rsidRDefault="00851C83" w:rsidP="00771F30">
      <w:pPr>
        <w:pStyle w:val="COMParaDecision"/>
        <w:numPr>
          <w:ilvl w:val="0"/>
          <w:numId w:val="16"/>
        </w:numPr>
        <w:ind w:left="567" w:hanging="567"/>
      </w:pPr>
      <w:r>
        <w:t>Rappelant</w:t>
      </w:r>
      <w:r>
        <w:rPr>
          <w:u w:val="none"/>
        </w:rPr>
        <w:t xml:space="preserve"> les articles 7, 29 et 30 de la Convention concernant les rapports des États parties et le chapitre V des Directives opérationnelles,</w:t>
      </w:r>
    </w:p>
    <w:p w14:paraId="605E9053" w14:textId="7DF826E3" w:rsidR="00851C83" w:rsidRDefault="00851C83" w:rsidP="00771F30">
      <w:pPr>
        <w:pStyle w:val="COMParaDecision"/>
        <w:numPr>
          <w:ilvl w:val="0"/>
          <w:numId w:val="16"/>
        </w:numPr>
        <w:ind w:left="567" w:hanging="567"/>
      </w:pPr>
      <w:r>
        <w:t>Remercie</w:t>
      </w:r>
      <w:r>
        <w:rPr>
          <w:u w:val="none"/>
        </w:rPr>
        <w:t xml:space="preserve"> les États parties qui ont soumis leurs rapports dans les délais et </w:t>
      </w:r>
      <w:r>
        <w:t>invite</w:t>
      </w:r>
      <w:r>
        <w:rPr>
          <w:u w:val="none"/>
        </w:rPr>
        <w:t xml:space="preserve"> l</w:t>
      </w:r>
      <w:r w:rsidR="009C104E">
        <w:rPr>
          <w:u w:val="none"/>
        </w:rPr>
        <w:t>’</w:t>
      </w:r>
      <w:r>
        <w:rPr>
          <w:u w:val="none"/>
        </w:rPr>
        <w:t>État partie qui n</w:t>
      </w:r>
      <w:r w:rsidR="009C104E">
        <w:rPr>
          <w:u w:val="none"/>
        </w:rPr>
        <w:t>’</w:t>
      </w:r>
      <w:r>
        <w:rPr>
          <w:u w:val="none"/>
        </w:rPr>
        <w:t>a pas encore soumis ses rapports attendus à le faire dans les plus brefs délais en tenant compte de l</w:t>
      </w:r>
      <w:r w:rsidR="009C104E">
        <w:rPr>
          <w:u w:val="none"/>
        </w:rPr>
        <w:t>’</w:t>
      </w:r>
      <w:r>
        <w:rPr>
          <w:u w:val="none"/>
        </w:rPr>
        <w:t>échéance du 15 décembre 2019, afin que le Comité puisse les examiner à sa quinzième session en 2020 ;</w:t>
      </w:r>
    </w:p>
    <w:p w14:paraId="26D3BAA9" w14:textId="5B0BAF90" w:rsidR="00851C83" w:rsidRDefault="00851C83" w:rsidP="00771F30">
      <w:pPr>
        <w:pStyle w:val="COMParaDecision"/>
        <w:numPr>
          <w:ilvl w:val="0"/>
          <w:numId w:val="16"/>
        </w:numPr>
        <w:ind w:left="567" w:hanging="567"/>
      </w:pPr>
      <w:r>
        <w:t>Rappelle</w:t>
      </w:r>
      <w:r>
        <w:rPr>
          <w:u w:val="none"/>
        </w:rPr>
        <w:t xml:space="preserve"> aux États parties qu</w:t>
      </w:r>
      <w:r w:rsidR="009C104E">
        <w:rPr>
          <w:u w:val="none"/>
        </w:rPr>
        <w:t>’</w:t>
      </w:r>
      <w:r>
        <w:rPr>
          <w:u w:val="none"/>
        </w:rPr>
        <w:t>ils ont la possibilité de soumettre en ligne leurs rapports afin de faciliter la collecte d</w:t>
      </w:r>
      <w:r w:rsidR="009C104E">
        <w:rPr>
          <w:u w:val="none"/>
        </w:rPr>
        <w:t>’</w:t>
      </w:r>
      <w:r>
        <w:rPr>
          <w:u w:val="none"/>
        </w:rPr>
        <w:t>informations et l</w:t>
      </w:r>
      <w:r w:rsidR="009C104E">
        <w:rPr>
          <w:u w:val="none"/>
        </w:rPr>
        <w:t>’</w:t>
      </w:r>
      <w:r>
        <w:rPr>
          <w:u w:val="none"/>
        </w:rPr>
        <w:t>analyse sur l</w:t>
      </w:r>
      <w:r w:rsidR="009C104E">
        <w:rPr>
          <w:u w:val="none"/>
        </w:rPr>
        <w:t>’</w:t>
      </w:r>
      <w:r>
        <w:rPr>
          <w:u w:val="none"/>
        </w:rPr>
        <w:t>état d</w:t>
      </w:r>
      <w:r w:rsidR="009C104E">
        <w:rPr>
          <w:u w:val="none"/>
        </w:rPr>
        <w:t>’</w:t>
      </w:r>
      <w:r>
        <w:rPr>
          <w:u w:val="none"/>
        </w:rPr>
        <w:t>éléments inscrits sur la Liste du patrimoine culturel immatériel nécessitant une sauvegarde urgente ;</w:t>
      </w:r>
    </w:p>
    <w:p w14:paraId="23ACBE90" w14:textId="441C3ABD" w:rsidR="00851C83" w:rsidRDefault="00851C83" w:rsidP="00771F30">
      <w:pPr>
        <w:pStyle w:val="COMParaDecision"/>
        <w:numPr>
          <w:ilvl w:val="0"/>
          <w:numId w:val="16"/>
        </w:numPr>
        <w:ind w:left="567" w:hanging="567"/>
        <w:rPr>
          <w:u w:val="none"/>
        </w:rPr>
      </w:pPr>
      <w:r>
        <w:t>Salue</w:t>
      </w:r>
      <w:r>
        <w:rPr>
          <w:u w:val="none"/>
        </w:rPr>
        <w:t xml:space="preserve"> les progrès décrits par les États parties concernant la sauvegarde de leurs éléments inscrits sur la Liste du patrimoine culturel immatériel nécessitant une sauvegarde urgente et les </w:t>
      </w:r>
      <w:r>
        <w:t>invite</w:t>
      </w:r>
      <w:r>
        <w:rPr>
          <w:u w:val="none"/>
        </w:rPr>
        <w:t xml:space="preserve"> à poursuivre leurs efforts de sauvegarde et à continuer de donner la priorité à la transmission de ces éléments dans leur agenda, ainsi qu</w:t>
      </w:r>
      <w:r w:rsidR="009C104E">
        <w:rPr>
          <w:u w:val="none"/>
        </w:rPr>
        <w:t>’</w:t>
      </w:r>
      <w:r>
        <w:rPr>
          <w:u w:val="none"/>
        </w:rPr>
        <w:t>à impliquer les communautés et les institutions publiques et privées concernées dans la mise en œuvre et la mise à jour des plans de sauvegarde ;</w:t>
      </w:r>
    </w:p>
    <w:p w14:paraId="351753A2" w14:textId="38EF8F09" w:rsidR="00851C83" w:rsidRDefault="00851C83" w:rsidP="00771F30">
      <w:pPr>
        <w:pStyle w:val="COMParaDecision"/>
        <w:numPr>
          <w:ilvl w:val="0"/>
          <w:numId w:val="16"/>
        </w:numPr>
        <w:ind w:left="567" w:hanging="567"/>
      </w:pPr>
      <w:r>
        <w:t>Encourage</w:t>
      </w:r>
      <w:r>
        <w:rPr>
          <w:u w:val="none"/>
        </w:rPr>
        <w:t xml:space="preserve"> les États soumissionnaires à inclure plus d</w:t>
      </w:r>
      <w:r w:rsidR="009C104E">
        <w:rPr>
          <w:u w:val="none"/>
        </w:rPr>
        <w:t>’</w:t>
      </w:r>
      <w:r>
        <w:rPr>
          <w:u w:val="none"/>
        </w:rPr>
        <w:t>informations dans leurs futurs rapports sur les défis rencontrés au cours de la mise en œuvre de leurs plans de sauvegarde et sur leur impact sur la viabilité des éléments inscrits, ainsi qu</w:t>
      </w:r>
      <w:r w:rsidR="009C104E">
        <w:rPr>
          <w:u w:val="none"/>
        </w:rPr>
        <w:t>’</w:t>
      </w:r>
      <w:r>
        <w:rPr>
          <w:u w:val="none"/>
        </w:rPr>
        <w:t>à impliquer des parties prenantes issues de domaines autres que la culture pour faire face aux menaces plus globales, notamment celles liées à l</w:t>
      </w:r>
      <w:r w:rsidR="009C104E">
        <w:rPr>
          <w:u w:val="none"/>
        </w:rPr>
        <w:t>’</w:t>
      </w:r>
      <w:r>
        <w:rPr>
          <w:u w:val="none"/>
        </w:rPr>
        <w:t>environnement ;</w:t>
      </w:r>
    </w:p>
    <w:p w14:paraId="5AF045F7" w14:textId="79A9E25E" w:rsidR="00851C83" w:rsidRDefault="00851C83" w:rsidP="00771F30">
      <w:pPr>
        <w:pStyle w:val="COMParaDecision"/>
        <w:numPr>
          <w:ilvl w:val="0"/>
          <w:numId w:val="16"/>
        </w:numPr>
        <w:ind w:left="567" w:hanging="567"/>
      </w:pPr>
      <w:r>
        <w:t>Reconnaît</w:t>
      </w:r>
      <w:r>
        <w:rPr>
          <w:u w:val="none"/>
        </w:rPr>
        <w:t xml:space="preserve"> que la réflexion globale sur les mécanismes liés à l</w:t>
      </w:r>
      <w:r w:rsidR="009C104E">
        <w:rPr>
          <w:u w:val="none"/>
        </w:rPr>
        <w:t>’</w:t>
      </w:r>
      <w:r>
        <w:rPr>
          <w:u w:val="none"/>
        </w:rPr>
        <w:t>inscription sur les listes de la Convention de 2003 est susceptible d</w:t>
      </w:r>
      <w:r w:rsidR="009C104E">
        <w:rPr>
          <w:u w:val="none"/>
        </w:rPr>
        <w:t>’</w:t>
      </w:r>
      <w:r>
        <w:rPr>
          <w:u w:val="none"/>
        </w:rPr>
        <w:t>affecter l</w:t>
      </w:r>
      <w:r w:rsidR="009C104E">
        <w:rPr>
          <w:u w:val="none"/>
        </w:rPr>
        <w:t>’</w:t>
      </w:r>
      <w:r>
        <w:rPr>
          <w:u w:val="none"/>
        </w:rPr>
        <w:t>exercice de soumission des rapports sur l</w:t>
      </w:r>
      <w:r w:rsidR="009C104E">
        <w:rPr>
          <w:u w:val="none"/>
        </w:rPr>
        <w:t>’</w:t>
      </w:r>
      <w:r>
        <w:rPr>
          <w:u w:val="none"/>
        </w:rPr>
        <w:t>état des éléments inscrits sur la Liste du patrimoine culturel immatériel nécessitant une sauvegarde urgente et que ce mécanisme spécifique de soumission des rapports demeurera inchangé pour le moment, jusqu</w:t>
      </w:r>
      <w:r w:rsidR="009C104E">
        <w:rPr>
          <w:u w:val="none"/>
        </w:rPr>
        <w:t>’</w:t>
      </w:r>
      <w:r>
        <w:rPr>
          <w:u w:val="none"/>
        </w:rPr>
        <w:t>à ce que la réflexion globale ait progressé ;</w:t>
      </w:r>
    </w:p>
    <w:p w14:paraId="4EB905F2" w14:textId="4D7824BE" w:rsidR="00851C83" w:rsidRDefault="00851C83" w:rsidP="00771F30">
      <w:pPr>
        <w:pStyle w:val="COMParaDecision"/>
        <w:numPr>
          <w:ilvl w:val="0"/>
          <w:numId w:val="16"/>
        </w:numPr>
        <w:ind w:left="567" w:hanging="567"/>
      </w:pPr>
      <w:r>
        <w:t>Décide</w:t>
      </w:r>
      <w:r>
        <w:rPr>
          <w:u w:val="none"/>
        </w:rPr>
        <w:t xml:space="preserve"> de soumettre à l</w:t>
      </w:r>
      <w:r w:rsidR="009C104E">
        <w:rPr>
          <w:u w:val="none"/>
        </w:rPr>
        <w:t>’</w:t>
      </w:r>
      <w:r>
        <w:rPr>
          <w:u w:val="none"/>
        </w:rPr>
        <w:t>Assemblée générale un résumé des rapports des États parties sur l</w:t>
      </w:r>
      <w:r w:rsidR="009C104E">
        <w:rPr>
          <w:u w:val="none"/>
        </w:rPr>
        <w:t>’</w:t>
      </w:r>
      <w:r>
        <w:rPr>
          <w:u w:val="none"/>
        </w:rPr>
        <w:t>état actuel des éléments inscrits sur la Liste du patrimoine culturel immatériel nécessitant une sauvegarde urgente qui ont été examinés au cours de la présente session.</w:t>
      </w:r>
    </w:p>
    <w:p w14:paraId="2B26005D" w14:textId="4CA3CFC6" w:rsidR="00851C83" w:rsidRPr="00851C83" w:rsidRDefault="00851C83" w:rsidP="00851C83">
      <w:pPr>
        <w:pStyle w:val="COMTitleDecision"/>
        <w:spacing w:before="360"/>
        <w:ind w:left="0"/>
        <w:rPr>
          <w:bCs/>
        </w:rPr>
      </w:pPr>
      <w:r>
        <w:t xml:space="preserve">DÉCISION </w:t>
      </w:r>
      <w:r w:rsidRPr="00851C83">
        <w:rPr>
          <w:bCs/>
        </w:rPr>
        <w:t>14.COM 9.a.1</w:t>
      </w:r>
    </w:p>
    <w:p w14:paraId="6BE8B564" w14:textId="77777777" w:rsidR="00851C83" w:rsidRDefault="00851C83" w:rsidP="00851C83">
      <w:pPr>
        <w:pStyle w:val="COMPreambulaDecisions"/>
        <w:ind w:left="0"/>
      </w:pPr>
      <w:r>
        <w:t>Le Comité,</w:t>
      </w:r>
    </w:p>
    <w:p w14:paraId="5983B3B7" w14:textId="77777777" w:rsidR="00851C83" w:rsidRPr="00CC49DA" w:rsidRDefault="00851C83" w:rsidP="00771F30">
      <w:pPr>
        <w:pStyle w:val="COMPreambulaDecisions"/>
        <w:numPr>
          <w:ilvl w:val="0"/>
          <w:numId w:val="17"/>
        </w:numPr>
        <w:ind w:left="567" w:hanging="567"/>
        <w:rPr>
          <w:rFonts w:eastAsia="SimSun"/>
          <w:u w:val="single"/>
        </w:rPr>
      </w:pPr>
      <w:r w:rsidRPr="00851C83">
        <w:rPr>
          <w:rFonts w:eastAsia="SimSun"/>
          <w:u w:val="single"/>
        </w:rPr>
        <w:t xml:space="preserve">Ayant examiné </w:t>
      </w:r>
      <w:r w:rsidRPr="00851C83">
        <w:rPr>
          <w:rFonts w:eastAsia="SimSun"/>
        </w:rPr>
        <w:t xml:space="preserve">le document </w:t>
      </w:r>
      <w:hyperlink r:id="rId32" w:history="1">
        <w:r w:rsidRPr="00CC49DA">
          <w:rPr>
            <w:rStyle w:val="Hyperlink"/>
            <w:rFonts w:eastAsia="SimSun"/>
          </w:rPr>
          <w:t>LHE/19/14.COM/9.a Rev.</w:t>
        </w:r>
      </w:hyperlink>
      <w:r w:rsidRPr="00B932EA">
        <w:rPr>
          <w:rStyle w:val="Hyperlink"/>
          <w:rFonts w:eastAsia="SimSun"/>
          <w:color w:val="auto"/>
          <w:u w:val="none"/>
        </w:rPr>
        <w:t>,</w:t>
      </w:r>
    </w:p>
    <w:p w14:paraId="2C924D05" w14:textId="77777777" w:rsidR="00851C83" w:rsidRPr="00851C83" w:rsidRDefault="00851C83" w:rsidP="00B932EA">
      <w:pPr>
        <w:pStyle w:val="COMPreambulaDecisions"/>
        <w:keepNext w:val="0"/>
        <w:numPr>
          <w:ilvl w:val="0"/>
          <w:numId w:val="5"/>
        </w:numPr>
        <w:ind w:left="567" w:hanging="567"/>
        <w:rPr>
          <w:rFonts w:eastAsia="SimSun"/>
        </w:rPr>
      </w:pPr>
      <w:r w:rsidRPr="00851C83">
        <w:rPr>
          <w:rFonts w:eastAsia="SimSun"/>
          <w:u w:val="single"/>
        </w:rPr>
        <w:t>Rappelant</w:t>
      </w:r>
      <w:r w:rsidRPr="00851C83">
        <w:rPr>
          <w:rFonts w:eastAsia="SimSun"/>
        </w:rPr>
        <w:t xml:space="preserve"> le chapitre V des Directives opérationnelles ainsi que ses décisions </w:t>
      </w:r>
      <w:hyperlink r:id="rId33" w:history="1">
        <w:r w:rsidRPr="00851C83">
          <w:rPr>
            <w:rStyle w:val="Hyperlink"/>
            <w:rFonts w:eastAsia="SimSun"/>
          </w:rPr>
          <w:t>5.COM 5.4</w:t>
        </w:r>
      </w:hyperlink>
      <w:r w:rsidRPr="00851C83">
        <w:rPr>
          <w:rFonts w:eastAsia="SimSun"/>
        </w:rPr>
        <w:t xml:space="preserve"> et </w:t>
      </w:r>
      <w:hyperlink r:id="rId34" w:history="1">
        <w:r w:rsidRPr="00851C83">
          <w:rPr>
            <w:rStyle w:val="Hyperlink"/>
            <w:rFonts w:eastAsia="SimSun"/>
          </w:rPr>
          <w:t>10.COM 6.b.1</w:t>
        </w:r>
      </w:hyperlink>
      <w:r w:rsidRPr="00851C83">
        <w:rPr>
          <w:rFonts w:eastAsia="SimSun"/>
        </w:rPr>
        <w:t>,</w:t>
      </w:r>
    </w:p>
    <w:p w14:paraId="03A194FB" w14:textId="1E7B1E45" w:rsidR="00851C83" w:rsidRPr="00851C83" w:rsidRDefault="00851C83" w:rsidP="00B932EA">
      <w:pPr>
        <w:pStyle w:val="COMPreambulaDecisions"/>
        <w:keepNext w:val="0"/>
        <w:numPr>
          <w:ilvl w:val="0"/>
          <w:numId w:val="5"/>
        </w:numPr>
        <w:ind w:left="567" w:hanging="567"/>
        <w:rPr>
          <w:rFonts w:eastAsia="SimSun"/>
        </w:rPr>
      </w:pPr>
      <w:r w:rsidRPr="00851C83">
        <w:rPr>
          <w:rFonts w:eastAsia="SimSun"/>
          <w:u w:val="single"/>
        </w:rPr>
        <w:t>Remercie</w:t>
      </w:r>
      <w:r w:rsidRPr="00851C83">
        <w:rPr>
          <w:rFonts w:eastAsia="SimSun"/>
        </w:rPr>
        <w:t xml:space="preserve"> la Croatie d</w:t>
      </w:r>
      <w:r w:rsidR="009C104E">
        <w:rPr>
          <w:rFonts w:eastAsia="SimSun"/>
        </w:rPr>
        <w:t>’</w:t>
      </w:r>
      <w:r w:rsidRPr="00851C83">
        <w:rPr>
          <w:rFonts w:eastAsia="SimSun"/>
        </w:rPr>
        <w:t>avoir soumis, dans les délais, son deuxième rapport sur l</w:t>
      </w:r>
      <w:r w:rsidR="009C104E">
        <w:rPr>
          <w:rFonts w:eastAsia="SimSun"/>
        </w:rPr>
        <w:t>’</w:t>
      </w:r>
      <w:r w:rsidRPr="00851C83">
        <w:rPr>
          <w:rFonts w:eastAsia="SimSun"/>
        </w:rPr>
        <w:t>état de l</w:t>
      </w:r>
      <w:r w:rsidR="009C104E">
        <w:rPr>
          <w:rFonts w:eastAsia="SimSun"/>
        </w:rPr>
        <w:t>’</w:t>
      </w:r>
      <w:r w:rsidRPr="00851C83">
        <w:rPr>
          <w:rFonts w:eastAsia="SimSun"/>
        </w:rPr>
        <w:t>élément « Le chant Ojkanje », inscrit en 2010 sur la Liste du patrimoine culturel immatériel nécessitant une sauvegarde urgente ;</w:t>
      </w:r>
    </w:p>
    <w:p w14:paraId="68DD24B1" w14:textId="37014CCC" w:rsidR="00851C83" w:rsidRPr="00851C83" w:rsidRDefault="00851C83" w:rsidP="00B932EA">
      <w:pPr>
        <w:pStyle w:val="COMPreambulaDecisions"/>
        <w:keepNext w:val="0"/>
        <w:numPr>
          <w:ilvl w:val="0"/>
          <w:numId w:val="5"/>
        </w:numPr>
        <w:ind w:left="567" w:hanging="567"/>
        <w:rPr>
          <w:rFonts w:eastAsia="SimSun"/>
          <w:u w:val="single"/>
        </w:rPr>
      </w:pPr>
      <w:r w:rsidRPr="00851C83">
        <w:rPr>
          <w:rFonts w:eastAsia="SimSun"/>
          <w:u w:val="single"/>
        </w:rPr>
        <w:t>Prend note</w:t>
      </w:r>
      <w:r w:rsidRPr="00851C83">
        <w:rPr>
          <w:rFonts w:eastAsia="SimSun"/>
        </w:rPr>
        <w:t xml:space="preserve"> des efforts constants déployés par la Croatie pour sauvegarder l</w:t>
      </w:r>
      <w:r w:rsidR="009C104E">
        <w:rPr>
          <w:rFonts w:eastAsia="SimSun"/>
        </w:rPr>
        <w:t>’</w:t>
      </w:r>
      <w:r w:rsidRPr="00851C83">
        <w:rPr>
          <w:rFonts w:eastAsia="SimSun"/>
        </w:rPr>
        <w:t>élément, en particulier le renforcement des processus de transmission et la création de conditions favorables à cet égard, la sensibilisation des communautés, la participation des associations culturelles et sociétés de folklore aux ateliers de renforcement des capacités, le soutien accordé à l</w:t>
      </w:r>
      <w:r w:rsidR="009C104E">
        <w:rPr>
          <w:rFonts w:eastAsia="SimSun"/>
        </w:rPr>
        <w:t>’</w:t>
      </w:r>
      <w:r w:rsidRPr="00851C83">
        <w:rPr>
          <w:rFonts w:eastAsia="SimSun"/>
        </w:rPr>
        <w:t>organisation des festivals, la coopération entre les détenteurs et les efforts visant à susciter l</w:t>
      </w:r>
      <w:r w:rsidR="009C104E">
        <w:rPr>
          <w:rFonts w:eastAsia="SimSun"/>
        </w:rPr>
        <w:t>’</w:t>
      </w:r>
      <w:r w:rsidRPr="00851C83">
        <w:rPr>
          <w:rFonts w:eastAsia="SimSun"/>
        </w:rPr>
        <w:t>intérêt des jeunes praticiens pour le chant Ojkanje ;</w:t>
      </w:r>
    </w:p>
    <w:p w14:paraId="06D58D65" w14:textId="3FA2963C" w:rsidR="00851C83" w:rsidRPr="00851C83" w:rsidRDefault="00851C83" w:rsidP="00B932EA">
      <w:pPr>
        <w:pStyle w:val="COMPreambulaDecisions"/>
        <w:keepNext w:val="0"/>
        <w:numPr>
          <w:ilvl w:val="0"/>
          <w:numId w:val="5"/>
        </w:numPr>
        <w:ind w:left="567" w:hanging="567"/>
        <w:rPr>
          <w:rFonts w:eastAsia="SimSun"/>
          <w:u w:val="single"/>
        </w:rPr>
      </w:pPr>
      <w:r w:rsidRPr="00851C83">
        <w:rPr>
          <w:rFonts w:eastAsia="SimSun"/>
          <w:u w:val="single"/>
        </w:rPr>
        <w:t>Invite</w:t>
      </w:r>
      <w:r w:rsidRPr="00851C83">
        <w:rPr>
          <w:rFonts w:eastAsia="SimSun"/>
        </w:rPr>
        <w:t xml:space="preserve"> l</w:t>
      </w:r>
      <w:r w:rsidR="009C104E">
        <w:rPr>
          <w:rFonts w:eastAsia="SimSun"/>
        </w:rPr>
        <w:t>’</w:t>
      </w:r>
      <w:r w:rsidRPr="00851C83">
        <w:rPr>
          <w:rFonts w:eastAsia="SimSun"/>
        </w:rPr>
        <w:t>État partie à poursuivre ses efforts pour assurer la pertinence de la pratique dans le contexte local en assurant une meilleure participation des communautés et des praticiens, qu</w:t>
      </w:r>
      <w:r w:rsidR="009C104E">
        <w:rPr>
          <w:rFonts w:eastAsia="SimSun"/>
        </w:rPr>
        <w:t>’</w:t>
      </w:r>
      <w:r w:rsidRPr="00851C83">
        <w:rPr>
          <w:rFonts w:eastAsia="SimSun"/>
        </w:rPr>
        <w:t>ils soient homme ou femme, aux ateliers et festivals organisés par les associations culturelles, en encourageant la coopération entre les praticiens et en trouvant les méthodes et les moyens appropriés pour promouvoir l</w:t>
      </w:r>
      <w:r w:rsidR="009C104E">
        <w:rPr>
          <w:rFonts w:eastAsia="SimSun"/>
        </w:rPr>
        <w:t>’</w:t>
      </w:r>
      <w:r w:rsidRPr="00851C83">
        <w:rPr>
          <w:rFonts w:eastAsia="SimSun"/>
        </w:rPr>
        <w:t>apprentissage direct traditionnel ;</w:t>
      </w:r>
    </w:p>
    <w:p w14:paraId="499E0F2B" w14:textId="1B1ECBF9" w:rsidR="00851C83" w:rsidRPr="00851C83" w:rsidRDefault="00851C83" w:rsidP="00B932EA">
      <w:pPr>
        <w:pStyle w:val="COMPreambulaDecisions"/>
        <w:keepNext w:val="0"/>
        <w:numPr>
          <w:ilvl w:val="0"/>
          <w:numId w:val="5"/>
        </w:numPr>
        <w:ind w:left="567" w:hanging="567"/>
        <w:rPr>
          <w:rFonts w:eastAsia="SimSun"/>
          <w:u w:val="single"/>
        </w:rPr>
      </w:pPr>
      <w:r w:rsidRPr="00851C83">
        <w:rPr>
          <w:rFonts w:eastAsia="SimSun"/>
          <w:u w:val="single"/>
        </w:rPr>
        <w:t>Invite en outre</w:t>
      </w:r>
      <w:r w:rsidRPr="00851C83">
        <w:rPr>
          <w:rFonts w:eastAsia="SimSun"/>
        </w:rPr>
        <w:t xml:space="preserve"> l</w:t>
      </w:r>
      <w:r w:rsidR="009C104E">
        <w:rPr>
          <w:rFonts w:eastAsia="SimSun"/>
        </w:rPr>
        <w:t>’</w:t>
      </w:r>
      <w:r w:rsidRPr="00851C83">
        <w:rPr>
          <w:rFonts w:eastAsia="SimSun"/>
        </w:rPr>
        <w:t>État partie à poursuivre ses efforts pour créer un centre de chant Ojkanje et à en rendre compte dans son prochain rapport ;</w:t>
      </w:r>
    </w:p>
    <w:p w14:paraId="4FB8B64B" w14:textId="3E0486EF" w:rsidR="00851C83" w:rsidRPr="00851C83" w:rsidRDefault="00851C83" w:rsidP="00B932EA">
      <w:pPr>
        <w:pStyle w:val="COMPreambulaDecisions"/>
        <w:keepNext w:val="0"/>
        <w:numPr>
          <w:ilvl w:val="0"/>
          <w:numId w:val="5"/>
        </w:numPr>
        <w:ind w:left="567" w:hanging="567"/>
        <w:rPr>
          <w:rFonts w:eastAsia="SimSun"/>
          <w:u w:val="single"/>
        </w:rPr>
      </w:pPr>
      <w:r w:rsidRPr="00851C83">
        <w:rPr>
          <w:rFonts w:eastAsia="SimSun"/>
          <w:u w:val="single"/>
        </w:rPr>
        <w:t>Encourage</w:t>
      </w:r>
      <w:r w:rsidRPr="00851C83">
        <w:rPr>
          <w:rFonts w:eastAsia="SimSun"/>
        </w:rPr>
        <w:t xml:space="preserve"> l</w:t>
      </w:r>
      <w:r w:rsidR="009C104E">
        <w:rPr>
          <w:rFonts w:eastAsia="SimSun"/>
        </w:rPr>
        <w:t>’</w:t>
      </w:r>
      <w:r w:rsidRPr="00851C83">
        <w:rPr>
          <w:rFonts w:eastAsia="SimSun"/>
        </w:rPr>
        <w:t>État partie à continuer d</w:t>
      </w:r>
      <w:r w:rsidR="009C104E">
        <w:rPr>
          <w:rFonts w:eastAsia="SimSun"/>
        </w:rPr>
        <w:t>’</w:t>
      </w:r>
      <w:r w:rsidRPr="00851C83">
        <w:rPr>
          <w:rFonts w:eastAsia="SimSun"/>
        </w:rPr>
        <w:t>assurer un suivi régulier de l</w:t>
      </w:r>
      <w:r w:rsidR="009C104E">
        <w:rPr>
          <w:rFonts w:eastAsia="SimSun"/>
        </w:rPr>
        <w:t>’</w:t>
      </w:r>
      <w:r w:rsidRPr="00851C83">
        <w:rPr>
          <w:rFonts w:eastAsia="SimSun"/>
        </w:rPr>
        <w:t>élément, et à prêter une attention particulière au maintien de la participation des détenteurs aux activités de transmission entreprises par les associations culturelles et les sociétés de folklore ;</w:t>
      </w:r>
    </w:p>
    <w:p w14:paraId="7C3634A2" w14:textId="4CE08DA7" w:rsidR="00851C83" w:rsidRDefault="00851C83" w:rsidP="00B932EA">
      <w:pPr>
        <w:pStyle w:val="COMPreambulaDecisions"/>
        <w:keepNext w:val="0"/>
        <w:numPr>
          <w:ilvl w:val="0"/>
          <w:numId w:val="5"/>
        </w:numPr>
        <w:ind w:left="567" w:hanging="567"/>
        <w:rPr>
          <w:rFonts w:eastAsia="SimSun"/>
        </w:rPr>
      </w:pPr>
      <w:r w:rsidRPr="00851C83">
        <w:rPr>
          <w:rFonts w:eastAsia="SimSun"/>
          <w:u w:val="single"/>
        </w:rPr>
        <w:t>Rappelle</w:t>
      </w:r>
      <w:r w:rsidRPr="00851C83">
        <w:rPr>
          <w:rFonts w:eastAsia="SimSun"/>
        </w:rPr>
        <w:t xml:space="preserve"> l</w:t>
      </w:r>
      <w:r w:rsidR="009C104E">
        <w:rPr>
          <w:rFonts w:eastAsia="SimSun"/>
        </w:rPr>
        <w:t>’</w:t>
      </w:r>
      <w:r w:rsidRPr="00851C83">
        <w:rPr>
          <w:rFonts w:eastAsia="SimSun"/>
        </w:rPr>
        <w:t>importance de l</w:t>
      </w:r>
      <w:r w:rsidR="009C104E">
        <w:rPr>
          <w:rFonts w:eastAsia="SimSun"/>
        </w:rPr>
        <w:t>’</w:t>
      </w:r>
      <w:r w:rsidRPr="00851C83">
        <w:rPr>
          <w:rFonts w:eastAsia="SimSun"/>
        </w:rPr>
        <w:t>évaluation du rôle des organismes touristiques dans la promotion de l</w:t>
      </w:r>
      <w:r w:rsidR="009C104E">
        <w:rPr>
          <w:rFonts w:eastAsia="SimSun"/>
        </w:rPr>
        <w:t>’</w:t>
      </w:r>
      <w:r w:rsidRPr="00851C83">
        <w:rPr>
          <w:rFonts w:eastAsia="SimSun"/>
        </w:rPr>
        <w:t>élément et les représentations du chant Ojkanje afin d</w:t>
      </w:r>
      <w:r w:rsidR="009C104E">
        <w:rPr>
          <w:rFonts w:eastAsia="SimSun"/>
        </w:rPr>
        <w:t>’</w:t>
      </w:r>
      <w:r w:rsidRPr="00851C83">
        <w:rPr>
          <w:rFonts w:eastAsia="SimSun"/>
        </w:rPr>
        <w:t>éviter une possible marchandisation ou dénaturation de l</w:t>
      </w:r>
      <w:r w:rsidR="009C104E">
        <w:rPr>
          <w:rFonts w:eastAsia="SimSun"/>
        </w:rPr>
        <w:t>’</w:t>
      </w:r>
      <w:r w:rsidRPr="00851C83">
        <w:rPr>
          <w:rFonts w:eastAsia="SimSun"/>
        </w:rPr>
        <w:t>élément ;</w:t>
      </w:r>
    </w:p>
    <w:p w14:paraId="468E1F71" w14:textId="2321AB67" w:rsidR="00851C83" w:rsidRDefault="00851C83" w:rsidP="00B932EA">
      <w:pPr>
        <w:pStyle w:val="COMPreambulaDecisions"/>
        <w:keepNext w:val="0"/>
        <w:numPr>
          <w:ilvl w:val="0"/>
          <w:numId w:val="5"/>
        </w:numPr>
        <w:ind w:left="567" w:hanging="567"/>
        <w:rPr>
          <w:rFonts w:eastAsia="SimSun"/>
        </w:rPr>
      </w:pPr>
      <w:r w:rsidRPr="00851C83">
        <w:rPr>
          <w:rFonts w:eastAsia="SimSun"/>
          <w:u w:val="single"/>
        </w:rPr>
        <w:t>Prie</w:t>
      </w:r>
      <w:r w:rsidRPr="00851C83">
        <w:rPr>
          <w:rFonts w:eastAsia="SimSun"/>
        </w:rPr>
        <w:t xml:space="preserve"> le Secrétariat d</w:t>
      </w:r>
      <w:r w:rsidR="009C104E">
        <w:rPr>
          <w:rFonts w:eastAsia="SimSun"/>
        </w:rPr>
        <w:t>’</w:t>
      </w:r>
      <w:r w:rsidRPr="00851C83">
        <w:rPr>
          <w:rFonts w:eastAsia="SimSun"/>
        </w:rPr>
        <w:t>informer l</w:t>
      </w:r>
      <w:r w:rsidR="009C104E">
        <w:rPr>
          <w:rFonts w:eastAsia="SimSun"/>
        </w:rPr>
        <w:t>’</w:t>
      </w:r>
      <w:r w:rsidRPr="00851C83">
        <w:rPr>
          <w:rFonts w:eastAsia="SimSun"/>
        </w:rPr>
        <w:t>État partie, au moins neuf mois avant l</w:t>
      </w:r>
      <w:r w:rsidR="009C104E">
        <w:rPr>
          <w:rFonts w:eastAsia="SimSun"/>
        </w:rPr>
        <w:t>’</w:t>
      </w:r>
      <w:r w:rsidRPr="00851C83">
        <w:rPr>
          <w:rFonts w:eastAsia="SimSun"/>
        </w:rPr>
        <w:t>échéance du 15 décembre 2022, qu</w:t>
      </w:r>
      <w:r w:rsidR="009C104E">
        <w:rPr>
          <w:rFonts w:eastAsia="SimSun"/>
        </w:rPr>
        <w:t>’</w:t>
      </w:r>
      <w:r w:rsidRPr="00851C83">
        <w:rPr>
          <w:rFonts w:eastAsia="SimSun"/>
        </w:rPr>
        <w:t>il doit soumettre son prochain rapport sur l</w:t>
      </w:r>
      <w:r w:rsidR="009C104E">
        <w:rPr>
          <w:rFonts w:eastAsia="SimSun"/>
        </w:rPr>
        <w:t>’</w:t>
      </w:r>
      <w:r w:rsidRPr="00851C83">
        <w:rPr>
          <w:rFonts w:eastAsia="SimSun"/>
        </w:rPr>
        <w:t>état de cet élément</w:t>
      </w:r>
      <w:r>
        <w:rPr>
          <w:rFonts w:eastAsia="SimSun"/>
        </w:rPr>
        <w:t>.</w:t>
      </w:r>
    </w:p>
    <w:p w14:paraId="5558FDCD" w14:textId="552BC079" w:rsidR="00A27C05" w:rsidRPr="00851C83" w:rsidRDefault="00A27C05" w:rsidP="00A27C05">
      <w:pPr>
        <w:pStyle w:val="COMTitleDecision"/>
        <w:spacing w:before="360"/>
        <w:ind w:left="0"/>
        <w:rPr>
          <w:bCs/>
        </w:rPr>
      </w:pPr>
      <w:r>
        <w:t xml:space="preserve">DÉCISION </w:t>
      </w:r>
      <w:r w:rsidRPr="00851C83">
        <w:rPr>
          <w:bCs/>
        </w:rPr>
        <w:t>14.COM 9.a.</w:t>
      </w:r>
      <w:r>
        <w:rPr>
          <w:bCs/>
        </w:rPr>
        <w:t>2</w:t>
      </w:r>
    </w:p>
    <w:p w14:paraId="520D93D0" w14:textId="77777777" w:rsidR="00A27C05" w:rsidRDefault="00A27C05" w:rsidP="00A27C05">
      <w:pPr>
        <w:pStyle w:val="COMPreambulaDecisions"/>
        <w:ind w:left="0"/>
      </w:pPr>
      <w:r>
        <w:t>Le Comité,</w:t>
      </w:r>
    </w:p>
    <w:p w14:paraId="6DEC7371" w14:textId="77777777" w:rsidR="00A27C05" w:rsidRPr="00851C83" w:rsidRDefault="00A27C05" w:rsidP="00771F30">
      <w:pPr>
        <w:pStyle w:val="COMPreambulaDecisions"/>
        <w:numPr>
          <w:ilvl w:val="0"/>
          <w:numId w:val="20"/>
        </w:numPr>
        <w:ind w:left="567" w:hanging="567"/>
        <w:rPr>
          <w:rFonts w:eastAsia="SimSun"/>
          <w:u w:val="single"/>
        </w:rPr>
      </w:pPr>
      <w:r w:rsidRPr="00851C83">
        <w:rPr>
          <w:rFonts w:eastAsia="SimSun"/>
          <w:u w:val="single"/>
        </w:rPr>
        <w:t xml:space="preserve">Ayant examiné </w:t>
      </w:r>
      <w:r w:rsidRPr="00851C83">
        <w:rPr>
          <w:rFonts w:eastAsia="SimSun"/>
        </w:rPr>
        <w:t xml:space="preserve">le document </w:t>
      </w:r>
      <w:hyperlink r:id="rId35" w:history="1">
        <w:r w:rsidRPr="00CC49DA">
          <w:rPr>
            <w:rStyle w:val="Hyperlink"/>
            <w:rFonts w:eastAsia="SimSun"/>
          </w:rPr>
          <w:t>LHE/19/14.COM/9.a Rev.</w:t>
        </w:r>
      </w:hyperlink>
      <w:r w:rsidRPr="00B932EA">
        <w:rPr>
          <w:rStyle w:val="Hyperlink"/>
          <w:rFonts w:eastAsia="SimSun"/>
          <w:color w:val="auto"/>
          <w:u w:val="none"/>
        </w:rPr>
        <w:t>,</w:t>
      </w:r>
    </w:p>
    <w:p w14:paraId="2315B0EF" w14:textId="256FBC40" w:rsidR="00A27C05" w:rsidRPr="00A27C05" w:rsidRDefault="00A27C05" w:rsidP="00771F30">
      <w:pPr>
        <w:pStyle w:val="COMPreambulaDecisions"/>
        <w:numPr>
          <w:ilvl w:val="0"/>
          <w:numId w:val="20"/>
        </w:numPr>
        <w:ind w:left="567" w:hanging="567"/>
        <w:rPr>
          <w:rFonts w:eastAsia="SimSun"/>
          <w:u w:val="single"/>
        </w:rPr>
      </w:pPr>
      <w:r w:rsidRPr="00A27C05">
        <w:rPr>
          <w:rFonts w:eastAsia="SimSun"/>
          <w:u w:val="single"/>
        </w:rPr>
        <w:t xml:space="preserve">Rappelant </w:t>
      </w:r>
      <w:r w:rsidRPr="00A27C05">
        <w:rPr>
          <w:rFonts w:eastAsia="SimSun"/>
        </w:rPr>
        <w:t xml:space="preserve">le </w:t>
      </w:r>
      <w:r w:rsidR="0074046D">
        <w:rPr>
          <w:rFonts w:eastAsia="SimSun"/>
        </w:rPr>
        <w:t>c</w:t>
      </w:r>
      <w:r w:rsidR="0074046D" w:rsidRPr="00A27C05">
        <w:rPr>
          <w:rFonts w:eastAsia="SimSun"/>
        </w:rPr>
        <w:t xml:space="preserve">hapitre </w:t>
      </w:r>
      <w:r w:rsidRPr="00A27C05">
        <w:rPr>
          <w:rFonts w:eastAsia="SimSun"/>
        </w:rPr>
        <w:t>V des Directives opérationnelles et sa</w:t>
      </w:r>
      <w:r w:rsidRPr="00B932EA">
        <w:rPr>
          <w:rFonts w:eastAsia="SimSun"/>
        </w:rPr>
        <w:t xml:space="preserve"> </w:t>
      </w:r>
      <w:hyperlink r:id="rId36" w:history="1">
        <w:r w:rsidRPr="00A27C05">
          <w:rPr>
            <w:rStyle w:val="Hyperlink"/>
            <w:rFonts w:eastAsia="SimSun"/>
          </w:rPr>
          <w:t>décision 9.COM 9.a.5</w:t>
        </w:r>
      </w:hyperlink>
      <w:r w:rsidRPr="00B932EA">
        <w:rPr>
          <w:rFonts w:eastAsia="SimSun"/>
        </w:rPr>
        <w:t>,</w:t>
      </w:r>
    </w:p>
    <w:p w14:paraId="12319678" w14:textId="3ACECF95" w:rsidR="00A27C05" w:rsidRPr="00A27C05" w:rsidRDefault="00A27C05" w:rsidP="00771F30">
      <w:pPr>
        <w:pStyle w:val="COMPreambulaDecisions"/>
        <w:numPr>
          <w:ilvl w:val="0"/>
          <w:numId w:val="20"/>
        </w:numPr>
        <w:ind w:left="567" w:hanging="567"/>
        <w:rPr>
          <w:rFonts w:eastAsia="SimSun"/>
        </w:rPr>
      </w:pPr>
      <w:r w:rsidRPr="00A27C05">
        <w:rPr>
          <w:rFonts w:eastAsia="SimSun"/>
          <w:u w:val="single"/>
        </w:rPr>
        <w:t>Remercie</w:t>
      </w:r>
      <w:r w:rsidRPr="00B932EA">
        <w:rPr>
          <w:rFonts w:eastAsia="SimSun"/>
        </w:rPr>
        <w:t xml:space="preserve"> le</w:t>
      </w:r>
      <w:r w:rsidRPr="00A27C05">
        <w:rPr>
          <w:rFonts w:eastAsia="SimSun"/>
        </w:rPr>
        <w:t xml:space="preserve"> Kenya d</w:t>
      </w:r>
      <w:r w:rsidR="009C104E">
        <w:rPr>
          <w:rFonts w:eastAsia="SimSun"/>
        </w:rPr>
        <w:t>’</w:t>
      </w:r>
      <w:r w:rsidRPr="00A27C05">
        <w:rPr>
          <w:rFonts w:eastAsia="SimSun"/>
        </w:rPr>
        <w:t>avoir soumis, dans les délais, son deuxième rapport sur l</w:t>
      </w:r>
      <w:r w:rsidR="009C104E">
        <w:rPr>
          <w:rFonts w:eastAsia="SimSun"/>
        </w:rPr>
        <w:t>’</w:t>
      </w:r>
      <w:r w:rsidRPr="00A27C05">
        <w:rPr>
          <w:rFonts w:eastAsia="SimSun"/>
        </w:rPr>
        <w:t>état de l</w:t>
      </w:r>
      <w:r w:rsidR="009C104E">
        <w:rPr>
          <w:rFonts w:eastAsia="SimSun"/>
        </w:rPr>
        <w:t>’</w:t>
      </w:r>
      <w:r w:rsidRPr="00A27C05">
        <w:rPr>
          <w:rFonts w:eastAsia="SimSun"/>
        </w:rPr>
        <w:t>élément « La danse Isukuti des communautés Isukha et Idakho de l</w:t>
      </w:r>
      <w:r w:rsidR="009C104E">
        <w:rPr>
          <w:rFonts w:eastAsia="SimSun"/>
        </w:rPr>
        <w:t>’</w:t>
      </w:r>
      <w:r w:rsidRPr="00A27C05">
        <w:rPr>
          <w:rFonts w:eastAsia="SimSun"/>
        </w:rPr>
        <w:t>ouest du Kenya », inscrit en 2014 sur la Liste du patrimoine culturel immatériel nécessitant une sauvegarde urgente ;</w:t>
      </w:r>
    </w:p>
    <w:p w14:paraId="136644AD" w14:textId="7942D9A3" w:rsidR="00A27C05" w:rsidRPr="00A27C05" w:rsidRDefault="00A27C05" w:rsidP="00771F30">
      <w:pPr>
        <w:pStyle w:val="COMPreambulaDecisions"/>
        <w:numPr>
          <w:ilvl w:val="0"/>
          <w:numId w:val="20"/>
        </w:numPr>
        <w:ind w:left="567" w:hanging="567"/>
        <w:rPr>
          <w:rFonts w:eastAsia="SimSun"/>
          <w:u w:val="single"/>
        </w:rPr>
      </w:pPr>
      <w:r w:rsidRPr="00A27C05">
        <w:rPr>
          <w:rFonts w:eastAsia="SimSun"/>
          <w:u w:val="single"/>
        </w:rPr>
        <w:t>Prend note</w:t>
      </w:r>
      <w:r w:rsidRPr="00A27C05">
        <w:rPr>
          <w:rFonts w:eastAsia="SimSun"/>
        </w:rPr>
        <w:t xml:space="preserve"> des efforts constants déployés par le Kenya pour sauvegarder l</w:t>
      </w:r>
      <w:r w:rsidR="009C104E">
        <w:rPr>
          <w:rFonts w:eastAsia="SimSun"/>
        </w:rPr>
        <w:t>’</w:t>
      </w:r>
      <w:r w:rsidRPr="00A27C05">
        <w:rPr>
          <w:rFonts w:eastAsia="SimSun"/>
        </w:rPr>
        <w:t>élément, en particulier en offrant aux détenteurs la possibilité de transmettre leurs connaissances aux jeunes générations à travers des ateliers et des activités de renforcement des capacités, en approfondissant les recherches et la documentation sur la pratique, en mettant en œuvre des programmes de sensibilisation à grande échelle ; et en permettant de fabriquer les instruments de musique grâce à une gestion durable des ressources naturelles et des matières premières nécessaires ;</w:t>
      </w:r>
    </w:p>
    <w:p w14:paraId="55655479" w14:textId="112D2DCB" w:rsidR="00A27C05" w:rsidRPr="00A27C05" w:rsidRDefault="00A27C05" w:rsidP="00771F30">
      <w:pPr>
        <w:pStyle w:val="COMPreambulaDecisions"/>
        <w:numPr>
          <w:ilvl w:val="0"/>
          <w:numId w:val="20"/>
        </w:numPr>
        <w:ind w:left="567" w:hanging="567"/>
        <w:rPr>
          <w:rFonts w:eastAsia="SimSun"/>
          <w:u w:val="single"/>
        </w:rPr>
      </w:pPr>
      <w:r w:rsidRPr="00A27C05">
        <w:rPr>
          <w:rFonts w:eastAsia="SimSun"/>
          <w:u w:val="single"/>
        </w:rPr>
        <w:t>Invite</w:t>
      </w:r>
      <w:r w:rsidRPr="00A27C05">
        <w:rPr>
          <w:rFonts w:eastAsia="SimSun"/>
        </w:rPr>
        <w:t xml:space="preserve"> l</w:t>
      </w:r>
      <w:r w:rsidR="009C104E">
        <w:rPr>
          <w:rFonts w:eastAsia="SimSun"/>
        </w:rPr>
        <w:t>’</w:t>
      </w:r>
      <w:r w:rsidRPr="00A27C05">
        <w:rPr>
          <w:rFonts w:eastAsia="SimSun"/>
        </w:rPr>
        <w:t>État partie à poursuivre la mise en œuvre efficace du plan de sauvegarde, tout en prêtant une attention particulière à l</w:t>
      </w:r>
      <w:r w:rsidR="009C104E">
        <w:rPr>
          <w:rFonts w:eastAsia="SimSun"/>
        </w:rPr>
        <w:t>’</w:t>
      </w:r>
      <w:r w:rsidRPr="00A27C05">
        <w:rPr>
          <w:rFonts w:eastAsia="SimSun"/>
        </w:rPr>
        <w:t>amélioration de la viabilité des aspects associés à l</w:t>
      </w:r>
      <w:r w:rsidR="009C104E">
        <w:rPr>
          <w:rFonts w:eastAsia="SimSun"/>
        </w:rPr>
        <w:t>’</w:t>
      </w:r>
      <w:r w:rsidRPr="00A27C05">
        <w:rPr>
          <w:rFonts w:eastAsia="SimSun"/>
        </w:rPr>
        <w:t>élément, comme ses références traditionnelles et symboliques ; à renforcer ses efforts pour intégrer la pratique de l</w:t>
      </w:r>
      <w:r w:rsidR="009C104E">
        <w:rPr>
          <w:rFonts w:eastAsia="SimSun"/>
        </w:rPr>
        <w:t>’</w:t>
      </w:r>
      <w:r w:rsidRPr="00A27C05">
        <w:rPr>
          <w:rFonts w:eastAsia="SimSun"/>
        </w:rPr>
        <w:t>élément aux programmes scolaires ; et à créer un centre culturel à Kakamega, tel qu</w:t>
      </w:r>
      <w:r w:rsidR="009C104E">
        <w:rPr>
          <w:rFonts w:eastAsia="SimSun"/>
        </w:rPr>
        <w:t>’</w:t>
      </w:r>
      <w:r w:rsidRPr="00A27C05">
        <w:rPr>
          <w:rFonts w:eastAsia="SimSun"/>
        </w:rPr>
        <w:t>initialement prévu dans le plan de sauvegarde ;</w:t>
      </w:r>
    </w:p>
    <w:p w14:paraId="2B668591" w14:textId="30B40A27" w:rsidR="00A27C05" w:rsidRDefault="00A27C05" w:rsidP="00771F30">
      <w:pPr>
        <w:pStyle w:val="COMPreambulaDecisions"/>
        <w:numPr>
          <w:ilvl w:val="0"/>
          <w:numId w:val="20"/>
        </w:numPr>
        <w:ind w:left="567" w:hanging="567"/>
        <w:rPr>
          <w:rFonts w:eastAsia="SimSun"/>
        </w:rPr>
      </w:pPr>
      <w:r w:rsidRPr="00A27C05">
        <w:rPr>
          <w:rFonts w:eastAsia="SimSun"/>
          <w:u w:val="single"/>
        </w:rPr>
        <w:t>Encourage</w:t>
      </w:r>
      <w:r w:rsidRPr="00A27C05">
        <w:rPr>
          <w:rFonts w:eastAsia="SimSun"/>
        </w:rPr>
        <w:t xml:space="preserve"> l</w:t>
      </w:r>
      <w:r w:rsidR="009C104E">
        <w:rPr>
          <w:rFonts w:eastAsia="SimSun"/>
        </w:rPr>
        <w:t>’</w:t>
      </w:r>
      <w:r w:rsidRPr="00A27C05">
        <w:rPr>
          <w:rFonts w:eastAsia="SimSun"/>
        </w:rPr>
        <w:t>État partie à favoriser la formation et les activités éducatives, à surveiller, avec l</w:t>
      </w:r>
      <w:r w:rsidR="009C104E">
        <w:rPr>
          <w:rFonts w:eastAsia="SimSun"/>
        </w:rPr>
        <w:t>’</w:t>
      </w:r>
      <w:r w:rsidRPr="00A27C05">
        <w:rPr>
          <w:rFonts w:eastAsia="SimSun"/>
        </w:rPr>
        <w:t>aide des organisations des communautés, les éventuels effets négatifs liés à la commercialisation et au déclin du mode de vie des détenteurs, et à veiller à ce que les ressources nécessaires à un plan de sauvegarde à long terme soient identifiées ;</w:t>
      </w:r>
    </w:p>
    <w:p w14:paraId="171EDCD3" w14:textId="56A228D7" w:rsidR="00A27C05" w:rsidRPr="00A27C05" w:rsidRDefault="00A27C05" w:rsidP="00771F30">
      <w:pPr>
        <w:pStyle w:val="COMPreambulaDecisions"/>
        <w:numPr>
          <w:ilvl w:val="0"/>
          <w:numId w:val="20"/>
        </w:numPr>
        <w:ind w:left="567" w:hanging="567"/>
        <w:rPr>
          <w:rFonts w:eastAsia="SimSun"/>
        </w:rPr>
      </w:pPr>
      <w:r w:rsidRPr="00A27C05">
        <w:rPr>
          <w:rFonts w:eastAsia="SimSun"/>
          <w:u w:val="single"/>
        </w:rPr>
        <w:t>Prie</w:t>
      </w:r>
      <w:r w:rsidRPr="00A27C05">
        <w:rPr>
          <w:rFonts w:eastAsia="SimSun"/>
        </w:rPr>
        <w:t xml:space="preserve"> le Secrétariat d</w:t>
      </w:r>
      <w:r w:rsidR="009C104E">
        <w:rPr>
          <w:rFonts w:eastAsia="SimSun"/>
        </w:rPr>
        <w:t>’</w:t>
      </w:r>
      <w:r w:rsidRPr="00A27C05">
        <w:rPr>
          <w:rFonts w:eastAsia="SimSun"/>
        </w:rPr>
        <w:t>informer l</w:t>
      </w:r>
      <w:r w:rsidR="009C104E">
        <w:rPr>
          <w:rFonts w:eastAsia="SimSun"/>
        </w:rPr>
        <w:t>’</w:t>
      </w:r>
      <w:r w:rsidRPr="00A27C05">
        <w:rPr>
          <w:rFonts w:eastAsia="SimSun"/>
        </w:rPr>
        <w:t>État partie, au moins neuf mois avant l</w:t>
      </w:r>
      <w:r w:rsidR="009C104E">
        <w:rPr>
          <w:rFonts w:eastAsia="SimSun"/>
        </w:rPr>
        <w:t>’</w:t>
      </w:r>
      <w:r w:rsidRPr="00A27C05">
        <w:rPr>
          <w:rFonts w:eastAsia="SimSun"/>
        </w:rPr>
        <w:t>échéance du 15 décembre 2022, qu</w:t>
      </w:r>
      <w:r w:rsidR="009C104E">
        <w:rPr>
          <w:rFonts w:eastAsia="SimSun"/>
        </w:rPr>
        <w:t>’</w:t>
      </w:r>
      <w:r w:rsidRPr="00A27C05">
        <w:rPr>
          <w:rFonts w:eastAsia="SimSun"/>
        </w:rPr>
        <w:t>il doit soumettre son prochain rapport sur l</w:t>
      </w:r>
      <w:r w:rsidR="009C104E">
        <w:rPr>
          <w:rFonts w:eastAsia="SimSun"/>
        </w:rPr>
        <w:t>’</w:t>
      </w:r>
      <w:r w:rsidRPr="00A27C05">
        <w:rPr>
          <w:rFonts w:eastAsia="SimSun"/>
        </w:rPr>
        <w:t>état de cet élément</w:t>
      </w:r>
      <w:r w:rsidR="0074046D">
        <w:rPr>
          <w:rFonts w:eastAsia="SimSun"/>
        </w:rPr>
        <w:t>.</w:t>
      </w:r>
    </w:p>
    <w:p w14:paraId="160A59A1" w14:textId="6CBAB614" w:rsidR="00851C83" w:rsidRPr="00851C83" w:rsidRDefault="00851C83" w:rsidP="00851C83">
      <w:pPr>
        <w:pStyle w:val="COMTitleDecision"/>
        <w:spacing w:before="360"/>
        <w:ind w:left="0"/>
        <w:rPr>
          <w:bCs/>
        </w:rPr>
      </w:pPr>
      <w:r>
        <w:t xml:space="preserve">DÉCISION </w:t>
      </w:r>
      <w:r w:rsidRPr="00851C83">
        <w:rPr>
          <w:bCs/>
        </w:rPr>
        <w:t>14.COM 9.a.</w:t>
      </w:r>
      <w:r w:rsidR="007F5B19">
        <w:rPr>
          <w:bCs/>
        </w:rPr>
        <w:t>3</w:t>
      </w:r>
    </w:p>
    <w:p w14:paraId="261D3A33" w14:textId="77777777" w:rsidR="00851C83" w:rsidRDefault="00851C83" w:rsidP="00851C83">
      <w:pPr>
        <w:pStyle w:val="COMPreambulaDecisions"/>
        <w:ind w:left="0"/>
      </w:pPr>
      <w:r>
        <w:t>Le Comité,</w:t>
      </w:r>
    </w:p>
    <w:p w14:paraId="4A4E7FA8" w14:textId="77777777" w:rsidR="007F5B19" w:rsidRPr="007F5B19" w:rsidRDefault="007F5B19" w:rsidP="00771F30">
      <w:pPr>
        <w:pStyle w:val="COMPreambulaDecisions"/>
        <w:numPr>
          <w:ilvl w:val="0"/>
          <w:numId w:val="18"/>
        </w:numPr>
        <w:ind w:left="567" w:hanging="567"/>
        <w:rPr>
          <w:rFonts w:eastAsia="SimSun"/>
          <w:u w:val="single"/>
        </w:rPr>
      </w:pPr>
      <w:r w:rsidRPr="00851C83">
        <w:rPr>
          <w:rFonts w:eastAsia="SimSun"/>
          <w:u w:val="single"/>
        </w:rPr>
        <w:t xml:space="preserve">Ayant examiné </w:t>
      </w:r>
      <w:r w:rsidRPr="00851C83">
        <w:rPr>
          <w:rFonts w:eastAsia="SimSun"/>
        </w:rPr>
        <w:t xml:space="preserve">le document </w:t>
      </w:r>
      <w:hyperlink r:id="rId37" w:history="1">
        <w:r w:rsidRPr="00CC49DA">
          <w:rPr>
            <w:rStyle w:val="Hyperlink"/>
            <w:rFonts w:eastAsia="SimSun"/>
          </w:rPr>
          <w:t>LHE/19/14.COM/9.a Rev.</w:t>
        </w:r>
      </w:hyperlink>
      <w:r w:rsidRPr="00B932EA">
        <w:rPr>
          <w:rStyle w:val="Hyperlink"/>
          <w:rFonts w:eastAsia="SimSun"/>
          <w:color w:val="auto"/>
          <w:u w:val="none"/>
        </w:rPr>
        <w:t>,</w:t>
      </w:r>
    </w:p>
    <w:p w14:paraId="408434A9" w14:textId="0AA7F4E3" w:rsidR="007F5B19" w:rsidRDefault="007F5B19" w:rsidP="00771F30">
      <w:pPr>
        <w:pStyle w:val="COMParaDecision"/>
        <w:numPr>
          <w:ilvl w:val="0"/>
          <w:numId w:val="18"/>
        </w:numPr>
        <w:tabs>
          <w:tab w:val="left" w:pos="1134"/>
        </w:tabs>
        <w:ind w:left="567" w:hanging="567"/>
        <w:rPr>
          <w:u w:val="none"/>
        </w:rPr>
      </w:pPr>
      <w:r w:rsidRPr="004C7D40">
        <w:t>Rappelant</w:t>
      </w:r>
      <w:r w:rsidRPr="004C7D40">
        <w:rPr>
          <w:u w:val="none"/>
        </w:rPr>
        <w:t xml:space="preserve"> le </w:t>
      </w:r>
      <w:r w:rsidR="0074046D">
        <w:rPr>
          <w:u w:val="none"/>
        </w:rPr>
        <w:t>c</w:t>
      </w:r>
      <w:r w:rsidR="0074046D" w:rsidRPr="004C7D40">
        <w:rPr>
          <w:u w:val="none"/>
        </w:rPr>
        <w:t xml:space="preserve">hapitre </w:t>
      </w:r>
      <w:r w:rsidRPr="004C7D40">
        <w:rPr>
          <w:u w:val="none"/>
        </w:rPr>
        <w:t xml:space="preserve">V des Directives opérationnelles et sa </w:t>
      </w:r>
      <w:hyperlink r:id="rId38" w:history="1">
        <w:r>
          <w:rPr>
            <w:rStyle w:val="Hyperlink"/>
          </w:rPr>
          <w:t>d</w:t>
        </w:r>
        <w:r w:rsidRPr="006F0545">
          <w:rPr>
            <w:rStyle w:val="Hyperlink"/>
          </w:rPr>
          <w:t>écision 9.COM 9.a.7</w:t>
        </w:r>
      </w:hyperlink>
      <w:r w:rsidRPr="004C7D40">
        <w:rPr>
          <w:u w:val="none"/>
        </w:rPr>
        <w:t>,</w:t>
      </w:r>
    </w:p>
    <w:p w14:paraId="2AE50F10" w14:textId="27C997FB" w:rsidR="007F5B19" w:rsidRPr="00F90057" w:rsidRDefault="007F5B19" w:rsidP="00771F30">
      <w:pPr>
        <w:pStyle w:val="COMParaDecision"/>
        <w:numPr>
          <w:ilvl w:val="0"/>
          <w:numId w:val="18"/>
        </w:numPr>
        <w:tabs>
          <w:tab w:val="left" w:pos="1134"/>
        </w:tabs>
        <w:ind w:left="567" w:hanging="567"/>
        <w:rPr>
          <w:u w:val="none"/>
        </w:rPr>
      </w:pPr>
      <w:r>
        <w:t>Remercie</w:t>
      </w:r>
      <w:r w:rsidRPr="004C7D40">
        <w:rPr>
          <w:u w:val="none"/>
        </w:rPr>
        <w:t xml:space="preserve"> l</w:t>
      </w:r>
      <w:r w:rsidR="009C104E">
        <w:rPr>
          <w:u w:val="none"/>
        </w:rPr>
        <w:t>’</w:t>
      </w:r>
      <w:r w:rsidRPr="004C7D40">
        <w:rPr>
          <w:u w:val="none"/>
        </w:rPr>
        <w:t xml:space="preserve">Ouganda </w:t>
      </w:r>
      <w:r>
        <w:rPr>
          <w:u w:val="none"/>
        </w:rPr>
        <w:t>d</w:t>
      </w:r>
      <w:r w:rsidR="009C104E">
        <w:rPr>
          <w:u w:val="none"/>
        </w:rPr>
        <w:t>’</w:t>
      </w:r>
      <w:r>
        <w:rPr>
          <w:u w:val="none"/>
        </w:rPr>
        <w:t>avoir soumis</w:t>
      </w:r>
      <w:r w:rsidRPr="004C7D40">
        <w:rPr>
          <w:u w:val="none"/>
        </w:rPr>
        <w:t>, dans les délais, son deuxième rapport sur l</w:t>
      </w:r>
      <w:r w:rsidR="009C104E">
        <w:rPr>
          <w:u w:val="none"/>
        </w:rPr>
        <w:t>’</w:t>
      </w:r>
      <w:r w:rsidRPr="004C7D40">
        <w:rPr>
          <w:u w:val="none"/>
        </w:rPr>
        <w:t>état de l</w:t>
      </w:r>
      <w:r w:rsidR="009C104E">
        <w:rPr>
          <w:u w:val="none"/>
        </w:rPr>
        <w:t>’</w:t>
      </w:r>
      <w:r w:rsidRPr="004C7D40">
        <w:rPr>
          <w:u w:val="none"/>
        </w:rPr>
        <w:t>élément « La cérémonie de purification des garçons chez les Lango du centre-nord de l</w:t>
      </w:r>
      <w:r w:rsidR="009C104E">
        <w:rPr>
          <w:u w:val="none"/>
        </w:rPr>
        <w:t>’</w:t>
      </w:r>
      <w:r w:rsidRPr="004C7D40">
        <w:rPr>
          <w:u w:val="none"/>
        </w:rPr>
        <w:t>Ouganda », inscrit en 2014 sur la Liste du patrimoine culturel immatériel nécessitant une sauvegarde urgente</w:t>
      </w:r>
      <w:r>
        <w:rPr>
          <w:u w:val="none"/>
        </w:rPr>
        <w:t> </w:t>
      </w:r>
      <w:r w:rsidRPr="004C7D40">
        <w:rPr>
          <w:u w:val="none"/>
        </w:rPr>
        <w:t>;</w:t>
      </w:r>
    </w:p>
    <w:p w14:paraId="307FA038" w14:textId="33558374" w:rsidR="007F5B19" w:rsidRPr="00E15C17" w:rsidRDefault="007F5B19" w:rsidP="00771F30">
      <w:pPr>
        <w:pStyle w:val="COMParaDecision"/>
        <w:numPr>
          <w:ilvl w:val="0"/>
          <w:numId w:val="18"/>
        </w:numPr>
        <w:tabs>
          <w:tab w:val="left" w:pos="1134"/>
        </w:tabs>
        <w:ind w:left="567" w:hanging="567"/>
      </w:pPr>
      <w:r w:rsidRPr="00131978">
        <w:t>Prend note</w:t>
      </w:r>
      <w:r>
        <w:rPr>
          <w:u w:val="none"/>
        </w:rPr>
        <w:t xml:space="preserve"> des efforts déployés par l</w:t>
      </w:r>
      <w:r w:rsidR="009C104E">
        <w:rPr>
          <w:u w:val="none"/>
        </w:rPr>
        <w:t>’</w:t>
      </w:r>
      <w:r>
        <w:rPr>
          <w:u w:val="none"/>
        </w:rPr>
        <w:t>Ouganda pour sauvegarder l</w:t>
      </w:r>
      <w:r w:rsidR="009C104E">
        <w:rPr>
          <w:u w:val="none"/>
        </w:rPr>
        <w:t>’</w:t>
      </w:r>
      <w:r>
        <w:rPr>
          <w:u w:val="none"/>
        </w:rPr>
        <w:t>élément, en particulier la documentation du processus et la diffusion de sa signification, l</w:t>
      </w:r>
      <w:r w:rsidR="009C104E">
        <w:rPr>
          <w:u w:val="none"/>
        </w:rPr>
        <w:t>’</w:t>
      </w:r>
      <w:r>
        <w:rPr>
          <w:u w:val="none"/>
        </w:rPr>
        <w:t>amélioration de sa transmission par le biais des méthodes orales traditionnelles ainsi que des dispositifs de communication modernes, et l</w:t>
      </w:r>
      <w:r w:rsidR="009C104E">
        <w:rPr>
          <w:u w:val="none"/>
        </w:rPr>
        <w:t>’</w:t>
      </w:r>
      <w:r>
        <w:rPr>
          <w:u w:val="none"/>
        </w:rPr>
        <w:t>adoption de cadres législatifs nationaux visant à limiter l</w:t>
      </w:r>
      <w:r w:rsidR="009C104E">
        <w:rPr>
          <w:u w:val="none"/>
        </w:rPr>
        <w:t>’</w:t>
      </w:r>
      <w:r>
        <w:rPr>
          <w:u w:val="none"/>
        </w:rPr>
        <w:t xml:space="preserve">abattage </w:t>
      </w:r>
      <w:r w:rsidRPr="00E15C17">
        <w:rPr>
          <w:u w:val="none"/>
        </w:rPr>
        <w:t xml:space="preserve">du </w:t>
      </w:r>
      <w:r w:rsidRPr="00426B43">
        <w:rPr>
          <w:u w:val="none"/>
        </w:rPr>
        <w:t>karité</w:t>
      </w:r>
      <w:r w:rsidRPr="00E15C17">
        <w:rPr>
          <w:u w:val="none"/>
        </w:rPr>
        <w:t> ;</w:t>
      </w:r>
    </w:p>
    <w:p w14:paraId="2B326228" w14:textId="444EA530" w:rsidR="007F5B19" w:rsidRPr="00F90057" w:rsidRDefault="007F5B19" w:rsidP="00771F30">
      <w:pPr>
        <w:pStyle w:val="COMParaDecision"/>
        <w:numPr>
          <w:ilvl w:val="0"/>
          <w:numId w:val="18"/>
        </w:numPr>
        <w:tabs>
          <w:tab w:val="left" w:pos="1134"/>
        </w:tabs>
        <w:ind w:left="567" w:hanging="567"/>
      </w:pPr>
      <w:r w:rsidRPr="002C6A77">
        <w:t>Invite</w:t>
      </w:r>
      <w:r>
        <w:rPr>
          <w:u w:val="none"/>
        </w:rPr>
        <w:t xml:space="preserve"> l</w:t>
      </w:r>
      <w:r w:rsidR="009C104E">
        <w:rPr>
          <w:u w:val="none"/>
        </w:rPr>
        <w:t>’</w:t>
      </w:r>
      <w:r>
        <w:rPr>
          <w:u w:val="none"/>
        </w:rPr>
        <w:t>État partie à poursuivre ses efforts de sauvegarde de l</w:t>
      </w:r>
      <w:r w:rsidR="009C104E">
        <w:rPr>
          <w:u w:val="none"/>
        </w:rPr>
        <w:t>’</w:t>
      </w:r>
      <w:r>
        <w:rPr>
          <w:u w:val="none"/>
        </w:rPr>
        <w:t>élément en développant de nouveaux programmes et politiques éducatifs dans le domaine de la culture, en améliorant la planification et le financement associés aux activités de sauvegarde, en continuant à collaborer étroitement avec les organisations gouvernementales et non-gouvernementales, ainsi qu</w:t>
      </w:r>
      <w:r w:rsidR="009C104E">
        <w:rPr>
          <w:u w:val="none"/>
        </w:rPr>
        <w:t>’</w:t>
      </w:r>
      <w:r>
        <w:rPr>
          <w:u w:val="none"/>
        </w:rPr>
        <w:t>avec les praticiens individuels ;</w:t>
      </w:r>
    </w:p>
    <w:p w14:paraId="46EC5BE4" w14:textId="00F1760F" w:rsidR="007F5B19" w:rsidRPr="007F5B19" w:rsidRDefault="007F5B19" w:rsidP="00771F30">
      <w:pPr>
        <w:pStyle w:val="COMParaDecision"/>
        <w:numPr>
          <w:ilvl w:val="0"/>
          <w:numId w:val="18"/>
        </w:numPr>
        <w:tabs>
          <w:tab w:val="left" w:pos="1134"/>
        </w:tabs>
        <w:ind w:left="567" w:hanging="567"/>
        <w:rPr>
          <w:rFonts w:eastAsia="SimSun"/>
        </w:rPr>
      </w:pPr>
      <w:r>
        <w:t>Encourage</w:t>
      </w:r>
      <w:r>
        <w:rPr>
          <w:u w:val="none"/>
        </w:rPr>
        <w:t xml:space="preserve"> l</w:t>
      </w:r>
      <w:r w:rsidR="009C104E">
        <w:rPr>
          <w:u w:val="none"/>
        </w:rPr>
        <w:t>’</w:t>
      </w:r>
      <w:r>
        <w:rPr>
          <w:u w:val="none"/>
        </w:rPr>
        <w:t>État partie à impliquer activement les membres de la communauté dans la mise en œuvre des activités de sauvegarde, ainsi qu</w:t>
      </w:r>
      <w:r w:rsidR="009C104E">
        <w:rPr>
          <w:u w:val="none"/>
        </w:rPr>
        <w:t>’</w:t>
      </w:r>
      <w:r>
        <w:rPr>
          <w:u w:val="none"/>
        </w:rPr>
        <w:t xml:space="preserve">à </w:t>
      </w:r>
      <w:r w:rsidRPr="003F3BC6">
        <w:rPr>
          <w:u w:val="none"/>
        </w:rPr>
        <w:t>veiller à ce que les ressources nécessaires à un plan de sauvegarde à long terme soient identifiées</w:t>
      </w:r>
      <w:r>
        <w:rPr>
          <w:u w:val="none"/>
        </w:rPr>
        <w:t> ;</w:t>
      </w:r>
    </w:p>
    <w:p w14:paraId="748E1EFA" w14:textId="7A561DC4" w:rsidR="007F5B19" w:rsidRPr="00851C83" w:rsidRDefault="007F5B19" w:rsidP="00771F30">
      <w:pPr>
        <w:pStyle w:val="COMParaDecision"/>
        <w:numPr>
          <w:ilvl w:val="0"/>
          <w:numId w:val="18"/>
        </w:numPr>
        <w:tabs>
          <w:tab w:val="left" w:pos="1134"/>
        </w:tabs>
        <w:ind w:left="567" w:hanging="567"/>
        <w:rPr>
          <w:rFonts w:eastAsia="SimSun"/>
        </w:rPr>
      </w:pPr>
      <w:r w:rsidRPr="00B53679">
        <w:t>Prie</w:t>
      </w:r>
      <w:r w:rsidRPr="00B53679">
        <w:rPr>
          <w:u w:val="none"/>
        </w:rPr>
        <w:t xml:space="preserve"> le Secrétariat d</w:t>
      </w:r>
      <w:r w:rsidR="009C104E">
        <w:rPr>
          <w:u w:val="none"/>
        </w:rPr>
        <w:t>’</w:t>
      </w:r>
      <w:r w:rsidRPr="00B53679">
        <w:rPr>
          <w:u w:val="none"/>
        </w:rPr>
        <w:t>informer l</w:t>
      </w:r>
      <w:r w:rsidR="009C104E">
        <w:rPr>
          <w:u w:val="none"/>
        </w:rPr>
        <w:t>’</w:t>
      </w:r>
      <w:r w:rsidRPr="00B53679">
        <w:rPr>
          <w:u w:val="none"/>
        </w:rPr>
        <w:t>État partie, au moins neuf mois avant l</w:t>
      </w:r>
      <w:r w:rsidR="009C104E">
        <w:rPr>
          <w:u w:val="none"/>
        </w:rPr>
        <w:t>’</w:t>
      </w:r>
      <w:r w:rsidRPr="00B53679">
        <w:rPr>
          <w:u w:val="none"/>
        </w:rPr>
        <w:t>échéance du 15</w:t>
      </w:r>
      <w:r>
        <w:rPr>
          <w:u w:val="none"/>
        </w:rPr>
        <w:t> </w:t>
      </w:r>
      <w:r w:rsidRPr="00B53679">
        <w:rPr>
          <w:u w:val="none"/>
        </w:rPr>
        <w:t>décembre 2022, qu</w:t>
      </w:r>
      <w:r w:rsidR="009C104E">
        <w:rPr>
          <w:u w:val="none"/>
        </w:rPr>
        <w:t>’</w:t>
      </w:r>
      <w:r w:rsidRPr="00B53679">
        <w:rPr>
          <w:u w:val="none"/>
        </w:rPr>
        <w:t>il doit soumettre son prochain rapport sur l</w:t>
      </w:r>
      <w:r w:rsidR="009C104E">
        <w:rPr>
          <w:u w:val="none"/>
        </w:rPr>
        <w:t>’</w:t>
      </w:r>
      <w:r w:rsidRPr="00B53679">
        <w:rPr>
          <w:u w:val="none"/>
        </w:rPr>
        <w:t>état de cet élément.</w:t>
      </w:r>
    </w:p>
    <w:p w14:paraId="0B476545" w14:textId="52C084F2" w:rsidR="007F5B19" w:rsidRPr="00851C83" w:rsidRDefault="007F5B19" w:rsidP="007F5B19">
      <w:pPr>
        <w:pStyle w:val="COMTitleDecision"/>
        <w:spacing w:before="360"/>
        <w:ind w:left="0"/>
        <w:rPr>
          <w:bCs/>
        </w:rPr>
      </w:pPr>
      <w:r>
        <w:t xml:space="preserve">DÉCISION </w:t>
      </w:r>
      <w:r w:rsidRPr="00851C83">
        <w:rPr>
          <w:bCs/>
        </w:rPr>
        <w:t>14.COM 9.a.</w:t>
      </w:r>
      <w:r>
        <w:rPr>
          <w:bCs/>
        </w:rPr>
        <w:t>4</w:t>
      </w:r>
    </w:p>
    <w:p w14:paraId="4D04B2B3" w14:textId="77777777" w:rsidR="007F5B19" w:rsidRDefault="007F5B19" w:rsidP="007F5B19">
      <w:pPr>
        <w:pStyle w:val="COMPreambulaDecisions"/>
        <w:ind w:left="0"/>
      </w:pPr>
      <w:r>
        <w:t>Le Comité,</w:t>
      </w:r>
    </w:p>
    <w:p w14:paraId="4848646E" w14:textId="77777777" w:rsidR="007F5B19" w:rsidRPr="00CC49DA" w:rsidRDefault="007F5B19" w:rsidP="00B932EA">
      <w:pPr>
        <w:pStyle w:val="COMPreambulaDecisions"/>
        <w:keepNext w:val="0"/>
        <w:numPr>
          <w:ilvl w:val="0"/>
          <w:numId w:val="19"/>
        </w:numPr>
        <w:ind w:left="567" w:hanging="567"/>
        <w:rPr>
          <w:rFonts w:eastAsia="SimSun"/>
          <w:u w:val="single"/>
        </w:rPr>
      </w:pPr>
      <w:r w:rsidRPr="00851C83">
        <w:rPr>
          <w:rFonts w:eastAsia="SimSun"/>
          <w:u w:val="single"/>
        </w:rPr>
        <w:t>Ayant examiné</w:t>
      </w:r>
      <w:r w:rsidRPr="00B932EA">
        <w:rPr>
          <w:rFonts w:eastAsia="SimSun"/>
        </w:rPr>
        <w:t xml:space="preserve"> </w:t>
      </w:r>
      <w:r w:rsidRPr="00851C83">
        <w:rPr>
          <w:rFonts w:eastAsia="SimSun"/>
        </w:rPr>
        <w:t xml:space="preserve">le document </w:t>
      </w:r>
      <w:hyperlink r:id="rId39" w:history="1">
        <w:r w:rsidRPr="00CC49DA">
          <w:rPr>
            <w:rStyle w:val="Hyperlink"/>
            <w:rFonts w:eastAsia="SimSun"/>
          </w:rPr>
          <w:t>LHE/19/14.COM/9.a Rev.</w:t>
        </w:r>
      </w:hyperlink>
      <w:r w:rsidRPr="00B932EA">
        <w:rPr>
          <w:rStyle w:val="Hyperlink"/>
          <w:rFonts w:eastAsia="SimSun"/>
          <w:color w:val="auto"/>
          <w:u w:val="none"/>
        </w:rPr>
        <w:t>,</w:t>
      </w:r>
    </w:p>
    <w:p w14:paraId="1C419CEA" w14:textId="18E7CAC0" w:rsidR="007F5B19" w:rsidRPr="00F90057" w:rsidRDefault="007F5B19" w:rsidP="00B932EA">
      <w:pPr>
        <w:pStyle w:val="COMPreambulaDecisions"/>
        <w:keepNext w:val="0"/>
        <w:numPr>
          <w:ilvl w:val="0"/>
          <w:numId w:val="19"/>
        </w:numPr>
        <w:ind w:left="567" w:hanging="567"/>
      </w:pPr>
      <w:r w:rsidRPr="00FC4605">
        <w:rPr>
          <w:u w:val="single"/>
        </w:rPr>
        <w:t>Rappelant</w:t>
      </w:r>
      <w:r w:rsidRPr="004C7D40">
        <w:t xml:space="preserve"> le </w:t>
      </w:r>
      <w:r w:rsidR="0074046D">
        <w:t>c</w:t>
      </w:r>
      <w:r w:rsidR="0074046D" w:rsidRPr="004C7D40">
        <w:t xml:space="preserve">hapitre </w:t>
      </w:r>
      <w:r w:rsidRPr="004C7D40">
        <w:t xml:space="preserve">V des Directives opérationnelles et sa </w:t>
      </w:r>
      <w:hyperlink r:id="rId40" w:history="1">
        <w:r>
          <w:rPr>
            <w:rStyle w:val="Hyperlink"/>
          </w:rPr>
          <w:t>d</w:t>
        </w:r>
        <w:r w:rsidRPr="00CC4C7E">
          <w:rPr>
            <w:rStyle w:val="Hyperlink"/>
          </w:rPr>
          <w:t>écision</w:t>
        </w:r>
        <w:r>
          <w:rPr>
            <w:rStyle w:val="Hyperlink"/>
          </w:rPr>
          <w:t> </w:t>
        </w:r>
        <w:r w:rsidRPr="00CC4C7E">
          <w:rPr>
            <w:rStyle w:val="Hyperlink"/>
          </w:rPr>
          <w:t>9.COM 9.a.8</w:t>
        </w:r>
      </w:hyperlink>
      <w:r w:rsidRPr="004C7D40">
        <w:t>,</w:t>
      </w:r>
    </w:p>
    <w:p w14:paraId="1C2D8564" w14:textId="225A26EE" w:rsidR="007F5B19" w:rsidRPr="00F90057" w:rsidRDefault="007F5B19" w:rsidP="00B932EA">
      <w:pPr>
        <w:pStyle w:val="COMPreambulaDecisions"/>
        <w:keepNext w:val="0"/>
        <w:numPr>
          <w:ilvl w:val="0"/>
          <w:numId w:val="19"/>
        </w:numPr>
        <w:ind w:left="567" w:hanging="567"/>
      </w:pPr>
      <w:r w:rsidRPr="00FC4605">
        <w:rPr>
          <w:u w:val="single"/>
        </w:rPr>
        <w:t>Remercie</w:t>
      </w:r>
      <w:r w:rsidRPr="004C7D40">
        <w:t xml:space="preserve"> </w:t>
      </w:r>
      <w:r>
        <w:t>le</w:t>
      </w:r>
      <w:r w:rsidRPr="004C7D40">
        <w:t xml:space="preserve"> V</w:t>
      </w:r>
      <w:r>
        <w:t>e</w:t>
      </w:r>
      <w:r w:rsidRPr="004C7D40">
        <w:t>n</w:t>
      </w:r>
      <w:r>
        <w:t>e</w:t>
      </w:r>
      <w:r w:rsidRPr="004C7D40">
        <w:t xml:space="preserve">zuela </w:t>
      </w:r>
      <w:r>
        <w:t>d</w:t>
      </w:r>
      <w:r w:rsidR="009C104E">
        <w:t>’</w:t>
      </w:r>
      <w:r>
        <w:t>avoir soumis</w:t>
      </w:r>
      <w:r w:rsidRPr="004C7D40">
        <w:t>, dans les délais, son deuxième rapport sur l</w:t>
      </w:r>
      <w:r w:rsidR="009C104E">
        <w:t>’</w:t>
      </w:r>
      <w:r w:rsidRPr="004C7D40">
        <w:t>état de l</w:t>
      </w:r>
      <w:r w:rsidR="009C104E">
        <w:t>’</w:t>
      </w:r>
      <w:r w:rsidRPr="004C7D40">
        <w:t>élément « La tradition orale Mapoyo et ses points de référence symboliques dans leur territoire ancestral », inscrit en 2014 sur la Liste du patrimoine culturel immatériel nécessitant une sauvegarde urgente</w:t>
      </w:r>
      <w:r>
        <w:t> </w:t>
      </w:r>
      <w:r w:rsidRPr="004C7D40">
        <w:t>;</w:t>
      </w:r>
    </w:p>
    <w:p w14:paraId="196312A4" w14:textId="24557965" w:rsidR="007F5B19" w:rsidRPr="00F90057" w:rsidRDefault="007F5B19" w:rsidP="00B932EA">
      <w:pPr>
        <w:pStyle w:val="COMPreambulaDecisions"/>
        <w:keepNext w:val="0"/>
        <w:numPr>
          <w:ilvl w:val="0"/>
          <w:numId w:val="19"/>
        </w:numPr>
        <w:ind w:left="567" w:hanging="567"/>
      </w:pPr>
      <w:r w:rsidRPr="00FC4605">
        <w:rPr>
          <w:u w:val="single"/>
        </w:rPr>
        <w:t>Prend note</w:t>
      </w:r>
      <w:r>
        <w:t xml:space="preserve"> des efforts de sauvegarde déployés par le Venezuela pour sauvegarder l</w:t>
      </w:r>
      <w:r w:rsidR="009C104E">
        <w:t>’</w:t>
      </w:r>
      <w:r>
        <w:t>élément, en particulier l</w:t>
      </w:r>
      <w:r w:rsidR="009C104E">
        <w:t>’</w:t>
      </w:r>
      <w:r>
        <w:t xml:space="preserve">intégration de </w:t>
      </w:r>
      <w:r w:rsidRPr="00E026A7">
        <w:t>l</w:t>
      </w:r>
      <w:r w:rsidR="009C104E">
        <w:t>’</w:t>
      </w:r>
      <w:r w:rsidRPr="00426B43">
        <w:t>enseignement Mapoyo</w:t>
      </w:r>
      <w:r w:rsidRPr="00E15C17">
        <w:t xml:space="preserve"> dans les programmes scolaires, l</w:t>
      </w:r>
      <w:r w:rsidR="009C104E">
        <w:t>’</w:t>
      </w:r>
      <w:r w:rsidRPr="00E15C17">
        <w:t>amélioration de la transmission des connaissances</w:t>
      </w:r>
      <w:r>
        <w:t xml:space="preserve"> traditionnelles liées à la culture et à la nature, et la large participation des communautés dans la mise en œuvre du plan de sauvegarde ;</w:t>
      </w:r>
    </w:p>
    <w:p w14:paraId="08CED1BB" w14:textId="0060C9BE" w:rsidR="007F5B19" w:rsidRPr="00F90057" w:rsidRDefault="007F5B19" w:rsidP="00B932EA">
      <w:pPr>
        <w:pStyle w:val="COMPreambulaDecisions"/>
        <w:keepNext w:val="0"/>
        <w:numPr>
          <w:ilvl w:val="0"/>
          <w:numId w:val="19"/>
        </w:numPr>
        <w:ind w:left="567" w:hanging="567"/>
      </w:pPr>
      <w:r w:rsidRPr="00FC4605">
        <w:rPr>
          <w:u w:val="single"/>
        </w:rPr>
        <w:t>Invite</w:t>
      </w:r>
      <w:r>
        <w:t xml:space="preserve"> l</w:t>
      </w:r>
      <w:r w:rsidR="009C104E">
        <w:t>’</w:t>
      </w:r>
      <w:r>
        <w:t>État partie à poursuivre ses efforts de transmission des pratiques associées à l</w:t>
      </w:r>
      <w:r w:rsidR="009C104E">
        <w:t>’</w:t>
      </w:r>
      <w:r>
        <w:t>élément, notamment grâce à l</w:t>
      </w:r>
      <w:r w:rsidR="009C104E">
        <w:t>’</w:t>
      </w:r>
      <w:r>
        <w:t>éducation formelle et informelle, et à continuer à sensibiliser la société à la signification de l</w:t>
      </w:r>
      <w:r w:rsidR="009C104E">
        <w:t>’</w:t>
      </w:r>
      <w:r>
        <w:t>élément ;</w:t>
      </w:r>
    </w:p>
    <w:p w14:paraId="0150B699" w14:textId="0016872D" w:rsidR="007F5B19" w:rsidRPr="00426B43" w:rsidRDefault="007F5B19" w:rsidP="00B932EA">
      <w:pPr>
        <w:pStyle w:val="COMPreambulaDecisions"/>
        <w:keepNext w:val="0"/>
        <w:numPr>
          <w:ilvl w:val="0"/>
          <w:numId w:val="19"/>
        </w:numPr>
        <w:ind w:left="567" w:hanging="567"/>
      </w:pPr>
      <w:r w:rsidRPr="00FC4605">
        <w:rPr>
          <w:u w:val="single"/>
        </w:rPr>
        <w:t>Encourage</w:t>
      </w:r>
      <w:r w:rsidRPr="00C32EFA">
        <w:t xml:space="preserve"> l</w:t>
      </w:r>
      <w:r w:rsidR="009C104E">
        <w:t>’</w:t>
      </w:r>
      <w:r w:rsidRPr="00C32EFA">
        <w:t>État partie à renforcer la coopération avec les institutions publiques et non-gouvernementales afin de disposer d</w:t>
      </w:r>
      <w:r w:rsidR="009C104E">
        <w:t>’</w:t>
      </w:r>
      <w:r w:rsidRPr="00C32EFA">
        <w:t>outils méthodologiques permettant aux détenteurs de mieux transmettre l</w:t>
      </w:r>
      <w:r w:rsidR="009C104E">
        <w:t>’</w:t>
      </w:r>
      <w:r w:rsidRPr="00C32EFA">
        <w:t>élément</w:t>
      </w:r>
      <w:r>
        <w:t> ;</w:t>
      </w:r>
    </w:p>
    <w:p w14:paraId="1079BFE3" w14:textId="0F59F72D" w:rsidR="007F5B19" w:rsidRPr="00F90057" w:rsidRDefault="0074046D" w:rsidP="00B932EA">
      <w:pPr>
        <w:pStyle w:val="COMPreambulaDecisions"/>
        <w:keepNext w:val="0"/>
        <w:numPr>
          <w:ilvl w:val="0"/>
          <w:numId w:val="19"/>
        </w:numPr>
        <w:ind w:left="567" w:hanging="567"/>
      </w:pPr>
      <w:r w:rsidRPr="00FC4605">
        <w:rPr>
          <w:u w:val="single"/>
        </w:rPr>
        <w:t xml:space="preserve">Invite </w:t>
      </w:r>
      <w:r w:rsidR="007F5B19" w:rsidRPr="00FC4605">
        <w:rPr>
          <w:u w:val="single"/>
        </w:rPr>
        <w:t>en outre</w:t>
      </w:r>
      <w:r w:rsidR="007F5B19" w:rsidRPr="00C32EFA">
        <w:t xml:space="preserve"> l</w:t>
      </w:r>
      <w:r w:rsidR="009C104E">
        <w:t>’</w:t>
      </w:r>
      <w:r w:rsidR="007F5B19" w:rsidRPr="00C32EFA">
        <w:t xml:space="preserve">État partie à </w:t>
      </w:r>
      <w:r w:rsidR="007F5B19">
        <w:t xml:space="preserve">continuer le </w:t>
      </w:r>
      <w:r w:rsidR="007F5B19" w:rsidRPr="00C32EFA">
        <w:t xml:space="preserve">dialogue avec les institutions privées, en particulier les </w:t>
      </w:r>
      <w:r w:rsidR="007F5B19">
        <w:t>sociétés</w:t>
      </w:r>
      <w:r w:rsidR="007F5B19" w:rsidRPr="00C32EFA">
        <w:t xml:space="preserve"> minières, pour </w:t>
      </w:r>
      <w:r w:rsidR="007F5B19">
        <w:t>s</w:t>
      </w:r>
      <w:r w:rsidR="009C104E">
        <w:t>’</w:t>
      </w:r>
      <w:r w:rsidR="007F5B19" w:rsidRPr="00C32EFA">
        <w:t xml:space="preserve">assurer </w:t>
      </w:r>
      <w:r w:rsidR="007F5B19">
        <w:t xml:space="preserve">de leur engagement dans </w:t>
      </w:r>
      <w:r w:rsidR="007F5B19" w:rsidRPr="00C32EFA">
        <w:t>la mise en œuvre efficace du plan de sauvegarde</w:t>
      </w:r>
      <w:r w:rsidR="007F5B19">
        <w:t xml:space="preserve"> afin de remédier à la dégradation de l</w:t>
      </w:r>
      <w:r w:rsidR="009C104E">
        <w:t>’</w:t>
      </w:r>
      <w:r w:rsidR="007F5B19">
        <w:t>environnement et à la pollution, et assurer une utilisation durable des ressources naturelles tout en respectant les pratiques culturelles des communautés sur le territoire Mapoyo</w:t>
      </w:r>
      <w:r w:rsidR="007F5B19" w:rsidRPr="00C32EFA">
        <w:t> ;</w:t>
      </w:r>
    </w:p>
    <w:p w14:paraId="29C312B4" w14:textId="096C4182" w:rsidR="00851C83" w:rsidRPr="00851C83" w:rsidRDefault="007F5B19" w:rsidP="00B932EA">
      <w:pPr>
        <w:pStyle w:val="COMPreambulaDecisions"/>
        <w:keepNext w:val="0"/>
        <w:numPr>
          <w:ilvl w:val="0"/>
          <w:numId w:val="19"/>
        </w:numPr>
        <w:ind w:left="567" w:hanging="567"/>
      </w:pPr>
      <w:r w:rsidRPr="00FC4605">
        <w:rPr>
          <w:u w:val="single"/>
        </w:rPr>
        <w:t>Prie</w:t>
      </w:r>
      <w:r w:rsidRPr="00B53679">
        <w:t xml:space="preserve"> le Secrétariat d</w:t>
      </w:r>
      <w:r w:rsidR="009C104E">
        <w:t>’</w:t>
      </w:r>
      <w:r w:rsidRPr="00B53679">
        <w:t>informer l</w:t>
      </w:r>
      <w:r w:rsidR="009C104E">
        <w:t>’</w:t>
      </w:r>
      <w:r w:rsidRPr="00B53679">
        <w:t>État partie, au moins neuf mois avant l</w:t>
      </w:r>
      <w:r w:rsidR="009C104E">
        <w:t>’</w:t>
      </w:r>
      <w:r w:rsidRPr="00B53679">
        <w:t>échéance du 15</w:t>
      </w:r>
      <w:r>
        <w:t> </w:t>
      </w:r>
      <w:r w:rsidRPr="00B53679">
        <w:t>décembre 2022, qu</w:t>
      </w:r>
      <w:r w:rsidR="009C104E">
        <w:t>’</w:t>
      </w:r>
      <w:r w:rsidRPr="00B53679">
        <w:t>il doit soumettre son prochain rapport sur l</w:t>
      </w:r>
      <w:r w:rsidR="009C104E">
        <w:t>’</w:t>
      </w:r>
      <w:r w:rsidRPr="00B53679">
        <w:t>état de cet élément</w:t>
      </w:r>
      <w:r w:rsidR="00A27C05">
        <w:t>.</w:t>
      </w:r>
    </w:p>
    <w:p w14:paraId="3BB13AF3" w14:textId="77777777" w:rsidR="00E418D9" w:rsidRDefault="00E418D9" w:rsidP="00EA61FD">
      <w:pPr>
        <w:pStyle w:val="COMTitleDecision"/>
        <w:tabs>
          <w:tab w:val="left" w:pos="7938"/>
        </w:tabs>
        <w:spacing w:before="360"/>
        <w:ind w:left="0"/>
        <w:rPr>
          <w:rStyle w:val="PageNumber"/>
        </w:rPr>
      </w:pPr>
      <w:r>
        <w:rPr>
          <w:rStyle w:val="Aucun"/>
        </w:rPr>
        <w:t>DÉCISION 14.COM 9.b</w:t>
      </w:r>
    </w:p>
    <w:p w14:paraId="192F5D46" w14:textId="77777777" w:rsidR="00E418D9" w:rsidRDefault="00E418D9" w:rsidP="00E418D9">
      <w:pPr>
        <w:pStyle w:val="COMPreambulaDecisions"/>
        <w:tabs>
          <w:tab w:val="left" w:pos="7938"/>
        </w:tabs>
        <w:ind w:left="0"/>
        <w:rPr>
          <w:rStyle w:val="PageNumber"/>
        </w:rPr>
      </w:pPr>
      <w:r>
        <w:rPr>
          <w:rStyle w:val="Aucun"/>
        </w:rPr>
        <w:t>Le Comité,</w:t>
      </w:r>
    </w:p>
    <w:p w14:paraId="491A1242" w14:textId="77777777" w:rsidR="00E418D9" w:rsidRDefault="00E418D9" w:rsidP="00771F30">
      <w:pPr>
        <w:pStyle w:val="COMParaDecision"/>
        <w:numPr>
          <w:ilvl w:val="0"/>
          <w:numId w:val="22"/>
        </w:numPr>
        <w:pBdr>
          <w:top w:val="nil"/>
          <w:left w:val="nil"/>
          <w:bottom w:val="nil"/>
          <w:right w:val="nil"/>
          <w:between w:val="nil"/>
          <w:bar w:val="nil"/>
        </w:pBdr>
        <w:autoSpaceDE/>
        <w:autoSpaceDN/>
        <w:adjustRightInd/>
        <w:ind w:left="567" w:hanging="567"/>
      </w:pPr>
      <w:r>
        <w:rPr>
          <w:rStyle w:val="Aucun"/>
        </w:rPr>
        <w:t>Ayant examiné</w:t>
      </w:r>
      <w:r>
        <w:rPr>
          <w:rStyle w:val="Aucun"/>
          <w:u w:val="none"/>
        </w:rPr>
        <w:t xml:space="preserve"> le document </w:t>
      </w:r>
      <w:hyperlink r:id="rId41" w:history="1">
        <w:r w:rsidRPr="00CC49DA">
          <w:rPr>
            <w:rStyle w:val="Hyperlink"/>
          </w:rPr>
          <w:t>LHE/19/14.COM/9.b Rev.</w:t>
        </w:r>
      </w:hyperlink>
      <w:r w:rsidRPr="00A400B1">
        <w:rPr>
          <w:rStyle w:val="Hyperlink"/>
          <w:color w:val="auto"/>
          <w:u w:val="none"/>
        </w:rPr>
        <w:t>,</w:t>
      </w:r>
    </w:p>
    <w:p w14:paraId="083B40ED" w14:textId="25480B53" w:rsidR="00E418D9" w:rsidRDefault="00E418D9" w:rsidP="00771F30">
      <w:pPr>
        <w:pStyle w:val="COMParaDecision"/>
        <w:numPr>
          <w:ilvl w:val="0"/>
          <w:numId w:val="22"/>
        </w:numPr>
        <w:pBdr>
          <w:top w:val="nil"/>
          <w:left w:val="nil"/>
          <w:bottom w:val="nil"/>
          <w:right w:val="nil"/>
          <w:between w:val="nil"/>
          <w:bar w:val="nil"/>
        </w:pBdr>
        <w:autoSpaceDE/>
        <w:autoSpaceDN/>
        <w:adjustRightInd/>
        <w:ind w:left="567" w:hanging="567"/>
      </w:pPr>
      <w:r>
        <w:rPr>
          <w:rStyle w:val="Aucun"/>
        </w:rPr>
        <w:t>Rappelant</w:t>
      </w:r>
      <w:r>
        <w:rPr>
          <w:rStyle w:val="Aucun"/>
          <w:u w:val="none"/>
        </w:rPr>
        <w:t xml:space="preserve"> l</w:t>
      </w:r>
      <w:r w:rsidR="009C104E">
        <w:rPr>
          <w:rStyle w:val="Aucun"/>
          <w:u w:val="none"/>
        </w:rPr>
        <w:t>’</w:t>
      </w:r>
      <w:r>
        <w:rPr>
          <w:rStyle w:val="Aucun"/>
          <w:u w:val="none"/>
        </w:rPr>
        <w:t>article 24.3 de la Convention,</w:t>
      </w:r>
    </w:p>
    <w:p w14:paraId="64367A7E" w14:textId="57596824" w:rsidR="00E418D9" w:rsidRDefault="00E418D9" w:rsidP="00771F30">
      <w:pPr>
        <w:pStyle w:val="COMParaDecision"/>
        <w:numPr>
          <w:ilvl w:val="0"/>
          <w:numId w:val="22"/>
        </w:numPr>
        <w:pBdr>
          <w:top w:val="nil"/>
          <w:left w:val="nil"/>
          <w:bottom w:val="nil"/>
          <w:right w:val="nil"/>
          <w:between w:val="nil"/>
          <w:bar w:val="nil"/>
        </w:pBdr>
        <w:autoSpaceDE/>
        <w:autoSpaceDN/>
        <w:adjustRightInd/>
        <w:ind w:left="567" w:hanging="567"/>
      </w:pPr>
      <w:r>
        <w:rPr>
          <w:rStyle w:val="Aucun"/>
        </w:rPr>
        <w:t>Constate avec satisfaction</w:t>
      </w:r>
      <w:r>
        <w:rPr>
          <w:rStyle w:val="Aucun"/>
          <w:u w:val="none"/>
        </w:rPr>
        <w:t xml:space="preserve"> que des pays du groupe électoral V(a) continuent d</w:t>
      </w:r>
      <w:r w:rsidR="009C104E">
        <w:rPr>
          <w:rStyle w:val="Aucun"/>
          <w:u w:val="none"/>
        </w:rPr>
        <w:t>’</w:t>
      </w:r>
      <w:r>
        <w:rPr>
          <w:rStyle w:val="Aucun"/>
          <w:u w:val="none"/>
        </w:rPr>
        <w:t>être les principaux bénéficiaires de l</w:t>
      </w:r>
      <w:r w:rsidR="009C104E">
        <w:rPr>
          <w:rStyle w:val="Aucun"/>
          <w:u w:val="none"/>
        </w:rPr>
        <w:t>’</w:t>
      </w:r>
      <w:r>
        <w:rPr>
          <w:rStyle w:val="Aucun"/>
          <w:u w:val="none"/>
        </w:rPr>
        <w:t xml:space="preserve">assistance internationale du Fonds du patrimoine culturel immatériel conformément à la Priorité globale Afrique, </w:t>
      </w:r>
      <w:r>
        <w:rPr>
          <w:rStyle w:val="Aucun"/>
        </w:rPr>
        <w:t>félicite</w:t>
      </w:r>
      <w:r>
        <w:rPr>
          <w:rStyle w:val="Aucun"/>
          <w:u w:val="none"/>
        </w:rPr>
        <w:t xml:space="preserve"> les États bénéficiant de l</w:t>
      </w:r>
      <w:r w:rsidR="009C104E">
        <w:rPr>
          <w:rStyle w:val="Aucun"/>
          <w:u w:val="none"/>
        </w:rPr>
        <w:t>’</w:t>
      </w:r>
      <w:r>
        <w:rPr>
          <w:rStyle w:val="Aucun"/>
          <w:u w:val="none"/>
        </w:rPr>
        <w:t xml:space="preserve">assistance internationale pour la première fois, et </w:t>
      </w:r>
      <w:r>
        <w:rPr>
          <w:rStyle w:val="Aucun"/>
        </w:rPr>
        <w:t>encourage</w:t>
      </w:r>
      <w:r>
        <w:rPr>
          <w:rStyle w:val="Aucun"/>
          <w:u w:val="none"/>
        </w:rPr>
        <w:t xml:space="preserve"> les États qui n</w:t>
      </w:r>
      <w:r w:rsidR="009C104E">
        <w:rPr>
          <w:rStyle w:val="Aucun"/>
          <w:u w:val="none"/>
        </w:rPr>
        <w:t>’</w:t>
      </w:r>
      <w:r>
        <w:rPr>
          <w:rStyle w:val="Aucun"/>
          <w:u w:val="none"/>
        </w:rPr>
        <w:t>en ont jamais bénéficié à considérer ce mécanisme d</w:t>
      </w:r>
      <w:r w:rsidR="009C104E">
        <w:rPr>
          <w:rStyle w:val="Aucun"/>
          <w:u w:val="none"/>
        </w:rPr>
        <w:t>’</w:t>
      </w:r>
      <w:r>
        <w:rPr>
          <w:rStyle w:val="Aucun"/>
          <w:u w:val="none"/>
        </w:rPr>
        <w:t>assistance dans leurs efforts de sauvegarde du patrimoine culturel immatériel présent sur leur territoire ;</w:t>
      </w:r>
    </w:p>
    <w:p w14:paraId="19062F08" w14:textId="3653C198" w:rsidR="00E418D9" w:rsidRDefault="00E418D9" w:rsidP="00771F30">
      <w:pPr>
        <w:pStyle w:val="COMParaDecision"/>
        <w:numPr>
          <w:ilvl w:val="0"/>
          <w:numId w:val="22"/>
        </w:numPr>
        <w:pBdr>
          <w:top w:val="nil"/>
          <w:left w:val="nil"/>
          <w:bottom w:val="nil"/>
          <w:right w:val="nil"/>
          <w:between w:val="nil"/>
          <w:bar w:val="nil"/>
        </w:pBdr>
        <w:autoSpaceDE/>
        <w:autoSpaceDN/>
        <w:adjustRightInd/>
        <w:ind w:left="567" w:hanging="567"/>
      </w:pPr>
      <w:r>
        <w:rPr>
          <w:rStyle w:val="Aucun"/>
        </w:rPr>
        <w:t>Remercie</w:t>
      </w:r>
      <w:r>
        <w:rPr>
          <w:rStyle w:val="Aucun"/>
          <w:u w:val="none"/>
        </w:rPr>
        <w:t xml:space="preserve"> les États bénéficiaires d</w:t>
      </w:r>
      <w:r w:rsidR="009C104E">
        <w:rPr>
          <w:rStyle w:val="Aucun"/>
          <w:u w:val="none"/>
        </w:rPr>
        <w:t>’</w:t>
      </w:r>
      <w:r>
        <w:rPr>
          <w:rStyle w:val="Aucun"/>
          <w:u w:val="none"/>
        </w:rPr>
        <w:t>avoir soumis dans les délais les rapports finaux ou d</w:t>
      </w:r>
      <w:r w:rsidR="009C104E">
        <w:rPr>
          <w:rStyle w:val="Aucun"/>
          <w:u w:val="none"/>
        </w:rPr>
        <w:t>’</w:t>
      </w:r>
      <w:r>
        <w:rPr>
          <w:rStyle w:val="Aucun"/>
          <w:u w:val="none"/>
        </w:rPr>
        <w:t>avancement des projets bénéficiant de l</w:t>
      </w:r>
      <w:r w:rsidR="009C104E">
        <w:rPr>
          <w:rStyle w:val="Aucun"/>
          <w:u w:val="none"/>
        </w:rPr>
        <w:t>’</w:t>
      </w:r>
      <w:r>
        <w:rPr>
          <w:rStyle w:val="Aucun"/>
          <w:u w:val="none"/>
        </w:rPr>
        <w:t xml:space="preserve">assistance internationale au titre du Fonds du patrimoine culturel immatériel, et </w:t>
      </w:r>
      <w:r>
        <w:rPr>
          <w:rStyle w:val="Aucun"/>
        </w:rPr>
        <w:t>demande</w:t>
      </w:r>
      <w:r>
        <w:rPr>
          <w:rStyle w:val="Aucun"/>
          <w:u w:val="none"/>
        </w:rPr>
        <w:t xml:space="preserve"> en même temps aux États bénéficiaires ayant pris du retard dans la mise en œuvre des projets de prendre des mesures correctives pour respecter les délais et leurs obligations en matière de rapport ;</w:t>
      </w:r>
    </w:p>
    <w:p w14:paraId="1D471808" w14:textId="59750BDD" w:rsidR="00E418D9" w:rsidRDefault="00E418D9" w:rsidP="00771F30">
      <w:pPr>
        <w:pStyle w:val="COMParaDecision"/>
        <w:numPr>
          <w:ilvl w:val="0"/>
          <w:numId w:val="22"/>
        </w:numPr>
        <w:pBdr>
          <w:top w:val="nil"/>
          <w:left w:val="nil"/>
          <w:bottom w:val="nil"/>
          <w:right w:val="nil"/>
          <w:between w:val="nil"/>
          <w:bar w:val="nil"/>
        </w:pBdr>
        <w:autoSpaceDE/>
        <w:autoSpaceDN/>
        <w:adjustRightInd/>
        <w:ind w:left="567" w:hanging="567"/>
      </w:pPr>
      <w:r>
        <w:rPr>
          <w:rStyle w:val="Aucun"/>
        </w:rPr>
        <w:t>Apprécie</w:t>
      </w:r>
      <w:r>
        <w:rPr>
          <w:rStyle w:val="Aucun"/>
          <w:u w:val="none"/>
        </w:rPr>
        <w:t xml:space="preserve"> l</w:t>
      </w:r>
      <w:r w:rsidR="009C104E">
        <w:rPr>
          <w:rStyle w:val="Aucun"/>
          <w:u w:val="none"/>
        </w:rPr>
        <w:t>’</w:t>
      </w:r>
      <w:r>
        <w:rPr>
          <w:rStyle w:val="Aucun"/>
          <w:u w:val="none"/>
        </w:rPr>
        <w:t>élargissement des activités et thématiques des projets financés par le Fonds ainsi que l</w:t>
      </w:r>
      <w:r w:rsidR="009C104E">
        <w:rPr>
          <w:rStyle w:val="Aucun"/>
          <w:u w:val="none"/>
        </w:rPr>
        <w:t>’</w:t>
      </w:r>
      <w:r>
        <w:rPr>
          <w:rStyle w:val="Aucun"/>
          <w:u w:val="none"/>
        </w:rPr>
        <w:t>impact de l</w:t>
      </w:r>
      <w:r w:rsidR="009C104E">
        <w:rPr>
          <w:rStyle w:val="Aucun"/>
          <w:u w:val="none"/>
        </w:rPr>
        <w:t>’</w:t>
      </w:r>
      <w:r>
        <w:rPr>
          <w:rStyle w:val="Aucun"/>
          <w:u w:val="none"/>
        </w:rPr>
        <w:t xml:space="preserve">assistance sur les communautés bénéficiaires, dont elle assure la visibilité du patrimoine culturel immatériel, et sur les États, dont elle renforce les capacités de sauvegarde, et </w:t>
      </w:r>
      <w:r>
        <w:rPr>
          <w:rStyle w:val="Aucun"/>
        </w:rPr>
        <w:t>encourage en outre</w:t>
      </w:r>
      <w:r>
        <w:rPr>
          <w:rStyle w:val="Aucun"/>
          <w:u w:val="none"/>
        </w:rPr>
        <w:t xml:space="preserve"> ces derniers à continuer à veiller à la durabilité et à l</w:t>
      </w:r>
      <w:r w:rsidR="009C104E">
        <w:rPr>
          <w:rStyle w:val="Aucun"/>
          <w:u w:val="none"/>
        </w:rPr>
        <w:t>’</w:t>
      </w:r>
      <w:r>
        <w:rPr>
          <w:rStyle w:val="Aucun"/>
          <w:u w:val="none"/>
        </w:rPr>
        <w:t>amélioration des résultats des projets ;</w:t>
      </w:r>
    </w:p>
    <w:p w14:paraId="4B71A161" w14:textId="36F50D20" w:rsidR="00E418D9" w:rsidRDefault="00E418D9" w:rsidP="00771F30">
      <w:pPr>
        <w:pStyle w:val="COMParaDecision"/>
        <w:numPr>
          <w:ilvl w:val="0"/>
          <w:numId w:val="22"/>
        </w:numPr>
        <w:pBdr>
          <w:top w:val="nil"/>
          <w:left w:val="nil"/>
          <w:bottom w:val="nil"/>
          <w:right w:val="nil"/>
          <w:between w:val="nil"/>
          <w:bar w:val="nil"/>
        </w:pBdr>
        <w:autoSpaceDE/>
        <w:autoSpaceDN/>
        <w:adjustRightInd/>
        <w:ind w:left="567" w:hanging="567"/>
      </w:pPr>
      <w:r>
        <w:rPr>
          <w:rStyle w:val="Aucun"/>
        </w:rPr>
        <w:t xml:space="preserve">Encourage également </w:t>
      </w:r>
      <w:r>
        <w:rPr>
          <w:rStyle w:val="Aucun"/>
          <w:u w:val="none"/>
        </w:rPr>
        <w:t>les États parties à continuer de profiter de l</w:t>
      </w:r>
      <w:r w:rsidR="009C104E">
        <w:rPr>
          <w:rStyle w:val="Aucun"/>
          <w:u w:val="none"/>
        </w:rPr>
        <w:t>’</w:t>
      </w:r>
      <w:r>
        <w:rPr>
          <w:rStyle w:val="Aucun"/>
          <w:u w:val="none"/>
        </w:rPr>
        <w:t>assistance technique mise en place par le Secrétariat, qui vise à améliorer la qualité des demandes d</w:t>
      </w:r>
      <w:r w:rsidR="009C104E">
        <w:rPr>
          <w:rStyle w:val="Aucun"/>
          <w:u w:val="none"/>
        </w:rPr>
        <w:t>’</w:t>
      </w:r>
      <w:r>
        <w:rPr>
          <w:rStyle w:val="Aucun"/>
          <w:u w:val="none"/>
        </w:rPr>
        <w:t>assistance internationale, en particulier pour les États parties confrontés à des difficultés récurrentes dans la révision des demandes renvoyées par le Bureau ou le Comité ;</w:t>
      </w:r>
    </w:p>
    <w:p w14:paraId="6148E219" w14:textId="227DAB3A" w:rsidR="00E418D9" w:rsidRDefault="00E418D9" w:rsidP="00771F30">
      <w:pPr>
        <w:pStyle w:val="COMParaDecision"/>
        <w:numPr>
          <w:ilvl w:val="0"/>
          <w:numId w:val="22"/>
        </w:numPr>
        <w:pBdr>
          <w:top w:val="nil"/>
          <w:left w:val="nil"/>
          <w:bottom w:val="nil"/>
          <w:right w:val="nil"/>
          <w:between w:val="nil"/>
          <w:bar w:val="nil"/>
        </w:pBdr>
        <w:autoSpaceDE/>
        <w:autoSpaceDN/>
        <w:adjustRightInd/>
        <w:ind w:left="567" w:hanging="567"/>
      </w:pPr>
      <w:r>
        <w:rPr>
          <w:rStyle w:val="Aucun"/>
        </w:rPr>
        <w:t>Note avec satisfaction</w:t>
      </w:r>
      <w:r>
        <w:rPr>
          <w:rStyle w:val="Aucun"/>
          <w:u w:val="none"/>
        </w:rPr>
        <w:t xml:space="preserve"> la poursuite du soutien du Fonds du patrimoine culturel immatériel à l</w:t>
      </w:r>
      <w:r w:rsidR="009C104E">
        <w:rPr>
          <w:rStyle w:val="Aucun"/>
          <w:u w:val="none"/>
        </w:rPr>
        <w:t>’</w:t>
      </w:r>
      <w:r>
        <w:rPr>
          <w:rStyle w:val="Aucun"/>
          <w:u w:val="none"/>
        </w:rPr>
        <w:t>assistance internationale d</w:t>
      </w:r>
      <w:r w:rsidR="009C104E">
        <w:rPr>
          <w:rStyle w:val="Aucun"/>
          <w:u w:val="none"/>
        </w:rPr>
        <w:t>’</w:t>
      </w:r>
      <w:r>
        <w:rPr>
          <w:rStyle w:val="Aucun"/>
          <w:u w:val="none"/>
        </w:rPr>
        <w:t xml:space="preserve">urgence et </w:t>
      </w:r>
      <w:r>
        <w:rPr>
          <w:rStyle w:val="Aucun"/>
        </w:rPr>
        <w:t>encourage par ailleurs</w:t>
      </w:r>
      <w:r>
        <w:rPr>
          <w:rStyle w:val="Aucun"/>
          <w:u w:val="none"/>
        </w:rPr>
        <w:t xml:space="preserve"> les États parties menant actuellement des projets à cette fin à poursuivre les efforts de paix et de cohésion entre les communautés grâce au patrimoine culturel immatériel ;</w:t>
      </w:r>
    </w:p>
    <w:p w14:paraId="4416CD72" w14:textId="1EF0AA90" w:rsidR="00E418D9" w:rsidRDefault="00E418D9" w:rsidP="00771F30">
      <w:pPr>
        <w:pStyle w:val="COMParaDecision"/>
        <w:numPr>
          <w:ilvl w:val="0"/>
          <w:numId w:val="22"/>
        </w:numPr>
        <w:pBdr>
          <w:top w:val="nil"/>
          <w:left w:val="nil"/>
          <w:bottom w:val="nil"/>
          <w:right w:val="nil"/>
          <w:between w:val="nil"/>
          <w:bar w:val="nil"/>
        </w:pBdr>
        <w:autoSpaceDE/>
        <w:autoSpaceDN/>
        <w:adjustRightInd/>
        <w:ind w:left="567" w:hanging="567"/>
      </w:pPr>
      <w:r>
        <w:rPr>
          <w:rStyle w:val="Aucun"/>
        </w:rPr>
        <w:t>Exprime son soutien</w:t>
      </w:r>
      <w:r>
        <w:rPr>
          <w:rStyle w:val="Aucun"/>
          <w:u w:val="none"/>
        </w:rPr>
        <w:t xml:space="preserve"> pour l</w:t>
      </w:r>
      <w:r w:rsidR="009C104E">
        <w:rPr>
          <w:rStyle w:val="Aucun"/>
          <w:u w:val="none"/>
        </w:rPr>
        <w:t>’</w:t>
      </w:r>
      <w:r>
        <w:rPr>
          <w:rStyle w:val="Aucun"/>
          <w:u w:val="none"/>
        </w:rPr>
        <w:t>utilisation continue de la modalité de prestation de services prévue à l</w:t>
      </w:r>
      <w:r w:rsidR="009C104E">
        <w:rPr>
          <w:rStyle w:val="Aucun"/>
          <w:u w:val="none"/>
        </w:rPr>
        <w:t>’</w:t>
      </w:r>
      <w:r>
        <w:rPr>
          <w:rStyle w:val="Aucun"/>
          <w:u w:val="none"/>
        </w:rPr>
        <w:t>article 21 (a) à (f), en tant que modalité complémentaire et alternative à la fourniture d</w:t>
      </w:r>
      <w:r w:rsidR="009C104E">
        <w:rPr>
          <w:rStyle w:val="Aucun"/>
          <w:u w:val="none"/>
        </w:rPr>
        <w:t>’</w:t>
      </w:r>
      <w:r>
        <w:rPr>
          <w:rStyle w:val="Aucun"/>
          <w:u w:val="none"/>
        </w:rPr>
        <w:t>aides financières ;</w:t>
      </w:r>
    </w:p>
    <w:p w14:paraId="39D46BA0" w14:textId="6057A5BC" w:rsidR="00E418D9" w:rsidRPr="007A101D" w:rsidRDefault="00E418D9" w:rsidP="00771F30">
      <w:pPr>
        <w:pStyle w:val="COMParaDecision"/>
        <w:numPr>
          <w:ilvl w:val="0"/>
          <w:numId w:val="22"/>
        </w:numPr>
        <w:pBdr>
          <w:top w:val="nil"/>
          <w:left w:val="nil"/>
          <w:bottom w:val="nil"/>
          <w:right w:val="nil"/>
          <w:between w:val="nil"/>
          <w:bar w:val="nil"/>
        </w:pBdr>
        <w:autoSpaceDE/>
        <w:autoSpaceDN/>
        <w:adjustRightInd/>
        <w:ind w:left="567" w:hanging="567"/>
        <w:rPr>
          <w:rStyle w:val="Aucun"/>
          <w:u w:val="none"/>
        </w:rPr>
      </w:pPr>
      <w:r>
        <w:rPr>
          <w:rStyle w:val="Aucun"/>
        </w:rPr>
        <w:t xml:space="preserve">Prend note </w:t>
      </w:r>
      <w:r w:rsidRPr="007A101D">
        <w:rPr>
          <w:rStyle w:val="Aucun"/>
          <w:u w:val="none"/>
        </w:rPr>
        <w:t>que de multiples soumissions d</w:t>
      </w:r>
      <w:r w:rsidR="009C104E">
        <w:rPr>
          <w:rStyle w:val="Aucun"/>
          <w:u w:val="none"/>
        </w:rPr>
        <w:t>’</w:t>
      </w:r>
      <w:r w:rsidRPr="007A101D">
        <w:rPr>
          <w:rStyle w:val="Aucun"/>
          <w:u w:val="none"/>
        </w:rPr>
        <w:t xml:space="preserve">assistance internationale continuent à être envoyées et </w:t>
      </w:r>
      <w:r>
        <w:rPr>
          <w:rStyle w:val="Aucun"/>
        </w:rPr>
        <w:t>demande en outre</w:t>
      </w:r>
      <w:r w:rsidRPr="007A101D">
        <w:rPr>
          <w:rStyle w:val="Aucun"/>
          <w:u w:val="none"/>
        </w:rPr>
        <w:t xml:space="preserve"> au Secrétariat de continuer à effectuer un suivi attentif de la situation et à en rendre compte à la quinzième session du Comité.</w:t>
      </w:r>
    </w:p>
    <w:p w14:paraId="73BAC7AD" w14:textId="77777777" w:rsidR="00A2355A" w:rsidRDefault="00A2355A" w:rsidP="00B932EA">
      <w:pPr>
        <w:pStyle w:val="COMTitleDecision"/>
        <w:spacing w:before="360"/>
        <w:ind w:left="-11"/>
        <w:rPr>
          <w:b w:val="0"/>
          <w:i/>
        </w:rPr>
      </w:pPr>
      <w:r w:rsidRPr="00C55373">
        <w:t>DÉCISION 1</w:t>
      </w:r>
      <w:r>
        <w:t>4</w:t>
      </w:r>
      <w:r w:rsidRPr="00C55373">
        <w:t>.COM 10</w:t>
      </w:r>
      <w:r>
        <w:t xml:space="preserve"> </w:t>
      </w:r>
    </w:p>
    <w:p w14:paraId="5F8B3162" w14:textId="77777777" w:rsidR="00A2355A" w:rsidRPr="00B74622" w:rsidRDefault="00A2355A" w:rsidP="00F81092">
      <w:pPr>
        <w:pStyle w:val="COMPreambulaDecisions"/>
        <w:ind w:left="0"/>
      </w:pPr>
      <w:r>
        <w:t>Le Comité</w:t>
      </w:r>
      <w:r w:rsidRPr="00B74622">
        <w:t>,</w:t>
      </w:r>
    </w:p>
    <w:p w14:paraId="79F25EFB" w14:textId="77777777" w:rsidR="00A2355A" w:rsidRPr="00B74622" w:rsidRDefault="00A2355A" w:rsidP="00F43657">
      <w:pPr>
        <w:pStyle w:val="COMParaDecision"/>
        <w:numPr>
          <w:ilvl w:val="0"/>
          <w:numId w:val="7"/>
        </w:numPr>
        <w:tabs>
          <w:tab w:val="clear" w:pos="720"/>
        </w:tabs>
        <w:ind w:left="567" w:hanging="567"/>
        <w:rPr>
          <w:u w:val="none"/>
        </w:rPr>
      </w:pPr>
      <w:r w:rsidRPr="00C55373">
        <w:t>Rappelant</w:t>
      </w:r>
      <w:r w:rsidRPr="00C55373">
        <w:rPr>
          <w:u w:val="none"/>
        </w:rPr>
        <w:t xml:space="preserve"> le chapitre I des Directives opérationnelles</w:t>
      </w:r>
      <w:r w:rsidRPr="00B74622">
        <w:rPr>
          <w:u w:val="none"/>
        </w:rPr>
        <w:t>,</w:t>
      </w:r>
    </w:p>
    <w:p w14:paraId="6232AFFA" w14:textId="762FD40A" w:rsidR="00A2355A" w:rsidRPr="00B74622" w:rsidRDefault="00A2355A" w:rsidP="00F43657">
      <w:pPr>
        <w:pStyle w:val="COMParaDecision"/>
        <w:numPr>
          <w:ilvl w:val="0"/>
          <w:numId w:val="7"/>
        </w:numPr>
        <w:ind w:left="567" w:hanging="567"/>
        <w:rPr>
          <w:u w:val="none"/>
        </w:rPr>
      </w:pPr>
      <w:r w:rsidRPr="00626B9A">
        <w:rPr>
          <w:spacing w:val="10"/>
          <w:kern w:val="22"/>
        </w:rPr>
        <w:t>Ayant examiné</w:t>
      </w:r>
      <w:r w:rsidRPr="00626B9A">
        <w:rPr>
          <w:spacing w:val="10"/>
          <w:kern w:val="22"/>
          <w:u w:val="none"/>
        </w:rPr>
        <w:t xml:space="preserve"> les </w:t>
      </w:r>
      <w:r w:rsidRPr="00EC61AD">
        <w:rPr>
          <w:spacing w:val="10"/>
          <w:kern w:val="22"/>
          <w:u w:val="none"/>
        </w:rPr>
        <w:t xml:space="preserve">documents </w:t>
      </w:r>
      <w:hyperlink r:id="rId42" w:history="1">
        <w:r w:rsidRPr="00EC61AD">
          <w:rPr>
            <w:rStyle w:val="Hyperlink"/>
            <w:spacing w:val="10"/>
            <w:kern w:val="22"/>
          </w:rPr>
          <w:t>LHE/19/14.COM/10</w:t>
        </w:r>
      </w:hyperlink>
      <w:r w:rsidRPr="00EC61AD">
        <w:rPr>
          <w:spacing w:val="10"/>
          <w:kern w:val="22"/>
          <w:u w:val="none"/>
        </w:rPr>
        <w:t>,</w:t>
      </w:r>
      <w:r w:rsidRPr="00626B9A">
        <w:rPr>
          <w:spacing w:val="10"/>
          <w:kern w:val="22"/>
          <w:u w:val="none"/>
        </w:rPr>
        <w:t xml:space="preserve"> </w:t>
      </w:r>
      <w:hyperlink r:id="rId43" w:history="1">
        <w:r w:rsidR="00F43657" w:rsidRPr="00F43657">
          <w:rPr>
            <w:rStyle w:val="Hyperlink"/>
            <w:spacing w:val="10"/>
            <w:kern w:val="22"/>
          </w:rPr>
          <w:t>LHE/19/14.COM/10.a Add.</w:t>
        </w:r>
      </w:hyperlink>
      <w:r w:rsidRPr="00F43657">
        <w:rPr>
          <w:spacing w:val="10"/>
          <w:kern w:val="22"/>
          <w:u w:val="none"/>
        </w:rPr>
        <w:t xml:space="preserve">, </w:t>
      </w:r>
      <w:hyperlink r:id="rId44" w:history="1">
        <w:r w:rsidR="00F43657" w:rsidRPr="00F43657">
          <w:rPr>
            <w:rStyle w:val="Hyperlink"/>
            <w:spacing w:val="10"/>
            <w:kern w:val="22"/>
          </w:rPr>
          <w:t>LHE/19/14.COM/10.b Add.2</w:t>
        </w:r>
      </w:hyperlink>
      <w:r w:rsidRPr="00F43657">
        <w:rPr>
          <w:spacing w:val="10"/>
          <w:u w:val="none"/>
        </w:rPr>
        <w:t xml:space="preserve">, </w:t>
      </w:r>
      <w:hyperlink r:id="rId45" w:history="1">
        <w:r w:rsidR="00F43657" w:rsidRPr="00F43657">
          <w:rPr>
            <w:rStyle w:val="Hyperlink"/>
            <w:spacing w:val="10"/>
          </w:rPr>
          <w:t>LHE/19/14.COM/10.c</w:t>
        </w:r>
        <w:r w:rsidR="00F43657">
          <w:rPr>
            <w:rStyle w:val="Hyperlink"/>
            <w:spacing w:val="10"/>
          </w:rPr>
          <w:t> </w:t>
        </w:r>
        <w:r w:rsidR="00F43657" w:rsidRPr="00F43657">
          <w:rPr>
            <w:rStyle w:val="Hyperlink"/>
            <w:spacing w:val="10"/>
          </w:rPr>
          <w:t>Add</w:t>
        </w:r>
      </w:hyperlink>
      <w:r w:rsidRPr="00EC61AD">
        <w:rPr>
          <w:spacing w:val="10"/>
          <w:u w:val="none"/>
        </w:rPr>
        <w:t>,</w:t>
      </w:r>
      <w:r w:rsidRPr="00626B9A">
        <w:rPr>
          <w:spacing w:val="10"/>
          <w:u w:val="none"/>
        </w:rPr>
        <w:t xml:space="preserve"> </w:t>
      </w:r>
      <w:hyperlink r:id="rId46" w:history="1">
        <w:r w:rsidRPr="00EC61AD">
          <w:rPr>
            <w:rStyle w:val="Hyperlink"/>
            <w:spacing w:val="10"/>
          </w:rPr>
          <w:t>LHE/19/14.COM/10.d</w:t>
        </w:r>
      </w:hyperlink>
      <w:r w:rsidRPr="00626B9A">
        <w:rPr>
          <w:spacing w:val="10"/>
          <w:u w:val="none"/>
        </w:rPr>
        <w:t xml:space="preserve"> et</w:t>
      </w:r>
      <w:r w:rsidRPr="00B74622">
        <w:rPr>
          <w:u w:val="none"/>
        </w:rPr>
        <w:t xml:space="preserve"> </w:t>
      </w:r>
      <w:hyperlink r:id="rId47" w:history="1">
        <w:r w:rsidRPr="00EC61AD">
          <w:rPr>
            <w:rStyle w:val="Hyperlink"/>
            <w:spacing w:val="10"/>
            <w:kern w:val="22"/>
          </w:rPr>
          <w:t>LHE/19/14.COM/INF.10</w:t>
        </w:r>
      </w:hyperlink>
      <w:r w:rsidRPr="00EC61AD">
        <w:rPr>
          <w:u w:val="none"/>
        </w:rPr>
        <w:t>,</w:t>
      </w:r>
      <w:r w:rsidRPr="00B74622">
        <w:rPr>
          <w:u w:val="none"/>
        </w:rPr>
        <w:t xml:space="preserve"> </w:t>
      </w:r>
      <w:r w:rsidRPr="00C55373">
        <w:rPr>
          <w:u w:val="none"/>
        </w:rPr>
        <w:t>ainsi que les dossiers soumis par les États parties,</w:t>
      </w:r>
    </w:p>
    <w:p w14:paraId="4D960022" w14:textId="77777777" w:rsidR="00A2355A" w:rsidRPr="00B74622" w:rsidRDefault="00A2355A" w:rsidP="00F43657">
      <w:pPr>
        <w:pStyle w:val="COMParaDecision"/>
        <w:numPr>
          <w:ilvl w:val="0"/>
          <w:numId w:val="7"/>
        </w:numPr>
        <w:ind w:left="567" w:hanging="567"/>
        <w:rPr>
          <w:u w:val="none"/>
        </w:rPr>
      </w:pPr>
      <w:r w:rsidRPr="00C55373">
        <w:t>Exprime sa satisfaction</w:t>
      </w:r>
      <w:r w:rsidRPr="00C55373">
        <w:rPr>
          <w:u w:val="none"/>
        </w:rPr>
        <w:t xml:space="preserve"> pour le travail de l</w:t>
      </w:r>
      <w:r>
        <w:rPr>
          <w:u w:val="none"/>
        </w:rPr>
        <w:t>’</w:t>
      </w:r>
      <w:r w:rsidRPr="00C55373">
        <w:rPr>
          <w:u w:val="none"/>
        </w:rPr>
        <w:t>Organe d</w:t>
      </w:r>
      <w:r>
        <w:rPr>
          <w:u w:val="none"/>
        </w:rPr>
        <w:t>’</w:t>
      </w:r>
      <w:r w:rsidRPr="00C55373">
        <w:rPr>
          <w:u w:val="none"/>
        </w:rPr>
        <w:t xml:space="preserve">évaluation, </w:t>
      </w:r>
      <w:r w:rsidRPr="00C55373">
        <w:t>remercie</w:t>
      </w:r>
      <w:r w:rsidRPr="00C55373">
        <w:rPr>
          <w:u w:val="none"/>
        </w:rPr>
        <w:t xml:space="preserve"> ses membres pour la qualité du présent rapport et </w:t>
      </w:r>
      <w:r w:rsidRPr="00C55373">
        <w:t>apprécie</w:t>
      </w:r>
      <w:r w:rsidRPr="00C55373">
        <w:rPr>
          <w:u w:val="none"/>
        </w:rPr>
        <w:t xml:space="preserve"> l</w:t>
      </w:r>
      <w:r>
        <w:rPr>
          <w:u w:val="none"/>
        </w:rPr>
        <w:t>’</w:t>
      </w:r>
      <w:r w:rsidRPr="00C55373">
        <w:rPr>
          <w:u w:val="none"/>
        </w:rPr>
        <w:t>aide apportée par le Secrétariat pour faciliter le travail de l</w:t>
      </w:r>
      <w:r>
        <w:rPr>
          <w:u w:val="none"/>
        </w:rPr>
        <w:t>’</w:t>
      </w:r>
      <w:r w:rsidRPr="00C55373">
        <w:rPr>
          <w:u w:val="none"/>
        </w:rPr>
        <w:t>Organe d</w:t>
      </w:r>
      <w:r>
        <w:rPr>
          <w:u w:val="none"/>
        </w:rPr>
        <w:t>’évaluation ;</w:t>
      </w:r>
    </w:p>
    <w:p w14:paraId="0E8FEAED" w14:textId="77777777" w:rsidR="00A2355A" w:rsidRPr="00B74622" w:rsidRDefault="00A2355A" w:rsidP="00F43657">
      <w:pPr>
        <w:pStyle w:val="COMParaDecision"/>
        <w:numPr>
          <w:ilvl w:val="0"/>
          <w:numId w:val="7"/>
        </w:numPr>
        <w:ind w:left="567" w:hanging="567"/>
        <w:rPr>
          <w:u w:val="none"/>
        </w:rPr>
      </w:pPr>
      <w:r w:rsidRPr="00C55373">
        <w:t>Félicite</w:t>
      </w:r>
      <w:r w:rsidRPr="00C55373">
        <w:rPr>
          <w:u w:val="none"/>
        </w:rPr>
        <w:t xml:space="preserve"> tout particulièrement les États soumissionnaires qui ont présenté des candidatures </w:t>
      </w:r>
      <w:r>
        <w:rPr>
          <w:u w:val="none"/>
        </w:rPr>
        <w:t>susceptibles de servir de bons exemples pour de futures candidatures ;</w:t>
      </w:r>
    </w:p>
    <w:p w14:paraId="42344004" w14:textId="77777777" w:rsidR="00A2355A" w:rsidRPr="00E92C17" w:rsidRDefault="00A2355A" w:rsidP="00F43657">
      <w:pPr>
        <w:pStyle w:val="COMParaDecision"/>
        <w:numPr>
          <w:ilvl w:val="0"/>
          <w:numId w:val="7"/>
        </w:numPr>
        <w:ind w:left="567" w:hanging="567"/>
        <w:rPr>
          <w:u w:val="none"/>
        </w:rPr>
      </w:pPr>
      <w:r w:rsidRPr="00867A69">
        <w:t>Réaffirme s</w:t>
      </w:r>
      <w:r>
        <w:t>a</w:t>
      </w:r>
      <w:r w:rsidRPr="00867A69">
        <w:t xml:space="preserve"> préoccupation</w:t>
      </w:r>
      <w:r w:rsidRPr="00867A69">
        <w:rPr>
          <w:u w:val="none"/>
        </w:rPr>
        <w:t xml:space="preserve"> quant au nombre limité de candidatures </w:t>
      </w:r>
      <w:r>
        <w:rPr>
          <w:u w:val="none"/>
        </w:rPr>
        <w:t>pour inscription sur</w:t>
      </w:r>
      <w:r w:rsidRPr="00CD484B">
        <w:rPr>
          <w:u w:val="none"/>
        </w:rPr>
        <w:t xml:space="preserve"> la Liste du patrimoine culturel immatériel nécessitant une sauvegarde urgente et de propositions </w:t>
      </w:r>
      <w:r>
        <w:rPr>
          <w:u w:val="none"/>
        </w:rPr>
        <w:t xml:space="preserve">pour sélection </w:t>
      </w:r>
      <w:r w:rsidRPr="00CD484B">
        <w:rPr>
          <w:u w:val="none"/>
        </w:rPr>
        <w:t xml:space="preserve">au Registre de bonnes pratiques de sauvegarde et </w:t>
      </w:r>
      <w:r w:rsidRPr="00C55373">
        <w:t>encourage</w:t>
      </w:r>
      <w:r w:rsidRPr="00CD484B">
        <w:rPr>
          <w:u w:val="none"/>
        </w:rPr>
        <w:t xml:space="preserve"> les États parties à </w:t>
      </w:r>
      <w:r>
        <w:rPr>
          <w:u w:val="none"/>
        </w:rPr>
        <w:t>porter</w:t>
      </w:r>
      <w:r w:rsidRPr="00CD484B">
        <w:rPr>
          <w:u w:val="none"/>
        </w:rPr>
        <w:t xml:space="preserve"> une attention </w:t>
      </w:r>
      <w:r>
        <w:rPr>
          <w:u w:val="none"/>
        </w:rPr>
        <w:t>particulière</w:t>
      </w:r>
      <w:r w:rsidRPr="00CD484B">
        <w:rPr>
          <w:u w:val="none"/>
        </w:rPr>
        <w:t xml:space="preserve"> à ces deux mécanismes </w:t>
      </w:r>
      <w:r w:rsidRPr="00E92C17">
        <w:rPr>
          <w:u w:val="none"/>
        </w:rPr>
        <w:t>de la Convention ;</w:t>
      </w:r>
    </w:p>
    <w:p w14:paraId="6988C2F3" w14:textId="77777777" w:rsidR="00A2355A" w:rsidRPr="00682F2F" w:rsidRDefault="00A2355A" w:rsidP="00F43657">
      <w:pPr>
        <w:pStyle w:val="COMParaDecision"/>
        <w:numPr>
          <w:ilvl w:val="0"/>
          <w:numId w:val="7"/>
        </w:numPr>
        <w:ind w:left="567" w:hanging="567"/>
        <w:rPr>
          <w:u w:val="none"/>
        </w:rPr>
      </w:pPr>
      <w:r w:rsidRPr="00674FB1">
        <w:t>Apprécie en outre</w:t>
      </w:r>
      <w:r w:rsidRPr="00E92C17">
        <w:rPr>
          <w:u w:val="none"/>
        </w:rPr>
        <w:t xml:space="preserve"> les observations et recommandations formulées par l’Organe d’évaluation dans le</w:t>
      </w:r>
      <w:r w:rsidRPr="00682F2F">
        <w:rPr>
          <w:u w:val="none"/>
        </w:rPr>
        <w:t xml:space="preserve"> cadre de </w:t>
      </w:r>
      <w:r>
        <w:rPr>
          <w:u w:val="none"/>
        </w:rPr>
        <w:t>ses travaux</w:t>
      </w:r>
      <w:r w:rsidRPr="00682F2F">
        <w:rPr>
          <w:u w:val="none"/>
        </w:rPr>
        <w:t xml:space="preserve"> pour le cycle 2019, </w:t>
      </w:r>
      <w:r w:rsidRPr="00682F2F">
        <w:t>reconnaît</w:t>
      </w:r>
      <w:r w:rsidRPr="00682F2F">
        <w:rPr>
          <w:u w:val="none"/>
        </w:rPr>
        <w:t xml:space="preserve"> </w:t>
      </w:r>
      <w:r w:rsidRPr="00C55373">
        <w:rPr>
          <w:u w:val="none"/>
        </w:rPr>
        <w:t xml:space="preserve">que nombre de questions abordées dans ses précédentes décisions sont toujours pertinentes pour le cycle </w:t>
      </w:r>
      <w:r w:rsidRPr="00682F2F">
        <w:rPr>
          <w:u w:val="none"/>
        </w:rPr>
        <w:t xml:space="preserve">2019, </w:t>
      </w:r>
      <w:r w:rsidRPr="00C55373">
        <w:rPr>
          <w:u w:val="none"/>
        </w:rPr>
        <w:t xml:space="preserve">comme résumé dans les paragraphes </w:t>
      </w:r>
      <w:r w:rsidRPr="00273E44">
        <w:rPr>
          <w:u w:val="none"/>
        </w:rPr>
        <w:t>54 et 55</w:t>
      </w:r>
      <w:r w:rsidRPr="00682F2F">
        <w:rPr>
          <w:u w:val="none"/>
        </w:rPr>
        <w:t xml:space="preserve"> </w:t>
      </w:r>
      <w:r>
        <w:rPr>
          <w:u w:val="none"/>
        </w:rPr>
        <w:t xml:space="preserve">du </w:t>
      </w:r>
      <w:r w:rsidRPr="00C55373">
        <w:rPr>
          <w:u w:val="none"/>
        </w:rPr>
        <w:t>présent rapport</w:t>
      </w:r>
      <w:r w:rsidRPr="00682F2F">
        <w:rPr>
          <w:u w:val="none"/>
        </w:rPr>
        <w:t xml:space="preserve">, </w:t>
      </w:r>
      <w:r>
        <w:rPr>
          <w:u w:val="none"/>
        </w:rPr>
        <w:t>et</w:t>
      </w:r>
      <w:r w:rsidRPr="00682F2F">
        <w:rPr>
          <w:u w:val="none"/>
        </w:rPr>
        <w:t xml:space="preserve"> </w:t>
      </w:r>
      <w:r w:rsidRPr="00F100DE">
        <w:rPr>
          <w:shd w:val="clear" w:color="auto" w:fill="FFFFFF"/>
        </w:rPr>
        <w:t xml:space="preserve">réitère son </w:t>
      </w:r>
      <w:r w:rsidRPr="00F100DE">
        <w:t>invitation</w:t>
      </w:r>
      <w:r w:rsidRPr="0043127C">
        <w:rPr>
          <w:u w:val="none"/>
        </w:rPr>
        <w:t xml:space="preserve"> </w:t>
      </w:r>
      <w:r>
        <w:rPr>
          <w:u w:val="none"/>
        </w:rPr>
        <w:t>aux États parties à la Convention à prendre en considération ces questions lors de la soumission de futures candidatures ;</w:t>
      </w:r>
    </w:p>
    <w:p w14:paraId="3EABDAE4" w14:textId="77777777" w:rsidR="00A2355A" w:rsidRPr="00D32351" w:rsidRDefault="00A2355A" w:rsidP="00F43657">
      <w:pPr>
        <w:pStyle w:val="COMParaDecision"/>
        <w:numPr>
          <w:ilvl w:val="0"/>
          <w:numId w:val="7"/>
        </w:numPr>
        <w:ind w:left="567" w:hanging="567"/>
        <w:rPr>
          <w:u w:val="none"/>
        </w:rPr>
      </w:pPr>
      <w:r w:rsidRPr="00D32351">
        <w:t>Prend note</w:t>
      </w:r>
      <w:r w:rsidRPr="00D32351">
        <w:rPr>
          <w:u w:val="none"/>
        </w:rPr>
        <w:t xml:space="preserve"> du </w:t>
      </w:r>
      <w:r>
        <w:rPr>
          <w:u w:val="none"/>
        </w:rPr>
        <w:t xml:space="preserve">processus </w:t>
      </w:r>
      <w:r w:rsidRPr="00674FB1">
        <w:rPr>
          <w:u w:val="none"/>
        </w:rPr>
        <w:t xml:space="preserve">« provisoire </w:t>
      </w:r>
      <w:r w:rsidRPr="00E92C17">
        <w:rPr>
          <w:u w:val="none"/>
        </w:rPr>
        <w:t>de</w:t>
      </w:r>
      <w:r w:rsidRPr="00674FB1">
        <w:rPr>
          <w:u w:val="none"/>
        </w:rPr>
        <w:t xml:space="preserve"> dialogue en amont »</w:t>
      </w:r>
      <w:r>
        <w:rPr>
          <w:u w:val="none"/>
        </w:rPr>
        <w:t xml:space="preserve"> introduit à titre expérimental pour l’évaluation des candidatures du cycle 2019 et de l’avis de l’Organe d’évaluation concernant les six candidatures pour lesquelles le </w:t>
      </w:r>
      <w:r w:rsidRPr="00D44541">
        <w:rPr>
          <w:u w:val="none"/>
        </w:rPr>
        <w:t xml:space="preserve">processus de dialogue a été engagé, comme présenté dans </w:t>
      </w:r>
      <w:r w:rsidRPr="00595335">
        <w:rPr>
          <w:u w:val="none"/>
        </w:rPr>
        <w:t xml:space="preserve">le document </w:t>
      </w:r>
      <w:hyperlink r:id="rId48" w:history="1">
        <w:r w:rsidRPr="00595335">
          <w:rPr>
            <w:rStyle w:val="Hyperlink"/>
          </w:rPr>
          <w:t>LHE/19/14.COM/INF.10</w:t>
        </w:r>
      </w:hyperlink>
      <w:r w:rsidRPr="00595335">
        <w:rPr>
          <w:u w:val="none"/>
        </w:rPr>
        <w:t>,</w:t>
      </w:r>
      <w:r w:rsidRPr="0043127C">
        <w:rPr>
          <w:u w:val="none"/>
        </w:rPr>
        <w:t xml:space="preserve"> et</w:t>
      </w:r>
      <w:r w:rsidRPr="00D44541">
        <w:rPr>
          <w:u w:val="none"/>
        </w:rPr>
        <w:t xml:space="preserve"> </w:t>
      </w:r>
      <w:r w:rsidRPr="00D44541">
        <w:t xml:space="preserve">prend note </w:t>
      </w:r>
      <w:r>
        <w:t>en outre</w:t>
      </w:r>
      <w:r w:rsidRPr="00D44541">
        <w:rPr>
          <w:u w:val="none"/>
        </w:rPr>
        <w:t xml:space="preserve"> des observations et </w:t>
      </w:r>
      <w:r>
        <w:rPr>
          <w:u w:val="none"/>
        </w:rPr>
        <w:t xml:space="preserve">des </w:t>
      </w:r>
      <w:r w:rsidRPr="00D44541">
        <w:rPr>
          <w:u w:val="none"/>
        </w:rPr>
        <w:t xml:space="preserve">recommandations formulées par l’Organe d’évaluation </w:t>
      </w:r>
      <w:r>
        <w:rPr>
          <w:u w:val="none"/>
        </w:rPr>
        <w:t xml:space="preserve">au sujet </w:t>
      </w:r>
      <w:r w:rsidRPr="00E92C17">
        <w:rPr>
          <w:u w:val="none"/>
        </w:rPr>
        <w:t>du</w:t>
      </w:r>
      <w:r w:rsidRPr="005800D1">
        <w:rPr>
          <w:u w:val="none"/>
        </w:rPr>
        <w:t xml:space="preserve"> </w:t>
      </w:r>
      <w:r w:rsidRPr="00674FB1">
        <w:rPr>
          <w:u w:val="none"/>
        </w:rPr>
        <w:t>processus provisoire de dialogue</w:t>
      </w:r>
      <w:r w:rsidRPr="00E92C17">
        <w:rPr>
          <w:u w:val="none"/>
        </w:rPr>
        <w:t>,</w:t>
      </w:r>
      <w:r w:rsidRPr="005800D1">
        <w:rPr>
          <w:u w:val="none"/>
        </w:rPr>
        <w:t xml:space="preserve"> incluant les</w:t>
      </w:r>
      <w:r>
        <w:rPr>
          <w:u w:val="none"/>
        </w:rPr>
        <w:t xml:space="preserve"> </w:t>
      </w:r>
      <w:r w:rsidRPr="00D44541">
        <w:rPr>
          <w:u w:val="none"/>
        </w:rPr>
        <w:t xml:space="preserve">amendements proposés aux Directives opérationnelles </w:t>
      </w:r>
      <w:r>
        <w:rPr>
          <w:u w:val="none"/>
        </w:rPr>
        <w:t xml:space="preserve">présentés </w:t>
      </w:r>
      <w:r w:rsidRPr="00D44541">
        <w:rPr>
          <w:u w:val="none"/>
        </w:rPr>
        <w:t xml:space="preserve">dans le </w:t>
      </w:r>
      <w:r w:rsidRPr="00E96DFC">
        <w:rPr>
          <w:u w:val="none"/>
        </w:rPr>
        <w:t xml:space="preserve">document </w:t>
      </w:r>
      <w:hyperlink r:id="rId49" w:history="1">
        <w:r w:rsidRPr="00E96DFC">
          <w:rPr>
            <w:rStyle w:val="Hyperlink"/>
          </w:rPr>
          <w:t>LHE/19/14.COM/14</w:t>
        </w:r>
      </w:hyperlink>
      <w:r w:rsidRPr="00E96DFC">
        <w:rPr>
          <w:u w:val="none"/>
        </w:rPr>
        <w:t> ;</w:t>
      </w:r>
    </w:p>
    <w:p w14:paraId="61F924E8" w14:textId="77777777" w:rsidR="00A2355A" w:rsidRDefault="00A2355A" w:rsidP="00F43657">
      <w:pPr>
        <w:pStyle w:val="COMParaDecision"/>
        <w:numPr>
          <w:ilvl w:val="0"/>
          <w:numId w:val="7"/>
        </w:numPr>
        <w:ind w:left="567" w:hanging="567"/>
        <w:rPr>
          <w:u w:val="none"/>
        </w:rPr>
      </w:pPr>
      <w:r w:rsidRPr="007324C2">
        <w:t>Souligne</w:t>
      </w:r>
      <w:r w:rsidRPr="007324C2">
        <w:rPr>
          <w:u w:val="none"/>
        </w:rPr>
        <w:t xml:space="preserve"> l’importance d</w:t>
      </w:r>
      <w:r>
        <w:rPr>
          <w:u w:val="none"/>
        </w:rPr>
        <w:t xml:space="preserve">e fournir </w:t>
      </w:r>
      <w:r w:rsidRPr="007324C2">
        <w:rPr>
          <w:u w:val="none"/>
        </w:rPr>
        <w:t xml:space="preserve">une identification et une définition claires de l’élément </w:t>
      </w:r>
      <w:r>
        <w:rPr>
          <w:u w:val="none"/>
        </w:rPr>
        <w:t>en question</w:t>
      </w:r>
      <w:r w:rsidRPr="007324C2">
        <w:rPr>
          <w:u w:val="none"/>
        </w:rPr>
        <w:t xml:space="preserve"> et des communautés, group</w:t>
      </w:r>
      <w:r>
        <w:rPr>
          <w:u w:val="none"/>
        </w:rPr>
        <w:t>e</w:t>
      </w:r>
      <w:r w:rsidRPr="007324C2">
        <w:rPr>
          <w:u w:val="none"/>
        </w:rPr>
        <w:t xml:space="preserve">s et individus qui considèrent qu’un tel élément fait partie de leur patrimoine culturel immatériel, et </w:t>
      </w:r>
      <w:r w:rsidRPr="007324C2">
        <w:t>rappelle</w:t>
      </w:r>
      <w:r w:rsidRPr="007324C2">
        <w:rPr>
          <w:u w:val="none"/>
        </w:rPr>
        <w:t xml:space="preserve"> aux </w:t>
      </w:r>
      <w:r>
        <w:rPr>
          <w:u w:val="none"/>
        </w:rPr>
        <w:t>É</w:t>
      </w:r>
      <w:r w:rsidRPr="007324C2">
        <w:rPr>
          <w:u w:val="none"/>
        </w:rPr>
        <w:t xml:space="preserve">tats parties qu’ils doivent </w:t>
      </w:r>
      <w:r>
        <w:rPr>
          <w:u w:val="none"/>
        </w:rPr>
        <w:t>être cohérents dans les informations qu’ils fournissent tout au long de leurs dossiers, et reconnaître l’importance cruciale des liens entre les différents critères d’inscription ;</w:t>
      </w:r>
    </w:p>
    <w:p w14:paraId="2E09CE72" w14:textId="77777777" w:rsidR="00A2355A" w:rsidRPr="00B74622" w:rsidRDefault="00A2355A" w:rsidP="00F43657">
      <w:pPr>
        <w:pStyle w:val="COMParaDecision"/>
        <w:numPr>
          <w:ilvl w:val="0"/>
          <w:numId w:val="7"/>
        </w:numPr>
        <w:ind w:left="567" w:hanging="567"/>
        <w:rPr>
          <w:u w:val="none"/>
        </w:rPr>
      </w:pPr>
      <w:r>
        <w:t>Reconnaît</w:t>
      </w:r>
      <w:r>
        <w:rPr>
          <w:u w:val="none"/>
        </w:rPr>
        <w:t xml:space="preserve"> les difficultés et les défis constants rencontrés par l’Organe d’évaluation dans l’évaluation du critère R.2, malgré les modifications apportées à la section 2 du formulaire ICH-02, et </w:t>
      </w:r>
      <w:r w:rsidRPr="007324C2">
        <w:t>réaffirme</w:t>
      </w:r>
      <w:r>
        <w:rPr>
          <w:u w:val="none"/>
        </w:rPr>
        <w:t xml:space="preserve"> la nécessité de revoir </w:t>
      </w:r>
      <w:r w:rsidRPr="00F431C8">
        <w:rPr>
          <w:u w:val="none"/>
        </w:rPr>
        <w:t xml:space="preserve">l’énoncé de </w:t>
      </w:r>
      <w:r>
        <w:rPr>
          <w:u w:val="none"/>
        </w:rPr>
        <w:t xml:space="preserve">ce critère </w:t>
      </w:r>
      <w:r w:rsidRPr="00F431C8">
        <w:rPr>
          <w:u w:val="none"/>
        </w:rPr>
        <w:t xml:space="preserve">par rapport aux </w:t>
      </w:r>
      <w:r>
        <w:rPr>
          <w:u w:val="none"/>
        </w:rPr>
        <w:t>objectifs de la Liste représentative du patrimoine culturel immatériel de l’humanité dans le contexte de la réflexion globale sur les mécanismes des listes ;</w:t>
      </w:r>
    </w:p>
    <w:p w14:paraId="4941B00C" w14:textId="77777777" w:rsidR="00A2355A" w:rsidRPr="00B74622" w:rsidRDefault="00A2355A" w:rsidP="00F43657">
      <w:pPr>
        <w:pStyle w:val="COMParaDecision"/>
        <w:keepLines/>
        <w:numPr>
          <w:ilvl w:val="0"/>
          <w:numId w:val="7"/>
        </w:numPr>
        <w:ind w:left="567" w:hanging="567"/>
        <w:rPr>
          <w:u w:val="none"/>
          <w:shd w:val="clear" w:color="auto" w:fill="FFFFFF"/>
        </w:rPr>
      </w:pPr>
      <w:r>
        <w:t>Attire l’attention</w:t>
      </w:r>
      <w:r>
        <w:rPr>
          <w:u w:val="none"/>
        </w:rPr>
        <w:t xml:space="preserve"> des États parties quant au besoin de prendre des mesures significatives pour développer des inventaires en vue de la sauvegarde du patrimoine culturel immatériel, tout en reconnaissant le droit de chaque État partie de dresser des inventaires de façon adaptée à sa situation, conformément à l’article 12.1 de la Convention, et </w:t>
      </w:r>
      <w:r w:rsidRPr="00674FB1">
        <w:t>met l’accent</w:t>
      </w:r>
      <w:r w:rsidRPr="00674FB1">
        <w:rPr>
          <w:u w:val="none"/>
        </w:rPr>
        <w:t xml:space="preserve"> sur </w:t>
      </w:r>
      <w:r w:rsidRPr="00D408E5">
        <w:rPr>
          <w:u w:val="none"/>
        </w:rPr>
        <w:t>l’importance de régulièrement mettre à jour les inventaires avec la participation des communautés concernées, mesure clé de sauvegarde devant être reflétée dans les candidatures ;</w:t>
      </w:r>
    </w:p>
    <w:p w14:paraId="780BA4E2" w14:textId="77777777" w:rsidR="00A2355A" w:rsidRPr="00B74622" w:rsidRDefault="00A2355A" w:rsidP="00F43657">
      <w:pPr>
        <w:pStyle w:val="COMParaDecision"/>
        <w:numPr>
          <w:ilvl w:val="0"/>
          <w:numId w:val="7"/>
        </w:numPr>
        <w:ind w:left="567" w:hanging="567"/>
        <w:rPr>
          <w:u w:val="none"/>
        </w:rPr>
      </w:pPr>
      <w:r>
        <w:t>Félicite</w:t>
      </w:r>
      <w:r>
        <w:rPr>
          <w:u w:val="none"/>
        </w:rPr>
        <w:t xml:space="preserve"> les États parties qui ont fait preuve d’une étroite collaboration dans la préparation des candidatures multinationales, conformément aux principes de la coopération internationale et de la promotion de la compréhension mutuelle de la Convention, </w:t>
      </w:r>
      <w:r w:rsidRPr="00F4553C">
        <w:t xml:space="preserve">apprécie </w:t>
      </w:r>
      <w:r w:rsidRPr="00674FB1">
        <w:t>également</w:t>
      </w:r>
      <w:r>
        <w:rPr>
          <w:u w:val="none"/>
        </w:rPr>
        <w:t xml:space="preserve"> les efforts déployés par ces États parties pour élaborer des mesures conjointes de sauvegarde des éléments qu’ils ont en commun et qui sont susceptibles de créer des liens entre différentes communautés, et </w:t>
      </w:r>
      <w:r w:rsidRPr="00F4553C">
        <w:t>encourage en outre</w:t>
      </w:r>
      <w:r>
        <w:rPr>
          <w:u w:val="none"/>
        </w:rPr>
        <w:t xml:space="preserve"> les États parties ayant des éléments similaires à travailler ensemble pour soumettre des candidatures multinationales ou élargies au niveau international ;</w:t>
      </w:r>
    </w:p>
    <w:p w14:paraId="71C15AD9" w14:textId="77777777" w:rsidR="00A2355A" w:rsidRDefault="00A2355A" w:rsidP="00F43657">
      <w:pPr>
        <w:pStyle w:val="COMParaDecision"/>
        <w:numPr>
          <w:ilvl w:val="0"/>
          <w:numId w:val="7"/>
        </w:numPr>
        <w:ind w:left="567" w:hanging="567"/>
        <w:rPr>
          <w:u w:val="none"/>
        </w:rPr>
      </w:pPr>
      <w:r w:rsidRPr="00F4553C">
        <w:t>Prend note avec satisfaction</w:t>
      </w:r>
      <w:r w:rsidRPr="00F4553C">
        <w:rPr>
          <w:u w:val="none"/>
        </w:rPr>
        <w:t xml:space="preserve"> du nombre croissant de candidatures qui démontrent la contribution du patrimoine vivant à </w:t>
      </w:r>
      <w:r>
        <w:rPr>
          <w:u w:val="none"/>
        </w:rPr>
        <w:t>la durabilité environnementale</w:t>
      </w:r>
      <w:r w:rsidRPr="00F4553C">
        <w:rPr>
          <w:u w:val="none"/>
        </w:rPr>
        <w:t xml:space="preserve">, </w:t>
      </w:r>
      <w:r>
        <w:rPr>
          <w:u w:val="none"/>
        </w:rPr>
        <w:t xml:space="preserve">et toutefois, </w:t>
      </w:r>
      <w:r w:rsidRPr="00DD7635">
        <w:t>a</w:t>
      </w:r>
      <w:r>
        <w:t>ttire l’attention</w:t>
      </w:r>
      <w:r>
        <w:rPr>
          <w:u w:val="none"/>
        </w:rPr>
        <w:t xml:space="preserve"> des États parties sur le fait </w:t>
      </w:r>
      <w:r w:rsidRPr="00E92C17">
        <w:rPr>
          <w:u w:val="none"/>
        </w:rPr>
        <w:t xml:space="preserve">que les mesures de sauvegarde proposées </w:t>
      </w:r>
      <w:r w:rsidRPr="00A87AAD">
        <w:rPr>
          <w:u w:val="none"/>
        </w:rPr>
        <w:t>qui incluent la protection environnementale d</w:t>
      </w:r>
      <w:r w:rsidRPr="00674FB1">
        <w:rPr>
          <w:u w:val="none"/>
        </w:rPr>
        <w:t>oiv</w:t>
      </w:r>
      <w:r w:rsidRPr="00E92C17">
        <w:rPr>
          <w:u w:val="none"/>
        </w:rPr>
        <w:t>ent</w:t>
      </w:r>
      <w:r w:rsidRPr="00A87AAD">
        <w:rPr>
          <w:u w:val="none"/>
        </w:rPr>
        <w:t xml:space="preserve"> </w:t>
      </w:r>
      <w:r w:rsidRPr="00E92C17">
        <w:rPr>
          <w:u w:val="none"/>
        </w:rPr>
        <w:t xml:space="preserve">également se concentrer </w:t>
      </w:r>
      <w:r w:rsidRPr="00A87AAD">
        <w:rPr>
          <w:u w:val="none"/>
        </w:rPr>
        <w:t>sur la sauvegarde du patrimoine culturel immatériel, y compris</w:t>
      </w:r>
      <w:r>
        <w:rPr>
          <w:u w:val="none"/>
        </w:rPr>
        <w:t xml:space="preserve"> les fonctions sociales et les significations culturelles de l’élément concerné ;</w:t>
      </w:r>
    </w:p>
    <w:p w14:paraId="21C734A4" w14:textId="77777777" w:rsidR="00A2355A" w:rsidRDefault="00A2355A" w:rsidP="00F43657">
      <w:pPr>
        <w:pStyle w:val="COMParaDecision"/>
        <w:numPr>
          <w:ilvl w:val="0"/>
          <w:numId w:val="7"/>
        </w:numPr>
        <w:ind w:left="567" w:hanging="567"/>
        <w:rPr>
          <w:u w:val="none"/>
        </w:rPr>
      </w:pPr>
      <w:r>
        <w:t>Rappelle en outre</w:t>
      </w:r>
      <w:r>
        <w:rPr>
          <w:u w:val="none"/>
        </w:rPr>
        <w:t xml:space="preserve"> aux États parties que, tout en reconnaissant les opportunités économiques présentées par certains éléments du patrimoine culturel immatériel, il est important de donner la priorité à la sauvegarde de leurs fonctions sociales et de leurs significations culturelles, et de clairement les distinguer de </w:t>
      </w:r>
      <w:r w:rsidRPr="00744037">
        <w:rPr>
          <w:u w:val="none"/>
        </w:rPr>
        <w:t xml:space="preserve">l’attribution d’une « marque » ou </w:t>
      </w:r>
      <w:r w:rsidRPr="00674FB1">
        <w:rPr>
          <w:u w:val="none"/>
        </w:rPr>
        <w:t>d’</w:t>
      </w:r>
      <w:r w:rsidRPr="00744037">
        <w:rPr>
          <w:u w:val="none"/>
        </w:rPr>
        <w:t xml:space="preserve">un « label » </w:t>
      </w:r>
      <w:r w:rsidRPr="00674FB1">
        <w:rPr>
          <w:u w:val="none"/>
        </w:rPr>
        <w:t>à un</w:t>
      </w:r>
      <w:r w:rsidRPr="00744037">
        <w:rPr>
          <w:u w:val="none"/>
        </w:rPr>
        <w:t xml:space="preserve"> produit, et </w:t>
      </w:r>
      <w:r w:rsidRPr="00674FB1">
        <w:rPr>
          <w:shd w:val="clear" w:color="auto" w:fill="FFFFFF"/>
        </w:rPr>
        <w:t>accueille favorablement</w:t>
      </w:r>
      <w:r>
        <w:rPr>
          <w:u w:val="none"/>
        </w:rPr>
        <w:t xml:space="preserve"> les mesures de sauvegarde qui traitent du risque possible de décontextualisation et de mise en péril d’un élément suite à une commercialisation excessive ;</w:t>
      </w:r>
    </w:p>
    <w:p w14:paraId="723B2A27" w14:textId="77777777" w:rsidR="00A2355A" w:rsidRDefault="00A2355A" w:rsidP="00F43657">
      <w:pPr>
        <w:pStyle w:val="COMParaDecision"/>
        <w:numPr>
          <w:ilvl w:val="0"/>
          <w:numId w:val="7"/>
        </w:numPr>
        <w:ind w:left="567" w:hanging="567"/>
        <w:rPr>
          <w:u w:val="none"/>
        </w:rPr>
      </w:pPr>
      <w:r w:rsidRPr="00022291">
        <w:t>Demande</w:t>
      </w:r>
      <w:r w:rsidRPr="00022291">
        <w:rPr>
          <w:u w:val="none"/>
        </w:rPr>
        <w:t xml:space="preserve"> au Secrétariat de publier les recommandations de l’Organe d’évaluation sur les mesures de sauvegarde et les </w:t>
      </w:r>
      <w:r>
        <w:rPr>
          <w:u w:val="none"/>
        </w:rPr>
        <w:t>bonnes</w:t>
      </w:r>
      <w:r w:rsidRPr="00022291">
        <w:rPr>
          <w:u w:val="none"/>
        </w:rPr>
        <w:t xml:space="preserve"> pratiques qui traitent du risque de décontextualisation et de commercialisation excessive des éléments, dans une note d’orientation pour les communautés et les États parties ;</w:t>
      </w:r>
    </w:p>
    <w:p w14:paraId="62CD0B4F" w14:textId="77777777" w:rsidR="00A2355A" w:rsidRPr="00863EA2" w:rsidRDefault="00A2355A" w:rsidP="00F43657">
      <w:pPr>
        <w:pStyle w:val="COMParaDecision"/>
        <w:numPr>
          <w:ilvl w:val="0"/>
          <w:numId w:val="7"/>
        </w:numPr>
        <w:ind w:left="567" w:hanging="567"/>
        <w:rPr>
          <w:u w:val="none"/>
        </w:rPr>
      </w:pPr>
      <w:r>
        <w:rPr>
          <w:shd w:val="clear" w:color="auto" w:fill="FFFFFF"/>
        </w:rPr>
        <w:t>Réitère sa préoccupation</w:t>
      </w:r>
      <w:r>
        <w:rPr>
          <w:u w:val="none"/>
          <w:shd w:val="clear" w:color="auto" w:fill="FFFFFF"/>
        </w:rPr>
        <w:t xml:space="preserve"> quant à la persistance des approches descendantes dans </w:t>
      </w:r>
      <w:r w:rsidRPr="00F220FC">
        <w:rPr>
          <w:u w:val="none"/>
          <w:shd w:val="clear" w:color="auto" w:fill="FFFFFF"/>
        </w:rPr>
        <w:t>de nombreux processus</w:t>
      </w:r>
      <w:r>
        <w:rPr>
          <w:u w:val="none"/>
          <w:shd w:val="clear" w:color="auto" w:fill="FFFFFF"/>
        </w:rPr>
        <w:t xml:space="preserve"> de candidature et </w:t>
      </w:r>
      <w:r w:rsidRPr="00EA576C">
        <w:rPr>
          <w:shd w:val="clear" w:color="auto" w:fill="FFFFFF"/>
        </w:rPr>
        <w:t>encourage</w:t>
      </w:r>
      <w:r>
        <w:rPr>
          <w:shd w:val="clear" w:color="auto" w:fill="FFFFFF"/>
        </w:rPr>
        <w:t xml:space="preserve"> également</w:t>
      </w:r>
      <w:r>
        <w:rPr>
          <w:u w:val="none"/>
          <w:shd w:val="clear" w:color="auto" w:fill="FFFFFF"/>
        </w:rPr>
        <w:t xml:space="preserve"> les États parties à garantir la participation la plus large et la plus active possible des communautés dans l’élaboration et la mise en œuvre des plans et des mesures de sauvegarde ;</w:t>
      </w:r>
    </w:p>
    <w:p w14:paraId="6F37BA53" w14:textId="77777777" w:rsidR="00A2355A" w:rsidRPr="00F81092" w:rsidRDefault="00A2355A" w:rsidP="00F43657">
      <w:pPr>
        <w:pStyle w:val="COMParaDecision"/>
        <w:numPr>
          <w:ilvl w:val="0"/>
          <w:numId w:val="7"/>
        </w:numPr>
        <w:ind w:left="567" w:hanging="567"/>
        <w:rPr>
          <w:u w:val="none"/>
        </w:rPr>
      </w:pPr>
      <w:r w:rsidRPr="0057224A">
        <w:t>Reconnaît</w:t>
      </w:r>
      <w:r>
        <w:t xml:space="preserve"> en outre</w:t>
      </w:r>
      <w:r w:rsidRPr="00674FB1">
        <w:rPr>
          <w:u w:val="none"/>
        </w:rPr>
        <w:t xml:space="preserve"> </w:t>
      </w:r>
      <w:r w:rsidRPr="0057224A">
        <w:rPr>
          <w:u w:val="none"/>
        </w:rPr>
        <w:t>le</w:t>
      </w:r>
      <w:r>
        <w:rPr>
          <w:u w:val="none"/>
        </w:rPr>
        <w:t>s</w:t>
      </w:r>
      <w:r w:rsidRPr="0057224A">
        <w:rPr>
          <w:u w:val="none"/>
        </w:rPr>
        <w:t xml:space="preserve"> défi</w:t>
      </w:r>
      <w:r>
        <w:rPr>
          <w:u w:val="none"/>
        </w:rPr>
        <w:t>s</w:t>
      </w:r>
      <w:r w:rsidRPr="0057224A">
        <w:rPr>
          <w:u w:val="none"/>
        </w:rPr>
        <w:t xml:space="preserve"> </w:t>
      </w:r>
      <w:r>
        <w:rPr>
          <w:u w:val="none"/>
        </w:rPr>
        <w:t>récurrents</w:t>
      </w:r>
      <w:r w:rsidRPr="0057224A">
        <w:rPr>
          <w:u w:val="none"/>
        </w:rPr>
        <w:t xml:space="preserve"> </w:t>
      </w:r>
      <w:r>
        <w:rPr>
          <w:u w:val="none"/>
        </w:rPr>
        <w:t>auxquels l</w:t>
      </w:r>
      <w:r w:rsidRPr="0057224A">
        <w:rPr>
          <w:u w:val="none"/>
        </w:rPr>
        <w:t>’</w:t>
      </w:r>
      <w:r>
        <w:rPr>
          <w:u w:val="none"/>
        </w:rPr>
        <w:t>O</w:t>
      </w:r>
      <w:r w:rsidRPr="0057224A">
        <w:rPr>
          <w:u w:val="none"/>
        </w:rPr>
        <w:t>rgane d’évaluation</w:t>
      </w:r>
      <w:r>
        <w:rPr>
          <w:u w:val="none"/>
        </w:rPr>
        <w:t xml:space="preserve"> est confronté au cours de ses évaluations</w:t>
      </w:r>
      <w:r w:rsidRPr="0057224A">
        <w:rPr>
          <w:u w:val="none"/>
        </w:rPr>
        <w:t xml:space="preserve">, </w:t>
      </w:r>
      <w:r w:rsidRPr="00674FB1">
        <w:t>encourage</w:t>
      </w:r>
      <w:r w:rsidRPr="00744037">
        <w:rPr>
          <w:u w:val="none"/>
        </w:rPr>
        <w:t xml:space="preserve"> la participation d’experts et d’organisations non </w:t>
      </w:r>
      <w:r w:rsidRPr="00A2355A">
        <w:rPr>
          <w:u w:val="none"/>
        </w:rPr>
        <w:t xml:space="preserve">gouvernementales, ayant servi dans </w:t>
      </w:r>
      <w:r w:rsidRPr="00A2355A">
        <w:rPr>
          <w:u w:val="none"/>
          <w:shd w:val="clear" w:color="auto" w:fill="FFFFFF"/>
        </w:rPr>
        <w:t xml:space="preserve">des </w:t>
      </w:r>
      <w:r w:rsidRPr="00A2355A">
        <w:rPr>
          <w:u w:val="none"/>
        </w:rPr>
        <w:t xml:space="preserve">organes </w:t>
      </w:r>
      <w:r w:rsidRPr="00A2355A">
        <w:rPr>
          <w:u w:val="none"/>
          <w:shd w:val="clear" w:color="auto" w:fill="FFFFFF"/>
        </w:rPr>
        <w:t>d’évaluation</w:t>
      </w:r>
      <w:r w:rsidRPr="00A2355A">
        <w:rPr>
          <w:u w:val="none"/>
        </w:rPr>
        <w:t xml:space="preserve"> p</w:t>
      </w:r>
      <w:r w:rsidRPr="00A2355A">
        <w:rPr>
          <w:u w:val="none"/>
          <w:shd w:val="clear" w:color="auto" w:fill="FFFFFF"/>
        </w:rPr>
        <w:t>ar le passé ou encore actuellement,</w:t>
      </w:r>
      <w:r w:rsidRPr="00A2355A">
        <w:rPr>
          <w:u w:val="none"/>
        </w:rPr>
        <w:t xml:space="preserve"> </w:t>
      </w:r>
      <w:r w:rsidRPr="00A2355A">
        <w:rPr>
          <w:u w:val="none"/>
          <w:shd w:val="clear" w:color="auto" w:fill="FFFFFF"/>
        </w:rPr>
        <w:t>à la réflexion globale sur les mécanismes des listes</w:t>
      </w:r>
      <w:r w:rsidRPr="00A2355A">
        <w:rPr>
          <w:u w:val="none"/>
        </w:rPr>
        <w:t>,</w:t>
      </w:r>
      <w:r w:rsidRPr="00A2355A">
        <w:rPr>
          <w:u w:val="none"/>
          <w:shd w:val="clear" w:color="auto" w:fill="FFFFFF"/>
        </w:rPr>
        <w:t xml:space="preserve"> </w:t>
      </w:r>
      <w:r w:rsidRPr="00A2355A">
        <w:rPr>
          <w:u w:val="none"/>
        </w:rPr>
        <w:t xml:space="preserve">et </w:t>
      </w:r>
      <w:r w:rsidRPr="00A2355A">
        <w:rPr>
          <w:shd w:val="clear" w:color="auto" w:fill="FFFFFF"/>
        </w:rPr>
        <w:t>accueille favorablement</w:t>
      </w:r>
      <w:r w:rsidRPr="00A2355A">
        <w:rPr>
          <w:u w:val="none"/>
          <w:shd w:val="clear" w:color="auto" w:fill="FFFFFF"/>
        </w:rPr>
        <w:t xml:space="preserve"> leur expérience et expertise à cet égard ;</w:t>
      </w:r>
    </w:p>
    <w:p w14:paraId="743B5FB3" w14:textId="296245A4" w:rsidR="00E418D9" w:rsidRPr="00A2355A" w:rsidRDefault="00A2355A" w:rsidP="00F43657">
      <w:pPr>
        <w:pStyle w:val="COMParaDecision"/>
        <w:numPr>
          <w:ilvl w:val="0"/>
          <w:numId w:val="7"/>
        </w:numPr>
        <w:tabs>
          <w:tab w:val="num" w:pos="1276"/>
        </w:tabs>
        <w:ind w:left="567" w:hanging="567"/>
        <w:rPr>
          <w:u w:val="none"/>
        </w:rPr>
      </w:pPr>
      <w:r w:rsidRPr="00A2355A">
        <w:t>Rappelle</w:t>
      </w:r>
      <w:r w:rsidRPr="00A2355A">
        <w:rPr>
          <w:u w:val="none"/>
        </w:rPr>
        <w:t xml:space="preserve"> qu’afin de </w:t>
      </w:r>
      <w:r w:rsidR="001058DD">
        <w:rPr>
          <w:u w:val="none"/>
        </w:rPr>
        <w:t>maintenir</w:t>
      </w:r>
      <w:r w:rsidRPr="00A2355A">
        <w:rPr>
          <w:u w:val="none"/>
        </w:rPr>
        <w:t xml:space="preserve"> la durabilité du système d’inscription sur les listes, la crédibilité du processus d’inscription doit être garantie à toutes les étapes, et par conséquent, </w:t>
      </w:r>
      <w:r w:rsidRPr="00A2355A">
        <w:t>souligne</w:t>
      </w:r>
      <w:r w:rsidRPr="00A2355A">
        <w:rPr>
          <w:u w:val="none"/>
        </w:rPr>
        <w:t xml:space="preserve"> l’importance pour les décisions du Comité d’être </w:t>
      </w:r>
      <w:r w:rsidR="001058DD">
        <w:rPr>
          <w:u w:val="none"/>
        </w:rPr>
        <w:t>fondées</w:t>
      </w:r>
      <w:r w:rsidRPr="00A2355A">
        <w:rPr>
          <w:u w:val="none"/>
        </w:rPr>
        <w:t xml:space="preserve"> seulement sur des recommandations d’experts et des considérations </w:t>
      </w:r>
      <w:r w:rsidR="001058DD">
        <w:rPr>
          <w:u w:val="none"/>
        </w:rPr>
        <w:t>basées</w:t>
      </w:r>
      <w:r w:rsidRPr="00A2355A">
        <w:rPr>
          <w:u w:val="none"/>
        </w:rPr>
        <w:t xml:space="preserve"> sur des preuves.</w:t>
      </w:r>
    </w:p>
    <w:p w14:paraId="24D33C02" w14:textId="0D32AF5E" w:rsidR="00A14531" w:rsidRPr="00A14531" w:rsidRDefault="00A14531" w:rsidP="00A14531">
      <w:pPr>
        <w:pStyle w:val="GATitleResolution"/>
        <w:spacing w:before="360"/>
        <w:ind w:left="0"/>
      </w:pPr>
      <w:r w:rsidRPr="00A14531">
        <w:t>DÉCISION 14.COM 10.</w:t>
      </w:r>
      <w:r w:rsidRPr="00A14531">
        <w:rPr>
          <w:caps w:val="0"/>
        </w:rPr>
        <w:t>a</w:t>
      </w:r>
      <w:r w:rsidRPr="00A14531">
        <w:t>.1</w:t>
      </w:r>
    </w:p>
    <w:p w14:paraId="56B1D471" w14:textId="77777777" w:rsidR="00A14531" w:rsidRPr="00A14531" w:rsidRDefault="00A14531" w:rsidP="00A14531">
      <w:pPr>
        <w:pStyle w:val="NoSpacing"/>
        <w:keepNext/>
        <w:tabs>
          <w:tab w:val="left" w:pos="567"/>
          <w:tab w:val="left" w:pos="1134"/>
          <w:tab w:val="left" w:pos="1701"/>
          <w:tab w:val="left" w:pos="2268"/>
        </w:tabs>
        <w:spacing w:before="120" w:after="120"/>
        <w:jc w:val="both"/>
        <w:rPr>
          <w:rFonts w:ascii="Arial" w:hAnsi="Arial" w:cs="Arial"/>
          <w:sz w:val="22"/>
          <w:szCs w:val="22"/>
        </w:rPr>
      </w:pPr>
      <w:r w:rsidRPr="00A14531">
        <w:rPr>
          <w:rFonts w:ascii="Arial" w:hAnsi="Arial" w:cs="Arial"/>
          <w:sz w:val="22"/>
          <w:szCs w:val="22"/>
        </w:rPr>
        <w:t>Le Comité,</w:t>
      </w:r>
    </w:p>
    <w:p w14:paraId="7F2FEA55" w14:textId="77777777" w:rsidR="00A14531" w:rsidRPr="00A14531" w:rsidRDefault="00A14531" w:rsidP="00771F30">
      <w:pPr>
        <w:numPr>
          <w:ilvl w:val="1"/>
          <w:numId w:val="24"/>
        </w:numPr>
        <w:tabs>
          <w:tab w:val="left" w:pos="567"/>
          <w:tab w:val="left" w:pos="1701"/>
          <w:tab w:val="left" w:pos="2268"/>
        </w:tabs>
        <w:spacing w:before="120" w:after="120"/>
        <w:ind w:left="565" w:hangingChars="257" w:hanging="565"/>
        <w:jc w:val="both"/>
        <w:rPr>
          <w:rFonts w:ascii="Arial" w:hAnsi="Arial" w:cs="Arial"/>
          <w:sz w:val="22"/>
          <w:szCs w:val="22"/>
        </w:rPr>
      </w:pPr>
      <w:r w:rsidRPr="00A14531">
        <w:rPr>
          <w:rFonts w:ascii="Arial" w:hAnsi="Arial" w:cs="Arial"/>
          <w:sz w:val="22"/>
          <w:szCs w:val="22"/>
          <w:u w:val="single"/>
        </w:rPr>
        <w:t>Prend note</w:t>
      </w:r>
      <w:r w:rsidRPr="00A14531">
        <w:rPr>
          <w:rFonts w:ascii="Arial" w:hAnsi="Arial" w:cs="Arial"/>
          <w:sz w:val="22"/>
          <w:szCs w:val="22"/>
        </w:rPr>
        <w:t xml:space="preserve"> que le Botswana a proposé la candidature </w:t>
      </w:r>
      <w:r w:rsidRPr="00A14531">
        <w:rPr>
          <w:rFonts w:ascii="Arial" w:hAnsi="Arial" w:cs="Arial"/>
          <w:b/>
          <w:sz w:val="22"/>
          <w:szCs w:val="22"/>
        </w:rPr>
        <w:t xml:space="preserve">du </w:t>
      </w:r>
      <w:r w:rsidRPr="00A14531">
        <w:rPr>
          <w:rFonts w:ascii="Arial" w:hAnsi="Arial" w:cs="Arial"/>
          <w:b/>
          <w:bCs/>
          <w:sz w:val="22"/>
          <w:szCs w:val="22"/>
        </w:rPr>
        <w:t>seperu, danse populaire et pratiques associées</w:t>
      </w:r>
      <w:r w:rsidRPr="00A14531">
        <w:rPr>
          <w:rFonts w:ascii="Arial" w:hAnsi="Arial" w:cs="Arial"/>
          <w:sz w:val="22"/>
          <w:szCs w:val="22"/>
        </w:rPr>
        <w:t xml:space="preserve"> (n° 01502) pour inscription sur la Liste du patrimoine culturel immatériel nécessitant une sauvegarde urgente :</w:t>
      </w:r>
    </w:p>
    <w:p w14:paraId="6C3DC5AC" w14:textId="42F08DBB" w:rsidR="00A14531" w:rsidRPr="00A14531" w:rsidRDefault="00A14531" w:rsidP="00A14531">
      <w:pPr>
        <w:tabs>
          <w:tab w:val="left" w:pos="567"/>
          <w:tab w:val="left" w:pos="1701"/>
          <w:tab w:val="left" w:pos="2268"/>
        </w:tabs>
        <w:spacing w:before="120" w:after="120"/>
        <w:ind w:left="567"/>
        <w:jc w:val="both"/>
        <w:rPr>
          <w:rFonts w:ascii="Arial" w:hAnsi="Arial" w:cs="Arial"/>
          <w:sz w:val="22"/>
          <w:szCs w:val="22"/>
        </w:rPr>
      </w:pPr>
      <w:r w:rsidRPr="00A14531">
        <w:rPr>
          <w:rFonts w:ascii="Arial" w:hAnsi="Arial" w:cs="Arial"/>
          <w:sz w:val="22"/>
          <w:szCs w:val="22"/>
        </w:rPr>
        <w:t>La danse populaire seperu et les pratiques associées englobent le chant, la danse et les rituels sacrés qui sont très importants dans la vie des membres de la communauté veekuhane. Le seperu est une pratique de célébration exécutée à l</w:t>
      </w:r>
      <w:r w:rsidR="009C104E">
        <w:rPr>
          <w:rFonts w:ascii="Arial" w:hAnsi="Arial" w:cs="Arial"/>
          <w:sz w:val="22"/>
          <w:szCs w:val="22"/>
        </w:rPr>
        <w:t>’</w:t>
      </w:r>
      <w:r w:rsidRPr="00A14531">
        <w:rPr>
          <w:rFonts w:ascii="Arial" w:hAnsi="Arial" w:cs="Arial"/>
          <w:sz w:val="22"/>
          <w:szCs w:val="22"/>
        </w:rPr>
        <w:t>occasion de cérémonies qui marquent des étapes importantes dans la vie des membres de la communauté. Les danseuses forment un arc de cercle, tandis que les danseurs se placent face à elles, à l</w:t>
      </w:r>
      <w:r w:rsidR="009C104E">
        <w:rPr>
          <w:rFonts w:ascii="Arial" w:hAnsi="Arial" w:cs="Arial"/>
          <w:sz w:val="22"/>
          <w:szCs w:val="22"/>
        </w:rPr>
        <w:t>’</w:t>
      </w:r>
      <w:r w:rsidRPr="00A14531">
        <w:rPr>
          <w:rFonts w:ascii="Arial" w:hAnsi="Arial" w:cs="Arial"/>
          <w:sz w:val="22"/>
          <w:szCs w:val="22"/>
        </w:rPr>
        <w:t>extrémité de l</w:t>
      </w:r>
      <w:r w:rsidR="009C104E">
        <w:rPr>
          <w:rFonts w:ascii="Arial" w:hAnsi="Arial" w:cs="Arial"/>
          <w:sz w:val="22"/>
          <w:szCs w:val="22"/>
        </w:rPr>
        <w:t>’</w:t>
      </w:r>
      <w:r w:rsidRPr="00A14531">
        <w:rPr>
          <w:rFonts w:ascii="Arial" w:hAnsi="Arial" w:cs="Arial"/>
          <w:sz w:val="22"/>
          <w:szCs w:val="22"/>
        </w:rPr>
        <w:t>arc. Le danseur principal utilise un chasse-mouche pour diriger et choisir une danseuse, tandis que les autres membres du groupe imitent le chant d</w:t>
      </w:r>
      <w:r w:rsidR="009C104E">
        <w:rPr>
          <w:rFonts w:ascii="Arial" w:hAnsi="Arial" w:cs="Arial"/>
          <w:sz w:val="22"/>
          <w:szCs w:val="22"/>
        </w:rPr>
        <w:t>’</w:t>
      </w:r>
      <w:r w:rsidRPr="00A14531">
        <w:rPr>
          <w:rFonts w:ascii="Arial" w:hAnsi="Arial" w:cs="Arial"/>
          <w:sz w:val="22"/>
          <w:szCs w:val="22"/>
        </w:rPr>
        <w:t>une colombe mâle. La partenaire choisie met ensuite en avant ses talents de danseuse en reproduisant la forme d</w:t>
      </w:r>
      <w:r w:rsidR="009C104E">
        <w:rPr>
          <w:rFonts w:ascii="Arial" w:hAnsi="Arial" w:cs="Arial"/>
          <w:sz w:val="22"/>
          <w:szCs w:val="22"/>
        </w:rPr>
        <w:t>’</w:t>
      </w:r>
      <w:r w:rsidRPr="00A14531">
        <w:rPr>
          <w:rFonts w:ascii="Arial" w:hAnsi="Arial" w:cs="Arial"/>
          <w:sz w:val="22"/>
          <w:szCs w:val="22"/>
        </w:rPr>
        <w:t>une queue de paon avec sa robe à plusieurs couches (</w:t>
      </w:r>
      <w:r w:rsidRPr="00A14531">
        <w:rPr>
          <w:rFonts w:ascii="Arial" w:hAnsi="Arial" w:cs="Arial"/>
          <w:i/>
          <w:iCs/>
          <w:sz w:val="22"/>
          <w:szCs w:val="22"/>
        </w:rPr>
        <w:t>mushishi</w:t>
      </w:r>
      <w:r w:rsidRPr="00A14531">
        <w:rPr>
          <w:rFonts w:ascii="Arial" w:hAnsi="Arial" w:cs="Arial"/>
          <w:sz w:val="22"/>
          <w:szCs w:val="22"/>
        </w:rPr>
        <w:t>). Bien que la danse populaire seperu soit un symbole clé d</w:t>
      </w:r>
      <w:r w:rsidR="009C104E">
        <w:rPr>
          <w:rFonts w:ascii="Arial" w:hAnsi="Arial" w:cs="Arial"/>
          <w:sz w:val="22"/>
          <w:szCs w:val="22"/>
        </w:rPr>
        <w:t>’</w:t>
      </w:r>
      <w:r w:rsidRPr="00A14531">
        <w:rPr>
          <w:rFonts w:ascii="Arial" w:hAnsi="Arial" w:cs="Arial"/>
          <w:sz w:val="22"/>
          <w:szCs w:val="22"/>
        </w:rPr>
        <w:t>identité et de fierté pour la communauté veekuhane, le nombre de détenteurs des connaissances et de praticiens actifs a diminué, affectant sa visibilité et sa transmission aux générations plus jeunes. À l</w:t>
      </w:r>
      <w:r w:rsidR="009C104E">
        <w:rPr>
          <w:rFonts w:ascii="Arial" w:hAnsi="Arial" w:cs="Arial"/>
          <w:sz w:val="22"/>
          <w:szCs w:val="22"/>
        </w:rPr>
        <w:t>’</w:t>
      </w:r>
      <w:r w:rsidRPr="00A14531">
        <w:rPr>
          <w:rFonts w:ascii="Arial" w:hAnsi="Arial" w:cs="Arial"/>
          <w:sz w:val="22"/>
          <w:szCs w:val="22"/>
        </w:rPr>
        <w:t>heure actuelle, l</w:t>
      </w:r>
      <w:r w:rsidR="009C104E">
        <w:rPr>
          <w:rFonts w:ascii="Arial" w:hAnsi="Arial" w:cs="Arial"/>
          <w:sz w:val="22"/>
          <w:szCs w:val="22"/>
        </w:rPr>
        <w:t>’</w:t>
      </w:r>
      <w:r w:rsidRPr="00A14531">
        <w:rPr>
          <w:rFonts w:ascii="Arial" w:hAnsi="Arial" w:cs="Arial"/>
          <w:sz w:val="22"/>
          <w:szCs w:val="22"/>
        </w:rPr>
        <w:t xml:space="preserve">on ne dénombre que 194 praticiens actifs et 12 maîtres praticiens, tous âgés de plus de 70 ans. Les méthodes traditionnelles de transmission sont ébranlées par le détournement de la signification du </w:t>
      </w:r>
      <w:r w:rsidRPr="00A14531">
        <w:rPr>
          <w:rFonts w:ascii="Arial" w:hAnsi="Arial" w:cs="Arial"/>
          <w:i/>
          <w:iCs/>
          <w:sz w:val="22"/>
          <w:szCs w:val="22"/>
        </w:rPr>
        <w:t>mushishi</w:t>
      </w:r>
      <w:r w:rsidRPr="00A14531">
        <w:rPr>
          <w:rFonts w:ascii="Arial" w:hAnsi="Arial" w:cs="Arial"/>
          <w:sz w:val="22"/>
          <w:szCs w:val="22"/>
        </w:rPr>
        <w:t>, les cérémonies de mariage modernes, les programmes scolaires actuels et la modernisation qui a conduit les membres de la communauté à s</w:t>
      </w:r>
      <w:r w:rsidR="009C104E">
        <w:rPr>
          <w:rFonts w:ascii="Arial" w:hAnsi="Arial" w:cs="Arial"/>
          <w:sz w:val="22"/>
          <w:szCs w:val="22"/>
        </w:rPr>
        <w:t>’</w:t>
      </w:r>
      <w:r w:rsidRPr="00A14531">
        <w:rPr>
          <w:rFonts w:ascii="Arial" w:hAnsi="Arial" w:cs="Arial"/>
          <w:sz w:val="22"/>
          <w:szCs w:val="22"/>
        </w:rPr>
        <w:t>installer dans d</w:t>
      </w:r>
      <w:r w:rsidR="009C104E">
        <w:rPr>
          <w:rFonts w:ascii="Arial" w:hAnsi="Arial" w:cs="Arial"/>
          <w:sz w:val="22"/>
          <w:szCs w:val="22"/>
        </w:rPr>
        <w:t>’</w:t>
      </w:r>
      <w:r w:rsidRPr="00A14531">
        <w:rPr>
          <w:rFonts w:ascii="Arial" w:hAnsi="Arial" w:cs="Arial"/>
          <w:sz w:val="22"/>
          <w:szCs w:val="22"/>
        </w:rPr>
        <w:t>autres régions du pays.</w:t>
      </w:r>
    </w:p>
    <w:p w14:paraId="18D54EFF" w14:textId="5612AB86" w:rsidR="00A14531" w:rsidRPr="00A14531" w:rsidRDefault="00A14531" w:rsidP="00771F30">
      <w:pPr>
        <w:numPr>
          <w:ilvl w:val="1"/>
          <w:numId w:val="24"/>
        </w:numPr>
        <w:tabs>
          <w:tab w:val="left" w:pos="567"/>
          <w:tab w:val="left" w:pos="1701"/>
          <w:tab w:val="left" w:pos="2268"/>
        </w:tabs>
        <w:spacing w:before="120" w:after="120"/>
        <w:ind w:leftChars="-1" w:left="563" w:hangingChars="257" w:hanging="565"/>
        <w:jc w:val="both"/>
        <w:rPr>
          <w:rFonts w:ascii="Arial" w:hAnsi="Arial" w:cs="Arial"/>
          <w:sz w:val="22"/>
          <w:szCs w:val="22"/>
        </w:rPr>
      </w:pPr>
      <w:r w:rsidRPr="00A14531">
        <w:rPr>
          <w:rFonts w:ascii="Arial" w:hAnsi="Arial" w:cs="Arial"/>
          <w:sz w:val="22"/>
          <w:szCs w:val="22"/>
          <w:u w:val="single"/>
        </w:rPr>
        <w:t>Estime</w:t>
      </w:r>
      <w:r w:rsidRPr="00A14531">
        <w:rPr>
          <w:rFonts w:ascii="Arial" w:hAnsi="Arial" w:cs="Arial"/>
          <w:sz w:val="22"/>
          <w:szCs w:val="22"/>
        </w:rPr>
        <w:t xml:space="preserve"> que, d</w:t>
      </w:r>
      <w:r w:rsidR="009C104E">
        <w:rPr>
          <w:rFonts w:ascii="Arial" w:hAnsi="Arial" w:cs="Arial"/>
          <w:sz w:val="22"/>
          <w:szCs w:val="22"/>
        </w:rPr>
        <w:t>’</w:t>
      </w:r>
      <w:r w:rsidRPr="00A14531">
        <w:rPr>
          <w:rFonts w:ascii="Arial" w:hAnsi="Arial" w:cs="Arial"/>
          <w:sz w:val="22"/>
          <w:szCs w:val="22"/>
        </w:rPr>
        <w:t>après les informations contenues dans le dossier, la candidature satisfait aux critères d</w:t>
      </w:r>
      <w:r w:rsidR="009C104E">
        <w:rPr>
          <w:rFonts w:ascii="Arial" w:hAnsi="Arial" w:cs="Arial"/>
          <w:sz w:val="22"/>
          <w:szCs w:val="22"/>
        </w:rPr>
        <w:t>’</w:t>
      </w:r>
      <w:r w:rsidRPr="00A14531">
        <w:rPr>
          <w:rFonts w:ascii="Arial" w:hAnsi="Arial" w:cs="Arial"/>
          <w:sz w:val="22"/>
          <w:szCs w:val="22"/>
        </w:rPr>
        <w:t>inscription sur la Liste du patrimoine culturel immatériel nécessitant une sauvegarde urgente comme suit :</w:t>
      </w:r>
    </w:p>
    <w:p w14:paraId="4A445BB0" w14:textId="1151D063" w:rsidR="00A14531" w:rsidRPr="00A14531" w:rsidRDefault="00A14531" w:rsidP="00A14531">
      <w:pPr>
        <w:tabs>
          <w:tab w:val="left" w:pos="567"/>
          <w:tab w:val="left" w:pos="1134"/>
          <w:tab w:val="left" w:pos="2268"/>
        </w:tabs>
        <w:spacing w:before="120" w:after="120"/>
        <w:ind w:left="1134" w:hanging="567"/>
        <w:jc w:val="both"/>
        <w:rPr>
          <w:rFonts w:ascii="Arial" w:hAnsi="Arial" w:cs="Arial"/>
          <w:sz w:val="22"/>
          <w:szCs w:val="22"/>
        </w:rPr>
      </w:pPr>
      <w:r w:rsidRPr="00A14531">
        <w:rPr>
          <w:rFonts w:ascii="Arial" w:hAnsi="Arial" w:cs="Arial"/>
          <w:sz w:val="22"/>
          <w:szCs w:val="22"/>
        </w:rPr>
        <w:t>U.1 :</w:t>
      </w:r>
      <w:r w:rsidR="00F43657" w:rsidRPr="00F43657">
        <w:rPr>
          <w:rFonts w:ascii="Arial" w:hAnsi="Arial" w:cs="Arial"/>
          <w:sz w:val="22"/>
          <w:szCs w:val="22"/>
        </w:rPr>
        <w:t xml:space="preserve"> </w:t>
      </w:r>
      <w:r w:rsidR="00F43657" w:rsidRPr="00904C0F">
        <w:rPr>
          <w:rFonts w:ascii="Arial" w:hAnsi="Arial" w:cs="Arial"/>
          <w:sz w:val="22"/>
          <w:szCs w:val="22"/>
        </w:rPr>
        <w:tab/>
      </w:r>
      <w:r w:rsidRPr="00A14531">
        <w:rPr>
          <w:rFonts w:ascii="Arial" w:hAnsi="Arial" w:cs="Arial"/>
          <w:sz w:val="22"/>
          <w:szCs w:val="22"/>
        </w:rPr>
        <w:t>La danse populaire seperu et les pratiques associées procurent à la communauté veekuhane, couramment appelée basubiya, un sentiment d</w:t>
      </w:r>
      <w:r w:rsidR="009C104E">
        <w:rPr>
          <w:rFonts w:ascii="Arial" w:hAnsi="Arial" w:cs="Arial"/>
          <w:sz w:val="22"/>
          <w:szCs w:val="22"/>
        </w:rPr>
        <w:t>’</w:t>
      </w:r>
      <w:r w:rsidRPr="00A14531">
        <w:rPr>
          <w:rFonts w:ascii="Arial" w:hAnsi="Arial" w:cs="Arial"/>
          <w:sz w:val="22"/>
          <w:szCs w:val="22"/>
        </w:rPr>
        <w:t>identité, de cohésion sociale, de fierté et de lien tribal, et assurent la pérennité et la continuité des fonctions sociales connexes. Cette pratique accompagne toutes les étapes importantes de la vie de chaque membre de la communauté, de l</w:t>
      </w:r>
      <w:r w:rsidR="009C104E">
        <w:rPr>
          <w:rFonts w:ascii="Arial" w:hAnsi="Arial" w:cs="Arial"/>
          <w:sz w:val="22"/>
          <w:szCs w:val="22"/>
        </w:rPr>
        <w:t>’</w:t>
      </w:r>
      <w:r w:rsidRPr="00A14531">
        <w:rPr>
          <w:rFonts w:ascii="Arial" w:hAnsi="Arial" w:cs="Arial"/>
          <w:sz w:val="22"/>
          <w:szCs w:val="22"/>
        </w:rPr>
        <w:t xml:space="preserve">initiation à la mort en passant par le mariage. Les </w:t>
      </w:r>
      <w:r w:rsidRPr="00A14531">
        <w:rPr>
          <w:rFonts w:ascii="Arial" w:hAnsi="Arial" w:cs="Arial"/>
          <w:i/>
          <w:iCs/>
          <w:sz w:val="22"/>
          <w:szCs w:val="22"/>
        </w:rPr>
        <w:t>ingongi</w:t>
      </w:r>
      <w:r w:rsidRPr="00A14531">
        <w:rPr>
          <w:rFonts w:ascii="Arial" w:hAnsi="Arial" w:cs="Arial"/>
          <w:sz w:val="22"/>
          <w:szCs w:val="22"/>
        </w:rPr>
        <w:t xml:space="preserve"> (maîtres praticiens) sont très respectés car ils sont considérés comme les détenteurs d</w:t>
      </w:r>
      <w:r w:rsidR="009C104E">
        <w:rPr>
          <w:rFonts w:ascii="Arial" w:hAnsi="Arial" w:cs="Arial"/>
          <w:sz w:val="22"/>
          <w:szCs w:val="22"/>
        </w:rPr>
        <w:t>’</w:t>
      </w:r>
      <w:r w:rsidRPr="00A14531">
        <w:rPr>
          <w:rFonts w:ascii="Arial" w:hAnsi="Arial" w:cs="Arial"/>
          <w:sz w:val="22"/>
          <w:szCs w:val="22"/>
        </w:rPr>
        <w:t>un symbole d</w:t>
      </w:r>
      <w:r w:rsidR="009C104E">
        <w:rPr>
          <w:rFonts w:ascii="Arial" w:hAnsi="Arial" w:cs="Arial"/>
          <w:sz w:val="22"/>
          <w:szCs w:val="22"/>
        </w:rPr>
        <w:t>’</w:t>
      </w:r>
      <w:r w:rsidRPr="00A14531">
        <w:rPr>
          <w:rFonts w:ascii="Arial" w:hAnsi="Arial" w:cs="Arial"/>
          <w:sz w:val="22"/>
          <w:szCs w:val="22"/>
        </w:rPr>
        <w:t>identité et de fierté pour la communauté veekuhane. Ils sont aussi les principaux responsables de la transmission orale de leurs connaissances et de leur savoir-faire à la jeune génération, dirigeant la confection des robes, assurant le lien avec les chefs traditionnels et guidant les praticiens plus jeunes.</w:t>
      </w:r>
    </w:p>
    <w:p w14:paraId="3B7E3A9E" w14:textId="0AB40D88" w:rsidR="00A14531" w:rsidRPr="00A14531" w:rsidRDefault="00A14531" w:rsidP="00A14531">
      <w:pPr>
        <w:tabs>
          <w:tab w:val="left" w:pos="567"/>
          <w:tab w:val="left" w:pos="1134"/>
          <w:tab w:val="left" w:pos="2268"/>
        </w:tabs>
        <w:spacing w:before="120" w:after="120"/>
        <w:ind w:left="1134" w:hanging="567"/>
        <w:jc w:val="both"/>
        <w:rPr>
          <w:rFonts w:ascii="Arial" w:hAnsi="Arial" w:cs="Arial"/>
          <w:sz w:val="22"/>
          <w:szCs w:val="22"/>
        </w:rPr>
      </w:pPr>
      <w:r w:rsidRPr="00A14531">
        <w:rPr>
          <w:rFonts w:ascii="Arial" w:hAnsi="Arial" w:cs="Arial"/>
          <w:sz w:val="22"/>
          <w:szCs w:val="22"/>
        </w:rPr>
        <w:t>U.2 :</w:t>
      </w:r>
      <w:r w:rsidR="00F43657" w:rsidRPr="00F43657">
        <w:rPr>
          <w:rFonts w:ascii="Arial" w:hAnsi="Arial" w:cs="Arial"/>
          <w:sz w:val="22"/>
          <w:szCs w:val="22"/>
        </w:rPr>
        <w:t xml:space="preserve"> </w:t>
      </w:r>
      <w:r w:rsidR="00F43657" w:rsidRPr="00904C0F">
        <w:rPr>
          <w:rFonts w:ascii="Arial" w:hAnsi="Arial" w:cs="Arial"/>
          <w:sz w:val="22"/>
          <w:szCs w:val="22"/>
        </w:rPr>
        <w:tab/>
      </w:r>
      <w:r w:rsidRPr="00A14531">
        <w:rPr>
          <w:rFonts w:ascii="Arial" w:hAnsi="Arial" w:cs="Arial"/>
          <w:sz w:val="22"/>
          <w:szCs w:val="22"/>
        </w:rPr>
        <w:t>Après que le Botswana ait acquis son indépendance, l</w:t>
      </w:r>
      <w:r w:rsidR="009C104E">
        <w:rPr>
          <w:rFonts w:ascii="Arial" w:hAnsi="Arial" w:cs="Arial"/>
          <w:sz w:val="22"/>
          <w:szCs w:val="22"/>
        </w:rPr>
        <w:t>’</w:t>
      </w:r>
      <w:r w:rsidRPr="00A14531">
        <w:rPr>
          <w:rFonts w:ascii="Arial" w:hAnsi="Arial" w:cs="Arial"/>
          <w:sz w:val="22"/>
          <w:szCs w:val="22"/>
        </w:rPr>
        <w:t>importance de l</w:t>
      </w:r>
      <w:r w:rsidR="009C104E">
        <w:rPr>
          <w:rFonts w:ascii="Arial" w:hAnsi="Arial" w:cs="Arial"/>
          <w:sz w:val="22"/>
          <w:szCs w:val="22"/>
        </w:rPr>
        <w:t>’</w:t>
      </w:r>
      <w:r w:rsidRPr="00A14531">
        <w:rPr>
          <w:rFonts w:ascii="Arial" w:hAnsi="Arial" w:cs="Arial"/>
          <w:sz w:val="22"/>
          <w:szCs w:val="22"/>
        </w:rPr>
        <w:t>élément a commencé à décliner sous l</w:t>
      </w:r>
      <w:r w:rsidR="009C104E">
        <w:rPr>
          <w:rFonts w:ascii="Arial" w:hAnsi="Arial" w:cs="Arial"/>
          <w:sz w:val="22"/>
          <w:szCs w:val="22"/>
        </w:rPr>
        <w:t>’</w:t>
      </w:r>
      <w:r w:rsidRPr="00A14531">
        <w:rPr>
          <w:rFonts w:ascii="Arial" w:hAnsi="Arial" w:cs="Arial"/>
          <w:sz w:val="22"/>
          <w:szCs w:val="22"/>
        </w:rPr>
        <w:t>effet d</w:t>
      </w:r>
      <w:r w:rsidR="009C104E">
        <w:rPr>
          <w:rFonts w:ascii="Arial" w:hAnsi="Arial" w:cs="Arial"/>
          <w:sz w:val="22"/>
          <w:szCs w:val="22"/>
        </w:rPr>
        <w:t>’</w:t>
      </w:r>
      <w:r w:rsidRPr="00A14531">
        <w:rPr>
          <w:rFonts w:ascii="Arial" w:hAnsi="Arial" w:cs="Arial"/>
          <w:sz w:val="22"/>
          <w:szCs w:val="22"/>
        </w:rPr>
        <w:t>influences étrangères et de l</w:t>
      </w:r>
      <w:r w:rsidR="009C104E">
        <w:rPr>
          <w:rFonts w:ascii="Arial" w:hAnsi="Arial" w:cs="Arial"/>
          <w:sz w:val="22"/>
          <w:szCs w:val="22"/>
        </w:rPr>
        <w:t>’</w:t>
      </w:r>
      <w:r w:rsidRPr="00A14531">
        <w:rPr>
          <w:rFonts w:ascii="Arial" w:hAnsi="Arial" w:cs="Arial"/>
          <w:sz w:val="22"/>
          <w:szCs w:val="22"/>
        </w:rPr>
        <w:t>exposition à des pratiques culturelles étrangères par le biais des réseaux sociaux, de la télévision et des journaux. C</w:t>
      </w:r>
      <w:r w:rsidR="009C104E">
        <w:rPr>
          <w:rFonts w:ascii="Arial" w:hAnsi="Arial" w:cs="Arial"/>
          <w:sz w:val="22"/>
          <w:szCs w:val="22"/>
        </w:rPr>
        <w:t>’</w:t>
      </w:r>
      <w:r w:rsidRPr="00A14531">
        <w:rPr>
          <w:rFonts w:ascii="Arial" w:hAnsi="Arial" w:cs="Arial"/>
          <w:sz w:val="22"/>
          <w:szCs w:val="22"/>
        </w:rPr>
        <w:t>est aussi l</w:t>
      </w:r>
      <w:r w:rsidR="009C104E">
        <w:rPr>
          <w:rFonts w:ascii="Arial" w:hAnsi="Arial" w:cs="Arial"/>
          <w:sz w:val="22"/>
          <w:szCs w:val="22"/>
        </w:rPr>
        <w:t>’</w:t>
      </w:r>
      <w:r w:rsidRPr="00A14531">
        <w:rPr>
          <w:rFonts w:ascii="Arial" w:hAnsi="Arial" w:cs="Arial"/>
          <w:sz w:val="22"/>
          <w:szCs w:val="22"/>
        </w:rPr>
        <w:t>une des conséquences de la modernisation qui a conduit des membres de la communauté à s</w:t>
      </w:r>
      <w:r w:rsidR="009C104E">
        <w:rPr>
          <w:rFonts w:ascii="Arial" w:hAnsi="Arial" w:cs="Arial"/>
          <w:sz w:val="22"/>
          <w:szCs w:val="22"/>
        </w:rPr>
        <w:t>’</w:t>
      </w:r>
      <w:r w:rsidRPr="00A14531">
        <w:rPr>
          <w:rFonts w:ascii="Arial" w:hAnsi="Arial" w:cs="Arial"/>
          <w:sz w:val="22"/>
          <w:szCs w:val="22"/>
        </w:rPr>
        <w:t>installer dans d</w:t>
      </w:r>
      <w:r w:rsidR="009C104E">
        <w:rPr>
          <w:rFonts w:ascii="Arial" w:hAnsi="Arial" w:cs="Arial"/>
          <w:sz w:val="22"/>
          <w:szCs w:val="22"/>
        </w:rPr>
        <w:t>’</w:t>
      </w:r>
      <w:r w:rsidRPr="00A14531">
        <w:rPr>
          <w:rFonts w:ascii="Arial" w:hAnsi="Arial" w:cs="Arial"/>
          <w:sz w:val="22"/>
          <w:szCs w:val="22"/>
        </w:rPr>
        <w:t>autres régions : certains voulant explorer de nouveaux horizons, tandis que d</w:t>
      </w:r>
      <w:r w:rsidR="009C104E">
        <w:rPr>
          <w:rFonts w:ascii="Arial" w:hAnsi="Arial" w:cs="Arial"/>
          <w:sz w:val="22"/>
          <w:szCs w:val="22"/>
        </w:rPr>
        <w:t>’</w:t>
      </w:r>
      <w:r w:rsidRPr="00A14531">
        <w:rPr>
          <w:rFonts w:ascii="Arial" w:hAnsi="Arial" w:cs="Arial"/>
          <w:sz w:val="22"/>
          <w:szCs w:val="22"/>
        </w:rPr>
        <w:t>autres (les jeunes) migrent en ville pour poursuivre leurs études. Autre facteur, l</w:t>
      </w:r>
      <w:r w:rsidR="009C104E">
        <w:rPr>
          <w:rFonts w:ascii="Arial" w:hAnsi="Arial" w:cs="Arial"/>
          <w:sz w:val="22"/>
          <w:szCs w:val="22"/>
        </w:rPr>
        <w:t>’</w:t>
      </w:r>
      <w:r w:rsidRPr="00A14531">
        <w:rPr>
          <w:rFonts w:ascii="Arial" w:hAnsi="Arial" w:cs="Arial"/>
          <w:sz w:val="22"/>
          <w:szCs w:val="22"/>
        </w:rPr>
        <w:t>évolution du système éducatif : tous les écoliers suivent un programme scolaire uniformisé, ce qui explique que l</w:t>
      </w:r>
      <w:r w:rsidR="009C104E">
        <w:rPr>
          <w:rFonts w:ascii="Arial" w:hAnsi="Arial" w:cs="Arial"/>
          <w:sz w:val="22"/>
          <w:szCs w:val="22"/>
        </w:rPr>
        <w:t>’</w:t>
      </w:r>
      <w:r w:rsidRPr="00A14531">
        <w:rPr>
          <w:rFonts w:ascii="Arial" w:hAnsi="Arial" w:cs="Arial"/>
          <w:sz w:val="22"/>
          <w:szCs w:val="22"/>
        </w:rPr>
        <w:t>élément est ignoré et ne suscite plus l</w:t>
      </w:r>
      <w:r w:rsidR="009C104E">
        <w:rPr>
          <w:rFonts w:ascii="Arial" w:hAnsi="Arial" w:cs="Arial"/>
          <w:sz w:val="22"/>
          <w:szCs w:val="22"/>
        </w:rPr>
        <w:t>’</w:t>
      </w:r>
      <w:r w:rsidRPr="00A14531">
        <w:rPr>
          <w:rFonts w:ascii="Arial" w:hAnsi="Arial" w:cs="Arial"/>
          <w:sz w:val="22"/>
          <w:szCs w:val="22"/>
        </w:rPr>
        <w:t>intérêt des jeunes générations. La famille, auparavant seul cadre de transmission des connaissances, a été remplacée par l</w:t>
      </w:r>
      <w:r w:rsidR="009C104E">
        <w:rPr>
          <w:rFonts w:ascii="Arial" w:hAnsi="Arial" w:cs="Arial"/>
          <w:sz w:val="22"/>
          <w:szCs w:val="22"/>
        </w:rPr>
        <w:t>’</w:t>
      </w:r>
      <w:r w:rsidRPr="00A14531">
        <w:rPr>
          <w:rFonts w:ascii="Arial" w:hAnsi="Arial" w:cs="Arial"/>
          <w:sz w:val="22"/>
          <w:szCs w:val="22"/>
        </w:rPr>
        <w:t>enseignant, qui connaît à peine l</w:t>
      </w:r>
      <w:r w:rsidR="009C104E">
        <w:rPr>
          <w:rFonts w:ascii="Arial" w:hAnsi="Arial" w:cs="Arial"/>
          <w:sz w:val="22"/>
          <w:szCs w:val="22"/>
        </w:rPr>
        <w:t>’</w:t>
      </w:r>
      <w:r w:rsidRPr="00A14531">
        <w:rPr>
          <w:rFonts w:ascii="Arial" w:hAnsi="Arial" w:cs="Arial"/>
          <w:sz w:val="22"/>
          <w:szCs w:val="22"/>
        </w:rPr>
        <w:t>élément et ses pratiques associées. Par conséquent, certaines pratiques ont été standardisées et certains aspects clés ont été omis. Par ailleurs, il n</w:t>
      </w:r>
      <w:r w:rsidR="009C104E">
        <w:rPr>
          <w:rFonts w:ascii="Arial" w:hAnsi="Arial" w:cs="Arial"/>
          <w:sz w:val="22"/>
          <w:szCs w:val="22"/>
        </w:rPr>
        <w:t>’</w:t>
      </w:r>
      <w:r w:rsidRPr="00A14531">
        <w:rPr>
          <w:rFonts w:ascii="Arial" w:hAnsi="Arial" w:cs="Arial"/>
          <w:sz w:val="22"/>
          <w:szCs w:val="22"/>
        </w:rPr>
        <w:t>existe pas de documentation complète permettant de former la jeune génération à la transmission de l</w:t>
      </w:r>
      <w:r w:rsidR="009C104E">
        <w:rPr>
          <w:rFonts w:ascii="Arial" w:hAnsi="Arial" w:cs="Arial"/>
          <w:sz w:val="22"/>
          <w:szCs w:val="22"/>
        </w:rPr>
        <w:t>’</w:t>
      </w:r>
      <w:r w:rsidRPr="00A14531">
        <w:rPr>
          <w:rFonts w:ascii="Arial" w:hAnsi="Arial" w:cs="Arial"/>
          <w:sz w:val="22"/>
          <w:szCs w:val="22"/>
        </w:rPr>
        <w:t>élément. Malgré les efforts de sauvegarde entrepris par les membres de la communauté et les autorités, la viabilité de l</w:t>
      </w:r>
      <w:r w:rsidR="009C104E">
        <w:rPr>
          <w:rFonts w:ascii="Arial" w:hAnsi="Arial" w:cs="Arial"/>
          <w:sz w:val="22"/>
          <w:szCs w:val="22"/>
        </w:rPr>
        <w:t>’</w:t>
      </w:r>
      <w:r w:rsidRPr="00A14531">
        <w:rPr>
          <w:rFonts w:ascii="Arial" w:hAnsi="Arial" w:cs="Arial"/>
          <w:sz w:val="22"/>
          <w:szCs w:val="22"/>
        </w:rPr>
        <w:t>élément reste encore très menacée.</w:t>
      </w:r>
    </w:p>
    <w:p w14:paraId="749B8468" w14:textId="3877CA49" w:rsidR="00A14531" w:rsidRPr="00A14531" w:rsidRDefault="00A14531" w:rsidP="00A14531">
      <w:pPr>
        <w:tabs>
          <w:tab w:val="left" w:pos="567"/>
          <w:tab w:val="left" w:pos="1134"/>
          <w:tab w:val="left" w:pos="2268"/>
        </w:tabs>
        <w:spacing w:before="120" w:after="120"/>
        <w:ind w:left="1134" w:hanging="567"/>
        <w:jc w:val="both"/>
        <w:rPr>
          <w:rFonts w:ascii="Arial" w:hAnsi="Arial" w:cs="Arial"/>
          <w:sz w:val="22"/>
          <w:szCs w:val="22"/>
        </w:rPr>
      </w:pPr>
      <w:r w:rsidRPr="00A14531">
        <w:rPr>
          <w:rFonts w:ascii="Arial" w:hAnsi="Arial" w:cs="Arial"/>
          <w:sz w:val="22"/>
          <w:szCs w:val="22"/>
        </w:rPr>
        <w:t>U.3 :</w:t>
      </w:r>
      <w:r w:rsidR="00F43657" w:rsidRPr="00F43657">
        <w:rPr>
          <w:rFonts w:ascii="Arial" w:hAnsi="Arial" w:cs="Arial"/>
          <w:sz w:val="22"/>
          <w:szCs w:val="22"/>
        </w:rPr>
        <w:t xml:space="preserve"> </w:t>
      </w:r>
      <w:r w:rsidR="00F43657" w:rsidRPr="00904C0F">
        <w:rPr>
          <w:rFonts w:ascii="Arial" w:hAnsi="Arial" w:cs="Arial"/>
          <w:sz w:val="22"/>
          <w:szCs w:val="22"/>
        </w:rPr>
        <w:tab/>
      </w:r>
      <w:r w:rsidRPr="00A14531">
        <w:rPr>
          <w:rFonts w:ascii="Arial" w:hAnsi="Arial" w:cs="Arial"/>
          <w:sz w:val="22"/>
          <w:szCs w:val="22"/>
        </w:rPr>
        <w:t>Plusieurs initiatives sont actuellement menées pour sauvegarder l</w:t>
      </w:r>
      <w:r w:rsidR="009C104E">
        <w:rPr>
          <w:rFonts w:ascii="Arial" w:hAnsi="Arial" w:cs="Arial"/>
          <w:sz w:val="22"/>
          <w:szCs w:val="22"/>
        </w:rPr>
        <w:t>’</w:t>
      </w:r>
      <w:r w:rsidRPr="00A14531">
        <w:rPr>
          <w:rFonts w:ascii="Arial" w:hAnsi="Arial" w:cs="Arial"/>
          <w:sz w:val="22"/>
          <w:szCs w:val="22"/>
        </w:rPr>
        <w:t>élément et promouvoir des programmes axés sur la « préservation culturelle » au Botswana. Parmi celles-ci, on peut citer l</w:t>
      </w:r>
      <w:r w:rsidR="009C104E">
        <w:rPr>
          <w:rFonts w:ascii="Arial" w:hAnsi="Arial" w:cs="Arial"/>
          <w:sz w:val="22"/>
          <w:szCs w:val="22"/>
        </w:rPr>
        <w:t>’</w:t>
      </w:r>
      <w:r w:rsidRPr="00A14531">
        <w:rPr>
          <w:rFonts w:ascii="Arial" w:hAnsi="Arial" w:cs="Arial"/>
          <w:sz w:val="22"/>
          <w:szCs w:val="22"/>
        </w:rPr>
        <w:t>élaboration d</w:t>
      </w:r>
      <w:r w:rsidR="009C104E">
        <w:rPr>
          <w:rFonts w:ascii="Arial" w:hAnsi="Arial" w:cs="Arial"/>
          <w:sz w:val="22"/>
          <w:szCs w:val="22"/>
        </w:rPr>
        <w:t>’</w:t>
      </w:r>
      <w:r w:rsidRPr="00A14531">
        <w:rPr>
          <w:rFonts w:ascii="Arial" w:hAnsi="Arial" w:cs="Arial"/>
          <w:sz w:val="22"/>
          <w:szCs w:val="22"/>
        </w:rPr>
        <w:t>une politique culturelle nationale, les compétitions de la Journée du président, la tenue de concours artistiques dans les différentes circonscriptions du pays et le soutien apporté à différents festivals culturels communautaires afin de sauvegarder, transmettre et promouvoir la danse populaire seperu et ses pratiques associées. S</w:t>
      </w:r>
      <w:r w:rsidR="009C104E">
        <w:rPr>
          <w:rFonts w:ascii="Arial" w:hAnsi="Arial" w:cs="Arial"/>
          <w:sz w:val="22"/>
          <w:szCs w:val="22"/>
        </w:rPr>
        <w:t>’</w:t>
      </w:r>
      <w:r w:rsidRPr="00A14531">
        <w:rPr>
          <w:rFonts w:ascii="Arial" w:hAnsi="Arial" w:cs="Arial"/>
          <w:sz w:val="22"/>
          <w:szCs w:val="22"/>
        </w:rPr>
        <w:t>appuyant sur ces initiatives, le plan de sauvegarde vise à lutter contre les facteurs qui menacent l</w:t>
      </w:r>
      <w:r w:rsidR="009C104E">
        <w:rPr>
          <w:rFonts w:ascii="Arial" w:hAnsi="Arial" w:cs="Arial"/>
          <w:sz w:val="22"/>
          <w:szCs w:val="22"/>
        </w:rPr>
        <w:t>’</w:t>
      </w:r>
      <w:r w:rsidRPr="00A14531">
        <w:rPr>
          <w:rFonts w:ascii="Arial" w:hAnsi="Arial" w:cs="Arial"/>
          <w:sz w:val="22"/>
          <w:szCs w:val="22"/>
        </w:rPr>
        <w:t>élément. Il comprend des activités visant à renforcer la transmission de la danse populaire seperu, y compris la création d</w:t>
      </w:r>
      <w:r w:rsidR="009C104E">
        <w:rPr>
          <w:rFonts w:ascii="Arial" w:hAnsi="Arial" w:cs="Arial"/>
          <w:sz w:val="22"/>
          <w:szCs w:val="22"/>
        </w:rPr>
        <w:t>’</w:t>
      </w:r>
      <w:r w:rsidRPr="00A14531">
        <w:rPr>
          <w:rFonts w:ascii="Arial" w:hAnsi="Arial" w:cs="Arial"/>
          <w:sz w:val="22"/>
          <w:szCs w:val="22"/>
        </w:rPr>
        <w:t>espaces de formation dans les écoles ; à mener des recherches approfondies et à documenter l</w:t>
      </w:r>
      <w:r w:rsidR="009C104E">
        <w:rPr>
          <w:rFonts w:ascii="Arial" w:hAnsi="Arial" w:cs="Arial"/>
          <w:sz w:val="22"/>
          <w:szCs w:val="22"/>
        </w:rPr>
        <w:t>’</w:t>
      </w:r>
      <w:r w:rsidRPr="00A14531">
        <w:rPr>
          <w:rFonts w:ascii="Arial" w:hAnsi="Arial" w:cs="Arial"/>
          <w:sz w:val="22"/>
          <w:szCs w:val="22"/>
        </w:rPr>
        <w:t>élément ; à accroître la visibilité de l</w:t>
      </w:r>
      <w:r w:rsidR="009C104E">
        <w:rPr>
          <w:rFonts w:ascii="Arial" w:hAnsi="Arial" w:cs="Arial"/>
          <w:sz w:val="22"/>
          <w:szCs w:val="22"/>
        </w:rPr>
        <w:t>’</w:t>
      </w:r>
      <w:r w:rsidRPr="00A14531">
        <w:rPr>
          <w:rFonts w:ascii="Arial" w:hAnsi="Arial" w:cs="Arial"/>
          <w:sz w:val="22"/>
          <w:szCs w:val="22"/>
        </w:rPr>
        <w:t>élément ; à revitaliser les pratiques associées au seperu ; et à promouvoir l</w:t>
      </w:r>
      <w:r w:rsidR="009C104E">
        <w:rPr>
          <w:rFonts w:ascii="Arial" w:hAnsi="Arial" w:cs="Arial"/>
          <w:sz w:val="22"/>
          <w:szCs w:val="22"/>
        </w:rPr>
        <w:t>’</w:t>
      </w:r>
      <w:r w:rsidRPr="00A14531">
        <w:rPr>
          <w:rFonts w:ascii="Arial" w:hAnsi="Arial" w:cs="Arial"/>
          <w:sz w:val="22"/>
          <w:szCs w:val="22"/>
        </w:rPr>
        <w:t>utilisation des robes traditionnelles.</w:t>
      </w:r>
    </w:p>
    <w:p w14:paraId="0D336ECA" w14:textId="66982EFB" w:rsidR="00A14531" w:rsidRPr="00A14531" w:rsidRDefault="00A14531" w:rsidP="00A14531">
      <w:pPr>
        <w:tabs>
          <w:tab w:val="left" w:pos="567"/>
          <w:tab w:val="left" w:pos="1134"/>
          <w:tab w:val="left" w:pos="2268"/>
        </w:tabs>
        <w:spacing w:before="120" w:after="120"/>
        <w:ind w:left="1134" w:hanging="567"/>
        <w:jc w:val="both"/>
        <w:rPr>
          <w:rFonts w:ascii="Arial" w:hAnsi="Arial" w:cs="Arial"/>
          <w:sz w:val="22"/>
          <w:szCs w:val="22"/>
        </w:rPr>
      </w:pPr>
      <w:r w:rsidRPr="00A14531">
        <w:rPr>
          <w:rFonts w:ascii="Arial" w:hAnsi="Arial" w:cs="Arial"/>
          <w:sz w:val="22"/>
          <w:szCs w:val="22"/>
        </w:rPr>
        <w:t>U.4 :</w:t>
      </w:r>
      <w:r w:rsidR="00F43657" w:rsidRPr="00F43657">
        <w:rPr>
          <w:rFonts w:ascii="Arial" w:hAnsi="Arial" w:cs="Arial"/>
          <w:sz w:val="22"/>
          <w:szCs w:val="22"/>
        </w:rPr>
        <w:t xml:space="preserve"> </w:t>
      </w:r>
      <w:r w:rsidR="00F43657" w:rsidRPr="00904C0F">
        <w:rPr>
          <w:rFonts w:ascii="Arial" w:hAnsi="Arial" w:cs="Arial"/>
          <w:sz w:val="22"/>
          <w:szCs w:val="22"/>
        </w:rPr>
        <w:tab/>
      </w:r>
      <w:r w:rsidRPr="00A14531">
        <w:rPr>
          <w:rFonts w:ascii="Arial" w:hAnsi="Arial" w:cs="Arial"/>
          <w:sz w:val="22"/>
          <w:szCs w:val="22"/>
        </w:rPr>
        <w:t>Les praticiens de la danse populaire seperu et des pratiques associées – principalement représentés par les maîtres praticiens (</w:t>
      </w:r>
      <w:r w:rsidRPr="00A14531">
        <w:rPr>
          <w:rFonts w:ascii="Arial" w:hAnsi="Arial" w:cs="Arial"/>
          <w:i/>
          <w:iCs/>
          <w:sz w:val="22"/>
          <w:szCs w:val="22"/>
        </w:rPr>
        <w:t>ingongi</w:t>
      </w:r>
      <w:r w:rsidRPr="00A14531">
        <w:rPr>
          <w:rFonts w:ascii="Arial" w:hAnsi="Arial" w:cs="Arial"/>
          <w:sz w:val="22"/>
          <w:szCs w:val="22"/>
        </w:rPr>
        <w:t>), les groupes de seperu, les autorités locales et le Comité local du patrimoine culturel immatériel – ont activement participé au processus d</w:t>
      </w:r>
      <w:r w:rsidR="009C104E">
        <w:rPr>
          <w:rFonts w:ascii="Arial" w:hAnsi="Arial" w:cs="Arial"/>
          <w:sz w:val="22"/>
          <w:szCs w:val="22"/>
        </w:rPr>
        <w:t>’</w:t>
      </w:r>
      <w:r w:rsidRPr="00A14531">
        <w:rPr>
          <w:rFonts w:ascii="Arial" w:hAnsi="Arial" w:cs="Arial"/>
          <w:sz w:val="22"/>
          <w:szCs w:val="22"/>
        </w:rPr>
        <w:t>inventaire mené par la communauté, qui a abouti au processus de candidature. Ce processus inclut la conception et la préparation du dossier de candidature, ainsi que la planification des mesures de sauvegarde par le biais de travaux d</w:t>
      </w:r>
      <w:r w:rsidR="009C104E">
        <w:rPr>
          <w:rFonts w:ascii="Arial" w:hAnsi="Arial" w:cs="Arial"/>
          <w:sz w:val="22"/>
          <w:szCs w:val="22"/>
        </w:rPr>
        <w:t>’</w:t>
      </w:r>
      <w:r w:rsidRPr="00A14531">
        <w:rPr>
          <w:rFonts w:ascii="Arial" w:hAnsi="Arial" w:cs="Arial"/>
          <w:sz w:val="22"/>
          <w:szCs w:val="22"/>
        </w:rPr>
        <w:t>identification, de recherche et de documentation. Le caractère secret de certains éléments privés et intimes des rituels associés à l</w:t>
      </w:r>
      <w:r w:rsidR="009C104E">
        <w:rPr>
          <w:rFonts w:ascii="Arial" w:hAnsi="Arial" w:cs="Arial"/>
          <w:sz w:val="22"/>
          <w:szCs w:val="22"/>
        </w:rPr>
        <w:t>’</w:t>
      </w:r>
      <w:r w:rsidRPr="00A14531">
        <w:rPr>
          <w:rFonts w:ascii="Arial" w:hAnsi="Arial" w:cs="Arial"/>
          <w:sz w:val="22"/>
          <w:szCs w:val="22"/>
        </w:rPr>
        <w:t>élément sera respecté, tout comme les tabous et les pratiques sacrées.</w:t>
      </w:r>
    </w:p>
    <w:p w14:paraId="092DE92B" w14:textId="774F3290" w:rsidR="00A14531" w:rsidRPr="00A14531" w:rsidRDefault="00A14531" w:rsidP="00A14531">
      <w:pPr>
        <w:tabs>
          <w:tab w:val="left" w:pos="567"/>
          <w:tab w:val="left" w:pos="1134"/>
          <w:tab w:val="left" w:pos="2268"/>
        </w:tabs>
        <w:spacing w:before="120" w:after="120"/>
        <w:ind w:left="1134" w:hanging="567"/>
        <w:jc w:val="both"/>
        <w:rPr>
          <w:rFonts w:ascii="Arial" w:hAnsi="Arial" w:cs="Arial"/>
          <w:sz w:val="22"/>
          <w:szCs w:val="22"/>
        </w:rPr>
      </w:pPr>
      <w:r w:rsidRPr="00A14531">
        <w:rPr>
          <w:rFonts w:ascii="Arial" w:hAnsi="Arial" w:cs="Arial"/>
          <w:sz w:val="22"/>
          <w:szCs w:val="22"/>
        </w:rPr>
        <w:t>U.5 :</w:t>
      </w:r>
      <w:r w:rsidR="00F43657" w:rsidRPr="00F43657">
        <w:rPr>
          <w:rFonts w:ascii="Arial" w:hAnsi="Arial" w:cs="Arial"/>
          <w:sz w:val="22"/>
          <w:szCs w:val="22"/>
        </w:rPr>
        <w:t xml:space="preserve"> </w:t>
      </w:r>
      <w:r w:rsidR="00F43657" w:rsidRPr="00904C0F">
        <w:rPr>
          <w:rFonts w:ascii="Arial" w:hAnsi="Arial" w:cs="Arial"/>
          <w:sz w:val="22"/>
          <w:szCs w:val="22"/>
        </w:rPr>
        <w:tab/>
      </w:r>
      <w:r w:rsidRPr="00A14531">
        <w:rPr>
          <w:rFonts w:ascii="Arial" w:hAnsi="Arial" w:cs="Arial"/>
          <w:sz w:val="22"/>
          <w:szCs w:val="22"/>
        </w:rPr>
        <w:t>Dans le cadre d</w:t>
      </w:r>
      <w:r w:rsidR="009C104E">
        <w:rPr>
          <w:rFonts w:ascii="Arial" w:hAnsi="Arial" w:cs="Arial"/>
          <w:sz w:val="22"/>
          <w:szCs w:val="22"/>
        </w:rPr>
        <w:t>’</w:t>
      </w:r>
      <w:r w:rsidRPr="00A14531">
        <w:rPr>
          <w:rFonts w:ascii="Arial" w:hAnsi="Arial" w:cs="Arial"/>
          <w:sz w:val="22"/>
          <w:szCs w:val="22"/>
        </w:rPr>
        <w:t>un projet d</w:t>
      </w:r>
      <w:r w:rsidR="009C104E">
        <w:rPr>
          <w:rFonts w:ascii="Arial" w:hAnsi="Arial" w:cs="Arial"/>
          <w:sz w:val="22"/>
          <w:szCs w:val="22"/>
        </w:rPr>
        <w:t>’</w:t>
      </w:r>
      <w:r w:rsidRPr="00A14531">
        <w:rPr>
          <w:rFonts w:ascii="Arial" w:hAnsi="Arial" w:cs="Arial"/>
          <w:sz w:val="22"/>
          <w:szCs w:val="22"/>
        </w:rPr>
        <w:t>inventaire fait par les communautés et lancé en juillet 2011, la danse populaire seperu a été inscrite à l</w:t>
      </w:r>
      <w:r w:rsidR="009C104E">
        <w:rPr>
          <w:rFonts w:ascii="Arial" w:hAnsi="Arial" w:cs="Arial"/>
          <w:sz w:val="22"/>
          <w:szCs w:val="22"/>
        </w:rPr>
        <w:t>’</w:t>
      </w:r>
      <w:r w:rsidRPr="00A14531">
        <w:rPr>
          <w:rFonts w:ascii="Arial" w:hAnsi="Arial" w:cs="Arial"/>
          <w:sz w:val="22"/>
          <w:szCs w:val="22"/>
        </w:rPr>
        <w:t>Inventaire des éléments du PCI du district de Chobe. Les principales parties prenantes au sein des communautés locales ont toutes contribué à ce processus. L</w:t>
      </w:r>
      <w:r w:rsidR="009C104E">
        <w:rPr>
          <w:rFonts w:ascii="Arial" w:hAnsi="Arial" w:cs="Arial"/>
          <w:sz w:val="22"/>
          <w:szCs w:val="22"/>
        </w:rPr>
        <w:t>’</w:t>
      </w:r>
      <w:r w:rsidRPr="00A14531">
        <w:rPr>
          <w:rFonts w:ascii="Arial" w:hAnsi="Arial" w:cs="Arial"/>
          <w:sz w:val="22"/>
          <w:szCs w:val="22"/>
        </w:rPr>
        <w:t>inventaire est régulièrement mis à jour par la communauté basubiya, avec la collaboration du Comité du patrimoine culturel immatériel du district et du Département des arts et de la culture.</w:t>
      </w:r>
    </w:p>
    <w:p w14:paraId="4156C96C" w14:textId="12DDFD5B" w:rsidR="00A14531" w:rsidRPr="00A14531" w:rsidRDefault="00A14531" w:rsidP="00771F30">
      <w:pPr>
        <w:numPr>
          <w:ilvl w:val="1"/>
          <w:numId w:val="24"/>
        </w:numPr>
        <w:tabs>
          <w:tab w:val="left" w:pos="567"/>
          <w:tab w:val="left" w:pos="1701"/>
          <w:tab w:val="left" w:pos="2268"/>
        </w:tabs>
        <w:spacing w:before="120" w:after="120"/>
        <w:ind w:left="567"/>
        <w:jc w:val="both"/>
        <w:rPr>
          <w:rFonts w:ascii="Arial" w:hAnsi="Arial" w:cs="Arial"/>
          <w:sz w:val="22"/>
          <w:szCs w:val="22"/>
        </w:rPr>
      </w:pPr>
      <w:r w:rsidRPr="00A14531">
        <w:rPr>
          <w:rFonts w:ascii="Arial" w:hAnsi="Arial" w:cs="Arial"/>
          <w:sz w:val="22"/>
          <w:szCs w:val="22"/>
          <w:u w:val="single"/>
        </w:rPr>
        <w:t>Décide d</w:t>
      </w:r>
      <w:r w:rsidR="009C104E">
        <w:rPr>
          <w:rFonts w:ascii="Arial" w:hAnsi="Arial" w:cs="Arial"/>
          <w:sz w:val="22"/>
          <w:szCs w:val="22"/>
          <w:u w:val="single"/>
        </w:rPr>
        <w:t>’</w:t>
      </w:r>
      <w:r w:rsidRPr="00A14531">
        <w:rPr>
          <w:rFonts w:ascii="Arial" w:hAnsi="Arial" w:cs="Arial"/>
          <w:sz w:val="22"/>
          <w:szCs w:val="22"/>
          <w:u w:val="single"/>
        </w:rPr>
        <w:t>inscrire</w:t>
      </w:r>
      <w:r w:rsidRPr="00A14531">
        <w:rPr>
          <w:rFonts w:ascii="Arial" w:hAnsi="Arial" w:cs="Arial"/>
          <w:sz w:val="22"/>
          <w:szCs w:val="22"/>
        </w:rPr>
        <w:t xml:space="preserve"> </w:t>
      </w:r>
      <w:r w:rsidRPr="00A14531">
        <w:rPr>
          <w:rFonts w:ascii="Arial" w:hAnsi="Arial" w:cs="Arial"/>
          <w:b/>
          <w:sz w:val="22"/>
          <w:szCs w:val="22"/>
        </w:rPr>
        <w:t xml:space="preserve">le </w:t>
      </w:r>
      <w:r w:rsidRPr="00A14531">
        <w:rPr>
          <w:rFonts w:ascii="Arial" w:hAnsi="Arial" w:cs="Arial"/>
          <w:b/>
          <w:bCs/>
          <w:sz w:val="22"/>
          <w:szCs w:val="22"/>
        </w:rPr>
        <w:t>seperu, danse populaire et pratiques associées</w:t>
      </w:r>
      <w:r w:rsidRPr="00A14531">
        <w:rPr>
          <w:rFonts w:ascii="Arial" w:hAnsi="Arial" w:cs="Arial"/>
          <w:sz w:val="22"/>
          <w:szCs w:val="22"/>
        </w:rPr>
        <w:t xml:space="preserve"> sur la Liste du patrimoine culturel immatériel nécessitant une sauvegarde urgente ;</w:t>
      </w:r>
    </w:p>
    <w:p w14:paraId="397A13EB" w14:textId="370A1C06" w:rsidR="00A14531" w:rsidRPr="00A14531" w:rsidRDefault="00A14531" w:rsidP="00771F30">
      <w:pPr>
        <w:numPr>
          <w:ilvl w:val="1"/>
          <w:numId w:val="24"/>
        </w:numPr>
        <w:tabs>
          <w:tab w:val="left" w:pos="567"/>
          <w:tab w:val="left" w:pos="1701"/>
          <w:tab w:val="left" w:pos="2268"/>
        </w:tabs>
        <w:spacing w:before="120" w:after="120"/>
        <w:ind w:left="567"/>
        <w:jc w:val="both"/>
        <w:rPr>
          <w:rFonts w:ascii="Arial" w:hAnsi="Arial" w:cs="Arial"/>
          <w:sz w:val="22"/>
          <w:szCs w:val="22"/>
        </w:rPr>
      </w:pPr>
      <w:r w:rsidRPr="00A14531">
        <w:rPr>
          <w:rFonts w:ascii="Arial" w:hAnsi="Arial" w:cs="Arial"/>
          <w:sz w:val="22"/>
          <w:szCs w:val="22"/>
          <w:u w:val="single"/>
        </w:rPr>
        <w:t>Félicite</w:t>
      </w:r>
      <w:r w:rsidRPr="00A14531">
        <w:rPr>
          <w:rFonts w:ascii="Arial" w:hAnsi="Arial" w:cs="Arial"/>
          <w:sz w:val="22"/>
          <w:szCs w:val="22"/>
        </w:rPr>
        <w:t xml:space="preserve"> l</w:t>
      </w:r>
      <w:r w:rsidR="009C104E">
        <w:rPr>
          <w:rFonts w:ascii="Arial" w:hAnsi="Arial" w:cs="Arial"/>
          <w:sz w:val="22"/>
          <w:szCs w:val="22"/>
        </w:rPr>
        <w:t>’</w:t>
      </w:r>
      <w:r w:rsidRPr="00A14531">
        <w:rPr>
          <w:rFonts w:ascii="Arial" w:hAnsi="Arial" w:cs="Arial"/>
          <w:sz w:val="22"/>
          <w:szCs w:val="22"/>
        </w:rPr>
        <w:t>État partie pour la soumission d</w:t>
      </w:r>
      <w:r w:rsidR="009C104E">
        <w:rPr>
          <w:rFonts w:ascii="Arial" w:hAnsi="Arial" w:cs="Arial"/>
          <w:sz w:val="22"/>
          <w:szCs w:val="22"/>
        </w:rPr>
        <w:t>’</w:t>
      </w:r>
      <w:r w:rsidRPr="00A14531">
        <w:rPr>
          <w:rFonts w:ascii="Arial" w:hAnsi="Arial" w:cs="Arial"/>
          <w:sz w:val="22"/>
          <w:szCs w:val="22"/>
        </w:rPr>
        <w:t>un dossier amélioré suite au renvoi de cette candidature et aux recommandations émises par le Comité lors de sa huitième session en 2013 ;</w:t>
      </w:r>
    </w:p>
    <w:p w14:paraId="1B5AF67D" w14:textId="0E1A4AAD" w:rsidR="00A14531" w:rsidRPr="00A14531" w:rsidRDefault="00A14531" w:rsidP="00771F30">
      <w:pPr>
        <w:numPr>
          <w:ilvl w:val="1"/>
          <w:numId w:val="24"/>
        </w:numPr>
        <w:tabs>
          <w:tab w:val="left" w:pos="567"/>
          <w:tab w:val="left" w:pos="1701"/>
          <w:tab w:val="left" w:pos="2268"/>
        </w:tabs>
        <w:spacing w:before="120" w:after="120"/>
        <w:ind w:left="567"/>
        <w:jc w:val="both"/>
        <w:rPr>
          <w:rFonts w:ascii="Arial" w:hAnsi="Arial" w:cs="Arial"/>
          <w:sz w:val="22"/>
          <w:szCs w:val="22"/>
        </w:rPr>
      </w:pPr>
      <w:r w:rsidRPr="00A14531">
        <w:rPr>
          <w:rFonts w:ascii="Arial" w:hAnsi="Arial" w:cs="Arial"/>
          <w:sz w:val="22"/>
          <w:szCs w:val="22"/>
          <w:u w:val="single"/>
        </w:rPr>
        <w:t>Encourage</w:t>
      </w:r>
      <w:r w:rsidRPr="00A14531">
        <w:rPr>
          <w:rFonts w:ascii="Arial" w:hAnsi="Arial" w:cs="Arial"/>
          <w:sz w:val="22"/>
          <w:szCs w:val="22"/>
        </w:rPr>
        <w:t xml:space="preserve"> l</w:t>
      </w:r>
      <w:r w:rsidR="009C104E">
        <w:rPr>
          <w:rFonts w:ascii="Arial" w:hAnsi="Arial" w:cs="Arial"/>
          <w:sz w:val="22"/>
          <w:szCs w:val="22"/>
        </w:rPr>
        <w:t>’</w:t>
      </w:r>
      <w:r w:rsidRPr="00A14531">
        <w:rPr>
          <w:rFonts w:ascii="Arial" w:hAnsi="Arial" w:cs="Arial"/>
          <w:sz w:val="22"/>
          <w:szCs w:val="22"/>
        </w:rPr>
        <w:t>État partie à éviter d</w:t>
      </w:r>
      <w:r w:rsidR="009C104E">
        <w:rPr>
          <w:rFonts w:ascii="Arial" w:hAnsi="Arial" w:cs="Arial"/>
          <w:sz w:val="22"/>
          <w:szCs w:val="22"/>
        </w:rPr>
        <w:t>’</w:t>
      </w:r>
      <w:r w:rsidRPr="00A14531">
        <w:rPr>
          <w:rFonts w:ascii="Arial" w:hAnsi="Arial" w:cs="Arial"/>
          <w:sz w:val="22"/>
          <w:szCs w:val="22"/>
        </w:rPr>
        <w:t>inclure à l</w:t>
      </w:r>
      <w:r w:rsidR="009C104E">
        <w:rPr>
          <w:rFonts w:ascii="Arial" w:hAnsi="Arial" w:cs="Arial"/>
          <w:sz w:val="22"/>
          <w:szCs w:val="22"/>
        </w:rPr>
        <w:t>’</w:t>
      </w:r>
      <w:r w:rsidRPr="00A14531">
        <w:rPr>
          <w:rFonts w:ascii="Arial" w:hAnsi="Arial" w:cs="Arial"/>
          <w:sz w:val="22"/>
          <w:szCs w:val="22"/>
        </w:rPr>
        <w:t>avenir des lettres de consentement standardisées aux dossiers de candidature, tout en veillant à ce que les diverses circonstances dans lesquelles de tels consentements ont été donnés soient prises en compte ;</w:t>
      </w:r>
    </w:p>
    <w:p w14:paraId="0BAEE444" w14:textId="1047629C" w:rsidR="00A14531" w:rsidRPr="00A14531" w:rsidRDefault="00A14531" w:rsidP="00771F30">
      <w:pPr>
        <w:numPr>
          <w:ilvl w:val="1"/>
          <w:numId w:val="24"/>
        </w:numPr>
        <w:tabs>
          <w:tab w:val="left" w:pos="567"/>
          <w:tab w:val="left" w:pos="1701"/>
          <w:tab w:val="left" w:pos="2268"/>
        </w:tabs>
        <w:spacing w:before="120" w:after="120"/>
        <w:ind w:left="567"/>
        <w:jc w:val="both"/>
        <w:rPr>
          <w:rFonts w:ascii="Arial" w:hAnsi="Arial" w:cs="Arial"/>
          <w:sz w:val="22"/>
          <w:szCs w:val="22"/>
        </w:rPr>
      </w:pPr>
      <w:r w:rsidRPr="00A14531">
        <w:rPr>
          <w:rFonts w:ascii="Arial" w:hAnsi="Arial" w:cs="Arial"/>
          <w:sz w:val="22"/>
          <w:szCs w:val="22"/>
          <w:u w:val="single"/>
        </w:rPr>
        <w:t>Rappelle</w:t>
      </w:r>
      <w:r w:rsidRPr="00A14531">
        <w:rPr>
          <w:rFonts w:ascii="Arial" w:hAnsi="Arial" w:cs="Arial"/>
          <w:sz w:val="22"/>
          <w:szCs w:val="22"/>
        </w:rPr>
        <w:t xml:space="preserve"> à l</w:t>
      </w:r>
      <w:r w:rsidR="009C104E">
        <w:rPr>
          <w:rFonts w:ascii="Arial" w:hAnsi="Arial" w:cs="Arial"/>
          <w:sz w:val="22"/>
          <w:szCs w:val="22"/>
        </w:rPr>
        <w:t>’</w:t>
      </w:r>
      <w:r w:rsidRPr="00A14531">
        <w:rPr>
          <w:rFonts w:ascii="Arial" w:hAnsi="Arial" w:cs="Arial"/>
          <w:sz w:val="22"/>
          <w:szCs w:val="22"/>
        </w:rPr>
        <w:t>État partie que l</w:t>
      </w:r>
      <w:r w:rsidR="009C104E">
        <w:rPr>
          <w:rFonts w:ascii="Arial" w:hAnsi="Arial" w:cs="Arial"/>
          <w:sz w:val="22"/>
          <w:szCs w:val="22"/>
        </w:rPr>
        <w:t>’</w:t>
      </w:r>
      <w:r w:rsidRPr="00A14531">
        <w:rPr>
          <w:rFonts w:ascii="Arial" w:hAnsi="Arial" w:cs="Arial"/>
          <w:sz w:val="22"/>
          <w:szCs w:val="22"/>
        </w:rPr>
        <w:t>inscription sur la Liste du patrimoine culturel immatériel nécessitant une sauvegarde urgente n</w:t>
      </w:r>
      <w:r w:rsidR="009C104E">
        <w:rPr>
          <w:rFonts w:ascii="Arial" w:hAnsi="Arial" w:cs="Arial"/>
          <w:sz w:val="22"/>
          <w:szCs w:val="22"/>
        </w:rPr>
        <w:t>’</w:t>
      </w:r>
      <w:r w:rsidRPr="00A14531">
        <w:rPr>
          <w:rFonts w:ascii="Arial" w:hAnsi="Arial" w:cs="Arial"/>
          <w:sz w:val="22"/>
          <w:szCs w:val="22"/>
        </w:rPr>
        <w:t>entraîne pas automatiquement une assistance financière du Fonds du patrimoine culturel immatériel, et que toute demande d</w:t>
      </w:r>
      <w:r w:rsidR="009C104E">
        <w:rPr>
          <w:rFonts w:ascii="Arial" w:hAnsi="Arial" w:cs="Arial"/>
          <w:sz w:val="22"/>
          <w:szCs w:val="22"/>
        </w:rPr>
        <w:t>’</w:t>
      </w:r>
      <w:r w:rsidRPr="00A14531">
        <w:rPr>
          <w:rFonts w:ascii="Arial" w:hAnsi="Arial" w:cs="Arial"/>
          <w:sz w:val="22"/>
          <w:szCs w:val="22"/>
        </w:rPr>
        <w:t>assistance financière visant à mettre en œuvre des mesures de sauvegarde doit suivre les procédures définies dans les Directives opérationnelles ;</w:t>
      </w:r>
    </w:p>
    <w:p w14:paraId="4F77C9C9" w14:textId="7E5616F5" w:rsidR="00A14531" w:rsidRPr="002D425D" w:rsidRDefault="00A14531" w:rsidP="00771F30">
      <w:pPr>
        <w:numPr>
          <w:ilvl w:val="1"/>
          <w:numId w:val="24"/>
        </w:numPr>
        <w:tabs>
          <w:tab w:val="left" w:pos="567"/>
          <w:tab w:val="left" w:pos="1701"/>
          <w:tab w:val="left" w:pos="2268"/>
        </w:tabs>
        <w:spacing w:before="120" w:after="120"/>
        <w:ind w:left="567"/>
        <w:jc w:val="both"/>
        <w:rPr>
          <w:rFonts w:ascii="Arial" w:hAnsi="Arial" w:cs="Arial"/>
          <w:sz w:val="22"/>
          <w:szCs w:val="22"/>
        </w:rPr>
      </w:pPr>
      <w:r w:rsidRPr="00A14531">
        <w:rPr>
          <w:rFonts w:ascii="Arial" w:hAnsi="Arial" w:cs="Arial"/>
          <w:sz w:val="22"/>
          <w:szCs w:val="22"/>
          <w:u w:val="single"/>
        </w:rPr>
        <w:t>Invite</w:t>
      </w:r>
      <w:r w:rsidRPr="00A14531">
        <w:rPr>
          <w:rFonts w:ascii="Arial" w:hAnsi="Arial" w:cs="Arial"/>
          <w:sz w:val="22"/>
          <w:szCs w:val="22"/>
        </w:rPr>
        <w:t xml:space="preserve"> l</w:t>
      </w:r>
      <w:r w:rsidR="009C104E">
        <w:rPr>
          <w:rFonts w:ascii="Arial" w:hAnsi="Arial" w:cs="Arial"/>
          <w:sz w:val="22"/>
          <w:szCs w:val="22"/>
        </w:rPr>
        <w:t>’</w:t>
      </w:r>
      <w:r w:rsidRPr="00A14531">
        <w:rPr>
          <w:rFonts w:ascii="Arial" w:hAnsi="Arial" w:cs="Arial"/>
          <w:sz w:val="22"/>
          <w:szCs w:val="22"/>
        </w:rPr>
        <w:t>État partie à s</w:t>
      </w:r>
      <w:r w:rsidR="009C104E">
        <w:rPr>
          <w:rFonts w:ascii="Arial" w:hAnsi="Arial" w:cs="Arial"/>
          <w:sz w:val="22"/>
          <w:szCs w:val="22"/>
        </w:rPr>
        <w:t>’</w:t>
      </w:r>
      <w:r w:rsidRPr="00A14531">
        <w:rPr>
          <w:rFonts w:ascii="Arial" w:hAnsi="Arial" w:cs="Arial"/>
          <w:sz w:val="22"/>
          <w:szCs w:val="22"/>
        </w:rPr>
        <w:t>assurer de la pérennité du plan de sauvegarde, notamment en fournissant les fonds suffisants et l</w:t>
      </w:r>
      <w:r w:rsidR="009C104E">
        <w:rPr>
          <w:rFonts w:ascii="Arial" w:hAnsi="Arial" w:cs="Arial"/>
          <w:sz w:val="22"/>
          <w:szCs w:val="22"/>
        </w:rPr>
        <w:t>’</w:t>
      </w:r>
      <w:r w:rsidRPr="00A14531">
        <w:rPr>
          <w:rFonts w:ascii="Arial" w:hAnsi="Arial" w:cs="Arial"/>
          <w:sz w:val="22"/>
          <w:szCs w:val="22"/>
          <w:u w:val="single"/>
        </w:rPr>
        <w:t>encourage</w:t>
      </w:r>
      <w:r w:rsidRPr="00A14531">
        <w:rPr>
          <w:rFonts w:ascii="Arial" w:hAnsi="Arial" w:cs="Arial"/>
          <w:sz w:val="22"/>
          <w:szCs w:val="22"/>
        </w:rPr>
        <w:t xml:space="preserve"> à pallier le manque de ressources nécessaires pour mettre en œuvre toutes les activités de sauvegarde prévues en levant des fonds à l</w:t>
      </w:r>
      <w:r w:rsidR="009C104E">
        <w:rPr>
          <w:rFonts w:ascii="Arial" w:hAnsi="Arial" w:cs="Arial"/>
          <w:sz w:val="22"/>
          <w:szCs w:val="22"/>
        </w:rPr>
        <w:t>’</w:t>
      </w:r>
      <w:r w:rsidRPr="00A14531">
        <w:rPr>
          <w:rFonts w:ascii="Arial" w:hAnsi="Arial" w:cs="Arial"/>
          <w:sz w:val="22"/>
          <w:szCs w:val="22"/>
        </w:rPr>
        <w:t>échelle nationale et locale, mais aussi en explorant d</w:t>
      </w:r>
      <w:r w:rsidR="009C104E">
        <w:rPr>
          <w:rFonts w:ascii="Arial" w:hAnsi="Arial" w:cs="Arial"/>
          <w:sz w:val="22"/>
          <w:szCs w:val="22"/>
        </w:rPr>
        <w:t>’</w:t>
      </w:r>
      <w:r w:rsidRPr="00A14531">
        <w:rPr>
          <w:rFonts w:ascii="Arial" w:hAnsi="Arial" w:cs="Arial"/>
          <w:sz w:val="22"/>
          <w:szCs w:val="22"/>
        </w:rPr>
        <w:t xml:space="preserve">autres possibilités de financement proposées par des mécanismes de coopération internationale, dont le Fonds du patrimoine </w:t>
      </w:r>
      <w:r w:rsidRPr="002D425D">
        <w:rPr>
          <w:rFonts w:ascii="Arial" w:hAnsi="Arial" w:cs="Arial"/>
          <w:sz w:val="22"/>
          <w:szCs w:val="22"/>
        </w:rPr>
        <w:t>culturel immatériel ;</w:t>
      </w:r>
    </w:p>
    <w:p w14:paraId="41850FFE" w14:textId="181F34EC" w:rsidR="00A14531" w:rsidRPr="002D425D" w:rsidRDefault="00A14531" w:rsidP="00771F30">
      <w:pPr>
        <w:numPr>
          <w:ilvl w:val="1"/>
          <w:numId w:val="24"/>
        </w:numPr>
        <w:tabs>
          <w:tab w:val="left" w:pos="567"/>
          <w:tab w:val="left" w:pos="1701"/>
          <w:tab w:val="left" w:pos="2268"/>
        </w:tabs>
        <w:spacing w:before="120" w:after="120"/>
        <w:ind w:left="567" w:hanging="578"/>
        <w:jc w:val="both"/>
        <w:rPr>
          <w:rFonts w:ascii="Arial" w:hAnsi="Arial" w:cs="Arial"/>
          <w:sz w:val="22"/>
          <w:szCs w:val="22"/>
        </w:rPr>
      </w:pPr>
      <w:r w:rsidRPr="002D425D">
        <w:rPr>
          <w:rFonts w:ascii="Arial" w:hAnsi="Arial" w:cs="Arial"/>
          <w:sz w:val="22"/>
          <w:szCs w:val="22"/>
          <w:u w:val="single"/>
        </w:rPr>
        <w:t>Invite en outre</w:t>
      </w:r>
      <w:r w:rsidRPr="002D425D">
        <w:rPr>
          <w:rFonts w:ascii="Arial" w:hAnsi="Arial" w:cs="Arial"/>
          <w:sz w:val="22"/>
          <w:szCs w:val="22"/>
        </w:rPr>
        <w:t xml:space="preserve"> l</w:t>
      </w:r>
      <w:r w:rsidR="009C104E">
        <w:rPr>
          <w:rFonts w:ascii="Arial" w:hAnsi="Arial" w:cs="Arial"/>
          <w:sz w:val="22"/>
          <w:szCs w:val="22"/>
        </w:rPr>
        <w:t>’</w:t>
      </w:r>
      <w:r w:rsidRPr="002D425D">
        <w:rPr>
          <w:rFonts w:ascii="Arial" w:hAnsi="Arial" w:cs="Arial"/>
          <w:sz w:val="22"/>
          <w:szCs w:val="22"/>
        </w:rPr>
        <w:t>État partie à veiller tout particulièrement à éviter les répercussions potentiellement négatives de l</w:t>
      </w:r>
      <w:r w:rsidR="009C104E">
        <w:rPr>
          <w:rFonts w:ascii="Arial" w:hAnsi="Arial" w:cs="Arial"/>
          <w:sz w:val="22"/>
          <w:szCs w:val="22"/>
        </w:rPr>
        <w:t>’</w:t>
      </w:r>
      <w:r w:rsidRPr="002D425D">
        <w:rPr>
          <w:rFonts w:ascii="Arial" w:hAnsi="Arial" w:cs="Arial"/>
          <w:sz w:val="22"/>
          <w:szCs w:val="22"/>
        </w:rPr>
        <w:t>inscription de l</w:t>
      </w:r>
      <w:r w:rsidR="009C104E">
        <w:rPr>
          <w:rFonts w:ascii="Arial" w:hAnsi="Arial" w:cs="Arial"/>
          <w:sz w:val="22"/>
          <w:szCs w:val="22"/>
        </w:rPr>
        <w:t>’</w:t>
      </w:r>
      <w:r w:rsidRPr="002D425D">
        <w:rPr>
          <w:rFonts w:ascii="Arial" w:hAnsi="Arial" w:cs="Arial"/>
          <w:sz w:val="22"/>
          <w:szCs w:val="22"/>
        </w:rPr>
        <w:t>élément sur la Liste du patrimoine culturel immatériel nécessitant une sauvegarde urgente, telles que sa folklorisation.</w:t>
      </w:r>
    </w:p>
    <w:p w14:paraId="28C3534C" w14:textId="3453C748" w:rsidR="00191F85" w:rsidRPr="00A16463" w:rsidRDefault="00191F85" w:rsidP="00EA61FD">
      <w:pPr>
        <w:pStyle w:val="Heading2"/>
        <w:keepLines/>
        <w:numPr>
          <w:ilvl w:val="0"/>
          <w:numId w:val="24"/>
        </w:numPr>
        <w:spacing w:before="360" w:after="120"/>
        <w:rPr>
          <w:rFonts w:ascii="Arial" w:hAnsi="Arial" w:cs="Arial"/>
          <w:b w:val="0"/>
          <w:i w:val="0"/>
          <w:sz w:val="22"/>
          <w:szCs w:val="22"/>
        </w:rPr>
      </w:pPr>
      <w:r w:rsidRPr="00A16463">
        <w:rPr>
          <w:rFonts w:ascii="Arial" w:hAnsi="Arial" w:cs="Arial"/>
          <w:i w:val="0"/>
          <w:sz w:val="22"/>
          <w:szCs w:val="22"/>
        </w:rPr>
        <w:t>DÉCISION 14.COM 1</w:t>
      </w:r>
      <w:r>
        <w:rPr>
          <w:rFonts w:ascii="Arial" w:hAnsi="Arial" w:cs="Arial"/>
          <w:i w:val="0"/>
          <w:sz w:val="22"/>
          <w:szCs w:val="22"/>
        </w:rPr>
        <w:t>0</w:t>
      </w:r>
      <w:r w:rsidRPr="00A16463">
        <w:rPr>
          <w:rFonts w:ascii="Arial" w:hAnsi="Arial" w:cs="Arial"/>
          <w:i w:val="0"/>
          <w:sz w:val="22"/>
          <w:szCs w:val="22"/>
        </w:rPr>
        <w:t xml:space="preserve">.a.2 </w:t>
      </w:r>
    </w:p>
    <w:p w14:paraId="685F6426" w14:textId="77777777" w:rsidR="00191F85" w:rsidRPr="00904C0F" w:rsidRDefault="00191F85" w:rsidP="00904C0F">
      <w:pPr>
        <w:keepNext/>
        <w:tabs>
          <w:tab w:val="left" w:pos="567"/>
          <w:tab w:val="left" w:pos="1134"/>
          <w:tab w:val="left" w:pos="1701"/>
          <w:tab w:val="left" w:pos="2268"/>
        </w:tabs>
        <w:spacing w:before="120" w:after="120"/>
        <w:jc w:val="both"/>
        <w:rPr>
          <w:rFonts w:ascii="Arial" w:hAnsi="Arial" w:cs="Arial"/>
          <w:sz w:val="22"/>
          <w:szCs w:val="22"/>
        </w:rPr>
      </w:pPr>
      <w:r w:rsidRPr="00904C0F">
        <w:rPr>
          <w:rFonts w:ascii="Arial" w:hAnsi="Arial" w:cs="Arial"/>
          <w:sz w:val="22"/>
          <w:szCs w:val="22"/>
        </w:rPr>
        <w:t>Le Comité,</w:t>
      </w:r>
    </w:p>
    <w:p w14:paraId="2E91E1F8" w14:textId="77777777" w:rsidR="00191F85" w:rsidRPr="00904C0F" w:rsidRDefault="00191F85" w:rsidP="00771F30">
      <w:pPr>
        <w:numPr>
          <w:ilvl w:val="1"/>
          <w:numId w:val="24"/>
        </w:numPr>
        <w:tabs>
          <w:tab w:val="left" w:pos="1134"/>
          <w:tab w:val="left" w:pos="1701"/>
          <w:tab w:val="left" w:pos="2268"/>
        </w:tabs>
        <w:spacing w:before="120" w:after="120"/>
        <w:ind w:left="567" w:hanging="567"/>
        <w:jc w:val="both"/>
        <w:rPr>
          <w:rFonts w:ascii="Arial" w:hAnsi="Arial" w:cs="Arial"/>
          <w:sz w:val="22"/>
          <w:szCs w:val="22"/>
        </w:rPr>
      </w:pPr>
      <w:r w:rsidRPr="00904C0F">
        <w:rPr>
          <w:rFonts w:ascii="Arial" w:hAnsi="Arial" w:cs="Arial"/>
          <w:sz w:val="22"/>
          <w:szCs w:val="22"/>
          <w:u w:val="single"/>
        </w:rPr>
        <w:t>Prend note</w:t>
      </w:r>
      <w:r w:rsidRPr="00904C0F">
        <w:rPr>
          <w:rFonts w:ascii="Arial" w:hAnsi="Arial" w:cs="Arial"/>
          <w:sz w:val="22"/>
          <w:szCs w:val="22"/>
        </w:rPr>
        <w:t xml:space="preserve"> que le Kenya a proposé la candidature </w:t>
      </w:r>
      <w:r w:rsidRPr="00904C0F">
        <w:rPr>
          <w:rFonts w:ascii="Arial" w:hAnsi="Arial" w:cs="Arial"/>
          <w:b/>
          <w:sz w:val="22"/>
          <w:szCs w:val="22"/>
        </w:rPr>
        <w:t xml:space="preserve">des </w:t>
      </w:r>
      <w:r w:rsidRPr="00904C0F">
        <w:rPr>
          <w:rFonts w:ascii="Arial" w:hAnsi="Arial" w:cs="Arial"/>
          <w:b/>
          <w:bCs/>
          <w:sz w:val="22"/>
          <w:szCs w:val="22"/>
        </w:rPr>
        <w:t>rituels et pratiques associés au sanctuaire de Kit Mikayi</w:t>
      </w:r>
      <w:r w:rsidRPr="00904C0F">
        <w:rPr>
          <w:rFonts w:ascii="Arial" w:hAnsi="Arial" w:cs="Arial"/>
          <w:sz w:val="22"/>
          <w:szCs w:val="22"/>
        </w:rPr>
        <w:t xml:space="preserve"> (n° 01489) pour inscription sur la Liste du patrimoine culturel immatériel nécessitant une sauvegarde urgente :</w:t>
      </w:r>
    </w:p>
    <w:p w14:paraId="2D96AA9B" w14:textId="54C9081B" w:rsidR="00191F85" w:rsidRPr="00904C0F" w:rsidRDefault="00904C0F" w:rsidP="00904C0F">
      <w:pPr>
        <w:tabs>
          <w:tab w:val="left" w:pos="1134"/>
          <w:tab w:val="left" w:pos="1701"/>
          <w:tab w:val="left" w:pos="2268"/>
        </w:tabs>
        <w:spacing w:before="120" w:after="120"/>
        <w:ind w:left="567" w:hanging="567"/>
        <w:jc w:val="both"/>
        <w:rPr>
          <w:rFonts w:ascii="Arial" w:hAnsi="Arial" w:cs="Arial"/>
          <w:sz w:val="22"/>
          <w:szCs w:val="22"/>
        </w:rPr>
      </w:pPr>
      <w:r>
        <w:rPr>
          <w:rFonts w:ascii="Arial" w:hAnsi="Arial" w:cs="Arial"/>
          <w:sz w:val="22"/>
          <w:szCs w:val="22"/>
        </w:rPr>
        <w:tab/>
      </w:r>
      <w:r w:rsidR="00191F85" w:rsidRPr="00904C0F">
        <w:rPr>
          <w:rFonts w:ascii="Arial" w:hAnsi="Arial" w:cs="Arial"/>
          <w:sz w:val="22"/>
          <w:szCs w:val="22"/>
        </w:rPr>
        <w:t>Les rituels et pratiques associés au sanctuaire de Kit Mikayi concernent les Luo de l</w:t>
      </w:r>
      <w:r w:rsidR="009C104E">
        <w:rPr>
          <w:rFonts w:ascii="Arial" w:hAnsi="Arial" w:cs="Arial"/>
          <w:sz w:val="22"/>
          <w:szCs w:val="22"/>
        </w:rPr>
        <w:t>’</w:t>
      </w:r>
      <w:r w:rsidR="00191F85" w:rsidRPr="00904C0F">
        <w:rPr>
          <w:rFonts w:ascii="Arial" w:hAnsi="Arial" w:cs="Arial"/>
          <w:sz w:val="22"/>
          <w:szCs w:val="22"/>
        </w:rPr>
        <w:t>ouest du Kenya. Selon la légende, le sanctuaire de Kit Mikayi serait la cause de la bonne fortune des Seme et autres groupes ethniques luos qui vivent autour de l</w:t>
      </w:r>
      <w:r w:rsidR="009C104E">
        <w:rPr>
          <w:rFonts w:ascii="Arial" w:hAnsi="Arial" w:cs="Arial"/>
          <w:sz w:val="22"/>
          <w:szCs w:val="22"/>
        </w:rPr>
        <w:t>’</w:t>
      </w:r>
      <w:r w:rsidR="00191F85" w:rsidRPr="00904C0F">
        <w:rPr>
          <w:rFonts w:ascii="Arial" w:hAnsi="Arial" w:cs="Arial"/>
          <w:sz w:val="22"/>
          <w:szCs w:val="22"/>
        </w:rPr>
        <w:t>enclave du sanctuaire. Les membres de ces communautés se rendent au sanctuaire pour diverses raisons comme prier, prêter serment, exécuter des rituels et des pratiques associées ou profiter de sa beauté naturelle. Lors de catastrophes telles que les famines, les aînés du peuple luo se rendaient au sanctuaire afin d</w:t>
      </w:r>
      <w:r w:rsidR="009C104E">
        <w:rPr>
          <w:rFonts w:ascii="Arial" w:hAnsi="Arial" w:cs="Arial"/>
          <w:sz w:val="22"/>
          <w:szCs w:val="22"/>
        </w:rPr>
        <w:t>’</w:t>
      </w:r>
      <w:r w:rsidR="00191F85" w:rsidRPr="00904C0F">
        <w:rPr>
          <w:rFonts w:ascii="Arial" w:hAnsi="Arial" w:cs="Arial"/>
          <w:sz w:val="22"/>
          <w:szCs w:val="22"/>
        </w:rPr>
        <w:t>y pratiquer des rituels, à la suite de quoi la pluie et d</w:t>
      </w:r>
      <w:r w:rsidR="009C104E">
        <w:rPr>
          <w:rFonts w:ascii="Arial" w:hAnsi="Arial" w:cs="Arial"/>
          <w:sz w:val="22"/>
          <w:szCs w:val="22"/>
        </w:rPr>
        <w:t>’</w:t>
      </w:r>
      <w:r w:rsidR="00191F85" w:rsidRPr="00904C0F">
        <w:rPr>
          <w:rFonts w:ascii="Arial" w:hAnsi="Arial" w:cs="Arial"/>
          <w:sz w:val="22"/>
          <w:szCs w:val="22"/>
        </w:rPr>
        <w:t>abondantes récoltes apparaissaient. Les aînés et les femmes de haut rang dirigeaient les rituels ; et tandis que les hommes étaient entre autres chargés de sacrifier les animaux, les femmes chantaient, dansaient et cuisinaient les plats accompagnant les rituels. Pendant des générations, la communauté a considéré le sanctuaire comme un site sacré où on pouvait se rendre et communier avec Dieu. Aujourd</w:t>
      </w:r>
      <w:r w:rsidR="009C104E">
        <w:rPr>
          <w:rFonts w:ascii="Arial" w:hAnsi="Arial" w:cs="Arial"/>
          <w:sz w:val="22"/>
          <w:szCs w:val="22"/>
        </w:rPr>
        <w:t>’</w:t>
      </w:r>
      <w:r w:rsidR="00191F85" w:rsidRPr="00904C0F">
        <w:rPr>
          <w:rFonts w:ascii="Arial" w:hAnsi="Arial" w:cs="Arial"/>
          <w:sz w:val="22"/>
          <w:szCs w:val="22"/>
        </w:rPr>
        <w:t>hui cependant, l</w:t>
      </w:r>
      <w:r w:rsidR="009C104E">
        <w:rPr>
          <w:rFonts w:ascii="Arial" w:hAnsi="Arial" w:cs="Arial"/>
          <w:sz w:val="22"/>
          <w:szCs w:val="22"/>
        </w:rPr>
        <w:t>’</w:t>
      </w:r>
      <w:r w:rsidR="00191F85" w:rsidRPr="00904C0F">
        <w:rPr>
          <w:rFonts w:ascii="Arial" w:hAnsi="Arial" w:cs="Arial"/>
          <w:sz w:val="22"/>
          <w:szCs w:val="22"/>
        </w:rPr>
        <w:t>élément est menacé par divers facteurs, parmi lesquels le déclin de la fréquence des rituels et pratiques associées, le vieillissement des détenteurs et des praticiens, et l</w:t>
      </w:r>
      <w:r w:rsidR="009C104E">
        <w:rPr>
          <w:rFonts w:ascii="Arial" w:hAnsi="Arial" w:cs="Arial"/>
          <w:sz w:val="22"/>
          <w:szCs w:val="22"/>
        </w:rPr>
        <w:t>’</w:t>
      </w:r>
      <w:r w:rsidR="00191F85" w:rsidRPr="00904C0F">
        <w:rPr>
          <w:rFonts w:ascii="Arial" w:hAnsi="Arial" w:cs="Arial"/>
          <w:sz w:val="22"/>
          <w:szCs w:val="22"/>
        </w:rPr>
        <w:t>envahissement des espaces culturels environnants. Le fait que les derniers grands rituels et pratiques au sanctuaire remontent à 1987 illustre le risque de leur disparition et un manque de connaissances entraînant une dévalorisation du sanctuaire qui perd son statut de lieu sacré pour la communauté.</w:t>
      </w:r>
    </w:p>
    <w:p w14:paraId="081BC90A" w14:textId="0D88C4EA" w:rsidR="00191F85" w:rsidRPr="00904C0F" w:rsidRDefault="00191F85" w:rsidP="00771F30">
      <w:pPr>
        <w:numPr>
          <w:ilvl w:val="1"/>
          <w:numId w:val="24"/>
        </w:numPr>
        <w:tabs>
          <w:tab w:val="left" w:pos="1134"/>
          <w:tab w:val="left" w:pos="1701"/>
          <w:tab w:val="left" w:pos="2268"/>
        </w:tabs>
        <w:spacing w:before="120" w:after="120"/>
        <w:ind w:left="567" w:hanging="567"/>
        <w:jc w:val="both"/>
        <w:rPr>
          <w:rFonts w:ascii="Arial" w:hAnsi="Arial" w:cs="Arial"/>
          <w:sz w:val="22"/>
          <w:szCs w:val="22"/>
        </w:rPr>
      </w:pPr>
      <w:r w:rsidRPr="00904C0F">
        <w:rPr>
          <w:rFonts w:ascii="Arial" w:hAnsi="Arial" w:cs="Arial"/>
          <w:sz w:val="22"/>
          <w:szCs w:val="22"/>
          <w:u w:val="single"/>
        </w:rPr>
        <w:t>Estime</w:t>
      </w:r>
      <w:r w:rsidRPr="00904C0F">
        <w:rPr>
          <w:rFonts w:ascii="Arial" w:hAnsi="Arial" w:cs="Arial"/>
          <w:sz w:val="22"/>
          <w:szCs w:val="22"/>
        </w:rPr>
        <w:t xml:space="preserve"> que, d</w:t>
      </w:r>
      <w:r w:rsidR="009C104E">
        <w:rPr>
          <w:rFonts w:ascii="Arial" w:hAnsi="Arial" w:cs="Arial"/>
          <w:sz w:val="22"/>
          <w:szCs w:val="22"/>
        </w:rPr>
        <w:t>’</w:t>
      </w:r>
      <w:r w:rsidRPr="00904C0F">
        <w:rPr>
          <w:rFonts w:ascii="Arial" w:hAnsi="Arial" w:cs="Arial"/>
          <w:sz w:val="22"/>
          <w:szCs w:val="22"/>
        </w:rPr>
        <w:t>après les informations contenues dans le dossier, la candidature satisfait aux critères d</w:t>
      </w:r>
      <w:r w:rsidR="009C104E">
        <w:rPr>
          <w:rFonts w:ascii="Arial" w:hAnsi="Arial" w:cs="Arial"/>
          <w:sz w:val="22"/>
          <w:szCs w:val="22"/>
        </w:rPr>
        <w:t>’</w:t>
      </w:r>
      <w:r w:rsidRPr="00904C0F">
        <w:rPr>
          <w:rFonts w:ascii="Arial" w:hAnsi="Arial" w:cs="Arial"/>
          <w:sz w:val="22"/>
          <w:szCs w:val="22"/>
        </w:rPr>
        <w:t>inscription sur la Liste du patrimoine culturel immatériel nécessitant une sauvegarde urgente comme suit :</w:t>
      </w:r>
    </w:p>
    <w:p w14:paraId="2CFC381C" w14:textId="361C7778" w:rsidR="00191F85" w:rsidRPr="00904C0F" w:rsidRDefault="00191F85" w:rsidP="00904C0F">
      <w:pPr>
        <w:tabs>
          <w:tab w:val="left" w:pos="567"/>
          <w:tab w:val="left" w:pos="1134"/>
          <w:tab w:val="left" w:pos="1701"/>
          <w:tab w:val="left" w:pos="2268"/>
        </w:tabs>
        <w:spacing w:before="120" w:after="120"/>
        <w:ind w:left="1134" w:hanging="567"/>
        <w:jc w:val="both"/>
        <w:rPr>
          <w:rFonts w:ascii="Arial" w:hAnsi="Arial" w:cs="Arial"/>
          <w:sz w:val="22"/>
          <w:szCs w:val="22"/>
        </w:rPr>
      </w:pPr>
      <w:r w:rsidRPr="00904C0F">
        <w:rPr>
          <w:rFonts w:ascii="Arial" w:hAnsi="Arial" w:cs="Arial"/>
          <w:sz w:val="22"/>
          <w:szCs w:val="22"/>
        </w:rPr>
        <w:t>U.1 :</w:t>
      </w:r>
      <w:r w:rsidRPr="00904C0F">
        <w:rPr>
          <w:rFonts w:ascii="Arial" w:hAnsi="Arial" w:cs="Arial"/>
          <w:sz w:val="22"/>
          <w:szCs w:val="22"/>
        </w:rPr>
        <w:tab/>
        <w:t>Le sanctuaire de Kit Mikayi est un lieu de prières et de rituels considéré comme propice à l</w:t>
      </w:r>
      <w:r w:rsidR="009C104E">
        <w:rPr>
          <w:rFonts w:ascii="Arial" w:hAnsi="Arial" w:cs="Arial"/>
          <w:sz w:val="22"/>
          <w:szCs w:val="22"/>
        </w:rPr>
        <w:t>’</w:t>
      </w:r>
      <w:r w:rsidRPr="00904C0F">
        <w:rPr>
          <w:rFonts w:ascii="Arial" w:hAnsi="Arial" w:cs="Arial"/>
          <w:sz w:val="22"/>
          <w:szCs w:val="22"/>
        </w:rPr>
        <w:t>introspection et à la méditation par plusieurs communautés religieuses. Les rituels et pratiques sont transmis de manière non-formelle</w:t>
      </w:r>
      <w:r w:rsidRPr="00904C0F" w:rsidDel="0026603D">
        <w:rPr>
          <w:rFonts w:ascii="Arial" w:hAnsi="Arial" w:cs="Arial"/>
          <w:sz w:val="22"/>
          <w:szCs w:val="22"/>
        </w:rPr>
        <w:t xml:space="preserve"> </w:t>
      </w:r>
      <w:r w:rsidRPr="00904C0F">
        <w:rPr>
          <w:rFonts w:ascii="Arial" w:hAnsi="Arial" w:cs="Arial"/>
          <w:sz w:val="22"/>
          <w:szCs w:val="22"/>
        </w:rPr>
        <w:t>par l</w:t>
      </w:r>
      <w:r w:rsidR="009C104E">
        <w:rPr>
          <w:rFonts w:ascii="Arial" w:hAnsi="Arial" w:cs="Arial"/>
          <w:sz w:val="22"/>
          <w:szCs w:val="22"/>
        </w:rPr>
        <w:t>’</w:t>
      </w:r>
      <w:r w:rsidRPr="00904C0F">
        <w:rPr>
          <w:rFonts w:ascii="Arial" w:hAnsi="Arial" w:cs="Arial"/>
          <w:sz w:val="22"/>
          <w:szCs w:val="22"/>
        </w:rPr>
        <w:t>apprentissage, l</w:t>
      </w:r>
      <w:r w:rsidR="009C104E">
        <w:rPr>
          <w:rFonts w:ascii="Arial" w:hAnsi="Arial" w:cs="Arial"/>
          <w:sz w:val="22"/>
          <w:szCs w:val="22"/>
        </w:rPr>
        <w:t>’</w:t>
      </w:r>
      <w:r w:rsidRPr="00904C0F">
        <w:rPr>
          <w:rFonts w:ascii="Arial" w:hAnsi="Arial" w:cs="Arial"/>
          <w:sz w:val="22"/>
          <w:szCs w:val="22"/>
        </w:rPr>
        <w:t>observation et la participation active des jeunes. Le dossier explique clairement les liens entre le patrimoine immatériel et le patrimoine matériel, en illustrant comment le rapport entre ce site sacré et les pratiques qui s</w:t>
      </w:r>
      <w:r w:rsidR="009C104E">
        <w:rPr>
          <w:rFonts w:ascii="Arial" w:hAnsi="Arial" w:cs="Arial"/>
          <w:sz w:val="22"/>
          <w:szCs w:val="22"/>
        </w:rPr>
        <w:t>’</w:t>
      </w:r>
      <w:r w:rsidRPr="00904C0F">
        <w:rPr>
          <w:rFonts w:ascii="Arial" w:hAnsi="Arial" w:cs="Arial"/>
          <w:sz w:val="22"/>
          <w:szCs w:val="22"/>
        </w:rPr>
        <w:t>y déroulent contribue à la préservation de l</w:t>
      </w:r>
      <w:r w:rsidR="009C104E">
        <w:rPr>
          <w:rFonts w:ascii="Arial" w:hAnsi="Arial" w:cs="Arial"/>
          <w:sz w:val="22"/>
          <w:szCs w:val="22"/>
        </w:rPr>
        <w:t>’</w:t>
      </w:r>
      <w:r w:rsidRPr="00904C0F">
        <w:rPr>
          <w:rFonts w:ascii="Arial" w:hAnsi="Arial" w:cs="Arial"/>
          <w:sz w:val="22"/>
          <w:szCs w:val="22"/>
        </w:rPr>
        <w:t>environnement.</w:t>
      </w:r>
    </w:p>
    <w:p w14:paraId="63015BD8" w14:textId="14436001" w:rsidR="00191F85" w:rsidRPr="00904C0F" w:rsidRDefault="00191F85" w:rsidP="00904C0F">
      <w:pPr>
        <w:tabs>
          <w:tab w:val="left" w:pos="567"/>
          <w:tab w:val="left" w:pos="1134"/>
          <w:tab w:val="left" w:pos="1701"/>
          <w:tab w:val="left" w:pos="2268"/>
        </w:tabs>
        <w:spacing w:before="120" w:after="120"/>
        <w:ind w:left="1134" w:hanging="567"/>
        <w:jc w:val="both"/>
        <w:rPr>
          <w:rFonts w:ascii="Arial" w:hAnsi="Arial" w:cs="Arial"/>
          <w:sz w:val="22"/>
          <w:szCs w:val="22"/>
        </w:rPr>
      </w:pPr>
      <w:r w:rsidRPr="00904C0F">
        <w:rPr>
          <w:rFonts w:ascii="Arial" w:hAnsi="Arial" w:cs="Arial"/>
          <w:sz w:val="22"/>
          <w:szCs w:val="22"/>
        </w:rPr>
        <w:t>U.2 : Plusieurs menaces spécifiques nuisent à la viabilité des rituels et pratiques associés au sanctuaire de Kit Mikayi : le déclin de la fréquence de la pratique lié au vieillissement et à la diminution du nombre de praticiens et de détenteurs ayant une connaissance complète de l</w:t>
      </w:r>
      <w:r w:rsidR="009C104E">
        <w:rPr>
          <w:rFonts w:ascii="Arial" w:hAnsi="Arial" w:cs="Arial"/>
          <w:sz w:val="22"/>
          <w:szCs w:val="22"/>
        </w:rPr>
        <w:t>’</w:t>
      </w:r>
      <w:r w:rsidRPr="00904C0F">
        <w:rPr>
          <w:rFonts w:ascii="Arial" w:hAnsi="Arial" w:cs="Arial"/>
          <w:sz w:val="22"/>
          <w:szCs w:val="22"/>
        </w:rPr>
        <w:t>élément, la transmission orale fragilisée et la perte de cohésion au sein de la communauté, ainsi que l</w:t>
      </w:r>
      <w:r w:rsidR="009C104E">
        <w:rPr>
          <w:rFonts w:ascii="Arial" w:hAnsi="Arial" w:cs="Arial"/>
          <w:sz w:val="22"/>
          <w:szCs w:val="22"/>
        </w:rPr>
        <w:t>’</w:t>
      </w:r>
      <w:r w:rsidRPr="00904C0F">
        <w:rPr>
          <w:rFonts w:ascii="Arial" w:hAnsi="Arial" w:cs="Arial"/>
          <w:sz w:val="22"/>
          <w:szCs w:val="22"/>
        </w:rPr>
        <w:t>évolution du mode de vie des jeunes qui se traduit par le désintérêt croissant en leur sein. D</w:t>
      </w:r>
      <w:r w:rsidR="009C104E">
        <w:rPr>
          <w:rFonts w:ascii="Arial" w:hAnsi="Arial" w:cs="Arial"/>
          <w:sz w:val="22"/>
          <w:szCs w:val="22"/>
        </w:rPr>
        <w:t>’</w:t>
      </w:r>
      <w:r w:rsidRPr="00904C0F">
        <w:rPr>
          <w:rFonts w:ascii="Arial" w:hAnsi="Arial" w:cs="Arial"/>
          <w:sz w:val="22"/>
          <w:szCs w:val="22"/>
        </w:rPr>
        <w:t>autres facteurs particulièrement importants sont l</w:t>
      </w:r>
      <w:r w:rsidR="009C104E">
        <w:rPr>
          <w:rFonts w:ascii="Arial" w:hAnsi="Arial" w:cs="Arial"/>
          <w:sz w:val="22"/>
          <w:szCs w:val="22"/>
        </w:rPr>
        <w:t>’</w:t>
      </w:r>
      <w:r w:rsidRPr="00904C0F">
        <w:rPr>
          <w:rFonts w:ascii="Arial" w:hAnsi="Arial" w:cs="Arial"/>
          <w:sz w:val="22"/>
          <w:szCs w:val="22"/>
        </w:rPr>
        <w:t>envahissement des espaces culturels et la disparition des savoirs traditionnels en matière de guérison, principalement causés par la déforestation.</w:t>
      </w:r>
    </w:p>
    <w:p w14:paraId="462D46DC" w14:textId="21283531" w:rsidR="00191F85" w:rsidRPr="00904C0F" w:rsidRDefault="00191F85" w:rsidP="00904C0F">
      <w:pPr>
        <w:tabs>
          <w:tab w:val="left" w:pos="567"/>
          <w:tab w:val="left" w:pos="1134"/>
          <w:tab w:val="left" w:pos="1701"/>
          <w:tab w:val="left" w:pos="2268"/>
        </w:tabs>
        <w:spacing w:before="120" w:after="120"/>
        <w:ind w:left="1134" w:hanging="567"/>
        <w:jc w:val="both"/>
        <w:rPr>
          <w:rFonts w:ascii="Arial" w:hAnsi="Arial" w:cs="Arial"/>
          <w:sz w:val="22"/>
          <w:szCs w:val="22"/>
        </w:rPr>
      </w:pPr>
      <w:r w:rsidRPr="00904C0F">
        <w:rPr>
          <w:rFonts w:ascii="Arial" w:hAnsi="Arial" w:cs="Arial"/>
          <w:sz w:val="22"/>
          <w:szCs w:val="22"/>
        </w:rPr>
        <w:t>U.4 : Les communautés, groupes et individus concernés ont activement participé à toutes les étapes du processus de candidature depuis qu</w:t>
      </w:r>
      <w:r w:rsidR="009C104E">
        <w:rPr>
          <w:rFonts w:ascii="Arial" w:hAnsi="Arial" w:cs="Arial"/>
          <w:sz w:val="22"/>
          <w:szCs w:val="22"/>
        </w:rPr>
        <w:t>’</w:t>
      </w:r>
      <w:r w:rsidRPr="00904C0F">
        <w:rPr>
          <w:rFonts w:ascii="Arial" w:hAnsi="Arial" w:cs="Arial"/>
          <w:sz w:val="22"/>
          <w:szCs w:val="22"/>
        </w:rPr>
        <w:t>il a été lancé en 2011. Les détenteurs, praticiens et représentants de la communauté seme s</w:t>
      </w:r>
      <w:r w:rsidR="009C104E">
        <w:rPr>
          <w:rFonts w:ascii="Arial" w:hAnsi="Arial" w:cs="Arial"/>
          <w:sz w:val="22"/>
          <w:szCs w:val="22"/>
        </w:rPr>
        <w:t>’</w:t>
      </w:r>
      <w:r w:rsidRPr="00904C0F">
        <w:rPr>
          <w:rFonts w:ascii="Arial" w:hAnsi="Arial" w:cs="Arial"/>
          <w:sz w:val="22"/>
          <w:szCs w:val="22"/>
        </w:rPr>
        <w:t>efforcent de sauvegarder la pratique de l</w:t>
      </w:r>
      <w:r w:rsidR="009C104E">
        <w:rPr>
          <w:rFonts w:ascii="Arial" w:hAnsi="Arial" w:cs="Arial"/>
          <w:sz w:val="22"/>
          <w:szCs w:val="22"/>
        </w:rPr>
        <w:t>’</w:t>
      </w:r>
      <w:r w:rsidRPr="00904C0F">
        <w:rPr>
          <w:rFonts w:ascii="Arial" w:hAnsi="Arial" w:cs="Arial"/>
          <w:sz w:val="22"/>
          <w:szCs w:val="22"/>
        </w:rPr>
        <w:t>élément, et joueront un rôle majeur dans le processus de sauvegarde, avec le plein soutien du gouvernement et des organismes d</w:t>
      </w:r>
      <w:r w:rsidR="009C104E">
        <w:rPr>
          <w:rFonts w:ascii="Arial" w:hAnsi="Arial" w:cs="Arial"/>
          <w:sz w:val="22"/>
          <w:szCs w:val="22"/>
        </w:rPr>
        <w:t>’</w:t>
      </w:r>
      <w:r w:rsidRPr="00904C0F">
        <w:rPr>
          <w:rFonts w:ascii="Arial" w:hAnsi="Arial" w:cs="Arial"/>
          <w:sz w:val="22"/>
          <w:szCs w:val="22"/>
        </w:rPr>
        <w:t>État. En outre, des informations sur des zones précises du sanctuaire, la réalisation des rituels dans ces endroits, et certaines recettes particulières, sont gardées secrètes par des détenteurs spécialement désignés et des membres de la famille des praticiens de la communauté seme. Ces aspects de l</w:t>
      </w:r>
      <w:r w:rsidR="009C104E">
        <w:rPr>
          <w:rFonts w:ascii="Arial" w:hAnsi="Arial" w:cs="Arial"/>
          <w:sz w:val="22"/>
          <w:szCs w:val="22"/>
        </w:rPr>
        <w:t>’</w:t>
      </w:r>
      <w:r w:rsidRPr="00904C0F">
        <w:rPr>
          <w:rFonts w:ascii="Arial" w:hAnsi="Arial" w:cs="Arial"/>
          <w:sz w:val="22"/>
          <w:szCs w:val="22"/>
        </w:rPr>
        <w:t>élément continueront d</w:t>
      </w:r>
      <w:r w:rsidR="009C104E">
        <w:rPr>
          <w:rFonts w:ascii="Arial" w:hAnsi="Arial" w:cs="Arial"/>
          <w:sz w:val="22"/>
          <w:szCs w:val="22"/>
        </w:rPr>
        <w:t>’</w:t>
      </w:r>
      <w:r w:rsidRPr="00904C0F">
        <w:rPr>
          <w:rFonts w:ascii="Arial" w:hAnsi="Arial" w:cs="Arial"/>
          <w:sz w:val="22"/>
          <w:szCs w:val="22"/>
        </w:rPr>
        <w:t>être respectés et transmis conformément à la tradition.</w:t>
      </w:r>
    </w:p>
    <w:p w14:paraId="52043425" w14:textId="2CDD1FC3" w:rsidR="00191F85" w:rsidRPr="00904C0F" w:rsidRDefault="00191F85" w:rsidP="00904C0F">
      <w:pPr>
        <w:tabs>
          <w:tab w:val="left" w:pos="567"/>
          <w:tab w:val="left" w:pos="1134"/>
          <w:tab w:val="left" w:pos="1701"/>
          <w:tab w:val="left" w:pos="2268"/>
        </w:tabs>
        <w:spacing w:before="120" w:after="120"/>
        <w:ind w:left="1134" w:hanging="567"/>
        <w:jc w:val="both"/>
        <w:rPr>
          <w:rFonts w:ascii="Arial" w:hAnsi="Arial" w:cs="Arial"/>
          <w:sz w:val="22"/>
          <w:szCs w:val="22"/>
        </w:rPr>
      </w:pPr>
      <w:r w:rsidRPr="00904C0F">
        <w:rPr>
          <w:rFonts w:ascii="Arial" w:hAnsi="Arial" w:cs="Arial"/>
          <w:sz w:val="22"/>
          <w:szCs w:val="22"/>
        </w:rPr>
        <w:t>U.5 :</w:t>
      </w:r>
      <w:r w:rsidR="00C37862" w:rsidRPr="00C37862">
        <w:rPr>
          <w:rFonts w:ascii="Arial" w:hAnsi="Arial" w:cs="Arial"/>
          <w:sz w:val="22"/>
          <w:szCs w:val="22"/>
        </w:rPr>
        <w:t xml:space="preserve"> </w:t>
      </w:r>
      <w:r w:rsidR="00C37862" w:rsidRPr="00904C0F">
        <w:rPr>
          <w:rFonts w:ascii="Arial" w:hAnsi="Arial" w:cs="Arial"/>
          <w:sz w:val="22"/>
          <w:szCs w:val="22"/>
        </w:rPr>
        <w:tab/>
      </w:r>
      <w:r w:rsidRPr="00904C0F">
        <w:rPr>
          <w:rFonts w:ascii="Arial" w:hAnsi="Arial" w:cs="Arial"/>
          <w:sz w:val="22"/>
          <w:szCs w:val="22"/>
        </w:rPr>
        <w:t>Les rituels et pratiques associés au sanctuaire de Kit Mikayi ont été inscrits à l</w:t>
      </w:r>
      <w:r w:rsidR="009C104E">
        <w:rPr>
          <w:rFonts w:ascii="Arial" w:hAnsi="Arial" w:cs="Arial"/>
          <w:sz w:val="22"/>
          <w:szCs w:val="22"/>
        </w:rPr>
        <w:t>’</w:t>
      </w:r>
      <w:r w:rsidRPr="00904C0F">
        <w:rPr>
          <w:rFonts w:ascii="Arial" w:hAnsi="Arial" w:cs="Arial"/>
          <w:sz w:val="22"/>
          <w:szCs w:val="22"/>
        </w:rPr>
        <w:t>Inventaire national du patrimoine culturel immatériel du Kenya en 2012, à l</w:t>
      </w:r>
      <w:r w:rsidR="009C104E">
        <w:rPr>
          <w:rFonts w:ascii="Arial" w:hAnsi="Arial" w:cs="Arial"/>
          <w:sz w:val="22"/>
          <w:szCs w:val="22"/>
        </w:rPr>
        <w:t>’</w:t>
      </w:r>
      <w:r w:rsidRPr="00904C0F">
        <w:rPr>
          <w:rFonts w:ascii="Arial" w:hAnsi="Arial" w:cs="Arial"/>
          <w:sz w:val="22"/>
          <w:szCs w:val="22"/>
        </w:rPr>
        <w:t>issue d</w:t>
      </w:r>
      <w:r w:rsidR="009C104E">
        <w:rPr>
          <w:rFonts w:ascii="Arial" w:hAnsi="Arial" w:cs="Arial"/>
          <w:sz w:val="22"/>
          <w:szCs w:val="22"/>
        </w:rPr>
        <w:t>’</w:t>
      </w:r>
      <w:r w:rsidRPr="00904C0F">
        <w:rPr>
          <w:rFonts w:ascii="Arial" w:hAnsi="Arial" w:cs="Arial"/>
          <w:sz w:val="22"/>
          <w:szCs w:val="22"/>
        </w:rPr>
        <w:t>un processus participatif bien décrit. Cet inventaire est administré par le Département de la culture au sein du Ministère des sports et du patrimoine, et la Commission nationale du Kenya pour l</w:t>
      </w:r>
      <w:r w:rsidR="009C104E">
        <w:rPr>
          <w:rFonts w:ascii="Arial" w:hAnsi="Arial" w:cs="Arial"/>
          <w:sz w:val="22"/>
          <w:szCs w:val="22"/>
        </w:rPr>
        <w:t>’</w:t>
      </w:r>
      <w:r w:rsidRPr="00904C0F">
        <w:rPr>
          <w:rFonts w:ascii="Arial" w:hAnsi="Arial" w:cs="Arial"/>
          <w:sz w:val="22"/>
          <w:szCs w:val="22"/>
        </w:rPr>
        <w:t>UNESCO. Ces institutions mettent à jour l</w:t>
      </w:r>
      <w:r w:rsidR="009C104E">
        <w:rPr>
          <w:rFonts w:ascii="Arial" w:hAnsi="Arial" w:cs="Arial"/>
          <w:sz w:val="22"/>
          <w:szCs w:val="22"/>
        </w:rPr>
        <w:t>’</w:t>
      </w:r>
      <w:r w:rsidRPr="00904C0F">
        <w:rPr>
          <w:rFonts w:ascii="Arial" w:hAnsi="Arial" w:cs="Arial"/>
          <w:sz w:val="22"/>
          <w:szCs w:val="22"/>
        </w:rPr>
        <w:t>inventaire régulièrement, avec la collaboration des communautés concernées et d</w:t>
      </w:r>
      <w:r w:rsidR="009C104E">
        <w:rPr>
          <w:rFonts w:ascii="Arial" w:hAnsi="Arial" w:cs="Arial"/>
          <w:sz w:val="22"/>
          <w:szCs w:val="22"/>
        </w:rPr>
        <w:t>’</w:t>
      </w:r>
      <w:r w:rsidRPr="00904C0F">
        <w:rPr>
          <w:rFonts w:ascii="Arial" w:hAnsi="Arial" w:cs="Arial"/>
          <w:sz w:val="22"/>
          <w:szCs w:val="22"/>
        </w:rPr>
        <w:t>autres parties prenantes.</w:t>
      </w:r>
    </w:p>
    <w:p w14:paraId="06516190" w14:textId="391290A0" w:rsidR="00191F85" w:rsidRPr="00904C0F" w:rsidRDefault="00191F85" w:rsidP="00771F30">
      <w:pPr>
        <w:numPr>
          <w:ilvl w:val="1"/>
          <w:numId w:val="24"/>
        </w:numPr>
        <w:tabs>
          <w:tab w:val="left" w:pos="1134"/>
          <w:tab w:val="left" w:pos="1701"/>
          <w:tab w:val="left" w:pos="2268"/>
        </w:tabs>
        <w:spacing w:before="120" w:after="120"/>
        <w:ind w:left="567" w:hanging="567"/>
        <w:jc w:val="both"/>
        <w:rPr>
          <w:rFonts w:ascii="Arial" w:hAnsi="Arial" w:cs="Arial"/>
          <w:sz w:val="22"/>
          <w:szCs w:val="22"/>
        </w:rPr>
      </w:pPr>
      <w:r w:rsidRPr="00904C0F">
        <w:rPr>
          <w:rFonts w:ascii="Arial" w:hAnsi="Arial" w:cs="Arial"/>
          <w:sz w:val="22"/>
          <w:szCs w:val="22"/>
          <w:u w:val="single"/>
        </w:rPr>
        <w:t>Estime en outre</w:t>
      </w:r>
      <w:r w:rsidRPr="00904C0F">
        <w:rPr>
          <w:rFonts w:ascii="Arial" w:hAnsi="Arial" w:cs="Arial"/>
          <w:sz w:val="22"/>
          <w:szCs w:val="22"/>
        </w:rPr>
        <w:t xml:space="preserve"> que les informations contenues dans le dossier n</w:t>
      </w:r>
      <w:r w:rsidR="009C104E">
        <w:rPr>
          <w:rFonts w:ascii="Arial" w:hAnsi="Arial" w:cs="Arial"/>
          <w:sz w:val="22"/>
          <w:szCs w:val="22"/>
        </w:rPr>
        <w:t>’</w:t>
      </w:r>
      <w:r w:rsidRPr="00904C0F">
        <w:rPr>
          <w:rFonts w:ascii="Arial" w:hAnsi="Arial" w:cs="Arial"/>
          <w:sz w:val="22"/>
          <w:szCs w:val="22"/>
        </w:rPr>
        <w:t>étaient pas suffisantes pour permettre au Comité de déterminer si le critère d</w:t>
      </w:r>
      <w:r w:rsidR="009C104E">
        <w:rPr>
          <w:rFonts w:ascii="Arial" w:hAnsi="Arial" w:cs="Arial"/>
          <w:sz w:val="22"/>
          <w:szCs w:val="22"/>
        </w:rPr>
        <w:t>’</w:t>
      </w:r>
      <w:r w:rsidRPr="00904C0F">
        <w:rPr>
          <w:rFonts w:ascii="Arial" w:hAnsi="Arial" w:cs="Arial"/>
          <w:sz w:val="22"/>
          <w:szCs w:val="22"/>
        </w:rPr>
        <w:t>inscription sur la Liste du patrimoine culturel immatériel nécessitant une sauvegarde urgente suivant est satisfait :</w:t>
      </w:r>
    </w:p>
    <w:p w14:paraId="7B1876EC" w14:textId="0E1D063F" w:rsidR="00191F85" w:rsidRPr="00904C0F" w:rsidRDefault="00191F85" w:rsidP="00904C0F">
      <w:pPr>
        <w:tabs>
          <w:tab w:val="left" w:pos="567"/>
          <w:tab w:val="left" w:pos="1134"/>
          <w:tab w:val="left" w:pos="1701"/>
          <w:tab w:val="left" w:pos="2268"/>
        </w:tabs>
        <w:spacing w:before="120" w:after="120"/>
        <w:ind w:left="1134" w:hanging="567"/>
        <w:jc w:val="both"/>
        <w:rPr>
          <w:rFonts w:ascii="Arial" w:hAnsi="Arial" w:cs="Arial"/>
          <w:sz w:val="22"/>
          <w:szCs w:val="22"/>
        </w:rPr>
      </w:pPr>
      <w:r w:rsidRPr="00904C0F">
        <w:rPr>
          <w:rFonts w:ascii="Arial" w:hAnsi="Arial" w:cs="Arial"/>
          <w:sz w:val="22"/>
          <w:szCs w:val="22"/>
        </w:rPr>
        <w:t>U.3 :</w:t>
      </w:r>
      <w:r w:rsidRPr="00904C0F">
        <w:rPr>
          <w:rFonts w:ascii="Arial" w:hAnsi="Arial" w:cs="Arial"/>
          <w:sz w:val="22"/>
          <w:szCs w:val="22"/>
        </w:rPr>
        <w:tab/>
        <w:t>Le plan de sauvegarde compte neuf activités correspondant à quatre objectifs, qui assurent la continuité des mesures passées et en cours visant à sauvegarder l</w:t>
      </w:r>
      <w:r w:rsidR="009C104E">
        <w:rPr>
          <w:rFonts w:ascii="Arial" w:hAnsi="Arial" w:cs="Arial"/>
          <w:sz w:val="22"/>
          <w:szCs w:val="22"/>
        </w:rPr>
        <w:t>’</w:t>
      </w:r>
      <w:r w:rsidRPr="00904C0F">
        <w:rPr>
          <w:rFonts w:ascii="Arial" w:hAnsi="Arial" w:cs="Arial"/>
          <w:sz w:val="22"/>
          <w:szCs w:val="22"/>
        </w:rPr>
        <w:t>élément. Ces mesures, répondant à des menaces spécifiques, sont soutenues par le gouvernement local et doivent être mises en œuvre avec la participation de la communauté locale. Toutefois, il manque un calendrier d</w:t>
      </w:r>
      <w:r w:rsidR="009C104E">
        <w:rPr>
          <w:rFonts w:ascii="Arial" w:hAnsi="Arial" w:cs="Arial"/>
          <w:sz w:val="22"/>
          <w:szCs w:val="22"/>
        </w:rPr>
        <w:t>’</w:t>
      </w:r>
      <w:r w:rsidRPr="00904C0F">
        <w:rPr>
          <w:rFonts w:ascii="Arial" w:hAnsi="Arial" w:cs="Arial"/>
          <w:sz w:val="22"/>
          <w:szCs w:val="22"/>
        </w:rPr>
        <w:t>activités. Sans l</w:t>
      </w:r>
      <w:r w:rsidR="009C104E">
        <w:rPr>
          <w:rFonts w:ascii="Arial" w:hAnsi="Arial" w:cs="Arial"/>
          <w:sz w:val="22"/>
          <w:szCs w:val="22"/>
        </w:rPr>
        <w:t>’</w:t>
      </w:r>
      <w:r w:rsidRPr="00904C0F">
        <w:rPr>
          <w:rFonts w:ascii="Arial" w:hAnsi="Arial" w:cs="Arial"/>
          <w:sz w:val="22"/>
          <w:szCs w:val="22"/>
        </w:rPr>
        <w:t>ajout au dossier d</w:t>
      </w:r>
      <w:r w:rsidR="009C104E">
        <w:rPr>
          <w:rFonts w:ascii="Arial" w:hAnsi="Arial" w:cs="Arial"/>
          <w:sz w:val="22"/>
          <w:szCs w:val="22"/>
        </w:rPr>
        <w:t>’</w:t>
      </w:r>
      <w:r w:rsidRPr="00904C0F">
        <w:rPr>
          <w:rFonts w:ascii="Arial" w:hAnsi="Arial" w:cs="Arial"/>
          <w:sz w:val="22"/>
          <w:szCs w:val="22"/>
        </w:rPr>
        <w:t>un tel calendrier pour les activités proposées, il n</w:t>
      </w:r>
      <w:r w:rsidR="009C104E">
        <w:rPr>
          <w:rFonts w:ascii="Arial" w:hAnsi="Arial" w:cs="Arial"/>
          <w:sz w:val="22"/>
          <w:szCs w:val="22"/>
        </w:rPr>
        <w:t>’</w:t>
      </w:r>
      <w:r w:rsidRPr="00904C0F">
        <w:rPr>
          <w:rFonts w:ascii="Arial" w:hAnsi="Arial" w:cs="Arial"/>
          <w:sz w:val="22"/>
          <w:szCs w:val="22"/>
        </w:rPr>
        <w:t>est pas possible d</w:t>
      </w:r>
      <w:r w:rsidR="009C104E">
        <w:rPr>
          <w:rFonts w:ascii="Arial" w:hAnsi="Arial" w:cs="Arial"/>
          <w:sz w:val="22"/>
          <w:szCs w:val="22"/>
        </w:rPr>
        <w:t>’</w:t>
      </w:r>
      <w:r w:rsidRPr="00904C0F">
        <w:rPr>
          <w:rFonts w:ascii="Arial" w:hAnsi="Arial" w:cs="Arial"/>
          <w:sz w:val="22"/>
          <w:szCs w:val="22"/>
        </w:rPr>
        <w:t>évaluer pleinement le plan de sauvegarde.</w:t>
      </w:r>
    </w:p>
    <w:p w14:paraId="749742FA" w14:textId="01EE2DBC" w:rsidR="00191F85" w:rsidRPr="00904C0F" w:rsidRDefault="00191F85" w:rsidP="00771F30">
      <w:pPr>
        <w:numPr>
          <w:ilvl w:val="1"/>
          <w:numId w:val="24"/>
        </w:numPr>
        <w:tabs>
          <w:tab w:val="left" w:pos="1134"/>
          <w:tab w:val="left" w:pos="1701"/>
          <w:tab w:val="left" w:pos="2268"/>
        </w:tabs>
        <w:spacing w:before="120" w:after="120"/>
        <w:ind w:left="567"/>
        <w:jc w:val="both"/>
        <w:rPr>
          <w:rFonts w:ascii="Arial" w:hAnsi="Arial" w:cs="Arial"/>
          <w:sz w:val="22"/>
          <w:szCs w:val="22"/>
        </w:rPr>
      </w:pPr>
      <w:r w:rsidRPr="00904C0F">
        <w:rPr>
          <w:rFonts w:ascii="Arial" w:hAnsi="Arial" w:cs="Arial"/>
          <w:sz w:val="22"/>
          <w:szCs w:val="22"/>
          <w:u w:val="single"/>
        </w:rPr>
        <w:t>Prend note en outre</w:t>
      </w:r>
      <w:r w:rsidRPr="00904C0F">
        <w:rPr>
          <w:rFonts w:ascii="Arial" w:hAnsi="Arial" w:cs="Arial"/>
          <w:sz w:val="22"/>
          <w:szCs w:val="22"/>
        </w:rPr>
        <w:t xml:space="preserve"> que, ayant estimé que les informations contenues dans le dossier n</w:t>
      </w:r>
      <w:r w:rsidR="009C104E">
        <w:rPr>
          <w:rFonts w:ascii="Arial" w:hAnsi="Arial" w:cs="Arial"/>
          <w:sz w:val="22"/>
          <w:szCs w:val="22"/>
        </w:rPr>
        <w:t>’</w:t>
      </w:r>
      <w:r w:rsidRPr="00904C0F">
        <w:rPr>
          <w:rFonts w:ascii="Arial" w:hAnsi="Arial" w:cs="Arial"/>
          <w:sz w:val="22"/>
          <w:szCs w:val="22"/>
        </w:rPr>
        <w:t>étaient pas suffisantes pour déterminer si le critère U.3 est satisfait et qu</w:t>
      </w:r>
      <w:r w:rsidR="009C104E">
        <w:rPr>
          <w:rFonts w:ascii="Arial" w:hAnsi="Arial" w:cs="Arial"/>
          <w:sz w:val="22"/>
          <w:szCs w:val="22"/>
        </w:rPr>
        <w:t>’</w:t>
      </w:r>
      <w:r w:rsidRPr="00904C0F">
        <w:rPr>
          <w:rFonts w:ascii="Arial" w:hAnsi="Arial" w:cs="Arial"/>
          <w:sz w:val="22"/>
          <w:szCs w:val="22"/>
        </w:rPr>
        <w:t>un court processus de questions et réponses avec l</w:t>
      </w:r>
      <w:r w:rsidR="009C104E">
        <w:rPr>
          <w:rFonts w:ascii="Arial" w:hAnsi="Arial" w:cs="Arial"/>
          <w:sz w:val="22"/>
          <w:szCs w:val="22"/>
        </w:rPr>
        <w:t>’</w:t>
      </w:r>
      <w:r w:rsidRPr="00904C0F">
        <w:rPr>
          <w:rFonts w:ascii="Arial" w:hAnsi="Arial" w:cs="Arial"/>
          <w:sz w:val="22"/>
          <w:szCs w:val="22"/>
        </w:rPr>
        <w:t>Etat soumissionnaire pourrait clarifier si la candidature remplit le critère concerné, l</w:t>
      </w:r>
      <w:r w:rsidR="009C104E">
        <w:rPr>
          <w:rFonts w:ascii="Arial" w:hAnsi="Arial" w:cs="Arial"/>
          <w:sz w:val="22"/>
          <w:szCs w:val="22"/>
        </w:rPr>
        <w:t>’</w:t>
      </w:r>
      <w:r w:rsidRPr="00904C0F">
        <w:rPr>
          <w:rFonts w:ascii="Arial" w:hAnsi="Arial" w:cs="Arial"/>
          <w:sz w:val="22"/>
          <w:szCs w:val="22"/>
        </w:rPr>
        <w:t>Organe d</w:t>
      </w:r>
      <w:r w:rsidR="009C104E">
        <w:rPr>
          <w:rFonts w:ascii="Arial" w:hAnsi="Arial" w:cs="Arial"/>
          <w:sz w:val="22"/>
          <w:szCs w:val="22"/>
        </w:rPr>
        <w:t>’</w:t>
      </w:r>
      <w:r w:rsidRPr="00904C0F">
        <w:rPr>
          <w:rFonts w:ascii="Arial" w:hAnsi="Arial" w:cs="Arial"/>
          <w:sz w:val="22"/>
          <w:szCs w:val="22"/>
        </w:rPr>
        <w:t xml:space="preserve">évaluation a décidé, conformément à la </w:t>
      </w:r>
      <w:hyperlink r:id="rId50" w:history="1">
        <w:r w:rsidRPr="00904C0F">
          <w:rPr>
            <w:rStyle w:val="Hyperlink"/>
            <w:rFonts w:ascii="Arial" w:hAnsi="Arial" w:cs="Arial"/>
            <w:sz w:val="22"/>
            <w:szCs w:val="22"/>
          </w:rPr>
          <w:t>décision 13.COM 10</w:t>
        </w:r>
      </w:hyperlink>
      <w:r w:rsidRPr="00904C0F">
        <w:rPr>
          <w:rFonts w:ascii="Arial" w:hAnsi="Arial" w:cs="Arial"/>
          <w:sz w:val="22"/>
          <w:szCs w:val="22"/>
        </w:rPr>
        <w:t>, d</w:t>
      </w:r>
      <w:r w:rsidR="009C104E">
        <w:rPr>
          <w:rFonts w:ascii="Arial" w:hAnsi="Arial" w:cs="Arial"/>
          <w:sz w:val="22"/>
          <w:szCs w:val="22"/>
        </w:rPr>
        <w:t>’</w:t>
      </w:r>
      <w:r w:rsidRPr="00904C0F">
        <w:rPr>
          <w:rFonts w:ascii="Arial" w:hAnsi="Arial" w:cs="Arial"/>
          <w:sz w:val="22"/>
          <w:szCs w:val="22"/>
        </w:rPr>
        <w:t>engager un processus de « dialogue » afin d</w:t>
      </w:r>
      <w:r w:rsidR="009C104E">
        <w:rPr>
          <w:rFonts w:ascii="Arial" w:hAnsi="Arial" w:cs="Arial"/>
          <w:sz w:val="22"/>
          <w:szCs w:val="22"/>
        </w:rPr>
        <w:t>’</w:t>
      </w:r>
      <w:r w:rsidRPr="00904C0F">
        <w:rPr>
          <w:rFonts w:ascii="Arial" w:hAnsi="Arial" w:cs="Arial"/>
          <w:sz w:val="22"/>
          <w:szCs w:val="22"/>
        </w:rPr>
        <w:t>obtenir des informations concernant la question suivante :</w:t>
      </w:r>
    </w:p>
    <w:p w14:paraId="69F16BC7" w14:textId="77777777" w:rsidR="00191F85" w:rsidRPr="00904C0F" w:rsidRDefault="00191F85" w:rsidP="00A400B1">
      <w:pPr>
        <w:ind w:left="567"/>
        <w:jc w:val="both"/>
        <w:rPr>
          <w:rFonts w:ascii="Arial" w:hAnsi="Arial" w:cs="Arial"/>
          <w:sz w:val="22"/>
          <w:szCs w:val="22"/>
        </w:rPr>
      </w:pPr>
      <w:r w:rsidRPr="00904C0F">
        <w:rPr>
          <w:rFonts w:ascii="Arial" w:hAnsi="Arial" w:cs="Arial"/>
          <w:sz w:val="22"/>
          <w:szCs w:val="22"/>
        </w:rPr>
        <w:t>Le plan de sauvegarde demandé dans la section 3.b (Plan de sauvegarde proposé) ne contient pas de calendrier des activités proposées. Pouvez-vous en fournir un ?</w:t>
      </w:r>
    </w:p>
    <w:p w14:paraId="6DC08DFA" w14:textId="5B63AA85" w:rsidR="00191F85" w:rsidRPr="00904C0F" w:rsidRDefault="00191F85" w:rsidP="00771F30">
      <w:pPr>
        <w:numPr>
          <w:ilvl w:val="1"/>
          <w:numId w:val="24"/>
        </w:numPr>
        <w:tabs>
          <w:tab w:val="left" w:pos="1134"/>
          <w:tab w:val="left" w:pos="1701"/>
          <w:tab w:val="left" w:pos="2268"/>
        </w:tabs>
        <w:spacing w:before="120" w:after="120"/>
        <w:ind w:left="567"/>
        <w:jc w:val="both"/>
        <w:rPr>
          <w:rFonts w:ascii="Arial" w:hAnsi="Arial" w:cs="Arial"/>
          <w:noProof/>
          <w:sz w:val="22"/>
          <w:szCs w:val="22"/>
        </w:rPr>
      </w:pPr>
      <w:r w:rsidRPr="00904C0F">
        <w:rPr>
          <w:rFonts w:ascii="Arial" w:hAnsi="Arial" w:cs="Arial"/>
          <w:sz w:val="22"/>
          <w:szCs w:val="22"/>
          <w:u w:val="single"/>
        </w:rPr>
        <w:t>Prend note également</w:t>
      </w:r>
      <w:r w:rsidRPr="00904C0F">
        <w:rPr>
          <w:rFonts w:ascii="Arial" w:hAnsi="Arial" w:cs="Arial"/>
          <w:sz w:val="22"/>
          <w:szCs w:val="22"/>
        </w:rPr>
        <w:t xml:space="preserve"> des informations fournies à ce sujet par l</w:t>
      </w:r>
      <w:r w:rsidR="009C104E">
        <w:rPr>
          <w:rFonts w:ascii="Arial" w:hAnsi="Arial" w:cs="Arial"/>
          <w:sz w:val="22"/>
          <w:szCs w:val="22"/>
        </w:rPr>
        <w:t>’</w:t>
      </w:r>
      <w:r w:rsidRPr="00904C0F">
        <w:rPr>
          <w:rFonts w:ascii="Arial" w:hAnsi="Arial" w:cs="Arial"/>
          <w:sz w:val="22"/>
          <w:szCs w:val="22"/>
        </w:rPr>
        <w:t>État soumissionnaire ainsi que de l</w:t>
      </w:r>
      <w:r w:rsidR="009C104E">
        <w:rPr>
          <w:rFonts w:ascii="Arial" w:hAnsi="Arial" w:cs="Arial"/>
          <w:sz w:val="22"/>
          <w:szCs w:val="22"/>
        </w:rPr>
        <w:t>’</w:t>
      </w:r>
      <w:r w:rsidRPr="00904C0F">
        <w:rPr>
          <w:rFonts w:ascii="Arial" w:hAnsi="Arial" w:cs="Arial"/>
          <w:sz w:val="22"/>
          <w:szCs w:val="22"/>
        </w:rPr>
        <w:t>avis ultérieur de l</w:t>
      </w:r>
      <w:r w:rsidR="009C104E">
        <w:rPr>
          <w:rFonts w:ascii="Arial" w:hAnsi="Arial" w:cs="Arial"/>
          <w:sz w:val="22"/>
          <w:szCs w:val="22"/>
        </w:rPr>
        <w:t>’</w:t>
      </w:r>
      <w:r w:rsidRPr="00904C0F">
        <w:rPr>
          <w:rFonts w:ascii="Arial" w:hAnsi="Arial" w:cs="Arial"/>
          <w:sz w:val="22"/>
          <w:szCs w:val="22"/>
        </w:rPr>
        <w:t>Organe d</w:t>
      </w:r>
      <w:r w:rsidR="009C104E">
        <w:rPr>
          <w:rFonts w:ascii="Arial" w:hAnsi="Arial" w:cs="Arial"/>
          <w:sz w:val="22"/>
          <w:szCs w:val="22"/>
        </w:rPr>
        <w:t>’</w:t>
      </w:r>
      <w:r w:rsidRPr="00904C0F">
        <w:rPr>
          <w:rFonts w:ascii="Arial" w:hAnsi="Arial" w:cs="Arial"/>
          <w:sz w:val="22"/>
          <w:szCs w:val="22"/>
        </w:rPr>
        <w:t>évaluation, tel qu</w:t>
      </w:r>
      <w:r w:rsidR="009C104E">
        <w:rPr>
          <w:rFonts w:ascii="Arial" w:hAnsi="Arial" w:cs="Arial"/>
          <w:sz w:val="22"/>
          <w:szCs w:val="22"/>
        </w:rPr>
        <w:t>’</w:t>
      </w:r>
      <w:r w:rsidRPr="00904C0F">
        <w:rPr>
          <w:rFonts w:ascii="Arial" w:hAnsi="Arial" w:cs="Arial"/>
          <w:sz w:val="22"/>
          <w:szCs w:val="22"/>
        </w:rPr>
        <w:t xml:space="preserve">il figure dans le document </w:t>
      </w:r>
      <w:hyperlink r:id="rId51" w:history="1">
        <w:r w:rsidRPr="00904C0F">
          <w:rPr>
            <w:rStyle w:val="Hyperlink"/>
            <w:rFonts w:ascii="Arial" w:hAnsi="Arial" w:cs="Arial"/>
            <w:sz w:val="22"/>
            <w:szCs w:val="22"/>
          </w:rPr>
          <w:t>LHE/19/14.COM/INF.10</w:t>
        </w:r>
      </w:hyperlink>
      <w:r w:rsidRPr="00904C0F">
        <w:rPr>
          <w:rFonts w:ascii="Arial" w:hAnsi="Arial" w:cs="Arial"/>
          <w:sz w:val="22"/>
          <w:szCs w:val="22"/>
        </w:rPr>
        <w:t>, selon lequel la réponse fournie répond de manière adéquate à la question (incluse au paragraphe 4) ;</w:t>
      </w:r>
    </w:p>
    <w:p w14:paraId="0F13A41D" w14:textId="5A4B9E7B" w:rsidR="00191F85" w:rsidRPr="00904C0F" w:rsidRDefault="00191F85" w:rsidP="00771F30">
      <w:pPr>
        <w:numPr>
          <w:ilvl w:val="1"/>
          <w:numId w:val="25"/>
        </w:numPr>
        <w:tabs>
          <w:tab w:val="left" w:pos="1134"/>
          <w:tab w:val="left" w:pos="1701"/>
          <w:tab w:val="left" w:pos="2268"/>
        </w:tabs>
        <w:spacing w:before="120" w:after="120"/>
        <w:ind w:left="567"/>
        <w:jc w:val="both"/>
        <w:rPr>
          <w:rFonts w:ascii="Arial" w:hAnsi="Arial" w:cs="Arial"/>
          <w:noProof/>
          <w:sz w:val="22"/>
          <w:szCs w:val="22"/>
        </w:rPr>
      </w:pPr>
      <w:r w:rsidRPr="00904C0F">
        <w:rPr>
          <w:rFonts w:ascii="Arial" w:hAnsi="Arial" w:cs="Arial"/>
          <w:sz w:val="22"/>
          <w:szCs w:val="22"/>
          <w:u w:val="single"/>
        </w:rPr>
        <w:t>Considère</w:t>
      </w:r>
      <w:r w:rsidRPr="00904C0F">
        <w:rPr>
          <w:rFonts w:ascii="Arial" w:hAnsi="Arial" w:cs="Arial"/>
          <w:sz w:val="22"/>
          <w:szCs w:val="22"/>
        </w:rPr>
        <w:t xml:space="preserve"> que, sur la base des informations contenues dans le dossier et des informations fournies par l</w:t>
      </w:r>
      <w:r w:rsidR="009C104E">
        <w:rPr>
          <w:rFonts w:ascii="Arial" w:hAnsi="Arial" w:cs="Arial"/>
          <w:sz w:val="22"/>
          <w:szCs w:val="22"/>
        </w:rPr>
        <w:t>’</w:t>
      </w:r>
      <w:r w:rsidRPr="00904C0F">
        <w:rPr>
          <w:rFonts w:ascii="Arial" w:hAnsi="Arial" w:cs="Arial"/>
          <w:sz w:val="22"/>
          <w:szCs w:val="22"/>
        </w:rPr>
        <w:t>État soumissionnaire dans le cadre du processus de « dialogue », ainsi que de l</w:t>
      </w:r>
      <w:r w:rsidR="009C104E">
        <w:rPr>
          <w:rFonts w:ascii="Arial" w:hAnsi="Arial" w:cs="Arial"/>
          <w:sz w:val="22"/>
          <w:szCs w:val="22"/>
        </w:rPr>
        <w:t>’</w:t>
      </w:r>
      <w:r w:rsidRPr="00904C0F">
        <w:rPr>
          <w:rFonts w:ascii="Arial" w:hAnsi="Arial" w:cs="Arial"/>
          <w:sz w:val="22"/>
          <w:szCs w:val="22"/>
        </w:rPr>
        <w:t>avis ultérieur de l</w:t>
      </w:r>
      <w:r w:rsidR="009C104E">
        <w:rPr>
          <w:rFonts w:ascii="Arial" w:hAnsi="Arial" w:cs="Arial"/>
          <w:sz w:val="22"/>
          <w:szCs w:val="22"/>
        </w:rPr>
        <w:t>’</w:t>
      </w:r>
      <w:r w:rsidRPr="00904C0F">
        <w:rPr>
          <w:rFonts w:ascii="Arial" w:hAnsi="Arial" w:cs="Arial"/>
          <w:sz w:val="22"/>
          <w:szCs w:val="22"/>
        </w:rPr>
        <w:t>Organe d</w:t>
      </w:r>
      <w:r w:rsidR="009C104E">
        <w:rPr>
          <w:rFonts w:ascii="Arial" w:hAnsi="Arial" w:cs="Arial"/>
          <w:sz w:val="22"/>
          <w:szCs w:val="22"/>
        </w:rPr>
        <w:t>’</w:t>
      </w:r>
      <w:r w:rsidRPr="00904C0F">
        <w:rPr>
          <w:rFonts w:ascii="Arial" w:hAnsi="Arial" w:cs="Arial"/>
          <w:sz w:val="22"/>
          <w:szCs w:val="22"/>
        </w:rPr>
        <w:t>évaluation, le critère U.3 est satisfait ;</w:t>
      </w:r>
    </w:p>
    <w:p w14:paraId="7F8B9C69" w14:textId="39C7E796" w:rsidR="00191F85" w:rsidRPr="00904C0F" w:rsidRDefault="00191F85" w:rsidP="00771F30">
      <w:pPr>
        <w:numPr>
          <w:ilvl w:val="1"/>
          <w:numId w:val="25"/>
        </w:numPr>
        <w:tabs>
          <w:tab w:val="left" w:pos="1134"/>
          <w:tab w:val="left" w:pos="1701"/>
          <w:tab w:val="left" w:pos="2268"/>
        </w:tabs>
        <w:spacing w:before="120" w:after="120"/>
        <w:ind w:left="567"/>
        <w:jc w:val="both"/>
        <w:rPr>
          <w:rFonts w:ascii="Arial" w:hAnsi="Arial" w:cs="Arial"/>
          <w:noProof/>
          <w:sz w:val="22"/>
          <w:szCs w:val="22"/>
        </w:rPr>
      </w:pPr>
      <w:r w:rsidRPr="00904C0F">
        <w:rPr>
          <w:rFonts w:ascii="Arial" w:hAnsi="Arial" w:cs="Arial"/>
          <w:sz w:val="22"/>
          <w:szCs w:val="22"/>
          <w:u w:val="single"/>
        </w:rPr>
        <w:t>Décide d</w:t>
      </w:r>
      <w:r w:rsidR="009C104E">
        <w:rPr>
          <w:rFonts w:ascii="Arial" w:hAnsi="Arial" w:cs="Arial"/>
          <w:sz w:val="22"/>
          <w:szCs w:val="22"/>
          <w:u w:val="single"/>
        </w:rPr>
        <w:t>’</w:t>
      </w:r>
      <w:r w:rsidRPr="00904C0F">
        <w:rPr>
          <w:rFonts w:ascii="Arial" w:hAnsi="Arial" w:cs="Arial"/>
          <w:sz w:val="22"/>
          <w:szCs w:val="22"/>
          <w:u w:val="single"/>
        </w:rPr>
        <w:t>inscrire</w:t>
      </w:r>
      <w:r w:rsidRPr="00904C0F">
        <w:rPr>
          <w:rFonts w:ascii="Arial" w:hAnsi="Arial" w:cs="Arial"/>
          <w:sz w:val="22"/>
          <w:szCs w:val="22"/>
        </w:rPr>
        <w:t xml:space="preserve"> </w:t>
      </w:r>
      <w:r w:rsidRPr="00904C0F">
        <w:rPr>
          <w:rFonts w:ascii="Arial" w:hAnsi="Arial" w:cs="Arial"/>
          <w:b/>
          <w:sz w:val="22"/>
          <w:szCs w:val="22"/>
        </w:rPr>
        <w:t xml:space="preserve">les </w:t>
      </w:r>
      <w:r w:rsidRPr="00904C0F">
        <w:rPr>
          <w:rFonts w:ascii="Arial" w:hAnsi="Arial" w:cs="Arial"/>
          <w:b/>
          <w:bCs/>
          <w:sz w:val="22"/>
          <w:szCs w:val="22"/>
        </w:rPr>
        <w:t>rituels et pratiques associés au sanctuaire de Kit Mikayi</w:t>
      </w:r>
      <w:r w:rsidRPr="00904C0F">
        <w:rPr>
          <w:rFonts w:ascii="Arial" w:hAnsi="Arial" w:cs="Arial"/>
          <w:sz w:val="22"/>
          <w:szCs w:val="22"/>
        </w:rPr>
        <w:t xml:space="preserve"> sur la Liste du patrimoine culturel immatériel nécessitant une sauvegarde urgente ;</w:t>
      </w:r>
    </w:p>
    <w:p w14:paraId="29FC6AF9" w14:textId="3E249863" w:rsidR="00191F85" w:rsidRPr="00904C0F" w:rsidRDefault="00191F85" w:rsidP="00771F30">
      <w:pPr>
        <w:numPr>
          <w:ilvl w:val="1"/>
          <w:numId w:val="24"/>
        </w:numPr>
        <w:tabs>
          <w:tab w:val="left" w:pos="1134"/>
          <w:tab w:val="left" w:pos="1701"/>
          <w:tab w:val="left" w:pos="2268"/>
        </w:tabs>
        <w:spacing w:before="120" w:after="120"/>
        <w:ind w:left="567" w:hanging="578"/>
        <w:jc w:val="both"/>
        <w:rPr>
          <w:rFonts w:ascii="Arial" w:hAnsi="Arial" w:cs="Arial"/>
          <w:sz w:val="22"/>
          <w:szCs w:val="22"/>
        </w:rPr>
      </w:pPr>
      <w:r w:rsidRPr="00904C0F">
        <w:rPr>
          <w:rFonts w:ascii="Arial" w:hAnsi="Arial" w:cs="Arial"/>
          <w:sz w:val="22"/>
          <w:szCs w:val="22"/>
          <w:u w:val="single"/>
        </w:rPr>
        <w:t>Rappelle</w:t>
      </w:r>
      <w:r w:rsidRPr="00904C0F">
        <w:rPr>
          <w:rFonts w:ascii="Arial" w:hAnsi="Arial" w:cs="Arial"/>
          <w:sz w:val="22"/>
          <w:szCs w:val="22"/>
        </w:rPr>
        <w:t xml:space="preserve"> à l</w:t>
      </w:r>
      <w:r w:rsidR="009C104E">
        <w:rPr>
          <w:rFonts w:ascii="Arial" w:hAnsi="Arial" w:cs="Arial"/>
          <w:sz w:val="22"/>
          <w:szCs w:val="22"/>
        </w:rPr>
        <w:t>’</w:t>
      </w:r>
      <w:r w:rsidRPr="00904C0F">
        <w:rPr>
          <w:rFonts w:ascii="Arial" w:hAnsi="Arial" w:cs="Arial"/>
          <w:sz w:val="22"/>
          <w:szCs w:val="22"/>
        </w:rPr>
        <w:t>État partie qu</w:t>
      </w:r>
      <w:r w:rsidR="009C104E">
        <w:rPr>
          <w:rFonts w:ascii="Arial" w:hAnsi="Arial" w:cs="Arial"/>
          <w:sz w:val="22"/>
          <w:szCs w:val="22"/>
        </w:rPr>
        <w:t>’</w:t>
      </w:r>
      <w:r w:rsidRPr="00904C0F">
        <w:rPr>
          <w:rFonts w:ascii="Arial" w:hAnsi="Arial" w:cs="Arial"/>
          <w:sz w:val="22"/>
          <w:szCs w:val="22"/>
        </w:rPr>
        <w:t>il doit accorder une attention particulière aux effets du tourisme sur la sauvegarde de l</w:t>
      </w:r>
      <w:r w:rsidR="009C104E">
        <w:rPr>
          <w:rFonts w:ascii="Arial" w:hAnsi="Arial" w:cs="Arial"/>
          <w:sz w:val="22"/>
          <w:szCs w:val="22"/>
        </w:rPr>
        <w:t>’</w:t>
      </w:r>
      <w:r w:rsidRPr="00904C0F">
        <w:rPr>
          <w:rFonts w:ascii="Arial" w:hAnsi="Arial" w:cs="Arial"/>
          <w:sz w:val="22"/>
          <w:szCs w:val="22"/>
        </w:rPr>
        <w:t>élément afin d</w:t>
      </w:r>
      <w:r w:rsidR="009C104E">
        <w:rPr>
          <w:rFonts w:ascii="Arial" w:hAnsi="Arial" w:cs="Arial"/>
          <w:sz w:val="22"/>
          <w:szCs w:val="22"/>
        </w:rPr>
        <w:t>’</w:t>
      </w:r>
      <w:r w:rsidRPr="00904C0F">
        <w:rPr>
          <w:rFonts w:ascii="Arial" w:hAnsi="Arial" w:cs="Arial"/>
          <w:sz w:val="22"/>
          <w:szCs w:val="22"/>
        </w:rPr>
        <w:t>éviter sa décontextualisation et l</w:t>
      </w:r>
      <w:r w:rsidR="009C104E">
        <w:rPr>
          <w:rFonts w:ascii="Arial" w:hAnsi="Arial" w:cs="Arial"/>
          <w:sz w:val="22"/>
          <w:szCs w:val="22"/>
        </w:rPr>
        <w:t>’</w:t>
      </w:r>
      <w:r w:rsidRPr="00904C0F">
        <w:rPr>
          <w:rFonts w:ascii="Arial" w:hAnsi="Arial" w:cs="Arial"/>
          <w:sz w:val="22"/>
          <w:szCs w:val="22"/>
          <w:u w:val="single"/>
        </w:rPr>
        <w:t>encourage</w:t>
      </w:r>
      <w:r w:rsidRPr="00904C0F">
        <w:rPr>
          <w:rFonts w:ascii="Arial" w:hAnsi="Arial" w:cs="Arial"/>
          <w:sz w:val="22"/>
          <w:szCs w:val="22"/>
        </w:rPr>
        <w:t xml:space="preserve"> à contrôler l</w:t>
      </w:r>
      <w:r w:rsidR="009C104E">
        <w:rPr>
          <w:rFonts w:ascii="Arial" w:hAnsi="Arial" w:cs="Arial"/>
          <w:sz w:val="22"/>
          <w:szCs w:val="22"/>
        </w:rPr>
        <w:t>’</w:t>
      </w:r>
      <w:r w:rsidRPr="00904C0F">
        <w:rPr>
          <w:rFonts w:ascii="Arial" w:hAnsi="Arial" w:cs="Arial"/>
          <w:sz w:val="22"/>
          <w:szCs w:val="22"/>
        </w:rPr>
        <w:t>impact de la visibilité accrue de l</w:t>
      </w:r>
      <w:r w:rsidR="009C104E">
        <w:rPr>
          <w:rFonts w:ascii="Arial" w:hAnsi="Arial" w:cs="Arial"/>
          <w:sz w:val="22"/>
          <w:szCs w:val="22"/>
        </w:rPr>
        <w:t>’</w:t>
      </w:r>
      <w:r w:rsidRPr="00904C0F">
        <w:rPr>
          <w:rFonts w:ascii="Arial" w:hAnsi="Arial" w:cs="Arial"/>
          <w:sz w:val="22"/>
          <w:szCs w:val="22"/>
        </w:rPr>
        <w:t>élément et à limiter les répercussions négatives du tourisme.</w:t>
      </w:r>
    </w:p>
    <w:p w14:paraId="53A08BA0" w14:textId="3DDBC0B4" w:rsidR="00191F85" w:rsidRPr="00904C0F" w:rsidRDefault="00191F85" w:rsidP="00771F30">
      <w:pPr>
        <w:pStyle w:val="Heading2"/>
        <w:keepLines/>
        <w:numPr>
          <w:ilvl w:val="0"/>
          <w:numId w:val="24"/>
        </w:numPr>
        <w:spacing w:before="360" w:after="120"/>
        <w:rPr>
          <w:rFonts w:ascii="Arial" w:hAnsi="Arial" w:cs="Arial"/>
          <w:b w:val="0"/>
          <w:i w:val="0"/>
          <w:sz w:val="22"/>
          <w:szCs w:val="22"/>
        </w:rPr>
      </w:pPr>
      <w:bookmarkStart w:id="1" w:name="_PROJET_DE_DÉCISION_1"/>
      <w:bookmarkEnd w:id="1"/>
      <w:r w:rsidRPr="00904C0F">
        <w:rPr>
          <w:rFonts w:ascii="Arial" w:hAnsi="Arial" w:cs="Arial"/>
          <w:i w:val="0"/>
          <w:sz w:val="22"/>
          <w:szCs w:val="22"/>
        </w:rPr>
        <w:t>DÉCISION 14.COM 10.a.3</w:t>
      </w:r>
    </w:p>
    <w:p w14:paraId="511969AB" w14:textId="77777777" w:rsidR="00191F85" w:rsidRPr="00904C0F" w:rsidRDefault="00191F85" w:rsidP="00904C0F">
      <w:pPr>
        <w:keepNext/>
        <w:tabs>
          <w:tab w:val="left" w:pos="567"/>
          <w:tab w:val="left" w:pos="1134"/>
          <w:tab w:val="left" w:pos="1701"/>
          <w:tab w:val="left" w:pos="2268"/>
        </w:tabs>
        <w:spacing w:before="120" w:after="120"/>
        <w:jc w:val="both"/>
        <w:rPr>
          <w:rFonts w:ascii="Arial" w:hAnsi="Arial" w:cs="Arial"/>
          <w:sz w:val="22"/>
          <w:szCs w:val="22"/>
        </w:rPr>
      </w:pPr>
      <w:r w:rsidRPr="00904C0F">
        <w:rPr>
          <w:rFonts w:ascii="Arial" w:hAnsi="Arial" w:cs="Arial"/>
          <w:sz w:val="22"/>
          <w:szCs w:val="22"/>
        </w:rPr>
        <w:t>Le Comité,</w:t>
      </w:r>
    </w:p>
    <w:p w14:paraId="56F79837" w14:textId="77777777" w:rsidR="00191F85" w:rsidRPr="00904C0F" w:rsidRDefault="00191F85" w:rsidP="00771F30">
      <w:pPr>
        <w:numPr>
          <w:ilvl w:val="1"/>
          <w:numId w:val="24"/>
        </w:numPr>
        <w:tabs>
          <w:tab w:val="left" w:pos="567"/>
          <w:tab w:val="left" w:pos="1701"/>
          <w:tab w:val="left" w:pos="2268"/>
        </w:tabs>
        <w:spacing w:before="120" w:after="120"/>
        <w:ind w:left="567" w:hanging="567"/>
        <w:jc w:val="both"/>
        <w:rPr>
          <w:rFonts w:ascii="Arial" w:hAnsi="Arial" w:cs="Arial"/>
          <w:sz w:val="22"/>
          <w:szCs w:val="22"/>
        </w:rPr>
      </w:pPr>
      <w:r w:rsidRPr="00904C0F">
        <w:rPr>
          <w:rFonts w:ascii="Arial" w:hAnsi="Arial" w:cs="Arial"/>
          <w:sz w:val="22"/>
          <w:szCs w:val="22"/>
          <w:u w:val="single"/>
        </w:rPr>
        <w:t>Prend note</w:t>
      </w:r>
      <w:r w:rsidRPr="00904C0F">
        <w:rPr>
          <w:rFonts w:ascii="Arial" w:hAnsi="Arial" w:cs="Arial"/>
          <w:sz w:val="22"/>
          <w:szCs w:val="22"/>
        </w:rPr>
        <w:t xml:space="preserve"> que Maurice a proposé la candidature </w:t>
      </w:r>
      <w:r w:rsidRPr="00904C0F">
        <w:rPr>
          <w:rFonts w:ascii="Arial" w:hAnsi="Arial" w:cs="Arial"/>
          <w:b/>
          <w:sz w:val="22"/>
          <w:szCs w:val="22"/>
        </w:rPr>
        <w:t xml:space="preserve">du </w:t>
      </w:r>
      <w:r w:rsidRPr="00904C0F">
        <w:rPr>
          <w:rFonts w:ascii="Arial" w:hAnsi="Arial" w:cs="Arial"/>
          <w:b/>
          <w:bCs/>
          <w:sz w:val="22"/>
          <w:szCs w:val="22"/>
        </w:rPr>
        <w:t>séga tambour des Chagos</w:t>
      </w:r>
      <w:r w:rsidRPr="00904C0F">
        <w:rPr>
          <w:rFonts w:ascii="Arial" w:hAnsi="Arial" w:cs="Arial"/>
          <w:sz w:val="22"/>
          <w:szCs w:val="22"/>
        </w:rPr>
        <w:t xml:space="preserve"> (n° 01490) pour inscription sur la Liste du patrimoine culturel immatériel nécessitant une sauvegarde urgente :</w:t>
      </w:r>
    </w:p>
    <w:p w14:paraId="739760AD" w14:textId="339F3296" w:rsidR="00191F85" w:rsidRPr="00904C0F" w:rsidRDefault="00904C0F" w:rsidP="00904C0F">
      <w:pPr>
        <w:tabs>
          <w:tab w:val="left" w:pos="567"/>
          <w:tab w:val="left" w:pos="1701"/>
          <w:tab w:val="left" w:pos="2268"/>
        </w:tabs>
        <w:spacing w:before="120" w:after="120"/>
        <w:ind w:left="567" w:hanging="425"/>
        <w:jc w:val="both"/>
        <w:rPr>
          <w:rFonts w:ascii="Arial" w:hAnsi="Arial" w:cs="Arial"/>
          <w:sz w:val="22"/>
          <w:szCs w:val="22"/>
        </w:rPr>
      </w:pPr>
      <w:r>
        <w:rPr>
          <w:rFonts w:ascii="Arial" w:hAnsi="Arial" w:cs="Arial"/>
          <w:sz w:val="22"/>
          <w:szCs w:val="22"/>
        </w:rPr>
        <w:tab/>
      </w:r>
      <w:r w:rsidR="00191F85" w:rsidRPr="00904C0F">
        <w:rPr>
          <w:rFonts w:ascii="Arial" w:hAnsi="Arial" w:cs="Arial"/>
          <w:sz w:val="22"/>
          <w:szCs w:val="22"/>
        </w:rPr>
        <w:t>Originaire de l</w:t>
      </w:r>
      <w:r w:rsidR="009C104E">
        <w:rPr>
          <w:rFonts w:ascii="Arial" w:hAnsi="Arial" w:cs="Arial"/>
          <w:sz w:val="22"/>
          <w:szCs w:val="22"/>
        </w:rPr>
        <w:t>’</w:t>
      </w:r>
      <w:r w:rsidR="00191F85" w:rsidRPr="00904C0F">
        <w:rPr>
          <w:rFonts w:ascii="Arial" w:hAnsi="Arial" w:cs="Arial"/>
          <w:sz w:val="22"/>
          <w:szCs w:val="22"/>
        </w:rPr>
        <w:t>archipel des Chagos, le séga tambour des Chagos est l</w:t>
      </w:r>
      <w:r w:rsidR="009C104E">
        <w:rPr>
          <w:rFonts w:ascii="Arial" w:hAnsi="Arial" w:cs="Arial"/>
          <w:sz w:val="22"/>
          <w:szCs w:val="22"/>
        </w:rPr>
        <w:t>’</w:t>
      </w:r>
      <w:r w:rsidR="00191F85" w:rsidRPr="00904C0F">
        <w:rPr>
          <w:rFonts w:ascii="Arial" w:hAnsi="Arial" w:cs="Arial"/>
          <w:sz w:val="22"/>
          <w:szCs w:val="22"/>
        </w:rPr>
        <w:t>un des types de musique séga de l</w:t>
      </w:r>
      <w:r w:rsidR="009C104E">
        <w:rPr>
          <w:rFonts w:ascii="Arial" w:hAnsi="Arial" w:cs="Arial"/>
          <w:sz w:val="22"/>
          <w:szCs w:val="22"/>
        </w:rPr>
        <w:t>’</w:t>
      </w:r>
      <w:r w:rsidR="00191F85" w:rsidRPr="00904C0F">
        <w:rPr>
          <w:rFonts w:ascii="Arial" w:hAnsi="Arial" w:cs="Arial"/>
          <w:sz w:val="22"/>
          <w:szCs w:val="22"/>
        </w:rPr>
        <w:t>île Maurice. Comme les autres formes de musique séga, il est né de l</w:t>
      </w:r>
      <w:r w:rsidR="009C104E">
        <w:rPr>
          <w:rFonts w:ascii="Arial" w:hAnsi="Arial" w:cs="Arial"/>
          <w:sz w:val="22"/>
          <w:szCs w:val="22"/>
        </w:rPr>
        <w:t>’</w:t>
      </w:r>
      <w:r w:rsidR="00191F85" w:rsidRPr="00904C0F">
        <w:rPr>
          <w:rFonts w:ascii="Arial" w:hAnsi="Arial" w:cs="Arial"/>
          <w:sz w:val="22"/>
          <w:szCs w:val="22"/>
        </w:rPr>
        <w:t>esclavage et chanté en créole chagossien, le dialecte propre à l</w:t>
      </w:r>
      <w:r w:rsidR="009C104E">
        <w:rPr>
          <w:rFonts w:ascii="Arial" w:hAnsi="Arial" w:cs="Arial"/>
          <w:sz w:val="22"/>
          <w:szCs w:val="22"/>
        </w:rPr>
        <w:t>’</w:t>
      </w:r>
      <w:r w:rsidR="00191F85" w:rsidRPr="00904C0F">
        <w:rPr>
          <w:rFonts w:ascii="Arial" w:hAnsi="Arial" w:cs="Arial"/>
          <w:sz w:val="22"/>
          <w:szCs w:val="22"/>
        </w:rPr>
        <w:t>archipel. Il s</w:t>
      </w:r>
      <w:r w:rsidR="009C104E">
        <w:rPr>
          <w:rFonts w:ascii="Arial" w:hAnsi="Arial" w:cs="Arial"/>
          <w:sz w:val="22"/>
          <w:szCs w:val="22"/>
        </w:rPr>
        <w:t>’</w:t>
      </w:r>
      <w:r w:rsidR="00191F85" w:rsidRPr="00904C0F">
        <w:rPr>
          <w:rFonts w:ascii="Arial" w:hAnsi="Arial" w:cs="Arial"/>
          <w:sz w:val="22"/>
          <w:szCs w:val="22"/>
        </w:rPr>
        <w:t>agit d</w:t>
      </w:r>
      <w:r w:rsidR="009C104E">
        <w:rPr>
          <w:rFonts w:ascii="Arial" w:hAnsi="Arial" w:cs="Arial"/>
          <w:sz w:val="22"/>
          <w:szCs w:val="22"/>
        </w:rPr>
        <w:t>’</w:t>
      </w:r>
      <w:r w:rsidR="00191F85" w:rsidRPr="00904C0F">
        <w:rPr>
          <w:rFonts w:ascii="Arial" w:hAnsi="Arial" w:cs="Arial"/>
          <w:sz w:val="22"/>
          <w:szCs w:val="22"/>
        </w:rPr>
        <w:t>un mélange de musiques, de danses et de chants doux, énergiques et rythmés. L</w:t>
      </w:r>
      <w:r w:rsidR="009C104E">
        <w:rPr>
          <w:rFonts w:ascii="Arial" w:hAnsi="Arial" w:cs="Arial"/>
          <w:sz w:val="22"/>
          <w:szCs w:val="22"/>
        </w:rPr>
        <w:t>’</w:t>
      </w:r>
      <w:r w:rsidR="00191F85" w:rsidRPr="00904C0F">
        <w:rPr>
          <w:rFonts w:ascii="Arial" w:hAnsi="Arial" w:cs="Arial"/>
          <w:sz w:val="22"/>
          <w:szCs w:val="22"/>
        </w:rPr>
        <w:t>élément central est le tambour, grand instrument rond chauffé puis frappé pour produire des battements lancinants qui forment la base rythmique. Les paroles, souvent écrites de manière spontanée, relatent des expériences quotidiennes. Les chansons parlent notamment de tristesse, de bonheur et de rébellion. Le séga tambour des Chagos est également accompagné de plats et de boissons traditionnels. Les morceaux composés aujourd</w:t>
      </w:r>
      <w:r w:rsidR="009C104E">
        <w:rPr>
          <w:rFonts w:ascii="Arial" w:hAnsi="Arial" w:cs="Arial"/>
          <w:sz w:val="22"/>
          <w:szCs w:val="22"/>
        </w:rPr>
        <w:t>’</w:t>
      </w:r>
      <w:r w:rsidR="00191F85" w:rsidRPr="00904C0F">
        <w:rPr>
          <w:rFonts w:ascii="Arial" w:hAnsi="Arial" w:cs="Arial"/>
          <w:sz w:val="22"/>
          <w:szCs w:val="22"/>
        </w:rPr>
        <w:t>hui évoquent la nostalgie du passé et le mal du pays, ils s</w:t>
      </w:r>
      <w:r w:rsidR="009C104E">
        <w:rPr>
          <w:rFonts w:ascii="Arial" w:hAnsi="Arial" w:cs="Arial"/>
          <w:sz w:val="22"/>
          <w:szCs w:val="22"/>
        </w:rPr>
        <w:t>’</w:t>
      </w:r>
      <w:r w:rsidR="00191F85" w:rsidRPr="00904C0F">
        <w:rPr>
          <w:rFonts w:ascii="Arial" w:hAnsi="Arial" w:cs="Arial"/>
          <w:sz w:val="22"/>
          <w:szCs w:val="22"/>
        </w:rPr>
        <w:t>appuient sur l</w:t>
      </w:r>
      <w:r w:rsidR="009C104E">
        <w:rPr>
          <w:rFonts w:ascii="Arial" w:hAnsi="Arial" w:cs="Arial"/>
          <w:sz w:val="22"/>
          <w:szCs w:val="22"/>
        </w:rPr>
        <w:t>’</w:t>
      </w:r>
      <w:r w:rsidR="00191F85" w:rsidRPr="00904C0F">
        <w:rPr>
          <w:rFonts w:ascii="Arial" w:hAnsi="Arial" w:cs="Arial"/>
          <w:sz w:val="22"/>
          <w:szCs w:val="22"/>
        </w:rPr>
        <w:t>expérience douloureuse de l</w:t>
      </w:r>
      <w:r w:rsidR="009C104E">
        <w:rPr>
          <w:rFonts w:ascii="Arial" w:hAnsi="Arial" w:cs="Arial"/>
          <w:sz w:val="22"/>
          <w:szCs w:val="22"/>
        </w:rPr>
        <w:t>’</w:t>
      </w:r>
      <w:r w:rsidR="00191F85" w:rsidRPr="00904C0F">
        <w:rPr>
          <w:rFonts w:ascii="Arial" w:hAnsi="Arial" w:cs="Arial"/>
          <w:sz w:val="22"/>
          <w:szCs w:val="22"/>
        </w:rPr>
        <w:t>exil, pour que les jeunes n</w:t>
      </w:r>
      <w:r w:rsidR="009C104E">
        <w:rPr>
          <w:rFonts w:ascii="Arial" w:hAnsi="Arial" w:cs="Arial"/>
          <w:sz w:val="22"/>
          <w:szCs w:val="22"/>
        </w:rPr>
        <w:t>’</w:t>
      </w:r>
      <w:r w:rsidR="00191F85" w:rsidRPr="00904C0F">
        <w:rPr>
          <w:rFonts w:ascii="Arial" w:hAnsi="Arial" w:cs="Arial"/>
          <w:sz w:val="22"/>
          <w:szCs w:val="22"/>
        </w:rPr>
        <w:t>oublient pas leurs racines et restent fiers. Toutefois, malgré les efforts de sauvegarde, plusieurs facteurs menacent la viabilité de cet élément. Par exemple, si les anciennes générations pratiquent encore l</w:t>
      </w:r>
      <w:r w:rsidR="009C104E">
        <w:rPr>
          <w:rFonts w:ascii="Arial" w:hAnsi="Arial" w:cs="Arial"/>
          <w:sz w:val="22"/>
          <w:szCs w:val="22"/>
        </w:rPr>
        <w:t>’</w:t>
      </w:r>
      <w:r w:rsidR="00191F85" w:rsidRPr="00904C0F">
        <w:rPr>
          <w:rFonts w:ascii="Arial" w:hAnsi="Arial" w:cs="Arial"/>
          <w:sz w:val="22"/>
          <w:szCs w:val="22"/>
        </w:rPr>
        <w:t>élément sous sa forme traditionnelle, les jeunes se tournent peu à peu vers d</w:t>
      </w:r>
      <w:r w:rsidR="009C104E">
        <w:rPr>
          <w:rFonts w:ascii="Arial" w:hAnsi="Arial" w:cs="Arial"/>
          <w:sz w:val="22"/>
          <w:szCs w:val="22"/>
        </w:rPr>
        <w:t>’</w:t>
      </w:r>
      <w:r w:rsidR="00191F85" w:rsidRPr="00904C0F">
        <w:rPr>
          <w:rFonts w:ascii="Arial" w:hAnsi="Arial" w:cs="Arial"/>
          <w:sz w:val="22"/>
          <w:szCs w:val="22"/>
        </w:rPr>
        <w:t>autres types de musique. L</w:t>
      </w:r>
      <w:r w:rsidR="009C104E">
        <w:rPr>
          <w:rFonts w:ascii="Arial" w:hAnsi="Arial" w:cs="Arial"/>
          <w:sz w:val="22"/>
          <w:szCs w:val="22"/>
        </w:rPr>
        <w:t>’</w:t>
      </w:r>
      <w:r w:rsidR="00191F85" w:rsidRPr="00904C0F">
        <w:rPr>
          <w:rFonts w:ascii="Arial" w:hAnsi="Arial" w:cs="Arial"/>
          <w:sz w:val="22"/>
          <w:szCs w:val="22"/>
        </w:rPr>
        <w:t>une des principales menaces est la disparition des aînés qui connaissent les paysages associés à la pratique de l</w:t>
      </w:r>
      <w:r w:rsidR="009C104E">
        <w:rPr>
          <w:rFonts w:ascii="Arial" w:hAnsi="Arial" w:cs="Arial"/>
          <w:sz w:val="22"/>
          <w:szCs w:val="22"/>
        </w:rPr>
        <w:t>’</w:t>
      </w:r>
      <w:r w:rsidR="00191F85" w:rsidRPr="00904C0F">
        <w:rPr>
          <w:rFonts w:ascii="Arial" w:hAnsi="Arial" w:cs="Arial"/>
          <w:sz w:val="22"/>
          <w:szCs w:val="22"/>
        </w:rPr>
        <w:t>élément. Par ailleurs, en raison de leur exil vers de nouveaux territoires, les individus concernés sont confrontés à des défis, parmi lesquels la pauvreté et l</w:t>
      </w:r>
      <w:r w:rsidR="009C104E">
        <w:rPr>
          <w:rFonts w:ascii="Arial" w:hAnsi="Arial" w:cs="Arial"/>
          <w:sz w:val="22"/>
          <w:szCs w:val="22"/>
        </w:rPr>
        <w:t>’</w:t>
      </w:r>
      <w:r w:rsidR="00191F85" w:rsidRPr="00904C0F">
        <w:rPr>
          <w:rFonts w:ascii="Arial" w:hAnsi="Arial" w:cs="Arial"/>
          <w:sz w:val="22"/>
          <w:szCs w:val="22"/>
        </w:rPr>
        <w:t>absence de cohésion communautaire. Cela a entraîné une perte de mémoire et un désintérêt vis-à-vis de la pratique de l</w:t>
      </w:r>
      <w:r w:rsidR="009C104E">
        <w:rPr>
          <w:rFonts w:ascii="Arial" w:hAnsi="Arial" w:cs="Arial"/>
          <w:sz w:val="22"/>
          <w:szCs w:val="22"/>
        </w:rPr>
        <w:t>’</w:t>
      </w:r>
      <w:r w:rsidR="00191F85" w:rsidRPr="00904C0F">
        <w:rPr>
          <w:rFonts w:ascii="Arial" w:hAnsi="Arial" w:cs="Arial"/>
          <w:sz w:val="22"/>
          <w:szCs w:val="22"/>
        </w:rPr>
        <w:t>élément.</w:t>
      </w:r>
    </w:p>
    <w:p w14:paraId="1164BFDE" w14:textId="5F99EBAA" w:rsidR="00191F85" w:rsidRPr="00904C0F" w:rsidRDefault="00191F85" w:rsidP="00B932EA">
      <w:pPr>
        <w:numPr>
          <w:ilvl w:val="1"/>
          <w:numId w:val="24"/>
        </w:numPr>
        <w:tabs>
          <w:tab w:val="left" w:pos="567"/>
          <w:tab w:val="left" w:pos="1701"/>
          <w:tab w:val="left" w:pos="2268"/>
        </w:tabs>
        <w:spacing w:before="120" w:after="120"/>
        <w:ind w:left="567" w:hanging="567"/>
        <w:jc w:val="both"/>
        <w:rPr>
          <w:rFonts w:ascii="Arial" w:hAnsi="Arial" w:cs="Arial"/>
          <w:sz w:val="22"/>
          <w:szCs w:val="22"/>
        </w:rPr>
      </w:pPr>
      <w:r w:rsidRPr="00904C0F">
        <w:rPr>
          <w:rFonts w:ascii="Arial" w:hAnsi="Arial" w:cs="Arial"/>
          <w:sz w:val="22"/>
          <w:szCs w:val="22"/>
          <w:u w:val="single"/>
        </w:rPr>
        <w:t>Estime</w:t>
      </w:r>
      <w:r w:rsidRPr="00904C0F">
        <w:rPr>
          <w:rFonts w:ascii="Arial" w:hAnsi="Arial" w:cs="Arial"/>
          <w:sz w:val="22"/>
          <w:szCs w:val="22"/>
        </w:rPr>
        <w:t xml:space="preserve"> que, d</w:t>
      </w:r>
      <w:r w:rsidR="009C104E">
        <w:rPr>
          <w:rFonts w:ascii="Arial" w:hAnsi="Arial" w:cs="Arial"/>
          <w:sz w:val="22"/>
          <w:szCs w:val="22"/>
        </w:rPr>
        <w:t>’</w:t>
      </w:r>
      <w:r w:rsidRPr="00904C0F">
        <w:rPr>
          <w:rFonts w:ascii="Arial" w:hAnsi="Arial" w:cs="Arial"/>
          <w:sz w:val="22"/>
          <w:szCs w:val="22"/>
        </w:rPr>
        <w:t>après les informations contenues dans le dossier, la candidature satisfait aux critères d</w:t>
      </w:r>
      <w:r w:rsidR="009C104E">
        <w:rPr>
          <w:rFonts w:ascii="Arial" w:hAnsi="Arial" w:cs="Arial"/>
          <w:sz w:val="22"/>
          <w:szCs w:val="22"/>
        </w:rPr>
        <w:t>’</w:t>
      </w:r>
      <w:r w:rsidRPr="00904C0F">
        <w:rPr>
          <w:rFonts w:ascii="Arial" w:hAnsi="Arial" w:cs="Arial"/>
          <w:sz w:val="22"/>
          <w:szCs w:val="22"/>
        </w:rPr>
        <w:t>inscription sur la Liste du patrimoine culturel immatériel nécessitant une sauvegarde urgente comme suit :</w:t>
      </w:r>
    </w:p>
    <w:p w14:paraId="6121543B" w14:textId="551377D7" w:rsidR="00191F85" w:rsidRPr="00904C0F" w:rsidRDefault="00191F85" w:rsidP="009931D9">
      <w:pPr>
        <w:tabs>
          <w:tab w:val="left" w:pos="567"/>
          <w:tab w:val="left" w:pos="1134"/>
          <w:tab w:val="left" w:pos="1276"/>
          <w:tab w:val="left" w:pos="2268"/>
        </w:tabs>
        <w:spacing w:before="120" w:after="120"/>
        <w:ind w:left="1134" w:hanging="567"/>
        <w:jc w:val="both"/>
        <w:rPr>
          <w:rFonts w:ascii="Arial" w:hAnsi="Arial" w:cs="Arial"/>
          <w:sz w:val="22"/>
          <w:szCs w:val="22"/>
        </w:rPr>
      </w:pPr>
      <w:r w:rsidRPr="00904C0F">
        <w:rPr>
          <w:rFonts w:ascii="Arial" w:hAnsi="Arial" w:cs="Arial"/>
          <w:sz w:val="22"/>
          <w:szCs w:val="22"/>
        </w:rPr>
        <w:t>U.1 : Le séga tambour des Chagos joue un rôle crucial dans la vie des Chagossiens : il contribue à la cohésion sociale du groupe, préserve l</w:t>
      </w:r>
      <w:r w:rsidR="009C104E">
        <w:rPr>
          <w:rFonts w:ascii="Arial" w:hAnsi="Arial" w:cs="Arial"/>
          <w:sz w:val="22"/>
          <w:szCs w:val="22"/>
        </w:rPr>
        <w:t>’</w:t>
      </w:r>
      <w:r w:rsidRPr="00904C0F">
        <w:rPr>
          <w:rFonts w:ascii="Arial" w:hAnsi="Arial" w:cs="Arial"/>
          <w:sz w:val="22"/>
          <w:szCs w:val="22"/>
        </w:rPr>
        <w:t>identité, suscite la confiance en soi et la fierté. Il procure également un sentiment de solidarité sociale, d</w:t>
      </w:r>
      <w:r w:rsidR="009C104E">
        <w:rPr>
          <w:rFonts w:ascii="Arial" w:hAnsi="Arial" w:cs="Arial"/>
          <w:sz w:val="22"/>
          <w:szCs w:val="22"/>
        </w:rPr>
        <w:t>’</w:t>
      </w:r>
      <w:r w:rsidRPr="00904C0F">
        <w:rPr>
          <w:rFonts w:ascii="Arial" w:hAnsi="Arial" w:cs="Arial"/>
          <w:sz w:val="22"/>
          <w:szCs w:val="22"/>
        </w:rPr>
        <w:t>unité et d</w:t>
      </w:r>
      <w:r w:rsidR="009C104E">
        <w:rPr>
          <w:rFonts w:ascii="Arial" w:hAnsi="Arial" w:cs="Arial"/>
          <w:sz w:val="22"/>
          <w:szCs w:val="22"/>
        </w:rPr>
        <w:t>’</w:t>
      </w:r>
      <w:r w:rsidRPr="00904C0F">
        <w:rPr>
          <w:rFonts w:ascii="Arial" w:hAnsi="Arial" w:cs="Arial"/>
          <w:sz w:val="22"/>
          <w:szCs w:val="22"/>
        </w:rPr>
        <w:t>appartenance à un même peuple, et est associé à une patrie imaginaire d</w:t>
      </w:r>
      <w:r w:rsidR="009C104E">
        <w:rPr>
          <w:rFonts w:ascii="Arial" w:hAnsi="Arial" w:cs="Arial"/>
          <w:sz w:val="22"/>
          <w:szCs w:val="22"/>
        </w:rPr>
        <w:t>’</w:t>
      </w:r>
      <w:r w:rsidRPr="00904C0F">
        <w:rPr>
          <w:rFonts w:ascii="Arial" w:hAnsi="Arial" w:cs="Arial"/>
          <w:sz w:val="22"/>
          <w:szCs w:val="22"/>
        </w:rPr>
        <w:t>une diaspora qui ne cesse de s</w:t>
      </w:r>
      <w:r w:rsidR="009C104E">
        <w:rPr>
          <w:rFonts w:ascii="Arial" w:hAnsi="Arial" w:cs="Arial"/>
          <w:sz w:val="22"/>
          <w:szCs w:val="22"/>
        </w:rPr>
        <w:t>’</w:t>
      </w:r>
      <w:r w:rsidRPr="00904C0F">
        <w:rPr>
          <w:rFonts w:ascii="Arial" w:hAnsi="Arial" w:cs="Arial"/>
          <w:sz w:val="22"/>
          <w:szCs w:val="22"/>
        </w:rPr>
        <w:t>amplifier. La pratique est un outil puissant de mémorisation servant de marqueur de l</w:t>
      </w:r>
      <w:r w:rsidR="009C104E">
        <w:rPr>
          <w:rFonts w:ascii="Arial" w:hAnsi="Arial" w:cs="Arial"/>
          <w:sz w:val="22"/>
          <w:szCs w:val="22"/>
        </w:rPr>
        <w:t>’</w:t>
      </w:r>
      <w:r w:rsidRPr="00904C0F">
        <w:rPr>
          <w:rFonts w:ascii="Arial" w:hAnsi="Arial" w:cs="Arial"/>
          <w:sz w:val="22"/>
          <w:szCs w:val="22"/>
        </w:rPr>
        <w:t>unité nationale, des communautés et des groupes. C</w:t>
      </w:r>
      <w:r w:rsidR="009C104E">
        <w:rPr>
          <w:rFonts w:ascii="Arial" w:hAnsi="Arial" w:cs="Arial"/>
          <w:sz w:val="22"/>
          <w:szCs w:val="22"/>
        </w:rPr>
        <w:t>’</w:t>
      </w:r>
      <w:r w:rsidRPr="00904C0F">
        <w:rPr>
          <w:rFonts w:ascii="Arial" w:hAnsi="Arial" w:cs="Arial"/>
          <w:sz w:val="22"/>
          <w:szCs w:val="22"/>
        </w:rPr>
        <w:t>est aussi un moyen de communication au sein des communautés, y compris entre les communautés des différentes îles. Il contribue au développement d</w:t>
      </w:r>
      <w:r w:rsidR="009C104E">
        <w:rPr>
          <w:rFonts w:ascii="Arial" w:hAnsi="Arial" w:cs="Arial"/>
          <w:sz w:val="22"/>
          <w:szCs w:val="22"/>
        </w:rPr>
        <w:t>’</w:t>
      </w:r>
      <w:r w:rsidRPr="00904C0F">
        <w:rPr>
          <w:rFonts w:ascii="Arial" w:hAnsi="Arial" w:cs="Arial"/>
          <w:sz w:val="22"/>
          <w:szCs w:val="22"/>
        </w:rPr>
        <w:t>un sentiment d</w:t>
      </w:r>
      <w:r w:rsidR="009C104E">
        <w:rPr>
          <w:rFonts w:ascii="Arial" w:hAnsi="Arial" w:cs="Arial"/>
          <w:sz w:val="22"/>
          <w:szCs w:val="22"/>
        </w:rPr>
        <w:t>’</w:t>
      </w:r>
      <w:r w:rsidRPr="00904C0F">
        <w:rPr>
          <w:rFonts w:ascii="Arial" w:hAnsi="Arial" w:cs="Arial"/>
          <w:sz w:val="22"/>
          <w:szCs w:val="22"/>
        </w:rPr>
        <w:t>identité et de continuité, et constitue un moyen d</w:t>
      </w:r>
      <w:r w:rsidR="009C104E">
        <w:rPr>
          <w:rFonts w:ascii="Arial" w:hAnsi="Arial" w:cs="Arial"/>
          <w:sz w:val="22"/>
          <w:szCs w:val="22"/>
        </w:rPr>
        <w:t>’</w:t>
      </w:r>
      <w:r w:rsidRPr="00904C0F">
        <w:rPr>
          <w:rFonts w:ascii="Arial" w:hAnsi="Arial" w:cs="Arial"/>
          <w:sz w:val="22"/>
          <w:szCs w:val="22"/>
        </w:rPr>
        <w:t>expression pour tous les Chagossiens. L</w:t>
      </w:r>
      <w:r w:rsidR="009C104E">
        <w:rPr>
          <w:rFonts w:ascii="Arial" w:hAnsi="Arial" w:cs="Arial"/>
          <w:sz w:val="22"/>
          <w:szCs w:val="22"/>
        </w:rPr>
        <w:t>’</w:t>
      </w:r>
      <w:r w:rsidRPr="00904C0F">
        <w:rPr>
          <w:rFonts w:ascii="Arial" w:hAnsi="Arial" w:cs="Arial"/>
          <w:sz w:val="22"/>
          <w:szCs w:val="22"/>
        </w:rPr>
        <w:t>élément mêle des musiques et des danses créatives, imaginatives, dynamiques et entraînantes qui s</w:t>
      </w:r>
      <w:r w:rsidR="009C104E">
        <w:rPr>
          <w:rFonts w:ascii="Arial" w:hAnsi="Arial" w:cs="Arial"/>
          <w:sz w:val="22"/>
          <w:szCs w:val="22"/>
        </w:rPr>
        <w:t>’</w:t>
      </w:r>
      <w:r w:rsidRPr="00904C0F">
        <w:rPr>
          <w:rFonts w:ascii="Arial" w:hAnsi="Arial" w:cs="Arial"/>
          <w:sz w:val="22"/>
          <w:szCs w:val="22"/>
        </w:rPr>
        <w:t>inspirent des expériences de la communauté et de son mode de vie.</w:t>
      </w:r>
    </w:p>
    <w:p w14:paraId="56A93832" w14:textId="2E82FDDD" w:rsidR="00191F85" w:rsidRPr="00904C0F" w:rsidRDefault="00191F85" w:rsidP="009931D9">
      <w:pPr>
        <w:tabs>
          <w:tab w:val="left" w:pos="567"/>
          <w:tab w:val="left" w:pos="1134"/>
          <w:tab w:val="left" w:pos="1276"/>
          <w:tab w:val="left" w:pos="2268"/>
        </w:tabs>
        <w:spacing w:before="120" w:after="120"/>
        <w:ind w:left="1134" w:hanging="567"/>
        <w:jc w:val="both"/>
        <w:rPr>
          <w:rFonts w:ascii="Arial" w:hAnsi="Arial" w:cs="Arial"/>
          <w:sz w:val="22"/>
          <w:szCs w:val="22"/>
        </w:rPr>
      </w:pPr>
      <w:r w:rsidRPr="00904C0F">
        <w:rPr>
          <w:rFonts w:ascii="Arial" w:hAnsi="Arial" w:cs="Arial"/>
          <w:sz w:val="22"/>
          <w:szCs w:val="22"/>
        </w:rPr>
        <w:t>U.2 : Les Chagossiens étant de plus en plus nombreux à devoir quitter leurs îles d</w:t>
      </w:r>
      <w:r w:rsidR="009C104E">
        <w:rPr>
          <w:rFonts w:ascii="Arial" w:hAnsi="Arial" w:cs="Arial"/>
          <w:sz w:val="22"/>
          <w:szCs w:val="22"/>
        </w:rPr>
        <w:t>’</w:t>
      </w:r>
      <w:r w:rsidRPr="00904C0F">
        <w:rPr>
          <w:rFonts w:ascii="Arial" w:hAnsi="Arial" w:cs="Arial"/>
          <w:sz w:val="22"/>
          <w:szCs w:val="22"/>
        </w:rPr>
        <w:t>origine, la viabilité de l</w:t>
      </w:r>
      <w:r w:rsidR="009C104E">
        <w:rPr>
          <w:rFonts w:ascii="Arial" w:hAnsi="Arial" w:cs="Arial"/>
          <w:sz w:val="22"/>
          <w:szCs w:val="22"/>
        </w:rPr>
        <w:t>’</w:t>
      </w:r>
      <w:r w:rsidRPr="00904C0F">
        <w:rPr>
          <w:rFonts w:ascii="Arial" w:hAnsi="Arial" w:cs="Arial"/>
          <w:sz w:val="22"/>
          <w:szCs w:val="22"/>
        </w:rPr>
        <w:t>élément a été menacée à maintes reprises. En dehors de leur environnement familier, les Chagossiens sont confrontés à la pauvreté, à la marginalisation et à l</w:t>
      </w:r>
      <w:r w:rsidR="009C104E">
        <w:rPr>
          <w:rFonts w:ascii="Arial" w:hAnsi="Arial" w:cs="Arial"/>
          <w:sz w:val="22"/>
          <w:szCs w:val="22"/>
        </w:rPr>
        <w:t>’</w:t>
      </w:r>
      <w:r w:rsidRPr="00904C0F">
        <w:rPr>
          <w:rFonts w:ascii="Arial" w:hAnsi="Arial" w:cs="Arial"/>
          <w:sz w:val="22"/>
          <w:szCs w:val="22"/>
        </w:rPr>
        <w:t>absence de cohésion de leur communauté. Cela a donné lieu à un abandon progressif de la pratique de l</w:t>
      </w:r>
      <w:r w:rsidR="009C104E">
        <w:rPr>
          <w:rFonts w:ascii="Arial" w:hAnsi="Arial" w:cs="Arial"/>
          <w:sz w:val="22"/>
          <w:szCs w:val="22"/>
        </w:rPr>
        <w:t>’</w:t>
      </w:r>
      <w:r w:rsidRPr="00904C0F">
        <w:rPr>
          <w:rFonts w:ascii="Arial" w:hAnsi="Arial" w:cs="Arial"/>
          <w:sz w:val="22"/>
          <w:szCs w:val="22"/>
        </w:rPr>
        <w:t>élément – en particulier au sein des jeunes générations nées en exil, qui connaissent mal leur terre d</w:t>
      </w:r>
      <w:r w:rsidR="009C104E">
        <w:rPr>
          <w:rFonts w:ascii="Arial" w:hAnsi="Arial" w:cs="Arial"/>
          <w:sz w:val="22"/>
          <w:szCs w:val="22"/>
        </w:rPr>
        <w:t>’</w:t>
      </w:r>
      <w:r w:rsidRPr="00904C0F">
        <w:rPr>
          <w:rFonts w:ascii="Arial" w:hAnsi="Arial" w:cs="Arial"/>
          <w:sz w:val="22"/>
          <w:szCs w:val="22"/>
        </w:rPr>
        <w:t>origine – mais aussi au détournement des paroles par des non-Chagossiens. La plupart des praticiens compétents et capables de comprendre le sens profond et les valeurs de l</w:t>
      </w:r>
      <w:r w:rsidR="009C104E">
        <w:rPr>
          <w:rFonts w:ascii="Arial" w:hAnsi="Arial" w:cs="Arial"/>
          <w:sz w:val="22"/>
          <w:szCs w:val="22"/>
        </w:rPr>
        <w:t>’</w:t>
      </w:r>
      <w:r w:rsidRPr="00904C0F">
        <w:rPr>
          <w:rFonts w:ascii="Arial" w:hAnsi="Arial" w:cs="Arial"/>
          <w:sz w:val="22"/>
          <w:szCs w:val="22"/>
        </w:rPr>
        <w:t>élément – y compris son contexte social et géographique originels – sont aujourd</w:t>
      </w:r>
      <w:r w:rsidR="009C104E">
        <w:rPr>
          <w:rFonts w:ascii="Arial" w:hAnsi="Arial" w:cs="Arial"/>
          <w:sz w:val="22"/>
          <w:szCs w:val="22"/>
        </w:rPr>
        <w:t>’</w:t>
      </w:r>
      <w:r w:rsidRPr="00904C0F">
        <w:rPr>
          <w:rFonts w:ascii="Arial" w:hAnsi="Arial" w:cs="Arial"/>
          <w:sz w:val="22"/>
          <w:szCs w:val="22"/>
        </w:rPr>
        <w:t>hui âgés et diminués physiquement. La transmission d</w:t>
      </w:r>
      <w:r w:rsidR="009C104E">
        <w:rPr>
          <w:rFonts w:ascii="Arial" w:hAnsi="Arial" w:cs="Arial"/>
          <w:sz w:val="22"/>
          <w:szCs w:val="22"/>
        </w:rPr>
        <w:t>’</w:t>
      </w:r>
      <w:r w:rsidRPr="00904C0F">
        <w:rPr>
          <w:rFonts w:ascii="Arial" w:hAnsi="Arial" w:cs="Arial"/>
          <w:sz w:val="22"/>
          <w:szCs w:val="22"/>
        </w:rPr>
        <w:t>une génération à l</w:t>
      </w:r>
      <w:r w:rsidR="009C104E">
        <w:rPr>
          <w:rFonts w:ascii="Arial" w:hAnsi="Arial" w:cs="Arial"/>
          <w:sz w:val="22"/>
          <w:szCs w:val="22"/>
        </w:rPr>
        <w:t>’</w:t>
      </w:r>
      <w:r w:rsidRPr="00904C0F">
        <w:rPr>
          <w:rFonts w:ascii="Arial" w:hAnsi="Arial" w:cs="Arial"/>
          <w:sz w:val="22"/>
          <w:szCs w:val="22"/>
        </w:rPr>
        <w:t>autre est donc encore plus difficile. À l</w:t>
      </w:r>
      <w:r w:rsidR="009C104E">
        <w:rPr>
          <w:rFonts w:ascii="Arial" w:hAnsi="Arial" w:cs="Arial"/>
          <w:sz w:val="22"/>
          <w:szCs w:val="22"/>
        </w:rPr>
        <w:t>’</w:t>
      </w:r>
      <w:r w:rsidRPr="00904C0F">
        <w:rPr>
          <w:rFonts w:ascii="Arial" w:hAnsi="Arial" w:cs="Arial"/>
          <w:sz w:val="22"/>
          <w:szCs w:val="22"/>
        </w:rPr>
        <w:t>heure actuelle, l</w:t>
      </w:r>
      <w:r w:rsidR="009C104E">
        <w:rPr>
          <w:rFonts w:ascii="Arial" w:hAnsi="Arial" w:cs="Arial"/>
          <w:sz w:val="22"/>
          <w:szCs w:val="22"/>
        </w:rPr>
        <w:t>’</w:t>
      </w:r>
      <w:r w:rsidRPr="00904C0F">
        <w:rPr>
          <w:rFonts w:ascii="Arial" w:hAnsi="Arial" w:cs="Arial"/>
          <w:sz w:val="22"/>
          <w:szCs w:val="22"/>
        </w:rPr>
        <w:t>élément est uniquement pratiqué lors d</w:t>
      </w:r>
      <w:r w:rsidR="009C104E">
        <w:rPr>
          <w:rFonts w:ascii="Arial" w:hAnsi="Arial" w:cs="Arial"/>
          <w:sz w:val="22"/>
          <w:szCs w:val="22"/>
        </w:rPr>
        <w:t>’</w:t>
      </w:r>
      <w:r w:rsidRPr="00904C0F">
        <w:rPr>
          <w:rFonts w:ascii="Arial" w:hAnsi="Arial" w:cs="Arial"/>
          <w:sz w:val="22"/>
          <w:szCs w:val="22"/>
        </w:rPr>
        <w:t>événements tels que le Festival International Kreol et la Journée des Chagos, et seul un groupe se produit régulièrement dans l</w:t>
      </w:r>
      <w:r w:rsidR="009C104E">
        <w:rPr>
          <w:rFonts w:ascii="Arial" w:hAnsi="Arial" w:cs="Arial"/>
          <w:sz w:val="22"/>
          <w:szCs w:val="22"/>
        </w:rPr>
        <w:t>’</w:t>
      </w:r>
      <w:r w:rsidRPr="00904C0F">
        <w:rPr>
          <w:rFonts w:ascii="Arial" w:hAnsi="Arial" w:cs="Arial"/>
          <w:sz w:val="22"/>
          <w:szCs w:val="22"/>
        </w:rPr>
        <w:t>archipel.</w:t>
      </w:r>
    </w:p>
    <w:p w14:paraId="34DDAB0F" w14:textId="13CA6801" w:rsidR="00191F85" w:rsidRPr="00904C0F" w:rsidRDefault="00191F85" w:rsidP="009931D9">
      <w:pPr>
        <w:tabs>
          <w:tab w:val="left" w:pos="567"/>
          <w:tab w:val="left" w:pos="1134"/>
          <w:tab w:val="left" w:pos="1276"/>
          <w:tab w:val="left" w:pos="2268"/>
        </w:tabs>
        <w:spacing w:before="120" w:after="120"/>
        <w:ind w:left="1134" w:hanging="567"/>
        <w:jc w:val="both"/>
        <w:rPr>
          <w:rFonts w:ascii="Arial" w:hAnsi="Arial" w:cs="Arial"/>
          <w:sz w:val="22"/>
          <w:szCs w:val="22"/>
        </w:rPr>
      </w:pPr>
      <w:r w:rsidRPr="00904C0F">
        <w:rPr>
          <w:rFonts w:ascii="Arial" w:hAnsi="Arial" w:cs="Arial"/>
          <w:sz w:val="22"/>
          <w:szCs w:val="22"/>
        </w:rPr>
        <w:t>U.4 :</w:t>
      </w:r>
      <w:r w:rsidR="000261F9" w:rsidRPr="000261F9">
        <w:rPr>
          <w:rFonts w:ascii="Arial" w:hAnsi="Arial" w:cs="Arial"/>
          <w:sz w:val="22"/>
          <w:szCs w:val="22"/>
        </w:rPr>
        <w:t xml:space="preserve"> </w:t>
      </w:r>
      <w:r w:rsidR="000261F9" w:rsidRPr="00904C0F">
        <w:rPr>
          <w:rFonts w:ascii="Arial" w:hAnsi="Arial" w:cs="Arial"/>
          <w:sz w:val="22"/>
          <w:szCs w:val="22"/>
        </w:rPr>
        <w:tab/>
      </w:r>
      <w:r w:rsidRPr="00904C0F">
        <w:rPr>
          <w:rFonts w:ascii="Arial" w:hAnsi="Arial" w:cs="Arial"/>
          <w:sz w:val="22"/>
          <w:szCs w:val="22"/>
        </w:rPr>
        <w:t>La communauté, les détenteurs, les organisations non gouvernementales, et les chercheurs ont participé au processus de candidature. Celui-ci a démarré en 2010, avec l</w:t>
      </w:r>
      <w:r w:rsidR="009C104E">
        <w:rPr>
          <w:rFonts w:ascii="Arial" w:hAnsi="Arial" w:cs="Arial"/>
          <w:sz w:val="22"/>
          <w:szCs w:val="22"/>
        </w:rPr>
        <w:t>’</w:t>
      </w:r>
      <w:r w:rsidRPr="00904C0F">
        <w:rPr>
          <w:rFonts w:ascii="Arial" w:hAnsi="Arial" w:cs="Arial"/>
          <w:sz w:val="22"/>
          <w:szCs w:val="22"/>
        </w:rPr>
        <w:t>inscription de l</w:t>
      </w:r>
      <w:r w:rsidR="009C104E">
        <w:rPr>
          <w:rFonts w:ascii="Arial" w:hAnsi="Arial" w:cs="Arial"/>
          <w:sz w:val="22"/>
          <w:szCs w:val="22"/>
        </w:rPr>
        <w:t>’</w:t>
      </w:r>
      <w:r w:rsidRPr="00904C0F">
        <w:rPr>
          <w:rFonts w:ascii="Arial" w:hAnsi="Arial" w:cs="Arial"/>
          <w:sz w:val="22"/>
          <w:szCs w:val="22"/>
        </w:rPr>
        <w:t>élément à l</w:t>
      </w:r>
      <w:r w:rsidR="009C104E">
        <w:rPr>
          <w:rFonts w:ascii="Arial" w:hAnsi="Arial" w:cs="Arial"/>
          <w:sz w:val="22"/>
          <w:szCs w:val="22"/>
        </w:rPr>
        <w:t>’</w:t>
      </w:r>
      <w:r w:rsidRPr="00904C0F">
        <w:rPr>
          <w:rFonts w:ascii="Arial" w:hAnsi="Arial" w:cs="Arial"/>
          <w:sz w:val="22"/>
          <w:szCs w:val="22"/>
        </w:rPr>
        <w:t>inventaire national, et s</w:t>
      </w:r>
      <w:r w:rsidR="009C104E">
        <w:rPr>
          <w:rFonts w:ascii="Arial" w:hAnsi="Arial" w:cs="Arial"/>
          <w:sz w:val="22"/>
          <w:szCs w:val="22"/>
        </w:rPr>
        <w:t>’</w:t>
      </w:r>
      <w:r w:rsidRPr="00904C0F">
        <w:rPr>
          <w:rFonts w:ascii="Arial" w:hAnsi="Arial" w:cs="Arial"/>
          <w:sz w:val="22"/>
          <w:szCs w:val="22"/>
        </w:rPr>
        <w:t>est poursuivi en 2015 par une réflexion majeure sur l</w:t>
      </w:r>
      <w:r w:rsidR="009C104E">
        <w:rPr>
          <w:rFonts w:ascii="Arial" w:hAnsi="Arial" w:cs="Arial"/>
          <w:sz w:val="22"/>
          <w:szCs w:val="22"/>
        </w:rPr>
        <w:t>’</w:t>
      </w:r>
      <w:r w:rsidRPr="00904C0F">
        <w:rPr>
          <w:rFonts w:ascii="Arial" w:hAnsi="Arial" w:cs="Arial"/>
          <w:sz w:val="22"/>
          <w:szCs w:val="22"/>
        </w:rPr>
        <w:t>état de la sauvegarde du séga tambour des Chagos. En 2017 plusieurs ateliers ont été organisés avec la communauté, et, face aux préoccupations exprimées quant à l</w:t>
      </w:r>
      <w:r w:rsidR="009C104E">
        <w:rPr>
          <w:rFonts w:ascii="Arial" w:hAnsi="Arial" w:cs="Arial"/>
          <w:sz w:val="22"/>
          <w:szCs w:val="22"/>
        </w:rPr>
        <w:t>’</w:t>
      </w:r>
      <w:r w:rsidRPr="00904C0F">
        <w:rPr>
          <w:rFonts w:ascii="Arial" w:hAnsi="Arial" w:cs="Arial"/>
          <w:sz w:val="22"/>
          <w:szCs w:val="22"/>
        </w:rPr>
        <w:t>état de l</w:t>
      </w:r>
      <w:r w:rsidR="009C104E">
        <w:rPr>
          <w:rFonts w:ascii="Arial" w:hAnsi="Arial" w:cs="Arial"/>
          <w:sz w:val="22"/>
          <w:szCs w:val="22"/>
        </w:rPr>
        <w:t>’</w:t>
      </w:r>
      <w:r w:rsidRPr="00904C0F">
        <w:rPr>
          <w:rFonts w:ascii="Arial" w:hAnsi="Arial" w:cs="Arial"/>
          <w:sz w:val="22"/>
          <w:szCs w:val="22"/>
        </w:rPr>
        <w:t>élément, il a été décidé de déposer une candidature en vue de son inscription sur la Liste du patrimoine culturel immatériel nécessitant une sauvegarde urgente.</w:t>
      </w:r>
    </w:p>
    <w:p w14:paraId="36F83092" w14:textId="32BDCE47" w:rsidR="00191F85" w:rsidRDefault="00191F85" w:rsidP="009931D9">
      <w:pPr>
        <w:tabs>
          <w:tab w:val="left" w:pos="567"/>
          <w:tab w:val="left" w:pos="1134"/>
          <w:tab w:val="left" w:pos="1276"/>
          <w:tab w:val="left" w:pos="2268"/>
        </w:tabs>
        <w:spacing w:before="120" w:after="120"/>
        <w:ind w:left="1134" w:hanging="567"/>
        <w:jc w:val="both"/>
        <w:rPr>
          <w:rFonts w:ascii="Arial" w:hAnsi="Arial" w:cs="Arial"/>
          <w:sz w:val="22"/>
          <w:szCs w:val="22"/>
        </w:rPr>
      </w:pPr>
      <w:r w:rsidRPr="00904C0F">
        <w:rPr>
          <w:rFonts w:ascii="Arial" w:hAnsi="Arial" w:cs="Arial"/>
          <w:sz w:val="22"/>
          <w:szCs w:val="22"/>
        </w:rPr>
        <w:t>U.5 : Le séga tambour des Chagos a été inscrit à l</w:t>
      </w:r>
      <w:r w:rsidR="009C104E">
        <w:rPr>
          <w:rFonts w:ascii="Arial" w:hAnsi="Arial" w:cs="Arial"/>
          <w:sz w:val="22"/>
          <w:szCs w:val="22"/>
        </w:rPr>
        <w:t>’</w:t>
      </w:r>
      <w:r w:rsidRPr="00904C0F">
        <w:rPr>
          <w:rFonts w:ascii="Arial" w:hAnsi="Arial" w:cs="Arial"/>
          <w:sz w:val="22"/>
          <w:szCs w:val="22"/>
        </w:rPr>
        <w:t>Inventaire national de la République de Maurice en 2012, à l</w:t>
      </w:r>
      <w:r w:rsidR="009C104E">
        <w:rPr>
          <w:rFonts w:ascii="Arial" w:hAnsi="Arial" w:cs="Arial"/>
          <w:sz w:val="22"/>
          <w:szCs w:val="22"/>
        </w:rPr>
        <w:t>’</w:t>
      </w:r>
      <w:r w:rsidRPr="00904C0F">
        <w:rPr>
          <w:rFonts w:ascii="Arial" w:hAnsi="Arial" w:cs="Arial"/>
          <w:sz w:val="22"/>
          <w:szCs w:val="22"/>
        </w:rPr>
        <w:t>issue d</w:t>
      </w:r>
      <w:r w:rsidR="009C104E">
        <w:rPr>
          <w:rFonts w:ascii="Arial" w:hAnsi="Arial" w:cs="Arial"/>
          <w:sz w:val="22"/>
          <w:szCs w:val="22"/>
        </w:rPr>
        <w:t>’</w:t>
      </w:r>
      <w:r w:rsidRPr="00904C0F">
        <w:rPr>
          <w:rFonts w:ascii="Arial" w:hAnsi="Arial" w:cs="Arial"/>
          <w:sz w:val="22"/>
          <w:szCs w:val="22"/>
        </w:rPr>
        <w:t>un processus de deux ans auquel des représentants de tous âges, hommes et femmes, ont activement participé. Cet inventaire national est régulièrement mis à jour, à chaque fois que la situation l</w:t>
      </w:r>
      <w:r w:rsidR="009C104E">
        <w:rPr>
          <w:rFonts w:ascii="Arial" w:hAnsi="Arial" w:cs="Arial"/>
          <w:sz w:val="22"/>
          <w:szCs w:val="22"/>
        </w:rPr>
        <w:t>’</w:t>
      </w:r>
      <w:r w:rsidRPr="00904C0F">
        <w:rPr>
          <w:rFonts w:ascii="Arial" w:hAnsi="Arial" w:cs="Arial"/>
          <w:sz w:val="22"/>
          <w:szCs w:val="22"/>
        </w:rPr>
        <w:t>exige et au moins une fois par an. La dernière mise à jour concernant le séga tambour des Chagos date de janvier 2018.</w:t>
      </w:r>
    </w:p>
    <w:p w14:paraId="6A6C2DDF" w14:textId="04DC5486" w:rsidR="00B46DD6" w:rsidRDefault="00B46DD6" w:rsidP="00B46DD6">
      <w:pPr>
        <w:tabs>
          <w:tab w:val="left" w:pos="567"/>
          <w:tab w:val="left" w:pos="1134"/>
          <w:tab w:val="left" w:pos="1276"/>
          <w:tab w:val="left" w:pos="2268"/>
        </w:tabs>
        <w:spacing w:before="120" w:after="120"/>
        <w:ind w:left="567" w:hanging="567"/>
        <w:jc w:val="both"/>
        <w:rPr>
          <w:rFonts w:ascii="Arial" w:hAnsi="Arial" w:cs="Arial"/>
          <w:sz w:val="22"/>
          <w:szCs w:val="22"/>
        </w:rPr>
      </w:pPr>
      <w:r>
        <w:rPr>
          <w:rFonts w:ascii="Arial" w:hAnsi="Arial" w:cs="Arial"/>
          <w:sz w:val="22"/>
          <w:szCs w:val="22"/>
        </w:rPr>
        <w:t>3.</w:t>
      </w:r>
      <w:r w:rsidRPr="00827913">
        <w:rPr>
          <w:rFonts w:ascii="Arial" w:hAnsi="Arial" w:cs="Arial"/>
          <w:sz w:val="22"/>
          <w:szCs w:val="22"/>
        </w:rPr>
        <w:tab/>
      </w:r>
      <w:r w:rsidR="00CC4CB5" w:rsidRPr="00CC4CB5">
        <w:rPr>
          <w:rFonts w:ascii="Arial" w:hAnsi="Arial" w:cs="Arial"/>
          <w:sz w:val="22"/>
          <w:szCs w:val="22"/>
          <w:u w:val="single"/>
        </w:rPr>
        <w:t>Estime</w:t>
      </w:r>
      <w:r w:rsidR="00CC4CB5" w:rsidRPr="00A400B1">
        <w:rPr>
          <w:rFonts w:ascii="Arial" w:hAnsi="Arial" w:cs="Arial"/>
          <w:sz w:val="22"/>
          <w:szCs w:val="22"/>
          <w:u w:val="single"/>
        </w:rPr>
        <w:t xml:space="preserve"> </w:t>
      </w:r>
      <w:r w:rsidRPr="00A400B1">
        <w:rPr>
          <w:rFonts w:ascii="Arial" w:hAnsi="Arial" w:cs="Arial"/>
          <w:sz w:val="22"/>
          <w:szCs w:val="22"/>
          <w:u w:val="single"/>
        </w:rPr>
        <w:t>en outre</w:t>
      </w:r>
      <w:r w:rsidRPr="00827913">
        <w:rPr>
          <w:rFonts w:ascii="Arial" w:hAnsi="Arial" w:cs="Arial"/>
          <w:sz w:val="22"/>
          <w:szCs w:val="22"/>
        </w:rPr>
        <w:t>, d</w:t>
      </w:r>
      <w:r w:rsidR="009C104E">
        <w:rPr>
          <w:rFonts w:ascii="Arial" w:hAnsi="Arial" w:cs="Arial"/>
          <w:sz w:val="22"/>
          <w:szCs w:val="22"/>
        </w:rPr>
        <w:t>’</w:t>
      </w:r>
      <w:r w:rsidRPr="00827913">
        <w:rPr>
          <w:rFonts w:ascii="Arial" w:hAnsi="Arial" w:cs="Arial"/>
          <w:sz w:val="22"/>
          <w:szCs w:val="22"/>
        </w:rPr>
        <w:t>après les informations fournies par l</w:t>
      </w:r>
      <w:r w:rsidR="009C104E">
        <w:rPr>
          <w:rFonts w:ascii="Arial" w:hAnsi="Arial" w:cs="Arial"/>
          <w:sz w:val="22"/>
          <w:szCs w:val="22"/>
        </w:rPr>
        <w:t>’</w:t>
      </w:r>
      <w:r w:rsidRPr="00827913">
        <w:rPr>
          <w:rFonts w:ascii="Arial" w:hAnsi="Arial" w:cs="Arial"/>
          <w:sz w:val="22"/>
          <w:szCs w:val="22"/>
        </w:rPr>
        <w:t>État partie au Comité à cette présente session, concernant le plan de sauvegarde, que le critère suivant d</w:t>
      </w:r>
      <w:r w:rsidR="009C104E">
        <w:rPr>
          <w:rFonts w:ascii="Arial" w:hAnsi="Arial" w:cs="Arial"/>
          <w:sz w:val="22"/>
          <w:szCs w:val="22"/>
        </w:rPr>
        <w:t>’</w:t>
      </w:r>
      <w:r w:rsidRPr="00827913">
        <w:rPr>
          <w:rFonts w:ascii="Arial" w:hAnsi="Arial" w:cs="Arial"/>
          <w:sz w:val="22"/>
          <w:szCs w:val="22"/>
        </w:rPr>
        <w:t>inscription sur la Liste du patrimoine culturel immatériel nécessitant une sauvegarde urgente est satisfait</w:t>
      </w:r>
      <w:r>
        <w:rPr>
          <w:rFonts w:ascii="Arial" w:hAnsi="Arial" w:cs="Arial"/>
          <w:sz w:val="22"/>
          <w:szCs w:val="22"/>
        </w:rPr>
        <w:t xml:space="preserve"> : </w:t>
      </w:r>
    </w:p>
    <w:p w14:paraId="5328C63C" w14:textId="12BC2FAF" w:rsidR="00B46DD6" w:rsidRPr="00827913" w:rsidRDefault="00B46DD6" w:rsidP="00A400B1">
      <w:pPr>
        <w:tabs>
          <w:tab w:val="left" w:pos="567"/>
          <w:tab w:val="left" w:pos="1134"/>
          <w:tab w:val="left" w:pos="1276"/>
          <w:tab w:val="left" w:pos="2268"/>
        </w:tabs>
        <w:spacing w:before="120" w:after="120"/>
        <w:ind w:left="1134" w:hanging="567"/>
        <w:jc w:val="both"/>
        <w:rPr>
          <w:rFonts w:ascii="Arial" w:hAnsi="Arial" w:cs="Arial"/>
          <w:sz w:val="22"/>
          <w:szCs w:val="22"/>
        </w:rPr>
      </w:pPr>
      <w:r w:rsidRPr="00827913">
        <w:rPr>
          <w:rFonts w:ascii="Arial" w:hAnsi="Arial" w:cs="Arial"/>
          <w:sz w:val="22"/>
          <w:szCs w:val="22"/>
        </w:rPr>
        <w:t>U.</w:t>
      </w:r>
      <w:r w:rsidR="00F21F8F" w:rsidRPr="00827913">
        <w:rPr>
          <w:rFonts w:ascii="Arial" w:hAnsi="Arial" w:cs="Arial"/>
          <w:sz w:val="22"/>
          <w:szCs w:val="22"/>
        </w:rPr>
        <w:t>3</w:t>
      </w:r>
      <w:r w:rsidR="00F21F8F">
        <w:rPr>
          <w:rFonts w:ascii="Arial" w:hAnsi="Arial" w:cs="Arial"/>
          <w:sz w:val="22"/>
          <w:szCs w:val="22"/>
        </w:rPr>
        <w:t> </w:t>
      </w:r>
      <w:r w:rsidRPr="00827913">
        <w:rPr>
          <w:rFonts w:ascii="Arial" w:hAnsi="Arial" w:cs="Arial"/>
          <w:sz w:val="22"/>
          <w:szCs w:val="22"/>
        </w:rPr>
        <w:t>:</w:t>
      </w:r>
      <w:r w:rsidR="00F21F8F" w:rsidRPr="00904C0F">
        <w:rPr>
          <w:rFonts w:ascii="Arial" w:hAnsi="Arial" w:cs="Arial"/>
          <w:sz w:val="22"/>
          <w:szCs w:val="22"/>
        </w:rPr>
        <w:tab/>
      </w:r>
      <w:r w:rsidRPr="00827913">
        <w:rPr>
          <w:rFonts w:ascii="Arial" w:hAnsi="Arial" w:cs="Arial"/>
          <w:sz w:val="22"/>
          <w:szCs w:val="22"/>
        </w:rPr>
        <w:t>Initialement, l</w:t>
      </w:r>
      <w:r w:rsidR="009C104E">
        <w:rPr>
          <w:rFonts w:ascii="Arial" w:hAnsi="Arial" w:cs="Arial"/>
          <w:sz w:val="22"/>
          <w:szCs w:val="22"/>
        </w:rPr>
        <w:t>’</w:t>
      </w:r>
      <w:r w:rsidRPr="00827913">
        <w:rPr>
          <w:rFonts w:ascii="Arial" w:hAnsi="Arial" w:cs="Arial"/>
          <w:sz w:val="22"/>
          <w:szCs w:val="22"/>
        </w:rPr>
        <w:t>État partie a mis l</w:t>
      </w:r>
      <w:r w:rsidR="009C104E">
        <w:rPr>
          <w:rFonts w:ascii="Arial" w:hAnsi="Arial" w:cs="Arial"/>
          <w:sz w:val="22"/>
          <w:szCs w:val="22"/>
        </w:rPr>
        <w:t>’</w:t>
      </w:r>
      <w:r w:rsidRPr="00827913">
        <w:rPr>
          <w:rFonts w:ascii="Arial" w:hAnsi="Arial" w:cs="Arial"/>
          <w:sz w:val="22"/>
          <w:szCs w:val="22"/>
        </w:rPr>
        <w:t>accent sur la promotion de l</w:t>
      </w:r>
      <w:r w:rsidR="009C104E">
        <w:rPr>
          <w:rFonts w:ascii="Arial" w:hAnsi="Arial" w:cs="Arial"/>
          <w:sz w:val="22"/>
          <w:szCs w:val="22"/>
        </w:rPr>
        <w:t>’</w:t>
      </w:r>
      <w:r w:rsidRPr="00827913">
        <w:rPr>
          <w:rFonts w:ascii="Arial" w:hAnsi="Arial" w:cs="Arial"/>
          <w:sz w:val="22"/>
          <w:szCs w:val="22"/>
        </w:rPr>
        <w:t xml:space="preserve">élément, en particulier par le biais de </w:t>
      </w:r>
      <w:r w:rsidR="00673934">
        <w:rPr>
          <w:rFonts w:ascii="Arial" w:hAnsi="Arial" w:cs="Arial"/>
          <w:sz w:val="22"/>
          <w:szCs w:val="22"/>
        </w:rPr>
        <w:t>spectacles</w:t>
      </w:r>
      <w:r w:rsidRPr="00827913">
        <w:rPr>
          <w:rFonts w:ascii="Arial" w:hAnsi="Arial" w:cs="Arial"/>
          <w:sz w:val="22"/>
          <w:szCs w:val="22"/>
        </w:rPr>
        <w:t>, car l</w:t>
      </w:r>
      <w:r w:rsidR="009C104E">
        <w:rPr>
          <w:rFonts w:ascii="Arial" w:hAnsi="Arial" w:cs="Arial"/>
          <w:sz w:val="22"/>
          <w:szCs w:val="22"/>
        </w:rPr>
        <w:t>’</w:t>
      </w:r>
      <w:r w:rsidRPr="00827913">
        <w:rPr>
          <w:rFonts w:ascii="Arial" w:hAnsi="Arial" w:cs="Arial"/>
          <w:sz w:val="22"/>
          <w:szCs w:val="22"/>
        </w:rPr>
        <w:t>élément n</w:t>
      </w:r>
      <w:r w:rsidR="009C104E">
        <w:rPr>
          <w:rFonts w:ascii="Arial" w:hAnsi="Arial" w:cs="Arial"/>
          <w:sz w:val="22"/>
          <w:szCs w:val="22"/>
        </w:rPr>
        <w:t>’</w:t>
      </w:r>
      <w:r w:rsidRPr="00827913">
        <w:rPr>
          <w:rFonts w:ascii="Arial" w:hAnsi="Arial" w:cs="Arial"/>
          <w:sz w:val="22"/>
          <w:szCs w:val="22"/>
        </w:rPr>
        <w:t>est pratiqué que par la communauté chagossienne. Cependant, l</w:t>
      </w:r>
      <w:r w:rsidR="009C104E">
        <w:rPr>
          <w:rFonts w:ascii="Arial" w:hAnsi="Arial" w:cs="Arial"/>
          <w:sz w:val="22"/>
          <w:szCs w:val="22"/>
        </w:rPr>
        <w:t>’</w:t>
      </w:r>
      <w:r w:rsidRPr="00827913">
        <w:rPr>
          <w:rFonts w:ascii="Arial" w:hAnsi="Arial" w:cs="Arial"/>
          <w:sz w:val="22"/>
          <w:szCs w:val="22"/>
        </w:rPr>
        <w:t>État partie a atteint, entre autre, les objectifs suivants du plan de sauvegarde pour en assurer la viabilité : la création d</w:t>
      </w:r>
      <w:r w:rsidR="009C104E">
        <w:rPr>
          <w:rFonts w:ascii="Arial" w:hAnsi="Arial" w:cs="Arial"/>
          <w:sz w:val="22"/>
          <w:szCs w:val="22"/>
        </w:rPr>
        <w:t>’</w:t>
      </w:r>
      <w:r w:rsidRPr="00827913">
        <w:rPr>
          <w:rFonts w:ascii="Arial" w:hAnsi="Arial" w:cs="Arial"/>
          <w:sz w:val="22"/>
          <w:szCs w:val="22"/>
        </w:rPr>
        <w:t>un plus grand nombre de groupes chagossiens pour interpréter le séga tambour des Chagos ; un plus grand nombre de membres de la communauté chagossienne qui rejoignent le groupe existant</w:t>
      </w:r>
      <w:r w:rsidR="00F21F8F">
        <w:rPr>
          <w:rFonts w:ascii="Arial" w:hAnsi="Arial" w:cs="Arial"/>
          <w:sz w:val="22"/>
          <w:szCs w:val="22"/>
        </w:rPr>
        <w:t> </w:t>
      </w:r>
      <w:r w:rsidRPr="00827913">
        <w:rPr>
          <w:rFonts w:ascii="Arial" w:hAnsi="Arial" w:cs="Arial"/>
          <w:sz w:val="22"/>
          <w:szCs w:val="22"/>
        </w:rPr>
        <w:t>; d</w:t>
      </w:r>
      <w:r w:rsidR="009C104E">
        <w:rPr>
          <w:rFonts w:ascii="Arial" w:hAnsi="Arial" w:cs="Arial"/>
          <w:sz w:val="22"/>
          <w:szCs w:val="22"/>
        </w:rPr>
        <w:t>’</w:t>
      </w:r>
      <w:r w:rsidRPr="00827913">
        <w:rPr>
          <w:rFonts w:ascii="Arial" w:hAnsi="Arial" w:cs="Arial"/>
          <w:sz w:val="22"/>
          <w:szCs w:val="22"/>
        </w:rPr>
        <w:t>autres individus et groupes qui pratiquent l</w:t>
      </w:r>
      <w:r w:rsidR="009C104E">
        <w:rPr>
          <w:rFonts w:ascii="Arial" w:hAnsi="Arial" w:cs="Arial"/>
          <w:sz w:val="22"/>
          <w:szCs w:val="22"/>
        </w:rPr>
        <w:t>’</w:t>
      </w:r>
      <w:r w:rsidRPr="00827913">
        <w:rPr>
          <w:rFonts w:ascii="Arial" w:hAnsi="Arial" w:cs="Arial"/>
          <w:sz w:val="22"/>
          <w:szCs w:val="22"/>
        </w:rPr>
        <w:t>élément, une fois que l</w:t>
      </w:r>
      <w:r w:rsidR="009C104E">
        <w:rPr>
          <w:rFonts w:ascii="Arial" w:hAnsi="Arial" w:cs="Arial"/>
          <w:sz w:val="22"/>
          <w:szCs w:val="22"/>
        </w:rPr>
        <w:t>’</w:t>
      </w:r>
      <w:r w:rsidRPr="00827913">
        <w:rPr>
          <w:rFonts w:ascii="Arial" w:hAnsi="Arial" w:cs="Arial"/>
          <w:sz w:val="22"/>
          <w:szCs w:val="22"/>
        </w:rPr>
        <w:t>élément est sauvegardé au sein de la communauté chagossienne ; la mise en avant de l</w:t>
      </w:r>
      <w:r w:rsidR="009C104E">
        <w:rPr>
          <w:rFonts w:ascii="Arial" w:hAnsi="Arial" w:cs="Arial"/>
          <w:sz w:val="22"/>
          <w:szCs w:val="22"/>
        </w:rPr>
        <w:t>’</w:t>
      </w:r>
      <w:r w:rsidRPr="00827913">
        <w:rPr>
          <w:rFonts w:ascii="Arial" w:hAnsi="Arial" w:cs="Arial"/>
          <w:sz w:val="22"/>
          <w:szCs w:val="22"/>
        </w:rPr>
        <w:t xml:space="preserve">élément par la communauté chagossienne pour une meilleure visibilité aux niveaux </w:t>
      </w:r>
      <w:r w:rsidR="00F43657">
        <w:rPr>
          <w:rFonts w:ascii="Arial" w:hAnsi="Arial" w:cs="Arial"/>
          <w:sz w:val="22"/>
          <w:szCs w:val="22"/>
        </w:rPr>
        <w:t>national</w:t>
      </w:r>
      <w:r w:rsidR="00F43657" w:rsidRPr="00827913">
        <w:rPr>
          <w:rFonts w:ascii="Arial" w:hAnsi="Arial" w:cs="Arial"/>
          <w:sz w:val="22"/>
          <w:szCs w:val="22"/>
        </w:rPr>
        <w:t xml:space="preserve"> </w:t>
      </w:r>
      <w:r w:rsidRPr="00827913">
        <w:rPr>
          <w:rFonts w:ascii="Arial" w:hAnsi="Arial" w:cs="Arial"/>
          <w:sz w:val="22"/>
          <w:szCs w:val="22"/>
        </w:rPr>
        <w:t>et international ; et l</w:t>
      </w:r>
      <w:r w:rsidR="009C104E">
        <w:rPr>
          <w:rFonts w:ascii="Arial" w:hAnsi="Arial" w:cs="Arial"/>
          <w:sz w:val="22"/>
          <w:szCs w:val="22"/>
        </w:rPr>
        <w:t>’</w:t>
      </w:r>
      <w:r w:rsidRPr="00827913">
        <w:rPr>
          <w:rFonts w:ascii="Arial" w:hAnsi="Arial" w:cs="Arial"/>
          <w:sz w:val="22"/>
          <w:szCs w:val="22"/>
        </w:rPr>
        <w:t>auto</w:t>
      </w:r>
      <w:r w:rsidR="00673934">
        <w:rPr>
          <w:rFonts w:ascii="Arial" w:hAnsi="Arial" w:cs="Arial"/>
          <w:sz w:val="22"/>
          <w:szCs w:val="22"/>
        </w:rPr>
        <w:t>nom</w:t>
      </w:r>
      <w:r w:rsidRPr="00827913">
        <w:rPr>
          <w:rFonts w:ascii="Arial" w:hAnsi="Arial" w:cs="Arial"/>
          <w:sz w:val="22"/>
          <w:szCs w:val="22"/>
        </w:rPr>
        <w:t>isation des ainés pour la transmission de l</w:t>
      </w:r>
      <w:r w:rsidR="009C104E">
        <w:rPr>
          <w:rFonts w:ascii="Arial" w:hAnsi="Arial" w:cs="Arial"/>
          <w:sz w:val="22"/>
          <w:szCs w:val="22"/>
        </w:rPr>
        <w:t>’</w:t>
      </w:r>
      <w:r w:rsidRPr="00827913">
        <w:rPr>
          <w:rFonts w:ascii="Arial" w:hAnsi="Arial" w:cs="Arial"/>
          <w:sz w:val="22"/>
          <w:szCs w:val="22"/>
        </w:rPr>
        <w:t>élément aux jeunes générations pour la postérité. Malgré de grands défis identifiés, les familles chagossiennes ont jusqu</w:t>
      </w:r>
      <w:r w:rsidR="009C104E">
        <w:rPr>
          <w:rFonts w:ascii="Arial" w:hAnsi="Arial" w:cs="Arial"/>
          <w:sz w:val="22"/>
          <w:szCs w:val="22"/>
        </w:rPr>
        <w:t>’</w:t>
      </w:r>
      <w:r w:rsidRPr="00827913">
        <w:rPr>
          <w:rFonts w:ascii="Arial" w:hAnsi="Arial" w:cs="Arial"/>
          <w:sz w:val="22"/>
          <w:szCs w:val="22"/>
        </w:rPr>
        <w:t>à présent assuré la transmission à leurs enfants de leurs techniques, connaissances, et de la pratique. La communauté chagossienne n</w:t>
      </w:r>
      <w:r w:rsidR="009C104E">
        <w:rPr>
          <w:rFonts w:ascii="Arial" w:hAnsi="Arial" w:cs="Arial"/>
          <w:sz w:val="22"/>
          <w:szCs w:val="22"/>
        </w:rPr>
        <w:t>’</w:t>
      </w:r>
      <w:r w:rsidRPr="00827913">
        <w:rPr>
          <w:rFonts w:ascii="Arial" w:hAnsi="Arial" w:cs="Arial"/>
          <w:sz w:val="22"/>
          <w:szCs w:val="22"/>
        </w:rPr>
        <w:t>a pas seulement été l</w:t>
      </w:r>
      <w:r w:rsidR="009C104E">
        <w:rPr>
          <w:rFonts w:ascii="Arial" w:hAnsi="Arial" w:cs="Arial"/>
          <w:sz w:val="22"/>
          <w:szCs w:val="22"/>
        </w:rPr>
        <w:t>’</w:t>
      </w:r>
      <w:r w:rsidRPr="00827913">
        <w:rPr>
          <w:rFonts w:ascii="Arial" w:hAnsi="Arial" w:cs="Arial"/>
          <w:sz w:val="22"/>
          <w:szCs w:val="22"/>
        </w:rPr>
        <w:t>initiatrice du processus de candidature, mais a été aussi activement impliquée dans la préparation du dossier, et est clairement engagée dans la mise en œuvre des mesures de sauvegarde.</w:t>
      </w:r>
    </w:p>
    <w:p w14:paraId="5E49E029" w14:textId="52AB4E3F" w:rsidR="00B46DD6" w:rsidRPr="00827913" w:rsidRDefault="00B46DD6" w:rsidP="00B46DD6">
      <w:pPr>
        <w:tabs>
          <w:tab w:val="left" w:pos="567"/>
          <w:tab w:val="left" w:pos="1134"/>
          <w:tab w:val="left" w:pos="1276"/>
          <w:tab w:val="left" w:pos="2268"/>
        </w:tabs>
        <w:spacing w:before="120" w:after="120"/>
        <w:ind w:left="567" w:hanging="567"/>
        <w:jc w:val="both"/>
        <w:rPr>
          <w:rFonts w:ascii="Arial" w:hAnsi="Arial" w:cs="Arial"/>
          <w:sz w:val="22"/>
          <w:szCs w:val="22"/>
        </w:rPr>
      </w:pPr>
      <w:r w:rsidRPr="00827913">
        <w:rPr>
          <w:rFonts w:ascii="Arial" w:hAnsi="Arial" w:cs="Arial"/>
          <w:sz w:val="22"/>
          <w:szCs w:val="22"/>
        </w:rPr>
        <w:t>4.</w:t>
      </w:r>
      <w:r w:rsidRPr="00827913">
        <w:rPr>
          <w:rFonts w:ascii="Arial" w:hAnsi="Arial" w:cs="Arial"/>
          <w:sz w:val="22"/>
          <w:szCs w:val="22"/>
        </w:rPr>
        <w:tab/>
      </w:r>
      <w:r w:rsidRPr="00037C65">
        <w:rPr>
          <w:rFonts w:ascii="Arial" w:hAnsi="Arial" w:cs="Arial"/>
          <w:sz w:val="22"/>
          <w:szCs w:val="22"/>
          <w:u w:val="single"/>
        </w:rPr>
        <w:t>Décide d</w:t>
      </w:r>
      <w:r w:rsidR="009C104E">
        <w:rPr>
          <w:rFonts w:ascii="Arial" w:hAnsi="Arial" w:cs="Arial"/>
          <w:sz w:val="22"/>
          <w:szCs w:val="22"/>
          <w:u w:val="single"/>
        </w:rPr>
        <w:t>’</w:t>
      </w:r>
      <w:r w:rsidRPr="00037C65">
        <w:rPr>
          <w:rFonts w:ascii="Arial" w:hAnsi="Arial" w:cs="Arial"/>
          <w:sz w:val="22"/>
          <w:szCs w:val="22"/>
          <w:u w:val="single"/>
        </w:rPr>
        <w:t>inscrire</w:t>
      </w:r>
      <w:r w:rsidRPr="00827913">
        <w:rPr>
          <w:rFonts w:ascii="Arial" w:hAnsi="Arial" w:cs="Arial"/>
          <w:sz w:val="22"/>
          <w:szCs w:val="22"/>
        </w:rPr>
        <w:t xml:space="preserve"> </w:t>
      </w:r>
      <w:r w:rsidRPr="00A400B1">
        <w:rPr>
          <w:rFonts w:ascii="Arial" w:hAnsi="Arial" w:cs="Arial"/>
          <w:b/>
          <w:sz w:val="22"/>
          <w:szCs w:val="22"/>
        </w:rPr>
        <w:t>le</w:t>
      </w:r>
      <w:r w:rsidRPr="00827913">
        <w:rPr>
          <w:rFonts w:ascii="Arial" w:hAnsi="Arial" w:cs="Arial"/>
          <w:sz w:val="22"/>
          <w:szCs w:val="22"/>
        </w:rPr>
        <w:t xml:space="preserve"> </w:t>
      </w:r>
      <w:r w:rsidRPr="00037C65">
        <w:rPr>
          <w:rFonts w:ascii="Arial" w:hAnsi="Arial" w:cs="Arial"/>
          <w:b/>
          <w:sz w:val="22"/>
          <w:szCs w:val="22"/>
        </w:rPr>
        <w:t>séga tambour des Chagos</w:t>
      </w:r>
      <w:r w:rsidRPr="00827913">
        <w:rPr>
          <w:rFonts w:ascii="Arial" w:hAnsi="Arial" w:cs="Arial"/>
          <w:sz w:val="22"/>
          <w:szCs w:val="22"/>
        </w:rPr>
        <w:t xml:space="preserve"> sur la Liste du patrimoine</w:t>
      </w:r>
      <w:r w:rsidR="00F43657">
        <w:rPr>
          <w:rFonts w:ascii="Arial" w:hAnsi="Arial" w:cs="Arial"/>
          <w:sz w:val="22"/>
          <w:szCs w:val="22"/>
        </w:rPr>
        <w:t xml:space="preserve"> culturel</w:t>
      </w:r>
      <w:r w:rsidRPr="00827913">
        <w:rPr>
          <w:rFonts w:ascii="Arial" w:hAnsi="Arial" w:cs="Arial"/>
          <w:sz w:val="22"/>
          <w:szCs w:val="22"/>
        </w:rPr>
        <w:t xml:space="preserve"> immatériel nécessitant une sauvegarde urgente ;</w:t>
      </w:r>
    </w:p>
    <w:p w14:paraId="5329621B" w14:textId="41882436" w:rsidR="00B46DD6" w:rsidRPr="00904C0F" w:rsidRDefault="00B46DD6" w:rsidP="00B46DD6">
      <w:pPr>
        <w:tabs>
          <w:tab w:val="left" w:pos="567"/>
          <w:tab w:val="left" w:pos="1134"/>
          <w:tab w:val="left" w:pos="1276"/>
          <w:tab w:val="left" w:pos="2268"/>
        </w:tabs>
        <w:spacing w:before="120" w:after="120"/>
        <w:ind w:left="567" w:hanging="567"/>
        <w:jc w:val="both"/>
        <w:rPr>
          <w:rFonts w:ascii="Arial" w:hAnsi="Arial" w:cs="Arial"/>
          <w:sz w:val="22"/>
          <w:szCs w:val="22"/>
        </w:rPr>
      </w:pPr>
      <w:r w:rsidRPr="00827913">
        <w:rPr>
          <w:rFonts w:ascii="Arial" w:hAnsi="Arial" w:cs="Arial"/>
          <w:sz w:val="22"/>
          <w:szCs w:val="22"/>
        </w:rPr>
        <w:t>5.</w:t>
      </w:r>
      <w:r w:rsidRPr="00827913">
        <w:rPr>
          <w:rFonts w:ascii="Arial" w:hAnsi="Arial" w:cs="Arial"/>
          <w:sz w:val="22"/>
          <w:szCs w:val="22"/>
        </w:rPr>
        <w:tab/>
      </w:r>
      <w:r w:rsidRPr="00037C65">
        <w:rPr>
          <w:rFonts w:ascii="Arial" w:hAnsi="Arial" w:cs="Arial"/>
          <w:sz w:val="22"/>
          <w:szCs w:val="22"/>
          <w:u w:val="single"/>
        </w:rPr>
        <w:t>Demande</w:t>
      </w:r>
      <w:r w:rsidRPr="00827913">
        <w:rPr>
          <w:rFonts w:ascii="Arial" w:hAnsi="Arial" w:cs="Arial"/>
          <w:sz w:val="22"/>
          <w:szCs w:val="22"/>
        </w:rPr>
        <w:t xml:space="preserve"> à l</w:t>
      </w:r>
      <w:r w:rsidR="009C104E">
        <w:rPr>
          <w:rFonts w:ascii="Arial" w:hAnsi="Arial" w:cs="Arial"/>
          <w:sz w:val="22"/>
          <w:szCs w:val="22"/>
        </w:rPr>
        <w:t>’</w:t>
      </w:r>
      <w:r w:rsidRPr="00827913">
        <w:rPr>
          <w:rFonts w:ascii="Arial" w:hAnsi="Arial" w:cs="Arial"/>
          <w:sz w:val="22"/>
          <w:szCs w:val="22"/>
        </w:rPr>
        <w:t>État partie de soumettre, lors des quatre années suivant l</w:t>
      </w:r>
      <w:r w:rsidR="009C104E">
        <w:rPr>
          <w:rFonts w:ascii="Arial" w:hAnsi="Arial" w:cs="Arial"/>
          <w:sz w:val="22"/>
          <w:szCs w:val="22"/>
        </w:rPr>
        <w:t>’</w:t>
      </w:r>
      <w:r w:rsidRPr="00827913">
        <w:rPr>
          <w:rFonts w:ascii="Arial" w:hAnsi="Arial" w:cs="Arial"/>
          <w:sz w:val="22"/>
          <w:szCs w:val="22"/>
        </w:rPr>
        <w:t>inscription, des rapports biennaux sur les résultats des mesures prises pour assurer la sauvegarde de l</w:t>
      </w:r>
      <w:r w:rsidR="009C104E">
        <w:rPr>
          <w:rFonts w:ascii="Arial" w:hAnsi="Arial" w:cs="Arial"/>
          <w:sz w:val="22"/>
          <w:szCs w:val="22"/>
        </w:rPr>
        <w:t>’</w:t>
      </w:r>
      <w:r w:rsidRPr="00827913">
        <w:rPr>
          <w:rFonts w:ascii="Arial" w:hAnsi="Arial" w:cs="Arial"/>
          <w:sz w:val="22"/>
          <w:szCs w:val="22"/>
        </w:rPr>
        <w:t xml:space="preserve">élément et </w:t>
      </w:r>
      <w:r w:rsidRPr="00A400B1">
        <w:rPr>
          <w:rFonts w:ascii="Arial" w:hAnsi="Arial" w:cs="Arial"/>
          <w:sz w:val="22"/>
          <w:szCs w:val="22"/>
          <w:u w:val="single"/>
        </w:rPr>
        <w:t>invite</w:t>
      </w:r>
      <w:r w:rsidRPr="00827913">
        <w:rPr>
          <w:rFonts w:ascii="Arial" w:hAnsi="Arial" w:cs="Arial"/>
          <w:sz w:val="22"/>
          <w:szCs w:val="22"/>
        </w:rPr>
        <w:t xml:space="preserve"> l</w:t>
      </w:r>
      <w:r w:rsidR="009C104E">
        <w:rPr>
          <w:rFonts w:ascii="Arial" w:hAnsi="Arial" w:cs="Arial"/>
          <w:sz w:val="22"/>
          <w:szCs w:val="22"/>
        </w:rPr>
        <w:t>’</w:t>
      </w:r>
      <w:r w:rsidRPr="00827913">
        <w:rPr>
          <w:rFonts w:ascii="Arial" w:hAnsi="Arial" w:cs="Arial"/>
          <w:sz w:val="22"/>
          <w:szCs w:val="22"/>
        </w:rPr>
        <w:t>État partie à s</w:t>
      </w:r>
      <w:r w:rsidR="009C104E">
        <w:rPr>
          <w:rFonts w:ascii="Arial" w:hAnsi="Arial" w:cs="Arial"/>
          <w:sz w:val="22"/>
          <w:szCs w:val="22"/>
        </w:rPr>
        <w:t>’</w:t>
      </w:r>
      <w:r w:rsidRPr="00827913">
        <w:rPr>
          <w:rFonts w:ascii="Arial" w:hAnsi="Arial" w:cs="Arial"/>
          <w:sz w:val="22"/>
          <w:szCs w:val="22"/>
        </w:rPr>
        <w:t>assurer que la participation de la communauté est soulignée et clairement décrite dans les rapports biennaux</w:t>
      </w:r>
      <w:r>
        <w:rPr>
          <w:rFonts w:ascii="Arial" w:hAnsi="Arial" w:cs="Arial"/>
          <w:sz w:val="22"/>
          <w:szCs w:val="22"/>
        </w:rPr>
        <w:t>.</w:t>
      </w:r>
    </w:p>
    <w:p w14:paraId="68E55790" w14:textId="74D4C464" w:rsidR="00191F85" w:rsidRPr="00904C0F" w:rsidRDefault="00191F85" w:rsidP="00771F30">
      <w:pPr>
        <w:pStyle w:val="Heading2"/>
        <w:keepLines/>
        <w:numPr>
          <w:ilvl w:val="0"/>
          <w:numId w:val="24"/>
        </w:numPr>
        <w:spacing w:before="360" w:after="120"/>
        <w:rPr>
          <w:rFonts w:ascii="Arial" w:hAnsi="Arial" w:cs="Arial"/>
          <w:b w:val="0"/>
          <w:i w:val="0"/>
          <w:sz w:val="22"/>
          <w:szCs w:val="22"/>
        </w:rPr>
      </w:pPr>
      <w:bookmarkStart w:id="2" w:name="_PROJET_DE_DÉCISION_2"/>
      <w:bookmarkEnd w:id="2"/>
      <w:r w:rsidRPr="00904C0F">
        <w:rPr>
          <w:rFonts w:ascii="Arial" w:hAnsi="Arial" w:cs="Arial"/>
          <w:i w:val="0"/>
          <w:sz w:val="22"/>
          <w:szCs w:val="22"/>
        </w:rPr>
        <w:t>DÉCISION 14.COM 10.a.4</w:t>
      </w:r>
    </w:p>
    <w:p w14:paraId="415D0E8C" w14:textId="77777777" w:rsidR="00191F85" w:rsidRPr="00904C0F" w:rsidRDefault="00191F85" w:rsidP="009931D9">
      <w:pPr>
        <w:keepNext/>
        <w:tabs>
          <w:tab w:val="left" w:pos="567"/>
          <w:tab w:val="left" w:pos="1134"/>
          <w:tab w:val="left" w:pos="1701"/>
          <w:tab w:val="left" w:pos="2268"/>
        </w:tabs>
        <w:spacing w:before="120" w:after="120"/>
        <w:ind w:left="567" w:hanging="567"/>
        <w:jc w:val="both"/>
        <w:rPr>
          <w:rFonts w:ascii="Arial" w:hAnsi="Arial" w:cs="Arial"/>
          <w:sz w:val="22"/>
          <w:szCs w:val="22"/>
        </w:rPr>
      </w:pPr>
      <w:r w:rsidRPr="00904C0F">
        <w:rPr>
          <w:rFonts w:ascii="Arial" w:hAnsi="Arial" w:cs="Arial"/>
          <w:sz w:val="22"/>
          <w:szCs w:val="22"/>
        </w:rPr>
        <w:t>Le Comité,</w:t>
      </w:r>
    </w:p>
    <w:p w14:paraId="2A03E588" w14:textId="77777777" w:rsidR="00191F85" w:rsidRPr="00904C0F" w:rsidRDefault="00191F85" w:rsidP="00771F30">
      <w:pPr>
        <w:numPr>
          <w:ilvl w:val="1"/>
          <w:numId w:val="24"/>
        </w:numPr>
        <w:tabs>
          <w:tab w:val="left" w:pos="567"/>
          <w:tab w:val="left" w:pos="1701"/>
          <w:tab w:val="left" w:pos="2268"/>
        </w:tabs>
        <w:spacing w:before="120" w:after="120"/>
        <w:ind w:left="567" w:hanging="567"/>
        <w:jc w:val="both"/>
        <w:rPr>
          <w:rFonts w:ascii="Arial" w:hAnsi="Arial" w:cs="Arial"/>
          <w:sz w:val="22"/>
          <w:szCs w:val="22"/>
        </w:rPr>
      </w:pPr>
      <w:r w:rsidRPr="00904C0F">
        <w:rPr>
          <w:rFonts w:ascii="Arial" w:hAnsi="Arial" w:cs="Arial"/>
          <w:sz w:val="22"/>
          <w:szCs w:val="22"/>
          <w:u w:val="single"/>
        </w:rPr>
        <w:t>Prend note</w:t>
      </w:r>
      <w:r w:rsidRPr="00904C0F">
        <w:rPr>
          <w:rFonts w:ascii="Arial" w:hAnsi="Arial" w:cs="Arial"/>
          <w:sz w:val="22"/>
          <w:szCs w:val="22"/>
        </w:rPr>
        <w:t xml:space="preserve"> que les Philippines ont proposé la candidature </w:t>
      </w:r>
      <w:r w:rsidRPr="00904C0F">
        <w:rPr>
          <w:rFonts w:ascii="Arial" w:hAnsi="Arial" w:cs="Arial"/>
          <w:b/>
          <w:sz w:val="22"/>
          <w:szCs w:val="22"/>
        </w:rPr>
        <w:t xml:space="preserve">du </w:t>
      </w:r>
      <w:r w:rsidRPr="00904C0F">
        <w:rPr>
          <w:rFonts w:ascii="Arial" w:hAnsi="Arial" w:cs="Arial"/>
          <w:b/>
          <w:bCs/>
          <w:sz w:val="22"/>
          <w:szCs w:val="22"/>
        </w:rPr>
        <w:t>Buklog, système de rituels de gratitude des Subanen</w:t>
      </w:r>
      <w:r w:rsidRPr="00904C0F">
        <w:rPr>
          <w:rFonts w:ascii="Arial" w:hAnsi="Arial" w:cs="Arial"/>
          <w:sz w:val="22"/>
          <w:szCs w:val="22"/>
        </w:rPr>
        <w:t xml:space="preserve"> (n° 01495) pour inscription sur la Liste du patrimoine culturel immatériel nécessitant une sauvegarde urgente :</w:t>
      </w:r>
    </w:p>
    <w:p w14:paraId="72894F9F" w14:textId="07403A8A" w:rsidR="00191F85" w:rsidRPr="00904C0F" w:rsidRDefault="009931D9" w:rsidP="009931D9">
      <w:pPr>
        <w:tabs>
          <w:tab w:val="left" w:pos="567"/>
          <w:tab w:val="left" w:pos="1701"/>
          <w:tab w:val="left" w:pos="2268"/>
        </w:tabs>
        <w:spacing w:before="120" w:after="120"/>
        <w:ind w:left="567" w:hanging="567"/>
        <w:jc w:val="both"/>
        <w:rPr>
          <w:rFonts w:ascii="Arial" w:hAnsi="Arial" w:cs="Arial"/>
          <w:sz w:val="22"/>
          <w:szCs w:val="22"/>
        </w:rPr>
      </w:pPr>
      <w:r>
        <w:rPr>
          <w:rFonts w:ascii="Arial" w:hAnsi="Arial" w:cs="Arial"/>
          <w:sz w:val="22"/>
          <w:szCs w:val="22"/>
        </w:rPr>
        <w:tab/>
      </w:r>
      <w:r w:rsidR="00191F85" w:rsidRPr="00904C0F">
        <w:rPr>
          <w:rFonts w:ascii="Arial" w:hAnsi="Arial" w:cs="Arial"/>
          <w:sz w:val="22"/>
          <w:szCs w:val="22"/>
        </w:rPr>
        <w:t xml:space="preserve">Le buklog est un système élaboré de rituels de gratitude pratiqué par les Subanen, peuple autochtone du sud des Philippines. Le chef de la famille hôte, généralement un chef de village appelé </w:t>
      </w:r>
      <w:r w:rsidR="00191F85" w:rsidRPr="00904C0F">
        <w:rPr>
          <w:rFonts w:ascii="Arial" w:hAnsi="Arial" w:cs="Arial"/>
          <w:i/>
          <w:iCs/>
          <w:sz w:val="22"/>
          <w:szCs w:val="22"/>
        </w:rPr>
        <w:t>timuay</w:t>
      </w:r>
      <w:r w:rsidR="00191F85" w:rsidRPr="00904C0F">
        <w:rPr>
          <w:rFonts w:ascii="Arial" w:hAnsi="Arial" w:cs="Arial"/>
          <w:sz w:val="22"/>
          <w:szCs w:val="22"/>
        </w:rPr>
        <w:t>, prépare les rituels pour exprimer sa gratitude aux esprits. Les rituels assurent une cohabitation harmonieuse entre les membres d</w:t>
      </w:r>
      <w:r w:rsidR="009C104E">
        <w:rPr>
          <w:rFonts w:ascii="Arial" w:hAnsi="Arial" w:cs="Arial"/>
          <w:sz w:val="22"/>
          <w:szCs w:val="22"/>
        </w:rPr>
        <w:t>’</w:t>
      </w:r>
      <w:r w:rsidR="00191F85" w:rsidRPr="00904C0F">
        <w:rPr>
          <w:rFonts w:ascii="Arial" w:hAnsi="Arial" w:cs="Arial"/>
          <w:sz w:val="22"/>
          <w:szCs w:val="22"/>
        </w:rPr>
        <w:t>une famille, d</w:t>
      </w:r>
      <w:r w:rsidR="009C104E">
        <w:rPr>
          <w:rFonts w:ascii="Arial" w:hAnsi="Arial" w:cs="Arial"/>
          <w:sz w:val="22"/>
          <w:szCs w:val="22"/>
        </w:rPr>
        <w:t>’</w:t>
      </w:r>
      <w:r w:rsidR="00191F85" w:rsidRPr="00904C0F">
        <w:rPr>
          <w:rFonts w:ascii="Arial" w:hAnsi="Arial" w:cs="Arial"/>
          <w:sz w:val="22"/>
          <w:szCs w:val="22"/>
        </w:rPr>
        <w:t>un clan et d</w:t>
      </w:r>
      <w:r w:rsidR="009C104E">
        <w:rPr>
          <w:rFonts w:ascii="Arial" w:hAnsi="Arial" w:cs="Arial"/>
          <w:sz w:val="22"/>
          <w:szCs w:val="22"/>
        </w:rPr>
        <w:t>’</w:t>
      </w:r>
      <w:r w:rsidR="00191F85" w:rsidRPr="00904C0F">
        <w:rPr>
          <w:rFonts w:ascii="Arial" w:hAnsi="Arial" w:cs="Arial"/>
          <w:sz w:val="22"/>
          <w:szCs w:val="22"/>
        </w:rPr>
        <w:t>une communauté, mais aussi entre les mondes humain, naturel et spirituel. Ils consistent par exemple à demander aux esprits la permission d</w:t>
      </w:r>
      <w:r w:rsidR="009C104E">
        <w:rPr>
          <w:rFonts w:ascii="Arial" w:hAnsi="Arial" w:cs="Arial"/>
          <w:sz w:val="22"/>
          <w:szCs w:val="22"/>
        </w:rPr>
        <w:t>’</w:t>
      </w:r>
      <w:r w:rsidR="00191F85" w:rsidRPr="00904C0F">
        <w:rPr>
          <w:rFonts w:ascii="Arial" w:hAnsi="Arial" w:cs="Arial"/>
          <w:sz w:val="22"/>
          <w:szCs w:val="22"/>
        </w:rPr>
        <w:t>aller récolter des matières premières dans la forêt, à présenter des pièces de monnaie en offrande, à inviter les esprits des défunts à participer au festin ou à invoquer les esprits de l</w:t>
      </w:r>
      <w:r w:rsidR="009C104E">
        <w:rPr>
          <w:rFonts w:ascii="Arial" w:hAnsi="Arial" w:cs="Arial"/>
          <w:sz w:val="22"/>
          <w:szCs w:val="22"/>
        </w:rPr>
        <w:t>’</w:t>
      </w:r>
      <w:r w:rsidR="00191F85" w:rsidRPr="00904C0F">
        <w:rPr>
          <w:rFonts w:ascii="Arial" w:hAnsi="Arial" w:cs="Arial"/>
          <w:sz w:val="22"/>
          <w:szCs w:val="22"/>
        </w:rPr>
        <w:t xml:space="preserve">eau et de la terre ou de la musique et de la danse. Ensuite, les participants dansent sur une structure en bois surélevée appelée </w:t>
      </w:r>
      <w:r w:rsidR="00191F85" w:rsidRPr="00904C0F">
        <w:rPr>
          <w:rFonts w:ascii="Arial" w:hAnsi="Arial" w:cs="Arial"/>
          <w:i/>
          <w:iCs/>
          <w:sz w:val="22"/>
          <w:szCs w:val="22"/>
        </w:rPr>
        <w:t>buklog</w:t>
      </w:r>
      <w:r w:rsidR="00191F85" w:rsidRPr="00904C0F">
        <w:rPr>
          <w:rFonts w:ascii="Arial" w:hAnsi="Arial" w:cs="Arial"/>
          <w:sz w:val="22"/>
          <w:szCs w:val="22"/>
        </w:rPr>
        <w:t xml:space="preserve"> – espace social et sacré – dont les résonances sont supposées plaire aux esprits. Vient ensuite une danse de la communauté marquant le renouvellement des rapports spirituels et sociaux en son sein. Même si ce système de rituel reste le facteur majeur d</w:t>
      </w:r>
      <w:r w:rsidR="009C104E">
        <w:rPr>
          <w:rFonts w:ascii="Arial" w:hAnsi="Arial" w:cs="Arial"/>
          <w:sz w:val="22"/>
          <w:szCs w:val="22"/>
        </w:rPr>
        <w:t>’</w:t>
      </w:r>
      <w:r w:rsidR="00191F85" w:rsidRPr="00904C0F">
        <w:rPr>
          <w:rFonts w:ascii="Arial" w:hAnsi="Arial" w:cs="Arial"/>
          <w:sz w:val="22"/>
          <w:szCs w:val="22"/>
        </w:rPr>
        <w:t>unité pour la communauté, plusieurs menaces d</w:t>
      </w:r>
      <w:r w:rsidR="009C104E">
        <w:rPr>
          <w:rFonts w:ascii="Arial" w:hAnsi="Arial" w:cs="Arial"/>
          <w:sz w:val="22"/>
          <w:szCs w:val="22"/>
        </w:rPr>
        <w:t>’</w:t>
      </w:r>
      <w:r w:rsidR="00191F85" w:rsidRPr="00904C0F">
        <w:rPr>
          <w:rFonts w:ascii="Arial" w:hAnsi="Arial" w:cs="Arial"/>
          <w:sz w:val="22"/>
          <w:szCs w:val="22"/>
        </w:rPr>
        <w:t>ordre social, politique et économique mettent en péril sa viabilité, dont l</w:t>
      </w:r>
      <w:r w:rsidR="009C104E">
        <w:rPr>
          <w:rFonts w:ascii="Arial" w:hAnsi="Arial" w:cs="Arial"/>
          <w:sz w:val="22"/>
          <w:szCs w:val="22"/>
        </w:rPr>
        <w:t>’</w:t>
      </w:r>
      <w:r w:rsidR="00191F85" w:rsidRPr="00904C0F">
        <w:rPr>
          <w:rFonts w:ascii="Arial" w:hAnsi="Arial" w:cs="Arial"/>
          <w:sz w:val="22"/>
          <w:szCs w:val="22"/>
        </w:rPr>
        <w:t>influence d</w:t>
      </w:r>
      <w:r w:rsidR="009C104E">
        <w:rPr>
          <w:rFonts w:ascii="Arial" w:hAnsi="Arial" w:cs="Arial"/>
          <w:sz w:val="22"/>
          <w:szCs w:val="22"/>
        </w:rPr>
        <w:t>’</w:t>
      </w:r>
      <w:r w:rsidR="00191F85" w:rsidRPr="00904C0F">
        <w:rPr>
          <w:rFonts w:ascii="Arial" w:hAnsi="Arial" w:cs="Arial"/>
          <w:sz w:val="22"/>
          <w:szCs w:val="22"/>
        </w:rPr>
        <w:t>autres cultures présentes sur le territoire traditionnel des Subanen, l</w:t>
      </w:r>
      <w:r w:rsidR="009C104E">
        <w:rPr>
          <w:rFonts w:ascii="Arial" w:hAnsi="Arial" w:cs="Arial"/>
          <w:sz w:val="22"/>
          <w:szCs w:val="22"/>
        </w:rPr>
        <w:t>’</w:t>
      </w:r>
      <w:r w:rsidR="00191F85" w:rsidRPr="00904C0F">
        <w:rPr>
          <w:rFonts w:ascii="Arial" w:hAnsi="Arial" w:cs="Arial"/>
          <w:sz w:val="22"/>
          <w:szCs w:val="22"/>
        </w:rPr>
        <w:t>évolution des dynamiques familiales et les contraintes économiques. Par conséquent, même si les Subanen ont mis en place des mécanismes d</w:t>
      </w:r>
      <w:r w:rsidR="009C104E">
        <w:rPr>
          <w:rFonts w:ascii="Arial" w:hAnsi="Arial" w:cs="Arial"/>
          <w:sz w:val="22"/>
          <w:szCs w:val="22"/>
        </w:rPr>
        <w:t>’</w:t>
      </w:r>
      <w:r w:rsidR="00191F85" w:rsidRPr="00904C0F">
        <w:rPr>
          <w:rFonts w:ascii="Arial" w:hAnsi="Arial" w:cs="Arial"/>
          <w:sz w:val="22"/>
          <w:szCs w:val="22"/>
        </w:rPr>
        <w:t>adaptation pour garantir la survie de leur culture, le buklog est maintenant considéré comme très vulnérable, faisant face à plusieurs et importantes menaces et contraintes interconnectées.</w:t>
      </w:r>
    </w:p>
    <w:p w14:paraId="18C06FF7" w14:textId="61BD7494" w:rsidR="00191F85" w:rsidRPr="00904C0F" w:rsidRDefault="00191F85" w:rsidP="00771F30">
      <w:pPr>
        <w:numPr>
          <w:ilvl w:val="1"/>
          <w:numId w:val="24"/>
        </w:numPr>
        <w:tabs>
          <w:tab w:val="left" w:pos="567"/>
          <w:tab w:val="left" w:pos="1701"/>
          <w:tab w:val="left" w:pos="2268"/>
        </w:tabs>
        <w:spacing w:before="120" w:after="120"/>
        <w:ind w:left="567" w:hanging="567"/>
        <w:jc w:val="both"/>
        <w:rPr>
          <w:rFonts w:ascii="Arial" w:hAnsi="Arial" w:cs="Arial"/>
          <w:sz w:val="22"/>
          <w:szCs w:val="22"/>
        </w:rPr>
      </w:pPr>
      <w:r w:rsidRPr="00904C0F">
        <w:rPr>
          <w:rFonts w:ascii="Arial" w:hAnsi="Arial" w:cs="Arial"/>
          <w:sz w:val="22"/>
          <w:szCs w:val="22"/>
          <w:u w:val="single"/>
        </w:rPr>
        <w:t>Estime</w:t>
      </w:r>
      <w:r w:rsidRPr="00904C0F">
        <w:rPr>
          <w:rFonts w:ascii="Arial" w:hAnsi="Arial" w:cs="Arial"/>
          <w:sz w:val="22"/>
          <w:szCs w:val="22"/>
        </w:rPr>
        <w:t xml:space="preserve"> que, d</w:t>
      </w:r>
      <w:r w:rsidR="009C104E">
        <w:rPr>
          <w:rFonts w:ascii="Arial" w:hAnsi="Arial" w:cs="Arial"/>
          <w:sz w:val="22"/>
          <w:szCs w:val="22"/>
        </w:rPr>
        <w:t>’</w:t>
      </w:r>
      <w:r w:rsidRPr="00904C0F">
        <w:rPr>
          <w:rFonts w:ascii="Arial" w:hAnsi="Arial" w:cs="Arial"/>
          <w:sz w:val="22"/>
          <w:szCs w:val="22"/>
        </w:rPr>
        <w:t>après les informations contenues dans le dossier, la candidature satisfait aux critères d</w:t>
      </w:r>
      <w:r w:rsidR="009C104E">
        <w:rPr>
          <w:rFonts w:ascii="Arial" w:hAnsi="Arial" w:cs="Arial"/>
          <w:sz w:val="22"/>
          <w:szCs w:val="22"/>
        </w:rPr>
        <w:t>’</w:t>
      </w:r>
      <w:r w:rsidRPr="00904C0F">
        <w:rPr>
          <w:rFonts w:ascii="Arial" w:hAnsi="Arial" w:cs="Arial"/>
          <w:sz w:val="22"/>
          <w:szCs w:val="22"/>
        </w:rPr>
        <w:t xml:space="preserve">inscription sur la </w:t>
      </w:r>
      <w:r w:rsidRPr="00904C0F">
        <w:rPr>
          <w:rFonts w:ascii="Arial" w:hAnsi="Arial" w:cs="Arial"/>
          <w:bCs/>
          <w:sz w:val="22"/>
          <w:szCs w:val="22"/>
        </w:rPr>
        <w:t>Liste</w:t>
      </w:r>
      <w:r w:rsidRPr="00904C0F">
        <w:rPr>
          <w:rFonts w:ascii="Arial" w:hAnsi="Arial" w:cs="Arial"/>
          <w:sz w:val="22"/>
          <w:szCs w:val="22"/>
        </w:rPr>
        <w:t xml:space="preserve"> du patrimoine culturel immatériel nécessitant une sauvegarde urgente comme suit :</w:t>
      </w:r>
    </w:p>
    <w:p w14:paraId="29940B1B" w14:textId="46E49337" w:rsidR="00191F85" w:rsidRPr="00904C0F" w:rsidRDefault="00191F85" w:rsidP="009931D9">
      <w:pPr>
        <w:tabs>
          <w:tab w:val="left" w:pos="567"/>
          <w:tab w:val="left" w:pos="1134"/>
          <w:tab w:val="left" w:pos="2268"/>
        </w:tabs>
        <w:spacing w:before="120" w:after="120"/>
        <w:ind w:left="1134" w:hanging="567"/>
        <w:jc w:val="both"/>
        <w:rPr>
          <w:rFonts w:ascii="Arial" w:hAnsi="Arial" w:cs="Arial"/>
          <w:sz w:val="22"/>
          <w:szCs w:val="22"/>
        </w:rPr>
      </w:pPr>
      <w:r w:rsidRPr="00904C0F">
        <w:rPr>
          <w:rFonts w:ascii="Arial" w:hAnsi="Arial" w:cs="Arial"/>
          <w:sz w:val="22"/>
          <w:szCs w:val="22"/>
        </w:rPr>
        <w:t>U.1 :</w:t>
      </w:r>
      <w:r w:rsidRPr="00904C0F">
        <w:rPr>
          <w:rFonts w:ascii="Arial" w:hAnsi="Arial" w:cs="Arial"/>
          <w:sz w:val="22"/>
          <w:szCs w:val="22"/>
        </w:rPr>
        <w:tab/>
        <w:t>Même si les Subanen ont des langues, des cultures, des espaces géographiques et des religions différentes, le buklog est l</w:t>
      </w:r>
      <w:r w:rsidR="009C104E">
        <w:rPr>
          <w:rFonts w:ascii="Arial" w:hAnsi="Arial" w:cs="Arial"/>
          <w:sz w:val="22"/>
          <w:szCs w:val="22"/>
        </w:rPr>
        <w:t>’</w:t>
      </w:r>
      <w:r w:rsidRPr="00904C0F">
        <w:rPr>
          <w:rFonts w:ascii="Arial" w:hAnsi="Arial" w:cs="Arial"/>
          <w:sz w:val="22"/>
          <w:szCs w:val="22"/>
        </w:rPr>
        <w:t>un des principaux éléments culturels qui les unit et crée des liens culturels harmonieux avec d</w:t>
      </w:r>
      <w:r w:rsidR="009C104E">
        <w:rPr>
          <w:rFonts w:ascii="Arial" w:hAnsi="Arial" w:cs="Arial"/>
          <w:sz w:val="22"/>
          <w:szCs w:val="22"/>
        </w:rPr>
        <w:t>’</w:t>
      </w:r>
      <w:r w:rsidRPr="00904C0F">
        <w:rPr>
          <w:rFonts w:ascii="Arial" w:hAnsi="Arial" w:cs="Arial"/>
          <w:sz w:val="22"/>
          <w:szCs w:val="22"/>
        </w:rPr>
        <w:t>autres communautés. Les détenteurs et les praticiens de l</w:t>
      </w:r>
      <w:r w:rsidR="009C104E">
        <w:rPr>
          <w:rFonts w:ascii="Arial" w:hAnsi="Arial" w:cs="Arial"/>
          <w:sz w:val="22"/>
          <w:szCs w:val="22"/>
        </w:rPr>
        <w:t>’</w:t>
      </w:r>
      <w:r w:rsidRPr="00904C0F">
        <w:rPr>
          <w:rFonts w:ascii="Arial" w:hAnsi="Arial" w:cs="Arial"/>
          <w:sz w:val="22"/>
          <w:szCs w:val="22"/>
        </w:rPr>
        <w:t>élément sont des membres des communautés subanen de la péninsule de Zamboanga. Ils comprennent des hommes et des femmes, des personnes âgées, des jeunes et des enfants. La transmission se fait actuellement dans le cadre familial et par le biais des chefs de communauté, qui inculquent les valeurs du buklog aux jeunes générations et les impliquent dans la planification et la préparation du buklog, renforçant ainsi la cohésion sociale.</w:t>
      </w:r>
    </w:p>
    <w:p w14:paraId="2F7AE360" w14:textId="496CE4A6" w:rsidR="00191F85" w:rsidRPr="00904C0F" w:rsidRDefault="00191F85" w:rsidP="009931D9">
      <w:pPr>
        <w:tabs>
          <w:tab w:val="left" w:pos="567"/>
          <w:tab w:val="left" w:pos="1134"/>
          <w:tab w:val="left" w:pos="2268"/>
        </w:tabs>
        <w:spacing w:before="120" w:after="120"/>
        <w:ind w:left="1134" w:hanging="567"/>
        <w:jc w:val="both"/>
        <w:rPr>
          <w:rFonts w:ascii="Arial" w:hAnsi="Arial" w:cs="Arial"/>
          <w:sz w:val="22"/>
          <w:szCs w:val="22"/>
        </w:rPr>
      </w:pPr>
      <w:r w:rsidRPr="00904C0F">
        <w:rPr>
          <w:rFonts w:ascii="Arial" w:hAnsi="Arial" w:cs="Arial"/>
          <w:sz w:val="22"/>
          <w:szCs w:val="22"/>
        </w:rPr>
        <w:t>U.2 :</w:t>
      </w:r>
      <w:r w:rsidRPr="00904C0F">
        <w:rPr>
          <w:rFonts w:ascii="Arial" w:hAnsi="Arial" w:cs="Arial"/>
          <w:sz w:val="22"/>
          <w:szCs w:val="22"/>
        </w:rPr>
        <w:tab/>
        <w:t>La viabilité du buklog est fortement menacée par plusieurs facteurs. Ceux-ci incluent : la migration des jeunes vers les centres urbains à la recherche d</w:t>
      </w:r>
      <w:r w:rsidR="009C104E">
        <w:rPr>
          <w:rFonts w:ascii="Arial" w:hAnsi="Arial" w:cs="Arial"/>
          <w:sz w:val="22"/>
          <w:szCs w:val="22"/>
        </w:rPr>
        <w:t>’</w:t>
      </w:r>
      <w:r w:rsidRPr="00904C0F">
        <w:rPr>
          <w:rFonts w:ascii="Arial" w:hAnsi="Arial" w:cs="Arial"/>
          <w:sz w:val="22"/>
          <w:szCs w:val="22"/>
        </w:rPr>
        <w:t>opportunités professionnelles diversifiées ; l</w:t>
      </w:r>
      <w:r w:rsidR="009C104E">
        <w:rPr>
          <w:rFonts w:ascii="Arial" w:hAnsi="Arial" w:cs="Arial"/>
          <w:sz w:val="22"/>
          <w:szCs w:val="22"/>
        </w:rPr>
        <w:t>’</w:t>
      </w:r>
      <w:r w:rsidRPr="00904C0F">
        <w:rPr>
          <w:rFonts w:ascii="Arial" w:hAnsi="Arial" w:cs="Arial"/>
          <w:sz w:val="22"/>
          <w:szCs w:val="22"/>
        </w:rPr>
        <w:t>adoption de la culture des plaines, liée à un système éducatif imposé et culturellement inadapté qui les conduit même à avoir honte de leur culture autochtone ; l</w:t>
      </w:r>
      <w:r w:rsidR="009C104E">
        <w:rPr>
          <w:rFonts w:ascii="Arial" w:hAnsi="Arial" w:cs="Arial"/>
          <w:sz w:val="22"/>
          <w:szCs w:val="22"/>
        </w:rPr>
        <w:t>’</w:t>
      </w:r>
      <w:r w:rsidRPr="00904C0F">
        <w:rPr>
          <w:rFonts w:ascii="Arial" w:hAnsi="Arial" w:cs="Arial"/>
          <w:sz w:val="22"/>
          <w:szCs w:val="22"/>
        </w:rPr>
        <w:t>influence de la religion chrétienne ; la pauvreté et les contraintes économiques de la communauté ; la perte des terres ancestrales due à des conflits armés ; ou encore l</w:t>
      </w:r>
      <w:r w:rsidR="009C104E">
        <w:rPr>
          <w:rFonts w:ascii="Arial" w:hAnsi="Arial" w:cs="Arial"/>
          <w:sz w:val="22"/>
          <w:szCs w:val="22"/>
        </w:rPr>
        <w:t>’</w:t>
      </w:r>
      <w:r w:rsidRPr="00904C0F">
        <w:rPr>
          <w:rFonts w:ascii="Arial" w:hAnsi="Arial" w:cs="Arial"/>
          <w:sz w:val="22"/>
          <w:szCs w:val="22"/>
        </w:rPr>
        <w:t>empiètement des concessions forestières et agricoles illégales d</w:t>
      </w:r>
      <w:r w:rsidR="009C104E">
        <w:rPr>
          <w:rFonts w:ascii="Arial" w:hAnsi="Arial" w:cs="Arial"/>
          <w:sz w:val="22"/>
          <w:szCs w:val="22"/>
        </w:rPr>
        <w:t>’</w:t>
      </w:r>
      <w:r w:rsidRPr="00904C0F">
        <w:rPr>
          <w:rFonts w:ascii="Arial" w:hAnsi="Arial" w:cs="Arial"/>
          <w:sz w:val="22"/>
          <w:szCs w:val="22"/>
        </w:rPr>
        <w:t>où proviennent les matériaux nécessaires aux rituels. En raison de ces facteurs, la fréquence et l</w:t>
      </w:r>
      <w:r w:rsidR="009C104E">
        <w:rPr>
          <w:rFonts w:ascii="Arial" w:hAnsi="Arial" w:cs="Arial"/>
          <w:sz w:val="22"/>
          <w:szCs w:val="22"/>
        </w:rPr>
        <w:t>’</w:t>
      </w:r>
      <w:r w:rsidRPr="00904C0F">
        <w:rPr>
          <w:rFonts w:ascii="Arial" w:hAnsi="Arial" w:cs="Arial"/>
          <w:sz w:val="22"/>
          <w:szCs w:val="22"/>
        </w:rPr>
        <w:t>étendue de la pratique de l</w:t>
      </w:r>
      <w:r w:rsidR="009C104E">
        <w:rPr>
          <w:rFonts w:ascii="Arial" w:hAnsi="Arial" w:cs="Arial"/>
          <w:sz w:val="22"/>
          <w:szCs w:val="22"/>
        </w:rPr>
        <w:t>’</w:t>
      </w:r>
      <w:r w:rsidRPr="00904C0F">
        <w:rPr>
          <w:rFonts w:ascii="Arial" w:hAnsi="Arial" w:cs="Arial"/>
          <w:sz w:val="22"/>
          <w:szCs w:val="22"/>
        </w:rPr>
        <w:t>élément ont considérablement diminué, voire disparu dans certains endroits, au fil des ans, et sa dimension spirituelle et sociale pourrait complètement disparaître au cours des prochaines décennies.</w:t>
      </w:r>
    </w:p>
    <w:p w14:paraId="1871A82E" w14:textId="3EA6591B" w:rsidR="00191F85" w:rsidRPr="00904C0F" w:rsidRDefault="00191F85" w:rsidP="009931D9">
      <w:pPr>
        <w:tabs>
          <w:tab w:val="left" w:pos="567"/>
          <w:tab w:val="left" w:pos="1134"/>
          <w:tab w:val="left" w:pos="2268"/>
        </w:tabs>
        <w:spacing w:before="120" w:after="120"/>
        <w:ind w:left="1134" w:hanging="567"/>
        <w:jc w:val="both"/>
        <w:rPr>
          <w:rFonts w:ascii="Arial" w:hAnsi="Arial" w:cs="Arial"/>
          <w:sz w:val="22"/>
          <w:szCs w:val="22"/>
        </w:rPr>
      </w:pPr>
      <w:r w:rsidRPr="00904C0F">
        <w:rPr>
          <w:rFonts w:ascii="Arial" w:hAnsi="Arial" w:cs="Arial"/>
          <w:sz w:val="22"/>
          <w:szCs w:val="22"/>
        </w:rPr>
        <w:t>U.3 :</w:t>
      </w:r>
      <w:r w:rsidR="00A82774" w:rsidRPr="00904C0F">
        <w:rPr>
          <w:rFonts w:ascii="Arial" w:hAnsi="Arial" w:cs="Arial"/>
          <w:sz w:val="22"/>
          <w:szCs w:val="22"/>
        </w:rPr>
        <w:tab/>
      </w:r>
      <w:r w:rsidRPr="00904C0F">
        <w:rPr>
          <w:rFonts w:ascii="Arial" w:hAnsi="Arial" w:cs="Arial"/>
          <w:sz w:val="22"/>
          <w:szCs w:val="22"/>
        </w:rPr>
        <w:t>Des mesures de sauvegarde passées et actuelles ont été prises pour assurer la viabilité du buklog. Celles-ci sont axées sur la transmission des connaissances liées aux rituels, ainsi que sur la promotion et la documentation de l</w:t>
      </w:r>
      <w:r w:rsidR="009C104E">
        <w:rPr>
          <w:rFonts w:ascii="Arial" w:hAnsi="Arial" w:cs="Arial"/>
          <w:sz w:val="22"/>
          <w:szCs w:val="22"/>
        </w:rPr>
        <w:t>’</w:t>
      </w:r>
      <w:r w:rsidRPr="00904C0F">
        <w:rPr>
          <w:rFonts w:ascii="Arial" w:hAnsi="Arial" w:cs="Arial"/>
          <w:sz w:val="22"/>
          <w:szCs w:val="22"/>
        </w:rPr>
        <w:t>élément, impliquant les communautés et les individus concernés. Un plan de sauvegarde complet et détaillé a été proposé par les représentants des communautés de huit municipalités, avec le soutien de plusieurs organisations. Ce plan définit clairement les objectifs et les résultats escomptés, y compris un calendrier bien structuré, un budget et des informations détaillées sur quatre stratégies prévues échelonnées sur une période de quatre ans. Ces stratégies visent à lutter contre les menaces qui pèsent sur l</w:t>
      </w:r>
      <w:r w:rsidR="009C104E">
        <w:rPr>
          <w:rFonts w:ascii="Arial" w:hAnsi="Arial" w:cs="Arial"/>
          <w:sz w:val="22"/>
          <w:szCs w:val="22"/>
        </w:rPr>
        <w:t>’</w:t>
      </w:r>
      <w:r w:rsidRPr="00904C0F">
        <w:rPr>
          <w:rFonts w:ascii="Arial" w:hAnsi="Arial" w:cs="Arial"/>
          <w:sz w:val="22"/>
          <w:szCs w:val="22"/>
        </w:rPr>
        <w:t>élément en favorisant le partage des responsabilités entre les Subanen et le gouvernement local, mais aussi en intégrant la sauvegarde du buklog dans le système politique général.</w:t>
      </w:r>
    </w:p>
    <w:p w14:paraId="5B4D9911" w14:textId="3FB9A4BA" w:rsidR="00191F85" w:rsidRPr="00904C0F" w:rsidRDefault="00191F85" w:rsidP="009931D9">
      <w:pPr>
        <w:tabs>
          <w:tab w:val="left" w:pos="567"/>
          <w:tab w:val="left" w:pos="1134"/>
          <w:tab w:val="left" w:pos="2268"/>
        </w:tabs>
        <w:spacing w:before="120" w:after="120"/>
        <w:ind w:left="1134" w:hanging="567"/>
        <w:jc w:val="both"/>
        <w:rPr>
          <w:rFonts w:ascii="Arial" w:hAnsi="Arial" w:cs="Arial"/>
          <w:sz w:val="22"/>
          <w:szCs w:val="22"/>
        </w:rPr>
      </w:pPr>
      <w:r w:rsidRPr="00904C0F">
        <w:rPr>
          <w:rFonts w:ascii="Arial" w:hAnsi="Arial" w:cs="Arial"/>
          <w:sz w:val="22"/>
          <w:szCs w:val="22"/>
        </w:rPr>
        <w:t>U.5 :</w:t>
      </w:r>
      <w:r w:rsidRPr="00904C0F">
        <w:rPr>
          <w:rFonts w:ascii="Arial" w:hAnsi="Arial" w:cs="Arial"/>
          <w:sz w:val="22"/>
          <w:szCs w:val="22"/>
        </w:rPr>
        <w:tab/>
        <w:t>L</w:t>
      </w:r>
      <w:r w:rsidR="009C104E">
        <w:rPr>
          <w:rFonts w:ascii="Arial" w:hAnsi="Arial" w:cs="Arial"/>
          <w:sz w:val="22"/>
          <w:szCs w:val="22"/>
        </w:rPr>
        <w:t>’</w:t>
      </w:r>
      <w:r w:rsidRPr="00904C0F">
        <w:rPr>
          <w:rFonts w:ascii="Arial" w:hAnsi="Arial" w:cs="Arial"/>
          <w:sz w:val="22"/>
          <w:szCs w:val="22"/>
        </w:rPr>
        <w:t>élément est inscrit à l</w:t>
      </w:r>
      <w:r w:rsidR="009C104E">
        <w:rPr>
          <w:rFonts w:ascii="Arial" w:hAnsi="Arial" w:cs="Arial"/>
          <w:sz w:val="22"/>
          <w:szCs w:val="22"/>
        </w:rPr>
        <w:t>’</w:t>
      </w:r>
      <w:r w:rsidRPr="00904C0F">
        <w:rPr>
          <w:rFonts w:ascii="Arial" w:hAnsi="Arial" w:cs="Arial"/>
          <w:sz w:val="22"/>
          <w:szCs w:val="22"/>
        </w:rPr>
        <w:t>Inventaire du patrimoine culturel immatériel des Philippines depuis 2005. La Commission nationale pour la culture et les arts des Philippines est l</w:t>
      </w:r>
      <w:r w:rsidR="009C104E">
        <w:rPr>
          <w:rFonts w:ascii="Arial" w:hAnsi="Arial" w:cs="Arial"/>
          <w:sz w:val="22"/>
          <w:szCs w:val="22"/>
        </w:rPr>
        <w:t>’</w:t>
      </w:r>
      <w:r w:rsidRPr="00904C0F">
        <w:rPr>
          <w:rFonts w:ascii="Arial" w:hAnsi="Arial" w:cs="Arial"/>
          <w:sz w:val="22"/>
          <w:szCs w:val="22"/>
        </w:rPr>
        <w:t>organe responsable de la tenue et de la mise à jour de l</w:t>
      </w:r>
      <w:r w:rsidR="009C104E">
        <w:rPr>
          <w:rFonts w:ascii="Arial" w:hAnsi="Arial" w:cs="Arial"/>
          <w:sz w:val="22"/>
          <w:szCs w:val="22"/>
        </w:rPr>
        <w:t>’</w:t>
      </w:r>
      <w:r w:rsidRPr="00904C0F">
        <w:rPr>
          <w:rFonts w:ascii="Arial" w:hAnsi="Arial" w:cs="Arial"/>
          <w:sz w:val="22"/>
          <w:szCs w:val="22"/>
        </w:rPr>
        <w:t>inventaire. Celui-ci fait l</w:t>
      </w:r>
      <w:r w:rsidR="009C104E">
        <w:rPr>
          <w:rFonts w:ascii="Arial" w:hAnsi="Arial" w:cs="Arial"/>
          <w:sz w:val="22"/>
          <w:szCs w:val="22"/>
        </w:rPr>
        <w:t>’</w:t>
      </w:r>
      <w:r w:rsidRPr="00904C0F">
        <w:rPr>
          <w:rFonts w:ascii="Arial" w:hAnsi="Arial" w:cs="Arial"/>
          <w:sz w:val="22"/>
          <w:szCs w:val="22"/>
        </w:rPr>
        <w:t>objet d</w:t>
      </w:r>
      <w:r w:rsidR="009C104E">
        <w:rPr>
          <w:rFonts w:ascii="Arial" w:hAnsi="Arial" w:cs="Arial"/>
          <w:sz w:val="22"/>
          <w:szCs w:val="22"/>
        </w:rPr>
        <w:t>’</w:t>
      </w:r>
      <w:r w:rsidRPr="00904C0F">
        <w:rPr>
          <w:rFonts w:ascii="Arial" w:hAnsi="Arial" w:cs="Arial"/>
          <w:sz w:val="22"/>
          <w:szCs w:val="22"/>
        </w:rPr>
        <w:t>une mise à jour et d</w:t>
      </w:r>
      <w:r w:rsidR="009C104E">
        <w:rPr>
          <w:rFonts w:ascii="Arial" w:hAnsi="Arial" w:cs="Arial"/>
          <w:sz w:val="22"/>
          <w:szCs w:val="22"/>
        </w:rPr>
        <w:t>’</w:t>
      </w:r>
      <w:r w:rsidRPr="00904C0F">
        <w:rPr>
          <w:rFonts w:ascii="Arial" w:hAnsi="Arial" w:cs="Arial"/>
          <w:sz w:val="22"/>
          <w:szCs w:val="22"/>
        </w:rPr>
        <w:t>une validation régulières lorsque de nouvelles données sont obtenues grâce à des recherches sur le terrain, des activités de cartographie culturelle, des consultations avec les communautés, des représentations des rituels et des vidéos réalisées à des fins de documentation.</w:t>
      </w:r>
    </w:p>
    <w:p w14:paraId="4AF60F65" w14:textId="5838CAA6" w:rsidR="00191F85" w:rsidRPr="00904C0F" w:rsidRDefault="00191F85" w:rsidP="00B932EA">
      <w:pPr>
        <w:numPr>
          <w:ilvl w:val="1"/>
          <w:numId w:val="24"/>
        </w:numPr>
        <w:tabs>
          <w:tab w:val="left" w:pos="567"/>
          <w:tab w:val="left" w:pos="1701"/>
          <w:tab w:val="left" w:pos="2268"/>
        </w:tabs>
        <w:spacing w:before="120" w:after="120"/>
        <w:ind w:left="567" w:hanging="567"/>
        <w:jc w:val="both"/>
        <w:rPr>
          <w:rFonts w:ascii="Arial" w:hAnsi="Arial" w:cs="Arial"/>
          <w:sz w:val="22"/>
          <w:szCs w:val="22"/>
        </w:rPr>
      </w:pPr>
      <w:r w:rsidRPr="00904C0F">
        <w:rPr>
          <w:rFonts w:ascii="Arial" w:hAnsi="Arial" w:cs="Arial"/>
          <w:sz w:val="22"/>
          <w:szCs w:val="22"/>
          <w:u w:val="single"/>
        </w:rPr>
        <w:t>Estime en outre</w:t>
      </w:r>
      <w:r w:rsidRPr="00904C0F">
        <w:rPr>
          <w:rFonts w:ascii="Arial" w:hAnsi="Arial" w:cs="Arial"/>
          <w:sz w:val="22"/>
          <w:szCs w:val="22"/>
        </w:rPr>
        <w:t xml:space="preserve"> que les informations contenues dans le dossier n</w:t>
      </w:r>
      <w:r w:rsidR="009C104E">
        <w:rPr>
          <w:rFonts w:ascii="Arial" w:hAnsi="Arial" w:cs="Arial"/>
          <w:sz w:val="22"/>
          <w:szCs w:val="22"/>
        </w:rPr>
        <w:t>’</w:t>
      </w:r>
      <w:r w:rsidRPr="00904C0F">
        <w:rPr>
          <w:rFonts w:ascii="Arial" w:hAnsi="Arial" w:cs="Arial"/>
          <w:sz w:val="22"/>
          <w:szCs w:val="22"/>
        </w:rPr>
        <w:t>étaient pas suffisantes pour permettre au Comité de déterminer si le critère d</w:t>
      </w:r>
      <w:r w:rsidR="009C104E">
        <w:rPr>
          <w:rFonts w:ascii="Arial" w:hAnsi="Arial" w:cs="Arial"/>
          <w:sz w:val="22"/>
          <w:szCs w:val="22"/>
        </w:rPr>
        <w:t>’</w:t>
      </w:r>
      <w:r w:rsidRPr="00904C0F">
        <w:rPr>
          <w:rFonts w:ascii="Arial" w:hAnsi="Arial" w:cs="Arial"/>
          <w:sz w:val="22"/>
          <w:szCs w:val="22"/>
        </w:rPr>
        <w:t>inscription sur la Liste du patrimoine culturel immatériel nécessitant une sauvegarde urgente suivant est satisfait :</w:t>
      </w:r>
    </w:p>
    <w:p w14:paraId="5CB976F2" w14:textId="596DF527" w:rsidR="00191F85" w:rsidRPr="00904C0F" w:rsidRDefault="00191F85" w:rsidP="009931D9">
      <w:pPr>
        <w:tabs>
          <w:tab w:val="left" w:pos="567"/>
          <w:tab w:val="left" w:pos="1134"/>
          <w:tab w:val="left" w:pos="2268"/>
        </w:tabs>
        <w:spacing w:before="120" w:after="120"/>
        <w:ind w:left="1134" w:hanging="567"/>
        <w:jc w:val="both"/>
        <w:rPr>
          <w:rFonts w:ascii="Arial" w:hAnsi="Arial" w:cs="Arial"/>
          <w:sz w:val="22"/>
          <w:szCs w:val="22"/>
        </w:rPr>
      </w:pPr>
      <w:r w:rsidRPr="00904C0F">
        <w:rPr>
          <w:rFonts w:ascii="Arial" w:hAnsi="Arial" w:cs="Arial"/>
          <w:sz w:val="22"/>
          <w:szCs w:val="22"/>
        </w:rPr>
        <w:t>U.4 :</w:t>
      </w:r>
      <w:r w:rsidRPr="00904C0F">
        <w:rPr>
          <w:rFonts w:ascii="Arial" w:hAnsi="Arial" w:cs="Arial"/>
          <w:sz w:val="22"/>
          <w:szCs w:val="22"/>
        </w:rPr>
        <w:tab/>
        <w:t>Les chefs des villages, les agents culturels au sein des communautés, les praticiens, les représentants de village, les groupes autochtones, les organisations non gouvernementales et les administrations locales ont activement participé à toutes les étapes du processus de candidature depuis 2017. Malheureusement, à une exception près, toutes les lettres de consentement font référence à la Liste représentative du patrimoine culturel immatériel de l</w:t>
      </w:r>
      <w:r w:rsidR="009C104E">
        <w:rPr>
          <w:rFonts w:ascii="Arial" w:hAnsi="Arial" w:cs="Arial"/>
          <w:sz w:val="22"/>
          <w:szCs w:val="22"/>
        </w:rPr>
        <w:t>’</w:t>
      </w:r>
      <w:r w:rsidRPr="00904C0F">
        <w:rPr>
          <w:rFonts w:ascii="Arial" w:hAnsi="Arial" w:cs="Arial"/>
          <w:sz w:val="22"/>
          <w:szCs w:val="22"/>
        </w:rPr>
        <w:t>humanité, et non pas à la Liste du patrimoine culturel immatériel nécessitant une sauvegarde urgente, ce qui est un problème majeur étant donné la grande différence qu</w:t>
      </w:r>
      <w:r w:rsidR="009C104E">
        <w:rPr>
          <w:rFonts w:ascii="Arial" w:hAnsi="Arial" w:cs="Arial"/>
          <w:sz w:val="22"/>
          <w:szCs w:val="22"/>
        </w:rPr>
        <w:t>’</w:t>
      </w:r>
      <w:r w:rsidRPr="00904C0F">
        <w:rPr>
          <w:rFonts w:ascii="Arial" w:hAnsi="Arial" w:cs="Arial"/>
          <w:sz w:val="22"/>
          <w:szCs w:val="22"/>
        </w:rPr>
        <w:t>il y a entre ces deux listes. Il n</w:t>
      </w:r>
      <w:r w:rsidR="009C104E">
        <w:rPr>
          <w:rFonts w:ascii="Arial" w:hAnsi="Arial" w:cs="Arial"/>
          <w:sz w:val="22"/>
          <w:szCs w:val="22"/>
        </w:rPr>
        <w:t>’</w:t>
      </w:r>
      <w:r w:rsidRPr="00904C0F">
        <w:rPr>
          <w:rFonts w:ascii="Arial" w:hAnsi="Arial" w:cs="Arial"/>
          <w:sz w:val="22"/>
          <w:szCs w:val="22"/>
        </w:rPr>
        <w:t>est donc pas clair si les membres des communautés étaient bien conscients des conséquences de l</w:t>
      </w:r>
      <w:r w:rsidR="009C104E">
        <w:rPr>
          <w:rFonts w:ascii="Arial" w:hAnsi="Arial" w:cs="Arial"/>
          <w:sz w:val="22"/>
          <w:szCs w:val="22"/>
        </w:rPr>
        <w:t>’</w:t>
      </w:r>
      <w:r w:rsidRPr="00904C0F">
        <w:rPr>
          <w:rFonts w:ascii="Arial" w:hAnsi="Arial" w:cs="Arial"/>
          <w:sz w:val="22"/>
          <w:szCs w:val="22"/>
        </w:rPr>
        <w:t>inscription sur la liste adéquate et reconnaissent que l</w:t>
      </w:r>
      <w:r w:rsidR="009C104E">
        <w:rPr>
          <w:rFonts w:ascii="Arial" w:hAnsi="Arial" w:cs="Arial"/>
          <w:sz w:val="22"/>
          <w:szCs w:val="22"/>
        </w:rPr>
        <w:t>’</w:t>
      </w:r>
      <w:r w:rsidRPr="00904C0F">
        <w:rPr>
          <w:rFonts w:ascii="Arial" w:hAnsi="Arial" w:cs="Arial"/>
          <w:sz w:val="22"/>
          <w:szCs w:val="22"/>
        </w:rPr>
        <w:t>élément nécessite une sauvegarde urgente.</w:t>
      </w:r>
    </w:p>
    <w:p w14:paraId="52151946" w14:textId="58D800D0" w:rsidR="00191F85" w:rsidRPr="00904C0F" w:rsidRDefault="00191F85" w:rsidP="00B932EA">
      <w:pPr>
        <w:numPr>
          <w:ilvl w:val="1"/>
          <w:numId w:val="24"/>
        </w:numPr>
        <w:tabs>
          <w:tab w:val="left" w:pos="567"/>
          <w:tab w:val="left" w:pos="1701"/>
          <w:tab w:val="left" w:pos="2268"/>
        </w:tabs>
        <w:spacing w:before="120" w:after="120"/>
        <w:ind w:left="567" w:hanging="567"/>
        <w:jc w:val="both"/>
        <w:rPr>
          <w:rFonts w:ascii="Arial" w:hAnsi="Arial" w:cs="Arial"/>
          <w:sz w:val="22"/>
          <w:szCs w:val="22"/>
        </w:rPr>
      </w:pPr>
      <w:r w:rsidRPr="00904C0F">
        <w:rPr>
          <w:rFonts w:ascii="Arial" w:hAnsi="Arial" w:cs="Arial"/>
          <w:sz w:val="22"/>
          <w:szCs w:val="22"/>
          <w:u w:val="single"/>
        </w:rPr>
        <w:t>Prend note en outre</w:t>
      </w:r>
      <w:r w:rsidRPr="00904C0F">
        <w:rPr>
          <w:rFonts w:ascii="Arial" w:hAnsi="Arial" w:cs="Arial"/>
          <w:sz w:val="22"/>
          <w:szCs w:val="22"/>
        </w:rPr>
        <w:t xml:space="preserve"> que, ayant estimé que les informations contenues dans le dossier n</w:t>
      </w:r>
      <w:r w:rsidR="009C104E">
        <w:rPr>
          <w:rFonts w:ascii="Arial" w:hAnsi="Arial" w:cs="Arial"/>
          <w:sz w:val="22"/>
          <w:szCs w:val="22"/>
        </w:rPr>
        <w:t>’</w:t>
      </w:r>
      <w:r w:rsidRPr="00904C0F">
        <w:rPr>
          <w:rFonts w:ascii="Arial" w:hAnsi="Arial" w:cs="Arial"/>
          <w:sz w:val="22"/>
          <w:szCs w:val="22"/>
        </w:rPr>
        <w:t>étaient pas suffisantes pour déterminer si le critère U.4 est satisfait et qu</w:t>
      </w:r>
      <w:r w:rsidR="009C104E">
        <w:rPr>
          <w:rFonts w:ascii="Arial" w:hAnsi="Arial" w:cs="Arial"/>
          <w:sz w:val="22"/>
          <w:szCs w:val="22"/>
        </w:rPr>
        <w:t>’</w:t>
      </w:r>
      <w:r w:rsidRPr="00904C0F">
        <w:rPr>
          <w:rFonts w:ascii="Arial" w:hAnsi="Arial" w:cs="Arial"/>
          <w:sz w:val="22"/>
          <w:szCs w:val="22"/>
        </w:rPr>
        <w:t>un court processus de questions et réponses avec l</w:t>
      </w:r>
      <w:r w:rsidR="009C104E">
        <w:rPr>
          <w:rFonts w:ascii="Arial" w:hAnsi="Arial" w:cs="Arial"/>
          <w:sz w:val="22"/>
          <w:szCs w:val="22"/>
        </w:rPr>
        <w:t>’</w:t>
      </w:r>
      <w:r w:rsidRPr="00904C0F">
        <w:rPr>
          <w:rFonts w:ascii="Arial" w:hAnsi="Arial" w:cs="Arial"/>
          <w:sz w:val="22"/>
          <w:szCs w:val="22"/>
        </w:rPr>
        <w:t>Etat soumissionnaire pourrait clarifier si la candidature remplit le critère concerné, l</w:t>
      </w:r>
      <w:r w:rsidR="009C104E">
        <w:rPr>
          <w:rFonts w:ascii="Arial" w:hAnsi="Arial" w:cs="Arial"/>
          <w:sz w:val="22"/>
          <w:szCs w:val="22"/>
        </w:rPr>
        <w:t>’</w:t>
      </w:r>
      <w:r w:rsidRPr="00904C0F">
        <w:rPr>
          <w:rFonts w:ascii="Arial" w:hAnsi="Arial" w:cs="Arial"/>
          <w:sz w:val="22"/>
          <w:szCs w:val="22"/>
        </w:rPr>
        <w:t>Organe d</w:t>
      </w:r>
      <w:r w:rsidR="009C104E">
        <w:rPr>
          <w:rFonts w:ascii="Arial" w:hAnsi="Arial" w:cs="Arial"/>
          <w:sz w:val="22"/>
          <w:szCs w:val="22"/>
        </w:rPr>
        <w:t>’</w:t>
      </w:r>
      <w:r w:rsidRPr="00904C0F">
        <w:rPr>
          <w:rFonts w:ascii="Arial" w:hAnsi="Arial" w:cs="Arial"/>
          <w:sz w:val="22"/>
          <w:szCs w:val="22"/>
        </w:rPr>
        <w:t xml:space="preserve">évaluation a décidé, conformément à la </w:t>
      </w:r>
      <w:hyperlink r:id="rId52" w:history="1">
        <w:r w:rsidRPr="00904C0F">
          <w:rPr>
            <w:rStyle w:val="Hyperlink"/>
            <w:rFonts w:ascii="Arial" w:hAnsi="Arial" w:cs="Arial"/>
            <w:sz w:val="22"/>
            <w:szCs w:val="22"/>
          </w:rPr>
          <w:t>décision 13.COM 10</w:t>
        </w:r>
      </w:hyperlink>
      <w:r w:rsidRPr="00904C0F">
        <w:rPr>
          <w:rFonts w:ascii="Arial" w:hAnsi="Arial" w:cs="Arial"/>
          <w:sz w:val="22"/>
          <w:szCs w:val="22"/>
        </w:rPr>
        <w:t>, d</w:t>
      </w:r>
      <w:r w:rsidR="009C104E">
        <w:rPr>
          <w:rFonts w:ascii="Arial" w:hAnsi="Arial" w:cs="Arial"/>
          <w:sz w:val="22"/>
          <w:szCs w:val="22"/>
        </w:rPr>
        <w:t>’</w:t>
      </w:r>
      <w:r w:rsidRPr="00904C0F">
        <w:rPr>
          <w:rFonts w:ascii="Arial" w:hAnsi="Arial" w:cs="Arial"/>
          <w:sz w:val="22"/>
          <w:szCs w:val="22"/>
        </w:rPr>
        <w:t>engager un processus de « dialogue » afin d</w:t>
      </w:r>
      <w:r w:rsidR="009C104E">
        <w:rPr>
          <w:rFonts w:ascii="Arial" w:hAnsi="Arial" w:cs="Arial"/>
          <w:sz w:val="22"/>
          <w:szCs w:val="22"/>
        </w:rPr>
        <w:t>’</w:t>
      </w:r>
      <w:r w:rsidRPr="00904C0F">
        <w:rPr>
          <w:rFonts w:ascii="Arial" w:hAnsi="Arial" w:cs="Arial"/>
          <w:sz w:val="22"/>
          <w:szCs w:val="22"/>
        </w:rPr>
        <w:t>obtenir des informations concernant la question suivante :</w:t>
      </w:r>
    </w:p>
    <w:p w14:paraId="0E7779D6" w14:textId="4591F792" w:rsidR="00191F85" w:rsidRPr="00904C0F" w:rsidRDefault="00191F85" w:rsidP="00A400B1">
      <w:pPr>
        <w:tabs>
          <w:tab w:val="left" w:pos="567"/>
        </w:tabs>
        <w:ind w:left="567"/>
        <w:jc w:val="both"/>
        <w:rPr>
          <w:rFonts w:ascii="Arial" w:hAnsi="Arial" w:cs="Arial"/>
          <w:sz w:val="22"/>
          <w:szCs w:val="22"/>
        </w:rPr>
      </w:pPr>
      <w:r w:rsidRPr="00904C0F">
        <w:rPr>
          <w:rFonts w:ascii="Arial" w:hAnsi="Arial" w:cs="Arial"/>
          <w:sz w:val="22"/>
          <w:szCs w:val="22"/>
        </w:rPr>
        <w:t>Presque toutes les lettres de consentement et de soutien à la candidature font référence à une inscription sur la Liste représentative du patrimoine culturel immatériel de l</w:t>
      </w:r>
      <w:r w:rsidR="009C104E">
        <w:rPr>
          <w:rFonts w:ascii="Arial" w:hAnsi="Arial" w:cs="Arial"/>
          <w:sz w:val="22"/>
          <w:szCs w:val="22"/>
        </w:rPr>
        <w:t>’</w:t>
      </w:r>
      <w:r w:rsidRPr="00904C0F">
        <w:rPr>
          <w:rFonts w:ascii="Arial" w:hAnsi="Arial" w:cs="Arial"/>
          <w:sz w:val="22"/>
          <w:szCs w:val="22"/>
        </w:rPr>
        <w:t>humanité. Pouvez-vous confirmer que les communautés concernées sont bel et bien informées et donnent leur accord pour l</w:t>
      </w:r>
      <w:r w:rsidR="009C104E">
        <w:rPr>
          <w:rFonts w:ascii="Arial" w:hAnsi="Arial" w:cs="Arial"/>
          <w:sz w:val="22"/>
          <w:szCs w:val="22"/>
        </w:rPr>
        <w:t>’</w:t>
      </w:r>
      <w:r w:rsidRPr="00904C0F">
        <w:rPr>
          <w:rFonts w:ascii="Arial" w:hAnsi="Arial" w:cs="Arial"/>
          <w:sz w:val="22"/>
          <w:szCs w:val="22"/>
        </w:rPr>
        <w:t>inscription de l</w:t>
      </w:r>
      <w:r w:rsidR="009C104E">
        <w:rPr>
          <w:rFonts w:ascii="Arial" w:hAnsi="Arial" w:cs="Arial"/>
          <w:sz w:val="22"/>
          <w:szCs w:val="22"/>
        </w:rPr>
        <w:t>’</w:t>
      </w:r>
      <w:r w:rsidRPr="00904C0F">
        <w:rPr>
          <w:rFonts w:ascii="Arial" w:hAnsi="Arial" w:cs="Arial"/>
          <w:sz w:val="22"/>
          <w:szCs w:val="22"/>
        </w:rPr>
        <w:t>élément sur la Liste du patrimoine culturel immatériel nécessitant une sauvegarde urgente ?</w:t>
      </w:r>
    </w:p>
    <w:p w14:paraId="1889AD55" w14:textId="4CFA3022" w:rsidR="00191F85" w:rsidRPr="00904C0F" w:rsidRDefault="00191F85" w:rsidP="00B932EA">
      <w:pPr>
        <w:numPr>
          <w:ilvl w:val="1"/>
          <w:numId w:val="24"/>
        </w:numPr>
        <w:tabs>
          <w:tab w:val="left" w:pos="567"/>
          <w:tab w:val="left" w:pos="1701"/>
          <w:tab w:val="left" w:pos="2268"/>
        </w:tabs>
        <w:spacing w:before="120" w:after="120"/>
        <w:ind w:left="567" w:hanging="567"/>
        <w:jc w:val="both"/>
        <w:rPr>
          <w:rFonts w:ascii="Arial" w:hAnsi="Arial" w:cs="Arial"/>
          <w:noProof/>
          <w:sz w:val="22"/>
          <w:szCs w:val="22"/>
        </w:rPr>
      </w:pPr>
      <w:r w:rsidRPr="00904C0F">
        <w:rPr>
          <w:rFonts w:ascii="Arial" w:hAnsi="Arial" w:cs="Arial"/>
          <w:sz w:val="22"/>
          <w:szCs w:val="22"/>
          <w:u w:val="single"/>
        </w:rPr>
        <w:t>Prend note également</w:t>
      </w:r>
      <w:r w:rsidRPr="00904C0F">
        <w:rPr>
          <w:rFonts w:ascii="Arial" w:hAnsi="Arial" w:cs="Arial"/>
          <w:sz w:val="22"/>
          <w:szCs w:val="22"/>
        </w:rPr>
        <w:t xml:space="preserve"> des informations fournies à ce sujet par l</w:t>
      </w:r>
      <w:r w:rsidR="009C104E">
        <w:rPr>
          <w:rFonts w:ascii="Arial" w:hAnsi="Arial" w:cs="Arial"/>
          <w:sz w:val="22"/>
          <w:szCs w:val="22"/>
        </w:rPr>
        <w:t>’</w:t>
      </w:r>
      <w:r w:rsidRPr="00904C0F">
        <w:rPr>
          <w:rFonts w:ascii="Arial" w:hAnsi="Arial" w:cs="Arial"/>
          <w:sz w:val="22"/>
          <w:szCs w:val="22"/>
        </w:rPr>
        <w:t>État soumissionnaire ainsi que de l</w:t>
      </w:r>
      <w:r w:rsidR="009C104E">
        <w:rPr>
          <w:rFonts w:ascii="Arial" w:hAnsi="Arial" w:cs="Arial"/>
          <w:sz w:val="22"/>
          <w:szCs w:val="22"/>
        </w:rPr>
        <w:t>’</w:t>
      </w:r>
      <w:r w:rsidRPr="00904C0F">
        <w:rPr>
          <w:rFonts w:ascii="Arial" w:hAnsi="Arial" w:cs="Arial"/>
          <w:sz w:val="22"/>
          <w:szCs w:val="22"/>
        </w:rPr>
        <w:t>avis ultérieur de l</w:t>
      </w:r>
      <w:r w:rsidR="009C104E">
        <w:rPr>
          <w:rFonts w:ascii="Arial" w:hAnsi="Arial" w:cs="Arial"/>
          <w:sz w:val="22"/>
          <w:szCs w:val="22"/>
        </w:rPr>
        <w:t>’</w:t>
      </w:r>
      <w:r w:rsidRPr="00904C0F">
        <w:rPr>
          <w:rFonts w:ascii="Arial" w:hAnsi="Arial" w:cs="Arial"/>
          <w:sz w:val="22"/>
          <w:szCs w:val="22"/>
        </w:rPr>
        <w:t>Organe d</w:t>
      </w:r>
      <w:r w:rsidR="009C104E">
        <w:rPr>
          <w:rFonts w:ascii="Arial" w:hAnsi="Arial" w:cs="Arial"/>
          <w:sz w:val="22"/>
          <w:szCs w:val="22"/>
        </w:rPr>
        <w:t>’</w:t>
      </w:r>
      <w:r w:rsidRPr="00904C0F">
        <w:rPr>
          <w:rFonts w:ascii="Arial" w:hAnsi="Arial" w:cs="Arial"/>
          <w:sz w:val="22"/>
          <w:szCs w:val="22"/>
        </w:rPr>
        <w:t>évaluation, tel qu</w:t>
      </w:r>
      <w:r w:rsidR="009C104E">
        <w:rPr>
          <w:rFonts w:ascii="Arial" w:hAnsi="Arial" w:cs="Arial"/>
          <w:sz w:val="22"/>
          <w:szCs w:val="22"/>
        </w:rPr>
        <w:t>’</w:t>
      </w:r>
      <w:r w:rsidRPr="00904C0F">
        <w:rPr>
          <w:rFonts w:ascii="Arial" w:hAnsi="Arial" w:cs="Arial"/>
          <w:sz w:val="22"/>
          <w:szCs w:val="22"/>
        </w:rPr>
        <w:t xml:space="preserve">il figure dans le document </w:t>
      </w:r>
      <w:hyperlink r:id="rId53" w:history="1">
        <w:r w:rsidRPr="00904C0F">
          <w:rPr>
            <w:rStyle w:val="Hyperlink"/>
            <w:rFonts w:ascii="Arial" w:hAnsi="Arial" w:cs="Arial"/>
            <w:sz w:val="22"/>
            <w:szCs w:val="22"/>
          </w:rPr>
          <w:t>LHE/19/14.COM/INF.10</w:t>
        </w:r>
      </w:hyperlink>
      <w:r w:rsidRPr="00904C0F">
        <w:rPr>
          <w:rFonts w:ascii="Arial" w:hAnsi="Arial" w:cs="Arial"/>
          <w:sz w:val="22"/>
          <w:szCs w:val="22"/>
        </w:rPr>
        <w:t>, selon lequel la réponse fournie répond de manière adéquate à la question (incluse au paragraphe 4)</w:t>
      </w:r>
      <w:r w:rsidR="00A82774">
        <w:rPr>
          <w:rFonts w:ascii="Arial" w:hAnsi="Arial" w:cs="Arial"/>
          <w:sz w:val="22"/>
          <w:szCs w:val="22"/>
        </w:rPr>
        <w:t> </w:t>
      </w:r>
      <w:r w:rsidRPr="00904C0F">
        <w:rPr>
          <w:rFonts w:ascii="Arial" w:hAnsi="Arial" w:cs="Arial"/>
          <w:sz w:val="22"/>
          <w:szCs w:val="22"/>
        </w:rPr>
        <w:t>;</w:t>
      </w:r>
    </w:p>
    <w:p w14:paraId="38EBF5A6" w14:textId="700E3F65" w:rsidR="00191F85" w:rsidRPr="00904C0F" w:rsidRDefault="00191F85" w:rsidP="00B932EA">
      <w:pPr>
        <w:numPr>
          <w:ilvl w:val="1"/>
          <w:numId w:val="24"/>
        </w:numPr>
        <w:tabs>
          <w:tab w:val="left" w:pos="567"/>
          <w:tab w:val="left" w:pos="1701"/>
          <w:tab w:val="left" w:pos="2268"/>
        </w:tabs>
        <w:spacing w:before="120" w:after="120"/>
        <w:ind w:left="567" w:hanging="567"/>
        <w:jc w:val="both"/>
        <w:rPr>
          <w:rFonts w:ascii="Arial" w:hAnsi="Arial" w:cs="Arial"/>
          <w:sz w:val="22"/>
          <w:szCs w:val="22"/>
        </w:rPr>
      </w:pPr>
      <w:r w:rsidRPr="00904C0F">
        <w:rPr>
          <w:rFonts w:ascii="Arial" w:hAnsi="Arial" w:cs="Arial"/>
          <w:sz w:val="22"/>
          <w:szCs w:val="22"/>
          <w:u w:val="single"/>
        </w:rPr>
        <w:t>Considère</w:t>
      </w:r>
      <w:r w:rsidRPr="00904C0F">
        <w:rPr>
          <w:rFonts w:ascii="Arial" w:hAnsi="Arial" w:cs="Arial"/>
          <w:sz w:val="22"/>
          <w:szCs w:val="22"/>
        </w:rPr>
        <w:t xml:space="preserve"> que les informations contenues dans le dossier et les informations fournies par l</w:t>
      </w:r>
      <w:r w:rsidR="009C104E">
        <w:rPr>
          <w:rFonts w:ascii="Arial" w:hAnsi="Arial" w:cs="Arial"/>
          <w:sz w:val="22"/>
          <w:szCs w:val="22"/>
        </w:rPr>
        <w:t>’</w:t>
      </w:r>
      <w:r w:rsidRPr="00904C0F">
        <w:rPr>
          <w:rFonts w:ascii="Arial" w:hAnsi="Arial" w:cs="Arial"/>
          <w:sz w:val="22"/>
          <w:szCs w:val="22"/>
        </w:rPr>
        <w:t>État soumissionnaire dans le cadre du processus de « dialogue », ainsi que l</w:t>
      </w:r>
      <w:r w:rsidR="009C104E">
        <w:rPr>
          <w:rFonts w:ascii="Arial" w:hAnsi="Arial" w:cs="Arial"/>
          <w:sz w:val="22"/>
          <w:szCs w:val="22"/>
        </w:rPr>
        <w:t>’</w:t>
      </w:r>
      <w:r w:rsidRPr="00904C0F">
        <w:rPr>
          <w:rFonts w:ascii="Arial" w:hAnsi="Arial" w:cs="Arial"/>
          <w:sz w:val="22"/>
          <w:szCs w:val="22"/>
        </w:rPr>
        <w:t>avis ultérieur de l</w:t>
      </w:r>
      <w:r w:rsidR="009C104E">
        <w:rPr>
          <w:rFonts w:ascii="Arial" w:hAnsi="Arial" w:cs="Arial"/>
          <w:sz w:val="22"/>
          <w:szCs w:val="22"/>
        </w:rPr>
        <w:t>’</w:t>
      </w:r>
      <w:r w:rsidRPr="00904C0F">
        <w:rPr>
          <w:rFonts w:ascii="Arial" w:hAnsi="Arial" w:cs="Arial"/>
          <w:sz w:val="22"/>
          <w:szCs w:val="22"/>
        </w:rPr>
        <w:t>Organe d</w:t>
      </w:r>
      <w:r w:rsidR="009C104E">
        <w:rPr>
          <w:rFonts w:ascii="Arial" w:hAnsi="Arial" w:cs="Arial"/>
          <w:sz w:val="22"/>
          <w:szCs w:val="22"/>
        </w:rPr>
        <w:t>’</w:t>
      </w:r>
      <w:r w:rsidRPr="00904C0F">
        <w:rPr>
          <w:rFonts w:ascii="Arial" w:hAnsi="Arial" w:cs="Arial"/>
          <w:sz w:val="22"/>
          <w:szCs w:val="22"/>
        </w:rPr>
        <w:t>évaluation, ne sont pas suffisants pour déterminer si le critère U.4 est satisfait ;</w:t>
      </w:r>
    </w:p>
    <w:p w14:paraId="4F3BBBE4" w14:textId="209665D7" w:rsidR="00191F85" w:rsidRPr="00904C0F" w:rsidRDefault="00191F85" w:rsidP="00B932EA">
      <w:pPr>
        <w:numPr>
          <w:ilvl w:val="1"/>
          <w:numId w:val="24"/>
        </w:numPr>
        <w:tabs>
          <w:tab w:val="left" w:pos="567"/>
          <w:tab w:val="left" w:pos="1701"/>
          <w:tab w:val="left" w:pos="2268"/>
        </w:tabs>
        <w:spacing w:before="120" w:after="120"/>
        <w:ind w:left="567" w:hanging="567"/>
        <w:jc w:val="both"/>
        <w:rPr>
          <w:rFonts w:ascii="Arial" w:hAnsi="Arial" w:cs="Arial"/>
          <w:b/>
          <w:sz w:val="22"/>
          <w:szCs w:val="22"/>
        </w:rPr>
      </w:pPr>
      <w:r w:rsidRPr="00904C0F">
        <w:rPr>
          <w:rFonts w:ascii="Arial" w:hAnsi="Arial" w:cs="Arial"/>
          <w:sz w:val="22"/>
          <w:szCs w:val="22"/>
          <w:u w:val="single"/>
        </w:rPr>
        <w:t xml:space="preserve">Décide </w:t>
      </w:r>
      <w:r w:rsidR="00A82774">
        <w:rPr>
          <w:rFonts w:ascii="Arial" w:hAnsi="Arial" w:cs="Arial"/>
          <w:sz w:val="22"/>
          <w:szCs w:val="22"/>
          <w:u w:val="single"/>
        </w:rPr>
        <w:t>d</w:t>
      </w:r>
      <w:r w:rsidR="009C104E">
        <w:rPr>
          <w:rFonts w:ascii="Arial" w:hAnsi="Arial" w:cs="Arial"/>
          <w:sz w:val="22"/>
          <w:szCs w:val="22"/>
          <w:u w:val="single"/>
        </w:rPr>
        <w:t>’</w:t>
      </w:r>
      <w:r w:rsidR="00A82774">
        <w:rPr>
          <w:rFonts w:ascii="Arial" w:hAnsi="Arial" w:cs="Arial"/>
          <w:sz w:val="22"/>
          <w:szCs w:val="22"/>
          <w:u w:val="single"/>
        </w:rPr>
        <w:t>inscrire</w:t>
      </w:r>
      <w:r w:rsidRPr="00904C0F">
        <w:rPr>
          <w:rFonts w:ascii="Arial" w:hAnsi="Arial" w:cs="Arial"/>
          <w:sz w:val="22"/>
          <w:szCs w:val="22"/>
        </w:rPr>
        <w:t xml:space="preserve"> </w:t>
      </w:r>
      <w:r w:rsidR="00A82774">
        <w:rPr>
          <w:rFonts w:ascii="Arial" w:hAnsi="Arial" w:cs="Arial"/>
          <w:b/>
          <w:sz w:val="22"/>
          <w:szCs w:val="22"/>
        </w:rPr>
        <w:t>le</w:t>
      </w:r>
      <w:r w:rsidRPr="00904C0F">
        <w:rPr>
          <w:rFonts w:ascii="Arial" w:hAnsi="Arial" w:cs="Arial"/>
          <w:b/>
          <w:sz w:val="22"/>
          <w:szCs w:val="22"/>
        </w:rPr>
        <w:t xml:space="preserve"> Buklog, système de rituels de gratitude des Subanen</w:t>
      </w:r>
      <w:r w:rsidRPr="00904C0F">
        <w:rPr>
          <w:rFonts w:ascii="Arial" w:hAnsi="Arial" w:cs="Arial"/>
          <w:b/>
          <w:bCs/>
          <w:sz w:val="22"/>
          <w:szCs w:val="22"/>
        </w:rPr>
        <w:t xml:space="preserve"> </w:t>
      </w:r>
      <w:r w:rsidR="00A82774">
        <w:rPr>
          <w:rFonts w:ascii="Arial" w:hAnsi="Arial" w:cs="Arial"/>
          <w:sz w:val="22"/>
          <w:szCs w:val="22"/>
        </w:rPr>
        <w:t>sur la Liste du patrimoine culturel immatériel nécessitant une sauvegarde urgente</w:t>
      </w:r>
      <w:r w:rsidRPr="00904C0F">
        <w:rPr>
          <w:rFonts w:ascii="Arial" w:hAnsi="Arial" w:cs="Arial"/>
          <w:sz w:val="22"/>
          <w:szCs w:val="22"/>
        </w:rPr>
        <w:t>.</w:t>
      </w:r>
    </w:p>
    <w:p w14:paraId="41A40AD2" w14:textId="206B08D8" w:rsidR="00191F85" w:rsidRPr="00A400B1" w:rsidRDefault="00191F85" w:rsidP="00771F30">
      <w:pPr>
        <w:pStyle w:val="Heading2"/>
        <w:keepLines/>
        <w:numPr>
          <w:ilvl w:val="0"/>
          <w:numId w:val="24"/>
        </w:numPr>
        <w:spacing w:before="360" w:after="120"/>
        <w:ind w:left="426" w:hanging="426"/>
        <w:rPr>
          <w:rFonts w:ascii="Arial" w:hAnsi="Arial" w:cs="Arial"/>
          <w:b w:val="0"/>
          <w:i w:val="0"/>
          <w:sz w:val="22"/>
          <w:szCs w:val="22"/>
          <w:highlight w:val="yellow"/>
        </w:rPr>
      </w:pPr>
      <w:bookmarkStart w:id="3" w:name="_PROJET_DE_DÉCISION_3"/>
      <w:bookmarkEnd w:id="3"/>
      <w:r w:rsidRPr="00C27207">
        <w:rPr>
          <w:rFonts w:ascii="Arial" w:hAnsi="Arial" w:cs="Arial"/>
          <w:i w:val="0"/>
          <w:sz w:val="22"/>
          <w:szCs w:val="22"/>
        </w:rPr>
        <w:t>DÉCISION 14.COM 10.a.5</w:t>
      </w:r>
    </w:p>
    <w:p w14:paraId="4D3FF0D5" w14:textId="77777777" w:rsidR="00191F85" w:rsidRPr="00904C0F" w:rsidRDefault="00191F85" w:rsidP="009931D9">
      <w:pPr>
        <w:keepNext/>
        <w:tabs>
          <w:tab w:val="left" w:pos="567"/>
          <w:tab w:val="left" w:pos="1134"/>
          <w:tab w:val="left" w:pos="1701"/>
          <w:tab w:val="left" w:pos="2268"/>
        </w:tabs>
        <w:spacing w:before="120" w:after="120"/>
        <w:ind w:left="426" w:hanging="426"/>
        <w:jc w:val="both"/>
        <w:rPr>
          <w:rFonts w:ascii="Arial" w:hAnsi="Arial" w:cs="Arial"/>
          <w:sz w:val="22"/>
          <w:szCs w:val="22"/>
        </w:rPr>
      </w:pPr>
      <w:r w:rsidRPr="00904C0F">
        <w:rPr>
          <w:rFonts w:ascii="Arial" w:hAnsi="Arial" w:cs="Arial"/>
          <w:sz w:val="22"/>
          <w:szCs w:val="22"/>
        </w:rPr>
        <w:t>Le Comité,</w:t>
      </w:r>
    </w:p>
    <w:p w14:paraId="2906ED5A" w14:textId="77777777" w:rsidR="00191F85" w:rsidRPr="00904C0F" w:rsidRDefault="00191F85" w:rsidP="00771F30">
      <w:pPr>
        <w:numPr>
          <w:ilvl w:val="1"/>
          <w:numId w:val="24"/>
        </w:numPr>
        <w:tabs>
          <w:tab w:val="left" w:pos="1134"/>
          <w:tab w:val="left" w:pos="1701"/>
          <w:tab w:val="left" w:pos="2268"/>
        </w:tabs>
        <w:spacing w:before="120" w:after="120"/>
        <w:ind w:left="567" w:hanging="567"/>
        <w:jc w:val="both"/>
        <w:rPr>
          <w:rFonts w:ascii="Arial" w:hAnsi="Arial" w:cs="Arial"/>
          <w:sz w:val="22"/>
          <w:szCs w:val="22"/>
        </w:rPr>
      </w:pPr>
      <w:r w:rsidRPr="00904C0F">
        <w:rPr>
          <w:rFonts w:ascii="Arial" w:hAnsi="Arial" w:cs="Arial"/>
          <w:sz w:val="22"/>
          <w:szCs w:val="22"/>
          <w:u w:val="single"/>
        </w:rPr>
        <w:t>Prend note</w:t>
      </w:r>
      <w:r w:rsidRPr="00904C0F">
        <w:rPr>
          <w:rFonts w:ascii="Arial" w:hAnsi="Arial" w:cs="Arial"/>
          <w:sz w:val="22"/>
          <w:szCs w:val="22"/>
        </w:rPr>
        <w:t xml:space="preserve"> que le Bélarus a proposé la candidature </w:t>
      </w:r>
      <w:r w:rsidRPr="00904C0F">
        <w:rPr>
          <w:rFonts w:ascii="Arial" w:hAnsi="Arial" w:cs="Arial"/>
          <w:b/>
          <w:sz w:val="22"/>
          <w:szCs w:val="22"/>
        </w:rPr>
        <w:t xml:space="preserve">du </w:t>
      </w:r>
      <w:r w:rsidRPr="00904C0F">
        <w:rPr>
          <w:rFonts w:ascii="Arial" w:hAnsi="Arial" w:cs="Arial"/>
          <w:b/>
          <w:bCs/>
          <w:sz w:val="22"/>
          <w:szCs w:val="22"/>
        </w:rPr>
        <w:t>rite du printemps de Juraǔski Karahod</w:t>
      </w:r>
      <w:r w:rsidRPr="00904C0F">
        <w:rPr>
          <w:rFonts w:ascii="Arial" w:hAnsi="Arial" w:cs="Arial"/>
          <w:sz w:val="22"/>
          <w:szCs w:val="22"/>
        </w:rPr>
        <w:t xml:space="preserve"> (n° 01458) pour inscription sur la Liste du patrimoine culturel immatériel nécessitant une sauvegarde urgente :</w:t>
      </w:r>
    </w:p>
    <w:p w14:paraId="09CC6499" w14:textId="1D3377C1" w:rsidR="00191F85" w:rsidRPr="00904C0F" w:rsidRDefault="009931D9" w:rsidP="009931D9">
      <w:pPr>
        <w:tabs>
          <w:tab w:val="left" w:pos="1134"/>
          <w:tab w:val="left" w:pos="1701"/>
          <w:tab w:val="left" w:pos="2268"/>
        </w:tabs>
        <w:spacing w:before="120" w:after="120"/>
        <w:ind w:left="567" w:hanging="567"/>
        <w:jc w:val="both"/>
        <w:rPr>
          <w:rFonts w:ascii="Arial" w:hAnsi="Arial" w:cs="Arial"/>
          <w:sz w:val="22"/>
          <w:szCs w:val="22"/>
        </w:rPr>
      </w:pPr>
      <w:r>
        <w:rPr>
          <w:rFonts w:ascii="Arial" w:hAnsi="Arial" w:cs="Arial"/>
          <w:sz w:val="22"/>
          <w:szCs w:val="22"/>
        </w:rPr>
        <w:tab/>
      </w:r>
      <w:r w:rsidR="00191F85" w:rsidRPr="00904C0F">
        <w:rPr>
          <w:rFonts w:ascii="Arial" w:hAnsi="Arial" w:cs="Arial"/>
          <w:sz w:val="22"/>
          <w:szCs w:val="22"/>
        </w:rPr>
        <w:t>Le rite du printemps de Juraǔski Karahod est pratiqué par les habitants du village de Pahost le jour de la Saint-Georges, saint patron du bétail et de l</w:t>
      </w:r>
      <w:r w:rsidR="009C104E">
        <w:rPr>
          <w:rFonts w:ascii="Arial" w:hAnsi="Arial" w:cs="Arial"/>
          <w:sz w:val="22"/>
          <w:szCs w:val="22"/>
        </w:rPr>
        <w:t>’</w:t>
      </w:r>
      <w:r w:rsidR="00191F85" w:rsidRPr="00904C0F">
        <w:rPr>
          <w:rFonts w:ascii="Arial" w:hAnsi="Arial" w:cs="Arial"/>
          <w:sz w:val="22"/>
          <w:szCs w:val="22"/>
        </w:rPr>
        <w:t>agriculture pour les Bélarusses. À Pahost, cette fête donne lieu à un rite spécifique associé à diverses activités cérémonielles, chants, jeux, présages et croyances. Traditionnellement, le rituel comporte deux phases. La première phase se déroule dans la cour : les animaux sont conduits hors de l</w:t>
      </w:r>
      <w:r w:rsidR="009C104E">
        <w:rPr>
          <w:rFonts w:ascii="Arial" w:hAnsi="Arial" w:cs="Arial"/>
          <w:sz w:val="22"/>
          <w:szCs w:val="22"/>
        </w:rPr>
        <w:t>’</w:t>
      </w:r>
      <w:r w:rsidR="00191F85" w:rsidRPr="00904C0F">
        <w:rPr>
          <w:rFonts w:ascii="Arial" w:hAnsi="Arial" w:cs="Arial"/>
          <w:sz w:val="22"/>
          <w:szCs w:val="22"/>
        </w:rPr>
        <w:t>étable pour la première fois après l</w:t>
      </w:r>
      <w:r w:rsidR="009C104E">
        <w:rPr>
          <w:rFonts w:ascii="Arial" w:hAnsi="Arial" w:cs="Arial"/>
          <w:sz w:val="22"/>
          <w:szCs w:val="22"/>
        </w:rPr>
        <w:t>’</w:t>
      </w:r>
      <w:r w:rsidR="00191F85" w:rsidRPr="00904C0F">
        <w:rPr>
          <w:rFonts w:ascii="Arial" w:hAnsi="Arial" w:cs="Arial"/>
          <w:sz w:val="22"/>
          <w:szCs w:val="22"/>
        </w:rPr>
        <w:t>hiver, et plusieurs rituels sont accomplis afin de les protéger. La seconde phase est associée à la tradition agricole. Elle commence la veille de la fête, avec la fabrication du pain cérémoniel appelé « Karahod » et du pain noir (sacrificiel). Le lendemain, les villageois se rendent dans un champ, emportant avec eux une nappe cérémonielle, le pain et une étoile à huit branches. Les femmes qui interprètent des chants cérémoniels et les hommes qui portent le « karahod » forment une ronde et continuent à chanter. Puis un morceau de pain noir est enterré au son d</w:t>
      </w:r>
      <w:r w:rsidR="009C104E">
        <w:rPr>
          <w:rFonts w:ascii="Arial" w:hAnsi="Arial" w:cs="Arial"/>
          <w:sz w:val="22"/>
          <w:szCs w:val="22"/>
        </w:rPr>
        <w:t>’</w:t>
      </w:r>
      <w:r w:rsidR="00191F85" w:rsidRPr="00904C0F">
        <w:rPr>
          <w:rFonts w:ascii="Arial" w:hAnsi="Arial" w:cs="Arial"/>
          <w:sz w:val="22"/>
          <w:szCs w:val="22"/>
        </w:rPr>
        <w:t>une prière adressée à Dieu pour obtenir de bonnes récoltes. Les participants rentrent ensuite au village et distribuent des morceaux du pain du rituel à tous les habitants. Les festivités se poursuivent jusqu</w:t>
      </w:r>
      <w:r w:rsidR="009C104E">
        <w:rPr>
          <w:rFonts w:ascii="Arial" w:hAnsi="Arial" w:cs="Arial"/>
          <w:sz w:val="22"/>
          <w:szCs w:val="22"/>
        </w:rPr>
        <w:t>’</w:t>
      </w:r>
      <w:r w:rsidR="00191F85" w:rsidRPr="00904C0F">
        <w:rPr>
          <w:rFonts w:ascii="Arial" w:hAnsi="Arial" w:cs="Arial"/>
          <w:sz w:val="22"/>
          <w:szCs w:val="22"/>
        </w:rPr>
        <w:t>au soir. Malgré les efforts concertés de la communauté pour sauvegarder l</w:t>
      </w:r>
      <w:r w:rsidR="009C104E">
        <w:rPr>
          <w:rFonts w:ascii="Arial" w:hAnsi="Arial" w:cs="Arial"/>
          <w:sz w:val="22"/>
          <w:szCs w:val="22"/>
        </w:rPr>
        <w:t>’</w:t>
      </w:r>
      <w:r w:rsidR="00191F85" w:rsidRPr="00904C0F">
        <w:rPr>
          <w:rFonts w:ascii="Arial" w:hAnsi="Arial" w:cs="Arial"/>
          <w:sz w:val="22"/>
          <w:szCs w:val="22"/>
        </w:rPr>
        <w:t>élément, sa viabilité est aujourd</w:t>
      </w:r>
      <w:r w:rsidR="009C104E">
        <w:rPr>
          <w:rFonts w:ascii="Arial" w:hAnsi="Arial" w:cs="Arial"/>
          <w:sz w:val="22"/>
          <w:szCs w:val="22"/>
        </w:rPr>
        <w:t>’</w:t>
      </w:r>
      <w:r w:rsidR="00191F85" w:rsidRPr="00904C0F">
        <w:rPr>
          <w:rFonts w:ascii="Arial" w:hAnsi="Arial" w:cs="Arial"/>
          <w:sz w:val="22"/>
          <w:szCs w:val="22"/>
        </w:rPr>
        <w:t>hui menacée par plusieurs facteurs, parmi lesquels le vieillissement de la population de Pahost, le manque d</w:t>
      </w:r>
      <w:r w:rsidR="009C104E">
        <w:rPr>
          <w:rFonts w:ascii="Arial" w:hAnsi="Arial" w:cs="Arial"/>
          <w:sz w:val="22"/>
          <w:szCs w:val="22"/>
        </w:rPr>
        <w:t>’</w:t>
      </w:r>
      <w:r w:rsidR="00191F85" w:rsidRPr="00904C0F">
        <w:rPr>
          <w:rFonts w:ascii="Arial" w:hAnsi="Arial" w:cs="Arial"/>
          <w:sz w:val="22"/>
          <w:szCs w:val="22"/>
        </w:rPr>
        <w:t>opportunités professionnelles dans le village, la mondialisation, la folklorisation de l</w:t>
      </w:r>
      <w:r w:rsidR="009C104E">
        <w:rPr>
          <w:rFonts w:ascii="Arial" w:hAnsi="Arial" w:cs="Arial"/>
          <w:sz w:val="22"/>
          <w:szCs w:val="22"/>
        </w:rPr>
        <w:t>’</w:t>
      </w:r>
      <w:r w:rsidR="00191F85" w:rsidRPr="00904C0F">
        <w:rPr>
          <w:rFonts w:ascii="Arial" w:hAnsi="Arial" w:cs="Arial"/>
          <w:sz w:val="22"/>
          <w:szCs w:val="22"/>
        </w:rPr>
        <w:t>élément et la situation socio-économique de la région.</w:t>
      </w:r>
    </w:p>
    <w:p w14:paraId="013BFF54" w14:textId="577026C3" w:rsidR="00191F85" w:rsidRPr="00904C0F" w:rsidRDefault="00191F85" w:rsidP="00771F30">
      <w:pPr>
        <w:numPr>
          <w:ilvl w:val="1"/>
          <w:numId w:val="24"/>
        </w:numPr>
        <w:tabs>
          <w:tab w:val="left" w:pos="1134"/>
          <w:tab w:val="left" w:pos="1701"/>
          <w:tab w:val="left" w:pos="2268"/>
        </w:tabs>
        <w:spacing w:before="120" w:after="120"/>
        <w:ind w:left="567" w:hanging="567"/>
        <w:jc w:val="both"/>
        <w:rPr>
          <w:rFonts w:ascii="Arial" w:hAnsi="Arial" w:cs="Arial"/>
          <w:sz w:val="22"/>
          <w:szCs w:val="22"/>
        </w:rPr>
      </w:pPr>
      <w:r w:rsidRPr="00904C0F">
        <w:rPr>
          <w:rFonts w:ascii="Arial" w:hAnsi="Arial" w:cs="Arial"/>
          <w:sz w:val="22"/>
          <w:szCs w:val="22"/>
          <w:u w:val="single"/>
        </w:rPr>
        <w:t>Estime</w:t>
      </w:r>
      <w:r w:rsidRPr="00904C0F">
        <w:rPr>
          <w:rFonts w:ascii="Arial" w:hAnsi="Arial" w:cs="Arial"/>
          <w:sz w:val="22"/>
          <w:szCs w:val="22"/>
        </w:rPr>
        <w:t xml:space="preserve"> que, d</w:t>
      </w:r>
      <w:r w:rsidR="009C104E">
        <w:rPr>
          <w:rFonts w:ascii="Arial" w:hAnsi="Arial" w:cs="Arial"/>
          <w:sz w:val="22"/>
          <w:szCs w:val="22"/>
        </w:rPr>
        <w:t>’</w:t>
      </w:r>
      <w:r w:rsidRPr="00904C0F">
        <w:rPr>
          <w:rFonts w:ascii="Arial" w:hAnsi="Arial" w:cs="Arial"/>
          <w:sz w:val="22"/>
          <w:szCs w:val="22"/>
        </w:rPr>
        <w:t>après les informations contenues dans le dossier, la candidature satisfait aux critères d</w:t>
      </w:r>
      <w:r w:rsidR="009C104E">
        <w:rPr>
          <w:rFonts w:ascii="Arial" w:hAnsi="Arial" w:cs="Arial"/>
          <w:sz w:val="22"/>
          <w:szCs w:val="22"/>
        </w:rPr>
        <w:t>’</w:t>
      </w:r>
      <w:r w:rsidRPr="00904C0F">
        <w:rPr>
          <w:rFonts w:ascii="Arial" w:hAnsi="Arial" w:cs="Arial"/>
          <w:sz w:val="22"/>
          <w:szCs w:val="22"/>
        </w:rPr>
        <w:t>inscription sur la Liste du patrimoine culturel immatériel nécessitant une sauvegarde urgente comme suit :</w:t>
      </w:r>
    </w:p>
    <w:p w14:paraId="75BEE067" w14:textId="1647010F" w:rsidR="00191F85" w:rsidRPr="00904C0F" w:rsidRDefault="00191F85" w:rsidP="009931D9">
      <w:pPr>
        <w:tabs>
          <w:tab w:val="left" w:pos="567"/>
          <w:tab w:val="left" w:pos="1134"/>
          <w:tab w:val="left" w:pos="2268"/>
        </w:tabs>
        <w:spacing w:before="120" w:after="120"/>
        <w:ind w:left="1134" w:hanging="567"/>
        <w:jc w:val="both"/>
        <w:rPr>
          <w:rFonts w:ascii="Arial" w:hAnsi="Arial" w:cs="Arial"/>
          <w:sz w:val="22"/>
          <w:szCs w:val="22"/>
        </w:rPr>
      </w:pPr>
      <w:r w:rsidRPr="00904C0F">
        <w:rPr>
          <w:rFonts w:ascii="Arial" w:hAnsi="Arial" w:cs="Arial"/>
          <w:sz w:val="22"/>
          <w:szCs w:val="22"/>
        </w:rPr>
        <w:t>U.1 :</w:t>
      </w:r>
      <w:r w:rsidR="003A580C" w:rsidRPr="003A580C">
        <w:rPr>
          <w:rFonts w:ascii="Arial" w:hAnsi="Arial" w:cs="Arial"/>
          <w:sz w:val="22"/>
          <w:szCs w:val="22"/>
        </w:rPr>
        <w:t xml:space="preserve"> </w:t>
      </w:r>
      <w:r w:rsidR="003A580C" w:rsidRPr="00904C0F">
        <w:rPr>
          <w:rFonts w:ascii="Arial" w:hAnsi="Arial" w:cs="Arial"/>
          <w:sz w:val="22"/>
          <w:szCs w:val="22"/>
        </w:rPr>
        <w:tab/>
      </w:r>
      <w:r w:rsidRPr="00904C0F">
        <w:rPr>
          <w:rFonts w:ascii="Arial" w:hAnsi="Arial" w:cs="Arial"/>
          <w:sz w:val="22"/>
          <w:szCs w:val="22"/>
        </w:rPr>
        <w:t>Le rite du printemps de Juraǔski Karahod a des fonctions et des significations importantes liées aux croyances religieuses de la communauté, qui forment le cœur de la vie culturelle du village de Pahost. Il apprend aux jeunes à respecter les coutumes de leurs ancêtres, et procure aux praticiens l</w:t>
      </w:r>
      <w:r w:rsidR="009C104E">
        <w:rPr>
          <w:rFonts w:ascii="Arial" w:hAnsi="Arial" w:cs="Arial"/>
          <w:sz w:val="22"/>
          <w:szCs w:val="22"/>
        </w:rPr>
        <w:t>’</w:t>
      </w:r>
      <w:r w:rsidRPr="00904C0F">
        <w:rPr>
          <w:rFonts w:ascii="Arial" w:hAnsi="Arial" w:cs="Arial"/>
          <w:sz w:val="22"/>
          <w:szCs w:val="22"/>
        </w:rPr>
        <w:t>espoir d</w:t>
      </w:r>
      <w:r w:rsidR="009C104E">
        <w:rPr>
          <w:rFonts w:ascii="Arial" w:hAnsi="Arial" w:cs="Arial"/>
          <w:sz w:val="22"/>
          <w:szCs w:val="22"/>
        </w:rPr>
        <w:t>’</w:t>
      </w:r>
      <w:r w:rsidRPr="00904C0F">
        <w:rPr>
          <w:rFonts w:ascii="Arial" w:hAnsi="Arial" w:cs="Arial"/>
          <w:sz w:val="22"/>
          <w:szCs w:val="22"/>
        </w:rPr>
        <w:t>un avenir prospère, un sentiment de cohésion sociale et de bénédiction religieuse. Sa pratique renforce les liens entre les individus et leur environnement, mais aussi entre les jeunes et les membres plus âgés de la communauté. La transmission se fait dans le cadre familial et par des apprentissages informels au sein même de la communauté : tout au long de l</w:t>
      </w:r>
      <w:r w:rsidR="009C104E">
        <w:rPr>
          <w:rFonts w:ascii="Arial" w:hAnsi="Arial" w:cs="Arial"/>
          <w:sz w:val="22"/>
          <w:szCs w:val="22"/>
        </w:rPr>
        <w:t>’</w:t>
      </w:r>
      <w:r w:rsidRPr="00904C0F">
        <w:rPr>
          <w:rFonts w:ascii="Arial" w:hAnsi="Arial" w:cs="Arial"/>
          <w:sz w:val="22"/>
          <w:szCs w:val="22"/>
        </w:rPr>
        <w:t>année, les femmes âgées aident les jeunes à découvrir des rituels et à acquérir les savoir-faire créatifs associés.</w:t>
      </w:r>
    </w:p>
    <w:p w14:paraId="36B3B3AD" w14:textId="3D00601C" w:rsidR="00191F85" w:rsidRDefault="00191F85" w:rsidP="009931D9">
      <w:pPr>
        <w:tabs>
          <w:tab w:val="left" w:pos="567"/>
          <w:tab w:val="left" w:pos="1134"/>
          <w:tab w:val="left" w:pos="2268"/>
        </w:tabs>
        <w:spacing w:before="120" w:after="120"/>
        <w:ind w:left="1134" w:hanging="567"/>
        <w:jc w:val="both"/>
        <w:rPr>
          <w:rFonts w:ascii="Arial" w:hAnsi="Arial" w:cs="Arial"/>
          <w:sz w:val="22"/>
          <w:szCs w:val="22"/>
        </w:rPr>
      </w:pPr>
      <w:r w:rsidRPr="00904C0F">
        <w:rPr>
          <w:rFonts w:ascii="Arial" w:hAnsi="Arial" w:cs="Arial"/>
          <w:sz w:val="22"/>
          <w:szCs w:val="22"/>
        </w:rPr>
        <w:t>U.2 :</w:t>
      </w:r>
      <w:r w:rsidR="003A580C" w:rsidRPr="003A580C">
        <w:rPr>
          <w:rFonts w:ascii="Arial" w:hAnsi="Arial" w:cs="Arial"/>
          <w:sz w:val="22"/>
          <w:szCs w:val="22"/>
        </w:rPr>
        <w:t xml:space="preserve"> </w:t>
      </w:r>
      <w:r w:rsidR="003A580C" w:rsidRPr="00904C0F">
        <w:rPr>
          <w:rFonts w:ascii="Arial" w:hAnsi="Arial" w:cs="Arial"/>
          <w:sz w:val="22"/>
          <w:szCs w:val="22"/>
        </w:rPr>
        <w:tab/>
      </w:r>
      <w:r w:rsidRPr="00904C0F">
        <w:rPr>
          <w:rFonts w:ascii="Arial" w:hAnsi="Arial" w:cs="Arial"/>
          <w:sz w:val="22"/>
          <w:szCs w:val="22"/>
        </w:rPr>
        <w:t>La viabilité rite du printemps de Juraǔski Karahod repose sur un seul village dont la population vieillit progressivement. Les jeunes partent s</w:t>
      </w:r>
      <w:r w:rsidR="009C104E">
        <w:rPr>
          <w:rFonts w:ascii="Arial" w:hAnsi="Arial" w:cs="Arial"/>
          <w:sz w:val="22"/>
          <w:szCs w:val="22"/>
        </w:rPr>
        <w:t>’</w:t>
      </w:r>
      <w:r w:rsidRPr="00904C0F">
        <w:rPr>
          <w:rFonts w:ascii="Arial" w:hAnsi="Arial" w:cs="Arial"/>
          <w:sz w:val="22"/>
          <w:szCs w:val="22"/>
        </w:rPr>
        <w:t>installer en ville et perdent peu à peu leur intérêt pour les traditions en étant confrontés à la mondialisation et à la standardisation du quotidien. Ces difficultés sont directement liées à la pénurie d</w:t>
      </w:r>
      <w:r w:rsidR="009C104E">
        <w:rPr>
          <w:rFonts w:ascii="Arial" w:hAnsi="Arial" w:cs="Arial"/>
          <w:sz w:val="22"/>
          <w:szCs w:val="22"/>
        </w:rPr>
        <w:t>’</w:t>
      </w:r>
      <w:r w:rsidRPr="00904C0F">
        <w:rPr>
          <w:rFonts w:ascii="Arial" w:hAnsi="Arial" w:cs="Arial"/>
          <w:sz w:val="22"/>
          <w:szCs w:val="22"/>
        </w:rPr>
        <w:t>emplois et d</w:t>
      </w:r>
      <w:r w:rsidR="009C104E">
        <w:rPr>
          <w:rFonts w:ascii="Arial" w:hAnsi="Arial" w:cs="Arial"/>
          <w:sz w:val="22"/>
          <w:szCs w:val="22"/>
        </w:rPr>
        <w:t>’</w:t>
      </w:r>
      <w:r w:rsidRPr="00904C0F">
        <w:rPr>
          <w:rFonts w:ascii="Arial" w:hAnsi="Arial" w:cs="Arial"/>
          <w:sz w:val="22"/>
          <w:szCs w:val="22"/>
        </w:rPr>
        <w:t>opportunités à Pahost, mais aussi à la folklorisation croissante de l</w:t>
      </w:r>
      <w:r w:rsidR="009C104E">
        <w:rPr>
          <w:rFonts w:ascii="Arial" w:hAnsi="Arial" w:cs="Arial"/>
          <w:sz w:val="22"/>
          <w:szCs w:val="22"/>
        </w:rPr>
        <w:t>’</w:t>
      </w:r>
      <w:r w:rsidRPr="00904C0F">
        <w:rPr>
          <w:rFonts w:ascii="Arial" w:hAnsi="Arial" w:cs="Arial"/>
          <w:sz w:val="22"/>
          <w:szCs w:val="22"/>
        </w:rPr>
        <w:t>élément, qui représente aujourd</w:t>
      </w:r>
      <w:r w:rsidR="009C104E">
        <w:rPr>
          <w:rFonts w:ascii="Arial" w:hAnsi="Arial" w:cs="Arial"/>
          <w:sz w:val="22"/>
          <w:szCs w:val="22"/>
        </w:rPr>
        <w:t>’</w:t>
      </w:r>
      <w:r w:rsidRPr="00904C0F">
        <w:rPr>
          <w:rFonts w:ascii="Arial" w:hAnsi="Arial" w:cs="Arial"/>
          <w:sz w:val="22"/>
          <w:szCs w:val="22"/>
        </w:rPr>
        <w:t>hui l</w:t>
      </w:r>
      <w:r w:rsidR="009C104E">
        <w:rPr>
          <w:rFonts w:ascii="Arial" w:hAnsi="Arial" w:cs="Arial"/>
          <w:sz w:val="22"/>
          <w:szCs w:val="22"/>
        </w:rPr>
        <w:t>’</w:t>
      </w:r>
      <w:r w:rsidRPr="00904C0F">
        <w:rPr>
          <w:rFonts w:ascii="Arial" w:hAnsi="Arial" w:cs="Arial"/>
          <w:sz w:val="22"/>
          <w:szCs w:val="22"/>
        </w:rPr>
        <w:t>un des principaux obstacles à sa pratique.</w:t>
      </w:r>
    </w:p>
    <w:p w14:paraId="2700B437" w14:textId="44519F57" w:rsidR="009931D9" w:rsidRDefault="00191F85" w:rsidP="009931D9">
      <w:pPr>
        <w:tabs>
          <w:tab w:val="left" w:pos="567"/>
          <w:tab w:val="left" w:pos="1134"/>
          <w:tab w:val="left" w:pos="2268"/>
        </w:tabs>
        <w:spacing w:before="120" w:after="120"/>
        <w:ind w:left="1134" w:hanging="567"/>
        <w:jc w:val="both"/>
        <w:rPr>
          <w:rFonts w:ascii="Arial" w:hAnsi="Arial" w:cs="Arial"/>
          <w:sz w:val="22"/>
          <w:szCs w:val="22"/>
        </w:rPr>
      </w:pPr>
      <w:r w:rsidRPr="00904C0F">
        <w:rPr>
          <w:rFonts w:ascii="Arial" w:hAnsi="Arial" w:cs="Arial"/>
          <w:sz w:val="22"/>
          <w:szCs w:val="22"/>
        </w:rPr>
        <w:t>U.</w:t>
      </w:r>
      <w:r w:rsidR="003A580C" w:rsidRPr="00904C0F">
        <w:rPr>
          <w:rFonts w:ascii="Arial" w:hAnsi="Arial" w:cs="Arial"/>
          <w:sz w:val="22"/>
          <w:szCs w:val="22"/>
        </w:rPr>
        <w:t>4</w:t>
      </w:r>
      <w:r w:rsidR="003A580C">
        <w:rPr>
          <w:rFonts w:ascii="Arial" w:hAnsi="Arial" w:cs="Arial"/>
          <w:sz w:val="22"/>
          <w:szCs w:val="22"/>
        </w:rPr>
        <w:t> </w:t>
      </w:r>
      <w:r w:rsidRPr="00904C0F">
        <w:rPr>
          <w:rFonts w:ascii="Arial" w:hAnsi="Arial" w:cs="Arial"/>
          <w:sz w:val="22"/>
          <w:szCs w:val="22"/>
        </w:rPr>
        <w:t>:</w:t>
      </w:r>
      <w:r w:rsidR="003A580C" w:rsidRPr="003A580C">
        <w:rPr>
          <w:rFonts w:ascii="Arial" w:hAnsi="Arial" w:cs="Arial"/>
          <w:sz w:val="22"/>
          <w:szCs w:val="22"/>
        </w:rPr>
        <w:t xml:space="preserve"> </w:t>
      </w:r>
      <w:r w:rsidR="003A580C" w:rsidRPr="00904C0F">
        <w:rPr>
          <w:rFonts w:ascii="Arial" w:hAnsi="Arial" w:cs="Arial"/>
          <w:sz w:val="22"/>
          <w:szCs w:val="22"/>
        </w:rPr>
        <w:tab/>
      </w:r>
      <w:r w:rsidRPr="00904C0F">
        <w:rPr>
          <w:rFonts w:ascii="Arial" w:hAnsi="Arial" w:cs="Arial"/>
          <w:sz w:val="22"/>
          <w:szCs w:val="22"/>
        </w:rPr>
        <w:t>Le processus de candidature et l</w:t>
      </w:r>
      <w:r w:rsidR="009C104E">
        <w:rPr>
          <w:rFonts w:ascii="Arial" w:hAnsi="Arial" w:cs="Arial"/>
          <w:sz w:val="22"/>
          <w:szCs w:val="22"/>
        </w:rPr>
        <w:t>’</w:t>
      </w:r>
      <w:r w:rsidRPr="00904C0F">
        <w:rPr>
          <w:rFonts w:ascii="Arial" w:hAnsi="Arial" w:cs="Arial"/>
          <w:sz w:val="22"/>
          <w:szCs w:val="22"/>
        </w:rPr>
        <w:t>élaboration du plan de sauvegarde ont été menés avec la participation active de membres de la communauté de Pahost, de représentants d</w:t>
      </w:r>
      <w:r w:rsidR="009C104E">
        <w:rPr>
          <w:rFonts w:ascii="Arial" w:hAnsi="Arial" w:cs="Arial"/>
          <w:sz w:val="22"/>
          <w:szCs w:val="22"/>
        </w:rPr>
        <w:t>’</w:t>
      </w:r>
      <w:r w:rsidRPr="00904C0F">
        <w:rPr>
          <w:rFonts w:ascii="Arial" w:hAnsi="Arial" w:cs="Arial"/>
          <w:sz w:val="22"/>
          <w:szCs w:val="22"/>
        </w:rPr>
        <w:t>organisations non gouvernementales, d</w:t>
      </w:r>
      <w:r w:rsidR="009C104E">
        <w:rPr>
          <w:rFonts w:ascii="Arial" w:hAnsi="Arial" w:cs="Arial"/>
          <w:sz w:val="22"/>
          <w:szCs w:val="22"/>
        </w:rPr>
        <w:t>’</w:t>
      </w:r>
      <w:r w:rsidRPr="00904C0F">
        <w:rPr>
          <w:rFonts w:ascii="Arial" w:hAnsi="Arial" w:cs="Arial"/>
          <w:sz w:val="22"/>
          <w:szCs w:val="22"/>
        </w:rPr>
        <w:t>experts et de membres des institutions éducatives et culturelles, dans le cadre de réunions de consultation et d</w:t>
      </w:r>
      <w:r w:rsidR="009C104E">
        <w:rPr>
          <w:rFonts w:ascii="Arial" w:hAnsi="Arial" w:cs="Arial"/>
          <w:sz w:val="22"/>
          <w:szCs w:val="22"/>
        </w:rPr>
        <w:t>’</w:t>
      </w:r>
      <w:r w:rsidRPr="00904C0F">
        <w:rPr>
          <w:rFonts w:ascii="Arial" w:hAnsi="Arial" w:cs="Arial"/>
          <w:sz w:val="22"/>
          <w:szCs w:val="22"/>
        </w:rPr>
        <w:t>ateliers organisés depuis 2014.</w:t>
      </w:r>
    </w:p>
    <w:p w14:paraId="70F5203D" w14:textId="0A5A9F08" w:rsidR="00C27207" w:rsidRPr="00F76A19" w:rsidRDefault="00191F85" w:rsidP="009931D9">
      <w:pPr>
        <w:tabs>
          <w:tab w:val="left" w:pos="567"/>
          <w:tab w:val="left" w:pos="1134"/>
          <w:tab w:val="left" w:pos="2268"/>
        </w:tabs>
        <w:spacing w:before="120" w:after="120"/>
        <w:ind w:left="1134" w:hanging="567"/>
        <w:jc w:val="both"/>
        <w:rPr>
          <w:rFonts w:ascii="Arial" w:hAnsi="Arial" w:cs="Arial"/>
          <w:sz w:val="22"/>
          <w:szCs w:val="22"/>
        </w:rPr>
      </w:pPr>
      <w:r w:rsidRPr="00F76A19">
        <w:rPr>
          <w:rFonts w:ascii="Arial" w:hAnsi="Arial" w:cs="Arial"/>
          <w:sz w:val="22"/>
          <w:szCs w:val="22"/>
        </w:rPr>
        <w:t>U.5 :</w:t>
      </w:r>
      <w:r w:rsidR="003A580C" w:rsidRPr="003A580C">
        <w:rPr>
          <w:rFonts w:ascii="Arial" w:hAnsi="Arial" w:cs="Arial"/>
          <w:sz w:val="22"/>
          <w:szCs w:val="22"/>
        </w:rPr>
        <w:t xml:space="preserve"> </w:t>
      </w:r>
      <w:r w:rsidR="003A580C" w:rsidRPr="00904C0F">
        <w:rPr>
          <w:rFonts w:ascii="Arial" w:hAnsi="Arial" w:cs="Arial"/>
          <w:sz w:val="22"/>
          <w:szCs w:val="22"/>
        </w:rPr>
        <w:tab/>
      </w:r>
      <w:r w:rsidRPr="00F76A19">
        <w:rPr>
          <w:rFonts w:ascii="Arial" w:hAnsi="Arial" w:cs="Arial"/>
          <w:sz w:val="22"/>
          <w:szCs w:val="22"/>
        </w:rPr>
        <w:t>Le rite du printemps de Juraǔski Karahod figure dans le Registre d</w:t>
      </w:r>
      <w:r w:rsidR="009C104E">
        <w:rPr>
          <w:rFonts w:ascii="Arial" w:hAnsi="Arial" w:cs="Arial"/>
          <w:sz w:val="22"/>
          <w:szCs w:val="22"/>
        </w:rPr>
        <w:t>’</w:t>
      </w:r>
      <w:r w:rsidRPr="00F76A19">
        <w:rPr>
          <w:rFonts w:ascii="Arial" w:hAnsi="Arial" w:cs="Arial"/>
          <w:sz w:val="22"/>
          <w:szCs w:val="22"/>
        </w:rPr>
        <w:t>État des valeurs historiques et culturelles de la République du Bélarus depuis 2007. Il est également inscrit à l</w:t>
      </w:r>
      <w:r w:rsidR="009C104E">
        <w:rPr>
          <w:rFonts w:ascii="Arial" w:hAnsi="Arial" w:cs="Arial"/>
          <w:sz w:val="22"/>
          <w:szCs w:val="22"/>
        </w:rPr>
        <w:t>’</w:t>
      </w:r>
      <w:r w:rsidRPr="00F76A19">
        <w:rPr>
          <w:rFonts w:ascii="Arial" w:hAnsi="Arial" w:cs="Arial"/>
          <w:sz w:val="22"/>
          <w:szCs w:val="22"/>
        </w:rPr>
        <w:t>inventaire national du patrimoine culturel immatériel, appelé Patrimoine vivant du Bélarus, depuis la création de celui-ci en 2014. Cet inventaire est régulièrement mis à jour et les processus d</w:t>
      </w:r>
      <w:r w:rsidR="009C104E">
        <w:rPr>
          <w:rFonts w:ascii="Arial" w:hAnsi="Arial" w:cs="Arial"/>
          <w:sz w:val="22"/>
          <w:szCs w:val="22"/>
        </w:rPr>
        <w:t>’</w:t>
      </w:r>
      <w:r w:rsidRPr="00F76A19">
        <w:rPr>
          <w:rFonts w:ascii="Arial" w:hAnsi="Arial" w:cs="Arial"/>
          <w:sz w:val="22"/>
          <w:szCs w:val="22"/>
        </w:rPr>
        <w:t>inscription et de suivi sont menés à bien avec la participation des communautés.</w:t>
      </w:r>
      <w:r w:rsidR="00C27207">
        <w:rPr>
          <w:rFonts w:ascii="Arial" w:hAnsi="Arial" w:cs="Arial"/>
          <w:sz w:val="22"/>
          <w:szCs w:val="22"/>
        </w:rPr>
        <w:t xml:space="preserve"> </w:t>
      </w:r>
    </w:p>
    <w:p w14:paraId="7179AE6F" w14:textId="03A6241B" w:rsidR="00742941" w:rsidRPr="00A400B1" w:rsidRDefault="005B05EB" w:rsidP="00B932EA">
      <w:pPr>
        <w:numPr>
          <w:ilvl w:val="1"/>
          <w:numId w:val="24"/>
        </w:numPr>
        <w:tabs>
          <w:tab w:val="left" w:pos="567"/>
          <w:tab w:val="left" w:pos="1134"/>
          <w:tab w:val="left" w:pos="1701"/>
          <w:tab w:val="left" w:pos="2268"/>
        </w:tabs>
        <w:spacing w:before="120" w:after="120"/>
        <w:ind w:left="567" w:hanging="567"/>
        <w:jc w:val="both"/>
        <w:rPr>
          <w:rFonts w:ascii="Arial" w:hAnsi="Arial" w:cs="Arial"/>
          <w:sz w:val="22"/>
          <w:szCs w:val="22"/>
        </w:rPr>
      </w:pPr>
      <w:r w:rsidRPr="003D4B52">
        <w:rPr>
          <w:rFonts w:ascii="Arial" w:hAnsi="Arial" w:cs="Arial"/>
          <w:sz w:val="22"/>
          <w:szCs w:val="22"/>
          <w:u w:val="single"/>
        </w:rPr>
        <w:t>Estime</w:t>
      </w:r>
      <w:r w:rsidR="00742941" w:rsidRPr="00A400B1">
        <w:rPr>
          <w:rFonts w:ascii="Arial" w:hAnsi="Arial" w:cs="Arial"/>
          <w:sz w:val="22"/>
          <w:szCs w:val="22"/>
          <w:u w:val="single"/>
        </w:rPr>
        <w:t xml:space="preserve"> en outre</w:t>
      </w:r>
      <w:r w:rsidR="00742941" w:rsidRPr="00A400B1">
        <w:rPr>
          <w:rFonts w:ascii="Arial" w:hAnsi="Arial" w:cs="Arial"/>
          <w:sz w:val="22"/>
          <w:szCs w:val="22"/>
        </w:rPr>
        <w:t xml:space="preserve"> que, sur la base de</w:t>
      </w:r>
      <w:r>
        <w:rPr>
          <w:rFonts w:ascii="Arial" w:hAnsi="Arial" w:cs="Arial"/>
          <w:sz w:val="22"/>
          <w:szCs w:val="22"/>
        </w:rPr>
        <w:t>s</w:t>
      </w:r>
      <w:r w:rsidR="00742941" w:rsidRPr="00A400B1">
        <w:rPr>
          <w:rFonts w:ascii="Arial" w:hAnsi="Arial" w:cs="Arial"/>
          <w:sz w:val="22"/>
          <w:szCs w:val="22"/>
        </w:rPr>
        <w:t xml:space="preserve"> information</w:t>
      </w:r>
      <w:r>
        <w:rPr>
          <w:rFonts w:ascii="Arial" w:hAnsi="Arial" w:cs="Arial"/>
          <w:sz w:val="22"/>
          <w:szCs w:val="22"/>
        </w:rPr>
        <w:t>s</w:t>
      </w:r>
      <w:r w:rsidR="00742941" w:rsidRPr="00A400B1">
        <w:rPr>
          <w:rFonts w:ascii="Arial" w:hAnsi="Arial" w:cs="Arial"/>
          <w:sz w:val="22"/>
          <w:szCs w:val="22"/>
        </w:rPr>
        <w:t xml:space="preserve"> fournie</w:t>
      </w:r>
      <w:r>
        <w:rPr>
          <w:rFonts w:ascii="Arial" w:hAnsi="Arial" w:cs="Arial"/>
          <w:sz w:val="22"/>
          <w:szCs w:val="22"/>
        </w:rPr>
        <w:t>s</w:t>
      </w:r>
      <w:r w:rsidR="00742941" w:rsidRPr="00A400B1">
        <w:rPr>
          <w:rFonts w:ascii="Arial" w:hAnsi="Arial" w:cs="Arial"/>
          <w:sz w:val="22"/>
          <w:szCs w:val="22"/>
        </w:rPr>
        <w:t xml:space="preserve"> par l</w:t>
      </w:r>
      <w:r w:rsidR="009C104E">
        <w:rPr>
          <w:rFonts w:ascii="Arial" w:hAnsi="Arial" w:cs="Arial"/>
          <w:sz w:val="22"/>
          <w:szCs w:val="22"/>
        </w:rPr>
        <w:t>’</w:t>
      </w:r>
      <w:r w:rsidR="00742941" w:rsidRPr="00A400B1">
        <w:rPr>
          <w:rFonts w:ascii="Arial" w:hAnsi="Arial" w:cs="Arial"/>
          <w:sz w:val="22"/>
          <w:szCs w:val="22"/>
        </w:rPr>
        <w:t xml:space="preserve">État </w:t>
      </w:r>
      <w:r>
        <w:rPr>
          <w:rFonts w:ascii="Arial" w:hAnsi="Arial" w:cs="Arial"/>
          <w:sz w:val="22"/>
          <w:szCs w:val="22"/>
        </w:rPr>
        <w:t>partie</w:t>
      </w:r>
      <w:r w:rsidR="00742941" w:rsidRPr="00A400B1">
        <w:rPr>
          <w:rFonts w:ascii="Arial" w:hAnsi="Arial" w:cs="Arial"/>
          <w:sz w:val="22"/>
          <w:szCs w:val="22"/>
        </w:rPr>
        <w:t xml:space="preserve"> au Comité au cours de sa présente session</w:t>
      </w:r>
      <w:r>
        <w:rPr>
          <w:rFonts w:ascii="Arial" w:hAnsi="Arial" w:cs="Arial"/>
          <w:sz w:val="22"/>
          <w:szCs w:val="22"/>
        </w:rPr>
        <w:t>,</w:t>
      </w:r>
      <w:r w:rsidR="00742941" w:rsidRPr="00A400B1">
        <w:rPr>
          <w:rFonts w:ascii="Arial" w:hAnsi="Arial" w:cs="Arial"/>
          <w:sz w:val="22"/>
          <w:szCs w:val="22"/>
        </w:rPr>
        <w:t xml:space="preserve"> concernant le plan de sauvegarde, le critère d</w:t>
      </w:r>
      <w:r w:rsidR="009C104E">
        <w:rPr>
          <w:rFonts w:ascii="Arial" w:hAnsi="Arial" w:cs="Arial"/>
          <w:sz w:val="22"/>
          <w:szCs w:val="22"/>
        </w:rPr>
        <w:t>’</w:t>
      </w:r>
      <w:r w:rsidR="00742941" w:rsidRPr="00A400B1">
        <w:rPr>
          <w:rFonts w:ascii="Arial" w:hAnsi="Arial" w:cs="Arial"/>
          <w:sz w:val="22"/>
          <w:szCs w:val="22"/>
        </w:rPr>
        <w:t>inscription sur la Liste du patrimoine culturel immatériel nécessitant une sauvegarde urgente suivant est satisfait</w:t>
      </w:r>
      <w:r w:rsidR="00DB6735">
        <w:rPr>
          <w:rFonts w:ascii="Arial" w:hAnsi="Arial" w:cs="Arial"/>
          <w:sz w:val="22"/>
          <w:szCs w:val="22"/>
        </w:rPr>
        <w:t xml:space="preserve"> : </w:t>
      </w:r>
    </w:p>
    <w:p w14:paraId="17385596" w14:textId="27B67335" w:rsidR="00742941" w:rsidRPr="00E25AA1" w:rsidRDefault="00742941" w:rsidP="00A400B1">
      <w:pPr>
        <w:tabs>
          <w:tab w:val="left" w:pos="1134"/>
          <w:tab w:val="left" w:pos="1701"/>
          <w:tab w:val="left" w:pos="2268"/>
        </w:tabs>
        <w:spacing w:before="120" w:after="120"/>
        <w:ind w:left="1134" w:hanging="567"/>
        <w:jc w:val="both"/>
        <w:rPr>
          <w:rFonts w:ascii="Arial" w:hAnsi="Arial" w:cs="Arial"/>
          <w:sz w:val="22"/>
          <w:szCs w:val="22"/>
        </w:rPr>
      </w:pPr>
      <w:r w:rsidRPr="00A400B1">
        <w:rPr>
          <w:rFonts w:ascii="Arial" w:hAnsi="Arial" w:cs="Arial"/>
          <w:sz w:val="22"/>
          <w:szCs w:val="22"/>
        </w:rPr>
        <w:t>U.3 :</w:t>
      </w:r>
      <w:r w:rsidR="00026BD9" w:rsidRPr="00026BD9">
        <w:rPr>
          <w:rFonts w:ascii="Arial" w:hAnsi="Arial" w:cs="Arial"/>
          <w:sz w:val="22"/>
          <w:szCs w:val="22"/>
        </w:rPr>
        <w:t xml:space="preserve"> </w:t>
      </w:r>
      <w:r w:rsidR="00026BD9" w:rsidRPr="00904C0F">
        <w:rPr>
          <w:rFonts w:ascii="Arial" w:hAnsi="Arial" w:cs="Arial"/>
          <w:sz w:val="22"/>
          <w:szCs w:val="22"/>
        </w:rPr>
        <w:tab/>
      </w:r>
      <w:r w:rsidRPr="00A400B1">
        <w:rPr>
          <w:rFonts w:ascii="Arial" w:hAnsi="Arial" w:cs="Arial"/>
          <w:sz w:val="22"/>
          <w:szCs w:val="22"/>
        </w:rPr>
        <w:t>Les mesures de sauvegardes proposées ont été élaborées en interaction étroite avec les représentants des communautés et visent à réduire au minimum les risques pour la vie de l</w:t>
      </w:r>
      <w:r w:rsidR="009C104E">
        <w:rPr>
          <w:rFonts w:ascii="Arial" w:hAnsi="Arial" w:cs="Arial"/>
          <w:sz w:val="22"/>
          <w:szCs w:val="22"/>
        </w:rPr>
        <w:t>’</w:t>
      </w:r>
      <w:r w:rsidRPr="00A400B1">
        <w:rPr>
          <w:rFonts w:ascii="Arial" w:hAnsi="Arial" w:cs="Arial"/>
          <w:sz w:val="22"/>
          <w:szCs w:val="22"/>
        </w:rPr>
        <w:t>élément. Elles contribuent à la consolidation de la communauté locale, créent les conditions pour l</w:t>
      </w:r>
      <w:r w:rsidR="009C104E">
        <w:rPr>
          <w:rFonts w:ascii="Arial" w:hAnsi="Arial" w:cs="Arial"/>
          <w:sz w:val="22"/>
          <w:szCs w:val="22"/>
        </w:rPr>
        <w:t>’</w:t>
      </w:r>
      <w:r w:rsidRPr="00A400B1">
        <w:rPr>
          <w:rFonts w:ascii="Arial" w:hAnsi="Arial" w:cs="Arial"/>
          <w:sz w:val="22"/>
          <w:szCs w:val="22"/>
        </w:rPr>
        <w:t>implication des jeunes dans les processus de documentation, d</w:t>
      </w:r>
      <w:r w:rsidR="009C104E">
        <w:rPr>
          <w:rFonts w:ascii="Arial" w:hAnsi="Arial" w:cs="Arial"/>
          <w:sz w:val="22"/>
          <w:szCs w:val="22"/>
        </w:rPr>
        <w:t>’</w:t>
      </w:r>
      <w:r w:rsidRPr="00A400B1">
        <w:rPr>
          <w:rFonts w:ascii="Arial" w:hAnsi="Arial" w:cs="Arial"/>
          <w:sz w:val="22"/>
          <w:szCs w:val="22"/>
        </w:rPr>
        <w:t>inventaire et de sauvegarde de l</w:t>
      </w:r>
      <w:r w:rsidR="009C104E">
        <w:rPr>
          <w:rFonts w:ascii="Arial" w:hAnsi="Arial" w:cs="Arial"/>
          <w:sz w:val="22"/>
          <w:szCs w:val="22"/>
        </w:rPr>
        <w:t>’</w:t>
      </w:r>
      <w:r w:rsidRPr="00A400B1">
        <w:rPr>
          <w:rFonts w:ascii="Arial" w:hAnsi="Arial" w:cs="Arial"/>
          <w:sz w:val="22"/>
          <w:szCs w:val="22"/>
        </w:rPr>
        <w:t xml:space="preserve">élément, et contribuent à la protection des droits humains et intellectuels des détenteurs du </w:t>
      </w:r>
      <w:r w:rsidR="003A580C">
        <w:rPr>
          <w:rFonts w:ascii="Arial" w:hAnsi="Arial" w:cs="Arial"/>
          <w:sz w:val="22"/>
          <w:szCs w:val="22"/>
        </w:rPr>
        <w:t>patrimoine culturel immatériel</w:t>
      </w:r>
      <w:r w:rsidRPr="00A400B1">
        <w:rPr>
          <w:rFonts w:ascii="Arial" w:hAnsi="Arial" w:cs="Arial"/>
          <w:sz w:val="22"/>
          <w:szCs w:val="22"/>
        </w:rPr>
        <w:t>. L</w:t>
      </w:r>
      <w:r w:rsidR="009C104E">
        <w:rPr>
          <w:rFonts w:ascii="Arial" w:hAnsi="Arial" w:cs="Arial"/>
          <w:sz w:val="22"/>
          <w:szCs w:val="22"/>
        </w:rPr>
        <w:t>’</w:t>
      </w:r>
      <w:r w:rsidRPr="00A400B1">
        <w:rPr>
          <w:rFonts w:ascii="Arial" w:hAnsi="Arial" w:cs="Arial"/>
          <w:sz w:val="22"/>
          <w:szCs w:val="22"/>
        </w:rPr>
        <w:t>inclusion dans le plan de sauvegarde de l</w:t>
      </w:r>
      <w:r w:rsidR="009C104E">
        <w:rPr>
          <w:rFonts w:ascii="Arial" w:hAnsi="Arial" w:cs="Arial"/>
          <w:sz w:val="22"/>
          <w:szCs w:val="22"/>
        </w:rPr>
        <w:t>’</w:t>
      </w:r>
      <w:r w:rsidRPr="00A400B1">
        <w:rPr>
          <w:rFonts w:ascii="Arial" w:hAnsi="Arial" w:cs="Arial"/>
          <w:sz w:val="22"/>
          <w:szCs w:val="22"/>
        </w:rPr>
        <w:t>élément dans la stratégie régionale de développement durable devrait garantir sa pratique continue ainsi que l</w:t>
      </w:r>
      <w:r w:rsidR="009C104E">
        <w:rPr>
          <w:rFonts w:ascii="Arial" w:hAnsi="Arial" w:cs="Arial"/>
          <w:sz w:val="22"/>
          <w:szCs w:val="22"/>
        </w:rPr>
        <w:t>’</w:t>
      </w:r>
      <w:r w:rsidRPr="00A400B1">
        <w:rPr>
          <w:rFonts w:ascii="Arial" w:hAnsi="Arial" w:cs="Arial"/>
          <w:sz w:val="22"/>
          <w:szCs w:val="22"/>
        </w:rPr>
        <w:t>efficacité et la durabilité des mesures prises</w:t>
      </w:r>
      <w:r w:rsidR="00DB6735" w:rsidRPr="00A400B1">
        <w:rPr>
          <w:rFonts w:ascii="Arial" w:hAnsi="Arial" w:cs="Arial"/>
          <w:sz w:val="22"/>
          <w:szCs w:val="22"/>
        </w:rPr>
        <w:t xml:space="preserve">. </w:t>
      </w:r>
      <w:r w:rsidRPr="00A400B1">
        <w:rPr>
          <w:rFonts w:ascii="Arial" w:hAnsi="Arial" w:cs="Arial"/>
          <w:sz w:val="22"/>
          <w:szCs w:val="22"/>
        </w:rPr>
        <w:t xml:space="preserve"> </w:t>
      </w:r>
    </w:p>
    <w:p w14:paraId="4BF96CDE" w14:textId="51E97ECD" w:rsidR="00C27207" w:rsidRPr="00A400B1" w:rsidRDefault="00C27207" w:rsidP="00B932EA">
      <w:pPr>
        <w:numPr>
          <w:ilvl w:val="1"/>
          <w:numId w:val="24"/>
        </w:numPr>
        <w:tabs>
          <w:tab w:val="left" w:pos="567"/>
          <w:tab w:val="left" w:pos="1701"/>
          <w:tab w:val="left" w:pos="2268"/>
        </w:tabs>
        <w:spacing w:before="120" w:after="120"/>
        <w:ind w:left="556" w:hanging="567"/>
        <w:jc w:val="both"/>
        <w:rPr>
          <w:rFonts w:ascii="Arial" w:hAnsi="Arial" w:cs="Arial"/>
          <w:sz w:val="22"/>
          <w:szCs w:val="22"/>
        </w:rPr>
      </w:pPr>
      <w:r w:rsidRPr="003A580C">
        <w:rPr>
          <w:rFonts w:ascii="Arial" w:hAnsi="Arial" w:cs="Arial"/>
          <w:sz w:val="22"/>
          <w:szCs w:val="22"/>
          <w:u w:val="single"/>
        </w:rPr>
        <w:t xml:space="preserve">Décide </w:t>
      </w:r>
      <w:r w:rsidRPr="00B932EA">
        <w:rPr>
          <w:rFonts w:ascii="Arial" w:hAnsi="Arial" w:cs="Arial"/>
          <w:sz w:val="22"/>
          <w:szCs w:val="22"/>
          <w:u w:val="single"/>
        </w:rPr>
        <w:t>d</w:t>
      </w:r>
      <w:r w:rsidR="009C104E" w:rsidRPr="00B932EA">
        <w:rPr>
          <w:rFonts w:ascii="Arial" w:hAnsi="Arial" w:cs="Arial"/>
          <w:sz w:val="22"/>
          <w:szCs w:val="22"/>
          <w:u w:val="single"/>
        </w:rPr>
        <w:t>’</w:t>
      </w:r>
      <w:r w:rsidRPr="00B932EA">
        <w:rPr>
          <w:rFonts w:ascii="Arial" w:hAnsi="Arial" w:cs="Arial"/>
          <w:sz w:val="22"/>
          <w:szCs w:val="22"/>
          <w:u w:val="single"/>
        </w:rPr>
        <w:t>inscrire</w:t>
      </w:r>
      <w:r w:rsidRPr="00E25AA1">
        <w:rPr>
          <w:rFonts w:ascii="Arial" w:hAnsi="Arial" w:cs="Arial"/>
          <w:sz w:val="22"/>
          <w:szCs w:val="22"/>
        </w:rPr>
        <w:t xml:space="preserve"> </w:t>
      </w:r>
      <w:r w:rsidRPr="00A400B1">
        <w:rPr>
          <w:rFonts w:ascii="Arial" w:hAnsi="Arial" w:cs="Arial"/>
          <w:b/>
          <w:sz w:val="22"/>
          <w:szCs w:val="22"/>
        </w:rPr>
        <w:t>le</w:t>
      </w:r>
      <w:r w:rsidRPr="00E25AA1">
        <w:rPr>
          <w:rFonts w:ascii="Arial" w:hAnsi="Arial" w:cs="Arial"/>
          <w:sz w:val="22"/>
          <w:szCs w:val="22"/>
        </w:rPr>
        <w:t xml:space="preserve"> </w:t>
      </w:r>
      <w:r w:rsidRPr="00A400B1">
        <w:rPr>
          <w:rFonts w:ascii="Arial" w:hAnsi="Arial" w:cs="Arial"/>
          <w:b/>
          <w:bCs/>
          <w:sz w:val="22"/>
          <w:szCs w:val="22"/>
        </w:rPr>
        <w:t xml:space="preserve">rite du printemps de Juraǔski Karahod </w:t>
      </w:r>
      <w:r w:rsidRPr="00A400B1">
        <w:rPr>
          <w:rFonts w:ascii="Arial" w:hAnsi="Arial" w:cs="Arial"/>
          <w:bCs/>
          <w:sz w:val="22"/>
          <w:szCs w:val="22"/>
        </w:rPr>
        <w:t xml:space="preserve">sur la Liste du patrimoine culturel immatériel </w:t>
      </w:r>
      <w:r w:rsidR="00E25AA1" w:rsidRPr="00E25AA1">
        <w:rPr>
          <w:rFonts w:ascii="Arial" w:hAnsi="Arial" w:cs="Arial"/>
          <w:bCs/>
          <w:sz w:val="22"/>
          <w:szCs w:val="22"/>
        </w:rPr>
        <w:t>nécessitant</w:t>
      </w:r>
      <w:r w:rsidRPr="00A400B1">
        <w:rPr>
          <w:rFonts w:ascii="Arial" w:hAnsi="Arial" w:cs="Arial"/>
          <w:bCs/>
          <w:sz w:val="22"/>
          <w:szCs w:val="22"/>
        </w:rPr>
        <w:t xml:space="preserve"> une sauvegarde urgente ; </w:t>
      </w:r>
    </w:p>
    <w:p w14:paraId="17472884" w14:textId="11F9DF86" w:rsidR="00742941" w:rsidRPr="00A400B1" w:rsidRDefault="00742941" w:rsidP="00B932EA">
      <w:pPr>
        <w:pStyle w:val="ListParagraph"/>
        <w:numPr>
          <w:ilvl w:val="1"/>
          <w:numId w:val="24"/>
        </w:numPr>
        <w:tabs>
          <w:tab w:val="left" w:pos="567"/>
          <w:tab w:val="left" w:pos="1701"/>
          <w:tab w:val="left" w:pos="2268"/>
        </w:tabs>
        <w:spacing w:before="120" w:after="120"/>
        <w:ind w:left="556" w:hanging="567"/>
        <w:jc w:val="both"/>
        <w:rPr>
          <w:rFonts w:ascii="Arial" w:hAnsi="Arial" w:cs="Arial"/>
          <w:sz w:val="22"/>
          <w:szCs w:val="22"/>
        </w:rPr>
      </w:pPr>
      <w:r w:rsidRPr="00A400B1">
        <w:rPr>
          <w:rFonts w:ascii="Arial" w:hAnsi="Arial" w:cs="Arial"/>
          <w:sz w:val="22"/>
          <w:szCs w:val="22"/>
          <w:u w:val="single"/>
        </w:rPr>
        <w:t>Prie</w:t>
      </w:r>
      <w:r w:rsidRPr="00DB6735">
        <w:rPr>
          <w:rFonts w:ascii="Arial" w:hAnsi="Arial" w:cs="Arial"/>
          <w:sz w:val="22"/>
          <w:szCs w:val="22"/>
        </w:rPr>
        <w:t xml:space="preserve"> l</w:t>
      </w:r>
      <w:r w:rsidR="009C104E">
        <w:rPr>
          <w:rFonts w:ascii="Arial" w:hAnsi="Arial" w:cs="Arial"/>
          <w:sz w:val="22"/>
          <w:szCs w:val="22"/>
        </w:rPr>
        <w:t>’</w:t>
      </w:r>
      <w:r w:rsidRPr="00DB6735">
        <w:rPr>
          <w:rFonts w:ascii="Arial" w:hAnsi="Arial" w:cs="Arial"/>
          <w:sz w:val="22"/>
          <w:szCs w:val="22"/>
        </w:rPr>
        <w:t>État partie de soumettre, pour les quatre années suivant l</w:t>
      </w:r>
      <w:r w:rsidR="009C104E">
        <w:rPr>
          <w:rFonts w:ascii="Arial" w:hAnsi="Arial" w:cs="Arial"/>
          <w:sz w:val="22"/>
          <w:szCs w:val="22"/>
        </w:rPr>
        <w:t>’</w:t>
      </w:r>
      <w:r w:rsidRPr="00DB6735">
        <w:rPr>
          <w:rFonts w:ascii="Arial" w:hAnsi="Arial" w:cs="Arial"/>
          <w:sz w:val="22"/>
          <w:szCs w:val="22"/>
        </w:rPr>
        <w:t>inscription, des rapports biennaux sur les résultats des mesures prises pour garantir la sauvegarde de l</w:t>
      </w:r>
      <w:r w:rsidR="009C104E">
        <w:rPr>
          <w:rFonts w:ascii="Arial" w:hAnsi="Arial" w:cs="Arial"/>
          <w:sz w:val="22"/>
          <w:szCs w:val="22"/>
        </w:rPr>
        <w:t>’</w:t>
      </w:r>
      <w:r w:rsidRPr="00DB6735">
        <w:rPr>
          <w:rFonts w:ascii="Arial" w:hAnsi="Arial" w:cs="Arial"/>
          <w:sz w:val="22"/>
          <w:szCs w:val="22"/>
        </w:rPr>
        <w:t xml:space="preserve">élément et </w:t>
      </w:r>
      <w:r w:rsidRPr="00A400B1">
        <w:rPr>
          <w:rFonts w:ascii="Arial" w:hAnsi="Arial" w:cs="Arial"/>
          <w:sz w:val="22"/>
          <w:szCs w:val="22"/>
          <w:u w:val="single"/>
        </w:rPr>
        <w:t>invite</w:t>
      </w:r>
      <w:r w:rsidRPr="00DB6735">
        <w:rPr>
          <w:rFonts w:ascii="Arial" w:hAnsi="Arial" w:cs="Arial"/>
          <w:sz w:val="22"/>
          <w:szCs w:val="22"/>
        </w:rPr>
        <w:t xml:space="preserve"> l</w:t>
      </w:r>
      <w:r w:rsidR="009C104E">
        <w:rPr>
          <w:rFonts w:ascii="Arial" w:hAnsi="Arial" w:cs="Arial"/>
          <w:sz w:val="22"/>
          <w:szCs w:val="22"/>
        </w:rPr>
        <w:t>’</w:t>
      </w:r>
      <w:r w:rsidRPr="00DB6735">
        <w:rPr>
          <w:rFonts w:ascii="Arial" w:hAnsi="Arial" w:cs="Arial"/>
          <w:sz w:val="22"/>
          <w:szCs w:val="22"/>
        </w:rPr>
        <w:t>État partie à porter une attention particulière sur les impacts du tourisme sur la sauvegarde de l</w:t>
      </w:r>
      <w:r w:rsidR="009C104E">
        <w:rPr>
          <w:rFonts w:ascii="Arial" w:hAnsi="Arial" w:cs="Arial"/>
          <w:sz w:val="22"/>
          <w:szCs w:val="22"/>
        </w:rPr>
        <w:t>’</w:t>
      </w:r>
      <w:r w:rsidRPr="00DB6735">
        <w:rPr>
          <w:rFonts w:ascii="Arial" w:hAnsi="Arial" w:cs="Arial"/>
          <w:sz w:val="22"/>
          <w:szCs w:val="22"/>
        </w:rPr>
        <w:t>élément afin d</w:t>
      </w:r>
      <w:r w:rsidR="009C104E">
        <w:rPr>
          <w:rFonts w:ascii="Arial" w:hAnsi="Arial" w:cs="Arial"/>
          <w:sz w:val="22"/>
          <w:szCs w:val="22"/>
        </w:rPr>
        <w:t>’</w:t>
      </w:r>
      <w:r w:rsidRPr="00DB6735">
        <w:rPr>
          <w:rFonts w:ascii="Arial" w:hAnsi="Arial" w:cs="Arial"/>
          <w:sz w:val="22"/>
          <w:szCs w:val="22"/>
        </w:rPr>
        <w:t>empêcher sa décontextualisation et sa folklorisation et l</w:t>
      </w:r>
      <w:r w:rsidR="009C104E">
        <w:rPr>
          <w:rFonts w:ascii="Arial" w:hAnsi="Arial" w:cs="Arial"/>
          <w:sz w:val="22"/>
          <w:szCs w:val="22"/>
        </w:rPr>
        <w:t>’</w:t>
      </w:r>
      <w:r w:rsidRPr="00A400B1">
        <w:rPr>
          <w:rFonts w:ascii="Arial" w:hAnsi="Arial" w:cs="Arial"/>
          <w:sz w:val="22"/>
          <w:szCs w:val="22"/>
          <w:u w:val="single"/>
        </w:rPr>
        <w:t>encourage</w:t>
      </w:r>
      <w:r w:rsidRPr="00DB6735">
        <w:rPr>
          <w:rFonts w:ascii="Arial" w:hAnsi="Arial" w:cs="Arial"/>
          <w:sz w:val="22"/>
          <w:szCs w:val="22"/>
        </w:rPr>
        <w:t xml:space="preserve"> à atténuer tout impact négatif lié au tourisme</w:t>
      </w:r>
      <w:r w:rsidR="00DB6735" w:rsidRPr="00DB6735">
        <w:rPr>
          <w:rFonts w:ascii="Arial" w:hAnsi="Arial" w:cs="Arial"/>
          <w:sz w:val="22"/>
          <w:szCs w:val="22"/>
        </w:rPr>
        <w:t xml:space="preserve"> ; </w:t>
      </w:r>
    </w:p>
    <w:p w14:paraId="65F6C4C0" w14:textId="4A98998D" w:rsidR="00191F85" w:rsidRPr="009931D9" w:rsidRDefault="00191F85" w:rsidP="00B932EA">
      <w:pPr>
        <w:numPr>
          <w:ilvl w:val="1"/>
          <w:numId w:val="24"/>
        </w:numPr>
        <w:tabs>
          <w:tab w:val="left" w:pos="567"/>
          <w:tab w:val="left" w:pos="1701"/>
          <w:tab w:val="left" w:pos="2268"/>
        </w:tabs>
        <w:spacing w:before="120" w:after="120"/>
        <w:ind w:left="556" w:hanging="567"/>
        <w:jc w:val="both"/>
        <w:rPr>
          <w:rFonts w:ascii="Arial" w:hAnsi="Arial" w:cs="Arial"/>
          <w:sz w:val="22"/>
          <w:szCs w:val="22"/>
        </w:rPr>
      </w:pPr>
      <w:r w:rsidRPr="009931D9">
        <w:rPr>
          <w:rFonts w:ascii="Arial" w:hAnsi="Arial" w:cs="Arial"/>
          <w:sz w:val="22"/>
          <w:szCs w:val="22"/>
          <w:u w:val="single"/>
        </w:rPr>
        <w:t>Prend note en outre</w:t>
      </w:r>
      <w:r w:rsidRPr="009931D9">
        <w:rPr>
          <w:rFonts w:ascii="Arial" w:hAnsi="Arial" w:cs="Arial"/>
          <w:sz w:val="22"/>
          <w:szCs w:val="22"/>
        </w:rPr>
        <w:t xml:space="preserve"> que le Bélarus a demandé une assistance internationale du Fonds du patrimoine culturel immatériel, d</w:t>
      </w:r>
      <w:r w:rsidR="009C104E">
        <w:rPr>
          <w:rFonts w:ascii="Arial" w:hAnsi="Arial" w:cs="Arial"/>
          <w:sz w:val="22"/>
          <w:szCs w:val="22"/>
        </w:rPr>
        <w:t>’</w:t>
      </w:r>
      <w:r w:rsidRPr="009931D9">
        <w:rPr>
          <w:rFonts w:ascii="Arial" w:hAnsi="Arial" w:cs="Arial"/>
          <w:sz w:val="22"/>
          <w:szCs w:val="22"/>
        </w:rPr>
        <w:t>un montant de 87 761 dollars des États-Unis, pour mettre en œuvre le plan de sauvegarde du rite du printemps de Juraǔski Karahod :</w:t>
      </w:r>
    </w:p>
    <w:p w14:paraId="46E6E9EB" w14:textId="35350D92" w:rsidR="00191F85" w:rsidRPr="009931D9" w:rsidRDefault="00191F85" w:rsidP="009931D9">
      <w:pPr>
        <w:tabs>
          <w:tab w:val="left" w:pos="567"/>
          <w:tab w:val="left" w:pos="1701"/>
          <w:tab w:val="left" w:pos="2268"/>
        </w:tabs>
        <w:spacing w:before="120" w:after="120"/>
        <w:ind w:left="567"/>
        <w:jc w:val="both"/>
        <w:rPr>
          <w:rFonts w:ascii="Arial" w:hAnsi="Arial" w:cs="Arial"/>
          <w:sz w:val="22"/>
          <w:szCs w:val="22"/>
        </w:rPr>
      </w:pPr>
      <w:r w:rsidRPr="009931D9">
        <w:rPr>
          <w:rFonts w:ascii="Arial" w:hAnsi="Arial" w:cs="Arial"/>
          <w:sz w:val="22"/>
          <w:szCs w:val="22"/>
        </w:rPr>
        <w:t>Mis en œuvre par le Centre du patrimoine culturel immatériel de l</w:t>
      </w:r>
      <w:r w:rsidR="009C104E">
        <w:rPr>
          <w:rFonts w:ascii="Arial" w:hAnsi="Arial" w:cs="Arial"/>
          <w:sz w:val="22"/>
          <w:szCs w:val="22"/>
        </w:rPr>
        <w:t>’</w:t>
      </w:r>
      <w:r w:rsidRPr="009931D9">
        <w:rPr>
          <w:rFonts w:ascii="Arial" w:hAnsi="Arial" w:cs="Arial"/>
          <w:sz w:val="22"/>
          <w:szCs w:val="22"/>
        </w:rPr>
        <w:t>Université bélarusse de la culture et des arts, ce projet proposé sur 24 mois poursuit trois principaux objectifs. Le premier est d</w:t>
      </w:r>
      <w:r w:rsidR="009C104E">
        <w:rPr>
          <w:rFonts w:ascii="Arial" w:hAnsi="Arial" w:cs="Arial"/>
          <w:sz w:val="22"/>
          <w:szCs w:val="22"/>
        </w:rPr>
        <w:t>’</w:t>
      </w:r>
      <w:r w:rsidRPr="009931D9">
        <w:rPr>
          <w:rFonts w:ascii="Arial" w:hAnsi="Arial" w:cs="Arial"/>
          <w:sz w:val="22"/>
          <w:szCs w:val="22"/>
        </w:rPr>
        <w:t>entreprendre des recherches dans la zone de diffusion historique du rite de Juraǔski Karahod et d</w:t>
      </w:r>
      <w:r w:rsidR="009C104E">
        <w:rPr>
          <w:rFonts w:ascii="Arial" w:hAnsi="Arial" w:cs="Arial"/>
          <w:sz w:val="22"/>
          <w:szCs w:val="22"/>
        </w:rPr>
        <w:t>’</w:t>
      </w:r>
      <w:r w:rsidRPr="009931D9">
        <w:rPr>
          <w:rFonts w:ascii="Arial" w:hAnsi="Arial" w:cs="Arial"/>
          <w:sz w:val="22"/>
          <w:szCs w:val="22"/>
        </w:rPr>
        <w:t>élaborer une stratégie efficace pour sa revitalisation, sa pratique et sa transmission. Le deuxième objectif consiste à renforcer la visibilité de l</w:t>
      </w:r>
      <w:r w:rsidR="009C104E">
        <w:rPr>
          <w:rFonts w:ascii="Arial" w:hAnsi="Arial" w:cs="Arial"/>
          <w:sz w:val="22"/>
          <w:szCs w:val="22"/>
        </w:rPr>
        <w:t>’</w:t>
      </w:r>
      <w:r w:rsidRPr="009931D9">
        <w:rPr>
          <w:rFonts w:ascii="Arial" w:hAnsi="Arial" w:cs="Arial"/>
          <w:sz w:val="22"/>
          <w:szCs w:val="22"/>
        </w:rPr>
        <w:t>élément et à diffuser des informations le concernant dans les médias, dans des publications et sur un site Internet, ainsi qu</w:t>
      </w:r>
      <w:r w:rsidR="009C104E">
        <w:rPr>
          <w:rFonts w:ascii="Arial" w:hAnsi="Arial" w:cs="Arial"/>
          <w:sz w:val="22"/>
          <w:szCs w:val="22"/>
        </w:rPr>
        <w:t>’</w:t>
      </w:r>
      <w:r w:rsidRPr="009931D9">
        <w:rPr>
          <w:rFonts w:ascii="Arial" w:hAnsi="Arial" w:cs="Arial"/>
          <w:sz w:val="22"/>
          <w:szCs w:val="22"/>
        </w:rPr>
        <w:t>à l</w:t>
      </w:r>
      <w:r w:rsidR="009C104E">
        <w:rPr>
          <w:rFonts w:ascii="Arial" w:hAnsi="Arial" w:cs="Arial"/>
          <w:sz w:val="22"/>
          <w:szCs w:val="22"/>
        </w:rPr>
        <w:t>’</w:t>
      </w:r>
      <w:r w:rsidRPr="009931D9">
        <w:rPr>
          <w:rFonts w:ascii="Arial" w:hAnsi="Arial" w:cs="Arial"/>
          <w:sz w:val="22"/>
          <w:szCs w:val="22"/>
        </w:rPr>
        <w:t>occasion d</w:t>
      </w:r>
      <w:r w:rsidR="009C104E">
        <w:rPr>
          <w:rFonts w:ascii="Arial" w:hAnsi="Arial" w:cs="Arial"/>
          <w:sz w:val="22"/>
          <w:szCs w:val="22"/>
        </w:rPr>
        <w:t>’</w:t>
      </w:r>
      <w:r w:rsidRPr="009931D9">
        <w:rPr>
          <w:rFonts w:ascii="Arial" w:hAnsi="Arial" w:cs="Arial"/>
          <w:sz w:val="22"/>
          <w:szCs w:val="22"/>
        </w:rPr>
        <w:t>un festival du patrimoine culturel immatériel organisé tous les deux ans à Pahost. Enfin, le projet vise à consolider la communauté et les détenteurs en créant un centre des traditions locales et en organisant une série d</w:t>
      </w:r>
      <w:r w:rsidR="009C104E">
        <w:rPr>
          <w:rFonts w:ascii="Arial" w:hAnsi="Arial" w:cs="Arial"/>
          <w:sz w:val="22"/>
          <w:szCs w:val="22"/>
        </w:rPr>
        <w:t>’</w:t>
      </w:r>
      <w:r w:rsidRPr="009931D9">
        <w:rPr>
          <w:rFonts w:ascii="Arial" w:hAnsi="Arial" w:cs="Arial"/>
          <w:sz w:val="22"/>
          <w:szCs w:val="22"/>
        </w:rPr>
        <w:t>ateliers de renforcement des capacités pour les habitants du village. Ce projet sera mis en œuvre avec la collaboration d</w:t>
      </w:r>
      <w:r w:rsidR="009C104E">
        <w:rPr>
          <w:rFonts w:ascii="Arial" w:hAnsi="Arial" w:cs="Arial"/>
          <w:sz w:val="22"/>
          <w:szCs w:val="22"/>
        </w:rPr>
        <w:t>’</w:t>
      </w:r>
      <w:r w:rsidRPr="009931D9">
        <w:rPr>
          <w:rFonts w:ascii="Arial" w:hAnsi="Arial" w:cs="Arial"/>
          <w:sz w:val="22"/>
          <w:szCs w:val="22"/>
        </w:rPr>
        <w:t>experts nationaux et locaux et de membres de la communauté locale. Il entend sensibiliser la population à l</w:t>
      </w:r>
      <w:r w:rsidR="009C104E">
        <w:rPr>
          <w:rFonts w:ascii="Arial" w:hAnsi="Arial" w:cs="Arial"/>
          <w:sz w:val="22"/>
          <w:szCs w:val="22"/>
        </w:rPr>
        <w:t>’</w:t>
      </w:r>
      <w:r w:rsidRPr="009931D9">
        <w:rPr>
          <w:rFonts w:ascii="Arial" w:hAnsi="Arial" w:cs="Arial"/>
          <w:sz w:val="22"/>
          <w:szCs w:val="22"/>
        </w:rPr>
        <w:t>élément et soutenir les initiatives locales en contribuant à la consolidation de la communauté autour de leur patrimoine vivant et en encourageant les jeunes à le respecter.</w:t>
      </w:r>
    </w:p>
    <w:p w14:paraId="23A8B2FE" w14:textId="23EDF888" w:rsidR="00191F85" w:rsidRPr="009931D9" w:rsidRDefault="00191F85" w:rsidP="00B932EA">
      <w:pPr>
        <w:numPr>
          <w:ilvl w:val="1"/>
          <w:numId w:val="24"/>
        </w:numPr>
        <w:tabs>
          <w:tab w:val="left" w:pos="567"/>
          <w:tab w:val="left" w:pos="1701"/>
          <w:tab w:val="left" w:pos="2268"/>
        </w:tabs>
        <w:spacing w:before="120" w:after="120"/>
        <w:ind w:left="556" w:hanging="567"/>
        <w:jc w:val="both"/>
        <w:rPr>
          <w:rFonts w:ascii="Arial" w:hAnsi="Arial" w:cs="Arial"/>
          <w:sz w:val="22"/>
          <w:szCs w:val="22"/>
        </w:rPr>
      </w:pPr>
      <w:r w:rsidRPr="009931D9">
        <w:rPr>
          <w:rFonts w:ascii="Arial" w:hAnsi="Arial" w:cs="Arial"/>
          <w:sz w:val="22"/>
          <w:szCs w:val="22"/>
          <w:u w:val="single"/>
        </w:rPr>
        <w:t>Estime également</w:t>
      </w:r>
      <w:r w:rsidRPr="009931D9">
        <w:rPr>
          <w:rFonts w:ascii="Arial" w:hAnsi="Arial" w:cs="Arial"/>
          <w:sz w:val="22"/>
          <w:szCs w:val="22"/>
        </w:rPr>
        <w:t xml:space="preserve"> que, d</w:t>
      </w:r>
      <w:r w:rsidR="009C104E">
        <w:rPr>
          <w:rFonts w:ascii="Arial" w:hAnsi="Arial" w:cs="Arial"/>
          <w:sz w:val="22"/>
          <w:szCs w:val="22"/>
        </w:rPr>
        <w:t>’</w:t>
      </w:r>
      <w:r w:rsidRPr="009931D9">
        <w:rPr>
          <w:rFonts w:ascii="Arial" w:hAnsi="Arial" w:cs="Arial"/>
          <w:sz w:val="22"/>
          <w:szCs w:val="22"/>
        </w:rPr>
        <w:t>après les informations contenues dans le dossier, la demande satisfait aux critères d</w:t>
      </w:r>
      <w:r w:rsidR="009C104E">
        <w:rPr>
          <w:rFonts w:ascii="Arial" w:hAnsi="Arial" w:cs="Arial"/>
          <w:sz w:val="22"/>
          <w:szCs w:val="22"/>
        </w:rPr>
        <w:t>’</w:t>
      </w:r>
      <w:r w:rsidRPr="009931D9">
        <w:rPr>
          <w:rFonts w:ascii="Arial" w:hAnsi="Arial" w:cs="Arial"/>
          <w:sz w:val="22"/>
          <w:szCs w:val="22"/>
        </w:rPr>
        <w:t>octroi de l</w:t>
      </w:r>
      <w:r w:rsidR="009C104E">
        <w:rPr>
          <w:rFonts w:ascii="Arial" w:hAnsi="Arial" w:cs="Arial"/>
          <w:sz w:val="22"/>
          <w:szCs w:val="22"/>
        </w:rPr>
        <w:t>’</w:t>
      </w:r>
      <w:r w:rsidRPr="009931D9">
        <w:rPr>
          <w:rFonts w:ascii="Arial" w:hAnsi="Arial" w:cs="Arial"/>
          <w:sz w:val="22"/>
          <w:szCs w:val="22"/>
        </w:rPr>
        <w:t>assistance internationale énoncés aux paragraphes 10 et 12 des Directives opérationnelles comme suit :</w:t>
      </w:r>
    </w:p>
    <w:p w14:paraId="19E76CDA" w14:textId="1D6E87C1" w:rsidR="00191F85" w:rsidRPr="009931D9" w:rsidRDefault="00191F85" w:rsidP="0044222D">
      <w:pPr>
        <w:tabs>
          <w:tab w:val="left" w:pos="567"/>
          <w:tab w:val="left" w:pos="1134"/>
          <w:tab w:val="left" w:pos="2268"/>
        </w:tabs>
        <w:spacing w:before="120" w:after="120"/>
        <w:ind w:left="1134" w:hanging="567"/>
        <w:jc w:val="both"/>
        <w:rPr>
          <w:rFonts w:ascii="Arial" w:hAnsi="Arial" w:cs="Arial"/>
          <w:sz w:val="22"/>
          <w:szCs w:val="22"/>
        </w:rPr>
      </w:pPr>
      <w:r w:rsidRPr="009931D9">
        <w:rPr>
          <w:rFonts w:ascii="Arial" w:hAnsi="Arial" w:cs="Arial"/>
          <w:sz w:val="22"/>
          <w:szCs w:val="22"/>
        </w:rPr>
        <w:t>A.1 :</w:t>
      </w:r>
      <w:r w:rsidR="00026BD9" w:rsidRPr="00026BD9">
        <w:rPr>
          <w:rFonts w:ascii="Arial" w:hAnsi="Arial" w:cs="Arial"/>
          <w:sz w:val="22"/>
          <w:szCs w:val="22"/>
        </w:rPr>
        <w:t xml:space="preserve"> </w:t>
      </w:r>
      <w:r w:rsidR="00026BD9" w:rsidRPr="00904C0F">
        <w:rPr>
          <w:rFonts w:ascii="Arial" w:hAnsi="Arial" w:cs="Arial"/>
          <w:sz w:val="22"/>
          <w:szCs w:val="22"/>
        </w:rPr>
        <w:tab/>
      </w:r>
      <w:r w:rsidRPr="009931D9">
        <w:rPr>
          <w:rFonts w:ascii="Arial" w:hAnsi="Arial" w:cs="Arial"/>
          <w:sz w:val="22"/>
          <w:szCs w:val="22"/>
        </w:rPr>
        <w:t>Le projet a été élaboré par la communauté et reflète les besoins et les attentes qu</w:t>
      </w:r>
      <w:r w:rsidR="009C104E">
        <w:rPr>
          <w:rFonts w:ascii="Arial" w:hAnsi="Arial" w:cs="Arial"/>
          <w:sz w:val="22"/>
          <w:szCs w:val="22"/>
        </w:rPr>
        <w:t>’</w:t>
      </w:r>
      <w:r w:rsidRPr="009931D9">
        <w:rPr>
          <w:rFonts w:ascii="Arial" w:hAnsi="Arial" w:cs="Arial"/>
          <w:sz w:val="22"/>
          <w:szCs w:val="22"/>
        </w:rPr>
        <w:t>elle a identifiés. Plus précisément, les membres de la communauté ont activement participé à l</w:t>
      </w:r>
      <w:r w:rsidR="009C104E">
        <w:rPr>
          <w:rFonts w:ascii="Arial" w:hAnsi="Arial" w:cs="Arial"/>
          <w:sz w:val="22"/>
          <w:szCs w:val="22"/>
        </w:rPr>
        <w:t>’</w:t>
      </w:r>
      <w:r w:rsidRPr="009931D9">
        <w:rPr>
          <w:rFonts w:ascii="Arial" w:hAnsi="Arial" w:cs="Arial"/>
          <w:sz w:val="22"/>
          <w:szCs w:val="22"/>
        </w:rPr>
        <w:t>identification et à l</w:t>
      </w:r>
      <w:r w:rsidR="009C104E">
        <w:rPr>
          <w:rFonts w:ascii="Arial" w:hAnsi="Arial" w:cs="Arial"/>
          <w:sz w:val="22"/>
          <w:szCs w:val="22"/>
        </w:rPr>
        <w:t>’</w:t>
      </w:r>
      <w:r w:rsidRPr="009931D9">
        <w:rPr>
          <w:rFonts w:ascii="Arial" w:hAnsi="Arial" w:cs="Arial"/>
          <w:sz w:val="22"/>
          <w:szCs w:val="22"/>
        </w:rPr>
        <w:t>inventaire des éléments du patrimoine culturel immatériel au cours d</w:t>
      </w:r>
      <w:r w:rsidR="009C104E">
        <w:rPr>
          <w:rFonts w:ascii="Arial" w:hAnsi="Arial" w:cs="Arial"/>
          <w:sz w:val="22"/>
          <w:szCs w:val="22"/>
        </w:rPr>
        <w:t>’</w:t>
      </w:r>
      <w:r w:rsidRPr="009931D9">
        <w:rPr>
          <w:rFonts w:ascii="Arial" w:hAnsi="Arial" w:cs="Arial"/>
          <w:sz w:val="22"/>
          <w:szCs w:val="22"/>
        </w:rPr>
        <w:t>ateliers et de réunions. Des partenaires représentant des organisations non gouvernementales, des institutions éducatives et culturelles locales et des centres d</w:t>
      </w:r>
      <w:r w:rsidR="009C104E">
        <w:rPr>
          <w:rFonts w:ascii="Arial" w:hAnsi="Arial" w:cs="Arial"/>
          <w:sz w:val="22"/>
          <w:szCs w:val="22"/>
        </w:rPr>
        <w:t>’</w:t>
      </w:r>
      <w:r w:rsidRPr="009931D9">
        <w:rPr>
          <w:rFonts w:ascii="Arial" w:hAnsi="Arial" w:cs="Arial"/>
          <w:sz w:val="22"/>
          <w:szCs w:val="22"/>
        </w:rPr>
        <w:t>expertise ont également participé au projet.</w:t>
      </w:r>
    </w:p>
    <w:p w14:paraId="5E47B1F9" w14:textId="345AC63D" w:rsidR="0044222D" w:rsidRDefault="00191F85" w:rsidP="0044222D">
      <w:pPr>
        <w:tabs>
          <w:tab w:val="left" w:pos="567"/>
          <w:tab w:val="left" w:pos="1134"/>
          <w:tab w:val="left" w:pos="2268"/>
        </w:tabs>
        <w:spacing w:before="120" w:after="120"/>
        <w:ind w:left="1134" w:hanging="567"/>
        <w:jc w:val="both"/>
        <w:rPr>
          <w:rFonts w:ascii="Arial" w:hAnsi="Arial" w:cs="Arial"/>
          <w:sz w:val="22"/>
          <w:szCs w:val="22"/>
        </w:rPr>
      </w:pPr>
      <w:r w:rsidRPr="009931D9">
        <w:rPr>
          <w:rFonts w:ascii="Arial" w:hAnsi="Arial" w:cs="Arial"/>
          <w:sz w:val="22"/>
          <w:szCs w:val="22"/>
        </w:rPr>
        <w:t>A.2 :</w:t>
      </w:r>
      <w:r w:rsidR="00026BD9" w:rsidRPr="00026BD9">
        <w:rPr>
          <w:rFonts w:ascii="Arial" w:hAnsi="Arial" w:cs="Arial"/>
          <w:sz w:val="22"/>
          <w:szCs w:val="22"/>
        </w:rPr>
        <w:t xml:space="preserve"> </w:t>
      </w:r>
      <w:r w:rsidR="00026BD9" w:rsidRPr="00904C0F">
        <w:rPr>
          <w:rFonts w:ascii="Arial" w:hAnsi="Arial" w:cs="Arial"/>
          <w:sz w:val="22"/>
          <w:szCs w:val="22"/>
        </w:rPr>
        <w:tab/>
      </w:r>
      <w:r w:rsidRPr="009931D9">
        <w:rPr>
          <w:rFonts w:ascii="Arial" w:hAnsi="Arial" w:cs="Arial"/>
          <w:sz w:val="22"/>
          <w:szCs w:val="22"/>
        </w:rPr>
        <w:t>Le montant de l</w:t>
      </w:r>
      <w:r w:rsidR="009C104E">
        <w:rPr>
          <w:rFonts w:ascii="Arial" w:hAnsi="Arial" w:cs="Arial"/>
          <w:sz w:val="22"/>
          <w:szCs w:val="22"/>
        </w:rPr>
        <w:t>’</w:t>
      </w:r>
      <w:r w:rsidRPr="009931D9">
        <w:rPr>
          <w:rFonts w:ascii="Arial" w:hAnsi="Arial" w:cs="Arial"/>
          <w:sz w:val="22"/>
          <w:szCs w:val="22"/>
        </w:rPr>
        <w:t>assistance internationale demandée est adapté. L</w:t>
      </w:r>
      <w:r w:rsidR="009C104E">
        <w:rPr>
          <w:rFonts w:ascii="Arial" w:hAnsi="Arial" w:cs="Arial"/>
          <w:sz w:val="22"/>
          <w:szCs w:val="22"/>
        </w:rPr>
        <w:t>’</w:t>
      </w:r>
      <w:r w:rsidRPr="009931D9">
        <w:rPr>
          <w:rFonts w:ascii="Arial" w:hAnsi="Arial" w:cs="Arial"/>
          <w:sz w:val="22"/>
          <w:szCs w:val="22"/>
        </w:rPr>
        <w:t>État partie contribue au budget à hauteur de 4 %, et 10 % proviennent d</w:t>
      </w:r>
      <w:r w:rsidR="009C104E">
        <w:rPr>
          <w:rFonts w:ascii="Arial" w:hAnsi="Arial" w:cs="Arial"/>
          <w:sz w:val="22"/>
          <w:szCs w:val="22"/>
        </w:rPr>
        <w:t>’</w:t>
      </w:r>
      <w:r w:rsidRPr="009931D9">
        <w:rPr>
          <w:rFonts w:ascii="Arial" w:hAnsi="Arial" w:cs="Arial"/>
          <w:sz w:val="22"/>
          <w:szCs w:val="22"/>
        </w:rPr>
        <w:t>autres sources nationales. Suffisamment détaillés et clairement présentés, le budget et le calendrier rendent bien compte des activités proposées.</w:t>
      </w:r>
    </w:p>
    <w:p w14:paraId="7F8381EF" w14:textId="1973E4CF" w:rsidR="00191F85" w:rsidRPr="00BE24F1" w:rsidRDefault="00191F85" w:rsidP="0044222D">
      <w:pPr>
        <w:tabs>
          <w:tab w:val="left" w:pos="567"/>
          <w:tab w:val="left" w:pos="1134"/>
          <w:tab w:val="left" w:pos="2268"/>
        </w:tabs>
        <w:spacing w:before="120" w:after="120"/>
        <w:ind w:left="1134" w:hanging="567"/>
        <w:jc w:val="both"/>
        <w:rPr>
          <w:rFonts w:ascii="Arial" w:hAnsi="Arial" w:cs="Arial"/>
          <w:sz w:val="22"/>
          <w:szCs w:val="22"/>
        </w:rPr>
      </w:pPr>
      <w:r w:rsidRPr="00BE24F1">
        <w:rPr>
          <w:rFonts w:ascii="Arial" w:hAnsi="Arial" w:cs="Arial"/>
          <w:sz w:val="22"/>
          <w:szCs w:val="22"/>
        </w:rPr>
        <w:t>A.3 :</w:t>
      </w:r>
      <w:r w:rsidR="00026BD9" w:rsidRPr="00026BD9">
        <w:rPr>
          <w:rFonts w:ascii="Arial" w:hAnsi="Arial" w:cs="Arial"/>
          <w:sz w:val="22"/>
          <w:szCs w:val="22"/>
        </w:rPr>
        <w:t xml:space="preserve"> </w:t>
      </w:r>
      <w:r w:rsidR="00026BD9" w:rsidRPr="00904C0F">
        <w:rPr>
          <w:rFonts w:ascii="Arial" w:hAnsi="Arial" w:cs="Arial"/>
          <w:sz w:val="22"/>
          <w:szCs w:val="22"/>
        </w:rPr>
        <w:tab/>
      </w:r>
      <w:r w:rsidRPr="00BE24F1">
        <w:rPr>
          <w:rFonts w:ascii="Arial" w:hAnsi="Arial" w:cs="Arial"/>
          <w:sz w:val="22"/>
          <w:szCs w:val="22"/>
        </w:rPr>
        <w:t>Les activités proposées sont générales et ne portent pas uniquement sur le rite du printemps de Juraǔski Karahod. Les mesures de sauvegarde ne répondent pas à des menaces précises et risquent même d</w:t>
      </w:r>
      <w:r w:rsidR="009C104E">
        <w:rPr>
          <w:rFonts w:ascii="Arial" w:hAnsi="Arial" w:cs="Arial"/>
          <w:sz w:val="22"/>
          <w:szCs w:val="22"/>
        </w:rPr>
        <w:t>’</w:t>
      </w:r>
      <w:r w:rsidRPr="00BE24F1">
        <w:rPr>
          <w:rFonts w:ascii="Arial" w:hAnsi="Arial" w:cs="Arial"/>
          <w:sz w:val="22"/>
          <w:szCs w:val="22"/>
        </w:rPr>
        <w:t>altérer les fonctions sociales et culturelles de l</w:t>
      </w:r>
      <w:r w:rsidR="009C104E">
        <w:rPr>
          <w:rFonts w:ascii="Arial" w:hAnsi="Arial" w:cs="Arial"/>
          <w:sz w:val="22"/>
          <w:szCs w:val="22"/>
        </w:rPr>
        <w:t>’</w:t>
      </w:r>
      <w:r w:rsidRPr="00BE24F1">
        <w:rPr>
          <w:rFonts w:ascii="Arial" w:hAnsi="Arial" w:cs="Arial"/>
          <w:sz w:val="22"/>
          <w:szCs w:val="22"/>
        </w:rPr>
        <w:t>élément. En effet, la création de festivals et le développement des activités touristiques pourraient aggraver les phénomènes de décontextualisation et de folklorisation. Cet enjeu est d</w:t>
      </w:r>
      <w:r w:rsidR="009C104E">
        <w:rPr>
          <w:rFonts w:ascii="Arial" w:hAnsi="Arial" w:cs="Arial"/>
          <w:sz w:val="22"/>
          <w:szCs w:val="22"/>
        </w:rPr>
        <w:t>’</w:t>
      </w:r>
      <w:r w:rsidRPr="00BE24F1">
        <w:rPr>
          <w:rFonts w:ascii="Arial" w:hAnsi="Arial" w:cs="Arial"/>
          <w:sz w:val="22"/>
          <w:szCs w:val="22"/>
        </w:rPr>
        <w:t>autant plus problématique qu</w:t>
      </w:r>
      <w:r w:rsidR="009C104E">
        <w:rPr>
          <w:rFonts w:ascii="Arial" w:hAnsi="Arial" w:cs="Arial"/>
          <w:sz w:val="22"/>
          <w:szCs w:val="22"/>
        </w:rPr>
        <w:t>’</w:t>
      </w:r>
      <w:r w:rsidRPr="00BE24F1">
        <w:rPr>
          <w:rFonts w:ascii="Arial" w:hAnsi="Arial" w:cs="Arial"/>
          <w:sz w:val="22"/>
          <w:szCs w:val="22"/>
        </w:rPr>
        <w:t>il n</w:t>
      </w:r>
      <w:r w:rsidR="009C104E">
        <w:rPr>
          <w:rFonts w:ascii="Arial" w:hAnsi="Arial" w:cs="Arial"/>
          <w:sz w:val="22"/>
          <w:szCs w:val="22"/>
        </w:rPr>
        <w:t>’</w:t>
      </w:r>
      <w:r w:rsidRPr="00BE24F1">
        <w:rPr>
          <w:rFonts w:ascii="Arial" w:hAnsi="Arial" w:cs="Arial"/>
          <w:sz w:val="22"/>
          <w:szCs w:val="22"/>
        </w:rPr>
        <w:t>existe pas d</w:t>
      </w:r>
      <w:r w:rsidR="009C104E">
        <w:rPr>
          <w:rFonts w:ascii="Arial" w:hAnsi="Arial" w:cs="Arial"/>
          <w:sz w:val="22"/>
          <w:szCs w:val="22"/>
        </w:rPr>
        <w:t>’</w:t>
      </w:r>
      <w:r w:rsidRPr="00BE24F1">
        <w:rPr>
          <w:rFonts w:ascii="Arial" w:hAnsi="Arial" w:cs="Arial"/>
          <w:sz w:val="22"/>
          <w:szCs w:val="22"/>
        </w:rPr>
        <w:t>outil de suivi permettant d</w:t>
      </w:r>
      <w:r w:rsidR="009C104E">
        <w:rPr>
          <w:rFonts w:ascii="Arial" w:hAnsi="Arial" w:cs="Arial"/>
          <w:sz w:val="22"/>
          <w:szCs w:val="22"/>
        </w:rPr>
        <w:t>’</w:t>
      </w:r>
      <w:r w:rsidRPr="00BE24F1">
        <w:rPr>
          <w:rFonts w:ascii="Arial" w:hAnsi="Arial" w:cs="Arial"/>
          <w:sz w:val="22"/>
          <w:szCs w:val="22"/>
        </w:rPr>
        <w:t>évaluer les impacts du projet.</w:t>
      </w:r>
    </w:p>
    <w:p w14:paraId="731C9DEA" w14:textId="0E1D9A17" w:rsidR="00191F85" w:rsidRPr="00BE24F1" w:rsidRDefault="00191F85" w:rsidP="0044222D">
      <w:pPr>
        <w:tabs>
          <w:tab w:val="left" w:pos="567"/>
          <w:tab w:val="left" w:pos="1134"/>
          <w:tab w:val="left" w:pos="2268"/>
        </w:tabs>
        <w:spacing w:before="120" w:after="120"/>
        <w:ind w:left="1134" w:hanging="567"/>
        <w:jc w:val="both"/>
        <w:rPr>
          <w:rFonts w:ascii="Arial" w:hAnsi="Arial" w:cs="Arial"/>
          <w:sz w:val="22"/>
          <w:szCs w:val="22"/>
        </w:rPr>
      </w:pPr>
      <w:r w:rsidRPr="00BE24F1">
        <w:rPr>
          <w:rFonts w:ascii="Arial" w:hAnsi="Arial" w:cs="Arial"/>
          <w:sz w:val="22"/>
          <w:szCs w:val="22"/>
        </w:rPr>
        <w:t>A.4 :</w:t>
      </w:r>
      <w:r w:rsidR="00026BD9" w:rsidRPr="00026BD9">
        <w:rPr>
          <w:rFonts w:ascii="Arial" w:hAnsi="Arial" w:cs="Arial"/>
          <w:sz w:val="22"/>
          <w:szCs w:val="22"/>
        </w:rPr>
        <w:t xml:space="preserve"> </w:t>
      </w:r>
      <w:r w:rsidR="00026BD9" w:rsidRPr="00904C0F">
        <w:rPr>
          <w:rFonts w:ascii="Arial" w:hAnsi="Arial" w:cs="Arial"/>
          <w:sz w:val="22"/>
          <w:szCs w:val="22"/>
        </w:rPr>
        <w:tab/>
      </w:r>
      <w:r w:rsidRPr="00BE24F1">
        <w:rPr>
          <w:rFonts w:ascii="Arial" w:hAnsi="Arial" w:cs="Arial"/>
          <w:sz w:val="22"/>
          <w:szCs w:val="22"/>
        </w:rPr>
        <w:t>L</w:t>
      </w:r>
      <w:r w:rsidR="009C104E">
        <w:rPr>
          <w:rFonts w:ascii="Arial" w:hAnsi="Arial" w:cs="Arial"/>
          <w:sz w:val="22"/>
          <w:szCs w:val="22"/>
        </w:rPr>
        <w:t>’</w:t>
      </w:r>
      <w:r w:rsidRPr="00BE24F1">
        <w:rPr>
          <w:rFonts w:ascii="Arial" w:hAnsi="Arial" w:cs="Arial"/>
          <w:sz w:val="22"/>
          <w:szCs w:val="22"/>
        </w:rPr>
        <w:t xml:space="preserve">absence de mesures spécifiques et la nature générale du projet </w:t>
      </w:r>
      <w:r>
        <w:rPr>
          <w:rFonts w:ascii="Arial" w:hAnsi="Arial" w:cs="Arial"/>
          <w:sz w:val="22"/>
          <w:szCs w:val="22"/>
        </w:rPr>
        <w:t>ne permettent pas de déterminer s</w:t>
      </w:r>
      <w:r w:rsidR="009C104E">
        <w:rPr>
          <w:rFonts w:ascii="Arial" w:hAnsi="Arial" w:cs="Arial"/>
          <w:sz w:val="22"/>
          <w:szCs w:val="22"/>
        </w:rPr>
        <w:t>’</w:t>
      </w:r>
      <w:r>
        <w:rPr>
          <w:rFonts w:ascii="Arial" w:hAnsi="Arial" w:cs="Arial"/>
          <w:sz w:val="22"/>
          <w:szCs w:val="22"/>
        </w:rPr>
        <w:t xml:space="preserve">il aura </w:t>
      </w:r>
      <w:r w:rsidRPr="00BE24F1">
        <w:rPr>
          <w:rFonts w:ascii="Arial" w:hAnsi="Arial" w:cs="Arial"/>
          <w:sz w:val="22"/>
          <w:szCs w:val="22"/>
        </w:rPr>
        <w:t>des résultats</w:t>
      </w:r>
      <w:r>
        <w:rPr>
          <w:rFonts w:ascii="Arial" w:hAnsi="Arial" w:cs="Arial"/>
          <w:sz w:val="22"/>
          <w:szCs w:val="22"/>
        </w:rPr>
        <w:t xml:space="preserve"> durables</w:t>
      </w:r>
      <w:r w:rsidRPr="00BE24F1">
        <w:rPr>
          <w:rFonts w:ascii="Arial" w:hAnsi="Arial" w:cs="Arial"/>
          <w:sz w:val="22"/>
          <w:szCs w:val="22"/>
        </w:rPr>
        <w:t>. Le manque d</w:t>
      </w:r>
      <w:r w:rsidR="009C104E">
        <w:rPr>
          <w:rFonts w:ascii="Arial" w:hAnsi="Arial" w:cs="Arial"/>
          <w:sz w:val="22"/>
          <w:szCs w:val="22"/>
        </w:rPr>
        <w:t>’</w:t>
      </w:r>
      <w:r w:rsidRPr="00BE24F1">
        <w:rPr>
          <w:rFonts w:ascii="Arial" w:hAnsi="Arial" w:cs="Arial"/>
          <w:sz w:val="22"/>
          <w:szCs w:val="22"/>
        </w:rPr>
        <w:t>implication des jeunes et la participation envisagée des touristes pourraient même avoir des répercussions négatives à moyen et long terme. En outre, le dossier ne donne pas d</w:t>
      </w:r>
      <w:r w:rsidR="009C104E">
        <w:rPr>
          <w:rFonts w:ascii="Arial" w:hAnsi="Arial" w:cs="Arial"/>
          <w:sz w:val="22"/>
          <w:szCs w:val="22"/>
        </w:rPr>
        <w:t>’</w:t>
      </w:r>
      <w:r w:rsidRPr="00BE24F1">
        <w:rPr>
          <w:rFonts w:ascii="Arial" w:hAnsi="Arial" w:cs="Arial"/>
          <w:sz w:val="22"/>
          <w:szCs w:val="22"/>
        </w:rPr>
        <w:t>informations claires sur la manière dont l</w:t>
      </w:r>
      <w:r w:rsidR="009C104E">
        <w:rPr>
          <w:rFonts w:ascii="Arial" w:hAnsi="Arial" w:cs="Arial"/>
          <w:sz w:val="22"/>
          <w:szCs w:val="22"/>
        </w:rPr>
        <w:t>’</w:t>
      </w:r>
      <w:r w:rsidRPr="00BE24F1">
        <w:rPr>
          <w:rFonts w:ascii="Arial" w:hAnsi="Arial" w:cs="Arial"/>
          <w:sz w:val="22"/>
          <w:szCs w:val="22"/>
        </w:rPr>
        <w:t>État partie poursuivra un grand nombre des activités proposées une fois le projet terminé.</w:t>
      </w:r>
    </w:p>
    <w:p w14:paraId="2BE31005" w14:textId="20AD235F" w:rsidR="00191F85" w:rsidRPr="00BE24F1" w:rsidRDefault="00191F85" w:rsidP="0044222D">
      <w:pPr>
        <w:tabs>
          <w:tab w:val="left" w:pos="567"/>
          <w:tab w:val="left" w:pos="1134"/>
          <w:tab w:val="left" w:pos="2268"/>
        </w:tabs>
        <w:spacing w:before="120" w:after="120"/>
        <w:ind w:left="1134" w:hanging="567"/>
        <w:jc w:val="both"/>
        <w:rPr>
          <w:rFonts w:ascii="Arial" w:hAnsi="Arial" w:cs="Arial"/>
          <w:sz w:val="22"/>
          <w:szCs w:val="22"/>
        </w:rPr>
      </w:pPr>
      <w:r w:rsidRPr="00BE24F1">
        <w:rPr>
          <w:rFonts w:ascii="Arial" w:hAnsi="Arial" w:cs="Arial"/>
          <w:sz w:val="22"/>
          <w:szCs w:val="22"/>
        </w:rPr>
        <w:t>A.5 :</w:t>
      </w:r>
      <w:r w:rsidR="00026BD9" w:rsidRPr="00026BD9">
        <w:rPr>
          <w:rFonts w:ascii="Arial" w:hAnsi="Arial" w:cs="Arial"/>
          <w:sz w:val="22"/>
          <w:szCs w:val="22"/>
        </w:rPr>
        <w:t xml:space="preserve"> </w:t>
      </w:r>
      <w:r w:rsidR="00026BD9" w:rsidRPr="00904C0F">
        <w:rPr>
          <w:rFonts w:ascii="Arial" w:hAnsi="Arial" w:cs="Arial"/>
          <w:sz w:val="22"/>
          <w:szCs w:val="22"/>
        </w:rPr>
        <w:tab/>
      </w:r>
      <w:r w:rsidRPr="00BE24F1">
        <w:rPr>
          <w:rFonts w:ascii="Arial" w:hAnsi="Arial" w:cs="Arial"/>
          <w:sz w:val="22"/>
          <w:szCs w:val="22"/>
        </w:rPr>
        <w:t>L</w:t>
      </w:r>
      <w:r w:rsidR="009C104E">
        <w:rPr>
          <w:rFonts w:ascii="Arial" w:hAnsi="Arial" w:cs="Arial"/>
          <w:sz w:val="22"/>
          <w:szCs w:val="22"/>
        </w:rPr>
        <w:t>’</w:t>
      </w:r>
      <w:r w:rsidRPr="00BE24F1">
        <w:rPr>
          <w:rFonts w:ascii="Arial" w:hAnsi="Arial" w:cs="Arial"/>
          <w:sz w:val="22"/>
          <w:szCs w:val="22"/>
        </w:rPr>
        <w:t>État partie participe au financement du projet, comme cela est clairement indiqué dans le budget. Si l</w:t>
      </w:r>
      <w:r w:rsidR="009C104E">
        <w:rPr>
          <w:rFonts w:ascii="Arial" w:hAnsi="Arial" w:cs="Arial"/>
          <w:sz w:val="22"/>
          <w:szCs w:val="22"/>
        </w:rPr>
        <w:t>’</w:t>
      </w:r>
      <w:r w:rsidRPr="00BE24F1">
        <w:rPr>
          <w:rFonts w:ascii="Arial" w:hAnsi="Arial" w:cs="Arial"/>
          <w:sz w:val="22"/>
          <w:szCs w:val="22"/>
        </w:rPr>
        <w:t>on ajoute la contribution des autorités locales et d</w:t>
      </w:r>
      <w:r w:rsidR="009C104E">
        <w:rPr>
          <w:rFonts w:ascii="Arial" w:hAnsi="Arial" w:cs="Arial"/>
          <w:sz w:val="22"/>
          <w:szCs w:val="22"/>
        </w:rPr>
        <w:t>’</w:t>
      </w:r>
      <w:r w:rsidRPr="00BE24F1">
        <w:rPr>
          <w:rFonts w:ascii="Arial" w:hAnsi="Arial" w:cs="Arial"/>
          <w:sz w:val="22"/>
          <w:szCs w:val="22"/>
        </w:rPr>
        <w:t>autres partenaires, la part couverte par les acteurs nationaux représente 14 % du budget. L</w:t>
      </w:r>
      <w:r w:rsidR="009C104E">
        <w:rPr>
          <w:rFonts w:ascii="Arial" w:hAnsi="Arial" w:cs="Arial"/>
          <w:sz w:val="22"/>
          <w:szCs w:val="22"/>
        </w:rPr>
        <w:t>’</w:t>
      </w:r>
      <w:r w:rsidRPr="00BE24F1">
        <w:rPr>
          <w:rFonts w:ascii="Arial" w:hAnsi="Arial" w:cs="Arial"/>
          <w:sz w:val="22"/>
          <w:szCs w:val="22"/>
        </w:rPr>
        <w:t xml:space="preserve">État partie fournira également une contribution en nature : la coordination et le soutien logistique seront assurés par le Centre des traditions locales et le </w:t>
      </w:r>
      <w:r>
        <w:rPr>
          <w:rFonts w:ascii="Arial" w:hAnsi="Arial" w:cs="Arial"/>
          <w:sz w:val="22"/>
          <w:szCs w:val="22"/>
        </w:rPr>
        <w:t>D</w:t>
      </w:r>
      <w:r w:rsidRPr="00BE24F1">
        <w:rPr>
          <w:rFonts w:ascii="Arial" w:hAnsi="Arial" w:cs="Arial"/>
          <w:sz w:val="22"/>
          <w:szCs w:val="22"/>
        </w:rPr>
        <w:t xml:space="preserve">épartement de la </w:t>
      </w:r>
      <w:r>
        <w:rPr>
          <w:rFonts w:ascii="Arial" w:hAnsi="Arial" w:cs="Arial"/>
          <w:sz w:val="22"/>
          <w:szCs w:val="22"/>
        </w:rPr>
        <w:t>c</w:t>
      </w:r>
      <w:r w:rsidRPr="00BE24F1">
        <w:rPr>
          <w:rFonts w:ascii="Arial" w:hAnsi="Arial" w:cs="Arial"/>
          <w:sz w:val="22"/>
          <w:szCs w:val="22"/>
        </w:rPr>
        <w:t xml:space="preserve">ulture, des </w:t>
      </w:r>
      <w:r>
        <w:rPr>
          <w:rFonts w:ascii="Arial" w:hAnsi="Arial" w:cs="Arial"/>
          <w:sz w:val="22"/>
          <w:szCs w:val="22"/>
        </w:rPr>
        <w:t>a</w:t>
      </w:r>
      <w:r w:rsidRPr="00BE24F1">
        <w:rPr>
          <w:rFonts w:ascii="Arial" w:hAnsi="Arial" w:cs="Arial"/>
          <w:sz w:val="22"/>
          <w:szCs w:val="22"/>
        </w:rPr>
        <w:t xml:space="preserve">ffaires publiques et de la </w:t>
      </w:r>
      <w:r>
        <w:rPr>
          <w:rFonts w:ascii="Arial" w:hAnsi="Arial" w:cs="Arial"/>
          <w:sz w:val="22"/>
          <w:szCs w:val="22"/>
        </w:rPr>
        <w:t>j</w:t>
      </w:r>
      <w:r w:rsidRPr="00BE24F1">
        <w:rPr>
          <w:rFonts w:ascii="Arial" w:hAnsi="Arial" w:cs="Arial"/>
          <w:sz w:val="22"/>
          <w:szCs w:val="22"/>
        </w:rPr>
        <w:t>eunesse du district de Žytkaviči.</w:t>
      </w:r>
    </w:p>
    <w:p w14:paraId="40EA6CF4" w14:textId="2D32C423" w:rsidR="00191F85" w:rsidRPr="00BE24F1" w:rsidRDefault="00191F85" w:rsidP="0044222D">
      <w:pPr>
        <w:tabs>
          <w:tab w:val="left" w:pos="567"/>
          <w:tab w:val="left" w:pos="1134"/>
          <w:tab w:val="left" w:pos="2268"/>
        </w:tabs>
        <w:spacing w:before="120" w:after="120"/>
        <w:ind w:left="1134" w:hanging="567"/>
        <w:jc w:val="both"/>
        <w:rPr>
          <w:rFonts w:ascii="Arial" w:hAnsi="Arial" w:cs="Arial"/>
          <w:sz w:val="22"/>
          <w:szCs w:val="22"/>
        </w:rPr>
      </w:pPr>
      <w:r w:rsidRPr="00BE24F1">
        <w:rPr>
          <w:rFonts w:ascii="Arial" w:hAnsi="Arial" w:cs="Arial"/>
          <w:sz w:val="22"/>
          <w:szCs w:val="22"/>
        </w:rPr>
        <w:t>A.6 :</w:t>
      </w:r>
      <w:r w:rsidR="00026BD9" w:rsidRPr="00026BD9">
        <w:rPr>
          <w:rFonts w:ascii="Arial" w:hAnsi="Arial" w:cs="Arial"/>
          <w:sz w:val="22"/>
          <w:szCs w:val="22"/>
        </w:rPr>
        <w:t xml:space="preserve"> </w:t>
      </w:r>
      <w:r w:rsidR="00026BD9" w:rsidRPr="00904C0F">
        <w:rPr>
          <w:rFonts w:ascii="Arial" w:hAnsi="Arial" w:cs="Arial"/>
          <w:sz w:val="22"/>
          <w:szCs w:val="22"/>
        </w:rPr>
        <w:tab/>
      </w:r>
      <w:r w:rsidRPr="00BE24F1">
        <w:rPr>
          <w:rFonts w:ascii="Arial" w:hAnsi="Arial" w:cs="Arial"/>
          <w:sz w:val="22"/>
          <w:szCs w:val="22"/>
        </w:rPr>
        <w:t>Le projet impliquera des experts des institutions éducatives et culturelles pertinentes, ainsi que des partenaires d</w:t>
      </w:r>
      <w:r w:rsidR="009C104E">
        <w:rPr>
          <w:rFonts w:ascii="Arial" w:hAnsi="Arial" w:cs="Arial"/>
          <w:sz w:val="22"/>
          <w:szCs w:val="22"/>
        </w:rPr>
        <w:t>’</w:t>
      </w:r>
      <w:r w:rsidRPr="00BE24F1">
        <w:rPr>
          <w:rFonts w:ascii="Arial" w:hAnsi="Arial" w:cs="Arial"/>
          <w:sz w:val="22"/>
          <w:szCs w:val="22"/>
        </w:rPr>
        <w:t>organisations non gouvernementales actives dans le domaine de la sauvegarde du patrimoine culturel immatériel qui participeront à l</w:t>
      </w:r>
      <w:r w:rsidR="009C104E">
        <w:rPr>
          <w:rFonts w:ascii="Arial" w:hAnsi="Arial" w:cs="Arial"/>
          <w:sz w:val="22"/>
          <w:szCs w:val="22"/>
        </w:rPr>
        <w:t>’</w:t>
      </w:r>
      <w:r w:rsidRPr="00BE24F1">
        <w:rPr>
          <w:rFonts w:ascii="Arial" w:hAnsi="Arial" w:cs="Arial"/>
          <w:sz w:val="22"/>
          <w:szCs w:val="22"/>
        </w:rPr>
        <w:t>élaboration et à la mise en œuvre des programmes de renforcement des capacités. Cinq ateliers sont prévus pour encourager les jeunes à identifier les éléments de leur patrimoine et à en dresser l</w:t>
      </w:r>
      <w:r w:rsidR="009C104E">
        <w:rPr>
          <w:rFonts w:ascii="Arial" w:hAnsi="Arial" w:cs="Arial"/>
          <w:sz w:val="22"/>
          <w:szCs w:val="22"/>
        </w:rPr>
        <w:t>’</w:t>
      </w:r>
      <w:r w:rsidRPr="00BE24F1">
        <w:rPr>
          <w:rFonts w:ascii="Arial" w:hAnsi="Arial" w:cs="Arial"/>
          <w:sz w:val="22"/>
          <w:szCs w:val="22"/>
        </w:rPr>
        <w:t>inventaire. Des ressources électroniques pertinentes sur la culture locale seront mises à disposition, et des mesures seront prises pour créer et entretenir un réseau de partenaires participant à la sauvegarde du patrimoine de Pahost. Le projet mettra également en place une série de formations et d</w:t>
      </w:r>
      <w:r w:rsidR="009C104E">
        <w:rPr>
          <w:rFonts w:ascii="Arial" w:hAnsi="Arial" w:cs="Arial"/>
          <w:sz w:val="22"/>
          <w:szCs w:val="22"/>
        </w:rPr>
        <w:t>’</w:t>
      </w:r>
      <w:r w:rsidRPr="00BE24F1">
        <w:rPr>
          <w:rFonts w:ascii="Arial" w:hAnsi="Arial" w:cs="Arial"/>
          <w:sz w:val="22"/>
          <w:szCs w:val="22"/>
        </w:rPr>
        <w:t>ateliers à l</w:t>
      </w:r>
      <w:r w:rsidR="009C104E">
        <w:rPr>
          <w:rFonts w:ascii="Arial" w:hAnsi="Arial" w:cs="Arial"/>
          <w:sz w:val="22"/>
          <w:szCs w:val="22"/>
        </w:rPr>
        <w:t>’</w:t>
      </w:r>
      <w:r w:rsidRPr="00BE24F1">
        <w:rPr>
          <w:rFonts w:ascii="Arial" w:hAnsi="Arial" w:cs="Arial"/>
          <w:sz w:val="22"/>
          <w:szCs w:val="22"/>
        </w:rPr>
        <w:t>intention des habitants de la région et des jeunes sur les thèmes suivants : sauvegarde du patrimoine culturel immatériel, gestion collective du droit d</w:t>
      </w:r>
      <w:r w:rsidR="009C104E">
        <w:rPr>
          <w:rFonts w:ascii="Arial" w:hAnsi="Arial" w:cs="Arial"/>
          <w:sz w:val="22"/>
          <w:szCs w:val="22"/>
        </w:rPr>
        <w:t>’</w:t>
      </w:r>
      <w:r w:rsidRPr="00BE24F1">
        <w:rPr>
          <w:rFonts w:ascii="Arial" w:hAnsi="Arial" w:cs="Arial"/>
          <w:sz w:val="22"/>
          <w:szCs w:val="22"/>
        </w:rPr>
        <w:t>auteur dans le domaine du patrimoine culturel immatériel, développement de petites entreprises, gestion de projet et levée de fonds.</w:t>
      </w:r>
    </w:p>
    <w:p w14:paraId="7C629E02" w14:textId="0F9B3747" w:rsidR="00191F85" w:rsidRPr="00BE24F1" w:rsidRDefault="00191F85" w:rsidP="0044222D">
      <w:pPr>
        <w:tabs>
          <w:tab w:val="left" w:pos="567"/>
          <w:tab w:val="left" w:pos="1134"/>
          <w:tab w:val="left" w:pos="2268"/>
        </w:tabs>
        <w:spacing w:before="120" w:after="120"/>
        <w:ind w:left="1134" w:hanging="567"/>
        <w:jc w:val="both"/>
        <w:rPr>
          <w:rFonts w:ascii="Arial" w:hAnsi="Arial" w:cs="Arial"/>
          <w:sz w:val="22"/>
          <w:szCs w:val="22"/>
        </w:rPr>
      </w:pPr>
      <w:r w:rsidRPr="00BE24F1">
        <w:rPr>
          <w:rFonts w:ascii="Arial" w:hAnsi="Arial" w:cs="Arial"/>
          <w:sz w:val="22"/>
          <w:szCs w:val="22"/>
        </w:rPr>
        <w:t>A.7 :</w:t>
      </w:r>
      <w:r w:rsidR="00026BD9" w:rsidRPr="00026BD9">
        <w:rPr>
          <w:rFonts w:ascii="Arial" w:hAnsi="Arial" w:cs="Arial"/>
          <w:sz w:val="22"/>
          <w:szCs w:val="22"/>
        </w:rPr>
        <w:t xml:space="preserve"> </w:t>
      </w:r>
      <w:r w:rsidR="00026BD9" w:rsidRPr="00904C0F">
        <w:rPr>
          <w:rFonts w:ascii="Arial" w:hAnsi="Arial" w:cs="Arial"/>
          <w:sz w:val="22"/>
          <w:szCs w:val="22"/>
        </w:rPr>
        <w:tab/>
      </w:r>
      <w:r w:rsidRPr="008242AB">
        <w:rPr>
          <w:rFonts w:ascii="Arial" w:hAnsi="Arial" w:cs="Arial"/>
          <w:sz w:val="22"/>
          <w:szCs w:val="22"/>
        </w:rPr>
        <w:t>L</w:t>
      </w:r>
      <w:r w:rsidR="009C104E">
        <w:rPr>
          <w:rFonts w:ascii="Arial" w:hAnsi="Arial" w:cs="Arial"/>
          <w:sz w:val="22"/>
          <w:szCs w:val="22"/>
        </w:rPr>
        <w:t>’</w:t>
      </w:r>
      <w:r w:rsidRPr="008242AB">
        <w:rPr>
          <w:rFonts w:ascii="Arial" w:hAnsi="Arial" w:cs="Arial"/>
          <w:sz w:val="22"/>
          <w:szCs w:val="22"/>
        </w:rPr>
        <w:t>État partie a bénéficié d</w:t>
      </w:r>
      <w:r w:rsidR="009C104E">
        <w:rPr>
          <w:rFonts w:ascii="Arial" w:hAnsi="Arial" w:cs="Arial"/>
          <w:sz w:val="22"/>
          <w:szCs w:val="22"/>
        </w:rPr>
        <w:t>’</w:t>
      </w:r>
      <w:r w:rsidRPr="008242AB">
        <w:rPr>
          <w:rFonts w:ascii="Arial" w:hAnsi="Arial" w:cs="Arial"/>
          <w:sz w:val="22"/>
          <w:szCs w:val="22"/>
        </w:rPr>
        <w:t>une assistance internationale du Fonds du patrimoine culturel immatériel, pour un projet intitulé « </w:t>
      </w:r>
      <w:hyperlink r:id="rId54" w:history="1">
        <w:r w:rsidRPr="00B167F4">
          <w:rPr>
            <w:rFonts w:ascii="Arial" w:hAnsi="Arial" w:cs="Arial"/>
            <w:bCs/>
            <w:iCs/>
            <w:sz w:val="22"/>
            <w:szCs w:val="22"/>
          </w:rPr>
          <w:t>Établissement de l</w:t>
        </w:r>
        <w:r w:rsidR="009C104E">
          <w:rPr>
            <w:rFonts w:ascii="Arial" w:hAnsi="Arial" w:cs="Arial"/>
            <w:bCs/>
            <w:iCs/>
            <w:sz w:val="22"/>
            <w:szCs w:val="22"/>
          </w:rPr>
          <w:t>’</w:t>
        </w:r>
        <w:r w:rsidRPr="00B167F4">
          <w:rPr>
            <w:rFonts w:ascii="Arial" w:hAnsi="Arial" w:cs="Arial"/>
            <w:bCs/>
            <w:iCs/>
            <w:sz w:val="22"/>
            <w:szCs w:val="22"/>
          </w:rPr>
          <w:t>inventaire national du patrimoine culturel immatériel au Belarus</w:t>
        </w:r>
      </w:hyperlink>
      <w:r w:rsidRPr="008242AB">
        <w:rPr>
          <w:rFonts w:ascii="Arial" w:hAnsi="Arial" w:cs="Arial"/>
          <w:sz w:val="22"/>
          <w:szCs w:val="22"/>
        </w:rPr>
        <w:t> » (201</w:t>
      </w:r>
      <w:r>
        <w:rPr>
          <w:rFonts w:ascii="Arial" w:hAnsi="Arial" w:cs="Arial"/>
          <w:sz w:val="22"/>
          <w:szCs w:val="22"/>
        </w:rPr>
        <w:t>1</w:t>
      </w:r>
      <w:r w:rsidRPr="008242AB">
        <w:rPr>
          <w:rFonts w:ascii="Arial" w:hAnsi="Arial" w:cs="Arial"/>
          <w:sz w:val="22"/>
          <w:szCs w:val="22"/>
        </w:rPr>
        <w:t>–201</w:t>
      </w:r>
      <w:r>
        <w:rPr>
          <w:rFonts w:ascii="Arial" w:hAnsi="Arial" w:cs="Arial"/>
          <w:sz w:val="22"/>
          <w:szCs w:val="22"/>
        </w:rPr>
        <w:t>3</w:t>
      </w:r>
      <w:r w:rsidRPr="008242AB">
        <w:rPr>
          <w:rFonts w:ascii="Arial" w:hAnsi="Arial" w:cs="Arial"/>
          <w:sz w:val="22"/>
          <w:szCs w:val="22"/>
        </w:rPr>
        <w:t xml:space="preserve">, </w:t>
      </w:r>
      <w:r w:rsidRPr="00096FEC">
        <w:rPr>
          <w:rFonts w:ascii="Arial" w:hAnsi="Arial" w:cs="Arial"/>
          <w:sz w:val="22"/>
          <w:szCs w:val="22"/>
          <w:shd w:val="clear" w:color="auto" w:fill="FFFFFF"/>
        </w:rPr>
        <w:t>133 600</w:t>
      </w:r>
      <w:r w:rsidRPr="00096FEC">
        <w:rPr>
          <w:rFonts w:ascii="Arial" w:hAnsi="Arial" w:cs="Arial"/>
          <w:sz w:val="22"/>
          <w:szCs w:val="22"/>
        </w:rPr>
        <w:t xml:space="preserve"> dollars </w:t>
      </w:r>
      <w:r w:rsidRPr="008242AB">
        <w:rPr>
          <w:rFonts w:ascii="Arial" w:hAnsi="Arial" w:cs="Arial"/>
          <w:sz w:val="22"/>
          <w:szCs w:val="22"/>
        </w:rPr>
        <w:t>des États-Unis). Ce projet a été mené avec succès et conformément aux réglementations de l</w:t>
      </w:r>
      <w:r w:rsidR="009C104E">
        <w:rPr>
          <w:rFonts w:ascii="Arial" w:hAnsi="Arial" w:cs="Arial"/>
          <w:sz w:val="22"/>
          <w:szCs w:val="22"/>
        </w:rPr>
        <w:t>’</w:t>
      </w:r>
      <w:r w:rsidRPr="008242AB">
        <w:rPr>
          <w:rFonts w:ascii="Arial" w:hAnsi="Arial" w:cs="Arial"/>
          <w:sz w:val="22"/>
          <w:szCs w:val="22"/>
        </w:rPr>
        <w:t>UNESCO.</w:t>
      </w:r>
    </w:p>
    <w:p w14:paraId="6E54BCF7" w14:textId="50A459FC" w:rsidR="00191F85" w:rsidRPr="00BE24F1" w:rsidRDefault="00191F85" w:rsidP="0044222D">
      <w:pPr>
        <w:tabs>
          <w:tab w:val="left" w:pos="567"/>
          <w:tab w:val="left" w:pos="1134"/>
          <w:tab w:val="left" w:pos="2268"/>
        </w:tabs>
        <w:spacing w:before="120" w:after="120"/>
        <w:ind w:left="1134" w:hanging="708"/>
        <w:jc w:val="both"/>
        <w:rPr>
          <w:rFonts w:ascii="Arial" w:hAnsi="Arial" w:cs="Arial"/>
          <w:sz w:val="22"/>
          <w:szCs w:val="22"/>
        </w:rPr>
      </w:pPr>
      <w:r w:rsidRPr="00BE24F1">
        <w:rPr>
          <w:rFonts w:ascii="Arial" w:hAnsi="Arial" w:cs="Arial"/>
          <w:sz w:val="22"/>
          <w:szCs w:val="22"/>
        </w:rPr>
        <w:t>10(a) :</w:t>
      </w:r>
      <w:r w:rsidR="00026BD9" w:rsidRPr="00026BD9">
        <w:rPr>
          <w:rFonts w:ascii="Arial" w:hAnsi="Arial" w:cs="Arial"/>
          <w:sz w:val="22"/>
          <w:szCs w:val="22"/>
        </w:rPr>
        <w:t xml:space="preserve"> </w:t>
      </w:r>
      <w:r w:rsidR="00026BD9" w:rsidRPr="00904C0F">
        <w:rPr>
          <w:rFonts w:ascii="Arial" w:hAnsi="Arial" w:cs="Arial"/>
          <w:sz w:val="22"/>
          <w:szCs w:val="22"/>
        </w:rPr>
        <w:tab/>
      </w:r>
      <w:r w:rsidRPr="00BE24F1">
        <w:rPr>
          <w:rFonts w:ascii="Arial" w:hAnsi="Arial" w:cs="Arial"/>
          <w:sz w:val="22"/>
          <w:szCs w:val="22"/>
        </w:rPr>
        <w:t>Le projet a une portée locale et implique des partenaires de mise en œuvre locaux et nationaux.</w:t>
      </w:r>
    </w:p>
    <w:p w14:paraId="43E254E1" w14:textId="4C1D056B" w:rsidR="00191F85" w:rsidRPr="00BE24F1" w:rsidRDefault="00191F85" w:rsidP="0044222D">
      <w:pPr>
        <w:tabs>
          <w:tab w:val="left" w:pos="567"/>
          <w:tab w:val="left" w:pos="1134"/>
          <w:tab w:val="left" w:pos="2268"/>
        </w:tabs>
        <w:spacing w:before="120" w:after="120"/>
        <w:ind w:left="1134" w:hanging="708"/>
        <w:jc w:val="both"/>
        <w:rPr>
          <w:rFonts w:ascii="Arial" w:hAnsi="Arial" w:cs="Arial"/>
          <w:sz w:val="22"/>
          <w:szCs w:val="22"/>
        </w:rPr>
      </w:pPr>
      <w:r>
        <w:rPr>
          <w:rFonts w:ascii="Arial" w:hAnsi="Arial" w:cs="Arial"/>
          <w:sz w:val="22"/>
          <w:szCs w:val="22"/>
        </w:rPr>
        <w:t>10</w:t>
      </w:r>
      <w:r w:rsidRPr="00BE24F1">
        <w:rPr>
          <w:rFonts w:ascii="Arial" w:hAnsi="Arial" w:cs="Arial"/>
          <w:sz w:val="22"/>
          <w:szCs w:val="22"/>
        </w:rPr>
        <w:t>(b) :</w:t>
      </w:r>
      <w:r w:rsidR="00026BD9" w:rsidRPr="00026BD9">
        <w:rPr>
          <w:rFonts w:ascii="Arial" w:hAnsi="Arial" w:cs="Arial"/>
          <w:sz w:val="22"/>
          <w:szCs w:val="22"/>
        </w:rPr>
        <w:t xml:space="preserve"> </w:t>
      </w:r>
      <w:r w:rsidR="00026BD9" w:rsidRPr="00904C0F">
        <w:rPr>
          <w:rFonts w:ascii="Arial" w:hAnsi="Arial" w:cs="Arial"/>
          <w:sz w:val="22"/>
          <w:szCs w:val="22"/>
        </w:rPr>
        <w:tab/>
      </w:r>
      <w:r w:rsidRPr="00BE24F1">
        <w:rPr>
          <w:rFonts w:ascii="Arial" w:hAnsi="Arial" w:cs="Arial"/>
          <w:sz w:val="22"/>
          <w:szCs w:val="22"/>
        </w:rPr>
        <w:t>L</w:t>
      </w:r>
      <w:r w:rsidR="009C104E">
        <w:rPr>
          <w:rFonts w:ascii="Arial" w:hAnsi="Arial" w:cs="Arial"/>
          <w:sz w:val="22"/>
          <w:szCs w:val="22"/>
        </w:rPr>
        <w:t>’</w:t>
      </w:r>
      <w:r w:rsidRPr="00BE24F1">
        <w:rPr>
          <w:rFonts w:ascii="Arial" w:hAnsi="Arial" w:cs="Arial"/>
          <w:sz w:val="22"/>
          <w:szCs w:val="22"/>
        </w:rPr>
        <w:t xml:space="preserve">intérêt de la communauté scientifique et des médias de la région de Turaŭ, ainsi que les projets destinés aux jeunes, pourraient </w:t>
      </w:r>
      <w:r>
        <w:rPr>
          <w:rFonts w:ascii="Arial" w:hAnsi="Arial" w:cs="Arial"/>
          <w:sz w:val="22"/>
          <w:szCs w:val="22"/>
        </w:rPr>
        <w:t>apporter plus de soutien</w:t>
      </w:r>
      <w:r w:rsidRPr="00BE24F1">
        <w:rPr>
          <w:rFonts w:ascii="Arial" w:hAnsi="Arial" w:cs="Arial"/>
          <w:sz w:val="22"/>
          <w:szCs w:val="22"/>
        </w:rPr>
        <w:t xml:space="preserve"> financi</w:t>
      </w:r>
      <w:r>
        <w:rPr>
          <w:rFonts w:ascii="Arial" w:hAnsi="Arial" w:cs="Arial"/>
          <w:sz w:val="22"/>
          <w:szCs w:val="22"/>
        </w:rPr>
        <w:t>er</w:t>
      </w:r>
      <w:r w:rsidRPr="00BE24F1">
        <w:rPr>
          <w:rFonts w:ascii="Arial" w:hAnsi="Arial" w:cs="Arial"/>
          <w:sz w:val="22"/>
          <w:szCs w:val="22"/>
        </w:rPr>
        <w:t xml:space="preserve"> et technique pour le développement de la culture </w:t>
      </w:r>
      <w:r>
        <w:rPr>
          <w:rFonts w:ascii="Arial" w:hAnsi="Arial" w:cs="Arial"/>
          <w:sz w:val="22"/>
          <w:szCs w:val="22"/>
        </w:rPr>
        <w:t xml:space="preserve">et des activités </w:t>
      </w:r>
      <w:r w:rsidRPr="00BE24F1">
        <w:rPr>
          <w:rFonts w:ascii="Arial" w:hAnsi="Arial" w:cs="Arial"/>
          <w:sz w:val="22"/>
          <w:szCs w:val="22"/>
        </w:rPr>
        <w:t>régionale</w:t>
      </w:r>
      <w:r>
        <w:rPr>
          <w:rFonts w:ascii="Arial" w:hAnsi="Arial" w:cs="Arial"/>
          <w:sz w:val="22"/>
          <w:szCs w:val="22"/>
        </w:rPr>
        <w:t>s</w:t>
      </w:r>
      <w:r w:rsidRPr="00BE24F1">
        <w:rPr>
          <w:rFonts w:ascii="Arial" w:hAnsi="Arial" w:cs="Arial"/>
          <w:sz w:val="22"/>
          <w:szCs w:val="22"/>
        </w:rPr>
        <w:t>. La réussite du projet pourrait susciter l</w:t>
      </w:r>
      <w:r w:rsidR="009C104E">
        <w:rPr>
          <w:rFonts w:ascii="Arial" w:hAnsi="Arial" w:cs="Arial"/>
          <w:sz w:val="22"/>
          <w:szCs w:val="22"/>
        </w:rPr>
        <w:t>’</w:t>
      </w:r>
      <w:r w:rsidRPr="00BE24F1">
        <w:rPr>
          <w:rFonts w:ascii="Arial" w:hAnsi="Arial" w:cs="Arial"/>
          <w:sz w:val="22"/>
          <w:szCs w:val="22"/>
        </w:rPr>
        <w:t>intérêt du public pour le patrimoine culturel immatériel de toute la Polésie, et encourager des c</w:t>
      </w:r>
      <w:r>
        <w:rPr>
          <w:rFonts w:ascii="Arial" w:hAnsi="Arial" w:cs="Arial"/>
          <w:sz w:val="22"/>
          <w:szCs w:val="22"/>
        </w:rPr>
        <w:t>ontributions supplémentaires.</w:t>
      </w:r>
    </w:p>
    <w:p w14:paraId="5CDF0D09" w14:textId="467A06EF" w:rsidR="00191F85" w:rsidRPr="00E25AA1" w:rsidRDefault="00191F85" w:rsidP="00771F30">
      <w:pPr>
        <w:numPr>
          <w:ilvl w:val="1"/>
          <w:numId w:val="24"/>
        </w:numPr>
        <w:tabs>
          <w:tab w:val="left" w:pos="567"/>
          <w:tab w:val="left" w:pos="1701"/>
          <w:tab w:val="left" w:pos="2268"/>
        </w:tabs>
        <w:spacing w:before="120" w:after="120"/>
        <w:ind w:left="567"/>
        <w:jc w:val="both"/>
        <w:rPr>
          <w:rFonts w:ascii="Arial" w:hAnsi="Arial" w:cs="Arial"/>
          <w:sz w:val="22"/>
          <w:szCs w:val="22"/>
        </w:rPr>
      </w:pPr>
      <w:r w:rsidRPr="00026BD9">
        <w:rPr>
          <w:rFonts w:ascii="Arial" w:hAnsi="Arial" w:cs="Arial"/>
          <w:sz w:val="22"/>
          <w:szCs w:val="22"/>
          <w:u w:val="single"/>
        </w:rPr>
        <w:t>Décide</w:t>
      </w:r>
      <w:r w:rsidR="00C27207" w:rsidRPr="00026BD9">
        <w:rPr>
          <w:rFonts w:ascii="Arial" w:hAnsi="Arial" w:cs="Arial"/>
          <w:sz w:val="22"/>
          <w:szCs w:val="22"/>
          <w:u w:val="single"/>
        </w:rPr>
        <w:t xml:space="preserve"> en outre</w:t>
      </w:r>
      <w:r w:rsidR="00C27207" w:rsidRPr="00B932EA">
        <w:rPr>
          <w:rFonts w:ascii="Arial" w:hAnsi="Arial" w:cs="Arial"/>
          <w:sz w:val="22"/>
          <w:szCs w:val="22"/>
          <w:u w:val="single"/>
        </w:rPr>
        <w:t xml:space="preserve"> d</w:t>
      </w:r>
      <w:r w:rsidR="009C104E" w:rsidRPr="00B932EA">
        <w:rPr>
          <w:rFonts w:ascii="Arial" w:hAnsi="Arial" w:cs="Arial"/>
          <w:sz w:val="22"/>
          <w:szCs w:val="22"/>
          <w:u w:val="single"/>
        </w:rPr>
        <w:t>’</w:t>
      </w:r>
      <w:r w:rsidR="00C27207" w:rsidRPr="00B932EA">
        <w:rPr>
          <w:rFonts w:ascii="Arial" w:hAnsi="Arial" w:cs="Arial"/>
          <w:sz w:val="22"/>
          <w:szCs w:val="22"/>
          <w:u w:val="single"/>
        </w:rPr>
        <w:t>approuver</w:t>
      </w:r>
      <w:r w:rsidR="00C27207" w:rsidRPr="00A400B1">
        <w:rPr>
          <w:rFonts w:ascii="Arial" w:hAnsi="Arial" w:cs="Arial"/>
          <w:sz w:val="22"/>
          <w:szCs w:val="22"/>
        </w:rPr>
        <w:t xml:space="preserve"> la demande d</w:t>
      </w:r>
      <w:r w:rsidR="009C104E">
        <w:rPr>
          <w:rFonts w:ascii="Arial" w:hAnsi="Arial" w:cs="Arial"/>
          <w:sz w:val="22"/>
          <w:szCs w:val="22"/>
        </w:rPr>
        <w:t>’</w:t>
      </w:r>
      <w:r w:rsidR="00C27207" w:rsidRPr="00A400B1">
        <w:rPr>
          <w:rFonts w:ascii="Arial" w:hAnsi="Arial" w:cs="Arial"/>
          <w:sz w:val="22"/>
          <w:szCs w:val="22"/>
        </w:rPr>
        <w:t>assistance internationale de l</w:t>
      </w:r>
      <w:r w:rsidR="009C104E">
        <w:rPr>
          <w:rFonts w:ascii="Arial" w:hAnsi="Arial" w:cs="Arial"/>
          <w:sz w:val="22"/>
          <w:szCs w:val="22"/>
        </w:rPr>
        <w:t>’</w:t>
      </w:r>
      <w:r w:rsidR="00C27207" w:rsidRPr="00A400B1">
        <w:rPr>
          <w:rFonts w:ascii="Arial" w:hAnsi="Arial" w:cs="Arial"/>
          <w:sz w:val="22"/>
          <w:szCs w:val="22"/>
        </w:rPr>
        <w:t>État partie</w:t>
      </w:r>
      <w:r w:rsidR="00DB6735">
        <w:rPr>
          <w:rFonts w:ascii="Arial" w:hAnsi="Arial" w:cs="Arial"/>
          <w:sz w:val="22"/>
          <w:szCs w:val="22"/>
        </w:rPr>
        <w:t> ;</w:t>
      </w:r>
    </w:p>
    <w:p w14:paraId="4420FAB4" w14:textId="0D2A2F00" w:rsidR="00C27207" w:rsidRPr="00E25AA1" w:rsidRDefault="00C27207" w:rsidP="00B932EA">
      <w:pPr>
        <w:numPr>
          <w:ilvl w:val="1"/>
          <w:numId w:val="24"/>
        </w:numPr>
        <w:tabs>
          <w:tab w:val="left" w:pos="567"/>
          <w:tab w:val="left" w:pos="1701"/>
          <w:tab w:val="left" w:pos="2268"/>
        </w:tabs>
        <w:spacing w:before="120" w:after="120"/>
        <w:ind w:left="556" w:hanging="567"/>
        <w:jc w:val="both"/>
        <w:rPr>
          <w:rFonts w:ascii="Arial" w:hAnsi="Arial" w:cs="Arial"/>
          <w:sz w:val="22"/>
          <w:szCs w:val="22"/>
        </w:rPr>
      </w:pPr>
      <w:r w:rsidRPr="00A400B1">
        <w:rPr>
          <w:rFonts w:ascii="Arial" w:hAnsi="Arial" w:cs="Arial"/>
          <w:sz w:val="22"/>
          <w:szCs w:val="22"/>
          <w:u w:val="single"/>
        </w:rPr>
        <w:t>Rappelle</w:t>
      </w:r>
      <w:r w:rsidRPr="00A400B1">
        <w:rPr>
          <w:rFonts w:ascii="Arial" w:hAnsi="Arial" w:cs="Arial"/>
          <w:sz w:val="22"/>
          <w:szCs w:val="22"/>
        </w:rPr>
        <w:t xml:space="preserve"> à l</w:t>
      </w:r>
      <w:r w:rsidR="009C104E">
        <w:rPr>
          <w:rFonts w:ascii="Arial" w:hAnsi="Arial" w:cs="Arial"/>
          <w:sz w:val="22"/>
          <w:szCs w:val="22"/>
        </w:rPr>
        <w:t>’</w:t>
      </w:r>
      <w:r w:rsidRPr="00A400B1">
        <w:rPr>
          <w:rFonts w:ascii="Arial" w:hAnsi="Arial" w:cs="Arial"/>
          <w:sz w:val="22"/>
          <w:szCs w:val="22"/>
        </w:rPr>
        <w:t xml:space="preserve">État partie de porter une attention particulière </w:t>
      </w:r>
      <w:r w:rsidR="00026BD9">
        <w:rPr>
          <w:rFonts w:ascii="Arial" w:hAnsi="Arial" w:cs="Arial"/>
          <w:sz w:val="22"/>
          <w:szCs w:val="22"/>
        </w:rPr>
        <w:t>aux</w:t>
      </w:r>
      <w:r w:rsidR="00026BD9" w:rsidRPr="00A400B1">
        <w:rPr>
          <w:rFonts w:ascii="Arial" w:hAnsi="Arial" w:cs="Arial"/>
          <w:sz w:val="22"/>
          <w:szCs w:val="22"/>
        </w:rPr>
        <w:t xml:space="preserve"> </w:t>
      </w:r>
      <w:r w:rsidRPr="00A400B1">
        <w:rPr>
          <w:rFonts w:ascii="Arial" w:hAnsi="Arial" w:cs="Arial"/>
          <w:sz w:val="22"/>
          <w:szCs w:val="22"/>
        </w:rPr>
        <w:t>impact</w:t>
      </w:r>
      <w:r w:rsidR="00026BD9">
        <w:rPr>
          <w:rFonts w:ascii="Arial" w:hAnsi="Arial" w:cs="Arial"/>
          <w:sz w:val="22"/>
          <w:szCs w:val="22"/>
        </w:rPr>
        <w:t>s</w:t>
      </w:r>
      <w:r w:rsidRPr="00A400B1">
        <w:rPr>
          <w:rFonts w:ascii="Arial" w:hAnsi="Arial" w:cs="Arial"/>
          <w:sz w:val="22"/>
          <w:szCs w:val="22"/>
        </w:rPr>
        <w:t xml:space="preserve"> du tourisme non durable sur la sauvegarde de l</w:t>
      </w:r>
      <w:r w:rsidR="009C104E">
        <w:rPr>
          <w:rFonts w:ascii="Arial" w:hAnsi="Arial" w:cs="Arial"/>
          <w:sz w:val="22"/>
          <w:szCs w:val="22"/>
        </w:rPr>
        <w:t>’</w:t>
      </w:r>
      <w:r w:rsidRPr="00A400B1">
        <w:rPr>
          <w:rFonts w:ascii="Arial" w:hAnsi="Arial" w:cs="Arial"/>
          <w:sz w:val="22"/>
          <w:szCs w:val="22"/>
        </w:rPr>
        <w:t xml:space="preserve">élément du </w:t>
      </w:r>
      <w:r w:rsidR="00026BD9">
        <w:rPr>
          <w:rFonts w:ascii="Arial" w:hAnsi="Arial" w:cs="Arial"/>
          <w:sz w:val="22"/>
          <w:szCs w:val="22"/>
        </w:rPr>
        <w:t xml:space="preserve">patrimoine culturel immatériel </w:t>
      </w:r>
      <w:r w:rsidRPr="00A400B1">
        <w:rPr>
          <w:rFonts w:ascii="Arial" w:hAnsi="Arial" w:cs="Arial"/>
          <w:sz w:val="22"/>
          <w:szCs w:val="22"/>
        </w:rPr>
        <w:t>afin d</w:t>
      </w:r>
      <w:r w:rsidR="009C104E">
        <w:rPr>
          <w:rFonts w:ascii="Arial" w:hAnsi="Arial" w:cs="Arial"/>
          <w:sz w:val="22"/>
          <w:szCs w:val="22"/>
        </w:rPr>
        <w:t>’</w:t>
      </w:r>
      <w:r w:rsidRPr="00A400B1">
        <w:rPr>
          <w:rFonts w:ascii="Arial" w:hAnsi="Arial" w:cs="Arial"/>
          <w:sz w:val="22"/>
          <w:szCs w:val="22"/>
        </w:rPr>
        <w:t xml:space="preserve">empêcher sa décontextualisation et sa folklorisation. </w:t>
      </w:r>
      <w:r w:rsidR="00026BD9">
        <w:rPr>
          <w:rFonts w:ascii="Arial" w:hAnsi="Arial" w:cs="Arial"/>
          <w:sz w:val="22"/>
          <w:szCs w:val="22"/>
        </w:rPr>
        <w:t>À</w:t>
      </w:r>
      <w:r w:rsidRPr="00A400B1">
        <w:rPr>
          <w:rFonts w:ascii="Arial" w:hAnsi="Arial" w:cs="Arial"/>
          <w:sz w:val="22"/>
          <w:szCs w:val="22"/>
        </w:rPr>
        <w:t xml:space="preserve"> cet égard, </w:t>
      </w:r>
      <w:r w:rsidRPr="00A400B1">
        <w:rPr>
          <w:rFonts w:ascii="Arial" w:hAnsi="Arial" w:cs="Arial"/>
          <w:sz w:val="22"/>
          <w:szCs w:val="22"/>
          <w:u w:val="single"/>
        </w:rPr>
        <w:t>encourage</w:t>
      </w:r>
      <w:r w:rsidRPr="00A400B1">
        <w:rPr>
          <w:rFonts w:ascii="Arial" w:hAnsi="Arial" w:cs="Arial"/>
          <w:sz w:val="22"/>
          <w:szCs w:val="22"/>
        </w:rPr>
        <w:t xml:space="preserve"> l</w:t>
      </w:r>
      <w:r w:rsidR="009C104E">
        <w:rPr>
          <w:rFonts w:ascii="Arial" w:hAnsi="Arial" w:cs="Arial"/>
          <w:sz w:val="22"/>
          <w:szCs w:val="22"/>
        </w:rPr>
        <w:t>’</w:t>
      </w:r>
      <w:r w:rsidRPr="00A400B1">
        <w:rPr>
          <w:rFonts w:ascii="Arial" w:hAnsi="Arial" w:cs="Arial"/>
          <w:sz w:val="22"/>
          <w:szCs w:val="22"/>
        </w:rPr>
        <w:t>État partie à élaborer avec la communauté locale, un code éthique pour établir des règles d</w:t>
      </w:r>
      <w:r w:rsidR="009C104E">
        <w:rPr>
          <w:rFonts w:ascii="Arial" w:hAnsi="Arial" w:cs="Arial"/>
          <w:sz w:val="22"/>
          <w:szCs w:val="22"/>
        </w:rPr>
        <w:t>’</w:t>
      </w:r>
      <w:r w:rsidRPr="00A400B1">
        <w:rPr>
          <w:rFonts w:ascii="Arial" w:hAnsi="Arial" w:cs="Arial"/>
          <w:sz w:val="22"/>
          <w:szCs w:val="22"/>
        </w:rPr>
        <w:t>accès à l</w:t>
      </w:r>
      <w:r w:rsidR="009C104E">
        <w:rPr>
          <w:rFonts w:ascii="Arial" w:hAnsi="Arial" w:cs="Arial"/>
          <w:sz w:val="22"/>
          <w:szCs w:val="22"/>
        </w:rPr>
        <w:t>’</w:t>
      </w:r>
      <w:r w:rsidRPr="00A400B1">
        <w:rPr>
          <w:rFonts w:ascii="Arial" w:hAnsi="Arial" w:cs="Arial"/>
          <w:sz w:val="22"/>
          <w:szCs w:val="22"/>
        </w:rPr>
        <w:t xml:space="preserve">élément du </w:t>
      </w:r>
      <w:r w:rsidR="00026BD9">
        <w:rPr>
          <w:rFonts w:ascii="Arial" w:hAnsi="Arial" w:cs="Arial"/>
          <w:sz w:val="22"/>
          <w:szCs w:val="22"/>
        </w:rPr>
        <w:t>patrimoine culturel immatériel</w:t>
      </w:r>
      <w:r w:rsidR="00026BD9" w:rsidRPr="00A400B1">
        <w:rPr>
          <w:rFonts w:ascii="Arial" w:hAnsi="Arial" w:cs="Arial"/>
          <w:sz w:val="22"/>
          <w:szCs w:val="22"/>
        </w:rPr>
        <w:t xml:space="preserve"> </w:t>
      </w:r>
      <w:r w:rsidRPr="00A400B1">
        <w:rPr>
          <w:rFonts w:ascii="Arial" w:hAnsi="Arial" w:cs="Arial"/>
          <w:sz w:val="22"/>
          <w:szCs w:val="22"/>
        </w:rPr>
        <w:t>et s</w:t>
      </w:r>
      <w:r w:rsidR="009C104E">
        <w:rPr>
          <w:rFonts w:ascii="Arial" w:hAnsi="Arial" w:cs="Arial"/>
          <w:sz w:val="22"/>
          <w:szCs w:val="22"/>
        </w:rPr>
        <w:t>’</w:t>
      </w:r>
      <w:r w:rsidRPr="00A400B1">
        <w:rPr>
          <w:rFonts w:ascii="Arial" w:hAnsi="Arial" w:cs="Arial"/>
          <w:sz w:val="22"/>
          <w:szCs w:val="22"/>
        </w:rPr>
        <w:t>assurer du respect des restrictions d</w:t>
      </w:r>
      <w:r w:rsidR="009C104E">
        <w:rPr>
          <w:rFonts w:ascii="Arial" w:hAnsi="Arial" w:cs="Arial"/>
          <w:sz w:val="22"/>
          <w:szCs w:val="22"/>
        </w:rPr>
        <w:t>’</w:t>
      </w:r>
      <w:r w:rsidRPr="00A400B1">
        <w:rPr>
          <w:rFonts w:ascii="Arial" w:hAnsi="Arial" w:cs="Arial"/>
          <w:sz w:val="22"/>
          <w:szCs w:val="22"/>
        </w:rPr>
        <w:t xml:space="preserve">accès adoptées par la communauté. Il permet également de réduire au minimum les risques associés aux activités de sensibilisation et de tourisme, ainsi que de protéger les porteurs du </w:t>
      </w:r>
      <w:r w:rsidR="00026BD9">
        <w:rPr>
          <w:rFonts w:ascii="Arial" w:hAnsi="Arial" w:cs="Arial"/>
          <w:sz w:val="22"/>
          <w:szCs w:val="22"/>
        </w:rPr>
        <w:t>patrimoine culturel immatériel</w:t>
      </w:r>
      <w:r w:rsidR="00026BD9" w:rsidRPr="00A400B1">
        <w:rPr>
          <w:rFonts w:ascii="Arial" w:hAnsi="Arial" w:cs="Arial"/>
          <w:sz w:val="22"/>
          <w:szCs w:val="22"/>
        </w:rPr>
        <w:t xml:space="preserve"> </w:t>
      </w:r>
      <w:r w:rsidRPr="00A400B1">
        <w:rPr>
          <w:rFonts w:ascii="Arial" w:hAnsi="Arial" w:cs="Arial"/>
          <w:sz w:val="22"/>
          <w:szCs w:val="22"/>
        </w:rPr>
        <w:t>du détournement de leurs connaissances et compétences et de l</w:t>
      </w:r>
      <w:r w:rsidR="009C104E">
        <w:rPr>
          <w:rFonts w:ascii="Arial" w:hAnsi="Arial" w:cs="Arial"/>
          <w:sz w:val="22"/>
          <w:szCs w:val="22"/>
        </w:rPr>
        <w:t>’</w:t>
      </w:r>
      <w:r w:rsidRPr="00A400B1">
        <w:rPr>
          <w:rFonts w:ascii="Arial" w:hAnsi="Arial" w:cs="Arial"/>
          <w:sz w:val="22"/>
          <w:szCs w:val="22"/>
        </w:rPr>
        <w:t>exploitation du paysage culturel et naturel environnant</w:t>
      </w:r>
      <w:r w:rsidR="00DB6735">
        <w:rPr>
          <w:rFonts w:ascii="Arial" w:hAnsi="Arial" w:cs="Arial"/>
          <w:sz w:val="22"/>
          <w:szCs w:val="22"/>
        </w:rPr>
        <w:t>.</w:t>
      </w:r>
    </w:p>
    <w:p w14:paraId="55FB9A8A" w14:textId="5BC157C5" w:rsidR="0001502D" w:rsidRPr="0001502D" w:rsidRDefault="0001502D" w:rsidP="0001502D">
      <w:pPr>
        <w:keepNext/>
        <w:keepLines/>
        <w:spacing w:before="360" w:after="120"/>
        <w:outlineLvl w:val="1"/>
        <w:rPr>
          <w:rFonts w:ascii="Arial" w:eastAsia="SimSun" w:hAnsi="Arial" w:cs="Arial"/>
          <w:b/>
          <w:sz w:val="22"/>
          <w:szCs w:val="22"/>
        </w:rPr>
      </w:pPr>
      <w:bookmarkStart w:id="4" w:name="_DRAFT_DECISION_10.COM"/>
      <w:bookmarkStart w:id="5" w:name="Decision_10b1"/>
      <w:bookmarkEnd w:id="4"/>
      <w:r w:rsidRPr="0001502D">
        <w:rPr>
          <w:rFonts w:ascii="Arial" w:hAnsi="Arial"/>
          <w:b/>
          <w:sz w:val="22"/>
          <w:szCs w:val="22"/>
        </w:rPr>
        <w:t>DÉCISION 14.COM 10.b.1</w:t>
      </w:r>
    </w:p>
    <w:bookmarkEnd w:id="5"/>
    <w:p w14:paraId="30649074" w14:textId="77777777" w:rsidR="0001502D" w:rsidRPr="0001502D" w:rsidRDefault="0001502D" w:rsidP="0001502D">
      <w:pPr>
        <w:keepNext/>
        <w:tabs>
          <w:tab w:val="left" w:pos="567"/>
          <w:tab w:val="left" w:pos="1134"/>
          <w:tab w:val="left" w:pos="1701"/>
          <w:tab w:val="left" w:pos="2268"/>
        </w:tabs>
        <w:spacing w:before="120" w:after="120"/>
        <w:jc w:val="both"/>
        <w:rPr>
          <w:rFonts w:ascii="Arial" w:hAnsi="Arial" w:cs="Arial"/>
          <w:sz w:val="22"/>
          <w:szCs w:val="22"/>
        </w:rPr>
      </w:pPr>
      <w:r w:rsidRPr="0001502D">
        <w:rPr>
          <w:rFonts w:ascii="Arial" w:hAnsi="Arial" w:cs="Arial"/>
          <w:sz w:val="22"/>
          <w:szCs w:val="22"/>
        </w:rPr>
        <w:t>Le Comité,</w:t>
      </w:r>
    </w:p>
    <w:p w14:paraId="1D067055" w14:textId="7E33D93B" w:rsidR="0001502D" w:rsidRPr="0001502D" w:rsidRDefault="0001502D" w:rsidP="00771F30">
      <w:pPr>
        <w:numPr>
          <w:ilvl w:val="1"/>
          <w:numId w:val="26"/>
        </w:numPr>
        <w:pBdr>
          <w:top w:val="nil"/>
          <w:left w:val="nil"/>
          <w:bottom w:val="nil"/>
          <w:right w:val="nil"/>
          <w:between w:val="nil"/>
        </w:pBdr>
        <w:tabs>
          <w:tab w:val="left" w:pos="567"/>
          <w:tab w:val="left" w:pos="1701"/>
          <w:tab w:val="left" w:pos="2268"/>
        </w:tabs>
        <w:spacing w:before="120" w:after="120"/>
        <w:ind w:left="567"/>
        <w:jc w:val="both"/>
        <w:rPr>
          <w:rFonts w:ascii="Arial" w:eastAsia="Arial" w:hAnsi="Arial" w:cs="Arial"/>
          <w:color w:val="000000"/>
          <w:sz w:val="22"/>
          <w:szCs w:val="22"/>
        </w:rPr>
      </w:pPr>
      <w:r w:rsidRPr="0001502D">
        <w:rPr>
          <w:rFonts w:ascii="Arial" w:hAnsi="Arial" w:cs="Arial"/>
          <w:color w:val="000000"/>
          <w:sz w:val="22"/>
          <w:szCs w:val="22"/>
          <w:u w:val="single"/>
        </w:rPr>
        <w:t>Prend note</w:t>
      </w:r>
      <w:r w:rsidRPr="0001502D">
        <w:rPr>
          <w:rFonts w:ascii="Arial" w:hAnsi="Arial" w:cs="Arial"/>
          <w:color w:val="000000"/>
          <w:sz w:val="22"/>
          <w:szCs w:val="22"/>
        </w:rPr>
        <w:t xml:space="preserve"> que l</w:t>
      </w:r>
      <w:r w:rsidR="009C104E">
        <w:rPr>
          <w:rFonts w:ascii="Arial" w:hAnsi="Arial" w:cs="Arial"/>
          <w:color w:val="000000"/>
          <w:sz w:val="22"/>
          <w:szCs w:val="22"/>
        </w:rPr>
        <w:t>’</w:t>
      </w:r>
      <w:r w:rsidRPr="0001502D">
        <w:rPr>
          <w:rFonts w:ascii="Arial" w:hAnsi="Arial" w:cs="Arial"/>
          <w:color w:val="000000"/>
          <w:sz w:val="22"/>
          <w:szCs w:val="22"/>
        </w:rPr>
        <w:t xml:space="preserve">Arménie a proposé la candidature de </w:t>
      </w:r>
      <w:r w:rsidRPr="0001502D">
        <w:rPr>
          <w:rFonts w:ascii="Arial" w:hAnsi="Arial" w:cs="Arial"/>
          <w:b/>
          <w:color w:val="000000"/>
          <w:sz w:val="22"/>
          <w:szCs w:val="22"/>
        </w:rPr>
        <w:t>l</w:t>
      </w:r>
      <w:r w:rsidR="009C104E">
        <w:rPr>
          <w:rFonts w:ascii="Arial" w:hAnsi="Arial" w:cs="Arial"/>
          <w:b/>
          <w:color w:val="000000"/>
          <w:sz w:val="22"/>
          <w:szCs w:val="22"/>
        </w:rPr>
        <w:t>’</w:t>
      </w:r>
      <w:r w:rsidRPr="0001502D">
        <w:rPr>
          <w:rFonts w:ascii="Arial" w:hAnsi="Arial" w:cs="Arial"/>
          <w:b/>
          <w:color w:val="000000"/>
          <w:sz w:val="22"/>
          <w:szCs w:val="22"/>
        </w:rPr>
        <w:t>écriture arménienne et ses expressions culturelles</w:t>
      </w:r>
      <w:r w:rsidRPr="0001502D">
        <w:rPr>
          <w:rFonts w:ascii="Arial" w:hAnsi="Arial" w:cs="Arial"/>
          <w:color w:val="000000"/>
          <w:sz w:val="22"/>
          <w:szCs w:val="22"/>
        </w:rPr>
        <w:t xml:space="preserve"> (n° 01513) pour inscription sur la Liste représentative du patrimoine culturel immatériel de l</w:t>
      </w:r>
      <w:r w:rsidR="009C104E">
        <w:rPr>
          <w:rFonts w:ascii="Arial" w:hAnsi="Arial" w:cs="Arial"/>
          <w:color w:val="000000"/>
          <w:sz w:val="22"/>
          <w:szCs w:val="22"/>
        </w:rPr>
        <w:t>’</w:t>
      </w:r>
      <w:r w:rsidRPr="0001502D">
        <w:rPr>
          <w:rFonts w:ascii="Arial" w:hAnsi="Arial" w:cs="Arial"/>
          <w:color w:val="000000"/>
          <w:sz w:val="22"/>
          <w:szCs w:val="22"/>
        </w:rPr>
        <w:t>humanité :</w:t>
      </w:r>
    </w:p>
    <w:p w14:paraId="1B103D94" w14:textId="0DE230FA" w:rsidR="0001502D" w:rsidRPr="0001502D" w:rsidRDefault="0001502D" w:rsidP="0001502D">
      <w:pPr>
        <w:tabs>
          <w:tab w:val="left" w:pos="567"/>
          <w:tab w:val="left" w:pos="1701"/>
          <w:tab w:val="left" w:pos="2268"/>
        </w:tabs>
        <w:spacing w:before="120" w:after="120"/>
        <w:ind w:left="567"/>
        <w:jc w:val="both"/>
        <w:rPr>
          <w:rFonts w:ascii="Arial" w:hAnsi="Arial" w:cs="Arial"/>
          <w:sz w:val="22"/>
          <w:szCs w:val="22"/>
        </w:rPr>
      </w:pPr>
      <w:r w:rsidRPr="0001502D">
        <w:rPr>
          <w:rFonts w:ascii="Arial" w:hAnsi="Arial" w:cs="Arial"/>
          <w:color w:val="000000"/>
          <w:sz w:val="22"/>
          <w:szCs w:val="22"/>
        </w:rPr>
        <w:t>L</w:t>
      </w:r>
      <w:r w:rsidR="009C104E">
        <w:rPr>
          <w:rFonts w:ascii="Arial" w:hAnsi="Arial" w:cs="Arial"/>
          <w:color w:val="000000"/>
          <w:sz w:val="22"/>
          <w:szCs w:val="22"/>
        </w:rPr>
        <w:t>’</w:t>
      </w:r>
      <w:r w:rsidRPr="0001502D">
        <w:rPr>
          <w:rFonts w:ascii="Arial" w:hAnsi="Arial" w:cs="Arial"/>
          <w:color w:val="000000"/>
          <w:sz w:val="22"/>
          <w:szCs w:val="22"/>
        </w:rPr>
        <w:t>écriture arménienne et ses expressions culturelles</w:t>
      </w:r>
      <w:r w:rsidRPr="0001502D" w:rsidDel="00550CB9">
        <w:rPr>
          <w:rFonts w:ascii="Arial" w:hAnsi="Arial" w:cs="Arial"/>
          <w:sz w:val="22"/>
          <w:szCs w:val="22"/>
        </w:rPr>
        <w:t xml:space="preserve"> </w:t>
      </w:r>
      <w:r w:rsidRPr="0001502D">
        <w:rPr>
          <w:rFonts w:ascii="Arial" w:hAnsi="Arial" w:cs="Arial"/>
          <w:sz w:val="22"/>
          <w:szCs w:val="22"/>
        </w:rPr>
        <w:t>englobent l</w:t>
      </w:r>
      <w:r w:rsidR="009C104E">
        <w:rPr>
          <w:rFonts w:ascii="Arial" w:hAnsi="Arial" w:cs="Arial"/>
          <w:sz w:val="22"/>
          <w:szCs w:val="22"/>
        </w:rPr>
        <w:t>’</w:t>
      </w:r>
      <w:r w:rsidRPr="0001502D">
        <w:rPr>
          <w:rFonts w:ascii="Arial" w:hAnsi="Arial" w:cs="Arial"/>
          <w:sz w:val="22"/>
          <w:szCs w:val="22"/>
        </w:rPr>
        <w:t>art plusieurs fois centenaire de l</w:t>
      </w:r>
      <w:r w:rsidR="009C104E">
        <w:rPr>
          <w:rFonts w:ascii="Arial" w:hAnsi="Arial" w:cs="Arial"/>
          <w:sz w:val="22"/>
          <w:szCs w:val="22"/>
        </w:rPr>
        <w:t>’</w:t>
      </w:r>
      <w:r w:rsidRPr="0001502D">
        <w:rPr>
          <w:rFonts w:ascii="Arial" w:hAnsi="Arial" w:cs="Arial"/>
          <w:sz w:val="22"/>
          <w:szCs w:val="22"/>
        </w:rPr>
        <w:t>écriture et des polices de caractères arméniennes, la riche culture de l</w:t>
      </w:r>
      <w:r w:rsidR="009C104E">
        <w:rPr>
          <w:rFonts w:ascii="Arial" w:hAnsi="Arial" w:cs="Arial"/>
          <w:sz w:val="22"/>
          <w:szCs w:val="22"/>
        </w:rPr>
        <w:t>’</w:t>
      </w:r>
      <w:r w:rsidRPr="0001502D">
        <w:rPr>
          <w:rFonts w:ascii="Arial" w:hAnsi="Arial" w:cs="Arial"/>
          <w:sz w:val="22"/>
          <w:szCs w:val="22"/>
        </w:rPr>
        <w:t>écriture décorative et ses divers usages. L</w:t>
      </w:r>
      <w:r w:rsidR="009C104E">
        <w:rPr>
          <w:rFonts w:ascii="Arial" w:hAnsi="Arial" w:cs="Arial"/>
          <w:sz w:val="22"/>
          <w:szCs w:val="22"/>
        </w:rPr>
        <w:t>’</w:t>
      </w:r>
      <w:r w:rsidRPr="0001502D">
        <w:rPr>
          <w:rFonts w:ascii="Arial" w:hAnsi="Arial" w:cs="Arial"/>
          <w:sz w:val="22"/>
          <w:szCs w:val="22"/>
        </w:rPr>
        <w:t>élément est basé sur l</w:t>
      </w:r>
      <w:r w:rsidR="009C104E">
        <w:rPr>
          <w:rFonts w:ascii="Arial" w:hAnsi="Arial" w:cs="Arial"/>
          <w:sz w:val="22"/>
          <w:szCs w:val="22"/>
        </w:rPr>
        <w:t>’</w:t>
      </w:r>
      <w:r w:rsidRPr="0001502D">
        <w:rPr>
          <w:rFonts w:ascii="Arial" w:hAnsi="Arial" w:cs="Arial"/>
          <w:sz w:val="22"/>
          <w:szCs w:val="22"/>
        </w:rPr>
        <w:t>alphabet arménien créé en 405 après J.-C. par Mesrop Machtots, selon le principe d</w:t>
      </w:r>
      <w:r w:rsidR="009C104E">
        <w:rPr>
          <w:rFonts w:ascii="Arial" w:hAnsi="Arial" w:cs="Arial"/>
          <w:sz w:val="22"/>
          <w:szCs w:val="22"/>
        </w:rPr>
        <w:t>’</w:t>
      </w:r>
      <w:r w:rsidRPr="0001502D">
        <w:rPr>
          <w:rFonts w:ascii="Arial" w:hAnsi="Arial" w:cs="Arial"/>
          <w:sz w:val="22"/>
          <w:szCs w:val="22"/>
        </w:rPr>
        <w:t>« une lettre pour un son ». L</w:t>
      </w:r>
      <w:r w:rsidR="009C104E">
        <w:rPr>
          <w:rFonts w:ascii="Arial" w:hAnsi="Arial" w:cs="Arial"/>
          <w:sz w:val="22"/>
          <w:szCs w:val="22"/>
        </w:rPr>
        <w:t>’</w:t>
      </w:r>
      <w:r w:rsidRPr="0001502D">
        <w:rPr>
          <w:rFonts w:ascii="Arial" w:hAnsi="Arial" w:cs="Arial"/>
          <w:sz w:val="22"/>
          <w:szCs w:val="22"/>
        </w:rPr>
        <w:t>élément se distingue également par sa très grande variété de polices décoratives, généralement classées en fonction de leur forme : nœuds, oiseaux, animaux, personnages et créatures mythiques ou imaginaires. Depuis leur invention, les lettres arméniennes ne servent pas seulement leur fonction première de création d</w:t>
      </w:r>
      <w:r w:rsidR="009C104E">
        <w:rPr>
          <w:rFonts w:ascii="Arial" w:hAnsi="Arial" w:cs="Arial"/>
          <w:sz w:val="22"/>
          <w:szCs w:val="22"/>
        </w:rPr>
        <w:t>’</w:t>
      </w:r>
      <w:r w:rsidRPr="0001502D">
        <w:rPr>
          <w:rFonts w:ascii="Arial" w:hAnsi="Arial" w:cs="Arial"/>
          <w:sz w:val="22"/>
          <w:szCs w:val="22"/>
        </w:rPr>
        <w:t>un patrimoine écrit mais aussi de nombres, cryptogrammes, énigmes, etc. Aujourd</w:t>
      </w:r>
      <w:r w:rsidR="009C104E">
        <w:rPr>
          <w:rFonts w:ascii="Arial" w:hAnsi="Arial" w:cs="Arial"/>
          <w:sz w:val="22"/>
          <w:szCs w:val="22"/>
        </w:rPr>
        <w:t>’</w:t>
      </w:r>
      <w:r w:rsidRPr="0001502D">
        <w:rPr>
          <w:rFonts w:ascii="Arial" w:hAnsi="Arial" w:cs="Arial"/>
          <w:sz w:val="22"/>
          <w:szCs w:val="22"/>
        </w:rPr>
        <w:t>hui, les lettres sont aussi utilisées dans l</w:t>
      </w:r>
      <w:r w:rsidR="009C104E">
        <w:rPr>
          <w:rFonts w:ascii="Arial" w:hAnsi="Arial" w:cs="Arial"/>
          <w:sz w:val="22"/>
          <w:szCs w:val="22"/>
        </w:rPr>
        <w:t>’</w:t>
      </w:r>
      <w:r w:rsidRPr="0001502D">
        <w:rPr>
          <w:rFonts w:ascii="Arial" w:hAnsi="Arial" w:cs="Arial"/>
          <w:sz w:val="22"/>
          <w:szCs w:val="22"/>
        </w:rPr>
        <w:t>artisanat. L</w:t>
      </w:r>
      <w:r w:rsidR="009C104E">
        <w:rPr>
          <w:rFonts w:ascii="Arial" w:hAnsi="Arial" w:cs="Arial"/>
          <w:sz w:val="22"/>
          <w:szCs w:val="22"/>
        </w:rPr>
        <w:t>’</w:t>
      </w:r>
      <w:r w:rsidRPr="0001502D">
        <w:rPr>
          <w:rFonts w:ascii="Arial" w:hAnsi="Arial" w:cs="Arial"/>
          <w:sz w:val="22"/>
          <w:szCs w:val="22"/>
        </w:rPr>
        <w:t>écriture arménienne a imprégné presque toutes les couches de la société, notamment l</w:t>
      </w:r>
      <w:r w:rsidR="009C104E">
        <w:rPr>
          <w:rFonts w:ascii="Arial" w:hAnsi="Arial" w:cs="Arial"/>
          <w:sz w:val="22"/>
          <w:szCs w:val="22"/>
        </w:rPr>
        <w:t>’</w:t>
      </w:r>
      <w:r w:rsidRPr="0001502D">
        <w:rPr>
          <w:rFonts w:ascii="Arial" w:hAnsi="Arial" w:cs="Arial"/>
          <w:sz w:val="22"/>
          <w:szCs w:val="22"/>
        </w:rPr>
        <w:t>art populaire. L</w:t>
      </w:r>
      <w:r w:rsidR="009C104E">
        <w:rPr>
          <w:rFonts w:ascii="Arial" w:hAnsi="Arial" w:cs="Arial"/>
          <w:sz w:val="22"/>
          <w:szCs w:val="22"/>
        </w:rPr>
        <w:t>’</w:t>
      </w:r>
      <w:r w:rsidRPr="0001502D">
        <w:rPr>
          <w:rFonts w:ascii="Arial" w:hAnsi="Arial" w:cs="Arial"/>
          <w:sz w:val="22"/>
          <w:szCs w:val="22"/>
        </w:rPr>
        <w:t>élément est pratiqué sur l</w:t>
      </w:r>
      <w:r w:rsidR="009C104E">
        <w:rPr>
          <w:rFonts w:ascii="Arial" w:hAnsi="Arial" w:cs="Arial"/>
          <w:sz w:val="22"/>
          <w:szCs w:val="22"/>
        </w:rPr>
        <w:t>’</w:t>
      </w:r>
      <w:r w:rsidRPr="0001502D">
        <w:rPr>
          <w:rFonts w:ascii="Arial" w:hAnsi="Arial" w:cs="Arial"/>
          <w:sz w:val="22"/>
          <w:szCs w:val="22"/>
        </w:rPr>
        <w:t>ensemble du territoire arménien et fait partie intégrante de l</w:t>
      </w:r>
      <w:r w:rsidR="009C104E">
        <w:rPr>
          <w:rFonts w:ascii="Arial" w:hAnsi="Arial" w:cs="Arial"/>
          <w:sz w:val="22"/>
          <w:szCs w:val="22"/>
        </w:rPr>
        <w:t>’</w:t>
      </w:r>
      <w:r w:rsidRPr="0001502D">
        <w:rPr>
          <w:rFonts w:ascii="Arial" w:hAnsi="Arial" w:cs="Arial"/>
          <w:sz w:val="22"/>
          <w:szCs w:val="22"/>
        </w:rPr>
        <w:t>identité culturelle du peuple arménien. Parmi les détenteurs et praticiens on trouve entre autres des artistes, des tapissiers, des brodeurs, des sculpteurs, des linguistes, des calligraphes et des bijoutiers. Les établissements d</w:t>
      </w:r>
      <w:r w:rsidR="009C104E">
        <w:rPr>
          <w:rFonts w:ascii="Arial" w:hAnsi="Arial" w:cs="Arial"/>
          <w:sz w:val="22"/>
          <w:szCs w:val="22"/>
        </w:rPr>
        <w:t>’</w:t>
      </w:r>
      <w:r w:rsidRPr="0001502D">
        <w:rPr>
          <w:rFonts w:ascii="Arial" w:hAnsi="Arial" w:cs="Arial"/>
          <w:sz w:val="22"/>
          <w:szCs w:val="22"/>
        </w:rPr>
        <w:t>enseignement, à tous les niveaux, contribuent à la transmission des connaissances et des savoir-faire connexes aux futures générations, et plusieurs centres pour la jeunesse accordent une grande importance à l</w:t>
      </w:r>
      <w:r w:rsidR="009C104E">
        <w:rPr>
          <w:rFonts w:ascii="Arial" w:hAnsi="Arial" w:cs="Arial"/>
          <w:sz w:val="22"/>
          <w:szCs w:val="22"/>
        </w:rPr>
        <w:t>’</w:t>
      </w:r>
      <w:r w:rsidRPr="0001502D">
        <w:rPr>
          <w:rFonts w:ascii="Arial" w:hAnsi="Arial" w:cs="Arial"/>
          <w:sz w:val="22"/>
          <w:szCs w:val="22"/>
        </w:rPr>
        <w:t>enseignement de l</w:t>
      </w:r>
      <w:r w:rsidR="009C104E">
        <w:rPr>
          <w:rFonts w:ascii="Arial" w:hAnsi="Arial" w:cs="Arial"/>
          <w:sz w:val="22"/>
          <w:szCs w:val="22"/>
        </w:rPr>
        <w:t>’</w:t>
      </w:r>
      <w:r w:rsidRPr="0001502D">
        <w:rPr>
          <w:rFonts w:ascii="Arial" w:hAnsi="Arial" w:cs="Arial"/>
          <w:sz w:val="22"/>
          <w:szCs w:val="22"/>
        </w:rPr>
        <w:t>écriture arménienne. Depuis 2008, un soutien constant est apporté au concours international annuel de design « Granshan ». L</w:t>
      </w:r>
      <w:r w:rsidR="009C104E">
        <w:rPr>
          <w:rFonts w:ascii="Arial" w:hAnsi="Arial" w:cs="Arial"/>
          <w:sz w:val="22"/>
          <w:szCs w:val="22"/>
        </w:rPr>
        <w:t>’</w:t>
      </w:r>
      <w:r w:rsidRPr="0001502D">
        <w:rPr>
          <w:rFonts w:ascii="Arial" w:hAnsi="Arial" w:cs="Arial"/>
          <w:sz w:val="22"/>
          <w:szCs w:val="22"/>
        </w:rPr>
        <w:t>Église apostolique arménienne est au cœur de la familiarisation des enfants et des jeunes à cet élément.</w:t>
      </w:r>
    </w:p>
    <w:p w14:paraId="5917224B" w14:textId="553E5D9D" w:rsidR="0001502D" w:rsidRPr="0001502D" w:rsidRDefault="0001502D" w:rsidP="00771F30">
      <w:pPr>
        <w:keepNext/>
        <w:numPr>
          <w:ilvl w:val="1"/>
          <w:numId w:val="26"/>
        </w:numPr>
        <w:pBdr>
          <w:top w:val="nil"/>
          <w:left w:val="nil"/>
          <w:bottom w:val="nil"/>
          <w:right w:val="nil"/>
          <w:between w:val="nil"/>
        </w:pBdr>
        <w:tabs>
          <w:tab w:val="left" w:pos="567"/>
          <w:tab w:val="left" w:pos="1701"/>
          <w:tab w:val="left" w:pos="2268"/>
        </w:tabs>
        <w:spacing w:before="120" w:after="120"/>
        <w:ind w:left="567"/>
        <w:jc w:val="both"/>
        <w:rPr>
          <w:rFonts w:ascii="Arial" w:eastAsia="Arial" w:hAnsi="Arial" w:cs="Arial"/>
          <w:color w:val="000000"/>
          <w:sz w:val="22"/>
          <w:szCs w:val="22"/>
        </w:rPr>
      </w:pPr>
      <w:r w:rsidRPr="0001502D">
        <w:rPr>
          <w:rFonts w:ascii="Arial" w:hAnsi="Arial" w:cs="Arial"/>
          <w:color w:val="000000"/>
          <w:sz w:val="22"/>
          <w:szCs w:val="22"/>
          <w:u w:val="single"/>
        </w:rPr>
        <w:t>Estime</w:t>
      </w:r>
      <w:r w:rsidRPr="0001502D">
        <w:rPr>
          <w:rFonts w:ascii="Arial" w:hAnsi="Arial" w:cs="Arial"/>
          <w:color w:val="000000"/>
          <w:sz w:val="22"/>
          <w:szCs w:val="22"/>
        </w:rPr>
        <w:t xml:space="preserve"> que, d</w:t>
      </w:r>
      <w:r w:rsidR="009C104E">
        <w:rPr>
          <w:rFonts w:ascii="Arial" w:hAnsi="Arial" w:cs="Arial"/>
          <w:color w:val="000000"/>
          <w:sz w:val="22"/>
          <w:szCs w:val="22"/>
        </w:rPr>
        <w:t>’</w:t>
      </w:r>
      <w:r w:rsidRPr="0001502D">
        <w:rPr>
          <w:rFonts w:ascii="Arial" w:hAnsi="Arial" w:cs="Arial"/>
          <w:color w:val="000000"/>
          <w:sz w:val="22"/>
          <w:szCs w:val="22"/>
        </w:rPr>
        <w:t>après les informations contenues dans le dossier, la candidature satisfait aux critères d</w:t>
      </w:r>
      <w:r w:rsidR="009C104E">
        <w:rPr>
          <w:rFonts w:ascii="Arial" w:hAnsi="Arial" w:cs="Arial"/>
          <w:color w:val="000000"/>
          <w:sz w:val="22"/>
          <w:szCs w:val="22"/>
        </w:rPr>
        <w:t>’</w:t>
      </w:r>
      <w:r w:rsidRPr="0001502D">
        <w:rPr>
          <w:rFonts w:ascii="Arial" w:hAnsi="Arial" w:cs="Arial"/>
          <w:color w:val="000000"/>
          <w:sz w:val="22"/>
          <w:szCs w:val="22"/>
        </w:rPr>
        <w:t>inscription sur la Liste représentative du patrimoine culturel immatériel de l</w:t>
      </w:r>
      <w:r w:rsidR="009C104E">
        <w:rPr>
          <w:rFonts w:ascii="Arial" w:hAnsi="Arial" w:cs="Arial"/>
          <w:color w:val="000000"/>
          <w:sz w:val="22"/>
          <w:szCs w:val="22"/>
        </w:rPr>
        <w:t>’</w:t>
      </w:r>
      <w:r w:rsidRPr="0001502D">
        <w:rPr>
          <w:rFonts w:ascii="Arial" w:hAnsi="Arial" w:cs="Arial"/>
          <w:color w:val="000000"/>
          <w:sz w:val="22"/>
          <w:szCs w:val="22"/>
        </w:rPr>
        <w:t>humanité comme suit :</w:t>
      </w:r>
    </w:p>
    <w:p w14:paraId="678B74AE" w14:textId="2C6A6971" w:rsidR="0001502D" w:rsidRPr="0001502D" w:rsidRDefault="0001502D" w:rsidP="0001502D">
      <w:pPr>
        <w:tabs>
          <w:tab w:val="left" w:pos="1134"/>
          <w:tab w:val="left" w:pos="2268"/>
        </w:tabs>
        <w:spacing w:before="120" w:after="120"/>
        <w:ind w:left="1134" w:hanging="567"/>
        <w:jc w:val="both"/>
        <w:rPr>
          <w:rFonts w:ascii="Arial" w:hAnsi="Arial" w:cs="Arial"/>
          <w:sz w:val="22"/>
          <w:szCs w:val="22"/>
        </w:rPr>
      </w:pPr>
      <w:r w:rsidRPr="0001502D">
        <w:rPr>
          <w:rFonts w:ascii="Arial" w:hAnsi="Arial" w:cs="Arial"/>
          <w:sz w:val="22"/>
          <w:szCs w:val="22"/>
        </w:rPr>
        <w:t>R.1 :</w:t>
      </w:r>
      <w:r w:rsidR="00026BD9" w:rsidRPr="00904C0F">
        <w:rPr>
          <w:rFonts w:ascii="Arial" w:hAnsi="Arial" w:cs="Arial"/>
          <w:sz w:val="22"/>
          <w:szCs w:val="22"/>
        </w:rPr>
        <w:tab/>
      </w:r>
      <w:r w:rsidRPr="0001502D">
        <w:rPr>
          <w:rFonts w:ascii="Arial" w:hAnsi="Arial" w:cs="Arial"/>
          <w:sz w:val="22"/>
          <w:szCs w:val="22"/>
        </w:rPr>
        <w:t>L</w:t>
      </w:r>
      <w:r w:rsidR="009C104E">
        <w:rPr>
          <w:rFonts w:ascii="Arial" w:hAnsi="Arial" w:cs="Arial"/>
          <w:sz w:val="22"/>
          <w:szCs w:val="22"/>
        </w:rPr>
        <w:t>’</w:t>
      </w:r>
      <w:r w:rsidRPr="0001502D">
        <w:rPr>
          <w:rFonts w:ascii="Arial" w:hAnsi="Arial" w:cs="Arial"/>
          <w:sz w:val="22"/>
          <w:szCs w:val="22"/>
        </w:rPr>
        <w:t>écriture arménienne et ses expressions culturelles sont considérées comme étant le principal instrument de sauvegarde de la langue et de la culture spirituelle des Arméniens. C</w:t>
      </w:r>
      <w:r w:rsidR="009C104E">
        <w:rPr>
          <w:rFonts w:ascii="Arial" w:hAnsi="Arial" w:cs="Arial"/>
          <w:sz w:val="22"/>
          <w:szCs w:val="22"/>
        </w:rPr>
        <w:t>’</w:t>
      </w:r>
      <w:r w:rsidRPr="0001502D">
        <w:rPr>
          <w:rFonts w:ascii="Arial" w:hAnsi="Arial" w:cs="Arial"/>
          <w:sz w:val="22"/>
          <w:szCs w:val="22"/>
        </w:rPr>
        <w:t>est un outil important pour l</w:t>
      </w:r>
      <w:r w:rsidR="009C104E">
        <w:rPr>
          <w:rFonts w:ascii="Arial" w:hAnsi="Arial" w:cs="Arial"/>
          <w:sz w:val="22"/>
          <w:szCs w:val="22"/>
        </w:rPr>
        <w:t>’</w:t>
      </w:r>
      <w:r w:rsidRPr="0001502D">
        <w:rPr>
          <w:rFonts w:ascii="Arial" w:hAnsi="Arial" w:cs="Arial"/>
          <w:sz w:val="22"/>
          <w:szCs w:val="22"/>
        </w:rPr>
        <w:t>alphabétisation, l</w:t>
      </w:r>
      <w:r w:rsidR="009C104E">
        <w:rPr>
          <w:rFonts w:ascii="Arial" w:hAnsi="Arial" w:cs="Arial"/>
          <w:sz w:val="22"/>
          <w:szCs w:val="22"/>
        </w:rPr>
        <w:t>’</w:t>
      </w:r>
      <w:r w:rsidRPr="0001502D">
        <w:rPr>
          <w:rFonts w:ascii="Arial" w:hAnsi="Arial" w:cs="Arial"/>
          <w:sz w:val="22"/>
          <w:szCs w:val="22"/>
        </w:rPr>
        <w:t>expression personnelle et la solidarité pour les Arméniens du monde entier. L</w:t>
      </w:r>
      <w:r w:rsidR="009C104E">
        <w:rPr>
          <w:rFonts w:ascii="Arial" w:hAnsi="Arial" w:cs="Arial"/>
          <w:sz w:val="22"/>
          <w:szCs w:val="22"/>
        </w:rPr>
        <w:t>’</w:t>
      </w:r>
      <w:r w:rsidRPr="0001502D">
        <w:rPr>
          <w:rFonts w:ascii="Arial" w:hAnsi="Arial" w:cs="Arial"/>
          <w:sz w:val="22"/>
          <w:szCs w:val="22"/>
        </w:rPr>
        <w:t>élément couvre un large éventail de pratiques connexes dont l</w:t>
      </w:r>
      <w:r w:rsidR="009C104E">
        <w:rPr>
          <w:rFonts w:ascii="Arial" w:hAnsi="Arial" w:cs="Arial"/>
          <w:sz w:val="22"/>
          <w:szCs w:val="22"/>
        </w:rPr>
        <w:t>’</w:t>
      </w:r>
      <w:r w:rsidRPr="0001502D">
        <w:rPr>
          <w:rFonts w:ascii="Arial" w:hAnsi="Arial" w:cs="Arial"/>
          <w:sz w:val="22"/>
          <w:szCs w:val="22"/>
        </w:rPr>
        <w:t>objectif principal est de garantir la transmission de diverses connaissances aux jeunes. Il joue un rôle crucial dans plusieurs domaines, parmi lesquels le développement d</w:t>
      </w:r>
      <w:r w:rsidR="009C104E">
        <w:rPr>
          <w:rFonts w:ascii="Arial" w:hAnsi="Arial" w:cs="Arial"/>
          <w:sz w:val="22"/>
          <w:szCs w:val="22"/>
        </w:rPr>
        <w:t>’</w:t>
      </w:r>
      <w:r w:rsidRPr="0001502D">
        <w:rPr>
          <w:rFonts w:ascii="Arial" w:hAnsi="Arial" w:cs="Arial"/>
          <w:sz w:val="22"/>
          <w:szCs w:val="22"/>
        </w:rPr>
        <w:t>une éducation globale dans les écoles, les arts populaires, la science, la calligraphie et l</w:t>
      </w:r>
      <w:r w:rsidR="009C104E">
        <w:rPr>
          <w:rFonts w:ascii="Arial" w:hAnsi="Arial" w:cs="Arial"/>
          <w:sz w:val="22"/>
          <w:szCs w:val="22"/>
        </w:rPr>
        <w:t>’</w:t>
      </w:r>
      <w:r w:rsidRPr="0001502D">
        <w:rPr>
          <w:rFonts w:ascii="Arial" w:hAnsi="Arial" w:cs="Arial"/>
          <w:sz w:val="22"/>
          <w:szCs w:val="22"/>
        </w:rPr>
        <w:t>édition.</w:t>
      </w:r>
    </w:p>
    <w:p w14:paraId="6C082474" w14:textId="095BD731" w:rsidR="0001502D" w:rsidRPr="0001502D" w:rsidRDefault="0001502D" w:rsidP="0001502D">
      <w:pPr>
        <w:tabs>
          <w:tab w:val="left" w:pos="1134"/>
          <w:tab w:val="left" w:pos="2268"/>
        </w:tabs>
        <w:spacing w:before="120" w:after="120"/>
        <w:ind w:left="1134" w:hanging="567"/>
        <w:jc w:val="both"/>
        <w:rPr>
          <w:rFonts w:ascii="Arial" w:hAnsi="Arial" w:cs="Arial"/>
          <w:sz w:val="22"/>
          <w:szCs w:val="22"/>
        </w:rPr>
      </w:pPr>
      <w:r w:rsidRPr="0001502D">
        <w:rPr>
          <w:rFonts w:ascii="Arial" w:hAnsi="Arial" w:cs="Arial"/>
          <w:sz w:val="22"/>
          <w:szCs w:val="22"/>
        </w:rPr>
        <w:t>R.2 :</w:t>
      </w:r>
      <w:r w:rsidR="00026BD9" w:rsidRPr="00904C0F">
        <w:rPr>
          <w:rFonts w:ascii="Arial" w:hAnsi="Arial" w:cs="Arial"/>
          <w:sz w:val="22"/>
          <w:szCs w:val="22"/>
        </w:rPr>
        <w:tab/>
      </w:r>
      <w:r w:rsidRPr="0001502D">
        <w:rPr>
          <w:rFonts w:ascii="Arial" w:hAnsi="Arial" w:cs="Arial"/>
          <w:sz w:val="22"/>
          <w:szCs w:val="22"/>
        </w:rPr>
        <w:t>L</w:t>
      </w:r>
      <w:r w:rsidR="009C104E">
        <w:rPr>
          <w:rFonts w:ascii="Arial" w:hAnsi="Arial" w:cs="Arial"/>
          <w:sz w:val="22"/>
          <w:szCs w:val="22"/>
        </w:rPr>
        <w:t>’</w:t>
      </w:r>
      <w:r w:rsidRPr="0001502D">
        <w:rPr>
          <w:rFonts w:ascii="Arial" w:hAnsi="Arial" w:cs="Arial"/>
          <w:sz w:val="22"/>
          <w:szCs w:val="22"/>
        </w:rPr>
        <w:t>inscription de l</w:t>
      </w:r>
      <w:r w:rsidR="009C104E">
        <w:rPr>
          <w:rFonts w:ascii="Arial" w:hAnsi="Arial" w:cs="Arial"/>
          <w:sz w:val="22"/>
          <w:szCs w:val="22"/>
        </w:rPr>
        <w:t>’</w:t>
      </w:r>
      <w:r w:rsidRPr="0001502D">
        <w:rPr>
          <w:rFonts w:ascii="Arial" w:hAnsi="Arial" w:cs="Arial"/>
          <w:sz w:val="22"/>
          <w:szCs w:val="22"/>
        </w:rPr>
        <w:t>élément augmenterait sa visibilité dans différentes régions et cercles sociaux en Arménie ainsi que dans la diaspora, où le développement de l</w:t>
      </w:r>
      <w:r w:rsidR="009C104E">
        <w:rPr>
          <w:rFonts w:ascii="Arial" w:hAnsi="Arial" w:cs="Arial"/>
          <w:sz w:val="22"/>
          <w:szCs w:val="22"/>
        </w:rPr>
        <w:t>’</w:t>
      </w:r>
      <w:r w:rsidRPr="0001502D">
        <w:rPr>
          <w:rFonts w:ascii="Arial" w:hAnsi="Arial" w:cs="Arial"/>
          <w:sz w:val="22"/>
          <w:szCs w:val="22"/>
        </w:rPr>
        <w:t>écriture serait favorisé. Elle aurait un impact particulièrement important sur le développement des relations intercommunautaires et encouragerait les communautés locales à accroître la visibilité d</w:t>
      </w:r>
      <w:r w:rsidR="009C104E">
        <w:rPr>
          <w:rFonts w:ascii="Arial" w:hAnsi="Arial" w:cs="Arial"/>
          <w:sz w:val="22"/>
          <w:szCs w:val="22"/>
        </w:rPr>
        <w:t>’</w:t>
      </w:r>
      <w:r w:rsidRPr="0001502D">
        <w:rPr>
          <w:rFonts w:ascii="Arial" w:hAnsi="Arial" w:cs="Arial"/>
          <w:sz w:val="22"/>
          <w:szCs w:val="22"/>
        </w:rPr>
        <w:t>autres éléments de patrimoine culturel immatériel. L</w:t>
      </w:r>
      <w:r w:rsidR="009C104E">
        <w:rPr>
          <w:rFonts w:ascii="Arial" w:hAnsi="Arial" w:cs="Arial"/>
          <w:sz w:val="22"/>
          <w:szCs w:val="22"/>
        </w:rPr>
        <w:t>’</w:t>
      </w:r>
      <w:r w:rsidRPr="0001502D">
        <w:rPr>
          <w:rFonts w:ascii="Arial" w:hAnsi="Arial" w:cs="Arial"/>
          <w:sz w:val="22"/>
          <w:szCs w:val="22"/>
        </w:rPr>
        <w:t>inscription a le potentiel pour renforcer le dialogue naturel entre les générations plus âgées et plus jeunes ainsi que la transmission de connaissances, ce qui enrichirait la pratique de l</w:t>
      </w:r>
      <w:r w:rsidR="009C104E">
        <w:rPr>
          <w:rFonts w:ascii="Arial" w:hAnsi="Arial" w:cs="Arial"/>
          <w:sz w:val="22"/>
          <w:szCs w:val="22"/>
        </w:rPr>
        <w:t>’</w:t>
      </w:r>
      <w:r w:rsidRPr="0001502D">
        <w:rPr>
          <w:rFonts w:ascii="Arial" w:hAnsi="Arial" w:cs="Arial"/>
          <w:sz w:val="22"/>
          <w:szCs w:val="22"/>
        </w:rPr>
        <w:t>élément. L</w:t>
      </w:r>
      <w:r w:rsidR="009C104E">
        <w:rPr>
          <w:rFonts w:ascii="Arial" w:hAnsi="Arial" w:cs="Arial"/>
          <w:sz w:val="22"/>
          <w:szCs w:val="22"/>
        </w:rPr>
        <w:t>’</w:t>
      </w:r>
      <w:r w:rsidRPr="0001502D">
        <w:rPr>
          <w:rFonts w:ascii="Arial" w:hAnsi="Arial" w:cs="Arial"/>
          <w:sz w:val="22"/>
          <w:szCs w:val="22"/>
        </w:rPr>
        <w:t>élément reste une source d</w:t>
      </w:r>
      <w:r w:rsidR="009C104E">
        <w:rPr>
          <w:rFonts w:ascii="Arial" w:hAnsi="Arial" w:cs="Arial"/>
          <w:sz w:val="22"/>
          <w:szCs w:val="22"/>
        </w:rPr>
        <w:t>’</w:t>
      </w:r>
      <w:r w:rsidRPr="0001502D">
        <w:rPr>
          <w:rFonts w:ascii="Arial" w:hAnsi="Arial" w:cs="Arial"/>
          <w:sz w:val="22"/>
          <w:szCs w:val="22"/>
        </w:rPr>
        <w:t>inspiration pour de nombreux individus créatifs. À ce titre, son inscription pourrait encourager une approche créative et inspirer de nombreux jeunes à élaborer leurs propres idées et nouveaux concepts en relation avec l</w:t>
      </w:r>
      <w:r w:rsidR="009C104E">
        <w:rPr>
          <w:rFonts w:ascii="Arial" w:hAnsi="Arial" w:cs="Arial"/>
          <w:sz w:val="22"/>
          <w:szCs w:val="22"/>
        </w:rPr>
        <w:t>’</w:t>
      </w:r>
      <w:r w:rsidRPr="0001502D">
        <w:rPr>
          <w:rFonts w:ascii="Arial" w:hAnsi="Arial" w:cs="Arial"/>
          <w:sz w:val="22"/>
          <w:szCs w:val="22"/>
        </w:rPr>
        <w:t>élément.</w:t>
      </w:r>
    </w:p>
    <w:p w14:paraId="0F6B6FE7" w14:textId="43FB3807" w:rsidR="0001502D" w:rsidRPr="0001502D" w:rsidRDefault="0001502D" w:rsidP="0001502D">
      <w:pPr>
        <w:tabs>
          <w:tab w:val="left" w:pos="1134"/>
          <w:tab w:val="left" w:pos="2268"/>
        </w:tabs>
        <w:spacing w:before="120" w:after="120"/>
        <w:ind w:left="1134" w:hanging="567"/>
        <w:jc w:val="both"/>
        <w:rPr>
          <w:rFonts w:ascii="Arial" w:hAnsi="Arial" w:cs="Arial"/>
          <w:sz w:val="22"/>
          <w:szCs w:val="22"/>
        </w:rPr>
      </w:pPr>
      <w:r w:rsidRPr="0001502D">
        <w:rPr>
          <w:rFonts w:ascii="Arial" w:hAnsi="Arial" w:cs="Arial"/>
          <w:sz w:val="22"/>
          <w:szCs w:val="22"/>
        </w:rPr>
        <w:t>R.3 :</w:t>
      </w:r>
      <w:r w:rsidRPr="0001502D">
        <w:rPr>
          <w:rFonts w:ascii="Arial" w:hAnsi="Arial" w:cs="Arial"/>
          <w:sz w:val="22"/>
          <w:szCs w:val="22"/>
        </w:rPr>
        <w:tab/>
        <w:t>Des initiatives nombreuses et variées ont été menées et continuent de l</w:t>
      </w:r>
      <w:r w:rsidR="009C104E">
        <w:rPr>
          <w:rFonts w:ascii="Arial" w:hAnsi="Arial" w:cs="Arial"/>
          <w:sz w:val="22"/>
          <w:szCs w:val="22"/>
        </w:rPr>
        <w:t>’</w:t>
      </w:r>
      <w:r w:rsidRPr="0001502D">
        <w:rPr>
          <w:rFonts w:ascii="Arial" w:hAnsi="Arial" w:cs="Arial"/>
          <w:sz w:val="22"/>
          <w:szCs w:val="22"/>
        </w:rPr>
        <w:t>être pour sauvegarder l</w:t>
      </w:r>
      <w:r w:rsidR="009C104E">
        <w:rPr>
          <w:rFonts w:ascii="Arial" w:hAnsi="Arial" w:cs="Arial"/>
          <w:sz w:val="22"/>
          <w:szCs w:val="22"/>
        </w:rPr>
        <w:t>’</w:t>
      </w:r>
      <w:r w:rsidRPr="0001502D">
        <w:rPr>
          <w:rFonts w:ascii="Arial" w:hAnsi="Arial" w:cs="Arial"/>
          <w:sz w:val="22"/>
          <w:szCs w:val="22"/>
        </w:rPr>
        <w:t>écriture arménienne et ses expressions culturelles, dont la viabilité est aussi assurée par de nouvelles créations comme le tissage de tapis, les livres pour enfants, la broderie, la production de manuscrits, la sculpture et les festivités. Une mesure de sauvegarde en particulier concerne l</w:t>
      </w:r>
      <w:r w:rsidR="009C104E">
        <w:rPr>
          <w:rFonts w:ascii="Arial" w:hAnsi="Arial" w:cs="Arial"/>
          <w:sz w:val="22"/>
          <w:szCs w:val="22"/>
        </w:rPr>
        <w:t>’</w:t>
      </w:r>
      <w:r w:rsidRPr="0001502D">
        <w:rPr>
          <w:rFonts w:ascii="Arial" w:hAnsi="Arial" w:cs="Arial"/>
          <w:sz w:val="22"/>
          <w:szCs w:val="22"/>
        </w:rPr>
        <w:t>article 15 de la Constitution qui stipule que la langue arménienne et le patrimoine culturel du pays, y compris l</w:t>
      </w:r>
      <w:r w:rsidR="009C104E">
        <w:rPr>
          <w:rFonts w:ascii="Arial" w:hAnsi="Arial" w:cs="Arial"/>
          <w:sz w:val="22"/>
          <w:szCs w:val="22"/>
        </w:rPr>
        <w:t>’</w:t>
      </w:r>
      <w:r w:rsidRPr="0001502D">
        <w:rPr>
          <w:rFonts w:ascii="Arial" w:hAnsi="Arial" w:cs="Arial"/>
          <w:sz w:val="22"/>
          <w:szCs w:val="22"/>
        </w:rPr>
        <w:t>écriture arménienne, sont protégés et préservés par l</w:t>
      </w:r>
      <w:r w:rsidR="009C104E">
        <w:rPr>
          <w:rFonts w:ascii="Arial" w:hAnsi="Arial" w:cs="Arial"/>
          <w:sz w:val="22"/>
          <w:szCs w:val="22"/>
        </w:rPr>
        <w:t>’</w:t>
      </w:r>
      <w:r w:rsidRPr="0001502D">
        <w:rPr>
          <w:rFonts w:ascii="Arial" w:hAnsi="Arial" w:cs="Arial"/>
          <w:sz w:val="22"/>
          <w:szCs w:val="22"/>
        </w:rPr>
        <w:t>État. Les mesures de sauvegarde proposées s</w:t>
      </w:r>
      <w:r w:rsidR="009C104E">
        <w:rPr>
          <w:rFonts w:ascii="Arial" w:hAnsi="Arial" w:cs="Arial"/>
          <w:sz w:val="22"/>
          <w:szCs w:val="22"/>
        </w:rPr>
        <w:t>’</w:t>
      </w:r>
      <w:r w:rsidRPr="0001502D">
        <w:rPr>
          <w:rFonts w:ascii="Arial" w:hAnsi="Arial" w:cs="Arial"/>
          <w:sz w:val="22"/>
          <w:szCs w:val="22"/>
        </w:rPr>
        <w:t>inscrivent dans la continuité des efforts entrepris par l</w:t>
      </w:r>
      <w:r w:rsidR="009C104E">
        <w:rPr>
          <w:rFonts w:ascii="Arial" w:hAnsi="Arial" w:cs="Arial"/>
          <w:sz w:val="22"/>
          <w:szCs w:val="22"/>
        </w:rPr>
        <w:t>’</w:t>
      </w:r>
      <w:r w:rsidRPr="0001502D">
        <w:rPr>
          <w:rFonts w:ascii="Arial" w:hAnsi="Arial" w:cs="Arial"/>
          <w:sz w:val="22"/>
          <w:szCs w:val="22"/>
        </w:rPr>
        <w:t>État partie et incluent des initiatives axées sur la recherche, la documentation, la promotion et la transmission ainsi que la sensibilisation du public et des jeunes générations à la sauvegarde de l</w:t>
      </w:r>
      <w:r w:rsidR="009C104E">
        <w:rPr>
          <w:rFonts w:ascii="Arial" w:hAnsi="Arial" w:cs="Arial"/>
          <w:sz w:val="22"/>
          <w:szCs w:val="22"/>
        </w:rPr>
        <w:t>’</w:t>
      </w:r>
      <w:r w:rsidRPr="0001502D">
        <w:rPr>
          <w:rFonts w:ascii="Arial" w:hAnsi="Arial" w:cs="Arial"/>
          <w:sz w:val="22"/>
          <w:szCs w:val="22"/>
        </w:rPr>
        <w:t>élément.</w:t>
      </w:r>
    </w:p>
    <w:p w14:paraId="27B0AAD7" w14:textId="3249E440" w:rsidR="0001502D" w:rsidRPr="0001502D" w:rsidRDefault="0001502D" w:rsidP="0001502D">
      <w:pPr>
        <w:tabs>
          <w:tab w:val="left" w:pos="1134"/>
          <w:tab w:val="left" w:pos="2268"/>
        </w:tabs>
        <w:spacing w:before="120" w:after="120"/>
        <w:ind w:left="1134" w:hanging="567"/>
        <w:jc w:val="both"/>
        <w:rPr>
          <w:rFonts w:ascii="Arial" w:hAnsi="Arial" w:cs="Arial"/>
          <w:sz w:val="22"/>
          <w:szCs w:val="22"/>
        </w:rPr>
      </w:pPr>
      <w:r w:rsidRPr="0001502D">
        <w:rPr>
          <w:rFonts w:ascii="Arial" w:hAnsi="Arial" w:cs="Arial"/>
          <w:sz w:val="22"/>
          <w:szCs w:val="22"/>
        </w:rPr>
        <w:t>R.4 :</w:t>
      </w:r>
      <w:r w:rsidRPr="0001502D">
        <w:rPr>
          <w:rFonts w:ascii="Arial" w:hAnsi="Arial" w:cs="Arial"/>
          <w:sz w:val="22"/>
          <w:szCs w:val="22"/>
        </w:rPr>
        <w:tab/>
        <w:t>Au sein d</w:t>
      </w:r>
      <w:r w:rsidR="009C104E">
        <w:rPr>
          <w:rFonts w:ascii="Arial" w:hAnsi="Arial" w:cs="Arial"/>
          <w:sz w:val="22"/>
          <w:szCs w:val="22"/>
        </w:rPr>
        <w:t>’</w:t>
      </w:r>
      <w:r w:rsidRPr="0001502D">
        <w:rPr>
          <w:rFonts w:ascii="Arial" w:hAnsi="Arial" w:cs="Arial"/>
          <w:sz w:val="22"/>
          <w:szCs w:val="22"/>
        </w:rPr>
        <w:t>un groupe de travail, le Ministère de la culture et le Ministère de l</w:t>
      </w:r>
      <w:r w:rsidR="009C104E">
        <w:rPr>
          <w:rFonts w:ascii="Arial" w:hAnsi="Arial" w:cs="Arial"/>
          <w:sz w:val="22"/>
          <w:szCs w:val="22"/>
        </w:rPr>
        <w:t>’</w:t>
      </w:r>
      <w:r w:rsidRPr="0001502D">
        <w:rPr>
          <w:rFonts w:ascii="Arial" w:hAnsi="Arial" w:cs="Arial"/>
          <w:sz w:val="22"/>
          <w:szCs w:val="22"/>
        </w:rPr>
        <w:t>éducation et des sciences, les communautés, des représentants d</w:t>
      </w:r>
      <w:r w:rsidR="009C104E">
        <w:rPr>
          <w:rFonts w:ascii="Arial" w:hAnsi="Arial" w:cs="Arial"/>
          <w:sz w:val="22"/>
          <w:szCs w:val="22"/>
        </w:rPr>
        <w:t>’</w:t>
      </w:r>
      <w:r w:rsidRPr="0001502D">
        <w:rPr>
          <w:rFonts w:ascii="Arial" w:hAnsi="Arial" w:cs="Arial"/>
          <w:sz w:val="22"/>
          <w:szCs w:val="22"/>
        </w:rPr>
        <w:t>associations de créateurs et d</w:t>
      </w:r>
      <w:r w:rsidR="009C104E">
        <w:rPr>
          <w:rFonts w:ascii="Arial" w:hAnsi="Arial" w:cs="Arial"/>
          <w:sz w:val="22"/>
          <w:szCs w:val="22"/>
        </w:rPr>
        <w:t>’</w:t>
      </w:r>
      <w:r w:rsidRPr="0001502D">
        <w:rPr>
          <w:rFonts w:ascii="Arial" w:hAnsi="Arial" w:cs="Arial"/>
          <w:sz w:val="22"/>
          <w:szCs w:val="22"/>
        </w:rPr>
        <w:t>artistes populaires ainsi que des individus et des organisations non gouvernementales concernées, ont activement participé à toutes les étapes de préparation et d</w:t>
      </w:r>
      <w:r w:rsidR="009C104E">
        <w:rPr>
          <w:rFonts w:ascii="Arial" w:hAnsi="Arial" w:cs="Arial"/>
          <w:sz w:val="22"/>
          <w:szCs w:val="22"/>
        </w:rPr>
        <w:t>’</w:t>
      </w:r>
      <w:r w:rsidRPr="0001502D">
        <w:rPr>
          <w:rFonts w:ascii="Arial" w:hAnsi="Arial" w:cs="Arial"/>
          <w:sz w:val="22"/>
          <w:szCs w:val="22"/>
        </w:rPr>
        <w:t>élaboration du dossier de candidature, garantissant une présentation complète de l</w:t>
      </w:r>
      <w:r w:rsidR="009C104E">
        <w:rPr>
          <w:rFonts w:ascii="Arial" w:hAnsi="Arial" w:cs="Arial"/>
          <w:sz w:val="22"/>
          <w:szCs w:val="22"/>
        </w:rPr>
        <w:t>’</w:t>
      </w:r>
      <w:r w:rsidRPr="0001502D">
        <w:rPr>
          <w:rFonts w:ascii="Arial" w:hAnsi="Arial" w:cs="Arial"/>
          <w:sz w:val="22"/>
          <w:szCs w:val="22"/>
        </w:rPr>
        <w:t>élément. Le groupe de travail, composé de représentants des sphères susmentionnées, a examiné les propositions et avis préalablement transmis par différentes régions et organisations d</w:t>
      </w:r>
      <w:r w:rsidR="009C104E">
        <w:rPr>
          <w:rFonts w:ascii="Arial" w:hAnsi="Arial" w:cs="Arial"/>
          <w:sz w:val="22"/>
          <w:szCs w:val="22"/>
        </w:rPr>
        <w:t>’</w:t>
      </w:r>
      <w:r w:rsidRPr="0001502D">
        <w:rPr>
          <w:rFonts w:ascii="Arial" w:hAnsi="Arial" w:cs="Arial"/>
          <w:sz w:val="22"/>
          <w:szCs w:val="22"/>
        </w:rPr>
        <w:t>Arménie, jouant donc un rôle actif dans le processus de planification.</w:t>
      </w:r>
    </w:p>
    <w:p w14:paraId="3F96BD3E" w14:textId="48E066C0" w:rsidR="0001502D" w:rsidRPr="0001502D" w:rsidRDefault="0001502D" w:rsidP="0001502D">
      <w:pPr>
        <w:tabs>
          <w:tab w:val="left" w:pos="1134"/>
          <w:tab w:val="left" w:pos="2268"/>
        </w:tabs>
        <w:spacing w:before="120" w:after="120"/>
        <w:ind w:left="1134" w:hanging="567"/>
        <w:jc w:val="both"/>
        <w:rPr>
          <w:rFonts w:ascii="Arial" w:hAnsi="Arial" w:cs="Arial"/>
          <w:sz w:val="22"/>
          <w:szCs w:val="22"/>
        </w:rPr>
      </w:pPr>
      <w:r w:rsidRPr="0001502D">
        <w:rPr>
          <w:rFonts w:ascii="Arial" w:hAnsi="Arial" w:cs="Arial"/>
          <w:sz w:val="22"/>
          <w:szCs w:val="22"/>
        </w:rPr>
        <w:t>R.5 :</w:t>
      </w:r>
      <w:r w:rsidRPr="0001502D">
        <w:rPr>
          <w:rFonts w:ascii="Arial" w:hAnsi="Arial" w:cs="Arial"/>
          <w:sz w:val="22"/>
          <w:szCs w:val="22"/>
        </w:rPr>
        <w:tab/>
        <w:t>L</w:t>
      </w:r>
      <w:r w:rsidR="009C104E">
        <w:rPr>
          <w:rFonts w:ascii="Arial" w:hAnsi="Arial" w:cs="Arial"/>
          <w:sz w:val="22"/>
          <w:szCs w:val="22"/>
        </w:rPr>
        <w:t>’</w:t>
      </w:r>
      <w:r w:rsidRPr="0001502D">
        <w:rPr>
          <w:rFonts w:ascii="Arial" w:hAnsi="Arial" w:cs="Arial"/>
          <w:sz w:val="22"/>
          <w:szCs w:val="22"/>
        </w:rPr>
        <w:t>écriture arménienne et ses expressions culturelles ont été incluses à la Liste du patrimoine culturel immatériel de l</w:t>
      </w:r>
      <w:r w:rsidR="009C104E">
        <w:rPr>
          <w:rFonts w:ascii="Arial" w:hAnsi="Arial" w:cs="Arial"/>
          <w:sz w:val="22"/>
          <w:szCs w:val="22"/>
        </w:rPr>
        <w:t>’</w:t>
      </w:r>
      <w:r w:rsidRPr="0001502D">
        <w:rPr>
          <w:rFonts w:ascii="Arial" w:hAnsi="Arial" w:cs="Arial"/>
          <w:sz w:val="22"/>
          <w:szCs w:val="22"/>
        </w:rPr>
        <w:t>Arménie en 2018. L</w:t>
      </w:r>
      <w:r w:rsidR="009C104E">
        <w:rPr>
          <w:rFonts w:ascii="Arial" w:hAnsi="Arial" w:cs="Arial"/>
          <w:sz w:val="22"/>
          <w:szCs w:val="22"/>
        </w:rPr>
        <w:t>’</w:t>
      </w:r>
      <w:r w:rsidRPr="0001502D">
        <w:rPr>
          <w:rFonts w:ascii="Arial" w:hAnsi="Arial" w:cs="Arial"/>
          <w:sz w:val="22"/>
          <w:szCs w:val="22"/>
        </w:rPr>
        <w:t>élément a été identifié et défini avec la participation active de diverses communautés, groupes, individus, organisations non gouvernementales et organisations culturelles et éducatives en plusieurs étapes, au cours d</w:t>
      </w:r>
      <w:r w:rsidR="009C104E">
        <w:rPr>
          <w:rFonts w:ascii="Arial" w:hAnsi="Arial" w:cs="Arial"/>
          <w:sz w:val="22"/>
          <w:szCs w:val="22"/>
        </w:rPr>
        <w:t>’</w:t>
      </w:r>
      <w:r w:rsidRPr="0001502D">
        <w:rPr>
          <w:rFonts w:ascii="Arial" w:hAnsi="Arial" w:cs="Arial"/>
          <w:sz w:val="22"/>
          <w:szCs w:val="22"/>
        </w:rPr>
        <w:t>un processus bien structuré. Le Ministère de la culture de la République d</w:t>
      </w:r>
      <w:r w:rsidR="009C104E">
        <w:rPr>
          <w:rFonts w:ascii="Arial" w:hAnsi="Arial" w:cs="Arial"/>
          <w:sz w:val="22"/>
          <w:szCs w:val="22"/>
        </w:rPr>
        <w:t>’</w:t>
      </w:r>
      <w:r w:rsidRPr="0001502D">
        <w:rPr>
          <w:rFonts w:ascii="Arial" w:hAnsi="Arial" w:cs="Arial"/>
          <w:sz w:val="22"/>
          <w:szCs w:val="22"/>
        </w:rPr>
        <w:t>Arménie est l</w:t>
      </w:r>
      <w:r w:rsidR="009C104E">
        <w:rPr>
          <w:rFonts w:ascii="Arial" w:hAnsi="Arial" w:cs="Arial"/>
          <w:sz w:val="22"/>
          <w:szCs w:val="22"/>
        </w:rPr>
        <w:t>’</w:t>
      </w:r>
      <w:r w:rsidRPr="0001502D">
        <w:rPr>
          <w:rFonts w:ascii="Arial" w:hAnsi="Arial" w:cs="Arial"/>
          <w:sz w:val="22"/>
          <w:szCs w:val="22"/>
        </w:rPr>
        <w:t>organisme chargé de la gestion de l</w:t>
      </w:r>
      <w:r w:rsidR="009C104E">
        <w:rPr>
          <w:rFonts w:ascii="Arial" w:hAnsi="Arial" w:cs="Arial"/>
          <w:sz w:val="22"/>
          <w:szCs w:val="22"/>
        </w:rPr>
        <w:t>’</w:t>
      </w:r>
      <w:r w:rsidRPr="0001502D">
        <w:rPr>
          <w:rFonts w:ascii="Arial" w:hAnsi="Arial" w:cs="Arial"/>
          <w:sz w:val="22"/>
          <w:szCs w:val="22"/>
        </w:rPr>
        <w:t>inventaire.</w:t>
      </w:r>
    </w:p>
    <w:p w14:paraId="14E6C3C6" w14:textId="7820C23A" w:rsidR="0001502D" w:rsidRPr="0001502D" w:rsidRDefault="0001502D" w:rsidP="00771F30">
      <w:pPr>
        <w:numPr>
          <w:ilvl w:val="1"/>
          <w:numId w:val="26"/>
        </w:numPr>
        <w:pBdr>
          <w:top w:val="nil"/>
          <w:left w:val="nil"/>
          <w:bottom w:val="nil"/>
          <w:right w:val="nil"/>
          <w:between w:val="nil"/>
        </w:pBdr>
        <w:tabs>
          <w:tab w:val="left" w:pos="567"/>
          <w:tab w:val="left" w:pos="1701"/>
          <w:tab w:val="left" w:pos="2268"/>
        </w:tabs>
        <w:spacing w:before="120" w:after="120"/>
        <w:ind w:left="567" w:hanging="567"/>
        <w:jc w:val="both"/>
        <w:rPr>
          <w:rFonts w:ascii="Arial" w:eastAsia="Arial" w:hAnsi="Arial" w:cs="Arial"/>
          <w:color w:val="000000"/>
          <w:sz w:val="22"/>
          <w:szCs w:val="22"/>
        </w:rPr>
      </w:pPr>
      <w:r w:rsidRPr="0001502D">
        <w:rPr>
          <w:rFonts w:ascii="Arial" w:hAnsi="Arial" w:cs="Arial"/>
          <w:color w:val="000000"/>
          <w:sz w:val="22"/>
          <w:szCs w:val="22"/>
          <w:u w:val="single"/>
        </w:rPr>
        <w:t>Décide d</w:t>
      </w:r>
      <w:r w:rsidR="009C104E">
        <w:rPr>
          <w:rFonts w:ascii="Arial" w:hAnsi="Arial" w:cs="Arial"/>
          <w:color w:val="000000"/>
          <w:sz w:val="22"/>
          <w:szCs w:val="22"/>
          <w:u w:val="single"/>
        </w:rPr>
        <w:t>’</w:t>
      </w:r>
      <w:r w:rsidRPr="0001502D">
        <w:rPr>
          <w:rFonts w:ascii="Arial" w:hAnsi="Arial" w:cs="Arial"/>
          <w:color w:val="000000"/>
          <w:sz w:val="22"/>
          <w:szCs w:val="22"/>
          <w:u w:val="single"/>
        </w:rPr>
        <w:t>inscrire</w:t>
      </w:r>
      <w:r w:rsidRPr="0001502D">
        <w:rPr>
          <w:rFonts w:ascii="Arial" w:hAnsi="Arial" w:cs="Arial"/>
          <w:sz w:val="22"/>
          <w:szCs w:val="22"/>
        </w:rPr>
        <w:t xml:space="preserve"> </w:t>
      </w:r>
      <w:r w:rsidRPr="0001502D">
        <w:rPr>
          <w:rFonts w:ascii="Arial" w:hAnsi="Arial" w:cs="Arial"/>
          <w:b/>
          <w:bCs/>
          <w:color w:val="000000"/>
          <w:sz w:val="22"/>
          <w:szCs w:val="22"/>
        </w:rPr>
        <w:t>l</w:t>
      </w:r>
      <w:r w:rsidR="009C104E">
        <w:rPr>
          <w:rFonts w:ascii="Arial" w:hAnsi="Arial" w:cs="Arial"/>
          <w:b/>
          <w:bCs/>
          <w:color w:val="000000"/>
          <w:sz w:val="22"/>
          <w:szCs w:val="22"/>
        </w:rPr>
        <w:t>’</w:t>
      </w:r>
      <w:r w:rsidRPr="0001502D">
        <w:rPr>
          <w:rFonts w:ascii="Arial" w:hAnsi="Arial" w:cs="Arial"/>
          <w:b/>
          <w:bCs/>
          <w:color w:val="000000"/>
          <w:sz w:val="22"/>
          <w:szCs w:val="22"/>
        </w:rPr>
        <w:t>écriture arménienne et ses expressions culturelles</w:t>
      </w:r>
      <w:r w:rsidRPr="0001502D">
        <w:rPr>
          <w:rFonts w:ascii="Arial" w:hAnsi="Arial" w:cs="Arial"/>
          <w:color w:val="000000"/>
          <w:sz w:val="22"/>
          <w:szCs w:val="22"/>
        </w:rPr>
        <w:t xml:space="preserve"> sur la Liste représentative du patrimoine culturel immatériel de l</w:t>
      </w:r>
      <w:r w:rsidR="009C104E">
        <w:rPr>
          <w:rFonts w:ascii="Arial" w:hAnsi="Arial" w:cs="Arial"/>
          <w:color w:val="000000"/>
          <w:sz w:val="22"/>
          <w:szCs w:val="22"/>
        </w:rPr>
        <w:t>’</w:t>
      </w:r>
      <w:r w:rsidRPr="0001502D">
        <w:rPr>
          <w:rFonts w:ascii="Arial" w:hAnsi="Arial" w:cs="Arial"/>
          <w:color w:val="000000"/>
          <w:sz w:val="22"/>
          <w:szCs w:val="22"/>
        </w:rPr>
        <w:t>humanité ;</w:t>
      </w:r>
    </w:p>
    <w:p w14:paraId="73F14B02" w14:textId="6DA4C6BC" w:rsidR="0001502D" w:rsidRPr="0001502D" w:rsidRDefault="0001502D" w:rsidP="00771F30">
      <w:pPr>
        <w:numPr>
          <w:ilvl w:val="1"/>
          <w:numId w:val="26"/>
        </w:numPr>
        <w:pBdr>
          <w:top w:val="nil"/>
          <w:left w:val="nil"/>
          <w:bottom w:val="nil"/>
          <w:right w:val="nil"/>
          <w:between w:val="nil"/>
        </w:pBdr>
        <w:tabs>
          <w:tab w:val="left" w:pos="567"/>
          <w:tab w:val="left" w:pos="1701"/>
          <w:tab w:val="left" w:pos="2268"/>
        </w:tabs>
        <w:spacing w:before="120" w:after="120"/>
        <w:ind w:left="567" w:hanging="567"/>
        <w:jc w:val="both"/>
        <w:rPr>
          <w:rFonts w:ascii="Arial" w:eastAsia="Arial" w:hAnsi="Arial" w:cs="Arial"/>
          <w:sz w:val="22"/>
          <w:szCs w:val="22"/>
        </w:rPr>
      </w:pPr>
      <w:r w:rsidRPr="0001502D">
        <w:rPr>
          <w:rFonts w:ascii="Arial" w:hAnsi="Arial" w:cs="Arial"/>
          <w:sz w:val="22"/>
          <w:szCs w:val="22"/>
          <w:u w:val="single"/>
          <w:shd w:val="clear" w:color="auto" w:fill="FFFFFF"/>
        </w:rPr>
        <w:t>Rappelle</w:t>
      </w:r>
      <w:r w:rsidRPr="0001502D">
        <w:rPr>
          <w:rFonts w:ascii="Arial" w:hAnsi="Arial" w:cs="Arial"/>
          <w:sz w:val="22"/>
          <w:szCs w:val="22"/>
          <w:shd w:val="clear" w:color="auto" w:fill="FFFFFF"/>
        </w:rPr>
        <w:t xml:space="preserve"> à l</w:t>
      </w:r>
      <w:r w:rsidR="009C104E">
        <w:rPr>
          <w:rFonts w:ascii="Arial" w:hAnsi="Arial" w:cs="Arial"/>
          <w:sz w:val="22"/>
          <w:szCs w:val="22"/>
          <w:shd w:val="clear" w:color="auto" w:fill="FFFFFF"/>
        </w:rPr>
        <w:t>’</w:t>
      </w:r>
      <w:r w:rsidRPr="0001502D">
        <w:rPr>
          <w:rFonts w:ascii="Arial" w:hAnsi="Arial" w:cs="Arial"/>
          <w:sz w:val="22"/>
          <w:szCs w:val="22"/>
          <w:shd w:val="clear" w:color="auto" w:fill="FFFFFF"/>
        </w:rPr>
        <w:t>État partie que la mise à jour est un aspect important du processus d</w:t>
      </w:r>
      <w:r w:rsidR="009C104E">
        <w:rPr>
          <w:rFonts w:ascii="Arial" w:hAnsi="Arial" w:cs="Arial"/>
          <w:sz w:val="22"/>
          <w:szCs w:val="22"/>
          <w:shd w:val="clear" w:color="auto" w:fill="FFFFFF"/>
        </w:rPr>
        <w:t>’</w:t>
      </w:r>
      <w:r w:rsidRPr="0001502D">
        <w:rPr>
          <w:rFonts w:ascii="Arial" w:hAnsi="Arial" w:cs="Arial"/>
          <w:sz w:val="22"/>
          <w:szCs w:val="22"/>
          <w:shd w:val="clear" w:color="auto" w:fill="FFFFFF"/>
        </w:rPr>
        <w:t>élaboration des inventaires et l</w:t>
      </w:r>
      <w:r w:rsidR="009C104E">
        <w:rPr>
          <w:rFonts w:ascii="Arial" w:hAnsi="Arial" w:cs="Arial"/>
          <w:sz w:val="22"/>
          <w:szCs w:val="22"/>
          <w:shd w:val="clear" w:color="auto" w:fill="FFFFFF"/>
        </w:rPr>
        <w:t>’</w:t>
      </w:r>
      <w:r w:rsidRPr="0001502D">
        <w:rPr>
          <w:rFonts w:ascii="Arial" w:hAnsi="Arial" w:cs="Arial"/>
          <w:sz w:val="22"/>
          <w:szCs w:val="22"/>
          <w:u w:val="single"/>
          <w:shd w:val="clear" w:color="auto" w:fill="FFFFFF"/>
        </w:rPr>
        <w:t>invite</w:t>
      </w:r>
      <w:r w:rsidRPr="0001502D">
        <w:rPr>
          <w:rFonts w:ascii="Arial" w:hAnsi="Arial" w:cs="Arial"/>
          <w:sz w:val="22"/>
          <w:szCs w:val="22"/>
          <w:shd w:val="clear" w:color="auto" w:fill="FFFFFF"/>
        </w:rPr>
        <w:t xml:space="preserve"> à inclure, dans son prochain rapport périodique sur la mise en œuvre de la Convention au niveau national, des informations détaillées sur la périodicité et les modalités de la mise à jour de la Liste du patrimoine culturel immatériel de l</w:t>
      </w:r>
      <w:r w:rsidR="009C104E">
        <w:rPr>
          <w:rFonts w:ascii="Arial" w:hAnsi="Arial" w:cs="Arial"/>
          <w:sz w:val="22"/>
          <w:szCs w:val="22"/>
          <w:shd w:val="clear" w:color="auto" w:fill="FFFFFF"/>
        </w:rPr>
        <w:t>’</w:t>
      </w:r>
      <w:r w:rsidRPr="0001502D">
        <w:rPr>
          <w:rFonts w:ascii="Arial" w:hAnsi="Arial" w:cs="Arial"/>
          <w:sz w:val="22"/>
          <w:szCs w:val="22"/>
          <w:shd w:val="clear" w:color="auto" w:fill="FFFFFF"/>
        </w:rPr>
        <w:t>Arménie, conformément à l</w:t>
      </w:r>
      <w:r w:rsidR="009C104E">
        <w:rPr>
          <w:rFonts w:ascii="Arial" w:hAnsi="Arial" w:cs="Arial"/>
          <w:sz w:val="22"/>
          <w:szCs w:val="22"/>
          <w:shd w:val="clear" w:color="auto" w:fill="FFFFFF"/>
        </w:rPr>
        <w:t>’</w:t>
      </w:r>
      <w:r w:rsidRPr="0001502D">
        <w:rPr>
          <w:rFonts w:ascii="Arial" w:hAnsi="Arial" w:cs="Arial"/>
          <w:sz w:val="22"/>
          <w:szCs w:val="22"/>
          <w:shd w:val="clear" w:color="auto" w:fill="FFFFFF"/>
        </w:rPr>
        <w:t>article 12.1 de la Convention.</w:t>
      </w:r>
    </w:p>
    <w:p w14:paraId="0AD781E4" w14:textId="77777777" w:rsidR="0001502D" w:rsidRPr="0001502D" w:rsidRDefault="0001502D" w:rsidP="0001502D">
      <w:pPr>
        <w:keepNext/>
        <w:keepLines/>
        <w:spacing w:before="360" w:after="120"/>
        <w:outlineLvl w:val="1"/>
        <w:rPr>
          <w:rFonts w:ascii="Arial" w:hAnsi="Arial" w:cs="Arial"/>
          <w:bCs/>
          <w:iCs/>
          <w:sz w:val="22"/>
          <w:szCs w:val="22"/>
        </w:rPr>
      </w:pPr>
      <w:bookmarkStart w:id="6" w:name="Decision_10b2"/>
      <w:r w:rsidRPr="0001502D">
        <w:rPr>
          <w:rFonts w:ascii="Arial" w:hAnsi="Arial" w:cs="Arial"/>
          <w:b/>
          <w:bCs/>
          <w:iCs/>
          <w:sz w:val="22"/>
          <w:szCs w:val="22"/>
        </w:rPr>
        <w:t xml:space="preserve">DÉCISION 14.COM 10.b.2 </w:t>
      </w:r>
      <w:r w:rsidRPr="0001502D">
        <w:rPr>
          <w:rFonts w:ascii="Cambria" w:hAnsi="Cambria"/>
          <w:b/>
          <w:bCs/>
          <w:i/>
          <w:iCs/>
          <w:noProof/>
          <w:color w:val="0000FF"/>
          <w:sz w:val="22"/>
          <w:szCs w:val="22"/>
          <w:lang w:eastAsia="ja-JP"/>
        </w:rPr>
        <w:drawing>
          <wp:inline distT="0" distB="0" distL="0" distR="0" wp14:anchorId="4803B181" wp14:editId="50BD8272">
            <wp:extent cx="104775" cy="104775"/>
            <wp:effectExtent l="0" t="0" r="9525" b="9525"/>
            <wp:docPr id="70" name="Picture 70">
              <a:hlinkClick xmlns:a="http://schemas.openxmlformats.org/drawingml/2006/main" r:id="rId5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p>
    <w:bookmarkEnd w:id="6"/>
    <w:p w14:paraId="089ECC8B" w14:textId="77777777" w:rsidR="0001502D" w:rsidRPr="0001502D" w:rsidRDefault="0001502D" w:rsidP="0001502D">
      <w:pPr>
        <w:keepNext/>
        <w:pBdr>
          <w:top w:val="nil"/>
          <w:left w:val="nil"/>
          <w:bottom w:val="nil"/>
          <w:right w:val="nil"/>
          <w:between w:val="nil"/>
        </w:pBdr>
        <w:tabs>
          <w:tab w:val="left" w:pos="567"/>
          <w:tab w:val="left" w:pos="1134"/>
          <w:tab w:val="left" w:pos="1701"/>
          <w:tab w:val="left" w:pos="2268"/>
        </w:tabs>
        <w:spacing w:before="120" w:after="120"/>
        <w:jc w:val="both"/>
        <w:rPr>
          <w:rFonts w:ascii="Arial" w:eastAsia="Arial" w:hAnsi="Arial" w:cs="Arial"/>
          <w:color w:val="000000"/>
          <w:sz w:val="22"/>
          <w:szCs w:val="22"/>
        </w:rPr>
      </w:pPr>
      <w:r w:rsidRPr="0001502D">
        <w:rPr>
          <w:rFonts w:ascii="Arial" w:hAnsi="Arial" w:cs="Arial"/>
          <w:color w:val="000000"/>
          <w:sz w:val="22"/>
          <w:szCs w:val="22"/>
        </w:rPr>
        <w:t>Le Comité,</w:t>
      </w:r>
    </w:p>
    <w:p w14:paraId="4F199343" w14:textId="7A90D5EB" w:rsidR="0001502D" w:rsidRPr="0001502D" w:rsidRDefault="0001502D" w:rsidP="00771F30">
      <w:pPr>
        <w:numPr>
          <w:ilvl w:val="1"/>
          <w:numId w:val="28"/>
        </w:numPr>
        <w:pBdr>
          <w:top w:val="nil"/>
          <w:left w:val="nil"/>
          <w:bottom w:val="nil"/>
          <w:right w:val="nil"/>
          <w:between w:val="nil"/>
        </w:pBdr>
        <w:tabs>
          <w:tab w:val="left" w:pos="567"/>
          <w:tab w:val="left" w:pos="1701"/>
          <w:tab w:val="left" w:pos="2268"/>
        </w:tabs>
        <w:spacing w:before="120" w:after="120"/>
        <w:ind w:left="567" w:hanging="567"/>
        <w:jc w:val="both"/>
        <w:rPr>
          <w:rFonts w:ascii="Arial" w:eastAsia="Arial" w:hAnsi="Arial" w:cs="Arial"/>
          <w:color w:val="000000"/>
          <w:sz w:val="22"/>
          <w:szCs w:val="22"/>
        </w:rPr>
      </w:pPr>
      <w:r w:rsidRPr="0001502D">
        <w:rPr>
          <w:rFonts w:ascii="Arial" w:hAnsi="Arial" w:cs="Arial"/>
          <w:color w:val="000000"/>
          <w:sz w:val="22"/>
          <w:szCs w:val="22"/>
          <w:u w:val="single"/>
        </w:rPr>
        <w:t>Prend note</w:t>
      </w:r>
      <w:r w:rsidRPr="0001502D">
        <w:rPr>
          <w:rFonts w:ascii="Arial" w:hAnsi="Arial" w:cs="Arial"/>
          <w:color w:val="000000"/>
          <w:sz w:val="22"/>
          <w:szCs w:val="22"/>
        </w:rPr>
        <w:t xml:space="preserve"> que l</w:t>
      </w:r>
      <w:r w:rsidR="009C104E">
        <w:rPr>
          <w:rFonts w:ascii="Arial" w:hAnsi="Arial" w:cs="Arial"/>
          <w:color w:val="000000"/>
          <w:sz w:val="22"/>
          <w:szCs w:val="22"/>
        </w:rPr>
        <w:t>’</w:t>
      </w:r>
      <w:r w:rsidRPr="0001502D">
        <w:rPr>
          <w:rFonts w:ascii="Arial" w:hAnsi="Arial" w:cs="Arial"/>
          <w:color w:val="000000"/>
          <w:sz w:val="22"/>
          <w:szCs w:val="22"/>
        </w:rPr>
        <w:t>Autriche, la Grèce et l</w:t>
      </w:r>
      <w:r w:rsidR="009C104E">
        <w:rPr>
          <w:rFonts w:ascii="Arial" w:hAnsi="Arial" w:cs="Arial"/>
          <w:color w:val="000000"/>
          <w:sz w:val="22"/>
          <w:szCs w:val="22"/>
        </w:rPr>
        <w:t>’</w:t>
      </w:r>
      <w:r w:rsidRPr="0001502D">
        <w:rPr>
          <w:rFonts w:ascii="Arial" w:hAnsi="Arial" w:cs="Arial"/>
          <w:color w:val="000000"/>
          <w:sz w:val="22"/>
          <w:szCs w:val="22"/>
        </w:rPr>
        <w:t xml:space="preserve">Italie ont proposé la candidature de </w:t>
      </w:r>
      <w:r w:rsidRPr="0001502D">
        <w:rPr>
          <w:rFonts w:ascii="Arial" w:hAnsi="Arial" w:cs="Arial"/>
          <w:b/>
          <w:color w:val="000000"/>
          <w:sz w:val="22"/>
          <w:szCs w:val="22"/>
        </w:rPr>
        <w:t>la transhumance, déplacement saisonnier de troupeaux le long des routes migratoires en Méditerranée et dans les Alpes</w:t>
      </w:r>
      <w:r w:rsidRPr="0001502D">
        <w:rPr>
          <w:rFonts w:ascii="Arial" w:hAnsi="Arial" w:cs="Arial"/>
          <w:color w:val="000000"/>
          <w:sz w:val="22"/>
          <w:szCs w:val="22"/>
        </w:rPr>
        <w:t xml:space="preserve"> (n° 01470) pour inscription sur la Liste représentative du patrimoine culturel immatériel de l</w:t>
      </w:r>
      <w:r w:rsidR="009C104E">
        <w:rPr>
          <w:rFonts w:ascii="Arial" w:hAnsi="Arial" w:cs="Arial"/>
          <w:color w:val="000000"/>
          <w:sz w:val="22"/>
          <w:szCs w:val="22"/>
        </w:rPr>
        <w:t>’</w:t>
      </w:r>
      <w:r w:rsidRPr="0001502D">
        <w:rPr>
          <w:rFonts w:ascii="Arial" w:hAnsi="Arial" w:cs="Arial"/>
          <w:color w:val="000000"/>
          <w:sz w:val="22"/>
          <w:szCs w:val="22"/>
        </w:rPr>
        <w:t>humanité :</w:t>
      </w:r>
    </w:p>
    <w:p w14:paraId="233355F8" w14:textId="5D3C8B43" w:rsidR="0001502D" w:rsidRPr="0001502D" w:rsidRDefault="0001502D" w:rsidP="0001502D">
      <w:pPr>
        <w:tabs>
          <w:tab w:val="left" w:pos="567"/>
          <w:tab w:val="left" w:pos="1701"/>
          <w:tab w:val="left" w:pos="2268"/>
        </w:tabs>
        <w:spacing w:before="120" w:after="120"/>
        <w:ind w:left="567" w:hanging="567"/>
        <w:jc w:val="both"/>
        <w:rPr>
          <w:rFonts w:ascii="Arial" w:hAnsi="Arial" w:cs="Arial"/>
          <w:sz w:val="22"/>
          <w:szCs w:val="22"/>
        </w:rPr>
      </w:pPr>
      <w:r>
        <w:rPr>
          <w:rFonts w:ascii="Arial" w:hAnsi="Arial" w:cs="Arial"/>
          <w:sz w:val="22"/>
          <w:szCs w:val="22"/>
        </w:rPr>
        <w:tab/>
      </w:r>
      <w:r w:rsidRPr="0001502D">
        <w:rPr>
          <w:rFonts w:ascii="Arial" w:hAnsi="Arial" w:cs="Arial"/>
          <w:sz w:val="22"/>
          <w:szCs w:val="22"/>
        </w:rPr>
        <w:t>La transhumance, déplacement saisonnier de bétail le long des routes migratoires en Méditerranée et dans les Alpes, est une forme de pastoralisme. Chaque année au printemps et en automne, des milliers d</w:t>
      </w:r>
      <w:r w:rsidR="009C104E">
        <w:rPr>
          <w:rFonts w:ascii="Arial" w:hAnsi="Arial" w:cs="Arial"/>
          <w:sz w:val="22"/>
          <w:szCs w:val="22"/>
        </w:rPr>
        <w:t>’</w:t>
      </w:r>
      <w:r w:rsidRPr="0001502D">
        <w:rPr>
          <w:rFonts w:ascii="Arial" w:hAnsi="Arial" w:cs="Arial"/>
          <w:sz w:val="22"/>
          <w:szCs w:val="22"/>
        </w:rPr>
        <w:t>animaux</w:t>
      </w:r>
      <w:sdt>
        <w:sdtPr>
          <w:rPr>
            <w:rFonts w:ascii="Arial" w:hAnsi="Arial" w:cs="Arial"/>
            <w:sz w:val="22"/>
            <w:szCs w:val="22"/>
          </w:rPr>
          <w:tag w:val="goog_rdk_4"/>
          <w:id w:val="-108356254"/>
        </w:sdtPr>
        <w:sdtEndPr/>
        <w:sdtContent>
          <w:r w:rsidRPr="0001502D">
            <w:rPr>
              <w:rFonts w:ascii="Arial" w:hAnsi="Arial" w:cs="Arial"/>
              <w:sz w:val="22"/>
              <w:szCs w:val="22"/>
            </w:rPr>
            <w:t xml:space="preserve"> </w:t>
          </w:r>
        </w:sdtContent>
      </w:sdt>
      <w:r w:rsidRPr="0001502D">
        <w:rPr>
          <w:rFonts w:ascii="Arial" w:hAnsi="Arial" w:cs="Arial"/>
          <w:sz w:val="22"/>
          <w:szCs w:val="22"/>
        </w:rPr>
        <w:t>sont conduits par des gardiens de troupeaux, accompagnés de leurs chiens et de leurs chevaux, selon des itinéraires fixes, entre deux régions géographiques et climatiques, de l</w:t>
      </w:r>
      <w:r w:rsidR="009C104E">
        <w:rPr>
          <w:rFonts w:ascii="Arial" w:hAnsi="Arial" w:cs="Arial"/>
          <w:sz w:val="22"/>
          <w:szCs w:val="22"/>
        </w:rPr>
        <w:t>’</w:t>
      </w:r>
      <w:r w:rsidRPr="0001502D">
        <w:rPr>
          <w:rFonts w:ascii="Arial" w:hAnsi="Arial" w:cs="Arial"/>
          <w:sz w:val="22"/>
          <w:szCs w:val="22"/>
        </w:rPr>
        <w:t>aube au crépuscule. Dans de nombreux cas, les familles des gardiens de troupeaux se déplacent aussi avec le bétail. On distingue deux grands types de transhumance : la transhumance horizontale, dans les régions de plaines ou de plateaux ; et la transhumance verticale typique des régions montagneuses. La transhumance modèle les relations entre les hommes, les animaux et les écosystèmes. Elle implique des rituels et des pratiques sociales communes en matière de soin et d</w:t>
      </w:r>
      <w:r w:rsidR="009C104E">
        <w:rPr>
          <w:rFonts w:ascii="Arial" w:hAnsi="Arial" w:cs="Arial"/>
          <w:sz w:val="22"/>
          <w:szCs w:val="22"/>
        </w:rPr>
        <w:t>’</w:t>
      </w:r>
      <w:r w:rsidRPr="0001502D">
        <w:rPr>
          <w:rFonts w:ascii="Arial" w:hAnsi="Arial" w:cs="Arial"/>
          <w:sz w:val="22"/>
          <w:szCs w:val="22"/>
        </w:rPr>
        <w:t>élevage des animaux, de gestion des terres, des forêts et des ressources en eau, ainsi que de gestion des risques naturels. Les gardiens de troupeaux transhumants ont une connaissance approfondie de l</w:t>
      </w:r>
      <w:r w:rsidR="009C104E">
        <w:rPr>
          <w:rFonts w:ascii="Arial" w:hAnsi="Arial" w:cs="Arial"/>
          <w:sz w:val="22"/>
          <w:szCs w:val="22"/>
        </w:rPr>
        <w:t>’</w:t>
      </w:r>
      <w:r w:rsidRPr="0001502D">
        <w:rPr>
          <w:rFonts w:ascii="Arial" w:hAnsi="Arial" w:cs="Arial"/>
          <w:sz w:val="22"/>
          <w:szCs w:val="22"/>
        </w:rPr>
        <w:t>environnement, de l</w:t>
      </w:r>
      <w:r w:rsidR="009C104E">
        <w:rPr>
          <w:rFonts w:ascii="Arial" w:hAnsi="Arial" w:cs="Arial"/>
          <w:sz w:val="22"/>
          <w:szCs w:val="22"/>
        </w:rPr>
        <w:t>’</w:t>
      </w:r>
      <w:r w:rsidRPr="0001502D">
        <w:rPr>
          <w:rFonts w:ascii="Arial" w:hAnsi="Arial" w:cs="Arial"/>
          <w:sz w:val="22"/>
          <w:szCs w:val="22"/>
        </w:rPr>
        <w:t>équilibre écologique et du changement climatique, car la transhumance est l</w:t>
      </w:r>
      <w:r w:rsidR="009C104E">
        <w:rPr>
          <w:rFonts w:ascii="Arial" w:hAnsi="Arial" w:cs="Arial"/>
          <w:sz w:val="22"/>
          <w:szCs w:val="22"/>
        </w:rPr>
        <w:t>’</w:t>
      </w:r>
      <w:r w:rsidRPr="0001502D">
        <w:rPr>
          <w:rFonts w:ascii="Arial" w:hAnsi="Arial" w:cs="Arial"/>
          <w:sz w:val="22"/>
          <w:szCs w:val="22"/>
        </w:rPr>
        <w:t>une des méthodes d</w:t>
      </w:r>
      <w:r w:rsidR="009C104E">
        <w:rPr>
          <w:rFonts w:ascii="Arial" w:hAnsi="Arial" w:cs="Arial"/>
          <w:sz w:val="22"/>
          <w:szCs w:val="22"/>
        </w:rPr>
        <w:t>’</w:t>
      </w:r>
      <w:r w:rsidRPr="0001502D">
        <w:rPr>
          <w:rFonts w:ascii="Arial" w:hAnsi="Arial" w:cs="Arial"/>
          <w:sz w:val="22"/>
          <w:szCs w:val="22"/>
        </w:rPr>
        <w:t>élevage les plus efficaces et durables. Ils possèdent également des savoir-faire particuliers liés à toutes sortes d</w:t>
      </w:r>
      <w:r w:rsidR="009C104E">
        <w:rPr>
          <w:rFonts w:ascii="Arial" w:hAnsi="Arial" w:cs="Arial"/>
          <w:sz w:val="22"/>
          <w:szCs w:val="22"/>
        </w:rPr>
        <w:t>’</w:t>
      </w:r>
      <w:r w:rsidRPr="0001502D">
        <w:rPr>
          <w:rFonts w:ascii="Arial" w:hAnsi="Arial" w:cs="Arial"/>
          <w:sz w:val="22"/>
          <w:szCs w:val="22"/>
        </w:rPr>
        <w:t>artisanat et à la production alimentaire. Des festivités au printemps et en automne marquent le début et la fin de la transhumance, lorsque les détenteurs partagent de la nourriture, des rituels et des histoires et initient les jeunes générations à la pratique de l</w:t>
      </w:r>
      <w:r w:rsidR="009C104E">
        <w:rPr>
          <w:rFonts w:ascii="Arial" w:hAnsi="Arial" w:cs="Arial"/>
          <w:sz w:val="22"/>
          <w:szCs w:val="22"/>
        </w:rPr>
        <w:t>’</w:t>
      </w:r>
      <w:r w:rsidRPr="0001502D">
        <w:rPr>
          <w:rFonts w:ascii="Arial" w:hAnsi="Arial" w:cs="Arial"/>
          <w:sz w:val="22"/>
          <w:szCs w:val="22"/>
        </w:rPr>
        <w:t>élément. Des gardiens de troupeaux en chef transmettent leur savoir-faire spécifique aux jeunes générations à travers des activités quotidiennes, assurant la viabilité de la pratique.</w:t>
      </w:r>
    </w:p>
    <w:p w14:paraId="0375E2C4" w14:textId="62BA5DD3" w:rsidR="0001502D" w:rsidRPr="0001502D" w:rsidRDefault="0001502D" w:rsidP="00771F30">
      <w:pPr>
        <w:keepNext/>
        <w:numPr>
          <w:ilvl w:val="1"/>
          <w:numId w:val="28"/>
        </w:numPr>
        <w:pBdr>
          <w:top w:val="nil"/>
          <w:left w:val="nil"/>
          <w:bottom w:val="nil"/>
          <w:right w:val="nil"/>
          <w:between w:val="nil"/>
        </w:pBdr>
        <w:tabs>
          <w:tab w:val="left" w:pos="567"/>
          <w:tab w:val="left" w:pos="1701"/>
          <w:tab w:val="left" w:pos="2268"/>
        </w:tabs>
        <w:spacing w:before="120" w:after="120"/>
        <w:ind w:left="567" w:hanging="567"/>
        <w:jc w:val="both"/>
        <w:rPr>
          <w:rFonts w:ascii="Arial" w:eastAsia="Arial" w:hAnsi="Arial" w:cs="Arial"/>
          <w:color w:val="000000"/>
          <w:sz w:val="22"/>
          <w:szCs w:val="22"/>
        </w:rPr>
      </w:pPr>
      <w:r w:rsidRPr="0001502D">
        <w:rPr>
          <w:rFonts w:ascii="Arial" w:hAnsi="Arial" w:cs="Arial"/>
          <w:color w:val="000000"/>
          <w:sz w:val="22"/>
          <w:szCs w:val="22"/>
          <w:u w:val="single"/>
        </w:rPr>
        <w:t>Estime</w:t>
      </w:r>
      <w:r w:rsidRPr="0001502D">
        <w:rPr>
          <w:rFonts w:ascii="Arial" w:hAnsi="Arial" w:cs="Arial"/>
          <w:color w:val="000000"/>
          <w:sz w:val="22"/>
          <w:szCs w:val="22"/>
        </w:rPr>
        <w:t xml:space="preserve"> que, d</w:t>
      </w:r>
      <w:r w:rsidR="009C104E">
        <w:rPr>
          <w:rFonts w:ascii="Arial" w:hAnsi="Arial" w:cs="Arial"/>
          <w:color w:val="000000"/>
          <w:sz w:val="22"/>
          <w:szCs w:val="22"/>
        </w:rPr>
        <w:t>’</w:t>
      </w:r>
      <w:r w:rsidRPr="0001502D">
        <w:rPr>
          <w:rFonts w:ascii="Arial" w:hAnsi="Arial" w:cs="Arial"/>
          <w:color w:val="000000"/>
          <w:sz w:val="22"/>
          <w:szCs w:val="22"/>
        </w:rPr>
        <w:t>après les informations contenues dans le dossier, la candidature satisfait aux critères d</w:t>
      </w:r>
      <w:r w:rsidR="009C104E">
        <w:rPr>
          <w:rFonts w:ascii="Arial" w:hAnsi="Arial" w:cs="Arial"/>
          <w:color w:val="000000"/>
          <w:sz w:val="22"/>
          <w:szCs w:val="22"/>
        </w:rPr>
        <w:t>’</w:t>
      </w:r>
      <w:r w:rsidRPr="0001502D">
        <w:rPr>
          <w:rFonts w:ascii="Arial" w:hAnsi="Arial" w:cs="Arial"/>
          <w:color w:val="000000"/>
          <w:sz w:val="22"/>
          <w:szCs w:val="22"/>
        </w:rPr>
        <w:t>inscription sur la Liste représentative du patrimoine culturel immatériel de l</w:t>
      </w:r>
      <w:r w:rsidR="009C104E">
        <w:rPr>
          <w:rFonts w:ascii="Arial" w:hAnsi="Arial" w:cs="Arial"/>
          <w:color w:val="000000"/>
          <w:sz w:val="22"/>
          <w:szCs w:val="22"/>
        </w:rPr>
        <w:t>’</w:t>
      </w:r>
      <w:r w:rsidRPr="0001502D">
        <w:rPr>
          <w:rFonts w:ascii="Arial" w:hAnsi="Arial" w:cs="Arial"/>
          <w:color w:val="000000"/>
          <w:sz w:val="22"/>
          <w:szCs w:val="22"/>
        </w:rPr>
        <w:t>humanité comme suit :</w:t>
      </w:r>
    </w:p>
    <w:p w14:paraId="5C891A3F" w14:textId="650660EB" w:rsidR="0001502D" w:rsidRPr="0001502D" w:rsidRDefault="0001502D" w:rsidP="0001502D">
      <w:pPr>
        <w:tabs>
          <w:tab w:val="left" w:pos="567"/>
        </w:tabs>
        <w:spacing w:before="120" w:after="120"/>
        <w:ind w:left="1134" w:hanging="567"/>
        <w:jc w:val="both"/>
        <w:rPr>
          <w:rFonts w:ascii="Arial" w:hAnsi="Arial" w:cs="Arial"/>
          <w:sz w:val="22"/>
          <w:szCs w:val="22"/>
        </w:rPr>
      </w:pPr>
      <w:r w:rsidRPr="0001502D">
        <w:rPr>
          <w:rFonts w:ascii="Arial" w:hAnsi="Arial" w:cs="Arial"/>
          <w:sz w:val="22"/>
          <w:szCs w:val="22"/>
        </w:rPr>
        <w:tab/>
        <w:t>R.1 :</w:t>
      </w:r>
      <w:r w:rsidRPr="0001502D">
        <w:rPr>
          <w:rFonts w:ascii="Arial" w:hAnsi="Arial" w:cs="Arial"/>
          <w:sz w:val="22"/>
          <w:szCs w:val="22"/>
        </w:rPr>
        <w:tab/>
        <w:t>La transhumance est au cœur de la vie d</w:t>
      </w:r>
      <w:r w:rsidR="009C104E">
        <w:rPr>
          <w:rFonts w:ascii="Arial" w:hAnsi="Arial" w:cs="Arial"/>
          <w:sz w:val="22"/>
          <w:szCs w:val="22"/>
        </w:rPr>
        <w:t>’</w:t>
      </w:r>
      <w:r w:rsidRPr="0001502D">
        <w:rPr>
          <w:rFonts w:ascii="Arial" w:hAnsi="Arial" w:cs="Arial"/>
          <w:sz w:val="22"/>
          <w:szCs w:val="22"/>
        </w:rPr>
        <w:t>un grand nombre de communautés pastorales en Autriche, en Grèce et en Italie. Depuis des siècles, elle façonne le mode de vie des gardiens de troupeaux et de leurs familles, contribuant à la vie sociale et aux festivités des communautés locales associées à cette tradition. L</w:t>
      </w:r>
      <w:r w:rsidR="009C104E">
        <w:rPr>
          <w:rFonts w:ascii="Arial" w:hAnsi="Arial" w:cs="Arial"/>
          <w:sz w:val="22"/>
          <w:szCs w:val="22"/>
        </w:rPr>
        <w:t>’</w:t>
      </w:r>
      <w:r w:rsidRPr="0001502D">
        <w:rPr>
          <w:rFonts w:ascii="Arial" w:hAnsi="Arial" w:cs="Arial"/>
          <w:sz w:val="22"/>
          <w:szCs w:val="22"/>
        </w:rPr>
        <w:t>élément fait partie intégrante des identités culturelles de ses praticiens et détenteurs, créant un lien fort avec leurs ancêtres et avec l</w:t>
      </w:r>
      <w:r w:rsidR="009C104E">
        <w:rPr>
          <w:rFonts w:ascii="Arial" w:hAnsi="Arial" w:cs="Arial"/>
          <w:sz w:val="22"/>
          <w:szCs w:val="22"/>
        </w:rPr>
        <w:t>’</w:t>
      </w:r>
      <w:r w:rsidRPr="0001502D">
        <w:rPr>
          <w:rFonts w:ascii="Arial" w:hAnsi="Arial" w:cs="Arial"/>
          <w:sz w:val="22"/>
          <w:szCs w:val="22"/>
        </w:rPr>
        <w:t>univers. Il renforce les liens entre les familles et les communautés, façonne les paysages et favorise la coopération axée sur l</w:t>
      </w:r>
      <w:r w:rsidR="009C104E">
        <w:rPr>
          <w:rFonts w:ascii="Arial" w:hAnsi="Arial" w:cs="Arial"/>
          <w:sz w:val="22"/>
          <w:szCs w:val="22"/>
        </w:rPr>
        <w:t>’</w:t>
      </w:r>
      <w:r w:rsidRPr="0001502D">
        <w:rPr>
          <w:rFonts w:ascii="Arial" w:hAnsi="Arial" w:cs="Arial"/>
          <w:sz w:val="22"/>
          <w:szCs w:val="22"/>
        </w:rPr>
        <w:t>inclusion sociale et la sécurité alimentaire. La transhumance contribue également à la préservation de la biodiversité et à l</w:t>
      </w:r>
      <w:r w:rsidR="009C104E">
        <w:rPr>
          <w:rFonts w:ascii="Arial" w:hAnsi="Arial" w:cs="Arial"/>
          <w:sz w:val="22"/>
          <w:szCs w:val="22"/>
        </w:rPr>
        <w:t>’</w:t>
      </w:r>
      <w:r w:rsidRPr="0001502D">
        <w:rPr>
          <w:rFonts w:ascii="Arial" w:hAnsi="Arial" w:cs="Arial"/>
          <w:sz w:val="22"/>
          <w:szCs w:val="22"/>
        </w:rPr>
        <w:t>utilisation durable des ressources naturelles.</w:t>
      </w:r>
    </w:p>
    <w:p w14:paraId="12C0C0B3" w14:textId="44C94FB9" w:rsidR="0001502D" w:rsidRPr="0001502D" w:rsidRDefault="0001502D" w:rsidP="0001502D">
      <w:pPr>
        <w:tabs>
          <w:tab w:val="left" w:pos="567"/>
        </w:tabs>
        <w:spacing w:before="120" w:after="120"/>
        <w:ind w:left="1134" w:hanging="567"/>
        <w:jc w:val="both"/>
        <w:rPr>
          <w:rFonts w:ascii="Arial" w:hAnsi="Arial" w:cs="Arial"/>
          <w:sz w:val="22"/>
          <w:szCs w:val="22"/>
        </w:rPr>
      </w:pPr>
      <w:r w:rsidRPr="0001502D">
        <w:rPr>
          <w:rFonts w:ascii="Arial" w:hAnsi="Arial" w:cs="Arial"/>
          <w:sz w:val="22"/>
          <w:szCs w:val="22"/>
        </w:rPr>
        <w:tab/>
        <w:t>R.2 :</w:t>
      </w:r>
      <w:r w:rsidRPr="0001502D">
        <w:rPr>
          <w:rFonts w:ascii="Arial" w:hAnsi="Arial" w:cs="Arial"/>
          <w:sz w:val="22"/>
          <w:szCs w:val="22"/>
        </w:rPr>
        <w:tab/>
        <w:t>L</w:t>
      </w:r>
      <w:r w:rsidR="009C104E">
        <w:rPr>
          <w:rFonts w:ascii="Arial" w:hAnsi="Arial" w:cs="Arial"/>
          <w:sz w:val="22"/>
          <w:szCs w:val="22"/>
        </w:rPr>
        <w:t>’</w:t>
      </w:r>
      <w:r w:rsidRPr="0001502D">
        <w:rPr>
          <w:rFonts w:ascii="Arial" w:hAnsi="Arial" w:cs="Arial"/>
          <w:sz w:val="22"/>
          <w:szCs w:val="22"/>
        </w:rPr>
        <w:t>inscription de l</w:t>
      </w:r>
      <w:r w:rsidR="009C104E">
        <w:rPr>
          <w:rFonts w:ascii="Arial" w:hAnsi="Arial" w:cs="Arial"/>
          <w:sz w:val="22"/>
          <w:szCs w:val="22"/>
        </w:rPr>
        <w:t>’</w:t>
      </w:r>
      <w:r w:rsidRPr="0001502D">
        <w:rPr>
          <w:rFonts w:ascii="Arial" w:hAnsi="Arial" w:cs="Arial"/>
          <w:sz w:val="22"/>
          <w:szCs w:val="22"/>
        </w:rPr>
        <w:t>élément soulignerait l</w:t>
      </w:r>
      <w:r w:rsidR="009C104E">
        <w:rPr>
          <w:rFonts w:ascii="Arial" w:hAnsi="Arial" w:cs="Arial"/>
          <w:sz w:val="22"/>
          <w:szCs w:val="22"/>
        </w:rPr>
        <w:t>’</w:t>
      </w:r>
      <w:r w:rsidRPr="0001502D">
        <w:rPr>
          <w:rFonts w:ascii="Arial" w:hAnsi="Arial" w:cs="Arial"/>
          <w:sz w:val="22"/>
          <w:szCs w:val="22"/>
        </w:rPr>
        <w:t>importance des valeurs rurales et des expressions culturelles liées au pastoralisme, pratique que l</w:t>
      </w:r>
      <w:r w:rsidR="009C104E">
        <w:rPr>
          <w:rFonts w:ascii="Arial" w:hAnsi="Arial" w:cs="Arial"/>
          <w:sz w:val="22"/>
          <w:szCs w:val="22"/>
        </w:rPr>
        <w:t>’</w:t>
      </w:r>
      <w:r w:rsidRPr="0001502D">
        <w:rPr>
          <w:rFonts w:ascii="Arial" w:hAnsi="Arial" w:cs="Arial"/>
          <w:sz w:val="22"/>
          <w:szCs w:val="22"/>
        </w:rPr>
        <w:t>on retrouve dans toutes les régions du monde. Par conséquent, elle devrait contribuer à élargir la compréhension du patrimoine culturel immatériel dans un contexte rural et à identifier des expressions culturelles de ce type comme une manière durable de relever les défis posés par l</w:t>
      </w:r>
      <w:r w:rsidR="009C104E">
        <w:rPr>
          <w:rFonts w:ascii="Arial" w:hAnsi="Arial" w:cs="Arial"/>
          <w:sz w:val="22"/>
          <w:szCs w:val="22"/>
        </w:rPr>
        <w:t>’</w:t>
      </w:r>
      <w:r w:rsidRPr="0001502D">
        <w:rPr>
          <w:rFonts w:ascii="Arial" w:hAnsi="Arial" w:cs="Arial"/>
          <w:sz w:val="22"/>
          <w:szCs w:val="22"/>
        </w:rPr>
        <w:t>urbanisation rapide et la mondialisation, en établissant un lien important avec le développement durable. L</w:t>
      </w:r>
      <w:r w:rsidR="009C104E">
        <w:rPr>
          <w:rFonts w:ascii="Arial" w:hAnsi="Arial" w:cs="Arial"/>
          <w:sz w:val="22"/>
          <w:szCs w:val="22"/>
        </w:rPr>
        <w:t>’</w:t>
      </w:r>
      <w:r w:rsidRPr="0001502D">
        <w:rPr>
          <w:rFonts w:ascii="Arial" w:hAnsi="Arial" w:cs="Arial"/>
          <w:sz w:val="22"/>
          <w:szCs w:val="22"/>
        </w:rPr>
        <w:t>inscription de l</w:t>
      </w:r>
      <w:r w:rsidR="009C104E">
        <w:rPr>
          <w:rFonts w:ascii="Arial" w:hAnsi="Arial" w:cs="Arial"/>
          <w:sz w:val="22"/>
          <w:szCs w:val="22"/>
        </w:rPr>
        <w:t>’</w:t>
      </w:r>
      <w:r w:rsidRPr="0001502D">
        <w:rPr>
          <w:rFonts w:ascii="Arial" w:hAnsi="Arial" w:cs="Arial"/>
          <w:sz w:val="22"/>
          <w:szCs w:val="22"/>
        </w:rPr>
        <w:t>élément contribuerait également à mettre en lumière les interconnexions entre le patrimoine culturel immatériel et le patrimoine culturel matériel, en particulier celles liées à la terre et au territoire. Enfin, elle marquerait une étape importante en connectant les communautés locales aux niveaux national et transnational, et renforcerait leur travail et leurs efforts pour sauvegarder l</w:t>
      </w:r>
      <w:r w:rsidR="009C104E">
        <w:rPr>
          <w:rFonts w:ascii="Arial" w:hAnsi="Arial" w:cs="Arial"/>
          <w:sz w:val="22"/>
          <w:szCs w:val="22"/>
        </w:rPr>
        <w:t>’</w:t>
      </w:r>
      <w:r w:rsidRPr="0001502D">
        <w:rPr>
          <w:rFonts w:ascii="Arial" w:hAnsi="Arial" w:cs="Arial"/>
          <w:sz w:val="22"/>
          <w:szCs w:val="22"/>
        </w:rPr>
        <w:t>élément, en soulignant l</w:t>
      </w:r>
      <w:r w:rsidR="009C104E">
        <w:rPr>
          <w:rFonts w:ascii="Arial" w:hAnsi="Arial" w:cs="Arial"/>
          <w:sz w:val="22"/>
          <w:szCs w:val="22"/>
        </w:rPr>
        <w:t>’</w:t>
      </w:r>
      <w:r w:rsidRPr="0001502D">
        <w:rPr>
          <w:rFonts w:ascii="Arial" w:hAnsi="Arial" w:cs="Arial"/>
          <w:sz w:val="22"/>
          <w:szCs w:val="22"/>
        </w:rPr>
        <w:t>importance du travail d</w:t>
      </w:r>
      <w:r w:rsidR="009C104E">
        <w:rPr>
          <w:rFonts w:ascii="Arial" w:hAnsi="Arial" w:cs="Arial"/>
          <w:sz w:val="22"/>
          <w:szCs w:val="22"/>
        </w:rPr>
        <w:t>’</w:t>
      </w:r>
      <w:r w:rsidRPr="0001502D">
        <w:rPr>
          <w:rFonts w:ascii="Arial" w:hAnsi="Arial" w:cs="Arial"/>
          <w:sz w:val="22"/>
          <w:szCs w:val="22"/>
        </w:rPr>
        <w:t>équipe et de la collaboration créative.</w:t>
      </w:r>
    </w:p>
    <w:p w14:paraId="07AD5664" w14:textId="12088023" w:rsidR="0001502D" w:rsidRPr="0001502D" w:rsidRDefault="0001502D" w:rsidP="0001502D">
      <w:pPr>
        <w:tabs>
          <w:tab w:val="left" w:pos="567"/>
        </w:tabs>
        <w:spacing w:before="120" w:after="120"/>
        <w:ind w:left="1134" w:hanging="567"/>
        <w:jc w:val="both"/>
        <w:rPr>
          <w:rFonts w:ascii="Arial" w:hAnsi="Arial" w:cs="Arial"/>
          <w:sz w:val="22"/>
          <w:szCs w:val="22"/>
        </w:rPr>
      </w:pPr>
      <w:r w:rsidRPr="0001502D">
        <w:rPr>
          <w:rFonts w:ascii="Arial" w:hAnsi="Arial" w:cs="Arial"/>
          <w:sz w:val="22"/>
          <w:szCs w:val="22"/>
        </w:rPr>
        <w:tab/>
        <w:t>R.3 :</w:t>
      </w:r>
      <w:r w:rsidRPr="0001502D">
        <w:rPr>
          <w:rFonts w:ascii="Arial" w:hAnsi="Arial" w:cs="Arial"/>
          <w:sz w:val="22"/>
          <w:szCs w:val="22"/>
        </w:rPr>
        <w:tab/>
        <w:t>Les détenteurs, les praticiens et les communautés locales des trois États parties ont contribué à la sauvegarde de la transhumance en menant des actions de documentation, de transmission et de promotion aux niveaux local, national et international. En outre, chaque État partie soumissionnaire soutient la pratique par le biais des programmes nationaux de développement rural 2014-2020. Les mesures de sauvegarde proposées incluent, entre autres, la documentation, la recherche, les publications, les projets de transmission, les festivités, les mesures promotionnelles, les partenariats internationaux, les présentations et les expositions.  Celles-ci résultent d</w:t>
      </w:r>
      <w:r w:rsidR="009C104E">
        <w:rPr>
          <w:rFonts w:ascii="Arial" w:hAnsi="Arial" w:cs="Arial"/>
          <w:sz w:val="22"/>
          <w:szCs w:val="22"/>
        </w:rPr>
        <w:t>’</w:t>
      </w:r>
      <w:r w:rsidRPr="0001502D">
        <w:rPr>
          <w:rFonts w:ascii="Arial" w:hAnsi="Arial" w:cs="Arial"/>
          <w:sz w:val="22"/>
          <w:szCs w:val="22"/>
        </w:rPr>
        <w:t>un processus selon lequel, bien que chaque pays ait mis au point ses propres mécanismes de sauvegarde, leurs activités se recoupent et sont orientées vers des objectifs communs.</w:t>
      </w:r>
    </w:p>
    <w:p w14:paraId="1FD7F91F" w14:textId="68BA4312" w:rsidR="0001502D" w:rsidRPr="0001502D" w:rsidRDefault="0001502D" w:rsidP="0001502D">
      <w:pPr>
        <w:tabs>
          <w:tab w:val="left" w:pos="567"/>
        </w:tabs>
        <w:spacing w:before="120" w:after="120"/>
        <w:ind w:left="1134" w:hanging="567"/>
        <w:jc w:val="both"/>
        <w:rPr>
          <w:rFonts w:ascii="Arial" w:hAnsi="Arial" w:cs="Arial"/>
          <w:sz w:val="22"/>
          <w:szCs w:val="22"/>
        </w:rPr>
      </w:pPr>
      <w:r w:rsidRPr="0001502D">
        <w:rPr>
          <w:rFonts w:ascii="Arial" w:hAnsi="Arial" w:cs="Arial"/>
          <w:sz w:val="22"/>
          <w:szCs w:val="22"/>
        </w:rPr>
        <w:tab/>
        <w:t>R.4 :</w:t>
      </w:r>
      <w:r w:rsidRPr="0001502D">
        <w:rPr>
          <w:rFonts w:ascii="Arial" w:hAnsi="Arial" w:cs="Arial"/>
          <w:sz w:val="22"/>
          <w:szCs w:val="22"/>
        </w:rPr>
        <w:tab/>
        <w:t>L</w:t>
      </w:r>
      <w:r w:rsidR="009C104E">
        <w:rPr>
          <w:rFonts w:ascii="Arial" w:hAnsi="Arial" w:cs="Arial"/>
          <w:sz w:val="22"/>
          <w:szCs w:val="22"/>
        </w:rPr>
        <w:t>’</w:t>
      </w:r>
      <w:r w:rsidRPr="0001502D">
        <w:rPr>
          <w:rFonts w:ascii="Arial" w:hAnsi="Arial" w:cs="Arial"/>
          <w:sz w:val="22"/>
          <w:szCs w:val="22"/>
        </w:rPr>
        <w:t>initiative de déposer une candidature pour la transhumance a été lancée par des praticiens de l</w:t>
      </w:r>
      <w:r w:rsidR="009C104E">
        <w:rPr>
          <w:rFonts w:ascii="Arial" w:hAnsi="Arial" w:cs="Arial"/>
          <w:sz w:val="22"/>
          <w:szCs w:val="22"/>
        </w:rPr>
        <w:t>’</w:t>
      </w:r>
      <w:r w:rsidRPr="0001502D">
        <w:rPr>
          <w:rFonts w:ascii="Arial" w:hAnsi="Arial" w:cs="Arial"/>
          <w:sz w:val="22"/>
          <w:szCs w:val="22"/>
        </w:rPr>
        <w:t>élément en 2008. Depuis lors, les communautés, les détenteurs, les experts du patrimoine culturel immatériel et les représentants des autorités nationales concernées des trois États parties soumissionnaires ont pris part au processus de candidature en participant à plusieurs réunions. Au cours de ce processus, ils ont défini la portée et la nature de l</w:t>
      </w:r>
      <w:r w:rsidR="009C104E">
        <w:rPr>
          <w:rFonts w:ascii="Arial" w:hAnsi="Arial" w:cs="Arial"/>
          <w:sz w:val="22"/>
          <w:szCs w:val="22"/>
        </w:rPr>
        <w:t>’</w:t>
      </w:r>
      <w:r w:rsidRPr="0001502D">
        <w:rPr>
          <w:rFonts w:ascii="Arial" w:hAnsi="Arial" w:cs="Arial"/>
          <w:sz w:val="22"/>
          <w:szCs w:val="22"/>
        </w:rPr>
        <w:t>élément, et examiné les conséquences possibles de son inscription, afin de garantir le respect futur des coutumes et traditions associées à l</w:t>
      </w:r>
      <w:r w:rsidR="009C104E">
        <w:rPr>
          <w:rFonts w:ascii="Arial" w:hAnsi="Arial" w:cs="Arial"/>
          <w:sz w:val="22"/>
          <w:szCs w:val="22"/>
        </w:rPr>
        <w:t>’</w:t>
      </w:r>
      <w:r w:rsidRPr="0001502D">
        <w:rPr>
          <w:rFonts w:ascii="Arial" w:hAnsi="Arial" w:cs="Arial"/>
          <w:sz w:val="22"/>
          <w:szCs w:val="22"/>
        </w:rPr>
        <w:t>élément. Dans les trois États parties, les communautés locales et les gardiens de troupeaux ont activement participé à la définition des mesures de sauvegarde, assurant la vitalité de la pratique et la continuité des événements organisés périodiquement les années précédentes, ainsi que ceux prévus à l</w:t>
      </w:r>
      <w:r w:rsidR="009C104E">
        <w:rPr>
          <w:rFonts w:ascii="Arial" w:hAnsi="Arial" w:cs="Arial"/>
          <w:sz w:val="22"/>
          <w:szCs w:val="22"/>
        </w:rPr>
        <w:t>’</w:t>
      </w:r>
      <w:r w:rsidRPr="0001502D">
        <w:rPr>
          <w:rFonts w:ascii="Arial" w:hAnsi="Arial" w:cs="Arial"/>
          <w:sz w:val="22"/>
          <w:szCs w:val="22"/>
        </w:rPr>
        <w:t>avenir.</w:t>
      </w:r>
    </w:p>
    <w:p w14:paraId="3B7CD5FB" w14:textId="0702221F" w:rsidR="0001502D" w:rsidRPr="0001502D" w:rsidRDefault="0001502D" w:rsidP="0001502D">
      <w:pPr>
        <w:tabs>
          <w:tab w:val="left" w:pos="567"/>
        </w:tabs>
        <w:spacing w:before="120" w:after="120"/>
        <w:ind w:left="1134" w:hanging="567"/>
        <w:jc w:val="both"/>
        <w:rPr>
          <w:rFonts w:ascii="Arial" w:hAnsi="Arial" w:cs="Arial"/>
          <w:sz w:val="22"/>
          <w:szCs w:val="22"/>
        </w:rPr>
      </w:pPr>
      <w:r w:rsidRPr="0001502D">
        <w:rPr>
          <w:rFonts w:ascii="Arial" w:hAnsi="Arial" w:cs="Arial"/>
          <w:sz w:val="22"/>
          <w:szCs w:val="22"/>
        </w:rPr>
        <w:tab/>
        <w:t>R.5 :</w:t>
      </w:r>
      <w:r w:rsidRPr="0001502D">
        <w:rPr>
          <w:rFonts w:ascii="Arial" w:hAnsi="Arial" w:cs="Arial"/>
          <w:sz w:val="22"/>
          <w:szCs w:val="22"/>
        </w:rPr>
        <w:tab/>
        <w:t>L</w:t>
      </w:r>
      <w:r w:rsidR="009C104E">
        <w:rPr>
          <w:rFonts w:ascii="Arial" w:hAnsi="Arial" w:cs="Arial"/>
          <w:sz w:val="22"/>
          <w:szCs w:val="22"/>
        </w:rPr>
        <w:t>’</w:t>
      </w:r>
      <w:r w:rsidRPr="0001502D">
        <w:rPr>
          <w:rFonts w:ascii="Arial" w:hAnsi="Arial" w:cs="Arial"/>
          <w:sz w:val="22"/>
          <w:szCs w:val="22"/>
        </w:rPr>
        <w:t>élément est inclus dans l</w:t>
      </w:r>
      <w:r w:rsidR="009C104E">
        <w:rPr>
          <w:rFonts w:ascii="Arial" w:hAnsi="Arial" w:cs="Arial"/>
          <w:sz w:val="22"/>
          <w:szCs w:val="22"/>
        </w:rPr>
        <w:t>’</w:t>
      </w:r>
      <w:r w:rsidRPr="0001502D">
        <w:rPr>
          <w:rFonts w:ascii="Arial" w:hAnsi="Arial" w:cs="Arial"/>
          <w:sz w:val="22"/>
          <w:szCs w:val="22"/>
        </w:rPr>
        <w:t>Inventaire du patrimoine culturel autrichien en 2011, dans l</w:t>
      </w:r>
      <w:r w:rsidR="009C104E">
        <w:rPr>
          <w:rFonts w:ascii="Arial" w:hAnsi="Arial" w:cs="Arial"/>
          <w:sz w:val="22"/>
          <w:szCs w:val="22"/>
        </w:rPr>
        <w:t>’</w:t>
      </w:r>
      <w:r w:rsidRPr="0001502D">
        <w:rPr>
          <w:rFonts w:ascii="Arial" w:hAnsi="Arial" w:cs="Arial"/>
          <w:sz w:val="22"/>
          <w:szCs w:val="22"/>
        </w:rPr>
        <w:t>Inventaire national du patrimoine culturel immatériel grec</w:t>
      </w:r>
      <w:r w:rsidRPr="0001502D" w:rsidDel="00CB02B4">
        <w:rPr>
          <w:rFonts w:ascii="Arial" w:hAnsi="Arial" w:cs="Arial"/>
          <w:sz w:val="22"/>
          <w:szCs w:val="22"/>
        </w:rPr>
        <w:t xml:space="preserve"> </w:t>
      </w:r>
      <w:r w:rsidRPr="0001502D">
        <w:rPr>
          <w:rFonts w:ascii="Arial" w:hAnsi="Arial" w:cs="Arial"/>
          <w:sz w:val="22"/>
          <w:szCs w:val="22"/>
        </w:rPr>
        <w:t>en 2017, et sur le Registre des paysages ruraux historiques, des pratiques agricoles et des savoirs traditionnels de l</w:t>
      </w:r>
      <w:r w:rsidR="009C104E">
        <w:rPr>
          <w:rFonts w:ascii="Arial" w:hAnsi="Arial" w:cs="Arial"/>
          <w:sz w:val="22"/>
          <w:szCs w:val="22"/>
        </w:rPr>
        <w:t>’</w:t>
      </w:r>
      <w:r w:rsidRPr="0001502D">
        <w:rPr>
          <w:rFonts w:ascii="Arial" w:hAnsi="Arial" w:cs="Arial"/>
          <w:sz w:val="22"/>
          <w:szCs w:val="22"/>
        </w:rPr>
        <w:t>Italie en 2017. Tous les inventaires sont mis à jour régulièrement et gérés conformément aux exigences de la Convention.</w:t>
      </w:r>
    </w:p>
    <w:p w14:paraId="3F29CF1B" w14:textId="33BCA827" w:rsidR="0001502D" w:rsidRPr="0001502D" w:rsidRDefault="0001502D" w:rsidP="00771F30">
      <w:pPr>
        <w:numPr>
          <w:ilvl w:val="1"/>
          <w:numId w:val="28"/>
        </w:numPr>
        <w:pBdr>
          <w:top w:val="nil"/>
          <w:left w:val="nil"/>
          <w:bottom w:val="nil"/>
          <w:right w:val="nil"/>
          <w:between w:val="nil"/>
        </w:pBdr>
        <w:tabs>
          <w:tab w:val="left" w:pos="567"/>
          <w:tab w:val="left" w:pos="1701"/>
          <w:tab w:val="left" w:pos="2268"/>
        </w:tabs>
        <w:spacing w:before="120" w:after="120"/>
        <w:ind w:left="567"/>
        <w:jc w:val="both"/>
        <w:rPr>
          <w:rFonts w:ascii="Arial" w:eastAsia="Arial" w:hAnsi="Arial" w:cs="Arial"/>
          <w:color w:val="000000"/>
          <w:sz w:val="22"/>
          <w:szCs w:val="22"/>
        </w:rPr>
      </w:pPr>
      <w:r w:rsidRPr="0001502D">
        <w:rPr>
          <w:rFonts w:ascii="Arial" w:hAnsi="Arial" w:cs="Arial"/>
          <w:color w:val="000000"/>
          <w:sz w:val="22"/>
          <w:szCs w:val="22"/>
          <w:u w:val="single"/>
        </w:rPr>
        <w:t>Décide d</w:t>
      </w:r>
      <w:r w:rsidR="009C104E">
        <w:rPr>
          <w:rFonts w:ascii="Arial" w:hAnsi="Arial" w:cs="Arial"/>
          <w:color w:val="000000"/>
          <w:sz w:val="22"/>
          <w:szCs w:val="22"/>
          <w:u w:val="single"/>
        </w:rPr>
        <w:t>’</w:t>
      </w:r>
      <w:r w:rsidRPr="0001502D">
        <w:rPr>
          <w:rFonts w:ascii="Arial" w:hAnsi="Arial" w:cs="Arial"/>
          <w:color w:val="000000"/>
          <w:sz w:val="22"/>
          <w:szCs w:val="22"/>
          <w:u w:val="single"/>
        </w:rPr>
        <w:t>inscrire</w:t>
      </w:r>
      <w:r w:rsidRPr="0001502D">
        <w:rPr>
          <w:rFonts w:ascii="Arial" w:hAnsi="Arial" w:cs="Arial"/>
          <w:sz w:val="22"/>
          <w:szCs w:val="22"/>
        </w:rPr>
        <w:t xml:space="preserve"> </w:t>
      </w:r>
      <w:r w:rsidRPr="0001502D">
        <w:rPr>
          <w:rFonts w:ascii="Arial" w:hAnsi="Arial" w:cs="Arial"/>
          <w:b/>
          <w:color w:val="000000"/>
          <w:sz w:val="22"/>
          <w:szCs w:val="22"/>
        </w:rPr>
        <w:t>la transhumance, déplacement saisonnier de troupeaux le long des routes migratoires en Méditerranée et dans les Alpes</w:t>
      </w:r>
      <w:r w:rsidRPr="0001502D">
        <w:rPr>
          <w:rFonts w:ascii="Arial" w:hAnsi="Arial" w:cs="Arial"/>
          <w:color w:val="000000"/>
          <w:sz w:val="22"/>
          <w:szCs w:val="22"/>
        </w:rPr>
        <w:t xml:space="preserve"> sur la Liste représentative du patrimoine culturel immatériel de l</w:t>
      </w:r>
      <w:r w:rsidR="009C104E">
        <w:rPr>
          <w:rFonts w:ascii="Arial" w:hAnsi="Arial" w:cs="Arial"/>
          <w:color w:val="000000"/>
          <w:sz w:val="22"/>
          <w:szCs w:val="22"/>
        </w:rPr>
        <w:t>’</w:t>
      </w:r>
      <w:r w:rsidRPr="0001502D">
        <w:rPr>
          <w:rFonts w:ascii="Arial" w:hAnsi="Arial" w:cs="Arial"/>
          <w:color w:val="000000"/>
          <w:sz w:val="22"/>
          <w:szCs w:val="22"/>
        </w:rPr>
        <w:t>humanité ;</w:t>
      </w:r>
    </w:p>
    <w:p w14:paraId="41FB1F3E" w14:textId="08389880" w:rsidR="0001502D" w:rsidRPr="0001502D" w:rsidRDefault="0001502D" w:rsidP="00771F30">
      <w:pPr>
        <w:numPr>
          <w:ilvl w:val="1"/>
          <w:numId w:val="28"/>
        </w:numPr>
        <w:pBdr>
          <w:top w:val="nil"/>
          <w:left w:val="nil"/>
          <w:bottom w:val="nil"/>
          <w:right w:val="nil"/>
          <w:between w:val="nil"/>
        </w:pBdr>
        <w:tabs>
          <w:tab w:val="left" w:pos="567"/>
          <w:tab w:val="left" w:pos="1701"/>
          <w:tab w:val="left" w:pos="2268"/>
        </w:tabs>
        <w:spacing w:before="120" w:after="120"/>
        <w:ind w:left="567"/>
        <w:jc w:val="both"/>
        <w:rPr>
          <w:rFonts w:ascii="Arial" w:eastAsia="Arial" w:hAnsi="Arial" w:cs="Arial"/>
          <w:color w:val="000000"/>
          <w:sz w:val="22"/>
          <w:szCs w:val="22"/>
        </w:rPr>
      </w:pPr>
      <w:r w:rsidRPr="0001502D">
        <w:rPr>
          <w:rFonts w:ascii="Arial" w:hAnsi="Arial" w:cs="Arial"/>
          <w:color w:val="000000"/>
          <w:sz w:val="22"/>
          <w:szCs w:val="22"/>
          <w:u w:val="single"/>
        </w:rPr>
        <w:t>Félicite</w:t>
      </w:r>
      <w:r w:rsidRPr="0001502D">
        <w:rPr>
          <w:rFonts w:ascii="Arial" w:hAnsi="Arial" w:cs="Arial"/>
          <w:color w:val="000000"/>
          <w:sz w:val="22"/>
          <w:szCs w:val="22"/>
        </w:rPr>
        <w:t xml:space="preserve"> les États parties d</w:t>
      </w:r>
      <w:r w:rsidR="009C104E">
        <w:rPr>
          <w:rFonts w:ascii="Arial" w:hAnsi="Arial" w:cs="Arial"/>
          <w:color w:val="000000"/>
          <w:sz w:val="22"/>
          <w:szCs w:val="22"/>
        </w:rPr>
        <w:t>’</w:t>
      </w:r>
      <w:r w:rsidRPr="0001502D">
        <w:rPr>
          <w:rFonts w:ascii="Arial" w:hAnsi="Arial" w:cs="Arial"/>
          <w:color w:val="000000"/>
          <w:sz w:val="22"/>
          <w:szCs w:val="22"/>
        </w:rPr>
        <w:t>avoir préparé un dossier multinational de grande qualité, qui témoigne de la collaboration active entre les communautés pour la préparation de la candidature comme pour la sauvegarde de l</w:t>
      </w:r>
      <w:r w:rsidR="009C104E">
        <w:rPr>
          <w:rFonts w:ascii="Arial" w:hAnsi="Arial" w:cs="Arial"/>
          <w:color w:val="000000"/>
          <w:sz w:val="22"/>
          <w:szCs w:val="22"/>
        </w:rPr>
        <w:t>’</w:t>
      </w:r>
      <w:r w:rsidRPr="0001502D">
        <w:rPr>
          <w:rFonts w:ascii="Arial" w:hAnsi="Arial" w:cs="Arial"/>
          <w:color w:val="000000"/>
          <w:sz w:val="22"/>
          <w:szCs w:val="22"/>
        </w:rPr>
        <w:t>élément ;</w:t>
      </w:r>
    </w:p>
    <w:p w14:paraId="59EA5E98" w14:textId="557581C2" w:rsidR="0001502D" w:rsidRPr="0001502D" w:rsidRDefault="0001502D" w:rsidP="00771F30">
      <w:pPr>
        <w:numPr>
          <w:ilvl w:val="1"/>
          <w:numId w:val="28"/>
        </w:numPr>
        <w:pBdr>
          <w:top w:val="nil"/>
          <w:left w:val="nil"/>
          <w:bottom w:val="nil"/>
          <w:right w:val="nil"/>
          <w:between w:val="nil"/>
        </w:pBdr>
        <w:tabs>
          <w:tab w:val="left" w:pos="567"/>
          <w:tab w:val="left" w:pos="1701"/>
          <w:tab w:val="left" w:pos="2268"/>
        </w:tabs>
        <w:spacing w:before="120" w:after="120"/>
        <w:ind w:left="567"/>
        <w:jc w:val="both"/>
        <w:rPr>
          <w:rFonts w:ascii="Arial" w:eastAsia="Arial" w:hAnsi="Arial" w:cs="Arial"/>
          <w:color w:val="000000"/>
          <w:sz w:val="22"/>
          <w:szCs w:val="22"/>
        </w:rPr>
      </w:pPr>
      <w:r w:rsidRPr="0001502D">
        <w:rPr>
          <w:rFonts w:ascii="Arial" w:hAnsi="Arial" w:cs="Arial"/>
          <w:color w:val="000000"/>
          <w:sz w:val="22"/>
          <w:szCs w:val="22"/>
          <w:u w:val="single"/>
        </w:rPr>
        <w:t>Félicite en outre</w:t>
      </w:r>
      <w:r w:rsidRPr="0001502D">
        <w:rPr>
          <w:rFonts w:ascii="Arial" w:hAnsi="Arial" w:cs="Arial"/>
          <w:color w:val="000000"/>
          <w:sz w:val="22"/>
          <w:szCs w:val="22"/>
        </w:rPr>
        <w:t xml:space="preserve"> les États parties d</w:t>
      </w:r>
      <w:r w:rsidR="009C104E">
        <w:rPr>
          <w:rFonts w:ascii="Arial" w:hAnsi="Arial" w:cs="Arial"/>
          <w:color w:val="000000"/>
          <w:sz w:val="22"/>
          <w:szCs w:val="22"/>
        </w:rPr>
        <w:t>’</w:t>
      </w:r>
      <w:r w:rsidRPr="0001502D">
        <w:rPr>
          <w:rFonts w:ascii="Arial" w:hAnsi="Arial" w:cs="Arial"/>
          <w:color w:val="000000"/>
          <w:sz w:val="22"/>
          <w:szCs w:val="22"/>
        </w:rPr>
        <w:t>avoir clairement indiqué la périodicité et les modalités de mise à jour de leurs inventaires ;</w:t>
      </w:r>
    </w:p>
    <w:p w14:paraId="74A98328" w14:textId="50826D5B" w:rsidR="00E25AA1" w:rsidRPr="00A400B1" w:rsidRDefault="00E25AA1" w:rsidP="00771F30">
      <w:pPr>
        <w:numPr>
          <w:ilvl w:val="1"/>
          <w:numId w:val="28"/>
        </w:numPr>
        <w:pBdr>
          <w:top w:val="nil"/>
          <w:left w:val="nil"/>
          <w:bottom w:val="nil"/>
          <w:right w:val="nil"/>
          <w:between w:val="nil"/>
        </w:pBdr>
        <w:tabs>
          <w:tab w:val="left" w:pos="567"/>
          <w:tab w:val="left" w:pos="1701"/>
          <w:tab w:val="left" w:pos="2268"/>
        </w:tabs>
        <w:spacing w:before="120" w:after="120"/>
        <w:ind w:left="567"/>
        <w:jc w:val="both"/>
        <w:rPr>
          <w:rFonts w:ascii="Arial" w:eastAsia="Arial" w:hAnsi="Arial" w:cs="Arial"/>
          <w:color w:val="000000"/>
          <w:sz w:val="22"/>
          <w:szCs w:val="22"/>
        </w:rPr>
      </w:pPr>
      <w:r>
        <w:rPr>
          <w:rFonts w:ascii="Arial" w:hAnsi="Arial" w:cs="Arial"/>
          <w:color w:val="000000"/>
          <w:sz w:val="22"/>
          <w:szCs w:val="22"/>
          <w:u w:val="single"/>
        </w:rPr>
        <w:t>Prend note</w:t>
      </w:r>
      <w:r w:rsidRPr="00B932EA">
        <w:rPr>
          <w:rFonts w:ascii="Arial" w:hAnsi="Arial" w:cs="Arial"/>
          <w:color w:val="000000"/>
          <w:sz w:val="22"/>
          <w:szCs w:val="22"/>
        </w:rPr>
        <w:t xml:space="preserve"> </w:t>
      </w:r>
      <w:r w:rsidRPr="00A400B1">
        <w:rPr>
          <w:rFonts w:ascii="Arial" w:hAnsi="Arial" w:cs="Arial"/>
          <w:color w:val="000000"/>
          <w:sz w:val="22"/>
          <w:szCs w:val="22"/>
        </w:rPr>
        <w:t xml:space="preserve">du fait que la communauté des porteurs de </w:t>
      </w:r>
      <w:r w:rsidR="005B05EB">
        <w:rPr>
          <w:rFonts w:ascii="Arial" w:hAnsi="Arial" w:cs="Arial"/>
          <w:color w:val="000000"/>
          <w:sz w:val="22"/>
          <w:szCs w:val="22"/>
        </w:rPr>
        <w:t xml:space="preserve">la </w:t>
      </w:r>
      <w:r w:rsidRPr="00A400B1">
        <w:rPr>
          <w:rFonts w:ascii="Arial" w:hAnsi="Arial" w:cs="Arial"/>
          <w:color w:val="000000"/>
          <w:sz w:val="22"/>
          <w:szCs w:val="22"/>
        </w:rPr>
        <w:t xml:space="preserve">tradition en Espagne a demandé de se joindre à la candidature internationale sur la base du principe de coopération internationale, </w:t>
      </w:r>
      <w:r w:rsidR="00C32102">
        <w:rPr>
          <w:rFonts w:ascii="Arial" w:hAnsi="Arial" w:cs="Arial"/>
          <w:color w:val="000000"/>
          <w:sz w:val="22"/>
          <w:szCs w:val="22"/>
        </w:rPr>
        <w:t xml:space="preserve">et </w:t>
      </w:r>
      <w:r w:rsidRPr="00C32102">
        <w:rPr>
          <w:rFonts w:ascii="Arial" w:hAnsi="Arial" w:cs="Arial"/>
          <w:color w:val="000000"/>
          <w:sz w:val="22"/>
          <w:szCs w:val="22"/>
          <w:u w:val="single"/>
        </w:rPr>
        <w:t>encourage</w:t>
      </w:r>
      <w:r w:rsidRPr="00A400B1">
        <w:rPr>
          <w:rFonts w:ascii="Arial" w:hAnsi="Arial" w:cs="Arial"/>
          <w:color w:val="000000"/>
          <w:sz w:val="22"/>
          <w:szCs w:val="22"/>
        </w:rPr>
        <w:t xml:space="preserve"> les États parties soumissionnaires à s</w:t>
      </w:r>
      <w:r w:rsidR="009C104E">
        <w:rPr>
          <w:rFonts w:ascii="Arial" w:hAnsi="Arial" w:cs="Arial"/>
          <w:color w:val="000000"/>
          <w:sz w:val="22"/>
          <w:szCs w:val="22"/>
        </w:rPr>
        <w:t>’</w:t>
      </w:r>
      <w:r w:rsidRPr="00A400B1">
        <w:rPr>
          <w:rFonts w:ascii="Arial" w:hAnsi="Arial" w:cs="Arial"/>
          <w:color w:val="000000"/>
          <w:sz w:val="22"/>
          <w:szCs w:val="22"/>
        </w:rPr>
        <w:t>efforcer d</w:t>
      </w:r>
      <w:r w:rsidR="009C104E">
        <w:rPr>
          <w:rFonts w:ascii="Arial" w:hAnsi="Arial" w:cs="Arial"/>
          <w:color w:val="000000"/>
          <w:sz w:val="22"/>
          <w:szCs w:val="22"/>
        </w:rPr>
        <w:t>’</w:t>
      </w:r>
      <w:r w:rsidRPr="00A400B1">
        <w:rPr>
          <w:rFonts w:ascii="Arial" w:hAnsi="Arial" w:cs="Arial"/>
          <w:color w:val="000000"/>
          <w:sz w:val="22"/>
          <w:szCs w:val="22"/>
        </w:rPr>
        <w:t>étendre la candidature à l</w:t>
      </w:r>
      <w:r w:rsidR="009C104E">
        <w:rPr>
          <w:rFonts w:ascii="Arial" w:hAnsi="Arial" w:cs="Arial"/>
          <w:color w:val="000000"/>
          <w:sz w:val="22"/>
          <w:szCs w:val="22"/>
        </w:rPr>
        <w:t>’</w:t>
      </w:r>
      <w:r w:rsidRPr="00A400B1">
        <w:rPr>
          <w:rFonts w:ascii="Arial" w:hAnsi="Arial" w:cs="Arial"/>
          <w:color w:val="000000"/>
          <w:sz w:val="22"/>
          <w:szCs w:val="22"/>
        </w:rPr>
        <w:t xml:space="preserve">Espagne </w:t>
      </w:r>
      <w:r w:rsidR="005B05EB">
        <w:rPr>
          <w:rFonts w:ascii="Arial" w:hAnsi="Arial" w:cs="Arial"/>
          <w:color w:val="000000"/>
          <w:sz w:val="22"/>
          <w:szCs w:val="22"/>
        </w:rPr>
        <w:t>et</w:t>
      </w:r>
      <w:r w:rsidRPr="00A400B1">
        <w:rPr>
          <w:rFonts w:ascii="Arial" w:hAnsi="Arial" w:cs="Arial"/>
          <w:color w:val="000000"/>
          <w:sz w:val="22"/>
          <w:szCs w:val="22"/>
        </w:rPr>
        <w:t xml:space="preserve"> tout autre État intéressé</w:t>
      </w:r>
      <w:r>
        <w:rPr>
          <w:rFonts w:ascii="Arial" w:hAnsi="Arial" w:cs="Arial"/>
          <w:color w:val="000000"/>
          <w:sz w:val="22"/>
          <w:szCs w:val="22"/>
        </w:rPr>
        <w:t>.</w:t>
      </w:r>
    </w:p>
    <w:p w14:paraId="0663F8B1" w14:textId="6E1C504D" w:rsidR="0001502D" w:rsidRPr="0001502D" w:rsidRDefault="0001502D" w:rsidP="00EA61FD">
      <w:pPr>
        <w:keepNext/>
        <w:keepLines/>
        <w:spacing w:before="360" w:after="120"/>
        <w:outlineLvl w:val="1"/>
        <w:rPr>
          <w:rFonts w:ascii="Arial" w:hAnsi="Arial" w:cs="Arial"/>
          <w:bCs/>
          <w:iCs/>
          <w:sz w:val="22"/>
          <w:szCs w:val="22"/>
        </w:rPr>
      </w:pPr>
      <w:bookmarkStart w:id="7" w:name="Decision_10b3"/>
      <w:r w:rsidRPr="0001502D">
        <w:rPr>
          <w:rFonts w:ascii="Arial" w:hAnsi="Arial" w:cs="Arial"/>
          <w:b/>
          <w:bCs/>
          <w:iCs/>
          <w:sz w:val="22"/>
          <w:szCs w:val="22"/>
        </w:rPr>
        <w:t xml:space="preserve">DÉCISION 14.COM 10.b.3 </w:t>
      </w:r>
    </w:p>
    <w:bookmarkEnd w:id="7"/>
    <w:p w14:paraId="444840B1" w14:textId="77777777" w:rsidR="0001502D" w:rsidRPr="0001502D" w:rsidRDefault="0001502D" w:rsidP="0001502D">
      <w:pPr>
        <w:keepNext/>
        <w:pBdr>
          <w:top w:val="nil"/>
          <w:left w:val="nil"/>
          <w:bottom w:val="nil"/>
          <w:right w:val="nil"/>
          <w:between w:val="nil"/>
        </w:pBdr>
        <w:tabs>
          <w:tab w:val="left" w:pos="567"/>
          <w:tab w:val="left" w:pos="1134"/>
          <w:tab w:val="left" w:pos="1701"/>
          <w:tab w:val="left" w:pos="2268"/>
        </w:tabs>
        <w:spacing w:before="120" w:after="120"/>
        <w:jc w:val="both"/>
        <w:rPr>
          <w:rFonts w:ascii="Arial" w:eastAsia="Arial" w:hAnsi="Arial" w:cs="Arial"/>
          <w:color w:val="000000"/>
          <w:sz w:val="22"/>
          <w:szCs w:val="22"/>
        </w:rPr>
      </w:pPr>
      <w:r w:rsidRPr="0001502D">
        <w:rPr>
          <w:rFonts w:ascii="Arial" w:hAnsi="Arial" w:cs="Arial"/>
          <w:color w:val="000000"/>
          <w:sz w:val="22"/>
          <w:szCs w:val="22"/>
        </w:rPr>
        <w:t>Le Comité,</w:t>
      </w:r>
    </w:p>
    <w:p w14:paraId="22E6AE74" w14:textId="0D487D21" w:rsidR="0001502D" w:rsidRPr="0001502D" w:rsidRDefault="0001502D" w:rsidP="00771F30">
      <w:pPr>
        <w:numPr>
          <w:ilvl w:val="1"/>
          <w:numId w:val="29"/>
        </w:numPr>
        <w:pBdr>
          <w:top w:val="nil"/>
          <w:left w:val="nil"/>
          <w:bottom w:val="nil"/>
          <w:right w:val="nil"/>
          <w:between w:val="nil"/>
        </w:pBdr>
        <w:tabs>
          <w:tab w:val="left" w:pos="567"/>
          <w:tab w:val="left" w:pos="1701"/>
          <w:tab w:val="left" w:pos="2268"/>
        </w:tabs>
        <w:spacing w:before="120" w:after="120"/>
        <w:ind w:left="567"/>
        <w:jc w:val="both"/>
        <w:rPr>
          <w:rFonts w:ascii="Arial" w:eastAsia="Arial" w:hAnsi="Arial" w:cs="Arial"/>
          <w:color w:val="000000"/>
          <w:sz w:val="22"/>
          <w:szCs w:val="22"/>
        </w:rPr>
      </w:pPr>
      <w:r w:rsidRPr="0001502D">
        <w:rPr>
          <w:rFonts w:ascii="Arial" w:hAnsi="Arial" w:cs="Arial"/>
          <w:color w:val="000000"/>
          <w:sz w:val="22"/>
          <w:szCs w:val="22"/>
          <w:u w:val="single"/>
        </w:rPr>
        <w:t>Prend note</w:t>
      </w:r>
      <w:r w:rsidRPr="0001502D">
        <w:rPr>
          <w:rFonts w:ascii="Arial" w:hAnsi="Arial" w:cs="Arial"/>
          <w:color w:val="000000"/>
          <w:sz w:val="22"/>
          <w:szCs w:val="22"/>
        </w:rPr>
        <w:t xml:space="preserve"> que Bahreïn, l</w:t>
      </w:r>
      <w:r w:rsidR="009C104E">
        <w:rPr>
          <w:rFonts w:ascii="Arial" w:hAnsi="Arial" w:cs="Arial"/>
          <w:color w:val="000000"/>
          <w:sz w:val="22"/>
          <w:szCs w:val="22"/>
        </w:rPr>
        <w:t>’</w:t>
      </w:r>
      <w:r w:rsidRPr="0001502D">
        <w:rPr>
          <w:rFonts w:ascii="Arial" w:hAnsi="Arial" w:cs="Arial"/>
          <w:color w:val="000000"/>
          <w:sz w:val="22"/>
          <w:szCs w:val="22"/>
        </w:rPr>
        <w:t>Égypte, l</w:t>
      </w:r>
      <w:r w:rsidR="009C104E">
        <w:rPr>
          <w:rFonts w:ascii="Arial" w:hAnsi="Arial" w:cs="Arial"/>
          <w:color w:val="000000"/>
          <w:sz w:val="22"/>
          <w:szCs w:val="22"/>
        </w:rPr>
        <w:t>’</w:t>
      </w:r>
      <w:r w:rsidRPr="0001502D">
        <w:rPr>
          <w:rFonts w:ascii="Arial" w:hAnsi="Arial" w:cs="Arial"/>
          <w:color w:val="000000"/>
          <w:sz w:val="22"/>
          <w:szCs w:val="22"/>
        </w:rPr>
        <w:t>Iraq, la Jordanie, le Koweït, la Mauritanie, le Maroc, Oman, la Palestine, l</w:t>
      </w:r>
      <w:r w:rsidR="009C104E">
        <w:rPr>
          <w:rFonts w:ascii="Arial" w:hAnsi="Arial" w:cs="Arial"/>
          <w:color w:val="000000"/>
          <w:sz w:val="22"/>
          <w:szCs w:val="22"/>
        </w:rPr>
        <w:t>’</w:t>
      </w:r>
      <w:r w:rsidRPr="0001502D">
        <w:rPr>
          <w:rFonts w:ascii="Arial" w:hAnsi="Arial" w:cs="Arial"/>
          <w:color w:val="000000"/>
          <w:sz w:val="22"/>
          <w:szCs w:val="22"/>
        </w:rPr>
        <w:t xml:space="preserve">Arabie saoudite, le Soudan, la Tunisie, les Émirats arabes unis et le Yémen ont proposé la candidature </w:t>
      </w:r>
      <w:r w:rsidRPr="0001502D">
        <w:rPr>
          <w:rFonts w:ascii="Arial" w:hAnsi="Arial" w:cs="Arial"/>
          <w:b/>
          <w:color w:val="000000"/>
          <w:sz w:val="22"/>
          <w:szCs w:val="22"/>
        </w:rPr>
        <w:t>des connaissances, savoir-faire, traditions et pratiques associés au palmier dattier</w:t>
      </w:r>
      <w:r w:rsidRPr="0001502D">
        <w:rPr>
          <w:rFonts w:ascii="Arial" w:hAnsi="Arial" w:cs="Arial"/>
          <w:color w:val="000000"/>
          <w:sz w:val="22"/>
          <w:szCs w:val="22"/>
        </w:rPr>
        <w:t xml:space="preserve"> (n° 01509) pour inscription sur la Liste représentative du patrimoine culturel immatériel de l</w:t>
      </w:r>
      <w:r w:rsidR="009C104E">
        <w:rPr>
          <w:rFonts w:ascii="Arial" w:hAnsi="Arial" w:cs="Arial"/>
          <w:color w:val="000000"/>
          <w:sz w:val="22"/>
          <w:szCs w:val="22"/>
        </w:rPr>
        <w:t>’</w:t>
      </w:r>
      <w:r w:rsidRPr="0001502D">
        <w:rPr>
          <w:rFonts w:ascii="Arial" w:hAnsi="Arial" w:cs="Arial"/>
          <w:color w:val="000000"/>
          <w:sz w:val="22"/>
          <w:szCs w:val="22"/>
        </w:rPr>
        <w:t>humanité :</w:t>
      </w:r>
    </w:p>
    <w:p w14:paraId="06BF5E0D" w14:textId="6F88DF04" w:rsidR="0001502D" w:rsidRPr="0001502D" w:rsidRDefault="0001502D" w:rsidP="0001502D">
      <w:pPr>
        <w:tabs>
          <w:tab w:val="left" w:pos="567"/>
          <w:tab w:val="left" w:pos="1701"/>
          <w:tab w:val="left" w:pos="2268"/>
        </w:tabs>
        <w:spacing w:before="120" w:after="120"/>
        <w:ind w:left="567"/>
        <w:jc w:val="both"/>
        <w:rPr>
          <w:rFonts w:ascii="Arial" w:hAnsi="Arial" w:cs="Arial"/>
          <w:sz w:val="22"/>
          <w:szCs w:val="22"/>
        </w:rPr>
      </w:pPr>
      <w:r w:rsidRPr="0001502D">
        <w:rPr>
          <w:rFonts w:ascii="Arial" w:hAnsi="Arial" w:cs="Arial"/>
          <w:sz w:val="22"/>
          <w:szCs w:val="22"/>
        </w:rPr>
        <w:t>Le palmier dattier est associé à la population des États soumissionnaires depuis des siècles, comme un matériau indispensable à plusieurs formes d</w:t>
      </w:r>
      <w:r w:rsidR="009C104E">
        <w:rPr>
          <w:rFonts w:ascii="Arial" w:hAnsi="Arial" w:cs="Arial"/>
          <w:sz w:val="22"/>
          <w:szCs w:val="22"/>
        </w:rPr>
        <w:t>’</w:t>
      </w:r>
      <w:r w:rsidRPr="0001502D">
        <w:rPr>
          <w:rFonts w:ascii="Arial" w:hAnsi="Arial" w:cs="Arial"/>
          <w:sz w:val="22"/>
          <w:szCs w:val="22"/>
        </w:rPr>
        <w:t>artisanat, plusieurs métiers et plusieurs traditions, coutumes et pratiques socioculturelles, mais aussi comme une importante source de nourriture. Le palmier dattier est une plante à feuilles persistantes typique des régions sèches, car ses racines peuvent pénétrer profondément le sol pour en absorber l</w:t>
      </w:r>
      <w:r w:rsidR="009C104E">
        <w:rPr>
          <w:rFonts w:ascii="Arial" w:hAnsi="Arial" w:cs="Arial"/>
          <w:sz w:val="22"/>
          <w:szCs w:val="22"/>
        </w:rPr>
        <w:t>’</w:t>
      </w:r>
      <w:r w:rsidRPr="0001502D">
        <w:rPr>
          <w:rFonts w:ascii="Arial" w:hAnsi="Arial" w:cs="Arial"/>
          <w:sz w:val="22"/>
          <w:szCs w:val="22"/>
        </w:rPr>
        <w:t>humidité. On compte parmi les détenteurs et les praticiens de l</w:t>
      </w:r>
      <w:r w:rsidR="009C104E">
        <w:rPr>
          <w:rFonts w:ascii="Arial" w:hAnsi="Arial" w:cs="Arial"/>
          <w:sz w:val="22"/>
          <w:szCs w:val="22"/>
        </w:rPr>
        <w:t>’</w:t>
      </w:r>
      <w:r w:rsidRPr="0001502D">
        <w:rPr>
          <w:rFonts w:ascii="Arial" w:hAnsi="Arial" w:cs="Arial"/>
          <w:sz w:val="22"/>
          <w:szCs w:val="22"/>
        </w:rPr>
        <w:t>élément les propriétaires de plantations de palmiers dattiers ; les agriculteurs qui plantent, entretiennent et irriguent les arbres ; les artisans qui fabriquent des produits traditionnels en utilisant les différentes parties du palmier ; les marchands de dattes ; et les créateurs et artistes qui récitent des contes et des poèmes populaires. Les connaissances, savoir-faire, traditions et pratiques associés au palmier dattier ont joué un rôle essentiel dans le renforcement des liens entre les habitants des pays arabes concernés et leurs terres, car cet arbre les a aidés à surmonter les difficultés propres à un environnement désertique. La relation historique que la région entretient avec l</w:t>
      </w:r>
      <w:r w:rsidR="009C104E">
        <w:rPr>
          <w:rFonts w:ascii="Arial" w:hAnsi="Arial" w:cs="Arial"/>
          <w:sz w:val="22"/>
          <w:szCs w:val="22"/>
        </w:rPr>
        <w:t>’</w:t>
      </w:r>
      <w:r w:rsidRPr="0001502D">
        <w:rPr>
          <w:rFonts w:ascii="Arial" w:hAnsi="Arial" w:cs="Arial"/>
          <w:sz w:val="22"/>
          <w:szCs w:val="22"/>
        </w:rPr>
        <w:t>élément a donné naissance à un riche patrimoine culturel rassemblant les pratiques, les connaissances et les savoir-faire encore employés aujourd</w:t>
      </w:r>
      <w:r w:rsidR="009C104E">
        <w:rPr>
          <w:rFonts w:ascii="Arial" w:hAnsi="Arial" w:cs="Arial"/>
          <w:sz w:val="22"/>
          <w:szCs w:val="22"/>
        </w:rPr>
        <w:t>’</w:t>
      </w:r>
      <w:r w:rsidRPr="0001502D">
        <w:rPr>
          <w:rFonts w:ascii="Arial" w:hAnsi="Arial" w:cs="Arial"/>
          <w:sz w:val="22"/>
          <w:szCs w:val="22"/>
        </w:rPr>
        <w:t>hui. Le développement de l</w:t>
      </w:r>
      <w:r w:rsidR="009C104E">
        <w:rPr>
          <w:rFonts w:ascii="Arial" w:hAnsi="Arial" w:cs="Arial"/>
          <w:sz w:val="22"/>
          <w:szCs w:val="22"/>
        </w:rPr>
        <w:t>’</w:t>
      </w:r>
      <w:r w:rsidRPr="0001502D">
        <w:rPr>
          <w:rFonts w:ascii="Arial" w:hAnsi="Arial" w:cs="Arial"/>
          <w:sz w:val="22"/>
          <w:szCs w:val="22"/>
        </w:rPr>
        <w:t>élément à travers les siècles et sa pertinence culturelle expliquent à quel point les communautés locales sont engagées en faveur de sa préservation. Elles participent pour cela à de multiples actions portant sur le palmier dattier, organisent de nombreux rituels festifs et perpétuent les traditions et coutumes liées à l</w:t>
      </w:r>
      <w:r w:rsidR="009C104E">
        <w:rPr>
          <w:rFonts w:ascii="Arial" w:hAnsi="Arial" w:cs="Arial"/>
          <w:sz w:val="22"/>
          <w:szCs w:val="22"/>
        </w:rPr>
        <w:t>’</w:t>
      </w:r>
      <w:r w:rsidRPr="0001502D">
        <w:rPr>
          <w:rFonts w:ascii="Arial" w:hAnsi="Arial" w:cs="Arial"/>
          <w:sz w:val="22"/>
          <w:szCs w:val="22"/>
        </w:rPr>
        <w:t>élément.</w:t>
      </w:r>
    </w:p>
    <w:p w14:paraId="7687DE41" w14:textId="631771B8" w:rsidR="0001502D" w:rsidRPr="0001502D" w:rsidRDefault="0001502D" w:rsidP="00771F30">
      <w:pPr>
        <w:keepNext/>
        <w:numPr>
          <w:ilvl w:val="1"/>
          <w:numId w:val="29"/>
        </w:numPr>
        <w:pBdr>
          <w:top w:val="nil"/>
          <w:left w:val="nil"/>
          <w:bottom w:val="nil"/>
          <w:right w:val="nil"/>
          <w:between w:val="nil"/>
        </w:pBdr>
        <w:tabs>
          <w:tab w:val="left" w:pos="567"/>
          <w:tab w:val="left" w:pos="1418"/>
          <w:tab w:val="left" w:pos="1701"/>
          <w:tab w:val="left" w:pos="2268"/>
        </w:tabs>
        <w:spacing w:before="120" w:after="120"/>
        <w:ind w:left="567"/>
        <w:jc w:val="both"/>
        <w:rPr>
          <w:rFonts w:ascii="Arial" w:eastAsia="Arial" w:hAnsi="Arial" w:cs="Arial"/>
          <w:color w:val="000000"/>
          <w:sz w:val="22"/>
          <w:szCs w:val="22"/>
        </w:rPr>
      </w:pPr>
      <w:r w:rsidRPr="0001502D">
        <w:rPr>
          <w:rFonts w:ascii="Arial" w:hAnsi="Arial" w:cs="Arial"/>
          <w:color w:val="000000"/>
          <w:sz w:val="22"/>
          <w:szCs w:val="22"/>
          <w:u w:val="single"/>
        </w:rPr>
        <w:t>Estime</w:t>
      </w:r>
      <w:r w:rsidRPr="0001502D">
        <w:rPr>
          <w:rFonts w:ascii="Arial" w:hAnsi="Arial" w:cs="Arial"/>
          <w:color w:val="000000"/>
          <w:sz w:val="22"/>
          <w:szCs w:val="22"/>
        </w:rPr>
        <w:t xml:space="preserve"> que, d</w:t>
      </w:r>
      <w:r w:rsidR="009C104E">
        <w:rPr>
          <w:rFonts w:ascii="Arial" w:hAnsi="Arial" w:cs="Arial"/>
          <w:color w:val="000000"/>
          <w:sz w:val="22"/>
          <w:szCs w:val="22"/>
        </w:rPr>
        <w:t>’</w:t>
      </w:r>
      <w:r w:rsidRPr="0001502D">
        <w:rPr>
          <w:rFonts w:ascii="Arial" w:hAnsi="Arial" w:cs="Arial"/>
          <w:color w:val="000000"/>
          <w:sz w:val="22"/>
          <w:szCs w:val="22"/>
        </w:rPr>
        <w:t>après les informations contenues dans le dossier, la candidature satisfait aux critères d</w:t>
      </w:r>
      <w:r w:rsidR="009C104E">
        <w:rPr>
          <w:rFonts w:ascii="Arial" w:hAnsi="Arial" w:cs="Arial"/>
          <w:color w:val="000000"/>
          <w:sz w:val="22"/>
          <w:szCs w:val="22"/>
        </w:rPr>
        <w:t>’</w:t>
      </w:r>
      <w:r w:rsidRPr="0001502D">
        <w:rPr>
          <w:rFonts w:ascii="Arial" w:hAnsi="Arial" w:cs="Arial"/>
          <w:color w:val="000000"/>
          <w:sz w:val="22"/>
          <w:szCs w:val="22"/>
        </w:rPr>
        <w:t>inscription sur la Liste représentative du patrimoine culturel immatériel de l</w:t>
      </w:r>
      <w:r w:rsidR="009C104E">
        <w:rPr>
          <w:rFonts w:ascii="Arial" w:hAnsi="Arial" w:cs="Arial"/>
          <w:color w:val="000000"/>
          <w:sz w:val="22"/>
          <w:szCs w:val="22"/>
        </w:rPr>
        <w:t>’</w:t>
      </w:r>
      <w:r w:rsidRPr="0001502D">
        <w:rPr>
          <w:rFonts w:ascii="Arial" w:hAnsi="Arial" w:cs="Arial"/>
          <w:color w:val="000000"/>
          <w:sz w:val="22"/>
          <w:szCs w:val="22"/>
        </w:rPr>
        <w:t>humanité comme suit :</w:t>
      </w:r>
    </w:p>
    <w:p w14:paraId="55665308" w14:textId="6E73190B" w:rsidR="0001502D" w:rsidRPr="0001502D" w:rsidRDefault="0001502D" w:rsidP="0001502D">
      <w:pPr>
        <w:tabs>
          <w:tab w:val="left" w:pos="567"/>
          <w:tab w:val="left" w:pos="1134"/>
          <w:tab w:val="left" w:pos="1276"/>
          <w:tab w:val="left" w:pos="1418"/>
          <w:tab w:val="left" w:pos="2268"/>
        </w:tabs>
        <w:spacing w:before="120" w:after="120"/>
        <w:ind w:left="1134" w:hanging="567"/>
        <w:jc w:val="both"/>
        <w:rPr>
          <w:rFonts w:ascii="Arial" w:hAnsi="Arial" w:cs="Arial"/>
          <w:sz w:val="22"/>
          <w:szCs w:val="22"/>
        </w:rPr>
      </w:pPr>
      <w:r w:rsidRPr="0001502D">
        <w:rPr>
          <w:rFonts w:ascii="Arial" w:hAnsi="Arial" w:cs="Arial"/>
          <w:sz w:val="22"/>
          <w:szCs w:val="22"/>
        </w:rPr>
        <w:tab/>
        <w:t>R.1 :</w:t>
      </w:r>
      <w:r w:rsidRPr="0001502D">
        <w:rPr>
          <w:rFonts w:ascii="Arial" w:hAnsi="Arial" w:cs="Arial"/>
          <w:sz w:val="22"/>
          <w:szCs w:val="22"/>
        </w:rPr>
        <w:tab/>
        <w:t>Les connaissances, savoir-faire, traditions et pratiques associées au palmier dattier, sont l</w:t>
      </w:r>
      <w:r w:rsidR="009C104E">
        <w:rPr>
          <w:rFonts w:ascii="Arial" w:hAnsi="Arial" w:cs="Arial"/>
          <w:sz w:val="22"/>
          <w:szCs w:val="22"/>
        </w:rPr>
        <w:t>’</w:t>
      </w:r>
      <w:r w:rsidRPr="0001502D">
        <w:rPr>
          <w:rFonts w:ascii="Arial" w:hAnsi="Arial" w:cs="Arial"/>
          <w:sz w:val="22"/>
          <w:szCs w:val="22"/>
        </w:rPr>
        <w:t>un des principaux facteurs d</w:t>
      </w:r>
      <w:r w:rsidR="009C104E">
        <w:rPr>
          <w:rFonts w:ascii="Arial" w:hAnsi="Arial" w:cs="Arial"/>
          <w:sz w:val="22"/>
          <w:szCs w:val="22"/>
        </w:rPr>
        <w:t>’</w:t>
      </w:r>
      <w:r w:rsidRPr="0001502D">
        <w:rPr>
          <w:rFonts w:ascii="Arial" w:hAnsi="Arial" w:cs="Arial"/>
          <w:sz w:val="22"/>
          <w:szCs w:val="22"/>
        </w:rPr>
        <w:t>unité culturelle dans le monde arabe. C</w:t>
      </w:r>
      <w:r w:rsidR="009C104E">
        <w:rPr>
          <w:rFonts w:ascii="Arial" w:hAnsi="Arial" w:cs="Arial"/>
          <w:sz w:val="22"/>
          <w:szCs w:val="22"/>
        </w:rPr>
        <w:t>’</w:t>
      </w:r>
      <w:r w:rsidRPr="0001502D">
        <w:rPr>
          <w:rFonts w:ascii="Arial" w:hAnsi="Arial" w:cs="Arial"/>
          <w:sz w:val="22"/>
          <w:szCs w:val="22"/>
        </w:rPr>
        <w:t>est un symbole culturel majeur pour un grand nombre de communautés, groupes et individus des quatorze États parties soumissionnaires. Reconnu depuis des siècles comme une importante source de nutriments, le palmier dattier est aussi à l</w:t>
      </w:r>
      <w:r w:rsidR="009C104E">
        <w:rPr>
          <w:rFonts w:ascii="Arial" w:hAnsi="Arial" w:cs="Arial"/>
          <w:sz w:val="22"/>
          <w:szCs w:val="22"/>
        </w:rPr>
        <w:t>’</w:t>
      </w:r>
      <w:r w:rsidRPr="0001502D">
        <w:rPr>
          <w:rFonts w:ascii="Arial" w:hAnsi="Arial" w:cs="Arial"/>
          <w:sz w:val="22"/>
          <w:szCs w:val="22"/>
        </w:rPr>
        <w:t xml:space="preserve">origine de plusieurs métiers, pratiques artisanales et coutumes : plantation, </w:t>
      </w:r>
      <w:sdt>
        <w:sdtPr>
          <w:rPr>
            <w:rFonts w:ascii="Arial" w:hAnsi="Arial" w:cs="Arial"/>
            <w:sz w:val="22"/>
            <w:szCs w:val="22"/>
          </w:rPr>
          <w:tag w:val="goog_rdk_13"/>
          <w:id w:val="1726328211"/>
        </w:sdtPr>
        <w:sdtEndPr/>
        <w:sdtContent/>
      </w:sdt>
      <w:r w:rsidRPr="0001502D">
        <w:rPr>
          <w:rFonts w:ascii="Arial" w:hAnsi="Arial" w:cs="Arial"/>
          <w:sz w:val="22"/>
          <w:szCs w:val="22"/>
        </w:rPr>
        <w:t>irrigation, taille, pollinisation et récolte des dattes, rituels festifs, fabrication d</w:t>
      </w:r>
      <w:r w:rsidR="009C104E">
        <w:rPr>
          <w:rFonts w:ascii="Arial" w:hAnsi="Arial" w:cs="Arial"/>
          <w:sz w:val="22"/>
          <w:szCs w:val="22"/>
        </w:rPr>
        <w:t>’</w:t>
      </w:r>
      <w:r w:rsidRPr="0001502D">
        <w:rPr>
          <w:rFonts w:ascii="Arial" w:hAnsi="Arial" w:cs="Arial"/>
          <w:sz w:val="22"/>
          <w:szCs w:val="22"/>
        </w:rPr>
        <w:t>objets artisanaux, jeux et chants populaires, présentation de condoléances et rituels islamiques, entre autres. Les connaissances et savoir-faire associés sont transmis aux futures générations de manière informelle, par des histoires, des chansons, des légendes, des proverbes, des devinettes et même des croyances. Ils sont également transmis de manière formelle dans le cadre de programmes scolaires.</w:t>
      </w:r>
    </w:p>
    <w:p w14:paraId="518C37A4" w14:textId="4151C85B" w:rsidR="0001502D" w:rsidRPr="0001502D" w:rsidRDefault="0001502D" w:rsidP="0001502D">
      <w:pPr>
        <w:tabs>
          <w:tab w:val="left" w:pos="567"/>
          <w:tab w:val="left" w:pos="1134"/>
          <w:tab w:val="left" w:pos="1276"/>
          <w:tab w:val="left" w:pos="1418"/>
          <w:tab w:val="left" w:pos="2268"/>
        </w:tabs>
        <w:spacing w:before="120" w:after="120"/>
        <w:ind w:left="1134" w:hanging="567"/>
        <w:jc w:val="both"/>
        <w:rPr>
          <w:rFonts w:ascii="Arial" w:hAnsi="Arial" w:cs="Arial"/>
          <w:sz w:val="22"/>
          <w:szCs w:val="22"/>
        </w:rPr>
      </w:pPr>
      <w:r w:rsidRPr="0001502D">
        <w:rPr>
          <w:rFonts w:ascii="Arial" w:hAnsi="Arial" w:cs="Arial"/>
          <w:sz w:val="22"/>
          <w:szCs w:val="22"/>
        </w:rPr>
        <w:tab/>
        <w:t>R.2 :</w:t>
      </w:r>
      <w:r w:rsidRPr="0001502D">
        <w:rPr>
          <w:rFonts w:ascii="Arial" w:hAnsi="Arial" w:cs="Arial"/>
          <w:sz w:val="22"/>
          <w:szCs w:val="22"/>
        </w:rPr>
        <w:tab/>
        <w:t>Le travail accompli conjointement par les quatorze États soumissionnaires démontre le fort potentiel que peut avoir le patrimoine culturel immatériel pour encourager le dialogue. L</w:t>
      </w:r>
      <w:r w:rsidR="009C104E">
        <w:rPr>
          <w:rFonts w:ascii="Arial" w:hAnsi="Arial" w:cs="Arial"/>
          <w:sz w:val="22"/>
          <w:szCs w:val="22"/>
        </w:rPr>
        <w:t>’</w:t>
      </w:r>
      <w:r w:rsidRPr="0001502D">
        <w:rPr>
          <w:rFonts w:ascii="Arial" w:hAnsi="Arial" w:cs="Arial"/>
          <w:sz w:val="22"/>
          <w:szCs w:val="22"/>
        </w:rPr>
        <w:t>inscription de l</w:t>
      </w:r>
      <w:r w:rsidR="009C104E">
        <w:rPr>
          <w:rFonts w:ascii="Arial" w:hAnsi="Arial" w:cs="Arial"/>
          <w:sz w:val="22"/>
          <w:szCs w:val="22"/>
        </w:rPr>
        <w:t>’</w:t>
      </w:r>
      <w:r w:rsidRPr="0001502D">
        <w:rPr>
          <w:rFonts w:ascii="Arial" w:hAnsi="Arial" w:cs="Arial"/>
          <w:sz w:val="22"/>
          <w:szCs w:val="22"/>
        </w:rPr>
        <w:t>élément serait un pas de plus dans cette voie, car elle contribuerait à accroître la visibilité du patrimoine culturel immatériel dans les communautés locales et attirerait l</w:t>
      </w:r>
      <w:r w:rsidR="009C104E">
        <w:rPr>
          <w:rFonts w:ascii="Arial" w:hAnsi="Arial" w:cs="Arial"/>
          <w:sz w:val="22"/>
          <w:szCs w:val="22"/>
        </w:rPr>
        <w:t>’</w:t>
      </w:r>
      <w:r w:rsidRPr="0001502D">
        <w:rPr>
          <w:rFonts w:ascii="Arial" w:hAnsi="Arial" w:cs="Arial"/>
          <w:sz w:val="22"/>
          <w:szCs w:val="22"/>
        </w:rPr>
        <w:t>attention des gouvernements concernés sur la Convention. Elle pourrait également inciter d</w:t>
      </w:r>
      <w:r w:rsidR="009C104E">
        <w:rPr>
          <w:rFonts w:ascii="Arial" w:hAnsi="Arial" w:cs="Arial"/>
          <w:sz w:val="22"/>
          <w:szCs w:val="22"/>
        </w:rPr>
        <w:t>’</w:t>
      </w:r>
      <w:r w:rsidRPr="0001502D">
        <w:rPr>
          <w:rFonts w:ascii="Arial" w:hAnsi="Arial" w:cs="Arial"/>
          <w:sz w:val="22"/>
          <w:szCs w:val="22"/>
        </w:rPr>
        <w:t>autres pays où l</w:t>
      </w:r>
      <w:r w:rsidR="009C104E">
        <w:rPr>
          <w:rFonts w:ascii="Arial" w:hAnsi="Arial" w:cs="Arial"/>
          <w:sz w:val="22"/>
          <w:szCs w:val="22"/>
        </w:rPr>
        <w:t>’</w:t>
      </w:r>
      <w:r w:rsidRPr="0001502D">
        <w:rPr>
          <w:rFonts w:ascii="Arial" w:hAnsi="Arial" w:cs="Arial"/>
          <w:sz w:val="22"/>
          <w:szCs w:val="22"/>
        </w:rPr>
        <w:t>élément est présent à s</w:t>
      </w:r>
      <w:r w:rsidR="009C104E">
        <w:rPr>
          <w:rFonts w:ascii="Arial" w:hAnsi="Arial" w:cs="Arial"/>
          <w:sz w:val="22"/>
          <w:szCs w:val="22"/>
        </w:rPr>
        <w:t>’</w:t>
      </w:r>
      <w:r w:rsidRPr="0001502D">
        <w:rPr>
          <w:rFonts w:ascii="Arial" w:hAnsi="Arial" w:cs="Arial"/>
          <w:sz w:val="22"/>
          <w:szCs w:val="22"/>
        </w:rPr>
        <w:t>associer ultérieurement à la candidature, ce qui renforcerait la collaboration entre les États soumissionnaires et mettrait en lumière les caractéristiques communes de leur patrimoine culturel. En outre, l</w:t>
      </w:r>
      <w:r w:rsidR="009C104E">
        <w:rPr>
          <w:rFonts w:ascii="Arial" w:hAnsi="Arial" w:cs="Arial"/>
          <w:sz w:val="22"/>
          <w:szCs w:val="22"/>
        </w:rPr>
        <w:t>’</w:t>
      </w:r>
      <w:r w:rsidRPr="0001502D">
        <w:rPr>
          <w:rFonts w:ascii="Arial" w:hAnsi="Arial" w:cs="Arial"/>
          <w:sz w:val="22"/>
          <w:szCs w:val="22"/>
        </w:rPr>
        <w:t>inscription des connaissances, savoir-faire, traditions et pratiques associés au palmier dattier permettrait de sensibiliser davantage à l</w:t>
      </w:r>
      <w:r w:rsidR="009C104E">
        <w:rPr>
          <w:rFonts w:ascii="Arial" w:hAnsi="Arial" w:cs="Arial"/>
          <w:sz w:val="22"/>
          <w:szCs w:val="22"/>
        </w:rPr>
        <w:t>’</w:t>
      </w:r>
      <w:r w:rsidRPr="0001502D">
        <w:rPr>
          <w:rFonts w:ascii="Arial" w:hAnsi="Arial" w:cs="Arial"/>
          <w:sz w:val="22"/>
          <w:szCs w:val="22"/>
        </w:rPr>
        <w:t>importance du patrimoine culturel immatériel et à son rapport avec les ressources naturelles.</w:t>
      </w:r>
    </w:p>
    <w:p w14:paraId="0B3F7156" w14:textId="7C645AD8" w:rsidR="0001502D" w:rsidRPr="0001502D" w:rsidRDefault="0001502D" w:rsidP="0001502D">
      <w:pPr>
        <w:tabs>
          <w:tab w:val="left" w:pos="567"/>
          <w:tab w:val="left" w:pos="1134"/>
          <w:tab w:val="left" w:pos="1276"/>
          <w:tab w:val="left" w:pos="1418"/>
          <w:tab w:val="left" w:pos="2268"/>
        </w:tabs>
        <w:spacing w:before="120" w:after="120"/>
        <w:ind w:left="1134" w:hanging="567"/>
        <w:jc w:val="both"/>
        <w:rPr>
          <w:rFonts w:ascii="Arial" w:hAnsi="Arial" w:cs="Arial"/>
          <w:sz w:val="22"/>
          <w:szCs w:val="22"/>
        </w:rPr>
      </w:pPr>
      <w:r w:rsidRPr="0001502D">
        <w:rPr>
          <w:rFonts w:ascii="Arial" w:hAnsi="Arial" w:cs="Arial"/>
          <w:sz w:val="22"/>
          <w:szCs w:val="22"/>
        </w:rPr>
        <w:t>R.3 :</w:t>
      </w:r>
      <w:r w:rsidRPr="0001502D">
        <w:rPr>
          <w:rFonts w:ascii="Arial" w:hAnsi="Arial" w:cs="Arial"/>
          <w:sz w:val="22"/>
          <w:szCs w:val="22"/>
        </w:rPr>
        <w:tab/>
        <w:t>Les mesures de sauvegarde passées, actuelles et proposées par les quatorze États soumissionnaires sont diverses et adaptées aux particularités de chaque pays, sans pour autant négliger la coopération entre eux. Elles incluent toutes sortes de mesures de sauvegarde conformes à la Convention et visent notamment à promouvoir la culture du palmier dattier, à protéger les régions et les zones dans lesquelles il est cultivé, à favoriser l</w:t>
      </w:r>
      <w:r w:rsidR="009C104E">
        <w:rPr>
          <w:rFonts w:ascii="Arial" w:hAnsi="Arial" w:cs="Arial"/>
          <w:sz w:val="22"/>
          <w:szCs w:val="22"/>
        </w:rPr>
        <w:t>’</w:t>
      </w:r>
      <w:r w:rsidRPr="0001502D">
        <w:rPr>
          <w:rFonts w:ascii="Arial" w:hAnsi="Arial" w:cs="Arial"/>
          <w:sz w:val="22"/>
          <w:szCs w:val="22"/>
        </w:rPr>
        <w:t>autonomie économique et agricole des communautés et à créer ou renforcer les organisations non gouvernementales actives dans le domaine du patrimoine culturel associé au palmier dattier. Elles sont soutenues par les différents gouvernements et vont continuer de l</w:t>
      </w:r>
      <w:r w:rsidR="009C104E">
        <w:rPr>
          <w:rFonts w:ascii="Arial" w:hAnsi="Arial" w:cs="Arial"/>
          <w:sz w:val="22"/>
          <w:szCs w:val="22"/>
        </w:rPr>
        <w:t>’</w:t>
      </w:r>
      <w:r w:rsidRPr="0001502D">
        <w:rPr>
          <w:rFonts w:ascii="Arial" w:hAnsi="Arial" w:cs="Arial"/>
          <w:sz w:val="22"/>
          <w:szCs w:val="22"/>
        </w:rPr>
        <w:t>être, et les communautés concernées ont participé à leur élaboration à plusieurs niveaux.</w:t>
      </w:r>
    </w:p>
    <w:p w14:paraId="1BEBB328" w14:textId="30FE067B" w:rsidR="0001502D" w:rsidRPr="0001502D" w:rsidRDefault="0001502D" w:rsidP="0001502D">
      <w:pPr>
        <w:tabs>
          <w:tab w:val="left" w:pos="567"/>
          <w:tab w:val="left" w:pos="1134"/>
          <w:tab w:val="left" w:pos="1276"/>
          <w:tab w:val="left" w:pos="1418"/>
          <w:tab w:val="left" w:pos="2268"/>
        </w:tabs>
        <w:spacing w:before="120" w:after="120"/>
        <w:ind w:left="1134" w:hanging="567"/>
        <w:jc w:val="both"/>
        <w:rPr>
          <w:rFonts w:ascii="Arial" w:hAnsi="Arial" w:cs="Arial"/>
          <w:sz w:val="22"/>
          <w:szCs w:val="22"/>
        </w:rPr>
      </w:pPr>
      <w:r w:rsidRPr="0001502D">
        <w:rPr>
          <w:rFonts w:ascii="Arial" w:hAnsi="Arial" w:cs="Arial"/>
          <w:sz w:val="22"/>
          <w:szCs w:val="22"/>
        </w:rPr>
        <w:t>R.4 :</w:t>
      </w:r>
      <w:r w:rsidRPr="0001502D">
        <w:rPr>
          <w:rFonts w:ascii="Arial" w:hAnsi="Arial" w:cs="Arial"/>
          <w:sz w:val="22"/>
          <w:szCs w:val="22"/>
        </w:rPr>
        <w:tab/>
        <w:t>Le dossier de candidature a été préparé en s</w:t>
      </w:r>
      <w:r w:rsidR="009C104E">
        <w:rPr>
          <w:rFonts w:ascii="Arial" w:hAnsi="Arial" w:cs="Arial"/>
          <w:sz w:val="22"/>
          <w:szCs w:val="22"/>
        </w:rPr>
        <w:t>’</w:t>
      </w:r>
      <w:r w:rsidRPr="0001502D">
        <w:rPr>
          <w:rFonts w:ascii="Arial" w:hAnsi="Arial" w:cs="Arial"/>
          <w:sz w:val="22"/>
          <w:szCs w:val="22"/>
        </w:rPr>
        <w:t>appuyant sur des travaux d</w:t>
      </w:r>
      <w:r w:rsidR="009C104E">
        <w:rPr>
          <w:rFonts w:ascii="Arial" w:hAnsi="Arial" w:cs="Arial"/>
          <w:sz w:val="22"/>
          <w:szCs w:val="22"/>
        </w:rPr>
        <w:t>’</w:t>
      </w:r>
      <w:r w:rsidRPr="0001502D">
        <w:rPr>
          <w:rFonts w:ascii="Arial" w:hAnsi="Arial" w:cs="Arial"/>
          <w:sz w:val="22"/>
          <w:szCs w:val="22"/>
        </w:rPr>
        <w:t>inventaire sur le terrain, des réunions, des ateliers, des forums et un véritable consensus autour de l</w:t>
      </w:r>
      <w:r w:rsidR="009C104E">
        <w:rPr>
          <w:rFonts w:ascii="Arial" w:hAnsi="Arial" w:cs="Arial"/>
          <w:sz w:val="22"/>
          <w:szCs w:val="22"/>
        </w:rPr>
        <w:t>’</w:t>
      </w:r>
      <w:r w:rsidRPr="0001502D">
        <w:rPr>
          <w:rFonts w:ascii="Arial" w:hAnsi="Arial" w:cs="Arial"/>
          <w:sz w:val="22"/>
          <w:szCs w:val="22"/>
        </w:rPr>
        <w:t>élément. Les communautés, groupes et individus concernés ont donc joué un rôle important en fournissant des informations de terrain et des documents pertinents. Malgré des différences relatives au contexte et aux méthodes utilisées par chaque État partie, la collaboration entre les communautés, groupes et individus a été efficace tout au long de la préparation du dossier. Les rôles et responsabilités ont été attribués de manière pertinente, et le rôle des femmes en tant que praticiennes de l</w:t>
      </w:r>
      <w:r w:rsidR="009C104E">
        <w:rPr>
          <w:rFonts w:ascii="Arial" w:hAnsi="Arial" w:cs="Arial"/>
          <w:sz w:val="22"/>
          <w:szCs w:val="22"/>
        </w:rPr>
        <w:t>’</w:t>
      </w:r>
      <w:r w:rsidRPr="0001502D">
        <w:rPr>
          <w:rFonts w:ascii="Arial" w:hAnsi="Arial" w:cs="Arial"/>
          <w:sz w:val="22"/>
          <w:szCs w:val="22"/>
        </w:rPr>
        <w:t>artisanat associé à l</w:t>
      </w:r>
      <w:r w:rsidR="009C104E">
        <w:rPr>
          <w:rFonts w:ascii="Arial" w:hAnsi="Arial" w:cs="Arial"/>
          <w:sz w:val="22"/>
          <w:szCs w:val="22"/>
        </w:rPr>
        <w:t>’</w:t>
      </w:r>
      <w:r w:rsidRPr="0001502D">
        <w:rPr>
          <w:rFonts w:ascii="Arial" w:hAnsi="Arial" w:cs="Arial"/>
          <w:sz w:val="22"/>
          <w:szCs w:val="22"/>
        </w:rPr>
        <w:t>élément a été mis en avant.</w:t>
      </w:r>
    </w:p>
    <w:p w14:paraId="3C44C0E0" w14:textId="3EB21674" w:rsidR="0001502D" w:rsidRPr="0001502D" w:rsidRDefault="0001502D" w:rsidP="0001502D">
      <w:pPr>
        <w:tabs>
          <w:tab w:val="left" w:pos="567"/>
          <w:tab w:val="left" w:pos="1134"/>
          <w:tab w:val="left" w:pos="1276"/>
          <w:tab w:val="left" w:pos="1418"/>
          <w:tab w:val="left" w:pos="2268"/>
        </w:tabs>
        <w:spacing w:before="120" w:after="120"/>
        <w:ind w:left="1134" w:hanging="567"/>
        <w:jc w:val="both"/>
        <w:rPr>
          <w:rFonts w:ascii="Arial" w:hAnsi="Arial" w:cs="Arial"/>
          <w:sz w:val="22"/>
          <w:szCs w:val="22"/>
        </w:rPr>
      </w:pPr>
      <w:r w:rsidRPr="0001502D">
        <w:rPr>
          <w:rFonts w:ascii="Arial" w:hAnsi="Arial" w:cs="Arial"/>
          <w:sz w:val="22"/>
          <w:szCs w:val="22"/>
        </w:rPr>
        <w:t>R.5 :</w:t>
      </w:r>
      <w:r w:rsidRPr="0001502D">
        <w:rPr>
          <w:rFonts w:ascii="Arial" w:hAnsi="Arial" w:cs="Arial"/>
          <w:sz w:val="22"/>
          <w:szCs w:val="22"/>
        </w:rPr>
        <w:tab/>
        <w:t>Dans tous les États parties soumissionnaires, l</w:t>
      </w:r>
      <w:r w:rsidR="009C104E">
        <w:rPr>
          <w:rFonts w:ascii="Arial" w:hAnsi="Arial" w:cs="Arial"/>
          <w:sz w:val="22"/>
          <w:szCs w:val="22"/>
        </w:rPr>
        <w:t>’</w:t>
      </w:r>
      <w:r w:rsidRPr="0001502D">
        <w:rPr>
          <w:rFonts w:ascii="Arial" w:hAnsi="Arial" w:cs="Arial"/>
          <w:sz w:val="22"/>
          <w:szCs w:val="22"/>
        </w:rPr>
        <w:t>élément a été inclus dans un inventaire, une liste ou un registre du patrimoine culturel immatériel national entre 2009 et 2018. Les Ministères de la culture, les départements culturels et des instituts et agences dédiés sont chargés de gérer et de mettre à jour les inventaires.</w:t>
      </w:r>
    </w:p>
    <w:p w14:paraId="34A825D2" w14:textId="4365668B" w:rsidR="0001502D" w:rsidRPr="0001502D" w:rsidRDefault="0001502D" w:rsidP="00771F30">
      <w:pPr>
        <w:numPr>
          <w:ilvl w:val="1"/>
          <w:numId w:val="29"/>
        </w:numPr>
        <w:pBdr>
          <w:top w:val="nil"/>
          <w:left w:val="nil"/>
          <w:bottom w:val="nil"/>
          <w:right w:val="nil"/>
          <w:between w:val="nil"/>
        </w:pBdr>
        <w:tabs>
          <w:tab w:val="left" w:pos="567"/>
          <w:tab w:val="left" w:pos="1701"/>
          <w:tab w:val="left" w:pos="2268"/>
        </w:tabs>
        <w:spacing w:before="120" w:after="120"/>
        <w:ind w:left="567"/>
        <w:jc w:val="both"/>
        <w:rPr>
          <w:rFonts w:ascii="Arial" w:eastAsia="Arial" w:hAnsi="Arial" w:cs="Arial"/>
          <w:color w:val="000000"/>
          <w:sz w:val="22"/>
          <w:szCs w:val="22"/>
        </w:rPr>
      </w:pPr>
      <w:r w:rsidRPr="0001502D">
        <w:rPr>
          <w:rFonts w:ascii="Arial" w:hAnsi="Arial" w:cs="Arial"/>
          <w:color w:val="000000"/>
          <w:sz w:val="22"/>
          <w:szCs w:val="22"/>
          <w:u w:val="single"/>
        </w:rPr>
        <w:t>Décide d</w:t>
      </w:r>
      <w:r w:rsidR="009C104E">
        <w:rPr>
          <w:rFonts w:ascii="Arial" w:hAnsi="Arial" w:cs="Arial"/>
          <w:color w:val="000000"/>
          <w:sz w:val="22"/>
          <w:szCs w:val="22"/>
          <w:u w:val="single"/>
        </w:rPr>
        <w:t>’</w:t>
      </w:r>
      <w:r w:rsidRPr="0001502D">
        <w:rPr>
          <w:rFonts w:ascii="Arial" w:hAnsi="Arial" w:cs="Arial"/>
          <w:color w:val="000000"/>
          <w:sz w:val="22"/>
          <w:szCs w:val="22"/>
          <w:u w:val="single"/>
        </w:rPr>
        <w:t>inscrire</w:t>
      </w:r>
      <w:r w:rsidRPr="0001502D">
        <w:rPr>
          <w:rFonts w:ascii="Arial" w:hAnsi="Arial" w:cs="Arial"/>
          <w:sz w:val="22"/>
          <w:szCs w:val="22"/>
        </w:rPr>
        <w:t xml:space="preserve"> </w:t>
      </w:r>
      <w:r w:rsidRPr="0001502D">
        <w:rPr>
          <w:rFonts w:ascii="Arial" w:hAnsi="Arial" w:cs="Arial"/>
          <w:b/>
          <w:color w:val="000000"/>
          <w:sz w:val="22"/>
          <w:szCs w:val="22"/>
        </w:rPr>
        <w:t xml:space="preserve">les </w:t>
      </w:r>
      <w:r w:rsidRPr="0001502D">
        <w:rPr>
          <w:rFonts w:ascii="Arial" w:hAnsi="Arial" w:cs="Arial"/>
          <w:b/>
          <w:bCs/>
          <w:color w:val="000000"/>
          <w:sz w:val="22"/>
          <w:szCs w:val="22"/>
        </w:rPr>
        <w:t>connaissances, savoir-faire, traditions et pratiques associés au palmier dattier</w:t>
      </w:r>
      <w:r w:rsidRPr="0001502D">
        <w:rPr>
          <w:rFonts w:ascii="Arial" w:hAnsi="Arial" w:cs="Arial"/>
          <w:color w:val="000000"/>
          <w:sz w:val="22"/>
          <w:szCs w:val="22"/>
        </w:rPr>
        <w:t xml:space="preserve"> sur la Liste représentative du patrimoine culturel immatériel de l</w:t>
      </w:r>
      <w:r w:rsidR="009C104E">
        <w:rPr>
          <w:rFonts w:ascii="Arial" w:hAnsi="Arial" w:cs="Arial"/>
          <w:color w:val="000000"/>
          <w:sz w:val="22"/>
          <w:szCs w:val="22"/>
        </w:rPr>
        <w:t>’</w:t>
      </w:r>
      <w:r w:rsidRPr="0001502D">
        <w:rPr>
          <w:rFonts w:ascii="Arial" w:hAnsi="Arial" w:cs="Arial"/>
          <w:color w:val="000000"/>
          <w:sz w:val="22"/>
          <w:szCs w:val="22"/>
        </w:rPr>
        <w:t>humanité ;</w:t>
      </w:r>
    </w:p>
    <w:p w14:paraId="31BFB7F7" w14:textId="77777777" w:rsidR="0001502D" w:rsidRPr="0001502D" w:rsidRDefault="0001502D" w:rsidP="00771F30">
      <w:pPr>
        <w:numPr>
          <w:ilvl w:val="1"/>
          <w:numId w:val="29"/>
        </w:numPr>
        <w:pBdr>
          <w:top w:val="nil"/>
          <w:left w:val="nil"/>
          <w:bottom w:val="nil"/>
          <w:right w:val="nil"/>
          <w:between w:val="nil"/>
        </w:pBdr>
        <w:tabs>
          <w:tab w:val="left" w:pos="567"/>
          <w:tab w:val="left" w:pos="1701"/>
          <w:tab w:val="left" w:pos="2268"/>
        </w:tabs>
        <w:spacing w:before="120" w:after="120"/>
        <w:ind w:left="567"/>
        <w:jc w:val="both"/>
        <w:rPr>
          <w:rFonts w:ascii="Arial" w:eastAsia="Arial" w:hAnsi="Arial" w:cs="Arial"/>
          <w:color w:val="000000"/>
          <w:sz w:val="22"/>
          <w:szCs w:val="22"/>
        </w:rPr>
      </w:pPr>
      <w:r w:rsidRPr="0001502D">
        <w:rPr>
          <w:rFonts w:ascii="Arial" w:hAnsi="Arial" w:cs="Arial"/>
          <w:color w:val="000000"/>
          <w:sz w:val="22"/>
          <w:szCs w:val="22"/>
          <w:u w:val="single"/>
        </w:rPr>
        <w:t>Félicite</w:t>
      </w:r>
      <w:r w:rsidRPr="0001502D">
        <w:rPr>
          <w:rFonts w:ascii="Arial" w:hAnsi="Arial" w:cs="Arial"/>
          <w:color w:val="000000"/>
          <w:sz w:val="22"/>
          <w:szCs w:val="22"/>
        </w:rPr>
        <w:t xml:space="preserve"> les quatorze États parties pour cette initiative exemplaire de collaboration régionale entre des pays partageant un patrimoine culturel similaire, en reconnaissant la complexité de cette démarche et son importance pour la région arabe ;</w:t>
      </w:r>
    </w:p>
    <w:p w14:paraId="23014DEF" w14:textId="58AD2E8C" w:rsidR="0001502D" w:rsidRPr="0001502D" w:rsidRDefault="0001502D" w:rsidP="00771F30">
      <w:pPr>
        <w:numPr>
          <w:ilvl w:val="1"/>
          <w:numId w:val="29"/>
        </w:numPr>
        <w:pBdr>
          <w:top w:val="nil"/>
          <w:left w:val="nil"/>
          <w:bottom w:val="nil"/>
          <w:right w:val="nil"/>
          <w:between w:val="nil"/>
        </w:pBdr>
        <w:tabs>
          <w:tab w:val="left" w:pos="567"/>
          <w:tab w:val="left" w:pos="1701"/>
          <w:tab w:val="left" w:pos="2268"/>
        </w:tabs>
        <w:spacing w:before="120" w:after="120"/>
        <w:ind w:left="567"/>
        <w:jc w:val="both"/>
        <w:rPr>
          <w:rFonts w:ascii="Arial" w:eastAsia="Arial" w:hAnsi="Arial" w:cs="Arial"/>
          <w:color w:val="000000"/>
          <w:sz w:val="22"/>
          <w:szCs w:val="22"/>
        </w:rPr>
      </w:pPr>
      <w:r w:rsidRPr="0001502D">
        <w:rPr>
          <w:rFonts w:ascii="Arial" w:hAnsi="Arial" w:cs="Arial"/>
          <w:color w:val="000000"/>
          <w:sz w:val="22"/>
          <w:szCs w:val="22"/>
          <w:u w:val="single"/>
        </w:rPr>
        <w:t>Encourage</w:t>
      </w:r>
      <w:r w:rsidRPr="0001502D">
        <w:rPr>
          <w:rFonts w:ascii="Arial" w:hAnsi="Arial" w:cs="Arial"/>
          <w:color w:val="000000"/>
          <w:sz w:val="22"/>
          <w:szCs w:val="22"/>
        </w:rPr>
        <w:t xml:space="preserve"> les États parties à éviter les approches descendantes tout au long des processus de sauvegarde du patrimoine culturel immatériel en s</w:t>
      </w:r>
      <w:r w:rsidR="009C104E">
        <w:rPr>
          <w:rFonts w:ascii="Arial" w:hAnsi="Arial" w:cs="Arial"/>
          <w:color w:val="000000"/>
          <w:sz w:val="22"/>
          <w:szCs w:val="22"/>
        </w:rPr>
        <w:t>’</w:t>
      </w:r>
      <w:r w:rsidRPr="0001502D">
        <w:rPr>
          <w:rFonts w:ascii="Arial" w:hAnsi="Arial" w:cs="Arial"/>
          <w:color w:val="000000"/>
          <w:sz w:val="22"/>
          <w:szCs w:val="22"/>
        </w:rPr>
        <w:t>assurant que les communautés sont au cœur de tous les efforts de sauvegarde ;</w:t>
      </w:r>
    </w:p>
    <w:p w14:paraId="04177D14" w14:textId="4D119612" w:rsidR="0001502D" w:rsidRPr="0001502D" w:rsidRDefault="0001502D" w:rsidP="00771F30">
      <w:pPr>
        <w:numPr>
          <w:ilvl w:val="1"/>
          <w:numId w:val="29"/>
        </w:numPr>
        <w:pBdr>
          <w:top w:val="nil"/>
          <w:left w:val="nil"/>
          <w:bottom w:val="nil"/>
          <w:right w:val="nil"/>
          <w:between w:val="nil"/>
        </w:pBdr>
        <w:tabs>
          <w:tab w:val="left" w:pos="567"/>
          <w:tab w:val="left" w:pos="1701"/>
          <w:tab w:val="left" w:pos="2268"/>
        </w:tabs>
        <w:spacing w:before="120" w:after="120"/>
        <w:ind w:left="567"/>
        <w:jc w:val="both"/>
        <w:rPr>
          <w:rFonts w:ascii="Arial" w:hAnsi="Arial" w:cs="Arial"/>
          <w:sz w:val="22"/>
          <w:szCs w:val="22"/>
          <w:shd w:val="clear" w:color="auto" w:fill="FFFFFF"/>
        </w:rPr>
      </w:pPr>
      <w:r w:rsidRPr="0001502D">
        <w:rPr>
          <w:rFonts w:ascii="Arial" w:hAnsi="Arial" w:cs="Arial"/>
          <w:sz w:val="22"/>
          <w:szCs w:val="22"/>
          <w:u w:val="single"/>
          <w:shd w:val="clear" w:color="auto" w:fill="FFFFFF"/>
        </w:rPr>
        <w:t>Rappelle</w:t>
      </w:r>
      <w:r w:rsidRPr="0001502D">
        <w:rPr>
          <w:rFonts w:ascii="Arial" w:hAnsi="Arial" w:cs="Arial"/>
          <w:sz w:val="22"/>
          <w:szCs w:val="22"/>
          <w:shd w:val="clear" w:color="auto" w:fill="FFFFFF"/>
        </w:rPr>
        <w:t xml:space="preserve"> aux États parties que la mise à jour est un aspect important du processus d</w:t>
      </w:r>
      <w:r w:rsidR="009C104E">
        <w:rPr>
          <w:rFonts w:ascii="Arial" w:hAnsi="Arial" w:cs="Arial"/>
          <w:sz w:val="22"/>
          <w:szCs w:val="22"/>
          <w:shd w:val="clear" w:color="auto" w:fill="FFFFFF"/>
        </w:rPr>
        <w:t>’</w:t>
      </w:r>
      <w:r w:rsidRPr="0001502D">
        <w:rPr>
          <w:rFonts w:ascii="Arial" w:hAnsi="Arial" w:cs="Arial"/>
          <w:sz w:val="22"/>
          <w:szCs w:val="22"/>
          <w:shd w:val="clear" w:color="auto" w:fill="FFFFFF"/>
        </w:rPr>
        <w:t xml:space="preserve">élaboration des inventaires et les </w:t>
      </w:r>
      <w:r w:rsidRPr="0001502D">
        <w:rPr>
          <w:rFonts w:ascii="Arial" w:hAnsi="Arial" w:cs="Arial"/>
          <w:sz w:val="22"/>
          <w:szCs w:val="22"/>
          <w:u w:val="single"/>
          <w:shd w:val="clear" w:color="auto" w:fill="FFFFFF"/>
        </w:rPr>
        <w:t>invite</w:t>
      </w:r>
      <w:r w:rsidRPr="0001502D">
        <w:rPr>
          <w:rFonts w:ascii="Arial" w:hAnsi="Arial" w:cs="Arial"/>
          <w:sz w:val="22"/>
          <w:szCs w:val="22"/>
          <w:shd w:val="clear" w:color="auto" w:fill="FFFFFF"/>
        </w:rPr>
        <w:t xml:space="preserve"> à inclure, dans leur prochain rapport périodique sur la mise en œuvre de la Convention au niveau national, des informations détaillées sur la manière dont leurs inventaires sont constitués et régulièrement mis à jour avec la participation active des communautés, organisations non gouvernementales et groupes concernés, conformément aux articles 11 et 12 de la Convention.</w:t>
      </w:r>
    </w:p>
    <w:p w14:paraId="14262509" w14:textId="1C4B79D2" w:rsidR="0001502D" w:rsidRPr="0001502D" w:rsidRDefault="0001502D" w:rsidP="00EA61FD">
      <w:pPr>
        <w:keepNext/>
        <w:keepLines/>
        <w:spacing w:before="360" w:after="120"/>
        <w:outlineLvl w:val="1"/>
        <w:rPr>
          <w:rFonts w:ascii="Arial" w:hAnsi="Arial" w:cs="Arial"/>
          <w:bCs/>
          <w:iCs/>
          <w:sz w:val="22"/>
          <w:szCs w:val="22"/>
        </w:rPr>
      </w:pPr>
      <w:bookmarkStart w:id="8" w:name="Decision_10b4"/>
      <w:r w:rsidRPr="0001502D">
        <w:rPr>
          <w:rFonts w:ascii="Arial" w:hAnsi="Arial" w:cs="Arial"/>
          <w:b/>
          <w:bCs/>
          <w:iCs/>
          <w:sz w:val="22"/>
          <w:szCs w:val="22"/>
        </w:rPr>
        <w:t xml:space="preserve">DÉCISION 14.COM 10.b.4 </w:t>
      </w:r>
    </w:p>
    <w:bookmarkEnd w:id="8"/>
    <w:p w14:paraId="166789A9" w14:textId="77777777" w:rsidR="0001502D" w:rsidRPr="0001502D" w:rsidRDefault="0001502D" w:rsidP="0001502D">
      <w:pPr>
        <w:keepNext/>
        <w:pBdr>
          <w:top w:val="nil"/>
          <w:left w:val="nil"/>
          <w:bottom w:val="nil"/>
          <w:right w:val="nil"/>
          <w:between w:val="nil"/>
        </w:pBdr>
        <w:tabs>
          <w:tab w:val="left" w:pos="567"/>
          <w:tab w:val="left" w:pos="1134"/>
          <w:tab w:val="left" w:pos="1701"/>
          <w:tab w:val="left" w:pos="2268"/>
        </w:tabs>
        <w:spacing w:before="120" w:after="120"/>
        <w:jc w:val="both"/>
        <w:rPr>
          <w:rFonts w:ascii="Arial" w:eastAsia="Arial" w:hAnsi="Arial" w:cs="Arial"/>
          <w:color w:val="000000"/>
          <w:sz w:val="22"/>
          <w:szCs w:val="22"/>
        </w:rPr>
      </w:pPr>
      <w:r w:rsidRPr="0001502D">
        <w:rPr>
          <w:rFonts w:ascii="Arial" w:hAnsi="Arial" w:cs="Arial"/>
          <w:color w:val="000000"/>
          <w:sz w:val="22"/>
          <w:szCs w:val="22"/>
        </w:rPr>
        <w:t>Le Comité,</w:t>
      </w:r>
    </w:p>
    <w:p w14:paraId="1D18E580" w14:textId="7307158A" w:rsidR="0001502D" w:rsidRPr="0001502D" w:rsidRDefault="0001502D" w:rsidP="00771F30">
      <w:pPr>
        <w:numPr>
          <w:ilvl w:val="1"/>
          <w:numId w:val="30"/>
        </w:numPr>
        <w:pBdr>
          <w:top w:val="nil"/>
          <w:left w:val="nil"/>
          <w:bottom w:val="nil"/>
          <w:right w:val="nil"/>
          <w:between w:val="nil"/>
        </w:pBdr>
        <w:tabs>
          <w:tab w:val="left" w:pos="567"/>
          <w:tab w:val="left" w:pos="1701"/>
          <w:tab w:val="left" w:pos="2268"/>
        </w:tabs>
        <w:spacing w:before="120" w:after="120"/>
        <w:ind w:left="567" w:hanging="567"/>
        <w:jc w:val="both"/>
        <w:rPr>
          <w:rFonts w:ascii="Arial" w:eastAsia="Arial" w:hAnsi="Arial" w:cs="Arial"/>
          <w:color w:val="000000"/>
          <w:sz w:val="22"/>
          <w:szCs w:val="22"/>
        </w:rPr>
      </w:pPr>
      <w:r w:rsidRPr="0001502D">
        <w:rPr>
          <w:rFonts w:ascii="Arial" w:hAnsi="Arial" w:cs="Arial"/>
          <w:color w:val="000000"/>
          <w:sz w:val="22"/>
          <w:szCs w:val="22"/>
          <w:u w:val="single"/>
        </w:rPr>
        <w:t>Prend note</w:t>
      </w:r>
      <w:r w:rsidRPr="0001502D">
        <w:rPr>
          <w:rFonts w:ascii="Arial" w:hAnsi="Arial" w:cs="Arial"/>
          <w:color w:val="000000"/>
          <w:sz w:val="22"/>
          <w:szCs w:val="22"/>
        </w:rPr>
        <w:t xml:space="preserve"> que la Belgique a proposé la candidature de </w:t>
      </w:r>
      <w:r w:rsidRPr="0001502D">
        <w:rPr>
          <w:rFonts w:ascii="Arial" w:hAnsi="Arial" w:cs="Arial"/>
          <w:b/>
          <w:color w:val="000000"/>
          <w:sz w:val="22"/>
          <w:szCs w:val="22"/>
        </w:rPr>
        <w:t>l</w:t>
      </w:r>
      <w:r w:rsidR="009C104E">
        <w:rPr>
          <w:rFonts w:ascii="Arial" w:hAnsi="Arial" w:cs="Arial"/>
          <w:b/>
          <w:color w:val="000000"/>
          <w:sz w:val="22"/>
          <w:szCs w:val="22"/>
        </w:rPr>
        <w:t>’</w:t>
      </w:r>
      <w:r w:rsidRPr="0001502D">
        <w:rPr>
          <w:rFonts w:ascii="Arial" w:hAnsi="Arial" w:cs="Arial"/>
          <w:b/>
          <w:color w:val="000000"/>
          <w:sz w:val="22"/>
          <w:szCs w:val="22"/>
        </w:rPr>
        <w:t>Ommegang de Bruxelles, cortège historique et fête populaire annuels</w:t>
      </w:r>
      <w:r w:rsidRPr="0001502D">
        <w:rPr>
          <w:rFonts w:ascii="Arial" w:hAnsi="Arial" w:cs="Arial"/>
          <w:color w:val="000000"/>
          <w:sz w:val="22"/>
          <w:szCs w:val="22"/>
        </w:rPr>
        <w:t xml:space="preserve"> (n° 01366) pour inscription sur la Liste représentative du patrimoine culturel immatériel de l</w:t>
      </w:r>
      <w:r w:rsidR="009C104E">
        <w:rPr>
          <w:rFonts w:ascii="Arial" w:hAnsi="Arial" w:cs="Arial"/>
          <w:color w:val="000000"/>
          <w:sz w:val="22"/>
          <w:szCs w:val="22"/>
        </w:rPr>
        <w:t>’</w:t>
      </w:r>
      <w:r w:rsidRPr="0001502D">
        <w:rPr>
          <w:rFonts w:ascii="Arial" w:hAnsi="Arial" w:cs="Arial"/>
          <w:color w:val="000000"/>
          <w:sz w:val="22"/>
          <w:szCs w:val="22"/>
        </w:rPr>
        <w:t>humanité :</w:t>
      </w:r>
    </w:p>
    <w:p w14:paraId="5F290F74" w14:textId="6E0FC789" w:rsidR="0001502D" w:rsidRPr="0001502D" w:rsidRDefault="0001502D" w:rsidP="0001502D">
      <w:pPr>
        <w:tabs>
          <w:tab w:val="left" w:pos="567"/>
          <w:tab w:val="left" w:pos="1701"/>
          <w:tab w:val="left" w:pos="2268"/>
        </w:tabs>
        <w:spacing w:before="120" w:after="120"/>
        <w:ind w:left="567" w:hanging="567"/>
        <w:jc w:val="both"/>
        <w:rPr>
          <w:rFonts w:ascii="Arial" w:hAnsi="Arial" w:cs="Arial"/>
          <w:sz w:val="22"/>
          <w:szCs w:val="22"/>
        </w:rPr>
      </w:pPr>
      <w:r>
        <w:rPr>
          <w:rFonts w:ascii="Arial" w:hAnsi="Arial" w:cs="Arial"/>
          <w:sz w:val="22"/>
          <w:szCs w:val="22"/>
        </w:rPr>
        <w:tab/>
      </w:r>
      <w:r w:rsidRPr="0001502D">
        <w:rPr>
          <w:rFonts w:ascii="Arial" w:hAnsi="Arial" w:cs="Arial"/>
          <w:sz w:val="22"/>
          <w:szCs w:val="22"/>
        </w:rPr>
        <w:t>L</w:t>
      </w:r>
      <w:r w:rsidR="009C104E">
        <w:rPr>
          <w:rFonts w:ascii="Arial" w:hAnsi="Arial" w:cs="Arial"/>
          <w:sz w:val="22"/>
          <w:szCs w:val="22"/>
        </w:rPr>
        <w:t>’</w:t>
      </w:r>
      <w:r w:rsidRPr="0001502D">
        <w:rPr>
          <w:rFonts w:ascii="Arial" w:hAnsi="Arial" w:cs="Arial"/>
          <w:sz w:val="22"/>
          <w:szCs w:val="22"/>
        </w:rPr>
        <w:t>Ommegang de Bruxelles, cortège historique et fête populaire annuels, se déroule chaque année en juillet dans le centre historique de Bruxelles au cours de deux soirées. La célébration débute par un concours de tir à l</w:t>
      </w:r>
      <w:r w:rsidR="009C104E">
        <w:rPr>
          <w:rFonts w:ascii="Arial" w:hAnsi="Arial" w:cs="Arial"/>
          <w:sz w:val="22"/>
          <w:szCs w:val="22"/>
        </w:rPr>
        <w:t>’</w:t>
      </w:r>
      <w:r w:rsidRPr="0001502D">
        <w:rPr>
          <w:rFonts w:ascii="Arial" w:hAnsi="Arial" w:cs="Arial"/>
          <w:sz w:val="22"/>
          <w:szCs w:val="22"/>
        </w:rPr>
        <w:t>arbalète et une cérémonie dans l</w:t>
      </w:r>
      <w:r w:rsidR="009C104E">
        <w:rPr>
          <w:rFonts w:ascii="Arial" w:hAnsi="Arial" w:cs="Arial"/>
          <w:sz w:val="22"/>
          <w:szCs w:val="22"/>
        </w:rPr>
        <w:t>’</w:t>
      </w:r>
      <w:r w:rsidRPr="0001502D">
        <w:rPr>
          <w:rFonts w:ascii="Arial" w:hAnsi="Arial" w:cs="Arial"/>
          <w:sz w:val="22"/>
          <w:szCs w:val="22"/>
        </w:rPr>
        <w:t>église du Sablon. Dans les rues environnantes, plusieurs groupes forment un grand cortège. Le cortège suit un tracé de 1,5 kilomètre à travers la ville vers la Grand-Place, où les groupes rejoignent le Magistrat de Bruxelles et les détenteurs de différentes formes du patrimoine vivant. Ensemble, ils y défilent et certains groupes donnent des représentations dans une synthèse organique qui a évolué depuis 1930. Procession religieuse à l</w:t>
      </w:r>
      <w:r w:rsidR="009C104E">
        <w:rPr>
          <w:rFonts w:ascii="Arial" w:hAnsi="Arial" w:cs="Arial"/>
          <w:sz w:val="22"/>
          <w:szCs w:val="22"/>
        </w:rPr>
        <w:t>’</w:t>
      </w:r>
      <w:r w:rsidRPr="0001502D">
        <w:rPr>
          <w:rFonts w:ascii="Arial" w:hAnsi="Arial" w:cs="Arial"/>
          <w:sz w:val="22"/>
          <w:szCs w:val="22"/>
        </w:rPr>
        <w:t>origine en 1348, la tradition a connu un déclin au XVIII</w:t>
      </w:r>
      <w:r w:rsidRPr="0001502D">
        <w:rPr>
          <w:rFonts w:ascii="Arial" w:hAnsi="Arial" w:cs="Arial"/>
          <w:sz w:val="22"/>
          <w:szCs w:val="22"/>
          <w:vertAlign w:val="superscript"/>
        </w:rPr>
        <w:t>e</w:t>
      </w:r>
      <w:r w:rsidRPr="0001502D">
        <w:rPr>
          <w:rFonts w:ascii="Arial" w:hAnsi="Arial" w:cs="Arial"/>
          <w:sz w:val="22"/>
          <w:szCs w:val="22"/>
        </w:rPr>
        <w:t xml:space="preserve"> siècle et l</w:t>
      </w:r>
      <w:r w:rsidR="009C104E">
        <w:rPr>
          <w:rFonts w:ascii="Arial" w:hAnsi="Arial" w:cs="Arial"/>
          <w:sz w:val="22"/>
          <w:szCs w:val="22"/>
        </w:rPr>
        <w:t>’</w:t>
      </w:r>
      <w:r w:rsidRPr="0001502D">
        <w:rPr>
          <w:rFonts w:ascii="Arial" w:hAnsi="Arial" w:cs="Arial"/>
          <w:sz w:val="22"/>
          <w:szCs w:val="22"/>
        </w:rPr>
        <w:t>Ommegang moderne fut réinventé en 1928-1930, sur la base de descriptions du cortège auquel Charles Quint avait assisté en 1549. Aujourd</w:t>
      </w:r>
      <w:r w:rsidR="009C104E">
        <w:rPr>
          <w:rFonts w:ascii="Arial" w:hAnsi="Arial" w:cs="Arial"/>
          <w:sz w:val="22"/>
          <w:szCs w:val="22"/>
        </w:rPr>
        <w:t>’</w:t>
      </w:r>
      <w:r w:rsidRPr="0001502D">
        <w:rPr>
          <w:rFonts w:ascii="Arial" w:hAnsi="Arial" w:cs="Arial"/>
          <w:sz w:val="22"/>
          <w:szCs w:val="22"/>
        </w:rPr>
        <w:t>hui, la tradition s</w:t>
      </w:r>
      <w:r w:rsidR="009C104E">
        <w:rPr>
          <w:rFonts w:ascii="Arial" w:hAnsi="Arial" w:cs="Arial"/>
          <w:sz w:val="22"/>
          <w:szCs w:val="22"/>
        </w:rPr>
        <w:t>’</w:t>
      </w:r>
      <w:r w:rsidRPr="0001502D">
        <w:rPr>
          <w:rFonts w:ascii="Arial" w:hAnsi="Arial" w:cs="Arial"/>
          <w:sz w:val="22"/>
          <w:szCs w:val="22"/>
        </w:rPr>
        <w:t>est transformée en une fête mettant à l</w:t>
      </w:r>
      <w:r w:rsidR="009C104E">
        <w:rPr>
          <w:rFonts w:ascii="Arial" w:hAnsi="Arial" w:cs="Arial"/>
          <w:sz w:val="22"/>
          <w:szCs w:val="22"/>
        </w:rPr>
        <w:t>’</w:t>
      </w:r>
      <w:r w:rsidRPr="0001502D">
        <w:rPr>
          <w:rFonts w:ascii="Arial" w:hAnsi="Arial" w:cs="Arial"/>
          <w:sz w:val="22"/>
          <w:szCs w:val="22"/>
        </w:rPr>
        <w:t>honneur le patrimoine local. Parmi les participants, il y a différents groupes de bénévoles qui se réunissent et préparent leurs rôles ensemble, en encourageant les membres plus jeunes à les rejoindre. Ces groupes sont devenus des associations amicales qui, pendant l</w:t>
      </w:r>
      <w:r w:rsidR="009C104E">
        <w:rPr>
          <w:rFonts w:ascii="Arial" w:hAnsi="Arial" w:cs="Arial"/>
          <w:sz w:val="22"/>
          <w:szCs w:val="22"/>
        </w:rPr>
        <w:t>’</w:t>
      </w:r>
      <w:r w:rsidRPr="0001502D">
        <w:rPr>
          <w:rFonts w:ascii="Arial" w:hAnsi="Arial" w:cs="Arial"/>
          <w:sz w:val="22"/>
          <w:szCs w:val="22"/>
        </w:rPr>
        <w:t>Ommegang – chaque année au début du mois de juillet, se rencontrent et fraternisent avec d</w:t>
      </w:r>
      <w:r w:rsidR="009C104E">
        <w:rPr>
          <w:rFonts w:ascii="Arial" w:hAnsi="Arial" w:cs="Arial"/>
          <w:sz w:val="22"/>
          <w:szCs w:val="22"/>
        </w:rPr>
        <w:t>’</w:t>
      </w:r>
      <w:r w:rsidRPr="0001502D">
        <w:rPr>
          <w:rFonts w:ascii="Arial" w:hAnsi="Arial" w:cs="Arial"/>
          <w:sz w:val="22"/>
          <w:szCs w:val="22"/>
        </w:rPr>
        <w:t>autres groupes. Les enfants assistent à cet événement aux côtés de leurs parents, et de nombreuses personnes y participent depuis 40 ou 50 ans. La viabilité de l</w:t>
      </w:r>
      <w:r w:rsidR="009C104E">
        <w:rPr>
          <w:rFonts w:ascii="Arial" w:hAnsi="Arial" w:cs="Arial"/>
          <w:sz w:val="22"/>
          <w:szCs w:val="22"/>
        </w:rPr>
        <w:t>’</w:t>
      </w:r>
      <w:r w:rsidRPr="0001502D">
        <w:rPr>
          <w:rFonts w:ascii="Arial" w:hAnsi="Arial" w:cs="Arial"/>
          <w:sz w:val="22"/>
          <w:szCs w:val="22"/>
        </w:rPr>
        <w:t>élément est constamment surveillée, et l</w:t>
      </w:r>
      <w:r w:rsidR="009C104E">
        <w:rPr>
          <w:rFonts w:ascii="Arial" w:hAnsi="Arial" w:cs="Arial"/>
          <w:sz w:val="22"/>
          <w:szCs w:val="22"/>
        </w:rPr>
        <w:t>’</w:t>
      </w:r>
      <w:r w:rsidRPr="0001502D">
        <w:rPr>
          <w:rFonts w:ascii="Arial" w:hAnsi="Arial" w:cs="Arial"/>
          <w:sz w:val="22"/>
          <w:szCs w:val="22"/>
        </w:rPr>
        <w:t>association qui gère l</w:t>
      </w:r>
      <w:r w:rsidR="009C104E">
        <w:rPr>
          <w:rFonts w:ascii="Arial" w:hAnsi="Arial" w:cs="Arial"/>
          <w:sz w:val="22"/>
          <w:szCs w:val="22"/>
        </w:rPr>
        <w:t>’</w:t>
      </w:r>
      <w:r w:rsidRPr="0001502D">
        <w:rPr>
          <w:rFonts w:ascii="Arial" w:hAnsi="Arial" w:cs="Arial"/>
          <w:sz w:val="22"/>
          <w:szCs w:val="22"/>
        </w:rPr>
        <w:t>Ommegang s</w:t>
      </w:r>
      <w:r w:rsidR="009C104E">
        <w:rPr>
          <w:rFonts w:ascii="Arial" w:hAnsi="Arial" w:cs="Arial"/>
          <w:sz w:val="22"/>
          <w:szCs w:val="22"/>
        </w:rPr>
        <w:t>’</w:t>
      </w:r>
      <w:r w:rsidRPr="0001502D">
        <w:rPr>
          <w:rFonts w:ascii="Arial" w:hAnsi="Arial" w:cs="Arial"/>
          <w:sz w:val="22"/>
          <w:szCs w:val="22"/>
        </w:rPr>
        <w:t>occupe en continu de la préparation de l</w:t>
      </w:r>
      <w:r w:rsidR="009C104E">
        <w:rPr>
          <w:rFonts w:ascii="Arial" w:hAnsi="Arial" w:cs="Arial"/>
          <w:sz w:val="22"/>
          <w:szCs w:val="22"/>
        </w:rPr>
        <w:t>’</w:t>
      </w:r>
      <w:r w:rsidRPr="0001502D">
        <w:rPr>
          <w:rFonts w:ascii="Arial" w:hAnsi="Arial" w:cs="Arial"/>
          <w:sz w:val="22"/>
          <w:szCs w:val="22"/>
        </w:rPr>
        <w:t>événement suivant et de sa promotion.</w:t>
      </w:r>
    </w:p>
    <w:p w14:paraId="4542B892" w14:textId="23DD27DD" w:rsidR="0001502D" w:rsidRPr="0001502D" w:rsidRDefault="0001502D" w:rsidP="00771F30">
      <w:pPr>
        <w:keepNext/>
        <w:numPr>
          <w:ilvl w:val="1"/>
          <w:numId w:val="30"/>
        </w:numPr>
        <w:pBdr>
          <w:top w:val="nil"/>
          <w:left w:val="nil"/>
          <w:bottom w:val="nil"/>
          <w:right w:val="nil"/>
          <w:between w:val="nil"/>
        </w:pBdr>
        <w:tabs>
          <w:tab w:val="left" w:pos="567"/>
          <w:tab w:val="left" w:pos="1701"/>
          <w:tab w:val="left" w:pos="2268"/>
        </w:tabs>
        <w:spacing w:before="120" w:after="120"/>
        <w:ind w:left="567" w:hanging="567"/>
        <w:jc w:val="both"/>
        <w:rPr>
          <w:rFonts w:ascii="Arial" w:eastAsia="Arial" w:hAnsi="Arial" w:cs="Arial"/>
          <w:color w:val="000000"/>
          <w:sz w:val="22"/>
          <w:szCs w:val="22"/>
        </w:rPr>
      </w:pPr>
      <w:r w:rsidRPr="0001502D">
        <w:rPr>
          <w:rFonts w:ascii="Arial" w:hAnsi="Arial" w:cs="Arial"/>
          <w:color w:val="000000"/>
          <w:sz w:val="22"/>
          <w:szCs w:val="22"/>
          <w:u w:val="single"/>
        </w:rPr>
        <w:t>Estime</w:t>
      </w:r>
      <w:r w:rsidRPr="0001502D">
        <w:rPr>
          <w:rFonts w:ascii="Arial" w:hAnsi="Arial" w:cs="Arial"/>
          <w:color w:val="000000"/>
          <w:sz w:val="22"/>
          <w:szCs w:val="22"/>
        </w:rPr>
        <w:t xml:space="preserve"> que, d</w:t>
      </w:r>
      <w:r w:rsidR="009C104E">
        <w:rPr>
          <w:rFonts w:ascii="Arial" w:hAnsi="Arial" w:cs="Arial"/>
          <w:color w:val="000000"/>
          <w:sz w:val="22"/>
          <w:szCs w:val="22"/>
        </w:rPr>
        <w:t>’</w:t>
      </w:r>
      <w:r w:rsidRPr="0001502D">
        <w:rPr>
          <w:rFonts w:ascii="Arial" w:hAnsi="Arial" w:cs="Arial"/>
          <w:color w:val="000000"/>
          <w:sz w:val="22"/>
          <w:szCs w:val="22"/>
        </w:rPr>
        <w:t>après les informations contenues dans le dossier, la candidature satisfait aux critères d</w:t>
      </w:r>
      <w:r w:rsidR="009C104E">
        <w:rPr>
          <w:rFonts w:ascii="Arial" w:hAnsi="Arial" w:cs="Arial"/>
          <w:color w:val="000000"/>
          <w:sz w:val="22"/>
          <w:szCs w:val="22"/>
        </w:rPr>
        <w:t>’</w:t>
      </w:r>
      <w:r w:rsidRPr="0001502D">
        <w:rPr>
          <w:rFonts w:ascii="Arial" w:hAnsi="Arial" w:cs="Arial"/>
          <w:color w:val="000000"/>
          <w:sz w:val="22"/>
          <w:szCs w:val="22"/>
        </w:rPr>
        <w:t>inscription sur la Liste représentative du patrimoine culturel immatériel de l</w:t>
      </w:r>
      <w:r w:rsidR="009C104E">
        <w:rPr>
          <w:rFonts w:ascii="Arial" w:hAnsi="Arial" w:cs="Arial"/>
          <w:color w:val="000000"/>
          <w:sz w:val="22"/>
          <w:szCs w:val="22"/>
        </w:rPr>
        <w:t>’</w:t>
      </w:r>
      <w:r w:rsidRPr="0001502D">
        <w:rPr>
          <w:rFonts w:ascii="Arial" w:hAnsi="Arial" w:cs="Arial"/>
          <w:color w:val="000000"/>
          <w:sz w:val="22"/>
          <w:szCs w:val="22"/>
        </w:rPr>
        <w:t>humanité comme suit :</w:t>
      </w:r>
    </w:p>
    <w:p w14:paraId="2BAF944E" w14:textId="6838E888" w:rsidR="0001502D" w:rsidRPr="0001502D" w:rsidRDefault="0001502D" w:rsidP="005D2E05">
      <w:pPr>
        <w:tabs>
          <w:tab w:val="left" w:pos="567"/>
          <w:tab w:val="left" w:pos="2268"/>
        </w:tabs>
        <w:spacing w:before="120" w:after="120"/>
        <w:ind w:left="1134" w:hanging="567"/>
        <w:jc w:val="both"/>
        <w:rPr>
          <w:rFonts w:ascii="Arial" w:hAnsi="Arial" w:cs="Arial"/>
          <w:sz w:val="22"/>
          <w:szCs w:val="22"/>
        </w:rPr>
      </w:pPr>
      <w:r w:rsidRPr="0001502D">
        <w:rPr>
          <w:rFonts w:ascii="Arial" w:hAnsi="Arial" w:cs="Arial"/>
          <w:sz w:val="22"/>
          <w:szCs w:val="22"/>
        </w:rPr>
        <w:tab/>
        <w:t>R.1 :</w:t>
      </w:r>
      <w:r w:rsidRPr="0001502D">
        <w:rPr>
          <w:rFonts w:ascii="Arial" w:hAnsi="Arial" w:cs="Arial"/>
          <w:sz w:val="22"/>
          <w:szCs w:val="22"/>
        </w:rPr>
        <w:tab/>
        <w:t>L</w:t>
      </w:r>
      <w:r w:rsidR="009C104E">
        <w:rPr>
          <w:rFonts w:ascii="Arial" w:hAnsi="Arial" w:cs="Arial"/>
          <w:sz w:val="22"/>
          <w:szCs w:val="22"/>
        </w:rPr>
        <w:t>’</w:t>
      </w:r>
      <w:r w:rsidRPr="0001502D">
        <w:rPr>
          <w:rFonts w:ascii="Arial" w:hAnsi="Arial" w:cs="Arial"/>
          <w:sz w:val="22"/>
          <w:szCs w:val="22"/>
        </w:rPr>
        <w:t>Ommegang de Bruxelles renforce l</w:t>
      </w:r>
      <w:r w:rsidR="009C104E">
        <w:rPr>
          <w:rFonts w:ascii="Arial" w:hAnsi="Arial" w:cs="Arial"/>
          <w:sz w:val="22"/>
          <w:szCs w:val="22"/>
        </w:rPr>
        <w:t>’</w:t>
      </w:r>
      <w:r w:rsidRPr="0001502D">
        <w:rPr>
          <w:rFonts w:ascii="Arial" w:hAnsi="Arial" w:cs="Arial"/>
          <w:sz w:val="22"/>
          <w:szCs w:val="22"/>
        </w:rPr>
        <w:t>identité locale et les liens sociaux et communautaires entre les habitants de la ville, créant un esprit de solidarité et de fraternité entre les participants et les spectateurs. L</w:t>
      </w:r>
      <w:r w:rsidR="009C104E">
        <w:rPr>
          <w:rFonts w:ascii="Arial" w:hAnsi="Arial" w:cs="Arial"/>
          <w:sz w:val="22"/>
          <w:szCs w:val="22"/>
        </w:rPr>
        <w:t>’</w:t>
      </w:r>
      <w:r w:rsidRPr="0001502D">
        <w:rPr>
          <w:rFonts w:ascii="Arial" w:hAnsi="Arial" w:cs="Arial"/>
          <w:sz w:val="22"/>
          <w:szCs w:val="22"/>
        </w:rPr>
        <w:t>élément confirme la richesse du tissu humain de la ville historique et cosmopolite de Bruxelles et est directement lié à un bien du patrimoine mondial – La Grand-Place de Bruxelles – sur lequel se déroule l</w:t>
      </w:r>
      <w:r w:rsidR="009C104E">
        <w:rPr>
          <w:rFonts w:ascii="Arial" w:hAnsi="Arial" w:cs="Arial"/>
          <w:sz w:val="22"/>
          <w:szCs w:val="22"/>
        </w:rPr>
        <w:t>’</w:t>
      </w:r>
      <w:r w:rsidRPr="0001502D">
        <w:rPr>
          <w:rFonts w:ascii="Arial" w:hAnsi="Arial" w:cs="Arial"/>
          <w:sz w:val="22"/>
          <w:szCs w:val="22"/>
        </w:rPr>
        <w:t>un des événements principaux de l</w:t>
      </w:r>
      <w:r w:rsidR="009C104E">
        <w:rPr>
          <w:rFonts w:ascii="Arial" w:hAnsi="Arial" w:cs="Arial"/>
          <w:sz w:val="22"/>
          <w:szCs w:val="22"/>
        </w:rPr>
        <w:t>’</w:t>
      </w:r>
      <w:r w:rsidRPr="0001502D">
        <w:rPr>
          <w:rFonts w:ascii="Arial" w:hAnsi="Arial" w:cs="Arial"/>
          <w:sz w:val="22"/>
          <w:szCs w:val="22"/>
        </w:rPr>
        <w:t>élément.</w:t>
      </w:r>
    </w:p>
    <w:p w14:paraId="09D930F5" w14:textId="63162723" w:rsidR="0001502D" w:rsidRPr="0001502D" w:rsidRDefault="0001502D" w:rsidP="005D2E05">
      <w:pPr>
        <w:tabs>
          <w:tab w:val="left" w:pos="567"/>
          <w:tab w:val="left" w:pos="2268"/>
        </w:tabs>
        <w:spacing w:before="120" w:after="120"/>
        <w:ind w:left="1134" w:hanging="567"/>
        <w:jc w:val="both"/>
        <w:rPr>
          <w:rFonts w:ascii="Arial" w:hAnsi="Arial" w:cs="Arial"/>
          <w:sz w:val="22"/>
          <w:szCs w:val="22"/>
        </w:rPr>
      </w:pPr>
      <w:r w:rsidRPr="0001502D">
        <w:rPr>
          <w:rFonts w:ascii="Arial" w:hAnsi="Arial" w:cs="Arial"/>
          <w:sz w:val="22"/>
          <w:szCs w:val="22"/>
        </w:rPr>
        <w:t>R.2 :</w:t>
      </w:r>
      <w:r w:rsidRPr="0001502D">
        <w:rPr>
          <w:rFonts w:ascii="Arial" w:hAnsi="Arial" w:cs="Arial"/>
          <w:sz w:val="22"/>
          <w:szCs w:val="22"/>
        </w:rPr>
        <w:tab/>
        <w:t>L</w:t>
      </w:r>
      <w:r w:rsidR="009C104E">
        <w:rPr>
          <w:rFonts w:ascii="Arial" w:hAnsi="Arial" w:cs="Arial"/>
          <w:sz w:val="22"/>
          <w:szCs w:val="22"/>
        </w:rPr>
        <w:t>’</w:t>
      </w:r>
      <w:r w:rsidRPr="0001502D">
        <w:rPr>
          <w:rFonts w:ascii="Arial" w:hAnsi="Arial" w:cs="Arial"/>
          <w:sz w:val="22"/>
          <w:szCs w:val="22"/>
        </w:rPr>
        <w:t>inscription de l</w:t>
      </w:r>
      <w:r w:rsidR="009C104E">
        <w:rPr>
          <w:rFonts w:ascii="Arial" w:hAnsi="Arial" w:cs="Arial"/>
          <w:sz w:val="22"/>
          <w:szCs w:val="22"/>
        </w:rPr>
        <w:t>’</w:t>
      </w:r>
      <w:r w:rsidRPr="0001502D">
        <w:rPr>
          <w:rFonts w:ascii="Arial" w:hAnsi="Arial" w:cs="Arial"/>
          <w:sz w:val="22"/>
          <w:szCs w:val="22"/>
        </w:rPr>
        <w:t>Ommegang garantirait la visibilité du patrimoine culturel immatériel aux niveaux local, national et international. Elle contribuerait aussi de manière importante à sensibiliser à l</w:t>
      </w:r>
      <w:r w:rsidR="009C104E">
        <w:rPr>
          <w:rFonts w:ascii="Arial" w:hAnsi="Arial" w:cs="Arial"/>
          <w:sz w:val="22"/>
          <w:szCs w:val="22"/>
        </w:rPr>
        <w:t>’</w:t>
      </w:r>
      <w:r w:rsidRPr="0001502D">
        <w:rPr>
          <w:rFonts w:ascii="Arial" w:hAnsi="Arial" w:cs="Arial"/>
          <w:sz w:val="22"/>
          <w:szCs w:val="22"/>
        </w:rPr>
        <w:t>importance du patrimoine culturel immatériel en milieu urbain, tout en attirant l</w:t>
      </w:r>
      <w:r w:rsidR="009C104E">
        <w:rPr>
          <w:rFonts w:ascii="Arial" w:hAnsi="Arial" w:cs="Arial"/>
          <w:sz w:val="22"/>
          <w:szCs w:val="22"/>
        </w:rPr>
        <w:t>’</w:t>
      </w:r>
      <w:r w:rsidRPr="0001502D">
        <w:rPr>
          <w:rFonts w:ascii="Arial" w:hAnsi="Arial" w:cs="Arial"/>
          <w:sz w:val="22"/>
          <w:szCs w:val="22"/>
        </w:rPr>
        <w:t>attention sur le lien entre le patrimoine immatériel et le patrimoine bâti. L</w:t>
      </w:r>
      <w:r w:rsidR="009C104E">
        <w:rPr>
          <w:rFonts w:ascii="Arial" w:hAnsi="Arial" w:cs="Arial"/>
          <w:sz w:val="22"/>
          <w:szCs w:val="22"/>
        </w:rPr>
        <w:t>’</w:t>
      </w:r>
      <w:r w:rsidRPr="0001502D">
        <w:rPr>
          <w:rFonts w:ascii="Arial" w:hAnsi="Arial" w:cs="Arial"/>
          <w:sz w:val="22"/>
          <w:szCs w:val="22"/>
        </w:rPr>
        <w:t>élément est pratiqué non seulement par des francophones mais aussi par des néerlandophones habitant Bruxelles et les environs, ainsi que par des communautés d</w:t>
      </w:r>
      <w:r w:rsidR="009C104E">
        <w:rPr>
          <w:rFonts w:ascii="Arial" w:hAnsi="Arial" w:cs="Arial"/>
          <w:sz w:val="22"/>
          <w:szCs w:val="22"/>
        </w:rPr>
        <w:t>’</w:t>
      </w:r>
      <w:r w:rsidRPr="0001502D">
        <w:rPr>
          <w:rFonts w:ascii="Arial" w:hAnsi="Arial" w:cs="Arial"/>
          <w:sz w:val="22"/>
          <w:szCs w:val="22"/>
        </w:rPr>
        <w:t>immigrés. Le dialogue entre les organisateurs de cet événement et de festivités similaires à l</w:t>
      </w:r>
      <w:r w:rsidR="009C104E">
        <w:rPr>
          <w:rFonts w:ascii="Arial" w:hAnsi="Arial" w:cs="Arial"/>
          <w:sz w:val="22"/>
          <w:szCs w:val="22"/>
        </w:rPr>
        <w:t>’</w:t>
      </w:r>
      <w:r w:rsidRPr="0001502D">
        <w:rPr>
          <w:rFonts w:ascii="Arial" w:hAnsi="Arial" w:cs="Arial"/>
          <w:sz w:val="22"/>
          <w:szCs w:val="22"/>
        </w:rPr>
        <w:t>étranger a déjà été entamé et serait encouragé.</w:t>
      </w:r>
    </w:p>
    <w:p w14:paraId="6C37D874" w14:textId="4B2851A0" w:rsidR="0001502D" w:rsidRPr="0001502D" w:rsidRDefault="0001502D" w:rsidP="005D2E05">
      <w:pPr>
        <w:tabs>
          <w:tab w:val="left" w:pos="567"/>
          <w:tab w:val="left" w:pos="2268"/>
        </w:tabs>
        <w:spacing w:before="120" w:after="120"/>
        <w:ind w:left="1134" w:hanging="567"/>
        <w:jc w:val="both"/>
        <w:rPr>
          <w:rFonts w:ascii="Arial" w:hAnsi="Arial" w:cs="Arial"/>
          <w:sz w:val="22"/>
          <w:szCs w:val="22"/>
        </w:rPr>
      </w:pPr>
      <w:r w:rsidRPr="0001502D">
        <w:rPr>
          <w:rFonts w:ascii="Arial" w:hAnsi="Arial" w:cs="Arial"/>
          <w:sz w:val="22"/>
          <w:szCs w:val="22"/>
        </w:rPr>
        <w:t>R.3 :</w:t>
      </w:r>
      <w:r w:rsidRPr="0001502D">
        <w:rPr>
          <w:rFonts w:ascii="Arial" w:hAnsi="Arial" w:cs="Arial"/>
          <w:sz w:val="22"/>
          <w:szCs w:val="22"/>
        </w:rPr>
        <w:tab/>
        <w:t>Le travail accompli en continu par l</w:t>
      </w:r>
      <w:r w:rsidR="009C104E">
        <w:rPr>
          <w:rFonts w:ascii="Arial" w:hAnsi="Arial" w:cs="Arial"/>
          <w:sz w:val="22"/>
          <w:szCs w:val="22"/>
        </w:rPr>
        <w:t>’</w:t>
      </w:r>
      <w:r w:rsidRPr="0001502D">
        <w:rPr>
          <w:rFonts w:ascii="Arial" w:hAnsi="Arial" w:cs="Arial"/>
          <w:sz w:val="22"/>
          <w:szCs w:val="22"/>
        </w:rPr>
        <w:t>association Ommegang Oppidi Bruxellensis et par les nombreux groupes de praticiens a assuré la sauvegarde de l</w:t>
      </w:r>
      <w:r w:rsidR="009C104E">
        <w:rPr>
          <w:rFonts w:ascii="Arial" w:hAnsi="Arial" w:cs="Arial"/>
          <w:sz w:val="22"/>
          <w:szCs w:val="22"/>
        </w:rPr>
        <w:t>’</w:t>
      </w:r>
      <w:r w:rsidRPr="0001502D">
        <w:rPr>
          <w:rFonts w:ascii="Arial" w:hAnsi="Arial" w:cs="Arial"/>
          <w:sz w:val="22"/>
          <w:szCs w:val="22"/>
        </w:rPr>
        <w:t>élément au fil des décennies, ainsi que le soutien de la ville de Bruxelles. L</w:t>
      </w:r>
      <w:r w:rsidR="009C104E">
        <w:rPr>
          <w:rFonts w:ascii="Arial" w:hAnsi="Arial" w:cs="Arial"/>
          <w:sz w:val="22"/>
          <w:szCs w:val="22"/>
        </w:rPr>
        <w:t>’</w:t>
      </w:r>
      <w:r w:rsidRPr="0001502D">
        <w:rPr>
          <w:rFonts w:ascii="Arial" w:hAnsi="Arial" w:cs="Arial"/>
          <w:sz w:val="22"/>
          <w:szCs w:val="22"/>
        </w:rPr>
        <w:t>État partie a présenté des mesures de sauvegarde pertinentes, réalisables et structurées, avec des objectifs clairs, qui renforceront la viabilité de l</w:t>
      </w:r>
      <w:r w:rsidR="009C104E">
        <w:rPr>
          <w:rFonts w:ascii="Arial" w:hAnsi="Arial" w:cs="Arial"/>
          <w:sz w:val="22"/>
          <w:szCs w:val="22"/>
        </w:rPr>
        <w:t>’</w:t>
      </w:r>
      <w:r w:rsidRPr="0001502D">
        <w:rPr>
          <w:rFonts w:ascii="Arial" w:hAnsi="Arial" w:cs="Arial"/>
          <w:sz w:val="22"/>
          <w:szCs w:val="22"/>
        </w:rPr>
        <w:t>Ommegang, et qui ont été élaborées avec la participation des communautés. Un nouveau comité de sauvegarde sera mis en place pour superviser l</w:t>
      </w:r>
      <w:r w:rsidR="009C104E">
        <w:rPr>
          <w:rFonts w:ascii="Arial" w:hAnsi="Arial" w:cs="Arial"/>
          <w:sz w:val="22"/>
          <w:szCs w:val="22"/>
        </w:rPr>
        <w:t>’</w:t>
      </w:r>
      <w:r w:rsidRPr="0001502D">
        <w:rPr>
          <w:rFonts w:ascii="Arial" w:hAnsi="Arial" w:cs="Arial"/>
          <w:sz w:val="22"/>
          <w:szCs w:val="22"/>
        </w:rPr>
        <w:t>élément et contrôler le risque de sa commercialisation potentielle.</w:t>
      </w:r>
    </w:p>
    <w:p w14:paraId="3577D5D9" w14:textId="3C62A287" w:rsidR="0001502D" w:rsidRPr="0001502D" w:rsidRDefault="0001502D" w:rsidP="005D2E05">
      <w:pPr>
        <w:tabs>
          <w:tab w:val="left" w:pos="567"/>
          <w:tab w:val="left" w:pos="2268"/>
        </w:tabs>
        <w:spacing w:before="120" w:after="120"/>
        <w:ind w:left="1134" w:hanging="567"/>
        <w:jc w:val="both"/>
        <w:rPr>
          <w:rFonts w:ascii="Arial" w:hAnsi="Arial" w:cs="Arial"/>
          <w:sz w:val="22"/>
          <w:szCs w:val="22"/>
        </w:rPr>
      </w:pPr>
      <w:r w:rsidRPr="0001502D">
        <w:rPr>
          <w:rFonts w:ascii="Arial" w:hAnsi="Arial" w:cs="Arial"/>
          <w:sz w:val="22"/>
          <w:szCs w:val="22"/>
        </w:rPr>
        <w:t>R.4 :</w:t>
      </w:r>
      <w:r w:rsidRPr="0001502D">
        <w:rPr>
          <w:rFonts w:ascii="Arial" w:hAnsi="Arial" w:cs="Arial"/>
          <w:sz w:val="22"/>
          <w:szCs w:val="22"/>
        </w:rPr>
        <w:tab/>
        <w:t>L</w:t>
      </w:r>
      <w:r w:rsidR="009C104E">
        <w:rPr>
          <w:rFonts w:ascii="Arial" w:hAnsi="Arial" w:cs="Arial"/>
          <w:sz w:val="22"/>
          <w:szCs w:val="22"/>
        </w:rPr>
        <w:t>’</w:t>
      </w:r>
      <w:r w:rsidRPr="0001502D">
        <w:rPr>
          <w:rFonts w:ascii="Arial" w:hAnsi="Arial" w:cs="Arial"/>
          <w:sz w:val="22"/>
          <w:szCs w:val="22"/>
        </w:rPr>
        <w:t>Ommegang Oppidi Bruxellensis, qui organise et gère le cortège, de même que les groupes impliqués et les nombreuses institutions et groupes qui permettent son bon déroulement ont participé et donné leur consentement à la candidature pour la proposition de l</w:t>
      </w:r>
      <w:r w:rsidR="009C104E">
        <w:rPr>
          <w:rFonts w:ascii="Arial" w:hAnsi="Arial" w:cs="Arial"/>
          <w:sz w:val="22"/>
          <w:szCs w:val="22"/>
        </w:rPr>
        <w:t>’</w:t>
      </w:r>
      <w:r w:rsidRPr="0001502D">
        <w:rPr>
          <w:rFonts w:ascii="Arial" w:hAnsi="Arial" w:cs="Arial"/>
          <w:sz w:val="22"/>
          <w:szCs w:val="22"/>
        </w:rPr>
        <w:t>élément, qui rassemble plus de 1 200 participants.</w:t>
      </w:r>
    </w:p>
    <w:p w14:paraId="5153BB79" w14:textId="6365B838" w:rsidR="0001502D" w:rsidRPr="0001502D" w:rsidRDefault="0001502D" w:rsidP="005D2E05">
      <w:pPr>
        <w:tabs>
          <w:tab w:val="left" w:pos="567"/>
          <w:tab w:val="left" w:pos="2268"/>
        </w:tabs>
        <w:spacing w:before="120" w:after="120"/>
        <w:ind w:left="1134" w:hanging="567"/>
        <w:jc w:val="both"/>
        <w:rPr>
          <w:rFonts w:ascii="Arial" w:hAnsi="Arial" w:cs="Arial"/>
          <w:sz w:val="22"/>
          <w:szCs w:val="22"/>
        </w:rPr>
      </w:pPr>
      <w:r w:rsidRPr="0001502D">
        <w:rPr>
          <w:rFonts w:ascii="Arial" w:hAnsi="Arial" w:cs="Arial"/>
          <w:sz w:val="22"/>
          <w:szCs w:val="22"/>
        </w:rPr>
        <w:t>R.5 :</w:t>
      </w:r>
      <w:r w:rsidRPr="0001502D">
        <w:rPr>
          <w:rFonts w:ascii="Arial" w:hAnsi="Arial" w:cs="Arial"/>
          <w:sz w:val="22"/>
          <w:szCs w:val="22"/>
        </w:rPr>
        <w:tab/>
        <w:t>L</w:t>
      </w:r>
      <w:r w:rsidR="009C104E">
        <w:rPr>
          <w:rFonts w:ascii="Arial" w:hAnsi="Arial" w:cs="Arial"/>
          <w:sz w:val="22"/>
          <w:szCs w:val="22"/>
        </w:rPr>
        <w:t>’</w:t>
      </w:r>
      <w:r w:rsidRPr="0001502D">
        <w:rPr>
          <w:rFonts w:ascii="Arial" w:hAnsi="Arial" w:cs="Arial"/>
          <w:sz w:val="22"/>
          <w:szCs w:val="22"/>
        </w:rPr>
        <w:t>Ommegang a été inclus à l</w:t>
      </w:r>
      <w:r w:rsidR="009C104E">
        <w:rPr>
          <w:rFonts w:ascii="Arial" w:hAnsi="Arial" w:cs="Arial"/>
          <w:sz w:val="22"/>
          <w:szCs w:val="22"/>
        </w:rPr>
        <w:t>’</w:t>
      </w:r>
      <w:r w:rsidRPr="0001502D">
        <w:rPr>
          <w:rFonts w:ascii="Arial" w:hAnsi="Arial" w:cs="Arial"/>
          <w:sz w:val="22"/>
          <w:szCs w:val="22"/>
        </w:rPr>
        <w:t>Inventaire du patrimoine culturel immatériel bruxellois en 2017, et à l</w:t>
      </w:r>
      <w:r w:rsidR="009C104E">
        <w:rPr>
          <w:rFonts w:ascii="Arial" w:hAnsi="Arial" w:cs="Arial"/>
          <w:sz w:val="22"/>
          <w:szCs w:val="22"/>
        </w:rPr>
        <w:t>’</w:t>
      </w:r>
      <w:r w:rsidRPr="0001502D">
        <w:rPr>
          <w:rFonts w:ascii="Arial" w:hAnsi="Arial" w:cs="Arial"/>
          <w:sz w:val="22"/>
          <w:szCs w:val="22"/>
        </w:rPr>
        <w:t>Inventaire du patrimoine culturel immatériel de la Fédération Wallonie-Bruxelles en 2010. Ces deux inventaires sont dotés de mécanismes qui favorisent la participation des praticiens et des membres des communautés concernées.</w:t>
      </w:r>
    </w:p>
    <w:p w14:paraId="144C0267" w14:textId="149907FB" w:rsidR="0001502D" w:rsidRPr="0001502D" w:rsidRDefault="0001502D" w:rsidP="00771F30">
      <w:pPr>
        <w:numPr>
          <w:ilvl w:val="1"/>
          <w:numId w:val="30"/>
        </w:numPr>
        <w:pBdr>
          <w:top w:val="nil"/>
          <w:left w:val="nil"/>
          <w:bottom w:val="nil"/>
          <w:right w:val="nil"/>
          <w:between w:val="nil"/>
        </w:pBdr>
        <w:tabs>
          <w:tab w:val="left" w:pos="567"/>
          <w:tab w:val="left" w:pos="1701"/>
          <w:tab w:val="left" w:pos="2268"/>
        </w:tabs>
        <w:spacing w:before="120" w:after="120"/>
        <w:ind w:left="567"/>
        <w:jc w:val="both"/>
        <w:rPr>
          <w:rFonts w:ascii="Arial" w:eastAsia="Arial" w:hAnsi="Arial" w:cs="Arial"/>
          <w:color w:val="000000"/>
          <w:sz w:val="22"/>
          <w:szCs w:val="22"/>
        </w:rPr>
      </w:pPr>
      <w:r w:rsidRPr="0001502D">
        <w:rPr>
          <w:rFonts w:ascii="Arial" w:hAnsi="Arial" w:cs="Arial"/>
          <w:color w:val="000000"/>
          <w:sz w:val="22"/>
          <w:szCs w:val="22"/>
          <w:u w:val="single"/>
        </w:rPr>
        <w:t>Décide d</w:t>
      </w:r>
      <w:r w:rsidR="009C104E">
        <w:rPr>
          <w:rFonts w:ascii="Arial" w:hAnsi="Arial" w:cs="Arial"/>
          <w:color w:val="000000"/>
          <w:sz w:val="22"/>
          <w:szCs w:val="22"/>
          <w:u w:val="single"/>
        </w:rPr>
        <w:t>’</w:t>
      </w:r>
      <w:r w:rsidRPr="0001502D">
        <w:rPr>
          <w:rFonts w:ascii="Arial" w:hAnsi="Arial" w:cs="Arial"/>
          <w:color w:val="000000"/>
          <w:sz w:val="22"/>
          <w:szCs w:val="22"/>
          <w:u w:val="single"/>
        </w:rPr>
        <w:t>inscrire</w:t>
      </w:r>
      <w:r w:rsidRPr="0001502D">
        <w:rPr>
          <w:rFonts w:ascii="Arial" w:hAnsi="Arial" w:cs="Arial"/>
          <w:sz w:val="22"/>
          <w:szCs w:val="22"/>
        </w:rPr>
        <w:t xml:space="preserve"> </w:t>
      </w:r>
      <w:r w:rsidRPr="0001502D">
        <w:rPr>
          <w:rFonts w:ascii="Arial" w:hAnsi="Arial" w:cs="Arial"/>
          <w:b/>
          <w:bCs/>
          <w:color w:val="000000"/>
          <w:sz w:val="22"/>
          <w:szCs w:val="22"/>
        </w:rPr>
        <w:t>l</w:t>
      </w:r>
      <w:r w:rsidR="009C104E">
        <w:rPr>
          <w:rFonts w:ascii="Arial" w:hAnsi="Arial" w:cs="Arial"/>
          <w:b/>
          <w:bCs/>
          <w:color w:val="000000"/>
          <w:sz w:val="22"/>
          <w:szCs w:val="22"/>
        </w:rPr>
        <w:t>’</w:t>
      </w:r>
      <w:r w:rsidRPr="0001502D">
        <w:rPr>
          <w:rFonts w:ascii="Arial" w:hAnsi="Arial" w:cs="Arial"/>
          <w:b/>
          <w:bCs/>
          <w:color w:val="000000"/>
          <w:sz w:val="22"/>
          <w:szCs w:val="22"/>
        </w:rPr>
        <w:t>Ommegang de Bruxelles, cortège historique et fête populaire annuels</w:t>
      </w:r>
      <w:r w:rsidRPr="0001502D">
        <w:rPr>
          <w:rFonts w:ascii="Arial" w:hAnsi="Arial" w:cs="Arial"/>
          <w:color w:val="000000"/>
          <w:sz w:val="22"/>
          <w:szCs w:val="22"/>
        </w:rPr>
        <w:t xml:space="preserve"> sur la Liste représentative du patrimoine culturel immatériel de l</w:t>
      </w:r>
      <w:r w:rsidR="009C104E">
        <w:rPr>
          <w:rFonts w:ascii="Arial" w:hAnsi="Arial" w:cs="Arial"/>
          <w:color w:val="000000"/>
          <w:sz w:val="22"/>
          <w:szCs w:val="22"/>
        </w:rPr>
        <w:t>’</w:t>
      </w:r>
      <w:r w:rsidRPr="0001502D">
        <w:rPr>
          <w:rFonts w:ascii="Arial" w:hAnsi="Arial" w:cs="Arial"/>
          <w:color w:val="000000"/>
          <w:sz w:val="22"/>
          <w:szCs w:val="22"/>
        </w:rPr>
        <w:t>humanité ;</w:t>
      </w:r>
    </w:p>
    <w:p w14:paraId="4304DD0B" w14:textId="3E25B7CD" w:rsidR="0001502D" w:rsidRPr="0001502D" w:rsidRDefault="0001502D" w:rsidP="00771F30">
      <w:pPr>
        <w:numPr>
          <w:ilvl w:val="1"/>
          <w:numId w:val="30"/>
        </w:numPr>
        <w:pBdr>
          <w:top w:val="nil"/>
          <w:left w:val="nil"/>
          <w:bottom w:val="nil"/>
          <w:right w:val="nil"/>
          <w:between w:val="nil"/>
        </w:pBdr>
        <w:tabs>
          <w:tab w:val="left" w:pos="567"/>
          <w:tab w:val="left" w:pos="1701"/>
          <w:tab w:val="left" w:pos="2268"/>
        </w:tabs>
        <w:spacing w:before="120" w:after="120"/>
        <w:ind w:left="567"/>
        <w:jc w:val="both"/>
        <w:rPr>
          <w:rFonts w:ascii="Arial" w:eastAsia="Arial" w:hAnsi="Arial" w:cs="Arial"/>
          <w:color w:val="000000"/>
          <w:sz w:val="22"/>
          <w:szCs w:val="22"/>
        </w:rPr>
      </w:pPr>
      <w:r w:rsidRPr="0001502D">
        <w:rPr>
          <w:rFonts w:ascii="Arial" w:hAnsi="Arial" w:cs="Arial"/>
          <w:color w:val="000000"/>
          <w:sz w:val="22"/>
          <w:szCs w:val="22"/>
          <w:u w:val="single"/>
        </w:rPr>
        <w:t>Félicite</w:t>
      </w:r>
      <w:r w:rsidRPr="0001502D">
        <w:rPr>
          <w:rFonts w:ascii="Arial" w:hAnsi="Arial" w:cs="Arial"/>
          <w:color w:val="000000"/>
          <w:sz w:val="22"/>
          <w:szCs w:val="22"/>
        </w:rPr>
        <w:t xml:space="preserve"> l</w:t>
      </w:r>
      <w:r w:rsidR="009C104E">
        <w:rPr>
          <w:rFonts w:ascii="Arial" w:hAnsi="Arial" w:cs="Arial"/>
          <w:color w:val="000000"/>
          <w:sz w:val="22"/>
          <w:szCs w:val="22"/>
        </w:rPr>
        <w:t>’</w:t>
      </w:r>
      <w:r w:rsidRPr="0001502D">
        <w:rPr>
          <w:rFonts w:ascii="Arial" w:hAnsi="Arial" w:cs="Arial"/>
          <w:color w:val="000000"/>
          <w:sz w:val="22"/>
          <w:szCs w:val="22"/>
        </w:rPr>
        <w:t>État partie pour ce dossier bien préparé qui peut servir d</w:t>
      </w:r>
      <w:r w:rsidR="009C104E">
        <w:rPr>
          <w:rFonts w:ascii="Arial" w:hAnsi="Arial" w:cs="Arial"/>
          <w:color w:val="000000"/>
          <w:sz w:val="22"/>
          <w:szCs w:val="22"/>
        </w:rPr>
        <w:t>’</w:t>
      </w:r>
      <w:r w:rsidRPr="0001502D">
        <w:rPr>
          <w:rFonts w:ascii="Arial" w:hAnsi="Arial" w:cs="Arial"/>
          <w:color w:val="000000"/>
          <w:sz w:val="22"/>
          <w:szCs w:val="22"/>
        </w:rPr>
        <w:t>exemple de la façon dont l</w:t>
      </w:r>
      <w:r w:rsidR="009C104E">
        <w:rPr>
          <w:rFonts w:ascii="Arial" w:hAnsi="Arial" w:cs="Arial"/>
          <w:color w:val="000000"/>
          <w:sz w:val="22"/>
          <w:szCs w:val="22"/>
        </w:rPr>
        <w:t>’</w:t>
      </w:r>
      <w:r w:rsidRPr="0001502D">
        <w:rPr>
          <w:rFonts w:ascii="Arial" w:hAnsi="Arial" w:cs="Arial"/>
          <w:color w:val="000000"/>
          <w:sz w:val="22"/>
          <w:szCs w:val="22"/>
        </w:rPr>
        <w:t>inscription d</w:t>
      </w:r>
      <w:r w:rsidR="009C104E">
        <w:rPr>
          <w:rFonts w:ascii="Arial" w:hAnsi="Arial" w:cs="Arial"/>
          <w:color w:val="000000"/>
          <w:sz w:val="22"/>
          <w:szCs w:val="22"/>
        </w:rPr>
        <w:t>’</w:t>
      </w:r>
      <w:r w:rsidRPr="0001502D">
        <w:rPr>
          <w:rFonts w:ascii="Arial" w:hAnsi="Arial" w:cs="Arial"/>
          <w:color w:val="000000"/>
          <w:sz w:val="22"/>
          <w:szCs w:val="22"/>
        </w:rPr>
        <w:t>un élément sur la Liste représentative du patrimoine culturel immatériel de l</w:t>
      </w:r>
      <w:r w:rsidR="009C104E">
        <w:rPr>
          <w:rFonts w:ascii="Arial" w:hAnsi="Arial" w:cs="Arial"/>
          <w:color w:val="000000"/>
          <w:sz w:val="22"/>
          <w:szCs w:val="22"/>
        </w:rPr>
        <w:t>’</w:t>
      </w:r>
      <w:r w:rsidRPr="0001502D">
        <w:rPr>
          <w:rFonts w:ascii="Arial" w:hAnsi="Arial" w:cs="Arial"/>
          <w:color w:val="000000"/>
          <w:sz w:val="22"/>
          <w:szCs w:val="22"/>
        </w:rPr>
        <w:t>humanité peut contribuer à assurer la visibilité et la sensibilisation à l</w:t>
      </w:r>
      <w:r w:rsidR="009C104E">
        <w:rPr>
          <w:rFonts w:ascii="Arial" w:hAnsi="Arial" w:cs="Arial"/>
          <w:color w:val="000000"/>
          <w:sz w:val="22"/>
          <w:szCs w:val="22"/>
        </w:rPr>
        <w:t>’</w:t>
      </w:r>
      <w:r w:rsidRPr="0001502D">
        <w:rPr>
          <w:rFonts w:ascii="Arial" w:hAnsi="Arial" w:cs="Arial"/>
          <w:color w:val="000000"/>
          <w:sz w:val="22"/>
          <w:szCs w:val="22"/>
        </w:rPr>
        <w:t>importance du patrimoine culturel immatériel ;</w:t>
      </w:r>
    </w:p>
    <w:p w14:paraId="2CA0CE9B" w14:textId="76535984" w:rsidR="0001502D" w:rsidRPr="0001502D" w:rsidRDefault="0001502D" w:rsidP="00771F30">
      <w:pPr>
        <w:numPr>
          <w:ilvl w:val="1"/>
          <w:numId w:val="30"/>
        </w:numPr>
        <w:pBdr>
          <w:top w:val="nil"/>
          <w:left w:val="nil"/>
          <w:bottom w:val="nil"/>
          <w:right w:val="nil"/>
          <w:between w:val="nil"/>
        </w:pBdr>
        <w:tabs>
          <w:tab w:val="left" w:pos="567"/>
          <w:tab w:val="left" w:pos="1701"/>
          <w:tab w:val="left" w:pos="2268"/>
        </w:tabs>
        <w:spacing w:before="120" w:after="120"/>
        <w:ind w:left="567"/>
        <w:jc w:val="both"/>
        <w:rPr>
          <w:rFonts w:ascii="Arial" w:eastAsia="Arial" w:hAnsi="Arial" w:cs="Arial"/>
          <w:color w:val="000000"/>
          <w:sz w:val="22"/>
          <w:szCs w:val="22"/>
        </w:rPr>
      </w:pPr>
      <w:r w:rsidRPr="0001502D">
        <w:rPr>
          <w:rFonts w:ascii="Arial" w:hAnsi="Arial" w:cs="Arial"/>
          <w:color w:val="000000"/>
          <w:sz w:val="22"/>
          <w:szCs w:val="22"/>
          <w:u w:val="single"/>
        </w:rPr>
        <w:t>Félicite en outre</w:t>
      </w:r>
      <w:r w:rsidRPr="0001502D">
        <w:rPr>
          <w:rFonts w:ascii="Arial" w:hAnsi="Arial" w:cs="Arial"/>
          <w:color w:val="000000"/>
          <w:sz w:val="22"/>
          <w:szCs w:val="22"/>
        </w:rPr>
        <w:t xml:space="preserve"> l</w:t>
      </w:r>
      <w:r w:rsidR="009C104E">
        <w:rPr>
          <w:rFonts w:ascii="Arial" w:hAnsi="Arial" w:cs="Arial"/>
          <w:color w:val="000000"/>
          <w:sz w:val="22"/>
          <w:szCs w:val="22"/>
        </w:rPr>
        <w:t>’</w:t>
      </w:r>
      <w:r w:rsidRPr="0001502D">
        <w:rPr>
          <w:rFonts w:ascii="Arial" w:hAnsi="Arial" w:cs="Arial"/>
          <w:color w:val="000000"/>
          <w:sz w:val="22"/>
          <w:szCs w:val="22"/>
        </w:rPr>
        <w:t>État partie d</w:t>
      </w:r>
      <w:r w:rsidR="009C104E">
        <w:rPr>
          <w:rFonts w:ascii="Arial" w:hAnsi="Arial" w:cs="Arial"/>
          <w:color w:val="000000"/>
          <w:sz w:val="22"/>
          <w:szCs w:val="22"/>
        </w:rPr>
        <w:t>’</w:t>
      </w:r>
      <w:r w:rsidRPr="0001502D">
        <w:rPr>
          <w:rFonts w:ascii="Arial" w:hAnsi="Arial" w:cs="Arial"/>
          <w:color w:val="000000"/>
          <w:sz w:val="22"/>
          <w:szCs w:val="22"/>
        </w:rPr>
        <w:t>avoir proposé un élément qui illustre le lien étroit entre le patrimoine matériel et immatériel en milieu urbain, en particulier au sein d</w:t>
      </w:r>
      <w:r w:rsidR="009C104E">
        <w:rPr>
          <w:rFonts w:ascii="Arial" w:hAnsi="Arial" w:cs="Arial"/>
          <w:color w:val="000000"/>
          <w:sz w:val="22"/>
          <w:szCs w:val="22"/>
        </w:rPr>
        <w:t>’</w:t>
      </w:r>
      <w:r w:rsidRPr="0001502D">
        <w:rPr>
          <w:rFonts w:ascii="Arial" w:hAnsi="Arial" w:cs="Arial"/>
          <w:color w:val="000000"/>
          <w:sz w:val="22"/>
          <w:szCs w:val="22"/>
        </w:rPr>
        <w:t>un bien du patrimoine mondial.</w:t>
      </w:r>
    </w:p>
    <w:p w14:paraId="3022E175" w14:textId="5E050055" w:rsidR="0001502D" w:rsidRPr="002D425D" w:rsidRDefault="0001502D" w:rsidP="002D425D">
      <w:pPr>
        <w:keepNext/>
        <w:keepLines/>
        <w:spacing w:before="360" w:after="120"/>
        <w:ind w:left="567" w:hanging="567"/>
        <w:outlineLvl w:val="1"/>
        <w:rPr>
          <w:rFonts w:ascii="Arial" w:hAnsi="Arial" w:cs="Arial"/>
          <w:bCs/>
          <w:iCs/>
          <w:sz w:val="22"/>
          <w:szCs w:val="22"/>
        </w:rPr>
      </w:pPr>
      <w:bookmarkStart w:id="9" w:name="Decision_10b5"/>
      <w:r w:rsidRPr="002D425D">
        <w:rPr>
          <w:rFonts w:ascii="Arial" w:hAnsi="Arial" w:cs="Arial"/>
          <w:b/>
          <w:bCs/>
          <w:iCs/>
          <w:sz w:val="22"/>
          <w:szCs w:val="22"/>
        </w:rPr>
        <w:t xml:space="preserve">DÉCISION 14.COM 10.b.5 </w:t>
      </w:r>
    </w:p>
    <w:bookmarkEnd w:id="9"/>
    <w:p w14:paraId="4530147A" w14:textId="77777777" w:rsidR="0001502D" w:rsidRPr="002D425D" w:rsidRDefault="0001502D" w:rsidP="002D425D">
      <w:pPr>
        <w:keepNext/>
        <w:pBdr>
          <w:top w:val="nil"/>
          <w:left w:val="nil"/>
          <w:bottom w:val="nil"/>
          <w:right w:val="nil"/>
          <w:between w:val="nil"/>
        </w:pBdr>
        <w:tabs>
          <w:tab w:val="left" w:pos="567"/>
          <w:tab w:val="left" w:pos="1134"/>
          <w:tab w:val="left" w:pos="1701"/>
          <w:tab w:val="left" w:pos="2268"/>
        </w:tabs>
        <w:spacing w:before="120" w:after="120"/>
        <w:ind w:left="567" w:hanging="567"/>
        <w:jc w:val="both"/>
        <w:rPr>
          <w:rFonts w:ascii="Arial" w:eastAsia="Arial" w:hAnsi="Arial" w:cs="Arial"/>
          <w:color w:val="000000"/>
          <w:sz w:val="22"/>
          <w:szCs w:val="22"/>
        </w:rPr>
      </w:pPr>
      <w:r w:rsidRPr="002D425D">
        <w:rPr>
          <w:rFonts w:ascii="Arial" w:hAnsi="Arial" w:cs="Arial"/>
          <w:color w:val="000000"/>
          <w:sz w:val="22"/>
          <w:szCs w:val="22"/>
        </w:rPr>
        <w:t>Le Comité</w:t>
      </w:r>
      <w:r w:rsidRPr="002D425D">
        <w:rPr>
          <w:rFonts w:ascii="Arial" w:hAnsi="Arial" w:cs="Arial"/>
          <w:sz w:val="22"/>
          <w:szCs w:val="22"/>
        </w:rPr>
        <w:t>,</w:t>
      </w:r>
    </w:p>
    <w:p w14:paraId="608E7764" w14:textId="749EA16B" w:rsidR="0001502D" w:rsidRPr="002D425D" w:rsidRDefault="0001502D" w:rsidP="00771F30">
      <w:pPr>
        <w:numPr>
          <w:ilvl w:val="1"/>
          <w:numId w:val="31"/>
        </w:numPr>
        <w:pBdr>
          <w:top w:val="nil"/>
          <w:left w:val="nil"/>
          <w:bottom w:val="nil"/>
          <w:right w:val="nil"/>
          <w:between w:val="nil"/>
        </w:pBdr>
        <w:tabs>
          <w:tab w:val="left" w:pos="1134"/>
          <w:tab w:val="left" w:pos="1701"/>
          <w:tab w:val="left" w:pos="2268"/>
        </w:tabs>
        <w:spacing w:before="120" w:after="120"/>
        <w:ind w:left="567" w:hanging="567"/>
        <w:jc w:val="both"/>
        <w:rPr>
          <w:rFonts w:ascii="Arial" w:eastAsia="Arial" w:hAnsi="Arial" w:cs="Arial"/>
          <w:color w:val="000000"/>
          <w:sz w:val="22"/>
          <w:szCs w:val="22"/>
        </w:rPr>
      </w:pPr>
      <w:r w:rsidRPr="002D425D">
        <w:rPr>
          <w:rFonts w:ascii="Arial" w:hAnsi="Arial" w:cs="Arial"/>
          <w:color w:val="000000"/>
          <w:sz w:val="22"/>
          <w:szCs w:val="22"/>
          <w:u w:val="single"/>
        </w:rPr>
        <w:t>Prend note</w:t>
      </w:r>
      <w:r w:rsidRPr="002D425D">
        <w:rPr>
          <w:rFonts w:ascii="Arial" w:hAnsi="Arial" w:cs="Arial"/>
          <w:color w:val="000000"/>
          <w:sz w:val="22"/>
          <w:szCs w:val="22"/>
        </w:rPr>
        <w:t xml:space="preserve"> que l</w:t>
      </w:r>
      <w:r w:rsidR="009C104E">
        <w:rPr>
          <w:rFonts w:ascii="Arial" w:hAnsi="Arial" w:cs="Arial"/>
          <w:color w:val="000000"/>
          <w:sz w:val="22"/>
          <w:szCs w:val="22"/>
        </w:rPr>
        <w:t>’</w:t>
      </w:r>
      <w:r w:rsidRPr="002D425D">
        <w:rPr>
          <w:rFonts w:ascii="Arial" w:hAnsi="Arial" w:cs="Arial"/>
          <w:color w:val="000000"/>
          <w:sz w:val="22"/>
          <w:szCs w:val="22"/>
        </w:rPr>
        <w:t xml:space="preserve">État plurinational de Bolivie a proposé la candidature de </w:t>
      </w:r>
      <w:r w:rsidRPr="002D425D">
        <w:rPr>
          <w:rFonts w:ascii="Arial" w:hAnsi="Arial" w:cs="Arial"/>
          <w:b/>
          <w:color w:val="000000"/>
          <w:sz w:val="22"/>
          <w:szCs w:val="22"/>
        </w:rPr>
        <w:t>la festivité de la Santísima Trinidad del Señor Jesús del Gran Poder de la ville de La Paz</w:t>
      </w:r>
      <w:r w:rsidRPr="002D425D">
        <w:rPr>
          <w:rFonts w:ascii="Arial" w:hAnsi="Arial" w:cs="Arial"/>
          <w:color w:val="000000"/>
          <w:sz w:val="22"/>
          <w:szCs w:val="22"/>
        </w:rPr>
        <w:t xml:space="preserve"> (n° 01389) pour inscription sur la Liste représentative du patrimoine culturel immatériel de l</w:t>
      </w:r>
      <w:r w:rsidR="009C104E">
        <w:rPr>
          <w:rFonts w:ascii="Arial" w:hAnsi="Arial" w:cs="Arial"/>
          <w:color w:val="000000"/>
          <w:sz w:val="22"/>
          <w:szCs w:val="22"/>
        </w:rPr>
        <w:t>’</w:t>
      </w:r>
      <w:r w:rsidRPr="002D425D">
        <w:rPr>
          <w:rFonts w:ascii="Arial" w:hAnsi="Arial" w:cs="Arial"/>
          <w:color w:val="000000"/>
          <w:sz w:val="22"/>
          <w:szCs w:val="22"/>
        </w:rPr>
        <w:t>humanité :</w:t>
      </w:r>
    </w:p>
    <w:p w14:paraId="548726D2" w14:textId="040EE945" w:rsidR="0001502D" w:rsidRPr="0001502D" w:rsidRDefault="002D425D" w:rsidP="002D425D">
      <w:pPr>
        <w:tabs>
          <w:tab w:val="left" w:pos="1134"/>
          <w:tab w:val="left" w:pos="1701"/>
          <w:tab w:val="left" w:pos="2268"/>
        </w:tabs>
        <w:spacing w:before="120" w:after="120"/>
        <w:ind w:left="567" w:hanging="567"/>
        <w:jc w:val="both"/>
        <w:rPr>
          <w:rFonts w:ascii="Arial" w:hAnsi="Arial" w:cs="Arial"/>
          <w:sz w:val="22"/>
          <w:szCs w:val="22"/>
        </w:rPr>
      </w:pPr>
      <w:r>
        <w:rPr>
          <w:rFonts w:ascii="Arial" w:hAnsi="Arial" w:cs="Arial"/>
          <w:sz w:val="22"/>
          <w:szCs w:val="22"/>
        </w:rPr>
        <w:tab/>
      </w:r>
      <w:r w:rsidR="0001502D" w:rsidRPr="002D425D">
        <w:rPr>
          <w:rFonts w:ascii="Arial" w:hAnsi="Arial" w:cs="Arial"/>
          <w:sz w:val="22"/>
          <w:szCs w:val="22"/>
        </w:rPr>
        <w:t>La festivité de la Santísima Trinidad del Señor Jesús del Gran Poder a lieu le jour de la Sainte Trinité dans la ville de La Paz. Émanant d</w:t>
      </w:r>
      <w:r w:rsidR="009C104E">
        <w:rPr>
          <w:rFonts w:ascii="Arial" w:hAnsi="Arial" w:cs="Arial"/>
          <w:sz w:val="22"/>
          <w:szCs w:val="22"/>
        </w:rPr>
        <w:t>’</w:t>
      </w:r>
      <w:r w:rsidR="0001502D" w:rsidRPr="002D425D">
        <w:rPr>
          <w:rFonts w:ascii="Arial" w:hAnsi="Arial" w:cs="Arial"/>
          <w:sz w:val="22"/>
          <w:szCs w:val="22"/>
        </w:rPr>
        <w:t>une manière particulière de comprendre et de vivre le catholicisme andin, la célébration transforme et stimule la vie sociale de La Paz chaque année.</w:t>
      </w:r>
      <w:r w:rsidR="0001502D" w:rsidRPr="0001502D">
        <w:rPr>
          <w:rFonts w:ascii="Arial" w:hAnsi="Arial" w:cs="Arial"/>
          <w:sz w:val="22"/>
          <w:szCs w:val="22"/>
        </w:rPr>
        <w:t xml:space="preserve"> Le défilé commence par une procession dans les quartiers ouest de la ville. Cette procession est centrale pour l</w:t>
      </w:r>
      <w:r w:rsidR="009C104E">
        <w:rPr>
          <w:rFonts w:ascii="Arial" w:hAnsi="Arial" w:cs="Arial"/>
          <w:sz w:val="22"/>
          <w:szCs w:val="22"/>
        </w:rPr>
        <w:t>’</w:t>
      </w:r>
      <w:r w:rsidR="0001502D" w:rsidRPr="0001502D">
        <w:rPr>
          <w:rFonts w:ascii="Arial" w:hAnsi="Arial" w:cs="Arial"/>
          <w:sz w:val="22"/>
          <w:szCs w:val="22"/>
        </w:rPr>
        <w:t xml:space="preserve">événement, elle rassemble 40 000 fidèles qui dansent et chantent comme une offrande au saint patron. La danse a une valeur sacramentelle pour les 69 fraternités impliquées qui sont accueillies avec euphorie dans les rues où la musique de 7 000 musiciens résonne. Les danses lourdes commencent avec les Morenos, Ia danse </w:t>
      </w:r>
      <w:r w:rsidR="00162DC2" w:rsidRPr="0001502D">
        <w:rPr>
          <w:rFonts w:ascii="Arial" w:hAnsi="Arial" w:cs="Arial"/>
          <w:sz w:val="22"/>
          <w:szCs w:val="22"/>
        </w:rPr>
        <w:t>iconique</w:t>
      </w:r>
      <w:r w:rsidR="0001502D" w:rsidRPr="0001502D">
        <w:rPr>
          <w:rFonts w:ascii="Arial" w:hAnsi="Arial" w:cs="Arial"/>
          <w:sz w:val="22"/>
          <w:szCs w:val="22"/>
        </w:rPr>
        <w:t xml:space="preserve"> de Ia fête, en se mêlant avec les danses légères alors que les danses autochtones Sikuris et Qhantus nous transportent vers les origines de la fête de Ch</w:t>
      </w:r>
      <w:r w:rsidR="009C104E">
        <w:rPr>
          <w:rFonts w:ascii="Arial" w:hAnsi="Arial" w:cs="Arial"/>
          <w:sz w:val="22"/>
          <w:szCs w:val="22"/>
        </w:rPr>
        <w:t>’</w:t>
      </w:r>
      <w:r w:rsidR="0001502D" w:rsidRPr="0001502D">
        <w:rPr>
          <w:rFonts w:ascii="Arial" w:hAnsi="Arial" w:cs="Arial"/>
          <w:sz w:val="22"/>
          <w:szCs w:val="22"/>
        </w:rPr>
        <w:t>ijini. Le lendemain, les membres de Ia procession portent solennellement le saint patron sur leurs épaules dans le quartier du Gran Poder. Les fidèles lui rendent hommage avec de l</w:t>
      </w:r>
      <w:r w:rsidR="009C104E">
        <w:rPr>
          <w:rFonts w:ascii="Arial" w:hAnsi="Arial" w:cs="Arial"/>
          <w:sz w:val="22"/>
          <w:szCs w:val="22"/>
        </w:rPr>
        <w:t>’</w:t>
      </w:r>
      <w:r w:rsidR="0001502D" w:rsidRPr="0001502D">
        <w:rPr>
          <w:rFonts w:ascii="Arial" w:hAnsi="Arial" w:cs="Arial"/>
          <w:sz w:val="22"/>
          <w:szCs w:val="22"/>
        </w:rPr>
        <w:t>encens, des fleurs et des confettis. Les fraternités préparent leur répertoire musical tout au long de l</w:t>
      </w:r>
      <w:r w:rsidR="009C104E">
        <w:rPr>
          <w:rFonts w:ascii="Arial" w:hAnsi="Arial" w:cs="Arial"/>
          <w:sz w:val="22"/>
          <w:szCs w:val="22"/>
        </w:rPr>
        <w:t>’</w:t>
      </w:r>
      <w:r w:rsidR="0001502D" w:rsidRPr="0001502D">
        <w:rPr>
          <w:rFonts w:ascii="Arial" w:hAnsi="Arial" w:cs="Arial"/>
          <w:sz w:val="22"/>
          <w:szCs w:val="22"/>
        </w:rPr>
        <w:t>année. Les brodeurs et les bijoutiers transmettent leurs connaissances au sein des familles du Gran Poder, et l</w:t>
      </w:r>
      <w:r w:rsidR="009C104E">
        <w:rPr>
          <w:rFonts w:ascii="Arial" w:hAnsi="Arial" w:cs="Arial"/>
          <w:sz w:val="22"/>
          <w:szCs w:val="22"/>
        </w:rPr>
        <w:t>’</w:t>
      </w:r>
      <w:r w:rsidR="0001502D" w:rsidRPr="0001502D">
        <w:rPr>
          <w:rFonts w:ascii="Arial" w:hAnsi="Arial" w:cs="Arial"/>
          <w:sz w:val="22"/>
          <w:szCs w:val="22"/>
        </w:rPr>
        <w:t>aspect dévotionnel de la pratique est transmis au cours des cérémonies, des soirées et des processions dévotionnelles.</w:t>
      </w:r>
    </w:p>
    <w:p w14:paraId="5FE92AEB" w14:textId="51853934" w:rsidR="0001502D" w:rsidRPr="0001502D" w:rsidRDefault="0001502D" w:rsidP="00771F30">
      <w:pPr>
        <w:keepNext/>
        <w:numPr>
          <w:ilvl w:val="1"/>
          <w:numId w:val="31"/>
        </w:numPr>
        <w:pBdr>
          <w:top w:val="nil"/>
          <w:left w:val="nil"/>
          <w:bottom w:val="nil"/>
          <w:right w:val="nil"/>
          <w:between w:val="nil"/>
        </w:pBdr>
        <w:tabs>
          <w:tab w:val="left" w:pos="1134"/>
          <w:tab w:val="left" w:pos="1701"/>
          <w:tab w:val="left" w:pos="2268"/>
        </w:tabs>
        <w:spacing w:before="120" w:after="120"/>
        <w:ind w:left="567" w:hanging="567"/>
        <w:jc w:val="both"/>
        <w:rPr>
          <w:rFonts w:ascii="Arial" w:eastAsia="Arial" w:hAnsi="Arial" w:cs="Arial"/>
          <w:color w:val="000000"/>
          <w:sz w:val="22"/>
          <w:szCs w:val="22"/>
        </w:rPr>
      </w:pPr>
      <w:r w:rsidRPr="0001502D">
        <w:rPr>
          <w:rFonts w:ascii="Arial" w:hAnsi="Arial" w:cs="Arial"/>
          <w:color w:val="000000"/>
          <w:sz w:val="22"/>
          <w:szCs w:val="22"/>
          <w:u w:val="single"/>
        </w:rPr>
        <w:t>Estime</w:t>
      </w:r>
      <w:r w:rsidRPr="0001502D">
        <w:rPr>
          <w:rFonts w:ascii="Arial" w:hAnsi="Arial" w:cs="Arial"/>
          <w:color w:val="000000"/>
          <w:sz w:val="22"/>
          <w:szCs w:val="22"/>
        </w:rPr>
        <w:t xml:space="preserve"> que, d</w:t>
      </w:r>
      <w:r w:rsidR="009C104E">
        <w:rPr>
          <w:rFonts w:ascii="Arial" w:hAnsi="Arial" w:cs="Arial"/>
          <w:color w:val="000000"/>
          <w:sz w:val="22"/>
          <w:szCs w:val="22"/>
        </w:rPr>
        <w:t>’</w:t>
      </w:r>
      <w:r w:rsidRPr="0001502D">
        <w:rPr>
          <w:rFonts w:ascii="Arial" w:hAnsi="Arial" w:cs="Arial"/>
          <w:color w:val="000000"/>
          <w:sz w:val="22"/>
          <w:szCs w:val="22"/>
        </w:rPr>
        <w:t>après les informations contenues dans le dossier, la candidature satisfait aux critères d</w:t>
      </w:r>
      <w:r w:rsidR="009C104E">
        <w:rPr>
          <w:rFonts w:ascii="Arial" w:hAnsi="Arial" w:cs="Arial"/>
          <w:color w:val="000000"/>
          <w:sz w:val="22"/>
          <w:szCs w:val="22"/>
        </w:rPr>
        <w:t>’</w:t>
      </w:r>
      <w:r w:rsidRPr="0001502D">
        <w:rPr>
          <w:rFonts w:ascii="Arial" w:hAnsi="Arial" w:cs="Arial"/>
          <w:color w:val="000000"/>
          <w:sz w:val="22"/>
          <w:szCs w:val="22"/>
        </w:rPr>
        <w:t>inscription sur la Liste représentative du patrimoine culturel immatériel de l</w:t>
      </w:r>
      <w:r w:rsidR="009C104E">
        <w:rPr>
          <w:rFonts w:ascii="Arial" w:hAnsi="Arial" w:cs="Arial"/>
          <w:color w:val="000000"/>
          <w:sz w:val="22"/>
          <w:szCs w:val="22"/>
        </w:rPr>
        <w:t>’</w:t>
      </w:r>
      <w:r w:rsidRPr="0001502D">
        <w:rPr>
          <w:rFonts w:ascii="Arial" w:hAnsi="Arial" w:cs="Arial"/>
          <w:color w:val="000000"/>
          <w:sz w:val="22"/>
          <w:szCs w:val="22"/>
        </w:rPr>
        <w:t>humanité comme suit :</w:t>
      </w:r>
    </w:p>
    <w:p w14:paraId="0F20510A" w14:textId="4B17B53D" w:rsidR="0001502D" w:rsidRPr="0001502D" w:rsidRDefault="0001502D" w:rsidP="002D425D">
      <w:pPr>
        <w:tabs>
          <w:tab w:val="left" w:pos="1134"/>
          <w:tab w:val="left" w:pos="2268"/>
        </w:tabs>
        <w:spacing w:before="120" w:after="120"/>
        <w:ind w:left="1134" w:hanging="555"/>
        <w:jc w:val="both"/>
        <w:rPr>
          <w:rFonts w:ascii="Arial" w:hAnsi="Arial" w:cs="Arial"/>
          <w:sz w:val="22"/>
          <w:szCs w:val="22"/>
        </w:rPr>
      </w:pPr>
      <w:r w:rsidRPr="0001502D">
        <w:rPr>
          <w:rFonts w:ascii="Arial" w:hAnsi="Arial" w:cs="Arial"/>
          <w:sz w:val="22"/>
          <w:szCs w:val="22"/>
        </w:rPr>
        <w:t>R.1 :</w:t>
      </w:r>
      <w:r w:rsidRPr="0001502D">
        <w:rPr>
          <w:rFonts w:ascii="Arial" w:hAnsi="Arial" w:cs="Arial"/>
          <w:sz w:val="22"/>
          <w:szCs w:val="22"/>
        </w:rPr>
        <w:tab/>
        <w:t>La fête du Gran Poder est un rite collectif qui reconnaît les origines rurales de nombreux habitants de La Paz et la contribution de leurs pratiques et expressions culturelles. Il se transmet dans les familles et par les 69 fraternités impliquées. En plus de sa fonction sacrée, il renforce la cohésion sociale, la sensibilisation au patrimoine culturel immatériel, le sentiment de fierté pour le patrimoine, de respect et d</w:t>
      </w:r>
      <w:r w:rsidR="009C104E">
        <w:rPr>
          <w:rFonts w:ascii="Arial" w:hAnsi="Arial" w:cs="Arial"/>
          <w:sz w:val="22"/>
          <w:szCs w:val="22"/>
        </w:rPr>
        <w:t>’</w:t>
      </w:r>
      <w:r w:rsidRPr="0001502D">
        <w:rPr>
          <w:rFonts w:ascii="Arial" w:hAnsi="Arial" w:cs="Arial"/>
          <w:sz w:val="22"/>
          <w:szCs w:val="22"/>
        </w:rPr>
        <w:t>unité. C</w:t>
      </w:r>
      <w:r w:rsidR="009C104E">
        <w:rPr>
          <w:rFonts w:ascii="Arial" w:hAnsi="Arial" w:cs="Arial"/>
          <w:sz w:val="22"/>
          <w:szCs w:val="22"/>
        </w:rPr>
        <w:t>’</w:t>
      </w:r>
      <w:r w:rsidRPr="0001502D">
        <w:rPr>
          <w:rFonts w:ascii="Arial" w:hAnsi="Arial" w:cs="Arial"/>
          <w:sz w:val="22"/>
          <w:szCs w:val="22"/>
        </w:rPr>
        <w:t>est une source essentielle de force qui définit, transforme et stimule la vie sociale de La Paz chaque année.</w:t>
      </w:r>
    </w:p>
    <w:p w14:paraId="65D1B40A" w14:textId="6790AF56" w:rsidR="0001502D" w:rsidRPr="0001502D" w:rsidRDefault="0001502D" w:rsidP="002D425D">
      <w:pPr>
        <w:tabs>
          <w:tab w:val="left" w:pos="1134"/>
          <w:tab w:val="left" w:pos="2268"/>
        </w:tabs>
        <w:spacing w:before="120" w:after="120"/>
        <w:ind w:left="1134" w:hanging="555"/>
        <w:jc w:val="both"/>
        <w:rPr>
          <w:rFonts w:ascii="Arial" w:hAnsi="Arial" w:cs="Arial"/>
          <w:sz w:val="22"/>
          <w:szCs w:val="22"/>
        </w:rPr>
      </w:pPr>
      <w:r w:rsidRPr="0001502D">
        <w:rPr>
          <w:rFonts w:ascii="Arial" w:hAnsi="Arial" w:cs="Arial"/>
          <w:sz w:val="22"/>
          <w:szCs w:val="22"/>
        </w:rPr>
        <w:t>R.2 :</w:t>
      </w:r>
      <w:r w:rsidRPr="0001502D">
        <w:rPr>
          <w:rFonts w:ascii="Arial" w:hAnsi="Arial" w:cs="Arial"/>
          <w:sz w:val="22"/>
          <w:szCs w:val="22"/>
        </w:rPr>
        <w:tab/>
        <w:t>L</w:t>
      </w:r>
      <w:r w:rsidR="009C104E">
        <w:rPr>
          <w:rFonts w:ascii="Arial" w:hAnsi="Arial" w:cs="Arial"/>
          <w:sz w:val="22"/>
          <w:szCs w:val="22"/>
        </w:rPr>
        <w:t>’</w:t>
      </w:r>
      <w:r w:rsidRPr="0001502D">
        <w:rPr>
          <w:rFonts w:ascii="Arial" w:hAnsi="Arial" w:cs="Arial"/>
          <w:sz w:val="22"/>
          <w:szCs w:val="22"/>
        </w:rPr>
        <w:t>inscription de l</w:t>
      </w:r>
      <w:r w:rsidR="009C104E">
        <w:rPr>
          <w:rFonts w:ascii="Arial" w:hAnsi="Arial" w:cs="Arial"/>
          <w:sz w:val="22"/>
          <w:szCs w:val="22"/>
        </w:rPr>
        <w:t>’</w:t>
      </w:r>
      <w:r w:rsidRPr="0001502D">
        <w:rPr>
          <w:rFonts w:ascii="Arial" w:hAnsi="Arial" w:cs="Arial"/>
          <w:sz w:val="22"/>
          <w:szCs w:val="22"/>
        </w:rPr>
        <w:t>élément sur la Liste représentative augmenterait la visibilité d</w:t>
      </w:r>
      <w:r w:rsidR="009C104E">
        <w:rPr>
          <w:rFonts w:ascii="Arial" w:hAnsi="Arial" w:cs="Arial"/>
          <w:sz w:val="22"/>
          <w:szCs w:val="22"/>
        </w:rPr>
        <w:t>’</w:t>
      </w:r>
      <w:r w:rsidRPr="0001502D">
        <w:rPr>
          <w:rFonts w:ascii="Arial" w:hAnsi="Arial" w:cs="Arial"/>
          <w:sz w:val="22"/>
          <w:szCs w:val="22"/>
        </w:rPr>
        <w:t>un grand nombre d</w:t>
      </w:r>
      <w:r w:rsidR="009C104E">
        <w:rPr>
          <w:rFonts w:ascii="Arial" w:hAnsi="Arial" w:cs="Arial"/>
          <w:sz w:val="22"/>
          <w:szCs w:val="22"/>
        </w:rPr>
        <w:t>’</w:t>
      </w:r>
      <w:r w:rsidRPr="0001502D">
        <w:rPr>
          <w:rFonts w:ascii="Arial" w:hAnsi="Arial" w:cs="Arial"/>
          <w:sz w:val="22"/>
          <w:szCs w:val="22"/>
        </w:rPr>
        <w:t>expressions culturelles telles que la musique et la danse, ainsi que celle d</w:t>
      </w:r>
      <w:r w:rsidR="009C104E">
        <w:rPr>
          <w:rFonts w:ascii="Arial" w:hAnsi="Arial" w:cs="Arial"/>
          <w:sz w:val="22"/>
          <w:szCs w:val="22"/>
        </w:rPr>
        <w:t>’</w:t>
      </w:r>
      <w:r w:rsidRPr="0001502D">
        <w:rPr>
          <w:rFonts w:ascii="Arial" w:hAnsi="Arial" w:cs="Arial"/>
          <w:sz w:val="22"/>
          <w:szCs w:val="22"/>
        </w:rPr>
        <w:t>autres traditions et coutumes de groupes marginalisés par certaines classes sociales aux niveaux local et national. L</w:t>
      </w:r>
      <w:r w:rsidR="009C104E">
        <w:rPr>
          <w:rFonts w:ascii="Arial" w:hAnsi="Arial" w:cs="Arial"/>
          <w:sz w:val="22"/>
          <w:szCs w:val="22"/>
        </w:rPr>
        <w:t>’</w:t>
      </w:r>
      <w:r w:rsidRPr="0001502D">
        <w:rPr>
          <w:rFonts w:ascii="Arial" w:hAnsi="Arial" w:cs="Arial"/>
          <w:sz w:val="22"/>
          <w:szCs w:val="22"/>
        </w:rPr>
        <w:t>inscription renforcerait également le dialogue entre les participants et groupes impliqués dans la célébration et les autorités locales, et démontrerait l</w:t>
      </w:r>
      <w:r w:rsidR="009C104E">
        <w:rPr>
          <w:rFonts w:ascii="Arial" w:hAnsi="Arial" w:cs="Arial"/>
          <w:sz w:val="22"/>
          <w:szCs w:val="22"/>
        </w:rPr>
        <w:t>’</w:t>
      </w:r>
      <w:r w:rsidRPr="0001502D">
        <w:rPr>
          <w:rFonts w:ascii="Arial" w:hAnsi="Arial" w:cs="Arial"/>
          <w:sz w:val="22"/>
          <w:szCs w:val="22"/>
        </w:rPr>
        <w:t>importance d</w:t>
      </w:r>
      <w:r w:rsidR="009C104E">
        <w:rPr>
          <w:rFonts w:ascii="Arial" w:hAnsi="Arial" w:cs="Arial"/>
          <w:sz w:val="22"/>
          <w:szCs w:val="22"/>
        </w:rPr>
        <w:t>’</w:t>
      </w:r>
      <w:r w:rsidRPr="0001502D">
        <w:rPr>
          <w:rFonts w:ascii="Arial" w:hAnsi="Arial" w:cs="Arial"/>
          <w:sz w:val="22"/>
          <w:szCs w:val="22"/>
        </w:rPr>
        <w:t>éléments du patrimoine culturel immatériel associés à des quartiers populaires désavantagés. Par ailleurs, la diversité des manifestations associées à la célébration et l</w:t>
      </w:r>
      <w:r w:rsidR="009C104E">
        <w:rPr>
          <w:rFonts w:ascii="Arial" w:hAnsi="Arial" w:cs="Arial"/>
          <w:sz w:val="22"/>
          <w:szCs w:val="22"/>
        </w:rPr>
        <w:t>’</w:t>
      </w:r>
      <w:r w:rsidRPr="0001502D">
        <w:rPr>
          <w:rFonts w:ascii="Arial" w:hAnsi="Arial" w:cs="Arial"/>
          <w:sz w:val="22"/>
          <w:szCs w:val="22"/>
        </w:rPr>
        <w:t>implication de certains groupes sociaux dans le quartier du Gran Poder montrent qu</w:t>
      </w:r>
      <w:r w:rsidR="009C104E">
        <w:rPr>
          <w:rFonts w:ascii="Arial" w:hAnsi="Arial" w:cs="Arial"/>
          <w:sz w:val="22"/>
          <w:szCs w:val="22"/>
        </w:rPr>
        <w:t>’</w:t>
      </w:r>
      <w:r w:rsidRPr="0001502D">
        <w:rPr>
          <w:rFonts w:ascii="Arial" w:hAnsi="Arial" w:cs="Arial"/>
          <w:sz w:val="22"/>
          <w:szCs w:val="22"/>
        </w:rPr>
        <w:t>il ne s</w:t>
      </w:r>
      <w:r w:rsidR="009C104E">
        <w:rPr>
          <w:rFonts w:ascii="Arial" w:hAnsi="Arial" w:cs="Arial"/>
          <w:sz w:val="22"/>
          <w:szCs w:val="22"/>
        </w:rPr>
        <w:t>’</w:t>
      </w:r>
      <w:r w:rsidRPr="0001502D">
        <w:rPr>
          <w:rFonts w:ascii="Arial" w:hAnsi="Arial" w:cs="Arial"/>
          <w:sz w:val="22"/>
          <w:szCs w:val="22"/>
        </w:rPr>
        <w:t>agit pas seulement d</w:t>
      </w:r>
      <w:r w:rsidR="009C104E">
        <w:rPr>
          <w:rFonts w:ascii="Arial" w:hAnsi="Arial" w:cs="Arial"/>
          <w:sz w:val="22"/>
          <w:szCs w:val="22"/>
        </w:rPr>
        <w:t>’</w:t>
      </w:r>
      <w:r w:rsidRPr="0001502D">
        <w:rPr>
          <w:rFonts w:ascii="Arial" w:hAnsi="Arial" w:cs="Arial"/>
          <w:sz w:val="22"/>
          <w:szCs w:val="22"/>
        </w:rPr>
        <w:t>une célébration de la foi, mais aussi une illustration du principe de diversité.</w:t>
      </w:r>
    </w:p>
    <w:p w14:paraId="38F4C172" w14:textId="60E8417F" w:rsidR="0001502D" w:rsidRPr="0001502D" w:rsidRDefault="0001502D" w:rsidP="002D425D">
      <w:pPr>
        <w:tabs>
          <w:tab w:val="left" w:pos="1134"/>
          <w:tab w:val="left" w:pos="2268"/>
        </w:tabs>
        <w:spacing w:before="120" w:after="120"/>
        <w:ind w:left="1134" w:hanging="555"/>
        <w:jc w:val="both"/>
        <w:rPr>
          <w:rFonts w:ascii="Arial" w:hAnsi="Arial" w:cs="Arial"/>
          <w:sz w:val="22"/>
          <w:szCs w:val="22"/>
        </w:rPr>
      </w:pPr>
      <w:r w:rsidRPr="0001502D">
        <w:rPr>
          <w:rFonts w:ascii="Arial" w:hAnsi="Arial" w:cs="Arial"/>
          <w:sz w:val="22"/>
          <w:szCs w:val="22"/>
        </w:rPr>
        <w:t>R.3 :</w:t>
      </w:r>
      <w:r w:rsidRPr="0001502D">
        <w:rPr>
          <w:rFonts w:ascii="Arial" w:hAnsi="Arial" w:cs="Arial"/>
          <w:sz w:val="22"/>
          <w:szCs w:val="22"/>
        </w:rPr>
        <w:tab/>
        <w:t>Au cours des trente dernières années, la fête du Gran Poder a suscité un grand intérêt grâce aux efforts de sauvegarde entrepris par les communautés depuis le début et par l</w:t>
      </w:r>
      <w:r w:rsidR="009C104E">
        <w:rPr>
          <w:rFonts w:ascii="Arial" w:hAnsi="Arial" w:cs="Arial"/>
          <w:sz w:val="22"/>
          <w:szCs w:val="22"/>
        </w:rPr>
        <w:t>’</w:t>
      </w:r>
      <w:r w:rsidRPr="0001502D">
        <w:rPr>
          <w:rFonts w:ascii="Arial" w:hAnsi="Arial" w:cs="Arial"/>
          <w:sz w:val="22"/>
          <w:szCs w:val="22"/>
        </w:rPr>
        <w:t>État depuis 1995. Ces efforts de sauvegarde se poursuivent à ce jour, assurant la viabilité de l</w:t>
      </w:r>
      <w:r w:rsidR="009C104E">
        <w:rPr>
          <w:rFonts w:ascii="Arial" w:hAnsi="Arial" w:cs="Arial"/>
          <w:sz w:val="22"/>
          <w:szCs w:val="22"/>
        </w:rPr>
        <w:t>’</w:t>
      </w:r>
      <w:r w:rsidRPr="0001502D">
        <w:rPr>
          <w:rFonts w:ascii="Arial" w:hAnsi="Arial" w:cs="Arial"/>
          <w:sz w:val="22"/>
          <w:szCs w:val="22"/>
        </w:rPr>
        <w:t>élément. Les mesures de sauvegarde proposées s</w:t>
      </w:r>
      <w:r w:rsidR="009C104E">
        <w:rPr>
          <w:rFonts w:ascii="Arial" w:hAnsi="Arial" w:cs="Arial"/>
          <w:sz w:val="22"/>
          <w:szCs w:val="22"/>
        </w:rPr>
        <w:t>’</w:t>
      </w:r>
      <w:r w:rsidRPr="0001502D">
        <w:rPr>
          <w:rFonts w:ascii="Arial" w:hAnsi="Arial" w:cs="Arial"/>
          <w:sz w:val="22"/>
          <w:szCs w:val="22"/>
        </w:rPr>
        <w:t>inscrivent dans la continuité des efforts déjà entrepris, et s</w:t>
      </w:r>
      <w:r w:rsidR="009C104E">
        <w:rPr>
          <w:rFonts w:ascii="Arial" w:hAnsi="Arial" w:cs="Arial"/>
          <w:sz w:val="22"/>
          <w:szCs w:val="22"/>
        </w:rPr>
        <w:t>’</w:t>
      </w:r>
      <w:r w:rsidRPr="0001502D">
        <w:rPr>
          <w:rFonts w:ascii="Arial" w:hAnsi="Arial" w:cs="Arial"/>
          <w:sz w:val="22"/>
          <w:szCs w:val="22"/>
        </w:rPr>
        <w:t>articulent autour de six objectifs cohérents. Ces mesures visent à s</w:t>
      </w:r>
      <w:r w:rsidR="009C104E">
        <w:rPr>
          <w:rFonts w:ascii="Arial" w:hAnsi="Arial" w:cs="Arial"/>
          <w:sz w:val="22"/>
          <w:szCs w:val="22"/>
        </w:rPr>
        <w:t>’</w:t>
      </w:r>
      <w:r w:rsidRPr="0001502D">
        <w:rPr>
          <w:rFonts w:ascii="Arial" w:hAnsi="Arial" w:cs="Arial"/>
          <w:sz w:val="22"/>
          <w:szCs w:val="22"/>
        </w:rPr>
        <w:t>assurer que la viabilité de l</w:t>
      </w:r>
      <w:r w:rsidR="009C104E">
        <w:rPr>
          <w:rFonts w:ascii="Arial" w:hAnsi="Arial" w:cs="Arial"/>
          <w:sz w:val="22"/>
          <w:szCs w:val="22"/>
        </w:rPr>
        <w:t>’</w:t>
      </w:r>
      <w:r w:rsidRPr="0001502D">
        <w:rPr>
          <w:rFonts w:ascii="Arial" w:hAnsi="Arial" w:cs="Arial"/>
          <w:sz w:val="22"/>
          <w:szCs w:val="22"/>
        </w:rPr>
        <w:t>élément ne soit pas compromise à l</w:t>
      </w:r>
      <w:r w:rsidR="009C104E">
        <w:rPr>
          <w:rFonts w:ascii="Arial" w:hAnsi="Arial" w:cs="Arial"/>
          <w:sz w:val="22"/>
          <w:szCs w:val="22"/>
        </w:rPr>
        <w:t>’</w:t>
      </w:r>
      <w:r w:rsidRPr="0001502D">
        <w:rPr>
          <w:rFonts w:ascii="Arial" w:hAnsi="Arial" w:cs="Arial"/>
          <w:sz w:val="22"/>
          <w:szCs w:val="22"/>
        </w:rPr>
        <w:t>avenir. Elles ont été proposées à l</w:t>
      </w:r>
      <w:r w:rsidR="009C104E">
        <w:rPr>
          <w:rFonts w:ascii="Arial" w:hAnsi="Arial" w:cs="Arial"/>
          <w:sz w:val="22"/>
          <w:szCs w:val="22"/>
        </w:rPr>
        <w:t>’</w:t>
      </w:r>
      <w:r w:rsidRPr="0001502D">
        <w:rPr>
          <w:rFonts w:ascii="Arial" w:hAnsi="Arial" w:cs="Arial"/>
          <w:sz w:val="22"/>
          <w:szCs w:val="22"/>
        </w:rPr>
        <w:t>issue de consultations avec les communautés, en particulier avec les fraternités chargées d</w:t>
      </w:r>
      <w:r w:rsidR="009C104E">
        <w:rPr>
          <w:rFonts w:ascii="Arial" w:hAnsi="Arial" w:cs="Arial"/>
          <w:sz w:val="22"/>
          <w:szCs w:val="22"/>
        </w:rPr>
        <w:t>’</w:t>
      </w:r>
      <w:r w:rsidRPr="0001502D">
        <w:rPr>
          <w:rFonts w:ascii="Arial" w:hAnsi="Arial" w:cs="Arial"/>
          <w:sz w:val="22"/>
          <w:szCs w:val="22"/>
        </w:rPr>
        <w:t>organiser la fête.</w:t>
      </w:r>
    </w:p>
    <w:p w14:paraId="20ADF5C7" w14:textId="34A36FB4" w:rsidR="0001502D" w:rsidRPr="0001502D" w:rsidRDefault="0001502D" w:rsidP="002D425D">
      <w:pPr>
        <w:tabs>
          <w:tab w:val="left" w:pos="1134"/>
          <w:tab w:val="left" w:pos="2268"/>
        </w:tabs>
        <w:spacing w:before="120" w:after="120"/>
        <w:ind w:left="1134" w:hanging="555"/>
        <w:jc w:val="both"/>
        <w:rPr>
          <w:rFonts w:ascii="Arial" w:hAnsi="Arial" w:cs="Arial"/>
          <w:sz w:val="22"/>
          <w:szCs w:val="22"/>
        </w:rPr>
      </w:pPr>
      <w:bookmarkStart w:id="10" w:name="_heading=h.gjdgxs"/>
      <w:bookmarkEnd w:id="10"/>
      <w:r w:rsidRPr="0001502D">
        <w:rPr>
          <w:rFonts w:ascii="Arial" w:hAnsi="Arial" w:cs="Arial"/>
          <w:sz w:val="22"/>
          <w:szCs w:val="22"/>
        </w:rPr>
        <w:t>R.4 :</w:t>
      </w:r>
      <w:r w:rsidRPr="0001502D">
        <w:rPr>
          <w:rFonts w:ascii="Arial" w:hAnsi="Arial" w:cs="Arial"/>
          <w:sz w:val="22"/>
          <w:szCs w:val="22"/>
        </w:rPr>
        <w:tab/>
        <w:t>L</w:t>
      </w:r>
      <w:r w:rsidR="009C104E">
        <w:rPr>
          <w:rFonts w:ascii="Arial" w:hAnsi="Arial" w:cs="Arial"/>
          <w:sz w:val="22"/>
          <w:szCs w:val="22"/>
        </w:rPr>
        <w:t>’</w:t>
      </w:r>
      <w:r w:rsidRPr="0001502D">
        <w:rPr>
          <w:rFonts w:ascii="Arial" w:hAnsi="Arial" w:cs="Arial"/>
          <w:sz w:val="22"/>
          <w:szCs w:val="22"/>
        </w:rPr>
        <w:t>organisation des groupes et organisations concernés a facilité le processus de candidature et a garanti une large participation des représentants des 69 fraternités qui organisent l</w:t>
      </w:r>
      <w:r w:rsidR="009C104E">
        <w:rPr>
          <w:rFonts w:ascii="Arial" w:hAnsi="Arial" w:cs="Arial"/>
          <w:sz w:val="22"/>
          <w:szCs w:val="22"/>
        </w:rPr>
        <w:t>’</w:t>
      </w:r>
      <w:r w:rsidRPr="0001502D">
        <w:rPr>
          <w:rFonts w:ascii="Arial" w:hAnsi="Arial" w:cs="Arial"/>
          <w:sz w:val="22"/>
          <w:szCs w:val="22"/>
        </w:rPr>
        <w:t>événement. La candidature a donc été préparée et élaborée avec un grand niveau de participation des différents groupes sociaux impliqués dans la fête du Gran Poder, à différents moments et par le biais d</w:t>
      </w:r>
      <w:r w:rsidR="009C104E">
        <w:rPr>
          <w:rFonts w:ascii="Arial" w:hAnsi="Arial" w:cs="Arial"/>
          <w:sz w:val="22"/>
          <w:szCs w:val="22"/>
        </w:rPr>
        <w:t>’</w:t>
      </w:r>
      <w:r w:rsidRPr="0001502D">
        <w:rPr>
          <w:rFonts w:ascii="Arial" w:hAnsi="Arial" w:cs="Arial"/>
          <w:sz w:val="22"/>
          <w:szCs w:val="22"/>
        </w:rPr>
        <w:t>une série de réunions de consultation.</w:t>
      </w:r>
    </w:p>
    <w:p w14:paraId="4CBA9215" w14:textId="7D0110B9" w:rsidR="0001502D" w:rsidRPr="0001502D" w:rsidRDefault="0001502D" w:rsidP="002D425D">
      <w:pPr>
        <w:tabs>
          <w:tab w:val="left" w:pos="1134"/>
          <w:tab w:val="left" w:pos="2268"/>
        </w:tabs>
        <w:spacing w:before="120" w:after="120"/>
        <w:ind w:left="1134" w:hanging="555"/>
        <w:jc w:val="both"/>
        <w:rPr>
          <w:rFonts w:ascii="Arial" w:hAnsi="Arial" w:cs="Arial"/>
          <w:sz w:val="22"/>
          <w:szCs w:val="22"/>
        </w:rPr>
      </w:pPr>
      <w:r w:rsidRPr="0001502D">
        <w:rPr>
          <w:rFonts w:ascii="Arial" w:hAnsi="Arial" w:cs="Arial"/>
          <w:sz w:val="22"/>
          <w:szCs w:val="22"/>
        </w:rPr>
        <w:t>R.5 :</w:t>
      </w:r>
      <w:r w:rsidRPr="0001502D">
        <w:rPr>
          <w:rFonts w:ascii="Arial" w:hAnsi="Arial" w:cs="Arial"/>
          <w:sz w:val="22"/>
          <w:szCs w:val="22"/>
        </w:rPr>
        <w:tab/>
        <w:t>Les différents éléments de la fête du Gran Poder ont été inclus dans plusieurs inventaires différents et pour diverses raisons. Le Ministère de la culture et du tourisme, représenté par différents services – Unité du patrimoine immatériel, Conseil culturel départemental et Unité des monuments et sites – et le Musée de l</w:t>
      </w:r>
      <w:r w:rsidR="009C104E">
        <w:rPr>
          <w:rFonts w:ascii="Arial" w:hAnsi="Arial" w:cs="Arial"/>
          <w:sz w:val="22"/>
          <w:szCs w:val="22"/>
        </w:rPr>
        <w:t>’</w:t>
      </w:r>
      <w:r w:rsidRPr="0001502D">
        <w:rPr>
          <w:rFonts w:ascii="Arial" w:hAnsi="Arial" w:cs="Arial"/>
          <w:sz w:val="22"/>
          <w:szCs w:val="22"/>
        </w:rPr>
        <w:t>ethnographie et du folklore sont les organismes qui gèrent et mettent à jour ces inventaires.</w:t>
      </w:r>
    </w:p>
    <w:p w14:paraId="2C8311B6" w14:textId="2CED70C6" w:rsidR="0001502D" w:rsidRPr="0001502D" w:rsidRDefault="0001502D" w:rsidP="00771F30">
      <w:pPr>
        <w:numPr>
          <w:ilvl w:val="1"/>
          <w:numId w:val="31"/>
        </w:numPr>
        <w:pBdr>
          <w:top w:val="nil"/>
          <w:left w:val="nil"/>
          <w:bottom w:val="nil"/>
          <w:right w:val="nil"/>
          <w:between w:val="nil"/>
        </w:pBdr>
        <w:tabs>
          <w:tab w:val="left" w:pos="567"/>
          <w:tab w:val="left" w:pos="1701"/>
          <w:tab w:val="left" w:pos="2268"/>
        </w:tabs>
        <w:spacing w:before="120" w:after="120"/>
        <w:ind w:left="567"/>
        <w:jc w:val="both"/>
        <w:rPr>
          <w:rFonts w:ascii="Arial" w:eastAsia="Arial" w:hAnsi="Arial" w:cs="Arial"/>
          <w:color w:val="000000"/>
          <w:sz w:val="22"/>
          <w:szCs w:val="22"/>
        </w:rPr>
      </w:pPr>
      <w:r w:rsidRPr="0001502D">
        <w:rPr>
          <w:rFonts w:ascii="Arial" w:hAnsi="Arial" w:cs="Arial"/>
          <w:color w:val="000000"/>
          <w:sz w:val="22"/>
          <w:szCs w:val="22"/>
          <w:u w:val="single"/>
        </w:rPr>
        <w:t>Décide d</w:t>
      </w:r>
      <w:r w:rsidR="009C104E">
        <w:rPr>
          <w:rFonts w:ascii="Arial" w:hAnsi="Arial" w:cs="Arial"/>
          <w:color w:val="000000"/>
          <w:sz w:val="22"/>
          <w:szCs w:val="22"/>
          <w:u w:val="single"/>
        </w:rPr>
        <w:t>’</w:t>
      </w:r>
      <w:r w:rsidRPr="0001502D">
        <w:rPr>
          <w:rFonts w:ascii="Arial" w:hAnsi="Arial" w:cs="Arial"/>
          <w:color w:val="000000"/>
          <w:sz w:val="22"/>
          <w:szCs w:val="22"/>
          <w:u w:val="single"/>
        </w:rPr>
        <w:t>inscrire</w:t>
      </w:r>
      <w:r w:rsidRPr="0001502D">
        <w:rPr>
          <w:rFonts w:ascii="Arial" w:hAnsi="Arial" w:cs="Arial"/>
          <w:sz w:val="22"/>
          <w:szCs w:val="22"/>
        </w:rPr>
        <w:t xml:space="preserve"> </w:t>
      </w:r>
      <w:r w:rsidRPr="0001502D">
        <w:rPr>
          <w:rFonts w:ascii="Arial" w:hAnsi="Arial" w:cs="Arial"/>
          <w:b/>
          <w:color w:val="000000"/>
          <w:sz w:val="22"/>
          <w:szCs w:val="22"/>
        </w:rPr>
        <w:t>la festivité de la Santísima Trinidad del Señor Jesús del Gran Poder de la ville de La Paz</w:t>
      </w:r>
      <w:r w:rsidRPr="0001502D">
        <w:rPr>
          <w:rFonts w:ascii="Arial" w:hAnsi="Arial" w:cs="Arial"/>
          <w:color w:val="000000"/>
          <w:sz w:val="22"/>
          <w:szCs w:val="22"/>
        </w:rPr>
        <w:t xml:space="preserve"> sur la Liste représentative du patrimoine culturel immatériel de l</w:t>
      </w:r>
      <w:r w:rsidR="009C104E">
        <w:rPr>
          <w:rFonts w:ascii="Arial" w:hAnsi="Arial" w:cs="Arial"/>
          <w:color w:val="000000"/>
          <w:sz w:val="22"/>
          <w:szCs w:val="22"/>
        </w:rPr>
        <w:t>’</w:t>
      </w:r>
      <w:r w:rsidRPr="0001502D">
        <w:rPr>
          <w:rFonts w:ascii="Arial" w:hAnsi="Arial" w:cs="Arial"/>
          <w:color w:val="000000"/>
          <w:sz w:val="22"/>
          <w:szCs w:val="22"/>
        </w:rPr>
        <w:t>humanité ;</w:t>
      </w:r>
    </w:p>
    <w:p w14:paraId="3B4B440A" w14:textId="50BDB762" w:rsidR="0001502D" w:rsidRPr="0001502D" w:rsidRDefault="0001502D" w:rsidP="00771F30">
      <w:pPr>
        <w:numPr>
          <w:ilvl w:val="1"/>
          <w:numId w:val="31"/>
        </w:numPr>
        <w:pBdr>
          <w:top w:val="nil"/>
          <w:left w:val="nil"/>
          <w:bottom w:val="nil"/>
          <w:right w:val="nil"/>
          <w:between w:val="nil"/>
        </w:pBdr>
        <w:tabs>
          <w:tab w:val="left" w:pos="567"/>
          <w:tab w:val="left" w:pos="1701"/>
          <w:tab w:val="left" w:pos="2268"/>
        </w:tabs>
        <w:spacing w:before="120" w:after="120"/>
        <w:ind w:left="567"/>
        <w:jc w:val="both"/>
        <w:rPr>
          <w:rFonts w:ascii="Arial" w:eastAsia="Arial" w:hAnsi="Arial" w:cs="Arial"/>
          <w:color w:val="000000"/>
          <w:sz w:val="22"/>
          <w:szCs w:val="22"/>
        </w:rPr>
      </w:pPr>
      <w:r w:rsidRPr="0001502D">
        <w:rPr>
          <w:rFonts w:ascii="Arial" w:hAnsi="Arial" w:cs="Arial"/>
          <w:color w:val="000000"/>
          <w:sz w:val="22"/>
          <w:szCs w:val="22"/>
          <w:u w:val="single"/>
        </w:rPr>
        <w:t>Encourage</w:t>
      </w:r>
      <w:r w:rsidRPr="0001502D">
        <w:rPr>
          <w:rFonts w:ascii="Arial" w:hAnsi="Arial" w:cs="Arial"/>
          <w:color w:val="000000"/>
          <w:sz w:val="22"/>
          <w:szCs w:val="22"/>
        </w:rPr>
        <w:t xml:space="preserve"> l</w:t>
      </w:r>
      <w:r w:rsidR="009C104E">
        <w:rPr>
          <w:rFonts w:ascii="Arial" w:hAnsi="Arial" w:cs="Arial"/>
          <w:color w:val="000000"/>
          <w:sz w:val="22"/>
          <w:szCs w:val="22"/>
        </w:rPr>
        <w:t>’</w:t>
      </w:r>
      <w:r w:rsidRPr="0001502D">
        <w:rPr>
          <w:rFonts w:ascii="Arial" w:hAnsi="Arial" w:cs="Arial"/>
          <w:color w:val="000000"/>
          <w:sz w:val="22"/>
          <w:szCs w:val="22"/>
        </w:rPr>
        <w:t>État partie à améliorer son processus d</w:t>
      </w:r>
      <w:r w:rsidR="009C104E">
        <w:rPr>
          <w:rFonts w:ascii="Arial" w:hAnsi="Arial" w:cs="Arial"/>
          <w:color w:val="000000"/>
          <w:sz w:val="22"/>
          <w:szCs w:val="22"/>
        </w:rPr>
        <w:t>’</w:t>
      </w:r>
      <w:r w:rsidRPr="0001502D">
        <w:rPr>
          <w:rFonts w:ascii="Arial" w:hAnsi="Arial" w:cs="Arial"/>
          <w:color w:val="000000"/>
          <w:sz w:val="22"/>
          <w:szCs w:val="22"/>
        </w:rPr>
        <w:t>élaboration des inventaires, tant en matière de méthodologie que de procédure, et l</w:t>
      </w:r>
      <w:r w:rsidR="009C104E">
        <w:rPr>
          <w:rFonts w:ascii="Arial" w:hAnsi="Arial" w:cs="Arial"/>
          <w:color w:val="000000"/>
          <w:sz w:val="22"/>
          <w:szCs w:val="22"/>
        </w:rPr>
        <w:t>’</w:t>
      </w:r>
      <w:r w:rsidRPr="0001502D">
        <w:rPr>
          <w:rFonts w:ascii="Arial" w:hAnsi="Arial" w:cs="Arial"/>
          <w:color w:val="000000"/>
          <w:sz w:val="22"/>
          <w:szCs w:val="22"/>
          <w:u w:val="single"/>
        </w:rPr>
        <w:t>invite</w:t>
      </w:r>
      <w:r w:rsidRPr="0001502D">
        <w:rPr>
          <w:rFonts w:ascii="Arial" w:hAnsi="Arial" w:cs="Arial"/>
          <w:color w:val="000000"/>
          <w:sz w:val="22"/>
          <w:szCs w:val="22"/>
        </w:rPr>
        <w:t xml:space="preserve"> à inclure des informations détaillées et pertinentes dans son prochain rapport périodique sur la mise en œuvre de la Convention au niveau national.</w:t>
      </w:r>
    </w:p>
    <w:p w14:paraId="517E1411" w14:textId="2CEB7C39" w:rsidR="0001502D" w:rsidRPr="0001502D" w:rsidRDefault="0001502D" w:rsidP="002D425D">
      <w:pPr>
        <w:keepNext/>
        <w:keepLines/>
        <w:spacing w:before="360" w:after="120"/>
        <w:ind w:left="-9"/>
        <w:outlineLvl w:val="1"/>
        <w:rPr>
          <w:rFonts w:ascii="Arial" w:hAnsi="Arial" w:cs="Arial"/>
          <w:bCs/>
          <w:iCs/>
          <w:sz w:val="22"/>
          <w:szCs w:val="22"/>
        </w:rPr>
      </w:pPr>
      <w:bookmarkStart w:id="11" w:name="Decision_10b6"/>
      <w:r w:rsidRPr="0001502D">
        <w:rPr>
          <w:rFonts w:ascii="Arial" w:hAnsi="Arial" w:cs="Arial"/>
          <w:b/>
          <w:bCs/>
          <w:iCs/>
          <w:sz w:val="22"/>
          <w:szCs w:val="22"/>
        </w:rPr>
        <w:t xml:space="preserve">DÉCISION 14.COM 10.b.6 </w:t>
      </w:r>
    </w:p>
    <w:bookmarkEnd w:id="11"/>
    <w:p w14:paraId="6CD4A13F" w14:textId="77777777" w:rsidR="0001502D" w:rsidRPr="0001502D" w:rsidRDefault="0001502D" w:rsidP="002D425D">
      <w:pPr>
        <w:keepNext/>
        <w:pBdr>
          <w:top w:val="nil"/>
          <w:left w:val="nil"/>
          <w:bottom w:val="nil"/>
          <w:right w:val="nil"/>
          <w:between w:val="nil"/>
        </w:pBdr>
        <w:tabs>
          <w:tab w:val="left" w:pos="567"/>
          <w:tab w:val="left" w:pos="1134"/>
          <w:tab w:val="left" w:pos="1701"/>
          <w:tab w:val="left" w:pos="2268"/>
        </w:tabs>
        <w:spacing w:before="120" w:after="120"/>
        <w:jc w:val="both"/>
        <w:rPr>
          <w:rFonts w:ascii="Arial" w:eastAsia="Arial" w:hAnsi="Arial" w:cs="Arial"/>
          <w:color w:val="000000"/>
          <w:sz w:val="22"/>
          <w:szCs w:val="22"/>
        </w:rPr>
      </w:pPr>
      <w:r w:rsidRPr="0001502D">
        <w:rPr>
          <w:rFonts w:ascii="Arial" w:hAnsi="Arial" w:cs="Arial"/>
          <w:color w:val="000000"/>
          <w:sz w:val="22"/>
          <w:szCs w:val="22"/>
        </w:rPr>
        <w:t>Le Comité,</w:t>
      </w:r>
    </w:p>
    <w:p w14:paraId="343ADC42" w14:textId="078FDFB8" w:rsidR="0001502D" w:rsidRPr="0001502D" w:rsidRDefault="0001502D" w:rsidP="00771F30">
      <w:pPr>
        <w:numPr>
          <w:ilvl w:val="1"/>
          <w:numId w:val="32"/>
        </w:numPr>
        <w:pBdr>
          <w:top w:val="nil"/>
          <w:left w:val="nil"/>
          <w:bottom w:val="nil"/>
          <w:right w:val="nil"/>
          <w:between w:val="nil"/>
        </w:pBdr>
        <w:tabs>
          <w:tab w:val="left" w:pos="567"/>
          <w:tab w:val="left" w:pos="1701"/>
          <w:tab w:val="left" w:pos="2268"/>
        </w:tabs>
        <w:spacing w:before="120" w:after="120"/>
        <w:ind w:left="567"/>
        <w:jc w:val="both"/>
        <w:rPr>
          <w:rFonts w:ascii="Arial" w:eastAsia="Arial" w:hAnsi="Arial" w:cs="Arial"/>
          <w:color w:val="000000"/>
          <w:sz w:val="22"/>
          <w:szCs w:val="22"/>
        </w:rPr>
      </w:pPr>
      <w:r w:rsidRPr="0001502D">
        <w:rPr>
          <w:rFonts w:ascii="Arial" w:hAnsi="Arial" w:cs="Arial"/>
          <w:color w:val="000000"/>
          <w:sz w:val="22"/>
          <w:szCs w:val="22"/>
          <w:u w:val="single"/>
        </w:rPr>
        <w:t>Prend note</w:t>
      </w:r>
      <w:r w:rsidRPr="0001502D">
        <w:rPr>
          <w:rFonts w:ascii="Arial" w:hAnsi="Arial" w:cs="Arial"/>
          <w:color w:val="000000"/>
          <w:sz w:val="22"/>
          <w:szCs w:val="22"/>
        </w:rPr>
        <w:t xml:space="preserve"> que le Brésil a proposé la candidature </w:t>
      </w:r>
      <w:r w:rsidRPr="0001502D">
        <w:rPr>
          <w:rFonts w:ascii="Arial" w:hAnsi="Arial" w:cs="Arial"/>
          <w:b/>
          <w:color w:val="000000"/>
          <w:sz w:val="22"/>
          <w:szCs w:val="22"/>
        </w:rPr>
        <w:t>du complexe culturel du bumba-meu-boi du Maranhão</w:t>
      </w:r>
      <w:r w:rsidRPr="0001502D">
        <w:rPr>
          <w:rFonts w:ascii="Arial" w:hAnsi="Arial" w:cs="Arial"/>
          <w:color w:val="000000"/>
          <w:sz w:val="22"/>
          <w:szCs w:val="22"/>
        </w:rPr>
        <w:t xml:space="preserve"> (n° 01510) pour inscription sur la Liste représentative du patrimoine culturel immatériel de l</w:t>
      </w:r>
      <w:r w:rsidR="009C104E">
        <w:rPr>
          <w:rFonts w:ascii="Arial" w:hAnsi="Arial" w:cs="Arial"/>
          <w:color w:val="000000"/>
          <w:sz w:val="22"/>
          <w:szCs w:val="22"/>
        </w:rPr>
        <w:t>’</w:t>
      </w:r>
      <w:r w:rsidRPr="0001502D">
        <w:rPr>
          <w:rFonts w:ascii="Arial" w:hAnsi="Arial" w:cs="Arial"/>
          <w:color w:val="000000"/>
          <w:sz w:val="22"/>
          <w:szCs w:val="22"/>
        </w:rPr>
        <w:t>humanité :</w:t>
      </w:r>
    </w:p>
    <w:p w14:paraId="512098E2" w14:textId="020798E0" w:rsidR="0001502D" w:rsidRPr="0001502D" w:rsidRDefault="0001502D" w:rsidP="002D425D">
      <w:pPr>
        <w:tabs>
          <w:tab w:val="left" w:pos="567"/>
          <w:tab w:val="left" w:pos="1701"/>
          <w:tab w:val="left" w:pos="2268"/>
        </w:tabs>
        <w:spacing w:before="120" w:after="120"/>
        <w:ind w:left="567"/>
        <w:jc w:val="both"/>
        <w:rPr>
          <w:rFonts w:ascii="Arial" w:hAnsi="Arial" w:cs="Arial"/>
          <w:sz w:val="22"/>
          <w:szCs w:val="22"/>
        </w:rPr>
      </w:pPr>
      <w:r w:rsidRPr="0001502D">
        <w:rPr>
          <w:rFonts w:ascii="Arial" w:hAnsi="Arial" w:cs="Arial"/>
          <w:sz w:val="22"/>
          <w:szCs w:val="22"/>
        </w:rPr>
        <w:t>Le complexe culturel du bumba-meu-boi du Maranhão est une pratique rituelle impliquant différentes formes d</w:t>
      </w:r>
      <w:r w:rsidR="009C104E">
        <w:rPr>
          <w:rFonts w:ascii="Arial" w:hAnsi="Arial" w:cs="Arial"/>
          <w:sz w:val="22"/>
          <w:szCs w:val="22"/>
        </w:rPr>
        <w:t>’</w:t>
      </w:r>
      <w:r w:rsidRPr="0001502D">
        <w:rPr>
          <w:rFonts w:ascii="Arial" w:hAnsi="Arial" w:cs="Arial"/>
          <w:sz w:val="22"/>
          <w:szCs w:val="22"/>
        </w:rPr>
        <w:t>expression musicale, chorégraphique, théâtrale et ludique, dans laquelle la relation des praticiens avec le sacré est incarnée par la figure du bœuf. La pratique comporte plusieurs éléments distinctifs : le cycle de la vie, l</w:t>
      </w:r>
      <w:r w:rsidR="009C104E">
        <w:rPr>
          <w:rFonts w:ascii="Arial" w:hAnsi="Arial" w:cs="Arial"/>
          <w:sz w:val="22"/>
          <w:szCs w:val="22"/>
        </w:rPr>
        <w:t>’</w:t>
      </w:r>
      <w:r w:rsidRPr="0001502D">
        <w:rPr>
          <w:rFonts w:ascii="Arial" w:hAnsi="Arial" w:cs="Arial"/>
          <w:sz w:val="22"/>
          <w:szCs w:val="22"/>
        </w:rPr>
        <w:t>univers mystico-religieux et le bœuf lui-même. La pratique est hautement symbolique : reproduisant le cycle de la vie (de la naissance à la mort), elle apparaît comme une métaphore de l</w:t>
      </w:r>
      <w:r w:rsidR="009C104E">
        <w:rPr>
          <w:rFonts w:ascii="Arial" w:hAnsi="Arial" w:cs="Arial"/>
          <w:sz w:val="22"/>
          <w:szCs w:val="22"/>
        </w:rPr>
        <w:t>’</w:t>
      </w:r>
      <w:r w:rsidRPr="0001502D">
        <w:rPr>
          <w:rFonts w:ascii="Arial" w:hAnsi="Arial" w:cs="Arial"/>
          <w:sz w:val="22"/>
          <w:szCs w:val="22"/>
        </w:rPr>
        <w:t>existence humaine. Il existe des formes d</w:t>
      </w:r>
      <w:r w:rsidR="009C104E">
        <w:rPr>
          <w:rFonts w:ascii="Arial" w:hAnsi="Arial" w:cs="Arial"/>
          <w:sz w:val="22"/>
          <w:szCs w:val="22"/>
        </w:rPr>
        <w:t>’</w:t>
      </w:r>
      <w:r w:rsidRPr="0001502D">
        <w:rPr>
          <w:rFonts w:ascii="Arial" w:hAnsi="Arial" w:cs="Arial"/>
          <w:sz w:val="22"/>
          <w:szCs w:val="22"/>
        </w:rPr>
        <w:t>expression similaires dans d</w:t>
      </w:r>
      <w:r w:rsidR="009C104E">
        <w:rPr>
          <w:rFonts w:ascii="Arial" w:hAnsi="Arial" w:cs="Arial"/>
          <w:sz w:val="22"/>
          <w:szCs w:val="22"/>
        </w:rPr>
        <w:t>’</w:t>
      </w:r>
      <w:r w:rsidRPr="0001502D">
        <w:rPr>
          <w:rFonts w:ascii="Arial" w:hAnsi="Arial" w:cs="Arial"/>
          <w:sz w:val="22"/>
          <w:szCs w:val="22"/>
        </w:rPr>
        <w:t>autres États brésiliens, mais le bumba-meu-boi du Maranhão est particulier car il englobe différents styles et groupes et met en avant les relations intrinsèques entre la foi, les fêtes et l</w:t>
      </w:r>
      <w:r w:rsidR="009C104E">
        <w:rPr>
          <w:rFonts w:ascii="Arial" w:hAnsi="Arial" w:cs="Arial"/>
          <w:sz w:val="22"/>
          <w:szCs w:val="22"/>
        </w:rPr>
        <w:t>’</w:t>
      </w:r>
      <w:r w:rsidRPr="0001502D">
        <w:rPr>
          <w:rFonts w:ascii="Arial" w:hAnsi="Arial" w:cs="Arial"/>
          <w:sz w:val="22"/>
          <w:szCs w:val="22"/>
        </w:rPr>
        <w:t>art. Chaque année, les groupes de bumba du Maranhão réinventent cette célébration en créant de nouveaux chants, de nouvelles comédies et de nouvelles broderies sur le cuir du bœuf et sur les costumes des artistes. Divisés en cinq « accents » principaux possédant chacun leurs propres caractéristiques, les groupes, bien que divers, suivent un même calendrier annuel pour les représentations et les festivités. Le cycle du festival – qui atteint son paroxysme à la fin du mois de juin – peut durer entre quatre et huit mois. Il comporte plusieurs phases : répétitions, avant-saison, baptêmes, représentations publiques appelées « </w:t>
      </w:r>
      <w:r w:rsidRPr="0001502D">
        <w:rPr>
          <w:rFonts w:ascii="Arial" w:hAnsi="Arial" w:cs="Arial"/>
          <w:iCs/>
          <w:sz w:val="22"/>
          <w:szCs w:val="22"/>
        </w:rPr>
        <w:t>brincadas »</w:t>
      </w:r>
      <w:r w:rsidRPr="0001502D">
        <w:rPr>
          <w:rFonts w:ascii="Arial" w:hAnsi="Arial" w:cs="Arial"/>
          <w:sz w:val="22"/>
          <w:szCs w:val="22"/>
        </w:rPr>
        <w:t xml:space="preserve"> et rituels associés à la mort du bœuf. Il s</w:t>
      </w:r>
      <w:r w:rsidR="009C104E">
        <w:rPr>
          <w:rFonts w:ascii="Arial" w:hAnsi="Arial" w:cs="Arial"/>
          <w:sz w:val="22"/>
          <w:szCs w:val="22"/>
        </w:rPr>
        <w:t>’</w:t>
      </w:r>
      <w:r w:rsidRPr="0001502D">
        <w:rPr>
          <w:rFonts w:ascii="Arial" w:hAnsi="Arial" w:cs="Arial"/>
          <w:sz w:val="22"/>
          <w:szCs w:val="22"/>
        </w:rPr>
        <w:t>agit d</w:t>
      </w:r>
      <w:r w:rsidR="009C104E">
        <w:rPr>
          <w:rFonts w:ascii="Arial" w:hAnsi="Arial" w:cs="Arial"/>
          <w:sz w:val="22"/>
          <w:szCs w:val="22"/>
        </w:rPr>
        <w:t>’</w:t>
      </w:r>
      <w:r w:rsidRPr="0001502D">
        <w:rPr>
          <w:rFonts w:ascii="Arial" w:hAnsi="Arial" w:cs="Arial"/>
          <w:sz w:val="22"/>
          <w:szCs w:val="22"/>
        </w:rPr>
        <w:t>une période de renouveau au cours de laquelle les énergies sont redynamisées et la pratique de l</w:t>
      </w:r>
      <w:r w:rsidR="009C104E">
        <w:rPr>
          <w:rFonts w:ascii="Arial" w:hAnsi="Arial" w:cs="Arial"/>
          <w:sz w:val="22"/>
          <w:szCs w:val="22"/>
        </w:rPr>
        <w:t>’</w:t>
      </w:r>
      <w:r w:rsidRPr="0001502D">
        <w:rPr>
          <w:rFonts w:ascii="Arial" w:hAnsi="Arial" w:cs="Arial"/>
          <w:sz w:val="22"/>
          <w:szCs w:val="22"/>
        </w:rPr>
        <w:t>élément transmise au cours d</w:t>
      </w:r>
      <w:r w:rsidR="009C104E">
        <w:rPr>
          <w:rFonts w:ascii="Arial" w:hAnsi="Arial" w:cs="Arial"/>
          <w:sz w:val="22"/>
          <w:szCs w:val="22"/>
        </w:rPr>
        <w:t>’</w:t>
      </w:r>
      <w:r w:rsidRPr="0001502D">
        <w:rPr>
          <w:rFonts w:ascii="Arial" w:hAnsi="Arial" w:cs="Arial"/>
          <w:sz w:val="22"/>
          <w:szCs w:val="22"/>
        </w:rPr>
        <w:t>activités pour les enfants et d</w:t>
      </w:r>
      <w:r w:rsidR="009C104E">
        <w:rPr>
          <w:rFonts w:ascii="Arial" w:hAnsi="Arial" w:cs="Arial"/>
          <w:sz w:val="22"/>
          <w:szCs w:val="22"/>
        </w:rPr>
        <w:t>’</w:t>
      </w:r>
      <w:r w:rsidRPr="0001502D">
        <w:rPr>
          <w:rFonts w:ascii="Arial" w:hAnsi="Arial" w:cs="Arial"/>
          <w:sz w:val="22"/>
          <w:szCs w:val="22"/>
        </w:rPr>
        <w:t>ateliers de danse, mais aussi au sein des groupes.</w:t>
      </w:r>
    </w:p>
    <w:p w14:paraId="6A95E5D3" w14:textId="45F1C5C3" w:rsidR="0001502D" w:rsidRPr="0001502D" w:rsidRDefault="0001502D" w:rsidP="00771F30">
      <w:pPr>
        <w:keepNext/>
        <w:numPr>
          <w:ilvl w:val="1"/>
          <w:numId w:val="32"/>
        </w:numPr>
        <w:pBdr>
          <w:top w:val="nil"/>
          <w:left w:val="nil"/>
          <w:bottom w:val="nil"/>
          <w:right w:val="nil"/>
          <w:between w:val="nil"/>
        </w:pBdr>
        <w:tabs>
          <w:tab w:val="left" w:pos="567"/>
          <w:tab w:val="left" w:pos="1701"/>
          <w:tab w:val="left" w:pos="2268"/>
        </w:tabs>
        <w:spacing w:before="120" w:after="120"/>
        <w:ind w:left="567"/>
        <w:jc w:val="both"/>
        <w:rPr>
          <w:rFonts w:ascii="Arial" w:eastAsia="Arial" w:hAnsi="Arial" w:cs="Arial"/>
          <w:color w:val="000000"/>
          <w:sz w:val="22"/>
          <w:szCs w:val="22"/>
        </w:rPr>
      </w:pPr>
      <w:r w:rsidRPr="0001502D">
        <w:rPr>
          <w:rFonts w:ascii="Arial" w:hAnsi="Arial" w:cs="Arial"/>
          <w:color w:val="000000"/>
          <w:sz w:val="22"/>
          <w:szCs w:val="22"/>
          <w:u w:val="single"/>
        </w:rPr>
        <w:t>Estime</w:t>
      </w:r>
      <w:r w:rsidRPr="0001502D">
        <w:rPr>
          <w:rFonts w:ascii="Arial" w:hAnsi="Arial" w:cs="Arial"/>
          <w:color w:val="000000"/>
          <w:sz w:val="22"/>
          <w:szCs w:val="22"/>
        </w:rPr>
        <w:t xml:space="preserve"> que, d</w:t>
      </w:r>
      <w:r w:rsidR="009C104E">
        <w:rPr>
          <w:rFonts w:ascii="Arial" w:hAnsi="Arial" w:cs="Arial"/>
          <w:color w:val="000000"/>
          <w:sz w:val="22"/>
          <w:szCs w:val="22"/>
        </w:rPr>
        <w:t>’</w:t>
      </w:r>
      <w:r w:rsidRPr="0001502D">
        <w:rPr>
          <w:rFonts w:ascii="Arial" w:hAnsi="Arial" w:cs="Arial"/>
          <w:color w:val="000000"/>
          <w:sz w:val="22"/>
          <w:szCs w:val="22"/>
        </w:rPr>
        <w:t>après les informations contenues dans le dossier, la candidature satisfait aux critères d</w:t>
      </w:r>
      <w:r w:rsidR="009C104E">
        <w:rPr>
          <w:rFonts w:ascii="Arial" w:hAnsi="Arial" w:cs="Arial"/>
          <w:color w:val="000000"/>
          <w:sz w:val="22"/>
          <w:szCs w:val="22"/>
        </w:rPr>
        <w:t>’</w:t>
      </w:r>
      <w:r w:rsidRPr="0001502D">
        <w:rPr>
          <w:rFonts w:ascii="Arial" w:hAnsi="Arial" w:cs="Arial"/>
          <w:color w:val="000000"/>
          <w:sz w:val="22"/>
          <w:szCs w:val="22"/>
        </w:rPr>
        <w:t>inscription sur la Liste représentative du patrimoine culturel immatériel de l</w:t>
      </w:r>
      <w:r w:rsidR="009C104E">
        <w:rPr>
          <w:rFonts w:ascii="Arial" w:hAnsi="Arial" w:cs="Arial"/>
          <w:color w:val="000000"/>
          <w:sz w:val="22"/>
          <w:szCs w:val="22"/>
        </w:rPr>
        <w:t>’</w:t>
      </w:r>
      <w:r w:rsidRPr="0001502D">
        <w:rPr>
          <w:rFonts w:ascii="Arial" w:hAnsi="Arial" w:cs="Arial"/>
          <w:color w:val="000000"/>
          <w:sz w:val="22"/>
          <w:szCs w:val="22"/>
        </w:rPr>
        <w:t>humanité comme suit :</w:t>
      </w:r>
    </w:p>
    <w:p w14:paraId="139EB3AF" w14:textId="3F40FBAE" w:rsidR="0001502D" w:rsidRPr="0001502D" w:rsidRDefault="0001502D" w:rsidP="002D425D">
      <w:pPr>
        <w:tabs>
          <w:tab w:val="left" w:pos="1134"/>
          <w:tab w:val="left" w:pos="2268"/>
        </w:tabs>
        <w:spacing w:before="120" w:after="120"/>
        <w:ind w:left="1134" w:hanging="555"/>
        <w:jc w:val="both"/>
        <w:rPr>
          <w:rFonts w:ascii="Arial" w:hAnsi="Arial" w:cs="Arial"/>
          <w:sz w:val="22"/>
          <w:szCs w:val="22"/>
        </w:rPr>
      </w:pPr>
      <w:r w:rsidRPr="0001502D">
        <w:rPr>
          <w:rFonts w:ascii="Arial" w:hAnsi="Arial" w:cs="Arial"/>
          <w:sz w:val="22"/>
          <w:szCs w:val="22"/>
        </w:rPr>
        <w:t>R.1 :</w:t>
      </w:r>
      <w:r w:rsidRPr="0001502D">
        <w:rPr>
          <w:rFonts w:ascii="Arial" w:hAnsi="Arial" w:cs="Arial"/>
          <w:sz w:val="22"/>
          <w:szCs w:val="22"/>
        </w:rPr>
        <w:tab/>
        <w:t>Le complexe culturel du bumba-meu-boi du Maranhão rassemble les individus et renforce les liens qui les unissent en conférant une identité commune aux membres de la communauté et en offrant, tout au long de son cycle, une échappatoire à la vie quotidienne telle qu</w:t>
      </w:r>
      <w:r w:rsidR="009C104E">
        <w:rPr>
          <w:rFonts w:ascii="Arial" w:hAnsi="Arial" w:cs="Arial"/>
          <w:sz w:val="22"/>
          <w:szCs w:val="22"/>
        </w:rPr>
        <w:t>’</w:t>
      </w:r>
      <w:r w:rsidRPr="0001502D">
        <w:rPr>
          <w:rFonts w:ascii="Arial" w:hAnsi="Arial" w:cs="Arial"/>
          <w:sz w:val="22"/>
          <w:szCs w:val="22"/>
        </w:rPr>
        <w:t>elle est vécue au fil de l</w:t>
      </w:r>
      <w:r w:rsidR="009C104E">
        <w:rPr>
          <w:rFonts w:ascii="Arial" w:hAnsi="Arial" w:cs="Arial"/>
          <w:sz w:val="22"/>
          <w:szCs w:val="22"/>
        </w:rPr>
        <w:t>’</w:t>
      </w:r>
      <w:r w:rsidRPr="0001502D">
        <w:rPr>
          <w:rFonts w:ascii="Arial" w:hAnsi="Arial" w:cs="Arial"/>
          <w:sz w:val="22"/>
          <w:szCs w:val="22"/>
        </w:rPr>
        <w:t>année. L</w:t>
      </w:r>
      <w:r w:rsidR="009C104E">
        <w:rPr>
          <w:rFonts w:ascii="Arial" w:hAnsi="Arial" w:cs="Arial"/>
          <w:sz w:val="22"/>
          <w:szCs w:val="22"/>
        </w:rPr>
        <w:t>’</w:t>
      </w:r>
      <w:r w:rsidRPr="0001502D">
        <w:rPr>
          <w:rFonts w:ascii="Arial" w:hAnsi="Arial" w:cs="Arial"/>
          <w:sz w:val="22"/>
          <w:szCs w:val="22"/>
        </w:rPr>
        <w:t>élément est une expression de la culture populaire qui met en lumière la diversité des races, des genres et des générations. C</w:t>
      </w:r>
      <w:r w:rsidR="009C104E">
        <w:rPr>
          <w:rFonts w:ascii="Arial" w:hAnsi="Arial" w:cs="Arial"/>
          <w:sz w:val="22"/>
          <w:szCs w:val="22"/>
        </w:rPr>
        <w:t>’</w:t>
      </w:r>
      <w:r w:rsidRPr="0001502D">
        <w:rPr>
          <w:rFonts w:ascii="Arial" w:hAnsi="Arial" w:cs="Arial"/>
          <w:sz w:val="22"/>
          <w:szCs w:val="22"/>
        </w:rPr>
        <w:t>est également un bon exemple de syncrétisme religieux entre le catholicisme et les traditions d</w:t>
      </w:r>
      <w:r w:rsidR="009C104E">
        <w:rPr>
          <w:rFonts w:ascii="Arial" w:hAnsi="Arial" w:cs="Arial"/>
          <w:sz w:val="22"/>
          <w:szCs w:val="22"/>
        </w:rPr>
        <w:t>’</w:t>
      </w:r>
      <w:r w:rsidRPr="0001502D">
        <w:rPr>
          <w:rFonts w:ascii="Arial" w:hAnsi="Arial" w:cs="Arial"/>
          <w:sz w:val="22"/>
          <w:szCs w:val="22"/>
        </w:rPr>
        <w:t>origine africaine.</w:t>
      </w:r>
    </w:p>
    <w:p w14:paraId="4A6006DB" w14:textId="3B041F0C" w:rsidR="0001502D" w:rsidRPr="0001502D" w:rsidRDefault="0001502D" w:rsidP="002D425D">
      <w:pPr>
        <w:tabs>
          <w:tab w:val="left" w:pos="1134"/>
          <w:tab w:val="left" w:pos="2268"/>
        </w:tabs>
        <w:spacing w:before="120" w:after="120"/>
        <w:ind w:left="1134" w:hanging="555"/>
        <w:jc w:val="both"/>
        <w:rPr>
          <w:rFonts w:ascii="Arial" w:hAnsi="Arial" w:cs="Arial"/>
          <w:sz w:val="22"/>
          <w:szCs w:val="22"/>
        </w:rPr>
      </w:pPr>
      <w:r w:rsidRPr="0001502D">
        <w:rPr>
          <w:rFonts w:ascii="Arial" w:hAnsi="Arial" w:cs="Arial"/>
          <w:sz w:val="22"/>
          <w:szCs w:val="22"/>
        </w:rPr>
        <w:t>R.2 :</w:t>
      </w:r>
      <w:r w:rsidRPr="0001502D">
        <w:rPr>
          <w:rFonts w:ascii="Arial" w:hAnsi="Arial" w:cs="Arial"/>
          <w:sz w:val="22"/>
          <w:szCs w:val="22"/>
        </w:rPr>
        <w:tab/>
        <w:t>L</w:t>
      </w:r>
      <w:r w:rsidR="009C104E">
        <w:rPr>
          <w:rFonts w:ascii="Arial" w:hAnsi="Arial" w:cs="Arial"/>
          <w:sz w:val="22"/>
          <w:szCs w:val="22"/>
        </w:rPr>
        <w:t>’</w:t>
      </w:r>
      <w:r w:rsidRPr="0001502D">
        <w:rPr>
          <w:rFonts w:ascii="Arial" w:hAnsi="Arial" w:cs="Arial"/>
          <w:sz w:val="22"/>
          <w:szCs w:val="22"/>
        </w:rPr>
        <w:t>inscription du bumba-meu-boi contribuerait à assurer la visibilité du patrimoine culturel immatériel et la sensibilisation à celui-ci en présentant au monde un exemple de dévotion pratiquée depuis des millénaires par des individus de différentes régions du monde, car cet élément est porteur de significations universelles. Elle pourrait donc encourager l</w:t>
      </w:r>
      <w:r w:rsidR="009C104E">
        <w:rPr>
          <w:rFonts w:ascii="Arial" w:hAnsi="Arial" w:cs="Arial"/>
          <w:sz w:val="22"/>
          <w:szCs w:val="22"/>
        </w:rPr>
        <w:t>’</w:t>
      </w:r>
      <w:r w:rsidRPr="0001502D">
        <w:rPr>
          <w:rFonts w:ascii="Arial" w:hAnsi="Arial" w:cs="Arial"/>
          <w:sz w:val="22"/>
          <w:szCs w:val="22"/>
        </w:rPr>
        <w:t>inscription de célébrations similaires à travers le monde. Elle permettrait également d</w:t>
      </w:r>
      <w:r w:rsidR="009C104E">
        <w:rPr>
          <w:rFonts w:ascii="Arial" w:hAnsi="Arial" w:cs="Arial"/>
          <w:sz w:val="22"/>
          <w:szCs w:val="22"/>
        </w:rPr>
        <w:t>’</w:t>
      </w:r>
      <w:r w:rsidRPr="0001502D">
        <w:rPr>
          <w:rFonts w:ascii="Arial" w:hAnsi="Arial" w:cs="Arial"/>
          <w:sz w:val="22"/>
          <w:szCs w:val="22"/>
        </w:rPr>
        <w:t>établir un lien avec d</w:t>
      </w:r>
      <w:r w:rsidR="009C104E">
        <w:rPr>
          <w:rFonts w:ascii="Arial" w:hAnsi="Arial" w:cs="Arial"/>
          <w:sz w:val="22"/>
          <w:szCs w:val="22"/>
        </w:rPr>
        <w:t>’</w:t>
      </w:r>
      <w:r w:rsidRPr="0001502D">
        <w:rPr>
          <w:rFonts w:ascii="Arial" w:hAnsi="Arial" w:cs="Arial"/>
          <w:sz w:val="22"/>
          <w:szCs w:val="22"/>
        </w:rPr>
        <w:t>autres éléments déjà inscrits et stimulerait le dialogue entre les communautés, groupes et individus concernés.</w:t>
      </w:r>
    </w:p>
    <w:p w14:paraId="60F3E7EF" w14:textId="2827EB39" w:rsidR="0001502D" w:rsidRPr="0001502D" w:rsidRDefault="0001502D" w:rsidP="002D425D">
      <w:pPr>
        <w:tabs>
          <w:tab w:val="left" w:pos="1134"/>
          <w:tab w:val="left" w:pos="2268"/>
        </w:tabs>
        <w:spacing w:before="120" w:after="120"/>
        <w:ind w:left="1134" w:hanging="555"/>
        <w:jc w:val="both"/>
        <w:rPr>
          <w:rFonts w:ascii="Arial" w:hAnsi="Arial" w:cs="Arial"/>
          <w:sz w:val="22"/>
          <w:szCs w:val="22"/>
        </w:rPr>
      </w:pPr>
      <w:r w:rsidRPr="0001502D">
        <w:rPr>
          <w:rFonts w:ascii="Arial" w:hAnsi="Arial" w:cs="Arial"/>
          <w:sz w:val="22"/>
          <w:szCs w:val="22"/>
        </w:rPr>
        <w:t>R.3 :</w:t>
      </w:r>
      <w:r w:rsidRPr="0001502D">
        <w:rPr>
          <w:rFonts w:ascii="Arial" w:hAnsi="Arial" w:cs="Arial"/>
          <w:sz w:val="22"/>
          <w:szCs w:val="22"/>
        </w:rPr>
        <w:tab/>
        <w:t>Pour garantir la viabilité de l</w:t>
      </w:r>
      <w:r w:rsidR="009C104E">
        <w:rPr>
          <w:rFonts w:ascii="Arial" w:hAnsi="Arial" w:cs="Arial"/>
          <w:sz w:val="22"/>
          <w:szCs w:val="22"/>
        </w:rPr>
        <w:t>’</w:t>
      </w:r>
      <w:r w:rsidRPr="0001502D">
        <w:rPr>
          <w:rFonts w:ascii="Arial" w:hAnsi="Arial" w:cs="Arial"/>
          <w:sz w:val="22"/>
          <w:szCs w:val="22"/>
        </w:rPr>
        <w:t>élément, l</w:t>
      </w:r>
      <w:r w:rsidR="009C104E">
        <w:rPr>
          <w:rFonts w:ascii="Arial" w:hAnsi="Arial" w:cs="Arial"/>
          <w:sz w:val="22"/>
          <w:szCs w:val="22"/>
        </w:rPr>
        <w:t>’</w:t>
      </w:r>
      <w:r w:rsidRPr="0001502D">
        <w:rPr>
          <w:rFonts w:ascii="Arial" w:hAnsi="Arial" w:cs="Arial"/>
          <w:sz w:val="22"/>
          <w:szCs w:val="22"/>
        </w:rPr>
        <w:t>expertise nécessaire est transmise dans le cadre d</w:t>
      </w:r>
      <w:r w:rsidR="009C104E">
        <w:rPr>
          <w:rFonts w:ascii="Arial" w:hAnsi="Arial" w:cs="Arial"/>
          <w:sz w:val="22"/>
          <w:szCs w:val="22"/>
        </w:rPr>
        <w:t>’</w:t>
      </w:r>
      <w:r w:rsidRPr="0001502D">
        <w:rPr>
          <w:rFonts w:ascii="Arial" w:hAnsi="Arial" w:cs="Arial"/>
          <w:sz w:val="22"/>
          <w:szCs w:val="22"/>
        </w:rPr>
        <w:t>activités proposées à des groupes d</w:t>
      </w:r>
      <w:r w:rsidR="009C104E">
        <w:rPr>
          <w:rFonts w:ascii="Arial" w:hAnsi="Arial" w:cs="Arial"/>
          <w:sz w:val="22"/>
          <w:szCs w:val="22"/>
        </w:rPr>
        <w:t>’</w:t>
      </w:r>
      <w:r w:rsidRPr="0001502D">
        <w:rPr>
          <w:rFonts w:ascii="Arial" w:hAnsi="Arial" w:cs="Arial"/>
          <w:sz w:val="22"/>
          <w:szCs w:val="22"/>
        </w:rPr>
        <w:t>enfants ou lors d</w:t>
      </w:r>
      <w:r w:rsidR="009C104E">
        <w:rPr>
          <w:rFonts w:ascii="Arial" w:hAnsi="Arial" w:cs="Arial"/>
          <w:sz w:val="22"/>
          <w:szCs w:val="22"/>
        </w:rPr>
        <w:t>’</w:t>
      </w:r>
      <w:r w:rsidRPr="0001502D">
        <w:rPr>
          <w:rFonts w:ascii="Arial" w:hAnsi="Arial" w:cs="Arial"/>
          <w:sz w:val="22"/>
          <w:szCs w:val="22"/>
        </w:rPr>
        <w:t>ateliers de danse. Les enfants et les jeunes sont encouragés à pratiquer l</w:t>
      </w:r>
      <w:r w:rsidR="009C104E">
        <w:rPr>
          <w:rFonts w:ascii="Arial" w:hAnsi="Arial" w:cs="Arial"/>
          <w:sz w:val="22"/>
          <w:szCs w:val="22"/>
        </w:rPr>
        <w:t>’</w:t>
      </w:r>
      <w:r w:rsidRPr="0001502D">
        <w:rPr>
          <w:rFonts w:ascii="Arial" w:hAnsi="Arial" w:cs="Arial"/>
          <w:sz w:val="22"/>
          <w:szCs w:val="22"/>
        </w:rPr>
        <w:t xml:space="preserve">élément dans les espaces spécialement créés dans les écoles ou lors de répétitions du boi. Les mesures de sauvegarde proposées incluent des initiatives de renforcement des capacités </w:t>
      </w:r>
      <w:sdt>
        <w:sdtPr>
          <w:rPr>
            <w:rFonts w:ascii="Arial" w:hAnsi="Arial" w:cs="Arial"/>
            <w:sz w:val="22"/>
            <w:szCs w:val="22"/>
          </w:rPr>
          <w:tag w:val="goog_rdk_26"/>
          <w:id w:val="-1054155446"/>
        </w:sdtPr>
        <w:sdtEndPr/>
        <w:sdtContent/>
      </w:sdt>
      <w:r w:rsidRPr="0001502D">
        <w:rPr>
          <w:rFonts w:ascii="Arial" w:hAnsi="Arial" w:cs="Arial"/>
          <w:sz w:val="22"/>
          <w:szCs w:val="22"/>
        </w:rPr>
        <w:t>des responsables et représentants des groupes ; des activités pédagogiques axées sur le patrimoine à l</w:t>
      </w:r>
      <w:r w:rsidR="009C104E">
        <w:rPr>
          <w:rFonts w:ascii="Arial" w:hAnsi="Arial" w:cs="Arial"/>
          <w:sz w:val="22"/>
          <w:szCs w:val="22"/>
        </w:rPr>
        <w:t>’</w:t>
      </w:r>
      <w:r w:rsidRPr="0001502D">
        <w:rPr>
          <w:rFonts w:ascii="Arial" w:hAnsi="Arial" w:cs="Arial"/>
          <w:sz w:val="22"/>
          <w:szCs w:val="22"/>
        </w:rPr>
        <w:t>intention des jeunes générations, des communautés, des responsables du secteur de l</w:t>
      </w:r>
      <w:r w:rsidR="009C104E">
        <w:rPr>
          <w:rFonts w:ascii="Arial" w:hAnsi="Arial" w:cs="Arial"/>
          <w:sz w:val="22"/>
          <w:szCs w:val="22"/>
        </w:rPr>
        <w:t>’</w:t>
      </w:r>
      <w:r w:rsidRPr="0001502D">
        <w:rPr>
          <w:rFonts w:ascii="Arial" w:hAnsi="Arial" w:cs="Arial"/>
          <w:sz w:val="22"/>
          <w:szCs w:val="22"/>
        </w:rPr>
        <w:t>éducation et des écoles ; des travaux de recherche et de documentation ; l</w:t>
      </w:r>
      <w:r w:rsidR="009C104E">
        <w:rPr>
          <w:rFonts w:ascii="Arial" w:hAnsi="Arial" w:cs="Arial"/>
          <w:sz w:val="22"/>
          <w:szCs w:val="22"/>
        </w:rPr>
        <w:t>’</w:t>
      </w:r>
      <w:r w:rsidRPr="0001502D">
        <w:rPr>
          <w:rFonts w:ascii="Arial" w:hAnsi="Arial" w:cs="Arial"/>
          <w:sz w:val="22"/>
          <w:szCs w:val="22"/>
        </w:rPr>
        <w:t>organisation d</w:t>
      </w:r>
      <w:r w:rsidR="009C104E">
        <w:rPr>
          <w:rFonts w:ascii="Arial" w:hAnsi="Arial" w:cs="Arial"/>
          <w:sz w:val="22"/>
          <w:szCs w:val="22"/>
        </w:rPr>
        <w:t>’</w:t>
      </w:r>
      <w:r w:rsidRPr="0001502D">
        <w:rPr>
          <w:rFonts w:ascii="Arial" w:hAnsi="Arial" w:cs="Arial"/>
          <w:sz w:val="22"/>
          <w:szCs w:val="22"/>
        </w:rPr>
        <w:t>ateliers de promotion et des publications. L</w:t>
      </w:r>
      <w:r w:rsidR="009C104E">
        <w:rPr>
          <w:rFonts w:ascii="Arial" w:hAnsi="Arial" w:cs="Arial"/>
          <w:sz w:val="22"/>
          <w:szCs w:val="22"/>
        </w:rPr>
        <w:t>’</w:t>
      </w:r>
      <w:r w:rsidRPr="0001502D">
        <w:rPr>
          <w:rFonts w:ascii="Arial" w:hAnsi="Arial" w:cs="Arial"/>
          <w:sz w:val="22"/>
          <w:szCs w:val="22"/>
        </w:rPr>
        <w:t>État partie soutiendra et coordonnera la mise en œuvre des mesures de sauvegarde avec les détenteurs, les représentants des différentes formes de bumba-meu-boi, ainsi que les représentants de plusieurs organismes publics et de la société civile engagés dans la sauvegarde de l</w:t>
      </w:r>
      <w:r w:rsidR="009C104E">
        <w:rPr>
          <w:rFonts w:ascii="Arial" w:hAnsi="Arial" w:cs="Arial"/>
          <w:sz w:val="22"/>
          <w:szCs w:val="22"/>
        </w:rPr>
        <w:t>’</w:t>
      </w:r>
      <w:r w:rsidRPr="0001502D">
        <w:rPr>
          <w:rFonts w:ascii="Arial" w:hAnsi="Arial" w:cs="Arial"/>
          <w:sz w:val="22"/>
          <w:szCs w:val="22"/>
        </w:rPr>
        <w:t>élément.</w:t>
      </w:r>
    </w:p>
    <w:p w14:paraId="081596A4" w14:textId="70063B90" w:rsidR="0001502D" w:rsidRPr="0001502D" w:rsidRDefault="0001502D" w:rsidP="002D425D">
      <w:pPr>
        <w:tabs>
          <w:tab w:val="left" w:pos="1134"/>
          <w:tab w:val="left" w:pos="2268"/>
        </w:tabs>
        <w:spacing w:before="120" w:after="120"/>
        <w:ind w:left="1134" w:hanging="555"/>
        <w:jc w:val="both"/>
        <w:rPr>
          <w:rFonts w:ascii="Arial" w:hAnsi="Arial" w:cs="Arial"/>
          <w:sz w:val="22"/>
          <w:szCs w:val="22"/>
        </w:rPr>
      </w:pPr>
      <w:r w:rsidRPr="0001502D">
        <w:rPr>
          <w:rFonts w:ascii="Arial" w:hAnsi="Arial" w:cs="Arial"/>
          <w:sz w:val="22"/>
          <w:szCs w:val="22"/>
        </w:rPr>
        <w:t>R.4 :</w:t>
      </w:r>
      <w:r w:rsidRPr="0001502D">
        <w:rPr>
          <w:rFonts w:ascii="Arial" w:hAnsi="Arial" w:cs="Arial"/>
          <w:sz w:val="22"/>
          <w:szCs w:val="22"/>
        </w:rPr>
        <w:tab/>
        <w:t>Les représentants des différents types de bumba-meu-boi ont tout de suite été impliqués par l</w:t>
      </w:r>
      <w:r w:rsidR="009C104E">
        <w:rPr>
          <w:rFonts w:ascii="Arial" w:hAnsi="Arial" w:cs="Arial"/>
          <w:sz w:val="22"/>
          <w:szCs w:val="22"/>
        </w:rPr>
        <w:t>’</w:t>
      </w:r>
      <w:r w:rsidRPr="0001502D">
        <w:rPr>
          <w:rFonts w:ascii="Arial" w:hAnsi="Arial" w:cs="Arial"/>
          <w:sz w:val="22"/>
          <w:szCs w:val="22"/>
        </w:rPr>
        <w:t>État brésilien dans le processus de reconnaissance de l</w:t>
      </w:r>
      <w:r w:rsidR="009C104E">
        <w:rPr>
          <w:rFonts w:ascii="Arial" w:hAnsi="Arial" w:cs="Arial"/>
          <w:sz w:val="22"/>
          <w:szCs w:val="22"/>
        </w:rPr>
        <w:t>’</w:t>
      </w:r>
      <w:r w:rsidRPr="0001502D">
        <w:rPr>
          <w:rFonts w:ascii="Arial" w:hAnsi="Arial" w:cs="Arial"/>
          <w:sz w:val="22"/>
          <w:szCs w:val="22"/>
        </w:rPr>
        <w:t>élément, par l</w:t>
      </w:r>
      <w:r w:rsidR="009C104E">
        <w:rPr>
          <w:rFonts w:ascii="Arial" w:hAnsi="Arial" w:cs="Arial"/>
          <w:sz w:val="22"/>
          <w:szCs w:val="22"/>
        </w:rPr>
        <w:t>’</w:t>
      </w:r>
      <w:r w:rsidRPr="0001502D">
        <w:rPr>
          <w:rFonts w:ascii="Arial" w:hAnsi="Arial" w:cs="Arial"/>
          <w:sz w:val="22"/>
          <w:szCs w:val="22"/>
        </w:rPr>
        <w:t>intermédiaire d</w:t>
      </w:r>
      <w:r w:rsidR="009C104E">
        <w:rPr>
          <w:rFonts w:ascii="Arial" w:hAnsi="Arial" w:cs="Arial"/>
          <w:sz w:val="22"/>
          <w:szCs w:val="22"/>
        </w:rPr>
        <w:t>’</w:t>
      </w:r>
      <w:r w:rsidRPr="0001502D">
        <w:rPr>
          <w:rFonts w:ascii="Arial" w:hAnsi="Arial" w:cs="Arial"/>
          <w:sz w:val="22"/>
          <w:szCs w:val="22"/>
        </w:rPr>
        <w:t>un groupe de travail. Ils ont donné leur consentement à l</w:t>
      </w:r>
      <w:r w:rsidR="009C104E">
        <w:rPr>
          <w:rFonts w:ascii="Arial" w:hAnsi="Arial" w:cs="Arial"/>
          <w:sz w:val="22"/>
          <w:szCs w:val="22"/>
        </w:rPr>
        <w:t>’</w:t>
      </w:r>
      <w:r w:rsidRPr="0001502D">
        <w:rPr>
          <w:rFonts w:ascii="Arial" w:hAnsi="Arial" w:cs="Arial"/>
          <w:sz w:val="22"/>
          <w:szCs w:val="22"/>
        </w:rPr>
        <w:t>inscription dans des déclarations filmées. Dans ces vidéos, ils soulignent l</w:t>
      </w:r>
      <w:r w:rsidR="009C104E">
        <w:rPr>
          <w:rFonts w:ascii="Arial" w:hAnsi="Arial" w:cs="Arial"/>
          <w:sz w:val="22"/>
          <w:szCs w:val="22"/>
        </w:rPr>
        <w:t>’</w:t>
      </w:r>
      <w:r w:rsidRPr="0001502D">
        <w:rPr>
          <w:rFonts w:ascii="Arial" w:hAnsi="Arial" w:cs="Arial"/>
          <w:sz w:val="22"/>
          <w:szCs w:val="22"/>
        </w:rPr>
        <w:t>importance d</w:t>
      </w:r>
      <w:r w:rsidR="009C104E">
        <w:rPr>
          <w:rFonts w:ascii="Arial" w:hAnsi="Arial" w:cs="Arial"/>
          <w:sz w:val="22"/>
          <w:szCs w:val="22"/>
        </w:rPr>
        <w:t>’</w:t>
      </w:r>
      <w:r w:rsidRPr="0001502D">
        <w:rPr>
          <w:rFonts w:ascii="Arial" w:hAnsi="Arial" w:cs="Arial"/>
          <w:sz w:val="22"/>
          <w:szCs w:val="22"/>
        </w:rPr>
        <w:t>une reconnaissance internationale pour le maintien de la pratique du bumba-meu-boi et réitèrent leur motivation et leur intérêt de voir cet élément culturel reconnu comme patrimoine culturel immatériel de l</w:t>
      </w:r>
      <w:r w:rsidR="009C104E">
        <w:rPr>
          <w:rFonts w:ascii="Arial" w:hAnsi="Arial" w:cs="Arial"/>
          <w:sz w:val="22"/>
          <w:szCs w:val="22"/>
        </w:rPr>
        <w:t>’</w:t>
      </w:r>
      <w:r w:rsidRPr="0001502D">
        <w:rPr>
          <w:rFonts w:ascii="Arial" w:hAnsi="Arial" w:cs="Arial"/>
          <w:sz w:val="22"/>
          <w:szCs w:val="22"/>
        </w:rPr>
        <w:t>humanité.</w:t>
      </w:r>
    </w:p>
    <w:p w14:paraId="3F40CAC0" w14:textId="3A27EC4A" w:rsidR="0001502D" w:rsidRPr="0001502D" w:rsidRDefault="0001502D" w:rsidP="002D425D">
      <w:pPr>
        <w:tabs>
          <w:tab w:val="left" w:pos="1134"/>
          <w:tab w:val="left" w:pos="2268"/>
        </w:tabs>
        <w:spacing w:before="120" w:after="120"/>
        <w:ind w:left="1134" w:hanging="555"/>
        <w:jc w:val="both"/>
        <w:rPr>
          <w:rFonts w:ascii="Arial" w:hAnsi="Arial" w:cs="Arial"/>
          <w:sz w:val="22"/>
          <w:szCs w:val="22"/>
        </w:rPr>
      </w:pPr>
      <w:r w:rsidRPr="0001502D">
        <w:rPr>
          <w:rFonts w:ascii="Arial" w:hAnsi="Arial" w:cs="Arial"/>
          <w:sz w:val="22"/>
          <w:szCs w:val="22"/>
        </w:rPr>
        <w:t>R.5 :</w:t>
      </w:r>
      <w:r w:rsidRPr="0001502D">
        <w:rPr>
          <w:rFonts w:ascii="Arial" w:hAnsi="Arial" w:cs="Arial"/>
          <w:sz w:val="22"/>
          <w:szCs w:val="22"/>
        </w:rPr>
        <w:tab/>
        <w:t>L</w:t>
      </w:r>
      <w:r w:rsidR="009C104E">
        <w:rPr>
          <w:rFonts w:ascii="Arial" w:hAnsi="Arial" w:cs="Arial"/>
          <w:sz w:val="22"/>
          <w:szCs w:val="22"/>
        </w:rPr>
        <w:t>’</w:t>
      </w:r>
      <w:r w:rsidRPr="0001502D">
        <w:rPr>
          <w:rFonts w:ascii="Arial" w:hAnsi="Arial" w:cs="Arial"/>
          <w:sz w:val="22"/>
          <w:szCs w:val="22"/>
        </w:rPr>
        <w:t>élément a été inclus dans l</w:t>
      </w:r>
      <w:r w:rsidR="009C104E">
        <w:rPr>
          <w:rFonts w:ascii="Arial" w:hAnsi="Arial" w:cs="Arial"/>
          <w:sz w:val="22"/>
          <w:szCs w:val="22"/>
        </w:rPr>
        <w:t>’</w:t>
      </w:r>
      <w:r w:rsidRPr="0001502D">
        <w:rPr>
          <w:rFonts w:ascii="Arial" w:hAnsi="Arial" w:cs="Arial"/>
          <w:sz w:val="22"/>
          <w:szCs w:val="22"/>
        </w:rPr>
        <w:t>Inventaire national des références culturelles (INRC) du bumba-meu-boi du Maranhão pour la première fois en 2004. Cet inventaire a été mis à jour en 2008. Au cours des processus d</w:t>
      </w:r>
      <w:r w:rsidR="009C104E">
        <w:rPr>
          <w:rFonts w:ascii="Arial" w:hAnsi="Arial" w:cs="Arial"/>
          <w:sz w:val="22"/>
          <w:szCs w:val="22"/>
        </w:rPr>
        <w:t>’</w:t>
      </w:r>
      <w:r w:rsidRPr="0001502D">
        <w:rPr>
          <w:rFonts w:ascii="Arial" w:hAnsi="Arial" w:cs="Arial"/>
          <w:sz w:val="22"/>
          <w:szCs w:val="22"/>
        </w:rPr>
        <w:t>identification et de définition de l</w:t>
      </w:r>
      <w:r w:rsidR="009C104E">
        <w:rPr>
          <w:rFonts w:ascii="Arial" w:hAnsi="Arial" w:cs="Arial"/>
          <w:sz w:val="22"/>
          <w:szCs w:val="22"/>
        </w:rPr>
        <w:t>’</w:t>
      </w:r>
      <w:r w:rsidRPr="0001502D">
        <w:rPr>
          <w:rFonts w:ascii="Arial" w:hAnsi="Arial" w:cs="Arial"/>
          <w:sz w:val="22"/>
          <w:szCs w:val="22"/>
        </w:rPr>
        <w:t>élément, la participation des détenteurs a été assurée par la création, en 2007, d</w:t>
      </w:r>
      <w:r w:rsidR="009C104E">
        <w:rPr>
          <w:rFonts w:ascii="Arial" w:hAnsi="Arial" w:cs="Arial"/>
          <w:sz w:val="22"/>
          <w:szCs w:val="22"/>
        </w:rPr>
        <w:t>’</w:t>
      </w:r>
      <w:r w:rsidRPr="0001502D">
        <w:rPr>
          <w:rFonts w:ascii="Arial" w:hAnsi="Arial" w:cs="Arial"/>
          <w:sz w:val="22"/>
          <w:szCs w:val="22"/>
        </w:rPr>
        <w:t>une Commission pro-déclaration réunissant les représentants des autorités publiques et de groupes de bumba-meu-boi, élus lors de réunions organisées par l</w:t>
      </w:r>
      <w:r w:rsidR="009C104E">
        <w:rPr>
          <w:rFonts w:ascii="Arial" w:hAnsi="Arial" w:cs="Arial"/>
          <w:sz w:val="22"/>
          <w:szCs w:val="22"/>
        </w:rPr>
        <w:t>’</w:t>
      </w:r>
      <w:r w:rsidRPr="0001502D">
        <w:rPr>
          <w:rFonts w:ascii="Arial" w:hAnsi="Arial" w:cs="Arial"/>
          <w:sz w:val="22"/>
          <w:szCs w:val="22"/>
        </w:rPr>
        <w:t>Institut du patrimoine historique et artistique national.</w:t>
      </w:r>
    </w:p>
    <w:p w14:paraId="33AEF1EE" w14:textId="1C924910" w:rsidR="0001502D" w:rsidRPr="0001502D" w:rsidRDefault="0001502D" w:rsidP="00771F30">
      <w:pPr>
        <w:numPr>
          <w:ilvl w:val="1"/>
          <w:numId w:val="32"/>
        </w:numPr>
        <w:pBdr>
          <w:top w:val="nil"/>
          <w:left w:val="nil"/>
          <w:bottom w:val="nil"/>
          <w:right w:val="nil"/>
          <w:between w:val="nil"/>
        </w:pBdr>
        <w:tabs>
          <w:tab w:val="left" w:pos="1701"/>
          <w:tab w:val="left" w:pos="2268"/>
        </w:tabs>
        <w:spacing w:before="120" w:after="120"/>
        <w:ind w:left="567"/>
        <w:jc w:val="both"/>
        <w:rPr>
          <w:rFonts w:ascii="Arial" w:eastAsia="Arial" w:hAnsi="Arial" w:cs="Arial"/>
          <w:color w:val="000000"/>
          <w:sz w:val="22"/>
          <w:szCs w:val="22"/>
        </w:rPr>
      </w:pPr>
      <w:r w:rsidRPr="0001502D">
        <w:rPr>
          <w:rFonts w:ascii="Arial" w:hAnsi="Arial" w:cs="Arial"/>
          <w:color w:val="000000"/>
          <w:sz w:val="22"/>
          <w:szCs w:val="22"/>
          <w:u w:val="single"/>
        </w:rPr>
        <w:t>Décide d</w:t>
      </w:r>
      <w:r w:rsidR="009C104E">
        <w:rPr>
          <w:rFonts w:ascii="Arial" w:hAnsi="Arial" w:cs="Arial"/>
          <w:color w:val="000000"/>
          <w:sz w:val="22"/>
          <w:szCs w:val="22"/>
          <w:u w:val="single"/>
        </w:rPr>
        <w:t>’</w:t>
      </w:r>
      <w:r w:rsidRPr="0001502D">
        <w:rPr>
          <w:rFonts w:ascii="Arial" w:hAnsi="Arial" w:cs="Arial"/>
          <w:color w:val="000000"/>
          <w:sz w:val="22"/>
          <w:szCs w:val="22"/>
          <w:u w:val="single"/>
        </w:rPr>
        <w:t>inscrire</w:t>
      </w:r>
      <w:r w:rsidRPr="0001502D">
        <w:rPr>
          <w:rFonts w:ascii="Arial" w:hAnsi="Arial" w:cs="Arial"/>
          <w:sz w:val="22"/>
          <w:szCs w:val="22"/>
        </w:rPr>
        <w:t xml:space="preserve"> </w:t>
      </w:r>
      <w:r w:rsidRPr="0001502D">
        <w:rPr>
          <w:rFonts w:ascii="Arial" w:hAnsi="Arial" w:cs="Arial"/>
          <w:b/>
          <w:bCs/>
          <w:color w:val="000000"/>
          <w:sz w:val="22"/>
          <w:szCs w:val="22"/>
        </w:rPr>
        <w:t>le complexe culturel du bumba-meu-boi du Maranhão</w:t>
      </w:r>
      <w:r w:rsidRPr="0001502D">
        <w:rPr>
          <w:rFonts w:ascii="Arial" w:hAnsi="Arial" w:cs="Arial"/>
          <w:color w:val="000000"/>
          <w:sz w:val="22"/>
          <w:szCs w:val="22"/>
        </w:rPr>
        <w:t xml:space="preserve"> sur la Liste représentative du patrimoine culturel immatériel de l</w:t>
      </w:r>
      <w:r w:rsidR="009C104E">
        <w:rPr>
          <w:rFonts w:ascii="Arial" w:hAnsi="Arial" w:cs="Arial"/>
          <w:color w:val="000000"/>
          <w:sz w:val="22"/>
          <w:szCs w:val="22"/>
        </w:rPr>
        <w:t>’</w:t>
      </w:r>
      <w:r w:rsidRPr="0001502D">
        <w:rPr>
          <w:rFonts w:ascii="Arial" w:hAnsi="Arial" w:cs="Arial"/>
          <w:color w:val="000000"/>
          <w:sz w:val="22"/>
          <w:szCs w:val="22"/>
        </w:rPr>
        <w:t>humanité ;</w:t>
      </w:r>
    </w:p>
    <w:p w14:paraId="59840A8E" w14:textId="3FD5A17F" w:rsidR="0001502D" w:rsidRPr="0001502D" w:rsidRDefault="0001502D" w:rsidP="00771F30">
      <w:pPr>
        <w:numPr>
          <w:ilvl w:val="1"/>
          <w:numId w:val="32"/>
        </w:numPr>
        <w:pBdr>
          <w:top w:val="nil"/>
          <w:left w:val="nil"/>
          <w:bottom w:val="nil"/>
          <w:right w:val="nil"/>
          <w:between w:val="nil"/>
        </w:pBdr>
        <w:tabs>
          <w:tab w:val="left" w:pos="1701"/>
          <w:tab w:val="left" w:pos="2268"/>
        </w:tabs>
        <w:spacing w:before="120" w:after="120"/>
        <w:ind w:left="567"/>
        <w:jc w:val="both"/>
        <w:rPr>
          <w:rFonts w:ascii="Arial" w:eastAsia="Arial" w:hAnsi="Arial" w:cs="Arial"/>
          <w:color w:val="000000"/>
          <w:sz w:val="22"/>
          <w:szCs w:val="22"/>
        </w:rPr>
      </w:pPr>
      <w:r w:rsidRPr="0001502D">
        <w:rPr>
          <w:rFonts w:ascii="Arial" w:hAnsi="Arial" w:cs="Arial"/>
          <w:sz w:val="22"/>
          <w:szCs w:val="22"/>
          <w:u w:val="single"/>
        </w:rPr>
        <w:t>Félicite</w:t>
      </w:r>
      <w:r w:rsidRPr="0001502D">
        <w:rPr>
          <w:rFonts w:ascii="Arial" w:hAnsi="Arial" w:cs="Arial"/>
          <w:sz w:val="22"/>
          <w:szCs w:val="22"/>
        </w:rPr>
        <w:t xml:space="preserve"> l</w:t>
      </w:r>
      <w:r w:rsidR="009C104E">
        <w:rPr>
          <w:rFonts w:ascii="Arial" w:hAnsi="Arial" w:cs="Arial"/>
          <w:sz w:val="22"/>
          <w:szCs w:val="22"/>
        </w:rPr>
        <w:t>’</w:t>
      </w:r>
      <w:r w:rsidRPr="0001502D">
        <w:rPr>
          <w:rFonts w:ascii="Arial" w:hAnsi="Arial" w:cs="Arial"/>
          <w:sz w:val="22"/>
          <w:szCs w:val="22"/>
        </w:rPr>
        <w:t>État partie d</w:t>
      </w:r>
      <w:r w:rsidR="009C104E">
        <w:rPr>
          <w:rFonts w:ascii="Arial" w:hAnsi="Arial" w:cs="Arial"/>
          <w:sz w:val="22"/>
          <w:szCs w:val="22"/>
        </w:rPr>
        <w:t>’</w:t>
      </w:r>
      <w:r w:rsidRPr="0001502D">
        <w:rPr>
          <w:rFonts w:ascii="Arial" w:hAnsi="Arial" w:cs="Arial"/>
          <w:sz w:val="22"/>
          <w:szCs w:val="22"/>
        </w:rPr>
        <w:t>avoir fourni des preuves du consentement de la communauté par le biais de formats personnalisés plutôt que standardisés, notamment en utilisant des vidéos.</w:t>
      </w:r>
    </w:p>
    <w:p w14:paraId="3995D449" w14:textId="34126948" w:rsidR="0001502D" w:rsidRPr="0001502D" w:rsidRDefault="0001502D" w:rsidP="00EA61FD">
      <w:pPr>
        <w:keepNext/>
        <w:keepLines/>
        <w:spacing w:before="360" w:after="120"/>
        <w:outlineLvl w:val="1"/>
        <w:rPr>
          <w:rFonts w:ascii="Arial" w:hAnsi="Arial" w:cs="Arial"/>
          <w:bCs/>
          <w:iCs/>
          <w:sz w:val="22"/>
          <w:szCs w:val="22"/>
        </w:rPr>
      </w:pPr>
      <w:bookmarkStart w:id="12" w:name="Decision_10b8"/>
      <w:r w:rsidRPr="0001502D">
        <w:rPr>
          <w:rFonts w:ascii="Arial" w:hAnsi="Arial" w:cs="Arial"/>
          <w:b/>
          <w:bCs/>
          <w:iCs/>
          <w:sz w:val="22"/>
          <w:szCs w:val="22"/>
        </w:rPr>
        <w:t>DÉCISION 14.COM 10.b.8</w:t>
      </w:r>
    </w:p>
    <w:bookmarkEnd w:id="12"/>
    <w:p w14:paraId="43FDC12C" w14:textId="77777777" w:rsidR="0001502D" w:rsidRPr="0001502D" w:rsidRDefault="0001502D" w:rsidP="002D425D">
      <w:pPr>
        <w:keepNext/>
        <w:pBdr>
          <w:top w:val="nil"/>
          <w:left w:val="nil"/>
          <w:bottom w:val="nil"/>
          <w:right w:val="nil"/>
          <w:between w:val="nil"/>
        </w:pBdr>
        <w:tabs>
          <w:tab w:val="left" w:pos="567"/>
          <w:tab w:val="left" w:pos="1134"/>
          <w:tab w:val="left" w:pos="1701"/>
          <w:tab w:val="left" w:pos="2268"/>
        </w:tabs>
        <w:spacing w:before="120" w:after="120"/>
        <w:jc w:val="both"/>
        <w:rPr>
          <w:rFonts w:ascii="Arial" w:eastAsia="Arial" w:hAnsi="Arial" w:cs="Arial"/>
          <w:color w:val="000000"/>
          <w:sz w:val="22"/>
          <w:szCs w:val="22"/>
        </w:rPr>
      </w:pPr>
      <w:r w:rsidRPr="0001502D">
        <w:rPr>
          <w:rFonts w:ascii="Arial" w:hAnsi="Arial" w:cs="Arial"/>
          <w:color w:val="000000"/>
          <w:sz w:val="22"/>
          <w:szCs w:val="22"/>
        </w:rPr>
        <w:t>Le Comité,</w:t>
      </w:r>
    </w:p>
    <w:p w14:paraId="78E887DA" w14:textId="28D656B3" w:rsidR="0001502D" w:rsidRPr="0001502D" w:rsidRDefault="0001502D" w:rsidP="00771F30">
      <w:pPr>
        <w:numPr>
          <w:ilvl w:val="1"/>
          <w:numId w:val="33"/>
        </w:numPr>
        <w:pBdr>
          <w:top w:val="nil"/>
          <w:left w:val="nil"/>
          <w:bottom w:val="nil"/>
          <w:right w:val="nil"/>
          <w:between w:val="nil"/>
        </w:pBdr>
        <w:tabs>
          <w:tab w:val="left" w:pos="567"/>
          <w:tab w:val="left" w:pos="1701"/>
          <w:tab w:val="left" w:pos="2268"/>
        </w:tabs>
        <w:spacing w:before="120" w:after="120"/>
        <w:ind w:left="567"/>
        <w:jc w:val="both"/>
        <w:rPr>
          <w:rFonts w:ascii="Arial" w:eastAsia="Arial" w:hAnsi="Arial" w:cs="Arial"/>
          <w:color w:val="000000"/>
          <w:sz w:val="22"/>
          <w:szCs w:val="22"/>
        </w:rPr>
      </w:pPr>
      <w:r w:rsidRPr="0001502D">
        <w:rPr>
          <w:rFonts w:ascii="Arial" w:hAnsi="Arial" w:cs="Arial"/>
          <w:color w:val="000000"/>
          <w:sz w:val="22"/>
          <w:szCs w:val="22"/>
          <w:u w:val="single"/>
        </w:rPr>
        <w:t>Prend note</w:t>
      </w:r>
      <w:r w:rsidRPr="0001502D">
        <w:rPr>
          <w:rFonts w:ascii="Arial" w:hAnsi="Arial" w:cs="Arial"/>
          <w:color w:val="000000"/>
          <w:sz w:val="22"/>
          <w:szCs w:val="22"/>
        </w:rPr>
        <w:t xml:space="preserve"> que Cabo Verde a proposé la candidature de </w:t>
      </w:r>
      <w:r w:rsidRPr="0001502D">
        <w:rPr>
          <w:rFonts w:ascii="Arial" w:hAnsi="Arial" w:cs="Arial"/>
          <w:b/>
          <w:bCs/>
          <w:color w:val="000000"/>
          <w:sz w:val="22"/>
          <w:szCs w:val="22"/>
        </w:rPr>
        <w:t>la morna, pratique musicale de Cabo Verde</w:t>
      </w:r>
      <w:r w:rsidRPr="0001502D">
        <w:rPr>
          <w:rFonts w:ascii="Arial" w:hAnsi="Arial" w:cs="Arial"/>
          <w:color w:val="000000"/>
          <w:sz w:val="22"/>
          <w:szCs w:val="22"/>
        </w:rPr>
        <w:t xml:space="preserve"> (n° 01469) pour inscription sur la Liste représentative du patrimoine culturel immatériel de l</w:t>
      </w:r>
      <w:r w:rsidR="009C104E">
        <w:rPr>
          <w:rFonts w:ascii="Arial" w:hAnsi="Arial" w:cs="Arial"/>
          <w:color w:val="000000"/>
          <w:sz w:val="22"/>
          <w:szCs w:val="22"/>
        </w:rPr>
        <w:t>’</w:t>
      </w:r>
      <w:r w:rsidRPr="0001502D">
        <w:rPr>
          <w:rFonts w:ascii="Arial" w:hAnsi="Arial" w:cs="Arial"/>
          <w:color w:val="000000"/>
          <w:sz w:val="22"/>
          <w:szCs w:val="22"/>
        </w:rPr>
        <w:t>humanité :</w:t>
      </w:r>
    </w:p>
    <w:p w14:paraId="0BB0B25B" w14:textId="16B36AD3" w:rsidR="0001502D" w:rsidRPr="0001502D" w:rsidRDefault="0001502D" w:rsidP="002D425D">
      <w:pPr>
        <w:tabs>
          <w:tab w:val="left" w:pos="567"/>
          <w:tab w:val="left" w:pos="1701"/>
          <w:tab w:val="left" w:pos="2268"/>
        </w:tabs>
        <w:spacing w:before="120" w:after="120"/>
        <w:ind w:left="567"/>
        <w:jc w:val="both"/>
        <w:rPr>
          <w:rFonts w:ascii="Arial" w:hAnsi="Arial" w:cs="Arial"/>
          <w:sz w:val="22"/>
          <w:szCs w:val="22"/>
        </w:rPr>
      </w:pPr>
      <w:r w:rsidRPr="0001502D">
        <w:rPr>
          <w:rFonts w:ascii="Arial" w:hAnsi="Arial" w:cs="Arial"/>
          <w:sz w:val="22"/>
          <w:szCs w:val="22"/>
        </w:rPr>
        <w:t>La morna, pratique musicale de Cabo Verde, est une pratique musicale et chorégraphique traditionnelle de Cabo Verde qui intègre de la musique, des chants, de la poésie et de la danse. Elle peut être chantée ou interprétée avec des instruments, principalement à cordes : guitare, violon, guitare à dix cordes – remplacée par un cavaquinho au XX</w:t>
      </w:r>
      <w:r w:rsidRPr="0001502D">
        <w:rPr>
          <w:rFonts w:ascii="Arial" w:hAnsi="Arial" w:cs="Arial"/>
          <w:sz w:val="22"/>
          <w:szCs w:val="22"/>
          <w:vertAlign w:val="superscript"/>
        </w:rPr>
        <w:t>e</w:t>
      </w:r>
      <w:r w:rsidRPr="0001502D">
        <w:rPr>
          <w:rFonts w:ascii="Arial" w:hAnsi="Arial" w:cs="Arial"/>
          <w:sz w:val="22"/>
          <w:szCs w:val="22"/>
        </w:rPr>
        <w:t xml:space="preserve"> siècle – et ukulélé. Plusieurs autres instruments sont désormais utilisés (comme le piano, les percussions et la basse) mais la guitare reste l</w:t>
      </w:r>
      <w:r w:rsidR="009C104E">
        <w:rPr>
          <w:rFonts w:ascii="Arial" w:hAnsi="Arial" w:cs="Arial"/>
          <w:sz w:val="22"/>
          <w:szCs w:val="22"/>
        </w:rPr>
        <w:t>’</w:t>
      </w:r>
      <w:r w:rsidRPr="0001502D">
        <w:rPr>
          <w:rFonts w:ascii="Arial" w:hAnsi="Arial" w:cs="Arial"/>
          <w:sz w:val="22"/>
          <w:szCs w:val="22"/>
        </w:rPr>
        <w:t>instrument de prédilection. Les paroles, empreintes de poésie, sont parfois improvisées. Elles abordent des thèmes tels que l</w:t>
      </w:r>
      <w:r w:rsidR="009C104E">
        <w:rPr>
          <w:rFonts w:ascii="Arial" w:hAnsi="Arial" w:cs="Arial"/>
          <w:sz w:val="22"/>
          <w:szCs w:val="22"/>
        </w:rPr>
        <w:t>’</w:t>
      </w:r>
      <w:r w:rsidRPr="0001502D">
        <w:rPr>
          <w:rFonts w:ascii="Arial" w:hAnsi="Arial" w:cs="Arial"/>
          <w:sz w:val="22"/>
          <w:szCs w:val="22"/>
        </w:rPr>
        <w:t>amour, le départ, la séparation, les retrouvailles, la nostalgie, l</w:t>
      </w:r>
      <w:r w:rsidR="009C104E">
        <w:rPr>
          <w:rFonts w:ascii="Arial" w:hAnsi="Arial" w:cs="Arial"/>
          <w:sz w:val="22"/>
          <w:szCs w:val="22"/>
        </w:rPr>
        <w:t>’</w:t>
      </w:r>
      <w:r w:rsidRPr="0001502D">
        <w:rPr>
          <w:rFonts w:ascii="Arial" w:hAnsi="Arial" w:cs="Arial"/>
          <w:sz w:val="22"/>
          <w:szCs w:val="22"/>
        </w:rPr>
        <w:t>océan et la patrie. Autrefois, les paroles étaient aussi écrites en portugais, mais aujourd</w:t>
      </w:r>
      <w:r w:rsidR="009C104E">
        <w:rPr>
          <w:rFonts w:ascii="Arial" w:hAnsi="Arial" w:cs="Arial"/>
          <w:sz w:val="22"/>
          <w:szCs w:val="22"/>
        </w:rPr>
        <w:t>’</w:t>
      </w:r>
      <w:r w:rsidRPr="0001502D">
        <w:rPr>
          <w:rFonts w:ascii="Arial" w:hAnsi="Arial" w:cs="Arial"/>
          <w:sz w:val="22"/>
          <w:szCs w:val="22"/>
        </w:rPr>
        <w:t>hui elles sont surtout rédigées en créole cap-verdien. Les détenteurs et les praticiens de l</w:t>
      </w:r>
      <w:r w:rsidR="009C104E">
        <w:rPr>
          <w:rFonts w:ascii="Arial" w:hAnsi="Arial" w:cs="Arial"/>
          <w:sz w:val="22"/>
          <w:szCs w:val="22"/>
        </w:rPr>
        <w:t>’</w:t>
      </w:r>
      <w:r w:rsidRPr="0001502D">
        <w:rPr>
          <w:rFonts w:ascii="Arial" w:hAnsi="Arial" w:cs="Arial"/>
          <w:sz w:val="22"/>
          <w:szCs w:val="22"/>
        </w:rPr>
        <w:t>élément sont les musiciens, les chanteurs, les poètes et les compositeurs qui pratiquent ce genre musical, le diffusent et le transmettent aux jeunes générations. Actuellement, plusieurs détenteurs ont ouvert des centres dédiés à l</w:t>
      </w:r>
      <w:r w:rsidR="009C104E">
        <w:rPr>
          <w:rFonts w:ascii="Arial" w:hAnsi="Arial" w:cs="Arial"/>
          <w:sz w:val="22"/>
          <w:szCs w:val="22"/>
        </w:rPr>
        <w:t>’</w:t>
      </w:r>
      <w:r w:rsidRPr="0001502D">
        <w:rPr>
          <w:rFonts w:ascii="Arial" w:hAnsi="Arial" w:cs="Arial"/>
          <w:sz w:val="22"/>
          <w:szCs w:val="22"/>
        </w:rPr>
        <w:t>apprentissage de la morna qui, en tant que genre musical, est également pratiquée par des groupes formels. La morna joue un rôle fondamental dans la vie sociale et culturelle des Cap-Verdiens, car elle accompagne tous les grands événements : mariages, baptêmes, réunions de famille, etc. La transmission est assurée par la communauté au moyen d</w:t>
      </w:r>
      <w:r w:rsidR="009C104E">
        <w:rPr>
          <w:rFonts w:ascii="Arial" w:hAnsi="Arial" w:cs="Arial"/>
          <w:sz w:val="22"/>
          <w:szCs w:val="22"/>
        </w:rPr>
        <w:t>’</w:t>
      </w:r>
      <w:r w:rsidRPr="0001502D">
        <w:rPr>
          <w:rFonts w:ascii="Arial" w:hAnsi="Arial" w:cs="Arial"/>
          <w:sz w:val="22"/>
          <w:szCs w:val="22"/>
        </w:rPr>
        <w:t>ateliers, d</w:t>
      </w:r>
      <w:r w:rsidR="009C104E">
        <w:rPr>
          <w:rFonts w:ascii="Arial" w:hAnsi="Arial" w:cs="Arial"/>
          <w:sz w:val="22"/>
          <w:szCs w:val="22"/>
        </w:rPr>
        <w:t>’</w:t>
      </w:r>
      <w:r w:rsidRPr="0001502D">
        <w:rPr>
          <w:rFonts w:ascii="Arial" w:hAnsi="Arial" w:cs="Arial"/>
          <w:sz w:val="22"/>
          <w:szCs w:val="22"/>
        </w:rPr>
        <w:t>émissions radiophoniques, de représentations, de festivals et d</w:t>
      </w:r>
      <w:r w:rsidR="009C104E">
        <w:rPr>
          <w:rFonts w:ascii="Arial" w:hAnsi="Arial" w:cs="Arial"/>
          <w:sz w:val="22"/>
          <w:szCs w:val="22"/>
        </w:rPr>
        <w:t>’</w:t>
      </w:r>
      <w:r w:rsidRPr="0001502D">
        <w:rPr>
          <w:rFonts w:ascii="Arial" w:hAnsi="Arial" w:cs="Arial"/>
          <w:sz w:val="22"/>
          <w:szCs w:val="22"/>
        </w:rPr>
        <w:t>un concours musical intitulé « Todo Mundo Canta », organisé sur chaque île.</w:t>
      </w:r>
    </w:p>
    <w:p w14:paraId="14B6FFCA" w14:textId="289519FD" w:rsidR="0001502D" w:rsidRPr="0001502D" w:rsidRDefault="0001502D" w:rsidP="00771F30">
      <w:pPr>
        <w:keepNext/>
        <w:numPr>
          <w:ilvl w:val="1"/>
          <w:numId w:val="33"/>
        </w:numPr>
        <w:pBdr>
          <w:top w:val="nil"/>
          <w:left w:val="nil"/>
          <w:bottom w:val="nil"/>
          <w:right w:val="nil"/>
          <w:between w:val="nil"/>
        </w:pBdr>
        <w:tabs>
          <w:tab w:val="left" w:pos="567"/>
          <w:tab w:val="left" w:pos="1701"/>
          <w:tab w:val="left" w:pos="2268"/>
        </w:tabs>
        <w:spacing w:before="120" w:after="120"/>
        <w:ind w:left="567"/>
        <w:jc w:val="both"/>
        <w:rPr>
          <w:rFonts w:ascii="Arial" w:eastAsia="Arial" w:hAnsi="Arial" w:cs="Arial"/>
          <w:color w:val="000000"/>
          <w:sz w:val="22"/>
          <w:szCs w:val="22"/>
        </w:rPr>
      </w:pPr>
      <w:r w:rsidRPr="0001502D">
        <w:rPr>
          <w:rFonts w:ascii="Arial" w:hAnsi="Arial" w:cs="Arial"/>
          <w:color w:val="000000"/>
          <w:sz w:val="22"/>
          <w:szCs w:val="22"/>
          <w:u w:val="single"/>
        </w:rPr>
        <w:t>Estime</w:t>
      </w:r>
      <w:r w:rsidRPr="0001502D">
        <w:rPr>
          <w:rFonts w:ascii="Arial" w:hAnsi="Arial" w:cs="Arial"/>
          <w:color w:val="000000"/>
          <w:sz w:val="22"/>
          <w:szCs w:val="22"/>
        </w:rPr>
        <w:t xml:space="preserve"> que, d</w:t>
      </w:r>
      <w:r w:rsidR="009C104E">
        <w:rPr>
          <w:rFonts w:ascii="Arial" w:hAnsi="Arial" w:cs="Arial"/>
          <w:color w:val="000000"/>
          <w:sz w:val="22"/>
          <w:szCs w:val="22"/>
        </w:rPr>
        <w:t>’</w:t>
      </w:r>
      <w:r w:rsidRPr="0001502D">
        <w:rPr>
          <w:rFonts w:ascii="Arial" w:hAnsi="Arial" w:cs="Arial"/>
          <w:color w:val="000000"/>
          <w:sz w:val="22"/>
          <w:szCs w:val="22"/>
        </w:rPr>
        <w:t>après les informations contenues dans le dossier, la candidature satisfait aux critères d</w:t>
      </w:r>
      <w:r w:rsidR="009C104E">
        <w:rPr>
          <w:rFonts w:ascii="Arial" w:hAnsi="Arial" w:cs="Arial"/>
          <w:color w:val="000000"/>
          <w:sz w:val="22"/>
          <w:szCs w:val="22"/>
        </w:rPr>
        <w:t>’</w:t>
      </w:r>
      <w:r w:rsidRPr="0001502D">
        <w:rPr>
          <w:rFonts w:ascii="Arial" w:hAnsi="Arial" w:cs="Arial"/>
          <w:color w:val="000000"/>
          <w:sz w:val="22"/>
          <w:szCs w:val="22"/>
        </w:rPr>
        <w:t>inscription sur la Liste représentative du patrimoine culturel immatériel de l</w:t>
      </w:r>
      <w:r w:rsidR="009C104E">
        <w:rPr>
          <w:rFonts w:ascii="Arial" w:hAnsi="Arial" w:cs="Arial"/>
          <w:color w:val="000000"/>
          <w:sz w:val="22"/>
          <w:szCs w:val="22"/>
        </w:rPr>
        <w:t>’</w:t>
      </w:r>
      <w:r w:rsidRPr="0001502D">
        <w:rPr>
          <w:rFonts w:ascii="Arial" w:hAnsi="Arial" w:cs="Arial"/>
          <w:color w:val="000000"/>
          <w:sz w:val="22"/>
          <w:szCs w:val="22"/>
        </w:rPr>
        <w:t>humanité comme suit :</w:t>
      </w:r>
    </w:p>
    <w:p w14:paraId="4B7F9ABC" w14:textId="1D70332A" w:rsidR="0001502D" w:rsidRPr="0001502D" w:rsidRDefault="0001502D" w:rsidP="002D425D">
      <w:pPr>
        <w:tabs>
          <w:tab w:val="left" w:pos="1134"/>
          <w:tab w:val="left" w:pos="2268"/>
        </w:tabs>
        <w:spacing w:before="120" w:after="120"/>
        <w:ind w:left="1134" w:hanging="555"/>
        <w:jc w:val="both"/>
        <w:rPr>
          <w:rFonts w:ascii="Arial" w:hAnsi="Arial" w:cs="Arial"/>
          <w:sz w:val="22"/>
          <w:szCs w:val="22"/>
        </w:rPr>
      </w:pPr>
      <w:r w:rsidRPr="0001502D">
        <w:rPr>
          <w:rFonts w:ascii="Arial" w:hAnsi="Arial" w:cs="Arial"/>
          <w:sz w:val="22"/>
          <w:szCs w:val="22"/>
        </w:rPr>
        <w:t>R.1 :</w:t>
      </w:r>
      <w:r w:rsidRPr="0001502D">
        <w:rPr>
          <w:rFonts w:ascii="Arial" w:hAnsi="Arial" w:cs="Arial"/>
          <w:sz w:val="22"/>
          <w:szCs w:val="22"/>
        </w:rPr>
        <w:tab/>
        <w:t xml:space="preserve">La morna </w:t>
      </w:r>
      <w:sdt>
        <w:sdtPr>
          <w:rPr>
            <w:rFonts w:ascii="Arial" w:hAnsi="Arial" w:cs="Arial"/>
            <w:sz w:val="22"/>
            <w:szCs w:val="22"/>
          </w:rPr>
          <w:tag w:val="goog_rdk_28"/>
          <w:id w:val="-437219504"/>
        </w:sdtPr>
        <w:sdtEndPr/>
        <w:sdtContent/>
      </w:sdt>
      <w:r w:rsidRPr="0001502D">
        <w:rPr>
          <w:rFonts w:ascii="Arial" w:hAnsi="Arial" w:cs="Arial"/>
          <w:sz w:val="22"/>
          <w:szCs w:val="22"/>
        </w:rPr>
        <w:t>est un marqueur social et culturel de l</w:t>
      </w:r>
      <w:r w:rsidR="009C104E">
        <w:rPr>
          <w:rFonts w:ascii="Arial" w:hAnsi="Arial" w:cs="Arial"/>
          <w:sz w:val="22"/>
          <w:szCs w:val="22"/>
        </w:rPr>
        <w:t>’</w:t>
      </w:r>
      <w:r w:rsidRPr="0001502D">
        <w:rPr>
          <w:rFonts w:ascii="Arial" w:hAnsi="Arial" w:cs="Arial"/>
          <w:sz w:val="22"/>
          <w:szCs w:val="22"/>
        </w:rPr>
        <w:t>archipel de Cabo Verde. C</w:t>
      </w:r>
      <w:r w:rsidR="009C104E">
        <w:rPr>
          <w:rFonts w:ascii="Arial" w:hAnsi="Arial" w:cs="Arial"/>
          <w:sz w:val="22"/>
          <w:szCs w:val="22"/>
        </w:rPr>
        <w:t>’</w:t>
      </w:r>
      <w:r w:rsidRPr="0001502D">
        <w:rPr>
          <w:rFonts w:ascii="Arial" w:hAnsi="Arial" w:cs="Arial"/>
          <w:sz w:val="22"/>
          <w:szCs w:val="22"/>
        </w:rPr>
        <w:t>est une manifestation de l</w:t>
      </w:r>
      <w:r w:rsidR="009C104E">
        <w:rPr>
          <w:rFonts w:ascii="Arial" w:hAnsi="Arial" w:cs="Arial"/>
          <w:sz w:val="22"/>
          <w:szCs w:val="22"/>
        </w:rPr>
        <w:t>’</w:t>
      </w:r>
      <w:r w:rsidRPr="0001502D">
        <w:rPr>
          <w:rFonts w:ascii="Arial" w:hAnsi="Arial" w:cs="Arial"/>
          <w:sz w:val="22"/>
          <w:szCs w:val="22"/>
        </w:rPr>
        <w:t>identité de ses habitants, dont la mémoire historique porte les traces du colonialisme et de l</w:t>
      </w:r>
      <w:r w:rsidR="009C104E">
        <w:rPr>
          <w:rFonts w:ascii="Arial" w:hAnsi="Arial" w:cs="Arial"/>
          <w:sz w:val="22"/>
          <w:szCs w:val="22"/>
        </w:rPr>
        <w:t>’</w:t>
      </w:r>
      <w:r w:rsidRPr="0001502D">
        <w:rPr>
          <w:rFonts w:ascii="Arial" w:hAnsi="Arial" w:cs="Arial"/>
          <w:sz w:val="22"/>
          <w:szCs w:val="22"/>
        </w:rPr>
        <w:t>absence de liberté. L</w:t>
      </w:r>
      <w:r w:rsidR="009C104E">
        <w:rPr>
          <w:rFonts w:ascii="Arial" w:hAnsi="Arial" w:cs="Arial"/>
          <w:sz w:val="22"/>
          <w:szCs w:val="22"/>
        </w:rPr>
        <w:t>’</w:t>
      </w:r>
      <w:r w:rsidRPr="0001502D">
        <w:rPr>
          <w:rFonts w:ascii="Arial" w:hAnsi="Arial" w:cs="Arial"/>
          <w:sz w:val="22"/>
          <w:szCs w:val="22"/>
        </w:rPr>
        <w:t>élément s</w:t>
      </w:r>
      <w:r w:rsidR="009C104E">
        <w:rPr>
          <w:rFonts w:ascii="Arial" w:hAnsi="Arial" w:cs="Arial"/>
          <w:sz w:val="22"/>
          <w:szCs w:val="22"/>
        </w:rPr>
        <w:t>’</w:t>
      </w:r>
      <w:r w:rsidRPr="0001502D">
        <w:rPr>
          <w:rFonts w:ascii="Arial" w:hAnsi="Arial" w:cs="Arial"/>
          <w:sz w:val="22"/>
          <w:szCs w:val="22"/>
        </w:rPr>
        <w:t>est développé au fil des évolutions culturelles obtenues grâce à la modification de la situation de la région sur le plan ethnique et social. Il reflète donc le potentiel créatif de ses praticiens.</w:t>
      </w:r>
    </w:p>
    <w:p w14:paraId="795FFA88" w14:textId="1B9D602E" w:rsidR="0001502D" w:rsidRPr="0001502D" w:rsidRDefault="0001502D" w:rsidP="002D425D">
      <w:pPr>
        <w:tabs>
          <w:tab w:val="left" w:pos="1134"/>
          <w:tab w:val="left" w:pos="2268"/>
        </w:tabs>
        <w:spacing w:before="120" w:after="120"/>
        <w:ind w:left="1134" w:hanging="555"/>
        <w:jc w:val="both"/>
        <w:rPr>
          <w:rFonts w:ascii="Arial" w:hAnsi="Arial" w:cs="Arial"/>
          <w:sz w:val="22"/>
          <w:szCs w:val="22"/>
        </w:rPr>
      </w:pPr>
      <w:r w:rsidRPr="0001502D">
        <w:rPr>
          <w:rFonts w:ascii="Arial" w:hAnsi="Arial" w:cs="Arial"/>
          <w:sz w:val="22"/>
          <w:szCs w:val="22"/>
        </w:rPr>
        <w:t>R.2 :</w:t>
      </w:r>
      <w:r w:rsidRPr="0001502D">
        <w:rPr>
          <w:rFonts w:ascii="Arial" w:hAnsi="Arial" w:cs="Arial"/>
          <w:sz w:val="22"/>
          <w:szCs w:val="22"/>
        </w:rPr>
        <w:tab/>
        <w:t>L</w:t>
      </w:r>
      <w:r w:rsidR="009C104E">
        <w:rPr>
          <w:rFonts w:ascii="Arial" w:hAnsi="Arial" w:cs="Arial"/>
          <w:sz w:val="22"/>
          <w:szCs w:val="22"/>
        </w:rPr>
        <w:t>’</w:t>
      </w:r>
      <w:r w:rsidRPr="0001502D">
        <w:rPr>
          <w:rFonts w:ascii="Arial" w:hAnsi="Arial" w:cs="Arial"/>
          <w:sz w:val="22"/>
          <w:szCs w:val="22"/>
        </w:rPr>
        <w:t>inscription de la morna sensibiliserait à l</w:t>
      </w:r>
      <w:r w:rsidR="009C104E">
        <w:rPr>
          <w:rFonts w:ascii="Arial" w:hAnsi="Arial" w:cs="Arial"/>
          <w:sz w:val="22"/>
          <w:szCs w:val="22"/>
        </w:rPr>
        <w:t>’</w:t>
      </w:r>
      <w:r w:rsidRPr="0001502D">
        <w:rPr>
          <w:rFonts w:ascii="Arial" w:hAnsi="Arial" w:cs="Arial"/>
          <w:sz w:val="22"/>
          <w:szCs w:val="22"/>
        </w:rPr>
        <w:t xml:space="preserve">importance de la culture cap-verdienne, </w:t>
      </w:r>
      <w:sdt>
        <w:sdtPr>
          <w:rPr>
            <w:rFonts w:ascii="Arial" w:hAnsi="Arial" w:cs="Arial"/>
            <w:sz w:val="22"/>
            <w:szCs w:val="22"/>
          </w:rPr>
          <w:tag w:val="goog_rdk_29"/>
          <w:id w:val="-274787790"/>
        </w:sdtPr>
        <w:sdtEndPr/>
        <w:sdtContent/>
      </w:sdt>
      <w:r w:rsidRPr="0001502D">
        <w:rPr>
          <w:rFonts w:ascii="Arial" w:hAnsi="Arial" w:cs="Arial"/>
          <w:sz w:val="22"/>
          <w:szCs w:val="22"/>
        </w:rPr>
        <w:t>et en particulier du créole cap-verdien. Par conséquent elle augmenterait l</w:t>
      </w:r>
      <w:r w:rsidR="009C104E">
        <w:rPr>
          <w:rFonts w:ascii="Arial" w:hAnsi="Arial" w:cs="Arial"/>
          <w:sz w:val="22"/>
          <w:szCs w:val="22"/>
        </w:rPr>
        <w:t>’</w:t>
      </w:r>
      <w:r w:rsidRPr="0001502D">
        <w:rPr>
          <w:rFonts w:ascii="Arial" w:hAnsi="Arial" w:cs="Arial"/>
          <w:sz w:val="22"/>
          <w:szCs w:val="22"/>
        </w:rPr>
        <w:t>estime de soi et la fierté des habitants de l</w:t>
      </w:r>
      <w:r w:rsidR="009C104E">
        <w:rPr>
          <w:rFonts w:ascii="Arial" w:hAnsi="Arial" w:cs="Arial"/>
          <w:sz w:val="22"/>
          <w:szCs w:val="22"/>
        </w:rPr>
        <w:t>’</w:t>
      </w:r>
      <w:r w:rsidRPr="0001502D">
        <w:rPr>
          <w:rFonts w:ascii="Arial" w:hAnsi="Arial" w:cs="Arial"/>
          <w:sz w:val="22"/>
          <w:szCs w:val="22"/>
        </w:rPr>
        <w:t>archipel en mettant en valeur leurs différentes expressions culturelles. La cohésion de la communauté s</w:t>
      </w:r>
      <w:r w:rsidR="009C104E">
        <w:rPr>
          <w:rFonts w:ascii="Arial" w:hAnsi="Arial" w:cs="Arial"/>
          <w:sz w:val="22"/>
          <w:szCs w:val="22"/>
        </w:rPr>
        <w:t>’</w:t>
      </w:r>
      <w:r w:rsidRPr="0001502D">
        <w:rPr>
          <w:rFonts w:ascii="Arial" w:hAnsi="Arial" w:cs="Arial"/>
          <w:sz w:val="22"/>
          <w:szCs w:val="22"/>
        </w:rPr>
        <w:t xml:space="preserve">en trouverait renforcée, ce qui conduirait à de nouvelles formes de collaboration entre les groupes, les individus, les chercheurs </w:t>
      </w:r>
      <w:sdt>
        <w:sdtPr>
          <w:rPr>
            <w:rFonts w:ascii="Arial" w:hAnsi="Arial" w:cs="Arial"/>
            <w:sz w:val="22"/>
            <w:szCs w:val="22"/>
          </w:rPr>
          <w:tag w:val="goog_rdk_30"/>
          <w:id w:val="-503506795"/>
        </w:sdtPr>
        <w:sdtEndPr/>
        <w:sdtContent/>
      </w:sdt>
      <w:r w:rsidRPr="0001502D">
        <w:rPr>
          <w:rFonts w:ascii="Arial" w:hAnsi="Arial" w:cs="Arial"/>
          <w:sz w:val="22"/>
          <w:szCs w:val="22"/>
        </w:rPr>
        <w:t>et les institutions publiques et privées. En outre, l</w:t>
      </w:r>
      <w:r w:rsidR="009C104E">
        <w:rPr>
          <w:rFonts w:ascii="Arial" w:hAnsi="Arial" w:cs="Arial"/>
          <w:sz w:val="22"/>
          <w:szCs w:val="22"/>
        </w:rPr>
        <w:t>’</w:t>
      </w:r>
      <w:r w:rsidRPr="0001502D">
        <w:rPr>
          <w:rFonts w:ascii="Arial" w:hAnsi="Arial" w:cs="Arial"/>
          <w:sz w:val="22"/>
          <w:szCs w:val="22"/>
        </w:rPr>
        <w:t>inscription créerait de nouvelles opportunités de partage de connaissances entre les générations et entre les détenteurs issus des différentes régions de l</w:t>
      </w:r>
      <w:r w:rsidR="009C104E">
        <w:rPr>
          <w:rFonts w:ascii="Arial" w:hAnsi="Arial" w:cs="Arial"/>
          <w:sz w:val="22"/>
          <w:szCs w:val="22"/>
        </w:rPr>
        <w:t>’</w:t>
      </w:r>
      <w:r w:rsidRPr="0001502D">
        <w:rPr>
          <w:rFonts w:ascii="Arial" w:hAnsi="Arial" w:cs="Arial"/>
          <w:sz w:val="22"/>
          <w:szCs w:val="22"/>
        </w:rPr>
        <w:t>archipel et les communautés immigrées. Elle démontrerait par ailleurs la diversité culturelle de la musique et de la culture de la mer Atlantique.</w:t>
      </w:r>
    </w:p>
    <w:p w14:paraId="721B243F" w14:textId="75F03FFA" w:rsidR="0001502D" w:rsidRPr="0001502D" w:rsidRDefault="0001502D" w:rsidP="002D425D">
      <w:pPr>
        <w:tabs>
          <w:tab w:val="left" w:pos="1134"/>
          <w:tab w:val="left" w:pos="2268"/>
        </w:tabs>
        <w:spacing w:before="120" w:after="120"/>
        <w:ind w:left="1134" w:hanging="555"/>
        <w:jc w:val="both"/>
        <w:rPr>
          <w:rFonts w:ascii="Arial" w:hAnsi="Arial" w:cs="Arial"/>
          <w:sz w:val="22"/>
          <w:szCs w:val="22"/>
        </w:rPr>
      </w:pPr>
      <w:r w:rsidRPr="0001502D">
        <w:rPr>
          <w:rFonts w:ascii="Arial" w:hAnsi="Arial" w:cs="Arial"/>
          <w:sz w:val="22"/>
          <w:szCs w:val="22"/>
        </w:rPr>
        <w:t>R.3 :</w:t>
      </w:r>
      <w:r w:rsidRPr="0001502D">
        <w:rPr>
          <w:rFonts w:ascii="Arial" w:hAnsi="Arial" w:cs="Arial"/>
          <w:sz w:val="22"/>
          <w:szCs w:val="22"/>
        </w:rPr>
        <w:tab/>
        <w:t>Les communautés et l</w:t>
      </w:r>
      <w:r w:rsidR="009C104E">
        <w:rPr>
          <w:rFonts w:ascii="Arial" w:hAnsi="Arial" w:cs="Arial"/>
          <w:sz w:val="22"/>
          <w:szCs w:val="22"/>
        </w:rPr>
        <w:t>’</w:t>
      </w:r>
      <w:r w:rsidRPr="0001502D">
        <w:rPr>
          <w:rFonts w:ascii="Arial" w:hAnsi="Arial" w:cs="Arial"/>
          <w:sz w:val="22"/>
          <w:szCs w:val="22"/>
        </w:rPr>
        <w:t>État partie ont accéléré leurs efforts au fil des années pour sauvegarder l</w:t>
      </w:r>
      <w:r w:rsidR="009C104E">
        <w:rPr>
          <w:rFonts w:ascii="Arial" w:hAnsi="Arial" w:cs="Arial"/>
          <w:sz w:val="22"/>
          <w:szCs w:val="22"/>
        </w:rPr>
        <w:t>’</w:t>
      </w:r>
      <w:r w:rsidRPr="0001502D">
        <w:rPr>
          <w:rFonts w:ascii="Arial" w:hAnsi="Arial" w:cs="Arial"/>
          <w:sz w:val="22"/>
          <w:szCs w:val="22"/>
        </w:rPr>
        <w:t>élément. Cohérentes et réalisables, les mesures de sauvegarde proposées soulignent le rôle des praticiens de la morna et les liens étroits qu</w:t>
      </w:r>
      <w:r w:rsidR="009C104E">
        <w:rPr>
          <w:rFonts w:ascii="Arial" w:hAnsi="Arial" w:cs="Arial"/>
          <w:sz w:val="22"/>
          <w:szCs w:val="22"/>
        </w:rPr>
        <w:t>’</w:t>
      </w:r>
      <w:r w:rsidRPr="0001502D">
        <w:rPr>
          <w:rFonts w:ascii="Arial" w:hAnsi="Arial" w:cs="Arial"/>
          <w:sz w:val="22"/>
          <w:szCs w:val="22"/>
        </w:rPr>
        <w:t>ils entretiennent avec les gouvernements locaux et les organisations non gouvernementales. Elles comprennent des initiatives de documentation et d</w:t>
      </w:r>
      <w:r w:rsidR="009C104E">
        <w:rPr>
          <w:rFonts w:ascii="Arial" w:hAnsi="Arial" w:cs="Arial"/>
          <w:sz w:val="22"/>
          <w:szCs w:val="22"/>
        </w:rPr>
        <w:t>’</w:t>
      </w:r>
      <w:r w:rsidRPr="0001502D">
        <w:rPr>
          <w:rFonts w:ascii="Arial" w:hAnsi="Arial" w:cs="Arial"/>
          <w:sz w:val="22"/>
          <w:szCs w:val="22"/>
        </w:rPr>
        <w:t>inventaire continus, ainsi que la création d</w:t>
      </w:r>
      <w:r w:rsidR="009C104E">
        <w:rPr>
          <w:rFonts w:ascii="Arial" w:hAnsi="Arial" w:cs="Arial"/>
          <w:sz w:val="22"/>
          <w:szCs w:val="22"/>
        </w:rPr>
        <w:t>’</w:t>
      </w:r>
      <w:r w:rsidRPr="0001502D">
        <w:rPr>
          <w:rFonts w:ascii="Arial" w:hAnsi="Arial" w:cs="Arial"/>
          <w:sz w:val="22"/>
          <w:szCs w:val="22"/>
        </w:rPr>
        <w:t>une plateforme et d</w:t>
      </w:r>
      <w:r w:rsidR="009C104E">
        <w:rPr>
          <w:rFonts w:ascii="Arial" w:hAnsi="Arial" w:cs="Arial"/>
          <w:sz w:val="22"/>
          <w:szCs w:val="22"/>
        </w:rPr>
        <w:t>’</w:t>
      </w:r>
      <w:r w:rsidRPr="0001502D">
        <w:rPr>
          <w:rFonts w:ascii="Arial" w:hAnsi="Arial" w:cs="Arial"/>
          <w:sz w:val="22"/>
          <w:szCs w:val="22"/>
        </w:rPr>
        <w:t>un réseau pour l</w:t>
      </w:r>
      <w:r w:rsidR="009C104E">
        <w:rPr>
          <w:rFonts w:ascii="Arial" w:hAnsi="Arial" w:cs="Arial"/>
          <w:sz w:val="22"/>
          <w:szCs w:val="22"/>
        </w:rPr>
        <w:t>’</w:t>
      </w:r>
      <w:r w:rsidRPr="0001502D">
        <w:rPr>
          <w:rFonts w:ascii="Arial" w:hAnsi="Arial" w:cs="Arial"/>
          <w:sz w:val="22"/>
          <w:szCs w:val="22"/>
        </w:rPr>
        <w:t>organisation d</w:t>
      </w:r>
      <w:r w:rsidR="009C104E">
        <w:rPr>
          <w:rFonts w:ascii="Arial" w:hAnsi="Arial" w:cs="Arial"/>
          <w:sz w:val="22"/>
          <w:szCs w:val="22"/>
        </w:rPr>
        <w:t>’</w:t>
      </w:r>
      <w:r w:rsidRPr="0001502D">
        <w:rPr>
          <w:rFonts w:ascii="Arial" w:hAnsi="Arial" w:cs="Arial"/>
          <w:sz w:val="22"/>
          <w:szCs w:val="22"/>
        </w:rPr>
        <w:t>activités théoriques et pratiques importantes pour la transmission de l</w:t>
      </w:r>
      <w:r w:rsidR="009C104E">
        <w:rPr>
          <w:rFonts w:ascii="Arial" w:hAnsi="Arial" w:cs="Arial"/>
          <w:sz w:val="22"/>
          <w:szCs w:val="22"/>
        </w:rPr>
        <w:t>’</w:t>
      </w:r>
      <w:r w:rsidRPr="0001502D">
        <w:rPr>
          <w:rFonts w:ascii="Arial" w:hAnsi="Arial" w:cs="Arial"/>
          <w:sz w:val="22"/>
          <w:szCs w:val="22"/>
        </w:rPr>
        <w:t>élément.</w:t>
      </w:r>
    </w:p>
    <w:p w14:paraId="164A7402" w14:textId="1CD33F0D" w:rsidR="0001502D" w:rsidRPr="0001502D" w:rsidRDefault="0001502D" w:rsidP="002D425D">
      <w:pPr>
        <w:tabs>
          <w:tab w:val="left" w:pos="1134"/>
          <w:tab w:val="left" w:pos="2268"/>
        </w:tabs>
        <w:spacing w:before="120" w:after="120"/>
        <w:ind w:left="1134" w:hanging="555"/>
        <w:jc w:val="both"/>
        <w:rPr>
          <w:rFonts w:ascii="Arial" w:hAnsi="Arial" w:cs="Arial"/>
          <w:sz w:val="22"/>
          <w:szCs w:val="22"/>
        </w:rPr>
      </w:pPr>
      <w:r w:rsidRPr="0001502D">
        <w:rPr>
          <w:rFonts w:ascii="Arial" w:hAnsi="Arial" w:cs="Arial"/>
          <w:sz w:val="22"/>
          <w:szCs w:val="22"/>
        </w:rPr>
        <w:t>R.4 :</w:t>
      </w:r>
      <w:r w:rsidRPr="0001502D">
        <w:rPr>
          <w:rFonts w:ascii="Arial" w:hAnsi="Arial" w:cs="Arial"/>
          <w:sz w:val="22"/>
          <w:szCs w:val="22"/>
        </w:rPr>
        <w:tab/>
        <w:t>Lancé en 2017, le processus de candidature a été mené avec la participation active des détenteurs de l</w:t>
      </w:r>
      <w:r w:rsidR="009C104E">
        <w:rPr>
          <w:rFonts w:ascii="Arial" w:hAnsi="Arial" w:cs="Arial"/>
          <w:sz w:val="22"/>
          <w:szCs w:val="22"/>
        </w:rPr>
        <w:t>’</w:t>
      </w:r>
      <w:r w:rsidRPr="0001502D">
        <w:rPr>
          <w:rFonts w:ascii="Arial" w:hAnsi="Arial" w:cs="Arial"/>
          <w:sz w:val="22"/>
          <w:szCs w:val="22"/>
        </w:rPr>
        <w:t>élément, des musiciens et d</w:t>
      </w:r>
      <w:r w:rsidR="009C104E">
        <w:rPr>
          <w:rFonts w:ascii="Arial" w:hAnsi="Arial" w:cs="Arial"/>
          <w:sz w:val="22"/>
          <w:szCs w:val="22"/>
        </w:rPr>
        <w:t>’</w:t>
      </w:r>
      <w:r w:rsidRPr="0001502D">
        <w:rPr>
          <w:rFonts w:ascii="Arial" w:hAnsi="Arial" w:cs="Arial"/>
          <w:sz w:val="22"/>
          <w:szCs w:val="22"/>
        </w:rPr>
        <w:t>autres membres de la communauté concernée. Les praticiens ont été informés des principes de la Convention. Au cours d</w:t>
      </w:r>
      <w:r w:rsidR="009C104E">
        <w:rPr>
          <w:rFonts w:ascii="Arial" w:hAnsi="Arial" w:cs="Arial"/>
          <w:sz w:val="22"/>
          <w:szCs w:val="22"/>
        </w:rPr>
        <w:t>’</w:t>
      </w:r>
      <w:r w:rsidRPr="0001502D">
        <w:rPr>
          <w:rFonts w:ascii="Arial" w:hAnsi="Arial" w:cs="Arial"/>
          <w:sz w:val="22"/>
          <w:szCs w:val="22"/>
        </w:rPr>
        <w:t>une série d</w:t>
      </w:r>
      <w:r w:rsidR="009C104E">
        <w:rPr>
          <w:rFonts w:ascii="Arial" w:hAnsi="Arial" w:cs="Arial"/>
          <w:sz w:val="22"/>
          <w:szCs w:val="22"/>
        </w:rPr>
        <w:t>’</w:t>
      </w:r>
      <w:r w:rsidRPr="0001502D">
        <w:rPr>
          <w:rFonts w:ascii="Arial" w:hAnsi="Arial" w:cs="Arial"/>
          <w:sz w:val="22"/>
          <w:szCs w:val="22"/>
        </w:rPr>
        <w:t>ateliers et de débats, ils ont fait le point sur la situation de l</w:t>
      </w:r>
      <w:r w:rsidR="009C104E">
        <w:rPr>
          <w:rFonts w:ascii="Arial" w:hAnsi="Arial" w:cs="Arial"/>
          <w:sz w:val="22"/>
          <w:szCs w:val="22"/>
        </w:rPr>
        <w:t>’</w:t>
      </w:r>
      <w:r w:rsidRPr="0001502D">
        <w:rPr>
          <w:rFonts w:ascii="Arial" w:hAnsi="Arial" w:cs="Arial"/>
          <w:sz w:val="22"/>
          <w:szCs w:val="22"/>
        </w:rPr>
        <w:t>élément et ils ont élaboré les mesures de sauvegarde proposées. Le consentement a été obtenu auprès d</w:t>
      </w:r>
      <w:r w:rsidR="009C104E">
        <w:rPr>
          <w:rFonts w:ascii="Arial" w:hAnsi="Arial" w:cs="Arial"/>
          <w:sz w:val="22"/>
          <w:szCs w:val="22"/>
        </w:rPr>
        <w:t>’</w:t>
      </w:r>
      <w:r w:rsidRPr="0001502D">
        <w:rPr>
          <w:rFonts w:ascii="Arial" w:hAnsi="Arial" w:cs="Arial"/>
          <w:sz w:val="22"/>
          <w:szCs w:val="22"/>
        </w:rPr>
        <w:t>un large éventail de membres de la communauté, et le dossier comprend une identification claire des praticiens.</w:t>
      </w:r>
    </w:p>
    <w:p w14:paraId="41513297" w14:textId="6F26987B" w:rsidR="0001502D" w:rsidRPr="0001502D" w:rsidRDefault="0001502D" w:rsidP="002D425D">
      <w:pPr>
        <w:tabs>
          <w:tab w:val="left" w:pos="1134"/>
          <w:tab w:val="left" w:pos="2268"/>
        </w:tabs>
        <w:spacing w:before="120" w:after="120"/>
        <w:ind w:left="1134" w:hanging="555"/>
        <w:jc w:val="both"/>
        <w:rPr>
          <w:rFonts w:ascii="Arial" w:hAnsi="Arial" w:cs="Arial"/>
          <w:sz w:val="22"/>
          <w:szCs w:val="22"/>
        </w:rPr>
      </w:pPr>
      <w:r w:rsidRPr="0001502D">
        <w:rPr>
          <w:rFonts w:ascii="Arial" w:hAnsi="Arial" w:cs="Arial"/>
          <w:sz w:val="22"/>
          <w:szCs w:val="22"/>
        </w:rPr>
        <w:t>R.5 :</w:t>
      </w:r>
      <w:r w:rsidRPr="0001502D">
        <w:rPr>
          <w:rFonts w:ascii="Arial" w:hAnsi="Arial" w:cs="Arial"/>
          <w:sz w:val="22"/>
          <w:szCs w:val="22"/>
        </w:rPr>
        <w:tab/>
        <w:t>L</w:t>
      </w:r>
      <w:r w:rsidR="009C104E">
        <w:rPr>
          <w:rFonts w:ascii="Arial" w:hAnsi="Arial" w:cs="Arial"/>
          <w:sz w:val="22"/>
          <w:szCs w:val="22"/>
        </w:rPr>
        <w:t>’</w:t>
      </w:r>
      <w:r w:rsidRPr="0001502D">
        <w:rPr>
          <w:rFonts w:ascii="Arial" w:hAnsi="Arial" w:cs="Arial"/>
          <w:sz w:val="22"/>
          <w:szCs w:val="22"/>
        </w:rPr>
        <w:t>État partie s</w:t>
      </w:r>
      <w:r w:rsidR="009C104E">
        <w:rPr>
          <w:rFonts w:ascii="Arial" w:hAnsi="Arial" w:cs="Arial"/>
          <w:sz w:val="22"/>
          <w:szCs w:val="22"/>
        </w:rPr>
        <w:t>’</w:t>
      </w:r>
      <w:r w:rsidRPr="0001502D">
        <w:rPr>
          <w:rFonts w:ascii="Arial" w:hAnsi="Arial" w:cs="Arial"/>
          <w:sz w:val="22"/>
          <w:szCs w:val="22"/>
        </w:rPr>
        <w:t>est doté d</w:t>
      </w:r>
      <w:r w:rsidR="009C104E">
        <w:rPr>
          <w:rFonts w:ascii="Arial" w:hAnsi="Arial" w:cs="Arial"/>
          <w:sz w:val="22"/>
          <w:szCs w:val="22"/>
        </w:rPr>
        <w:t>’</w:t>
      </w:r>
      <w:r w:rsidRPr="0001502D">
        <w:rPr>
          <w:rFonts w:ascii="Arial" w:hAnsi="Arial" w:cs="Arial"/>
          <w:sz w:val="22"/>
          <w:szCs w:val="22"/>
        </w:rPr>
        <w:t>un Inventaire national du patrimoine immatériel en 2018, et la morna y a été inscrite cette même année. Cet inventaire géré par l</w:t>
      </w:r>
      <w:r w:rsidR="009C104E">
        <w:rPr>
          <w:rFonts w:ascii="Arial" w:hAnsi="Arial" w:cs="Arial"/>
          <w:sz w:val="22"/>
          <w:szCs w:val="22"/>
        </w:rPr>
        <w:t>’</w:t>
      </w:r>
      <w:r w:rsidRPr="0001502D">
        <w:rPr>
          <w:rFonts w:ascii="Arial" w:hAnsi="Arial" w:cs="Arial"/>
          <w:sz w:val="22"/>
          <w:szCs w:val="22"/>
        </w:rPr>
        <w:t>Institut du patrimoine culturel immatériel n</w:t>
      </w:r>
      <w:r w:rsidR="009C104E">
        <w:rPr>
          <w:rFonts w:ascii="Arial" w:hAnsi="Arial" w:cs="Arial"/>
          <w:sz w:val="22"/>
          <w:szCs w:val="22"/>
        </w:rPr>
        <w:t>’</w:t>
      </w:r>
      <w:r w:rsidRPr="0001502D">
        <w:rPr>
          <w:rFonts w:ascii="Arial" w:hAnsi="Arial" w:cs="Arial"/>
          <w:sz w:val="22"/>
          <w:szCs w:val="22"/>
        </w:rPr>
        <w:t>a pas encore été mis à jour, mais la procédure établie pour la sauvegarde du patrimoine immatériel définira la périodicité et les modalités de la mise à jour.</w:t>
      </w:r>
    </w:p>
    <w:p w14:paraId="630E97BB" w14:textId="5468795C" w:rsidR="0001502D" w:rsidRPr="0001502D" w:rsidRDefault="0001502D" w:rsidP="00771F30">
      <w:pPr>
        <w:numPr>
          <w:ilvl w:val="1"/>
          <w:numId w:val="33"/>
        </w:numPr>
        <w:pBdr>
          <w:top w:val="nil"/>
          <w:left w:val="nil"/>
          <w:bottom w:val="nil"/>
          <w:right w:val="nil"/>
          <w:between w:val="nil"/>
        </w:pBdr>
        <w:tabs>
          <w:tab w:val="left" w:pos="1701"/>
          <w:tab w:val="left" w:pos="2268"/>
        </w:tabs>
        <w:spacing w:before="120" w:after="120"/>
        <w:ind w:left="567"/>
        <w:jc w:val="both"/>
        <w:rPr>
          <w:rFonts w:ascii="Arial" w:eastAsia="Arial" w:hAnsi="Arial" w:cs="Arial"/>
          <w:color w:val="000000"/>
          <w:sz w:val="22"/>
          <w:szCs w:val="22"/>
        </w:rPr>
      </w:pPr>
      <w:r w:rsidRPr="0001502D">
        <w:rPr>
          <w:rFonts w:ascii="Arial" w:hAnsi="Arial" w:cs="Arial"/>
          <w:color w:val="000000"/>
          <w:sz w:val="22"/>
          <w:szCs w:val="22"/>
          <w:u w:val="single"/>
        </w:rPr>
        <w:t>Décide d</w:t>
      </w:r>
      <w:r w:rsidR="009C104E">
        <w:rPr>
          <w:rFonts w:ascii="Arial" w:hAnsi="Arial" w:cs="Arial"/>
          <w:color w:val="000000"/>
          <w:sz w:val="22"/>
          <w:szCs w:val="22"/>
          <w:u w:val="single"/>
        </w:rPr>
        <w:t>’</w:t>
      </w:r>
      <w:r w:rsidRPr="0001502D">
        <w:rPr>
          <w:rFonts w:ascii="Arial" w:hAnsi="Arial" w:cs="Arial"/>
          <w:color w:val="000000"/>
          <w:sz w:val="22"/>
          <w:szCs w:val="22"/>
          <w:u w:val="single"/>
        </w:rPr>
        <w:t>inscrire</w:t>
      </w:r>
      <w:r w:rsidRPr="0001502D">
        <w:rPr>
          <w:rFonts w:ascii="Arial" w:hAnsi="Arial" w:cs="Arial"/>
          <w:sz w:val="22"/>
          <w:szCs w:val="22"/>
        </w:rPr>
        <w:t xml:space="preserve"> </w:t>
      </w:r>
      <w:r w:rsidRPr="0001502D">
        <w:rPr>
          <w:rFonts w:ascii="Arial" w:hAnsi="Arial" w:cs="Arial"/>
          <w:b/>
          <w:bCs/>
          <w:color w:val="000000"/>
          <w:sz w:val="22"/>
          <w:szCs w:val="22"/>
        </w:rPr>
        <w:t>la</w:t>
      </w:r>
      <w:r w:rsidRPr="0001502D">
        <w:rPr>
          <w:rFonts w:ascii="Arial" w:hAnsi="Arial" w:cs="Arial"/>
          <w:color w:val="000000"/>
          <w:sz w:val="22"/>
          <w:szCs w:val="22"/>
        </w:rPr>
        <w:t xml:space="preserve"> </w:t>
      </w:r>
      <w:r w:rsidRPr="0001502D">
        <w:rPr>
          <w:rFonts w:ascii="Arial" w:hAnsi="Arial" w:cs="Arial"/>
          <w:b/>
          <w:bCs/>
          <w:color w:val="000000"/>
          <w:sz w:val="22"/>
          <w:szCs w:val="22"/>
        </w:rPr>
        <w:t>morna, pratique musicale de Cabo Verde</w:t>
      </w:r>
      <w:r w:rsidRPr="0001502D">
        <w:rPr>
          <w:rFonts w:ascii="Arial" w:hAnsi="Arial" w:cs="Arial"/>
          <w:color w:val="000000"/>
          <w:sz w:val="22"/>
          <w:szCs w:val="22"/>
        </w:rPr>
        <w:t xml:space="preserve"> sur la Liste représentative du patrimoine culturel immatériel de l</w:t>
      </w:r>
      <w:r w:rsidR="009C104E">
        <w:rPr>
          <w:rFonts w:ascii="Arial" w:hAnsi="Arial" w:cs="Arial"/>
          <w:color w:val="000000"/>
          <w:sz w:val="22"/>
          <w:szCs w:val="22"/>
        </w:rPr>
        <w:t>’</w:t>
      </w:r>
      <w:r w:rsidRPr="0001502D">
        <w:rPr>
          <w:rFonts w:ascii="Arial" w:hAnsi="Arial" w:cs="Arial"/>
          <w:color w:val="000000"/>
          <w:sz w:val="22"/>
          <w:szCs w:val="22"/>
        </w:rPr>
        <w:t>humanité ;</w:t>
      </w:r>
    </w:p>
    <w:p w14:paraId="41DFC8B6" w14:textId="198B0EE6" w:rsidR="0001502D" w:rsidRPr="0001502D" w:rsidRDefault="0001502D" w:rsidP="00771F30">
      <w:pPr>
        <w:numPr>
          <w:ilvl w:val="1"/>
          <w:numId w:val="33"/>
        </w:numPr>
        <w:pBdr>
          <w:top w:val="nil"/>
          <w:left w:val="nil"/>
          <w:bottom w:val="nil"/>
          <w:right w:val="nil"/>
          <w:between w:val="nil"/>
        </w:pBdr>
        <w:tabs>
          <w:tab w:val="left" w:pos="1701"/>
          <w:tab w:val="left" w:pos="2268"/>
        </w:tabs>
        <w:spacing w:before="120" w:after="120"/>
        <w:ind w:left="567"/>
        <w:jc w:val="both"/>
        <w:rPr>
          <w:rFonts w:ascii="Arial" w:eastAsia="Arial" w:hAnsi="Arial" w:cs="Arial"/>
          <w:color w:val="000000"/>
          <w:sz w:val="22"/>
          <w:szCs w:val="22"/>
        </w:rPr>
      </w:pPr>
      <w:r w:rsidRPr="0001502D">
        <w:rPr>
          <w:rFonts w:ascii="Arial" w:hAnsi="Arial" w:cs="Arial"/>
          <w:color w:val="000000"/>
          <w:sz w:val="22"/>
          <w:szCs w:val="22"/>
          <w:u w:val="single"/>
        </w:rPr>
        <w:t>Félicite</w:t>
      </w:r>
      <w:r w:rsidRPr="0001502D">
        <w:rPr>
          <w:rFonts w:ascii="Arial" w:hAnsi="Arial" w:cs="Arial"/>
          <w:color w:val="000000"/>
          <w:sz w:val="22"/>
          <w:szCs w:val="22"/>
        </w:rPr>
        <w:t xml:space="preserve"> l</w:t>
      </w:r>
      <w:r w:rsidR="009C104E">
        <w:rPr>
          <w:rFonts w:ascii="Arial" w:hAnsi="Arial" w:cs="Arial"/>
          <w:color w:val="000000"/>
          <w:sz w:val="22"/>
          <w:szCs w:val="22"/>
        </w:rPr>
        <w:t>’</w:t>
      </w:r>
      <w:r w:rsidRPr="0001502D">
        <w:rPr>
          <w:rFonts w:ascii="Arial" w:hAnsi="Arial" w:cs="Arial"/>
          <w:color w:val="000000"/>
          <w:sz w:val="22"/>
          <w:szCs w:val="22"/>
        </w:rPr>
        <w:t>État partie pour sa première inscription ;</w:t>
      </w:r>
    </w:p>
    <w:p w14:paraId="4123B78C" w14:textId="279D212F" w:rsidR="0001502D" w:rsidRPr="0001502D" w:rsidRDefault="0001502D" w:rsidP="00771F30">
      <w:pPr>
        <w:numPr>
          <w:ilvl w:val="1"/>
          <w:numId w:val="33"/>
        </w:numPr>
        <w:pBdr>
          <w:top w:val="nil"/>
          <w:left w:val="nil"/>
          <w:bottom w:val="nil"/>
          <w:right w:val="nil"/>
          <w:between w:val="nil"/>
        </w:pBdr>
        <w:tabs>
          <w:tab w:val="left" w:pos="1701"/>
          <w:tab w:val="left" w:pos="2268"/>
        </w:tabs>
        <w:spacing w:before="120" w:after="120"/>
        <w:ind w:left="567"/>
        <w:jc w:val="both"/>
        <w:rPr>
          <w:rFonts w:ascii="Arial" w:eastAsia="Arial" w:hAnsi="Arial" w:cs="Arial"/>
          <w:sz w:val="22"/>
          <w:szCs w:val="22"/>
        </w:rPr>
      </w:pPr>
      <w:r w:rsidRPr="0001502D">
        <w:rPr>
          <w:rFonts w:ascii="Arial" w:hAnsi="Arial" w:cs="Arial"/>
          <w:sz w:val="22"/>
          <w:szCs w:val="22"/>
          <w:u w:val="single"/>
        </w:rPr>
        <w:t>Encourage</w:t>
      </w:r>
      <w:r w:rsidRPr="0001502D">
        <w:rPr>
          <w:rFonts w:ascii="Arial" w:hAnsi="Arial" w:cs="Arial"/>
          <w:sz w:val="22"/>
          <w:szCs w:val="22"/>
        </w:rPr>
        <w:t xml:space="preserve"> l</w:t>
      </w:r>
      <w:r w:rsidR="009C104E">
        <w:rPr>
          <w:rFonts w:ascii="Arial" w:hAnsi="Arial" w:cs="Arial"/>
          <w:sz w:val="22"/>
          <w:szCs w:val="22"/>
        </w:rPr>
        <w:t>’</w:t>
      </w:r>
      <w:r w:rsidRPr="0001502D">
        <w:rPr>
          <w:rFonts w:ascii="Arial" w:hAnsi="Arial" w:cs="Arial"/>
          <w:sz w:val="22"/>
          <w:szCs w:val="22"/>
        </w:rPr>
        <w:t xml:space="preserve">État partie à éviter les approches descendantes </w:t>
      </w:r>
      <w:r w:rsidRPr="0001502D">
        <w:rPr>
          <w:rFonts w:ascii="Arial" w:hAnsi="Arial" w:cs="Arial"/>
          <w:color w:val="000000"/>
          <w:sz w:val="22"/>
          <w:szCs w:val="22"/>
        </w:rPr>
        <w:t>tout au long des processus de sauvegarde du patrimoine culturel immatériel en s</w:t>
      </w:r>
      <w:r w:rsidR="009C104E">
        <w:rPr>
          <w:rFonts w:ascii="Arial" w:hAnsi="Arial" w:cs="Arial"/>
          <w:color w:val="000000"/>
          <w:sz w:val="22"/>
          <w:szCs w:val="22"/>
        </w:rPr>
        <w:t>’</w:t>
      </w:r>
      <w:r w:rsidRPr="0001502D">
        <w:rPr>
          <w:rFonts w:ascii="Arial" w:hAnsi="Arial" w:cs="Arial"/>
          <w:color w:val="000000"/>
          <w:sz w:val="22"/>
          <w:szCs w:val="22"/>
        </w:rPr>
        <w:t>assurant que les communautés sont au cœur de tous les efforts de sauvegarde</w:t>
      </w:r>
      <w:r w:rsidRPr="0001502D">
        <w:rPr>
          <w:rFonts w:ascii="Arial" w:hAnsi="Arial" w:cs="Arial"/>
          <w:sz w:val="22"/>
          <w:szCs w:val="22"/>
        </w:rPr>
        <w:t> ;</w:t>
      </w:r>
    </w:p>
    <w:p w14:paraId="12455000" w14:textId="1EBF3754" w:rsidR="0001502D" w:rsidRPr="0001502D" w:rsidRDefault="0001502D" w:rsidP="00771F30">
      <w:pPr>
        <w:numPr>
          <w:ilvl w:val="1"/>
          <w:numId w:val="33"/>
        </w:numPr>
        <w:pBdr>
          <w:top w:val="nil"/>
          <w:left w:val="nil"/>
          <w:bottom w:val="nil"/>
          <w:right w:val="nil"/>
          <w:between w:val="nil"/>
        </w:pBdr>
        <w:tabs>
          <w:tab w:val="left" w:pos="1701"/>
          <w:tab w:val="left" w:pos="2268"/>
        </w:tabs>
        <w:spacing w:before="120" w:after="120"/>
        <w:ind w:left="567"/>
        <w:jc w:val="both"/>
        <w:rPr>
          <w:rFonts w:ascii="Arial" w:hAnsi="Arial" w:cs="Arial"/>
          <w:sz w:val="22"/>
          <w:szCs w:val="22"/>
          <w:shd w:val="clear" w:color="auto" w:fill="FFFFFF"/>
        </w:rPr>
      </w:pPr>
      <w:r w:rsidRPr="0001502D">
        <w:rPr>
          <w:rFonts w:ascii="Arial" w:hAnsi="Arial" w:cs="Arial"/>
          <w:sz w:val="22"/>
          <w:szCs w:val="22"/>
          <w:u w:val="single"/>
          <w:shd w:val="clear" w:color="auto" w:fill="FFFFFF"/>
        </w:rPr>
        <w:t>Rappelle</w:t>
      </w:r>
      <w:r w:rsidRPr="0001502D">
        <w:rPr>
          <w:rFonts w:ascii="Arial" w:hAnsi="Arial" w:cs="Arial"/>
          <w:sz w:val="22"/>
          <w:szCs w:val="22"/>
          <w:shd w:val="clear" w:color="auto" w:fill="FFFFFF"/>
        </w:rPr>
        <w:t xml:space="preserve"> à l</w:t>
      </w:r>
      <w:r w:rsidR="009C104E">
        <w:rPr>
          <w:rFonts w:ascii="Arial" w:hAnsi="Arial" w:cs="Arial"/>
          <w:sz w:val="22"/>
          <w:szCs w:val="22"/>
          <w:shd w:val="clear" w:color="auto" w:fill="FFFFFF"/>
        </w:rPr>
        <w:t>’</w:t>
      </w:r>
      <w:r w:rsidRPr="0001502D">
        <w:rPr>
          <w:rFonts w:ascii="Arial" w:hAnsi="Arial" w:cs="Arial"/>
          <w:sz w:val="22"/>
          <w:szCs w:val="22"/>
          <w:shd w:val="clear" w:color="auto" w:fill="FFFFFF"/>
        </w:rPr>
        <w:t>État partie que la mise à jour est un aspect important du processus d</w:t>
      </w:r>
      <w:r w:rsidR="009C104E">
        <w:rPr>
          <w:rFonts w:ascii="Arial" w:hAnsi="Arial" w:cs="Arial"/>
          <w:sz w:val="22"/>
          <w:szCs w:val="22"/>
          <w:shd w:val="clear" w:color="auto" w:fill="FFFFFF"/>
        </w:rPr>
        <w:t>’</w:t>
      </w:r>
      <w:r w:rsidRPr="0001502D">
        <w:rPr>
          <w:rFonts w:ascii="Arial" w:hAnsi="Arial" w:cs="Arial"/>
          <w:sz w:val="22"/>
          <w:szCs w:val="22"/>
          <w:shd w:val="clear" w:color="auto" w:fill="FFFFFF"/>
        </w:rPr>
        <w:t>élaboration des inventaires et l</w:t>
      </w:r>
      <w:r w:rsidR="009C104E">
        <w:rPr>
          <w:rFonts w:ascii="Arial" w:hAnsi="Arial" w:cs="Arial"/>
          <w:sz w:val="22"/>
          <w:szCs w:val="22"/>
          <w:shd w:val="clear" w:color="auto" w:fill="FFFFFF"/>
        </w:rPr>
        <w:t>’</w:t>
      </w:r>
      <w:r w:rsidRPr="0001502D">
        <w:rPr>
          <w:rFonts w:ascii="Arial" w:hAnsi="Arial" w:cs="Arial"/>
          <w:sz w:val="22"/>
          <w:szCs w:val="22"/>
          <w:u w:val="single"/>
          <w:shd w:val="clear" w:color="auto" w:fill="FFFFFF"/>
        </w:rPr>
        <w:t>invite</w:t>
      </w:r>
      <w:r w:rsidRPr="0001502D">
        <w:rPr>
          <w:rFonts w:ascii="Arial" w:hAnsi="Arial" w:cs="Arial"/>
          <w:sz w:val="22"/>
          <w:szCs w:val="22"/>
          <w:shd w:val="clear" w:color="auto" w:fill="FFFFFF"/>
        </w:rPr>
        <w:t xml:space="preserve"> à inclure, dans son prochain rapport périodique sur la mise en œuvre de la Convention au niveau national, des informations détaillées sur la périodicité et les modalités de la mise à jour de l</w:t>
      </w:r>
      <w:r w:rsidR="009C104E">
        <w:rPr>
          <w:rFonts w:ascii="Arial" w:hAnsi="Arial" w:cs="Arial"/>
          <w:sz w:val="22"/>
          <w:szCs w:val="22"/>
          <w:shd w:val="clear" w:color="auto" w:fill="FFFFFF"/>
        </w:rPr>
        <w:t>’</w:t>
      </w:r>
      <w:r w:rsidRPr="0001502D">
        <w:rPr>
          <w:rFonts w:ascii="Arial" w:hAnsi="Arial" w:cs="Arial"/>
          <w:sz w:val="22"/>
          <w:szCs w:val="22"/>
          <w:shd w:val="clear" w:color="auto" w:fill="FFFFFF"/>
        </w:rPr>
        <w:t>Inventaire national du patrimoine immatériel de Cabo Verde, conformément à l</w:t>
      </w:r>
      <w:r w:rsidR="009C104E">
        <w:rPr>
          <w:rFonts w:ascii="Arial" w:hAnsi="Arial" w:cs="Arial"/>
          <w:sz w:val="22"/>
          <w:szCs w:val="22"/>
          <w:shd w:val="clear" w:color="auto" w:fill="FFFFFF"/>
        </w:rPr>
        <w:t>’</w:t>
      </w:r>
      <w:r w:rsidRPr="0001502D">
        <w:rPr>
          <w:rFonts w:ascii="Arial" w:hAnsi="Arial" w:cs="Arial"/>
          <w:sz w:val="22"/>
          <w:szCs w:val="22"/>
          <w:shd w:val="clear" w:color="auto" w:fill="FFFFFF"/>
        </w:rPr>
        <w:t>article 12.1 de la Convention ;</w:t>
      </w:r>
    </w:p>
    <w:p w14:paraId="081AD730" w14:textId="6D11048F" w:rsidR="0001502D" w:rsidRPr="0001502D" w:rsidRDefault="0001502D" w:rsidP="00771F30">
      <w:pPr>
        <w:numPr>
          <w:ilvl w:val="1"/>
          <w:numId w:val="33"/>
        </w:numPr>
        <w:pBdr>
          <w:top w:val="nil"/>
          <w:left w:val="nil"/>
          <w:bottom w:val="nil"/>
          <w:right w:val="nil"/>
          <w:between w:val="nil"/>
        </w:pBdr>
        <w:tabs>
          <w:tab w:val="left" w:pos="1701"/>
          <w:tab w:val="left" w:pos="2268"/>
        </w:tabs>
        <w:spacing w:before="120" w:after="120"/>
        <w:ind w:left="567"/>
        <w:jc w:val="both"/>
        <w:rPr>
          <w:rFonts w:ascii="Arial" w:eastAsia="Arial" w:hAnsi="Arial" w:cs="Arial"/>
          <w:sz w:val="22"/>
          <w:szCs w:val="22"/>
        </w:rPr>
      </w:pPr>
      <w:r w:rsidRPr="0001502D">
        <w:rPr>
          <w:rFonts w:ascii="Arial" w:hAnsi="Arial" w:cs="Arial"/>
          <w:sz w:val="22"/>
          <w:szCs w:val="22"/>
          <w:u w:val="single"/>
        </w:rPr>
        <w:t>Rappelle en outre</w:t>
      </w:r>
      <w:r w:rsidRPr="0001502D">
        <w:rPr>
          <w:rFonts w:ascii="Arial" w:hAnsi="Arial" w:cs="Arial"/>
          <w:sz w:val="22"/>
          <w:szCs w:val="22"/>
        </w:rPr>
        <w:t xml:space="preserve"> à l</w:t>
      </w:r>
      <w:r w:rsidR="009C104E">
        <w:rPr>
          <w:rFonts w:ascii="Arial" w:hAnsi="Arial" w:cs="Arial"/>
          <w:sz w:val="22"/>
          <w:szCs w:val="22"/>
        </w:rPr>
        <w:t>’</w:t>
      </w:r>
      <w:r w:rsidRPr="0001502D">
        <w:rPr>
          <w:rFonts w:ascii="Arial" w:hAnsi="Arial" w:cs="Arial"/>
          <w:sz w:val="22"/>
          <w:szCs w:val="22"/>
        </w:rPr>
        <w:t>État partie d</w:t>
      </w:r>
      <w:r w:rsidR="009C104E">
        <w:rPr>
          <w:rFonts w:ascii="Arial" w:hAnsi="Arial" w:cs="Arial"/>
          <w:sz w:val="22"/>
          <w:szCs w:val="22"/>
        </w:rPr>
        <w:t>’</w:t>
      </w:r>
      <w:r w:rsidRPr="0001502D">
        <w:rPr>
          <w:rFonts w:ascii="Arial" w:hAnsi="Arial" w:cs="Arial"/>
          <w:sz w:val="22"/>
          <w:szCs w:val="22"/>
        </w:rPr>
        <w:t>accorder une attention particulière à la qualité linguistique du dossier.</w:t>
      </w:r>
    </w:p>
    <w:p w14:paraId="08BDEEFC" w14:textId="36B4A0D1" w:rsidR="0001502D" w:rsidRPr="0001502D" w:rsidRDefault="0001502D" w:rsidP="00EA61FD">
      <w:pPr>
        <w:keepNext/>
        <w:keepLines/>
        <w:spacing w:before="360" w:after="120"/>
        <w:outlineLvl w:val="1"/>
        <w:rPr>
          <w:rFonts w:ascii="Arial" w:hAnsi="Arial" w:cs="Arial"/>
          <w:bCs/>
          <w:iCs/>
          <w:sz w:val="22"/>
          <w:szCs w:val="22"/>
        </w:rPr>
      </w:pPr>
      <w:bookmarkStart w:id="13" w:name="Decision_10b9"/>
      <w:r w:rsidRPr="0001502D">
        <w:rPr>
          <w:rFonts w:ascii="Arial" w:hAnsi="Arial" w:cs="Arial"/>
          <w:b/>
          <w:bCs/>
          <w:iCs/>
          <w:sz w:val="22"/>
          <w:szCs w:val="22"/>
        </w:rPr>
        <w:t xml:space="preserve">DÉCISION 14.COM 10.b.9 </w:t>
      </w:r>
    </w:p>
    <w:bookmarkEnd w:id="13"/>
    <w:p w14:paraId="7985E2E7" w14:textId="77777777" w:rsidR="0001502D" w:rsidRPr="0001502D" w:rsidRDefault="0001502D" w:rsidP="002D425D">
      <w:pPr>
        <w:keepNext/>
        <w:pBdr>
          <w:top w:val="nil"/>
          <w:left w:val="nil"/>
          <w:bottom w:val="nil"/>
          <w:right w:val="nil"/>
          <w:between w:val="nil"/>
        </w:pBdr>
        <w:tabs>
          <w:tab w:val="left" w:pos="567"/>
          <w:tab w:val="left" w:pos="1134"/>
          <w:tab w:val="left" w:pos="1701"/>
          <w:tab w:val="left" w:pos="2268"/>
        </w:tabs>
        <w:spacing w:before="120" w:after="120"/>
        <w:jc w:val="both"/>
        <w:rPr>
          <w:rFonts w:ascii="Arial" w:eastAsia="Arial" w:hAnsi="Arial" w:cs="Arial"/>
          <w:color w:val="000000"/>
          <w:sz w:val="22"/>
          <w:szCs w:val="22"/>
        </w:rPr>
      </w:pPr>
      <w:r w:rsidRPr="0001502D">
        <w:rPr>
          <w:rFonts w:ascii="Arial" w:hAnsi="Arial" w:cs="Arial"/>
          <w:color w:val="000000"/>
          <w:sz w:val="22"/>
          <w:szCs w:val="22"/>
        </w:rPr>
        <w:t>Le Comité,</w:t>
      </w:r>
    </w:p>
    <w:p w14:paraId="205EC250" w14:textId="3F1C5C3A" w:rsidR="0001502D" w:rsidRPr="0001502D" w:rsidRDefault="0001502D" w:rsidP="00771F30">
      <w:pPr>
        <w:numPr>
          <w:ilvl w:val="1"/>
          <w:numId w:val="34"/>
        </w:numPr>
        <w:pBdr>
          <w:top w:val="nil"/>
          <w:left w:val="nil"/>
          <w:bottom w:val="nil"/>
          <w:right w:val="nil"/>
          <w:between w:val="nil"/>
        </w:pBdr>
        <w:tabs>
          <w:tab w:val="left" w:pos="567"/>
          <w:tab w:val="left" w:pos="1701"/>
          <w:tab w:val="left" w:pos="2268"/>
        </w:tabs>
        <w:spacing w:before="120" w:after="120"/>
        <w:ind w:left="567"/>
        <w:jc w:val="both"/>
        <w:rPr>
          <w:rFonts w:ascii="Arial" w:eastAsia="Arial" w:hAnsi="Arial" w:cs="Arial"/>
          <w:color w:val="000000"/>
          <w:sz w:val="22"/>
          <w:szCs w:val="22"/>
        </w:rPr>
      </w:pPr>
      <w:r w:rsidRPr="0001502D">
        <w:rPr>
          <w:rFonts w:ascii="Arial" w:hAnsi="Arial" w:cs="Arial"/>
          <w:color w:val="000000"/>
          <w:sz w:val="22"/>
          <w:szCs w:val="22"/>
          <w:u w:val="single"/>
        </w:rPr>
        <w:t>Prend note</w:t>
      </w:r>
      <w:r w:rsidRPr="0001502D">
        <w:rPr>
          <w:rFonts w:ascii="Arial" w:hAnsi="Arial" w:cs="Arial"/>
          <w:color w:val="000000"/>
          <w:sz w:val="22"/>
          <w:szCs w:val="22"/>
        </w:rPr>
        <w:t xml:space="preserve"> que Chypre et la Grèce ont proposé la candidature </w:t>
      </w:r>
      <w:r w:rsidRPr="0001502D">
        <w:rPr>
          <w:rFonts w:ascii="Arial" w:hAnsi="Arial" w:cs="Arial"/>
          <w:b/>
          <w:color w:val="000000"/>
          <w:sz w:val="22"/>
          <w:szCs w:val="22"/>
        </w:rPr>
        <w:t xml:space="preserve">du </w:t>
      </w:r>
      <w:r w:rsidRPr="0001502D">
        <w:rPr>
          <w:rFonts w:ascii="Arial" w:hAnsi="Arial" w:cs="Arial"/>
          <w:b/>
          <w:bCs/>
          <w:color w:val="000000"/>
          <w:sz w:val="22"/>
          <w:szCs w:val="22"/>
        </w:rPr>
        <w:t>chant byzantin</w:t>
      </w:r>
      <w:r w:rsidRPr="0001502D">
        <w:rPr>
          <w:rFonts w:ascii="Arial" w:hAnsi="Arial" w:cs="Arial"/>
          <w:color w:val="000000"/>
          <w:sz w:val="22"/>
          <w:szCs w:val="22"/>
        </w:rPr>
        <w:t xml:space="preserve"> (n° 01508) pour inscription sur la Liste représentative du patrimoine culturel immatériel de l</w:t>
      </w:r>
      <w:r w:rsidR="009C104E">
        <w:rPr>
          <w:rFonts w:ascii="Arial" w:hAnsi="Arial" w:cs="Arial"/>
          <w:color w:val="000000"/>
          <w:sz w:val="22"/>
          <w:szCs w:val="22"/>
        </w:rPr>
        <w:t>’</w:t>
      </w:r>
      <w:r w:rsidRPr="0001502D">
        <w:rPr>
          <w:rFonts w:ascii="Arial" w:hAnsi="Arial" w:cs="Arial"/>
          <w:color w:val="000000"/>
          <w:sz w:val="22"/>
          <w:szCs w:val="22"/>
        </w:rPr>
        <w:t>humanité :</w:t>
      </w:r>
    </w:p>
    <w:p w14:paraId="6E513D6B" w14:textId="5552827F" w:rsidR="0001502D" w:rsidRPr="0001502D" w:rsidRDefault="0001502D" w:rsidP="002D425D">
      <w:pPr>
        <w:tabs>
          <w:tab w:val="left" w:pos="567"/>
          <w:tab w:val="left" w:pos="1701"/>
          <w:tab w:val="left" w:pos="2268"/>
        </w:tabs>
        <w:spacing w:before="120" w:after="120"/>
        <w:ind w:left="567"/>
        <w:jc w:val="both"/>
        <w:rPr>
          <w:rFonts w:ascii="Arial" w:hAnsi="Arial" w:cs="Arial"/>
          <w:sz w:val="22"/>
          <w:szCs w:val="22"/>
        </w:rPr>
      </w:pPr>
      <w:r w:rsidRPr="0001502D">
        <w:rPr>
          <w:rFonts w:ascii="Arial" w:hAnsi="Arial" w:cs="Arial"/>
          <w:sz w:val="22"/>
          <w:szCs w:val="22"/>
        </w:rPr>
        <w:t>Art vivant qui perdure depuis plus de 2 000 ans, le chant byzantin constitue à la fois une tradition culturelle significative et un système musical complet faisant partie des traditions musicales communes qui se sont développées dans l</w:t>
      </w:r>
      <w:r w:rsidR="009C104E">
        <w:rPr>
          <w:rFonts w:ascii="Arial" w:hAnsi="Arial" w:cs="Arial"/>
          <w:sz w:val="22"/>
          <w:szCs w:val="22"/>
        </w:rPr>
        <w:t>’</w:t>
      </w:r>
      <w:r w:rsidRPr="0001502D">
        <w:rPr>
          <w:rFonts w:ascii="Arial" w:hAnsi="Arial" w:cs="Arial"/>
          <w:sz w:val="22"/>
          <w:szCs w:val="22"/>
        </w:rPr>
        <w:t>Empire byzantin. Mettant en valeur, sur le plan musical, les textes liturgiques de l</w:t>
      </w:r>
      <w:r w:rsidR="009C104E">
        <w:rPr>
          <w:rFonts w:ascii="Arial" w:hAnsi="Arial" w:cs="Arial"/>
          <w:sz w:val="22"/>
          <w:szCs w:val="22"/>
        </w:rPr>
        <w:t>’</w:t>
      </w:r>
      <w:r w:rsidRPr="0001502D">
        <w:rPr>
          <w:rFonts w:ascii="Arial" w:hAnsi="Arial" w:cs="Arial"/>
          <w:sz w:val="22"/>
          <w:szCs w:val="22"/>
        </w:rPr>
        <w:t>Église orthodoxe grecque, le chant byzantin est étroitement lié à la vie spirituelle et au culte religieux. Cet art vocal se concentre principalement sur l</w:t>
      </w:r>
      <w:r w:rsidR="009C104E">
        <w:rPr>
          <w:rFonts w:ascii="Arial" w:hAnsi="Arial" w:cs="Arial"/>
          <w:sz w:val="22"/>
          <w:szCs w:val="22"/>
        </w:rPr>
        <w:t>’</w:t>
      </w:r>
      <w:r w:rsidRPr="0001502D">
        <w:rPr>
          <w:rFonts w:ascii="Arial" w:hAnsi="Arial" w:cs="Arial"/>
          <w:sz w:val="22"/>
          <w:szCs w:val="22"/>
        </w:rPr>
        <w:t xml:space="preserve">interprétation du texte ecclésiastique. Le </w:t>
      </w:r>
      <w:sdt>
        <w:sdtPr>
          <w:rPr>
            <w:rFonts w:ascii="Arial" w:hAnsi="Arial" w:cs="Arial"/>
            <w:sz w:val="22"/>
            <w:szCs w:val="22"/>
          </w:rPr>
          <w:tag w:val="goog_rdk_35"/>
          <w:id w:val="1603222038"/>
        </w:sdtPr>
        <w:sdtEndPr/>
        <w:sdtContent/>
      </w:sdt>
      <w:r w:rsidRPr="0001502D">
        <w:rPr>
          <w:rFonts w:ascii="Arial" w:hAnsi="Arial" w:cs="Arial"/>
          <w:sz w:val="22"/>
          <w:szCs w:val="22"/>
        </w:rPr>
        <w:t>chant byzantin doit sans nul doute son existence à la parole (</w:t>
      </w:r>
      <w:r w:rsidRPr="0001502D">
        <w:rPr>
          <w:rFonts w:ascii="Arial" w:hAnsi="Arial" w:cs="Arial"/>
          <w:iCs/>
          <w:sz w:val="22"/>
          <w:szCs w:val="22"/>
        </w:rPr>
        <w:t>logos</w:t>
      </w:r>
      <w:r w:rsidRPr="0001502D">
        <w:rPr>
          <w:rFonts w:ascii="Arial" w:hAnsi="Arial" w:cs="Arial"/>
          <w:sz w:val="22"/>
          <w:szCs w:val="22"/>
        </w:rPr>
        <w:t>). En effet, chaque aspect de cette tradition sert à la diffusion du message sacré. Transmis oralement de génération en génération, il a préservé ses caractéristiques au fil des siècles : il s</w:t>
      </w:r>
      <w:r w:rsidR="009C104E">
        <w:rPr>
          <w:rFonts w:ascii="Arial" w:hAnsi="Arial" w:cs="Arial"/>
          <w:sz w:val="22"/>
          <w:szCs w:val="22"/>
        </w:rPr>
        <w:t>’</w:t>
      </w:r>
      <w:r w:rsidRPr="0001502D">
        <w:rPr>
          <w:rFonts w:ascii="Arial" w:hAnsi="Arial" w:cs="Arial"/>
          <w:sz w:val="22"/>
          <w:szCs w:val="22"/>
        </w:rPr>
        <w:t>agit d</w:t>
      </w:r>
      <w:r w:rsidR="009C104E">
        <w:rPr>
          <w:rFonts w:ascii="Arial" w:hAnsi="Arial" w:cs="Arial"/>
          <w:sz w:val="22"/>
          <w:szCs w:val="22"/>
        </w:rPr>
        <w:t>’</w:t>
      </w:r>
      <w:r w:rsidRPr="0001502D">
        <w:rPr>
          <w:rFonts w:ascii="Arial" w:hAnsi="Arial" w:cs="Arial"/>
          <w:sz w:val="22"/>
          <w:szCs w:val="22"/>
        </w:rPr>
        <w:t>une musique exclusivement vocale, fondamentalement monophonique ; les chants sont codifiés selon un système en huit modes ou huit tons ; et différents styles de rythme sont employés afin d</w:t>
      </w:r>
      <w:r w:rsidR="009C104E">
        <w:rPr>
          <w:rFonts w:ascii="Arial" w:hAnsi="Arial" w:cs="Arial"/>
          <w:sz w:val="22"/>
          <w:szCs w:val="22"/>
        </w:rPr>
        <w:t>’</w:t>
      </w:r>
      <w:r w:rsidRPr="0001502D">
        <w:rPr>
          <w:rFonts w:ascii="Arial" w:hAnsi="Arial" w:cs="Arial"/>
          <w:sz w:val="22"/>
          <w:szCs w:val="22"/>
        </w:rPr>
        <w:t>accentuer les syllabes souhaitées dans certains mots du texte liturgique. L</w:t>
      </w:r>
      <w:r w:rsidR="009C104E">
        <w:rPr>
          <w:rFonts w:ascii="Arial" w:hAnsi="Arial" w:cs="Arial"/>
          <w:sz w:val="22"/>
          <w:szCs w:val="22"/>
        </w:rPr>
        <w:t>’</w:t>
      </w:r>
      <w:r w:rsidRPr="0001502D">
        <w:rPr>
          <w:rFonts w:ascii="Arial" w:hAnsi="Arial" w:cs="Arial"/>
          <w:sz w:val="22"/>
          <w:szCs w:val="22"/>
        </w:rPr>
        <w:t>art psaltique a toujours été lié à la voix masculine mais les chanteuses sont nombreuses dans les couvents et sont actives, dans une certaine mesure, dans les paroisses. Outre sa transmission à l</w:t>
      </w:r>
      <w:r w:rsidR="009C104E">
        <w:rPr>
          <w:rFonts w:ascii="Arial" w:hAnsi="Arial" w:cs="Arial"/>
          <w:sz w:val="22"/>
          <w:szCs w:val="22"/>
        </w:rPr>
        <w:t>’</w:t>
      </w:r>
      <w:r w:rsidRPr="0001502D">
        <w:rPr>
          <w:rFonts w:ascii="Arial" w:hAnsi="Arial" w:cs="Arial"/>
          <w:sz w:val="22"/>
          <w:szCs w:val="22"/>
        </w:rPr>
        <w:t>église, le chant byzantin prospère grâce au dévouement d</w:t>
      </w:r>
      <w:r w:rsidR="009C104E">
        <w:rPr>
          <w:rFonts w:ascii="Arial" w:hAnsi="Arial" w:cs="Arial"/>
          <w:sz w:val="22"/>
          <w:szCs w:val="22"/>
        </w:rPr>
        <w:t>’</w:t>
      </w:r>
      <w:r w:rsidRPr="0001502D">
        <w:rPr>
          <w:rFonts w:ascii="Arial" w:hAnsi="Arial" w:cs="Arial"/>
          <w:sz w:val="22"/>
          <w:szCs w:val="22"/>
        </w:rPr>
        <w:t>experts et d</w:t>
      </w:r>
      <w:r w:rsidR="009C104E">
        <w:rPr>
          <w:rFonts w:ascii="Arial" w:hAnsi="Arial" w:cs="Arial"/>
          <w:sz w:val="22"/>
          <w:szCs w:val="22"/>
        </w:rPr>
        <w:t>’</w:t>
      </w:r>
      <w:r w:rsidRPr="0001502D">
        <w:rPr>
          <w:rFonts w:ascii="Arial" w:hAnsi="Arial" w:cs="Arial"/>
          <w:sz w:val="22"/>
          <w:szCs w:val="22"/>
        </w:rPr>
        <w:t>amateurs – musiciens, membres des chœurs, compositeurs, musicologues et universitaires – qui contribuent à son étude, à sa représentation et à sa diffusion.</w:t>
      </w:r>
    </w:p>
    <w:p w14:paraId="3DAE2137" w14:textId="080FD0B1" w:rsidR="0001502D" w:rsidRPr="0001502D" w:rsidRDefault="0001502D" w:rsidP="00771F30">
      <w:pPr>
        <w:keepNext/>
        <w:numPr>
          <w:ilvl w:val="1"/>
          <w:numId w:val="34"/>
        </w:numPr>
        <w:pBdr>
          <w:top w:val="nil"/>
          <w:left w:val="nil"/>
          <w:bottom w:val="nil"/>
          <w:right w:val="nil"/>
          <w:between w:val="nil"/>
        </w:pBdr>
        <w:tabs>
          <w:tab w:val="left" w:pos="567"/>
          <w:tab w:val="left" w:pos="1701"/>
          <w:tab w:val="left" w:pos="2268"/>
        </w:tabs>
        <w:spacing w:before="120" w:after="120"/>
        <w:ind w:left="567"/>
        <w:jc w:val="both"/>
        <w:rPr>
          <w:rFonts w:ascii="Arial" w:eastAsia="Arial" w:hAnsi="Arial" w:cs="Arial"/>
          <w:color w:val="000000"/>
          <w:sz w:val="22"/>
          <w:szCs w:val="22"/>
        </w:rPr>
      </w:pPr>
      <w:r w:rsidRPr="0001502D">
        <w:rPr>
          <w:rFonts w:ascii="Arial" w:hAnsi="Arial" w:cs="Arial"/>
          <w:color w:val="000000"/>
          <w:sz w:val="22"/>
          <w:szCs w:val="22"/>
          <w:u w:val="single"/>
        </w:rPr>
        <w:t>Estime</w:t>
      </w:r>
      <w:r w:rsidRPr="0001502D">
        <w:rPr>
          <w:rFonts w:ascii="Arial" w:hAnsi="Arial" w:cs="Arial"/>
          <w:color w:val="000000"/>
          <w:sz w:val="22"/>
          <w:szCs w:val="22"/>
        </w:rPr>
        <w:t xml:space="preserve"> que, d</w:t>
      </w:r>
      <w:r w:rsidR="009C104E">
        <w:rPr>
          <w:rFonts w:ascii="Arial" w:hAnsi="Arial" w:cs="Arial"/>
          <w:color w:val="000000"/>
          <w:sz w:val="22"/>
          <w:szCs w:val="22"/>
        </w:rPr>
        <w:t>’</w:t>
      </w:r>
      <w:r w:rsidRPr="0001502D">
        <w:rPr>
          <w:rFonts w:ascii="Arial" w:hAnsi="Arial" w:cs="Arial"/>
          <w:color w:val="000000"/>
          <w:sz w:val="22"/>
          <w:szCs w:val="22"/>
        </w:rPr>
        <w:t>après les informations contenues dans le dossier, la candidature satisfait aux critères d</w:t>
      </w:r>
      <w:r w:rsidR="009C104E">
        <w:rPr>
          <w:rFonts w:ascii="Arial" w:hAnsi="Arial" w:cs="Arial"/>
          <w:color w:val="000000"/>
          <w:sz w:val="22"/>
          <w:szCs w:val="22"/>
        </w:rPr>
        <w:t>’</w:t>
      </w:r>
      <w:r w:rsidRPr="0001502D">
        <w:rPr>
          <w:rFonts w:ascii="Arial" w:hAnsi="Arial" w:cs="Arial"/>
          <w:color w:val="000000"/>
          <w:sz w:val="22"/>
          <w:szCs w:val="22"/>
        </w:rPr>
        <w:t>inscription sur la Liste représentative du patrimoine culturel immatériel de l</w:t>
      </w:r>
      <w:r w:rsidR="009C104E">
        <w:rPr>
          <w:rFonts w:ascii="Arial" w:hAnsi="Arial" w:cs="Arial"/>
          <w:color w:val="000000"/>
          <w:sz w:val="22"/>
          <w:szCs w:val="22"/>
        </w:rPr>
        <w:t>’</w:t>
      </w:r>
      <w:r w:rsidRPr="0001502D">
        <w:rPr>
          <w:rFonts w:ascii="Arial" w:hAnsi="Arial" w:cs="Arial"/>
          <w:color w:val="000000"/>
          <w:sz w:val="22"/>
          <w:szCs w:val="22"/>
        </w:rPr>
        <w:t>humanité comme suit :</w:t>
      </w:r>
    </w:p>
    <w:p w14:paraId="5C3D11D2" w14:textId="13634F4E" w:rsidR="0001502D" w:rsidRPr="0001502D" w:rsidRDefault="0001502D" w:rsidP="002D425D">
      <w:pPr>
        <w:tabs>
          <w:tab w:val="left" w:pos="1134"/>
          <w:tab w:val="left" w:pos="2268"/>
        </w:tabs>
        <w:spacing w:before="120" w:after="120"/>
        <w:ind w:left="1134" w:hanging="555"/>
        <w:jc w:val="both"/>
        <w:rPr>
          <w:rFonts w:ascii="Arial" w:hAnsi="Arial" w:cs="Arial"/>
          <w:sz w:val="22"/>
          <w:szCs w:val="22"/>
        </w:rPr>
      </w:pPr>
      <w:r w:rsidRPr="0001502D">
        <w:rPr>
          <w:rFonts w:ascii="Arial" w:hAnsi="Arial" w:cs="Arial"/>
          <w:sz w:val="22"/>
          <w:szCs w:val="22"/>
        </w:rPr>
        <w:t>R.1 :</w:t>
      </w:r>
      <w:r w:rsidRPr="0001502D">
        <w:rPr>
          <w:rFonts w:ascii="Arial" w:hAnsi="Arial" w:cs="Arial"/>
          <w:sz w:val="22"/>
          <w:szCs w:val="22"/>
        </w:rPr>
        <w:tab/>
        <w:t>Le chant byzantin est une puissante expression socioculturelle, caractéristique de l</w:t>
      </w:r>
      <w:r w:rsidR="009C104E">
        <w:rPr>
          <w:rFonts w:ascii="Arial" w:hAnsi="Arial" w:cs="Arial"/>
          <w:sz w:val="22"/>
          <w:szCs w:val="22"/>
        </w:rPr>
        <w:t>’</w:t>
      </w:r>
      <w:r w:rsidRPr="0001502D">
        <w:rPr>
          <w:rFonts w:ascii="Arial" w:hAnsi="Arial" w:cs="Arial"/>
          <w:sz w:val="22"/>
          <w:szCs w:val="22"/>
        </w:rPr>
        <w:t>identité collective et personnelle des détenteurs. Il contribue au renforcement des liens au sein de la communauté et à sa cohésion, car il occupe une place centrale dans la vie religieuse et sociale des chrétiens orthodoxes. Il est étroitement lié aux événements importants de la vie des fidèles, comme les baptêmes, les mariages et les funérailles, ainsi qu</w:t>
      </w:r>
      <w:r w:rsidR="009C104E">
        <w:rPr>
          <w:rFonts w:ascii="Arial" w:hAnsi="Arial" w:cs="Arial"/>
          <w:sz w:val="22"/>
          <w:szCs w:val="22"/>
        </w:rPr>
        <w:t>’</w:t>
      </w:r>
      <w:r w:rsidRPr="0001502D">
        <w:rPr>
          <w:rFonts w:ascii="Arial" w:hAnsi="Arial" w:cs="Arial"/>
          <w:sz w:val="22"/>
          <w:szCs w:val="22"/>
        </w:rPr>
        <w:t>au respect et à la célébration des fêtes religieuses, notamment Noël, Pâques et le Carême.</w:t>
      </w:r>
    </w:p>
    <w:p w14:paraId="2DE19323" w14:textId="63E619CF" w:rsidR="0001502D" w:rsidRPr="0001502D" w:rsidRDefault="0001502D" w:rsidP="002D425D">
      <w:pPr>
        <w:tabs>
          <w:tab w:val="left" w:pos="1134"/>
          <w:tab w:val="left" w:pos="2268"/>
        </w:tabs>
        <w:spacing w:before="120" w:after="120"/>
        <w:ind w:left="1134" w:hanging="555"/>
        <w:jc w:val="both"/>
        <w:rPr>
          <w:rFonts w:ascii="Arial" w:hAnsi="Arial" w:cs="Arial"/>
          <w:sz w:val="22"/>
          <w:szCs w:val="22"/>
        </w:rPr>
      </w:pPr>
      <w:r w:rsidRPr="0001502D">
        <w:rPr>
          <w:rFonts w:ascii="Arial" w:hAnsi="Arial" w:cs="Arial"/>
          <w:sz w:val="22"/>
          <w:szCs w:val="22"/>
        </w:rPr>
        <w:t>R.2 :</w:t>
      </w:r>
      <w:r w:rsidRPr="0001502D">
        <w:rPr>
          <w:rFonts w:ascii="Arial" w:hAnsi="Arial" w:cs="Arial"/>
          <w:sz w:val="22"/>
          <w:szCs w:val="22"/>
        </w:rPr>
        <w:tab/>
        <w:t>Parce que cet élément est lié au patrimoine musical du bassin méditerranéen et du Moyen-Orient, l</w:t>
      </w:r>
      <w:r w:rsidR="009C104E">
        <w:rPr>
          <w:rFonts w:ascii="Arial" w:hAnsi="Arial" w:cs="Arial"/>
          <w:sz w:val="22"/>
          <w:szCs w:val="22"/>
        </w:rPr>
        <w:t>’</w:t>
      </w:r>
      <w:r w:rsidRPr="0001502D">
        <w:rPr>
          <w:rFonts w:ascii="Arial" w:hAnsi="Arial" w:cs="Arial"/>
          <w:sz w:val="22"/>
          <w:szCs w:val="22"/>
        </w:rPr>
        <w:t>inscription du chant byzantin sensibiliserait à l</w:t>
      </w:r>
      <w:r w:rsidR="009C104E">
        <w:rPr>
          <w:rFonts w:ascii="Arial" w:hAnsi="Arial" w:cs="Arial"/>
          <w:sz w:val="22"/>
          <w:szCs w:val="22"/>
        </w:rPr>
        <w:t>’</w:t>
      </w:r>
      <w:r w:rsidRPr="0001502D">
        <w:rPr>
          <w:rFonts w:ascii="Arial" w:hAnsi="Arial" w:cs="Arial"/>
          <w:sz w:val="22"/>
          <w:szCs w:val="22"/>
        </w:rPr>
        <w:t>importance de la sauvegarde du patrimoine culturel immatériel de cette région multiculturelle, favorisant ainsi la tolérance et la compréhension entre des peuples de religions et de cultures différentes. Elle soulignerait également le rôle des traditions musicales dans les zones rurales et dans les petites paroisses, et leur importance au sein de la société.</w:t>
      </w:r>
    </w:p>
    <w:p w14:paraId="41D66421" w14:textId="0D78F611" w:rsidR="0001502D" w:rsidRPr="0001502D" w:rsidRDefault="0001502D" w:rsidP="002D425D">
      <w:pPr>
        <w:tabs>
          <w:tab w:val="left" w:pos="1134"/>
          <w:tab w:val="left" w:pos="2268"/>
        </w:tabs>
        <w:spacing w:before="120" w:after="120"/>
        <w:ind w:left="1134" w:hanging="555"/>
        <w:jc w:val="both"/>
        <w:rPr>
          <w:rFonts w:ascii="Arial" w:hAnsi="Arial" w:cs="Arial"/>
          <w:sz w:val="22"/>
          <w:szCs w:val="22"/>
        </w:rPr>
      </w:pPr>
      <w:r w:rsidRPr="0001502D">
        <w:rPr>
          <w:rFonts w:ascii="Arial" w:hAnsi="Arial" w:cs="Arial"/>
          <w:sz w:val="22"/>
          <w:szCs w:val="22"/>
        </w:rPr>
        <w:t>R.3 :</w:t>
      </w:r>
      <w:r w:rsidRPr="0001502D">
        <w:rPr>
          <w:rFonts w:ascii="Arial" w:hAnsi="Arial" w:cs="Arial"/>
          <w:sz w:val="22"/>
          <w:szCs w:val="22"/>
        </w:rPr>
        <w:tab/>
        <w:t>Comme les efforts passés et en cours, les mesures proposées par les principales communautés de détenteurs pour sauvegarder l</w:t>
      </w:r>
      <w:r w:rsidR="009C104E">
        <w:rPr>
          <w:rFonts w:ascii="Arial" w:hAnsi="Arial" w:cs="Arial"/>
          <w:sz w:val="22"/>
          <w:szCs w:val="22"/>
        </w:rPr>
        <w:t>’</w:t>
      </w:r>
      <w:r w:rsidRPr="0001502D">
        <w:rPr>
          <w:rFonts w:ascii="Arial" w:hAnsi="Arial" w:cs="Arial"/>
          <w:sz w:val="22"/>
          <w:szCs w:val="22"/>
        </w:rPr>
        <w:t>élément à Chypre et en Grèce portent sur la transmission par le biais de l</w:t>
      </w:r>
      <w:r w:rsidR="009C104E">
        <w:rPr>
          <w:rFonts w:ascii="Arial" w:hAnsi="Arial" w:cs="Arial"/>
          <w:sz w:val="22"/>
          <w:szCs w:val="22"/>
        </w:rPr>
        <w:t>’</w:t>
      </w:r>
      <w:r w:rsidRPr="0001502D">
        <w:rPr>
          <w:rFonts w:ascii="Arial" w:hAnsi="Arial" w:cs="Arial"/>
          <w:sz w:val="22"/>
          <w:szCs w:val="22"/>
        </w:rPr>
        <w:t>éducation formelle et non formelle, l</w:t>
      </w:r>
      <w:r w:rsidR="009C104E">
        <w:rPr>
          <w:rFonts w:ascii="Arial" w:hAnsi="Arial" w:cs="Arial"/>
          <w:sz w:val="22"/>
          <w:szCs w:val="22"/>
        </w:rPr>
        <w:t>’</w:t>
      </w:r>
      <w:r w:rsidRPr="0001502D">
        <w:rPr>
          <w:rFonts w:ascii="Arial" w:hAnsi="Arial" w:cs="Arial"/>
          <w:sz w:val="22"/>
          <w:szCs w:val="22"/>
        </w:rPr>
        <w:t>identification, la documentation, la recherche, la préservation et les initiatives de protection. Ces mesures sont pleinement soutenues par les organismes publics compétents des deux États soumissionnaires, qui s</w:t>
      </w:r>
      <w:r w:rsidR="009C104E">
        <w:rPr>
          <w:rFonts w:ascii="Arial" w:hAnsi="Arial" w:cs="Arial"/>
          <w:sz w:val="22"/>
          <w:szCs w:val="22"/>
        </w:rPr>
        <w:t>’</w:t>
      </w:r>
      <w:r w:rsidRPr="0001502D">
        <w:rPr>
          <w:rFonts w:ascii="Arial" w:hAnsi="Arial" w:cs="Arial"/>
          <w:sz w:val="22"/>
          <w:szCs w:val="22"/>
        </w:rPr>
        <w:t>engagent à fournir les fonds nécessaires à leur mise en œuvre complète.</w:t>
      </w:r>
    </w:p>
    <w:p w14:paraId="58CC2B97" w14:textId="748491CF" w:rsidR="0001502D" w:rsidRPr="0001502D" w:rsidRDefault="0001502D" w:rsidP="002D425D">
      <w:pPr>
        <w:tabs>
          <w:tab w:val="left" w:pos="1134"/>
          <w:tab w:val="left" w:pos="2268"/>
        </w:tabs>
        <w:spacing w:before="120" w:after="120"/>
        <w:ind w:left="1134" w:hanging="555"/>
        <w:jc w:val="both"/>
        <w:rPr>
          <w:rFonts w:ascii="Arial" w:hAnsi="Arial" w:cs="Arial"/>
          <w:sz w:val="22"/>
          <w:szCs w:val="22"/>
        </w:rPr>
      </w:pPr>
      <w:r w:rsidRPr="0001502D">
        <w:rPr>
          <w:rFonts w:ascii="Arial" w:hAnsi="Arial" w:cs="Arial"/>
          <w:sz w:val="22"/>
          <w:szCs w:val="22"/>
        </w:rPr>
        <w:t>R.4 :</w:t>
      </w:r>
      <w:r w:rsidRPr="0001502D">
        <w:rPr>
          <w:rFonts w:ascii="Arial" w:hAnsi="Arial" w:cs="Arial"/>
          <w:sz w:val="22"/>
          <w:szCs w:val="22"/>
        </w:rPr>
        <w:tab/>
        <w:t>Le processus de candidature a été piloté par des institutions clés représentant les communautés de praticiens de l</w:t>
      </w:r>
      <w:r w:rsidR="009C104E">
        <w:rPr>
          <w:rFonts w:ascii="Arial" w:hAnsi="Arial" w:cs="Arial"/>
          <w:sz w:val="22"/>
          <w:szCs w:val="22"/>
        </w:rPr>
        <w:t>’</w:t>
      </w:r>
      <w:r w:rsidRPr="0001502D">
        <w:rPr>
          <w:rFonts w:ascii="Arial" w:hAnsi="Arial" w:cs="Arial"/>
          <w:sz w:val="22"/>
          <w:szCs w:val="22"/>
        </w:rPr>
        <w:t>élément, avec le soutien des autorités publiques concernées. La méthode participative employée a permis aux différents segments de la grande communauté de praticiens de s</w:t>
      </w:r>
      <w:r w:rsidR="009C104E">
        <w:rPr>
          <w:rFonts w:ascii="Arial" w:hAnsi="Arial" w:cs="Arial"/>
          <w:sz w:val="22"/>
          <w:szCs w:val="22"/>
        </w:rPr>
        <w:t>’</w:t>
      </w:r>
      <w:r w:rsidRPr="0001502D">
        <w:rPr>
          <w:rFonts w:ascii="Arial" w:hAnsi="Arial" w:cs="Arial"/>
          <w:sz w:val="22"/>
          <w:szCs w:val="22"/>
        </w:rPr>
        <w:t>exprimer, de prendre part au processus de candidature et de donner leur consentement. Plusieurs réunions ont été organisées, et les États parties ont activement soutenu l</w:t>
      </w:r>
      <w:r w:rsidR="009C104E">
        <w:rPr>
          <w:rFonts w:ascii="Arial" w:hAnsi="Arial" w:cs="Arial"/>
          <w:sz w:val="22"/>
          <w:szCs w:val="22"/>
        </w:rPr>
        <w:t>’</w:t>
      </w:r>
      <w:r w:rsidRPr="0001502D">
        <w:rPr>
          <w:rFonts w:ascii="Arial" w:hAnsi="Arial" w:cs="Arial"/>
          <w:sz w:val="22"/>
          <w:szCs w:val="22"/>
        </w:rPr>
        <w:t>inscription en collaborant de manière exemplaire.</w:t>
      </w:r>
    </w:p>
    <w:p w14:paraId="2BB12563" w14:textId="1CDAB5C7" w:rsidR="0001502D" w:rsidRPr="0001502D" w:rsidRDefault="0001502D" w:rsidP="002D425D">
      <w:pPr>
        <w:tabs>
          <w:tab w:val="left" w:pos="1134"/>
          <w:tab w:val="left" w:pos="2268"/>
        </w:tabs>
        <w:spacing w:before="120" w:after="120"/>
        <w:ind w:left="1134" w:hanging="555"/>
        <w:jc w:val="both"/>
        <w:rPr>
          <w:rFonts w:ascii="Arial" w:hAnsi="Arial" w:cs="Arial"/>
          <w:sz w:val="22"/>
          <w:szCs w:val="22"/>
        </w:rPr>
      </w:pPr>
      <w:r w:rsidRPr="0001502D">
        <w:rPr>
          <w:rFonts w:ascii="Arial" w:hAnsi="Arial" w:cs="Arial"/>
          <w:sz w:val="22"/>
          <w:szCs w:val="22"/>
        </w:rPr>
        <w:t>R.5 :</w:t>
      </w:r>
      <w:r w:rsidRPr="0001502D">
        <w:rPr>
          <w:rFonts w:ascii="Arial" w:hAnsi="Arial" w:cs="Arial"/>
          <w:sz w:val="22"/>
          <w:szCs w:val="22"/>
        </w:rPr>
        <w:tab/>
        <w:t>L</w:t>
      </w:r>
      <w:r w:rsidR="009C104E">
        <w:rPr>
          <w:rFonts w:ascii="Arial" w:hAnsi="Arial" w:cs="Arial"/>
          <w:sz w:val="22"/>
          <w:szCs w:val="22"/>
        </w:rPr>
        <w:t>’</w:t>
      </w:r>
      <w:r w:rsidRPr="0001502D">
        <w:rPr>
          <w:rFonts w:ascii="Arial" w:hAnsi="Arial" w:cs="Arial"/>
          <w:sz w:val="22"/>
          <w:szCs w:val="22"/>
        </w:rPr>
        <w:t>élément a été inclus dans l</w:t>
      </w:r>
      <w:r w:rsidR="009C104E">
        <w:rPr>
          <w:rFonts w:ascii="Arial" w:hAnsi="Arial" w:cs="Arial"/>
          <w:sz w:val="22"/>
          <w:szCs w:val="22"/>
        </w:rPr>
        <w:t>’</w:t>
      </w:r>
      <w:r w:rsidRPr="0001502D">
        <w:rPr>
          <w:rFonts w:ascii="Arial" w:hAnsi="Arial" w:cs="Arial"/>
          <w:sz w:val="22"/>
          <w:szCs w:val="22"/>
        </w:rPr>
        <w:t>Inventaire national du patrimoine culturel immatériel de Chypre en 2017, et dans l</w:t>
      </w:r>
      <w:r w:rsidR="009C104E">
        <w:rPr>
          <w:rFonts w:ascii="Arial" w:hAnsi="Arial" w:cs="Arial"/>
          <w:sz w:val="22"/>
          <w:szCs w:val="22"/>
        </w:rPr>
        <w:t>’</w:t>
      </w:r>
      <w:r w:rsidRPr="0001502D">
        <w:rPr>
          <w:rFonts w:ascii="Arial" w:hAnsi="Arial" w:cs="Arial"/>
          <w:sz w:val="22"/>
          <w:szCs w:val="22"/>
        </w:rPr>
        <w:t>Inventaire national du patrimoine culturel immatériel de la Grèce en 2015. Dans les deux États, les inventaires sont révisés tous les cinq ans, avec la large participation des communautés et des institutions concernées.</w:t>
      </w:r>
    </w:p>
    <w:p w14:paraId="45F3FF29" w14:textId="4543D64F" w:rsidR="0001502D" w:rsidRPr="0001502D" w:rsidRDefault="0001502D" w:rsidP="00771F30">
      <w:pPr>
        <w:numPr>
          <w:ilvl w:val="1"/>
          <w:numId w:val="34"/>
        </w:numPr>
        <w:pBdr>
          <w:top w:val="nil"/>
          <w:left w:val="nil"/>
          <w:bottom w:val="nil"/>
          <w:right w:val="nil"/>
          <w:between w:val="nil"/>
        </w:pBdr>
        <w:tabs>
          <w:tab w:val="left" w:pos="567"/>
          <w:tab w:val="left" w:pos="1701"/>
          <w:tab w:val="left" w:pos="2268"/>
        </w:tabs>
        <w:spacing w:before="120" w:after="120"/>
        <w:ind w:left="567"/>
        <w:jc w:val="both"/>
        <w:rPr>
          <w:rFonts w:ascii="Arial" w:eastAsia="Arial" w:hAnsi="Arial" w:cs="Arial"/>
          <w:color w:val="000000"/>
          <w:sz w:val="22"/>
          <w:szCs w:val="22"/>
        </w:rPr>
      </w:pPr>
      <w:r w:rsidRPr="0001502D">
        <w:rPr>
          <w:rFonts w:ascii="Arial" w:hAnsi="Arial" w:cs="Arial"/>
          <w:color w:val="000000"/>
          <w:sz w:val="22"/>
          <w:szCs w:val="22"/>
          <w:u w:val="single"/>
        </w:rPr>
        <w:t>Décide d</w:t>
      </w:r>
      <w:r w:rsidR="009C104E">
        <w:rPr>
          <w:rFonts w:ascii="Arial" w:hAnsi="Arial" w:cs="Arial"/>
          <w:color w:val="000000"/>
          <w:sz w:val="22"/>
          <w:szCs w:val="22"/>
          <w:u w:val="single"/>
        </w:rPr>
        <w:t>’</w:t>
      </w:r>
      <w:r w:rsidRPr="0001502D">
        <w:rPr>
          <w:rFonts w:ascii="Arial" w:hAnsi="Arial" w:cs="Arial"/>
          <w:color w:val="000000"/>
          <w:sz w:val="22"/>
          <w:szCs w:val="22"/>
          <w:u w:val="single"/>
        </w:rPr>
        <w:t>inscrire</w:t>
      </w:r>
      <w:r w:rsidRPr="0001502D">
        <w:rPr>
          <w:rFonts w:ascii="Arial" w:hAnsi="Arial" w:cs="Arial"/>
          <w:sz w:val="22"/>
          <w:szCs w:val="22"/>
        </w:rPr>
        <w:t xml:space="preserve"> </w:t>
      </w:r>
      <w:r w:rsidRPr="0001502D">
        <w:rPr>
          <w:rFonts w:ascii="Arial" w:hAnsi="Arial" w:cs="Arial"/>
          <w:b/>
          <w:bCs/>
          <w:color w:val="000000"/>
          <w:sz w:val="22"/>
          <w:szCs w:val="22"/>
        </w:rPr>
        <w:t>le chant byzantin</w:t>
      </w:r>
      <w:r w:rsidRPr="0001502D">
        <w:rPr>
          <w:rFonts w:ascii="Arial" w:hAnsi="Arial" w:cs="Arial"/>
          <w:color w:val="000000"/>
          <w:sz w:val="22"/>
          <w:szCs w:val="22"/>
        </w:rPr>
        <w:t xml:space="preserve"> sur la Liste représentative du patrimoine culturel immatériel de l</w:t>
      </w:r>
      <w:r w:rsidR="009C104E">
        <w:rPr>
          <w:rFonts w:ascii="Arial" w:hAnsi="Arial" w:cs="Arial"/>
          <w:color w:val="000000"/>
          <w:sz w:val="22"/>
          <w:szCs w:val="22"/>
        </w:rPr>
        <w:t>’</w:t>
      </w:r>
      <w:r w:rsidRPr="0001502D">
        <w:rPr>
          <w:rFonts w:ascii="Arial" w:hAnsi="Arial" w:cs="Arial"/>
          <w:color w:val="000000"/>
          <w:sz w:val="22"/>
          <w:szCs w:val="22"/>
        </w:rPr>
        <w:t>humanité ;</w:t>
      </w:r>
    </w:p>
    <w:p w14:paraId="3C90AA93" w14:textId="2CE4855A" w:rsidR="0001502D" w:rsidRPr="0001502D" w:rsidRDefault="0001502D" w:rsidP="00771F30">
      <w:pPr>
        <w:numPr>
          <w:ilvl w:val="1"/>
          <w:numId w:val="34"/>
        </w:numPr>
        <w:pBdr>
          <w:top w:val="nil"/>
          <w:left w:val="nil"/>
          <w:bottom w:val="nil"/>
          <w:right w:val="nil"/>
          <w:between w:val="nil"/>
        </w:pBdr>
        <w:tabs>
          <w:tab w:val="left" w:pos="567"/>
          <w:tab w:val="left" w:pos="1701"/>
          <w:tab w:val="left" w:pos="2268"/>
        </w:tabs>
        <w:spacing w:before="120" w:after="120"/>
        <w:ind w:left="567"/>
        <w:jc w:val="both"/>
        <w:rPr>
          <w:rFonts w:ascii="Arial" w:eastAsia="Arial" w:hAnsi="Arial" w:cs="Arial"/>
          <w:sz w:val="22"/>
          <w:szCs w:val="22"/>
        </w:rPr>
      </w:pPr>
      <w:r w:rsidRPr="0001502D">
        <w:rPr>
          <w:rFonts w:ascii="Arial" w:hAnsi="Arial" w:cs="Arial"/>
          <w:sz w:val="22"/>
          <w:szCs w:val="22"/>
          <w:u w:val="single"/>
        </w:rPr>
        <w:t>Félicite</w:t>
      </w:r>
      <w:r w:rsidRPr="0001502D">
        <w:rPr>
          <w:rFonts w:ascii="Arial" w:hAnsi="Arial" w:cs="Arial"/>
          <w:sz w:val="22"/>
          <w:szCs w:val="22"/>
        </w:rPr>
        <w:t xml:space="preserve"> les États parties pour cette candidature conjointe exemplaire, qui prouve l</w:t>
      </w:r>
      <w:r w:rsidR="009C104E">
        <w:rPr>
          <w:rFonts w:ascii="Arial" w:hAnsi="Arial" w:cs="Arial"/>
          <w:sz w:val="22"/>
          <w:szCs w:val="22"/>
        </w:rPr>
        <w:t>’</w:t>
      </w:r>
      <w:r w:rsidRPr="0001502D">
        <w:rPr>
          <w:rFonts w:ascii="Arial" w:hAnsi="Arial" w:cs="Arial"/>
          <w:sz w:val="22"/>
          <w:szCs w:val="22"/>
        </w:rPr>
        <w:t>efficacité de la collaboration des communautés de différents pays lorsqu</w:t>
      </w:r>
      <w:r w:rsidR="009C104E">
        <w:rPr>
          <w:rFonts w:ascii="Arial" w:hAnsi="Arial" w:cs="Arial"/>
          <w:sz w:val="22"/>
          <w:szCs w:val="22"/>
        </w:rPr>
        <w:t>’</w:t>
      </w:r>
      <w:r w:rsidRPr="0001502D">
        <w:rPr>
          <w:rFonts w:ascii="Arial" w:hAnsi="Arial" w:cs="Arial"/>
          <w:sz w:val="22"/>
          <w:szCs w:val="22"/>
        </w:rPr>
        <w:t>il s</w:t>
      </w:r>
      <w:r w:rsidR="009C104E">
        <w:rPr>
          <w:rFonts w:ascii="Arial" w:hAnsi="Arial" w:cs="Arial"/>
          <w:sz w:val="22"/>
          <w:szCs w:val="22"/>
        </w:rPr>
        <w:t>’</w:t>
      </w:r>
      <w:r w:rsidRPr="0001502D">
        <w:rPr>
          <w:rFonts w:ascii="Arial" w:hAnsi="Arial" w:cs="Arial"/>
          <w:sz w:val="22"/>
          <w:szCs w:val="22"/>
        </w:rPr>
        <w:t>agit de sauvegarder le patrimoine culturel immatériel ;</w:t>
      </w:r>
    </w:p>
    <w:p w14:paraId="14ECABB6" w14:textId="10E8F270" w:rsidR="002D425D" w:rsidRPr="002D425D" w:rsidRDefault="0001502D" w:rsidP="00771F30">
      <w:pPr>
        <w:numPr>
          <w:ilvl w:val="1"/>
          <w:numId w:val="34"/>
        </w:numPr>
        <w:pBdr>
          <w:top w:val="nil"/>
          <w:left w:val="nil"/>
          <w:bottom w:val="nil"/>
          <w:right w:val="nil"/>
          <w:between w:val="nil"/>
        </w:pBdr>
        <w:tabs>
          <w:tab w:val="left" w:pos="567"/>
          <w:tab w:val="left" w:pos="1701"/>
          <w:tab w:val="left" w:pos="2268"/>
        </w:tabs>
        <w:spacing w:before="120" w:after="120"/>
        <w:ind w:left="567"/>
        <w:jc w:val="both"/>
        <w:rPr>
          <w:rFonts w:eastAsia="Arial"/>
        </w:rPr>
      </w:pPr>
      <w:r w:rsidRPr="002D425D">
        <w:rPr>
          <w:rFonts w:ascii="Arial" w:hAnsi="Arial" w:cs="Arial"/>
          <w:sz w:val="22"/>
          <w:szCs w:val="22"/>
          <w:u w:val="single"/>
        </w:rPr>
        <w:t>Félicite en outre</w:t>
      </w:r>
      <w:r w:rsidRPr="002D425D">
        <w:rPr>
          <w:rFonts w:ascii="Arial" w:hAnsi="Arial" w:cs="Arial"/>
          <w:sz w:val="22"/>
          <w:szCs w:val="22"/>
        </w:rPr>
        <w:t xml:space="preserve"> les États parties pour ce dossier bien préparé qui montre bien dans quelle mesure l</w:t>
      </w:r>
      <w:r w:rsidR="009C104E">
        <w:rPr>
          <w:rFonts w:ascii="Arial" w:hAnsi="Arial" w:cs="Arial"/>
          <w:sz w:val="22"/>
          <w:szCs w:val="22"/>
        </w:rPr>
        <w:t>’</w:t>
      </w:r>
      <w:r w:rsidRPr="002D425D">
        <w:rPr>
          <w:rFonts w:ascii="Arial" w:hAnsi="Arial" w:cs="Arial"/>
          <w:sz w:val="22"/>
          <w:szCs w:val="22"/>
        </w:rPr>
        <w:t>inscription d</w:t>
      </w:r>
      <w:r w:rsidR="009C104E">
        <w:rPr>
          <w:rFonts w:ascii="Arial" w:hAnsi="Arial" w:cs="Arial"/>
          <w:sz w:val="22"/>
          <w:szCs w:val="22"/>
        </w:rPr>
        <w:t>’</w:t>
      </w:r>
      <w:r w:rsidRPr="002D425D">
        <w:rPr>
          <w:rFonts w:ascii="Arial" w:hAnsi="Arial" w:cs="Arial"/>
          <w:sz w:val="22"/>
          <w:szCs w:val="22"/>
        </w:rPr>
        <w:t>un élément sur la Liste représentative du patrimoine culturel immatériel de l</w:t>
      </w:r>
      <w:r w:rsidR="009C104E">
        <w:rPr>
          <w:rFonts w:ascii="Arial" w:hAnsi="Arial" w:cs="Arial"/>
          <w:sz w:val="22"/>
          <w:szCs w:val="22"/>
        </w:rPr>
        <w:t>’</w:t>
      </w:r>
      <w:r w:rsidRPr="002D425D">
        <w:rPr>
          <w:rFonts w:ascii="Arial" w:hAnsi="Arial" w:cs="Arial"/>
          <w:sz w:val="22"/>
          <w:szCs w:val="22"/>
        </w:rPr>
        <w:t>humanité peut contribuer à la visibilité du patrimoine culturel immatériel et sensibiliser à son importance ;</w:t>
      </w:r>
      <w:r w:rsidR="002D425D" w:rsidRPr="002D425D">
        <w:rPr>
          <w:rFonts w:ascii="Arial" w:hAnsi="Arial" w:cs="Arial"/>
          <w:sz w:val="22"/>
          <w:szCs w:val="22"/>
        </w:rPr>
        <w:t xml:space="preserve"> </w:t>
      </w:r>
    </w:p>
    <w:p w14:paraId="56842495" w14:textId="1BDA4C10" w:rsidR="002D425D" w:rsidRPr="002D425D" w:rsidRDefault="002D425D" w:rsidP="00771F30">
      <w:pPr>
        <w:numPr>
          <w:ilvl w:val="1"/>
          <w:numId w:val="34"/>
        </w:numPr>
        <w:pBdr>
          <w:top w:val="nil"/>
          <w:left w:val="nil"/>
          <w:bottom w:val="nil"/>
          <w:right w:val="nil"/>
          <w:between w:val="nil"/>
        </w:pBdr>
        <w:tabs>
          <w:tab w:val="left" w:pos="567"/>
          <w:tab w:val="left" w:pos="1701"/>
          <w:tab w:val="left" w:pos="2268"/>
        </w:tabs>
        <w:spacing w:before="120" w:after="120"/>
        <w:ind w:left="567"/>
        <w:jc w:val="both"/>
        <w:rPr>
          <w:rFonts w:ascii="Arial" w:eastAsia="Arial" w:hAnsi="Arial" w:cs="Arial"/>
          <w:sz w:val="22"/>
          <w:szCs w:val="22"/>
        </w:rPr>
      </w:pPr>
      <w:r w:rsidRPr="002D425D">
        <w:rPr>
          <w:rFonts w:ascii="Arial" w:hAnsi="Arial" w:cs="Arial"/>
          <w:sz w:val="22"/>
          <w:szCs w:val="22"/>
          <w:u w:val="single"/>
        </w:rPr>
        <w:t>Rappelle</w:t>
      </w:r>
      <w:r w:rsidRPr="002D425D">
        <w:rPr>
          <w:rFonts w:ascii="Arial" w:hAnsi="Arial" w:cs="Arial"/>
          <w:sz w:val="22"/>
          <w:szCs w:val="22"/>
        </w:rPr>
        <w:t xml:space="preserve"> aux États parties que la mise à jour est un aspect important du processus d</w:t>
      </w:r>
      <w:r w:rsidR="009C104E">
        <w:rPr>
          <w:rFonts w:ascii="Arial" w:hAnsi="Arial" w:cs="Arial"/>
          <w:sz w:val="22"/>
          <w:szCs w:val="22"/>
        </w:rPr>
        <w:t>’</w:t>
      </w:r>
      <w:r w:rsidRPr="002D425D">
        <w:rPr>
          <w:rFonts w:ascii="Arial" w:hAnsi="Arial" w:cs="Arial"/>
          <w:sz w:val="22"/>
          <w:szCs w:val="22"/>
        </w:rPr>
        <w:t xml:space="preserve">élaboration des inventaires et les </w:t>
      </w:r>
      <w:r w:rsidRPr="00B932EA">
        <w:rPr>
          <w:rFonts w:ascii="Arial" w:hAnsi="Arial" w:cs="Arial"/>
          <w:sz w:val="22"/>
          <w:szCs w:val="22"/>
          <w:u w:val="single"/>
        </w:rPr>
        <w:t>invite</w:t>
      </w:r>
      <w:r w:rsidRPr="002D425D">
        <w:rPr>
          <w:rFonts w:ascii="Arial" w:hAnsi="Arial" w:cs="Arial"/>
          <w:sz w:val="22"/>
          <w:szCs w:val="22"/>
        </w:rPr>
        <w:t xml:space="preserve"> à inclure, dans leur prochain rapport périodique sur la mise en œuvre de la Convention au niveau national, des informations détaillées sur la périodicité et les modalités de la mise à jour de leurs inventaires respectifs, conformément à l</w:t>
      </w:r>
      <w:r w:rsidR="009C104E">
        <w:rPr>
          <w:rFonts w:ascii="Arial" w:hAnsi="Arial" w:cs="Arial"/>
          <w:sz w:val="22"/>
          <w:szCs w:val="22"/>
        </w:rPr>
        <w:t>’</w:t>
      </w:r>
      <w:r w:rsidRPr="002D425D">
        <w:rPr>
          <w:rFonts w:ascii="Arial" w:hAnsi="Arial" w:cs="Arial"/>
          <w:sz w:val="22"/>
          <w:szCs w:val="22"/>
        </w:rPr>
        <w:t>article 12.1 de la Convention.</w:t>
      </w:r>
    </w:p>
    <w:p w14:paraId="267C3C33" w14:textId="737A47D2" w:rsidR="0001502D" w:rsidRPr="0001502D" w:rsidRDefault="0001502D" w:rsidP="002D425D">
      <w:pPr>
        <w:keepNext/>
        <w:keepLines/>
        <w:spacing w:before="360" w:after="120"/>
        <w:outlineLvl w:val="1"/>
        <w:rPr>
          <w:rFonts w:ascii="Arial" w:hAnsi="Arial" w:cs="Arial"/>
          <w:bCs/>
          <w:iCs/>
          <w:sz w:val="22"/>
          <w:szCs w:val="22"/>
        </w:rPr>
      </w:pPr>
      <w:bookmarkStart w:id="14" w:name="Decision_10b10"/>
      <w:r w:rsidRPr="0001502D">
        <w:rPr>
          <w:rFonts w:ascii="Arial" w:hAnsi="Arial" w:cs="Arial"/>
          <w:b/>
          <w:bCs/>
          <w:iCs/>
          <w:sz w:val="22"/>
          <w:szCs w:val="22"/>
        </w:rPr>
        <w:t>DÉCISION 14.COM 10.b.10</w:t>
      </w:r>
    </w:p>
    <w:bookmarkEnd w:id="14"/>
    <w:p w14:paraId="071E42BA" w14:textId="77777777" w:rsidR="0001502D" w:rsidRPr="0001502D" w:rsidRDefault="0001502D" w:rsidP="002D425D">
      <w:pPr>
        <w:keepNext/>
        <w:pBdr>
          <w:top w:val="nil"/>
          <w:left w:val="nil"/>
          <w:bottom w:val="nil"/>
          <w:right w:val="nil"/>
          <w:between w:val="nil"/>
        </w:pBdr>
        <w:tabs>
          <w:tab w:val="left" w:pos="567"/>
          <w:tab w:val="left" w:pos="1134"/>
          <w:tab w:val="left" w:pos="1701"/>
          <w:tab w:val="left" w:pos="2268"/>
        </w:tabs>
        <w:spacing w:before="120" w:after="120"/>
        <w:jc w:val="both"/>
        <w:rPr>
          <w:rFonts w:ascii="Arial" w:eastAsia="Arial" w:hAnsi="Arial" w:cs="Arial"/>
          <w:color w:val="000000"/>
          <w:sz w:val="22"/>
          <w:szCs w:val="22"/>
        </w:rPr>
      </w:pPr>
      <w:r w:rsidRPr="0001502D">
        <w:rPr>
          <w:rFonts w:ascii="Arial" w:hAnsi="Arial" w:cs="Arial"/>
          <w:color w:val="000000"/>
          <w:sz w:val="22"/>
          <w:szCs w:val="22"/>
        </w:rPr>
        <w:t>Le Comité,</w:t>
      </w:r>
    </w:p>
    <w:p w14:paraId="2EF29703" w14:textId="6D831EBF" w:rsidR="0001502D" w:rsidRPr="0001502D" w:rsidRDefault="0001502D" w:rsidP="00B932EA">
      <w:pPr>
        <w:numPr>
          <w:ilvl w:val="1"/>
          <w:numId w:val="35"/>
        </w:numPr>
        <w:pBdr>
          <w:top w:val="nil"/>
          <w:left w:val="nil"/>
          <w:bottom w:val="nil"/>
          <w:right w:val="nil"/>
          <w:between w:val="nil"/>
        </w:pBdr>
        <w:tabs>
          <w:tab w:val="left" w:pos="567"/>
          <w:tab w:val="left" w:pos="1701"/>
          <w:tab w:val="left" w:pos="2268"/>
        </w:tabs>
        <w:spacing w:before="120" w:after="120"/>
        <w:ind w:left="567" w:hanging="567"/>
        <w:jc w:val="both"/>
        <w:rPr>
          <w:rFonts w:ascii="Arial" w:eastAsia="Arial" w:hAnsi="Arial" w:cs="Arial"/>
          <w:color w:val="000000"/>
          <w:sz w:val="22"/>
          <w:szCs w:val="22"/>
        </w:rPr>
      </w:pPr>
      <w:r w:rsidRPr="0001502D">
        <w:rPr>
          <w:rFonts w:ascii="Arial" w:hAnsi="Arial" w:cs="Arial"/>
          <w:color w:val="000000"/>
          <w:sz w:val="22"/>
          <w:szCs w:val="22"/>
          <w:u w:val="single"/>
        </w:rPr>
        <w:t>Prend note</w:t>
      </w:r>
      <w:r w:rsidRPr="0001502D">
        <w:rPr>
          <w:rFonts w:ascii="Arial" w:hAnsi="Arial" w:cs="Arial"/>
          <w:color w:val="000000"/>
          <w:sz w:val="22"/>
          <w:szCs w:val="22"/>
        </w:rPr>
        <w:t xml:space="preserve"> que la République dominicaine a proposé la candidature de </w:t>
      </w:r>
      <w:r w:rsidRPr="0001502D">
        <w:rPr>
          <w:rFonts w:ascii="Arial" w:hAnsi="Arial" w:cs="Arial"/>
          <w:b/>
          <w:bCs/>
          <w:color w:val="000000"/>
          <w:sz w:val="22"/>
          <w:szCs w:val="22"/>
        </w:rPr>
        <w:t>la musique et la danse de la bachata dominicaine</w:t>
      </w:r>
      <w:r w:rsidRPr="0001502D">
        <w:rPr>
          <w:rFonts w:ascii="Arial" w:hAnsi="Arial" w:cs="Arial"/>
          <w:color w:val="000000"/>
          <w:sz w:val="22"/>
          <w:szCs w:val="22"/>
        </w:rPr>
        <w:t xml:space="preserve"> (n° 01514) pour inscription sur la Liste représentative du patrimoine culturel immatériel de l</w:t>
      </w:r>
      <w:r w:rsidR="009C104E">
        <w:rPr>
          <w:rFonts w:ascii="Arial" w:hAnsi="Arial" w:cs="Arial"/>
          <w:color w:val="000000"/>
          <w:sz w:val="22"/>
          <w:szCs w:val="22"/>
        </w:rPr>
        <w:t>’</w:t>
      </w:r>
      <w:r w:rsidRPr="0001502D">
        <w:rPr>
          <w:rFonts w:ascii="Arial" w:hAnsi="Arial" w:cs="Arial"/>
          <w:color w:val="000000"/>
          <w:sz w:val="22"/>
          <w:szCs w:val="22"/>
        </w:rPr>
        <w:t>humanité :</w:t>
      </w:r>
    </w:p>
    <w:p w14:paraId="2B9825D5" w14:textId="29CA2519" w:rsidR="0001502D" w:rsidRPr="0001502D" w:rsidRDefault="0001502D" w:rsidP="002D425D">
      <w:pPr>
        <w:tabs>
          <w:tab w:val="left" w:pos="567"/>
          <w:tab w:val="left" w:pos="1701"/>
          <w:tab w:val="left" w:pos="2268"/>
        </w:tabs>
        <w:spacing w:before="120" w:after="120"/>
        <w:ind w:left="567"/>
        <w:jc w:val="both"/>
        <w:rPr>
          <w:rFonts w:ascii="Arial" w:hAnsi="Arial" w:cs="Arial"/>
          <w:sz w:val="22"/>
          <w:szCs w:val="22"/>
        </w:rPr>
      </w:pPr>
      <w:r w:rsidRPr="0001502D">
        <w:rPr>
          <w:rFonts w:ascii="Arial" w:hAnsi="Arial" w:cs="Arial"/>
          <w:sz w:val="22"/>
          <w:szCs w:val="22"/>
        </w:rPr>
        <w:t>La musique et la danse de la bachata dominicaine est une expression musicale dansante, issue de la fusion entre le rythme du boléro et d</w:t>
      </w:r>
      <w:r w:rsidR="009C104E">
        <w:rPr>
          <w:rFonts w:ascii="Arial" w:hAnsi="Arial" w:cs="Arial"/>
          <w:sz w:val="22"/>
          <w:szCs w:val="22"/>
        </w:rPr>
        <w:t>’</w:t>
      </w:r>
      <w:r w:rsidRPr="0001502D">
        <w:rPr>
          <w:rFonts w:ascii="Arial" w:hAnsi="Arial" w:cs="Arial"/>
          <w:sz w:val="22"/>
          <w:szCs w:val="22"/>
        </w:rPr>
        <w:t>autres genres afro-antillais tels que le son cubain, le cha cha cha et le merengue. Pour le peuple dominicain, la musique et la danse de la bachata sont une manifestation culturelle typique, omniprésente dans les célébrations de la communauté ou lors des rassemblements sociaux. En général, les paroles de la bachata expriment des sentiments profonds et viscéraux d</w:t>
      </w:r>
      <w:r w:rsidR="009C104E">
        <w:rPr>
          <w:rFonts w:ascii="Arial" w:hAnsi="Arial" w:cs="Arial"/>
          <w:sz w:val="22"/>
          <w:szCs w:val="22"/>
        </w:rPr>
        <w:t>’</w:t>
      </w:r>
      <w:r w:rsidRPr="0001502D">
        <w:rPr>
          <w:rFonts w:ascii="Arial" w:hAnsi="Arial" w:cs="Arial"/>
          <w:sz w:val="22"/>
          <w:szCs w:val="22"/>
        </w:rPr>
        <w:t>amour, de passion et de nostalgie. Étymologiquement, le terme « </w:t>
      </w:r>
      <w:r w:rsidRPr="0001502D">
        <w:rPr>
          <w:rFonts w:ascii="Arial" w:hAnsi="Arial" w:cs="Arial"/>
          <w:iCs/>
          <w:sz w:val="22"/>
          <w:szCs w:val="22"/>
        </w:rPr>
        <w:t>bachata »</w:t>
      </w:r>
      <w:r w:rsidRPr="0001502D">
        <w:rPr>
          <w:rFonts w:ascii="Arial" w:hAnsi="Arial" w:cs="Arial"/>
          <w:sz w:val="22"/>
          <w:szCs w:val="22"/>
        </w:rPr>
        <w:t>, que l</w:t>
      </w:r>
      <w:r w:rsidR="009C104E">
        <w:rPr>
          <w:rFonts w:ascii="Arial" w:hAnsi="Arial" w:cs="Arial"/>
          <w:sz w:val="22"/>
          <w:szCs w:val="22"/>
        </w:rPr>
        <w:t>’</w:t>
      </w:r>
      <w:r w:rsidRPr="0001502D">
        <w:rPr>
          <w:rFonts w:ascii="Arial" w:hAnsi="Arial" w:cs="Arial"/>
          <w:sz w:val="22"/>
          <w:szCs w:val="22"/>
        </w:rPr>
        <w:t>on suppose d</w:t>
      </w:r>
      <w:r w:rsidR="009C104E">
        <w:rPr>
          <w:rFonts w:ascii="Arial" w:hAnsi="Arial" w:cs="Arial"/>
          <w:sz w:val="22"/>
          <w:szCs w:val="22"/>
        </w:rPr>
        <w:t>’</w:t>
      </w:r>
      <w:r w:rsidRPr="0001502D">
        <w:rPr>
          <w:rFonts w:ascii="Arial" w:hAnsi="Arial" w:cs="Arial"/>
          <w:sz w:val="22"/>
          <w:szCs w:val="22"/>
        </w:rPr>
        <w:t>origine africaine, était initialement utilisé pour désigner un rassemblement ou une fête animés, plutôt qu</w:t>
      </w:r>
      <w:r w:rsidR="009C104E">
        <w:rPr>
          <w:rFonts w:ascii="Arial" w:hAnsi="Arial" w:cs="Arial"/>
          <w:sz w:val="22"/>
          <w:szCs w:val="22"/>
        </w:rPr>
        <w:t>’</w:t>
      </w:r>
      <w:r w:rsidRPr="0001502D">
        <w:rPr>
          <w:rFonts w:ascii="Arial" w:hAnsi="Arial" w:cs="Arial"/>
          <w:sz w:val="22"/>
          <w:szCs w:val="22"/>
        </w:rPr>
        <w:t>un genre musical spécifique. Traditionnellement, pour être interprétée, la bachata nécessite un petit groupe de musiciens qui utilisent principalement une ou deux guitares (de nos jours, les guitares électriques sont très répandues), et un ensemble de percussions composé de bongos, de maracas et d</w:t>
      </w:r>
      <w:r w:rsidR="009C104E">
        <w:rPr>
          <w:rFonts w:ascii="Arial" w:hAnsi="Arial" w:cs="Arial"/>
          <w:sz w:val="22"/>
          <w:szCs w:val="22"/>
        </w:rPr>
        <w:t>’</w:t>
      </w:r>
      <w:r w:rsidRPr="0001502D">
        <w:rPr>
          <w:rFonts w:ascii="Arial" w:hAnsi="Arial" w:cs="Arial"/>
          <w:sz w:val="22"/>
          <w:szCs w:val="22"/>
        </w:rPr>
        <w:t>un güiro, accompagnés d</w:t>
      </w:r>
      <w:r w:rsidR="009C104E">
        <w:rPr>
          <w:rFonts w:ascii="Arial" w:hAnsi="Arial" w:cs="Arial"/>
          <w:sz w:val="22"/>
          <w:szCs w:val="22"/>
        </w:rPr>
        <w:t>’</w:t>
      </w:r>
      <w:r w:rsidRPr="0001502D">
        <w:rPr>
          <w:rFonts w:ascii="Arial" w:hAnsi="Arial" w:cs="Arial"/>
          <w:sz w:val="22"/>
          <w:szCs w:val="22"/>
        </w:rPr>
        <w:t>une basse. La musique a un rythme à quatre temps. Habituellement, l</w:t>
      </w:r>
      <w:r w:rsidR="009C104E">
        <w:rPr>
          <w:rFonts w:ascii="Arial" w:hAnsi="Arial" w:cs="Arial"/>
          <w:sz w:val="22"/>
          <w:szCs w:val="22"/>
        </w:rPr>
        <w:t>’</w:t>
      </w:r>
      <w:r w:rsidRPr="0001502D">
        <w:rPr>
          <w:rFonts w:ascii="Arial" w:hAnsi="Arial" w:cs="Arial"/>
          <w:sz w:val="22"/>
          <w:szCs w:val="22"/>
        </w:rPr>
        <w:t>un des musiciens est le chanteur principal. La danse de la bachata est tout aussi passionnée. C</w:t>
      </w:r>
      <w:r w:rsidR="009C104E">
        <w:rPr>
          <w:rFonts w:ascii="Arial" w:hAnsi="Arial" w:cs="Arial"/>
          <w:sz w:val="22"/>
          <w:szCs w:val="22"/>
        </w:rPr>
        <w:t>’</w:t>
      </w:r>
      <w:r w:rsidRPr="0001502D">
        <w:rPr>
          <w:rFonts w:ascii="Arial" w:hAnsi="Arial" w:cs="Arial"/>
          <w:sz w:val="22"/>
          <w:szCs w:val="22"/>
        </w:rPr>
        <w:t>est une danse de couple qui se caractérise par un mouvement de hanche sensuel et une structure simple formée de huit pas. L</w:t>
      </w:r>
      <w:r w:rsidR="009C104E">
        <w:rPr>
          <w:rFonts w:ascii="Arial" w:hAnsi="Arial" w:cs="Arial"/>
          <w:sz w:val="22"/>
          <w:szCs w:val="22"/>
        </w:rPr>
        <w:t>’</w:t>
      </w:r>
      <w:r w:rsidRPr="0001502D">
        <w:rPr>
          <w:rFonts w:ascii="Arial" w:hAnsi="Arial" w:cs="Arial"/>
          <w:sz w:val="22"/>
          <w:szCs w:val="22"/>
        </w:rPr>
        <w:t>élément faisant partie intégrante de toutes les célébrations traditionnelles de la République dominicaine, la danse est spontanément apprise dès le plus jeune âge, mais il existe aussi dans le pays plus d</w:t>
      </w:r>
      <w:r w:rsidR="009C104E">
        <w:rPr>
          <w:rFonts w:ascii="Arial" w:hAnsi="Arial" w:cs="Arial"/>
          <w:sz w:val="22"/>
          <w:szCs w:val="22"/>
        </w:rPr>
        <w:t>’</w:t>
      </w:r>
      <w:r w:rsidRPr="0001502D">
        <w:rPr>
          <w:rFonts w:ascii="Arial" w:hAnsi="Arial" w:cs="Arial"/>
          <w:sz w:val="22"/>
          <w:szCs w:val="22"/>
        </w:rPr>
        <w:t>une centaine d</w:t>
      </w:r>
      <w:r w:rsidR="009C104E">
        <w:rPr>
          <w:rFonts w:ascii="Arial" w:hAnsi="Arial" w:cs="Arial"/>
          <w:sz w:val="22"/>
          <w:szCs w:val="22"/>
        </w:rPr>
        <w:t>’</w:t>
      </w:r>
      <w:r w:rsidRPr="0001502D">
        <w:rPr>
          <w:rFonts w:ascii="Arial" w:hAnsi="Arial" w:cs="Arial"/>
          <w:sz w:val="22"/>
          <w:szCs w:val="22"/>
        </w:rPr>
        <w:t>académies, écoles et studios dédiés à sa transmission.</w:t>
      </w:r>
    </w:p>
    <w:p w14:paraId="06F02AC2" w14:textId="594215B4" w:rsidR="0001502D" w:rsidRPr="0001502D" w:rsidRDefault="0001502D" w:rsidP="00B932EA">
      <w:pPr>
        <w:keepNext/>
        <w:numPr>
          <w:ilvl w:val="1"/>
          <w:numId w:val="35"/>
        </w:numPr>
        <w:pBdr>
          <w:top w:val="nil"/>
          <w:left w:val="nil"/>
          <w:bottom w:val="nil"/>
          <w:right w:val="nil"/>
          <w:between w:val="nil"/>
        </w:pBdr>
        <w:tabs>
          <w:tab w:val="left" w:pos="567"/>
          <w:tab w:val="left" w:pos="1701"/>
          <w:tab w:val="left" w:pos="2268"/>
        </w:tabs>
        <w:spacing w:before="120" w:after="120"/>
        <w:ind w:left="567" w:hanging="567"/>
        <w:jc w:val="both"/>
        <w:rPr>
          <w:rFonts w:ascii="Arial" w:eastAsia="Arial" w:hAnsi="Arial" w:cs="Arial"/>
          <w:color w:val="000000"/>
          <w:sz w:val="22"/>
          <w:szCs w:val="22"/>
        </w:rPr>
      </w:pPr>
      <w:r w:rsidRPr="0001502D">
        <w:rPr>
          <w:rFonts w:ascii="Arial" w:hAnsi="Arial" w:cs="Arial"/>
          <w:color w:val="000000"/>
          <w:sz w:val="22"/>
          <w:szCs w:val="22"/>
          <w:u w:val="single"/>
        </w:rPr>
        <w:t>Estime</w:t>
      </w:r>
      <w:r w:rsidRPr="0001502D">
        <w:rPr>
          <w:rFonts w:ascii="Arial" w:hAnsi="Arial" w:cs="Arial"/>
          <w:color w:val="000000"/>
          <w:sz w:val="22"/>
          <w:szCs w:val="22"/>
        </w:rPr>
        <w:t xml:space="preserve"> que, d</w:t>
      </w:r>
      <w:r w:rsidR="009C104E">
        <w:rPr>
          <w:rFonts w:ascii="Arial" w:hAnsi="Arial" w:cs="Arial"/>
          <w:color w:val="000000"/>
          <w:sz w:val="22"/>
          <w:szCs w:val="22"/>
        </w:rPr>
        <w:t>’</w:t>
      </w:r>
      <w:r w:rsidRPr="0001502D">
        <w:rPr>
          <w:rFonts w:ascii="Arial" w:hAnsi="Arial" w:cs="Arial"/>
          <w:color w:val="000000"/>
          <w:sz w:val="22"/>
          <w:szCs w:val="22"/>
        </w:rPr>
        <w:t>après les informations contenues dans le dossier, la candidature satisfait aux critères d</w:t>
      </w:r>
      <w:r w:rsidR="009C104E">
        <w:rPr>
          <w:rFonts w:ascii="Arial" w:hAnsi="Arial" w:cs="Arial"/>
          <w:color w:val="000000"/>
          <w:sz w:val="22"/>
          <w:szCs w:val="22"/>
        </w:rPr>
        <w:t>’</w:t>
      </w:r>
      <w:r w:rsidRPr="0001502D">
        <w:rPr>
          <w:rFonts w:ascii="Arial" w:hAnsi="Arial" w:cs="Arial"/>
          <w:color w:val="000000"/>
          <w:sz w:val="22"/>
          <w:szCs w:val="22"/>
        </w:rPr>
        <w:t>inscription sur la Liste représentative du patrimoine culturel immatériel de l</w:t>
      </w:r>
      <w:r w:rsidR="009C104E">
        <w:rPr>
          <w:rFonts w:ascii="Arial" w:hAnsi="Arial" w:cs="Arial"/>
          <w:color w:val="000000"/>
          <w:sz w:val="22"/>
          <w:szCs w:val="22"/>
        </w:rPr>
        <w:t>’</w:t>
      </w:r>
      <w:r w:rsidRPr="0001502D">
        <w:rPr>
          <w:rFonts w:ascii="Arial" w:hAnsi="Arial" w:cs="Arial"/>
          <w:color w:val="000000"/>
          <w:sz w:val="22"/>
          <w:szCs w:val="22"/>
        </w:rPr>
        <w:t>humanité comme suit :</w:t>
      </w:r>
    </w:p>
    <w:p w14:paraId="46A507CD" w14:textId="02915526" w:rsidR="0001502D" w:rsidRPr="0001502D" w:rsidRDefault="0001502D" w:rsidP="003E13C4">
      <w:pPr>
        <w:tabs>
          <w:tab w:val="left" w:pos="1134"/>
          <w:tab w:val="left" w:pos="2268"/>
        </w:tabs>
        <w:spacing w:before="120" w:after="120"/>
        <w:ind w:left="1134" w:hanging="555"/>
        <w:jc w:val="both"/>
        <w:rPr>
          <w:rFonts w:ascii="Arial" w:hAnsi="Arial" w:cs="Arial"/>
          <w:sz w:val="22"/>
          <w:szCs w:val="22"/>
        </w:rPr>
      </w:pPr>
      <w:r w:rsidRPr="0001502D">
        <w:rPr>
          <w:rFonts w:ascii="Arial" w:hAnsi="Arial" w:cs="Arial"/>
          <w:sz w:val="22"/>
          <w:szCs w:val="22"/>
        </w:rPr>
        <w:t>R.1 :</w:t>
      </w:r>
      <w:r w:rsidRPr="0001502D">
        <w:rPr>
          <w:rFonts w:ascii="Arial" w:hAnsi="Arial" w:cs="Arial"/>
          <w:sz w:val="22"/>
          <w:szCs w:val="22"/>
        </w:rPr>
        <w:tab/>
        <w:t>La musique et la danse de la bachata dominicaine sont des facteurs puissants de cohésion qui jouent un rôle vital dans le processus de socialisation en République dominicaine. C</w:t>
      </w:r>
      <w:r w:rsidR="009C104E">
        <w:rPr>
          <w:rFonts w:ascii="Arial" w:hAnsi="Arial" w:cs="Arial"/>
          <w:sz w:val="22"/>
          <w:szCs w:val="22"/>
        </w:rPr>
        <w:t>’</w:t>
      </w:r>
      <w:r w:rsidRPr="0001502D">
        <w:rPr>
          <w:rFonts w:ascii="Arial" w:hAnsi="Arial" w:cs="Arial"/>
          <w:sz w:val="22"/>
          <w:szCs w:val="22"/>
        </w:rPr>
        <w:t>est une composante majeure de l</w:t>
      </w:r>
      <w:r w:rsidR="009C104E">
        <w:rPr>
          <w:rFonts w:ascii="Arial" w:hAnsi="Arial" w:cs="Arial"/>
          <w:sz w:val="22"/>
          <w:szCs w:val="22"/>
        </w:rPr>
        <w:t>’</w:t>
      </w:r>
      <w:r w:rsidRPr="0001502D">
        <w:rPr>
          <w:rFonts w:ascii="Arial" w:hAnsi="Arial" w:cs="Arial"/>
          <w:sz w:val="22"/>
          <w:szCs w:val="22"/>
        </w:rPr>
        <w:t>identité du peuple dominicain, une grande source de joie et de bonheur pour tous les participants. La pratique de l</w:t>
      </w:r>
      <w:r w:rsidR="009C104E">
        <w:rPr>
          <w:rFonts w:ascii="Arial" w:hAnsi="Arial" w:cs="Arial"/>
          <w:sz w:val="22"/>
          <w:szCs w:val="22"/>
        </w:rPr>
        <w:t>’</w:t>
      </w:r>
      <w:r w:rsidRPr="0001502D">
        <w:rPr>
          <w:rFonts w:ascii="Arial" w:hAnsi="Arial" w:cs="Arial"/>
          <w:sz w:val="22"/>
          <w:szCs w:val="22"/>
        </w:rPr>
        <w:t>élément favorise le dialogue interculturel et les interactions transversales entre les différentes couches et générations qui composent la société.</w:t>
      </w:r>
    </w:p>
    <w:p w14:paraId="44292D92" w14:textId="4D104459" w:rsidR="0001502D" w:rsidRPr="0001502D" w:rsidRDefault="0001502D" w:rsidP="003E13C4">
      <w:pPr>
        <w:tabs>
          <w:tab w:val="left" w:pos="1134"/>
          <w:tab w:val="left" w:pos="2268"/>
        </w:tabs>
        <w:spacing w:before="120" w:after="120"/>
        <w:ind w:left="1134" w:hanging="555"/>
        <w:jc w:val="both"/>
        <w:rPr>
          <w:rFonts w:ascii="Arial" w:hAnsi="Arial" w:cs="Arial"/>
          <w:sz w:val="22"/>
          <w:szCs w:val="22"/>
        </w:rPr>
      </w:pPr>
      <w:r w:rsidRPr="0001502D">
        <w:rPr>
          <w:rFonts w:ascii="Arial" w:hAnsi="Arial" w:cs="Arial"/>
          <w:sz w:val="22"/>
          <w:szCs w:val="22"/>
        </w:rPr>
        <w:t>R.2 :</w:t>
      </w:r>
      <w:r w:rsidRPr="0001502D">
        <w:rPr>
          <w:rFonts w:ascii="Arial" w:hAnsi="Arial" w:cs="Arial"/>
          <w:sz w:val="22"/>
          <w:szCs w:val="22"/>
        </w:rPr>
        <w:tab/>
        <w:t>La bachata étant omniprésente sur le territoire de la République dominicaine, l</w:t>
      </w:r>
      <w:r w:rsidR="009C104E">
        <w:rPr>
          <w:rFonts w:ascii="Arial" w:hAnsi="Arial" w:cs="Arial"/>
          <w:sz w:val="22"/>
          <w:szCs w:val="22"/>
        </w:rPr>
        <w:t>’</w:t>
      </w:r>
      <w:r w:rsidRPr="0001502D">
        <w:rPr>
          <w:rFonts w:ascii="Arial" w:hAnsi="Arial" w:cs="Arial"/>
          <w:sz w:val="22"/>
          <w:szCs w:val="22"/>
        </w:rPr>
        <w:t>inscription de l</w:t>
      </w:r>
      <w:r w:rsidR="009C104E">
        <w:rPr>
          <w:rFonts w:ascii="Arial" w:hAnsi="Arial" w:cs="Arial"/>
          <w:sz w:val="22"/>
          <w:szCs w:val="22"/>
        </w:rPr>
        <w:t>’</w:t>
      </w:r>
      <w:r w:rsidRPr="0001502D">
        <w:rPr>
          <w:rFonts w:ascii="Arial" w:hAnsi="Arial" w:cs="Arial"/>
          <w:sz w:val="22"/>
          <w:szCs w:val="22"/>
        </w:rPr>
        <w:t>élément aurait un impact positif majeur pour assurer la visibilité du patrimoine culturel immatériel en général. Elle conduirait également les partenaires stratégiques de la société civile et des organismes gouvernementaux à renforcer leur engagement en faveur de la sauvegarde du patrimoine culturel immatériel, tout en ouvrant de nouveaux espaces de discussion et de sensibilisation. Enfin, l</w:t>
      </w:r>
      <w:r w:rsidR="009C104E">
        <w:rPr>
          <w:rFonts w:ascii="Arial" w:hAnsi="Arial" w:cs="Arial"/>
          <w:sz w:val="22"/>
          <w:szCs w:val="22"/>
        </w:rPr>
        <w:t>’</w:t>
      </w:r>
      <w:r w:rsidRPr="0001502D">
        <w:rPr>
          <w:rFonts w:ascii="Arial" w:hAnsi="Arial" w:cs="Arial"/>
          <w:sz w:val="22"/>
          <w:szCs w:val="22"/>
        </w:rPr>
        <w:t>inscription contribuerait à renforcer le rôle de la musique et d</w:t>
      </w:r>
      <w:r w:rsidR="009C104E">
        <w:rPr>
          <w:rFonts w:ascii="Arial" w:hAnsi="Arial" w:cs="Arial"/>
          <w:sz w:val="22"/>
          <w:szCs w:val="22"/>
        </w:rPr>
        <w:t>’</w:t>
      </w:r>
      <w:r w:rsidRPr="0001502D">
        <w:rPr>
          <w:rFonts w:ascii="Arial" w:hAnsi="Arial" w:cs="Arial"/>
          <w:sz w:val="22"/>
          <w:szCs w:val="22"/>
        </w:rPr>
        <w:t>autres expressions culturelles à travers le monde en tant qu</w:t>
      </w:r>
      <w:r w:rsidR="009C104E">
        <w:rPr>
          <w:rFonts w:ascii="Arial" w:hAnsi="Arial" w:cs="Arial"/>
          <w:sz w:val="22"/>
          <w:szCs w:val="22"/>
        </w:rPr>
        <w:t>’</w:t>
      </w:r>
      <w:r w:rsidRPr="0001502D">
        <w:rPr>
          <w:rFonts w:ascii="Arial" w:hAnsi="Arial" w:cs="Arial"/>
          <w:sz w:val="22"/>
          <w:szCs w:val="22"/>
        </w:rPr>
        <w:t>instruments de promotion du dialogue interculturel et de la tolérance.</w:t>
      </w:r>
    </w:p>
    <w:p w14:paraId="7AC61BAB" w14:textId="1C7C4E9A" w:rsidR="0001502D" w:rsidRPr="0001502D" w:rsidRDefault="0001502D" w:rsidP="003E13C4">
      <w:pPr>
        <w:tabs>
          <w:tab w:val="left" w:pos="1134"/>
          <w:tab w:val="left" w:pos="2268"/>
        </w:tabs>
        <w:spacing w:before="120" w:after="120"/>
        <w:ind w:left="1134" w:hanging="555"/>
        <w:jc w:val="both"/>
        <w:rPr>
          <w:rFonts w:ascii="Arial" w:hAnsi="Arial" w:cs="Arial"/>
          <w:sz w:val="22"/>
          <w:szCs w:val="22"/>
        </w:rPr>
      </w:pPr>
      <w:r w:rsidRPr="0001502D">
        <w:rPr>
          <w:rFonts w:ascii="Arial" w:hAnsi="Arial" w:cs="Arial"/>
          <w:sz w:val="22"/>
          <w:szCs w:val="22"/>
        </w:rPr>
        <w:t>R.5 :</w:t>
      </w:r>
      <w:r w:rsidRPr="0001502D">
        <w:rPr>
          <w:rFonts w:ascii="Arial" w:hAnsi="Arial" w:cs="Arial"/>
          <w:sz w:val="22"/>
          <w:szCs w:val="22"/>
        </w:rPr>
        <w:tab/>
        <w:t>La bachata dominicaine a été incluse dans l</w:t>
      </w:r>
      <w:r w:rsidR="009C104E">
        <w:rPr>
          <w:rFonts w:ascii="Arial" w:hAnsi="Arial" w:cs="Arial"/>
          <w:sz w:val="22"/>
          <w:szCs w:val="22"/>
        </w:rPr>
        <w:t>’</w:t>
      </w:r>
      <w:r w:rsidRPr="0001502D">
        <w:rPr>
          <w:rFonts w:ascii="Arial" w:hAnsi="Arial" w:cs="Arial"/>
          <w:sz w:val="22"/>
          <w:szCs w:val="22"/>
        </w:rPr>
        <w:t>Inventaire du Registre national des atouts culturels immatériels du patrimoine culturel dominicain en 2015. Géré par le Ministère de la culture, cet inventaire est préparé avec la participation active de la communauté et des organisations non gouvernementales concernées et la collaboration d</w:t>
      </w:r>
      <w:r w:rsidR="009C104E">
        <w:rPr>
          <w:rFonts w:ascii="Arial" w:hAnsi="Arial" w:cs="Arial"/>
          <w:sz w:val="22"/>
          <w:szCs w:val="22"/>
        </w:rPr>
        <w:t>’</w:t>
      </w:r>
      <w:r w:rsidRPr="0001502D">
        <w:rPr>
          <w:rFonts w:ascii="Arial" w:hAnsi="Arial" w:cs="Arial"/>
          <w:sz w:val="22"/>
          <w:szCs w:val="22"/>
        </w:rPr>
        <w:t>anthropologues et de chercheurs.</w:t>
      </w:r>
    </w:p>
    <w:p w14:paraId="1B9CD9A3" w14:textId="6EC0B22E" w:rsidR="00964D53" w:rsidRPr="00964D53" w:rsidRDefault="00C32102" w:rsidP="00B932EA">
      <w:pPr>
        <w:numPr>
          <w:ilvl w:val="1"/>
          <w:numId w:val="35"/>
        </w:numPr>
        <w:pBdr>
          <w:top w:val="nil"/>
          <w:left w:val="nil"/>
          <w:bottom w:val="nil"/>
          <w:right w:val="nil"/>
          <w:between w:val="nil"/>
        </w:pBdr>
        <w:tabs>
          <w:tab w:val="left" w:pos="567"/>
          <w:tab w:val="left" w:pos="1701"/>
          <w:tab w:val="left" w:pos="2268"/>
        </w:tabs>
        <w:spacing w:before="120" w:after="120"/>
        <w:ind w:left="567" w:hanging="567"/>
        <w:jc w:val="both"/>
        <w:rPr>
          <w:rFonts w:ascii="Arial" w:eastAsia="Arial" w:hAnsi="Arial" w:cs="Arial"/>
          <w:color w:val="000000"/>
          <w:sz w:val="22"/>
          <w:szCs w:val="22"/>
        </w:rPr>
      </w:pPr>
      <w:r>
        <w:rPr>
          <w:rFonts w:ascii="Arial" w:eastAsia="Arial" w:hAnsi="Arial" w:cs="Arial"/>
          <w:color w:val="000000"/>
          <w:sz w:val="22"/>
          <w:szCs w:val="22"/>
          <w:u w:val="single"/>
        </w:rPr>
        <w:t>Estime</w:t>
      </w:r>
      <w:r w:rsidR="00964D53" w:rsidRPr="00A400B1">
        <w:rPr>
          <w:rFonts w:ascii="Arial" w:eastAsia="Arial" w:hAnsi="Arial" w:cs="Arial"/>
          <w:color w:val="000000"/>
          <w:sz w:val="22"/>
          <w:szCs w:val="22"/>
          <w:u w:val="single"/>
        </w:rPr>
        <w:t xml:space="preserve"> en outre</w:t>
      </w:r>
      <w:r w:rsidR="00964D53" w:rsidRPr="005B05EB">
        <w:rPr>
          <w:rFonts w:ascii="Arial" w:eastAsia="Arial" w:hAnsi="Arial" w:cs="Arial"/>
          <w:color w:val="000000"/>
          <w:sz w:val="22"/>
          <w:szCs w:val="22"/>
        </w:rPr>
        <w:t xml:space="preserve"> </w:t>
      </w:r>
      <w:r w:rsidR="00964D53" w:rsidRPr="00964D53">
        <w:rPr>
          <w:rFonts w:ascii="Arial" w:eastAsia="Arial" w:hAnsi="Arial" w:cs="Arial"/>
          <w:color w:val="000000"/>
          <w:sz w:val="22"/>
          <w:szCs w:val="22"/>
        </w:rPr>
        <w:t>que, sur la base de</w:t>
      </w:r>
      <w:r w:rsidR="005B05EB">
        <w:rPr>
          <w:rFonts w:ascii="Arial" w:eastAsia="Arial" w:hAnsi="Arial" w:cs="Arial"/>
          <w:color w:val="000000"/>
          <w:sz w:val="22"/>
          <w:szCs w:val="22"/>
        </w:rPr>
        <w:t>s</w:t>
      </w:r>
      <w:r w:rsidR="00964D53" w:rsidRPr="00964D53">
        <w:rPr>
          <w:rFonts w:ascii="Arial" w:eastAsia="Arial" w:hAnsi="Arial" w:cs="Arial"/>
          <w:color w:val="000000"/>
          <w:sz w:val="22"/>
          <w:szCs w:val="22"/>
        </w:rPr>
        <w:t xml:space="preserve"> information</w:t>
      </w:r>
      <w:r w:rsidR="005B05EB">
        <w:rPr>
          <w:rFonts w:ascii="Arial" w:eastAsia="Arial" w:hAnsi="Arial" w:cs="Arial"/>
          <w:color w:val="000000"/>
          <w:sz w:val="22"/>
          <w:szCs w:val="22"/>
        </w:rPr>
        <w:t>s</w:t>
      </w:r>
      <w:r w:rsidR="00964D53" w:rsidRPr="00964D53">
        <w:rPr>
          <w:rFonts w:ascii="Arial" w:eastAsia="Arial" w:hAnsi="Arial" w:cs="Arial"/>
          <w:color w:val="000000"/>
          <w:sz w:val="22"/>
          <w:szCs w:val="22"/>
        </w:rPr>
        <w:t xml:space="preserve"> fournie</w:t>
      </w:r>
      <w:r w:rsidR="005B05EB">
        <w:rPr>
          <w:rFonts w:ascii="Arial" w:eastAsia="Arial" w:hAnsi="Arial" w:cs="Arial"/>
          <w:color w:val="000000"/>
          <w:sz w:val="22"/>
          <w:szCs w:val="22"/>
        </w:rPr>
        <w:t>s</w:t>
      </w:r>
      <w:r w:rsidR="00964D53" w:rsidRPr="00964D53">
        <w:rPr>
          <w:rFonts w:ascii="Arial" w:eastAsia="Arial" w:hAnsi="Arial" w:cs="Arial"/>
          <w:color w:val="000000"/>
          <w:sz w:val="22"/>
          <w:szCs w:val="22"/>
        </w:rPr>
        <w:t xml:space="preserve"> par l</w:t>
      </w:r>
      <w:r w:rsidR="009C104E">
        <w:rPr>
          <w:rFonts w:ascii="Arial" w:eastAsia="Arial" w:hAnsi="Arial" w:cs="Arial"/>
          <w:color w:val="000000"/>
          <w:sz w:val="22"/>
          <w:szCs w:val="22"/>
        </w:rPr>
        <w:t>’</w:t>
      </w:r>
      <w:r w:rsidR="00964D53" w:rsidRPr="00964D53">
        <w:rPr>
          <w:rFonts w:ascii="Arial" w:eastAsia="Arial" w:hAnsi="Arial" w:cs="Arial"/>
          <w:color w:val="000000"/>
          <w:sz w:val="22"/>
          <w:szCs w:val="22"/>
        </w:rPr>
        <w:t>État</w:t>
      </w:r>
      <w:r w:rsidR="00FF6A7E">
        <w:rPr>
          <w:rFonts w:ascii="Arial" w:eastAsia="Arial" w:hAnsi="Arial" w:cs="Arial"/>
          <w:color w:val="000000"/>
          <w:sz w:val="22"/>
          <w:szCs w:val="22"/>
        </w:rPr>
        <w:t xml:space="preserve"> partie</w:t>
      </w:r>
      <w:r w:rsidR="00964D53" w:rsidRPr="00964D53">
        <w:rPr>
          <w:rFonts w:ascii="Arial" w:eastAsia="Arial" w:hAnsi="Arial" w:cs="Arial"/>
          <w:color w:val="000000"/>
          <w:sz w:val="22"/>
          <w:szCs w:val="22"/>
        </w:rPr>
        <w:t xml:space="preserve"> au Comité au cours de sa présente session, les critères d</w:t>
      </w:r>
      <w:r w:rsidR="009C104E">
        <w:rPr>
          <w:rFonts w:ascii="Arial" w:eastAsia="Arial" w:hAnsi="Arial" w:cs="Arial"/>
          <w:color w:val="000000"/>
          <w:sz w:val="22"/>
          <w:szCs w:val="22"/>
        </w:rPr>
        <w:t>’</w:t>
      </w:r>
      <w:r w:rsidR="00964D53" w:rsidRPr="00964D53">
        <w:rPr>
          <w:rFonts w:ascii="Arial" w:eastAsia="Arial" w:hAnsi="Arial" w:cs="Arial"/>
          <w:color w:val="000000"/>
          <w:sz w:val="22"/>
          <w:szCs w:val="22"/>
        </w:rPr>
        <w:t>inscription sur la Liste représentative du patrimoine culturel immatériel de l</w:t>
      </w:r>
      <w:r w:rsidR="009C104E">
        <w:rPr>
          <w:rFonts w:ascii="Arial" w:eastAsia="Arial" w:hAnsi="Arial" w:cs="Arial"/>
          <w:color w:val="000000"/>
          <w:sz w:val="22"/>
          <w:szCs w:val="22"/>
        </w:rPr>
        <w:t>’</w:t>
      </w:r>
      <w:r w:rsidR="00964D53" w:rsidRPr="00964D53">
        <w:rPr>
          <w:rFonts w:ascii="Arial" w:eastAsia="Arial" w:hAnsi="Arial" w:cs="Arial"/>
          <w:color w:val="000000"/>
          <w:sz w:val="22"/>
          <w:szCs w:val="22"/>
        </w:rPr>
        <w:t>humanité suivant</w:t>
      </w:r>
      <w:r w:rsidR="005B05EB">
        <w:rPr>
          <w:rFonts w:ascii="Arial" w:eastAsia="Arial" w:hAnsi="Arial" w:cs="Arial"/>
          <w:color w:val="000000"/>
          <w:sz w:val="22"/>
          <w:szCs w:val="22"/>
        </w:rPr>
        <w:t>s</w:t>
      </w:r>
      <w:r w:rsidR="00964D53" w:rsidRPr="00964D53">
        <w:rPr>
          <w:rFonts w:ascii="Arial" w:eastAsia="Arial" w:hAnsi="Arial" w:cs="Arial"/>
          <w:color w:val="000000"/>
          <w:sz w:val="22"/>
          <w:szCs w:val="22"/>
        </w:rPr>
        <w:t xml:space="preserve"> </w:t>
      </w:r>
      <w:r w:rsidR="005B05EB">
        <w:rPr>
          <w:rFonts w:ascii="Arial" w:eastAsia="Arial" w:hAnsi="Arial" w:cs="Arial"/>
          <w:color w:val="000000"/>
          <w:sz w:val="22"/>
          <w:szCs w:val="22"/>
        </w:rPr>
        <w:t>sont</w:t>
      </w:r>
      <w:r w:rsidR="00964D53" w:rsidRPr="00964D53">
        <w:rPr>
          <w:rFonts w:ascii="Arial" w:eastAsia="Arial" w:hAnsi="Arial" w:cs="Arial"/>
          <w:color w:val="000000"/>
          <w:sz w:val="22"/>
          <w:szCs w:val="22"/>
        </w:rPr>
        <w:t xml:space="preserve"> satisfait</w:t>
      </w:r>
      <w:r w:rsidR="005B05EB">
        <w:rPr>
          <w:rFonts w:ascii="Arial" w:eastAsia="Arial" w:hAnsi="Arial" w:cs="Arial"/>
          <w:color w:val="000000"/>
          <w:sz w:val="22"/>
          <w:szCs w:val="22"/>
        </w:rPr>
        <w:t>s </w:t>
      </w:r>
      <w:r w:rsidR="00964D53" w:rsidRPr="00964D53">
        <w:rPr>
          <w:rFonts w:ascii="Arial" w:eastAsia="Arial" w:hAnsi="Arial" w:cs="Arial"/>
          <w:color w:val="000000"/>
          <w:sz w:val="22"/>
          <w:szCs w:val="22"/>
        </w:rPr>
        <w:t xml:space="preserve">: </w:t>
      </w:r>
    </w:p>
    <w:p w14:paraId="7B99F2D7" w14:textId="2D3F05DF" w:rsidR="00964D53" w:rsidRDefault="00964D53" w:rsidP="00A400B1">
      <w:pPr>
        <w:pBdr>
          <w:top w:val="nil"/>
          <w:left w:val="nil"/>
          <w:bottom w:val="nil"/>
          <w:right w:val="nil"/>
          <w:between w:val="nil"/>
        </w:pBdr>
        <w:tabs>
          <w:tab w:val="left" w:pos="1134"/>
          <w:tab w:val="left" w:pos="2268"/>
        </w:tabs>
        <w:spacing w:before="120" w:after="120"/>
        <w:ind w:left="1134" w:hanging="567"/>
        <w:jc w:val="both"/>
        <w:rPr>
          <w:rFonts w:ascii="Arial" w:eastAsia="Arial" w:hAnsi="Arial" w:cs="Arial"/>
          <w:color w:val="000000"/>
          <w:sz w:val="22"/>
          <w:szCs w:val="22"/>
        </w:rPr>
      </w:pPr>
      <w:r w:rsidRPr="00964D53">
        <w:rPr>
          <w:rFonts w:ascii="Arial" w:eastAsia="Arial" w:hAnsi="Arial" w:cs="Arial"/>
          <w:color w:val="000000"/>
          <w:sz w:val="22"/>
          <w:szCs w:val="22"/>
        </w:rPr>
        <w:t>R.3</w:t>
      </w:r>
      <w:r w:rsidR="00FF6A7E">
        <w:rPr>
          <w:rFonts w:ascii="Arial" w:eastAsia="Arial" w:hAnsi="Arial" w:cs="Arial"/>
          <w:color w:val="000000"/>
          <w:sz w:val="22"/>
          <w:szCs w:val="22"/>
        </w:rPr>
        <w:t> </w:t>
      </w:r>
      <w:r w:rsidRPr="00964D53">
        <w:rPr>
          <w:rFonts w:ascii="Arial" w:eastAsia="Arial" w:hAnsi="Arial" w:cs="Arial"/>
          <w:color w:val="000000"/>
          <w:sz w:val="22"/>
          <w:szCs w:val="22"/>
        </w:rPr>
        <w:t>:</w:t>
      </w:r>
      <w:r w:rsidR="00FF6A7E" w:rsidRPr="00904C0F">
        <w:rPr>
          <w:rFonts w:ascii="Arial" w:hAnsi="Arial" w:cs="Arial"/>
          <w:sz w:val="22"/>
          <w:szCs w:val="22"/>
        </w:rPr>
        <w:tab/>
      </w:r>
      <w:r w:rsidRPr="00964D53">
        <w:rPr>
          <w:rFonts w:ascii="Arial" w:eastAsia="Arial" w:hAnsi="Arial" w:cs="Arial"/>
          <w:color w:val="000000"/>
          <w:sz w:val="22"/>
          <w:szCs w:val="22"/>
        </w:rPr>
        <w:t>Le dossier montre comment différentes mesures de sauvegarde ont été prises par l</w:t>
      </w:r>
      <w:r w:rsidR="009C104E">
        <w:rPr>
          <w:rFonts w:ascii="Arial" w:eastAsia="Arial" w:hAnsi="Arial" w:cs="Arial"/>
          <w:color w:val="000000"/>
          <w:sz w:val="22"/>
          <w:szCs w:val="22"/>
        </w:rPr>
        <w:t>’</w:t>
      </w:r>
      <w:r w:rsidRPr="00964D53">
        <w:rPr>
          <w:rFonts w:ascii="Arial" w:eastAsia="Arial" w:hAnsi="Arial" w:cs="Arial"/>
          <w:color w:val="000000"/>
          <w:sz w:val="22"/>
          <w:szCs w:val="22"/>
        </w:rPr>
        <w:t>État, avec l</w:t>
      </w:r>
      <w:r w:rsidR="009C104E">
        <w:rPr>
          <w:rFonts w:ascii="Arial" w:eastAsia="Arial" w:hAnsi="Arial" w:cs="Arial"/>
          <w:color w:val="000000"/>
          <w:sz w:val="22"/>
          <w:szCs w:val="22"/>
        </w:rPr>
        <w:t>’</w:t>
      </w:r>
      <w:r w:rsidRPr="00964D53">
        <w:rPr>
          <w:rFonts w:ascii="Arial" w:eastAsia="Arial" w:hAnsi="Arial" w:cs="Arial"/>
          <w:color w:val="000000"/>
          <w:sz w:val="22"/>
          <w:szCs w:val="22"/>
        </w:rPr>
        <w:t>appui des communautés, notamment le renforcement des moyens de transmission, la recherche, la documentation, les fonds pour la formation, les célébrations et les festivals. La viabilité de l</w:t>
      </w:r>
      <w:r w:rsidR="009C104E">
        <w:rPr>
          <w:rFonts w:ascii="Arial" w:eastAsia="Arial" w:hAnsi="Arial" w:cs="Arial"/>
          <w:color w:val="000000"/>
          <w:sz w:val="22"/>
          <w:szCs w:val="22"/>
        </w:rPr>
        <w:t>’</w:t>
      </w:r>
      <w:r w:rsidRPr="00964D53">
        <w:rPr>
          <w:rFonts w:ascii="Arial" w:eastAsia="Arial" w:hAnsi="Arial" w:cs="Arial"/>
          <w:color w:val="000000"/>
          <w:sz w:val="22"/>
          <w:szCs w:val="22"/>
        </w:rPr>
        <w:t xml:space="preserve">élément a été soutenue par les groupes et les communautés locales par leur pratique et par les </w:t>
      </w:r>
      <w:r w:rsidR="00FF6A7E">
        <w:rPr>
          <w:rFonts w:ascii="Arial" w:eastAsia="Arial" w:hAnsi="Arial" w:cs="Arial"/>
          <w:color w:val="000000"/>
          <w:sz w:val="22"/>
          <w:szCs w:val="22"/>
        </w:rPr>
        <w:t>organisations non gouvernementales</w:t>
      </w:r>
      <w:r w:rsidRPr="00964D53">
        <w:rPr>
          <w:rFonts w:ascii="Arial" w:eastAsia="Arial" w:hAnsi="Arial" w:cs="Arial"/>
          <w:color w:val="000000"/>
          <w:sz w:val="22"/>
          <w:szCs w:val="22"/>
        </w:rPr>
        <w:t>, avec l</w:t>
      </w:r>
      <w:r w:rsidR="009C104E">
        <w:rPr>
          <w:rFonts w:ascii="Arial" w:eastAsia="Arial" w:hAnsi="Arial" w:cs="Arial"/>
          <w:color w:val="000000"/>
          <w:sz w:val="22"/>
          <w:szCs w:val="22"/>
        </w:rPr>
        <w:t>’</w:t>
      </w:r>
      <w:r w:rsidRPr="00964D53">
        <w:rPr>
          <w:rFonts w:ascii="Arial" w:eastAsia="Arial" w:hAnsi="Arial" w:cs="Arial"/>
          <w:color w:val="000000"/>
          <w:sz w:val="22"/>
          <w:szCs w:val="22"/>
        </w:rPr>
        <w:t>appui de l</w:t>
      </w:r>
      <w:r w:rsidR="009C104E">
        <w:rPr>
          <w:rFonts w:ascii="Arial" w:eastAsia="Arial" w:hAnsi="Arial" w:cs="Arial"/>
          <w:color w:val="000000"/>
          <w:sz w:val="22"/>
          <w:szCs w:val="22"/>
        </w:rPr>
        <w:t>’</w:t>
      </w:r>
      <w:r w:rsidRPr="00964D53">
        <w:rPr>
          <w:rFonts w:ascii="Arial" w:eastAsia="Arial" w:hAnsi="Arial" w:cs="Arial"/>
          <w:color w:val="000000"/>
          <w:sz w:val="22"/>
          <w:szCs w:val="22"/>
        </w:rPr>
        <w:t>État soumissionnaire. L</w:t>
      </w:r>
      <w:r w:rsidR="009C104E">
        <w:rPr>
          <w:rFonts w:ascii="Arial" w:eastAsia="Arial" w:hAnsi="Arial" w:cs="Arial"/>
          <w:color w:val="000000"/>
          <w:sz w:val="22"/>
          <w:szCs w:val="22"/>
        </w:rPr>
        <w:t>’</w:t>
      </w:r>
      <w:r w:rsidRPr="00964D53">
        <w:rPr>
          <w:rFonts w:ascii="Arial" w:eastAsia="Arial" w:hAnsi="Arial" w:cs="Arial"/>
          <w:color w:val="000000"/>
          <w:sz w:val="22"/>
          <w:szCs w:val="22"/>
        </w:rPr>
        <w:t xml:space="preserve">élément a également été enseigné dans les écoles publiques, dans les nouvelles écoles de musique locales et dans les mairies. </w:t>
      </w:r>
    </w:p>
    <w:p w14:paraId="5DAA2AE8" w14:textId="2159FCB5" w:rsidR="00964D53" w:rsidRPr="00964D53" w:rsidRDefault="00964D53" w:rsidP="00A400B1">
      <w:pPr>
        <w:pBdr>
          <w:top w:val="nil"/>
          <w:left w:val="nil"/>
          <w:bottom w:val="nil"/>
          <w:right w:val="nil"/>
          <w:between w:val="nil"/>
        </w:pBdr>
        <w:tabs>
          <w:tab w:val="left" w:pos="1134"/>
          <w:tab w:val="left" w:pos="2268"/>
        </w:tabs>
        <w:spacing w:before="120" w:after="120"/>
        <w:ind w:left="1134" w:hanging="558"/>
        <w:jc w:val="both"/>
        <w:rPr>
          <w:rFonts w:ascii="Arial" w:eastAsia="Arial" w:hAnsi="Arial" w:cs="Arial"/>
          <w:color w:val="000000"/>
          <w:sz w:val="22"/>
          <w:szCs w:val="22"/>
        </w:rPr>
      </w:pPr>
      <w:r w:rsidRPr="00964D53">
        <w:rPr>
          <w:rFonts w:ascii="Arial" w:eastAsia="Arial" w:hAnsi="Arial" w:cs="Arial"/>
          <w:color w:val="000000"/>
          <w:sz w:val="22"/>
          <w:szCs w:val="22"/>
        </w:rPr>
        <w:t>R.</w:t>
      </w:r>
      <w:r w:rsidR="00FF6A7E" w:rsidRPr="00964D53">
        <w:rPr>
          <w:rFonts w:ascii="Arial" w:eastAsia="Arial" w:hAnsi="Arial" w:cs="Arial"/>
          <w:color w:val="000000"/>
          <w:sz w:val="22"/>
          <w:szCs w:val="22"/>
        </w:rPr>
        <w:t>4</w:t>
      </w:r>
      <w:r w:rsidR="00FF6A7E">
        <w:rPr>
          <w:rFonts w:ascii="Arial" w:eastAsia="Arial" w:hAnsi="Arial" w:cs="Arial"/>
          <w:color w:val="000000"/>
          <w:sz w:val="22"/>
          <w:szCs w:val="22"/>
        </w:rPr>
        <w:t> </w:t>
      </w:r>
      <w:r w:rsidRPr="00964D53">
        <w:rPr>
          <w:rFonts w:ascii="Arial" w:eastAsia="Arial" w:hAnsi="Arial" w:cs="Arial"/>
          <w:color w:val="000000"/>
          <w:sz w:val="22"/>
          <w:szCs w:val="22"/>
        </w:rPr>
        <w:t>:</w:t>
      </w:r>
      <w:r w:rsidR="00FF6A7E" w:rsidRPr="00904C0F">
        <w:rPr>
          <w:rFonts w:ascii="Arial" w:hAnsi="Arial" w:cs="Arial"/>
          <w:sz w:val="22"/>
          <w:szCs w:val="22"/>
        </w:rPr>
        <w:tab/>
      </w:r>
      <w:r w:rsidRPr="00964D53">
        <w:rPr>
          <w:rFonts w:ascii="Arial" w:eastAsia="Arial" w:hAnsi="Arial" w:cs="Arial"/>
          <w:color w:val="000000"/>
          <w:sz w:val="22"/>
          <w:szCs w:val="22"/>
        </w:rPr>
        <w:t>Les praticiens et détenteurs, représentants d</w:t>
      </w:r>
      <w:r w:rsidR="009C104E">
        <w:rPr>
          <w:rFonts w:ascii="Arial" w:eastAsia="Arial" w:hAnsi="Arial" w:cs="Arial"/>
          <w:color w:val="000000"/>
          <w:sz w:val="22"/>
          <w:szCs w:val="22"/>
        </w:rPr>
        <w:t>’</w:t>
      </w:r>
      <w:r w:rsidRPr="00964D53">
        <w:rPr>
          <w:rFonts w:ascii="Arial" w:eastAsia="Arial" w:hAnsi="Arial" w:cs="Arial"/>
          <w:color w:val="000000"/>
          <w:sz w:val="22"/>
          <w:szCs w:val="22"/>
        </w:rPr>
        <w:t>institutions étatiques, experts, artisans et membres de groupes associés à la pratique ont participé dans différentes régions du pays à des réunions, ateliers, etc. menant à l</w:t>
      </w:r>
      <w:r w:rsidR="009C104E">
        <w:rPr>
          <w:rFonts w:ascii="Arial" w:eastAsia="Arial" w:hAnsi="Arial" w:cs="Arial"/>
          <w:color w:val="000000"/>
          <w:sz w:val="22"/>
          <w:szCs w:val="22"/>
        </w:rPr>
        <w:t>’</w:t>
      </w:r>
      <w:r w:rsidRPr="00964D53">
        <w:rPr>
          <w:rFonts w:ascii="Arial" w:eastAsia="Arial" w:hAnsi="Arial" w:cs="Arial"/>
          <w:color w:val="000000"/>
          <w:sz w:val="22"/>
          <w:szCs w:val="22"/>
        </w:rPr>
        <w:t>élaboration du dossier de candidature. Ces intervenants ont exprimé leur consentement préalable, libre et éclairé. Une large mobilisation de la société civile a eu lieu autour de l</w:t>
      </w:r>
      <w:r w:rsidR="009C104E">
        <w:rPr>
          <w:rFonts w:ascii="Arial" w:eastAsia="Arial" w:hAnsi="Arial" w:cs="Arial"/>
          <w:color w:val="000000"/>
          <w:sz w:val="22"/>
          <w:szCs w:val="22"/>
        </w:rPr>
        <w:t>’</w:t>
      </w:r>
      <w:r w:rsidRPr="00964D53">
        <w:rPr>
          <w:rFonts w:ascii="Arial" w:eastAsia="Arial" w:hAnsi="Arial" w:cs="Arial"/>
          <w:color w:val="000000"/>
          <w:sz w:val="22"/>
          <w:szCs w:val="22"/>
        </w:rPr>
        <w:t xml:space="preserve">élaboration du dossier de candidature. </w:t>
      </w:r>
    </w:p>
    <w:p w14:paraId="70D41F7E" w14:textId="0B725011" w:rsidR="00964D53" w:rsidRPr="00A400B1" w:rsidRDefault="00964D53" w:rsidP="00771F30">
      <w:pPr>
        <w:numPr>
          <w:ilvl w:val="1"/>
          <w:numId w:val="35"/>
        </w:numPr>
        <w:pBdr>
          <w:top w:val="nil"/>
          <w:left w:val="nil"/>
          <w:bottom w:val="nil"/>
          <w:right w:val="nil"/>
          <w:between w:val="nil"/>
        </w:pBdr>
        <w:tabs>
          <w:tab w:val="left" w:pos="567"/>
          <w:tab w:val="left" w:pos="1701"/>
          <w:tab w:val="left" w:pos="2268"/>
        </w:tabs>
        <w:spacing w:before="120" w:after="120"/>
        <w:ind w:left="567"/>
        <w:jc w:val="both"/>
        <w:rPr>
          <w:rFonts w:ascii="Arial" w:eastAsia="Arial" w:hAnsi="Arial" w:cs="Arial"/>
          <w:color w:val="000000"/>
          <w:sz w:val="22"/>
          <w:szCs w:val="22"/>
        </w:rPr>
      </w:pPr>
      <w:r w:rsidRPr="00440CDD">
        <w:rPr>
          <w:rFonts w:ascii="Arial" w:hAnsi="Arial" w:cs="Arial"/>
          <w:color w:val="000000"/>
          <w:sz w:val="22"/>
          <w:szCs w:val="22"/>
          <w:u w:val="single"/>
        </w:rPr>
        <w:t>Décide d</w:t>
      </w:r>
      <w:r w:rsidR="009C104E">
        <w:rPr>
          <w:rFonts w:ascii="Arial" w:hAnsi="Arial" w:cs="Arial"/>
          <w:color w:val="000000"/>
          <w:sz w:val="22"/>
          <w:szCs w:val="22"/>
          <w:u w:val="single"/>
        </w:rPr>
        <w:t>’</w:t>
      </w:r>
      <w:r w:rsidRPr="00440CDD">
        <w:rPr>
          <w:rFonts w:ascii="Arial" w:hAnsi="Arial" w:cs="Arial"/>
          <w:color w:val="000000"/>
          <w:sz w:val="22"/>
          <w:szCs w:val="22"/>
          <w:u w:val="single"/>
        </w:rPr>
        <w:t>inscrire</w:t>
      </w:r>
      <w:r w:rsidRPr="00440CDD">
        <w:rPr>
          <w:rFonts w:ascii="Arial" w:hAnsi="Arial" w:cs="Arial"/>
          <w:color w:val="000000"/>
          <w:sz w:val="22"/>
          <w:szCs w:val="22"/>
        </w:rPr>
        <w:t xml:space="preserve"> </w:t>
      </w:r>
      <w:r w:rsidRPr="00A400B1">
        <w:rPr>
          <w:rFonts w:ascii="Arial" w:hAnsi="Arial" w:cs="Arial"/>
          <w:b/>
          <w:color w:val="000000"/>
          <w:sz w:val="22"/>
          <w:szCs w:val="22"/>
        </w:rPr>
        <w:t>la musique et la danse de la bachata dominicaine</w:t>
      </w:r>
      <w:r w:rsidRPr="00440CDD">
        <w:rPr>
          <w:rFonts w:ascii="Arial" w:hAnsi="Arial" w:cs="Arial"/>
          <w:color w:val="000000"/>
          <w:sz w:val="22"/>
          <w:szCs w:val="22"/>
        </w:rPr>
        <w:t xml:space="preserve"> sur la Liste représentative du patrimoine culturel immatériel de l</w:t>
      </w:r>
      <w:r w:rsidR="009C104E">
        <w:rPr>
          <w:rFonts w:ascii="Arial" w:hAnsi="Arial" w:cs="Arial"/>
          <w:color w:val="000000"/>
          <w:sz w:val="22"/>
          <w:szCs w:val="22"/>
        </w:rPr>
        <w:t>’</w:t>
      </w:r>
      <w:r w:rsidRPr="00440CDD">
        <w:rPr>
          <w:rFonts w:ascii="Arial" w:hAnsi="Arial" w:cs="Arial"/>
          <w:color w:val="000000"/>
          <w:sz w:val="22"/>
          <w:szCs w:val="22"/>
        </w:rPr>
        <w:t>humanité</w:t>
      </w:r>
      <w:r>
        <w:rPr>
          <w:rFonts w:ascii="Arial" w:hAnsi="Arial" w:cs="Arial"/>
          <w:color w:val="000000"/>
          <w:sz w:val="22"/>
          <w:szCs w:val="22"/>
        </w:rPr>
        <w:t xml:space="preserve"> ; </w:t>
      </w:r>
    </w:p>
    <w:p w14:paraId="5370AD49" w14:textId="055ED8DE" w:rsidR="00AF0DB4" w:rsidRPr="0001502D" w:rsidRDefault="00AF0DB4" w:rsidP="00771F30">
      <w:pPr>
        <w:numPr>
          <w:ilvl w:val="1"/>
          <w:numId w:val="35"/>
        </w:numPr>
        <w:pBdr>
          <w:top w:val="nil"/>
          <w:left w:val="nil"/>
          <w:bottom w:val="nil"/>
          <w:right w:val="nil"/>
          <w:between w:val="nil"/>
        </w:pBdr>
        <w:tabs>
          <w:tab w:val="left" w:pos="567"/>
          <w:tab w:val="left" w:pos="1701"/>
          <w:tab w:val="left" w:pos="2268"/>
        </w:tabs>
        <w:spacing w:before="120" w:after="120"/>
        <w:ind w:left="567"/>
        <w:jc w:val="both"/>
        <w:rPr>
          <w:rFonts w:ascii="Arial" w:eastAsia="Arial" w:hAnsi="Arial" w:cs="Arial"/>
          <w:color w:val="000000"/>
          <w:sz w:val="22"/>
          <w:szCs w:val="22"/>
        </w:rPr>
      </w:pPr>
      <w:r w:rsidRPr="00212EA6">
        <w:rPr>
          <w:rFonts w:ascii="Arial" w:hAnsi="Arial" w:cs="Arial"/>
          <w:color w:val="000000"/>
          <w:sz w:val="22"/>
          <w:szCs w:val="22"/>
          <w:u w:val="single"/>
        </w:rPr>
        <w:t>Encourage</w:t>
      </w:r>
      <w:r w:rsidRPr="00212EA6">
        <w:rPr>
          <w:rFonts w:ascii="Arial" w:hAnsi="Arial" w:cs="Arial"/>
          <w:color w:val="000000"/>
          <w:sz w:val="22"/>
          <w:szCs w:val="22"/>
        </w:rPr>
        <w:t xml:space="preserve"> l</w:t>
      </w:r>
      <w:r w:rsidR="009C104E">
        <w:rPr>
          <w:rFonts w:ascii="Arial" w:hAnsi="Arial" w:cs="Arial"/>
          <w:color w:val="000000"/>
          <w:sz w:val="22"/>
          <w:szCs w:val="22"/>
        </w:rPr>
        <w:t>’</w:t>
      </w:r>
      <w:r w:rsidRPr="00212EA6">
        <w:rPr>
          <w:rFonts w:ascii="Arial" w:hAnsi="Arial" w:cs="Arial"/>
          <w:color w:val="000000"/>
          <w:sz w:val="22"/>
          <w:szCs w:val="22"/>
        </w:rPr>
        <w:t>État soumissionnaire à continuer d</w:t>
      </w:r>
      <w:r w:rsidR="009C104E">
        <w:rPr>
          <w:rFonts w:ascii="Arial" w:hAnsi="Arial" w:cs="Arial"/>
          <w:color w:val="000000"/>
          <w:sz w:val="22"/>
          <w:szCs w:val="22"/>
        </w:rPr>
        <w:t>’</w:t>
      </w:r>
      <w:r w:rsidRPr="00212EA6">
        <w:rPr>
          <w:rFonts w:ascii="Arial" w:hAnsi="Arial" w:cs="Arial"/>
          <w:color w:val="000000"/>
          <w:sz w:val="22"/>
          <w:szCs w:val="22"/>
        </w:rPr>
        <w:t>œuvrer à la sauvegarde de l</w:t>
      </w:r>
      <w:r w:rsidR="009C104E">
        <w:rPr>
          <w:rFonts w:ascii="Arial" w:hAnsi="Arial" w:cs="Arial"/>
          <w:color w:val="000000"/>
          <w:sz w:val="22"/>
          <w:szCs w:val="22"/>
        </w:rPr>
        <w:t>’</w:t>
      </w:r>
      <w:r w:rsidRPr="00212EA6">
        <w:rPr>
          <w:rFonts w:ascii="Arial" w:hAnsi="Arial" w:cs="Arial"/>
          <w:color w:val="000000"/>
          <w:sz w:val="22"/>
          <w:szCs w:val="22"/>
        </w:rPr>
        <w:t>élément selon ses méthodes traditionnelles et afin d</w:t>
      </w:r>
      <w:r w:rsidR="009C104E">
        <w:rPr>
          <w:rFonts w:ascii="Arial" w:hAnsi="Arial" w:cs="Arial"/>
          <w:color w:val="000000"/>
          <w:sz w:val="22"/>
          <w:szCs w:val="22"/>
        </w:rPr>
        <w:t>’</w:t>
      </w:r>
      <w:r w:rsidRPr="00212EA6">
        <w:rPr>
          <w:rFonts w:ascii="Arial" w:hAnsi="Arial" w:cs="Arial"/>
          <w:color w:val="000000"/>
          <w:sz w:val="22"/>
          <w:szCs w:val="22"/>
        </w:rPr>
        <w:t>assurer la pleine participation des communautés concernées à la transmission formelle et informelle de l</w:t>
      </w:r>
      <w:r w:rsidR="009C104E">
        <w:rPr>
          <w:rFonts w:ascii="Arial" w:hAnsi="Arial" w:cs="Arial"/>
          <w:color w:val="000000"/>
          <w:sz w:val="22"/>
          <w:szCs w:val="22"/>
        </w:rPr>
        <w:t>’</w:t>
      </w:r>
      <w:r w:rsidRPr="00212EA6">
        <w:rPr>
          <w:rFonts w:ascii="Arial" w:hAnsi="Arial" w:cs="Arial"/>
          <w:color w:val="000000"/>
          <w:sz w:val="22"/>
          <w:szCs w:val="22"/>
        </w:rPr>
        <w:t>élément</w:t>
      </w:r>
      <w:r>
        <w:rPr>
          <w:rFonts w:ascii="Arial" w:hAnsi="Arial" w:cs="Arial"/>
          <w:color w:val="000000"/>
          <w:sz w:val="22"/>
          <w:szCs w:val="22"/>
        </w:rPr>
        <w:t xml:space="preserve"> ; </w:t>
      </w:r>
    </w:p>
    <w:p w14:paraId="23735BCE" w14:textId="5EE724ED" w:rsidR="0001502D" w:rsidRPr="0001502D" w:rsidRDefault="0001502D" w:rsidP="00771F30">
      <w:pPr>
        <w:numPr>
          <w:ilvl w:val="1"/>
          <w:numId w:val="35"/>
        </w:numPr>
        <w:pBdr>
          <w:top w:val="nil"/>
          <w:left w:val="nil"/>
          <w:bottom w:val="nil"/>
          <w:right w:val="nil"/>
          <w:between w:val="nil"/>
        </w:pBdr>
        <w:tabs>
          <w:tab w:val="left" w:pos="567"/>
          <w:tab w:val="left" w:pos="1701"/>
          <w:tab w:val="left" w:pos="2268"/>
        </w:tabs>
        <w:spacing w:before="120" w:after="120"/>
        <w:ind w:left="567"/>
        <w:jc w:val="both"/>
        <w:rPr>
          <w:rFonts w:ascii="Arial" w:eastAsia="Arial" w:hAnsi="Arial" w:cs="Arial"/>
          <w:color w:val="000000"/>
          <w:sz w:val="22"/>
          <w:szCs w:val="22"/>
        </w:rPr>
      </w:pPr>
      <w:r w:rsidRPr="0001502D">
        <w:rPr>
          <w:rFonts w:ascii="Arial" w:hAnsi="Arial" w:cs="Arial"/>
          <w:color w:val="000000"/>
          <w:sz w:val="22"/>
          <w:szCs w:val="22"/>
          <w:u w:val="single"/>
        </w:rPr>
        <w:t>Rappelle</w:t>
      </w:r>
      <w:r w:rsidRPr="0001502D">
        <w:rPr>
          <w:rFonts w:ascii="Arial" w:hAnsi="Arial" w:cs="Arial"/>
          <w:color w:val="000000"/>
          <w:sz w:val="22"/>
          <w:szCs w:val="22"/>
        </w:rPr>
        <w:t xml:space="preserve"> à l</w:t>
      </w:r>
      <w:r w:rsidR="009C104E">
        <w:rPr>
          <w:rFonts w:ascii="Arial" w:hAnsi="Arial" w:cs="Arial"/>
          <w:color w:val="000000"/>
          <w:sz w:val="22"/>
          <w:szCs w:val="22"/>
        </w:rPr>
        <w:t>’</w:t>
      </w:r>
      <w:r w:rsidRPr="0001502D">
        <w:rPr>
          <w:rFonts w:ascii="Arial" w:hAnsi="Arial" w:cs="Arial"/>
          <w:color w:val="000000"/>
          <w:sz w:val="22"/>
          <w:szCs w:val="22"/>
        </w:rPr>
        <w:t>État partie de veiller tout particulièrement à assurer la continuité des fonctions sociales et des significations culturelles de l</w:t>
      </w:r>
      <w:r w:rsidR="009C104E">
        <w:rPr>
          <w:rFonts w:ascii="Arial" w:hAnsi="Arial" w:cs="Arial"/>
          <w:color w:val="000000"/>
          <w:sz w:val="22"/>
          <w:szCs w:val="22"/>
        </w:rPr>
        <w:t>’</w:t>
      </w:r>
      <w:r w:rsidRPr="0001502D">
        <w:rPr>
          <w:rFonts w:ascii="Arial" w:hAnsi="Arial" w:cs="Arial"/>
          <w:color w:val="000000"/>
          <w:sz w:val="22"/>
          <w:szCs w:val="22"/>
        </w:rPr>
        <w:t>élément pour ses détenteurs et pour la communauté dans son ensemble ;</w:t>
      </w:r>
    </w:p>
    <w:p w14:paraId="1B95A416" w14:textId="04B1CAB0" w:rsidR="0001502D" w:rsidRPr="0001502D" w:rsidRDefault="0001502D" w:rsidP="00771F30">
      <w:pPr>
        <w:numPr>
          <w:ilvl w:val="1"/>
          <w:numId w:val="35"/>
        </w:numPr>
        <w:pBdr>
          <w:top w:val="nil"/>
          <w:left w:val="nil"/>
          <w:bottom w:val="nil"/>
          <w:right w:val="nil"/>
          <w:between w:val="nil"/>
        </w:pBdr>
        <w:tabs>
          <w:tab w:val="left" w:pos="567"/>
          <w:tab w:val="left" w:pos="1701"/>
          <w:tab w:val="left" w:pos="2268"/>
        </w:tabs>
        <w:spacing w:before="120" w:after="120"/>
        <w:ind w:left="567"/>
        <w:jc w:val="both"/>
        <w:rPr>
          <w:rFonts w:ascii="Arial" w:eastAsia="Arial" w:hAnsi="Arial" w:cs="Arial"/>
          <w:color w:val="000000"/>
          <w:sz w:val="22"/>
          <w:szCs w:val="22"/>
        </w:rPr>
      </w:pPr>
      <w:r w:rsidRPr="0001502D">
        <w:rPr>
          <w:rFonts w:ascii="Arial" w:hAnsi="Arial" w:cs="Arial"/>
          <w:color w:val="000000"/>
          <w:sz w:val="22"/>
          <w:szCs w:val="22"/>
          <w:u w:val="single"/>
        </w:rPr>
        <w:t>Encourage en outre</w:t>
      </w:r>
      <w:r w:rsidRPr="0001502D">
        <w:rPr>
          <w:rFonts w:ascii="Arial" w:hAnsi="Arial" w:cs="Arial"/>
          <w:color w:val="000000"/>
          <w:sz w:val="22"/>
          <w:szCs w:val="22"/>
        </w:rPr>
        <w:t xml:space="preserve"> l</w:t>
      </w:r>
      <w:r w:rsidR="009C104E">
        <w:rPr>
          <w:rFonts w:ascii="Arial" w:hAnsi="Arial" w:cs="Arial"/>
          <w:color w:val="000000"/>
          <w:sz w:val="22"/>
          <w:szCs w:val="22"/>
        </w:rPr>
        <w:t>’</w:t>
      </w:r>
      <w:r w:rsidRPr="0001502D">
        <w:rPr>
          <w:rFonts w:ascii="Arial" w:hAnsi="Arial" w:cs="Arial"/>
          <w:color w:val="000000"/>
          <w:sz w:val="22"/>
          <w:szCs w:val="22"/>
        </w:rPr>
        <w:t>État partie à prêter attention à la folklorisation et à la décontextualisation potentielles de l</w:t>
      </w:r>
      <w:r w:rsidR="009C104E">
        <w:rPr>
          <w:rFonts w:ascii="Arial" w:hAnsi="Arial" w:cs="Arial"/>
          <w:color w:val="000000"/>
          <w:sz w:val="22"/>
          <w:szCs w:val="22"/>
        </w:rPr>
        <w:t>’</w:t>
      </w:r>
      <w:r w:rsidRPr="0001502D">
        <w:rPr>
          <w:rFonts w:ascii="Arial" w:hAnsi="Arial" w:cs="Arial"/>
          <w:color w:val="000000"/>
          <w:sz w:val="22"/>
          <w:szCs w:val="22"/>
        </w:rPr>
        <w:t xml:space="preserve">élément qui pourraient découler de sa commercialisation excessive et </w:t>
      </w:r>
      <w:r w:rsidRPr="002D6108">
        <w:rPr>
          <w:rFonts w:ascii="Arial" w:hAnsi="Arial" w:cs="Arial"/>
          <w:color w:val="000000"/>
          <w:sz w:val="22"/>
          <w:szCs w:val="22"/>
        </w:rPr>
        <w:t>l</w:t>
      </w:r>
      <w:r w:rsidR="009C104E" w:rsidRPr="002D6108">
        <w:rPr>
          <w:rFonts w:ascii="Arial" w:hAnsi="Arial" w:cs="Arial"/>
          <w:color w:val="000000"/>
          <w:sz w:val="22"/>
          <w:szCs w:val="22"/>
        </w:rPr>
        <w:t>’</w:t>
      </w:r>
      <w:r w:rsidRPr="002D6108">
        <w:rPr>
          <w:rFonts w:ascii="Arial" w:hAnsi="Arial" w:cs="Arial"/>
          <w:color w:val="000000"/>
          <w:sz w:val="22"/>
          <w:szCs w:val="22"/>
          <w:u w:val="single"/>
        </w:rPr>
        <w:t>invite</w:t>
      </w:r>
      <w:r w:rsidRPr="000A51CE">
        <w:rPr>
          <w:rFonts w:ascii="Arial" w:hAnsi="Arial" w:cs="Arial"/>
          <w:color w:val="000000"/>
          <w:sz w:val="22"/>
          <w:szCs w:val="22"/>
        </w:rPr>
        <w:t xml:space="preserve"> à privilégier les aspects du patrimoine culturel immatériel basés sur la communauté et la transmission, tels que définis par la Convention, plutôt que la dimension économique</w:t>
      </w:r>
      <w:r w:rsidRPr="0001502D">
        <w:rPr>
          <w:rFonts w:ascii="Arial" w:hAnsi="Arial" w:cs="Arial"/>
          <w:color w:val="000000"/>
          <w:sz w:val="22"/>
          <w:szCs w:val="22"/>
        </w:rPr>
        <w:t xml:space="preserve"> des industries culturelles, </w:t>
      </w:r>
      <w:sdt>
        <w:sdtPr>
          <w:rPr>
            <w:rFonts w:ascii="Arial" w:hAnsi="Arial" w:cs="Arial"/>
            <w:sz w:val="22"/>
            <w:szCs w:val="22"/>
          </w:rPr>
          <w:tag w:val="goog_rdk_38"/>
          <w:id w:val="870956831"/>
        </w:sdtPr>
        <w:sdtEndPr/>
        <w:sdtContent/>
      </w:sdt>
      <w:r w:rsidRPr="0001502D">
        <w:rPr>
          <w:rFonts w:ascii="Arial" w:hAnsi="Arial" w:cs="Arial"/>
          <w:color w:val="000000"/>
          <w:sz w:val="22"/>
          <w:szCs w:val="22"/>
        </w:rPr>
        <w:t>qui pourrait être mieux traités par d</w:t>
      </w:r>
      <w:r w:rsidR="009C104E">
        <w:rPr>
          <w:rFonts w:ascii="Arial" w:hAnsi="Arial" w:cs="Arial"/>
          <w:color w:val="000000"/>
          <w:sz w:val="22"/>
          <w:szCs w:val="22"/>
        </w:rPr>
        <w:t>’</w:t>
      </w:r>
      <w:r w:rsidRPr="0001502D">
        <w:rPr>
          <w:rFonts w:ascii="Arial" w:hAnsi="Arial" w:cs="Arial"/>
          <w:color w:val="000000"/>
          <w:sz w:val="22"/>
          <w:szCs w:val="22"/>
        </w:rPr>
        <w:t>autres programmes de l</w:t>
      </w:r>
      <w:r w:rsidR="009C104E">
        <w:rPr>
          <w:rFonts w:ascii="Arial" w:hAnsi="Arial" w:cs="Arial"/>
          <w:color w:val="000000"/>
          <w:sz w:val="22"/>
          <w:szCs w:val="22"/>
        </w:rPr>
        <w:t>’</w:t>
      </w:r>
      <w:r w:rsidRPr="0001502D">
        <w:rPr>
          <w:rFonts w:ascii="Arial" w:hAnsi="Arial" w:cs="Arial"/>
          <w:color w:val="000000"/>
          <w:sz w:val="22"/>
          <w:szCs w:val="22"/>
        </w:rPr>
        <w:t>UNESCO dans le domaine de la culture ;</w:t>
      </w:r>
    </w:p>
    <w:p w14:paraId="56C4A6F3" w14:textId="03DBCD24" w:rsidR="0001502D" w:rsidRPr="0001502D" w:rsidRDefault="0001502D" w:rsidP="00771F30">
      <w:pPr>
        <w:numPr>
          <w:ilvl w:val="1"/>
          <w:numId w:val="35"/>
        </w:numPr>
        <w:pBdr>
          <w:top w:val="nil"/>
          <w:left w:val="nil"/>
          <w:bottom w:val="nil"/>
          <w:right w:val="nil"/>
          <w:between w:val="nil"/>
        </w:pBdr>
        <w:tabs>
          <w:tab w:val="left" w:pos="567"/>
          <w:tab w:val="left" w:pos="1701"/>
          <w:tab w:val="left" w:pos="2268"/>
        </w:tabs>
        <w:spacing w:before="120" w:after="120"/>
        <w:ind w:left="567"/>
        <w:jc w:val="both"/>
        <w:rPr>
          <w:rFonts w:ascii="Arial" w:eastAsiaTheme="minorEastAsia" w:hAnsi="Arial" w:cs="Arial"/>
          <w:color w:val="222222"/>
          <w:sz w:val="22"/>
          <w:szCs w:val="22"/>
        </w:rPr>
      </w:pPr>
      <w:r w:rsidRPr="0001502D">
        <w:rPr>
          <w:rFonts w:ascii="Arial" w:hAnsi="Arial" w:cs="Arial"/>
          <w:color w:val="000000"/>
          <w:sz w:val="22"/>
          <w:szCs w:val="22"/>
          <w:u w:val="single"/>
        </w:rPr>
        <w:t>Rappelle</w:t>
      </w:r>
      <w:r w:rsidRPr="0001502D">
        <w:rPr>
          <w:rFonts w:ascii="Arial" w:hAnsi="Arial" w:cs="Arial"/>
          <w:color w:val="000000"/>
          <w:sz w:val="22"/>
          <w:szCs w:val="22"/>
        </w:rPr>
        <w:t xml:space="preserve"> qu</w:t>
      </w:r>
      <w:r w:rsidR="009C104E">
        <w:rPr>
          <w:rFonts w:ascii="Arial" w:hAnsi="Arial" w:cs="Arial"/>
          <w:color w:val="000000"/>
          <w:sz w:val="22"/>
          <w:szCs w:val="22"/>
        </w:rPr>
        <w:t>’</w:t>
      </w:r>
      <w:r w:rsidRPr="0001502D">
        <w:rPr>
          <w:rFonts w:ascii="Arial" w:hAnsi="Arial" w:cs="Arial"/>
          <w:color w:val="000000"/>
          <w:sz w:val="22"/>
          <w:szCs w:val="22"/>
        </w:rPr>
        <w:t>il est important d</w:t>
      </w:r>
      <w:r w:rsidR="009C104E">
        <w:rPr>
          <w:rFonts w:ascii="Arial" w:hAnsi="Arial" w:cs="Arial"/>
          <w:color w:val="000000"/>
          <w:sz w:val="22"/>
          <w:szCs w:val="22"/>
        </w:rPr>
        <w:t>’</w:t>
      </w:r>
      <w:r w:rsidRPr="0001502D">
        <w:rPr>
          <w:rFonts w:ascii="Arial" w:hAnsi="Arial" w:cs="Arial"/>
          <w:color w:val="000000"/>
          <w:sz w:val="22"/>
          <w:szCs w:val="22"/>
        </w:rPr>
        <w:t>utiliser un vocabulaire conforme à l</w:t>
      </w:r>
      <w:r w:rsidR="009C104E">
        <w:rPr>
          <w:rFonts w:ascii="Arial" w:hAnsi="Arial" w:cs="Arial"/>
          <w:color w:val="000000"/>
          <w:sz w:val="22"/>
          <w:szCs w:val="22"/>
        </w:rPr>
        <w:t>’</w:t>
      </w:r>
      <w:r w:rsidRPr="0001502D">
        <w:rPr>
          <w:rFonts w:ascii="Arial" w:hAnsi="Arial" w:cs="Arial"/>
          <w:color w:val="000000"/>
          <w:sz w:val="22"/>
          <w:szCs w:val="22"/>
        </w:rPr>
        <w:t>esprit de la Convention et d</w:t>
      </w:r>
      <w:r w:rsidR="009C104E">
        <w:rPr>
          <w:rFonts w:ascii="Arial" w:hAnsi="Arial" w:cs="Arial"/>
          <w:color w:val="000000"/>
          <w:sz w:val="22"/>
          <w:szCs w:val="22"/>
        </w:rPr>
        <w:t>’</w:t>
      </w:r>
      <w:r w:rsidRPr="0001502D">
        <w:rPr>
          <w:rFonts w:ascii="Arial" w:hAnsi="Arial" w:cs="Arial"/>
          <w:color w:val="000000"/>
          <w:sz w:val="22"/>
          <w:szCs w:val="22"/>
        </w:rPr>
        <w:t>éviter des termes comme « authenticité » ou « intégrité ».</w:t>
      </w:r>
    </w:p>
    <w:p w14:paraId="514592A4" w14:textId="0754742F" w:rsidR="0001502D" w:rsidRPr="0001502D" w:rsidRDefault="0001502D" w:rsidP="00EA61FD">
      <w:pPr>
        <w:keepNext/>
        <w:keepLines/>
        <w:spacing w:before="360" w:after="120"/>
        <w:outlineLvl w:val="1"/>
        <w:rPr>
          <w:rFonts w:ascii="Arial" w:hAnsi="Arial" w:cs="Arial"/>
          <w:bCs/>
          <w:iCs/>
          <w:sz w:val="22"/>
          <w:szCs w:val="22"/>
        </w:rPr>
      </w:pPr>
      <w:bookmarkStart w:id="15" w:name="Decision_10b11"/>
      <w:r w:rsidRPr="0001502D">
        <w:rPr>
          <w:rFonts w:ascii="Arial" w:hAnsi="Arial" w:cs="Arial"/>
          <w:b/>
          <w:bCs/>
          <w:iCs/>
          <w:sz w:val="22"/>
          <w:szCs w:val="22"/>
        </w:rPr>
        <w:t>DÉCISION 14.COM 10.b.11</w:t>
      </w:r>
    </w:p>
    <w:bookmarkEnd w:id="15"/>
    <w:p w14:paraId="751779A9" w14:textId="77777777" w:rsidR="0001502D" w:rsidRPr="0001502D" w:rsidRDefault="0001502D" w:rsidP="003E13C4">
      <w:pPr>
        <w:keepNext/>
        <w:pBdr>
          <w:top w:val="nil"/>
          <w:left w:val="nil"/>
          <w:bottom w:val="nil"/>
          <w:right w:val="nil"/>
          <w:between w:val="nil"/>
        </w:pBdr>
        <w:tabs>
          <w:tab w:val="left" w:pos="567"/>
          <w:tab w:val="left" w:pos="1134"/>
          <w:tab w:val="left" w:pos="1701"/>
          <w:tab w:val="left" w:pos="2268"/>
        </w:tabs>
        <w:spacing w:before="120" w:after="120"/>
        <w:jc w:val="both"/>
        <w:rPr>
          <w:rFonts w:ascii="Arial" w:eastAsia="Arial" w:hAnsi="Arial" w:cs="Arial"/>
          <w:color w:val="000000"/>
          <w:sz w:val="22"/>
          <w:szCs w:val="22"/>
        </w:rPr>
      </w:pPr>
      <w:r w:rsidRPr="0001502D">
        <w:rPr>
          <w:rFonts w:ascii="Arial" w:hAnsi="Arial" w:cs="Arial"/>
          <w:color w:val="000000"/>
          <w:sz w:val="22"/>
          <w:szCs w:val="22"/>
        </w:rPr>
        <w:t>Le Comité,</w:t>
      </w:r>
    </w:p>
    <w:p w14:paraId="20A351AA" w14:textId="020C8BD4" w:rsidR="0001502D" w:rsidRPr="0001502D" w:rsidRDefault="0001502D" w:rsidP="00771F30">
      <w:pPr>
        <w:numPr>
          <w:ilvl w:val="1"/>
          <w:numId w:val="36"/>
        </w:numPr>
        <w:pBdr>
          <w:top w:val="nil"/>
          <w:left w:val="nil"/>
          <w:bottom w:val="nil"/>
          <w:right w:val="nil"/>
          <w:between w:val="nil"/>
        </w:pBdr>
        <w:tabs>
          <w:tab w:val="left" w:pos="567"/>
          <w:tab w:val="left" w:pos="1701"/>
          <w:tab w:val="left" w:pos="2268"/>
        </w:tabs>
        <w:spacing w:before="120" w:after="120"/>
        <w:ind w:left="567"/>
        <w:jc w:val="both"/>
        <w:rPr>
          <w:rFonts w:ascii="Arial" w:eastAsia="Arial" w:hAnsi="Arial" w:cs="Arial"/>
          <w:color w:val="000000"/>
          <w:sz w:val="22"/>
          <w:szCs w:val="22"/>
        </w:rPr>
      </w:pPr>
      <w:r w:rsidRPr="0001502D">
        <w:rPr>
          <w:rFonts w:ascii="Arial" w:hAnsi="Arial" w:cs="Arial"/>
          <w:color w:val="000000"/>
          <w:sz w:val="22"/>
          <w:szCs w:val="22"/>
          <w:u w:val="single"/>
        </w:rPr>
        <w:t>Prend note</w:t>
      </w:r>
      <w:r w:rsidRPr="0001502D">
        <w:rPr>
          <w:rFonts w:ascii="Arial" w:hAnsi="Arial" w:cs="Arial"/>
          <w:color w:val="000000"/>
          <w:sz w:val="22"/>
          <w:szCs w:val="22"/>
        </w:rPr>
        <w:t xml:space="preserve"> que l</w:t>
      </w:r>
      <w:r w:rsidR="009C104E">
        <w:rPr>
          <w:rFonts w:ascii="Arial" w:hAnsi="Arial" w:cs="Arial"/>
          <w:color w:val="000000"/>
          <w:sz w:val="22"/>
          <w:szCs w:val="22"/>
        </w:rPr>
        <w:t>’</w:t>
      </w:r>
      <w:r w:rsidRPr="0001502D">
        <w:rPr>
          <w:rFonts w:ascii="Arial" w:hAnsi="Arial" w:cs="Arial"/>
          <w:color w:val="000000"/>
          <w:sz w:val="22"/>
          <w:szCs w:val="22"/>
        </w:rPr>
        <w:t xml:space="preserve">Éthiopie a proposé la candidature de </w:t>
      </w:r>
      <w:r w:rsidRPr="0001502D">
        <w:rPr>
          <w:rFonts w:ascii="Arial" w:hAnsi="Arial" w:cs="Arial"/>
          <w:b/>
          <w:bCs/>
          <w:color w:val="000000"/>
          <w:sz w:val="22"/>
          <w:szCs w:val="22"/>
        </w:rPr>
        <w:t>l</w:t>
      </w:r>
      <w:r w:rsidR="009C104E">
        <w:rPr>
          <w:rFonts w:ascii="Arial" w:hAnsi="Arial" w:cs="Arial"/>
          <w:b/>
          <w:bCs/>
          <w:color w:val="000000"/>
          <w:sz w:val="22"/>
          <w:szCs w:val="22"/>
        </w:rPr>
        <w:t>’</w:t>
      </w:r>
      <w:r w:rsidRPr="0001502D">
        <w:rPr>
          <w:rFonts w:ascii="Arial" w:hAnsi="Arial" w:cs="Arial"/>
          <w:b/>
          <w:bCs/>
          <w:color w:val="000000"/>
          <w:sz w:val="22"/>
          <w:szCs w:val="22"/>
        </w:rPr>
        <w:t>Épiphanie éthiopienne</w:t>
      </w:r>
      <w:r w:rsidRPr="0001502D">
        <w:rPr>
          <w:rFonts w:ascii="Arial" w:hAnsi="Arial" w:cs="Arial"/>
          <w:color w:val="000000"/>
          <w:sz w:val="22"/>
          <w:szCs w:val="22"/>
        </w:rPr>
        <w:t xml:space="preserve"> (n° 01491) pour inscription sur la Liste représentative du patrimoine culturel immatériel de l</w:t>
      </w:r>
      <w:r w:rsidR="009C104E">
        <w:rPr>
          <w:rFonts w:ascii="Arial" w:hAnsi="Arial" w:cs="Arial"/>
          <w:color w:val="000000"/>
          <w:sz w:val="22"/>
          <w:szCs w:val="22"/>
        </w:rPr>
        <w:t>’</w:t>
      </w:r>
      <w:r w:rsidRPr="0001502D">
        <w:rPr>
          <w:rFonts w:ascii="Arial" w:hAnsi="Arial" w:cs="Arial"/>
          <w:color w:val="000000"/>
          <w:sz w:val="22"/>
          <w:szCs w:val="22"/>
        </w:rPr>
        <w:t>humanité :</w:t>
      </w:r>
    </w:p>
    <w:p w14:paraId="3480B79B" w14:textId="7ECF6227" w:rsidR="0001502D" w:rsidRPr="0001502D" w:rsidRDefault="0001502D" w:rsidP="003E13C4">
      <w:pPr>
        <w:tabs>
          <w:tab w:val="left" w:pos="567"/>
          <w:tab w:val="left" w:pos="1701"/>
          <w:tab w:val="left" w:pos="2268"/>
        </w:tabs>
        <w:spacing w:before="120" w:after="120"/>
        <w:ind w:left="567"/>
        <w:jc w:val="both"/>
        <w:rPr>
          <w:rFonts w:ascii="Arial" w:hAnsi="Arial" w:cs="Arial"/>
          <w:sz w:val="22"/>
          <w:szCs w:val="22"/>
        </w:rPr>
      </w:pPr>
      <w:r w:rsidRPr="0001502D">
        <w:rPr>
          <w:rFonts w:ascii="Arial" w:hAnsi="Arial" w:cs="Arial"/>
          <w:sz w:val="22"/>
          <w:szCs w:val="22"/>
        </w:rPr>
        <w:t>Festival coloré célébré dans l</w:t>
      </w:r>
      <w:r w:rsidR="009C104E">
        <w:rPr>
          <w:rFonts w:ascii="Arial" w:hAnsi="Arial" w:cs="Arial"/>
          <w:sz w:val="22"/>
          <w:szCs w:val="22"/>
        </w:rPr>
        <w:t>’</w:t>
      </w:r>
      <w:r w:rsidRPr="0001502D">
        <w:rPr>
          <w:rFonts w:ascii="Arial" w:hAnsi="Arial" w:cs="Arial"/>
          <w:sz w:val="22"/>
          <w:szCs w:val="22"/>
        </w:rPr>
        <w:t>ensemble du pays, l</w:t>
      </w:r>
      <w:r w:rsidR="009C104E">
        <w:rPr>
          <w:rFonts w:ascii="Arial" w:hAnsi="Arial" w:cs="Arial"/>
          <w:sz w:val="22"/>
          <w:szCs w:val="22"/>
        </w:rPr>
        <w:t>’</w:t>
      </w:r>
      <w:r w:rsidRPr="0001502D">
        <w:rPr>
          <w:rFonts w:ascii="Arial" w:hAnsi="Arial" w:cs="Arial"/>
          <w:sz w:val="22"/>
          <w:szCs w:val="22"/>
        </w:rPr>
        <w:t>Épiphanie éthiopienne commémore le baptême de Jésus-Christ dans le Jourdain par Jean le Baptiste. La commémoration débute chaque année le 18 janvier, veille de la fête principale. Cet évènement est appelé Ketera, ce qui signifie « bloquer le flot de l</w:t>
      </w:r>
      <w:r w:rsidR="009C104E">
        <w:rPr>
          <w:rFonts w:ascii="Arial" w:hAnsi="Arial" w:cs="Arial"/>
          <w:sz w:val="22"/>
          <w:szCs w:val="22"/>
        </w:rPr>
        <w:t>’</w:t>
      </w:r>
      <w:r w:rsidRPr="0001502D">
        <w:rPr>
          <w:rFonts w:ascii="Arial" w:hAnsi="Arial" w:cs="Arial"/>
          <w:sz w:val="22"/>
          <w:szCs w:val="22"/>
        </w:rPr>
        <w:t xml:space="preserve">eau » qui sert à bénir les participants. La veille du Ketera, les participants escortent le </w:t>
      </w:r>
      <w:r w:rsidRPr="0001502D">
        <w:rPr>
          <w:rFonts w:ascii="Arial" w:hAnsi="Arial" w:cs="Arial"/>
          <w:iCs/>
          <w:sz w:val="22"/>
          <w:szCs w:val="22"/>
        </w:rPr>
        <w:t>tabot</w:t>
      </w:r>
      <w:r w:rsidRPr="0001502D">
        <w:rPr>
          <w:rFonts w:ascii="Arial" w:hAnsi="Arial" w:cs="Arial"/>
          <w:sz w:val="22"/>
          <w:szCs w:val="22"/>
        </w:rPr>
        <w:t xml:space="preserve"> de leur paroisse (réplique de l</w:t>
      </w:r>
      <w:r w:rsidR="009C104E">
        <w:rPr>
          <w:rFonts w:ascii="Arial" w:hAnsi="Arial" w:cs="Arial"/>
          <w:sz w:val="22"/>
          <w:szCs w:val="22"/>
        </w:rPr>
        <w:t>’</w:t>
      </w:r>
      <w:r w:rsidRPr="0001502D">
        <w:rPr>
          <w:rFonts w:ascii="Arial" w:hAnsi="Arial" w:cs="Arial"/>
          <w:sz w:val="22"/>
          <w:szCs w:val="22"/>
        </w:rPr>
        <w:t>Arche d</w:t>
      </w:r>
      <w:r w:rsidR="009C104E">
        <w:rPr>
          <w:rFonts w:ascii="Arial" w:hAnsi="Arial" w:cs="Arial"/>
          <w:sz w:val="22"/>
          <w:szCs w:val="22"/>
        </w:rPr>
        <w:t>’</w:t>
      </w:r>
      <w:r w:rsidRPr="0001502D">
        <w:rPr>
          <w:rFonts w:ascii="Arial" w:hAnsi="Arial" w:cs="Arial"/>
          <w:sz w:val="22"/>
          <w:szCs w:val="22"/>
        </w:rPr>
        <w:t>Alliance) transporté par un prêtre jusqu</w:t>
      </w:r>
      <w:r w:rsidR="009C104E">
        <w:rPr>
          <w:rFonts w:ascii="Arial" w:hAnsi="Arial" w:cs="Arial"/>
          <w:sz w:val="22"/>
          <w:szCs w:val="22"/>
        </w:rPr>
        <w:t>’</w:t>
      </w:r>
      <w:r w:rsidRPr="0001502D">
        <w:rPr>
          <w:rFonts w:ascii="Arial" w:hAnsi="Arial" w:cs="Arial"/>
          <w:sz w:val="22"/>
          <w:szCs w:val="22"/>
        </w:rPr>
        <w:t xml:space="preserve">au </w:t>
      </w:r>
      <w:r w:rsidRPr="0001502D">
        <w:rPr>
          <w:rFonts w:ascii="Arial" w:hAnsi="Arial" w:cs="Arial"/>
          <w:iCs/>
          <w:sz w:val="22"/>
          <w:szCs w:val="22"/>
        </w:rPr>
        <w:t>timkete-bahir</w:t>
      </w:r>
      <w:r w:rsidRPr="0001502D">
        <w:rPr>
          <w:rFonts w:ascii="Arial" w:hAnsi="Arial" w:cs="Arial"/>
          <w:sz w:val="22"/>
          <w:szCs w:val="22"/>
        </w:rPr>
        <w:t xml:space="preserve"> (bassin, rivière ou réservoir artificiel) au cours d</w:t>
      </w:r>
      <w:r w:rsidR="009C104E">
        <w:rPr>
          <w:rFonts w:ascii="Arial" w:hAnsi="Arial" w:cs="Arial"/>
          <w:sz w:val="22"/>
          <w:szCs w:val="22"/>
        </w:rPr>
        <w:t>’</w:t>
      </w:r>
      <w:r w:rsidRPr="0001502D">
        <w:rPr>
          <w:rFonts w:ascii="Arial" w:hAnsi="Arial" w:cs="Arial"/>
          <w:sz w:val="22"/>
          <w:szCs w:val="22"/>
        </w:rPr>
        <w:t>une cérémonie grandiose. Les participants passent la nuit à prier et à chanter lors de différents offices, dont la liturgie eucharistique. Des centaines de milliers de personnes participent à la fête du lendemain, le 19 janvier. La célébration débute par plusieurs rituels effectués au lever du soleil. Après ces rituels, la congrégation est aspergée d</w:t>
      </w:r>
      <w:r w:rsidR="009C104E">
        <w:rPr>
          <w:rFonts w:ascii="Arial" w:hAnsi="Arial" w:cs="Arial"/>
          <w:sz w:val="22"/>
          <w:szCs w:val="22"/>
        </w:rPr>
        <w:t>’</w:t>
      </w:r>
      <w:r w:rsidRPr="0001502D">
        <w:rPr>
          <w:rFonts w:ascii="Arial" w:hAnsi="Arial" w:cs="Arial"/>
          <w:sz w:val="22"/>
          <w:szCs w:val="22"/>
        </w:rPr>
        <w:t>eau bénite et d</w:t>
      </w:r>
      <w:r w:rsidR="009C104E">
        <w:rPr>
          <w:rFonts w:ascii="Arial" w:hAnsi="Arial" w:cs="Arial"/>
          <w:sz w:val="22"/>
          <w:szCs w:val="22"/>
        </w:rPr>
        <w:t>’</w:t>
      </w:r>
      <w:r w:rsidRPr="0001502D">
        <w:rPr>
          <w:rFonts w:ascii="Arial" w:hAnsi="Arial" w:cs="Arial"/>
          <w:sz w:val="22"/>
          <w:szCs w:val="22"/>
        </w:rPr>
        <w:t>autres cérémonies s</w:t>
      </w:r>
      <w:r w:rsidR="009C104E">
        <w:rPr>
          <w:rFonts w:ascii="Arial" w:hAnsi="Arial" w:cs="Arial"/>
          <w:sz w:val="22"/>
          <w:szCs w:val="22"/>
        </w:rPr>
        <w:t>’</w:t>
      </w:r>
      <w:r w:rsidRPr="0001502D">
        <w:rPr>
          <w:rFonts w:ascii="Arial" w:hAnsi="Arial" w:cs="Arial"/>
          <w:sz w:val="22"/>
          <w:szCs w:val="22"/>
        </w:rPr>
        <w:t xml:space="preserve">ensuivent. À environ 10 h, chaque </w:t>
      </w:r>
      <w:r w:rsidRPr="0001502D">
        <w:rPr>
          <w:rFonts w:ascii="Arial" w:hAnsi="Arial" w:cs="Arial"/>
          <w:iCs/>
          <w:sz w:val="22"/>
          <w:szCs w:val="22"/>
        </w:rPr>
        <w:t>tabot</w:t>
      </w:r>
      <w:r w:rsidRPr="0001502D">
        <w:rPr>
          <w:rFonts w:ascii="Arial" w:hAnsi="Arial" w:cs="Arial"/>
          <w:sz w:val="22"/>
          <w:szCs w:val="22"/>
        </w:rPr>
        <w:t xml:space="preserve"> entreprend la procession qui le ramènera vers son église. Il s</w:t>
      </w:r>
      <w:r w:rsidR="009C104E">
        <w:rPr>
          <w:rFonts w:ascii="Arial" w:hAnsi="Arial" w:cs="Arial"/>
          <w:sz w:val="22"/>
          <w:szCs w:val="22"/>
        </w:rPr>
        <w:t>’</w:t>
      </w:r>
      <w:r w:rsidRPr="0001502D">
        <w:rPr>
          <w:rFonts w:ascii="Arial" w:hAnsi="Arial" w:cs="Arial"/>
          <w:sz w:val="22"/>
          <w:szCs w:val="22"/>
        </w:rPr>
        <w:t>agit d</w:t>
      </w:r>
      <w:r w:rsidR="009C104E">
        <w:rPr>
          <w:rFonts w:ascii="Arial" w:hAnsi="Arial" w:cs="Arial"/>
          <w:sz w:val="22"/>
          <w:szCs w:val="22"/>
        </w:rPr>
        <w:t>’</w:t>
      </w:r>
      <w:r w:rsidRPr="0001502D">
        <w:rPr>
          <w:rFonts w:ascii="Arial" w:hAnsi="Arial" w:cs="Arial"/>
          <w:sz w:val="22"/>
          <w:szCs w:val="22"/>
        </w:rPr>
        <w:t>une cérémonie encore plus colorée au cours de laquelle résonnent divers chants traditionnels et religieux. La viabilité de l</w:t>
      </w:r>
      <w:r w:rsidR="009C104E">
        <w:rPr>
          <w:rFonts w:ascii="Arial" w:hAnsi="Arial" w:cs="Arial"/>
          <w:sz w:val="22"/>
          <w:szCs w:val="22"/>
        </w:rPr>
        <w:t>’</w:t>
      </w:r>
      <w:r w:rsidRPr="0001502D">
        <w:rPr>
          <w:rFonts w:ascii="Arial" w:hAnsi="Arial" w:cs="Arial"/>
          <w:sz w:val="22"/>
          <w:szCs w:val="22"/>
        </w:rPr>
        <w:t>élément est garantie par sa pratique continue. Les membres du clergé orthodoxe jouent un rôle essentiel : ils chantent les prières spécifiques aux rituels, portent l</w:t>
      </w:r>
      <w:r w:rsidR="009C104E">
        <w:rPr>
          <w:rFonts w:ascii="Arial" w:hAnsi="Arial" w:cs="Arial"/>
          <w:sz w:val="22"/>
          <w:szCs w:val="22"/>
        </w:rPr>
        <w:t>’</w:t>
      </w:r>
      <w:r w:rsidRPr="0001502D">
        <w:rPr>
          <w:rFonts w:ascii="Arial" w:hAnsi="Arial" w:cs="Arial"/>
          <w:sz w:val="22"/>
          <w:szCs w:val="22"/>
        </w:rPr>
        <w:t>Arche et prêchent les textes pertinents.</w:t>
      </w:r>
    </w:p>
    <w:p w14:paraId="49108EC6" w14:textId="108E2000" w:rsidR="0001502D" w:rsidRPr="0001502D" w:rsidRDefault="0001502D" w:rsidP="00771F30">
      <w:pPr>
        <w:keepNext/>
        <w:numPr>
          <w:ilvl w:val="1"/>
          <w:numId w:val="36"/>
        </w:numPr>
        <w:pBdr>
          <w:top w:val="nil"/>
          <w:left w:val="nil"/>
          <w:bottom w:val="nil"/>
          <w:right w:val="nil"/>
          <w:between w:val="nil"/>
        </w:pBdr>
        <w:tabs>
          <w:tab w:val="left" w:pos="567"/>
          <w:tab w:val="left" w:pos="1701"/>
          <w:tab w:val="left" w:pos="2268"/>
        </w:tabs>
        <w:spacing w:before="120" w:after="120"/>
        <w:ind w:left="567"/>
        <w:jc w:val="both"/>
        <w:rPr>
          <w:rFonts w:ascii="Arial" w:eastAsia="Arial" w:hAnsi="Arial" w:cs="Arial"/>
          <w:color w:val="000000"/>
          <w:sz w:val="22"/>
          <w:szCs w:val="22"/>
        </w:rPr>
      </w:pPr>
      <w:r w:rsidRPr="0001502D">
        <w:rPr>
          <w:rFonts w:ascii="Arial" w:hAnsi="Arial" w:cs="Arial"/>
          <w:color w:val="000000"/>
          <w:sz w:val="22"/>
          <w:szCs w:val="22"/>
          <w:u w:val="single"/>
        </w:rPr>
        <w:t>Estime</w:t>
      </w:r>
      <w:r w:rsidRPr="0001502D">
        <w:rPr>
          <w:rFonts w:ascii="Arial" w:hAnsi="Arial" w:cs="Arial"/>
          <w:color w:val="000000"/>
          <w:sz w:val="22"/>
          <w:szCs w:val="22"/>
        </w:rPr>
        <w:t xml:space="preserve"> que, d</w:t>
      </w:r>
      <w:r w:rsidR="009C104E">
        <w:rPr>
          <w:rFonts w:ascii="Arial" w:hAnsi="Arial" w:cs="Arial"/>
          <w:color w:val="000000"/>
          <w:sz w:val="22"/>
          <w:szCs w:val="22"/>
        </w:rPr>
        <w:t>’</w:t>
      </w:r>
      <w:r w:rsidRPr="0001502D">
        <w:rPr>
          <w:rFonts w:ascii="Arial" w:hAnsi="Arial" w:cs="Arial"/>
          <w:color w:val="000000"/>
          <w:sz w:val="22"/>
          <w:szCs w:val="22"/>
        </w:rPr>
        <w:t>après les informations contenues dans le dossier, la candidature satisfait aux critères d</w:t>
      </w:r>
      <w:r w:rsidR="009C104E">
        <w:rPr>
          <w:rFonts w:ascii="Arial" w:hAnsi="Arial" w:cs="Arial"/>
          <w:color w:val="000000"/>
          <w:sz w:val="22"/>
          <w:szCs w:val="22"/>
        </w:rPr>
        <w:t>’</w:t>
      </w:r>
      <w:r w:rsidRPr="0001502D">
        <w:rPr>
          <w:rFonts w:ascii="Arial" w:hAnsi="Arial" w:cs="Arial"/>
          <w:color w:val="000000"/>
          <w:sz w:val="22"/>
          <w:szCs w:val="22"/>
        </w:rPr>
        <w:t>inscription sur la Liste représentative du patrimoine culturel immatériel de l</w:t>
      </w:r>
      <w:r w:rsidR="009C104E">
        <w:rPr>
          <w:rFonts w:ascii="Arial" w:hAnsi="Arial" w:cs="Arial"/>
          <w:color w:val="000000"/>
          <w:sz w:val="22"/>
          <w:szCs w:val="22"/>
        </w:rPr>
        <w:t>’</w:t>
      </w:r>
      <w:r w:rsidRPr="0001502D">
        <w:rPr>
          <w:rFonts w:ascii="Arial" w:hAnsi="Arial" w:cs="Arial"/>
          <w:color w:val="000000"/>
          <w:sz w:val="22"/>
          <w:szCs w:val="22"/>
        </w:rPr>
        <w:t>humanité comme suit :</w:t>
      </w:r>
    </w:p>
    <w:p w14:paraId="1B421720" w14:textId="5A9B06AD" w:rsidR="0001502D" w:rsidRPr="0001502D" w:rsidRDefault="0001502D" w:rsidP="003E13C4">
      <w:pPr>
        <w:tabs>
          <w:tab w:val="left" w:pos="1134"/>
          <w:tab w:val="left" w:pos="2268"/>
        </w:tabs>
        <w:spacing w:before="120" w:after="120"/>
        <w:ind w:left="1134" w:hanging="555"/>
        <w:jc w:val="both"/>
        <w:rPr>
          <w:rFonts w:ascii="Arial" w:hAnsi="Arial" w:cs="Arial"/>
          <w:sz w:val="22"/>
          <w:szCs w:val="22"/>
        </w:rPr>
      </w:pPr>
      <w:r w:rsidRPr="0001502D">
        <w:rPr>
          <w:rFonts w:ascii="Arial" w:hAnsi="Arial" w:cs="Arial"/>
          <w:sz w:val="22"/>
          <w:szCs w:val="22"/>
        </w:rPr>
        <w:t>R.1 :</w:t>
      </w:r>
      <w:r w:rsidR="00FF6A7E" w:rsidRPr="00904C0F">
        <w:rPr>
          <w:rFonts w:ascii="Arial" w:hAnsi="Arial" w:cs="Arial"/>
          <w:sz w:val="22"/>
          <w:szCs w:val="22"/>
        </w:rPr>
        <w:tab/>
      </w:r>
      <w:r w:rsidRPr="0001502D">
        <w:rPr>
          <w:rFonts w:ascii="Arial" w:hAnsi="Arial" w:cs="Arial"/>
          <w:sz w:val="22"/>
          <w:szCs w:val="22"/>
        </w:rPr>
        <w:t>L</w:t>
      </w:r>
      <w:r w:rsidR="009C104E">
        <w:rPr>
          <w:rFonts w:ascii="Arial" w:hAnsi="Arial" w:cs="Arial"/>
          <w:sz w:val="22"/>
          <w:szCs w:val="22"/>
        </w:rPr>
        <w:t>’</w:t>
      </w:r>
      <w:r w:rsidRPr="0001502D">
        <w:rPr>
          <w:rFonts w:ascii="Arial" w:hAnsi="Arial" w:cs="Arial"/>
          <w:sz w:val="22"/>
          <w:szCs w:val="22"/>
        </w:rPr>
        <w:t>Épiphanie éthiopienne est une fête culturelle et religieuse au cours de laquelle les Éthiopiens participent à une célébration et se rassemblent, ce qui contribue à la cohésion sociale et à la paix. L</w:t>
      </w:r>
      <w:r w:rsidR="009C104E">
        <w:rPr>
          <w:rFonts w:ascii="Arial" w:hAnsi="Arial" w:cs="Arial"/>
          <w:sz w:val="22"/>
          <w:szCs w:val="22"/>
        </w:rPr>
        <w:t>’</w:t>
      </w:r>
      <w:r w:rsidRPr="0001502D">
        <w:rPr>
          <w:rFonts w:ascii="Arial" w:hAnsi="Arial" w:cs="Arial"/>
          <w:sz w:val="22"/>
          <w:szCs w:val="22"/>
        </w:rPr>
        <w:t>élément permet de maintenir l</w:t>
      </w:r>
      <w:r w:rsidR="009C104E">
        <w:rPr>
          <w:rFonts w:ascii="Arial" w:hAnsi="Arial" w:cs="Arial"/>
          <w:sz w:val="22"/>
          <w:szCs w:val="22"/>
        </w:rPr>
        <w:t>’</w:t>
      </w:r>
      <w:r w:rsidRPr="0001502D">
        <w:rPr>
          <w:rFonts w:ascii="Arial" w:hAnsi="Arial" w:cs="Arial"/>
          <w:sz w:val="22"/>
          <w:szCs w:val="22"/>
        </w:rPr>
        <w:t>unité, le respect mutuel, la compréhension et la coexistence pacifique entre les groupes ethnolinguistiques et les représentants des nombreuses communautés religieuses, leur procurant ainsi un sentiment d</w:t>
      </w:r>
      <w:r w:rsidR="009C104E">
        <w:rPr>
          <w:rFonts w:ascii="Arial" w:hAnsi="Arial" w:cs="Arial"/>
          <w:sz w:val="22"/>
          <w:szCs w:val="22"/>
        </w:rPr>
        <w:t>’</w:t>
      </w:r>
      <w:r w:rsidRPr="0001502D">
        <w:rPr>
          <w:rFonts w:ascii="Arial" w:hAnsi="Arial" w:cs="Arial"/>
          <w:sz w:val="22"/>
          <w:szCs w:val="22"/>
        </w:rPr>
        <w:t>identité et de continuité.</w:t>
      </w:r>
    </w:p>
    <w:p w14:paraId="517DEE41" w14:textId="085BFF8E" w:rsidR="0001502D" w:rsidRPr="0001502D" w:rsidRDefault="0001502D" w:rsidP="003E13C4">
      <w:pPr>
        <w:tabs>
          <w:tab w:val="left" w:pos="1134"/>
          <w:tab w:val="left" w:pos="2268"/>
        </w:tabs>
        <w:spacing w:before="120" w:after="120"/>
        <w:ind w:left="1134" w:hanging="555"/>
        <w:jc w:val="both"/>
        <w:rPr>
          <w:rFonts w:ascii="Arial" w:hAnsi="Arial" w:cs="Arial"/>
          <w:sz w:val="22"/>
          <w:szCs w:val="22"/>
        </w:rPr>
      </w:pPr>
      <w:r w:rsidRPr="0001502D">
        <w:rPr>
          <w:rFonts w:ascii="Arial" w:hAnsi="Arial" w:cs="Arial"/>
          <w:sz w:val="22"/>
          <w:szCs w:val="22"/>
        </w:rPr>
        <w:t>R.4 :</w:t>
      </w:r>
      <w:r w:rsidR="00FF6A7E" w:rsidRPr="00904C0F">
        <w:rPr>
          <w:rFonts w:ascii="Arial" w:hAnsi="Arial" w:cs="Arial"/>
          <w:sz w:val="22"/>
          <w:szCs w:val="22"/>
        </w:rPr>
        <w:tab/>
      </w:r>
      <w:r w:rsidRPr="0001502D">
        <w:rPr>
          <w:rFonts w:ascii="Arial" w:hAnsi="Arial" w:cs="Arial"/>
          <w:sz w:val="22"/>
          <w:szCs w:val="22"/>
        </w:rPr>
        <w:t>Initiée par les détenteurs et praticiens de l</w:t>
      </w:r>
      <w:r w:rsidR="009C104E">
        <w:rPr>
          <w:rFonts w:ascii="Arial" w:hAnsi="Arial" w:cs="Arial"/>
          <w:sz w:val="22"/>
          <w:szCs w:val="22"/>
        </w:rPr>
        <w:t>’</w:t>
      </w:r>
      <w:r w:rsidRPr="0001502D">
        <w:rPr>
          <w:rFonts w:ascii="Arial" w:hAnsi="Arial" w:cs="Arial"/>
          <w:sz w:val="22"/>
          <w:szCs w:val="22"/>
        </w:rPr>
        <w:t>élément, la candidature de l</w:t>
      </w:r>
      <w:r w:rsidR="009C104E">
        <w:rPr>
          <w:rFonts w:ascii="Arial" w:hAnsi="Arial" w:cs="Arial"/>
          <w:sz w:val="22"/>
          <w:szCs w:val="22"/>
        </w:rPr>
        <w:t>’</w:t>
      </w:r>
      <w:r w:rsidRPr="0001502D">
        <w:rPr>
          <w:rFonts w:ascii="Arial" w:hAnsi="Arial" w:cs="Arial"/>
          <w:sz w:val="22"/>
          <w:szCs w:val="22"/>
        </w:rPr>
        <w:t>Épiphanie éthiopienne pour inscription sur la Liste du patrimoine culturel immatériel de l</w:t>
      </w:r>
      <w:r w:rsidR="009C104E">
        <w:rPr>
          <w:rFonts w:ascii="Arial" w:hAnsi="Arial" w:cs="Arial"/>
          <w:sz w:val="22"/>
          <w:szCs w:val="22"/>
        </w:rPr>
        <w:t>’</w:t>
      </w:r>
      <w:r w:rsidRPr="0001502D">
        <w:rPr>
          <w:rFonts w:ascii="Arial" w:hAnsi="Arial" w:cs="Arial"/>
          <w:sz w:val="22"/>
          <w:szCs w:val="22"/>
        </w:rPr>
        <w:t>humanité est portée par l</w:t>
      </w:r>
      <w:r w:rsidR="009C104E">
        <w:rPr>
          <w:rFonts w:ascii="Arial" w:hAnsi="Arial" w:cs="Arial"/>
          <w:sz w:val="22"/>
          <w:szCs w:val="22"/>
        </w:rPr>
        <w:t>’</w:t>
      </w:r>
      <w:r w:rsidRPr="0001502D">
        <w:rPr>
          <w:rFonts w:ascii="Arial" w:hAnsi="Arial" w:cs="Arial"/>
          <w:sz w:val="22"/>
          <w:szCs w:val="22"/>
        </w:rPr>
        <w:t>Autorité pour la recherche et la conservation du patrimoine culturel. Plusieurs représentants de l</w:t>
      </w:r>
      <w:r w:rsidR="009C104E">
        <w:rPr>
          <w:rFonts w:ascii="Arial" w:hAnsi="Arial" w:cs="Arial"/>
          <w:sz w:val="22"/>
          <w:szCs w:val="22"/>
        </w:rPr>
        <w:t>’</w:t>
      </w:r>
      <w:r w:rsidRPr="0001502D">
        <w:rPr>
          <w:rFonts w:ascii="Arial" w:hAnsi="Arial" w:cs="Arial"/>
          <w:sz w:val="22"/>
          <w:szCs w:val="22"/>
        </w:rPr>
        <w:t>Église, des groupes ethniques et des communautés religieuses ont exprimé leur consentement libre, préalable et éclairé à cette candidature, tout comme de célèbres praticiens.</w:t>
      </w:r>
    </w:p>
    <w:p w14:paraId="672A2654" w14:textId="32034634" w:rsidR="0001502D" w:rsidRPr="0001502D" w:rsidRDefault="0001502D" w:rsidP="003E13C4">
      <w:pPr>
        <w:tabs>
          <w:tab w:val="left" w:pos="1134"/>
          <w:tab w:val="left" w:pos="2268"/>
        </w:tabs>
        <w:spacing w:before="120" w:after="120"/>
        <w:ind w:left="1134" w:hanging="555"/>
        <w:jc w:val="both"/>
        <w:rPr>
          <w:rFonts w:ascii="Arial" w:hAnsi="Arial" w:cs="Arial"/>
          <w:sz w:val="22"/>
          <w:szCs w:val="22"/>
        </w:rPr>
      </w:pPr>
      <w:r w:rsidRPr="0001502D">
        <w:rPr>
          <w:rFonts w:ascii="Arial" w:hAnsi="Arial" w:cs="Arial"/>
          <w:sz w:val="22"/>
          <w:szCs w:val="22"/>
        </w:rPr>
        <w:t>R.5 :</w:t>
      </w:r>
      <w:r w:rsidRPr="0001502D">
        <w:rPr>
          <w:rFonts w:ascii="Arial" w:hAnsi="Arial" w:cs="Arial"/>
          <w:sz w:val="22"/>
          <w:szCs w:val="22"/>
        </w:rPr>
        <w:tab/>
        <w:t>L</w:t>
      </w:r>
      <w:r w:rsidR="009C104E">
        <w:rPr>
          <w:rFonts w:ascii="Arial" w:hAnsi="Arial" w:cs="Arial"/>
          <w:sz w:val="22"/>
          <w:szCs w:val="22"/>
        </w:rPr>
        <w:t>’</w:t>
      </w:r>
      <w:r w:rsidRPr="0001502D">
        <w:rPr>
          <w:rFonts w:ascii="Arial" w:hAnsi="Arial" w:cs="Arial"/>
          <w:sz w:val="22"/>
          <w:szCs w:val="22"/>
        </w:rPr>
        <w:t>élément figure au Registre national du patrimoine culturel immatériel de l</w:t>
      </w:r>
      <w:r w:rsidR="009C104E">
        <w:rPr>
          <w:rFonts w:ascii="Arial" w:hAnsi="Arial" w:cs="Arial"/>
          <w:sz w:val="22"/>
          <w:szCs w:val="22"/>
        </w:rPr>
        <w:t>’</w:t>
      </w:r>
      <w:r w:rsidRPr="0001502D">
        <w:rPr>
          <w:rFonts w:ascii="Arial" w:hAnsi="Arial" w:cs="Arial"/>
          <w:sz w:val="22"/>
          <w:szCs w:val="22"/>
        </w:rPr>
        <w:t>Éthiopie depuis 2017. L</w:t>
      </w:r>
      <w:r w:rsidR="009C104E">
        <w:rPr>
          <w:rFonts w:ascii="Arial" w:hAnsi="Arial" w:cs="Arial"/>
          <w:sz w:val="22"/>
          <w:szCs w:val="22"/>
        </w:rPr>
        <w:t>’</w:t>
      </w:r>
      <w:r w:rsidRPr="0001502D">
        <w:rPr>
          <w:rFonts w:ascii="Arial" w:hAnsi="Arial" w:cs="Arial"/>
          <w:sz w:val="22"/>
          <w:szCs w:val="22"/>
        </w:rPr>
        <w:t>Autorité pour la recherche et la conservation du patrimoine culturel est l</w:t>
      </w:r>
      <w:r w:rsidR="009C104E">
        <w:rPr>
          <w:rFonts w:ascii="Arial" w:hAnsi="Arial" w:cs="Arial"/>
          <w:sz w:val="22"/>
          <w:szCs w:val="22"/>
        </w:rPr>
        <w:t>’</w:t>
      </w:r>
      <w:r w:rsidRPr="0001502D">
        <w:rPr>
          <w:rFonts w:ascii="Arial" w:hAnsi="Arial" w:cs="Arial"/>
          <w:sz w:val="22"/>
          <w:szCs w:val="22"/>
        </w:rPr>
        <w:t>organisme responsable de la gestion et de la mise à jour de cet inventaire national. Le dossier précise qu</w:t>
      </w:r>
      <w:r w:rsidR="009C104E">
        <w:rPr>
          <w:rFonts w:ascii="Arial" w:hAnsi="Arial" w:cs="Arial"/>
          <w:sz w:val="22"/>
          <w:szCs w:val="22"/>
        </w:rPr>
        <w:t>’</w:t>
      </w:r>
      <w:r w:rsidRPr="0001502D">
        <w:rPr>
          <w:rFonts w:ascii="Arial" w:hAnsi="Arial" w:cs="Arial"/>
          <w:sz w:val="22"/>
          <w:szCs w:val="22"/>
        </w:rPr>
        <w:t>il est mis à jour tous les cinq ans. L</w:t>
      </w:r>
      <w:r w:rsidR="009C104E">
        <w:rPr>
          <w:rFonts w:ascii="Arial" w:hAnsi="Arial" w:cs="Arial"/>
          <w:sz w:val="22"/>
          <w:szCs w:val="22"/>
        </w:rPr>
        <w:t>’</w:t>
      </w:r>
      <w:r w:rsidRPr="0001502D">
        <w:rPr>
          <w:rFonts w:ascii="Arial" w:hAnsi="Arial" w:cs="Arial"/>
          <w:sz w:val="22"/>
          <w:szCs w:val="22"/>
        </w:rPr>
        <w:t>élément a été identifié et décrit avec la participation active de l</w:t>
      </w:r>
      <w:r w:rsidR="009C104E">
        <w:rPr>
          <w:rFonts w:ascii="Arial" w:hAnsi="Arial" w:cs="Arial"/>
          <w:sz w:val="22"/>
          <w:szCs w:val="22"/>
        </w:rPr>
        <w:t>’</w:t>
      </w:r>
      <w:r w:rsidRPr="0001502D">
        <w:rPr>
          <w:rFonts w:ascii="Arial" w:hAnsi="Arial" w:cs="Arial"/>
          <w:sz w:val="22"/>
          <w:szCs w:val="22"/>
        </w:rPr>
        <w:t>Église, des communautés concernées et des détenteurs et praticiens.</w:t>
      </w:r>
    </w:p>
    <w:p w14:paraId="459DD897" w14:textId="0BD694F8" w:rsidR="00E45446" w:rsidRPr="00E45446" w:rsidRDefault="00E45446" w:rsidP="00E45446">
      <w:pPr>
        <w:keepNext/>
        <w:numPr>
          <w:ilvl w:val="1"/>
          <w:numId w:val="36"/>
        </w:numPr>
        <w:pBdr>
          <w:top w:val="nil"/>
          <w:left w:val="nil"/>
          <w:bottom w:val="nil"/>
          <w:right w:val="nil"/>
          <w:between w:val="nil"/>
        </w:pBdr>
        <w:tabs>
          <w:tab w:val="left" w:pos="567"/>
          <w:tab w:val="left" w:pos="1701"/>
          <w:tab w:val="left" w:pos="2268"/>
        </w:tabs>
        <w:spacing w:before="120" w:after="120"/>
        <w:jc w:val="both"/>
        <w:rPr>
          <w:rFonts w:ascii="Arial" w:eastAsia="Arial" w:hAnsi="Arial" w:cs="Arial"/>
          <w:color w:val="000000"/>
          <w:sz w:val="22"/>
          <w:szCs w:val="22"/>
        </w:rPr>
      </w:pPr>
      <w:r w:rsidRPr="00A400B1">
        <w:rPr>
          <w:rFonts w:ascii="Arial" w:eastAsia="Arial" w:hAnsi="Arial" w:cs="Arial"/>
          <w:color w:val="000000"/>
          <w:sz w:val="22"/>
          <w:szCs w:val="22"/>
          <w:u w:val="single"/>
        </w:rPr>
        <w:t>Estime en outre</w:t>
      </w:r>
      <w:r w:rsidRPr="00E27400">
        <w:rPr>
          <w:rFonts w:ascii="Arial" w:eastAsia="Arial" w:hAnsi="Arial" w:cs="Arial"/>
          <w:color w:val="000000"/>
          <w:sz w:val="22"/>
          <w:szCs w:val="22"/>
        </w:rPr>
        <w:t xml:space="preserve"> que</w:t>
      </w:r>
      <w:r w:rsidRPr="00E45446">
        <w:rPr>
          <w:rFonts w:ascii="Arial" w:eastAsia="Arial" w:hAnsi="Arial" w:cs="Arial"/>
          <w:color w:val="000000"/>
          <w:sz w:val="22"/>
          <w:szCs w:val="22"/>
        </w:rPr>
        <w:t>, sur la base de</w:t>
      </w:r>
      <w:r w:rsidR="00E27400">
        <w:rPr>
          <w:rFonts w:ascii="Arial" w:eastAsia="Arial" w:hAnsi="Arial" w:cs="Arial"/>
          <w:color w:val="000000"/>
          <w:sz w:val="22"/>
          <w:szCs w:val="22"/>
        </w:rPr>
        <w:t>s</w:t>
      </w:r>
      <w:r w:rsidRPr="00E45446">
        <w:rPr>
          <w:rFonts w:ascii="Arial" w:eastAsia="Arial" w:hAnsi="Arial" w:cs="Arial"/>
          <w:color w:val="000000"/>
          <w:sz w:val="22"/>
          <w:szCs w:val="22"/>
        </w:rPr>
        <w:t xml:space="preserve"> information</w:t>
      </w:r>
      <w:r w:rsidR="00E27400">
        <w:rPr>
          <w:rFonts w:ascii="Arial" w:eastAsia="Arial" w:hAnsi="Arial" w:cs="Arial"/>
          <w:color w:val="000000"/>
          <w:sz w:val="22"/>
          <w:szCs w:val="22"/>
        </w:rPr>
        <w:t>s</w:t>
      </w:r>
      <w:r w:rsidRPr="00E45446">
        <w:rPr>
          <w:rFonts w:ascii="Arial" w:eastAsia="Arial" w:hAnsi="Arial" w:cs="Arial"/>
          <w:color w:val="000000"/>
          <w:sz w:val="22"/>
          <w:szCs w:val="22"/>
        </w:rPr>
        <w:t xml:space="preserve"> fournie</w:t>
      </w:r>
      <w:r w:rsidR="00E27400">
        <w:rPr>
          <w:rFonts w:ascii="Arial" w:eastAsia="Arial" w:hAnsi="Arial" w:cs="Arial"/>
          <w:color w:val="000000"/>
          <w:sz w:val="22"/>
          <w:szCs w:val="22"/>
        </w:rPr>
        <w:t>s</w:t>
      </w:r>
      <w:r w:rsidRPr="00E45446">
        <w:rPr>
          <w:rFonts w:ascii="Arial" w:eastAsia="Arial" w:hAnsi="Arial" w:cs="Arial"/>
          <w:color w:val="000000"/>
          <w:sz w:val="22"/>
          <w:szCs w:val="22"/>
        </w:rPr>
        <w:t xml:space="preserve"> par l</w:t>
      </w:r>
      <w:r w:rsidR="009C104E">
        <w:rPr>
          <w:rFonts w:ascii="Arial" w:eastAsia="Arial" w:hAnsi="Arial" w:cs="Arial"/>
          <w:color w:val="000000"/>
          <w:sz w:val="22"/>
          <w:szCs w:val="22"/>
        </w:rPr>
        <w:t>’</w:t>
      </w:r>
      <w:r w:rsidRPr="00E45446">
        <w:rPr>
          <w:rFonts w:ascii="Arial" w:eastAsia="Arial" w:hAnsi="Arial" w:cs="Arial"/>
          <w:color w:val="000000"/>
          <w:sz w:val="22"/>
          <w:szCs w:val="22"/>
        </w:rPr>
        <w:t xml:space="preserve">État </w:t>
      </w:r>
      <w:r w:rsidR="00C32102">
        <w:rPr>
          <w:rFonts w:ascii="Arial" w:eastAsia="Arial" w:hAnsi="Arial" w:cs="Arial"/>
          <w:color w:val="000000"/>
          <w:sz w:val="22"/>
          <w:szCs w:val="22"/>
        </w:rPr>
        <w:t xml:space="preserve">partie </w:t>
      </w:r>
      <w:r w:rsidRPr="00E45446">
        <w:rPr>
          <w:rFonts w:ascii="Arial" w:eastAsia="Arial" w:hAnsi="Arial" w:cs="Arial"/>
          <w:color w:val="000000"/>
          <w:sz w:val="22"/>
          <w:szCs w:val="22"/>
        </w:rPr>
        <w:t>au Comité au cours de sa présente session, les critères d</w:t>
      </w:r>
      <w:r w:rsidR="009C104E">
        <w:rPr>
          <w:rFonts w:ascii="Arial" w:eastAsia="Arial" w:hAnsi="Arial" w:cs="Arial"/>
          <w:color w:val="000000"/>
          <w:sz w:val="22"/>
          <w:szCs w:val="22"/>
        </w:rPr>
        <w:t>’</w:t>
      </w:r>
      <w:r w:rsidRPr="00E45446">
        <w:rPr>
          <w:rFonts w:ascii="Arial" w:eastAsia="Arial" w:hAnsi="Arial" w:cs="Arial"/>
          <w:color w:val="000000"/>
          <w:sz w:val="22"/>
          <w:szCs w:val="22"/>
        </w:rPr>
        <w:t>inscription sur la Liste représentative du patrimoine culturel immatériel de l</w:t>
      </w:r>
      <w:r w:rsidR="009C104E">
        <w:rPr>
          <w:rFonts w:ascii="Arial" w:eastAsia="Arial" w:hAnsi="Arial" w:cs="Arial"/>
          <w:color w:val="000000"/>
          <w:sz w:val="22"/>
          <w:szCs w:val="22"/>
        </w:rPr>
        <w:t>’</w:t>
      </w:r>
      <w:r w:rsidRPr="00E45446">
        <w:rPr>
          <w:rFonts w:ascii="Arial" w:eastAsia="Arial" w:hAnsi="Arial" w:cs="Arial"/>
          <w:color w:val="000000"/>
          <w:sz w:val="22"/>
          <w:szCs w:val="22"/>
        </w:rPr>
        <w:t xml:space="preserve">humanité suivants sont satisfaits : </w:t>
      </w:r>
    </w:p>
    <w:p w14:paraId="538AE86E" w14:textId="3EDF9535" w:rsidR="00E45446" w:rsidRPr="00E45446" w:rsidRDefault="00E45446" w:rsidP="00A400B1">
      <w:pPr>
        <w:keepNext/>
        <w:pBdr>
          <w:top w:val="nil"/>
          <w:left w:val="nil"/>
          <w:bottom w:val="nil"/>
          <w:right w:val="nil"/>
          <w:between w:val="nil"/>
        </w:pBdr>
        <w:tabs>
          <w:tab w:val="left" w:pos="1134"/>
          <w:tab w:val="left" w:pos="2268"/>
        </w:tabs>
        <w:spacing w:before="120" w:after="120"/>
        <w:ind w:left="1134" w:hanging="567"/>
        <w:jc w:val="both"/>
        <w:rPr>
          <w:rFonts w:ascii="Arial" w:eastAsia="Arial" w:hAnsi="Arial" w:cs="Arial"/>
          <w:color w:val="000000"/>
          <w:sz w:val="22"/>
          <w:szCs w:val="22"/>
        </w:rPr>
      </w:pPr>
      <w:r w:rsidRPr="00E45446">
        <w:rPr>
          <w:rFonts w:ascii="Arial" w:eastAsia="Arial" w:hAnsi="Arial" w:cs="Arial"/>
          <w:color w:val="000000"/>
          <w:sz w:val="22"/>
          <w:szCs w:val="22"/>
        </w:rPr>
        <w:t>R.</w:t>
      </w:r>
      <w:r w:rsidR="00FF6A7E" w:rsidRPr="00E45446">
        <w:rPr>
          <w:rFonts w:ascii="Arial" w:eastAsia="Arial" w:hAnsi="Arial" w:cs="Arial"/>
          <w:color w:val="000000"/>
          <w:sz w:val="22"/>
          <w:szCs w:val="22"/>
        </w:rPr>
        <w:t>2</w:t>
      </w:r>
      <w:r w:rsidR="00FF6A7E">
        <w:rPr>
          <w:rFonts w:ascii="Arial" w:eastAsia="Arial" w:hAnsi="Arial" w:cs="Arial"/>
          <w:color w:val="000000"/>
          <w:sz w:val="22"/>
          <w:szCs w:val="22"/>
        </w:rPr>
        <w:t> </w:t>
      </w:r>
      <w:r w:rsidRPr="00E45446">
        <w:rPr>
          <w:rFonts w:ascii="Arial" w:eastAsia="Arial" w:hAnsi="Arial" w:cs="Arial"/>
          <w:color w:val="000000"/>
          <w:sz w:val="22"/>
          <w:szCs w:val="22"/>
        </w:rPr>
        <w:t>:</w:t>
      </w:r>
      <w:r w:rsidR="00FF6A7E" w:rsidRPr="00904C0F">
        <w:rPr>
          <w:rFonts w:ascii="Arial" w:hAnsi="Arial" w:cs="Arial"/>
          <w:sz w:val="22"/>
          <w:szCs w:val="22"/>
        </w:rPr>
        <w:tab/>
      </w:r>
      <w:r w:rsidRPr="00E45446">
        <w:rPr>
          <w:rFonts w:ascii="Arial" w:eastAsia="Arial" w:hAnsi="Arial" w:cs="Arial"/>
          <w:color w:val="000000"/>
          <w:sz w:val="22"/>
          <w:szCs w:val="22"/>
        </w:rPr>
        <w:t>L</w:t>
      </w:r>
      <w:r w:rsidR="009C104E">
        <w:rPr>
          <w:rFonts w:ascii="Arial" w:eastAsia="Arial" w:hAnsi="Arial" w:cs="Arial"/>
          <w:color w:val="000000"/>
          <w:sz w:val="22"/>
          <w:szCs w:val="22"/>
        </w:rPr>
        <w:t>’</w:t>
      </w:r>
      <w:r w:rsidRPr="00E45446">
        <w:rPr>
          <w:rFonts w:ascii="Arial" w:eastAsia="Arial" w:hAnsi="Arial" w:cs="Arial"/>
          <w:color w:val="000000"/>
          <w:sz w:val="22"/>
          <w:szCs w:val="22"/>
        </w:rPr>
        <w:t>inscription de l</w:t>
      </w:r>
      <w:r w:rsidR="009C104E">
        <w:rPr>
          <w:rFonts w:ascii="Arial" w:eastAsia="Arial" w:hAnsi="Arial" w:cs="Arial"/>
          <w:color w:val="000000"/>
          <w:sz w:val="22"/>
          <w:szCs w:val="22"/>
        </w:rPr>
        <w:t>’</w:t>
      </w:r>
      <w:r w:rsidRPr="00E45446">
        <w:rPr>
          <w:rFonts w:ascii="Arial" w:eastAsia="Arial" w:hAnsi="Arial" w:cs="Arial"/>
          <w:color w:val="000000"/>
          <w:sz w:val="22"/>
          <w:szCs w:val="22"/>
        </w:rPr>
        <w:t>Épiphanie éthiopienne contribuerait à assurer la visibilité du patrimoine culturel immatériel en général, en encourageant et en motivant les autres États parties à sauvegarder et promouvoir le patrimoine culturel immatériel d</w:t>
      </w:r>
      <w:r w:rsidR="009C104E">
        <w:rPr>
          <w:rFonts w:ascii="Arial" w:eastAsia="Arial" w:hAnsi="Arial" w:cs="Arial"/>
          <w:color w:val="000000"/>
          <w:sz w:val="22"/>
          <w:szCs w:val="22"/>
        </w:rPr>
        <w:t>’</w:t>
      </w:r>
      <w:r w:rsidRPr="00E45446">
        <w:rPr>
          <w:rFonts w:ascii="Arial" w:eastAsia="Arial" w:hAnsi="Arial" w:cs="Arial"/>
          <w:color w:val="000000"/>
          <w:sz w:val="22"/>
          <w:szCs w:val="22"/>
        </w:rPr>
        <w:t>une manière inclusive et participative. Le dossier indique également que l</w:t>
      </w:r>
      <w:r w:rsidR="009C104E">
        <w:rPr>
          <w:rFonts w:ascii="Arial" w:eastAsia="Arial" w:hAnsi="Arial" w:cs="Arial"/>
          <w:color w:val="000000"/>
          <w:sz w:val="22"/>
          <w:szCs w:val="22"/>
        </w:rPr>
        <w:t>’</w:t>
      </w:r>
      <w:r w:rsidRPr="00E45446">
        <w:rPr>
          <w:rFonts w:ascii="Arial" w:eastAsia="Arial" w:hAnsi="Arial" w:cs="Arial"/>
          <w:color w:val="000000"/>
          <w:sz w:val="22"/>
          <w:szCs w:val="22"/>
        </w:rPr>
        <w:t>inscription renforcera la reconnaissance de la diversité culturelle religieuse</w:t>
      </w:r>
      <w:r w:rsidR="00964D53">
        <w:rPr>
          <w:rFonts w:ascii="Arial" w:eastAsia="Arial" w:hAnsi="Arial" w:cs="Arial"/>
          <w:color w:val="000000"/>
          <w:sz w:val="22"/>
          <w:szCs w:val="22"/>
        </w:rPr>
        <w:t>.</w:t>
      </w:r>
      <w:r w:rsidRPr="00E45446">
        <w:rPr>
          <w:rFonts w:ascii="Arial" w:eastAsia="Arial" w:hAnsi="Arial" w:cs="Arial"/>
          <w:color w:val="000000"/>
          <w:sz w:val="22"/>
          <w:szCs w:val="22"/>
        </w:rPr>
        <w:t xml:space="preserve"> </w:t>
      </w:r>
    </w:p>
    <w:p w14:paraId="262A44E9" w14:textId="7543747B" w:rsidR="0001502D" w:rsidRPr="0001502D" w:rsidRDefault="00964D53" w:rsidP="00A400B1">
      <w:pPr>
        <w:pBdr>
          <w:top w:val="nil"/>
          <w:left w:val="nil"/>
          <w:bottom w:val="nil"/>
          <w:right w:val="nil"/>
          <w:between w:val="nil"/>
        </w:pBdr>
        <w:tabs>
          <w:tab w:val="left" w:pos="1134"/>
          <w:tab w:val="left" w:pos="2268"/>
        </w:tabs>
        <w:spacing w:before="120" w:after="120"/>
        <w:ind w:left="1134" w:hanging="567"/>
        <w:jc w:val="both"/>
        <w:rPr>
          <w:rFonts w:ascii="Arial" w:eastAsia="Arial" w:hAnsi="Arial" w:cs="Arial"/>
          <w:color w:val="000000"/>
          <w:sz w:val="22"/>
          <w:szCs w:val="22"/>
        </w:rPr>
      </w:pPr>
      <w:r>
        <w:rPr>
          <w:rFonts w:ascii="Arial" w:eastAsia="Arial" w:hAnsi="Arial" w:cs="Arial"/>
          <w:color w:val="000000"/>
          <w:sz w:val="22"/>
          <w:szCs w:val="22"/>
        </w:rPr>
        <w:t>R</w:t>
      </w:r>
      <w:r w:rsidR="00E45446" w:rsidRPr="00E45446">
        <w:rPr>
          <w:rFonts w:ascii="Arial" w:eastAsia="Arial" w:hAnsi="Arial" w:cs="Arial"/>
          <w:color w:val="000000"/>
          <w:sz w:val="22"/>
          <w:szCs w:val="22"/>
        </w:rPr>
        <w:t>.3 :</w:t>
      </w:r>
      <w:r>
        <w:rPr>
          <w:rFonts w:ascii="Arial" w:eastAsia="Arial" w:hAnsi="Arial" w:cs="Arial"/>
          <w:color w:val="000000"/>
          <w:sz w:val="22"/>
          <w:szCs w:val="22"/>
        </w:rPr>
        <w:t xml:space="preserve"> </w:t>
      </w:r>
      <w:r w:rsidR="00E45446" w:rsidRPr="00E45446">
        <w:rPr>
          <w:rFonts w:ascii="Arial" w:eastAsia="Arial" w:hAnsi="Arial" w:cs="Arial"/>
          <w:color w:val="000000"/>
          <w:sz w:val="22"/>
          <w:szCs w:val="22"/>
        </w:rPr>
        <w:t>Les mesures de sauvegarde proposées comprennent un ensemble d</w:t>
      </w:r>
      <w:r w:rsidR="009C104E">
        <w:rPr>
          <w:rFonts w:ascii="Arial" w:eastAsia="Arial" w:hAnsi="Arial" w:cs="Arial"/>
          <w:color w:val="000000"/>
          <w:sz w:val="22"/>
          <w:szCs w:val="22"/>
        </w:rPr>
        <w:t>’</w:t>
      </w:r>
      <w:r w:rsidR="00E45446" w:rsidRPr="00E45446">
        <w:rPr>
          <w:rFonts w:ascii="Arial" w:eastAsia="Arial" w:hAnsi="Arial" w:cs="Arial"/>
          <w:color w:val="000000"/>
          <w:sz w:val="22"/>
          <w:szCs w:val="22"/>
        </w:rPr>
        <w:t>activités concrètes et exhaustives visant à assurer la viabilité de l</w:t>
      </w:r>
      <w:r w:rsidR="009C104E">
        <w:rPr>
          <w:rFonts w:ascii="Arial" w:eastAsia="Arial" w:hAnsi="Arial" w:cs="Arial"/>
          <w:color w:val="000000"/>
          <w:sz w:val="22"/>
          <w:szCs w:val="22"/>
        </w:rPr>
        <w:t>’</w:t>
      </w:r>
      <w:r w:rsidR="00E45446" w:rsidRPr="00E45446">
        <w:rPr>
          <w:rFonts w:ascii="Arial" w:eastAsia="Arial" w:hAnsi="Arial" w:cs="Arial"/>
          <w:color w:val="000000"/>
          <w:sz w:val="22"/>
          <w:szCs w:val="22"/>
        </w:rPr>
        <w:t>élément, la priorité étant accordée à la sensibilisation et à la transmission impliquant les membres de la communauté concernés</w:t>
      </w:r>
      <w:r w:rsidR="00E27400">
        <w:rPr>
          <w:rFonts w:ascii="Arial" w:eastAsia="Arial" w:hAnsi="Arial" w:cs="Arial"/>
          <w:color w:val="000000"/>
          <w:sz w:val="22"/>
          <w:szCs w:val="22"/>
        </w:rPr>
        <w:t>,</w:t>
      </w:r>
      <w:r w:rsidR="00E45446" w:rsidRPr="00E45446">
        <w:rPr>
          <w:rFonts w:ascii="Arial" w:eastAsia="Arial" w:hAnsi="Arial" w:cs="Arial"/>
          <w:color w:val="000000"/>
          <w:sz w:val="22"/>
          <w:szCs w:val="22"/>
        </w:rPr>
        <w:t xml:space="preserve"> ainsi qu</w:t>
      </w:r>
      <w:r w:rsidR="009C104E">
        <w:rPr>
          <w:rFonts w:ascii="Arial" w:eastAsia="Arial" w:hAnsi="Arial" w:cs="Arial"/>
          <w:color w:val="000000"/>
          <w:sz w:val="22"/>
          <w:szCs w:val="22"/>
        </w:rPr>
        <w:t>’</w:t>
      </w:r>
      <w:r w:rsidR="00E45446" w:rsidRPr="00E45446">
        <w:rPr>
          <w:rFonts w:ascii="Arial" w:eastAsia="Arial" w:hAnsi="Arial" w:cs="Arial"/>
          <w:color w:val="000000"/>
          <w:sz w:val="22"/>
          <w:szCs w:val="22"/>
        </w:rPr>
        <w:t>au transfert de connaissances vers les jeunes et le public</w:t>
      </w:r>
      <w:r>
        <w:rPr>
          <w:rFonts w:ascii="Arial" w:eastAsia="Arial" w:hAnsi="Arial" w:cs="Arial"/>
          <w:color w:val="000000"/>
          <w:sz w:val="22"/>
          <w:szCs w:val="22"/>
        </w:rPr>
        <w:t>.</w:t>
      </w:r>
      <w:r w:rsidR="00E45446" w:rsidRPr="00E45446">
        <w:rPr>
          <w:rFonts w:ascii="Arial" w:eastAsia="Arial" w:hAnsi="Arial" w:cs="Arial"/>
          <w:color w:val="000000"/>
          <w:sz w:val="22"/>
          <w:szCs w:val="22"/>
        </w:rPr>
        <w:t xml:space="preserve"> </w:t>
      </w:r>
    </w:p>
    <w:p w14:paraId="0B0EE2AB" w14:textId="5BFFC8E9" w:rsidR="00964D53" w:rsidRPr="00A400B1" w:rsidRDefault="00964D53" w:rsidP="00771F30">
      <w:pPr>
        <w:numPr>
          <w:ilvl w:val="1"/>
          <w:numId w:val="36"/>
        </w:numPr>
        <w:pBdr>
          <w:top w:val="nil"/>
          <w:left w:val="nil"/>
          <w:bottom w:val="nil"/>
          <w:right w:val="nil"/>
          <w:between w:val="nil"/>
        </w:pBdr>
        <w:tabs>
          <w:tab w:val="left" w:pos="567"/>
          <w:tab w:val="left" w:pos="2268"/>
        </w:tabs>
        <w:spacing w:before="120" w:after="120"/>
        <w:ind w:left="567"/>
        <w:jc w:val="both"/>
        <w:rPr>
          <w:rFonts w:ascii="Arial" w:eastAsia="Arial" w:hAnsi="Arial" w:cs="Arial"/>
          <w:color w:val="000000"/>
          <w:sz w:val="22"/>
          <w:szCs w:val="22"/>
        </w:rPr>
      </w:pPr>
      <w:r w:rsidRPr="00FF6A7E">
        <w:rPr>
          <w:rFonts w:ascii="Arial" w:eastAsia="Arial" w:hAnsi="Arial" w:cs="Arial"/>
          <w:color w:val="000000"/>
          <w:sz w:val="22"/>
          <w:szCs w:val="22"/>
          <w:u w:val="single"/>
        </w:rPr>
        <w:t>Décide</w:t>
      </w:r>
      <w:r w:rsidRPr="00B932EA">
        <w:rPr>
          <w:rFonts w:ascii="Arial" w:eastAsia="Arial" w:hAnsi="Arial" w:cs="Arial"/>
          <w:color w:val="000000"/>
          <w:sz w:val="22"/>
          <w:szCs w:val="22"/>
          <w:u w:val="single"/>
        </w:rPr>
        <w:t xml:space="preserve"> d</w:t>
      </w:r>
      <w:r w:rsidR="009C104E" w:rsidRPr="00B932EA">
        <w:rPr>
          <w:rFonts w:ascii="Arial" w:eastAsia="Arial" w:hAnsi="Arial" w:cs="Arial"/>
          <w:color w:val="000000"/>
          <w:sz w:val="22"/>
          <w:szCs w:val="22"/>
          <w:u w:val="single"/>
        </w:rPr>
        <w:t>’</w:t>
      </w:r>
      <w:r w:rsidRPr="00B932EA">
        <w:rPr>
          <w:rFonts w:ascii="Arial" w:eastAsia="Arial" w:hAnsi="Arial" w:cs="Arial"/>
          <w:color w:val="000000"/>
          <w:sz w:val="22"/>
          <w:szCs w:val="22"/>
          <w:u w:val="single"/>
        </w:rPr>
        <w:t>inscrire</w:t>
      </w:r>
      <w:r>
        <w:rPr>
          <w:rFonts w:ascii="Arial" w:eastAsia="Arial" w:hAnsi="Arial" w:cs="Arial"/>
          <w:color w:val="000000"/>
          <w:sz w:val="22"/>
          <w:szCs w:val="22"/>
        </w:rPr>
        <w:t xml:space="preserve"> </w:t>
      </w:r>
      <w:r w:rsidRPr="0059737C">
        <w:rPr>
          <w:rFonts w:ascii="Arial" w:hAnsi="Arial" w:cs="Arial"/>
          <w:b/>
          <w:bCs/>
          <w:color w:val="000000"/>
          <w:sz w:val="22"/>
          <w:szCs w:val="22"/>
        </w:rPr>
        <w:t>l</w:t>
      </w:r>
      <w:r w:rsidR="009C104E">
        <w:rPr>
          <w:rFonts w:ascii="Arial" w:hAnsi="Arial" w:cs="Arial"/>
          <w:b/>
          <w:bCs/>
          <w:color w:val="000000"/>
          <w:sz w:val="22"/>
          <w:szCs w:val="22"/>
        </w:rPr>
        <w:t>’</w:t>
      </w:r>
      <w:r w:rsidRPr="0059737C">
        <w:rPr>
          <w:rFonts w:ascii="Arial" w:hAnsi="Arial" w:cs="Arial"/>
          <w:b/>
          <w:bCs/>
          <w:color w:val="000000"/>
          <w:sz w:val="22"/>
          <w:szCs w:val="22"/>
        </w:rPr>
        <w:t>Épiphanie éthiopienne</w:t>
      </w:r>
      <w:r w:rsidRPr="0059737C">
        <w:rPr>
          <w:rFonts w:ascii="Arial" w:hAnsi="Arial" w:cs="Arial"/>
          <w:color w:val="000000"/>
          <w:sz w:val="22"/>
          <w:szCs w:val="22"/>
        </w:rPr>
        <w:t xml:space="preserve"> sur la Liste représentative du patrimoine culturel immatériel de l</w:t>
      </w:r>
      <w:r w:rsidR="009C104E">
        <w:rPr>
          <w:rFonts w:ascii="Arial" w:hAnsi="Arial" w:cs="Arial"/>
          <w:color w:val="000000"/>
          <w:sz w:val="22"/>
          <w:szCs w:val="22"/>
        </w:rPr>
        <w:t>’</w:t>
      </w:r>
      <w:r w:rsidRPr="0059737C">
        <w:rPr>
          <w:rFonts w:ascii="Arial" w:hAnsi="Arial" w:cs="Arial"/>
          <w:color w:val="000000"/>
          <w:sz w:val="22"/>
          <w:szCs w:val="22"/>
        </w:rPr>
        <w:t>humanité</w:t>
      </w:r>
      <w:r>
        <w:rPr>
          <w:rFonts w:ascii="Arial" w:hAnsi="Arial" w:cs="Arial"/>
          <w:color w:val="000000"/>
          <w:sz w:val="22"/>
          <w:szCs w:val="22"/>
        </w:rPr>
        <w:t xml:space="preserve"> ; </w:t>
      </w:r>
    </w:p>
    <w:p w14:paraId="3EA25E56" w14:textId="21F3DEE4" w:rsidR="0001502D" w:rsidRPr="00A400B1" w:rsidRDefault="0001502D" w:rsidP="00771F30">
      <w:pPr>
        <w:numPr>
          <w:ilvl w:val="1"/>
          <w:numId w:val="36"/>
        </w:numPr>
        <w:pBdr>
          <w:top w:val="nil"/>
          <w:left w:val="nil"/>
          <w:bottom w:val="nil"/>
          <w:right w:val="nil"/>
          <w:between w:val="nil"/>
        </w:pBdr>
        <w:tabs>
          <w:tab w:val="left" w:pos="567"/>
          <w:tab w:val="left" w:pos="2268"/>
        </w:tabs>
        <w:spacing w:before="120" w:after="120"/>
        <w:ind w:left="567"/>
        <w:jc w:val="both"/>
        <w:rPr>
          <w:rFonts w:ascii="Arial" w:eastAsia="Arial" w:hAnsi="Arial" w:cs="Arial"/>
          <w:color w:val="000000"/>
          <w:sz w:val="22"/>
          <w:szCs w:val="22"/>
        </w:rPr>
      </w:pPr>
      <w:r w:rsidRPr="0001502D">
        <w:rPr>
          <w:rFonts w:ascii="Arial" w:hAnsi="Arial" w:cs="Arial"/>
          <w:color w:val="000000"/>
          <w:sz w:val="22"/>
          <w:szCs w:val="22"/>
          <w:u w:val="single"/>
        </w:rPr>
        <w:t>Encourage</w:t>
      </w:r>
      <w:r w:rsidRPr="0001502D">
        <w:rPr>
          <w:rFonts w:ascii="Arial" w:hAnsi="Arial" w:cs="Arial"/>
          <w:color w:val="000000"/>
          <w:sz w:val="22"/>
          <w:szCs w:val="22"/>
        </w:rPr>
        <w:t xml:space="preserve"> l</w:t>
      </w:r>
      <w:r w:rsidR="009C104E">
        <w:rPr>
          <w:rFonts w:ascii="Arial" w:hAnsi="Arial" w:cs="Arial"/>
          <w:color w:val="000000"/>
          <w:sz w:val="22"/>
          <w:szCs w:val="22"/>
        </w:rPr>
        <w:t>’</w:t>
      </w:r>
      <w:r w:rsidRPr="0001502D">
        <w:rPr>
          <w:rFonts w:ascii="Arial" w:hAnsi="Arial" w:cs="Arial"/>
          <w:color w:val="000000"/>
          <w:sz w:val="22"/>
          <w:szCs w:val="22"/>
        </w:rPr>
        <w:t xml:space="preserve">État partie à accorder une attention particulière aux </w:t>
      </w:r>
      <w:r w:rsidR="00432A81">
        <w:rPr>
          <w:rFonts w:ascii="Arial" w:hAnsi="Arial" w:cs="Arial"/>
          <w:color w:val="000000"/>
          <w:sz w:val="22"/>
          <w:szCs w:val="22"/>
        </w:rPr>
        <w:t xml:space="preserve">impacts </w:t>
      </w:r>
      <w:r w:rsidR="00E45446">
        <w:rPr>
          <w:rFonts w:ascii="Arial" w:hAnsi="Arial" w:cs="Arial"/>
          <w:color w:val="000000"/>
          <w:sz w:val="22"/>
          <w:szCs w:val="22"/>
        </w:rPr>
        <w:t>possibles</w:t>
      </w:r>
      <w:r w:rsidRPr="0001502D">
        <w:rPr>
          <w:rFonts w:ascii="Arial" w:hAnsi="Arial" w:cs="Arial"/>
          <w:color w:val="000000"/>
          <w:sz w:val="22"/>
          <w:szCs w:val="22"/>
        </w:rPr>
        <w:t xml:space="preserve"> du tourisme et de la commercialisation excessive sur la sauvegarde de l</w:t>
      </w:r>
      <w:r w:rsidR="009C104E">
        <w:rPr>
          <w:rFonts w:ascii="Arial" w:hAnsi="Arial" w:cs="Arial"/>
          <w:color w:val="000000"/>
          <w:sz w:val="22"/>
          <w:szCs w:val="22"/>
        </w:rPr>
        <w:t>’</w:t>
      </w:r>
      <w:r w:rsidRPr="0001502D">
        <w:rPr>
          <w:rFonts w:ascii="Arial" w:hAnsi="Arial" w:cs="Arial"/>
          <w:color w:val="000000"/>
          <w:sz w:val="22"/>
          <w:szCs w:val="22"/>
        </w:rPr>
        <w:t>élément afin d</w:t>
      </w:r>
      <w:r w:rsidR="009C104E">
        <w:rPr>
          <w:rFonts w:ascii="Arial" w:hAnsi="Arial" w:cs="Arial"/>
          <w:color w:val="000000"/>
          <w:sz w:val="22"/>
          <w:szCs w:val="22"/>
        </w:rPr>
        <w:t>’</w:t>
      </w:r>
      <w:r w:rsidRPr="0001502D">
        <w:rPr>
          <w:rFonts w:ascii="Arial" w:hAnsi="Arial" w:cs="Arial"/>
          <w:color w:val="000000"/>
          <w:sz w:val="22"/>
          <w:szCs w:val="22"/>
        </w:rPr>
        <w:t>éviter sa décontextualisation et l</w:t>
      </w:r>
      <w:r w:rsidR="009C104E">
        <w:rPr>
          <w:rFonts w:ascii="Arial" w:hAnsi="Arial" w:cs="Arial"/>
          <w:color w:val="000000"/>
          <w:sz w:val="22"/>
          <w:szCs w:val="22"/>
        </w:rPr>
        <w:t>’</w:t>
      </w:r>
      <w:r w:rsidRPr="0001502D">
        <w:rPr>
          <w:rFonts w:ascii="Arial" w:hAnsi="Arial" w:cs="Arial"/>
          <w:color w:val="000000"/>
          <w:sz w:val="22"/>
          <w:szCs w:val="22"/>
          <w:u w:val="single"/>
        </w:rPr>
        <w:t>invite</w:t>
      </w:r>
      <w:r w:rsidRPr="00B932EA">
        <w:rPr>
          <w:rFonts w:ascii="Arial" w:hAnsi="Arial" w:cs="Arial"/>
          <w:color w:val="000000"/>
          <w:sz w:val="22"/>
          <w:szCs w:val="22"/>
        </w:rPr>
        <w:t xml:space="preserve"> </w:t>
      </w:r>
      <w:r w:rsidRPr="0001502D">
        <w:rPr>
          <w:rFonts w:ascii="Arial" w:hAnsi="Arial" w:cs="Arial"/>
          <w:color w:val="000000"/>
          <w:sz w:val="22"/>
          <w:szCs w:val="22"/>
        </w:rPr>
        <w:t>à adopter des mesures de sauvegarde tenant compte de tous les risques liés à l</w:t>
      </w:r>
      <w:r w:rsidR="009C104E">
        <w:rPr>
          <w:rFonts w:ascii="Arial" w:hAnsi="Arial" w:cs="Arial"/>
          <w:color w:val="000000"/>
          <w:sz w:val="22"/>
          <w:szCs w:val="22"/>
        </w:rPr>
        <w:t>’</w:t>
      </w:r>
      <w:r w:rsidRPr="0001502D">
        <w:rPr>
          <w:rFonts w:ascii="Arial" w:hAnsi="Arial" w:cs="Arial"/>
          <w:color w:val="000000"/>
          <w:sz w:val="22"/>
          <w:szCs w:val="22"/>
        </w:rPr>
        <w:t xml:space="preserve">essor du tourisme et </w:t>
      </w:r>
      <w:sdt>
        <w:sdtPr>
          <w:rPr>
            <w:rFonts w:ascii="Arial" w:hAnsi="Arial" w:cs="Arial"/>
            <w:sz w:val="22"/>
            <w:szCs w:val="22"/>
          </w:rPr>
          <w:tag w:val="goog_rdk_44"/>
          <w:id w:val="1715619948"/>
        </w:sdtPr>
        <w:sdtEndPr/>
        <w:sdtContent/>
      </w:sdt>
      <w:r w:rsidRPr="0001502D">
        <w:rPr>
          <w:rFonts w:ascii="Arial" w:hAnsi="Arial" w:cs="Arial"/>
          <w:color w:val="000000"/>
          <w:sz w:val="22"/>
          <w:szCs w:val="22"/>
        </w:rPr>
        <w:t>à l</w:t>
      </w:r>
      <w:r w:rsidR="009C104E">
        <w:rPr>
          <w:rFonts w:ascii="Arial" w:hAnsi="Arial" w:cs="Arial"/>
          <w:color w:val="000000"/>
          <w:sz w:val="22"/>
          <w:szCs w:val="22"/>
        </w:rPr>
        <w:t>’</w:t>
      </w:r>
      <w:r w:rsidRPr="0001502D">
        <w:rPr>
          <w:rFonts w:ascii="Arial" w:hAnsi="Arial" w:cs="Arial"/>
          <w:color w:val="000000"/>
          <w:sz w:val="22"/>
          <w:szCs w:val="22"/>
        </w:rPr>
        <w:t>augmentation du nombre de visiteurs ;</w:t>
      </w:r>
    </w:p>
    <w:p w14:paraId="20ED8FC6" w14:textId="2224F051" w:rsidR="00E45446" w:rsidRPr="0001502D" w:rsidRDefault="00E45446" w:rsidP="00771F30">
      <w:pPr>
        <w:numPr>
          <w:ilvl w:val="1"/>
          <w:numId w:val="36"/>
        </w:numPr>
        <w:pBdr>
          <w:top w:val="nil"/>
          <w:left w:val="nil"/>
          <w:bottom w:val="nil"/>
          <w:right w:val="nil"/>
          <w:between w:val="nil"/>
        </w:pBdr>
        <w:tabs>
          <w:tab w:val="left" w:pos="567"/>
          <w:tab w:val="left" w:pos="2268"/>
        </w:tabs>
        <w:spacing w:before="120" w:after="120"/>
        <w:ind w:left="567"/>
        <w:jc w:val="both"/>
        <w:rPr>
          <w:rFonts w:ascii="Arial" w:eastAsia="Arial" w:hAnsi="Arial" w:cs="Arial"/>
          <w:color w:val="000000"/>
          <w:sz w:val="22"/>
          <w:szCs w:val="22"/>
        </w:rPr>
      </w:pPr>
      <w:r w:rsidRPr="00C75F66">
        <w:rPr>
          <w:rFonts w:ascii="Arial" w:eastAsia="Arial" w:hAnsi="Arial" w:cs="Arial"/>
          <w:color w:val="000000"/>
          <w:sz w:val="22"/>
          <w:szCs w:val="22"/>
          <w:u w:val="single"/>
        </w:rPr>
        <w:t>Rappelle</w:t>
      </w:r>
      <w:r w:rsidRPr="00CB5BFA">
        <w:rPr>
          <w:rFonts w:ascii="Arial" w:eastAsia="Arial" w:hAnsi="Arial" w:cs="Arial"/>
          <w:color w:val="000000"/>
          <w:sz w:val="22"/>
          <w:szCs w:val="22"/>
        </w:rPr>
        <w:t xml:space="preserve"> à l</w:t>
      </w:r>
      <w:r w:rsidR="009C104E">
        <w:rPr>
          <w:rFonts w:ascii="Arial" w:eastAsia="Arial" w:hAnsi="Arial" w:cs="Arial"/>
          <w:color w:val="000000"/>
          <w:sz w:val="22"/>
          <w:szCs w:val="22"/>
        </w:rPr>
        <w:t>’</w:t>
      </w:r>
      <w:r w:rsidRPr="00CB5BFA">
        <w:rPr>
          <w:rFonts w:ascii="Arial" w:eastAsia="Arial" w:hAnsi="Arial" w:cs="Arial"/>
          <w:color w:val="000000"/>
          <w:sz w:val="22"/>
          <w:szCs w:val="22"/>
        </w:rPr>
        <w:t>Etat partie que le caractère dynamique et vivant du patrimoine culturel immatériel doit être constamment respect</w:t>
      </w:r>
      <w:r w:rsidR="00C32102">
        <w:rPr>
          <w:rFonts w:ascii="Arial" w:eastAsia="Arial" w:hAnsi="Arial" w:cs="Arial"/>
          <w:color w:val="000000"/>
          <w:sz w:val="22"/>
          <w:szCs w:val="22"/>
        </w:rPr>
        <w:t xml:space="preserve">é ; </w:t>
      </w:r>
    </w:p>
    <w:p w14:paraId="7609E2DA" w14:textId="0BADE142" w:rsidR="0001502D" w:rsidRPr="0001502D" w:rsidRDefault="0001502D" w:rsidP="00771F30">
      <w:pPr>
        <w:numPr>
          <w:ilvl w:val="1"/>
          <w:numId w:val="36"/>
        </w:numPr>
        <w:pBdr>
          <w:top w:val="nil"/>
          <w:left w:val="nil"/>
          <w:bottom w:val="nil"/>
          <w:right w:val="nil"/>
          <w:between w:val="nil"/>
        </w:pBdr>
        <w:tabs>
          <w:tab w:val="left" w:pos="567"/>
          <w:tab w:val="left" w:pos="2268"/>
        </w:tabs>
        <w:spacing w:before="120" w:after="120"/>
        <w:ind w:left="567" w:hanging="578"/>
        <w:jc w:val="both"/>
        <w:rPr>
          <w:rFonts w:ascii="Arial" w:eastAsia="Arial" w:hAnsi="Arial" w:cs="Arial"/>
          <w:color w:val="000000"/>
          <w:sz w:val="22"/>
          <w:szCs w:val="22"/>
        </w:rPr>
      </w:pPr>
      <w:r w:rsidRPr="00E27400">
        <w:rPr>
          <w:rFonts w:ascii="Arial" w:hAnsi="Arial" w:cs="Arial"/>
          <w:color w:val="000000"/>
          <w:sz w:val="22"/>
          <w:szCs w:val="22"/>
          <w:u w:val="single"/>
        </w:rPr>
        <w:t>Rappelle</w:t>
      </w:r>
      <w:r w:rsidR="00E45446" w:rsidRPr="00E27400">
        <w:rPr>
          <w:rFonts w:ascii="Arial" w:hAnsi="Arial" w:cs="Arial"/>
          <w:color w:val="000000"/>
          <w:sz w:val="22"/>
          <w:szCs w:val="22"/>
          <w:u w:val="single"/>
        </w:rPr>
        <w:t xml:space="preserve"> </w:t>
      </w:r>
      <w:r w:rsidR="00C32102" w:rsidRPr="00A400B1">
        <w:rPr>
          <w:rFonts w:ascii="Arial" w:hAnsi="Arial" w:cs="Arial"/>
          <w:color w:val="000000"/>
          <w:sz w:val="22"/>
          <w:szCs w:val="22"/>
          <w:u w:val="single"/>
        </w:rPr>
        <w:t>également</w:t>
      </w:r>
      <w:r w:rsidR="00E45446" w:rsidRPr="00A400B1">
        <w:rPr>
          <w:rFonts w:ascii="Arial" w:hAnsi="Arial" w:cs="Arial"/>
          <w:color w:val="000000"/>
          <w:sz w:val="22"/>
          <w:szCs w:val="22"/>
        </w:rPr>
        <w:t xml:space="preserve"> </w:t>
      </w:r>
      <w:r w:rsidRPr="0001502D">
        <w:rPr>
          <w:rFonts w:ascii="Arial" w:hAnsi="Arial" w:cs="Arial"/>
          <w:color w:val="000000"/>
          <w:sz w:val="22"/>
          <w:szCs w:val="22"/>
        </w:rPr>
        <w:t>à l</w:t>
      </w:r>
      <w:r w:rsidR="009C104E">
        <w:rPr>
          <w:rFonts w:ascii="Arial" w:hAnsi="Arial" w:cs="Arial"/>
          <w:color w:val="000000"/>
          <w:sz w:val="22"/>
          <w:szCs w:val="22"/>
        </w:rPr>
        <w:t>’</w:t>
      </w:r>
      <w:r w:rsidRPr="0001502D">
        <w:rPr>
          <w:rFonts w:ascii="Arial" w:hAnsi="Arial" w:cs="Arial"/>
          <w:color w:val="000000"/>
          <w:sz w:val="22"/>
          <w:szCs w:val="22"/>
        </w:rPr>
        <w:t>État partie que les approches descendantes susceptibles d</w:t>
      </w:r>
      <w:r w:rsidR="009C104E">
        <w:rPr>
          <w:rFonts w:ascii="Arial" w:hAnsi="Arial" w:cs="Arial"/>
          <w:color w:val="000000"/>
          <w:sz w:val="22"/>
          <w:szCs w:val="22"/>
        </w:rPr>
        <w:t>’</w:t>
      </w:r>
      <w:r w:rsidRPr="0001502D">
        <w:rPr>
          <w:rFonts w:ascii="Arial" w:hAnsi="Arial" w:cs="Arial"/>
          <w:color w:val="000000"/>
          <w:sz w:val="22"/>
          <w:szCs w:val="22"/>
        </w:rPr>
        <w:t>influer sur l</w:t>
      </w:r>
      <w:r w:rsidR="009C104E">
        <w:rPr>
          <w:rFonts w:ascii="Arial" w:hAnsi="Arial" w:cs="Arial"/>
          <w:color w:val="000000"/>
          <w:sz w:val="22"/>
          <w:szCs w:val="22"/>
        </w:rPr>
        <w:t>’</w:t>
      </w:r>
      <w:r w:rsidRPr="0001502D">
        <w:rPr>
          <w:rFonts w:ascii="Arial" w:hAnsi="Arial" w:cs="Arial"/>
          <w:color w:val="000000"/>
          <w:sz w:val="22"/>
          <w:szCs w:val="22"/>
        </w:rPr>
        <w:t>organisation traditionnelle et spontanée du patrimoine culturel immatériel ne sont pas conformes à l</w:t>
      </w:r>
      <w:r w:rsidR="009C104E">
        <w:rPr>
          <w:rFonts w:ascii="Arial" w:hAnsi="Arial" w:cs="Arial"/>
          <w:color w:val="000000"/>
          <w:sz w:val="22"/>
          <w:szCs w:val="22"/>
        </w:rPr>
        <w:t>’</w:t>
      </w:r>
      <w:r w:rsidRPr="0001502D">
        <w:rPr>
          <w:rFonts w:ascii="Arial" w:hAnsi="Arial" w:cs="Arial"/>
          <w:color w:val="000000"/>
          <w:sz w:val="22"/>
          <w:szCs w:val="22"/>
        </w:rPr>
        <w:t>esprit de la Convention.</w:t>
      </w:r>
    </w:p>
    <w:p w14:paraId="7450CEB0" w14:textId="603320FD" w:rsidR="0001502D" w:rsidRPr="0001502D" w:rsidRDefault="0001502D" w:rsidP="00B932EA">
      <w:pPr>
        <w:keepNext/>
        <w:spacing w:before="360" w:after="120"/>
        <w:outlineLvl w:val="1"/>
        <w:rPr>
          <w:rFonts w:ascii="Arial" w:hAnsi="Arial" w:cs="Arial"/>
          <w:bCs/>
          <w:iCs/>
          <w:sz w:val="22"/>
          <w:szCs w:val="22"/>
        </w:rPr>
      </w:pPr>
      <w:bookmarkStart w:id="16" w:name="Decision_10b12"/>
      <w:r w:rsidRPr="0001502D">
        <w:rPr>
          <w:rFonts w:ascii="Arial" w:hAnsi="Arial" w:cs="Arial"/>
          <w:b/>
          <w:bCs/>
          <w:iCs/>
          <w:sz w:val="22"/>
          <w:szCs w:val="22"/>
        </w:rPr>
        <w:t>DÉCISION 14.COM 10.b.12</w:t>
      </w:r>
    </w:p>
    <w:bookmarkEnd w:id="16"/>
    <w:p w14:paraId="5B161BC4" w14:textId="77777777" w:rsidR="0001502D" w:rsidRPr="0001502D" w:rsidRDefault="0001502D">
      <w:pPr>
        <w:keepNext/>
        <w:pBdr>
          <w:top w:val="nil"/>
          <w:left w:val="nil"/>
          <w:bottom w:val="nil"/>
          <w:right w:val="nil"/>
          <w:between w:val="nil"/>
        </w:pBdr>
        <w:tabs>
          <w:tab w:val="left" w:pos="567"/>
          <w:tab w:val="left" w:pos="1134"/>
          <w:tab w:val="left" w:pos="1701"/>
          <w:tab w:val="left" w:pos="2268"/>
        </w:tabs>
        <w:spacing w:before="120" w:after="120"/>
        <w:jc w:val="both"/>
        <w:rPr>
          <w:rFonts w:ascii="Arial" w:eastAsia="Arial" w:hAnsi="Arial" w:cs="Arial"/>
          <w:color w:val="000000"/>
          <w:sz w:val="22"/>
          <w:szCs w:val="22"/>
        </w:rPr>
      </w:pPr>
      <w:r w:rsidRPr="0001502D">
        <w:rPr>
          <w:rFonts w:ascii="Arial" w:hAnsi="Arial" w:cs="Arial"/>
          <w:color w:val="000000"/>
          <w:sz w:val="22"/>
          <w:szCs w:val="22"/>
        </w:rPr>
        <w:t>Le Comité,</w:t>
      </w:r>
    </w:p>
    <w:p w14:paraId="7A340258" w14:textId="4B6276A6" w:rsidR="0001502D" w:rsidRPr="0001502D" w:rsidRDefault="0001502D" w:rsidP="00B932EA">
      <w:pPr>
        <w:keepNext/>
        <w:numPr>
          <w:ilvl w:val="1"/>
          <w:numId w:val="37"/>
        </w:numPr>
        <w:pBdr>
          <w:top w:val="nil"/>
          <w:left w:val="nil"/>
          <w:bottom w:val="nil"/>
          <w:right w:val="nil"/>
          <w:between w:val="nil"/>
        </w:pBdr>
        <w:tabs>
          <w:tab w:val="left" w:pos="567"/>
          <w:tab w:val="left" w:pos="1701"/>
          <w:tab w:val="left" w:pos="2268"/>
        </w:tabs>
        <w:spacing w:before="120" w:after="120"/>
        <w:ind w:left="567"/>
        <w:jc w:val="both"/>
        <w:rPr>
          <w:rFonts w:ascii="Arial" w:eastAsia="Arial" w:hAnsi="Arial" w:cs="Arial"/>
          <w:color w:val="000000"/>
          <w:sz w:val="22"/>
          <w:szCs w:val="22"/>
        </w:rPr>
      </w:pPr>
      <w:r w:rsidRPr="0001502D">
        <w:rPr>
          <w:rFonts w:ascii="Arial" w:hAnsi="Arial" w:cs="Arial"/>
          <w:color w:val="000000"/>
          <w:sz w:val="22"/>
          <w:szCs w:val="22"/>
          <w:u w:val="single"/>
        </w:rPr>
        <w:t>Prend note</w:t>
      </w:r>
      <w:r w:rsidRPr="0001502D">
        <w:rPr>
          <w:rFonts w:ascii="Arial" w:hAnsi="Arial" w:cs="Arial"/>
          <w:color w:val="000000"/>
          <w:sz w:val="22"/>
          <w:szCs w:val="22"/>
        </w:rPr>
        <w:t xml:space="preserve"> que la France, l</w:t>
      </w:r>
      <w:r w:rsidR="009C104E">
        <w:rPr>
          <w:rFonts w:ascii="Arial" w:hAnsi="Arial" w:cs="Arial"/>
          <w:color w:val="000000"/>
          <w:sz w:val="22"/>
          <w:szCs w:val="22"/>
        </w:rPr>
        <w:t>’</w:t>
      </w:r>
      <w:r w:rsidRPr="0001502D">
        <w:rPr>
          <w:rFonts w:ascii="Arial" w:hAnsi="Arial" w:cs="Arial"/>
          <w:color w:val="000000"/>
          <w:sz w:val="22"/>
          <w:szCs w:val="22"/>
        </w:rPr>
        <w:t xml:space="preserve">Italie et la Suisse ont proposé la candidature de </w:t>
      </w:r>
      <w:r w:rsidRPr="0001502D">
        <w:rPr>
          <w:rFonts w:ascii="Arial" w:hAnsi="Arial" w:cs="Arial"/>
          <w:b/>
          <w:bCs/>
          <w:color w:val="000000"/>
          <w:sz w:val="22"/>
          <w:szCs w:val="22"/>
        </w:rPr>
        <w:t>l</w:t>
      </w:r>
      <w:r w:rsidR="009C104E">
        <w:rPr>
          <w:rFonts w:ascii="Arial" w:hAnsi="Arial" w:cs="Arial"/>
          <w:b/>
          <w:bCs/>
          <w:color w:val="000000"/>
          <w:sz w:val="22"/>
          <w:szCs w:val="22"/>
        </w:rPr>
        <w:t>’</w:t>
      </w:r>
      <w:r w:rsidRPr="0001502D">
        <w:rPr>
          <w:rFonts w:ascii="Arial" w:hAnsi="Arial" w:cs="Arial"/>
          <w:b/>
          <w:bCs/>
          <w:color w:val="000000"/>
          <w:sz w:val="22"/>
          <w:szCs w:val="22"/>
        </w:rPr>
        <w:t>alpinisme</w:t>
      </w:r>
      <w:r w:rsidRPr="0001502D">
        <w:rPr>
          <w:rFonts w:ascii="Arial" w:hAnsi="Arial" w:cs="Arial"/>
          <w:color w:val="000000"/>
          <w:sz w:val="22"/>
          <w:szCs w:val="22"/>
        </w:rPr>
        <w:t xml:space="preserve"> (n° 01471) pour inscription sur la Liste représentative du patrimoine culturel immatériel de l</w:t>
      </w:r>
      <w:r w:rsidR="009C104E">
        <w:rPr>
          <w:rFonts w:ascii="Arial" w:hAnsi="Arial" w:cs="Arial"/>
          <w:color w:val="000000"/>
          <w:sz w:val="22"/>
          <w:szCs w:val="22"/>
        </w:rPr>
        <w:t>’</w:t>
      </w:r>
      <w:r w:rsidRPr="0001502D">
        <w:rPr>
          <w:rFonts w:ascii="Arial" w:hAnsi="Arial" w:cs="Arial"/>
          <w:color w:val="000000"/>
          <w:sz w:val="22"/>
          <w:szCs w:val="22"/>
        </w:rPr>
        <w:t>humanité :</w:t>
      </w:r>
    </w:p>
    <w:p w14:paraId="384AE97F" w14:textId="582F3A62" w:rsidR="0001502D" w:rsidRPr="0001502D" w:rsidRDefault="0001502D" w:rsidP="003E13C4">
      <w:pPr>
        <w:tabs>
          <w:tab w:val="left" w:pos="567"/>
          <w:tab w:val="left" w:pos="1701"/>
          <w:tab w:val="left" w:pos="2268"/>
        </w:tabs>
        <w:spacing w:before="120" w:after="120"/>
        <w:ind w:left="567"/>
        <w:jc w:val="both"/>
        <w:rPr>
          <w:rFonts w:ascii="Arial" w:hAnsi="Arial" w:cs="Arial"/>
          <w:sz w:val="22"/>
          <w:szCs w:val="22"/>
        </w:rPr>
      </w:pPr>
      <w:r w:rsidRPr="0001502D">
        <w:rPr>
          <w:rFonts w:ascii="Arial" w:hAnsi="Arial" w:cs="Arial"/>
          <w:sz w:val="22"/>
          <w:szCs w:val="22"/>
        </w:rPr>
        <w:t>L</w:t>
      </w:r>
      <w:r w:rsidR="009C104E">
        <w:rPr>
          <w:rFonts w:ascii="Arial" w:hAnsi="Arial" w:cs="Arial"/>
          <w:sz w:val="22"/>
          <w:szCs w:val="22"/>
        </w:rPr>
        <w:t>’</w:t>
      </w:r>
      <w:r w:rsidRPr="0001502D">
        <w:rPr>
          <w:rFonts w:ascii="Arial" w:hAnsi="Arial" w:cs="Arial"/>
          <w:sz w:val="22"/>
          <w:szCs w:val="22"/>
        </w:rPr>
        <w:t>alpinisme est l</w:t>
      </w:r>
      <w:r w:rsidR="009C104E">
        <w:rPr>
          <w:rFonts w:ascii="Arial" w:hAnsi="Arial" w:cs="Arial"/>
          <w:sz w:val="22"/>
          <w:szCs w:val="22"/>
        </w:rPr>
        <w:t>’</w:t>
      </w:r>
      <w:r w:rsidRPr="0001502D">
        <w:rPr>
          <w:rFonts w:ascii="Arial" w:hAnsi="Arial" w:cs="Arial"/>
          <w:sz w:val="22"/>
          <w:szCs w:val="22"/>
        </w:rPr>
        <w:t>art de gravir des sommets et des parois en haute montagne, en toutes saisons, en terrain rocheux ou glaciaire. Il fait appel à des capacités physiques, techniques et intellectuelles et se pratique en utilisant des techniques adaptées, du matériel et des outils très spécifiques comme les piolets et les crampons. Il s</w:t>
      </w:r>
      <w:r w:rsidR="009C104E">
        <w:rPr>
          <w:rFonts w:ascii="Arial" w:hAnsi="Arial" w:cs="Arial"/>
          <w:sz w:val="22"/>
          <w:szCs w:val="22"/>
        </w:rPr>
        <w:t>’</w:t>
      </w:r>
      <w:r w:rsidRPr="0001502D">
        <w:rPr>
          <w:rFonts w:ascii="Arial" w:hAnsi="Arial" w:cs="Arial"/>
          <w:sz w:val="22"/>
          <w:szCs w:val="22"/>
        </w:rPr>
        <w:t>agit d</w:t>
      </w:r>
      <w:r w:rsidR="009C104E">
        <w:rPr>
          <w:rFonts w:ascii="Arial" w:hAnsi="Arial" w:cs="Arial"/>
          <w:sz w:val="22"/>
          <w:szCs w:val="22"/>
        </w:rPr>
        <w:t>’</w:t>
      </w:r>
      <w:r w:rsidRPr="0001502D">
        <w:rPr>
          <w:rFonts w:ascii="Arial" w:hAnsi="Arial" w:cs="Arial"/>
          <w:sz w:val="22"/>
          <w:szCs w:val="22"/>
        </w:rPr>
        <w:t>une pratique physique traditionnelle qui se caractérise par une culture partagée, regroupant la connaissance de l</w:t>
      </w:r>
      <w:r w:rsidR="009C104E">
        <w:rPr>
          <w:rFonts w:ascii="Arial" w:hAnsi="Arial" w:cs="Arial"/>
          <w:sz w:val="22"/>
          <w:szCs w:val="22"/>
        </w:rPr>
        <w:t>’</w:t>
      </w:r>
      <w:r w:rsidRPr="0001502D">
        <w:rPr>
          <w:rFonts w:ascii="Arial" w:hAnsi="Arial" w:cs="Arial"/>
          <w:sz w:val="22"/>
          <w:szCs w:val="22"/>
        </w:rPr>
        <w:t>environnement de la haute montagne, l</w:t>
      </w:r>
      <w:r w:rsidR="009C104E">
        <w:rPr>
          <w:rFonts w:ascii="Arial" w:hAnsi="Arial" w:cs="Arial"/>
          <w:sz w:val="22"/>
          <w:szCs w:val="22"/>
        </w:rPr>
        <w:t>’</w:t>
      </w:r>
      <w:r w:rsidRPr="0001502D">
        <w:rPr>
          <w:rFonts w:ascii="Arial" w:hAnsi="Arial" w:cs="Arial"/>
          <w:sz w:val="22"/>
          <w:szCs w:val="22"/>
        </w:rPr>
        <w:t>histoire de la pratique et des valeurs qui lui sont associées, et des savoir-faire spécifiques. L</w:t>
      </w:r>
      <w:r w:rsidR="009C104E">
        <w:rPr>
          <w:rFonts w:ascii="Arial" w:hAnsi="Arial" w:cs="Arial"/>
          <w:sz w:val="22"/>
          <w:szCs w:val="22"/>
        </w:rPr>
        <w:t>’</w:t>
      </w:r>
      <w:r w:rsidRPr="0001502D">
        <w:rPr>
          <w:rFonts w:ascii="Arial" w:hAnsi="Arial" w:cs="Arial"/>
          <w:sz w:val="22"/>
          <w:szCs w:val="22"/>
        </w:rPr>
        <w:t>alpinisme requiert également des connaissances sur l</w:t>
      </w:r>
      <w:r w:rsidR="009C104E">
        <w:rPr>
          <w:rFonts w:ascii="Arial" w:hAnsi="Arial" w:cs="Arial"/>
          <w:sz w:val="22"/>
          <w:szCs w:val="22"/>
        </w:rPr>
        <w:t>’</w:t>
      </w:r>
      <w:r w:rsidRPr="0001502D">
        <w:rPr>
          <w:rFonts w:ascii="Arial" w:hAnsi="Arial" w:cs="Arial"/>
          <w:sz w:val="22"/>
          <w:szCs w:val="22"/>
        </w:rPr>
        <w:t>environnement, les conditions climatiques changeantes et les risques naturels. Il s</w:t>
      </w:r>
      <w:r w:rsidR="009C104E">
        <w:rPr>
          <w:rFonts w:ascii="Arial" w:hAnsi="Arial" w:cs="Arial"/>
          <w:sz w:val="22"/>
          <w:szCs w:val="22"/>
        </w:rPr>
        <w:t>’</w:t>
      </w:r>
      <w:r w:rsidRPr="0001502D">
        <w:rPr>
          <w:rFonts w:ascii="Arial" w:hAnsi="Arial" w:cs="Arial"/>
          <w:sz w:val="22"/>
          <w:szCs w:val="22"/>
        </w:rPr>
        <w:t>appuie aussi sur des références esthétiques, les alpinistes étant attachés à l</w:t>
      </w:r>
      <w:r w:rsidR="009C104E">
        <w:rPr>
          <w:rFonts w:ascii="Arial" w:hAnsi="Arial" w:cs="Arial"/>
          <w:sz w:val="22"/>
          <w:szCs w:val="22"/>
        </w:rPr>
        <w:t>’</w:t>
      </w:r>
      <w:r w:rsidRPr="0001502D">
        <w:rPr>
          <w:rFonts w:ascii="Arial" w:hAnsi="Arial" w:cs="Arial"/>
          <w:sz w:val="22"/>
          <w:szCs w:val="22"/>
        </w:rPr>
        <w:t>élégance du geste dans l</w:t>
      </w:r>
      <w:r w:rsidR="009C104E">
        <w:rPr>
          <w:rFonts w:ascii="Arial" w:hAnsi="Arial" w:cs="Arial"/>
          <w:sz w:val="22"/>
          <w:szCs w:val="22"/>
        </w:rPr>
        <w:t>’</w:t>
      </w:r>
      <w:r w:rsidRPr="0001502D">
        <w:rPr>
          <w:rFonts w:ascii="Arial" w:hAnsi="Arial" w:cs="Arial"/>
          <w:sz w:val="22"/>
          <w:szCs w:val="22"/>
        </w:rPr>
        <w:t>ascension, à la contemplation des paysages et à la communion avec les milieux naturels traversés. La pratique mobilise en outre des principes éthiques reposant sur les engagements de chacun, notamment à ne laisser aucune trace de son passage et à porter secours aux autres praticiens. L</w:t>
      </w:r>
      <w:r w:rsidR="009C104E">
        <w:rPr>
          <w:rFonts w:ascii="Arial" w:hAnsi="Arial" w:cs="Arial"/>
          <w:sz w:val="22"/>
          <w:szCs w:val="22"/>
        </w:rPr>
        <w:t>’</w:t>
      </w:r>
      <w:r w:rsidRPr="0001502D">
        <w:rPr>
          <w:rFonts w:ascii="Arial" w:hAnsi="Arial" w:cs="Arial"/>
          <w:sz w:val="22"/>
          <w:szCs w:val="22"/>
        </w:rPr>
        <w:t>esprit d</w:t>
      </w:r>
      <w:r w:rsidR="009C104E">
        <w:rPr>
          <w:rFonts w:ascii="Arial" w:hAnsi="Arial" w:cs="Arial"/>
          <w:sz w:val="22"/>
          <w:szCs w:val="22"/>
        </w:rPr>
        <w:t>’</w:t>
      </w:r>
      <w:r w:rsidRPr="0001502D">
        <w:rPr>
          <w:rFonts w:ascii="Arial" w:hAnsi="Arial" w:cs="Arial"/>
          <w:sz w:val="22"/>
          <w:szCs w:val="22"/>
        </w:rPr>
        <w:t>équipe, symbolisé par la cordée, est un autre élément essentiel de la mentalité des alpinistes. La plupart des membres de la communauté appartiennent à des clubs alpins, qui diffusent les pratiques alpines dans le monde entier. Ces clubs organisent des sorties collectives, fournissent des informations pratiques et contribuent à diverses publications. Ce sont donc des vecteurs de la culture de l</w:t>
      </w:r>
      <w:r w:rsidR="009C104E">
        <w:rPr>
          <w:rFonts w:ascii="Arial" w:hAnsi="Arial" w:cs="Arial"/>
          <w:sz w:val="22"/>
          <w:szCs w:val="22"/>
        </w:rPr>
        <w:t>’</w:t>
      </w:r>
      <w:r w:rsidRPr="0001502D">
        <w:rPr>
          <w:rFonts w:ascii="Arial" w:hAnsi="Arial" w:cs="Arial"/>
          <w:sz w:val="22"/>
          <w:szCs w:val="22"/>
        </w:rPr>
        <w:t>alpinisme. Depuis le XX</w:t>
      </w:r>
      <w:r w:rsidRPr="0001502D">
        <w:rPr>
          <w:rFonts w:ascii="Arial" w:hAnsi="Arial" w:cs="Arial"/>
          <w:sz w:val="22"/>
          <w:szCs w:val="22"/>
          <w:vertAlign w:val="superscript"/>
        </w:rPr>
        <w:t>e</w:t>
      </w:r>
      <w:r w:rsidRPr="0001502D">
        <w:rPr>
          <w:rFonts w:ascii="Arial" w:hAnsi="Arial" w:cs="Arial"/>
          <w:sz w:val="22"/>
          <w:szCs w:val="22"/>
        </w:rPr>
        <w:t xml:space="preserve"> siècle, les clubs alpins des trois pays cultivent des liens d</w:t>
      </w:r>
      <w:r w:rsidR="009C104E">
        <w:rPr>
          <w:rFonts w:ascii="Arial" w:hAnsi="Arial" w:cs="Arial"/>
          <w:sz w:val="22"/>
          <w:szCs w:val="22"/>
        </w:rPr>
        <w:t>’</w:t>
      </w:r>
      <w:r w:rsidRPr="0001502D">
        <w:rPr>
          <w:rFonts w:ascii="Arial" w:hAnsi="Arial" w:cs="Arial"/>
          <w:sz w:val="22"/>
          <w:szCs w:val="22"/>
        </w:rPr>
        <w:t>amitié en organisant fréquemment des rencontres bilatérales ou trilatérales à divers niveaux.</w:t>
      </w:r>
    </w:p>
    <w:p w14:paraId="2CEC8CF9" w14:textId="2B57A208" w:rsidR="0001502D" w:rsidRPr="0001502D" w:rsidRDefault="0001502D" w:rsidP="00771F30">
      <w:pPr>
        <w:keepNext/>
        <w:numPr>
          <w:ilvl w:val="1"/>
          <w:numId w:val="37"/>
        </w:numPr>
        <w:pBdr>
          <w:top w:val="nil"/>
          <w:left w:val="nil"/>
          <w:bottom w:val="nil"/>
          <w:right w:val="nil"/>
          <w:between w:val="nil"/>
        </w:pBdr>
        <w:tabs>
          <w:tab w:val="left" w:pos="567"/>
          <w:tab w:val="left" w:pos="1701"/>
          <w:tab w:val="left" w:pos="2268"/>
        </w:tabs>
        <w:spacing w:before="120" w:after="120"/>
        <w:ind w:left="567"/>
        <w:jc w:val="both"/>
        <w:rPr>
          <w:rFonts w:ascii="Arial" w:eastAsia="Arial" w:hAnsi="Arial" w:cs="Arial"/>
          <w:color w:val="000000"/>
          <w:sz w:val="22"/>
          <w:szCs w:val="22"/>
        </w:rPr>
      </w:pPr>
      <w:r w:rsidRPr="0001502D">
        <w:rPr>
          <w:rFonts w:ascii="Arial" w:hAnsi="Arial" w:cs="Arial"/>
          <w:color w:val="000000"/>
          <w:sz w:val="22"/>
          <w:szCs w:val="22"/>
          <w:u w:val="single"/>
        </w:rPr>
        <w:t>Estime</w:t>
      </w:r>
      <w:r w:rsidRPr="0001502D">
        <w:rPr>
          <w:rFonts w:ascii="Arial" w:hAnsi="Arial" w:cs="Arial"/>
          <w:color w:val="000000"/>
          <w:sz w:val="22"/>
          <w:szCs w:val="22"/>
        </w:rPr>
        <w:t xml:space="preserve"> que, d</w:t>
      </w:r>
      <w:r w:rsidR="009C104E">
        <w:rPr>
          <w:rFonts w:ascii="Arial" w:hAnsi="Arial" w:cs="Arial"/>
          <w:color w:val="000000"/>
          <w:sz w:val="22"/>
          <w:szCs w:val="22"/>
        </w:rPr>
        <w:t>’</w:t>
      </w:r>
      <w:r w:rsidRPr="0001502D">
        <w:rPr>
          <w:rFonts w:ascii="Arial" w:hAnsi="Arial" w:cs="Arial"/>
          <w:color w:val="000000"/>
          <w:sz w:val="22"/>
          <w:szCs w:val="22"/>
        </w:rPr>
        <w:t>après les informations contenues dans le dossier, la candidature satisfait aux critères d</w:t>
      </w:r>
      <w:r w:rsidR="009C104E">
        <w:rPr>
          <w:rFonts w:ascii="Arial" w:hAnsi="Arial" w:cs="Arial"/>
          <w:color w:val="000000"/>
          <w:sz w:val="22"/>
          <w:szCs w:val="22"/>
        </w:rPr>
        <w:t>’</w:t>
      </w:r>
      <w:r w:rsidRPr="0001502D">
        <w:rPr>
          <w:rFonts w:ascii="Arial" w:hAnsi="Arial" w:cs="Arial"/>
          <w:color w:val="000000"/>
          <w:sz w:val="22"/>
          <w:szCs w:val="22"/>
        </w:rPr>
        <w:t>inscription sur la Liste représentative du patrimoine culturel immatériel de l</w:t>
      </w:r>
      <w:r w:rsidR="009C104E">
        <w:rPr>
          <w:rFonts w:ascii="Arial" w:hAnsi="Arial" w:cs="Arial"/>
          <w:color w:val="000000"/>
          <w:sz w:val="22"/>
          <w:szCs w:val="22"/>
        </w:rPr>
        <w:t>’</w:t>
      </w:r>
      <w:r w:rsidRPr="0001502D">
        <w:rPr>
          <w:rFonts w:ascii="Arial" w:hAnsi="Arial" w:cs="Arial"/>
          <w:color w:val="000000"/>
          <w:sz w:val="22"/>
          <w:szCs w:val="22"/>
        </w:rPr>
        <w:t>humanité comme suit :</w:t>
      </w:r>
    </w:p>
    <w:p w14:paraId="09E8EC26" w14:textId="065BFE98" w:rsidR="0001502D" w:rsidRPr="0001502D" w:rsidRDefault="0001502D" w:rsidP="003E13C4">
      <w:pPr>
        <w:tabs>
          <w:tab w:val="left" w:pos="1134"/>
          <w:tab w:val="left" w:pos="2268"/>
        </w:tabs>
        <w:spacing w:before="120" w:after="120"/>
        <w:ind w:left="1134" w:hanging="555"/>
        <w:jc w:val="both"/>
        <w:rPr>
          <w:rFonts w:ascii="Arial" w:hAnsi="Arial" w:cs="Arial"/>
          <w:sz w:val="22"/>
          <w:szCs w:val="22"/>
        </w:rPr>
      </w:pPr>
      <w:r w:rsidRPr="0001502D">
        <w:rPr>
          <w:rFonts w:ascii="Arial" w:hAnsi="Arial" w:cs="Arial"/>
          <w:sz w:val="22"/>
          <w:szCs w:val="22"/>
        </w:rPr>
        <w:t>R.1 :</w:t>
      </w:r>
      <w:r w:rsidRPr="0001502D">
        <w:rPr>
          <w:rFonts w:ascii="Arial" w:hAnsi="Arial" w:cs="Arial"/>
          <w:sz w:val="22"/>
          <w:szCs w:val="22"/>
        </w:rPr>
        <w:tab/>
        <w:t>L</w:t>
      </w:r>
      <w:r w:rsidR="009C104E">
        <w:rPr>
          <w:rFonts w:ascii="Arial" w:hAnsi="Arial" w:cs="Arial"/>
          <w:sz w:val="22"/>
          <w:szCs w:val="22"/>
        </w:rPr>
        <w:t>’</w:t>
      </w:r>
      <w:r w:rsidRPr="0001502D">
        <w:rPr>
          <w:rFonts w:ascii="Arial" w:hAnsi="Arial" w:cs="Arial"/>
          <w:sz w:val="22"/>
          <w:szCs w:val="22"/>
        </w:rPr>
        <w:t>alpinisme joue un rôle central dans l</w:t>
      </w:r>
      <w:r w:rsidR="009C104E">
        <w:rPr>
          <w:rFonts w:ascii="Arial" w:hAnsi="Arial" w:cs="Arial"/>
          <w:sz w:val="22"/>
          <w:szCs w:val="22"/>
        </w:rPr>
        <w:t>’</w:t>
      </w:r>
      <w:r w:rsidRPr="0001502D">
        <w:rPr>
          <w:rFonts w:ascii="Arial" w:hAnsi="Arial" w:cs="Arial"/>
          <w:sz w:val="22"/>
          <w:szCs w:val="22"/>
        </w:rPr>
        <w:t>interaction sociale entre les praticiens et contribue à cultiver le respect mutuel entre compagnons de cordée, qui sont plus que de simples partenaires d</w:t>
      </w:r>
      <w:r w:rsidR="009C104E">
        <w:rPr>
          <w:rFonts w:ascii="Arial" w:hAnsi="Arial" w:cs="Arial"/>
          <w:sz w:val="22"/>
          <w:szCs w:val="22"/>
        </w:rPr>
        <w:t>’</w:t>
      </w:r>
      <w:r w:rsidRPr="0001502D">
        <w:rPr>
          <w:rFonts w:ascii="Arial" w:hAnsi="Arial" w:cs="Arial"/>
          <w:sz w:val="22"/>
          <w:szCs w:val="22"/>
        </w:rPr>
        <w:t>ascension. Les alpinistes considèrent leur pratique comme une expérience très intense où se nouent des relations durables, au-delà des barrières sociales, générationnelles et nationales. L</w:t>
      </w:r>
      <w:r w:rsidR="009C104E">
        <w:rPr>
          <w:rFonts w:ascii="Arial" w:hAnsi="Arial" w:cs="Arial"/>
          <w:sz w:val="22"/>
          <w:szCs w:val="22"/>
        </w:rPr>
        <w:t>’</w:t>
      </w:r>
      <w:r w:rsidRPr="0001502D">
        <w:rPr>
          <w:rFonts w:ascii="Arial" w:hAnsi="Arial" w:cs="Arial"/>
          <w:sz w:val="22"/>
          <w:szCs w:val="22"/>
        </w:rPr>
        <w:t>élément est perçu comme un exemple majeur de patrimoine culturel immatériel lié à la connaissance de la nature.</w:t>
      </w:r>
    </w:p>
    <w:p w14:paraId="47B8306A" w14:textId="1242C21F" w:rsidR="0001502D" w:rsidRPr="0001502D" w:rsidRDefault="0001502D" w:rsidP="003E13C4">
      <w:pPr>
        <w:tabs>
          <w:tab w:val="left" w:pos="1134"/>
          <w:tab w:val="left" w:pos="2268"/>
        </w:tabs>
        <w:spacing w:before="120" w:after="120"/>
        <w:ind w:left="1134" w:hanging="555"/>
        <w:jc w:val="both"/>
        <w:rPr>
          <w:rFonts w:ascii="Arial" w:hAnsi="Arial" w:cs="Arial"/>
          <w:sz w:val="22"/>
          <w:szCs w:val="22"/>
        </w:rPr>
      </w:pPr>
      <w:r w:rsidRPr="0001502D">
        <w:rPr>
          <w:rFonts w:ascii="Arial" w:hAnsi="Arial" w:cs="Arial"/>
          <w:sz w:val="22"/>
          <w:szCs w:val="22"/>
        </w:rPr>
        <w:t>R.2 :</w:t>
      </w:r>
      <w:r w:rsidRPr="0001502D">
        <w:rPr>
          <w:rFonts w:ascii="Arial" w:hAnsi="Arial" w:cs="Arial"/>
          <w:sz w:val="22"/>
          <w:szCs w:val="22"/>
        </w:rPr>
        <w:tab/>
        <w:t>L</w:t>
      </w:r>
      <w:r w:rsidR="009C104E">
        <w:rPr>
          <w:rFonts w:ascii="Arial" w:hAnsi="Arial" w:cs="Arial"/>
          <w:sz w:val="22"/>
          <w:szCs w:val="22"/>
        </w:rPr>
        <w:t>’</w:t>
      </w:r>
      <w:r w:rsidRPr="0001502D">
        <w:rPr>
          <w:rFonts w:ascii="Arial" w:hAnsi="Arial" w:cs="Arial"/>
          <w:sz w:val="22"/>
          <w:szCs w:val="22"/>
        </w:rPr>
        <w:t>inscription de l</w:t>
      </w:r>
      <w:r w:rsidR="009C104E">
        <w:rPr>
          <w:rFonts w:ascii="Arial" w:hAnsi="Arial" w:cs="Arial"/>
          <w:sz w:val="22"/>
          <w:szCs w:val="22"/>
        </w:rPr>
        <w:t>’</w:t>
      </w:r>
      <w:r w:rsidRPr="0001502D">
        <w:rPr>
          <w:rFonts w:ascii="Arial" w:hAnsi="Arial" w:cs="Arial"/>
          <w:sz w:val="22"/>
          <w:szCs w:val="22"/>
        </w:rPr>
        <w:t>alpinisme mettrait en lumière la relation étroite entre le patrimoine culturel immatériel, l</w:t>
      </w:r>
      <w:r w:rsidR="009C104E">
        <w:rPr>
          <w:rFonts w:ascii="Arial" w:hAnsi="Arial" w:cs="Arial"/>
          <w:sz w:val="22"/>
          <w:szCs w:val="22"/>
        </w:rPr>
        <w:t>’</w:t>
      </w:r>
      <w:r w:rsidRPr="0001502D">
        <w:rPr>
          <w:rFonts w:ascii="Arial" w:hAnsi="Arial" w:cs="Arial"/>
          <w:sz w:val="22"/>
          <w:szCs w:val="22"/>
        </w:rPr>
        <w:t>environnement et le développement durable. Elle renforcerait également le sentiment de responsabilité commune pour l</w:t>
      </w:r>
      <w:r w:rsidR="009C104E">
        <w:rPr>
          <w:rFonts w:ascii="Arial" w:hAnsi="Arial" w:cs="Arial"/>
          <w:sz w:val="22"/>
          <w:szCs w:val="22"/>
        </w:rPr>
        <w:t>’</w:t>
      </w:r>
      <w:r w:rsidRPr="0001502D">
        <w:rPr>
          <w:rFonts w:ascii="Arial" w:hAnsi="Arial" w:cs="Arial"/>
          <w:sz w:val="22"/>
          <w:szCs w:val="22"/>
        </w:rPr>
        <w:t>entretien et la restauration de lieux à valeur sociale importante – les refuges de haute montagne – et sensibiliserait davantage les États parties soumissionnaires à l</w:t>
      </w:r>
      <w:r w:rsidR="009C104E">
        <w:rPr>
          <w:rFonts w:ascii="Arial" w:hAnsi="Arial" w:cs="Arial"/>
          <w:sz w:val="22"/>
          <w:szCs w:val="22"/>
        </w:rPr>
        <w:t>’</w:t>
      </w:r>
      <w:r w:rsidRPr="0001502D">
        <w:rPr>
          <w:rFonts w:ascii="Arial" w:hAnsi="Arial" w:cs="Arial"/>
          <w:sz w:val="22"/>
          <w:szCs w:val="22"/>
        </w:rPr>
        <w:t>existence d</w:t>
      </w:r>
      <w:r w:rsidR="009C104E">
        <w:rPr>
          <w:rFonts w:ascii="Arial" w:hAnsi="Arial" w:cs="Arial"/>
          <w:sz w:val="22"/>
          <w:szCs w:val="22"/>
        </w:rPr>
        <w:t>’</w:t>
      </w:r>
      <w:r w:rsidRPr="0001502D">
        <w:rPr>
          <w:rFonts w:ascii="Arial" w:hAnsi="Arial" w:cs="Arial"/>
          <w:sz w:val="22"/>
          <w:szCs w:val="22"/>
        </w:rPr>
        <w:t>une histoire et de valeurs communes. L</w:t>
      </w:r>
      <w:r w:rsidR="009C104E">
        <w:rPr>
          <w:rFonts w:ascii="Arial" w:hAnsi="Arial" w:cs="Arial"/>
          <w:sz w:val="22"/>
          <w:szCs w:val="22"/>
        </w:rPr>
        <w:t>’</w:t>
      </w:r>
      <w:r w:rsidRPr="0001502D">
        <w:rPr>
          <w:rFonts w:ascii="Arial" w:hAnsi="Arial" w:cs="Arial"/>
          <w:sz w:val="22"/>
          <w:szCs w:val="22"/>
        </w:rPr>
        <w:t>inscription pourrait également raviver et approfondir le dialogue existant entre les communautés d</w:t>
      </w:r>
      <w:r w:rsidR="009C104E">
        <w:rPr>
          <w:rFonts w:ascii="Arial" w:hAnsi="Arial" w:cs="Arial"/>
          <w:sz w:val="22"/>
          <w:szCs w:val="22"/>
        </w:rPr>
        <w:t>’</w:t>
      </w:r>
      <w:r w:rsidRPr="0001502D">
        <w:rPr>
          <w:rFonts w:ascii="Arial" w:hAnsi="Arial" w:cs="Arial"/>
          <w:sz w:val="22"/>
          <w:szCs w:val="22"/>
        </w:rPr>
        <w:t>alpinistes, en entraînant la création de nouvelles plateformes de partage d</w:t>
      </w:r>
      <w:r w:rsidR="009C104E">
        <w:rPr>
          <w:rFonts w:ascii="Arial" w:hAnsi="Arial" w:cs="Arial"/>
          <w:sz w:val="22"/>
          <w:szCs w:val="22"/>
        </w:rPr>
        <w:t>’</w:t>
      </w:r>
      <w:r w:rsidRPr="0001502D">
        <w:rPr>
          <w:rFonts w:ascii="Arial" w:hAnsi="Arial" w:cs="Arial"/>
          <w:sz w:val="22"/>
          <w:szCs w:val="22"/>
        </w:rPr>
        <w:t>informations. La pratique repose sur une collaboration ingénieuse visant à trouver des solutions créatives à des situations difficiles.</w:t>
      </w:r>
    </w:p>
    <w:p w14:paraId="00263EB5" w14:textId="261DDBE1" w:rsidR="0001502D" w:rsidRPr="0001502D" w:rsidRDefault="0001502D" w:rsidP="003E13C4">
      <w:pPr>
        <w:tabs>
          <w:tab w:val="left" w:pos="1134"/>
          <w:tab w:val="left" w:pos="2268"/>
        </w:tabs>
        <w:spacing w:before="120" w:after="120"/>
        <w:ind w:left="1134" w:hanging="555"/>
        <w:jc w:val="both"/>
        <w:rPr>
          <w:rFonts w:ascii="Arial" w:hAnsi="Arial" w:cs="Arial"/>
          <w:sz w:val="22"/>
          <w:szCs w:val="22"/>
        </w:rPr>
      </w:pPr>
      <w:r w:rsidRPr="0001502D">
        <w:rPr>
          <w:rFonts w:ascii="Arial" w:hAnsi="Arial" w:cs="Arial"/>
          <w:sz w:val="22"/>
          <w:szCs w:val="22"/>
        </w:rPr>
        <w:t>R.3 :</w:t>
      </w:r>
      <w:r w:rsidRPr="0001502D">
        <w:rPr>
          <w:rFonts w:ascii="Arial" w:hAnsi="Arial" w:cs="Arial"/>
          <w:sz w:val="22"/>
          <w:szCs w:val="22"/>
        </w:rPr>
        <w:tab/>
        <w:t>Les mesures de sauvegarde proposées incluent des actions de sensibilisation ciblant de nouveaux publics ; la protection des alpinistes face aux risques de mise en danger de leur activité ; la prévention des risques liés à la banalisation des pratiques et de leurs lieux d</w:t>
      </w:r>
      <w:r w:rsidR="009C104E">
        <w:rPr>
          <w:rFonts w:ascii="Arial" w:hAnsi="Arial" w:cs="Arial"/>
          <w:sz w:val="22"/>
          <w:szCs w:val="22"/>
        </w:rPr>
        <w:t>’</w:t>
      </w:r>
      <w:r w:rsidRPr="0001502D">
        <w:rPr>
          <w:rFonts w:ascii="Arial" w:hAnsi="Arial" w:cs="Arial"/>
          <w:sz w:val="22"/>
          <w:szCs w:val="22"/>
        </w:rPr>
        <w:t>exercice ; et le renforcement de la veille préventive face aux atteintes à l</w:t>
      </w:r>
      <w:r w:rsidR="009C104E">
        <w:rPr>
          <w:rFonts w:ascii="Arial" w:hAnsi="Arial" w:cs="Arial"/>
          <w:sz w:val="22"/>
          <w:szCs w:val="22"/>
        </w:rPr>
        <w:t>’</w:t>
      </w:r>
      <w:r w:rsidRPr="0001502D">
        <w:rPr>
          <w:rFonts w:ascii="Arial" w:hAnsi="Arial" w:cs="Arial"/>
          <w:sz w:val="22"/>
          <w:szCs w:val="22"/>
        </w:rPr>
        <w:t>environnement. Les communautés, où la mixité est la règle, ont toujours été impliquées dans la planification des mesures de sauvegarde proposées, notamment par le biais des clubs alpins, organismes largement représentatifs des communautés.</w:t>
      </w:r>
    </w:p>
    <w:p w14:paraId="56406451" w14:textId="62891E8D" w:rsidR="0001502D" w:rsidRPr="0001502D" w:rsidRDefault="0001502D" w:rsidP="003E13C4">
      <w:pPr>
        <w:tabs>
          <w:tab w:val="left" w:pos="1134"/>
          <w:tab w:val="left" w:pos="2268"/>
        </w:tabs>
        <w:spacing w:before="120" w:after="120"/>
        <w:ind w:left="1134" w:hanging="555"/>
        <w:jc w:val="both"/>
        <w:rPr>
          <w:rFonts w:ascii="Arial" w:hAnsi="Arial" w:cs="Arial"/>
          <w:sz w:val="22"/>
          <w:szCs w:val="22"/>
        </w:rPr>
      </w:pPr>
      <w:r w:rsidRPr="0001502D">
        <w:rPr>
          <w:rFonts w:ascii="Arial" w:hAnsi="Arial" w:cs="Arial"/>
          <w:sz w:val="22"/>
          <w:szCs w:val="22"/>
        </w:rPr>
        <w:t>R.4 :</w:t>
      </w:r>
      <w:r w:rsidRPr="0001502D">
        <w:rPr>
          <w:rFonts w:ascii="Arial" w:hAnsi="Arial" w:cs="Arial"/>
          <w:sz w:val="22"/>
          <w:szCs w:val="22"/>
        </w:rPr>
        <w:tab/>
        <w:t>La candidature a été préparée par diverses communautés d</w:t>
      </w:r>
      <w:r w:rsidR="009C104E">
        <w:rPr>
          <w:rFonts w:ascii="Arial" w:hAnsi="Arial" w:cs="Arial"/>
          <w:sz w:val="22"/>
          <w:szCs w:val="22"/>
        </w:rPr>
        <w:t>’</w:t>
      </w:r>
      <w:r w:rsidRPr="0001502D">
        <w:rPr>
          <w:rFonts w:ascii="Arial" w:hAnsi="Arial" w:cs="Arial"/>
          <w:sz w:val="22"/>
          <w:szCs w:val="22"/>
        </w:rPr>
        <w:t>alpinistes – membres des clubs alpins, guides de haute montagne – des chercheurs et des maires des communes concernées, qui ont formé un comité de pilotage. L</w:t>
      </w:r>
      <w:r w:rsidR="009C104E">
        <w:rPr>
          <w:rFonts w:ascii="Arial" w:hAnsi="Arial" w:cs="Arial"/>
          <w:sz w:val="22"/>
          <w:szCs w:val="22"/>
        </w:rPr>
        <w:t>’</w:t>
      </w:r>
      <w:r w:rsidRPr="0001502D">
        <w:rPr>
          <w:rFonts w:ascii="Arial" w:hAnsi="Arial" w:cs="Arial"/>
          <w:sz w:val="22"/>
          <w:szCs w:val="22"/>
        </w:rPr>
        <w:t>élaboration du dossier a été à l</w:t>
      </w:r>
      <w:r w:rsidR="009C104E">
        <w:rPr>
          <w:rFonts w:ascii="Arial" w:hAnsi="Arial" w:cs="Arial"/>
          <w:sz w:val="22"/>
          <w:szCs w:val="22"/>
        </w:rPr>
        <w:t>’</w:t>
      </w:r>
      <w:r w:rsidRPr="0001502D">
        <w:rPr>
          <w:rFonts w:ascii="Arial" w:hAnsi="Arial" w:cs="Arial"/>
          <w:sz w:val="22"/>
          <w:szCs w:val="22"/>
        </w:rPr>
        <w:t>ordre du jour de nombreuses réunions de ce comité, et son contenu a également fait l</w:t>
      </w:r>
      <w:r w:rsidR="009C104E">
        <w:rPr>
          <w:rFonts w:ascii="Arial" w:hAnsi="Arial" w:cs="Arial"/>
          <w:sz w:val="22"/>
          <w:szCs w:val="22"/>
        </w:rPr>
        <w:t>’</w:t>
      </w:r>
      <w:r w:rsidRPr="0001502D">
        <w:rPr>
          <w:rFonts w:ascii="Arial" w:hAnsi="Arial" w:cs="Arial"/>
          <w:sz w:val="22"/>
          <w:szCs w:val="22"/>
        </w:rPr>
        <w:t>objet de débats</w:t>
      </w:r>
      <w:sdt>
        <w:sdtPr>
          <w:rPr>
            <w:rFonts w:ascii="Arial" w:hAnsi="Arial" w:cs="Arial"/>
            <w:sz w:val="22"/>
            <w:szCs w:val="22"/>
          </w:rPr>
          <w:tag w:val="goog_rdk_46"/>
          <w:id w:val="-340087515"/>
        </w:sdtPr>
        <w:sdtEndPr/>
        <w:sdtContent/>
      </w:sdt>
      <w:r w:rsidRPr="0001502D">
        <w:rPr>
          <w:rFonts w:ascii="Arial" w:hAnsi="Arial" w:cs="Arial"/>
          <w:sz w:val="22"/>
          <w:szCs w:val="22"/>
        </w:rPr>
        <w:t xml:space="preserve"> au sein de la communauté des alpinistes au sens large. Au cours de ces réunions rassemblant des hommes et des femmes, les participants ont complété le dossier et élaboré les mesures de sauvegarde.</w:t>
      </w:r>
    </w:p>
    <w:p w14:paraId="7F556AF7" w14:textId="61387682" w:rsidR="0001502D" w:rsidRPr="0001502D" w:rsidRDefault="0001502D" w:rsidP="003E13C4">
      <w:pPr>
        <w:tabs>
          <w:tab w:val="left" w:pos="1134"/>
          <w:tab w:val="left" w:pos="2268"/>
        </w:tabs>
        <w:spacing w:before="120" w:after="120"/>
        <w:ind w:left="1134" w:hanging="555"/>
        <w:jc w:val="both"/>
        <w:rPr>
          <w:rFonts w:ascii="Arial" w:hAnsi="Arial" w:cs="Arial"/>
          <w:sz w:val="22"/>
          <w:szCs w:val="22"/>
        </w:rPr>
      </w:pPr>
      <w:r w:rsidRPr="0001502D">
        <w:rPr>
          <w:rFonts w:ascii="Arial" w:hAnsi="Arial" w:cs="Arial"/>
          <w:sz w:val="22"/>
          <w:szCs w:val="22"/>
        </w:rPr>
        <w:t>R.5 :</w:t>
      </w:r>
      <w:r w:rsidRPr="0001502D">
        <w:rPr>
          <w:rFonts w:ascii="Arial" w:hAnsi="Arial" w:cs="Arial"/>
          <w:sz w:val="22"/>
          <w:szCs w:val="22"/>
        </w:rPr>
        <w:tab/>
        <w:t>L</w:t>
      </w:r>
      <w:r w:rsidR="009C104E">
        <w:rPr>
          <w:rFonts w:ascii="Arial" w:hAnsi="Arial" w:cs="Arial"/>
          <w:sz w:val="22"/>
          <w:szCs w:val="22"/>
        </w:rPr>
        <w:t>’</w:t>
      </w:r>
      <w:r w:rsidRPr="0001502D">
        <w:rPr>
          <w:rFonts w:ascii="Arial" w:hAnsi="Arial" w:cs="Arial"/>
          <w:sz w:val="22"/>
          <w:szCs w:val="22"/>
        </w:rPr>
        <w:t>élément est inclus dans les inventaires des trois États parties. Il est inscrit à l</w:t>
      </w:r>
      <w:r w:rsidR="009C104E">
        <w:rPr>
          <w:rFonts w:ascii="Arial" w:hAnsi="Arial" w:cs="Arial"/>
          <w:sz w:val="22"/>
          <w:szCs w:val="22"/>
        </w:rPr>
        <w:t>’</w:t>
      </w:r>
      <w:r w:rsidRPr="0001502D">
        <w:rPr>
          <w:rFonts w:ascii="Arial" w:hAnsi="Arial" w:cs="Arial"/>
          <w:sz w:val="22"/>
          <w:szCs w:val="22"/>
        </w:rPr>
        <w:t>Inventaire national du patrimoine culturel immatériel de la France depuis 2015, à l</w:t>
      </w:r>
      <w:r w:rsidR="009C104E">
        <w:rPr>
          <w:rFonts w:ascii="Arial" w:hAnsi="Arial" w:cs="Arial"/>
          <w:sz w:val="22"/>
          <w:szCs w:val="22"/>
        </w:rPr>
        <w:t>’</w:t>
      </w:r>
      <w:r w:rsidRPr="0001502D">
        <w:rPr>
          <w:rFonts w:ascii="Arial" w:hAnsi="Arial" w:cs="Arial"/>
          <w:sz w:val="22"/>
          <w:szCs w:val="22"/>
        </w:rPr>
        <w:t>Inventaire national du patrimoine culturel immatériel de l</w:t>
      </w:r>
      <w:r w:rsidR="009C104E">
        <w:rPr>
          <w:rFonts w:ascii="Arial" w:hAnsi="Arial" w:cs="Arial"/>
          <w:sz w:val="22"/>
          <w:szCs w:val="22"/>
        </w:rPr>
        <w:t>’</w:t>
      </w:r>
      <w:r w:rsidRPr="0001502D">
        <w:rPr>
          <w:rFonts w:ascii="Arial" w:hAnsi="Arial" w:cs="Arial"/>
          <w:sz w:val="22"/>
          <w:szCs w:val="22"/>
        </w:rPr>
        <w:t>Italie / Convention de l</w:t>
      </w:r>
      <w:r w:rsidR="009C104E">
        <w:rPr>
          <w:rFonts w:ascii="Arial" w:hAnsi="Arial" w:cs="Arial"/>
          <w:sz w:val="22"/>
          <w:szCs w:val="22"/>
        </w:rPr>
        <w:t>’</w:t>
      </w:r>
      <w:r w:rsidRPr="0001502D">
        <w:rPr>
          <w:rFonts w:ascii="Arial" w:hAnsi="Arial" w:cs="Arial"/>
          <w:sz w:val="22"/>
          <w:szCs w:val="22"/>
        </w:rPr>
        <w:t>UNESCO de 2003 depuis 2018 et sur la Liste des traditions vivantes en Suisse depuis 2017. La gestion de ces inventaires est principalement assurée par les communautés, qui effectuent des mises à jour à chaque fois que c</w:t>
      </w:r>
      <w:r w:rsidR="009C104E">
        <w:rPr>
          <w:rFonts w:ascii="Arial" w:hAnsi="Arial" w:cs="Arial"/>
          <w:sz w:val="22"/>
          <w:szCs w:val="22"/>
        </w:rPr>
        <w:t>’</w:t>
      </w:r>
      <w:r w:rsidRPr="0001502D">
        <w:rPr>
          <w:rFonts w:ascii="Arial" w:hAnsi="Arial" w:cs="Arial"/>
          <w:sz w:val="22"/>
          <w:szCs w:val="22"/>
        </w:rPr>
        <w:t>est nécessaire.</w:t>
      </w:r>
    </w:p>
    <w:p w14:paraId="0AF57168" w14:textId="16DD1A73" w:rsidR="0001502D" w:rsidRPr="0001502D" w:rsidRDefault="0001502D" w:rsidP="00771F30">
      <w:pPr>
        <w:numPr>
          <w:ilvl w:val="1"/>
          <w:numId w:val="37"/>
        </w:numPr>
        <w:pBdr>
          <w:top w:val="nil"/>
          <w:left w:val="nil"/>
          <w:bottom w:val="nil"/>
          <w:right w:val="nil"/>
          <w:between w:val="nil"/>
        </w:pBdr>
        <w:tabs>
          <w:tab w:val="left" w:pos="567"/>
          <w:tab w:val="left" w:pos="1701"/>
          <w:tab w:val="left" w:pos="2268"/>
        </w:tabs>
        <w:spacing w:before="120" w:after="120"/>
        <w:ind w:left="567"/>
        <w:jc w:val="both"/>
        <w:rPr>
          <w:rFonts w:ascii="Arial" w:eastAsia="Arial" w:hAnsi="Arial" w:cs="Arial"/>
          <w:color w:val="000000"/>
          <w:sz w:val="22"/>
          <w:szCs w:val="22"/>
        </w:rPr>
      </w:pPr>
      <w:r w:rsidRPr="0001502D">
        <w:rPr>
          <w:rFonts w:ascii="Arial" w:hAnsi="Arial" w:cs="Arial"/>
          <w:color w:val="000000"/>
          <w:sz w:val="22"/>
          <w:szCs w:val="22"/>
          <w:u w:val="single"/>
        </w:rPr>
        <w:t>Décide d</w:t>
      </w:r>
      <w:r w:rsidR="009C104E">
        <w:rPr>
          <w:rFonts w:ascii="Arial" w:hAnsi="Arial" w:cs="Arial"/>
          <w:color w:val="000000"/>
          <w:sz w:val="22"/>
          <w:szCs w:val="22"/>
          <w:u w:val="single"/>
        </w:rPr>
        <w:t>’</w:t>
      </w:r>
      <w:r w:rsidRPr="0001502D">
        <w:rPr>
          <w:rFonts w:ascii="Arial" w:hAnsi="Arial" w:cs="Arial"/>
          <w:color w:val="000000"/>
          <w:sz w:val="22"/>
          <w:szCs w:val="22"/>
          <w:u w:val="single"/>
        </w:rPr>
        <w:t>inscrire</w:t>
      </w:r>
      <w:r w:rsidRPr="0001502D">
        <w:rPr>
          <w:rFonts w:ascii="Arial" w:hAnsi="Arial" w:cs="Arial"/>
          <w:sz w:val="22"/>
          <w:szCs w:val="22"/>
        </w:rPr>
        <w:t xml:space="preserve"> </w:t>
      </w:r>
      <w:r w:rsidRPr="0001502D">
        <w:rPr>
          <w:rFonts w:ascii="Arial" w:hAnsi="Arial" w:cs="Arial"/>
          <w:b/>
          <w:bCs/>
          <w:color w:val="000000"/>
          <w:sz w:val="22"/>
          <w:szCs w:val="22"/>
        </w:rPr>
        <w:t>l</w:t>
      </w:r>
      <w:r w:rsidR="009C104E">
        <w:rPr>
          <w:rFonts w:ascii="Arial" w:hAnsi="Arial" w:cs="Arial"/>
          <w:b/>
          <w:bCs/>
          <w:color w:val="000000"/>
          <w:sz w:val="22"/>
          <w:szCs w:val="22"/>
        </w:rPr>
        <w:t>’</w:t>
      </w:r>
      <w:r w:rsidRPr="0001502D">
        <w:rPr>
          <w:rFonts w:ascii="Arial" w:hAnsi="Arial" w:cs="Arial"/>
          <w:b/>
          <w:bCs/>
          <w:color w:val="000000"/>
          <w:sz w:val="22"/>
          <w:szCs w:val="22"/>
        </w:rPr>
        <w:t>alpinisme</w:t>
      </w:r>
      <w:r w:rsidRPr="0001502D">
        <w:rPr>
          <w:rFonts w:ascii="Arial" w:hAnsi="Arial" w:cs="Arial"/>
          <w:color w:val="000000"/>
          <w:sz w:val="22"/>
          <w:szCs w:val="22"/>
        </w:rPr>
        <w:t xml:space="preserve"> sur la Liste représentative du patrimoine culturel immatériel de l</w:t>
      </w:r>
      <w:r w:rsidR="009C104E">
        <w:rPr>
          <w:rFonts w:ascii="Arial" w:hAnsi="Arial" w:cs="Arial"/>
          <w:color w:val="000000"/>
          <w:sz w:val="22"/>
          <w:szCs w:val="22"/>
        </w:rPr>
        <w:t>’</w:t>
      </w:r>
      <w:r w:rsidRPr="0001502D">
        <w:rPr>
          <w:rFonts w:ascii="Arial" w:hAnsi="Arial" w:cs="Arial"/>
          <w:color w:val="000000"/>
          <w:sz w:val="22"/>
          <w:szCs w:val="22"/>
        </w:rPr>
        <w:t>humanité ;</w:t>
      </w:r>
    </w:p>
    <w:p w14:paraId="050C5703" w14:textId="5207A922" w:rsidR="0001502D" w:rsidRPr="0001502D" w:rsidRDefault="0001502D" w:rsidP="00771F30">
      <w:pPr>
        <w:numPr>
          <w:ilvl w:val="1"/>
          <w:numId w:val="37"/>
        </w:numPr>
        <w:pBdr>
          <w:top w:val="nil"/>
          <w:left w:val="nil"/>
          <w:bottom w:val="nil"/>
          <w:right w:val="nil"/>
          <w:between w:val="nil"/>
        </w:pBdr>
        <w:tabs>
          <w:tab w:val="left" w:pos="567"/>
          <w:tab w:val="left" w:pos="1701"/>
          <w:tab w:val="left" w:pos="2268"/>
        </w:tabs>
        <w:spacing w:before="120" w:after="120"/>
        <w:ind w:left="567"/>
        <w:jc w:val="both"/>
        <w:rPr>
          <w:rFonts w:ascii="Arial" w:eastAsia="Arial" w:hAnsi="Arial" w:cs="Arial"/>
          <w:color w:val="000000"/>
          <w:sz w:val="22"/>
          <w:szCs w:val="22"/>
        </w:rPr>
      </w:pPr>
      <w:r w:rsidRPr="0001502D">
        <w:rPr>
          <w:rFonts w:ascii="Arial" w:hAnsi="Arial" w:cs="Arial"/>
          <w:color w:val="000000"/>
          <w:sz w:val="22"/>
          <w:szCs w:val="22"/>
          <w:u w:val="single"/>
        </w:rPr>
        <w:t>Félicite</w:t>
      </w:r>
      <w:r w:rsidRPr="0001502D">
        <w:rPr>
          <w:rFonts w:ascii="Arial" w:hAnsi="Arial" w:cs="Arial"/>
          <w:color w:val="000000"/>
          <w:sz w:val="22"/>
          <w:szCs w:val="22"/>
        </w:rPr>
        <w:t xml:space="preserve"> les États parties d</w:t>
      </w:r>
      <w:r w:rsidR="009C104E">
        <w:rPr>
          <w:rFonts w:ascii="Arial" w:hAnsi="Arial" w:cs="Arial"/>
          <w:color w:val="000000"/>
          <w:sz w:val="22"/>
          <w:szCs w:val="22"/>
        </w:rPr>
        <w:t>’</w:t>
      </w:r>
      <w:r w:rsidRPr="0001502D">
        <w:rPr>
          <w:rFonts w:ascii="Arial" w:hAnsi="Arial" w:cs="Arial"/>
          <w:color w:val="000000"/>
          <w:sz w:val="22"/>
          <w:szCs w:val="22"/>
        </w:rPr>
        <w:t>avoir préparé un dossier multinational de grande qualité, qui témoigne de la collaboration active entre les communautés pour la préparation de la candidature, comme pour la sauvegarde de l</w:t>
      </w:r>
      <w:r w:rsidR="009C104E">
        <w:rPr>
          <w:rFonts w:ascii="Arial" w:hAnsi="Arial" w:cs="Arial"/>
          <w:color w:val="000000"/>
          <w:sz w:val="22"/>
          <w:szCs w:val="22"/>
        </w:rPr>
        <w:t>’</w:t>
      </w:r>
      <w:r w:rsidRPr="0001502D">
        <w:rPr>
          <w:rFonts w:ascii="Arial" w:hAnsi="Arial" w:cs="Arial"/>
          <w:color w:val="000000"/>
          <w:sz w:val="22"/>
          <w:szCs w:val="22"/>
        </w:rPr>
        <w:t>élément ;</w:t>
      </w:r>
    </w:p>
    <w:p w14:paraId="4572B25B" w14:textId="7F5BD789" w:rsidR="0001502D" w:rsidRPr="0001502D" w:rsidRDefault="0001502D" w:rsidP="00771F30">
      <w:pPr>
        <w:numPr>
          <w:ilvl w:val="1"/>
          <w:numId w:val="37"/>
        </w:numPr>
        <w:pBdr>
          <w:top w:val="nil"/>
          <w:left w:val="nil"/>
          <w:bottom w:val="nil"/>
          <w:right w:val="nil"/>
          <w:between w:val="nil"/>
        </w:pBdr>
        <w:tabs>
          <w:tab w:val="left" w:pos="567"/>
          <w:tab w:val="left" w:pos="1701"/>
          <w:tab w:val="left" w:pos="2268"/>
        </w:tabs>
        <w:spacing w:before="120" w:after="120"/>
        <w:ind w:left="567" w:hanging="578"/>
        <w:jc w:val="both"/>
        <w:rPr>
          <w:rFonts w:ascii="Arial" w:eastAsia="Arial" w:hAnsi="Arial" w:cs="Arial"/>
          <w:color w:val="000000"/>
          <w:sz w:val="22"/>
          <w:szCs w:val="22"/>
        </w:rPr>
      </w:pPr>
      <w:r w:rsidRPr="0001502D">
        <w:rPr>
          <w:rFonts w:ascii="Arial" w:hAnsi="Arial" w:cs="Arial"/>
          <w:color w:val="000000"/>
          <w:sz w:val="22"/>
          <w:szCs w:val="22"/>
          <w:u w:val="single"/>
        </w:rPr>
        <w:t>Félicite en outre</w:t>
      </w:r>
      <w:r w:rsidRPr="0001502D">
        <w:rPr>
          <w:rFonts w:ascii="Arial" w:hAnsi="Arial" w:cs="Arial"/>
          <w:color w:val="000000"/>
          <w:sz w:val="22"/>
          <w:szCs w:val="22"/>
        </w:rPr>
        <w:t xml:space="preserve"> les États parties d</w:t>
      </w:r>
      <w:r w:rsidR="009C104E">
        <w:rPr>
          <w:rFonts w:ascii="Arial" w:hAnsi="Arial" w:cs="Arial"/>
          <w:color w:val="000000"/>
          <w:sz w:val="22"/>
          <w:szCs w:val="22"/>
        </w:rPr>
        <w:t>’</w:t>
      </w:r>
      <w:r w:rsidRPr="0001502D">
        <w:rPr>
          <w:rFonts w:ascii="Arial" w:hAnsi="Arial" w:cs="Arial"/>
          <w:color w:val="000000"/>
          <w:sz w:val="22"/>
          <w:szCs w:val="22"/>
        </w:rPr>
        <w:t>avoir soumis un dossier qui souligne l</w:t>
      </w:r>
      <w:r w:rsidR="009C104E">
        <w:rPr>
          <w:rFonts w:ascii="Arial" w:hAnsi="Arial" w:cs="Arial"/>
          <w:color w:val="000000"/>
          <w:sz w:val="22"/>
          <w:szCs w:val="22"/>
        </w:rPr>
        <w:t>’</w:t>
      </w:r>
      <w:r w:rsidRPr="0001502D">
        <w:rPr>
          <w:rFonts w:ascii="Arial" w:hAnsi="Arial" w:cs="Arial"/>
          <w:color w:val="000000"/>
          <w:sz w:val="22"/>
          <w:szCs w:val="22"/>
        </w:rPr>
        <w:t>importance du savoir traditionnel relatif à la nature et à l</w:t>
      </w:r>
      <w:r w:rsidR="009C104E">
        <w:rPr>
          <w:rFonts w:ascii="Arial" w:hAnsi="Arial" w:cs="Arial"/>
          <w:color w:val="000000"/>
          <w:sz w:val="22"/>
          <w:szCs w:val="22"/>
        </w:rPr>
        <w:t>’</w:t>
      </w:r>
      <w:r w:rsidRPr="0001502D">
        <w:rPr>
          <w:rFonts w:ascii="Arial" w:hAnsi="Arial" w:cs="Arial"/>
          <w:color w:val="000000"/>
          <w:sz w:val="22"/>
          <w:szCs w:val="22"/>
        </w:rPr>
        <w:t>univers, et propose un exemple positif de relation durable entre les êtres humains et leur environnement.</w:t>
      </w:r>
    </w:p>
    <w:p w14:paraId="5C312399" w14:textId="191AFEBF" w:rsidR="0001502D" w:rsidRPr="0001502D" w:rsidRDefault="0001502D" w:rsidP="00771F30">
      <w:pPr>
        <w:keepNext/>
        <w:keepLines/>
        <w:numPr>
          <w:ilvl w:val="0"/>
          <w:numId w:val="27"/>
        </w:numPr>
        <w:spacing w:before="360" w:after="120"/>
        <w:outlineLvl w:val="1"/>
        <w:rPr>
          <w:rFonts w:ascii="Arial" w:hAnsi="Arial" w:cs="Arial"/>
          <w:bCs/>
          <w:iCs/>
          <w:sz w:val="22"/>
          <w:szCs w:val="22"/>
        </w:rPr>
      </w:pPr>
      <w:bookmarkStart w:id="17" w:name="Decision_10b14"/>
      <w:r w:rsidRPr="0001502D">
        <w:rPr>
          <w:rFonts w:ascii="Arial" w:hAnsi="Arial" w:cs="Arial"/>
          <w:b/>
          <w:bCs/>
          <w:iCs/>
          <w:sz w:val="22"/>
          <w:szCs w:val="22"/>
        </w:rPr>
        <w:t>DÉCISION 14.COM 10.b.14</w:t>
      </w:r>
    </w:p>
    <w:bookmarkEnd w:id="17"/>
    <w:p w14:paraId="642F9CEA" w14:textId="77777777" w:rsidR="0001502D" w:rsidRPr="0001502D" w:rsidRDefault="0001502D" w:rsidP="00B668BC">
      <w:pPr>
        <w:keepNext/>
        <w:tabs>
          <w:tab w:val="left" w:pos="567"/>
          <w:tab w:val="left" w:pos="1134"/>
          <w:tab w:val="left" w:pos="1701"/>
          <w:tab w:val="left" w:pos="2268"/>
        </w:tabs>
        <w:spacing w:before="120" w:after="120"/>
        <w:jc w:val="both"/>
        <w:rPr>
          <w:rFonts w:ascii="Arial" w:hAnsi="Arial" w:cs="Arial"/>
          <w:sz w:val="22"/>
          <w:szCs w:val="22"/>
        </w:rPr>
      </w:pPr>
      <w:r w:rsidRPr="0001502D">
        <w:rPr>
          <w:rFonts w:ascii="Arial" w:hAnsi="Arial" w:cs="Arial"/>
          <w:sz w:val="22"/>
          <w:szCs w:val="22"/>
        </w:rPr>
        <w:t>Le Comité,</w:t>
      </w:r>
    </w:p>
    <w:p w14:paraId="11A3B246" w14:textId="039F001E" w:rsidR="0001502D" w:rsidRPr="0001502D" w:rsidRDefault="0001502D" w:rsidP="00771F30">
      <w:pPr>
        <w:numPr>
          <w:ilvl w:val="1"/>
          <w:numId w:val="27"/>
        </w:numPr>
        <w:tabs>
          <w:tab w:val="left" w:pos="567"/>
          <w:tab w:val="left" w:pos="1701"/>
          <w:tab w:val="left" w:pos="2268"/>
        </w:tabs>
        <w:spacing w:before="120" w:after="120"/>
        <w:jc w:val="both"/>
        <w:rPr>
          <w:rFonts w:ascii="Arial" w:hAnsi="Arial" w:cs="Arial"/>
          <w:sz w:val="22"/>
          <w:szCs w:val="22"/>
          <w:lang w:eastAsia="ko-KR"/>
        </w:rPr>
      </w:pPr>
      <w:r w:rsidRPr="0001502D">
        <w:rPr>
          <w:rFonts w:ascii="Arial" w:hAnsi="Arial" w:cs="Arial"/>
          <w:sz w:val="22"/>
          <w:szCs w:val="22"/>
          <w:u w:val="single"/>
          <w:lang w:eastAsia="ko-KR"/>
        </w:rPr>
        <w:t>Prend note</w:t>
      </w:r>
      <w:r w:rsidRPr="0001502D">
        <w:rPr>
          <w:rFonts w:ascii="Arial" w:hAnsi="Arial" w:cs="Arial"/>
          <w:sz w:val="22"/>
          <w:szCs w:val="22"/>
          <w:lang w:eastAsia="ko-KR"/>
        </w:rPr>
        <w:t xml:space="preserve"> que l</w:t>
      </w:r>
      <w:r w:rsidR="009C104E">
        <w:rPr>
          <w:rFonts w:ascii="Arial" w:hAnsi="Arial" w:cs="Arial"/>
          <w:sz w:val="22"/>
          <w:szCs w:val="22"/>
          <w:lang w:eastAsia="ko-KR"/>
        </w:rPr>
        <w:t>’</w:t>
      </w:r>
      <w:r w:rsidRPr="0001502D">
        <w:rPr>
          <w:rFonts w:ascii="Arial" w:hAnsi="Arial" w:cs="Arial"/>
          <w:sz w:val="22"/>
          <w:szCs w:val="22"/>
          <w:lang w:eastAsia="ko-KR"/>
        </w:rPr>
        <w:t xml:space="preserve">Inde a proposé la candidature </w:t>
      </w:r>
      <w:r w:rsidRPr="0001502D">
        <w:rPr>
          <w:rFonts w:ascii="Arial" w:hAnsi="Arial" w:cs="Arial"/>
          <w:b/>
          <w:sz w:val="22"/>
          <w:szCs w:val="22"/>
          <w:lang w:eastAsia="ko-KR"/>
        </w:rPr>
        <w:t>du</w:t>
      </w:r>
      <w:r w:rsidRPr="0001502D">
        <w:rPr>
          <w:rFonts w:ascii="Arial" w:hAnsi="Arial" w:cs="Arial"/>
          <w:b/>
          <w:bCs/>
          <w:sz w:val="22"/>
          <w:szCs w:val="22"/>
          <w:lang w:eastAsia="ko-KR"/>
        </w:rPr>
        <w:t xml:space="preserve"> </w:t>
      </w:r>
      <w:r w:rsidRPr="0001502D">
        <w:rPr>
          <w:rFonts w:ascii="Arial" w:hAnsi="Arial" w:cs="Arial"/>
          <w:b/>
          <w:sz w:val="22"/>
          <w:szCs w:val="22"/>
          <w:lang w:eastAsia="ko-KR"/>
        </w:rPr>
        <w:t>sowa-rigpa, connaissance de la guérison ou science de la guérison</w:t>
      </w:r>
      <w:r w:rsidRPr="0001502D">
        <w:rPr>
          <w:rFonts w:ascii="Arial" w:hAnsi="Arial" w:cs="Arial"/>
          <w:sz w:val="22"/>
          <w:szCs w:val="22"/>
          <w:lang w:eastAsia="ko-KR"/>
        </w:rPr>
        <w:t xml:space="preserve"> (n° 01358) pour inscription sur la Liste représentative du patrimoine culturel immatériel de l</w:t>
      </w:r>
      <w:r w:rsidR="009C104E">
        <w:rPr>
          <w:rFonts w:ascii="Arial" w:hAnsi="Arial" w:cs="Arial"/>
          <w:sz w:val="22"/>
          <w:szCs w:val="22"/>
          <w:lang w:eastAsia="ko-KR"/>
        </w:rPr>
        <w:t>’</w:t>
      </w:r>
      <w:r w:rsidRPr="0001502D">
        <w:rPr>
          <w:rFonts w:ascii="Arial" w:hAnsi="Arial" w:cs="Arial"/>
          <w:sz w:val="22"/>
          <w:szCs w:val="22"/>
          <w:lang w:eastAsia="ko-KR"/>
        </w:rPr>
        <w:t>humanité :</w:t>
      </w:r>
    </w:p>
    <w:p w14:paraId="4FFAE52C" w14:textId="26AD99FD" w:rsidR="0001502D" w:rsidRPr="0001502D" w:rsidRDefault="0001502D" w:rsidP="008A0AF7">
      <w:pPr>
        <w:tabs>
          <w:tab w:val="left" w:pos="567"/>
          <w:tab w:val="left" w:pos="1701"/>
          <w:tab w:val="left" w:pos="2268"/>
        </w:tabs>
        <w:spacing w:before="120" w:after="120"/>
        <w:ind w:left="567"/>
        <w:jc w:val="both"/>
        <w:rPr>
          <w:rFonts w:ascii="Arial" w:hAnsi="Arial" w:cs="Arial"/>
          <w:sz w:val="22"/>
          <w:szCs w:val="22"/>
        </w:rPr>
      </w:pPr>
      <w:r w:rsidRPr="0001502D">
        <w:rPr>
          <w:rFonts w:ascii="Arial" w:hAnsi="Arial" w:cs="Arial"/>
          <w:sz w:val="22"/>
          <w:szCs w:val="22"/>
        </w:rPr>
        <w:t>Le sowa-rigpa, connaissance de la guérison ou science de la guérison, est le système médical traditionnel des communautés qui peuplent la région himalayenne. Depuis son apparition, cette pratique est transmise à travers un apprentissage enseignant-élève et dans le cadre de la descendance familiale. Le terme « sowa-rigpa », qui signifie « connaissance de la guérison », vient de la langue bhoti. Le sowa-rigpa est un guide complet qui aide à mener une vie saine fondée sur l</w:t>
      </w:r>
      <w:r w:rsidR="009C104E">
        <w:rPr>
          <w:rFonts w:ascii="Arial" w:hAnsi="Arial" w:cs="Arial"/>
          <w:sz w:val="22"/>
          <w:szCs w:val="22"/>
        </w:rPr>
        <w:t>’</w:t>
      </w:r>
      <w:r w:rsidRPr="0001502D">
        <w:rPr>
          <w:rFonts w:ascii="Arial" w:hAnsi="Arial" w:cs="Arial"/>
          <w:sz w:val="22"/>
          <w:szCs w:val="22"/>
        </w:rPr>
        <w:t>harmonie du corps, de l</w:t>
      </w:r>
      <w:r w:rsidR="009C104E">
        <w:rPr>
          <w:rFonts w:ascii="Arial" w:hAnsi="Arial" w:cs="Arial"/>
          <w:sz w:val="22"/>
          <w:szCs w:val="22"/>
        </w:rPr>
        <w:t>’</w:t>
      </w:r>
      <w:r w:rsidRPr="0001502D">
        <w:rPr>
          <w:rFonts w:ascii="Arial" w:hAnsi="Arial" w:cs="Arial"/>
          <w:sz w:val="22"/>
          <w:szCs w:val="22"/>
        </w:rPr>
        <w:t>esprit, de la spiritualité et du cosmos. Le sowa-rigpa est formellement reconnu comme un système médical traditionnel par le gouvernement indien. Les principes fondamentaux du sowa-rigpa reposent sur des directives diététiques, l</w:t>
      </w:r>
      <w:r w:rsidR="009C104E">
        <w:rPr>
          <w:rFonts w:ascii="Arial" w:hAnsi="Arial" w:cs="Arial"/>
          <w:sz w:val="22"/>
          <w:szCs w:val="22"/>
        </w:rPr>
        <w:t>’</w:t>
      </w:r>
      <w:r w:rsidRPr="0001502D">
        <w:rPr>
          <w:rFonts w:ascii="Arial" w:hAnsi="Arial" w:cs="Arial"/>
          <w:sz w:val="22"/>
          <w:szCs w:val="22"/>
        </w:rPr>
        <w:t>examen du pouls et une liste de choses à faire et à ne pas faire. Cette pratique est fermement ancrée dans le système socioculturel de la région himalayenne, car chaque village compte une famille d</w:t>
      </w:r>
      <w:r w:rsidR="009C104E">
        <w:rPr>
          <w:rFonts w:ascii="Arial" w:hAnsi="Arial" w:cs="Arial"/>
          <w:sz w:val="22"/>
          <w:szCs w:val="22"/>
        </w:rPr>
        <w:t>’</w:t>
      </w:r>
      <w:r w:rsidRPr="0001502D">
        <w:rPr>
          <w:rFonts w:ascii="Arial" w:hAnsi="Arial" w:cs="Arial"/>
          <w:sz w:val="22"/>
          <w:szCs w:val="22"/>
        </w:rPr>
        <w:t>« </w:t>
      </w:r>
      <w:r w:rsidRPr="0001502D">
        <w:rPr>
          <w:rFonts w:ascii="Arial" w:hAnsi="Arial" w:cs="Arial"/>
          <w:iCs/>
          <w:sz w:val="22"/>
          <w:szCs w:val="22"/>
        </w:rPr>
        <w:t>amchis »</w:t>
      </w:r>
      <w:r w:rsidRPr="0001502D">
        <w:rPr>
          <w:rFonts w:ascii="Arial" w:hAnsi="Arial" w:cs="Arial"/>
          <w:sz w:val="22"/>
          <w:szCs w:val="22"/>
        </w:rPr>
        <w:t xml:space="preserve"> (praticiens du sowa-rigpa) qui veillent à la santé publique, exerçant la médecine comme un service social ou une pratique religieuse pour le bien-être de la communauté. À l</w:t>
      </w:r>
      <w:r w:rsidR="009C104E">
        <w:rPr>
          <w:rFonts w:ascii="Arial" w:hAnsi="Arial" w:cs="Arial"/>
          <w:sz w:val="22"/>
          <w:szCs w:val="22"/>
        </w:rPr>
        <w:t>’</w:t>
      </w:r>
      <w:r w:rsidRPr="0001502D">
        <w:rPr>
          <w:rFonts w:ascii="Arial" w:hAnsi="Arial" w:cs="Arial"/>
          <w:sz w:val="22"/>
          <w:szCs w:val="22"/>
        </w:rPr>
        <w:t>heure actuelle, les familles amchis traditionnelles, les médecins formés au sowa-rigpa, les monastères, les centres éducatifs, et les instituts de recherche maintiennent tous l</w:t>
      </w:r>
      <w:r w:rsidR="009C104E">
        <w:rPr>
          <w:rFonts w:ascii="Arial" w:hAnsi="Arial" w:cs="Arial"/>
          <w:sz w:val="22"/>
          <w:szCs w:val="22"/>
        </w:rPr>
        <w:t>’</w:t>
      </w:r>
      <w:r w:rsidRPr="0001502D">
        <w:rPr>
          <w:rFonts w:ascii="Arial" w:hAnsi="Arial" w:cs="Arial"/>
          <w:sz w:val="22"/>
          <w:szCs w:val="22"/>
        </w:rPr>
        <w:t>élément.</w:t>
      </w:r>
    </w:p>
    <w:p w14:paraId="1BE7C280" w14:textId="4C3BC785" w:rsidR="00492658" w:rsidRPr="00C75F66" w:rsidRDefault="00492658" w:rsidP="00A400B1">
      <w:pPr>
        <w:numPr>
          <w:ilvl w:val="1"/>
          <w:numId w:val="27"/>
        </w:numPr>
        <w:tabs>
          <w:tab w:val="left" w:pos="567"/>
          <w:tab w:val="left" w:pos="1701"/>
          <w:tab w:val="left" w:pos="2268"/>
        </w:tabs>
        <w:spacing w:before="120" w:after="120"/>
        <w:jc w:val="both"/>
        <w:rPr>
          <w:rFonts w:ascii="Arial" w:hAnsi="Arial" w:cs="Arial"/>
          <w:sz w:val="22"/>
          <w:szCs w:val="22"/>
        </w:rPr>
      </w:pPr>
      <w:r w:rsidRPr="00C75F66">
        <w:rPr>
          <w:rFonts w:ascii="Arial" w:hAnsi="Arial" w:cs="Arial"/>
          <w:sz w:val="22"/>
          <w:szCs w:val="22"/>
          <w:u w:val="single"/>
        </w:rPr>
        <w:t>Rappelle</w:t>
      </w:r>
      <w:r>
        <w:rPr>
          <w:rFonts w:ascii="Arial" w:hAnsi="Arial" w:cs="Arial"/>
          <w:sz w:val="22"/>
          <w:szCs w:val="22"/>
        </w:rPr>
        <w:t xml:space="preserve"> les articles 11,12 et 13 de la Convention ; </w:t>
      </w:r>
    </w:p>
    <w:p w14:paraId="251D5AB4" w14:textId="38BA81ED" w:rsidR="00492658" w:rsidRDefault="00492658" w:rsidP="00A400B1">
      <w:pPr>
        <w:numPr>
          <w:ilvl w:val="1"/>
          <w:numId w:val="27"/>
        </w:numPr>
        <w:tabs>
          <w:tab w:val="left" w:pos="567"/>
          <w:tab w:val="left" w:pos="1701"/>
          <w:tab w:val="left" w:pos="2268"/>
        </w:tabs>
        <w:spacing w:before="120" w:after="120"/>
        <w:jc w:val="both"/>
        <w:rPr>
          <w:rFonts w:ascii="Arial" w:hAnsi="Arial" w:cs="Arial"/>
          <w:sz w:val="22"/>
          <w:szCs w:val="22"/>
        </w:rPr>
      </w:pPr>
      <w:r w:rsidRPr="00C75F66">
        <w:rPr>
          <w:rFonts w:ascii="Arial" w:hAnsi="Arial" w:cs="Arial"/>
          <w:sz w:val="22"/>
          <w:szCs w:val="22"/>
          <w:u w:val="single"/>
        </w:rPr>
        <w:t>Note</w:t>
      </w:r>
      <w:r w:rsidRPr="00B932EA">
        <w:rPr>
          <w:rFonts w:ascii="Arial" w:hAnsi="Arial" w:cs="Arial"/>
          <w:sz w:val="22"/>
          <w:szCs w:val="22"/>
        </w:rPr>
        <w:t xml:space="preserve"> </w:t>
      </w:r>
      <w:r w:rsidRPr="00562340">
        <w:rPr>
          <w:rFonts w:ascii="Arial" w:hAnsi="Arial" w:cs="Arial"/>
          <w:sz w:val="22"/>
          <w:szCs w:val="22"/>
        </w:rPr>
        <w:t>que l</w:t>
      </w:r>
      <w:r w:rsidR="009C104E">
        <w:rPr>
          <w:rFonts w:ascii="Arial" w:hAnsi="Arial" w:cs="Arial"/>
          <w:sz w:val="22"/>
          <w:szCs w:val="22"/>
        </w:rPr>
        <w:t>’</w:t>
      </w:r>
      <w:r w:rsidRPr="00562340">
        <w:rPr>
          <w:rFonts w:ascii="Arial" w:hAnsi="Arial" w:cs="Arial"/>
          <w:sz w:val="22"/>
          <w:szCs w:val="22"/>
        </w:rPr>
        <w:t>Organe d</w:t>
      </w:r>
      <w:r w:rsidR="009C104E">
        <w:rPr>
          <w:rFonts w:ascii="Arial" w:hAnsi="Arial" w:cs="Arial"/>
          <w:sz w:val="22"/>
          <w:szCs w:val="22"/>
        </w:rPr>
        <w:t>’</w:t>
      </w:r>
      <w:r w:rsidRPr="00562340">
        <w:rPr>
          <w:rFonts w:ascii="Arial" w:hAnsi="Arial" w:cs="Arial"/>
          <w:sz w:val="22"/>
          <w:szCs w:val="22"/>
        </w:rPr>
        <w:t xml:space="preserve">évaluation </w:t>
      </w:r>
      <w:r>
        <w:rPr>
          <w:rFonts w:ascii="Arial" w:hAnsi="Arial" w:cs="Arial"/>
          <w:sz w:val="22"/>
          <w:szCs w:val="22"/>
        </w:rPr>
        <w:t xml:space="preserve">considère </w:t>
      </w:r>
      <w:r w:rsidRPr="00562340">
        <w:rPr>
          <w:rFonts w:ascii="Arial" w:hAnsi="Arial" w:cs="Arial"/>
          <w:sz w:val="22"/>
          <w:szCs w:val="22"/>
        </w:rPr>
        <w:t xml:space="preserve">que </w:t>
      </w:r>
      <w:r>
        <w:rPr>
          <w:rFonts w:ascii="Arial" w:hAnsi="Arial" w:cs="Arial"/>
          <w:sz w:val="22"/>
          <w:szCs w:val="22"/>
        </w:rPr>
        <w:t xml:space="preserve">selon </w:t>
      </w:r>
      <w:r w:rsidRPr="00562340">
        <w:rPr>
          <w:rFonts w:ascii="Arial" w:hAnsi="Arial" w:cs="Arial"/>
          <w:sz w:val="22"/>
          <w:szCs w:val="22"/>
        </w:rPr>
        <w:t>les informations contenues dans le dossier</w:t>
      </w:r>
      <w:r>
        <w:rPr>
          <w:rFonts w:ascii="Arial" w:hAnsi="Arial" w:cs="Arial"/>
          <w:sz w:val="22"/>
          <w:szCs w:val="22"/>
        </w:rPr>
        <w:t>, la candidature satisfait les critères R.1, R.2, R.4 et R.5 pour inscription sur la Liste représentative du patrimoine culturel immatériel de l</w:t>
      </w:r>
      <w:r w:rsidR="009C104E">
        <w:rPr>
          <w:rFonts w:ascii="Arial" w:hAnsi="Arial" w:cs="Arial"/>
          <w:sz w:val="22"/>
          <w:szCs w:val="22"/>
        </w:rPr>
        <w:t>’</w:t>
      </w:r>
      <w:r>
        <w:rPr>
          <w:rFonts w:ascii="Arial" w:hAnsi="Arial" w:cs="Arial"/>
          <w:sz w:val="22"/>
          <w:szCs w:val="22"/>
        </w:rPr>
        <w:t xml:space="preserve">humanité ; </w:t>
      </w:r>
    </w:p>
    <w:p w14:paraId="722D79B0" w14:textId="543D4602" w:rsidR="00492658" w:rsidRDefault="00492658" w:rsidP="00A400B1">
      <w:pPr>
        <w:numPr>
          <w:ilvl w:val="1"/>
          <w:numId w:val="27"/>
        </w:numPr>
        <w:tabs>
          <w:tab w:val="left" w:pos="567"/>
          <w:tab w:val="left" w:pos="1701"/>
          <w:tab w:val="left" w:pos="2268"/>
        </w:tabs>
        <w:spacing w:before="120" w:after="120"/>
        <w:jc w:val="both"/>
        <w:rPr>
          <w:rFonts w:ascii="Arial" w:hAnsi="Arial" w:cs="Arial"/>
          <w:sz w:val="22"/>
          <w:szCs w:val="22"/>
        </w:rPr>
      </w:pPr>
      <w:r w:rsidRPr="00215840">
        <w:rPr>
          <w:rFonts w:ascii="Arial" w:hAnsi="Arial" w:cs="Arial"/>
          <w:sz w:val="22"/>
          <w:szCs w:val="22"/>
          <w:u w:val="single"/>
        </w:rPr>
        <w:t>Prend note en outre</w:t>
      </w:r>
      <w:r w:rsidRPr="00B932EA">
        <w:rPr>
          <w:rFonts w:ascii="Arial" w:hAnsi="Arial" w:cs="Arial"/>
          <w:sz w:val="22"/>
          <w:szCs w:val="22"/>
        </w:rPr>
        <w:t xml:space="preserve"> </w:t>
      </w:r>
      <w:r>
        <w:rPr>
          <w:rFonts w:ascii="Arial" w:hAnsi="Arial" w:cs="Arial"/>
          <w:sz w:val="22"/>
          <w:szCs w:val="22"/>
        </w:rPr>
        <w:t>que l</w:t>
      </w:r>
      <w:r w:rsidR="009C104E">
        <w:rPr>
          <w:rFonts w:ascii="Arial" w:hAnsi="Arial" w:cs="Arial"/>
          <w:sz w:val="22"/>
          <w:szCs w:val="22"/>
        </w:rPr>
        <w:t>’</w:t>
      </w:r>
      <w:r>
        <w:rPr>
          <w:rFonts w:ascii="Arial" w:hAnsi="Arial" w:cs="Arial"/>
          <w:sz w:val="22"/>
          <w:szCs w:val="22"/>
        </w:rPr>
        <w:t>Organe d</w:t>
      </w:r>
      <w:r w:rsidR="009C104E">
        <w:rPr>
          <w:rFonts w:ascii="Arial" w:hAnsi="Arial" w:cs="Arial"/>
          <w:sz w:val="22"/>
          <w:szCs w:val="22"/>
        </w:rPr>
        <w:t>’</w:t>
      </w:r>
      <w:r>
        <w:rPr>
          <w:rFonts w:ascii="Arial" w:hAnsi="Arial" w:cs="Arial"/>
          <w:sz w:val="22"/>
          <w:szCs w:val="22"/>
        </w:rPr>
        <w:t>évaluation a initié un processus de « </w:t>
      </w:r>
      <w:r w:rsidRPr="00562340">
        <w:rPr>
          <w:rFonts w:ascii="Arial" w:hAnsi="Arial" w:cs="Arial"/>
          <w:sz w:val="22"/>
          <w:szCs w:val="22"/>
        </w:rPr>
        <w:t>dialogue</w:t>
      </w:r>
      <w:r>
        <w:rPr>
          <w:rFonts w:ascii="Arial" w:hAnsi="Arial" w:cs="Arial"/>
          <w:sz w:val="22"/>
          <w:szCs w:val="22"/>
        </w:rPr>
        <w:t> » afin d</w:t>
      </w:r>
      <w:r w:rsidR="009C104E">
        <w:rPr>
          <w:rFonts w:ascii="Arial" w:hAnsi="Arial" w:cs="Arial"/>
          <w:sz w:val="22"/>
          <w:szCs w:val="22"/>
        </w:rPr>
        <w:t>’</w:t>
      </w:r>
      <w:r>
        <w:rPr>
          <w:rFonts w:ascii="Arial" w:hAnsi="Arial" w:cs="Arial"/>
          <w:sz w:val="22"/>
          <w:szCs w:val="22"/>
        </w:rPr>
        <w:t xml:space="preserve">obtenir des informations sur le critère </w:t>
      </w:r>
      <w:r w:rsidRPr="00F679F4">
        <w:rPr>
          <w:rFonts w:ascii="Arial" w:hAnsi="Arial" w:cs="Arial"/>
          <w:sz w:val="22"/>
          <w:szCs w:val="22"/>
        </w:rPr>
        <w:t>R.3</w:t>
      </w:r>
      <w:r>
        <w:rPr>
          <w:rFonts w:ascii="Arial" w:hAnsi="Arial" w:cs="Arial"/>
          <w:sz w:val="22"/>
          <w:szCs w:val="22"/>
        </w:rPr>
        <w:t xml:space="preserve"> ; </w:t>
      </w:r>
    </w:p>
    <w:p w14:paraId="55A24E05" w14:textId="41FE18B0" w:rsidR="00492658" w:rsidRPr="00215840" w:rsidRDefault="00492658" w:rsidP="00A400B1">
      <w:pPr>
        <w:numPr>
          <w:ilvl w:val="1"/>
          <w:numId w:val="27"/>
        </w:numPr>
        <w:tabs>
          <w:tab w:val="left" w:pos="567"/>
          <w:tab w:val="left" w:pos="1701"/>
          <w:tab w:val="left" w:pos="2268"/>
        </w:tabs>
        <w:spacing w:before="120" w:after="120"/>
        <w:jc w:val="both"/>
        <w:rPr>
          <w:rFonts w:ascii="Arial" w:hAnsi="Arial" w:cs="Arial"/>
          <w:sz w:val="22"/>
          <w:szCs w:val="22"/>
        </w:rPr>
      </w:pPr>
      <w:r>
        <w:rPr>
          <w:rFonts w:ascii="Arial" w:hAnsi="Arial" w:cs="Arial"/>
          <w:sz w:val="22"/>
          <w:szCs w:val="22"/>
          <w:u w:val="single"/>
        </w:rPr>
        <w:t>Estime</w:t>
      </w:r>
      <w:r w:rsidR="00BC5A23" w:rsidRPr="00B932EA">
        <w:rPr>
          <w:rFonts w:ascii="Arial" w:hAnsi="Arial" w:cs="Arial"/>
          <w:sz w:val="22"/>
          <w:szCs w:val="22"/>
        </w:rPr>
        <w:t xml:space="preserve"> que</w:t>
      </w:r>
      <w:r w:rsidR="00DF0177" w:rsidRPr="00B932EA">
        <w:rPr>
          <w:rFonts w:ascii="Arial" w:hAnsi="Arial" w:cs="Arial"/>
          <w:sz w:val="22"/>
          <w:szCs w:val="22"/>
        </w:rPr>
        <w:t xml:space="preserve">, après avoir examiné </w:t>
      </w:r>
      <w:r w:rsidRPr="00DF0177">
        <w:rPr>
          <w:rFonts w:ascii="Arial" w:hAnsi="Arial" w:cs="Arial"/>
          <w:sz w:val="22"/>
          <w:szCs w:val="22"/>
        </w:rPr>
        <w:t>le dossier</w:t>
      </w:r>
      <w:r w:rsidR="00DF0177">
        <w:rPr>
          <w:rFonts w:ascii="Arial" w:hAnsi="Arial" w:cs="Arial"/>
          <w:sz w:val="22"/>
          <w:szCs w:val="22"/>
        </w:rPr>
        <w:t>,</w:t>
      </w:r>
      <w:r w:rsidR="00BC5A23">
        <w:rPr>
          <w:rFonts w:ascii="Arial" w:hAnsi="Arial" w:cs="Arial"/>
          <w:sz w:val="22"/>
          <w:szCs w:val="22"/>
        </w:rPr>
        <w:t xml:space="preserve"> </w:t>
      </w:r>
      <w:r w:rsidR="00BC5A23" w:rsidRPr="00632221">
        <w:rPr>
          <w:rFonts w:ascii="Arial" w:hAnsi="Arial" w:cs="Arial"/>
          <w:sz w:val="22"/>
          <w:szCs w:val="22"/>
        </w:rPr>
        <w:t xml:space="preserve">les informations </w:t>
      </w:r>
      <w:r w:rsidR="00BC5A23">
        <w:rPr>
          <w:rFonts w:ascii="Arial" w:hAnsi="Arial" w:cs="Arial"/>
          <w:sz w:val="22"/>
          <w:szCs w:val="22"/>
        </w:rPr>
        <w:t>fournies</w:t>
      </w:r>
      <w:r w:rsidRPr="00215840">
        <w:rPr>
          <w:rFonts w:ascii="Arial" w:hAnsi="Arial" w:cs="Arial"/>
          <w:sz w:val="22"/>
          <w:szCs w:val="22"/>
        </w:rPr>
        <w:t xml:space="preserve"> ne sont pas suffisantes pour déterminer si l</w:t>
      </w:r>
      <w:r>
        <w:rPr>
          <w:rFonts w:ascii="Arial" w:hAnsi="Arial" w:cs="Arial"/>
          <w:sz w:val="22"/>
          <w:szCs w:val="22"/>
        </w:rPr>
        <w:t>e critère</w:t>
      </w:r>
      <w:r w:rsidRPr="00215840">
        <w:rPr>
          <w:rFonts w:ascii="Arial" w:hAnsi="Arial" w:cs="Arial"/>
          <w:sz w:val="22"/>
          <w:szCs w:val="22"/>
        </w:rPr>
        <w:t xml:space="preserve"> R.3 est satisfait ;</w:t>
      </w:r>
    </w:p>
    <w:p w14:paraId="4E980409" w14:textId="7E2C06C6" w:rsidR="00492658" w:rsidRDefault="00492658" w:rsidP="00A400B1">
      <w:pPr>
        <w:numPr>
          <w:ilvl w:val="1"/>
          <w:numId w:val="27"/>
        </w:numPr>
        <w:tabs>
          <w:tab w:val="left" w:pos="567"/>
          <w:tab w:val="left" w:pos="1701"/>
          <w:tab w:val="left" w:pos="2268"/>
        </w:tabs>
        <w:spacing w:before="120" w:after="120"/>
        <w:jc w:val="both"/>
        <w:rPr>
          <w:rFonts w:ascii="Arial" w:hAnsi="Arial" w:cs="Arial"/>
          <w:sz w:val="22"/>
          <w:szCs w:val="22"/>
        </w:rPr>
      </w:pPr>
      <w:r w:rsidRPr="00432A81">
        <w:rPr>
          <w:rFonts w:ascii="Arial" w:hAnsi="Arial" w:cs="Arial"/>
          <w:sz w:val="22"/>
          <w:szCs w:val="22"/>
          <w:u w:val="single"/>
        </w:rPr>
        <w:t>Décide</w:t>
      </w:r>
      <w:r w:rsidRPr="00B932EA">
        <w:rPr>
          <w:rFonts w:ascii="Arial" w:hAnsi="Arial" w:cs="Arial"/>
          <w:sz w:val="22"/>
          <w:szCs w:val="22"/>
          <w:u w:val="single"/>
        </w:rPr>
        <w:t xml:space="preserve"> de renvoyer</w:t>
      </w:r>
      <w:r w:rsidRPr="00562340">
        <w:rPr>
          <w:rFonts w:ascii="Arial" w:hAnsi="Arial" w:cs="Arial"/>
          <w:sz w:val="22"/>
          <w:szCs w:val="22"/>
        </w:rPr>
        <w:t xml:space="preserve"> </w:t>
      </w:r>
      <w:r>
        <w:rPr>
          <w:rFonts w:ascii="Arial" w:hAnsi="Arial" w:cs="Arial"/>
          <w:sz w:val="22"/>
          <w:szCs w:val="22"/>
        </w:rPr>
        <w:t xml:space="preserve">la candidature </w:t>
      </w:r>
      <w:r w:rsidRPr="00B932EA">
        <w:rPr>
          <w:rFonts w:ascii="Arial" w:hAnsi="Arial" w:cs="Arial"/>
          <w:b/>
          <w:sz w:val="22"/>
          <w:szCs w:val="22"/>
        </w:rPr>
        <w:t>du sowa-rigpa, connaissance de la guérison ou science de la guérison</w:t>
      </w:r>
      <w:r>
        <w:rPr>
          <w:rFonts w:ascii="Arial" w:hAnsi="Arial" w:cs="Arial"/>
          <w:sz w:val="22"/>
          <w:szCs w:val="22"/>
        </w:rPr>
        <w:t xml:space="preserve">, </w:t>
      </w:r>
      <w:r w:rsidRPr="00562340">
        <w:rPr>
          <w:rFonts w:ascii="Arial" w:hAnsi="Arial" w:cs="Arial"/>
          <w:sz w:val="22"/>
          <w:szCs w:val="22"/>
        </w:rPr>
        <w:t>à l</w:t>
      </w:r>
      <w:r w:rsidR="009C104E">
        <w:rPr>
          <w:rFonts w:ascii="Arial" w:hAnsi="Arial" w:cs="Arial"/>
          <w:sz w:val="22"/>
          <w:szCs w:val="22"/>
        </w:rPr>
        <w:t>’</w:t>
      </w:r>
      <w:r w:rsidRPr="00562340">
        <w:rPr>
          <w:rFonts w:ascii="Arial" w:hAnsi="Arial" w:cs="Arial"/>
          <w:sz w:val="22"/>
          <w:szCs w:val="22"/>
        </w:rPr>
        <w:t>Etat partie soumissionnaire</w:t>
      </w:r>
      <w:r>
        <w:rPr>
          <w:rFonts w:ascii="Arial" w:hAnsi="Arial" w:cs="Arial"/>
          <w:sz w:val="22"/>
          <w:szCs w:val="22"/>
        </w:rPr>
        <w:t> ;</w:t>
      </w:r>
    </w:p>
    <w:p w14:paraId="38DFAE87" w14:textId="5A529983" w:rsidR="00492658" w:rsidRPr="00C75F66" w:rsidRDefault="00492658" w:rsidP="00A400B1">
      <w:pPr>
        <w:numPr>
          <w:ilvl w:val="1"/>
          <w:numId w:val="27"/>
        </w:numPr>
        <w:tabs>
          <w:tab w:val="left" w:pos="567"/>
          <w:tab w:val="left" w:pos="1701"/>
          <w:tab w:val="left" w:pos="2268"/>
        </w:tabs>
        <w:spacing w:before="120" w:after="120"/>
        <w:jc w:val="both"/>
        <w:rPr>
          <w:rFonts w:ascii="Arial" w:hAnsi="Arial" w:cs="Arial"/>
          <w:sz w:val="22"/>
          <w:szCs w:val="22"/>
        </w:rPr>
      </w:pPr>
      <w:r w:rsidRPr="00A400B1">
        <w:rPr>
          <w:rFonts w:ascii="Arial" w:hAnsi="Arial" w:cs="Arial"/>
          <w:sz w:val="22"/>
          <w:szCs w:val="22"/>
          <w:u w:val="single"/>
        </w:rPr>
        <w:t>P</w:t>
      </w:r>
      <w:r w:rsidRPr="00964D53">
        <w:rPr>
          <w:rFonts w:ascii="Arial" w:hAnsi="Arial" w:cs="Arial"/>
          <w:sz w:val="22"/>
          <w:szCs w:val="22"/>
          <w:u w:val="single"/>
        </w:rPr>
        <w:t>ri</w:t>
      </w:r>
      <w:r w:rsidRPr="00C75F66">
        <w:rPr>
          <w:rFonts w:ascii="Arial" w:hAnsi="Arial" w:cs="Arial"/>
          <w:sz w:val="22"/>
          <w:szCs w:val="22"/>
          <w:u w:val="single"/>
        </w:rPr>
        <w:t>e instammen</w:t>
      </w:r>
      <w:r w:rsidRPr="00432A81">
        <w:rPr>
          <w:rFonts w:ascii="Arial" w:hAnsi="Arial" w:cs="Arial"/>
          <w:sz w:val="22"/>
          <w:szCs w:val="22"/>
          <w:u w:val="single"/>
        </w:rPr>
        <w:t>t</w:t>
      </w:r>
      <w:r w:rsidRPr="00B932EA">
        <w:rPr>
          <w:rFonts w:ascii="Arial" w:hAnsi="Arial" w:cs="Arial"/>
          <w:sz w:val="22"/>
          <w:szCs w:val="22"/>
        </w:rPr>
        <w:t xml:space="preserve"> </w:t>
      </w:r>
      <w:r w:rsidRPr="00A400B1">
        <w:rPr>
          <w:rFonts w:ascii="Arial" w:hAnsi="Arial" w:cs="Arial"/>
          <w:sz w:val="22"/>
          <w:szCs w:val="22"/>
        </w:rPr>
        <w:t>l</w:t>
      </w:r>
      <w:r w:rsidR="009C104E">
        <w:rPr>
          <w:rFonts w:ascii="Arial" w:hAnsi="Arial" w:cs="Arial"/>
          <w:sz w:val="22"/>
          <w:szCs w:val="22"/>
        </w:rPr>
        <w:t>’</w:t>
      </w:r>
      <w:r w:rsidRPr="00A400B1">
        <w:rPr>
          <w:rFonts w:ascii="Arial" w:hAnsi="Arial" w:cs="Arial"/>
          <w:sz w:val="22"/>
          <w:szCs w:val="22"/>
        </w:rPr>
        <w:t>État partie soumissionnaire</w:t>
      </w:r>
      <w:r w:rsidRPr="00C97CD0">
        <w:rPr>
          <w:rFonts w:ascii="Arial" w:hAnsi="Arial" w:cs="Arial"/>
          <w:sz w:val="22"/>
          <w:szCs w:val="22"/>
        </w:rPr>
        <w:t xml:space="preserve"> de prendre sérieusement en compte les inquiétudes des autres </w:t>
      </w:r>
      <w:r w:rsidRPr="00C75F66">
        <w:rPr>
          <w:rFonts w:ascii="Arial" w:hAnsi="Arial" w:cs="Arial"/>
          <w:sz w:val="22"/>
          <w:szCs w:val="22"/>
        </w:rPr>
        <w:t>États Parties</w:t>
      </w:r>
      <w:r>
        <w:rPr>
          <w:rFonts w:ascii="Arial" w:hAnsi="Arial" w:cs="Arial"/>
          <w:sz w:val="22"/>
          <w:szCs w:val="22"/>
        </w:rPr>
        <w:t>,</w:t>
      </w:r>
      <w:r w:rsidRPr="00C75F66">
        <w:rPr>
          <w:rFonts w:ascii="Arial" w:hAnsi="Arial" w:cs="Arial"/>
          <w:sz w:val="22"/>
          <w:szCs w:val="22"/>
        </w:rPr>
        <w:t xml:space="preserve"> conformément aux objectifs et provisions de la Convention </w:t>
      </w:r>
      <w:r w:rsidRPr="00C97CD0">
        <w:rPr>
          <w:rFonts w:ascii="Arial" w:hAnsi="Arial" w:cs="Arial"/>
          <w:sz w:val="22"/>
          <w:szCs w:val="22"/>
        </w:rPr>
        <w:t>;</w:t>
      </w:r>
    </w:p>
    <w:p w14:paraId="18E43855" w14:textId="1C7428A7" w:rsidR="0001502D" w:rsidRPr="0001502D" w:rsidRDefault="0001502D" w:rsidP="00771F30">
      <w:pPr>
        <w:numPr>
          <w:ilvl w:val="1"/>
          <w:numId w:val="27"/>
        </w:numPr>
        <w:tabs>
          <w:tab w:val="left" w:pos="567"/>
          <w:tab w:val="left" w:pos="1701"/>
          <w:tab w:val="left" w:pos="2268"/>
        </w:tabs>
        <w:spacing w:before="120" w:after="120"/>
        <w:jc w:val="both"/>
        <w:rPr>
          <w:rFonts w:ascii="Arial" w:hAnsi="Arial" w:cs="Arial"/>
          <w:sz w:val="22"/>
          <w:szCs w:val="22"/>
          <w:lang w:eastAsia="ko-KR"/>
        </w:rPr>
      </w:pPr>
      <w:r w:rsidRPr="0001502D">
        <w:rPr>
          <w:rFonts w:ascii="Arial" w:hAnsi="Arial" w:cs="Arial"/>
          <w:sz w:val="22"/>
          <w:szCs w:val="22"/>
          <w:u w:val="single"/>
          <w:lang w:eastAsia="ko-KR"/>
        </w:rPr>
        <w:t>Encourage</w:t>
      </w:r>
      <w:r w:rsidRPr="0001502D">
        <w:rPr>
          <w:rFonts w:ascii="Arial" w:hAnsi="Arial" w:cs="Arial"/>
          <w:sz w:val="22"/>
          <w:szCs w:val="22"/>
          <w:lang w:eastAsia="ko-KR"/>
        </w:rPr>
        <w:t xml:space="preserve"> l</w:t>
      </w:r>
      <w:r w:rsidR="009C104E">
        <w:rPr>
          <w:rFonts w:ascii="Arial" w:hAnsi="Arial" w:cs="Arial"/>
          <w:sz w:val="22"/>
          <w:szCs w:val="22"/>
          <w:lang w:eastAsia="ko-KR"/>
        </w:rPr>
        <w:t>’</w:t>
      </w:r>
      <w:r w:rsidRPr="0001502D">
        <w:rPr>
          <w:rFonts w:ascii="Arial" w:hAnsi="Arial" w:cs="Arial"/>
          <w:sz w:val="22"/>
          <w:szCs w:val="22"/>
          <w:lang w:eastAsia="ko-KR"/>
        </w:rPr>
        <w:t>État partie</w:t>
      </w:r>
      <w:r w:rsidR="00DF0177" w:rsidRPr="00DF0177">
        <w:rPr>
          <w:rFonts w:ascii="Arial" w:hAnsi="Arial" w:cs="Arial"/>
          <w:sz w:val="22"/>
          <w:szCs w:val="22"/>
          <w:lang w:eastAsia="ko-KR"/>
        </w:rPr>
        <w:t>, lors de la soumission de dossiers de candidature dans le futur,</w:t>
      </w:r>
      <w:r w:rsidRPr="0001502D">
        <w:rPr>
          <w:rFonts w:ascii="Arial" w:hAnsi="Arial" w:cs="Arial"/>
          <w:sz w:val="22"/>
          <w:szCs w:val="22"/>
          <w:lang w:eastAsia="ko-KR"/>
        </w:rPr>
        <w:t xml:space="preserve"> à éviter </w:t>
      </w:r>
      <w:r w:rsidR="00DF0177">
        <w:rPr>
          <w:rFonts w:ascii="Arial" w:hAnsi="Arial" w:cs="Arial"/>
          <w:sz w:val="22"/>
          <w:szCs w:val="22"/>
          <w:lang w:eastAsia="ko-KR"/>
        </w:rPr>
        <w:t>l</w:t>
      </w:r>
      <w:r w:rsidRPr="0001502D">
        <w:rPr>
          <w:rFonts w:ascii="Arial" w:hAnsi="Arial" w:cs="Arial"/>
          <w:sz w:val="22"/>
          <w:szCs w:val="22"/>
          <w:lang w:eastAsia="ko-KR"/>
        </w:rPr>
        <w:t>es lettres de consentement standardisées</w:t>
      </w:r>
      <w:r w:rsidR="00DF0177">
        <w:rPr>
          <w:rFonts w:ascii="Arial" w:hAnsi="Arial" w:cs="Arial"/>
          <w:sz w:val="22"/>
          <w:szCs w:val="22"/>
          <w:lang w:eastAsia="ko-KR"/>
        </w:rPr>
        <w:t> </w:t>
      </w:r>
      <w:r w:rsidRPr="0001502D">
        <w:rPr>
          <w:rFonts w:ascii="Arial" w:hAnsi="Arial" w:cs="Arial"/>
          <w:sz w:val="22"/>
          <w:szCs w:val="22"/>
          <w:lang w:eastAsia="ko-KR"/>
        </w:rPr>
        <w:t>;</w:t>
      </w:r>
    </w:p>
    <w:p w14:paraId="0651D8FE" w14:textId="7C2DA9FB" w:rsidR="0001502D" w:rsidRPr="0001502D" w:rsidRDefault="0001502D" w:rsidP="00771F30">
      <w:pPr>
        <w:numPr>
          <w:ilvl w:val="1"/>
          <w:numId w:val="27"/>
        </w:numPr>
        <w:tabs>
          <w:tab w:val="left" w:pos="567"/>
          <w:tab w:val="left" w:pos="1701"/>
          <w:tab w:val="left" w:pos="2268"/>
        </w:tabs>
        <w:spacing w:before="120" w:after="120"/>
        <w:jc w:val="both"/>
        <w:rPr>
          <w:rFonts w:ascii="Arial" w:eastAsia="Arial" w:hAnsi="Arial" w:cs="Arial"/>
          <w:sz w:val="22"/>
          <w:szCs w:val="22"/>
          <w:lang w:eastAsia="ko-KR"/>
        </w:rPr>
      </w:pPr>
      <w:r w:rsidRPr="0001502D">
        <w:rPr>
          <w:rFonts w:ascii="Arial" w:hAnsi="Arial" w:cs="Arial"/>
          <w:sz w:val="22"/>
          <w:szCs w:val="22"/>
          <w:u w:val="single"/>
          <w:lang w:eastAsia="ko-KR"/>
        </w:rPr>
        <w:t>Encourage en outre</w:t>
      </w:r>
      <w:r w:rsidRPr="0001502D">
        <w:rPr>
          <w:rFonts w:ascii="Arial" w:hAnsi="Arial" w:cs="Arial"/>
          <w:sz w:val="22"/>
          <w:szCs w:val="22"/>
          <w:lang w:eastAsia="ko-KR"/>
        </w:rPr>
        <w:t xml:space="preserve"> l</w:t>
      </w:r>
      <w:r w:rsidR="009C104E">
        <w:rPr>
          <w:rFonts w:ascii="Arial" w:hAnsi="Arial" w:cs="Arial"/>
          <w:sz w:val="22"/>
          <w:szCs w:val="22"/>
          <w:lang w:eastAsia="ko-KR"/>
        </w:rPr>
        <w:t>’</w:t>
      </w:r>
      <w:r w:rsidRPr="0001502D">
        <w:rPr>
          <w:rFonts w:ascii="Arial" w:hAnsi="Arial" w:cs="Arial"/>
          <w:sz w:val="22"/>
          <w:szCs w:val="22"/>
          <w:lang w:eastAsia="ko-KR"/>
        </w:rPr>
        <w:t>État</w:t>
      </w:r>
      <w:r w:rsidRPr="0001502D" w:rsidDel="00AE2F94">
        <w:rPr>
          <w:rFonts w:ascii="Arial" w:hAnsi="Arial" w:cs="Arial"/>
          <w:sz w:val="22"/>
          <w:szCs w:val="22"/>
          <w:lang w:eastAsia="ko-KR"/>
        </w:rPr>
        <w:t xml:space="preserve"> </w:t>
      </w:r>
      <w:r w:rsidRPr="0001502D">
        <w:rPr>
          <w:rFonts w:ascii="Arial" w:hAnsi="Arial" w:cs="Arial"/>
          <w:sz w:val="22"/>
          <w:szCs w:val="22"/>
          <w:lang w:eastAsia="ko-KR"/>
        </w:rPr>
        <w:t xml:space="preserve">partie à éviter les approches descendantes tout au long du processus de </w:t>
      </w:r>
      <w:r w:rsidRPr="0001502D">
        <w:rPr>
          <w:rFonts w:ascii="Arial" w:hAnsi="Arial" w:cs="Arial"/>
          <w:color w:val="000000"/>
          <w:sz w:val="22"/>
          <w:szCs w:val="22"/>
          <w:lang w:eastAsia="ko-KR"/>
        </w:rPr>
        <w:t>sauvegarde du patrimoine culturel immatériel en s</w:t>
      </w:r>
      <w:r w:rsidR="009C104E">
        <w:rPr>
          <w:rFonts w:ascii="Arial" w:hAnsi="Arial" w:cs="Arial"/>
          <w:color w:val="000000"/>
          <w:sz w:val="22"/>
          <w:szCs w:val="22"/>
          <w:lang w:eastAsia="ko-KR"/>
        </w:rPr>
        <w:t>’</w:t>
      </w:r>
      <w:r w:rsidRPr="0001502D">
        <w:rPr>
          <w:rFonts w:ascii="Arial" w:hAnsi="Arial" w:cs="Arial"/>
          <w:color w:val="000000"/>
          <w:sz w:val="22"/>
          <w:szCs w:val="22"/>
          <w:lang w:eastAsia="ko-KR"/>
        </w:rPr>
        <w:t>assurant que les communautés sont au cœur de tous les efforts de sauvegarde</w:t>
      </w:r>
      <w:r w:rsidRPr="0001502D">
        <w:rPr>
          <w:rFonts w:ascii="Arial" w:hAnsi="Arial" w:cs="Arial"/>
          <w:sz w:val="22"/>
          <w:szCs w:val="22"/>
          <w:lang w:eastAsia="ko-KR"/>
        </w:rPr>
        <w:t> ;</w:t>
      </w:r>
    </w:p>
    <w:p w14:paraId="0CFE4006" w14:textId="31CA95E5" w:rsidR="0001502D" w:rsidRPr="0001502D" w:rsidRDefault="0001502D" w:rsidP="00771F30">
      <w:pPr>
        <w:numPr>
          <w:ilvl w:val="1"/>
          <w:numId w:val="27"/>
        </w:numPr>
        <w:tabs>
          <w:tab w:val="left" w:pos="567"/>
          <w:tab w:val="left" w:pos="1701"/>
          <w:tab w:val="left" w:pos="2268"/>
        </w:tabs>
        <w:spacing w:before="120" w:after="120"/>
        <w:jc w:val="both"/>
        <w:rPr>
          <w:rFonts w:ascii="Arial" w:hAnsi="Arial" w:cs="Arial"/>
          <w:sz w:val="22"/>
          <w:szCs w:val="22"/>
          <w:lang w:eastAsia="ko-KR"/>
        </w:rPr>
      </w:pPr>
      <w:r w:rsidRPr="0001502D">
        <w:rPr>
          <w:rFonts w:ascii="Arial" w:hAnsi="Arial" w:cs="Arial"/>
          <w:sz w:val="22"/>
          <w:szCs w:val="22"/>
          <w:u w:val="single"/>
          <w:lang w:eastAsia="ko-KR"/>
        </w:rPr>
        <w:t>Rappelle</w:t>
      </w:r>
      <w:r w:rsidRPr="0001502D">
        <w:rPr>
          <w:rFonts w:ascii="Arial" w:hAnsi="Arial" w:cs="Arial"/>
          <w:sz w:val="22"/>
          <w:szCs w:val="22"/>
          <w:lang w:eastAsia="ko-KR"/>
        </w:rPr>
        <w:t xml:space="preserve"> à l</w:t>
      </w:r>
      <w:r w:rsidR="009C104E">
        <w:rPr>
          <w:rFonts w:ascii="Arial" w:hAnsi="Arial" w:cs="Arial"/>
          <w:sz w:val="22"/>
          <w:szCs w:val="22"/>
          <w:lang w:eastAsia="ko-KR"/>
        </w:rPr>
        <w:t>’</w:t>
      </w:r>
      <w:r w:rsidRPr="0001502D">
        <w:rPr>
          <w:rFonts w:ascii="Arial" w:hAnsi="Arial" w:cs="Arial"/>
          <w:sz w:val="22"/>
          <w:szCs w:val="22"/>
          <w:lang w:eastAsia="ko-KR"/>
        </w:rPr>
        <w:t>État partie que la mise à jour est un aspect important du processus d</w:t>
      </w:r>
      <w:r w:rsidR="009C104E">
        <w:rPr>
          <w:rFonts w:ascii="Arial" w:hAnsi="Arial" w:cs="Arial"/>
          <w:sz w:val="22"/>
          <w:szCs w:val="22"/>
          <w:lang w:eastAsia="ko-KR"/>
        </w:rPr>
        <w:t>’</w:t>
      </w:r>
      <w:r w:rsidRPr="0001502D">
        <w:rPr>
          <w:rFonts w:ascii="Arial" w:hAnsi="Arial" w:cs="Arial"/>
          <w:sz w:val="22"/>
          <w:szCs w:val="22"/>
          <w:lang w:eastAsia="ko-KR"/>
        </w:rPr>
        <w:t>élaboration des inventaires et l</w:t>
      </w:r>
      <w:r w:rsidR="009C104E">
        <w:rPr>
          <w:rFonts w:ascii="Arial" w:hAnsi="Arial" w:cs="Arial"/>
          <w:sz w:val="22"/>
          <w:szCs w:val="22"/>
          <w:lang w:eastAsia="ko-KR"/>
        </w:rPr>
        <w:t>’</w:t>
      </w:r>
      <w:r w:rsidRPr="0001502D">
        <w:rPr>
          <w:rFonts w:ascii="Arial" w:hAnsi="Arial" w:cs="Arial"/>
          <w:sz w:val="22"/>
          <w:szCs w:val="22"/>
          <w:u w:val="single"/>
          <w:lang w:eastAsia="ko-KR"/>
        </w:rPr>
        <w:t>invite</w:t>
      </w:r>
      <w:r w:rsidRPr="0001502D">
        <w:rPr>
          <w:rFonts w:ascii="Arial" w:hAnsi="Arial" w:cs="Arial"/>
          <w:sz w:val="22"/>
          <w:szCs w:val="22"/>
          <w:lang w:eastAsia="ko-KR"/>
        </w:rPr>
        <w:t xml:space="preserve"> à inclure, dans son prochain rapport périodique sur la mise en œuvre de la Convention au niveau national, des informations sur la périodicité de la mise à jour de l</w:t>
      </w:r>
      <w:r w:rsidR="009C104E">
        <w:rPr>
          <w:rFonts w:ascii="Arial" w:hAnsi="Arial" w:cs="Arial"/>
          <w:sz w:val="22"/>
          <w:szCs w:val="22"/>
          <w:lang w:eastAsia="ko-KR"/>
        </w:rPr>
        <w:t>’</w:t>
      </w:r>
      <w:r w:rsidRPr="0001502D">
        <w:rPr>
          <w:rFonts w:ascii="Arial" w:hAnsi="Arial" w:cs="Arial"/>
          <w:sz w:val="22"/>
          <w:szCs w:val="22"/>
          <w:lang w:eastAsia="ko-KR"/>
        </w:rPr>
        <w:t>Inventaire national du patrimoine culturel immatériel de l</w:t>
      </w:r>
      <w:r w:rsidR="009C104E">
        <w:rPr>
          <w:rFonts w:ascii="Arial" w:hAnsi="Arial" w:cs="Arial"/>
          <w:sz w:val="22"/>
          <w:szCs w:val="22"/>
          <w:lang w:eastAsia="ko-KR"/>
        </w:rPr>
        <w:t>’</w:t>
      </w:r>
      <w:r w:rsidRPr="0001502D">
        <w:rPr>
          <w:rFonts w:ascii="Arial" w:hAnsi="Arial" w:cs="Arial"/>
          <w:sz w:val="22"/>
          <w:szCs w:val="22"/>
          <w:lang w:eastAsia="ko-KR"/>
        </w:rPr>
        <w:t>Inde, conformément à l</w:t>
      </w:r>
      <w:r w:rsidR="009C104E">
        <w:rPr>
          <w:rFonts w:ascii="Arial" w:hAnsi="Arial" w:cs="Arial"/>
          <w:sz w:val="22"/>
          <w:szCs w:val="22"/>
          <w:lang w:eastAsia="ko-KR"/>
        </w:rPr>
        <w:t>’</w:t>
      </w:r>
      <w:r w:rsidRPr="0001502D">
        <w:rPr>
          <w:rFonts w:ascii="Arial" w:hAnsi="Arial" w:cs="Arial"/>
          <w:sz w:val="22"/>
          <w:szCs w:val="22"/>
          <w:lang w:eastAsia="ko-KR"/>
        </w:rPr>
        <w:t>article 12.1 de la Convention.</w:t>
      </w:r>
    </w:p>
    <w:p w14:paraId="10EADF0E" w14:textId="2F48412C" w:rsidR="0001502D" w:rsidRPr="0001502D" w:rsidRDefault="0001502D" w:rsidP="00771F30">
      <w:pPr>
        <w:keepNext/>
        <w:keepLines/>
        <w:numPr>
          <w:ilvl w:val="0"/>
          <w:numId w:val="27"/>
        </w:numPr>
        <w:spacing w:before="360" w:after="120"/>
        <w:outlineLvl w:val="1"/>
        <w:rPr>
          <w:rFonts w:ascii="Arial" w:hAnsi="Arial" w:cs="Arial"/>
          <w:bCs/>
          <w:iCs/>
          <w:sz w:val="22"/>
          <w:szCs w:val="22"/>
        </w:rPr>
      </w:pPr>
      <w:bookmarkStart w:id="18" w:name="Decision_10b15"/>
      <w:r w:rsidRPr="0001502D">
        <w:rPr>
          <w:rFonts w:ascii="Arial" w:hAnsi="Arial" w:cs="Arial"/>
          <w:b/>
          <w:bCs/>
          <w:iCs/>
          <w:sz w:val="22"/>
          <w:szCs w:val="22"/>
        </w:rPr>
        <w:t xml:space="preserve">DÉCISION 14.COM 10.b.15 </w:t>
      </w:r>
    </w:p>
    <w:bookmarkEnd w:id="18"/>
    <w:p w14:paraId="1D7BCA65" w14:textId="77777777" w:rsidR="0001502D" w:rsidRPr="0001502D" w:rsidRDefault="0001502D" w:rsidP="008A0AF7">
      <w:pPr>
        <w:keepNext/>
        <w:tabs>
          <w:tab w:val="left" w:pos="567"/>
          <w:tab w:val="left" w:pos="1134"/>
          <w:tab w:val="left" w:pos="1701"/>
          <w:tab w:val="left" w:pos="2268"/>
        </w:tabs>
        <w:spacing w:before="120" w:after="120"/>
        <w:jc w:val="both"/>
        <w:rPr>
          <w:rFonts w:ascii="Arial" w:hAnsi="Arial" w:cs="Arial"/>
          <w:sz w:val="22"/>
          <w:szCs w:val="22"/>
        </w:rPr>
      </w:pPr>
      <w:r w:rsidRPr="0001502D">
        <w:rPr>
          <w:rFonts w:ascii="Arial" w:hAnsi="Arial" w:cs="Arial"/>
          <w:sz w:val="22"/>
          <w:szCs w:val="22"/>
        </w:rPr>
        <w:t>Le Comité,</w:t>
      </w:r>
    </w:p>
    <w:p w14:paraId="311041E9" w14:textId="643B6FC5" w:rsidR="0001502D" w:rsidRPr="0001502D" w:rsidRDefault="0001502D" w:rsidP="00771F30">
      <w:pPr>
        <w:numPr>
          <w:ilvl w:val="1"/>
          <w:numId w:val="27"/>
        </w:numPr>
        <w:tabs>
          <w:tab w:val="left" w:pos="567"/>
          <w:tab w:val="left" w:pos="1701"/>
          <w:tab w:val="left" w:pos="2268"/>
        </w:tabs>
        <w:spacing w:before="120" w:after="120"/>
        <w:jc w:val="both"/>
        <w:rPr>
          <w:rFonts w:ascii="Arial" w:hAnsi="Arial" w:cs="Arial"/>
          <w:sz w:val="22"/>
          <w:szCs w:val="22"/>
          <w:lang w:eastAsia="ko-KR"/>
        </w:rPr>
      </w:pPr>
      <w:r w:rsidRPr="0001502D">
        <w:rPr>
          <w:rFonts w:ascii="Arial" w:hAnsi="Arial" w:cs="Arial"/>
          <w:sz w:val="22"/>
          <w:szCs w:val="22"/>
          <w:u w:val="single"/>
          <w:lang w:eastAsia="ko-KR"/>
        </w:rPr>
        <w:t>Prend note</w:t>
      </w:r>
      <w:r w:rsidRPr="0001502D">
        <w:rPr>
          <w:rFonts w:ascii="Arial" w:hAnsi="Arial" w:cs="Arial"/>
          <w:sz w:val="22"/>
          <w:szCs w:val="22"/>
          <w:lang w:eastAsia="ko-KR"/>
        </w:rPr>
        <w:t xml:space="preserve"> que l</w:t>
      </w:r>
      <w:r w:rsidR="009C104E">
        <w:rPr>
          <w:rFonts w:ascii="Arial" w:hAnsi="Arial" w:cs="Arial"/>
          <w:sz w:val="22"/>
          <w:szCs w:val="22"/>
          <w:lang w:eastAsia="ko-KR"/>
        </w:rPr>
        <w:t>’</w:t>
      </w:r>
      <w:r w:rsidRPr="0001502D">
        <w:rPr>
          <w:rFonts w:ascii="Arial" w:hAnsi="Arial" w:cs="Arial"/>
          <w:sz w:val="22"/>
          <w:szCs w:val="22"/>
          <w:lang w:eastAsia="ko-KR"/>
        </w:rPr>
        <w:t xml:space="preserve">Indonésie a proposé la candidature </w:t>
      </w:r>
      <w:r w:rsidR="00F35A99">
        <w:rPr>
          <w:rFonts w:ascii="Arial" w:hAnsi="Arial" w:cs="Arial"/>
          <w:b/>
          <w:bCs/>
          <w:sz w:val="22"/>
          <w:szCs w:val="22"/>
          <w:lang w:eastAsia="ko-KR"/>
        </w:rPr>
        <w:t xml:space="preserve">des traditions </w:t>
      </w:r>
      <w:r w:rsidRPr="0001502D">
        <w:rPr>
          <w:rFonts w:ascii="Arial" w:hAnsi="Arial" w:cs="Arial"/>
          <w:b/>
          <w:bCs/>
          <w:sz w:val="22"/>
          <w:szCs w:val="22"/>
          <w:lang w:eastAsia="ko-KR"/>
        </w:rPr>
        <w:t xml:space="preserve">du pencak silat </w:t>
      </w:r>
      <w:r w:rsidRPr="0001502D">
        <w:rPr>
          <w:rFonts w:ascii="Arial" w:hAnsi="Arial" w:cs="Arial"/>
          <w:sz w:val="22"/>
          <w:szCs w:val="22"/>
          <w:lang w:eastAsia="ko-KR"/>
        </w:rPr>
        <w:t>(n° 01391) pour inscription sur la Liste représentative du patrimoine culturel immatériel de l</w:t>
      </w:r>
      <w:r w:rsidR="009C104E">
        <w:rPr>
          <w:rFonts w:ascii="Arial" w:hAnsi="Arial" w:cs="Arial"/>
          <w:sz w:val="22"/>
          <w:szCs w:val="22"/>
          <w:lang w:eastAsia="ko-KR"/>
        </w:rPr>
        <w:t>’</w:t>
      </w:r>
      <w:r w:rsidRPr="0001502D">
        <w:rPr>
          <w:rFonts w:ascii="Arial" w:hAnsi="Arial" w:cs="Arial"/>
          <w:sz w:val="22"/>
          <w:szCs w:val="22"/>
          <w:lang w:eastAsia="ko-KR"/>
        </w:rPr>
        <w:t>humanité :</w:t>
      </w:r>
    </w:p>
    <w:p w14:paraId="57BD4A7B" w14:textId="5253309A" w:rsidR="0001502D" w:rsidRPr="0001502D" w:rsidRDefault="0001502D" w:rsidP="008A0AF7">
      <w:pPr>
        <w:tabs>
          <w:tab w:val="left" w:pos="567"/>
          <w:tab w:val="left" w:pos="1701"/>
          <w:tab w:val="left" w:pos="2268"/>
        </w:tabs>
        <w:spacing w:before="120" w:after="120"/>
        <w:ind w:left="567"/>
        <w:jc w:val="both"/>
        <w:rPr>
          <w:rFonts w:ascii="Arial" w:hAnsi="Arial" w:cs="Arial"/>
          <w:sz w:val="22"/>
          <w:szCs w:val="22"/>
        </w:rPr>
      </w:pPr>
      <w:r w:rsidRPr="0001502D">
        <w:rPr>
          <w:rFonts w:ascii="Arial" w:hAnsi="Arial" w:cs="Arial"/>
          <w:sz w:val="22"/>
          <w:szCs w:val="22"/>
        </w:rPr>
        <w:t xml:space="preserve">En plus de </w:t>
      </w:r>
      <w:r w:rsidR="00F35A99">
        <w:rPr>
          <w:rFonts w:ascii="Arial" w:hAnsi="Arial" w:cs="Arial"/>
          <w:sz w:val="22"/>
          <w:szCs w:val="22"/>
        </w:rPr>
        <w:t>leur</w:t>
      </w:r>
      <w:r w:rsidR="00F35A99" w:rsidRPr="0001502D">
        <w:rPr>
          <w:rFonts w:ascii="Arial" w:hAnsi="Arial" w:cs="Arial"/>
          <w:sz w:val="22"/>
          <w:szCs w:val="22"/>
        </w:rPr>
        <w:t xml:space="preserve"> </w:t>
      </w:r>
      <w:r w:rsidRPr="0001502D">
        <w:rPr>
          <w:rFonts w:ascii="Arial" w:hAnsi="Arial" w:cs="Arial"/>
          <w:sz w:val="22"/>
          <w:szCs w:val="22"/>
        </w:rPr>
        <w:t xml:space="preserve">dimension sportive, </w:t>
      </w:r>
      <w:r w:rsidR="00F35A99">
        <w:rPr>
          <w:rFonts w:ascii="Arial" w:hAnsi="Arial" w:cs="Arial"/>
          <w:sz w:val="22"/>
          <w:szCs w:val="22"/>
        </w:rPr>
        <w:t xml:space="preserve">les traditions </w:t>
      </w:r>
      <w:r w:rsidRPr="0001502D">
        <w:rPr>
          <w:rFonts w:ascii="Arial" w:hAnsi="Arial" w:cs="Arial"/>
          <w:sz w:val="22"/>
          <w:szCs w:val="22"/>
        </w:rPr>
        <w:t xml:space="preserve">du pencak silat </w:t>
      </w:r>
      <w:r w:rsidR="00F35A99">
        <w:rPr>
          <w:rFonts w:ascii="Arial" w:hAnsi="Arial" w:cs="Arial"/>
          <w:sz w:val="22"/>
          <w:szCs w:val="22"/>
        </w:rPr>
        <w:t>comprennent</w:t>
      </w:r>
      <w:r w:rsidR="00F35A99" w:rsidRPr="0001502D">
        <w:rPr>
          <w:rFonts w:ascii="Arial" w:hAnsi="Arial" w:cs="Arial"/>
          <w:sz w:val="22"/>
          <w:szCs w:val="22"/>
        </w:rPr>
        <w:t xml:space="preserve"> </w:t>
      </w:r>
      <w:r w:rsidRPr="0001502D">
        <w:rPr>
          <w:rFonts w:ascii="Arial" w:hAnsi="Arial" w:cs="Arial"/>
          <w:sz w:val="22"/>
          <w:szCs w:val="22"/>
        </w:rPr>
        <w:t>aussi des aspects mental et spirituel, d</w:t>
      </w:r>
      <w:r w:rsidR="009C104E">
        <w:rPr>
          <w:rFonts w:ascii="Arial" w:hAnsi="Arial" w:cs="Arial"/>
          <w:sz w:val="22"/>
          <w:szCs w:val="22"/>
        </w:rPr>
        <w:t>’</w:t>
      </w:r>
      <w:r w:rsidRPr="0001502D">
        <w:rPr>
          <w:rFonts w:ascii="Arial" w:hAnsi="Arial" w:cs="Arial"/>
          <w:sz w:val="22"/>
          <w:szCs w:val="22"/>
        </w:rPr>
        <w:t>autodéfense et artistique.</w:t>
      </w:r>
      <w:r w:rsidRPr="0001502D" w:rsidDel="00176E14">
        <w:rPr>
          <w:rFonts w:ascii="Arial" w:hAnsi="Arial" w:cs="Arial"/>
          <w:sz w:val="22"/>
          <w:szCs w:val="22"/>
        </w:rPr>
        <w:t xml:space="preserve"> </w:t>
      </w:r>
      <w:r w:rsidRPr="0001502D">
        <w:rPr>
          <w:rFonts w:ascii="Arial" w:hAnsi="Arial" w:cs="Arial"/>
          <w:sz w:val="22"/>
          <w:szCs w:val="22"/>
        </w:rPr>
        <w:t>Les mouvements et les styles de pencak silat sont fortement influencés par divers éléments artistiques, reposant sur une unité entre le corps et le mouvement, en adéquation avec l</w:t>
      </w:r>
      <w:r w:rsidR="009C104E">
        <w:rPr>
          <w:rFonts w:ascii="Arial" w:hAnsi="Arial" w:cs="Arial"/>
          <w:sz w:val="22"/>
          <w:szCs w:val="22"/>
        </w:rPr>
        <w:t>’</w:t>
      </w:r>
      <w:r w:rsidRPr="0001502D">
        <w:rPr>
          <w:rFonts w:ascii="Arial" w:hAnsi="Arial" w:cs="Arial"/>
          <w:sz w:val="22"/>
          <w:szCs w:val="22"/>
        </w:rPr>
        <w:t>accompagnement musical. Le terme « </w:t>
      </w:r>
      <w:r w:rsidRPr="0001502D">
        <w:rPr>
          <w:rFonts w:ascii="Arial" w:hAnsi="Arial" w:cs="Arial"/>
          <w:iCs/>
          <w:sz w:val="22"/>
          <w:szCs w:val="22"/>
        </w:rPr>
        <w:t>pencak »</w:t>
      </w:r>
      <w:r w:rsidRPr="0001502D">
        <w:rPr>
          <w:rFonts w:ascii="Arial" w:hAnsi="Arial" w:cs="Arial"/>
          <w:sz w:val="22"/>
          <w:szCs w:val="22"/>
        </w:rPr>
        <w:t xml:space="preserve"> est surtout connu à Java, tandis que le terme « </w:t>
      </w:r>
      <w:r w:rsidRPr="0001502D">
        <w:rPr>
          <w:rFonts w:ascii="Arial" w:hAnsi="Arial" w:cs="Arial"/>
          <w:iCs/>
          <w:sz w:val="22"/>
          <w:szCs w:val="22"/>
        </w:rPr>
        <w:t>silat »</w:t>
      </w:r>
      <w:r w:rsidRPr="0001502D">
        <w:rPr>
          <w:rFonts w:ascii="Arial" w:hAnsi="Arial" w:cs="Arial"/>
          <w:sz w:val="22"/>
          <w:szCs w:val="22"/>
        </w:rPr>
        <w:t xml:space="preserve"> est privilégié dans le Sumatra occidental pour décrire un ensemble d</w:t>
      </w:r>
      <w:r w:rsidR="009C104E">
        <w:rPr>
          <w:rFonts w:ascii="Arial" w:hAnsi="Arial" w:cs="Arial"/>
          <w:sz w:val="22"/>
          <w:szCs w:val="22"/>
        </w:rPr>
        <w:t>’</w:t>
      </w:r>
      <w:r w:rsidRPr="0001502D">
        <w:rPr>
          <w:rFonts w:ascii="Arial" w:hAnsi="Arial" w:cs="Arial"/>
          <w:sz w:val="22"/>
          <w:szCs w:val="22"/>
        </w:rPr>
        <w:t>arts martiaux présentant de nombreuses similarités. En plus de termes locaux, chaque région a ses propres mouvements, styles, accompagnements, musiques et équipements connexes qui incluent des costumes, des instruments de musique et des armes traditionnelles. Les praticiens du pencak silat apprennent à préserver leur lien avec Dieu, les êtres humains et la nature, et ils sont formés à différentes techniques pour apprendre à faire face aux attaques ou à d</w:t>
      </w:r>
      <w:r w:rsidR="009C104E">
        <w:rPr>
          <w:rFonts w:ascii="Arial" w:hAnsi="Arial" w:cs="Arial"/>
          <w:sz w:val="22"/>
          <w:szCs w:val="22"/>
        </w:rPr>
        <w:t>’</w:t>
      </w:r>
      <w:r w:rsidRPr="0001502D">
        <w:rPr>
          <w:rFonts w:ascii="Arial" w:hAnsi="Arial" w:cs="Arial"/>
          <w:sz w:val="22"/>
          <w:szCs w:val="22"/>
        </w:rPr>
        <w:t>autres situations dangereuses en s</w:t>
      </w:r>
      <w:r w:rsidR="009C104E">
        <w:rPr>
          <w:rFonts w:ascii="Arial" w:hAnsi="Arial" w:cs="Arial"/>
          <w:sz w:val="22"/>
          <w:szCs w:val="22"/>
        </w:rPr>
        <w:t>’</w:t>
      </w:r>
      <w:r w:rsidRPr="0001502D">
        <w:rPr>
          <w:rFonts w:ascii="Arial" w:hAnsi="Arial" w:cs="Arial"/>
          <w:sz w:val="22"/>
          <w:szCs w:val="22"/>
        </w:rPr>
        <w:t>appuyant sur des principes d</w:t>
      </w:r>
      <w:r w:rsidR="009C104E">
        <w:rPr>
          <w:rFonts w:ascii="Arial" w:hAnsi="Arial" w:cs="Arial"/>
          <w:sz w:val="22"/>
          <w:szCs w:val="22"/>
        </w:rPr>
        <w:t>’</w:t>
      </w:r>
      <w:r w:rsidRPr="0001502D">
        <w:rPr>
          <w:rFonts w:ascii="Arial" w:hAnsi="Arial" w:cs="Arial"/>
          <w:sz w:val="22"/>
          <w:szCs w:val="22"/>
        </w:rPr>
        <w:t>autodéfense et de protection des autres, en évitant de blesser l</w:t>
      </w:r>
      <w:r w:rsidR="009C104E">
        <w:rPr>
          <w:rFonts w:ascii="Arial" w:hAnsi="Arial" w:cs="Arial"/>
          <w:sz w:val="22"/>
          <w:szCs w:val="22"/>
        </w:rPr>
        <w:t>’</w:t>
      </w:r>
      <w:r w:rsidRPr="0001502D">
        <w:rPr>
          <w:rFonts w:ascii="Arial" w:hAnsi="Arial" w:cs="Arial"/>
          <w:sz w:val="22"/>
          <w:szCs w:val="22"/>
        </w:rPr>
        <w:t>agresseur et en développant un esprit de camaraderie. La pratique renforce la camaraderie, préserve l</w:t>
      </w:r>
      <w:r w:rsidR="009C104E">
        <w:rPr>
          <w:rFonts w:ascii="Arial" w:hAnsi="Arial" w:cs="Arial"/>
          <w:sz w:val="22"/>
          <w:szCs w:val="22"/>
        </w:rPr>
        <w:t>’</w:t>
      </w:r>
      <w:r w:rsidRPr="0001502D">
        <w:rPr>
          <w:rFonts w:ascii="Arial" w:hAnsi="Arial" w:cs="Arial"/>
          <w:sz w:val="22"/>
          <w:szCs w:val="22"/>
        </w:rPr>
        <w:t>ordre social et anime les cérémonies rituelles. Les connaissances et savoir-faire associés sont généralement enseignés dans des établissements d</w:t>
      </w:r>
      <w:r w:rsidR="009C104E">
        <w:rPr>
          <w:rFonts w:ascii="Arial" w:hAnsi="Arial" w:cs="Arial"/>
          <w:sz w:val="22"/>
          <w:szCs w:val="22"/>
        </w:rPr>
        <w:t>’</w:t>
      </w:r>
      <w:r w:rsidRPr="0001502D">
        <w:rPr>
          <w:rFonts w:ascii="Arial" w:hAnsi="Arial" w:cs="Arial"/>
          <w:sz w:val="22"/>
          <w:szCs w:val="22"/>
        </w:rPr>
        <w:t>enseignement non formel et incluent des expressions et traditions orales comme les salutations, les phrases philosophiques, les poèmes rimés, les conseils, ainsi que des chants et des techniques pour jouer les instruments.</w:t>
      </w:r>
    </w:p>
    <w:p w14:paraId="13DF2B6D" w14:textId="25989EE4" w:rsidR="0001502D" w:rsidRPr="0001502D" w:rsidRDefault="0001502D" w:rsidP="00771F30">
      <w:pPr>
        <w:keepNext/>
        <w:numPr>
          <w:ilvl w:val="1"/>
          <w:numId w:val="27"/>
        </w:numPr>
        <w:tabs>
          <w:tab w:val="left" w:pos="567"/>
          <w:tab w:val="left" w:pos="1701"/>
          <w:tab w:val="left" w:pos="2268"/>
        </w:tabs>
        <w:spacing w:before="120" w:after="120"/>
        <w:jc w:val="both"/>
        <w:rPr>
          <w:rFonts w:ascii="Arial" w:hAnsi="Arial" w:cs="Arial"/>
          <w:sz w:val="22"/>
          <w:szCs w:val="22"/>
          <w:lang w:eastAsia="ko-KR"/>
        </w:rPr>
      </w:pPr>
      <w:r w:rsidRPr="0001502D">
        <w:rPr>
          <w:rFonts w:ascii="Arial" w:hAnsi="Arial" w:cs="Arial"/>
          <w:sz w:val="22"/>
          <w:szCs w:val="22"/>
          <w:u w:val="single"/>
          <w:lang w:eastAsia="ko-KR"/>
        </w:rPr>
        <w:t>Estime</w:t>
      </w:r>
      <w:r w:rsidRPr="0001502D">
        <w:rPr>
          <w:rFonts w:ascii="Arial" w:hAnsi="Arial" w:cs="Arial"/>
          <w:sz w:val="22"/>
          <w:szCs w:val="22"/>
          <w:lang w:eastAsia="ko-KR"/>
        </w:rPr>
        <w:t xml:space="preserve"> que, d</w:t>
      </w:r>
      <w:r w:rsidR="009C104E">
        <w:rPr>
          <w:rFonts w:ascii="Arial" w:hAnsi="Arial" w:cs="Arial"/>
          <w:sz w:val="22"/>
          <w:szCs w:val="22"/>
          <w:lang w:eastAsia="ko-KR"/>
        </w:rPr>
        <w:t>’</w:t>
      </w:r>
      <w:r w:rsidRPr="0001502D">
        <w:rPr>
          <w:rFonts w:ascii="Arial" w:hAnsi="Arial" w:cs="Arial"/>
          <w:sz w:val="22"/>
          <w:szCs w:val="22"/>
          <w:lang w:eastAsia="ko-KR"/>
        </w:rPr>
        <w:t>après les informations contenues dans le dossier, la candidature satisfait aux critères d</w:t>
      </w:r>
      <w:r w:rsidR="009C104E">
        <w:rPr>
          <w:rFonts w:ascii="Arial" w:hAnsi="Arial" w:cs="Arial"/>
          <w:sz w:val="22"/>
          <w:szCs w:val="22"/>
          <w:lang w:eastAsia="ko-KR"/>
        </w:rPr>
        <w:t>’</w:t>
      </w:r>
      <w:r w:rsidRPr="0001502D">
        <w:rPr>
          <w:rFonts w:ascii="Arial" w:hAnsi="Arial" w:cs="Arial"/>
          <w:sz w:val="22"/>
          <w:szCs w:val="22"/>
          <w:lang w:eastAsia="ko-KR"/>
        </w:rPr>
        <w:t>inscription sur la Liste représentative du patrimoine culturel immatériel de l</w:t>
      </w:r>
      <w:r w:rsidR="009C104E">
        <w:rPr>
          <w:rFonts w:ascii="Arial" w:hAnsi="Arial" w:cs="Arial"/>
          <w:sz w:val="22"/>
          <w:szCs w:val="22"/>
          <w:lang w:eastAsia="ko-KR"/>
        </w:rPr>
        <w:t>’</w:t>
      </w:r>
      <w:r w:rsidRPr="0001502D">
        <w:rPr>
          <w:rFonts w:ascii="Arial" w:hAnsi="Arial" w:cs="Arial"/>
          <w:sz w:val="22"/>
          <w:szCs w:val="22"/>
          <w:lang w:eastAsia="ko-KR"/>
        </w:rPr>
        <w:t>humanité comme suit :</w:t>
      </w:r>
    </w:p>
    <w:p w14:paraId="7391A6CC" w14:textId="5C7C72D6" w:rsidR="0001502D" w:rsidRPr="0001502D" w:rsidRDefault="0001502D" w:rsidP="008A0AF7">
      <w:pPr>
        <w:tabs>
          <w:tab w:val="left" w:pos="1134"/>
          <w:tab w:val="left" w:pos="2268"/>
        </w:tabs>
        <w:spacing w:before="120" w:after="120"/>
        <w:ind w:left="1134" w:hanging="567"/>
        <w:jc w:val="both"/>
        <w:rPr>
          <w:rFonts w:ascii="Arial" w:hAnsi="Arial" w:cs="Arial"/>
          <w:sz w:val="22"/>
          <w:szCs w:val="22"/>
        </w:rPr>
      </w:pPr>
      <w:r w:rsidRPr="0001502D">
        <w:rPr>
          <w:rFonts w:ascii="Arial" w:hAnsi="Arial" w:cs="Arial"/>
          <w:sz w:val="22"/>
          <w:szCs w:val="22"/>
        </w:rPr>
        <w:t xml:space="preserve">R.1 : </w:t>
      </w:r>
      <w:r w:rsidRPr="0001502D">
        <w:rPr>
          <w:rFonts w:ascii="Arial" w:hAnsi="Arial" w:cs="Arial"/>
          <w:sz w:val="22"/>
          <w:szCs w:val="22"/>
        </w:rPr>
        <w:tab/>
      </w:r>
      <w:r w:rsidR="00F35A99">
        <w:rPr>
          <w:rFonts w:ascii="Arial" w:hAnsi="Arial" w:cs="Arial"/>
          <w:sz w:val="22"/>
          <w:szCs w:val="22"/>
        </w:rPr>
        <w:t>Les traditions</w:t>
      </w:r>
      <w:r w:rsidRPr="0001502D">
        <w:rPr>
          <w:rFonts w:ascii="Arial" w:hAnsi="Arial" w:cs="Arial"/>
          <w:sz w:val="22"/>
          <w:szCs w:val="22"/>
        </w:rPr>
        <w:t xml:space="preserve"> du pencak silat prône</w:t>
      </w:r>
      <w:r w:rsidR="00F35A99">
        <w:rPr>
          <w:rFonts w:ascii="Arial" w:hAnsi="Arial" w:cs="Arial"/>
          <w:sz w:val="22"/>
          <w:szCs w:val="22"/>
        </w:rPr>
        <w:t>nt</w:t>
      </w:r>
      <w:r w:rsidRPr="0001502D">
        <w:rPr>
          <w:rFonts w:ascii="Arial" w:hAnsi="Arial" w:cs="Arial"/>
          <w:sz w:val="22"/>
          <w:szCs w:val="22"/>
        </w:rPr>
        <w:t xml:space="preserve"> l</w:t>
      </w:r>
      <w:r w:rsidR="009C104E">
        <w:rPr>
          <w:rFonts w:ascii="Arial" w:hAnsi="Arial" w:cs="Arial"/>
          <w:sz w:val="22"/>
          <w:szCs w:val="22"/>
        </w:rPr>
        <w:t>’</w:t>
      </w:r>
      <w:r w:rsidRPr="0001502D">
        <w:rPr>
          <w:rFonts w:ascii="Arial" w:hAnsi="Arial" w:cs="Arial"/>
          <w:sz w:val="22"/>
          <w:szCs w:val="22"/>
        </w:rPr>
        <w:t>amitié et le respect mutuel. Adapté à chaque contexte régional d</w:t>
      </w:r>
      <w:r w:rsidR="009C104E">
        <w:rPr>
          <w:rFonts w:ascii="Arial" w:hAnsi="Arial" w:cs="Arial"/>
          <w:sz w:val="22"/>
          <w:szCs w:val="22"/>
        </w:rPr>
        <w:t>’</w:t>
      </w:r>
      <w:r w:rsidRPr="0001502D">
        <w:rPr>
          <w:rFonts w:ascii="Arial" w:hAnsi="Arial" w:cs="Arial"/>
          <w:sz w:val="22"/>
          <w:szCs w:val="22"/>
        </w:rPr>
        <w:t>Indonésie, l</w:t>
      </w:r>
      <w:r w:rsidR="009C104E">
        <w:rPr>
          <w:rFonts w:ascii="Arial" w:hAnsi="Arial" w:cs="Arial"/>
          <w:sz w:val="22"/>
          <w:szCs w:val="22"/>
        </w:rPr>
        <w:t>’</w:t>
      </w:r>
      <w:r w:rsidRPr="0001502D">
        <w:rPr>
          <w:rFonts w:ascii="Arial" w:hAnsi="Arial" w:cs="Arial"/>
          <w:sz w:val="22"/>
          <w:szCs w:val="22"/>
        </w:rPr>
        <w:t>élément est un symbole important de l</w:t>
      </w:r>
      <w:r w:rsidR="009C104E">
        <w:rPr>
          <w:rFonts w:ascii="Arial" w:hAnsi="Arial" w:cs="Arial"/>
          <w:sz w:val="22"/>
          <w:szCs w:val="22"/>
        </w:rPr>
        <w:t>’</w:t>
      </w:r>
      <w:r w:rsidRPr="0001502D">
        <w:rPr>
          <w:rFonts w:ascii="Arial" w:hAnsi="Arial" w:cs="Arial"/>
          <w:sz w:val="22"/>
          <w:szCs w:val="22"/>
        </w:rPr>
        <w:t>identité et de l</w:t>
      </w:r>
      <w:r w:rsidR="009C104E">
        <w:rPr>
          <w:rFonts w:ascii="Arial" w:hAnsi="Arial" w:cs="Arial"/>
          <w:sz w:val="22"/>
          <w:szCs w:val="22"/>
        </w:rPr>
        <w:t>’</w:t>
      </w:r>
      <w:r w:rsidRPr="0001502D">
        <w:rPr>
          <w:rFonts w:ascii="Arial" w:hAnsi="Arial" w:cs="Arial"/>
          <w:sz w:val="22"/>
          <w:szCs w:val="22"/>
        </w:rPr>
        <w:t>unité de l</w:t>
      </w:r>
      <w:r w:rsidR="009C104E">
        <w:rPr>
          <w:rFonts w:ascii="Arial" w:hAnsi="Arial" w:cs="Arial"/>
          <w:sz w:val="22"/>
          <w:szCs w:val="22"/>
        </w:rPr>
        <w:t>’</w:t>
      </w:r>
      <w:r w:rsidRPr="0001502D">
        <w:rPr>
          <w:rFonts w:ascii="Arial" w:hAnsi="Arial" w:cs="Arial"/>
          <w:sz w:val="22"/>
          <w:szCs w:val="22"/>
        </w:rPr>
        <w:t>Indonésie, qui favorise l</w:t>
      </w:r>
      <w:r w:rsidR="009C104E">
        <w:rPr>
          <w:rFonts w:ascii="Arial" w:hAnsi="Arial" w:cs="Arial"/>
          <w:sz w:val="22"/>
          <w:szCs w:val="22"/>
        </w:rPr>
        <w:t>’</w:t>
      </w:r>
      <w:r w:rsidRPr="0001502D">
        <w:rPr>
          <w:rFonts w:ascii="Arial" w:hAnsi="Arial" w:cs="Arial"/>
          <w:sz w:val="22"/>
          <w:szCs w:val="22"/>
        </w:rPr>
        <w:t>intégration de la communauté et consolide la cohésion sociale et l</w:t>
      </w:r>
      <w:r w:rsidR="009C104E">
        <w:rPr>
          <w:rFonts w:ascii="Arial" w:hAnsi="Arial" w:cs="Arial"/>
          <w:sz w:val="22"/>
          <w:szCs w:val="22"/>
        </w:rPr>
        <w:t>’</w:t>
      </w:r>
      <w:r w:rsidRPr="0001502D">
        <w:rPr>
          <w:rFonts w:ascii="Arial" w:hAnsi="Arial" w:cs="Arial"/>
          <w:sz w:val="22"/>
          <w:szCs w:val="22"/>
        </w:rPr>
        <w:t>harmonie au sein des communautés.</w:t>
      </w:r>
    </w:p>
    <w:p w14:paraId="35B8D4C6" w14:textId="2D4E755A" w:rsidR="0001502D" w:rsidRPr="0001502D" w:rsidRDefault="0001502D" w:rsidP="008A0AF7">
      <w:pPr>
        <w:tabs>
          <w:tab w:val="left" w:pos="1134"/>
          <w:tab w:val="left" w:pos="2268"/>
        </w:tabs>
        <w:spacing w:before="120" w:after="120"/>
        <w:ind w:left="1134" w:hanging="567"/>
        <w:jc w:val="both"/>
        <w:rPr>
          <w:rFonts w:ascii="Arial" w:hAnsi="Arial" w:cs="Arial"/>
          <w:sz w:val="22"/>
          <w:szCs w:val="22"/>
        </w:rPr>
      </w:pPr>
      <w:r w:rsidRPr="0001502D">
        <w:rPr>
          <w:rFonts w:ascii="Arial" w:hAnsi="Arial" w:cs="Arial"/>
          <w:sz w:val="22"/>
          <w:szCs w:val="22"/>
        </w:rPr>
        <w:t xml:space="preserve">R.2 : </w:t>
      </w:r>
      <w:r w:rsidRPr="0001502D">
        <w:rPr>
          <w:rFonts w:ascii="Arial" w:hAnsi="Arial" w:cs="Arial"/>
          <w:sz w:val="22"/>
          <w:szCs w:val="22"/>
        </w:rPr>
        <w:tab/>
        <w:t>L</w:t>
      </w:r>
      <w:r w:rsidR="009C104E">
        <w:rPr>
          <w:rFonts w:ascii="Arial" w:hAnsi="Arial" w:cs="Arial"/>
          <w:sz w:val="22"/>
          <w:szCs w:val="22"/>
        </w:rPr>
        <w:t>’</w:t>
      </w:r>
      <w:r w:rsidRPr="0001502D">
        <w:rPr>
          <w:rFonts w:ascii="Arial" w:hAnsi="Arial" w:cs="Arial"/>
          <w:sz w:val="22"/>
          <w:szCs w:val="22"/>
        </w:rPr>
        <w:t xml:space="preserve">inscription </w:t>
      </w:r>
      <w:r w:rsidR="00F35A99">
        <w:rPr>
          <w:rFonts w:ascii="Arial" w:hAnsi="Arial" w:cs="Arial"/>
          <w:sz w:val="22"/>
          <w:szCs w:val="22"/>
        </w:rPr>
        <w:t xml:space="preserve">des traditions </w:t>
      </w:r>
      <w:r w:rsidRPr="0001502D">
        <w:rPr>
          <w:rFonts w:ascii="Arial" w:hAnsi="Arial" w:cs="Arial"/>
          <w:sz w:val="22"/>
          <w:szCs w:val="22"/>
        </w:rPr>
        <w:t>du pencak silat promouvrait les jeux traditionnels comme une forme de patrimoine culturel immatériel, créant de nouvelles synergies entre différents sports dans le monde. L</w:t>
      </w:r>
      <w:r w:rsidR="009C104E">
        <w:rPr>
          <w:rFonts w:ascii="Arial" w:hAnsi="Arial" w:cs="Arial"/>
          <w:sz w:val="22"/>
          <w:szCs w:val="22"/>
        </w:rPr>
        <w:t>’</w:t>
      </w:r>
      <w:r w:rsidRPr="0001502D">
        <w:rPr>
          <w:rFonts w:ascii="Arial" w:hAnsi="Arial" w:cs="Arial"/>
          <w:sz w:val="22"/>
          <w:szCs w:val="22"/>
        </w:rPr>
        <w:t>inscription de l</w:t>
      </w:r>
      <w:r w:rsidR="009C104E">
        <w:rPr>
          <w:rFonts w:ascii="Arial" w:hAnsi="Arial" w:cs="Arial"/>
          <w:sz w:val="22"/>
          <w:szCs w:val="22"/>
        </w:rPr>
        <w:t>’</w:t>
      </w:r>
      <w:r w:rsidRPr="0001502D">
        <w:rPr>
          <w:rFonts w:ascii="Arial" w:hAnsi="Arial" w:cs="Arial"/>
          <w:sz w:val="22"/>
          <w:szCs w:val="22"/>
        </w:rPr>
        <w:t>élément pourrait encourager le dialogue axé sur les particularités de chaque école et renforcer l</w:t>
      </w:r>
      <w:r w:rsidR="009C104E">
        <w:rPr>
          <w:rFonts w:ascii="Arial" w:hAnsi="Arial" w:cs="Arial"/>
          <w:sz w:val="22"/>
          <w:szCs w:val="22"/>
        </w:rPr>
        <w:t>’</w:t>
      </w:r>
      <w:r w:rsidRPr="0001502D">
        <w:rPr>
          <w:rFonts w:ascii="Arial" w:hAnsi="Arial" w:cs="Arial"/>
          <w:sz w:val="22"/>
          <w:szCs w:val="22"/>
        </w:rPr>
        <w:t>identité personnelle des praticiens, notamment en ce qui concerne la variété des traditions et expressions orales, mouvements et styles, accompagnements et costumes.</w:t>
      </w:r>
    </w:p>
    <w:p w14:paraId="0EC782BB" w14:textId="411F993B" w:rsidR="0001502D" w:rsidRPr="0001502D" w:rsidRDefault="0001502D" w:rsidP="008A0AF7">
      <w:pPr>
        <w:tabs>
          <w:tab w:val="left" w:pos="1134"/>
          <w:tab w:val="left" w:pos="2268"/>
        </w:tabs>
        <w:spacing w:before="120" w:after="120"/>
        <w:ind w:left="1134" w:hanging="567"/>
        <w:jc w:val="both"/>
        <w:rPr>
          <w:rFonts w:ascii="Arial" w:hAnsi="Arial" w:cs="Arial"/>
          <w:sz w:val="22"/>
          <w:szCs w:val="22"/>
        </w:rPr>
      </w:pPr>
      <w:r w:rsidRPr="0001502D">
        <w:rPr>
          <w:rFonts w:ascii="Arial" w:hAnsi="Arial" w:cs="Arial"/>
          <w:sz w:val="22"/>
          <w:szCs w:val="22"/>
        </w:rPr>
        <w:t xml:space="preserve">R.3 : </w:t>
      </w:r>
      <w:r w:rsidRPr="0001502D">
        <w:rPr>
          <w:rFonts w:ascii="Arial" w:hAnsi="Arial" w:cs="Arial"/>
          <w:sz w:val="22"/>
          <w:szCs w:val="22"/>
        </w:rPr>
        <w:tab/>
        <w:t>En tant que sport traditionnel bien établi, bénéficiant de grands festivals et d</w:t>
      </w:r>
      <w:r w:rsidR="009C104E">
        <w:rPr>
          <w:rFonts w:ascii="Arial" w:hAnsi="Arial" w:cs="Arial"/>
          <w:sz w:val="22"/>
          <w:szCs w:val="22"/>
        </w:rPr>
        <w:t>’</w:t>
      </w:r>
      <w:r w:rsidRPr="0001502D">
        <w:rPr>
          <w:rFonts w:ascii="Arial" w:hAnsi="Arial" w:cs="Arial"/>
          <w:sz w:val="22"/>
          <w:szCs w:val="22"/>
        </w:rPr>
        <w:t>écoles, la viabilité du pencak silat semble être assurée. Les mesures proposées portent sur les activités de recherche, les publications, le soutien aux festivals existants et l</w:t>
      </w:r>
      <w:r w:rsidR="009C104E">
        <w:rPr>
          <w:rFonts w:ascii="Arial" w:hAnsi="Arial" w:cs="Arial"/>
          <w:sz w:val="22"/>
          <w:szCs w:val="22"/>
        </w:rPr>
        <w:t>’</w:t>
      </w:r>
      <w:r w:rsidRPr="0001502D">
        <w:rPr>
          <w:rFonts w:ascii="Arial" w:hAnsi="Arial" w:cs="Arial"/>
          <w:sz w:val="22"/>
          <w:szCs w:val="22"/>
        </w:rPr>
        <w:t>inclusion de l</w:t>
      </w:r>
      <w:r w:rsidR="009C104E">
        <w:rPr>
          <w:rFonts w:ascii="Arial" w:hAnsi="Arial" w:cs="Arial"/>
          <w:sz w:val="22"/>
          <w:szCs w:val="22"/>
        </w:rPr>
        <w:t>’</w:t>
      </w:r>
      <w:r w:rsidRPr="0001502D">
        <w:rPr>
          <w:rFonts w:ascii="Arial" w:hAnsi="Arial" w:cs="Arial"/>
          <w:sz w:val="22"/>
          <w:szCs w:val="22"/>
        </w:rPr>
        <w:t>élément dans les programmes scolaires en tant qu</w:t>
      </w:r>
      <w:r w:rsidR="009C104E">
        <w:rPr>
          <w:rFonts w:ascii="Arial" w:hAnsi="Arial" w:cs="Arial"/>
          <w:sz w:val="22"/>
          <w:szCs w:val="22"/>
        </w:rPr>
        <w:t>’</w:t>
      </w:r>
      <w:r w:rsidRPr="0001502D">
        <w:rPr>
          <w:rFonts w:ascii="Arial" w:hAnsi="Arial" w:cs="Arial"/>
          <w:sz w:val="22"/>
          <w:szCs w:val="22"/>
        </w:rPr>
        <w:t>exemple du patrimoine culturel. Trois de ces mesures ont été proposées par les communautés locales lors d</w:t>
      </w:r>
      <w:r w:rsidR="009C104E">
        <w:rPr>
          <w:rFonts w:ascii="Arial" w:hAnsi="Arial" w:cs="Arial"/>
          <w:sz w:val="22"/>
          <w:szCs w:val="22"/>
        </w:rPr>
        <w:t>’</w:t>
      </w:r>
      <w:r w:rsidRPr="0001502D">
        <w:rPr>
          <w:rFonts w:ascii="Arial" w:hAnsi="Arial" w:cs="Arial"/>
          <w:sz w:val="22"/>
          <w:szCs w:val="22"/>
        </w:rPr>
        <w:t>ateliers et de réunions organisés dans le cadre de ce processus. Ces mesures seront financées par l</w:t>
      </w:r>
      <w:r w:rsidR="009C104E">
        <w:rPr>
          <w:rFonts w:ascii="Arial" w:hAnsi="Arial" w:cs="Arial"/>
          <w:sz w:val="22"/>
          <w:szCs w:val="22"/>
        </w:rPr>
        <w:t>’</w:t>
      </w:r>
      <w:r w:rsidRPr="0001502D">
        <w:rPr>
          <w:rFonts w:ascii="Arial" w:hAnsi="Arial" w:cs="Arial"/>
          <w:sz w:val="22"/>
          <w:szCs w:val="22"/>
        </w:rPr>
        <w:t>État partie pendant la période 2017–2022.</w:t>
      </w:r>
    </w:p>
    <w:p w14:paraId="16EEE866" w14:textId="77777777" w:rsidR="0001502D" w:rsidRPr="0001502D" w:rsidRDefault="0001502D" w:rsidP="008A0AF7">
      <w:pPr>
        <w:tabs>
          <w:tab w:val="left" w:pos="1134"/>
          <w:tab w:val="left" w:pos="2268"/>
        </w:tabs>
        <w:spacing w:before="120" w:after="120"/>
        <w:ind w:left="1134" w:hanging="567"/>
        <w:jc w:val="both"/>
        <w:rPr>
          <w:rFonts w:ascii="Arial" w:hAnsi="Arial" w:cs="Arial"/>
          <w:sz w:val="22"/>
          <w:szCs w:val="22"/>
        </w:rPr>
      </w:pPr>
      <w:r w:rsidRPr="0001502D">
        <w:rPr>
          <w:rFonts w:ascii="Arial" w:hAnsi="Arial" w:cs="Arial"/>
          <w:sz w:val="22"/>
          <w:szCs w:val="22"/>
        </w:rPr>
        <w:t xml:space="preserve">R.4 : </w:t>
      </w:r>
      <w:r w:rsidRPr="0001502D">
        <w:rPr>
          <w:rFonts w:ascii="Arial" w:hAnsi="Arial" w:cs="Arial"/>
          <w:sz w:val="22"/>
          <w:szCs w:val="22"/>
        </w:rPr>
        <w:tab/>
        <w:t>Le dossier a été préparé avec la participation active et le consentement des parties prenantes du pencak silat, des praticiens et des communautés locales, incluant les écoles de pencak silat. Ils ont été impliqués dans les différentes phases du processus de candidature incluant, entre autres, la collecte de données, la participation à des ateliers et à des réunions et la rédaction de la candidature.</w:t>
      </w:r>
    </w:p>
    <w:p w14:paraId="665647D3" w14:textId="254F2181" w:rsidR="0001502D" w:rsidRPr="0001502D" w:rsidRDefault="0001502D" w:rsidP="008A0AF7">
      <w:pPr>
        <w:tabs>
          <w:tab w:val="left" w:pos="1134"/>
          <w:tab w:val="left" w:pos="2268"/>
        </w:tabs>
        <w:spacing w:before="120" w:after="120"/>
        <w:ind w:left="1134" w:hanging="567"/>
        <w:jc w:val="both"/>
        <w:rPr>
          <w:rFonts w:ascii="Arial" w:hAnsi="Arial" w:cs="Arial"/>
          <w:sz w:val="22"/>
          <w:szCs w:val="22"/>
        </w:rPr>
      </w:pPr>
      <w:r w:rsidRPr="0001502D">
        <w:rPr>
          <w:rFonts w:ascii="Arial" w:hAnsi="Arial" w:cs="Arial"/>
          <w:sz w:val="22"/>
          <w:szCs w:val="22"/>
        </w:rPr>
        <w:t xml:space="preserve">R.5 : </w:t>
      </w:r>
      <w:r w:rsidRPr="0001502D">
        <w:rPr>
          <w:rFonts w:ascii="Arial" w:hAnsi="Arial" w:cs="Arial"/>
          <w:sz w:val="22"/>
          <w:szCs w:val="22"/>
        </w:rPr>
        <w:tab/>
      </w:r>
      <w:r w:rsidR="00F35A99">
        <w:rPr>
          <w:rFonts w:ascii="Arial" w:hAnsi="Arial" w:cs="Arial"/>
          <w:sz w:val="22"/>
          <w:szCs w:val="22"/>
        </w:rPr>
        <w:t xml:space="preserve">Les traditions </w:t>
      </w:r>
      <w:r w:rsidRPr="0001502D">
        <w:rPr>
          <w:rFonts w:ascii="Arial" w:hAnsi="Arial" w:cs="Arial"/>
          <w:sz w:val="22"/>
          <w:szCs w:val="22"/>
        </w:rPr>
        <w:t xml:space="preserve">du pencak silat </w:t>
      </w:r>
      <w:r w:rsidR="00F35A99">
        <w:rPr>
          <w:rFonts w:ascii="Arial" w:hAnsi="Arial" w:cs="Arial"/>
          <w:sz w:val="22"/>
          <w:szCs w:val="22"/>
        </w:rPr>
        <w:t xml:space="preserve">ont </w:t>
      </w:r>
      <w:r w:rsidRPr="0001502D">
        <w:rPr>
          <w:rFonts w:ascii="Arial" w:hAnsi="Arial" w:cs="Arial"/>
          <w:sz w:val="22"/>
          <w:szCs w:val="22"/>
        </w:rPr>
        <w:t>été incluse</w:t>
      </w:r>
      <w:r w:rsidR="00F35A99">
        <w:rPr>
          <w:rFonts w:ascii="Arial" w:hAnsi="Arial" w:cs="Arial"/>
          <w:sz w:val="22"/>
          <w:szCs w:val="22"/>
        </w:rPr>
        <w:t>s</w:t>
      </w:r>
      <w:r w:rsidRPr="0001502D">
        <w:rPr>
          <w:rFonts w:ascii="Arial" w:hAnsi="Arial" w:cs="Arial"/>
          <w:sz w:val="22"/>
          <w:szCs w:val="22"/>
        </w:rPr>
        <w:t xml:space="preserve"> au Registre du patrimoine culturel immatériel indonésien en 2014 et reconnue</w:t>
      </w:r>
      <w:r w:rsidR="00F35A99">
        <w:rPr>
          <w:rFonts w:ascii="Arial" w:hAnsi="Arial" w:cs="Arial"/>
          <w:sz w:val="22"/>
          <w:szCs w:val="22"/>
        </w:rPr>
        <w:t>s</w:t>
      </w:r>
      <w:r w:rsidRPr="0001502D">
        <w:rPr>
          <w:rFonts w:ascii="Arial" w:hAnsi="Arial" w:cs="Arial"/>
          <w:sz w:val="22"/>
          <w:szCs w:val="22"/>
        </w:rPr>
        <w:t xml:space="preserve"> en tant que patrimoine culturel immatériel de l</w:t>
      </w:r>
      <w:r w:rsidR="009C104E">
        <w:rPr>
          <w:rFonts w:ascii="Arial" w:hAnsi="Arial" w:cs="Arial"/>
          <w:sz w:val="22"/>
          <w:szCs w:val="22"/>
        </w:rPr>
        <w:t>’</w:t>
      </w:r>
      <w:r w:rsidRPr="0001502D">
        <w:rPr>
          <w:rFonts w:ascii="Arial" w:hAnsi="Arial" w:cs="Arial"/>
          <w:sz w:val="22"/>
          <w:szCs w:val="22"/>
        </w:rPr>
        <w:t>Indonésie en 2018. Le Registre du patrimoine culturel immatériel indonésien est tenu par le Centre de préservation des valeurs culturelles, et la Liste du patrimoine culturel immatériel d</w:t>
      </w:r>
      <w:r w:rsidR="009C104E">
        <w:rPr>
          <w:rFonts w:ascii="Arial" w:hAnsi="Arial" w:cs="Arial"/>
          <w:sz w:val="22"/>
          <w:szCs w:val="22"/>
        </w:rPr>
        <w:t>’</w:t>
      </w:r>
      <w:r w:rsidRPr="0001502D">
        <w:rPr>
          <w:rFonts w:ascii="Arial" w:hAnsi="Arial" w:cs="Arial"/>
          <w:sz w:val="22"/>
          <w:szCs w:val="22"/>
        </w:rPr>
        <w:t>Indonésie est tenue par la Direction du patrimoine et de la diplomatie culturelle. Ces deux bureaux relèvent du Ministère de l</w:t>
      </w:r>
      <w:r w:rsidR="009C104E">
        <w:rPr>
          <w:rFonts w:ascii="Arial" w:hAnsi="Arial" w:cs="Arial"/>
          <w:sz w:val="22"/>
          <w:szCs w:val="22"/>
        </w:rPr>
        <w:t>’</w:t>
      </w:r>
      <w:r w:rsidRPr="0001502D">
        <w:rPr>
          <w:rFonts w:ascii="Arial" w:hAnsi="Arial" w:cs="Arial"/>
          <w:sz w:val="22"/>
          <w:szCs w:val="22"/>
        </w:rPr>
        <w:t>éducation et de la culture.</w:t>
      </w:r>
    </w:p>
    <w:p w14:paraId="170E6164" w14:textId="67C5257B" w:rsidR="0001502D" w:rsidRPr="0001502D" w:rsidRDefault="0001502D" w:rsidP="00771F30">
      <w:pPr>
        <w:numPr>
          <w:ilvl w:val="1"/>
          <w:numId w:val="27"/>
        </w:numPr>
        <w:tabs>
          <w:tab w:val="left" w:pos="567"/>
          <w:tab w:val="left" w:pos="1701"/>
          <w:tab w:val="left" w:pos="2268"/>
        </w:tabs>
        <w:spacing w:before="120" w:after="120"/>
        <w:jc w:val="both"/>
        <w:rPr>
          <w:rFonts w:ascii="Arial" w:hAnsi="Arial" w:cs="Arial"/>
          <w:sz w:val="22"/>
          <w:szCs w:val="22"/>
          <w:lang w:eastAsia="ko-KR"/>
        </w:rPr>
      </w:pPr>
      <w:r w:rsidRPr="0001502D">
        <w:rPr>
          <w:rFonts w:ascii="Arial" w:hAnsi="Arial" w:cs="Arial"/>
          <w:sz w:val="22"/>
          <w:szCs w:val="22"/>
          <w:u w:val="single"/>
          <w:lang w:eastAsia="ko-KR"/>
        </w:rPr>
        <w:t>Décide d</w:t>
      </w:r>
      <w:r w:rsidR="009C104E">
        <w:rPr>
          <w:rFonts w:ascii="Arial" w:hAnsi="Arial" w:cs="Arial"/>
          <w:sz w:val="22"/>
          <w:szCs w:val="22"/>
          <w:u w:val="single"/>
          <w:lang w:eastAsia="ko-KR"/>
        </w:rPr>
        <w:t>’</w:t>
      </w:r>
      <w:r w:rsidRPr="0001502D">
        <w:rPr>
          <w:rFonts w:ascii="Arial" w:hAnsi="Arial" w:cs="Arial"/>
          <w:sz w:val="22"/>
          <w:szCs w:val="22"/>
          <w:u w:val="single"/>
          <w:lang w:eastAsia="ko-KR"/>
        </w:rPr>
        <w:t>inscrire</w:t>
      </w:r>
      <w:r w:rsidRPr="0001502D">
        <w:rPr>
          <w:rFonts w:ascii="Arial" w:hAnsi="Arial" w:cs="Arial"/>
          <w:sz w:val="22"/>
          <w:szCs w:val="22"/>
          <w:lang w:eastAsia="ko-KR"/>
        </w:rPr>
        <w:t xml:space="preserve"> </w:t>
      </w:r>
      <w:r w:rsidR="00F35A99">
        <w:rPr>
          <w:rFonts w:ascii="Arial" w:hAnsi="Arial" w:cs="Arial"/>
          <w:b/>
          <w:bCs/>
          <w:sz w:val="22"/>
          <w:szCs w:val="22"/>
          <w:lang w:eastAsia="ko-KR"/>
        </w:rPr>
        <w:t xml:space="preserve">les traditions </w:t>
      </w:r>
      <w:r w:rsidRPr="0001502D">
        <w:rPr>
          <w:rFonts w:ascii="Arial" w:hAnsi="Arial" w:cs="Arial"/>
          <w:b/>
          <w:bCs/>
          <w:sz w:val="22"/>
          <w:szCs w:val="22"/>
          <w:lang w:eastAsia="ko-KR"/>
        </w:rPr>
        <w:t xml:space="preserve">du pencak silat </w:t>
      </w:r>
      <w:r w:rsidRPr="0001502D">
        <w:rPr>
          <w:rFonts w:ascii="Arial" w:hAnsi="Arial" w:cs="Arial"/>
          <w:sz w:val="22"/>
          <w:szCs w:val="22"/>
          <w:lang w:eastAsia="ko-KR"/>
        </w:rPr>
        <w:t>sur la Liste représentative du patrimoine culturel immatériel de l</w:t>
      </w:r>
      <w:r w:rsidR="009C104E">
        <w:rPr>
          <w:rFonts w:ascii="Arial" w:hAnsi="Arial" w:cs="Arial"/>
          <w:sz w:val="22"/>
          <w:szCs w:val="22"/>
          <w:lang w:eastAsia="ko-KR"/>
        </w:rPr>
        <w:t>’</w:t>
      </w:r>
      <w:r w:rsidRPr="0001502D">
        <w:rPr>
          <w:rFonts w:ascii="Arial" w:hAnsi="Arial" w:cs="Arial"/>
          <w:sz w:val="22"/>
          <w:szCs w:val="22"/>
          <w:lang w:eastAsia="ko-KR"/>
        </w:rPr>
        <w:t>humanité ;</w:t>
      </w:r>
    </w:p>
    <w:p w14:paraId="1DBAF6D9" w14:textId="157228D6" w:rsidR="0001502D" w:rsidRPr="0001502D" w:rsidRDefault="0001502D" w:rsidP="00771F30">
      <w:pPr>
        <w:numPr>
          <w:ilvl w:val="1"/>
          <w:numId w:val="27"/>
        </w:numPr>
        <w:tabs>
          <w:tab w:val="left" w:pos="567"/>
          <w:tab w:val="left" w:pos="1701"/>
          <w:tab w:val="left" w:pos="2268"/>
        </w:tabs>
        <w:spacing w:before="120" w:after="120"/>
        <w:jc w:val="both"/>
        <w:rPr>
          <w:rFonts w:ascii="Arial" w:hAnsi="Arial" w:cs="Arial"/>
          <w:sz w:val="22"/>
          <w:szCs w:val="22"/>
          <w:lang w:eastAsia="ko-KR"/>
        </w:rPr>
      </w:pPr>
      <w:r w:rsidRPr="0001502D">
        <w:rPr>
          <w:rFonts w:ascii="Arial" w:hAnsi="Arial" w:cs="Arial"/>
          <w:sz w:val="22"/>
          <w:szCs w:val="22"/>
          <w:u w:val="single"/>
          <w:lang w:eastAsia="ko-KR"/>
        </w:rPr>
        <w:t>Encourage</w:t>
      </w:r>
      <w:r w:rsidRPr="0001502D">
        <w:rPr>
          <w:rFonts w:ascii="Arial" w:hAnsi="Arial" w:cs="Arial"/>
          <w:sz w:val="22"/>
          <w:szCs w:val="22"/>
          <w:lang w:eastAsia="ko-KR"/>
        </w:rPr>
        <w:t xml:space="preserve"> l</w:t>
      </w:r>
      <w:r w:rsidR="009C104E">
        <w:rPr>
          <w:rFonts w:ascii="Arial" w:hAnsi="Arial" w:cs="Arial"/>
          <w:sz w:val="22"/>
          <w:szCs w:val="22"/>
          <w:lang w:eastAsia="ko-KR"/>
        </w:rPr>
        <w:t>’</w:t>
      </w:r>
      <w:r w:rsidRPr="0001502D">
        <w:rPr>
          <w:rFonts w:ascii="Arial" w:hAnsi="Arial" w:cs="Arial"/>
          <w:sz w:val="22"/>
          <w:szCs w:val="22"/>
          <w:lang w:eastAsia="ko-KR"/>
        </w:rPr>
        <w:t>État partie à éviter d</w:t>
      </w:r>
      <w:r w:rsidR="009C104E">
        <w:rPr>
          <w:rFonts w:ascii="Arial" w:hAnsi="Arial" w:cs="Arial"/>
          <w:sz w:val="22"/>
          <w:szCs w:val="22"/>
          <w:lang w:eastAsia="ko-KR"/>
        </w:rPr>
        <w:t>’</w:t>
      </w:r>
      <w:r w:rsidRPr="0001502D">
        <w:rPr>
          <w:rFonts w:ascii="Arial" w:hAnsi="Arial" w:cs="Arial"/>
          <w:sz w:val="22"/>
          <w:szCs w:val="22"/>
          <w:lang w:eastAsia="ko-KR"/>
        </w:rPr>
        <w:t>inclure à l</w:t>
      </w:r>
      <w:r w:rsidR="009C104E">
        <w:rPr>
          <w:rFonts w:ascii="Arial" w:hAnsi="Arial" w:cs="Arial"/>
          <w:sz w:val="22"/>
          <w:szCs w:val="22"/>
          <w:lang w:eastAsia="ko-KR"/>
        </w:rPr>
        <w:t>’</w:t>
      </w:r>
      <w:r w:rsidRPr="0001502D">
        <w:rPr>
          <w:rFonts w:ascii="Arial" w:hAnsi="Arial" w:cs="Arial"/>
          <w:sz w:val="22"/>
          <w:szCs w:val="22"/>
          <w:lang w:eastAsia="ko-KR"/>
        </w:rPr>
        <w:t>avenir des lettres de consentement standardisées aux dossiers de candidature ;</w:t>
      </w:r>
    </w:p>
    <w:p w14:paraId="289C9B2E" w14:textId="113BA20E" w:rsidR="0001502D" w:rsidRPr="0001502D" w:rsidRDefault="0001502D" w:rsidP="00771F30">
      <w:pPr>
        <w:numPr>
          <w:ilvl w:val="1"/>
          <w:numId w:val="27"/>
        </w:numPr>
        <w:tabs>
          <w:tab w:val="left" w:pos="567"/>
          <w:tab w:val="left" w:pos="1701"/>
          <w:tab w:val="left" w:pos="2268"/>
        </w:tabs>
        <w:spacing w:before="120" w:after="120"/>
        <w:ind w:hanging="578"/>
        <w:jc w:val="both"/>
        <w:rPr>
          <w:rFonts w:ascii="Arial" w:hAnsi="Arial" w:cs="Arial"/>
          <w:sz w:val="22"/>
          <w:szCs w:val="22"/>
          <w:lang w:eastAsia="ko-KR"/>
        </w:rPr>
      </w:pPr>
      <w:r w:rsidRPr="0001502D">
        <w:rPr>
          <w:rFonts w:ascii="Arial" w:hAnsi="Arial" w:cs="Arial"/>
          <w:sz w:val="22"/>
          <w:szCs w:val="22"/>
          <w:u w:val="single"/>
          <w:lang w:eastAsia="ko-KR"/>
        </w:rPr>
        <w:t>Rappelle</w:t>
      </w:r>
      <w:r w:rsidRPr="0001502D">
        <w:rPr>
          <w:rFonts w:ascii="Arial" w:hAnsi="Arial" w:cs="Arial"/>
          <w:sz w:val="22"/>
          <w:szCs w:val="22"/>
          <w:lang w:eastAsia="ko-KR"/>
        </w:rPr>
        <w:t xml:space="preserve"> à l</w:t>
      </w:r>
      <w:r w:rsidR="009C104E">
        <w:rPr>
          <w:rFonts w:ascii="Arial" w:hAnsi="Arial" w:cs="Arial"/>
          <w:sz w:val="22"/>
          <w:szCs w:val="22"/>
          <w:lang w:eastAsia="ko-KR"/>
        </w:rPr>
        <w:t>’</w:t>
      </w:r>
      <w:r w:rsidRPr="0001502D">
        <w:rPr>
          <w:rFonts w:ascii="Arial" w:hAnsi="Arial" w:cs="Arial"/>
          <w:sz w:val="22"/>
          <w:szCs w:val="22"/>
          <w:lang w:eastAsia="ko-KR"/>
        </w:rPr>
        <w:t>État partie que la mise à jour est un aspect important du processus d</w:t>
      </w:r>
      <w:r w:rsidR="009C104E">
        <w:rPr>
          <w:rFonts w:ascii="Arial" w:hAnsi="Arial" w:cs="Arial"/>
          <w:sz w:val="22"/>
          <w:szCs w:val="22"/>
          <w:lang w:eastAsia="ko-KR"/>
        </w:rPr>
        <w:t>’</w:t>
      </w:r>
      <w:r w:rsidRPr="0001502D">
        <w:rPr>
          <w:rFonts w:ascii="Arial" w:hAnsi="Arial" w:cs="Arial"/>
          <w:sz w:val="22"/>
          <w:szCs w:val="22"/>
          <w:lang w:eastAsia="ko-KR"/>
        </w:rPr>
        <w:t>élaboration des inventaires et l</w:t>
      </w:r>
      <w:r w:rsidR="009C104E">
        <w:rPr>
          <w:rFonts w:ascii="Arial" w:hAnsi="Arial" w:cs="Arial"/>
          <w:sz w:val="22"/>
          <w:szCs w:val="22"/>
          <w:lang w:eastAsia="ko-KR"/>
        </w:rPr>
        <w:t>’</w:t>
      </w:r>
      <w:r w:rsidRPr="0001502D">
        <w:rPr>
          <w:rFonts w:ascii="Arial" w:hAnsi="Arial" w:cs="Arial"/>
          <w:sz w:val="22"/>
          <w:szCs w:val="22"/>
          <w:u w:val="single"/>
          <w:lang w:eastAsia="ko-KR"/>
        </w:rPr>
        <w:t>invite</w:t>
      </w:r>
      <w:r w:rsidRPr="0001502D">
        <w:rPr>
          <w:rFonts w:ascii="Arial" w:hAnsi="Arial" w:cs="Arial"/>
          <w:sz w:val="22"/>
          <w:szCs w:val="22"/>
          <w:lang w:eastAsia="ko-KR"/>
        </w:rPr>
        <w:t xml:space="preserve"> à inclure, dans son prochain rapport périodique sur la mise en œuvre de la Convention au niveau national, des informations sur la périodicité de la mise à jour du Registre du patrimoine culturel immatériel indonésien, conformément à l</w:t>
      </w:r>
      <w:r w:rsidR="009C104E">
        <w:rPr>
          <w:rFonts w:ascii="Arial" w:hAnsi="Arial" w:cs="Arial"/>
          <w:sz w:val="22"/>
          <w:szCs w:val="22"/>
          <w:lang w:eastAsia="ko-KR"/>
        </w:rPr>
        <w:t>’</w:t>
      </w:r>
      <w:r w:rsidRPr="0001502D">
        <w:rPr>
          <w:rFonts w:ascii="Arial" w:hAnsi="Arial" w:cs="Arial"/>
          <w:sz w:val="22"/>
          <w:szCs w:val="22"/>
          <w:lang w:eastAsia="ko-KR"/>
        </w:rPr>
        <w:t>article 12.1 de la Convention.</w:t>
      </w:r>
    </w:p>
    <w:p w14:paraId="1AF9FDF8" w14:textId="113BD4CD" w:rsidR="0001502D" w:rsidRPr="0001502D" w:rsidRDefault="0001502D" w:rsidP="00771F30">
      <w:pPr>
        <w:keepNext/>
        <w:keepLines/>
        <w:numPr>
          <w:ilvl w:val="0"/>
          <w:numId w:val="27"/>
        </w:numPr>
        <w:spacing w:before="360" w:after="120"/>
        <w:outlineLvl w:val="1"/>
        <w:rPr>
          <w:rFonts w:ascii="Arial" w:hAnsi="Arial" w:cs="Arial"/>
          <w:bCs/>
          <w:iCs/>
          <w:sz w:val="22"/>
          <w:szCs w:val="22"/>
        </w:rPr>
      </w:pPr>
      <w:bookmarkStart w:id="19" w:name="Decision_10b16"/>
      <w:r w:rsidRPr="0001502D">
        <w:rPr>
          <w:rFonts w:ascii="Arial" w:hAnsi="Arial" w:cs="Arial"/>
          <w:b/>
          <w:bCs/>
          <w:iCs/>
          <w:sz w:val="22"/>
          <w:szCs w:val="22"/>
        </w:rPr>
        <w:t xml:space="preserve">DÉCISION 14.COM 10.b.16 </w:t>
      </w:r>
    </w:p>
    <w:bookmarkEnd w:id="19"/>
    <w:p w14:paraId="0390C6CC" w14:textId="77777777" w:rsidR="0001502D" w:rsidRPr="0001502D" w:rsidRDefault="0001502D" w:rsidP="008A0AF7">
      <w:pPr>
        <w:keepNext/>
        <w:tabs>
          <w:tab w:val="left" w:pos="567"/>
          <w:tab w:val="left" w:pos="1134"/>
          <w:tab w:val="left" w:pos="1701"/>
          <w:tab w:val="left" w:pos="2268"/>
        </w:tabs>
        <w:spacing w:before="120" w:after="120"/>
        <w:jc w:val="both"/>
        <w:rPr>
          <w:rFonts w:ascii="Arial" w:hAnsi="Arial" w:cs="Arial"/>
          <w:sz w:val="22"/>
          <w:szCs w:val="22"/>
        </w:rPr>
      </w:pPr>
      <w:r w:rsidRPr="0001502D">
        <w:rPr>
          <w:rFonts w:ascii="Arial" w:hAnsi="Arial" w:cs="Arial"/>
          <w:sz w:val="22"/>
          <w:szCs w:val="22"/>
        </w:rPr>
        <w:t>Le Comité,</w:t>
      </w:r>
    </w:p>
    <w:p w14:paraId="64274052" w14:textId="7046AE3B" w:rsidR="0001502D" w:rsidRPr="0001502D" w:rsidRDefault="0001502D" w:rsidP="00771F30">
      <w:pPr>
        <w:numPr>
          <w:ilvl w:val="1"/>
          <w:numId w:val="27"/>
        </w:numPr>
        <w:tabs>
          <w:tab w:val="left" w:pos="567"/>
          <w:tab w:val="left" w:pos="1701"/>
          <w:tab w:val="left" w:pos="2268"/>
        </w:tabs>
        <w:spacing w:before="120" w:after="120"/>
        <w:jc w:val="both"/>
        <w:rPr>
          <w:rFonts w:ascii="Arial" w:hAnsi="Arial" w:cs="Arial"/>
          <w:sz w:val="22"/>
          <w:szCs w:val="22"/>
          <w:lang w:eastAsia="ko-KR"/>
        </w:rPr>
      </w:pPr>
      <w:r w:rsidRPr="0001502D">
        <w:rPr>
          <w:rFonts w:ascii="Arial" w:hAnsi="Arial" w:cs="Arial"/>
          <w:sz w:val="22"/>
          <w:szCs w:val="22"/>
          <w:u w:val="single"/>
          <w:lang w:eastAsia="ko-KR"/>
        </w:rPr>
        <w:t>Prend note</w:t>
      </w:r>
      <w:r w:rsidRPr="0001502D">
        <w:rPr>
          <w:rFonts w:ascii="Arial" w:hAnsi="Arial" w:cs="Arial"/>
          <w:sz w:val="22"/>
          <w:szCs w:val="22"/>
          <w:lang w:eastAsia="ko-KR"/>
        </w:rPr>
        <w:t xml:space="preserve"> que la République islamique d</w:t>
      </w:r>
      <w:r w:rsidR="009C104E">
        <w:rPr>
          <w:rFonts w:ascii="Arial" w:hAnsi="Arial" w:cs="Arial"/>
          <w:sz w:val="22"/>
          <w:szCs w:val="22"/>
          <w:lang w:eastAsia="ko-KR"/>
        </w:rPr>
        <w:t>’</w:t>
      </w:r>
      <w:r w:rsidRPr="0001502D">
        <w:rPr>
          <w:rFonts w:ascii="Arial" w:hAnsi="Arial" w:cs="Arial"/>
          <w:sz w:val="22"/>
          <w:szCs w:val="22"/>
          <w:lang w:eastAsia="ko-KR"/>
        </w:rPr>
        <w:t xml:space="preserve">Iran a proposé la candidature </w:t>
      </w:r>
      <w:r w:rsidRPr="0001502D">
        <w:rPr>
          <w:rFonts w:ascii="Arial" w:hAnsi="Arial" w:cs="Arial"/>
          <w:b/>
          <w:sz w:val="22"/>
          <w:szCs w:val="22"/>
          <w:lang w:eastAsia="ko-KR"/>
        </w:rPr>
        <w:t xml:space="preserve">des </w:t>
      </w:r>
      <w:r w:rsidRPr="0001502D">
        <w:rPr>
          <w:rFonts w:ascii="Arial" w:hAnsi="Arial" w:cs="Arial"/>
          <w:b/>
          <w:bCs/>
          <w:sz w:val="22"/>
          <w:szCs w:val="22"/>
          <w:lang w:eastAsia="ko-KR"/>
        </w:rPr>
        <w:t>savoir-faire traditionnels liés à la fabrication et à la pratique du dotâr</w:t>
      </w:r>
      <w:r w:rsidRPr="0001502D">
        <w:rPr>
          <w:rFonts w:ascii="Arial" w:hAnsi="Arial" w:cs="Arial"/>
          <w:sz w:val="22"/>
          <w:szCs w:val="22"/>
          <w:lang w:eastAsia="ko-KR"/>
        </w:rPr>
        <w:t xml:space="preserve"> (n° 01492) pour inscription sur la Liste représentative du patrimoine culturel immatériel de l</w:t>
      </w:r>
      <w:r w:rsidR="009C104E">
        <w:rPr>
          <w:rFonts w:ascii="Arial" w:hAnsi="Arial" w:cs="Arial"/>
          <w:sz w:val="22"/>
          <w:szCs w:val="22"/>
          <w:lang w:eastAsia="ko-KR"/>
        </w:rPr>
        <w:t>’</w:t>
      </w:r>
      <w:r w:rsidRPr="0001502D">
        <w:rPr>
          <w:rFonts w:ascii="Arial" w:hAnsi="Arial" w:cs="Arial"/>
          <w:sz w:val="22"/>
          <w:szCs w:val="22"/>
          <w:lang w:eastAsia="ko-KR"/>
        </w:rPr>
        <w:t>humanité :</w:t>
      </w:r>
    </w:p>
    <w:p w14:paraId="50DB7D2E" w14:textId="4F3BDD9E" w:rsidR="0001502D" w:rsidRPr="0001502D" w:rsidRDefault="0001502D" w:rsidP="008A0AF7">
      <w:pPr>
        <w:tabs>
          <w:tab w:val="left" w:pos="567"/>
          <w:tab w:val="left" w:pos="1701"/>
          <w:tab w:val="left" w:pos="2268"/>
        </w:tabs>
        <w:spacing w:before="120" w:after="120"/>
        <w:ind w:left="567"/>
        <w:jc w:val="both"/>
        <w:rPr>
          <w:rFonts w:ascii="Arial" w:hAnsi="Arial" w:cs="Arial"/>
          <w:sz w:val="22"/>
          <w:szCs w:val="22"/>
        </w:rPr>
      </w:pPr>
      <w:r w:rsidRPr="0001502D">
        <w:rPr>
          <w:rFonts w:ascii="Arial" w:hAnsi="Arial" w:cs="Arial"/>
          <w:sz w:val="22"/>
          <w:szCs w:val="22"/>
        </w:rPr>
        <w:t>Les savoir-faire traditionnels liés à la fabrication et à la pratique du dotâr sont reconnus comme des composantes socioculturelles fondamentales de la musique populaire au sein des groupes ethniques et des communautés des régions concernées. Les détenteurs et les praticiens sont essentiellement des agriculteurs, les hommes étant artisans et musiciens et les femmes musiciennes. Le dotâr est un instrument de musique traditionnel à cordes pincées composé d</w:t>
      </w:r>
      <w:r w:rsidR="009C104E">
        <w:rPr>
          <w:rFonts w:ascii="Arial" w:hAnsi="Arial" w:cs="Arial"/>
          <w:sz w:val="22"/>
          <w:szCs w:val="22"/>
        </w:rPr>
        <w:t>’</w:t>
      </w:r>
      <w:r w:rsidRPr="0001502D">
        <w:rPr>
          <w:rFonts w:ascii="Arial" w:hAnsi="Arial" w:cs="Arial"/>
          <w:sz w:val="22"/>
          <w:szCs w:val="22"/>
        </w:rPr>
        <w:t>une caisse en forme de poire faite en bois de mûrier séché, d</w:t>
      </w:r>
      <w:r w:rsidR="009C104E">
        <w:rPr>
          <w:rFonts w:ascii="Arial" w:hAnsi="Arial" w:cs="Arial"/>
          <w:sz w:val="22"/>
          <w:szCs w:val="22"/>
        </w:rPr>
        <w:t>’</w:t>
      </w:r>
      <w:r w:rsidRPr="0001502D">
        <w:rPr>
          <w:rFonts w:ascii="Arial" w:hAnsi="Arial" w:cs="Arial"/>
          <w:sz w:val="22"/>
          <w:szCs w:val="22"/>
        </w:rPr>
        <w:t>un manche en bois d</w:t>
      </w:r>
      <w:r w:rsidR="009C104E">
        <w:rPr>
          <w:rFonts w:ascii="Arial" w:hAnsi="Arial" w:cs="Arial"/>
          <w:sz w:val="22"/>
          <w:szCs w:val="22"/>
        </w:rPr>
        <w:t>’</w:t>
      </w:r>
      <w:r w:rsidRPr="0001502D">
        <w:rPr>
          <w:rFonts w:ascii="Arial" w:hAnsi="Arial" w:cs="Arial"/>
          <w:sz w:val="22"/>
          <w:szCs w:val="22"/>
        </w:rPr>
        <w:t>abricotier ou de noyer et de deux cordes. D</w:t>
      </w:r>
      <w:r w:rsidR="009C104E">
        <w:rPr>
          <w:rFonts w:ascii="Arial" w:hAnsi="Arial" w:cs="Arial"/>
          <w:sz w:val="22"/>
          <w:szCs w:val="22"/>
        </w:rPr>
        <w:t>’</w:t>
      </w:r>
      <w:r w:rsidRPr="0001502D">
        <w:rPr>
          <w:rFonts w:ascii="Arial" w:hAnsi="Arial" w:cs="Arial"/>
          <w:sz w:val="22"/>
          <w:szCs w:val="22"/>
        </w:rPr>
        <w:t>après certaines croyances, l</w:t>
      </w:r>
      <w:r w:rsidR="009C104E">
        <w:rPr>
          <w:rFonts w:ascii="Arial" w:hAnsi="Arial" w:cs="Arial"/>
          <w:sz w:val="22"/>
          <w:szCs w:val="22"/>
        </w:rPr>
        <w:t>’</w:t>
      </w:r>
      <w:r w:rsidRPr="0001502D">
        <w:rPr>
          <w:rFonts w:ascii="Arial" w:hAnsi="Arial" w:cs="Arial"/>
          <w:sz w:val="22"/>
          <w:szCs w:val="22"/>
        </w:rPr>
        <w:t>une des cordes est mâle et sert d</w:t>
      </w:r>
      <w:r w:rsidR="009C104E">
        <w:rPr>
          <w:rFonts w:ascii="Arial" w:hAnsi="Arial" w:cs="Arial"/>
          <w:sz w:val="22"/>
          <w:szCs w:val="22"/>
        </w:rPr>
        <w:t>’</w:t>
      </w:r>
      <w:r w:rsidRPr="0001502D">
        <w:rPr>
          <w:rFonts w:ascii="Arial" w:hAnsi="Arial" w:cs="Arial"/>
          <w:sz w:val="22"/>
          <w:szCs w:val="22"/>
        </w:rPr>
        <w:t>accord tandis que l</w:t>
      </w:r>
      <w:r w:rsidR="009C104E">
        <w:rPr>
          <w:rFonts w:ascii="Arial" w:hAnsi="Arial" w:cs="Arial"/>
          <w:sz w:val="22"/>
          <w:szCs w:val="22"/>
        </w:rPr>
        <w:t>’</w:t>
      </w:r>
      <w:r w:rsidRPr="0001502D">
        <w:rPr>
          <w:rFonts w:ascii="Arial" w:hAnsi="Arial" w:cs="Arial"/>
          <w:sz w:val="22"/>
          <w:szCs w:val="22"/>
        </w:rPr>
        <w:t>autre est femelle et est utilisée pour jouer la mélodie principale. Le dotâr est joué lors d</w:t>
      </w:r>
      <w:r w:rsidR="009C104E">
        <w:rPr>
          <w:rFonts w:ascii="Arial" w:hAnsi="Arial" w:cs="Arial"/>
          <w:sz w:val="22"/>
          <w:szCs w:val="22"/>
        </w:rPr>
        <w:t>’</w:t>
      </w:r>
      <w:r w:rsidRPr="0001502D">
        <w:rPr>
          <w:rFonts w:ascii="Arial" w:hAnsi="Arial" w:cs="Arial"/>
          <w:sz w:val="22"/>
          <w:szCs w:val="22"/>
        </w:rPr>
        <w:t>événements socioculturels importants tels que les mariages, les fêtes, les célébrations et les cérémonies rituelles. Depuis quelques dizaines d</w:t>
      </w:r>
      <w:r w:rsidR="009C104E">
        <w:rPr>
          <w:rFonts w:ascii="Arial" w:hAnsi="Arial" w:cs="Arial"/>
          <w:sz w:val="22"/>
          <w:szCs w:val="22"/>
        </w:rPr>
        <w:t>’</w:t>
      </w:r>
      <w:r w:rsidRPr="0001502D">
        <w:rPr>
          <w:rFonts w:ascii="Arial" w:hAnsi="Arial" w:cs="Arial"/>
          <w:sz w:val="22"/>
          <w:szCs w:val="22"/>
        </w:rPr>
        <w:t>années il est aussi joué dans des festivals locaux, régionaux, nationaux et internationaux. Quand ils jouent, les musiciens racontent des récits épiques, historiques, lyriques, moraux et gnostiques qui constituent l</w:t>
      </w:r>
      <w:r w:rsidR="009C104E">
        <w:rPr>
          <w:rFonts w:ascii="Arial" w:hAnsi="Arial" w:cs="Arial"/>
          <w:sz w:val="22"/>
          <w:szCs w:val="22"/>
        </w:rPr>
        <w:t>’</w:t>
      </w:r>
      <w:r w:rsidRPr="0001502D">
        <w:rPr>
          <w:rFonts w:ascii="Arial" w:hAnsi="Arial" w:cs="Arial"/>
          <w:sz w:val="22"/>
          <w:szCs w:val="22"/>
        </w:rPr>
        <w:t>histoire, la fierté et l</w:t>
      </w:r>
      <w:r w:rsidR="009C104E">
        <w:rPr>
          <w:rFonts w:ascii="Arial" w:hAnsi="Arial" w:cs="Arial"/>
          <w:sz w:val="22"/>
          <w:szCs w:val="22"/>
        </w:rPr>
        <w:t>’</w:t>
      </w:r>
      <w:r w:rsidRPr="0001502D">
        <w:rPr>
          <w:rFonts w:ascii="Arial" w:hAnsi="Arial" w:cs="Arial"/>
          <w:sz w:val="22"/>
          <w:szCs w:val="22"/>
        </w:rPr>
        <w:t>identité de leur ethnie. Les savoir-faire traditionnels liés à la fabrication et à la pratique du dotâr sont transmis de manière informelle, de maître à élève. L</w:t>
      </w:r>
      <w:r w:rsidR="009C104E">
        <w:rPr>
          <w:rFonts w:ascii="Arial" w:hAnsi="Arial" w:cs="Arial"/>
          <w:sz w:val="22"/>
          <w:szCs w:val="22"/>
        </w:rPr>
        <w:t>’</w:t>
      </w:r>
      <w:r w:rsidRPr="0001502D">
        <w:rPr>
          <w:rFonts w:ascii="Arial" w:hAnsi="Arial" w:cs="Arial"/>
          <w:sz w:val="22"/>
          <w:szCs w:val="22"/>
        </w:rPr>
        <w:t>élément est aussi représenté dans la littérature orale et écrite qui renvoie à l</w:t>
      </w:r>
      <w:r w:rsidR="009C104E">
        <w:rPr>
          <w:rFonts w:ascii="Arial" w:hAnsi="Arial" w:cs="Arial"/>
          <w:sz w:val="22"/>
          <w:szCs w:val="22"/>
        </w:rPr>
        <w:t>’</w:t>
      </w:r>
      <w:r w:rsidRPr="0001502D">
        <w:rPr>
          <w:rFonts w:ascii="Arial" w:hAnsi="Arial" w:cs="Arial"/>
          <w:sz w:val="22"/>
          <w:szCs w:val="22"/>
        </w:rPr>
        <w:t>histoire et aux origines des détenteurs. Il favorise la coexistence pacifique, le respect mutuel et la compréhension entre les différentes communautés concernées et les pays voisins.</w:t>
      </w:r>
    </w:p>
    <w:p w14:paraId="0F5E1D10" w14:textId="1F41D39E" w:rsidR="0001502D" w:rsidRPr="0001502D" w:rsidRDefault="0001502D" w:rsidP="00771F30">
      <w:pPr>
        <w:keepNext/>
        <w:numPr>
          <w:ilvl w:val="1"/>
          <w:numId w:val="27"/>
        </w:numPr>
        <w:tabs>
          <w:tab w:val="left" w:pos="567"/>
          <w:tab w:val="left" w:pos="1701"/>
          <w:tab w:val="left" w:pos="2268"/>
        </w:tabs>
        <w:spacing w:before="120" w:after="120"/>
        <w:jc w:val="both"/>
        <w:rPr>
          <w:rFonts w:ascii="Arial" w:hAnsi="Arial" w:cs="Arial"/>
          <w:sz w:val="22"/>
          <w:szCs w:val="22"/>
          <w:lang w:eastAsia="ko-KR"/>
        </w:rPr>
      </w:pPr>
      <w:r w:rsidRPr="0001502D">
        <w:rPr>
          <w:rFonts w:ascii="Arial" w:hAnsi="Arial" w:cs="Arial"/>
          <w:sz w:val="22"/>
          <w:szCs w:val="22"/>
          <w:u w:val="single"/>
          <w:lang w:eastAsia="ko-KR"/>
        </w:rPr>
        <w:t>Estime</w:t>
      </w:r>
      <w:r w:rsidRPr="0001502D">
        <w:rPr>
          <w:rFonts w:ascii="Arial" w:hAnsi="Arial" w:cs="Arial"/>
          <w:sz w:val="22"/>
          <w:szCs w:val="22"/>
          <w:lang w:eastAsia="ko-KR"/>
        </w:rPr>
        <w:t xml:space="preserve"> que, d</w:t>
      </w:r>
      <w:r w:rsidR="009C104E">
        <w:rPr>
          <w:rFonts w:ascii="Arial" w:hAnsi="Arial" w:cs="Arial"/>
          <w:sz w:val="22"/>
          <w:szCs w:val="22"/>
          <w:lang w:eastAsia="ko-KR"/>
        </w:rPr>
        <w:t>’</w:t>
      </w:r>
      <w:r w:rsidRPr="0001502D">
        <w:rPr>
          <w:rFonts w:ascii="Arial" w:hAnsi="Arial" w:cs="Arial"/>
          <w:sz w:val="22"/>
          <w:szCs w:val="22"/>
          <w:lang w:eastAsia="ko-KR"/>
        </w:rPr>
        <w:t>après les informations contenues dans le dossier, la candidature satisfait aux critères d</w:t>
      </w:r>
      <w:r w:rsidR="009C104E">
        <w:rPr>
          <w:rFonts w:ascii="Arial" w:hAnsi="Arial" w:cs="Arial"/>
          <w:sz w:val="22"/>
          <w:szCs w:val="22"/>
          <w:lang w:eastAsia="ko-KR"/>
        </w:rPr>
        <w:t>’</w:t>
      </w:r>
      <w:r w:rsidRPr="0001502D">
        <w:rPr>
          <w:rFonts w:ascii="Arial" w:hAnsi="Arial" w:cs="Arial"/>
          <w:sz w:val="22"/>
          <w:szCs w:val="22"/>
          <w:lang w:eastAsia="ko-KR"/>
        </w:rPr>
        <w:t>inscription sur la Liste représentative du patrimoine culturel immatériel de l</w:t>
      </w:r>
      <w:r w:rsidR="009C104E">
        <w:rPr>
          <w:rFonts w:ascii="Arial" w:hAnsi="Arial" w:cs="Arial"/>
          <w:sz w:val="22"/>
          <w:szCs w:val="22"/>
          <w:lang w:eastAsia="ko-KR"/>
        </w:rPr>
        <w:t>’</w:t>
      </w:r>
      <w:r w:rsidRPr="0001502D">
        <w:rPr>
          <w:rFonts w:ascii="Arial" w:hAnsi="Arial" w:cs="Arial"/>
          <w:sz w:val="22"/>
          <w:szCs w:val="22"/>
          <w:lang w:eastAsia="ko-KR"/>
        </w:rPr>
        <w:t>humanité comme suit :</w:t>
      </w:r>
    </w:p>
    <w:p w14:paraId="288DB000" w14:textId="6FB89D8F" w:rsidR="0001502D" w:rsidRPr="0001502D" w:rsidRDefault="0001502D" w:rsidP="008A0AF7">
      <w:pPr>
        <w:tabs>
          <w:tab w:val="left" w:pos="1134"/>
          <w:tab w:val="left" w:pos="2268"/>
        </w:tabs>
        <w:spacing w:before="120" w:after="120"/>
        <w:ind w:left="1134" w:hanging="567"/>
        <w:jc w:val="both"/>
        <w:rPr>
          <w:rFonts w:ascii="Arial" w:hAnsi="Arial" w:cs="Arial"/>
          <w:sz w:val="22"/>
          <w:szCs w:val="22"/>
        </w:rPr>
      </w:pPr>
      <w:r w:rsidRPr="0001502D">
        <w:rPr>
          <w:rFonts w:ascii="Arial" w:hAnsi="Arial" w:cs="Arial"/>
          <w:sz w:val="22"/>
          <w:szCs w:val="22"/>
        </w:rPr>
        <w:t>R.1 :</w:t>
      </w:r>
      <w:r w:rsidRPr="0001502D">
        <w:rPr>
          <w:rFonts w:ascii="Arial" w:hAnsi="Arial" w:cs="Arial"/>
          <w:sz w:val="22"/>
          <w:szCs w:val="22"/>
        </w:rPr>
        <w:tab/>
        <w:t>Liés à l</w:t>
      </w:r>
      <w:r w:rsidR="009C104E">
        <w:rPr>
          <w:rFonts w:ascii="Arial" w:hAnsi="Arial" w:cs="Arial"/>
          <w:sz w:val="22"/>
          <w:szCs w:val="22"/>
        </w:rPr>
        <w:t>’</w:t>
      </w:r>
      <w:r w:rsidRPr="0001502D">
        <w:rPr>
          <w:rFonts w:ascii="Arial" w:hAnsi="Arial" w:cs="Arial"/>
          <w:sz w:val="22"/>
          <w:szCs w:val="22"/>
        </w:rPr>
        <w:t>histoire locale, à l</w:t>
      </w:r>
      <w:r w:rsidR="009C104E">
        <w:rPr>
          <w:rFonts w:ascii="Arial" w:hAnsi="Arial" w:cs="Arial"/>
          <w:sz w:val="22"/>
          <w:szCs w:val="22"/>
        </w:rPr>
        <w:t>’</w:t>
      </w:r>
      <w:r w:rsidRPr="0001502D">
        <w:rPr>
          <w:rFonts w:ascii="Arial" w:hAnsi="Arial" w:cs="Arial"/>
          <w:sz w:val="22"/>
          <w:szCs w:val="22"/>
        </w:rPr>
        <w:t>art et à la littérature des régions concernées, les savoir-faire traditionnels liés à la fabrication et à la pratique du dotâr sont reconnus comme l</w:t>
      </w:r>
      <w:r w:rsidR="009C104E">
        <w:rPr>
          <w:rFonts w:ascii="Arial" w:hAnsi="Arial" w:cs="Arial"/>
          <w:sz w:val="22"/>
          <w:szCs w:val="22"/>
        </w:rPr>
        <w:t>’</w:t>
      </w:r>
      <w:r w:rsidRPr="0001502D">
        <w:rPr>
          <w:rFonts w:ascii="Arial" w:hAnsi="Arial" w:cs="Arial"/>
          <w:sz w:val="22"/>
          <w:szCs w:val="22"/>
        </w:rPr>
        <w:t>une des principales composantes de l</w:t>
      </w:r>
      <w:r w:rsidR="009C104E">
        <w:rPr>
          <w:rFonts w:ascii="Arial" w:hAnsi="Arial" w:cs="Arial"/>
          <w:sz w:val="22"/>
          <w:szCs w:val="22"/>
        </w:rPr>
        <w:t>’</w:t>
      </w:r>
      <w:r w:rsidRPr="0001502D">
        <w:rPr>
          <w:rFonts w:ascii="Arial" w:hAnsi="Arial" w:cs="Arial"/>
          <w:sz w:val="22"/>
          <w:szCs w:val="22"/>
        </w:rPr>
        <w:t>identité culturelle et sociale des régions où est joué cet instrument. Référence forte pour la mémoire collective, l</w:t>
      </w:r>
      <w:r w:rsidR="009C104E">
        <w:rPr>
          <w:rFonts w:ascii="Arial" w:hAnsi="Arial" w:cs="Arial"/>
          <w:sz w:val="22"/>
          <w:szCs w:val="22"/>
        </w:rPr>
        <w:t>’</w:t>
      </w:r>
      <w:r w:rsidRPr="0001502D">
        <w:rPr>
          <w:rFonts w:ascii="Arial" w:hAnsi="Arial" w:cs="Arial"/>
          <w:sz w:val="22"/>
          <w:szCs w:val="22"/>
        </w:rPr>
        <w:t>élément remplit des fonctions symboliques importantes dans les communautés concernées. Il est dynamique et inclusif par nature.</w:t>
      </w:r>
    </w:p>
    <w:p w14:paraId="5EA5CAE3" w14:textId="5ACCFA26" w:rsidR="0001502D" w:rsidRPr="0001502D" w:rsidRDefault="0001502D" w:rsidP="008A0AF7">
      <w:pPr>
        <w:tabs>
          <w:tab w:val="left" w:pos="1134"/>
          <w:tab w:val="left" w:pos="2268"/>
        </w:tabs>
        <w:spacing w:before="120" w:after="120"/>
        <w:ind w:left="1134" w:hanging="555"/>
        <w:jc w:val="both"/>
        <w:rPr>
          <w:rFonts w:ascii="Arial" w:hAnsi="Arial" w:cs="Arial"/>
          <w:sz w:val="22"/>
          <w:szCs w:val="22"/>
        </w:rPr>
      </w:pPr>
      <w:r w:rsidRPr="0001502D">
        <w:rPr>
          <w:rFonts w:ascii="Arial" w:hAnsi="Arial" w:cs="Arial"/>
          <w:sz w:val="22"/>
          <w:szCs w:val="22"/>
        </w:rPr>
        <w:t xml:space="preserve">R.2 : </w:t>
      </w:r>
      <w:r w:rsidRPr="0001502D">
        <w:rPr>
          <w:rFonts w:ascii="Arial" w:hAnsi="Arial" w:cs="Arial"/>
          <w:sz w:val="22"/>
          <w:szCs w:val="22"/>
        </w:rPr>
        <w:tab/>
        <w:t>L</w:t>
      </w:r>
      <w:r w:rsidR="009C104E">
        <w:rPr>
          <w:rFonts w:ascii="Arial" w:hAnsi="Arial" w:cs="Arial"/>
          <w:sz w:val="22"/>
          <w:szCs w:val="22"/>
        </w:rPr>
        <w:t>’</w:t>
      </w:r>
      <w:r w:rsidRPr="0001502D">
        <w:rPr>
          <w:rFonts w:ascii="Arial" w:hAnsi="Arial" w:cs="Arial"/>
          <w:sz w:val="22"/>
          <w:szCs w:val="22"/>
        </w:rPr>
        <w:t>inscription des savoir-faire traditionnels liés à la fabrication et à la pratique du dotâr contribuerait à la visibilité du patrimoine culturel immatériel aux niveaux local et national, et à sensibiliser davantage les groupes ethniques, les communautés et les individus. Elle favoriserait la sensibilisation au sein de la population iranienne, qui serait amenée à mieux apprécier la créativité de ses concitoyens. Ce serait un vecteur d</w:t>
      </w:r>
      <w:r w:rsidR="009C104E">
        <w:rPr>
          <w:rFonts w:ascii="Arial" w:hAnsi="Arial" w:cs="Arial"/>
          <w:sz w:val="22"/>
          <w:szCs w:val="22"/>
        </w:rPr>
        <w:t>’</w:t>
      </w:r>
      <w:r w:rsidRPr="0001502D">
        <w:rPr>
          <w:rFonts w:ascii="Arial" w:hAnsi="Arial" w:cs="Arial"/>
          <w:sz w:val="22"/>
          <w:szCs w:val="22"/>
        </w:rPr>
        <w:t>amitié, d</w:t>
      </w:r>
      <w:r w:rsidR="009C104E">
        <w:rPr>
          <w:rFonts w:ascii="Arial" w:hAnsi="Arial" w:cs="Arial"/>
          <w:sz w:val="22"/>
          <w:szCs w:val="22"/>
        </w:rPr>
        <w:t>’</w:t>
      </w:r>
      <w:r w:rsidRPr="0001502D">
        <w:rPr>
          <w:rFonts w:ascii="Arial" w:hAnsi="Arial" w:cs="Arial"/>
          <w:sz w:val="22"/>
          <w:szCs w:val="22"/>
        </w:rPr>
        <w:t>intimité, de paix, de joie et de dialogue entre les communautés, groupes et individus.</w:t>
      </w:r>
    </w:p>
    <w:p w14:paraId="19654CF8" w14:textId="7E1DF745" w:rsidR="0001502D" w:rsidRPr="0001502D" w:rsidRDefault="0001502D" w:rsidP="008A0AF7">
      <w:pPr>
        <w:tabs>
          <w:tab w:val="left" w:pos="1134"/>
          <w:tab w:val="left" w:pos="2268"/>
        </w:tabs>
        <w:spacing w:before="120" w:after="120"/>
        <w:ind w:left="1134" w:hanging="555"/>
        <w:jc w:val="both"/>
        <w:rPr>
          <w:rFonts w:ascii="Arial" w:hAnsi="Arial" w:cs="Arial"/>
          <w:sz w:val="22"/>
          <w:szCs w:val="22"/>
        </w:rPr>
      </w:pPr>
      <w:r w:rsidRPr="0001502D">
        <w:rPr>
          <w:rFonts w:ascii="Arial" w:hAnsi="Arial" w:cs="Arial"/>
          <w:sz w:val="22"/>
          <w:szCs w:val="22"/>
        </w:rPr>
        <w:t xml:space="preserve">R.3 : </w:t>
      </w:r>
      <w:r w:rsidRPr="0001502D">
        <w:rPr>
          <w:rFonts w:ascii="Arial" w:hAnsi="Arial" w:cs="Arial"/>
          <w:sz w:val="22"/>
          <w:szCs w:val="22"/>
        </w:rPr>
        <w:tab/>
        <w:t>La sauvegarde de l</w:t>
      </w:r>
      <w:r w:rsidR="009C104E">
        <w:rPr>
          <w:rFonts w:ascii="Arial" w:hAnsi="Arial" w:cs="Arial"/>
          <w:sz w:val="22"/>
          <w:szCs w:val="22"/>
        </w:rPr>
        <w:t>’</w:t>
      </w:r>
      <w:r w:rsidRPr="0001502D">
        <w:rPr>
          <w:rFonts w:ascii="Arial" w:hAnsi="Arial" w:cs="Arial"/>
          <w:sz w:val="22"/>
          <w:szCs w:val="22"/>
        </w:rPr>
        <w:t>élément est jusqu</w:t>
      </w:r>
      <w:r w:rsidR="009C104E">
        <w:rPr>
          <w:rFonts w:ascii="Arial" w:hAnsi="Arial" w:cs="Arial"/>
          <w:sz w:val="22"/>
          <w:szCs w:val="22"/>
        </w:rPr>
        <w:t>’</w:t>
      </w:r>
      <w:r w:rsidRPr="0001502D">
        <w:rPr>
          <w:rFonts w:ascii="Arial" w:hAnsi="Arial" w:cs="Arial"/>
          <w:sz w:val="22"/>
          <w:szCs w:val="22"/>
        </w:rPr>
        <w:t>à présent assurée principalement grâce à des mesures informelles, mais plusieurs institutions professionnelles ont été créées ces dernières années. Les mesures de sauvegarde proposées sont viables et concrètes. Elles incluent des travaux de documentation et de recherche, mais aussi des actions de promotion par le biais des médias, d</w:t>
      </w:r>
      <w:r w:rsidR="009C104E">
        <w:rPr>
          <w:rFonts w:ascii="Arial" w:hAnsi="Arial" w:cs="Arial"/>
          <w:sz w:val="22"/>
          <w:szCs w:val="22"/>
        </w:rPr>
        <w:t>’</w:t>
      </w:r>
      <w:r w:rsidRPr="0001502D">
        <w:rPr>
          <w:rFonts w:ascii="Arial" w:hAnsi="Arial" w:cs="Arial"/>
          <w:sz w:val="22"/>
          <w:szCs w:val="22"/>
        </w:rPr>
        <w:t>Internet et des festivals de musique. L</w:t>
      </w:r>
      <w:r w:rsidR="009C104E">
        <w:rPr>
          <w:rFonts w:ascii="Arial" w:hAnsi="Arial" w:cs="Arial"/>
          <w:sz w:val="22"/>
          <w:szCs w:val="22"/>
        </w:rPr>
        <w:t>’</w:t>
      </w:r>
      <w:r w:rsidRPr="0001502D">
        <w:rPr>
          <w:rFonts w:ascii="Arial" w:hAnsi="Arial" w:cs="Arial"/>
          <w:sz w:val="22"/>
          <w:szCs w:val="22"/>
        </w:rPr>
        <w:t>État partie soutiendra ces mesures de sauvegarde en mettant à disposition des fonds et des locaux, ainsi qu</w:t>
      </w:r>
      <w:r w:rsidR="009C104E">
        <w:rPr>
          <w:rFonts w:ascii="Arial" w:hAnsi="Arial" w:cs="Arial"/>
          <w:sz w:val="22"/>
          <w:szCs w:val="22"/>
        </w:rPr>
        <w:t>’</w:t>
      </w:r>
      <w:r w:rsidRPr="0001502D">
        <w:rPr>
          <w:rFonts w:ascii="Arial" w:hAnsi="Arial" w:cs="Arial"/>
          <w:sz w:val="22"/>
          <w:szCs w:val="22"/>
        </w:rPr>
        <w:t>en créant des organismes dédiés à la sauvegarde de l</w:t>
      </w:r>
      <w:r w:rsidR="009C104E">
        <w:rPr>
          <w:rFonts w:ascii="Arial" w:hAnsi="Arial" w:cs="Arial"/>
          <w:sz w:val="22"/>
          <w:szCs w:val="22"/>
        </w:rPr>
        <w:t>’</w:t>
      </w:r>
      <w:r w:rsidRPr="0001502D">
        <w:rPr>
          <w:rFonts w:ascii="Arial" w:hAnsi="Arial" w:cs="Arial"/>
          <w:sz w:val="22"/>
          <w:szCs w:val="22"/>
        </w:rPr>
        <w:t>élément.</w:t>
      </w:r>
    </w:p>
    <w:p w14:paraId="5E468C26" w14:textId="77777777" w:rsidR="0001502D" w:rsidRPr="0001502D" w:rsidRDefault="0001502D" w:rsidP="008A0AF7">
      <w:pPr>
        <w:tabs>
          <w:tab w:val="left" w:pos="1134"/>
          <w:tab w:val="left" w:pos="2268"/>
        </w:tabs>
        <w:spacing w:before="120" w:after="120"/>
        <w:ind w:left="1134" w:hanging="555"/>
        <w:jc w:val="both"/>
        <w:rPr>
          <w:rFonts w:ascii="Arial" w:hAnsi="Arial" w:cs="Arial"/>
          <w:sz w:val="22"/>
          <w:szCs w:val="22"/>
        </w:rPr>
      </w:pPr>
      <w:r w:rsidRPr="0001502D">
        <w:rPr>
          <w:rFonts w:ascii="Arial" w:hAnsi="Arial" w:cs="Arial"/>
          <w:sz w:val="22"/>
          <w:szCs w:val="22"/>
        </w:rPr>
        <w:t xml:space="preserve">R.4 : </w:t>
      </w:r>
      <w:r w:rsidRPr="0001502D">
        <w:rPr>
          <w:rFonts w:ascii="Arial" w:hAnsi="Arial" w:cs="Arial"/>
          <w:sz w:val="22"/>
          <w:szCs w:val="22"/>
        </w:rPr>
        <w:tab/>
        <w:t>Des fabricants et des joueurs de dotâr, des chercheurs locaux et un grand nombre de détenteurs, praticiens, communautés et groupes ont activement participé aux différentes étapes de la préparation de la candidature. Ils ont fait part de leurs idées, de leurs expériences, de leurs préoccupations et de leurs suggestions, comme en témoignent les mesures de sauvegarde proposées.</w:t>
      </w:r>
    </w:p>
    <w:p w14:paraId="537B87A3" w14:textId="19D2FE5A" w:rsidR="0001502D" w:rsidRPr="0001502D" w:rsidRDefault="0001502D" w:rsidP="008A0AF7">
      <w:pPr>
        <w:tabs>
          <w:tab w:val="left" w:pos="1134"/>
          <w:tab w:val="left" w:pos="2268"/>
        </w:tabs>
        <w:spacing w:before="120" w:after="120"/>
        <w:ind w:left="1134" w:hanging="555"/>
        <w:jc w:val="both"/>
        <w:rPr>
          <w:rFonts w:ascii="Arial" w:hAnsi="Arial" w:cs="Arial"/>
          <w:sz w:val="22"/>
          <w:szCs w:val="22"/>
        </w:rPr>
      </w:pPr>
      <w:r w:rsidRPr="0001502D">
        <w:rPr>
          <w:rFonts w:ascii="Arial" w:hAnsi="Arial" w:cs="Arial"/>
          <w:sz w:val="22"/>
          <w:szCs w:val="22"/>
        </w:rPr>
        <w:t xml:space="preserve">R.5 : </w:t>
      </w:r>
      <w:r w:rsidRPr="0001502D">
        <w:rPr>
          <w:rFonts w:ascii="Arial" w:hAnsi="Arial" w:cs="Arial"/>
          <w:sz w:val="22"/>
          <w:szCs w:val="22"/>
        </w:rPr>
        <w:tab/>
        <w:t>Les savoir-faire traditionnels liés à la fabrication et à la pratique du dotâr figurent à l</w:t>
      </w:r>
      <w:r w:rsidR="009C104E">
        <w:rPr>
          <w:rFonts w:ascii="Arial" w:hAnsi="Arial" w:cs="Arial"/>
          <w:sz w:val="22"/>
          <w:szCs w:val="22"/>
        </w:rPr>
        <w:t>’</w:t>
      </w:r>
      <w:r w:rsidRPr="0001502D">
        <w:rPr>
          <w:rFonts w:ascii="Arial" w:hAnsi="Arial" w:cs="Arial"/>
          <w:sz w:val="22"/>
          <w:szCs w:val="22"/>
        </w:rPr>
        <w:t>Inventaire national du patrimoine culturel immatériel de la République islamique d</w:t>
      </w:r>
      <w:r w:rsidR="009C104E">
        <w:rPr>
          <w:rFonts w:ascii="Arial" w:hAnsi="Arial" w:cs="Arial"/>
          <w:sz w:val="22"/>
          <w:szCs w:val="22"/>
        </w:rPr>
        <w:t>’</w:t>
      </w:r>
      <w:r w:rsidRPr="0001502D">
        <w:rPr>
          <w:rFonts w:ascii="Arial" w:hAnsi="Arial" w:cs="Arial"/>
          <w:sz w:val="22"/>
          <w:szCs w:val="22"/>
        </w:rPr>
        <w:t>Iran depuis 2017. L</w:t>
      </w:r>
      <w:r w:rsidR="009C104E">
        <w:rPr>
          <w:rFonts w:ascii="Arial" w:hAnsi="Arial" w:cs="Arial"/>
          <w:sz w:val="22"/>
          <w:szCs w:val="22"/>
        </w:rPr>
        <w:t>’</w:t>
      </w:r>
      <w:r w:rsidRPr="0001502D">
        <w:rPr>
          <w:rFonts w:ascii="Arial" w:hAnsi="Arial" w:cs="Arial"/>
          <w:sz w:val="22"/>
          <w:szCs w:val="22"/>
        </w:rPr>
        <w:t>Organisation iranienne pour le tourisme, l</w:t>
      </w:r>
      <w:r w:rsidR="009C104E">
        <w:rPr>
          <w:rFonts w:ascii="Arial" w:hAnsi="Arial" w:cs="Arial"/>
          <w:sz w:val="22"/>
          <w:szCs w:val="22"/>
        </w:rPr>
        <w:t>’</w:t>
      </w:r>
      <w:r w:rsidRPr="0001502D">
        <w:rPr>
          <w:rFonts w:ascii="Arial" w:hAnsi="Arial" w:cs="Arial"/>
          <w:sz w:val="22"/>
          <w:szCs w:val="22"/>
        </w:rPr>
        <w:t>artisanat et le patrimoine est l</w:t>
      </w:r>
      <w:r w:rsidR="009C104E">
        <w:rPr>
          <w:rFonts w:ascii="Arial" w:hAnsi="Arial" w:cs="Arial"/>
          <w:sz w:val="22"/>
          <w:szCs w:val="22"/>
        </w:rPr>
        <w:t>’</w:t>
      </w:r>
      <w:r w:rsidRPr="0001502D">
        <w:rPr>
          <w:rFonts w:ascii="Arial" w:hAnsi="Arial" w:cs="Arial"/>
          <w:sz w:val="22"/>
          <w:szCs w:val="22"/>
        </w:rPr>
        <w:t>organisme responsable de la gestion et de la mise à jour de cet inventaire, avec la participation active des communautés locales, groupes et individus concernés.</w:t>
      </w:r>
    </w:p>
    <w:p w14:paraId="450F5F64" w14:textId="3C262CDA" w:rsidR="0001502D" w:rsidRPr="0001502D" w:rsidRDefault="0001502D" w:rsidP="00771F30">
      <w:pPr>
        <w:numPr>
          <w:ilvl w:val="1"/>
          <w:numId w:val="27"/>
        </w:numPr>
        <w:tabs>
          <w:tab w:val="left" w:pos="567"/>
          <w:tab w:val="left" w:pos="1701"/>
          <w:tab w:val="left" w:pos="2268"/>
        </w:tabs>
        <w:spacing w:before="120" w:after="120"/>
        <w:jc w:val="both"/>
        <w:rPr>
          <w:rFonts w:ascii="Arial" w:hAnsi="Arial" w:cs="Arial"/>
          <w:sz w:val="22"/>
          <w:szCs w:val="22"/>
          <w:lang w:eastAsia="ko-KR"/>
        </w:rPr>
      </w:pPr>
      <w:r w:rsidRPr="0001502D">
        <w:rPr>
          <w:rFonts w:ascii="Arial" w:hAnsi="Arial" w:cs="Arial"/>
          <w:sz w:val="22"/>
          <w:szCs w:val="22"/>
          <w:u w:val="single"/>
          <w:lang w:eastAsia="ko-KR"/>
        </w:rPr>
        <w:t>Décide d</w:t>
      </w:r>
      <w:r w:rsidR="009C104E">
        <w:rPr>
          <w:rFonts w:ascii="Arial" w:hAnsi="Arial" w:cs="Arial"/>
          <w:sz w:val="22"/>
          <w:szCs w:val="22"/>
          <w:u w:val="single"/>
          <w:lang w:eastAsia="ko-KR"/>
        </w:rPr>
        <w:t>’</w:t>
      </w:r>
      <w:r w:rsidRPr="0001502D">
        <w:rPr>
          <w:rFonts w:ascii="Arial" w:hAnsi="Arial" w:cs="Arial"/>
          <w:sz w:val="22"/>
          <w:szCs w:val="22"/>
          <w:u w:val="single"/>
          <w:lang w:eastAsia="ko-KR"/>
        </w:rPr>
        <w:t>inscrire</w:t>
      </w:r>
      <w:r w:rsidRPr="0001502D">
        <w:rPr>
          <w:rFonts w:ascii="Arial" w:hAnsi="Arial" w:cs="Arial"/>
          <w:sz w:val="22"/>
          <w:szCs w:val="22"/>
          <w:lang w:eastAsia="ko-KR"/>
        </w:rPr>
        <w:t xml:space="preserve"> </w:t>
      </w:r>
      <w:r w:rsidRPr="0001502D">
        <w:rPr>
          <w:rFonts w:ascii="Arial" w:hAnsi="Arial" w:cs="Arial"/>
          <w:b/>
          <w:bCs/>
          <w:sz w:val="22"/>
          <w:szCs w:val="22"/>
          <w:lang w:eastAsia="ko-KR"/>
        </w:rPr>
        <w:t>les</w:t>
      </w:r>
      <w:r w:rsidRPr="0001502D">
        <w:rPr>
          <w:rFonts w:ascii="Arial" w:hAnsi="Arial" w:cs="Arial"/>
          <w:sz w:val="22"/>
          <w:szCs w:val="22"/>
          <w:lang w:eastAsia="ko-KR"/>
        </w:rPr>
        <w:t xml:space="preserve"> </w:t>
      </w:r>
      <w:r w:rsidRPr="0001502D">
        <w:rPr>
          <w:rFonts w:ascii="Arial" w:hAnsi="Arial" w:cs="Arial"/>
          <w:b/>
          <w:bCs/>
          <w:sz w:val="22"/>
          <w:szCs w:val="22"/>
          <w:lang w:eastAsia="ko-KR"/>
        </w:rPr>
        <w:t>savoir-faire traditionnels liés à la fabrication et à la pratique du dotâr</w:t>
      </w:r>
      <w:r w:rsidRPr="0001502D">
        <w:rPr>
          <w:rFonts w:ascii="Arial" w:hAnsi="Arial" w:cs="Arial"/>
          <w:sz w:val="22"/>
          <w:szCs w:val="22"/>
          <w:lang w:eastAsia="ko-KR"/>
        </w:rPr>
        <w:t xml:space="preserve"> sur la Liste représentative du patrimoine culturel immatériel de l</w:t>
      </w:r>
      <w:r w:rsidR="009C104E">
        <w:rPr>
          <w:rFonts w:ascii="Arial" w:hAnsi="Arial" w:cs="Arial"/>
          <w:sz w:val="22"/>
          <w:szCs w:val="22"/>
          <w:lang w:eastAsia="ko-KR"/>
        </w:rPr>
        <w:t>’</w:t>
      </w:r>
      <w:r w:rsidRPr="0001502D">
        <w:rPr>
          <w:rFonts w:ascii="Arial" w:hAnsi="Arial" w:cs="Arial"/>
          <w:sz w:val="22"/>
          <w:szCs w:val="22"/>
          <w:lang w:eastAsia="ko-KR"/>
        </w:rPr>
        <w:t>humanité ;</w:t>
      </w:r>
    </w:p>
    <w:p w14:paraId="79CB5DBC" w14:textId="61A421E9" w:rsidR="0001502D" w:rsidRPr="0001502D" w:rsidRDefault="0001502D" w:rsidP="00771F30">
      <w:pPr>
        <w:numPr>
          <w:ilvl w:val="1"/>
          <w:numId w:val="27"/>
        </w:numPr>
        <w:tabs>
          <w:tab w:val="left" w:pos="567"/>
          <w:tab w:val="left" w:pos="1701"/>
          <w:tab w:val="left" w:pos="2268"/>
        </w:tabs>
        <w:spacing w:before="120" w:after="120"/>
        <w:jc w:val="both"/>
        <w:rPr>
          <w:rFonts w:ascii="Arial" w:hAnsi="Arial" w:cs="Arial"/>
          <w:sz w:val="22"/>
          <w:szCs w:val="22"/>
          <w:lang w:eastAsia="ko-KR"/>
        </w:rPr>
      </w:pPr>
      <w:r w:rsidRPr="0001502D">
        <w:rPr>
          <w:rFonts w:ascii="Arial" w:hAnsi="Arial" w:cs="Arial"/>
          <w:sz w:val="22"/>
          <w:szCs w:val="22"/>
          <w:u w:val="single"/>
          <w:lang w:eastAsia="ko-KR"/>
        </w:rPr>
        <w:t>Félicite</w:t>
      </w:r>
      <w:r w:rsidRPr="0001502D">
        <w:rPr>
          <w:rFonts w:ascii="Arial" w:hAnsi="Arial" w:cs="Arial"/>
          <w:sz w:val="22"/>
          <w:szCs w:val="22"/>
          <w:lang w:eastAsia="ko-KR"/>
        </w:rPr>
        <w:t xml:space="preserve"> l</w:t>
      </w:r>
      <w:r w:rsidR="009C104E">
        <w:rPr>
          <w:rFonts w:ascii="Arial" w:hAnsi="Arial" w:cs="Arial"/>
          <w:sz w:val="22"/>
          <w:szCs w:val="22"/>
          <w:lang w:eastAsia="ko-KR"/>
        </w:rPr>
        <w:t>’</w:t>
      </w:r>
      <w:r w:rsidRPr="0001502D">
        <w:rPr>
          <w:rFonts w:ascii="Arial" w:hAnsi="Arial" w:cs="Arial"/>
          <w:sz w:val="22"/>
          <w:szCs w:val="22"/>
          <w:lang w:eastAsia="ko-KR"/>
        </w:rPr>
        <w:t>État partie pour son mécanisme de suivi et attend avec intérêt de lire les résultats de ce mécanisme dans son prochain rapport périodique.</w:t>
      </w:r>
    </w:p>
    <w:p w14:paraId="09D7F068" w14:textId="2A2DE96A" w:rsidR="0001502D" w:rsidRPr="0001502D" w:rsidRDefault="0001502D" w:rsidP="00771F30">
      <w:pPr>
        <w:keepNext/>
        <w:keepLines/>
        <w:numPr>
          <w:ilvl w:val="0"/>
          <w:numId w:val="27"/>
        </w:numPr>
        <w:spacing w:before="360" w:after="120"/>
        <w:outlineLvl w:val="1"/>
        <w:rPr>
          <w:rFonts w:ascii="Arial" w:hAnsi="Arial" w:cs="Arial"/>
          <w:bCs/>
          <w:iCs/>
          <w:sz w:val="22"/>
          <w:szCs w:val="22"/>
        </w:rPr>
      </w:pPr>
      <w:bookmarkStart w:id="20" w:name="Decision_10b17"/>
      <w:r w:rsidRPr="0001502D">
        <w:rPr>
          <w:rFonts w:ascii="Arial" w:hAnsi="Arial" w:cs="Arial"/>
          <w:b/>
          <w:bCs/>
          <w:iCs/>
          <w:sz w:val="22"/>
          <w:szCs w:val="22"/>
        </w:rPr>
        <w:t xml:space="preserve">DÉCISION 14.COM 10.b.17 </w:t>
      </w:r>
    </w:p>
    <w:bookmarkEnd w:id="20"/>
    <w:p w14:paraId="3C2E8A0B" w14:textId="77777777" w:rsidR="0001502D" w:rsidRPr="0001502D" w:rsidRDefault="0001502D" w:rsidP="008A0AF7">
      <w:pPr>
        <w:keepNext/>
        <w:tabs>
          <w:tab w:val="left" w:pos="567"/>
          <w:tab w:val="left" w:pos="1134"/>
          <w:tab w:val="left" w:pos="1701"/>
          <w:tab w:val="left" w:pos="2268"/>
        </w:tabs>
        <w:spacing w:before="120" w:after="120"/>
        <w:jc w:val="both"/>
        <w:rPr>
          <w:rFonts w:ascii="Arial" w:hAnsi="Arial" w:cs="Arial"/>
          <w:sz w:val="22"/>
          <w:szCs w:val="22"/>
        </w:rPr>
      </w:pPr>
      <w:r w:rsidRPr="0001502D">
        <w:rPr>
          <w:rFonts w:ascii="Arial" w:hAnsi="Arial" w:cs="Arial"/>
          <w:sz w:val="22"/>
          <w:szCs w:val="22"/>
        </w:rPr>
        <w:t>Le Comité,</w:t>
      </w:r>
    </w:p>
    <w:p w14:paraId="60728DAE" w14:textId="08D3F3B9" w:rsidR="0001502D" w:rsidRPr="0001502D" w:rsidRDefault="0001502D" w:rsidP="00771F30">
      <w:pPr>
        <w:numPr>
          <w:ilvl w:val="1"/>
          <w:numId w:val="27"/>
        </w:numPr>
        <w:tabs>
          <w:tab w:val="left" w:pos="567"/>
          <w:tab w:val="left" w:pos="1701"/>
          <w:tab w:val="left" w:pos="2268"/>
        </w:tabs>
        <w:spacing w:before="120" w:after="120"/>
        <w:jc w:val="both"/>
        <w:rPr>
          <w:rFonts w:ascii="Arial" w:hAnsi="Arial" w:cs="Arial"/>
          <w:sz w:val="22"/>
          <w:szCs w:val="22"/>
          <w:lang w:eastAsia="ko-KR"/>
        </w:rPr>
      </w:pPr>
      <w:r w:rsidRPr="0001502D">
        <w:rPr>
          <w:rFonts w:ascii="Arial" w:hAnsi="Arial" w:cs="Arial"/>
          <w:sz w:val="22"/>
          <w:szCs w:val="22"/>
          <w:u w:val="single"/>
          <w:lang w:eastAsia="ko-KR"/>
        </w:rPr>
        <w:t>Prend note</w:t>
      </w:r>
      <w:r w:rsidRPr="0001502D">
        <w:rPr>
          <w:rFonts w:ascii="Arial" w:hAnsi="Arial" w:cs="Arial"/>
          <w:sz w:val="22"/>
          <w:szCs w:val="22"/>
          <w:lang w:eastAsia="ko-KR"/>
        </w:rPr>
        <w:t xml:space="preserve"> que l</w:t>
      </w:r>
      <w:r w:rsidR="009C104E">
        <w:rPr>
          <w:rFonts w:ascii="Arial" w:hAnsi="Arial" w:cs="Arial"/>
          <w:sz w:val="22"/>
          <w:szCs w:val="22"/>
          <w:lang w:eastAsia="ko-KR"/>
        </w:rPr>
        <w:t>’</w:t>
      </w:r>
      <w:r w:rsidRPr="0001502D">
        <w:rPr>
          <w:rFonts w:ascii="Arial" w:hAnsi="Arial" w:cs="Arial"/>
          <w:sz w:val="22"/>
          <w:szCs w:val="22"/>
          <w:lang w:eastAsia="ko-KR"/>
        </w:rPr>
        <w:t xml:space="preserve">Iraq a proposé la candidature </w:t>
      </w:r>
      <w:r w:rsidRPr="0001502D">
        <w:rPr>
          <w:rFonts w:ascii="Arial" w:hAnsi="Arial" w:cs="Arial"/>
          <w:b/>
          <w:sz w:val="22"/>
          <w:szCs w:val="22"/>
          <w:lang w:eastAsia="ko-KR"/>
        </w:rPr>
        <w:t>des services et de l</w:t>
      </w:r>
      <w:r w:rsidR="009C104E">
        <w:rPr>
          <w:rFonts w:ascii="Arial" w:hAnsi="Arial" w:cs="Arial"/>
          <w:b/>
          <w:sz w:val="22"/>
          <w:szCs w:val="22"/>
          <w:lang w:eastAsia="ko-KR"/>
        </w:rPr>
        <w:t>’</w:t>
      </w:r>
      <w:r w:rsidRPr="0001502D">
        <w:rPr>
          <w:rFonts w:ascii="Arial" w:hAnsi="Arial" w:cs="Arial"/>
          <w:b/>
          <w:sz w:val="22"/>
          <w:szCs w:val="22"/>
          <w:lang w:eastAsia="ko-KR"/>
        </w:rPr>
        <w:t>hospitalité offerts pendant la visite de l</w:t>
      </w:r>
      <w:r w:rsidR="009C104E">
        <w:rPr>
          <w:rFonts w:ascii="Arial" w:hAnsi="Arial" w:cs="Arial"/>
          <w:b/>
          <w:sz w:val="22"/>
          <w:szCs w:val="22"/>
          <w:lang w:eastAsia="ko-KR"/>
        </w:rPr>
        <w:t>’</w:t>
      </w:r>
      <w:r w:rsidRPr="0001502D">
        <w:rPr>
          <w:rFonts w:ascii="Arial" w:hAnsi="Arial" w:cs="Arial"/>
          <w:b/>
          <w:sz w:val="22"/>
          <w:szCs w:val="22"/>
          <w:lang w:eastAsia="ko-KR"/>
        </w:rPr>
        <w:t>Arba</w:t>
      </w:r>
      <w:r w:rsidR="009C104E">
        <w:rPr>
          <w:rFonts w:ascii="Arial" w:hAnsi="Arial" w:cs="Arial"/>
          <w:b/>
          <w:sz w:val="22"/>
          <w:szCs w:val="22"/>
          <w:lang w:eastAsia="ko-KR"/>
        </w:rPr>
        <w:t>’</w:t>
      </w:r>
      <w:r w:rsidRPr="0001502D">
        <w:rPr>
          <w:rFonts w:ascii="Arial" w:hAnsi="Arial" w:cs="Arial"/>
          <w:b/>
          <w:sz w:val="22"/>
          <w:szCs w:val="22"/>
          <w:lang w:eastAsia="ko-KR"/>
        </w:rPr>
        <w:t>in</w:t>
      </w:r>
      <w:r w:rsidRPr="0001502D">
        <w:rPr>
          <w:rFonts w:ascii="Arial" w:hAnsi="Arial" w:cs="Arial"/>
          <w:sz w:val="22"/>
          <w:szCs w:val="22"/>
          <w:lang w:eastAsia="ko-KR"/>
        </w:rPr>
        <w:t xml:space="preserve"> (n° 01474) pour inscription sur la Liste représentative du patrimoine culturel immatériel de l</w:t>
      </w:r>
      <w:r w:rsidR="009C104E">
        <w:rPr>
          <w:rFonts w:ascii="Arial" w:hAnsi="Arial" w:cs="Arial"/>
          <w:sz w:val="22"/>
          <w:szCs w:val="22"/>
          <w:lang w:eastAsia="ko-KR"/>
        </w:rPr>
        <w:t>’</w:t>
      </w:r>
      <w:r w:rsidRPr="0001502D">
        <w:rPr>
          <w:rFonts w:ascii="Arial" w:hAnsi="Arial" w:cs="Arial"/>
          <w:sz w:val="22"/>
          <w:szCs w:val="22"/>
          <w:lang w:eastAsia="ko-KR"/>
        </w:rPr>
        <w:t>humanité :</w:t>
      </w:r>
    </w:p>
    <w:p w14:paraId="25B22334" w14:textId="5B451DE1" w:rsidR="0001502D" w:rsidRPr="0001502D" w:rsidRDefault="0001502D" w:rsidP="008A0AF7">
      <w:pPr>
        <w:tabs>
          <w:tab w:val="left" w:pos="567"/>
          <w:tab w:val="left" w:pos="1701"/>
          <w:tab w:val="left" w:pos="2268"/>
        </w:tabs>
        <w:spacing w:before="120" w:after="120"/>
        <w:ind w:left="567"/>
        <w:jc w:val="both"/>
        <w:rPr>
          <w:rFonts w:ascii="Arial" w:hAnsi="Arial" w:cs="Arial"/>
          <w:sz w:val="22"/>
          <w:szCs w:val="22"/>
        </w:rPr>
      </w:pPr>
      <w:r w:rsidRPr="0001502D">
        <w:rPr>
          <w:rFonts w:ascii="Arial" w:hAnsi="Arial" w:cs="Arial"/>
          <w:sz w:val="22"/>
          <w:szCs w:val="22"/>
        </w:rPr>
        <w:t>Les services et l</w:t>
      </w:r>
      <w:r w:rsidR="009C104E">
        <w:rPr>
          <w:rFonts w:ascii="Arial" w:hAnsi="Arial" w:cs="Arial"/>
          <w:sz w:val="22"/>
          <w:szCs w:val="22"/>
        </w:rPr>
        <w:t>’</w:t>
      </w:r>
      <w:r w:rsidRPr="0001502D">
        <w:rPr>
          <w:rFonts w:ascii="Arial" w:hAnsi="Arial" w:cs="Arial"/>
          <w:sz w:val="22"/>
          <w:szCs w:val="22"/>
        </w:rPr>
        <w:t>hospitalité offerts pendant la visite de l</w:t>
      </w:r>
      <w:r w:rsidR="009C104E">
        <w:rPr>
          <w:rFonts w:ascii="Arial" w:hAnsi="Arial" w:cs="Arial"/>
          <w:sz w:val="22"/>
          <w:szCs w:val="22"/>
        </w:rPr>
        <w:t>’</w:t>
      </w:r>
      <w:r w:rsidRPr="0001502D">
        <w:rPr>
          <w:rFonts w:ascii="Arial" w:hAnsi="Arial" w:cs="Arial"/>
          <w:sz w:val="22"/>
          <w:szCs w:val="22"/>
        </w:rPr>
        <w:t>Arba</w:t>
      </w:r>
      <w:r w:rsidR="009C104E">
        <w:rPr>
          <w:rFonts w:ascii="Arial" w:hAnsi="Arial" w:cs="Arial"/>
          <w:sz w:val="22"/>
          <w:szCs w:val="22"/>
        </w:rPr>
        <w:t>’</w:t>
      </w:r>
      <w:r w:rsidRPr="0001502D">
        <w:rPr>
          <w:rFonts w:ascii="Arial" w:hAnsi="Arial" w:cs="Arial"/>
          <w:sz w:val="22"/>
          <w:szCs w:val="22"/>
        </w:rPr>
        <w:t>in relèvent d</w:t>
      </w:r>
      <w:r w:rsidR="009C104E">
        <w:rPr>
          <w:rFonts w:ascii="Arial" w:hAnsi="Arial" w:cs="Arial"/>
          <w:sz w:val="22"/>
          <w:szCs w:val="22"/>
        </w:rPr>
        <w:t>’</w:t>
      </w:r>
      <w:r w:rsidRPr="0001502D">
        <w:rPr>
          <w:rFonts w:ascii="Arial" w:hAnsi="Arial" w:cs="Arial"/>
          <w:sz w:val="22"/>
          <w:szCs w:val="22"/>
        </w:rPr>
        <w:t>une pratique sociale qui a cours dans les régions centrale et méridionale de l</w:t>
      </w:r>
      <w:r w:rsidR="009C104E">
        <w:rPr>
          <w:rFonts w:ascii="Arial" w:hAnsi="Arial" w:cs="Arial"/>
          <w:sz w:val="22"/>
          <w:szCs w:val="22"/>
        </w:rPr>
        <w:t>’</w:t>
      </w:r>
      <w:r w:rsidRPr="0001502D">
        <w:rPr>
          <w:rFonts w:ascii="Arial" w:hAnsi="Arial" w:cs="Arial"/>
          <w:sz w:val="22"/>
          <w:szCs w:val="22"/>
        </w:rPr>
        <w:t>Iraq d</w:t>
      </w:r>
      <w:r w:rsidR="009C104E">
        <w:rPr>
          <w:rFonts w:ascii="Arial" w:hAnsi="Arial" w:cs="Arial"/>
          <w:sz w:val="22"/>
          <w:szCs w:val="22"/>
        </w:rPr>
        <w:t>’</w:t>
      </w:r>
      <w:r w:rsidRPr="0001502D">
        <w:rPr>
          <w:rFonts w:ascii="Arial" w:hAnsi="Arial" w:cs="Arial"/>
          <w:sz w:val="22"/>
          <w:szCs w:val="22"/>
        </w:rPr>
        <w:t>où partent des processions de visiteurs et pèlerins qui se rendent dans la ville sainte de Karbala. L</w:t>
      </w:r>
      <w:r w:rsidR="009C104E">
        <w:rPr>
          <w:rFonts w:ascii="Arial" w:hAnsi="Arial" w:cs="Arial"/>
          <w:sz w:val="22"/>
          <w:szCs w:val="22"/>
        </w:rPr>
        <w:t>’</w:t>
      </w:r>
      <w:r w:rsidRPr="0001502D">
        <w:rPr>
          <w:rFonts w:ascii="Arial" w:hAnsi="Arial" w:cs="Arial"/>
          <w:sz w:val="22"/>
          <w:szCs w:val="22"/>
        </w:rPr>
        <w:t>élément – une pratique sociale profondément ancrée dans la tradition iraquienne et arabe de l</w:t>
      </w:r>
      <w:r w:rsidR="009C104E">
        <w:rPr>
          <w:rFonts w:ascii="Arial" w:hAnsi="Arial" w:cs="Arial"/>
          <w:sz w:val="22"/>
          <w:szCs w:val="22"/>
        </w:rPr>
        <w:t>’</w:t>
      </w:r>
      <w:r w:rsidRPr="0001502D">
        <w:rPr>
          <w:rFonts w:ascii="Arial" w:hAnsi="Arial" w:cs="Arial"/>
          <w:sz w:val="22"/>
          <w:szCs w:val="22"/>
        </w:rPr>
        <w:t>hospitalité – est une immense manifestation de charité à travers le bénévolat et la mobilisation sociale, et est considéré comme étant un élément déterminant de l</w:t>
      </w:r>
      <w:r w:rsidR="009C104E">
        <w:rPr>
          <w:rFonts w:ascii="Arial" w:hAnsi="Arial" w:cs="Arial"/>
          <w:sz w:val="22"/>
          <w:szCs w:val="22"/>
        </w:rPr>
        <w:t>’</w:t>
      </w:r>
      <w:r w:rsidRPr="0001502D">
        <w:rPr>
          <w:rFonts w:ascii="Arial" w:hAnsi="Arial" w:cs="Arial"/>
          <w:sz w:val="22"/>
          <w:szCs w:val="22"/>
        </w:rPr>
        <w:t>identité culturelle de l</w:t>
      </w:r>
      <w:r w:rsidR="009C104E">
        <w:rPr>
          <w:rFonts w:ascii="Arial" w:hAnsi="Arial" w:cs="Arial"/>
          <w:sz w:val="22"/>
          <w:szCs w:val="22"/>
        </w:rPr>
        <w:t>’</w:t>
      </w:r>
      <w:r w:rsidRPr="0001502D">
        <w:rPr>
          <w:rFonts w:ascii="Arial" w:hAnsi="Arial" w:cs="Arial"/>
          <w:sz w:val="22"/>
          <w:szCs w:val="22"/>
        </w:rPr>
        <w:t>Iraq. Chaque année, autour du 20 du mois musulman de safar, la province iraquienne de Karbala accueille des millions de visiteurs à l</w:t>
      </w:r>
      <w:r w:rsidR="009C104E">
        <w:rPr>
          <w:rFonts w:ascii="Arial" w:hAnsi="Arial" w:cs="Arial"/>
          <w:sz w:val="22"/>
          <w:szCs w:val="22"/>
        </w:rPr>
        <w:t>’</w:t>
      </w:r>
      <w:r w:rsidRPr="0001502D">
        <w:rPr>
          <w:rFonts w:ascii="Arial" w:hAnsi="Arial" w:cs="Arial"/>
          <w:sz w:val="22"/>
          <w:szCs w:val="22"/>
        </w:rPr>
        <w:t>occasion d</w:t>
      </w:r>
      <w:r w:rsidR="009C104E">
        <w:rPr>
          <w:rFonts w:ascii="Arial" w:hAnsi="Arial" w:cs="Arial"/>
          <w:sz w:val="22"/>
          <w:szCs w:val="22"/>
        </w:rPr>
        <w:t>’</w:t>
      </w:r>
      <w:r w:rsidRPr="0001502D">
        <w:rPr>
          <w:rFonts w:ascii="Arial" w:hAnsi="Arial" w:cs="Arial"/>
          <w:sz w:val="22"/>
          <w:szCs w:val="22"/>
        </w:rPr>
        <w:t>un des pèlerinages religieux les plus populaires au monde. Venant de différentes régions iraquiennes ou de pays étrangers, les visiteurs marchent vers le Saint Sanctuaire de l</w:t>
      </w:r>
      <w:r w:rsidR="009C104E">
        <w:rPr>
          <w:rFonts w:ascii="Arial" w:hAnsi="Arial" w:cs="Arial"/>
          <w:sz w:val="22"/>
          <w:szCs w:val="22"/>
        </w:rPr>
        <w:t>’</w:t>
      </w:r>
      <w:r w:rsidRPr="0001502D">
        <w:rPr>
          <w:rFonts w:ascii="Arial" w:hAnsi="Arial" w:cs="Arial"/>
          <w:sz w:val="22"/>
          <w:szCs w:val="22"/>
        </w:rPr>
        <w:t>iman Hussein. De très nombreuses personnes donnent de leur temps et de leurs ressources pour offrir aux pèlerins des services gratuits sur leur chemin. Deux semaines au moins avant la date de l</w:t>
      </w:r>
      <w:r w:rsidR="009C104E">
        <w:rPr>
          <w:rFonts w:ascii="Arial" w:hAnsi="Arial" w:cs="Arial"/>
          <w:sz w:val="22"/>
          <w:szCs w:val="22"/>
        </w:rPr>
        <w:t>’</w:t>
      </w:r>
      <w:r w:rsidRPr="0001502D">
        <w:rPr>
          <w:rFonts w:ascii="Arial" w:hAnsi="Arial" w:cs="Arial"/>
          <w:sz w:val="22"/>
          <w:szCs w:val="22"/>
        </w:rPr>
        <w:t>Arba</w:t>
      </w:r>
      <w:r w:rsidR="009C104E">
        <w:rPr>
          <w:rFonts w:ascii="Arial" w:hAnsi="Arial" w:cs="Arial"/>
          <w:sz w:val="22"/>
          <w:szCs w:val="22"/>
        </w:rPr>
        <w:t>’</w:t>
      </w:r>
      <w:r w:rsidRPr="0001502D">
        <w:rPr>
          <w:rFonts w:ascii="Arial" w:hAnsi="Arial" w:cs="Arial"/>
          <w:sz w:val="22"/>
          <w:szCs w:val="22"/>
        </w:rPr>
        <w:t>in, des associations mettent en place des installations temporaires ou rouvrent des structures fixes le long des routes empruntées comme des salles de prière, des lieux d</w:t>
      </w:r>
      <w:r w:rsidR="009C104E">
        <w:rPr>
          <w:rFonts w:ascii="Arial" w:hAnsi="Arial" w:cs="Arial"/>
          <w:sz w:val="22"/>
          <w:szCs w:val="22"/>
        </w:rPr>
        <w:t>’</w:t>
      </w:r>
      <w:r w:rsidRPr="0001502D">
        <w:rPr>
          <w:rFonts w:ascii="Arial" w:hAnsi="Arial" w:cs="Arial"/>
          <w:sz w:val="22"/>
          <w:szCs w:val="22"/>
        </w:rPr>
        <w:t>hébergement et des stands proposant différents services. Nombreux sont les habitants qui ouvrent leurs maisons pour loger gratuitement des pèlerins pour la nuit. Les détenteurs et praticiens incluent les cuisiniers, les familles qui offrent l</w:t>
      </w:r>
      <w:r w:rsidR="009C104E">
        <w:rPr>
          <w:rFonts w:ascii="Arial" w:hAnsi="Arial" w:cs="Arial"/>
          <w:sz w:val="22"/>
          <w:szCs w:val="22"/>
        </w:rPr>
        <w:t>’</w:t>
      </w:r>
      <w:r w:rsidRPr="0001502D">
        <w:rPr>
          <w:rFonts w:ascii="Arial" w:hAnsi="Arial" w:cs="Arial"/>
          <w:sz w:val="22"/>
          <w:szCs w:val="22"/>
        </w:rPr>
        <w:t>hospitalité, les autorités administratives des deux Saints Sanctuaires de Karbala, les guides bénévoles, les équipes médicales bénévoles et les généreux donateurs.</w:t>
      </w:r>
    </w:p>
    <w:p w14:paraId="3DFD574F" w14:textId="68094B69" w:rsidR="0001502D" w:rsidRPr="0001502D" w:rsidRDefault="0001502D" w:rsidP="00771F30">
      <w:pPr>
        <w:keepNext/>
        <w:numPr>
          <w:ilvl w:val="1"/>
          <w:numId w:val="27"/>
        </w:numPr>
        <w:tabs>
          <w:tab w:val="left" w:pos="567"/>
          <w:tab w:val="left" w:pos="1701"/>
          <w:tab w:val="left" w:pos="2268"/>
        </w:tabs>
        <w:spacing w:before="120" w:after="120"/>
        <w:jc w:val="both"/>
        <w:rPr>
          <w:rFonts w:ascii="Arial" w:hAnsi="Arial" w:cs="Arial"/>
          <w:sz w:val="22"/>
          <w:szCs w:val="22"/>
          <w:lang w:eastAsia="ko-KR"/>
        </w:rPr>
      </w:pPr>
      <w:r w:rsidRPr="0001502D">
        <w:rPr>
          <w:rFonts w:ascii="Arial" w:hAnsi="Arial" w:cs="Arial"/>
          <w:sz w:val="22"/>
          <w:szCs w:val="22"/>
          <w:u w:val="single"/>
          <w:lang w:eastAsia="ko-KR"/>
        </w:rPr>
        <w:t>Estime</w:t>
      </w:r>
      <w:r w:rsidRPr="0001502D">
        <w:rPr>
          <w:rFonts w:ascii="Arial" w:hAnsi="Arial" w:cs="Arial"/>
          <w:sz w:val="22"/>
          <w:szCs w:val="22"/>
          <w:lang w:eastAsia="ko-KR"/>
        </w:rPr>
        <w:t xml:space="preserve"> que, d</w:t>
      </w:r>
      <w:r w:rsidR="009C104E">
        <w:rPr>
          <w:rFonts w:ascii="Arial" w:hAnsi="Arial" w:cs="Arial"/>
          <w:sz w:val="22"/>
          <w:szCs w:val="22"/>
          <w:lang w:eastAsia="ko-KR"/>
        </w:rPr>
        <w:t>’</w:t>
      </w:r>
      <w:r w:rsidRPr="0001502D">
        <w:rPr>
          <w:rFonts w:ascii="Arial" w:hAnsi="Arial" w:cs="Arial"/>
          <w:sz w:val="22"/>
          <w:szCs w:val="22"/>
          <w:lang w:eastAsia="ko-KR"/>
        </w:rPr>
        <w:t>après les informations contenues dans le dossier, la candidature satisfait aux critères d</w:t>
      </w:r>
      <w:r w:rsidR="009C104E">
        <w:rPr>
          <w:rFonts w:ascii="Arial" w:hAnsi="Arial" w:cs="Arial"/>
          <w:sz w:val="22"/>
          <w:szCs w:val="22"/>
          <w:lang w:eastAsia="ko-KR"/>
        </w:rPr>
        <w:t>’</w:t>
      </w:r>
      <w:r w:rsidRPr="0001502D">
        <w:rPr>
          <w:rFonts w:ascii="Arial" w:hAnsi="Arial" w:cs="Arial"/>
          <w:sz w:val="22"/>
          <w:szCs w:val="22"/>
          <w:lang w:eastAsia="ko-KR"/>
        </w:rPr>
        <w:t>inscription sur la Liste représentative du patrimoine culturel immatériel de l</w:t>
      </w:r>
      <w:r w:rsidR="009C104E">
        <w:rPr>
          <w:rFonts w:ascii="Arial" w:hAnsi="Arial" w:cs="Arial"/>
          <w:sz w:val="22"/>
          <w:szCs w:val="22"/>
          <w:lang w:eastAsia="ko-KR"/>
        </w:rPr>
        <w:t>’</w:t>
      </w:r>
      <w:r w:rsidRPr="0001502D">
        <w:rPr>
          <w:rFonts w:ascii="Arial" w:hAnsi="Arial" w:cs="Arial"/>
          <w:sz w:val="22"/>
          <w:szCs w:val="22"/>
          <w:lang w:eastAsia="ko-KR"/>
        </w:rPr>
        <w:t>humanité comme suit :</w:t>
      </w:r>
    </w:p>
    <w:p w14:paraId="3B0B4E3C" w14:textId="06D0401C" w:rsidR="0001502D" w:rsidRPr="0001502D" w:rsidRDefault="0001502D" w:rsidP="008A0AF7">
      <w:pPr>
        <w:tabs>
          <w:tab w:val="left" w:pos="1134"/>
          <w:tab w:val="left" w:pos="2268"/>
        </w:tabs>
        <w:spacing w:before="120" w:after="120"/>
        <w:ind w:left="1134" w:hanging="567"/>
        <w:jc w:val="both"/>
        <w:rPr>
          <w:rFonts w:ascii="Arial" w:hAnsi="Arial" w:cs="Arial"/>
          <w:sz w:val="22"/>
          <w:szCs w:val="22"/>
        </w:rPr>
      </w:pPr>
      <w:r w:rsidRPr="0001502D">
        <w:rPr>
          <w:rFonts w:ascii="Arial" w:hAnsi="Arial" w:cs="Arial"/>
          <w:sz w:val="22"/>
          <w:szCs w:val="22"/>
        </w:rPr>
        <w:t>R.1 :</w:t>
      </w:r>
      <w:r w:rsidR="00BC5A23" w:rsidRPr="0001502D">
        <w:rPr>
          <w:rFonts w:ascii="Arial" w:hAnsi="Arial" w:cs="Arial"/>
          <w:sz w:val="22"/>
          <w:szCs w:val="22"/>
        </w:rPr>
        <w:tab/>
      </w:r>
      <w:r w:rsidRPr="0001502D">
        <w:rPr>
          <w:rFonts w:ascii="Arial" w:hAnsi="Arial" w:cs="Arial"/>
          <w:sz w:val="22"/>
          <w:szCs w:val="22"/>
        </w:rPr>
        <w:t>Les services et l</w:t>
      </w:r>
      <w:r w:rsidR="009C104E">
        <w:rPr>
          <w:rFonts w:ascii="Arial" w:hAnsi="Arial" w:cs="Arial"/>
          <w:sz w:val="22"/>
          <w:szCs w:val="22"/>
        </w:rPr>
        <w:t>’</w:t>
      </w:r>
      <w:r w:rsidRPr="0001502D">
        <w:rPr>
          <w:rFonts w:ascii="Arial" w:hAnsi="Arial" w:cs="Arial"/>
          <w:sz w:val="22"/>
          <w:szCs w:val="22"/>
        </w:rPr>
        <w:t>hospitalité offerts pendant la visite de l</w:t>
      </w:r>
      <w:r w:rsidR="009C104E">
        <w:rPr>
          <w:rFonts w:ascii="Arial" w:hAnsi="Arial" w:cs="Arial"/>
          <w:sz w:val="22"/>
          <w:szCs w:val="22"/>
        </w:rPr>
        <w:t>’</w:t>
      </w:r>
      <w:r w:rsidRPr="0001502D">
        <w:rPr>
          <w:rFonts w:ascii="Arial" w:hAnsi="Arial" w:cs="Arial"/>
          <w:sz w:val="22"/>
          <w:szCs w:val="22"/>
        </w:rPr>
        <w:t>Arba</w:t>
      </w:r>
      <w:r w:rsidR="009C104E">
        <w:rPr>
          <w:rFonts w:ascii="Arial" w:hAnsi="Arial" w:cs="Arial"/>
          <w:sz w:val="22"/>
          <w:szCs w:val="22"/>
        </w:rPr>
        <w:t>’</w:t>
      </w:r>
      <w:r w:rsidRPr="0001502D">
        <w:rPr>
          <w:rFonts w:ascii="Arial" w:hAnsi="Arial" w:cs="Arial"/>
          <w:sz w:val="22"/>
          <w:szCs w:val="22"/>
        </w:rPr>
        <w:t>in jouent un rôle significatif dans le rapprochement entre les cultures et les nationalités, et constituent un élément central de la vie culturelle iraquienne. C</w:t>
      </w:r>
      <w:r w:rsidR="009C104E">
        <w:rPr>
          <w:rFonts w:ascii="Arial" w:hAnsi="Arial" w:cs="Arial"/>
          <w:sz w:val="22"/>
          <w:szCs w:val="22"/>
        </w:rPr>
        <w:t>’</w:t>
      </w:r>
      <w:r w:rsidRPr="0001502D">
        <w:rPr>
          <w:rFonts w:ascii="Arial" w:hAnsi="Arial" w:cs="Arial"/>
          <w:sz w:val="22"/>
          <w:szCs w:val="22"/>
        </w:rPr>
        <w:t>est un aspect important de l</w:t>
      </w:r>
      <w:r w:rsidR="009C104E">
        <w:rPr>
          <w:rFonts w:ascii="Arial" w:hAnsi="Arial" w:cs="Arial"/>
          <w:sz w:val="22"/>
          <w:szCs w:val="22"/>
        </w:rPr>
        <w:t>’</w:t>
      </w:r>
      <w:r w:rsidRPr="0001502D">
        <w:rPr>
          <w:rFonts w:ascii="Arial" w:hAnsi="Arial" w:cs="Arial"/>
          <w:sz w:val="22"/>
          <w:szCs w:val="22"/>
        </w:rPr>
        <w:t>identité religieuse, culturelle et historique des membres des communautés concernées. L</w:t>
      </w:r>
      <w:r w:rsidR="009C104E">
        <w:rPr>
          <w:rFonts w:ascii="Arial" w:hAnsi="Arial" w:cs="Arial"/>
          <w:sz w:val="22"/>
          <w:szCs w:val="22"/>
        </w:rPr>
        <w:t>’</w:t>
      </w:r>
      <w:r w:rsidRPr="0001502D">
        <w:rPr>
          <w:rFonts w:ascii="Arial" w:hAnsi="Arial" w:cs="Arial"/>
          <w:sz w:val="22"/>
          <w:szCs w:val="22"/>
        </w:rPr>
        <w:t>élément est transmis à travers la participation conjointe d</w:t>
      </w:r>
      <w:r w:rsidR="009C104E">
        <w:rPr>
          <w:rFonts w:ascii="Arial" w:hAnsi="Arial" w:cs="Arial"/>
          <w:sz w:val="22"/>
          <w:szCs w:val="22"/>
        </w:rPr>
        <w:t>’</w:t>
      </w:r>
      <w:r w:rsidRPr="0001502D">
        <w:rPr>
          <w:rFonts w:ascii="Arial" w:hAnsi="Arial" w:cs="Arial"/>
          <w:sz w:val="22"/>
          <w:szCs w:val="22"/>
        </w:rPr>
        <w:t>hommes et de femmes de tous âges aux activités d</w:t>
      </w:r>
      <w:r w:rsidR="009C104E">
        <w:rPr>
          <w:rFonts w:ascii="Arial" w:hAnsi="Arial" w:cs="Arial"/>
          <w:sz w:val="22"/>
          <w:szCs w:val="22"/>
        </w:rPr>
        <w:t>’</w:t>
      </w:r>
      <w:r w:rsidRPr="0001502D">
        <w:rPr>
          <w:rFonts w:ascii="Arial" w:hAnsi="Arial" w:cs="Arial"/>
          <w:sz w:val="22"/>
          <w:szCs w:val="22"/>
        </w:rPr>
        <w:t>associations, souvent familiales, dédiées aux services husseinites. C</w:t>
      </w:r>
      <w:r w:rsidR="009C104E">
        <w:rPr>
          <w:rFonts w:ascii="Arial" w:hAnsi="Arial" w:cs="Arial"/>
          <w:sz w:val="22"/>
          <w:szCs w:val="22"/>
        </w:rPr>
        <w:t>’</w:t>
      </w:r>
      <w:r w:rsidRPr="0001502D">
        <w:rPr>
          <w:rFonts w:ascii="Arial" w:hAnsi="Arial" w:cs="Arial"/>
          <w:sz w:val="22"/>
          <w:szCs w:val="22"/>
        </w:rPr>
        <w:t>est également un excellent moyen d</w:t>
      </w:r>
      <w:r w:rsidR="009C104E">
        <w:rPr>
          <w:rFonts w:ascii="Arial" w:hAnsi="Arial" w:cs="Arial"/>
          <w:sz w:val="22"/>
          <w:szCs w:val="22"/>
        </w:rPr>
        <w:t>’</w:t>
      </w:r>
      <w:r w:rsidRPr="0001502D">
        <w:rPr>
          <w:rFonts w:ascii="Arial" w:hAnsi="Arial" w:cs="Arial"/>
          <w:sz w:val="22"/>
          <w:szCs w:val="22"/>
        </w:rPr>
        <w:t>assurer l</w:t>
      </w:r>
      <w:r w:rsidR="009C104E">
        <w:rPr>
          <w:rFonts w:ascii="Arial" w:hAnsi="Arial" w:cs="Arial"/>
          <w:sz w:val="22"/>
          <w:szCs w:val="22"/>
        </w:rPr>
        <w:t>’</w:t>
      </w:r>
      <w:r w:rsidRPr="0001502D">
        <w:rPr>
          <w:rFonts w:ascii="Arial" w:hAnsi="Arial" w:cs="Arial"/>
          <w:sz w:val="22"/>
          <w:szCs w:val="22"/>
        </w:rPr>
        <w:t>interdépendance sociale et la redistribution des richesses.</w:t>
      </w:r>
    </w:p>
    <w:p w14:paraId="3BC53A26" w14:textId="7E383827" w:rsidR="0001502D" w:rsidRPr="0001502D" w:rsidRDefault="0001502D" w:rsidP="008A0AF7">
      <w:pPr>
        <w:tabs>
          <w:tab w:val="left" w:pos="1134"/>
          <w:tab w:val="left" w:pos="2268"/>
        </w:tabs>
        <w:spacing w:before="120" w:after="120"/>
        <w:ind w:left="1134" w:hanging="567"/>
        <w:jc w:val="both"/>
        <w:rPr>
          <w:rFonts w:ascii="Arial" w:hAnsi="Arial" w:cs="Arial"/>
          <w:sz w:val="22"/>
          <w:szCs w:val="22"/>
        </w:rPr>
      </w:pPr>
      <w:r w:rsidRPr="0001502D">
        <w:rPr>
          <w:rFonts w:ascii="Arial" w:hAnsi="Arial" w:cs="Arial"/>
          <w:sz w:val="22"/>
          <w:szCs w:val="22"/>
        </w:rPr>
        <w:t>R.2 :</w:t>
      </w:r>
      <w:r w:rsidRPr="0001502D">
        <w:rPr>
          <w:rFonts w:ascii="Arial" w:hAnsi="Arial" w:cs="Arial"/>
          <w:sz w:val="22"/>
          <w:szCs w:val="22"/>
        </w:rPr>
        <w:tab/>
        <w:t>Les services et l</w:t>
      </w:r>
      <w:r w:rsidR="009C104E">
        <w:rPr>
          <w:rFonts w:ascii="Arial" w:hAnsi="Arial" w:cs="Arial"/>
          <w:sz w:val="22"/>
          <w:szCs w:val="22"/>
        </w:rPr>
        <w:t>’</w:t>
      </w:r>
      <w:r w:rsidRPr="0001502D">
        <w:rPr>
          <w:rFonts w:ascii="Arial" w:hAnsi="Arial" w:cs="Arial"/>
          <w:sz w:val="22"/>
          <w:szCs w:val="22"/>
        </w:rPr>
        <w:t>hospitalité offerts pendant la visite de l</w:t>
      </w:r>
      <w:r w:rsidR="009C104E">
        <w:rPr>
          <w:rFonts w:ascii="Arial" w:hAnsi="Arial" w:cs="Arial"/>
          <w:sz w:val="22"/>
          <w:szCs w:val="22"/>
        </w:rPr>
        <w:t>’</w:t>
      </w:r>
      <w:r w:rsidRPr="0001502D">
        <w:rPr>
          <w:rFonts w:ascii="Arial" w:hAnsi="Arial" w:cs="Arial"/>
          <w:sz w:val="22"/>
          <w:szCs w:val="22"/>
        </w:rPr>
        <w:t>Arba</w:t>
      </w:r>
      <w:r w:rsidR="009C104E">
        <w:rPr>
          <w:rFonts w:ascii="Arial" w:hAnsi="Arial" w:cs="Arial"/>
          <w:sz w:val="22"/>
          <w:szCs w:val="22"/>
        </w:rPr>
        <w:t>’</w:t>
      </w:r>
      <w:r w:rsidRPr="0001502D">
        <w:rPr>
          <w:rFonts w:ascii="Arial" w:hAnsi="Arial" w:cs="Arial"/>
          <w:sz w:val="22"/>
          <w:szCs w:val="22"/>
        </w:rPr>
        <w:t>in forment une institution sociale liée à un événement religieux qui transcende toute appartenance religieuse ou ethnique. En tant que tel, l</w:t>
      </w:r>
      <w:r w:rsidR="009C104E">
        <w:rPr>
          <w:rFonts w:ascii="Arial" w:hAnsi="Arial" w:cs="Arial"/>
          <w:sz w:val="22"/>
          <w:szCs w:val="22"/>
        </w:rPr>
        <w:t>’</w:t>
      </w:r>
      <w:r w:rsidRPr="0001502D">
        <w:rPr>
          <w:rFonts w:ascii="Arial" w:hAnsi="Arial" w:cs="Arial"/>
          <w:sz w:val="22"/>
          <w:szCs w:val="22"/>
        </w:rPr>
        <w:t>élément repose sur des valeurs telles que la diversité culturelle, le dialogue culturel et le respect mutuel entre membres de différentes communautés religieuses. L</w:t>
      </w:r>
      <w:r w:rsidR="009C104E">
        <w:rPr>
          <w:rFonts w:ascii="Arial" w:hAnsi="Arial" w:cs="Arial"/>
          <w:sz w:val="22"/>
          <w:szCs w:val="22"/>
        </w:rPr>
        <w:t>’</w:t>
      </w:r>
      <w:r w:rsidRPr="0001502D">
        <w:rPr>
          <w:rFonts w:ascii="Arial" w:hAnsi="Arial" w:cs="Arial"/>
          <w:sz w:val="22"/>
          <w:szCs w:val="22"/>
        </w:rPr>
        <w:t>inscription contribuerait à accroître la visibilité et la sensibilisation à l</w:t>
      </w:r>
      <w:r w:rsidR="009C104E">
        <w:rPr>
          <w:rFonts w:ascii="Arial" w:hAnsi="Arial" w:cs="Arial"/>
          <w:sz w:val="22"/>
          <w:szCs w:val="22"/>
        </w:rPr>
        <w:t>’</w:t>
      </w:r>
      <w:r w:rsidRPr="0001502D">
        <w:rPr>
          <w:rFonts w:ascii="Arial" w:hAnsi="Arial" w:cs="Arial"/>
          <w:sz w:val="22"/>
          <w:szCs w:val="22"/>
        </w:rPr>
        <w:t>importance des expressions locales de l</w:t>
      </w:r>
      <w:r w:rsidR="009C104E">
        <w:rPr>
          <w:rFonts w:ascii="Arial" w:hAnsi="Arial" w:cs="Arial"/>
          <w:sz w:val="22"/>
          <w:szCs w:val="22"/>
        </w:rPr>
        <w:t>’</w:t>
      </w:r>
      <w:r w:rsidRPr="0001502D">
        <w:rPr>
          <w:rFonts w:ascii="Arial" w:hAnsi="Arial" w:cs="Arial"/>
          <w:sz w:val="22"/>
          <w:szCs w:val="22"/>
        </w:rPr>
        <w:t>hospitalité, profondément ancrées dans la culture et l</w:t>
      </w:r>
      <w:r w:rsidR="009C104E">
        <w:rPr>
          <w:rFonts w:ascii="Arial" w:hAnsi="Arial" w:cs="Arial"/>
          <w:sz w:val="22"/>
          <w:szCs w:val="22"/>
        </w:rPr>
        <w:t>’</w:t>
      </w:r>
      <w:r w:rsidRPr="0001502D">
        <w:rPr>
          <w:rFonts w:ascii="Arial" w:hAnsi="Arial" w:cs="Arial"/>
          <w:sz w:val="22"/>
          <w:szCs w:val="22"/>
        </w:rPr>
        <w:t>histoire locale, à l</w:t>
      </w:r>
      <w:r w:rsidR="009C104E">
        <w:rPr>
          <w:rFonts w:ascii="Arial" w:hAnsi="Arial" w:cs="Arial"/>
          <w:sz w:val="22"/>
          <w:szCs w:val="22"/>
        </w:rPr>
        <w:t>’</w:t>
      </w:r>
      <w:r w:rsidRPr="0001502D">
        <w:rPr>
          <w:rFonts w:ascii="Arial" w:hAnsi="Arial" w:cs="Arial"/>
          <w:sz w:val="22"/>
          <w:szCs w:val="22"/>
        </w:rPr>
        <w:t>échelle nationale et internationale.</w:t>
      </w:r>
    </w:p>
    <w:p w14:paraId="1854A24B" w14:textId="551AACE9" w:rsidR="0001502D" w:rsidRPr="0001502D" w:rsidRDefault="0001502D" w:rsidP="008A0AF7">
      <w:pPr>
        <w:tabs>
          <w:tab w:val="left" w:pos="1134"/>
          <w:tab w:val="left" w:pos="2268"/>
        </w:tabs>
        <w:spacing w:before="120" w:after="120"/>
        <w:ind w:left="1134" w:hanging="567"/>
        <w:jc w:val="both"/>
        <w:rPr>
          <w:rFonts w:ascii="Arial" w:hAnsi="Arial" w:cs="Arial"/>
          <w:sz w:val="22"/>
          <w:szCs w:val="22"/>
        </w:rPr>
      </w:pPr>
      <w:r w:rsidRPr="0001502D">
        <w:rPr>
          <w:rFonts w:ascii="Arial" w:hAnsi="Arial" w:cs="Arial"/>
          <w:sz w:val="22"/>
          <w:szCs w:val="22"/>
        </w:rPr>
        <w:t xml:space="preserve">R.3 : </w:t>
      </w:r>
      <w:r w:rsidRPr="0001502D">
        <w:rPr>
          <w:rFonts w:ascii="Arial" w:hAnsi="Arial" w:cs="Arial"/>
          <w:sz w:val="22"/>
          <w:szCs w:val="22"/>
        </w:rPr>
        <w:tab/>
        <w:t>Les mesures de sauvegarde proposées sont bien conçues et cohérentes au regard de l</w:t>
      </w:r>
      <w:r w:rsidR="009C104E">
        <w:rPr>
          <w:rFonts w:ascii="Arial" w:hAnsi="Arial" w:cs="Arial"/>
          <w:sz w:val="22"/>
          <w:szCs w:val="22"/>
        </w:rPr>
        <w:t>’</w:t>
      </w:r>
      <w:r w:rsidRPr="0001502D">
        <w:rPr>
          <w:rFonts w:ascii="Arial" w:hAnsi="Arial" w:cs="Arial"/>
          <w:sz w:val="22"/>
          <w:szCs w:val="22"/>
        </w:rPr>
        <w:t>importance de l</w:t>
      </w:r>
      <w:r w:rsidR="009C104E">
        <w:rPr>
          <w:rFonts w:ascii="Arial" w:hAnsi="Arial" w:cs="Arial"/>
          <w:sz w:val="22"/>
          <w:szCs w:val="22"/>
        </w:rPr>
        <w:t>’</w:t>
      </w:r>
      <w:r w:rsidRPr="0001502D">
        <w:rPr>
          <w:rFonts w:ascii="Arial" w:hAnsi="Arial" w:cs="Arial"/>
          <w:sz w:val="22"/>
          <w:szCs w:val="22"/>
        </w:rPr>
        <w:t>élément. Elles s</w:t>
      </w:r>
      <w:r w:rsidR="009C104E">
        <w:rPr>
          <w:rFonts w:ascii="Arial" w:hAnsi="Arial" w:cs="Arial"/>
          <w:sz w:val="22"/>
          <w:szCs w:val="22"/>
        </w:rPr>
        <w:t>’</w:t>
      </w:r>
      <w:r w:rsidRPr="0001502D">
        <w:rPr>
          <w:rFonts w:ascii="Arial" w:hAnsi="Arial" w:cs="Arial"/>
          <w:sz w:val="22"/>
          <w:szCs w:val="22"/>
        </w:rPr>
        <w:t>inscrivent logiquement dans la continuité des mesures prises par les communautés concernées et l</w:t>
      </w:r>
      <w:r w:rsidR="009C104E">
        <w:rPr>
          <w:rFonts w:ascii="Arial" w:hAnsi="Arial" w:cs="Arial"/>
          <w:sz w:val="22"/>
          <w:szCs w:val="22"/>
        </w:rPr>
        <w:t>’</w:t>
      </w:r>
      <w:r w:rsidRPr="0001502D">
        <w:rPr>
          <w:rFonts w:ascii="Arial" w:hAnsi="Arial" w:cs="Arial"/>
          <w:sz w:val="22"/>
          <w:szCs w:val="22"/>
        </w:rPr>
        <w:t>État partie, et répondent à différents objectifs visant à garantir la viabilité de l</w:t>
      </w:r>
      <w:r w:rsidR="009C104E">
        <w:rPr>
          <w:rFonts w:ascii="Arial" w:hAnsi="Arial" w:cs="Arial"/>
          <w:sz w:val="22"/>
          <w:szCs w:val="22"/>
        </w:rPr>
        <w:t>’</w:t>
      </w:r>
      <w:r w:rsidRPr="0001502D">
        <w:rPr>
          <w:rFonts w:ascii="Arial" w:hAnsi="Arial" w:cs="Arial"/>
          <w:sz w:val="22"/>
          <w:szCs w:val="22"/>
        </w:rPr>
        <w:t>élément. Elles portent principalement sur l</w:t>
      </w:r>
      <w:r w:rsidR="009C104E">
        <w:rPr>
          <w:rFonts w:ascii="Arial" w:hAnsi="Arial" w:cs="Arial"/>
          <w:sz w:val="22"/>
          <w:szCs w:val="22"/>
        </w:rPr>
        <w:t>’</w:t>
      </w:r>
      <w:r w:rsidRPr="0001502D">
        <w:rPr>
          <w:rFonts w:ascii="Arial" w:hAnsi="Arial" w:cs="Arial"/>
          <w:sz w:val="22"/>
          <w:szCs w:val="22"/>
        </w:rPr>
        <w:t>éducation formelle et le développement d</w:t>
      </w:r>
      <w:r w:rsidR="009C104E">
        <w:rPr>
          <w:rFonts w:ascii="Arial" w:hAnsi="Arial" w:cs="Arial"/>
          <w:sz w:val="22"/>
          <w:szCs w:val="22"/>
        </w:rPr>
        <w:t>’</w:t>
      </w:r>
      <w:r w:rsidRPr="0001502D">
        <w:rPr>
          <w:rFonts w:ascii="Arial" w:hAnsi="Arial" w:cs="Arial"/>
          <w:sz w:val="22"/>
          <w:szCs w:val="22"/>
        </w:rPr>
        <w:t>infrastructures pour la pratique de l</w:t>
      </w:r>
      <w:r w:rsidR="009C104E">
        <w:rPr>
          <w:rFonts w:ascii="Arial" w:hAnsi="Arial" w:cs="Arial"/>
          <w:sz w:val="22"/>
          <w:szCs w:val="22"/>
        </w:rPr>
        <w:t>’</w:t>
      </w:r>
      <w:r w:rsidRPr="0001502D">
        <w:rPr>
          <w:rFonts w:ascii="Arial" w:hAnsi="Arial" w:cs="Arial"/>
          <w:sz w:val="22"/>
          <w:szCs w:val="22"/>
        </w:rPr>
        <w:t>élément, ainsi que sur la collecte et la diffusion d</w:t>
      </w:r>
      <w:r w:rsidR="009C104E">
        <w:rPr>
          <w:rFonts w:ascii="Arial" w:hAnsi="Arial" w:cs="Arial"/>
          <w:sz w:val="22"/>
          <w:szCs w:val="22"/>
        </w:rPr>
        <w:t>’</w:t>
      </w:r>
      <w:r w:rsidRPr="0001502D">
        <w:rPr>
          <w:rFonts w:ascii="Arial" w:hAnsi="Arial" w:cs="Arial"/>
          <w:sz w:val="22"/>
          <w:szCs w:val="22"/>
        </w:rPr>
        <w:t>informations sur l</w:t>
      </w:r>
      <w:r w:rsidR="009C104E">
        <w:rPr>
          <w:rFonts w:ascii="Arial" w:hAnsi="Arial" w:cs="Arial"/>
          <w:sz w:val="22"/>
          <w:szCs w:val="22"/>
        </w:rPr>
        <w:t>’</w:t>
      </w:r>
      <w:r w:rsidRPr="0001502D">
        <w:rPr>
          <w:rFonts w:ascii="Arial" w:hAnsi="Arial" w:cs="Arial"/>
          <w:sz w:val="22"/>
          <w:szCs w:val="22"/>
        </w:rPr>
        <w:t>élément auprès de chercheurs et du grand public.</w:t>
      </w:r>
    </w:p>
    <w:p w14:paraId="01E2CC99" w14:textId="275C2DCA" w:rsidR="0001502D" w:rsidRPr="0001502D" w:rsidRDefault="0001502D" w:rsidP="008A0AF7">
      <w:pPr>
        <w:tabs>
          <w:tab w:val="left" w:pos="1134"/>
          <w:tab w:val="left" w:pos="2268"/>
        </w:tabs>
        <w:spacing w:before="120" w:after="120"/>
        <w:ind w:left="1134" w:hanging="567"/>
        <w:jc w:val="both"/>
        <w:rPr>
          <w:rFonts w:ascii="Arial" w:hAnsi="Arial" w:cs="Arial"/>
          <w:sz w:val="22"/>
          <w:szCs w:val="22"/>
        </w:rPr>
      </w:pPr>
      <w:r w:rsidRPr="0001502D">
        <w:rPr>
          <w:rFonts w:ascii="Arial" w:hAnsi="Arial" w:cs="Arial"/>
          <w:sz w:val="22"/>
          <w:szCs w:val="22"/>
        </w:rPr>
        <w:t>R.4 :</w:t>
      </w:r>
      <w:r w:rsidRPr="0001502D">
        <w:rPr>
          <w:rFonts w:ascii="Arial" w:hAnsi="Arial" w:cs="Arial"/>
          <w:sz w:val="22"/>
          <w:szCs w:val="22"/>
        </w:rPr>
        <w:tab/>
        <w:t>Le processus de candidature des services et de l</w:t>
      </w:r>
      <w:r w:rsidR="009C104E">
        <w:rPr>
          <w:rFonts w:ascii="Arial" w:hAnsi="Arial" w:cs="Arial"/>
          <w:sz w:val="22"/>
          <w:szCs w:val="22"/>
        </w:rPr>
        <w:t>’</w:t>
      </w:r>
      <w:r w:rsidRPr="0001502D">
        <w:rPr>
          <w:rFonts w:ascii="Arial" w:hAnsi="Arial" w:cs="Arial"/>
          <w:sz w:val="22"/>
          <w:szCs w:val="22"/>
        </w:rPr>
        <w:t>hospitalité offerts pendant la visite de l</w:t>
      </w:r>
      <w:r w:rsidR="009C104E">
        <w:rPr>
          <w:rFonts w:ascii="Arial" w:hAnsi="Arial" w:cs="Arial"/>
          <w:sz w:val="22"/>
          <w:szCs w:val="22"/>
        </w:rPr>
        <w:t>’</w:t>
      </w:r>
      <w:r w:rsidRPr="0001502D">
        <w:rPr>
          <w:rFonts w:ascii="Arial" w:hAnsi="Arial" w:cs="Arial"/>
          <w:sz w:val="22"/>
          <w:szCs w:val="22"/>
        </w:rPr>
        <w:t>Arba</w:t>
      </w:r>
      <w:r w:rsidR="009C104E">
        <w:rPr>
          <w:rFonts w:ascii="Arial" w:hAnsi="Arial" w:cs="Arial"/>
          <w:sz w:val="22"/>
          <w:szCs w:val="22"/>
        </w:rPr>
        <w:t>’</w:t>
      </w:r>
      <w:r w:rsidRPr="0001502D">
        <w:rPr>
          <w:rFonts w:ascii="Arial" w:hAnsi="Arial" w:cs="Arial"/>
          <w:sz w:val="22"/>
          <w:szCs w:val="22"/>
        </w:rPr>
        <w:t>in a été lancé en 2016. Depuis, un grand nombre de réunions et d</w:t>
      </w:r>
      <w:r w:rsidR="009C104E">
        <w:rPr>
          <w:rFonts w:ascii="Arial" w:hAnsi="Arial" w:cs="Arial"/>
          <w:sz w:val="22"/>
          <w:szCs w:val="22"/>
        </w:rPr>
        <w:t>’</w:t>
      </w:r>
      <w:r w:rsidRPr="0001502D">
        <w:rPr>
          <w:rFonts w:ascii="Arial" w:hAnsi="Arial" w:cs="Arial"/>
          <w:sz w:val="22"/>
          <w:szCs w:val="22"/>
        </w:rPr>
        <w:t>ateliers ont été organisés avec la participation de représentants des diverses catégories de la population, sous la direction d</w:t>
      </w:r>
      <w:r w:rsidR="009C104E">
        <w:rPr>
          <w:rFonts w:ascii="Arial" w:hAnsi="Arial" w:cs="Arial"/>
          <w:sz w:val="22"/>
          <w:szCs w:val="22"/>
        </w:rPr>
        <w:t>’</w:t>
      </w:r>
      <w:r w:rsidRPr="0001502D">
        <w:rPr>
          <w:rFonts w:ascii="Arial" w:hAnsi="Arial" w:cs="Arial"/>
          <w:sz w:val="22"/>
          <w:szCs w:val="22"/>
        </w:rPr>
        <w:t>un groupe de spécialistes. Les membres des communautés concernées ont fourni les principales idées reprises dans la première version du dossier. Ils ont ensuite débattu de ces idées lors de l</w:t>
      </w:r>
      <w:r w:rsidR="009C104E">
        <w:rPr>
          <w:rFonts w:ascii="Arial" w:hAnsi="Arial" w:cs="Arial"/>
          <w:sz w:val="22"/>
          <w:szCs w:val="22"/>
        </w:rPr>
        <w:t>’</w:t>
      </w:r>
      <w:r w:rsidRPr="0001502D">
        <w:rPr>
          <w:rFonts w:ascii="Arial" w:hAnsi="Arial" w:cs="Arial"/>
          <w:sz w:val="22"/>
          <w:szCs w:val="22"/>
        </w:rPr>
        <w:t>examen de la première version, avant d</w:t>
      </w:r>
      <w:r w:rsidR="009C104E">
        <w:rPr>
          <w:rFonts w:ascii="Arial" w:hAnsi="Arial" w:cs="Arial"/>
          <w:sz w:val="22"/>
          <w:szCs w:val="22"/>
        </w:rPr>
        <w:t>’</w:t>
      </w:r>
      <w:r w:rsidRPr="0001502D">
        <w:rPr>
          <w:rFonts w:ascii="Arial" w:hAnsi="Arial" w:cs="Arial"/>
          <w:sz w:val="22"/>
          <w:szCs w:val="22"/>
        </w:rPr>
        <w:t>approuver la version définitive.</w:t>
      </w:r>
    </w:p>
    <w:p w14:paraId="74CFC9A5" w14:textId="4CB18648" w:rsidR="0001502D" w:rsidRPr="0001502D" w:rsidRDefault="0001502D" w:rsidP="008A0AF7">
      <w:pPr>
        <w:tabs>
          <w:tab w:val="left" w:pos="1134"/>
          <w:tab w:val="left" w:pos="2268"/>
        </w:tabs>
        <w:spacing w:before="120" w:after="120"/>
        <w:ind w:left="1134" w:hanging="567"/>
        <w:jc w:val="both"/>
        <w:rPr>
          <w:rFonts w:ascii="Arial" w:hAnsi="Arial" w:cs="Arial"/>
          <w:sz w:val="22"/>
          <w:szCs w:val="22"/>
        </w:rPr>
      </w:pPr>
      <w:r w:rsidRPr="0001502D">
        <w:rPr>
          <w:rFonts w:ascii="Arial" w:hAnsi="Arial" w:cs="Arial"/>
          <w:sz w:val="22"/>
          <w:szCs w:val="22"/>
        </w:rPr>
        <w:t xml:space="preserve">R.5 : </w:t>
      </w:r>
      <w:r w:rsidRPr="0001502D">
        <w:rPr>
          <w:rFonts w:ascii="Arial" w:hAnsi="Arial" w:cs="Arial"/>
          <w:sz w:val="22"/>
          <w:szCs w:val="22"/>
        </w:rPr>
        <w:tab/>
        <w:t>Les services et l</w:t>
      </w:r>
      <w:r w:rsidR="009C104E">
        <w:rPr>
          <w:rFonts w:ascii="Arial" w:hAnsi="Arial" w:cs="Arial"/>
          <w:sz w:val="22"/>
          <w:szCs w:val="22"/>
        </w:rPr>
        <w:t>’</w:t>
      </w:r>
      <w:r w:rsidRPr="0001502D">
        <w:rPr>
          <w:rFonts w:ascii="Arial" w:hAnsi="Arial" w:cs="Arial"/>
          <w:sz w:val="22"/>
          <w:szCs w:val="22"/>
        </w:rPr>
        <w:t>hospitalité offerts pendant la visite de l</w:t>
      </w:r>
      <w:r w:rsidR="009C104E">
        <w:rPr>
          <w:rFonts w:ascii="Arial" w:hAnsi="Arial" w:cs="Arial"/>
          <w:sz w:val="22"/>
          <w:szCs w:val="22"/>
        </w:rPr>
        <w:t>’</w:t>
      </w:r>
      <w:r w:rsidRPr="0001502D">
        <w:rPr>
          <w:rFonts w:ascii="Arial" w:hAnsi="Arial" w:cs="Arial"/>
          <w:sz w:val="22"/>
          <w:szCs w:val="22"/>
        </w:rPr>
        <w:t>Arba</w:t>
      </w:r>
      <w:r w:rsidR="009C104E">
        <w:rPr>
          <w:rFonts w:ascii="Arial" w:hAnsi="Arial" w:cs="Arial"/>
          <w:sz w:val="22"/>
          <w:szCs w:val="22"/>
        </w:rPr>
        <w:t>’</w:t>
      </w:r>
      <w:r w:rsidRPr="0001502D">
        <w:rPr>
          <w:rFonts w:ascii="Arial" w:hAnsi="Arial" w:cs="Arial"/>
          <w:sz w:val="22"/>
          <w:szCs w:val="22"/>
        </w:rPr>
        <w:t>in sont inclus depuis 2014 sur la Liste nationale du patrimoine culturel immatériel de la République d</w:t>
      </w:r>
      <w:r w:rsidR="009C104E">
        <w:rPr>
          <w:rFonts w:ascii="Arial" w:hAnsi="Arial" w:cs="Arial"/>
          <w:sz w:val="22"/>
          <w:szCs w:val="22"/>
        </w:rPr>
        <w:t>’</w:t>
      </w:r>
      <w:r w:rsidRPr="0001502D">
        <w:rPr>
          <w:rFonts w:ascii="Arial" w:hAnsi="Arial" w:cs="Arial"/>
          <w:sz w:val="22"/>
          <w:szCs w:val="22"/>
        </w:rPr>
        <w:t>Iraq, et ont fait l</w:t>
      </w:r>
      <w:r w:rsidR="009C104E">
        <w:rPr>
          <w:rFonts w:ascii="Arial" w:hAnsi="Arial" w:cs="Arial"/>
          <w:sz w:val="22"/>
          <w:szCs w:val="22"/>
        </w:rPr>
        <w:t>’</w:t>
      </w:r>
      <w:r w:rsidRPr="0001502D">
        <w:rPr>
          <w:rFonts w:ascii="Arial" w:hAnsi="Arial" w:cs="Arial"/>
          <w:sz w:val="22"/>
          <w:szCs w:val="22"/>
        </w:rPr>
        <w:t>objet d</w:t>
      </w:r>
      <w:r w:rsidR="009C104E">
        <w:rPr>
          <w:rFonts w:ascii="Arial" w:hAnsi="Arial" w:cs="Arial"/>
          <w:sz w:val="22"/>
          <w:szCs w:val="22"/>
        </w:rPr>
        <w:t>’</w:t>
      </w:r>
      <w:r w:rsidRPr="0001502D">
        <w:rPr>
          <w:rFonts w:ascii="Arial" w:hAnsi="Arial" w:cs="Arial"/>
          <w:sz w:val="22"/>
          <w:szCs w:val="22"/>
        </w:rPr>
        <w:t>une mise à jour en 2017. Clairement défini, le processus de mise à jour fait appel aux membres des communautés concernées.</w:t>
      </w:r>
    </w:p>
    <w:p w14:paraId="6277A465" w14:textId="0B83E14C" w:rsidR="0001502D" w:rsidRPr="0001502D" w:rsidRDefault="0001502D" w:rsidP="00771F30">
      <w:pPr>
        <w:numPr>
          <w:ilvl w:val="1"/>
          <w:numId w:val="27"/>
        </w:numPr>
        <w:tabs>
          <w:tab w:val="left" w:pos="567"/>
          <w:tab w:val="left" w:pos="1701"/>
          <w:tab w:val="left" w:pos="2268"/>
        </w:tabs>
        <w:spacing w:before="120" w:after="120"/>
        <w:jc w:val="both"/>
        <w:rPr>
          <w:rFonts w:ascii="Arial" w:hAnsi="Arial" w:cs="Arial"/>
          <w:sz w:val="22"/>
          <w:szCs w:val="22"/>
          <w:lang w:eastAsia="ko-KR"/>
        </w:rPr>
      </w:pPr>
      <w:r w:rsidRPr="0001502D">
        <w:rPr>
          <w:rFonts w:ascii="Arial" w:hAnsi="Arial" w:cs="Arial"/>
          <w:sz w:val="22"/>
          <w:szCs w:val="22"/>
          <w:u w:val="single"/>
          <w:lang w:eastAsia="ko-KR"/>
        </w:rPr>
        <w:t>Décide d</w:t>
      </w:r>
      <w:r w:rsidR="009C104E">
        <w:rPr>
          <w:rFonts w:ascii="Arial" w:hAnsi="Arial" w:cs="Arial"/>
          <w:sz w:val="22"/>
          <w:szCs w:val="22"/>
          <w:u w:val="single"/>
          <w:lang w:eastAsia="ko-KR"/>
        </w:rPr>
        <w:t>’</w:t>
      </w:r>
      <w:r w:rsidRPr="0001502D">
        <w:rPr>
          <w:rFonts w:ascii="Arial" w:hAnsi="Arial" w:cs="Arial"/>
          <w:sz w:val="22"/>
          <w:szCs w:val="22"/>
          <w:u w:val="single"/>
          <w:lang w:eastAsia="ko-KR"/>
        </w:rPr>
        <w:t>inscrire</w:t>
      </w:r>
      <w:r w:rsidRPr="0001502D">
        <w:rPr>
          <w:rFonts w:ascii="Arial" w:hAnsi="Arial" w:cs="Arial"/>
          <w:sz w:val="22"/>
          <w:szCs w:val="22"/>
          <w:lang w:eastAsia="ko-KR"/>
        </w:rPr>
        <w:t xml:space="preserve"> </w:t>
      </w:r>
      <w:r w:rsidRPr="0001502D">
        <w:rPr>
          <w:rFonts w:ascii="Arial" w:hAnsi="Arial" w:cs="Arial"/>
          <w:b/>
          <w:sz w:val="22"/>
          <w:szCs w:val="22"/>
          <w:lang w:eastAsia="ko-KR"/>
        </w:rPr>
        <w:t>les services et l</w:t>
      </w:r>
      <w:r w:rsidR="009C104E">
        <w:rPr>
          <w:rFonts w:ascii="Arial" w:hAnsi="Arial" w:cs="Arial"/>
          <w:b/>
          <w:sz w:val="22"/>
          <w:szCs w:val="22"/>
          <w:lang w:eastAsia="ko-KR"/>
        </w:rPr>
        <w:t>’</w:t>
      </w:r>
      <w:r w:rsidRPr="0001502D">
        <w:rPr>
          <w:rFonts w:ascii="Arial" w:hAnsi="Arial" w:cs="Arial"/>
          <w:b/>
          <w:sz w:val="22"/>
          <w:szCs w:val="22"/>
          <w:lang w:eastAsia="ko-KR"/>
        </w:rPr>
        <w:t>hospitalité offerts pendant la visite de l</w:t>
      </w:r>
      <w:r w:rsidR="009C104E">
        <w:rPr>
          <w:rFonts w:ascii="Arial" w:hAnsi="Arial" w:cs="Arial"/>
          <w:b/>
          <w:sz w:val="22"/>
          <w:szCs w:val="22"/>
          <w:lang w:eastAsia="ko-KR"/>
        </w:rPr>
        <w:t>’</w:t>
      </w:r>
      <w:r w:rsidRPr="0001502D">
        <w:rPr>
          <w:rFonts w:ascii="Arial" w:hAnsi="Arial" w:cs="Arial"/>
          <w:b/>
          <w:sz w:val="22"/>
          <w:szCs w:val="22"/>
          <w:lang w:eastAsia="ko-KR"/>
        </w:rPr>
        <w:t>Arba</w:t>
      </w:r>
      <w:r w:rsidR="009C104E">
        <w:rPr>
          <w:rFonts w:ascii="Arial" w:hAnsi="Arial" w:cs="Arial"/>
          <w:b/>
          <w:sz w:val="22"/>
          <w:szCs w:val="22"/>
          <w:lang w:eastAsia="ko-KR"/>
        </w:rPr>
        <w:t>’</w:t>
      </w:r>
      <w:r w:rsidRPr="0001502D">
        <w:rPr>
          <w:rFonts w:ascii="Arial" w:hAnsi="Arial" w:cs="Arial"/>
          <w:b/>
          <w:sz w:val="22"/>
          <w:szCs w:val="22"/>
          <w:lang w:eastAsia="ko-KR"/>
        </w:rPr>
        <w:t>in</w:t>
      </w:r>
      <w:r w:rsidRPr="0001502D">
        <w:rPr>
          <w:rFonts w:ascii="Arial" w:hAnsi="Arial" w:cs="Arial"/>
          <w:sz w:val="22"/>
          <w:szCs w:val="22"/>
          <w:lang w:eastAsia="ko-KR"/>
        </w:rPr>
        <w:t xml:space="preserve"> sur la Liste représentative du patrimoine culturel immatériel de l</w:t>
      </w:r>
      <w:r w:rsidR="009C104E">
        <w:rPr>
          <w:rFonts w:ascii="Arial" w:hAnsi="Arial" w:cs="Arial"/>
          <w:sz w:val="22"/>
          <w:szCs w:val="22"/>
          <w:lang w:eastAsia="ko-KR"/>
        </w:rPr>
        <w:t>’</w:t>
      </w:r>
      <w:r w:rsidRPr="0001502D">
        <w:rPr>
          <w:rFonts w:ascii="Arial" w:hAnsi="Arial" w:cs="Arial"/>
          <w:sz w:val="22"/>
          <w:szCs w:val="22"/>
          <w:lang w:eastAsia="ko-KR"/>
        </w:rPr>
        <w:t>humanité.</w:t>
      </w:r>
    </w:p>
    <w:p w14:paraId="22EAA55D" w14:textId="4DCF2308" w:rsidR="0001502D" w:rsidRPr="0001502D" w:rsidRDefault="0001502D" w:rsidP="00771F30">
      <w:pPr>
        <w:keepNext/>
        <w:keepLines/>
        <w:numPr>
          <w:ilvl w:val="0"/>
          <w:numId w:val="27"/>
        </w:numPr>
        <w:spacing w:before="360" w:after="120"/>
        <w:outlineLvl w:val="1"/>
        <w:rPr>
          <w:rFonts w:ascii="Arial" w:hAnsi="Arial" w:cs="Arial"/>
          <w:bCs/>
          <w:iCs/>
          <w:sz w:val="22"/>
          <w:szCs w:val="22"/>
        </w:rPr>
      </w:pPr>
      <w:bookmarkStart w:id="21" w:name="Decision_10b18"/>
      <w:r w:rsidRPr="0001502D">
        <w:rPr>
          <w:rFonts w:ascii="Arial" w:hAnsi="Arial" w:cs="Arial"/>
          <w:b/>
          <w:bCs/>
          <w:iCs/>
          <w:sz w:val="22"/>
          <w:szCs w:val="22"/>
        </w:rPr>
        <w:t xml:space="preserve">DÉCISION 14.COM 10.b.18 </w:t>
      </w:r>
    </w:p>
    <w:bookmarkEnd w:id="21"/>
    <w:p w14:paraId="1ED69F21" w14:textId="77777777" w:rsidR="0001502D" w:rsidRPr="0001502D" w:rsidRDefault="0001502D" w:rsidP="008A0AF7">
      <w:pPr>
        <w:keepNext/>
        <w:tabs>
          <w:tab w:val="left" w:pos="567"/>
          <w:tab w:val="left" w:pos="1134"/>
          <w:tab w:val="left" w:pos="1701"/>
          <w:tab w:val="left" w:pos="2268"/>
        </w:tabs>
        <w:spacing w:before="120" w:after="120"/>
        <w:jc w:val="both"/>
        <w:rPr>
          <w:rFonts w:ascii="Arial" w:hAnsi="Arial" w:cs="Arial"/>
          <w:sz w:val="22"/>
          <w:szCs w:val="22"/>
        </w:rPr>
      </w:pPr>
      <w:r w:rsidRPr="0001502D">
        <w:rPr>
          <w:rFonts w:ascii="Arial" w:hAnsi="Arial" w:cs="Arial"/>
          <w:sz w:val="22"/>
          <w:szCs w:val="22"/>
        </w:rPr>
        <w:t>Le Comité,</w:t>
      </w:r>
    </w:p>
    <w:p w14:paraId="2AA36D43" w14:textId="73266119" w:rsidR="0001502D" w:rsidRPr="0001502D" w:rsidRDefault="0001502D" w:rsidP="00771F30">
      <w:pPr>
        <w:numPr>
          <w:ilvl w:val="1"/>
          <w:numId w:val="27"/>
        </w:numPr>
        <w:tabs>
          <w:tab w:val="left" w:pos="567"/>
          <w:tab w:val="left" w:pos="1701"/>
          <w:tab w:val="left" w:pos="2268"/>
        </w:tabs>
        <w:spacing w:before="120" w:after="120"/>
        <w:jc w:val="both"/>
        <w:rPr>
          <w:rFonts w:ascii="Arial" w:hAnsi="Arial" w:cs="Arial"/>
          <w:sz w:val="22"/>
          <w:szCs w:val="22"/>
          <w:lang w:eastAsia="ko-KR"/>
        </w:rPr>
      </w:pPr>
      <w:r w:rsidRPr="0001502D">
        <w:rPr>
          <w:rFonts w:ascii="Arial" w:hAnsi="Arial" w:cs="Arial"/>
          <w:sz w:val="22"/>
          <w:szCs w:val="22"/>
          <w:u w:val="single"/>
          <w:lang w:eastAsia="ko-KR"/>
        </w:rPr>
        <w:t>Prend note</w:t>
      </w:r>
      <w:r w:rsidRPr="0001502D">
        <w:rPr>
          <w:rFonts w:ascii="Arial" w:hAnsi="Arial" w:cs="Arial"/>
          <w:sz w:val="22"/>
          <w:szCs w:val="22"/>
          <w:lang w:eastAsia="ko-KR"/>
        </w:rPr>
        <w:t xml:space="preserve"> que l</w:t>
      </w:r>
      <w:r w:rsidR="009C104E">
        <w:rPr>
          <w:rFonts w:ascii="Arial" w:hAnsi="Arial" w:cs="Arial"/>
          <w:sz w:val="22"/>
          <w:szCs w:val="22"/>
          <w:lang w:eastAsia="ko-KR"/>
        </w:rPr>
        <w:t>’</w:t>
      </w:r>
      <w:r w:rsidRPr="0001502D">
        <w:rPr>
          <w:rFonts w:ascii="Arial" w:hAnsi="Arial" w:cs="Arial"/>
          <w:sz w:val="22"/>
          <w:szCs w:val="22"/>
          <w:lang w:eastAsia="ko-KR"/>
        </w:rPr>
        <w:t xml:space="preserve">Irlande a proposé la candidature de </w:t>
      </w:r>
      <w:r w:rsidRPr="0001502D">
        <w:rPr>
          <w:rFonts w:ascii="Arial" w:hAnsi="Arial" w:cs="Arial"/>
          <w:b/>
          <w:bCs/>
          <w:sz w:val="22"/>
          <w:szCs w:val="22"/>
          <w:lang w:eastAsia="ko-KR"/>
        </w:rPr>
        <w:t>la pratique de la harpe irlandaise</w:t>
      </w:r>
      <w:r w:rsidRPr="0001502D">
        <w:rPr>
          <w:rFonts w:ascii="Arial" w:hAnsi="Arial" w:cs="Arial"/>
          <w:sz w:val="22"/>
          <w:szCs w:val="22"/>
          <w:lang w:eastAsia="ko-KR"/>
        </w:rPr>
        <w:t xml:space="preserve"> (n° 01461) pour inscription sur la Liste représentative du patrimoine culturel immatériel de l</w:t>
      </w:r>
      <w:r w:rsidR="009C104E">
        <w:rPr>
          <w:rFonts w:ascii="Arial" w:hAnsi="Arial" w:cs="Arial"/>
          <w:sz w:val="22"/>
          <w:szCs w:val="22"/>
          <w:lang w:eastAsia="ko-KR"/>
        </w:rPr>
        <w:t>’</w:t>
      </w:r>
      <w:r w:rsidRPr="0001502D">
        <w:rPr>
          <w:rFonts w:ascii="Arial" w:hAnsi="Arial" w:cs="Arial"/>
          <w:sz w:val="22"/>
          <w:szCs w:val="22"/>
          <w:lang w:eastAsia="ko-KR"/>
        </w:rPr>
        <w:t>humanité :</w:t>
      </w:r>
    </w:p>
    <w:p w14:paraId="5AA366A0" w14:textId="66465DB6" w:rsidR="0001502D" w:rsidRPr="0001502D" w:rsidRDefault="008A0AF7" w:rsidP="008A0AF7">
      <w:pPr>
        <w:tabs>
          <w:tab w:val="left" w:pos="567"/>
          <w:tab w:val="left" w:pos="1701"/>
          <w:tab w:val="left" w:pos="2268"/>
        </w:tabs>
        <w:spacing w:before="120" w:after="120"/>
        <w:ind w:left="567" w:hanging="567"/>
        <w:jc w:val="both"/>
        <w:rPr>
          <w:rFonts w:ascii="Arial" w:hAnsi="Arial" w:cs="Arial"/>
          <w:sz w:val="22"/>
          <w:szCs w:val="22"/>
        </w:rPr>
      </w:pPr>
      <w:r>
        <w:rPr>
          <w:rFonts w:ascii="Arial" w:hAnsi="Arial" w:cs="Arial"/>
          <w:sz w:val="22"/>
          <w:szCs w:val="22"/>
        </w:rPr>
        <w:tab/>
      </w:r>
      <w:r w:rsidR="0001502D" w:rsidRPr="0001502D">
        <w:rPr>
          <w:rFonts w:ascii="Arial" w:hAnsi="Arial" w:cs="Arial"/>
          <w:sz w:val="22"/>
          <w:szCs w:val="22"/>
        </w:rPr>
        <w:t>La pratique de la harpe irlandaise est au cœur de l</w:t>
      </w:r>
      <w:r w:rsidR="009C104E">
        <w:rPr>
          <w:rFonts w:ascii="Arial" w:hAnsi="Arial" w:cs="Arial"/>
          <w:sz w:val="22"/>
          <w:szCs w:val="22"/>
        </w:rPr>
        <w:t>’</w:t>
      </w:r>
      <w:r w:rsidR="0001502D" w:rsidRPr="0001502D">
        <w:rPr>
          <w:rFonts w:ascii="Arial" w:hAnsi="Arial" w:cs="Arial"/>
          <w:sz w:val="22"/>
          <w:szCs w:val="22"/>
        </w:rPr>
        <w:t>identité du peuple irlandais. La harpe, symbole national de l</w:t>
      </w:r>
      <w:r w:rsidR="009C104E">
        <w:rPr>
          <w:rFonts w:ascii="Arial" w:hAnsi="Arial" w:cs="Arial"/>
          <w:sz w:val="22"/>
          <w:szCs w:val="22"/>
        </w:rPr>
        <w:t>’</w:t>
      </w:r>
      <w:r w:rsidR="0001502D" w:rsidRPr="0001502D">
        <w:rPr>
          <w:rFonts w:ascii="Arial" w:hAnsi="Arial" w:cs="Arial"/>
          <w:sz w:val="22"/>
          <w:szCs w:val="22"/>
        </w:rPr>
        <w:t>Irlande, est pratiquée depuis plus de mille ans. Ses sons de cloche et sa musique captivent tous les auditoires et sont mis à l</w:t>
      </w:r>
      <w:r w:rsidR="009C104E">
        <w:rPr>
          <w:rFonts w:ascii="Arial" w:hAnsi="Arial" w:cs="Arial"/>
          <w:sz w:val="22"/>
          <w:szCs w:val="22"/>
        </w:rPr>
        <w:t>’</w:t>
      </w:r>
      <w:r w:rsidR="0001502D" w:rsidRPr="0001502D">
        <w:rPr>
          <w:rFonts w:ascii="Arial" w:hAnsi="Arial" w:cs="Arial"/>
          <w:sz w:val="22"/>
          <w:szCs w:val="22"/>
        </w:rPr>
        <w:t>honneur dans la littérature, la mythologie et le folklore irlandais. Ayant remplacé les harpes taillées dans un seul morceau de saule et montées avec des cordes métalliques que l</w:t>
      </w:r>
      <w:r w:rsidR="009C104E">
        <w:rPr>
          <w:rFonts w:ascii="Arial" w:hAnsi="Arial" w:cs="Arial"/>
          <w:sz w:val="22"/>
          <w:szCs w:val="22"/>
        </w:rPr>
        <w:t>’</w:t>
      </w:r>
      <w:r w:rsidR="0001502D" w:rsidRPr="0001502D">
        <w:rPr>
          <w:rFonts w:ascii="Arial" w:hAnsi="Arial" w:cs="Arial"/>
          <w:sz w:val="22"/>
          <w:szCs w:val="22"/>
        </w:rPr>
        <w:t>on pinçait avec les ongles, les harpes contemporaines sont fabriquées dans diverses essences de bois durs et dotées de cordes en boyau ou en nylon que l</w:t>
      </w:r>
      <w:r w:rsidR="009C104E">
        <w:rPr>
          <w:rFonts w:ascii="Arial" w:hAnsi="Arial" w:cs="Arial"/>
          <w:sz w:val="22"/>
          <w:szCs w:val="22"/>
        </w:rPr>
        <w:t>’</w:t>
      </w:r>
      <w:r w:rsidR="0001502D" w:rsidRPr="0001502D">
        <w:rPr>
          <w:rFonts w:ascii="Arial" w:hAnsi="Arial" w:cs="Arial"/>
          <w:sz w:val="22"/>
          <w:szCs w:val="22"/>
        </w:rPr>
        <w:t>on pince du bout des doigts. Si certains hommes (adultes et jeunes) jouent de la harpe, les femmes (adultes et jeunes) sont toutefois les principales praticiennes. Les savoir-faire nécessaires sont transmis oralement et/ou au moyen de la notation musicale, et les représentants contemporains de la harpe traditionnelle à cordes métalliques sont les détenteurs d</w:t>
      </w:r>
      <w:r w:rsidR="009C104E">
        <w:rPr>
          <w:rFonts w:ascii="Arial" w:hAnsi="Arial" w:cs="Arial"/>
          <w:sz w:val="22"/>
          <w:szCs w:val="22"/>
        </w:rPr>
        <w:t>’</w:t>
      </w:r>
      <w:r w:rsidR="0001502D" w:rsidRPr="0001502D">
        <w:rPr>
          <w:rFonts w:ascii="Arial" w:hAnsi="Arial" w:cs="Arial"/>
          <w:sz w:val="22"/>
          <w:szCs w:val="22"/>
        </w:rPr>
        <w:t>un précieux héritage musical. Les joueurs de harpe contemporaine à cordes en boyau ont sauvegardé ce répertoire ancien et ont assuré sa continuité tout en l</w:t>
      </w:r>
      <w:r w:rsidR="009C104E">
        <w:rPr>
          <w:rFonts w:ascii="Arial" w:hAnsi="Arial" w:cs="Arial"/>
          <w:sz w:val="22"/>
          <w:szCs w:val="22"/>
        </w:rPr>
        <w:t>’</w:t>
      </w:r>
      <w:r w:rsidR="0001502D" w:rsidRPr="0001502D">
        <w:rPr>
          <w:rFonts w:ascii="Arial" w:hAnsi="Arial" w:cs="Arial"/>
          <w:sz w:val="22"/>
          <w:szCs w:val="22"/>
        </w:rPr>
        <w:t>adaptant à l</w:t>
      </w:r>
      <w:r w:rsidR="009C104E">
        <w:rPr>
          <w:rFonts w:ascii="Arial" w:hAnsi="Arial" w:cs="Arial"/>
          <w:sz w:val="22"/>
          <w:szCs w:val="22"/>
        </w:rPr>
        <w:t>’</w:t>
      </w:r>
      <w:r w:rsidR="0001502D" w:rsidRPr="0001502D">
        <w:rPr>
          <w:rFonts w:ascii="Arial" w:hAnsi="Arial" w:cs="Arial"/>
          <w:sz w:val="22"/>
          <w:szCs w:val="22"/>
        </w:rPr>
        <w:t>évolution des styles. On assiste depuis une soixantaine d</w:t>
      </w:r>
      <w:r w:rsidR="009C104E">
        <w:rPr>
          <w:rFonts w:ascii="Arial" w:hAnsi="Arial" w:cs="Arial"/>
          <w:sz w:val="22"/>
          <w:szCs w:val="22"/>
        </w:rPr>
        <w:t>’</w:t>
      </w:r>
      <w:r w:rsidR="0001502D" w:rsidRPr="0001502D">
        <w:rPr>
          <w:rFonts w:ascii="Arial" w:hAnsi="Arial" w:cs="Arial"/>
          <w:sz w:val="22"/>
          <w:szCs w:val="22"/>
        </w:rPr>
        <w:t>années à un regain d</w:t>
      </w:r>
      <w:r w:rsidR="009C104E">
        <w:rPr>
          <w:rFonts w:ascii="Arial" w:hAnsi="Arial" w:cs="Arial"/>
          <w:sz w:val="22"/>
          <w:szCs w:val="22"/>
        </w:rPr>
        <w:t>’</w:t>
      </w:r>
      <w:r w:rsidR="0001502D" w:rsidRPr="0001502D">
        <w:rPr>
          <w:rFonts w:ascii="Arial" w:hAnsi="Arial" w:cs="Arial"/>
          <w:sz w:val="22"/>
          <w:szCs w:val="22"/>
        </w:rPr>
        <w:t>intérêt pour la pratique de la harpe, grâce à une reconnaissance croissante de son rôle dans l</w:t>
      </w:r>
      <w:r w:rsidR="009C104E">
        <w:rPr>
          <w:rFonts w:ascii="Arial" w:hAnsi="Arial" w:cs="Arial"/>
          <w:sz w:val="22"/>
          <w:szCs w:val="22"/>
        </w:rPr>
        <w:t>’</w:t>
      </w:r>
      <w:r w:rsidR="0001502D" w:rsidRPr="0001502D">
        <w:rPr>
          <w:rFonts w:ascii="Arial" w:hAnsi="Arial" w:cs="Arial"/>
          <w:sz w:val="22"/>
          <w:szCs w:val="22"/>
        </w:rPr>
        <w:t>identité, la langue et la culture irlandaises. Les détenteurs et praticiens de l</w:t>
      </w:r>
      <w:r w:rsidR="009C104E">
        <w:rPr>
          <w:rFonts w:ascii="Arial" w:hAnsi="Arial" w:cs="Arial"/>
          <w:sz w:val="22"/>
          <w:szCs w:val="22"/>
        </w:rPr>
        <w:t>’</w:t>
      </w:r>
      <w:r w:rsidR="0001502D" w:rsidRPr="0001502D">
        <w:rPr>
          <w:rFonts w:ascii="Arial" w:hAnsi="Arial" w:cs="Arial"/>
          <w:sz w:val="22"/>
          <w:szCs w:val="22"/>
        </w:rPr>
        <w:t>élément sont aujourd</w:t>
      </w:r>
      <w:r w:rsidR="009C104E">
        <w:rPr>
          <w:rFonts w:ascii="Arial" w:hAnsi="Arial" w:cs="Arial"/>
          <w:sz w:val="22"/>
          <w:szCs w:val="22"/>
        </w:rPr>
        <w:t>’</w:t>
      </w:r>
      <w:r w:rsidR="0001502D" w:rsidRPr="0001502D">
        <w:rPr>
          <w:rFonts w:ascii="Arial" w:hAnsi="Arial" w:cs="Arial"/>
          <w:sz w:val="22"/>
          <w:szCs w:val="22"/>
        </w:rPr>
        <w:t>hui 1 500 environ, et ce chiffre augmente régulièrement. La pratique de la harpe a également aidé à combler le fossé qui séparait les gens et à favoriser la diversité.</w:t>
      </w:r>
    </w:p>
    <w:p w14:paraId="49A4E64F" w14:textId="1E3439BF" w:rsidR="0001502D" w:rsidRPr="0001502D" w:rsidRDefault="0001502D" w:rsidP="00771F30">
      <w:pPr>
        <w:keepNext/>
        <w:numPr>
          <w:ilvl w:val="1"/>
          <w:numId w:val="27"/>
        </w:numPr>
        <w:tabs>
          <w:tab w:val="left" w:pos="567"/>
          <w:tab w:val="left" w:pos="1701"/>
          <w:tab w:val="left" w:pos="2268"/>
        </w:tabs>
        <w:spacing w:before="120" w:after="120"/>
        <w:jc w:val="both"/>
        <w:rPr>
          <w:rFonts w:ascii="Arial" w:hAnsi="Arial" w:cs="Arial"/>
          <w:sz w:val="22"/>
          <w:szCs w:val="22"/>
          <w:lang w:eastAsia="ko-KR"/>
        </w:rPr>
      </w:pPr>
      <w:r w:rsidRPr="0001502D">
        <w:rPr>
          <w:rFonts w:ascii="Arial" w:hAnsi="Arial" w:cs="Arial"/>
          <w:sz w:val="22"/>
          <w:szCs w:val="22"/>
          <w:u w:val="single"/>
          <w:lang w:eastAsia="ko-KR"/>
        </w:rPr>
        <w:t>Estime</w:t>
      </w:r>
      <w:r w:rsidRPr="0001502D">
        <w:rPr>
          <w:rFonts w:ascii="Arial" w:hAnsi="Arial" w:cs="Arial"/>
          <w:sz w:val="22"/>
          <w:szCs w:val="22"/>
          <w:lang w:eastAsia="ko-KR"/>
        </w:rPr>
        <w:t xml:space="preserve"> que, d</w:t>
      </w:r>
      <w:r w:rsidR="009C104E">
        <w:rPr>
          <w:rFonts w:ascii="Arial" w:hAnsi="Arial" w:cs="Arial"/>
          <w:sz w:val="22"/>
          <w:szCs w:val="22"/>
          <w:lang w:eastAsia="ko-KR"/>
        </w:rPr>
        <w:t>’</w:t>
      </w:r>
      <w:r w:rsidRPr="0001502D">
        <w:rPr>
          <w:rFonts w:ascii="Arial" w:hAnsi="Arial" w:cs="Arial"/>
          <w:sz w:val="22"/>
          <w:szCs w:val="22"/>
          <w:lang w:eastAsia="ko-KR"/>
        </w:rPr>
        <w:t>après les informations contenues dans le dossier, la candidature satisfait aux critères d</w:t>
      </w:r>
      <w:r w:rsidR="009C104E">
        <w:rPr>
          <w:rFonts w:ascii="Arial" w:hAnsi="Arial" w:cs="Arial"/>
          <w:sz w:val="22"/>
          <w:szCs w:val="22"/>
          <w:lang w:eastAsia="ko-KR"/>
        </w:rPr>
        <w:t>’</w:t>
      </w:r>
      <w:r w:rsidRPr="0001502D">
        <w:rPr>
          <w:rFonts w:ascii="Arial" w:hAnsi="Arial" w:cs="Arial"/>
          <w:sz w:val="22"/>
          <w:szCs w:val="22"/>
          <w:lang w:eastAsia="ko-KR"/>
        </w:rPr>
        <w:t>inscription sur la Liste représentative du patrimoine culturel immatériel de l</w:t>
      </w:r>
      <w:r w:rsidR="009C104E">
        <w:rPr>
          <w:rFonts w:ascii="Arial" w:hAnsi="Arial" w:cs="Arial"/>
          <w:sz w:val="22"/>
          <w:szCs w:val="22"/>
          <w:lang w:eastAsia="ko-KR"/>
        </w:rPr>
        <w:t>’</w:t>
      </w:r>
      <w:r w:rsidRPr="0001502D">
        <w:rPr>
          <w:rFonts w:ascii="Arial" w:hAnsi="Arial" w:cs="Arial"/>
          <w:sz w:val="22"/>
          <w:szCs w:val="22"/>
          <w:lang w:eastAsia="ko-KR"/>
        </w:rPr>
        <w:t>humanité comme suit :</w:t>
      </w:r>
    </w:p>
    <w:p w14:paraId="56244AE6" w14:textId="2FCE90EA" w:rsidR="0001502D" w:rsidRPr="0001502D" w:rsidRDefault="0001502D" w:rsidP="008A0AF7">
      <w:pPr>
        <w:tabs>
          <w:tab w:val="left" w:pos="1134"/>
          <w:tab w:val="left" w:pos="2268"/>
        </w:tabs>
        <w:spacing w:before="120" w:after="120"/>
        <w:ind w:left="1134" w:hanging="555"/>
        <w:jc w:val="both"/>
        <w:rPr>
          <w:rFonts w:ascii="Arial" w:hAnsi="Arial" w:cs="Arial"/>
          <w:sz w:val="22"/>
          <w:szCs w:val="22"/>
        </w:rPr>
      </w:pPr>
      <w:r w:rsidRPr="0001502D">
        <w:rPr>
          <w:rFonts w:ascii="Arial" w:hAnsi="Arial" w:cs="Arial"/>
          <w:sz w:val="22"/>
          <w:szCs w:val="22"/>
        </w:rPr>
        <w:t xml:space="preserve">R.1 : </w:t>
      </w:r>
      <w:r w:rsidRPr="0001502D">
        <w:rPr>
          <w:rFonts w:ascii="Arial" w:hAnsi="Arial" w:cs="Arial"/>
          <w:sz w:val="22"/>
          <w:szCs w:val="22"/>
        </w:rPr>
        <w:tab/>
        <w:t>La harpe irlandaise est jouée lors des cérémonies nationales, dans des concerts et à l</w:t>
      </w:r>
      <w:r w:rsidR="009C104E">
        <w:rPr>
          <w:rFonts w:ascii="Arial" w:hAnsi="Arial" w:cs="Arial"/>
          <w:sz w:val="22"/>
          <w:szCs w:val="22"/>
        </w:rPr>
        <w:t>’</w:t>
      </w:r>
      <w:r w:rsidRPr="0001502D">
        <w:rPr>
          <w:rFonts w:ascii="Arial" w:hAnsi="Arial" w:cs="Arial"/>
          <w:sz w:val="22"/>
          <w:szCs w:val="22"/>
        </w:rPr>
        <w:t>occasion des mariages ou des funérailles, mais aussi dans presque tous les rassemblements organisés en Irlande. Elle rapproche les personnes et les communautés dans des moments de grande émotion. Sa musique exprime la joie, l</w:t>
      </w:r>
      <w:r w:rsidR="009C104E">
        <w:rPr>
          <w:rFonts w:ascii="Arial" w:hAnsi="Arial" w:cs="Arial"/>
          <w:sz w:val="22"/>
          <w:szCs w:val="22"/>
        </w:rPr>
        <w:t>’</w:t>
      </w:r>
      <w:r w:rsidRPr="0001502D">
        <w:rPr>
          <w:rFonts w:ascii="Arial" w:hAnsi="Arial" w:cs="Arial"/>
          <w:sz w:val="22"/>
          <w:szCs w:val="22"/>
        </w:rPr>
        <w:t>enthousiasme ou la tristesse et renforce l</w:t>
      </w:r>
      <w:r w:rsidR="009C104E">
        <w:rPr>
          <w:rFonts w:ascii="Arial" w:hAnsi="Arial" w:cs="Arial"/>
          <w:sz w:val="22"/>
          <w:szCs w:val="22"/>
        </w:rPr>
        <w:t>’</w:t>
      </w:r>
      <w:r w:rsidRPr="0001502D">
        <w:rPr>
          <w:rFonts w:ascii="Arial" w:hAnsi="Arial" w:cs="Arial"/>
          <w:sz w:val="22"/>
          <w:szCs w:val="22"/>
        </w:rPr>
        <w:t>identité irlandaise.</w:t>
      </w:r>
    </w:p>
    <w:p w14:paraId="495A5077" w14:textId="40B32A49" w:rsidR="0001502D" w:rsidRPr="0001502D" w:rsidRDefault="0001502D" w:rsidP="008A0AF7">
      <w:pPr>
        <w:tabs>
          <w:tab w:val="left" w:pos="1134"/>
          <w:tab w:val="left" w:pos="2268"/>
        </w:tabs>
        <w:spacing w:before="120" w:after="120"/>
        <w:ind w:left="1134" w:hanging="555"/>
        <w:jc w:val="both"/>
        <w:rPr>
          <w:rFonts w:ascii="Arial" w:hAnsi="Arial" w:cs="Arial"/>
          <w:sz w:val="22"/>
          <w:szCs w:val="22"/>
        </w:rPr>
      </w:pPr>
      <w:r w:rsidRPr="0001502D">
        <w:rPr>
          <w:rFonts w:ascii="Arial" w:hAnsi="Arial" w:cs="Arial"/>
          <w:sz w:val="22"/>
          <w:szCs w:val="22"/>
        </w:rPr>
        <w:t xml:space="preserve">R.2 : </w:t>
      </w:r>
      <w:r w:rsidRPr="0001502D">
        <w:rPr>
          <w:rFonts w:ascii="Arial" w:hAnsi="Arial" w:cs="Arial"/>
          <w:sz w:val="22"/>
          <w:szCs w:val="22"/>
        </w:rPr>
        <w:tab/>
        <w:t>L</w:t>
      </w:r>
      <w:r w:rsidR="009C104E">
        <w:rPr>
          <w:rFonts w:ascii="Arial" w:hAnsi="Arial" w:cs="Arial"/>
          <w:sz w:val="22"/>
          <w:szCs w:val="22"/>
        </w:rPr>
        <w:t>’</w:t>
      </w:r>
      <w:r w:rsidRPr="0001502D">
        <w:rPr>
          <w:rFonts w:ascii="Arial" w:hAnsi="Arial" w:cs="Arial"/>
          <w:sz w:val="22"/>
          <w:szCs w:val="22"/>
        </w:rPr>
        <w:t>inscription de la pratique de la harpe irlandaise contribuerait à la sauvegarde de l</w:t>
      </w:r>
      <w:r w:rsidR="009C104E">
        <w:rPr>
          <w:rFonts w:ascii="Arial" w:hAnsi="Arial" w:cs="Arial"/>
          <w:sz w:val="22"/>
          <w:szCs w:val="22"/>
        </w:rPr>
        <w:t>’</w:t>
      </w:r>
      <w:r w:rsidRPr="0001502D">
        <w:rPr>
          <w:rFonts w:ascii="Arial" w:hAnsi="Arial" w:cs="Arial"/>
          <w:sz w:val="22"/>
          <w:szCs w:val="22"/>
        </w:rPr>
        <w:t>élément, notamment en sensibilisant les jeunes musiciens qui, en tant que praticiens, assureront sa transmission à l</w:t>
      </w:r>
      <w:r w:rsidR="009C104E">
        <w:rPr>
          <w:rFonts w:ascii="Arial" w:hAnsi="Arial" w:cs="Arial"/>
          <w:sz w:val="22"/>
          <w:szCs w:val="22"/>
        </w:rPr>
        <w:t>’</w:t>
      </w:r>
      <w:r w:rsidRPr="0001502D">
        <w:rPr>
          <w:rFonts w:ascii="Arial" w:hAnsi="Arial" w:cs="Arial"/>
          <w:sz w:val="22"/>
          <w:szCs w:val="22"/>
        </w:rPr>
        <w:t>avenir. Elle stimulerait également un débat national sur le patrimoine culturel immatériel dans la société irlandaise. À</w:t>
      </w:r>
      <w:r w:rsidRPr="0001502D">
        <w:t> </w:t>
      </w:r>
      <w:r w:rsidRPr="0001502D">
        <w:rPr>
          <w:rFonts w:ascii="Arial" w:hAnsi="Arial" w:cs="Arial"/>
          <w:sz w:val="22"/>
          <w:szCs w:val="22"/>
        </w:rPr>
        <w:t>l</w:t>
      </w:r>
      <w:r w:rsidR="009C104E">
        <w:rPr>
          <w:rFonts w:ascii="Arial" w:hAnsi="Arial" w:cs="Arial"/>
          <w:sz w:val="22"/>
          <w:szCs w:val="22"/>
        </w:rPr>
        <w:t>’</w:t>
      </w:r>
      <w:r w:rsidRPr="0001502D">
        <w:rPr>
          <w:rFonts w:ascii="Arial" w:hAnsi="Arial" w:cs="Arial"/>
          <w:sz w:val="22"/>
          <w:szCs w:val="22"/>
        </w:rPr>
        <w:t>échelle internationale, l</w:t>
      </w:r>
      <w:r w:rsidR="009C104E">
        <w:rPr>
          <w:rFonts w:ascii="Arial" w:hAnsi="Arial" w:cs="Arial"/>
          <w:sz w:val="22"/>
          <w:szCs w:val="22"/>
        </w:rPr>
        <w:t>’</w:t>
      </w:r>
      <w:r w:rsidRPr="0001502D">
        <w:rPr>
          <w:rFonts w:ascii="Arial" w:hAnsi="Arial" w:cs="Arial"/>
          <w:sz w:val="22"/>
          <w:szCs w:val="22"/>
        </w:rPr>
        <w:t>inscription renforcerait le sentiment d</w:t>
      </w:r>
      <w:r w:rsidR="009C104E">
        <w:rPr>
          <w:rFonts w:ascii="Arial" w:hAnsi="Arial" w:cs="Arial"/>
          <w:sz w:val="22"/>
          <w:szCs w:val="22"/>
        </w:rPr>
        <w:t>’</w:t>
      </w:r>
      <w:r w:rsidRPr="0001502D">
        <w:rPr>
          <w:rFonts w:ascii="Arial" w:hAnsi="Arial" w:cs="Arial"/>
          <w:sz w:val="22"/>
          <w:szCs w:val="22"/>
        </w:rPr>
        <w:t>appartenance de la diaspora irlandaise et favoriserait le dialogue au sein des communautés de harpistes dans le monde entier.</w:t>
      </w:r>
    </w:p>
    <w:p w14:paraId="28CDC930" w14:textId="1CF705BA" w:rsidR="0001502D" w:rsidRPr="0001502D" w:rsidRDefault="0001502D" w:rsidP="008A0AF7">
      <w:pPr>
        <w:tabs>
          <w:tab w:val="left" w:pos="1134"/>
          <w:tab w:val="left" w:pos="2268"/>
        </w:tabs>
        <w:spacing w:before="120" w:after="120"/>
        <w:ind w:left="1134" w:hanging="555"/>
        <w:jc w:val="both"/>
        <w:rPr>
          <w:rFonts w:ascii="Arial" w:hAnsi="Arial" w:cs="Arial"/>
          <w:sz w:val="22"/>
          <w:szCs w:val="22"/>
        </w:rPr>
      </w:pPr>
      <w:r w:rsidRPr="0001502D">
        <w:rPr>
          <w:rFonts w:ascii="Arial" w:hAnsi="Arial" w:cs="Arial"/>
          <w:sz w:val="22"/>
          <w:szCs w:val="22"/>
        </w:rPr>
        <w:t xml:space="preserve">R.3 : </w:t>
      </w:r>
      <w:r w:rsidRPr="0001502D">
        <w:rPr>
          <w:rFonts w:ascii="Arial" w:hAnsi="Arial" w:cs="Arial"/>
          <w:sz w:val="22"/>
          <w:szCs w:val="22"/>
        </w:rPr>
        <w:tab/>
        <w:t>La harpe sera toujours un élément essentiel de l</w:t>
      </w:r>
      <w:r w:rsidR="009C104E">
        <w:rPr>
          <w:rFonts w:ascii="Arial" w:hAnsi="Arial" w:cs="Arial"/>
          <w:sz w:val="22"/>
          <w:szCs w:val="22"/>
        </w:rPr>
        <w:t>’</w:t>
      </w:r>
      <w:r w:rsidRPr="0001502D">
        <w:rPr>
          <w:rFonts w:ascii="Arial" w:hAnsi="Arial" w:cs="Arial"/>
          <w:sz w:val="22"/>
          <w:szCs w:val="22"/>
        </w:rPr>
        <w:t>identité irlandaise. C</w:t>
      </w:r>
      <w:r w:rsidR="009C104E">
        <w:rPr>
          <w:rFonts w:ascii="Arial" w:hAnsi="Arial" w:cs="Arial"/>
          <w:sz w:val="22"/>
          <w:szCs w:val="22"/>
        </w:rPr>
        <w:t>’</w:t>
      </w:r>
      <w:r w:rsidRPr="0001502D">
        <w:rPr>
          <w:rFonts w:ascii="Arial" w:hAnsi="Arial" w:cs="Arial"/>
          <w:sz w:val="22"/>
          <w:szCs w:val="22"/>
        </w:rPr>
        <w:t>est pourquoi le Ministère de la culture, du patrimoine et de la Région de langue gaélique (Gaeltacht) soutient la mission de l</w:t>
      </w:r>
      <w:r w:rsidR="009C104E">
        <w:rPr>
          <w:rFonts w:ascii="Arial" w:hAnsi="Arial" w:cs="Arial"/>
          <w:sz w:val="22"/>
          <w:szCs w:val="22"/>
        </w:rPr>
        <w:t>’</w:t>
      </w:r>
      <w:r w:rsidRPr="0001502D">
        <w:rPr>
          <w:rFonts w:ascii="Arial" w:hAnsi="Arial" w:cs="Arial"/>
          <w:sz w:val="22"/>
          <w:szCs w:val="22"/>
        </w:rPr>
        <w:t>organisation Harp Ireland, par l</w:t>
      </w:r>
      <w:r w:rsidR="009C104E">
        <w:rPr>
          <w:rFonts w:ascii="Arial" w:hAnsi="Arial" w:cs="Arial"/>
          <w:sz w:val="22"/>
          <w:szCs w:val="22"/>
        </w:rPr>
        <w:t>’</w:t>
      </w:r>
      <w:r w:rsidRPr="0001502D">
        <w:rPr>
          <w:rFonts w:ascii="Arial" w:hAnsi="Arial" w:cs="Arial"/>
          <w:sz w:val="22"/>
          <w:szCs w:val="22"/>
        </w:rPr>
        <w:t>intermédiaire du Conseil des arts, et s</w:t>
      </w:r>
      <w:r w:rsidR="009C104E">
        <w:rPr>
          <w:rFonts w:ascii="Arial" w:hAnsi="Arial" w:cs="Arial"/>
          <w:sz w:val="22"/>
          <w:szCs w:val="22"/>
        </w:rPr>
        <w:t>’</w:t>
      </w:r>
      <w:r w:rsidRPr="0001502D">
        <w:rPr>
          <w:rFonts w:ascii="Arial" w:hAnsi="Arial" w:cs="Arial"/>
          <w:sz w:val="22"/>
          <w:szCs w:val="22"/>
        </w:rPr>
        <w:t>engage à continuer à sauvegarder la harpe irlandaise. Les mesures de sauvegarde proposées incluent donc la poursuite d</w:t>
      </w:r>
      <w:r w:rsidR="009C104E">
        <w:rPr>
          <w:rFonts w:ascii="Arial" w:hAnsi="Arial" w:cs="Arial"/>
          <w:sz w:val="22"/>
          <w:szCs w:val="22"/>
        </w:rPr>
        <w:t>’</w:t>
      </w:r>
      <w:r w:rsidRPr="0001502D">
        <w:rPr>
          <w:rFonts w:ascii="Arial" w:hAnsi="Arial" w:cs="Arial"/>
          <w:sz w:val="22"/>
          <w:szCs w:val="22"/>
        </w:rPr>
        <w:t>activités déjà menées pour promouvoir la harpe et assurer la viabilité de sa pratique, la mise en place d</w:t>
      </w:r>
      <w:r w:rsidR="009C104E">
        <w:rPr>
          <w:rFonts w:ascii="Arial" w:hAnsi="Arial" w:cs="Arial"/>
          <w:sz w:val="22"/>
          <w:szCs w:val="22"/>
        </w:rPr>
        <w:t>’</w:t>
      </w:r>
      <w:r w:rsidRPr="0001502D">
        <w:rPr>
          <w:rFonts w:ascii="Arial" w:hAnsi="Arial" w:cs="Arial"/>
          <w:sz w:val="22"/>
          <w:szCs w:val="22"/>
        </w:rPr>
        <w:t>une plateforme en ligne pour Harp Ireland, l</w:t>
      </w:r>
      <w:r w:rsidR="009C104E">
        <w:rPr>
          <w:rFonts w:ascii="Arial" w:hAnsi="Arial" w:cs="Arial"/>
          <w:sz w:val="22"/>
          <w:szCs w:val="22"/>
        </w:rPr>
        <w:t>’</w:t>
      </w:r>
      <w:r w:rsidRPr="0001502D">
        <w:rPr>
          <w:rFonts w:ascii="Arial" w:hAnsi="Arial" w:cs="Arial"/>
          <w:sz w:val="22"/>
          <w:szCs w:val="22"/>
        </w:rPr>
        <w:t>instauration d</w:t>
      </w:r>
      <w:r w:rsidR="009C104E">
        <w:rPr>
          <w:rFonts w:ascii="Arial" w:hAnsi="Arial" w:cs="Arial"/>
          <w:sz w:val="22"/>
          <w:szCs w:val="22"/>
        </w:rPr>
        <w:t>’</w:t>
      </w:r>
      <w:r w:rsidRPr="0001502D">
        <w:rPr>
          <w:rFonts w:ascii="Arial" w:hAnsi="Arial" w:cs="Arial"/>
          <w:sz w:val="22"/>
          <w:szCs w:val="22"/>
        </w:rPr>
        <w:t>une Journée nationale de la harpe, le soutien renouvelé au Belfast Harp Orchestra, la publication de nouveaux documents et enregistrements de musique et le développement de festivals et d</w:t>
      </w:r>
      <w:r w:rsidR="009C104E">
        <w:rPr>
          <w:rFonts w:ascii="Arial" w:hAnsi="Arial" w:cs="Arial"/>
          <w:sz w:val="22"/>
          <w:szCs w:val="22"/>
        </w:rPr>
        <w:t>’</w:t>
      </w:r>
      <w:r w:rsidRPr="0001502D">
        <w:rPr>
          <w:rFonts w:ascii="Arial" w:hAnsi="Arial" w:cs="Arial"/>
          <w:sz w:val="22"/>
          <w:szCs w:val="22"/>
        </w:rPr>
        <w:t>ateliers dédiés à la harpe.</w:t>
      </w:r>
    </w:p>
    <w:p w14:paraId="79ABF5C0" w14:textId="2F3295C9" w:rsidR="0001502D" w:rsidRPr="0001502D" w:rsidRDefault="0001502D" w:rsidP="008A0AF7">
      <w:pPr>
        <w:tabs>
          <w:tab w:val="left" w:pos="1134"/>
          <w:tab w:val="left" w:pos="2268"/>
        </w:tabs>
        <w:spacing w:before="120" w:after="120"/>
        <w:ind w:left="1134" w:hanging="555"/>
        <w:jc w:val="both"/>
        <w:rPr>
          <w:rFonts w:ascii="Arial" w:hAnsi="Arial" w:cs="Arial"/>
          <w:sz w:val="22"/>
          <w:szCs w:val="22"/>
        </w:rPr>
      </w:pPr>
      <w:r w:rsidRPr="0001502D">
        <w:rPr>
          <w:rFonts w:ascii="Arial" w:hAnsi="Arial" w:cs="Arial"/>
          <w:sz w:val="22"/>
          <w:szCs w:val="22"/>
        </w:rPr>
        <w:t xml:space="preserve">R.4 : </w:t>
      </w:r>
      <w:r w:rsidRPr="0001502D">
        <w:rPr>
          <w:rFonts w:ascii="Arial" w:hAnsi="Arial" w:cs="Arial"/>
          <w:sz w:val="22"/>
          <w:szCs w:val="22"/>
        </w:rPr>
        <w:tab/>
        <w:t>La candidature de la pratique de la harpe irlandaise a été proposée avec le consentement de plusieurs détenteurs et de leurs communautés, de la société irlandaise en général, d</w:t>
      </w:r>
      <w:r w:rsidR="009C104E">
        <w:rPr>
          <w:rFonts w:ascii="Arial" w:hAnsi="Arial" w:cs="Arial"/>
          <w:sz w:val="22"/>
          <w:szCs w:val="22"/>
        </w:rPr>
        <w:t>’</w:t>
      </w:r>
      <w:r w:rsidRPr="0001502D">
        <w:rPr>
          <w:rFonts w:ascii="Arial" w:hAnsi="Arial" w:cs="Arial"/>
          <w:sz w:val="22"/>
          <w:szCs w:val="22"/>
        </w:rPr>
        <w:t>artistes et de représentants de l</w:t>
      </w:r>
      <w:r w:rsidR="009C104E">
        <w:rPr>
          <w:rFonts w:ascii="Arial" w:hAnsi="Arial" w:cs="Arial"/>
          <w:sz w:val="22"/>
          <w:szCs w:val="22"/>
        </w:rPr>
        <w:t>’</w:t>
      </w:r>
      <w:r w:rsidRPr="0001502D">
        <w:rPr>
          <w:rFonts w:ascii="Arial" w:hAnsi="Arial" w:cs="Arial"/>
          <w:sz w:val="22"/>
          <w:szCs w:val="22"/>
        </w:rPr>
        <w:t>État. Cette candidature respecte pleinement l</w:t>
      </w:r>
      <w:r w:rsidR="009C104E">
        <w:rPr>
          <w:rFonts w:ascii="Arial" w:hAnsi="Arial" w:cs="Arial"/>
          <w:sz w:val="22"/>
          <w:szCs w:val="22"/>
        </w:rPr>
        <w:t>’</w:t>
      </w:r>
      <w:r w:rsidRPr="0001502D">
        <w:rPr>
          <w:rFonts w:ascii="Arial" w:hAnsi="Arial" w:cs="Arial"/>
          <w:sz w:val="22"/>
          <w:szCs w:val="22"/>
        </w:rPr>
        <w:t>identité nationale irlandaise et souligne l</w:t>
      </w:r>
      <w:r w:rsidR="009C104E">
        <w:rPr>
          <w:rFonts w:ascii="Arial" w:hAnsi="Arial" w:cs="Arial"/>
          <w:sz w:val="22"/>
          <w:szCs w:val="22"/>
        </w:rPr>
        <w:t>’</w:t>
      </w:r>
      <w:r w:rsidRPr="0001502D">
        <w:rPr>
          <w:rFonts w:ascii="Arial" w:hAnsi="Arial" w:cs="Arial"/>
          <w:sz w:val="22"/>
          <w:szCs w:val="22"/>
        </w:rPr>
        <w:t>importance de la sauvegarde du patrimoine culturel immatériel.</w:t>
      </w:r>
    </w:p>
    <w:p w14:paraId="54FFB33F" w14:textId="5A924061" w:rsidR="0001502D" w:rsidRPr="0001502D" w:rsidRDefault="0001502D" w:rsidP="008A0AF7">
      <w:pPr>
        <w:tabs>
          <w:tab w:val="left" w:pos="1134"/>
          <w:tab w:val="left" w:pos="2268"/>
        </w:tabs>
        <w:spacing w:before="120" w:after="120"/>
        <w:ind w:left="1134" w:hanging="555"/>
        <w:jc w:val="both"/>
        <w:rPr>
          <w:rFonts w:ascii="Arial" w:hAnsi="Arial" w:cs="Arial"/>
          <w:sz w:val="22"/>
          <w:szCs w:val="22"/>
        </w:rPr>
      </w:pPr>
      <w:r w:rsidRPr="0001502D">
        <w:rPr>
          <w:rFonts w:ascii="Arial" w:hAnsi="Arial" w:cs="Arial"/>
          <w:sz w:val="22"/>
          <w:szCs w:val="22"/>
        </w:rPr>
        <w:t xml:space="preserve">R.5 : </w:t>
      </w:r>
      <w:r w:rsidRPr="0001502D">
        <w:rPr>
          <w:rFonts w:ascii="Arial" w:hAnsi="Arial" w:cs="Arial"/>
          <w:sz w:val="22"/>
          <w:szCs w:val="22"/>
        </w:rPr>
        <w:tab/>
        <w:t>La pratique de la harpe irlandaise est incluse dans l</w:t>
      </w:r>
      <w:r w:rsidR="009C104E">
        <w:rPr>
          <w:rFonts w:ascii="Arial" w:hAnsi="Arial" w:cs="Arial"/>
          <w:sz w:val="22"/>
          <w:szCs w:val="22"/>
        </w:rPr>
        <w:t>’</w:t>
      </w:r>
      <w:r w:rsidRPr="0001502D">
        <w:rPr>
          <w:rFonts w:ascii="Arial" w:hAnsi="Arial" w:cs="Arial"/>
          <w:sz w:val="22"/>
          <w:szCs w:val="22"/>
        </w:rPr>
        <w:t>Inventaire national du patrimoine culturel immatériel depuis 2018. Le Ministère de la culture, du patrimoine et de la Région de langue gaélique (Gaeltacht) est l</w:t>
      </w:r>
      <w:r w:rsidR="009C104E">
        <w:rPr>
          <w:rFonts w:ascii="Arial" w:hAnsi="Arial" w:cs="Arial"/>
          <w:sz w:val="22"/>
          <w:szCs w:val="22"/>
        </w:rPr>
        <w:t>’</w:t>
      </w:r>
      <w:r w:rsidRPr="0001502D">
        <w:rPr>
          <w:rFonts w:ascii="Arial" w:hAnsi="Arial" w:cs="Arial"/>
          <w:sz w:val="22"/>
          <w:szCs w:val="22"/>
        </w:rPr>
        <w:t>organisme responsable de la gestion et de la mise à jour de l</w:t>
      </w:r>
      <w:r w:rsidR="009C104E">
        <w:rPr>
          <w:rFonts w:ascii="Arial" w:hAnsi="Arial" w:cs="Arial"/>
          <w:sz w:val="22"/>
          <w:szCs w:val="22"/>
        </w:rPr>
        <w:t>’</w:t>
      </w:r>
      <w:r w:rsidRPr="0001502D">
        <w:rPr>
          <w:rFonts w:ascii="Arial" w:hAnsi="Arial" w:cs="Arial"/>
          <w:sz w:val="22"/>
          <w:szCs w:val="22"/>
        </w:rPr>
        <w:t>inventaire. Le Comité consultatif d</w:t>
      </w:r>
      <w:r w:rsidR="009C104E">
        <w:rPr>
          <w:rFonts w:ascii="Arial" w:hAnsi="Arial" w:cs="Arial"/>
          <w:sz w:val="22"/>
          <w:szCs w:val="22"/>
        </w:rPr>
        <w:t>’</w:t>
      </w:r>
      <w:r w:rsidRPr="0001502D">
        <w:rPr>
          <w:rFonts w:ascii="Arial" w:hAnsi="Arial" w:cs="Arial"/>
          <w:sz w:val="22"/>
          <w:szCs w:val="22"/>
        </w:rPr>
        <w:t>experts se réunit au moins deux fois par an pour réviser les éléments déjà inscrits et ajouter de nouveaux éléments le cas échéant.</w:t>
      </w:r>
    </w:p>
    <w:p w14:paraId="708C5253" w14:textId="09F1E0E5" w:rsidR="0001502D" w:rsidRPr="0001502D" w:rsidRDefault="0001502D" w:rsidP="00771F30">
      <w:pPr>
        <w:numPr>
          <w:ilvl w:val="1"/>
          <w:numId w:val="27"/>
        </w:numPr>
        <w:tabs>
          <w:tab w:val="left" w:pos="567"/>
          <w:tab w:val="left" w:pos="2268"/>
        </w:tabs>
        <w:spacing w:before="120" w:after="120"/>
        <w:jc w:val="both"/>
        <w:rPr>
          <w:rFonts w:ascii="Arial" w:hAnsi="Arial" w:cs="Arial"/>
          <w:sz w:val="22"/>
          <w:szCs w:val="22"/>
          <w:lang w:eastAsia="ko-KR"/>
        </w:rPr>
      </w:pPr>
      <w:r w:rsidRPr="0001502D">
        <w:rPr>
          <w:rFonts w:ascii="Arial" w:hAnsi="Arial" w:cs="Arial"/>
          <w:sz w:val="22"/>
          <w:szCs w:val="22"/>
          <w:u w:val="single"/>
          <w:lang w:eastAsia="ko-KR"/>
        </w:rPr>
        <w:t>Décide d</w:t>
      </w:r>
      <w:r w:rsidR="009C104E">
        <w:rPr>
          <w:rFonts w:ascii="Arial" w:hAnsi="Arial" w:cs="Arial"/>
          <w:sz w:val="22"/>
          <w:szCs w:val="22"/>
          <w:u w:val="single"/>
          <w:lang w:eastAsia="ko-KR"/>
        </w:rPr>
        <w:t>’</w:t>
      </w:r>
      <w:r w:rsidRPr="0001502D">
        <w:rPr>
          <w:rFonts w:ascii="Arial" w:hAnsi="Arial" w:cs="Arial"/>
          <w:sz w:val="22"/>
          <w:szCs w:val="22"/>
          <w:u w:val="single"/>
          <w:lang w:eastAsia="ko-KR"/>
        </w:rPr>
        <w:t>inscrire</w:t>
      </w:r>
      <w:r w:rsidRPr="0001502D">
        <w:rPr>
          <w:rFonts w:ascii="Arial" w:hAnsi="Arial" w:cs="Arial"/>
          <w:sz w:val="22"/>
          <w:szCs w:val="22"/>
          <w:lang w:eastAsia="ko-KR"/>
        </w:rPr>
        <w:t xml:space="preserve"> </w:t>
      </w:r>
      <w:r w:rsidRPr="0001502D">
        <w:rPr>
          <w:rFonts w:ascii="Arial" w:hAnsi="Arial" w:cs="Arial"/>
          <w:b/>
          <w:bCs/>
          <w:sz w:val="22"/>
          <w:szCs w:val="22"/>
          <w:lang w:eastAsia="ko-KR"/>
        </w:rPr>
        <w:t>la pratique de la harpe irlandaise</w:t>
      </w:r>
      <w:r w:rsidRPr="0001502D">
        <w:rPr>
          <w:rFonts w:ascii="Arial" w:hAnsi="Arial" w:cs="Arial"/>
          <w:sz w:val="22"/>
          <w:szCs w:val="22"/>
          <w:lang w:eastAsia="ko-KR"/>
        </w:rPr>
        <w:t xml:space="preserve"> sur la Liste représentative du patrimoine culturel immatériel de l</w:t>
      </w:r>
      <w:r w:rsidR="009C104E">
        <w:rPr>
          <w:rFonts w:ascii="Arial" w:hAnsi="Arial" w:cs="Arial"/>
          <w:sz w:val="22"/>
          <w:szCs w:val="22"/>
          <w:lang w:eastAsia="ko-KR"/>
        </w:rPr>
        <w:t>’</w:t>
      </w:r>
      <w:r w:rsidRPr="0001502D">
        <w:rPr>
          <w:rFonts w:ascii="Arial" w:hAnsi="Arial" w:cs="Arial"/>
          <w:sz w:val="22"/>
          <w:szCs w:val="22"/>
          <w:lang w:eastAsia="ko-KR"/>
        </w:rPr>
        <w:t>humanité ;</w:t>
      </w:r>
    </w:p>
    <w:p w14:paraId="523F1D35" w14:textId="0B59ADD2" w:rsidR="0001502D" w:rsidRPr="0001502D" w:rsidRDefault="0001502D" w:rsidP="00771F30">
      <w:pPr>
        <w:numPr>
          <w:ilvl w:val="1"/>
          <w:numId w:val="27"/>
        </w:numPr>
        <w:tabs>
          <w:tab w:val="left" w:pos="567"/>
          <w:tab w:val="left" w:pos="2268"/>
        </w:tabs>
        <w:spacing w:before="120" w:after="120"/>
        <w:jc w:val="both"/>
        <w:rPr>
          <w:rFonts w:ascii="Arial" w:hAnsi="Arial" w:cs="Arial"/>
          <w:sz w:val="22"/>
          <w:szCs w:val="22"/>
          <w:lang w:eastAsia="ko-KR"/>
        </w:rPr>
      </w:pPr>
      <w:r w:rsidRPr="0001502D">
        <w:rPr>
          <w:rFonts w:ascii="Arial" w:hAnsi="Arial" w:cs="Arial"/>
          <w:sz w:val="22"/>
          <w:szCs w:val="22"/>
          <w:u w:val="single"/>
          <w:lang w:eastAsia="ko-KR"/>
        </w:rPr>
        <w:t>Félicite</w:t>
      </w:r>
      <w:r w:rsidRPr="0001502D">
        <w:rPr>
          <w:rFonts w:ascii="Arial" w:hAnsi="Arial" w:cs="Arial"/>
          <w:sz w:val="22"/>
          <w:szCs w:val="22"/>
          <w:lang w:eastAsia="ko-KR"/>
        </w:rPr>
        <w:t xml:space="preserve"> l</w:t>
      </w:r>
      <w:r w:rsidR="009C104E">
        <w:rPr>
          <w:rFonts w:ascii="Arial" w:hAnsi="Arial" w:cs="Arial"/>
          <w:sz w:val="22"/>
          <w:szCs w:val="22"/>
          <w:lang w:eastAsia="ko-KR"/>
        </w:rPr>
        <w:t>’</w:t>
      </w:r>
      <w:r w:rsidRPr="0001502D">
        <w:rPr>
          <w:rFonts w:ascii="Arial" w:hAnsi="Arial" w:cs="Arial"/>
          <w:sz w:val="22"/>
          <w:szCs w:val="22"/>
          <w:lang w:eastAsia="ko-KR"/>
        </w:rPr>
        <w:t>État partie d</w:t>
      </w:r>
      <w:r w:rsidR="009C104E">
        <w:rPr>
          <w:rFonts w:ascii="Arial" w:hAnsi="Arial" w:cs="Arial"/>
          <w:sz w:val="22"/>
          <w:szCs w:val="22"/>
          <w:lang w:eastAsia="ko-KR"/>
        </w:rPr>
        <w:t>’</w:t>
      </w:r>
      <w:r w:rsidRPr="0001502D">
        <w:rPr>
          <w:rFonts w:ascii="Arial" w:hAnsi="Arial" w:cs="Arial"/>
          <w:sz w:val="22"/>
          <w:szCs w:val="22"/>
          <w:lang w:eastAsia="ko-KR"/>
        </w:rPr>
        <w:t>avoir soumis une candidature exemplaire.</w:t>
      </w:r>
    </w:p>
    <w:p w14:paraId="5A505930" w14:textId="0DC795C8" w:rsidR="0001502D" w:rsidRPr="0001502D" w:rsidRDefault="0001502D" w:rsidP="00771F30">
      <w:pPr>
        <w:keepNext/>
        <w:keepLines/>
        <w:numPr>
          <w:ilvl w:val="0"/>
          <w:numId w:val="27"/>
        </w:numPr>
        <w:spacing w:before="360" w:after="120"/>
        <w:outlineLvl w:val="1"/>
        <w:rPr>
          <w:rFonts w:ascii="Arial" w:hAnsi="Arial" w:cs="Arial"/>
          <w:bCs/>
          <w:iCs/>
          <w:sz w:val="22"/>
          <w:szCs w:val="22"/>
        </w:rPr>
      </w:pPr>
      <w:bookmarkStart w:id="22" w:name="Decision_10b19"/>
      <w:r w:rsidRPr="0001502D">
        <w:rPr>
          <w:rFonts w:ascii="Arial" w:hAnsi="Arial" w:cs="Arial"/>
          <w:b/>
          <w:bCs/>
          <w:iCs/>
          <w:sz w:val="22"/>
          <w:szCs w:val="22"/>
        </w:rPr>
        <w:t xml:space="preserve">DÉCISION 14.COM 10.b.19 </w:t>
      </w:r>
    </w:p>
    <w:bookmarkEnd w:id="22"/>
    <w:p w14:paraId="577A6598" w14:textId="77777777" w:rsidR="0001502D" w:rsidRPr="0001502D" w:rsidRDefault="0001502D" w:rsidP="007B23DE">
      <w:pPr>
        <w:keepNext/>
        <w:tabs>
          <w:tab w:val="left" w:pos="567"/>
          <w:tab w:val="left" w:pos="1134"/>
          <w:tab w:val="left" w:pos="1701"/>
          <w:tab w:val="left" w:pos="2268"/>
        </w:tabs>
        <w:spacing w:before="120" w:after="120"/>
        <w:jc w:val="both"/>
        <w:rPr>
          <w:rFonts w:ascii="Arial" w:hAnsi="Arial" w:cs="Arial"/>
          <w:sz w:val="22"/>
          <w:szCs w:val="22"/>
        </w:rPr>
      </w:pPr>
      <w:r w:rsidRPr="0001502D">
        <w:rPr>
          <w:rFonts w:ascii="Arial" w:hAnsi="Arial" w:cs="Arial"/>
          <w:sz w:val="22"/>
          <w:szCs w:val="22"/>
        </w:rPr>
        <w:t>Le Comité,</w:t>
      </w:r>
    </w:p>
    <w:p w14:paraId="0D986C49" w14:textId="5CDF143C" w:rsidR="0001502D" w:rsidRPr="0001502D" w:rsidRDefault="0001502D" w:rsidP="00771F30">
      <w:pPr>
        <w:numPr>
          <w:ilvl w:val="1"/>
          <w:numId w:val="27"/>
        </w:numPr>
        <w:tabs>
          <w:tab w:val="left" w:pos="567"/>
          <w:tab w:val="left" w:pos="1701"/>
          <w:tab w:val="left" w:pos="2268"/>
        </w:tabs>
        <w:spacing w:before="120" w:after="120"/>
        <w:jc w:val="both"/>
        <w:rPr>
          <w:rFonts w:ascii="Arial" w:hAnsi="Arial" w:cs="Arial"/>
          <w:sz w:val="22"/>
          <w:szCs w:val="22"/>
          <w:lang w:eastAsia="ko-KR"/>
        </w:rPr>
      </w:pPr>
      <w:r w:rsidRPr="0001502D">
        <w:rPr>
          <w:rFonts w:ascii="Arial" w:hAnsi="Arial" w:cs="Arial"/>
          <w:sz w:val="22"/>
          <w:szCs w:val="22"/>
          <w:u w:val="single"/>
          <w:lang w:eastAsia="ko-KR"/>
        </w:rPr>
        <w:t>Prend note</w:t>
      </w:r>
      <w:r w:rsidRPr="0001502D">
        <w:rPr>
          <w:rFonts w:ascii="Arial" w:hAnsi="Arial" w:cs="Arial"/>
          <w:sz w:val="22"/>
          <w:szCs w:val="22"/>
          <w:lang w:eastAsia="ko-KR"/>
        </w:rPr>
        <w:t xml:space="preserve"> que l</w:t>
      </w:r>
      <w:r w:rsidR="009C104E">
        <w:rPr>
          <w:rFonts w:ascii="Arial" w:hAnsi="Arial" w:cs="Arial"/>
          <w:sz w:val="22"/>
          <w:szCs w:val="22"/>
          <w:lang w:eastAsia="ko-KR"/>
        </w:rPr>
        <w:t>’</w:t>
      </w:r>
      <w:r w:rsidRPr="0001502D">
        <w:rPr>
          <w:rFonts w:ascii="Arial" w:hAnsi="Arial" w:cs="Arial"/>
          <w:sz w:val="22"/>
          <w:szCs w:val="22"/>
          <w:lang w:eastAsia="ko-KR"/>
        </w:rPr>
        <w:t xml:space="preserve">Italie a proposé la candidature de </w:t>
      </w:r>
      <w:r w:rsidRPr="0001502D">
        <w:rPr>
          <w:rFonts w:ascii="Arial" w:hAnsi="Arial" w:cs="Arial"/>
          <w:b/>
          <w:bCs/>
          <w:sz w:val="22"/>
          <w:szCs w:val="22"/>
          <w:lang w:eastAsia="ko-KR"/>
        </w:rPr>
        <w:t xml:space="preserve">la </w:t>
      </w:r>
      <w:r w:rsidR="00B732FB">
        <w:rPr>
          <w:rFonts w:ascii="Arial" w:hAnsi="Arial" w:cs="Arial"/>
          <w:b/>
          <w:bCs/>
          <w:sz w:val="22"/>
          <w:szCs w:val="22"/>
          <w:lang w:eastAsia="ko-KR"/>
        </w:rPr>
        <w:t>f</w:t>
      </w:r>
      <w:r w:rsidRPr="0001502D">
        <w:rPr>
          <w:rFonts w:ascii="Arial" w:hAnsi="Arial" w:cs="Arial"/>
          <w:b/>
          <w:bCs/>
          <w:sz w:val="22"/>
          <w:szCs w:val="22"/>
          <w:lang w:eastAsia="ko-KR"/>
        </w:rPr>
        <w:t xml:space="preserve">ête du </w:t>
      </w:r>
      <w:r w:rsidRPr="00B732FB">
        <w:rPr>
          <w:rFonts w:ascii="Arial" w:hAnsi="Arial" w:cs="Arial"/>
          <w:b/>
          <w:bCs/>
          <w:sz w:val="22"/>
          <w:szCs w:val="22"/>
          <w:lang w:eastAsia="ko-KR"/>
        </w:rPr>
        <w:t>pardon</w:t>
      </w:r>
      <w:r w:rsidRPr="00B932EA">
        <w:rPr>
          <w:rFonts w:ascii="Arial" w:hAnsi="Arial" w:cs="Arial"/>
          <w:b/>
          <w:sz w:val="22"/>
          <w:szCs w:val="22"/>
          <w:lang w:eastAsia="ko-KR"/>
        </w:rPr>
        <w:t xml:space="preserve"> </w:t>
      </w:r>
      <w:r w:rsidR="00B732FB" w:rsidRPr="00B932EA">
        <w:rPr>
          <w:rFonts w:ascii="Arial" w:hAnsi="Arial" w:cs="Arial"/>
          <w:b/>
          <w:sz w:val="22"/>
          <w:szCs w:val="22"/>
          <w:lang w:eastAsia="ko-KR"/>
        </w:rPr>
        <w:t>célestinien</w:t>
      </w:r>
      <w:r w:rsidR="00B732FB">
        <w:rPr>
          <w:rFonts w:ascii="Arial" w:hAnsi="Arial" w:cs="Arial"/>
          <w:sz w:val="22"/>
          <w:szCs w:val="22"/>
          <w:lang w:eastAsia="ko-KR"/>
        </w:rPr>
        <w:t xml:space="preserve"> </w:t>
      </w:r>
      <w:r w:rsidRPr="0001502D">
        <w:rPr>
          <w:rFonts w:ascii="Arial" w:hAnsi="Arial" w:cs="Arial"/>
          <w:sz w:val="22"/>
          <w:szCs w:val="22"/>
          <w:lang w:eastAsia="ko-KR"/>
        </w:rPr>
        <w:t>(n° 01276) pour inscription sur la Liste représentative du patrimoine culturel immatériel de l</w:t>
      </w:r>
      <w:r w:rsidR="009C104E">
        <w:rPr>
          <w:rFonts w:ascii="Arial" w:hAnsi="Arial" w:cs="Arial"/>
          <w:sz w:val="22"/>
          <w:szCs w:val="22"/>
          <w:lang w:eastAsia="ko-KR"/>
        </w:rPr>
        <w:t>’</w:t>
      </w:r>
      <w:r w:rsidRPr="0001502D">
        <w:rPr>
          <w:rFonts w:ascii="Arial" w:hAnsi="Arial" w:cs="Arial"/>
          <w:sz w:val="22"/>
          <w:szCs w:val="22"/>
          <w:lang w:eastAsia="ko-KR"/>
        </w:rPr>
        <w:t>humanité :</w:t>
      </w:r>
    </w:p>
    <w:p w14:paraId="2B7EEDDC" w14:textId="3D303C9D" w:rsidR="0001502D" w:rsidRPr="0001502D" w:rsidRDefault="0001502D" w:rsidP="007B23DE">
      <w:pPr>
        <w:tabs>
          <w:tab w:val="left" w:pos="567"/>
          <w:tab w:val="left" w:pos="1701"/>
          <w:tab w:val="left" w:pos="2268"/>
        </w:tabs>
        <w:spacing w:before="120" w:after="120"/>
        <w:ind w:left="567"/>
        <w:jc w:val="both"/>
        <w:rPr>
          <w:rFonts w:ascii="Arial" w:hAnsi="Arial" w:cs="Arial"/>
          <w:sz w:val="22"/>
          <w:szCs w:val="22"/>
        </w:rPr>
      </w:pPr>
      <w:r w:rsidRPr="0001502D">
        <w:rPr>
          <w:rFonts w:ascii="Arial" w:hAnsi="Arial" w:cs="Arial"/>
          <w:sz w:val="22"/>
          <w:szCs w:val="22"/>
        </w:rPr>
        <w:t xml:space="preserve">La </w:t>
      </w:r>
      <w:r w:rsidR="00B732FB">
        <w:rPr>
          <w:rFonts w:ascii="Arial" w:hAnsi="Arial" w:cs="Arial"/>
          <w:sz w:val="22"/>
          <w:szCs w:val="22"/>
        </w:rPr>
        <w:t>f</w:t>
      </w:r>
      <w:r w:rsidRPr="0001502D">
        <w:rPr>
          <w:rFonts w:ascii="Arial" w:hAnsi="Arial" w:cs="Arial"/>
          <w:sz w:val="22"/>
          <w:szCs w:val="22"/>
        </w:rPr>
        <w:t xml:space="preserve">ête du pardon </w:t>
      </w:r>
      <w:r w:rsidR="00B732FB">
        <w:rPr>
          <w:rFonts w:ascii="Arial" w:hAnsi="Arial" w:cs="Arial"/>
          <w:sz w:val="22"/>
          <w:szCs w:val="22"/>
        </w:rPr>
        <w:t xml:space="preserve">célestinien </w:t>
      </w:r>
      <w:r w:rsidRPr="0001502D">
        <w:rPr>
          <w:rFonts w:ascii="Arial" w:hAnsi="Arial" w:cs="Arial"/>
          <w:sz w:val="22"/>
          <w:szCs w:val="22"/>
        </w:rPr>
        <w:t>est inspirée d</w:t>
      </w:r>
      <w:r w:rsidR="009C104E">
        <w:rPr>
          <w:rFonts w:ascii="Arial" w:hAnsi="Arial" w:cs="Arial"/>
          <w:sz w:val="22"/>
          <w:szCs w:val="22"/>
        </w:rPr>
        <w:t>’</w:t>
      </w:r>
      <w:r w:rsidRPr="0001502D">
        <w:rPr>
          <w:rFonts w:ascii="Arial" w:hAnsi="Arial" w:cs="Arial"/>
          <w:sz w:val="22"/>
          <w:szCs w:val="22"/>
        </w:rPr>
        <w:t>une bulle pontificale historique émise par le Pape</w:t>
      </w:r>
      <w:r w:rsidRPr="0001502D">
        <w:t> </w:t>
      </w:r>
      <w:r w:rsidRPr="0001502D">
        <w:rPr>
          <w:rFonts w:ascii="Arial" w:hAnsi="Arial" w:cs="Arial"/>
          <w:sz w:val="22"/>
          <w:szCs w:val="22"/>
        </w:rPr>
        <w:t>Célestin V pour favoriser les partenariats au sein des populations locales. Ayant lieu dans la ville et la province de L</w:t>
      </w:r>
      <w:r w:rsidR="009C104E">
        <w:rPr>
          <w:rFonts w:ascii="Arial" w:hAnsi="Arial" w:cs="Arial"/>
          <w:sz w:val="22"/>
          <w:szCs w:val="22"/>
        </w:rPr>
        <w:t>’</w:t>
      </w:r>
      <w:r w:rsidRPr="0001502D">
        <w:rPr>
          <w:rFonts w:ascii="Arial" w:hAnsi="Arial" w:cs="Arial"/>
          <w:sz w:val="22"/>
          <w:szCs w:val="22"/>
        </w:rPr>
        <w:t>Aquila, cette tradition comprend un ensemble de rituels et de célébrations transmis sans interruption depuis 1294. Cette pratique véhicule un sentiment fort de continuité et d</w:t>
      </w:r>
      <w:r w:rsidR="009C104E">
        <w:rPr>
          <w:rFonts w:ascii="Arial" w:hAnsi="Arial" w:cs="Arial"/>
          <w:sz w:val="22"/>
          <w:szCs w:val="22"/>
        </w:rPr>
        <w:t>’</w:t>
      </w:r>
      <w:r w:rsidRPr="0001502D">
        <w:rPr>
          <w:rFonts w:ascii="Arial" w:hAnsi="Arial" w:cs="Arial"/>
          <w:sz w:val="22"/>
          <w:szCs w:val="22"/>
        </w:rPr>
        <w:t>identité culturelle pour toute la communauté. La Marche du pardon commence par l</w:t>
      </w:r>
      <w:r w:rsidR="009C104E">
        <w:rPr>
          <w:rFonts w:ascii="Arial" w:hAnsi="Arial" w:cs="Arial"/>
          <w:sz w:val="22"/>
          <w:szCs w:val="22"/>
        </w:rPr>
        <w:t>’</w:t>
      </w:r>
      <w:r w:rsidRPr="0001502D">
        <w:rPr>
          <w:rFonts w:ascii="Arial" w:hAnsi="Arial" w:cs="Arial"/>
          <w:sz w:val="22"/>
          <w:szCs w:val="22"/>
        </w:rPr>
        <w:t>allumage de la Flamme de Morrone, suivie d</w:t>
      </w:r>
      <w:r w:rsidR="009C104E">
        <w:rPr>
          <w:rFonts w:ascii="Arial" w:hAnsi="Arial" w:cs="Arial"/>
          <w:sz w:val="22"/>
          <w:szCs w:val="22"/>
        </w:rPr>
        <w:t>’</w:t>
      </w:r>
      <w:r w:rsidRPr="0001502D">
        <w:rPr>
          <w:rFonts w:ascii="Arial" w:hAnsi="Arial" w:cs="Arial"/>
          <w:sz w:val="22"/>
          <w:szCs w:val="22"/>
        </w:rPr>
        <w:t>une procession à la bougie. Cette procession suit un itinéraire traditionnel marqué par l</w:t>
      </w:r>
      <w:r w:rsidR="009C104E">
        <w:rPr>
          <w:rFonts w:ascii="Arial" w:hAnsi="Arial" w:cs="Arial"/>
          <w:sz w:val="22"/>
          <w:szCs w:val="22"/>
        </w:rPr>
        <w:t>’</w:t>
      </w:r>
      <w:r w:rsidRPr="0001502D">
        <w:rPr>
          <w:rFonts w:ascii="Arial" w:hAnsi="Arial" w:cs="Arial"/>
          <w:sz w:val="22"/>
          <w:szCs w:val="22"/>
        </w:rPr>
        <w:t>allumage de trépieds dans chacun des vingt-trois villages traversés et la signature par chaque maire d</w:t>
      </w:r>
      <w:r w:rsidR="009C104E">
        <w:rPr>
          <w:rFonts w:ascii="Arial" w:hAnsi="Arial" w:cs="Arial"/>
          <w:sz w:val="22"/>
          <w:szCs w:val="22"/>
        </w:rPr>
        <w:t>’</w:t>
      </w:r>
      <w:r w:rsidRPr="0001502D">
        <w:rPr>
          <w:rFonts w:ascii="Arial" w:hAnsi="Arial" w:cs="Arial"/>
          <w:sz w:val="22"/>
          <w:szCs w:val="22"/>
        </w:rPr>
        <w:t>un parchemin rappelant les valeurs symboliques de la Bulle. Le rassemblement de la communauté se termine le 23 août à L</w:t>
      </w:r>
      <w:r w:rsidR="009C104E">
        <w:rPr>
          <w:rFonts w:ascii="Arial" w:hAnsi="Arial" w:cs="Arial"/>
          <w:sz w:val="22"/>
          <w:szCs w:val="22"/>
        </w:rPr>
        <w:t>’</w:t>
      </w:r>
      <w:r w:rsidRPr="0001502D">
        <w:rPr>
          <w:rFonts w:ascii="Arial" w:hAnsi="Arial" w:cs="Arial"/>
          <w:sz w:val="22"/>
          <w:szCs w:val="22"/>
        </w:rPr>
        <w:t>Aquila, avec l</w:t>
      </w:r>
      <w:r w:rsidR="009C104E">
        <w:rPr>
          <w:rFonts w:ascii="Arial" w:hAnsi="Arial" w:cs="Arial"/>
          <w:sz w:val="22"/>
          <w:szCs w:val="22"/>
        </w:rPr>
        <w:t>’</w:t>
      </w:r>
      <w:r w:rsidRPr="0001502D">
        <w:rPr>
          <w:rFonts w:ascii="Arial" w:hAnsi="Arial" w:cs="Arial"/>
          <w:sz w:val="22"/>
          <w:szCs w:val="22"/>
        </w:rPr>
        <w:t>allumage du dernier trépied. Des tambours, des clairons et des porteurs de drapeaux animent et rythment le Défilé, auquel participent également mille citoyens en costumes traditionnels. Ils accompagnent les trois personnages principaux – la Dame à la bulle, le Jeune seigneur et la Dame à la croix – qui symbolisent les valeurs traditionnelles de la fête : hospitalité, solidarité et paix. Les significations et les pratiques traditionnelles associées à l</w:t>
      </w:r>
      <w:r w:rsidR="009C104E">
        <w:rPr>
          <w:rFonts w:ascii="Arial" w:hAnsi="Arial" w:cs="Arial"/>
          <w:sz w:val="22"/>
          <w:szCs w:val="22"/>
        </w:rPr>
        <w:t>’</w:t>
      </w:r>
      <w:r w:rsidRPr="0001502D">
        <w:rPr>
          <w:rFonts w:ascii="Arial" w:hAnsi="Arial" w:cs="Arial"/>
          <w:sz w:val="22"/>
          <w:szCs w:val="22"/>
        </w:rPr>
        <w:t>élément sont transmises à travers les contes racontés à la maison, dans les écoles, et dans les lieux de rassemblement de la communauté. Par ailleurs, la participation continue de la communauté à cette fête a assuré sa viabilité au fil du temps.</w:t>
      </w:r>
    </w:p>
    <w:p w14:paraId="3F77D362" w14:textId="2220FE6A" w:rsidR="0001502D" w:rsidRPr="0001502D" w:rsidRDefault="0001502D" w:rsidP="00771F30">
      <w:pPr>
        <w:keepNext/>
        <w:numPr>
          <w:ilvl w:val="1"/>
          <w:numId w:val="27"/>
        </w:numPr>
        <w:tabs>
          <w:tab w:val="left" w:pos="567"/>
          <w:tab w:val="left" w:pos="1701"/>
          <w:tab w:val="left" w:pos="2268"/>
        </w:tabs>
        <w:spacing w:before="120" w:after="120"/>
        <w:jc w:val="both"/>
        <w:rPr>
          <w:rFonts w:ascii="Arial" w:hAnsi="Arial" w:cs="Arial"/>
          <w:sz w:val="22"/>
          <w:szCs w:val="22"/>
          <w:lang w:eastAsia="ko-KR"/>
        </w:rPr>
      </w:pPr>
      <w:r w:rsidRPr="0001502D">
        <w:rPr>
          <w:rFonts w:ascii="Arial" w:hAnsi="Arial" w:cs="Arial"/>
          <w:sz w:val="22"/>
          <w:szCs w:val="22"/>
          <w:u w:val="single"/>
          <w:lang w:eastAsia="ko-KR"/>
        </w:rPr>
        <w:t>Estime</w:t>
      </w:r>
      <w:r w:rsidRPr="0001502D">
        <w:rPr>
          <w:rFonts w:ascii="Arial" w:hAnsi="Arial" w:cs="Arial"/>
          <w:sz w:val="22"/>
          <w:szCs w:val="22"/>
          <w:lang w:eastAsia="ko-KR"/>
        </w:rPr>
        <w:t xml:space="preserve"> que, d</w:t>
      </w:r>
      <w:r w:rsidR="009C104E">
        <w:rPr>
          <w:rFonts w:ascii="Arial" w:hAnsi="Arial" w:cs="Arial"/>
          <w:sz w:val="22"/>
          <w:szCs w:val="22"/>
          <w:lang w:eastAsia="ko-KR"/>
        </w:rPr>
        <w:t>’</w:t>
      </w:r>
      <w:r w:rsidRPr="0001502D">
        <w:rPr>
          <w:rFonts w:ascii="Arial" w:hAnsi="Arial" w:cs="Arial"/>
          <w:sz w:val="22"/>
          <w:szCs w:val="22"/>
          <w:lang w:eastAsia="ko-KR"/>
        </w:rPr>
        <w:t>après les informations contenues dans le dossier, la candidature satisfait aux critères d</w:t>
      </w:r>
      <w:r w:rsidR="009C104E">
        <w:rPr>
          <w:rFonts w:ascii="Arial" w:hAnsi="Arial" w:cs="Arial"/>
          <w:sz w:val="22"/>
          <w:szCs w:val="22"/>
          <w:lang w:eastAsia="ko-KR"/>
        </w:rPr>
        <w:t>’</w:t>
      </w:r>
      <w:r w:rsidRPr="0001502D">
        <w:rPr>
          <w:rFonts w:ascii="Arial" w:hAnsi="Arial" w:cs="Arial"/>
          <w:sz w:val="22"/>
          <w:szCs w:val="22"/>
          <w:lang w:eastAsia="ko-KR"/>
        </w:rPr>
        <w:t>inscription sur la Liste représentative du patrimoine culturel immatériel de l</w:t>
      </w:r>
      <w:r w:rsidR="009C104E">
        <w:rPr>
          <w:rFonts w:ascii="Arial" w:hAnsi="Arial" w:cs="Arial"/>
          <w:sz w:val="22"/>
          <w:szCs w:val="22"/>
          <w:lang w:eastAsia="ko-KR"/>
        </w:rPr>
        <w:t>’</w:t>
      </w:r>
      <w:r w:rsidRPr="0001502D">
        <w:rPr>
          <w:rFonts w:ascii="Arial" w:hAnsi="Arial" w:cs="Arial"/>
          <w:sz w:val="22"/>
          <w:szCs w:val="22"/>
          <w:lang w:eastAsia="ko-KR"/>
        </w:rPr>
        <w:t>humanité comme suit :</w:t>
      </w:r>
    </w:p>
    <w:p w14:paraId="72F534DC" w14:textId="492C5AE8" w:rsidR="0001502D" w:rsidRPr="0001502D" w:rsidRDefault="0001502D" w:rsidP="007B23DE">
      <w:pPr>
        <w:tabs>
          <w:tab w:val="left" w:pos="1134"/>
          <w:tab w:val="left" w:pos="2268"/>
        </w:tabs>
        <w:spacing w:before="120" w:after="120"/>
        <w:ind w:left="1134" w:hanging="555"/>
        <w:jc w:val="both"/>
        <w:rPr>
          <w:rFonts w:ascii="Arial" w:hAnsi="Arial" w:cs="Arial"/>
          <w:sz w:val="22"/>
          <w:szCs w:val="22"/>
        </w:rPr>
      </w:pPr>
      <w:r w:rsidRPr="0001502D">
        <w:rPr>
          <w:rFonts w:ascii="Arial" w:hAnsi="Arial" w:cs="Arial"/>
          <w:sz w:val="22"/>
          <w:szCs w:val="22"/>
        </w:rPr>
        <w:t xml:space="preserve">R.1 : </w:t>
      </w:r>
      <w:r w:rsidRPr="0001502D">
        <w:rPr>
          <w:rFonts w:ascii="Arial" w:hAnsi="Arial" w:cs="Arial"/>
          <w:sz w:val="22"/>
          <w:szCs w:val="22"/>
        </w:rPr>
        <w:tab/>
        <w:t xml:space="preserve">La </w:t>
      </w:r>
      <w:r w:rsidR="00B732FB">
        <w:rPr>
          <w:rFonts w:ascii="Arial" w:hAnsi="Arial" w:cs="Arial"/>
          <w:sz w:val="22"/>
          <w:szCs w:val="22"/>
        </w:rPr>
        <w:t>f</w:t>
      </w:r>
      <w:r w:rsidRPr="0001502D">
        <w:rPr>
          <w:rFonts w:ascii="Arial" w:hAnsi="Arial" w:cs="Arial"/>
          <w:sz w:val="22"/>
          <w:szCs w:val="22"/>
        </w:rPr>
        <w:t xml:space="preserve">ête du pardon </w:t>
      </w:r>
      <w:r w:rsidR="00B732FB">
        <w:rPr>
          <w:rFonts w:ascii="Arial" w:hAnsi="Arial" w:cs="Arial"/>
          <w:sz w:val="22"/>
          <w:szCs w:val="22"/>
        </w:rPr>
        <w:t xml:space="preserve">célestinien </w:t>
      </w:r>
      <w:r w:rsidRPr="0001502D">
        <w:rPr>
          <w:rFonts w:ascii="Arial" w:hAnsi="Arial" w:cs="Arial"/>
          <w:sz w:val="22"/>
          <w:szCs w:val="22"/>
        </w:rPr>
        <w:t>est un symbole de réconciliation, de cohésion sociale et d</w:t>
      </w:r>
      <w:r w:rsidR="009C104E">
        <w:rPr>
          <w:rFonts w:ascii="Arial" w:hAnsi="Arial" w:cs="Arial"/>
          <w:sz w:val="22"/>
          <w:szCs w:val="22"/>
        </w:rPr>
        <w:t>’</w:t>
      </w:r>
      <w:r w:rsidRPr="0001502D">
        <w:rPr>
          <w:rFonts w:ascii="Arial" w:hAnsi="Arial" w:cs="Arial"/>
          <w:sz w:val="22"/>
          <w:szCs w:val="22"/>
        </w:rPr>
        <w:t>intégration. Elle traduit une volonté de pardon entre les communautés locales, faisant ainsi la promotion de valeurs telles que le partage, l</w:t>
      </w:r>
      <w:r w:rsidR="009C104E">
        <w:rPr>
          <w:rFonts w:ascii="Arial" w:hAnsi="Arial" w:cs="Arial"/>
          <w:sz w:val="22"/>
          <w:szCs w:val="22"/>
        </w:rPr>
        <w:t>’</w:t>
      </w:r>
      <w:r w:rsidRPr="0001502D">
        <w:rPr>
          <w:rFonts w:ascii="Arial" w:hAnsi="Arial" w:cs="Arial"/>
          <w:sz w:val="22"/>
          <w:szCs w:val="22"/>
        </w:rPr>
        <w:t>hospitalité et la fraternité. En outre, elle renforce la communication et les relations intergénérationnelles en créant de forts liens émotionnels et culturels.</w:t>
      </w:r>
    </w:p>
    <w:p w14:paraId="43F9C918" w14:textId="6846E234" w:rsidR="0001502D" w:rsidRPr="0001502D" w:rsidRDefault="0001502D" w:rsidP="007B23DE">
      <w:pPr>
        <w:tabs>
          <w:tab w:val="left" w:pos="1134"/>
          <w:tab w:val="left" w:pos="2268"/>
        </w:tabs>
        <w:spacing w:before="120" w:after="120"/>
        <w:ind w:left="1134" w:hanging="555"/>
        <w:jc w:val="both"/>
        <w:rPr>
          <w:rFonts w:ascii="Arial" w:hAnsi="Arial" w:cs="Arial"/>
          <w:sz w:val="22"/>
          <w:szCs w:val="22"/>
        </w:rPr>
      </w:pPr>
      <w:r w:rsidRPr="0001502D">
        <w:rPr>
          <w:rFonts w:ascii="Arial" w:hAnsi="Arial" w:cs="Arial"/>
          <w:sz w:val="22"/>
          <w:szCs w:val="22"/>
        </w:rPr>
        <w:t xml:space="preserve">R.2 : </w:t>
      </w:r>
      <w:r w:rsidRPr="0001502D">
        <w:rPr>
          <w:rFonts w:ascii="Arial" w:hAnsi="Arial" w:cs="Arial"/>
          <w:sz w:val="22"/>
          <w:szCs w:val="22"/>
        </w:rPr>
        <w:tab/>
        <w:t>Parce qu</w:t>
      </w:r>
      <w:r w:rsidR="009C104E">
        <w:rPr>
          <w:rFonts w:ascii="Arial" w:hAnsi="Arial" w:cs="Arial"/>
          <w:sz w:val="22"/>
          <w:szCs w:val="22"/>
        </w:rPr>
        <w:t>’</w:t>
      </w:r>
      <w:r w:rsidRPr="0001502D">
        <w:rPr>
          <w:rFonts w:ascii="Arial" w:hAnsi="Arial" w:cs="Arial"/>
          <w:sz w:val="22"/>
          <w:szCs w:val="22"/>
        </w:rPr>
        <w:t>il s</w:t>
      </w:r>
      <w:r w:rsidR="009C104E">
        <w:rPr>
          <w:rFonts w:ascii="Arial" w:hAnsi="Arial" w:cs="Arial"/>
          <w:sz w:val="22"/>
          <w:szCs w:val="22"/>
        </w:rPr>
        <w:t>’</w:t>
      </w:r>
      <w:r w:rsidRPr="0001502D">
        <w:rPr>
          <w:rFonts w:ascii="Arial" w:hAnsi="Arial" w:cs="Arial"/>
          <w:sz w:val="22"/>
          <w:szCs w:val="22"/>
        </w:rPr>
        <w:t>agit d</w:t>
      </w:r>
      <w:r w:rsidR="009C104E">
        <w:rPr>
          <w:rFonts w:ascii="Arial" w:hAnsi="Arial" w:cs="Arial"/>
          <w:sz w:val="22"/>
          <w:szCs w:val="22"/>
        </w:rPr>
        <w:t>’</w:t>
      </w:r>
      <w:r w:rsidRPr="0001502D">
        <w:rPr>
          <w:rFonts w:ascii="Arial" w:hAnsi="Arial" w:cs="Arial"/>
          <w:sz w:val="22"/>
          <w:szCs w:val="22"/>
        </w:rPr>
        <w:t>un élément capable de mobiliser une communauté d</w:t>
      </w:r>
      <w:r w:rsidR="009C104E">
        <w:rPr>
          <w:rFonts w:ascii="Arial" w:hAnsi="Arial" w:cs="Arial"/>
          <w:sz w:val="22"/>
          <w:szCs w:val="22"/>
        </w:rPr>
        <w:t>’</w:t>
      </w:r>
      <w:r w:rsidRPr="0001502D">
        <w:rPr>
          <w:rFonts w:ascii="Arial" w:hAnsi="Arial" w:cs="Arial"/>
          <w:sz w:val="22"/>
          <w:szCs w:val="22"/>
        </w:rPr>
        <w:t>hommes et de femmes de tous âges et de toutes origines autour d</w:t>
      </w:r>
      <w:r w:rsidR="009C104E">
        <w:rPr>
          <w:rFonts w:ascii="Arial" w:hAnsi="Arial" w:cs="Arial"/>
          <w:sz w:val="22"/>
          <w:szCs w:val="22"/>
        </w:rPr>
        <w:t>’</w:t>
      </w:r>
      <w:r w:rsidRPr="0001502D">
        <w:rPr>
          <w:rFonts w:ascii="Arial" w:hAnsi="Arial" w:cs="Arial"/>
          <w:sz w:val="22"/>
          <w:szCs w:val="22"/>
        </w:rPr>
        <w:t>une même vision de la cohésion sociale, l</w:t>
      </w:r>
      <w:r w:rsidR="009C104E">
        <w:rPr>
          <w:rFonts w:ascii="Arial" w:hAnsi="Arial" w:cs="Arial"/>
          <w:sz w:val="22"/>
          <w:szCs w:val="22"/>
        </w:rPr>
        <w:t>’</w:t>
      </w:r>
      <w:r w:rsidRPr="0001502D">
        <w:rPr>
          <w:rFonts w:ascii="Arial" w:hAnsi="Arial" w:cs="Arial"/>
          <w:sz w:val="22"/>
          <w:szCs w:val="22"/>
        </w:rPr>
        <w:t xml:space="preserve">inscription de la </w:t>
      </w:r>
      <w:r w:rsidR="00B732FB">
        <w:rPr>
          <w:rFonts w:ascii="Arial" w:hAnsi="Arial" w:cs="Arial"/>
          <w:sz w:val="22"/>
          <w:szCs w:val="22"/>
        </w:rPr>
        <w:t>f</w:t>
      </w:r>
      <w:r w:rsidRPr="0001502D">
        <w:rPr>
          <w:rFonts w:ascii="Arial" w:hAnsi="Arial" w:cs="Arial"/>
          <w:sz w:val="22"/>
          <w:szCs w:val="22"/>
        </w:rPr>
        <w:t xml:space="preserve">ête du pardon </w:t>
      </w:r>
      <w:r w:rsidR="00B732FB">
        <w:rPr>
          <w:rFonts w:ascii="Arial" w:hAnsi="Arial" w:cs="Arial"/>
          <w:sz w:val="22"/>
          <w:szCs w:val="22"/>
        </w:rPr>
        <w:t>célestinien</w:t>
      </w:r>
      <w:r w:rsidR="00B732FB" w:rsidRPr="0001502D">
        <w:rPr>
          <w:rFonts w:ascii="Arial" w:hAnsi="Arial" w:cs="Arial"/>
          <w:sz w:val="22"/>
          <w:szCs w:val="22"/>
        </w:rPr>
        <w:t xml:space="preserve"> </w:t>
      </w:r>
      <w:r w:rsidRPr="0001502D">
        <w:rPr>
          <w:rFonts w:ascii="Arial" w:hAnsi="Arial" w:cs="Arial"/>
          <w:sz w:val="22"/>
          <w:szCs w:val="22"/>
        </w:rPr>
        <w:t>contribuerait à la visibilité du patrimoine culturel immatériel. Elle favoriserait également la diversité culturelle en impliquant des communautés d</w:t>
      </w:r>
      <w:r w:rsidR="009C104E">
        <w:rPr>
          <w:rFonts w:ascii="Arial" w:hAnsi="Arial" w:cs="Arial"/>
          <w:sz w:val="22"/>
          <w:szCs w:val="22"/>
        </w:rPr>
        <w:t>’</w:t>
      </w:r>
      <w:r w:rsidRPr="0001502D">
        <w:rPr>
          <w:rFonts w:ascii="Arial" w:hAnsi="Arial" w:cs="Arial"/>
          <w:sz w:val="22"/>
          <w:szCs w:val="22"/>
        </w:rPr>
        <w:t>immigrants, et stimulerait la créativité humaine en incluant différents types d</w:t>
      </w:r>
      <w:r w:rsidR="009C104E">
        <w:rPr>
          <w:rFonts w:ascii="Arial" w:hAnsi="Arial" w:cs="Arial"/>
          <w:sz w:val="22"/>
          <w:szCs w:val="22"/>
        </w:rPr>
        <w:t>’</w:t>
      </w:r>
      <w:r w:rsidRPr="0001502D">
        <w:rPr>
          <w:rFonts w:ascii="Arial" w:hAnsi="Arial" w:cs="Arial"/>
          <w:sz w:val="22"/>
          <w:szCs w:val="22"/>
        </w:rPr>
        <w:t>expressions artistiques.</w:t>
      </w:r>
    </w:p>
    <w:p w14:paraId="60A46A38" w14:textId="5744FDCA" w:rsidR="0001502D" w:rsidRPr="0001502D" w:rsidRDefault="0001502D" w:rsidP="007B23DE">
      <w:pPr>
        <w:tabs>
          <w:tab w:val="left" w:pos="1134"/>
          <w:tab w:val="left" w:pos="2268"/>
        </w:tabs>
        <w:spacing w:before="120" w:after="120"/>
        <w:ind w:left="1134" w:hanging="555"/>
        <w:jc w:val="both"/>
        <w:rPr>
          <w:rFonts w:ascii="Arial" w:hAnsi="Arial" w:cs="Arial"/>
          <w:sz w:val="22"/>
          <w:szCs w:val="22"/>
        </w:rPr>
      </w:pPr>
      <w:r w:rsidRPr="0001502D">
        <w:rPr>
          <w:rFonts w:ascii="Arial" w:hAnsi="Arial" w:cs="Arial"/>
          <w:sz w:val="22"/>
          <w:szCs w:val="22"/>
        </w:rPr>
        <w:t xml:space="preserve">R.3 : </w:t>
      </w:r>
      <w:r w:rsidRPr="0001502D">
        <w:rPr>
          <w:rFonts w:ascii="Arial" w:hAnsi="Arial" w:cs="Arial"/>
          <w:sz w:val="22"/>
          <w:szCs w:val="22"/>
        </w:rPr>
        <w:tab/>
        <w:t xml:space="preserve">Les mesures de sauvegarde proposées pour la </w:t>
      </w:r>
      <w:r w:rsidR="00B732FB">
        <w:rPr>
          <w:rFonts w:ascii="Arial" w:hAnsi="Arial" w:cs="Arial"/>
          <w:sz w:val="22"/>
          <w:szCs w:val="22"/>
        </w:rPr>
        <w:t>f</w:t>
      </w:r>
      <w:r w:rsidRPr="0001502D">
        <w:rPr>
          <w:rFonts w:ascii="Arial" w:hAnsi="Arial" w:cs="Arial"/>
          <w:sz w:val="22"/>
          <w:szCs w:val="22"/>
        </w:rPr>
        <w:t xml:space="preserve">ête du pardon </w:t>
      </w:r>
      <w:r w:rsidR="00B732FB">
        <w:rPr>
          <w:rFonts w:ascii="Arial" w:hAnsi="Arial" w:cs="Arial"/>
          <w:sz w:val="22"/>
          <w:szCs w:val="22"/>
        </w:rPr>
        <w:t>célestinien</w:t>
      </w:r>
      <w:r w:rsidR="00B732FB" w:rsidRPr="0001502D">
        <w:rPr>
          <w:rFonts w:ascii="Arial" w:hAnsi="Arial" w:cs="Arial"/>
          <w:sz w:val="22"/>
          <w:szCs w:val="22"/>
        </w:rPr>
        <w:t xml:space="preserve"> </w:t>
      </w:r>
      <w:r w:rsidRPr="0001502D">
        <w:rPr>
          <w:rFonts w:ascii="Arial" w:hAnsi="Arial" w:cs="Arial"/>
          <w:sz w:val="22"/>
          <w:szCs w:val="22"/>
        </w:rPr>
        <w:t>ont été bien formulées en concertation avec les communautés concernées, qui ont joué un rôle central dans leur conception et participeront également à leur mise en œuvre. La plupart de ces mesures visent à promouvoir les fonctions sociales et les significations culturelles de l</w:t>
      </w:r>
      <w:r w:rsidR="009C104E">
        <w:rPr>
          <w:rFonts w:ascii="Arial" w:hAnsi="Arial" w:cs="Arial"/>
          <w:sz w:val="22"/>
          <w:szCs w:val="22"/>
        </w:rPr>
        <w:t>’</w:t>
      </w:r>
      <w:r w:rsidRPr="0001502D">
        <w:rPr>
          <w:rFonts w:ascii="Arial" w:hAnsi="Arial" w:cs="Arial"/>
          <w:sz w:val="22"/>
          <w:szCs w:val="22"/>
        </w:rPr>
        <w:t>élément. Elles sont axées sur la recherche, la documentation, la transmission et la promotion par le biais d</w:t>
      </w:r>
      <w:r w:rsidR="009C104E">
        <w:rPr>
          <w:rFonts w:ascii="Arial" w:hAnsi="Arial" w:cs="Arial"/>
          <w:sz w:val="22"/>
          <w:szCs w:val="22"/>
        </w:rPr>
        <w:t>’</w:t>
      </w:r>
      <w:r w:rsidRPr="0001502D">
        <w:rPr>
          <w:rFonts w:ascii="Arial" w:hAnsi="Arial" w:cs="Arial"/>
          <w:sz w:val="22"/>
          <w:szCs w:val="22"/>
        </w:rPr>
        <w:t>une page web et d</w:t>
      </w:r>
      <w:r w:rsidR="009C104E">
        <w:rPr>
          <w:rFonts w:ascii="Arial" w:hAnsi="Arial" w:cs="Arial"/>
          <w:sz w:val="22"/>
          <w:szCs w:val="22"/>
        </w:rPr>
        <w:t>’</w:t>
      </w:r>
      <w:r w:rsidRPr="0001502D">
        <w:rPr>
          <w:rFonts w:ascii="Arial" w:hAnsi="Arial" w:cs="Arial"/>
          <w:sz w:val="22"/>
          <w:szCs w:val="22"/>
        </w:rPr>
        <w:t>une application. La municipalité et le gouvernement apportent un soutien financier à la pratique et participent aux initiatives de documentation et de sauvegarde.</w:t>
      </w:r>
    </w:p>
    <w:p w14:paraId="1E8BD1A5" w14:textId="1A893623" w:rsidR="0001502D" w:rsidRPr="0001502D" w:rsidRDefault="0001502D" w:rsidP="007B23DE">
      <w:pPr>
        <w:tabs>
          <w:tab w:val="left" w:pos="1134"/>
          <w:tab w:val="left" w:pos="2268"/>
        </w:tabs>
        <w:spacing w:before="120" w:after="120"/>
        <w:ind w:left="1134" w:hanging="555"/>
        <w:jc w:val="both"/>
        <w:rPr>
          <w:rFonts w:ascii="Arial" w:hAnsi="Arial" w:cs="Arial"/>
          <w:sz w:val="22"/>
          <w:szCs w:val="22"/>
        </w:rPr>
      </w:pPr>
      <w:r w:rsidRPr="0001502D">
        <w:rPr>
          <w:rFonts w:ascii="Arial" w:hAnsi="Arial" w:cs="Arial"/>
          <w:sz w:val="22"/>
          <w:szCs w:val="22"/>
        </w:rPr>
        <w:t xml:space="preserve">R.4 : </w:t>
      </w:r>
      <w:r w:rsidRPr="0001502D">
        <w:rPr>
          <w:rFonts w:ascii="Arial" w:hAnsi="Arial" w:cs="Arial"/>
          <w:sz w:val="22"/>
          <w:szCs w:val="22"/>
        </w:rPr>
        <w:tab/>
        <w:t>En 2009, le Comité du pardon, en tant que communauté représentative, a lancé une consultation au niveau local dans le but de soumettre la candidature de l</w:t>
      </w:r>
      <w:r w:rsidR="009C104E">
        <w:rPr>
          <w:rFonts w:ascii="Arial" w:hAnsi="Arial" w:cs="Arial"/>
          <w:sz w:val="22"/>
          <w:szCs w:val="22"/>
        </w:rPr>
        <w:t>’</w:t>
      </w:r>
      <w:r w:rsidRPr="0001502D">
        <w:rPr>
          <w:rFonts w:ascii="Arial" w:hAnsi="Arial" w:cs="Arial"/>
          <w:sz w:val="22"/>
          <w:szCs w:val="22"/>
        </w:rPr>
        <w:t>élément. Au cours du processus de candidature, la communauté et différentes parties prenantes ont suivi les procédures en matière de consultation et de collaboration. Celles-ci ont contribué à sensibiliser à l</w:t>
      </w:r>
      <w:r w:rsidR="009C104E">
        <w:rPr>
          <w:rFonts w:ascii="Arial" w:hAnsi="Arial" w:cs="Arial"/>
          <w:sz w:val="22"/>
          <w:szCs w:val="22"/>
        </w:rPr>
        <w:t>’</w:t>
      </w:r>
      <w:r w:rsidRPr="0001502D">
        <w:rPr>
          <w:rFonts w:ascii="Arial" w:hAnsi="Arial" w:cs="Arial"/>
          <w:sz w:val="22"/>
          <w:szCs w:val="22"/>
        </w:rPr>
        <w:t xml:space="preserve">importance de la </w:t>
      </w:r>
      <w:r w:rsidR="00B732FB">
        <w:rPr>
          <w:rFonts w:ascii="Arial" w:hAnsi="Arial" w:cs="Arial"/>
          <w:sz w:val="22"/>
          <w:szCs w:val="22"/>
        </w:rPr>
        <w:t>f</w:t>
      </w:r>
      <w:r w:rsidRPr="0001502D">
        <w:rPr>
          <w:rFonts w:ascii="Arial" w:hAnsi="Arial" w:cs="Arial"/>
          <w:sz w:val="22"/>
          <w:szCs w:val="22"/>
        </w:rPr>
        <w:t xml:space="preserve">ête du pardon </w:t>
      </w:r>
      <w:r w:rsidR="00B732FB">
        <w:rPr>
          <w:rFonts w:ascii="Arial" w:hAnsi="Arial" w:cs="Arial"/>
          <w:sz w:val="22"/>
          <w:szCs w:val="22"/>
        </w:rPr>
        <w:t>célestinien</w:t>
      </w:r>
      <w:r w:rsidR="00B732FB" w:rsidRPr="0001502D">
        <w:rPr>
          <w:rFonts w:ascii="Arial" w:hAnsi="Arial" w:cs="Arial"/>
          <w:sz w:val="22"/>
          <w:szCs w:val="22"/>
        </w:rPr>
        <w:t xml:space="preserve"> </w:t>
      </w:r>
      <w:r w:rsidRPr="0001502D">
        <w:rPr>
          <w:rFonts w:ascii="Arial" w:hAnsi="Arial" w:cs="Arial"/>
          <w:sz w:val="22"/>
          <w:szCs w:val="22"/>
        </w:rPr>
        <w:t>en tant qu</w:t>
      </w:r>
      <w:r w:rsidR="009C104E">
        <w:rPr>
          <w:rFonts w:ascii="Arial" w:hAnsi="Arial" w:cs="Arial"/>
          <w:sz w:val="22"/>
          <w:szCs w:val="22"/>
        </w:rPr>
        <w:t>’</w:t>
      </w:r>
      <w:r w:rsidRPr="0001502D">
        <w:rPr>
          <w:rFonts w:ascii="Arial" w:hAnsi="Arial" w:cs="Arial"/>
          <w:sz w:val="22"/>
          <w:szCs w:val="22"/>
        </w:rPr>
        <w:t>élément du patrimoine culturel immatériel et à sa sauvegarde durable pour tout le tissu social concerné.</w:t>
      </w:r>
    </w:p>
    <w:p w14:paraId="74F65E9C" w14:textId="387F065E" w:rsidR="0001502D" w:rsidRPr="0001502D" w:rsidRDefault="0001502D" w:rsidP="007B23DE">
      <w:pPr>
        <w:tabs>
          <w:tab w:val="left" w:pos="1134"/>
          <w:tab w:val="left" w:pos="2268"/>
        </w:tabs>
        <w:spacing w:before="120" w:after="120"/>
        <w:ind w:left="1134" w:hanging="555"/>
        <w:jc w:val="both"/>
        <w:rPr>
          <w:rFonts w:ascii="Arial" w:hAnsi="Arial" w:cs="Arial"/>
          <w:sz w:val="22"/>
          <w:szCs w:val="22"/>
        </w:rPr>
      </w:pPr>
      <w:r w:rsidRPr="0001502D">
        <w:rPr>
          <w:rFonts w:ascii="Arial" w:hAnsi="Arial" w:cs="Arial"/>
          <w:sz w:val="22"/>
          <w:szCs w:val="22"/>
        </w:rPr>
        <w:t xml:space="preserve">R.5 : </w:t>
      </w:r>
      <w:r w:rsidRPr="0001502D">
        <w:rPr>
          <w:rFonts w:ascii="Arial" w:hAnsi="Arial" w:cs="Arial"/>
          <w:sz w:val="22"/>
          <w:szCs w:val="22"/>
        </w:rPr>
        <w:tab/>
        <w:t>L</w:t>
      </w:r>
      <w:r w:rsidR="009C104E">
        <w:rPr>
          <w:rFonts w:ascii="Arial" w:hAnsi="Arial" w:cs="Arial"/>
          <w:sz w:val="22"/>
          <w:szCs w:val="22"/>
        </w:rPr>
        <w:t>’</w:t>
      </w:r>
      <w:r w:rsidRPr="0001502D">
        <w:rPr>
          <w:rFonts w:ascii="Arial" w:hAnsi="Arial" w:cs="Arial"/>
          <w:sz w:val="22"/>
          <w:szCs w:val="22"/>
        </w:rPr>
        <w:t>élément a été inclus dans l</w:t>
      </w:r>
      <w:r w:rsidR="009C104E">
        <w:rPr>
          <w:rFonts w:ascii="Arial" w:hAnsi="Arial" w:cs="Arial"/>
          <w:sz w:val="22"/>
          <w:szCs w:val="22"/>
        </w:rPr>
        <w:t>’</w:t>
      </w:r>
      <w:r w:rsidRPr="0001502D">
        <w:rPr>
          <w:rFonts w:ascii="Arial" w:hAnsi="Arial" w:cs="Arial"/>
          <w:sz w:val="22"/>
          <w:szCs w:val="22"/>
        </w:rPr>
        <w:t>Inventaire national du patrimoine culturel immatériel / Convention de l</w:t>
      </w:r>
      <w:r w:rsidR="009C104E">
        <w:rPr>
          <w:rFonts w:ascii="Arial" w:hAnsi="Arial" w:cs="Arial"/>
          <w:sz w:val="22"/>
          <w:szCs w:val="22"/>
        </w:rPr>
        <w:t>’</w:t>
      </w:r>
      <w:r w:rsidRPr="0001502D">
        <w:rPr>
          <w:rFonts w:ascii="Arial" w:hAnsi="Arial" w:cs="Arial"/>
          <w:sz w:val="22"/>
          <w:szCs w:val="22"/>
        </w:rPr>
        <w:t>UNESCO de 2003 en mars 2018. L</w:t>
      </w:r>
      <w:r w:rsidR="009C104E">
        <w:rPr>
          <w:rFonts w:ascii="Arial" w:hAnsi="Arial" w:cs="Arial"/>
          <w:sz w:val="22"/>
          <w:szCs w:val="22"/>
        </w:rPr>
        <w:t>’</w:t>
      </w:r>
      <w:r w:rsidRPr="0001502D">
        <w:rPr>
          <w:rFonts w:ascii="Arial" w:hAnsi="Arial" w:cs="Arial"/>
          <w:sz w:val="22"/>
          <w:szCs w:val="22"/>
        </w:rPr>
        <w:t>Institut central pour l</w:t>
      </w:r>
      <w:r w:rsidR="009C104E">
        <w:rPr>
          <w:rFonts w:ascii="Arial" w:hAnsi="Arial" w:cs="Arial"/>
          <w:sz w:val="22"/>
          <w:szCs w:val="22"/>
        </w:rPr>
        <w:t>’</w:t>
      </w:r>
      <w:r w:rsidRPr="0001502D">
        <w:rPr>
          <w:rFonts w:ascii="Arial" w:hAnsi="Arial" w:cs="Arial"/>
          <w:sz w:val="22"/>
          <w:szCs w:val="22"/>
        </w:rPr>
        <w:t>indexation et la documentation, dépendant du Ministère des biens et activités culturelles et du tourisme, est l</w:t>
      </w:r>
      <w:r w:rsidR="009C104E">
        <w:rPr>
          <w:rFonts w:ascii="Arial" w:hAnsi="Arial" w:cs="Arial"/>
          <w:sz w:val="22"/>
          <w:szCs w:val="22"/>
        </w:rPr>
        <w:t>’</w:t>
      </w:r>
      <w:r w:rsidRPr="0001502D">
        <w:rPr>
          <w:rFonts w:ascii="Arial" w:hAnsi="Arial" w:cs="Arial"/>
          <w:sz w:val="22"/>
          <w:szCs w:val="22"/>
        </w:rPr>
        <w:t>organisme responsable de la gestion et de la mise à jour de l</w:t>
      </w:r>
      <w:r w:rsidR="009C104E">
        <w:rPr>
          <w:rFonts w:ascii="Arial" w:hAnsi="Arial" w:cs="Arial"/>
          <w:sz w:val="22"/>
          <w:szCs w:val="22"/>
        </w:rPr>
        <w:t>’</w:t>
      </w:r>
      <w:r w:rsidRPr="0001502D">
        <w:rPr>
          <w:rFonts w:ascii="Arial" w:hAnsi="Arial" w:cs="Arial"/>
          <w:sz w:val="22"/>
          <w:szCs w:val="22"/>
        </w:rPr>
        <w:t>inventaire.</w:t>
      </w:r>
    </w:p>
    <w:p w14:paraId="2A98854D" w14:textId="0BCD238C" w:rsidR="0001502D" w:rsidRPr="0001502D" w:rsidRDefault="0001502D" w:rsidP="00771F30">
      <w:pPr>
        <w:numPr>
          <w:ilvl w:val="1"/>
          <w:numId w:val="27"/>
        </w:numPr>
        <w:tabs>
          <w:tab w:val="left" w:pos="567"/>
          <w:tab w:val="left" w:pos="1701"/>
          <w:tab w:val="left" w:pos="2268"/>
        </w:tabs>
        <w:spacing w:before="120" w:after="120"/>
        <w:jc w:val="both"/>
        <w:rPr>
          <w:rFonts w:ascii="Arial" w:hAnsi="Arial" w:cs="Arial"/>
          <w:sz w:val="22"/>
          <w:szCs w:val="22"/>
          <w:lang w:eastAsia="ko-KR"/>
        </w:rPr>
      </w:pPr>
      <w:r w:rsidRPr="0001502D">
        <w:rPr>
          <w:rFonts w:ascii="Arial" w:hAnsi="Arial" w:cs="Arial"/>
          <w:sz w:val="22"/>
          <w:szCs w:val="22"/>
          <w:u w:val="single"/>
          <w:lang w:eastAsia="ko-KR"/>
        </w:rPr>
        <w:t>Décide d</w:t>
      </w:r>
      <w:r w:rsidR="009C104E">
        <w:rPr>
          <w:rFonts w:ascii="Arial" w:hAnsi="Arial" w:cs="Arial"/>
          <w:sz w:val="22"/>
          <w:szCs w:val="22"/>
          <w:u w:val="single"/>
          <w:lang w:eastAsia="ko-KR"/>
        </w:rPr>
        <w:t>’</w:t>
      </w:r>
      <w:r w:rsidRPr="0001502D">
        <w:rPr>
          <w:rFonts w:ascii="Arial" w:hAnsi="Arial" w:cs="Arial"/>
          <w:sz w:val="22"/>
          <w:szCs w:val="22"/>
          <w:u w:val="single"/>
          <w:lang w:eastAsia="ko-KR"/>
        </w:rPr>
        <w:t>inscrire</w:t>
      </w:r>
      <w:r w:rsidRPr="0001502D">
        <w:rPr>
          <w:rFonts w:ascii="Arial" w:hAnsi="Arial" w:cs="Arial"/>
          <w:sz w:val="22"/>
          <w:szCs w:val="22"/>
          <w:lang w:eastAsia="ko-KR"/>
        </w:rPr>
        <w:t xml:space="preserve"> </w:t>
      </w:r>
      <w:r w:rsidRPr="0001502D">
        <w:rPr>
          <w:rFonts w:ascii="Arial" w:hAnsi="Arial" w:cs="Arial"/>
          <w:b/>
          <w:bCs/>
          <w:sz w:val="22"/>
          <w:szCs w:val="22"/>
          <w:lang w:eastAsia="ko-KR"/>
        </w:rPr>
        <w:t xml:space="preserve">la </w:t>
      </w:r>
      <w:r w:rsidR="00B732FB">
        <w:rPr>
          <w:rFonts w:ascii="Arial" w:hAnsi="Arial" w:cs="Arial"/>
          <w:b/>
          <w:bCs/>
          <w:sz w:val="22"/>
          <w:szCs w:val="22"/>
          <w:lang w:eastAsia="ko-KR"/>
        </w:rPr>
        <w:t>f</w:t>
      </w:r>
      <w:r w:rsidRPr="0001502D">
        <w:rPr>
          <w:rFonts w:ascii="Arial" w:hAnsi="Arial" w:cs="Arial"/>
          <w:b/>
          <w:bCs/>
          <w:sz w:val="22"/>
          <w:szCs w:val="22"/>
          <w:lang w:eastAsia="ko-KR"/>
        </w:rPr>
        <w:t>ête du pardon</w:t>
      </w:r>
      <w:r w:rsidR="00B732FB">
        <w:rPr>
          <w:rFonts w:ascii="Arial" w:hAnsi="Arial" w:cs="Arial"/>
          <w:b/>
          <w:bCs/>
          <w:sz w:val="22"/>
          <w:szCs w:val="22"/>
          <w:lang w:eastAsia="ko-KR"/>
        </w:rPr>
        <w:t xml:space="preserve"> </w:t>
      </w:r>
      <w:r w:rsidR="00B732FB" w:rsidRPr="00B732FB">
        <w:rPr>
          <w:rFonts w:ascii="Arial" w:hAnsi="Arial" w:cs="Arial"/>
          <w:b/>
          <w:bCs/>
          <w:sz w:val="22"/>
          <w:szCs w:val="22"/>
          <w:lang w:eastAsia="ko-KR"/>
        </w:rPr>
        <w:t>célestinien</w:t>
      </w:r>
      <w:r w:rsidRPr="0001502D">
        <w:rPr>
          <w:rFonts w:ascii="Arial" w:hAnsi="Arial" w:cs="Arial"/>
          <w:sz w:val="22"/>
          <w:szCs w:val="22"/>
          <w:lang w:eastAsia="ko-KR"/>
        </w:rPr>
        <w:t xml:space="preserve"> sur la Liste représentative du patrimoine culturel immatériel de l</w:t>
      </w:r>
      <w:r w:rsidR="009C104E">
        <w:rPr>
          <w:rFonts w:ascii="Arial" w:hAnsi="Arial" w:cs="Arial"/>
          <w:sz w:val="22"/>
          <w:szCs w:val="22"/>
          <w:lang w:eastAsia="ko-KR"/>
        </w:rPr>
        <w:t>’</w:t>
      </w:r>
      <w:r w:rsidRPr="0001502D">
        <w:rPr>
          <w:rFonts w:ascii="Arial" w:hAnsi="Arial" w:cs="Arial"/>
          <w:sz w:val="22"/>
          <w:szCs w:val="22"/>
          <w:lang w:eastAsia="ko-KR"/>
        </w:rPr>
        <w:t>humanité ;</w:t>
      </w:r>
    </w:p>
    <w:p w14:paraId="383EB3EA" w14:textId="13D7A8FB" w:rsidR="0001502D" w:rsidRPr="0001502D" w:rsidRDefault="0001502D" w:rsidP="00771F30">
      <w:pPr>
        <w:numPr>
          <w:ilvl w:val="1"/>
          <w:numId w:val="27"/>
        </w:numPr>
        <w:tabs>
          <w:tab w:val="left" w:pos="567"/>
          <w:tab w:val="left" w:pos="1701"/>
          <w:tab w:val="left" w:pos="2268"/>
        </w:tabs>
        <w:spacing w:before="120" w:after="120"/>
        <w:jc w:val="both"/>
        <w:rPr>
          <w:rFonts w:ascii="Arial" w:hAnsi="Arial" w:cs="Arial"/>
          <w:sz w:val="22"/>
          <w:szCs w:val="22"/>
          <w:lang w:eastAsia="ko-KR"/>
        </w:rPr>
      </w:pPr>
      <w:r w:rsidRPr="0001502D">
        <w:rPr>
          <w:rFonts w:ascii="Arial" w:hAnsi="Arial" w:cs="Arial"/>
          <w:sz w:val="22"/>
          <w:szCs w:val="22"/>
          <w:u w:val="single"/>
          <w:lang w:eastAsia="ko-KR"/>
        </w:rPr>
        <w:t>Félicite</w:t>
      </w:r>
      <w:r w:rsidRPr="0001502D">
        <w:rPr>
          <w:rFonts w:ascii="Arial" w:hAnsi="Arial" w:cs="Arial"/>
          <w:sz w:val="22"/>
          <w:szCs w:val="22"/>
          <w:lang w:eastAsia="ko-KR"/>
        </w:rPr>
        <w:t xml:space="preserve"> l</w:t>
      </w:r>
      <w:r w:rsidR="009C104E">
        <w:rPr>
          <w:rFonts w:ascii="Arial" w:hAnsi="Arial" w:cs="Arial"/>
          <w:sz w:val="22"/>
          <w:szCs w:val="22"/>
          <w:lang w:eastAsia="ko-KR"/>
        </w:rPr>
        <w:t>’</w:t>
      </w:r>
      <w:r w:rsidRPr="0001502D">
        <w:rPr>
          <w:rFonts w:ascii="Arial" w:hAnsi="Arial" w:cs="Arial"/>
          <w:sz w:val="22"/>
          <w:szCs w:val="22"/>
          <w:lang w:eastAsia="ko-KR"/>
        </w:rPr>
        <w:t>État partie pour la soumission d</w:t>
      </w:r>
      <w:r w:rsidR="009C104E">
        <w:rPr>
          <w:rFonts w:ascii="Arial" w:hAnsi="Arial" w:cs="Arial"/>
          <w:sz w:val="22"/>
          <w:szCs w:val="22"/>
          <w:lang w:eastAsia="ko-KR"/>
        </w:rPr>
        <w:t>’</w:t>
      </w:r>
      <w:r w:rsidRPr="0001502D">
        <w:rPr>
          <w:rFonts w:ascii="Arial" w:hAnsi="Arial" w:cs="Arial"/>
          <w:sz w:val="22"/>
          <w:szCs w:val="22"/>
          <w:lang w:eastAsia="ko-KR"/>
        </w:rPr>
        <w:t>un dossier amélioré suite à la décision du Comité de renvoyer la candidature en 2015, notamment pour l</w:t>
      </w:r>
      <w:r w:rsidR="009C104E">
        <w:rPr>
          <w:rFonts w:ascii="Arial" w:hAnsi="Arial" w:cs="Arial"/>
          <w:sz w:val="22"/>
          <w:szCs w:val="22"/>
          <w:lang w:eastAsia="ko-KR"/>
        </w:rPr>
        <w:t>’</w:t>
      </w:r>
      <w:r w:rsidRPr="0001502D">
        <w:rPr>
          <w:rFonts w:ascii="Arial" w:hAnsi="Arial" w:cs="Arial"/>
          <w:sz w:val="22"/>
          <w:szCs w:val="22"/>
          <w:lang w:eastAsia="ko-KR"/>
        </w:rPr>
        <w:t>utilisation d</w:t>
      </w:r>
      <w:r w:rsidR="009C104E">
        <w:rPr>
          <w:rFonts w:ascii="Arial" w:hAnsi="Arial" w:cs="Arial"/>
          <w:sz w:val="22"/>
          <w:szCs w:val="22"/>
          <w:lang w:eastAsia="ko-KR"/>
        </w:rPr>
        <w:t>’</w:t>
      </w:r>
      <w:r w:rsidRPr="0001502D">
        <w:rPr>
          <w:rFonts w:ascii="Arial" w:hAnsi="Arial" w:cs="Arial"/>
          <w:sz w:val="22"/>
          <w:szCs w:val="22"/>
          <w:lang w:eastAsia="ko-KR"/>
        </w:rPr>
        <w:t>une méthodologie exemplaire axée sur la participation de la communauté pour la préparation de la candidature ;</w:t>
      </w:r>
    </w:p>
    <w:p w14:paraId="5888E2C9" w14:textId="3B546A11" w:rsidR="0001502D" w:rsidRPr="0001502D" w:rsidRDefault="0001502D" w:rsidP="00771F30">
      <w:pPr>
        <w:numPr>
          <w:ilvl w:val="1"/>
          <w:numId w:val="27"/>
        </w:numPr>
        <w:tabs>
          <w:tab w:val="left" w:pos="567"/>
          <w:tab w:val="left" w:pos="1701"/>
          <w:tab w:val="left" w:pos="2268"/>
        </w:tabs>
        <w:spacing w:before="120" w:after="120"/>
        <w:jc w:val="both"/>
        <w:rPr>
          <w:rFonts w:ascii="Arial" w:hAnsi="Arial" w:cs="Arial"/>
          <w:sz w:val="22"/>
          <w:szCs w:val="22"/>
          <w:lang w:eastAsia="ko-KR"/>
        </w:rPr>
      </w:pPr>
      <w:r w:rsidRPr="0001502D">
        <w:rPr>
          <w:rFonts w:ascii="Arial" w:hAnsi="Arial" w:cs="Arial"/>
          <w:sz w:val="22"/>
          <w:szCs w:val="22"/>
          <w:u w:val="single"/>
          <w:lang w:eastAsia="ko-KR"/>
        </w:rPr>
        <w:t>Félicite en outre</w:t>
      </w:r>
      <w:r w:rsidRPr="0001502D">
        <w:rPr>
          <w:rFonts w:ascii="Arial" w:hAnsi="Arial" w:cs="Arial"/>
          <w:sz w:val="22"/>
          <w:szCs w:val="22"/>
          <w:lang w:eastAsia="ko-KR"/>
        </w:rPr>
        <w:t xml:space="preserve"> l</w:t>
      </w:r>
      <w:r w:rsidR="009C104E">
        <w:rPr>
          <w:rFonts w:ascii="Arial" w:hAnsi="Arial" w:cs="Arial"/>
          <w:sz w:val="22"/>
          <w:szCs w:val="22"/>
          <w:lang w:eastAsia="ko-KR"/>
        </w:rPr>
        <w:t>’</w:t>
      </w:r>
      <w:r w:rsidRPr="0001502D">
        <w:rPr>
          <w:rFonts w:ascii="Arial" w:hAnsi="Arial" w:cs="Arial"/>
          <w:sz w:val="22"/>
          <w:szCs w:val="22"/>
          <w:lang w:eastAsia="ko-KR"/>
        </w:rPr>
        <w:t>État partie d</w:t>
      </w:r>
      <w:r w:rsidR="009C104E">
        <w:rPr>
          <w:rFonts w:ascii="Arial" w:hAnsi="Arial" w:cs="Arial"/>
          <w:sz w:val="22"/>
          <w:szCs w:val="22"/>
          <w:lang w:eastAsia="ko-KR"/>
        </w:rPr>
        <w:t>’</w:t>
      </w:r>
      <w:r w:rsidRPr="0001502D">
        <w:rPr>
          <w:rFonts w:ascii="Arial" w:hAnsi="Arial" w:cs="Arial"/>
          <w:sz w:val="22"/>
          <w:szCs w:val="22"/>
          <w:lang w:eastAsia="ko-KR"/>
        </w:rPr>
        <w:t xml:space="preserve">avoir pris conscience des possibles effets négatifs du tourisme et de proposer des mesures de sauvegarde innovantes pour prévenir de telles menaces ; et </w:t>
      </w:r>
      <w:r w:rsidRPr="0001502D">
        <w:rPr>
          <w:rFonts w:ascii="Arial" w:hAnsi="Arial" w:cs="Arial"/>
          <w:sz w:val="22"/>
          <w:szCs w:val="22"/>
          <w:u w:val="single"/>
          <w:lang w:eastAsia="ko-KR"/>
        </w:rPr>
        <w:t>accueille</w:t>
      </w:r>
      <w:r w:rsidR="00BC5A23">
        <w:rPr>
          <w:rFonts w:ascii="Arial" w:hAnsi="Arial" w:cs="Arial"/>
          <w:sz w:val="22"/>
          <w:szCs w:val="22"/>
          <w:u w:val="single"/>
          <w:lang w:eastAsia="ko-KR"/>
        </w:rPr>
        <w:t xml:space="preserve"> favorablement</w:t>
      </w:r>
      <w:r w:rsidRPr="0001502D">
        <w:rPr>
          <w:rFonts w:ascii="Arial" w:hAnsi="Arial" w:cs="Arial"/>
          <w:sz w:val="22"/>
          <w:szCs w:val="22"/>
          <w:lang w:eastAsia="ko-KR"/>
        </w:rPr>
        <w:t xml:space="preserve"> l</w:t>
      </w:r>
      <w:r w:rsidR="009C104E">
        <w:rPr>
          <w:rFonts w:ascii="Arial" w:hAnsi="Arial" w:cs="Arial"/>
          <w:sz w:val="22"/>
          <w:szCs w:val="22"/>
          <w:lang w:eastAsia="ko-KR"/>
        </w:rPr>
        <w:t>’</w:t>
      </w:r>
      <w:r w:rsidRPr="0001502D">
        <w:rPr>
          <w:rFonts w:ascii="Arial" w:hAnsi="Arial" w:cs="Arial"/>
          <w:sz w:val="22"/>
          <w:szCs w:val="22"/>
          <w:lang w:eastAsia="ko-KR"/>
        </w:rPr>
        <w:t>adoption d</w:t>
      </w:r>
      <w:r w:rsidR="009C104E">
        <w:rPr>
          <w:rFonts w:ascii="Arial" w:hAnsi="Arial" w:cs="Arial"/>
          <w:sz w:val="22"/>
          <w:szCs w:val="22"/>
          <w:lang w:eastAsia="ko-KR"/>
        </w:rPr>
        <w:t>’</w:t>
      </w:r>
      <w:r w:rsidRPr="0001502D">
        <w:rPr>
          <w:rFonts w:ascii="Arial" w:hAnsi="Arial" w:cs="Arial"/>
          <w:sz w:val="22"/>
          <w:szCs w:val="22"/>
          <w:lang w:eastAsia="ko-KR"/>
        </w:rPr>
        <w:t>un code de conduite à l</w:t>
      </w:r>
      <w:r w:rsidR="009C104E">
        <w:rPr>
          <w:rFonts w:ascii="Arial" w:hAnsi="Arial" w:cs="Arial"/>
          <w:sz w:val="22"/>
          <w:szCs w:val="22"/>
          <w:lang w:eastAsia="ko-KR"/>
        </w:rPr>
        <w:t>’</w:t>
      </w:r>
      <w:r w:rsidRPr="0001502D">
        <w:rPr>
          <w:rFonts w:ascii="Arial" w:hAnsi="Arial" w:cs="Arial"/>
          <w:sz w:val="22"/>
          <w:szCs w:val="22"/>
          <w:lang w:eastAsia="ko-KR"/>
        </w:rPr>
        <w:t>intention des touristes et des participants pour que la pratique soit respectée ;</w:t>
      </w:r>
    </w:p>
    <w:p w14:paraId="16711D80" w14:textId="391DCC54" w:rsidR="0001502D" w:rsidRPr="0001502D" w:rsidRDefault="0001502D" w:rsidP="00771F30">
      <w:pPr>
        <w:numPr>
          <w:ilvl w:val="1"/>
          <w:numId w:val="27"/>
        </w:numPr>
        <w:tabs>
          <w:tab w:val="left" w:pos="567"/>
          <w:tab w:val="left" w:pos="1701"/>
          <w:tab w:val="left" w:pos="2268"/>
        </w:tabs>
        <w:spacing w:before="120" w:after="120"/>
        <w:jc w:val="both"/>
        <w:rPr>
          <w:rFonts w:ascii="Arial" w:eastAsiaTheme="minorEastAsia" w:hAnsi="Arial" w:cs="Arial"/>
          <w:sz w:val="22"/>
          <w:szCs w:val="22"/>
          <w:lang w:eastAsia="ko-KR"/>
        </w:rPr>
      </w:pPr>
      <w:r w:rsidRPr="0001502D">
        <w:rPr>
          <w:rFonts w:ascii="Arial" w:hAnsi="Arial" w:cs="Arial"/>
          <w:sz w:val="22"/>
          <w:szCs w:val="22"/>
          <w:u w:val="single"/>
          <w:lang w:eastAsia="ko-KR"/>
        </w:rPr>
        <w:t>Rappelle</w:t>
      </w:r>
      <w:r w:rsidRPr="0001502D">
        <w:rPr>
          <w:rFonts w:ascii="Arial" w:hAnsi="Arial" w:cs="Arial"/>
          <w:sz w:val="22"/>
          <w:szCs w:val="22"/>
          <w:lang w:eastAsia="ko-KR"/>
        </w:rPr>
        <w:t xml:space="preserve"> à l</w:t>
      </w:r>
      <w:r w:rsidR="009C104E">
        <w:rPr>
          <w:rFonts w:ascii="Arial" w:hAnsi="Arial" w:cs="Arial"/>
          <w:sz w:val="22"/>
          <w:szCs w:val="22"/>
          <w:lang w:eastAsia="ko-KR"/>
        </w:rPr>
        <w:t>’</w:t>
      </w:r>
      <w:r w:rsidRPr="0001502D">
        <w:rPr>
          <w:rFonts w:ascii="Arial" w:hAnsi="Arial" w:cs="Arial"/>
          <w:sz w:val="22"/>
          <w:szCs w:val="22"/>
          <w:lang w:eastAsia="ko-KR"/>
        </w:rPr>
        <w:t>État partie que la mise à jour est un aspect important du processus d</w:t>
      </w:r>
      <w:r w:rsidR="009C104E">
        <w:rPr>
          <w:rFonts w:ascii="Arial" w:hAnsi="Arial" w:cs="Arial"/>
          <w:sz w:val="22"/>
          <w:szCs w:val="22"/>
          <w:lang w:eastAsia="ko-KR"/>
        </w:rPr>
        <w:t>’</w:t>
      </w:r>
      <w:r w:rsidRPr="0001502D">
        <w:rPr>
          <w:rFonts w:ascii="Arial" w:hAnsi="Arial" w:cs="Arial"/>
          <w:sz w:val="22"/>
          <w:szCs w:val="22"/>
          <w:lang w:eastAsia="ko-KR"/>
        </w:rPr>
        <w:t>élaboration des inventaires et l</w:t>
      </w:r>
      <w:r w:rsidR="009C104E">
        <w:rPr>
          <w:rFonts w:ascii="Arial" w:hAnsi="Arial" w:cs="Arial"/>
          <w:sz w:val="22"/>
          <w:szCs w:val="22"/>
          <w:lang w:eastAsia="ko-KR"/>
        </w:rPr>
        <w:t>’</w:t>
      </w:r>
      <w:r w:rsidRPr="0001502D">
        <w:rPr>
          <w:rFonts w:ascii="Arial" w:hAnsi="Arial" w:cs="Arial"/>
          <w:sz w:val="22"/>
          <w:szCs w:val="22"/>
          <w:u w:val="single"/>
          <w:lang w:eastAsia="ko-KR"/>
        </w:rPr>
        <w:t>invite</w:t>
      </w:r>
      <w:r w:rsidRPr="0001502D">
        <w:rPr>
          <w:rFonts w:ascii="Arial" w:hAnsi="Arial" w:cs="Arial"/>
          <w:sz w:val="22"/>
          <w:szCs w:val="22"/>
          <w:lang w:eastAsia="ko-KR"/>
        </w:rPr>
        <w:t xml:space="preserve"> à inclure, dans son prochain rapport périodique sur la mise en œuvre de la Convention au niveau national, des informations détaillées sur la périodicité et les modalités de la mise à jour de l</w:t>
      </w:r>
      <w:r w:rsidR="009C104E">
        <w:rPr>
          <w:rFonts w:ascii="Arial" w:hAnsi="Arial" w:cs="Arial"/>
          <w:sz w:val="22"/>
          <w:szCs w:val="22"/>
          <w:lang w:eastAsia="ko-KR"/>
        </w:rPr>
        <w:t>’</w:t>
      </w:r>
      <w:r w:rsidRPr="0001502D">
        <w:rPr>
          <w:rFonts w:ascii="Arial" w:hAnsi="Arial" w:cs="Arial"/>
          <w:sz w:val="22"/>
          <w:szCs w:val="22"/>
          <w:lang w:eastAsia="ko-KR"/>
        </w:rPr>
        <w:t>Inventaire national du patrimoine culturel immatériel / Convention de l</w:t>
      </w:r>
      <w:r w:rsidR="009C104E">
        <w:rPr>
          <w:rFonts w:ascii="Arial" w:hAnsi="Arial" w:cs="Arial"/>
          <w:sz w:val="22"/>
          <w:szCs w:val="22"/>
          <w:lang w:eastAsia="ko-KR"/>
        </w:rPr>
        <w:t>’</w:t>
      </w:r>
      <w:r w:rsidRPr="0001502D">
        <w:rPr>
          <w:rFonts w:ascii="Arial" w:hAnsi="Arial" w:cs="Arial"/>
          <w:sz w:val="22"/>
          <w:szCs w:val="22"/>
          <w:lang w:eastAsia="ko-KR"/>
        </w:rPr>
        <w:t>UNESCO de 2003, conformément à l</w:t>
      </w:r>
      <w:r w:rsidR="009C104E">
        <w:rPr>
          <w:rFonts w:ascii="Arial" w:hAnsi="Arial" w:cs="Arial"/>
          <w:sz w:val="22"/>
          <w:szCs w:val="22"/>
          <w:lang w:eastAsia="ko-KR"/>
        </w:rPr>
        <w:t>’</w:t>
      </w:r>
      <w:r w:rsidRPr="0001502D">
        <w:rPr>
          <w:rFonts w:ascii="Arial" w:hAnsi="Arial" w:cs="Arial"/>
          <w:sz w:val="22"/>
          <w:szCs w:val="22"/>
          <w:lang w:eastAsia="ko-KR"/>
        </w:rPr>
        <w:t>article 12.1 de la Convention.</w:t>
      </w:r>
    </w:p>
    <w:p w14:paraId="0C85813C" w14:textId="57D96CC0" w:rsidR="0001502D" w:rsidRPr="0001502D" w:rsidRDefault="0001502D" w:rsidP="00771F30">
      <w:pPr>
        <w:keepNext/>
        <w:keepLines/>
        <w:numPr>
          <w:ilvl w:val="0"/>
          <w:numId w:val="27"/>
        </w:numPr>
        <w:spacing w:before="360" w:after="120"/>
        <w:outlineLvl w:val="1"/>
        <w:rPr>
          <w:rFonts w:ascii="Arial" w:hAnsi="Arial" w:cs="Arial"/>
          <w:bCs/>
          <w:iCs/>
          <w:sz w:val="22"/>
          <w:szCs w:val="22"/>
        </w:rPr>
      </w:pPr>
      <w:bookmarkStart w:id="23" w:name="Decision_10b20"/>
      <w:r w:rsidRPr="0001502D">
        <w:rPr>
          <w:rFonts w:ascii="Arial" w:hAnsi="Arial" w:cs="Arial"/>
          <w:b/>
          <w:bCs/>
          <w:iCs/>
          <w:sz w:val="22"/>
          <w:szCs w:val="22"/>
        </w:rPr>
        <w:t xml:space="preserve">DÉCISION 14.COM 10.b.20 </w:t>
      </w:r>
    </w:p>
    <w:bookmarkEnd w:id="23"/>
    <w:p w14:paraId="78BB8414" w14:textId="77777777" w:rsidR="0001502D" w:rsidRPr="0001502D" w:rsidRDefault="0001502D" w:rsidP="007B23DE">
      <w:pPr>
        <w:keepNext/>
        <w:tabs>
          <w:tab w:val="left" w:pos="567"/>
          <w:tab w:val="left" w:pos="1134"/>
          <w:tab w:val="left" w:pos="1701"/>
          <w:tab w:val="left" w:pos="2268"/>
        </w:tabs>
        <w:spacing w:before="120" w:after="120"/>
        <w:jc w:val="both"/>
        <w:rPr>
          <w:rFonts w:ascii="Arial" w:hAnsi="Arial" w:cs="Arial"/>
          <w:sz w:val="22"/>
          <w:szCs w:val="22"/>
        </w:rPr>
      </w:pPr>
      <w:r w:rsidRPr="0001502D">
        <w:rPr>
          <w:rFonts w:ascii="Arial" w:hAnsi="Arial" w:cs="Arial"/>
          <w:sz w:val="22"/>
          <w:szCs w:val="22"/>
        </w:rPr>
        <w:t>Le Comité,</w:t>
      </w:r>
    </w:p>
    <w:p w14:paraId="4CC6F6B0" w14:textId="70C0F469" w:rsidR="0001502D" w:rsidRPr="0001502D" w:rsidRDefault="0001502D" w:rsidP="00771F30">
      <w:pPr>
        <w:numPr>
          <w:ilvl w:val="1"/>
          <w:numId w:val="27"/>
        </w:numPr>
        <w:tabs>
          <w:tab w:val="left" w:pos="567"/>
          <w:tab w:val="left" w:pos="1701"/>
          <w:tab w:val="left" w:pos="2268"/>
        </w:tabs>
        <w:spacing w:before="120" w:after="120"/>
        <w:jc w:val="both"/>
        <w:rPr>
          <w:rFonts w:ascii="Arial" w:hAnsi="Arial" w:cs="Arial"/>
          <w:sz w:val="22"/>
          <w:szCs w:val="22"/>
          <w:lang w:eastAsia="ko-KR"/>
        </w:rPr>
      </w:pPr>
      <w:r w:rsidRPr="0001502D">
        <w:rPr>
          <w:rFonts w:ascii="Arial" w:hAnsi="Arial" w:cs="Arial"/>
          <w:sz w:val="22"/>
          <w:szCs w:val="22"/>
          <w:u w:val="single"/>
          <w:lang w:eastAsia="ko-KR"/>
        </w:rPr>
        <w:t>Prend note</w:t>
      </w:r>
      <w:r w:rsidRPr="0001502D">
        <w:rPr>
          <w:rFonts w:ascii="Arial" w:hAnsi="Arial" w:cs="Arial"/>
          <w:sz w:val="22"/>
          <w:szCs w:val="22"/>
          <w:lang w:eastAsia="ko-KR"/>
        </w:rPr>
        <w:t xml:space="preserve"> que le Kirghizistan a proposé la candidature de </w:t>
      </w:r>
      <w:r w:rsidRPr="0001502D">
        <w:rPr>
          <w:rFonts w:ascii="Arial" w:hAnsi="Arial" w:cs="Arial"/>
          <w:b/>
          <w:sz w:val="22"/>
          <w:szCs w:val="22"/>
          <w:lang w:eastAsia="ko-KR"/>
        </w:rPr>
        <w:t>l</w:t>
      </w:r>
      <w:r w:rsidR="009C104E">
        <w:rPr>
          <w:rFonts w:ascii="Arial" w:hAnsi="Arial" w:cs="Arial"/>
          <w:b/>
          <w:sz w:val="22"/>
          <w:szCs w:val="22"/>
          <w:lang w:eastAsia="ko-KR"/>
        </w:rPr>
        <w:t>’</w:t>
      </w:r>
      <w:r w:rsidRPr="0001502D">
        <w:rPr>
          <w:rFonts w:ascii="Arial" w:hAnsi="Arial" w:cs="Arial"/>
          <w:b/>
          <w:sz w:val="22"/>
          <w:szCs w:val="22"/>
          <w:lang w:eastAsia="ko-KR"/>
        </w:rPr>
        <w:t>artisanat de l</w:t>
      </w:r>
      <w:r w:rsidR="009C104E">
        <w:rPr>
          <w:rFonts w:ascii="Arial" w:hAnsi="Arial" w:cs="Arial"/>
          <w:b/>
          <w:sz w:val="22"/>
          <w:szCs w:val="22"/>
          <w:lang w:eastAsia="ko-KR"/>
        </w:rPr>
        <w:t>’</w:t>
      </w:r>
      <w:r w:rsidRPr="0001502D">
        <w:rPr>
          <w:rFonts w:ascii="Arial" w:hAnsi="Arial" w:cs="Arial"/>
          <w:b/>
          <w:sz w:val="22"/>
          <w:szCs w:val="22"/>
          <w:lang w:eastAsia="ko-KR"/>
        </w:rPr>
        <w:t>ak-kalpak, connaissances et savoir-faire traditionnels liés à la fabrication et au port du chapeau masculin kirghiz</w:t>
      </w:r>
      <w:r w:rsidRPr="0001502D">
        <w:rPr>
          <w:rFonts w:ascii="Arial" w:hAnsi="Arial" w:cs="Arial"/>
          <w:sz w:val="22"/>
          <w:szCs w:val="22"/>
          <w:lang w:eastAsia="ko-KR"/>
        </w:rPr>
        <w:t xml:space="preserve"> (n° 01496) pour inscription sur la Liste représentative du patrimoine culturel immatériel de l</w:t>
      </w:r>
      <w:r w:rsidR="009C104E">
        <w:rPr>
          <w:rFonts w:ascii="Arial" w:hAnsi="Arial" w:cs="Arial"/>
          <w:sz w:val="22"/>
          <w:szCs w:val="22"/>
          <w:lang w:eastAsia="ko-KR"/>
        </w:rPr>
        <w:t>’</w:t>
      </w:r>
      <w:r w:rsidRPr="0001502D">
        <w:rPr>
          <w:rFonts w:ascii="Arial" w:hAnsi="Arial" w:cs="Arial"/>
          <w:sz w:val="22"/>
          <w:szCs w:val="22"/>
          <w:lang w:eastAsia="ko-KR"/>
        </w:rPr>
        <w:t>humanité :</w:t>
      </w:r>
    </w:p>
    <w:p w14:paraId="07F2AEDC" w14:textId="1D584AE3" w:rsidR="0001502D" w:rsidRPr="0001502D" w:rsidRDefault="0001502D" w:rsidP="007B23DE">
      <w:pPr>
        <w:tabs>
          <w:tab w:val="left" w:pos="567"/>
          <w:tab w:val="left" w:pos="1701"/>
          <w:tab w:val="left" w:pos="2268"/>
        </w:tabs>
        <w:spacing w:before="120" w:after="120"/>
        <w:ind w:left="567"/>
        <w:jc w:val="both"/>
        <w:rPr>
          <w:rFonts w:ascii="Arial" w:hAnsi="Arial" w:cs="Arial"/>
          <w:sz w:val="22"/>
          <w:szCs w:val="22"/>
        </w:rPr>
      </w:pPr>
      <w:r w:rsidRPr="0001502D">
        <w:rPr>
          <w:rFonts w:ascii="Arial" w:hAnsi="Arial" w:cs="Arial"/>
          <w:sz w:val="22"/>
          <w:szCs w:val="22"/>
        </w:rPr>
        <w:t>L</w:t>
      </w:r>
      <w:r w:rsidR="009C104E">
        <w:rPr>
          <w:rFonts w:ascii="Arial" w:hAnsi="Arial" w:cs="Arial"/>
          <w:sz w:val="22"/>
          <w:szCs w:val="22"/>
        </w:rPr>
        <w:t>’</w:t>
      </w:r>
      <w:r w:rsidRPr="0001502D">
        <w:rPr>
          <w:rFonts w:ascii="Arial" w:hAnsi="Arial" w:cs="Arial"/>
          <w:sz w:val="22"/>
          <w:szCs w:val="22"/>
        </w:rPr>
        <w:t>artisanat de l</w:t>
      </w:r>
      <w:r w:rsidR="009C104E">
        <w:rPr>
          <w:rFonts w:ascii="Arial" w:hAnsi="Arial" w:cs="Arial"/>
          <w:sz w:val="22"/>
          <w:szCs w:val="22"/>
        </w:rPr>
        <w:t>’</w:t>
      </w:r>
      <w:r w:rsidRPr="0001502D">
        <w:rPr>
          <w:rFonts w:ascii="Arial" w:hAnsi="Arial" w:cs="Arial"/>
          <w:sz w:val="22"/>
          <w:szCs w:val="22"/>
        </w:rPr>
        <w:t>ak-kalpak est une forme artisanale kirghize traditionnelle. L</w:t>
      </w:r>
      <w:r w:rsidR="009C104E">
        <w:rPr>
          <w:rFonts w:ascii="Arial" w:hAnsi="Arial" w:cs="Arial"/>
          <w:sz w:val="22"/>
          <w:szCs w:val="22"/>
        </w:rPr>
        <w:t>’</w:t>
      </w:r>
      <w:r w:rsidRPr="0001502D">
        <w:rPr>
          <w:rFonts w:ascii="Arial" w:hAnsi="Arial" w:cs="Arial"/>
          <w:sz w:val="22"/>
          <w:szCs w:val="22"/>
        </w:rPr>
        <w:t>ak-kalpak est un couvre-chef masculin traditionnel en feutre blanc, associé à de profondes significations d</w:t>
      </w:r>
      <w:r w:rsidR="009C104E">
        <w:rPr>
          <w:rFonts w:ascii="Arial" w:hAnsi="Arial" w:cs="Arial"/>
          <w:sz w:val="22"/>
          <w:szCs w:val="22"/>
        </w:rPr>
        <w:t>’</w:t>
      </w:r>
      <w:r w:rsidRPr="0001502D">
        <w:rPr>
          <w:rFonts w:ascii="Arial" w:hAnsi="Arial" w:cs="Arial"/>
          <w:sz w:val="22"/>
          <w:szCs w:val="22"/>
        </w:rPr>
        <w:t>ordre sacré. L</w:t>
      </w:r>
      <w:r w:rsidR="009C104E">
        <w:rPr>
          <w:rFonts w:ascii="Arial" w:hAnsi="Arial" w:cs="Arial"/>
          <w:sz w:val="22"/>
          <w:szCs w:val="22"/>
        </w:rPr>
        <w:t>’</w:t>
      </w:r>
      <w:r w:rsidRPr="0001502D">
        <w:rPr>
          <w:rFonts w:ascii="Arial" w:hAnsi="Arial" w:cs="Arial"/>
          <w:sz w:val="22"/>
          <w:szCs w:val="22"/>
        </w:rPr>
        <w:t>artisanat de l</w:t>
      </w:r>
      <w:r w:rsidR="009C104E">
        <w:rPr>
          <w:rFonts w:ascii="Arial" w:hAnsi="Arial" w:cs="Arial"/>
          <w:sz w:val="22"/>
          <w:szCs w:val="22"/>
        </w:rPr>
        <w:t>’</w:t>
      </w:r>
      <w:r w:rsidRPr="0001502D">
        <w:rPr>
          <w:rFonts w:ascii="Arial" w:hAnsi="Arial" w:cs="Arial"/>
          <w:sz w:val="22"/>
          <w:szCs w:val="22"/>
        </w:rPr>
        <w:t>ak-kalpak est une somme de connaissances et de savoir-faire en constante évolution dans les domaines du feutrage, de la découpe, de la couture et de la broderie des motifs, transmis dans les communautés concernées par les praticiennes de l</w:t>
      </w:r>
      <w:r w:rsidR="009C104E">
        <w:rPr>
          <w:rFonts w:ascii="Arial" w:hAnsi="Arial" w:cs="Arial"/>
          <w:sz w:val="22"/>
          <w:szCs w:val="22"/>
        </w:rPr>
        <w:t>’</w:t>
      </w:r>
      <w:r w:rsidRPr="0001502D">
        <w:rPr>
          <w:rFonts w:ascii="Arial" w:hAnsi="Arial" w:cs="Arial"/>
          <w:sz w:val="22"/>
          <w:szCs w:val="22"/>
        </w:rPr>
        <w:t>élément. Les connaissances et les savoir-faire nécessaires sont transmis à travers l</w:t>
      </w:r>
      <w:r w:rsidR="009C104E">
        <w:rPr>
          <w:rFonts w:ascii="Arial" w:hAnsi="Arial" w:cs="Arial"/>
          <w:sz w:val="22"/>
          <w:szCs w:val="22"/>
        </w:rPr>
        <w:t>’</w:t>
      </w:r>
      <w:r w:rsidRPr="0001502D">
        <w:rPr>
          <w:rFonts w:ascii="Arial" w:hAnsi="Arial" w:cs="Arial"/>
          <w:sz w:val="22"/>
          <w:szCs w:val="22"/>
        </w:rPr>
        <w:t>enseignement oral, la formation pratique et la participation à des ateliers de fabrication. On distingue plus de 80 types d</w:t>
      </w:r>
      <w:r w:rsidR="009C104E">
        <w:rPr>
          <w:rFonts w:ascii="Arial" w:hAnsi="Arial" w:cs="Arial"/>
          <w:sz w:val="22"/>
          <w:szCs w:val="22"/>
        </w:rPr>
        <w:t>’</w:t>
      </w:r>
      <w:r w:rsidRPr="0001502D">
        <w:rPr>
          <w:rFonts w:ascii="Arial" w:hAnsi="Arial" w:cs="Arial"/>
          <w:sz w:val="22"/>
          <w:szCs w:val="22"/>
        </w:rPr>
        <w:t>ak-kalpak, ornés de divers motifs qui ont chacun une histoire et une signification sacrée. Écologique et agréable à porter, l</w:t>
      </w:r>
      <w:r w:rsidR="009C104E">
        <w:rPr>
          <w:rFonts w:ascii="Arial" w:hAnsi="Arial" w:cs="Arial"/>
          <w:sz w:val="22"/>
          <w:szCs w:val="22"/>
        </w:rPr>
        <w:t>’</w:t>
      </w:r>
      <w:r w:rsidRPr="0001502D">
        <w:rPr>
          <w:rFonts w:ascii="Arial" w:hAnsi="Arial" w:cs="Arial"/>
          <w:sz w:val="22"/>
          <w:szCs w:val="22"/>
        </w:rPr>
        <w:t>ak-kalpak fait penser à une montagne enneigée dont les quatre versants représentent les quatre éléments : l</w:t>
      </w:r>
      <w:r w:rsidR="009C104E">
        <w:rPr>
          <w:rFonts w:ascii="Arial" w:hAnsi="Arial" w:cs="Arial"/>
          <w:sz w:val="22"/>
          <w:szCs w:val="22"/>
        </w:rPr>
        <w:t>’</w:t>
      </w:r>
      <w:r w:rsidRPr="0001502D">
        <w:rPr>
          <w:rFonts w:ascii="Arial" w:hAnsi="Arial" w:cs="Arial"/>
          <w:sz w:val="22"/>
          <w:szCs w:val="22"/>
        </w:rPr>
        <w:t>air, l</w:t>
      </w:r>
      <w:r w:rsidR="009C104E">
        <w:rPr>
          <w:rFonts w:ascii="Arial" w:hAnsi="Arial" w:cs="Arial"/>
          <w:sz w:val="22"/>
          <w:szCs w:val="22"/>
        </w:rPr>
        <w:t>’</w:t>
      </w:r>
      <w:r w:rsidRPr="0001502D">
        <w:rPr>
          <w:rFonts w:ascii="Arial" w:hAnsi="Arial" w:cs="Arial"/>
          <w:sz w:val="22"/>
          <w:szCs w:val="22"/>
        </w:rPr>
        <w:t>eau, le feu et la terre. Les quatre arêtes symbolisent la vie, les glands qui se trouvent sur le dessus symbolisent la postérité et la mémoire des ancêtres, et le motif symbolise un arbre généalogique. Facteur d</w:t>
      </w:r>
      <w:r w:rsidR="009C104E">
        <w:rPr>
          <w:rFonts w:ascii="Arial" w:hAnsi="Arial" w:cs="Arial"/>
          <w:sz w:val="22"/>
          <w:szCs w:val="22"/>
        </w:rPr>
        <w:t>’</w:t>
      </w:r>
      <w:r w:rsidRPr="0001502D">
        <w:rPr>
          <w:rFonts w:ascii="Arial" w:hAnsi="Arial" w:cs="Arial"/>
          <w:sz w:val="22"/>
          <w:szCs w:val="22"/>
        </w:rPr>
        <w:t>unité entre les différentes tribus et communautés kirghizes, l</w:t>
      </w:r>
      <w:r w:rsidR="009C104E">
        <w:rPr>
          <w:rFonts w:ascii="Arial" w:hAnsi="Arial" w:cs="Arial"/>
          <w:sz w:val="22"/>
          <w:szCs w:val="22"/>
        </w:rPr>
        <w:t>’</w:t>
      </w:r>
      <w:r w:rsidRPr="0001502D">
        <w:rPr>
          <w:rFonts w:ascii="Arial" w:hAnsi="Arial" w:cs="Arial"/>
          <w:sz w:val="22"/>
          <w:szCs w:val="22"/>
        </w:rPr>
        <w:t>ak-kalpak distingue les Kirghizes des autres groupes ethniques. Il permet également de favoriser l</w:t>
      </w:r>
      <w:r w:rsidR="009C104E">
        <w:rPr>
          <w:rFonts w:ascii="Arial" w:hAnsi="Arial" w:cs="Arial"/>
          <w:sz w:val="22"/>
          <w:szCs w:val="22"/>
        </w:rPr>
        <w:t>’</w:t>
      </w:r>
      <w:r w:rsidRPr="0001502D">
        <w:rPr>
          <w:rFonts w:ascii="Arial" w:hAnsi="Arial" w:cs="Arial"/>
          <w:sz w:val="22"/>
          <w:szCs w:val="22"/>
        </w:rPr>
        <w:t>inclusion, notamment lorsque des représentants d</w:t>
      </w:r>
      <w:r w:rsidR="009C104E">
        <w:rPr>
          <w:rFonts w:ascii="Arial" w:hAnsi="Arial" w:cs="Arial"/>
          <w:sz w:val="22"/>
          <w:szCs w:val="22"/>
        </w:rPr>
        <w:t>’</w:t>
      </w:r>
      <w:r w:rsidRPr="0001502D">
        <w:rPr>
          <w:rFonts w:ascii="Arial" w:hAnsi="Arial" w:cs="Arial"/>
          <w:sz w:val="22"/>
          <w:szCs w:val="22"/>
        </w:rPr>
        <w:t>autres groupes ethniques le portent à l</w:t>
      </w:r>
      <w:r w:rsidR="009C104E">
        <w:rPr>
          <w:rFonts w:ascii="Arial" w:hAnsi="Arial" w:cs="Arial"/>
          <w:sz w:val="22"/>
          <w:szCs w:val="22"/>
        </w:rPr>
        <w:t>’</w:t>
      </w:r>
      <w:r w:rsidRPr="0001502D">
        <w:rPr>
          <w:rFonts w:ascii="Arial" w:hAnsi="Arial" w:cs="Arial"/>
          <w:sz w:val="22"/>
          <w:szCs w:val="22"/>
        </w:rPr>
        <w:t>occasion de fêtes ou pendant les jours de deuil pour exprimer leur union et leur sympathie. Plusieurs ateliers sont organisés à travers tout le pays pour assurer la transmission des connaissances et savoir-faire nécessaires, et en 2013 un projet intitulé « De génération en génération », consacré aux techniques traditionnelles de fabrication de l</w:t>
      </w:r>
      <w:r w:rsidR="009C104E">
        <w:rPr>
          <w:rFonts w:ascii="Arial" w:hAnsi="Arial" w:cs="Arial"/>
          <w:sz w:val="22"/>
          <w:szCs w:val="22"/>
        </w:rPr>
        <w:t>’</w:t>
      </w:r>
      <w:r w:rsidRPr="0001502D">
        <w:rPr>
          <w:rFonts w:ascii="Arial" w:hAnsi="Arial" w:cs="Arial"/>
          <w:sz w:val="22"/>
          <w:szCs w:val="22"/>
        </w:rPr>
        <w:t>ak-kalpak, a été mené à l</w:t>
      </w:r>
      <w:r w:rsidR="009C104E">
        <w:rPr>
          <w:rFonts w:ascii="Arial" w:hAnsi="Arial" w:cs="Arial"/>
          <w:sz w:val="22"/>
          <w:szCs w:val="22"/>
        </w:rPr>
        <w:t>’</w:t>
      </w:r>
      <w:r w:rsidRPr="0001502D">
        <w:rPr>
          <w:rFonts w:ascii="Arial" w:hAnsi="Arial" w:cs="Arial"/>
          <w:sz w:val="22"/>
          <w:szCs w:val="22"/>
        </w:rPr>
        <w:t>échelle nationale. Il a donné lieu à une exposition et à la publication d</w:t>
      </w:r>
      <w:r w:rsidR="009C104E">
        <w:rPr>
          <w:rFonts w:ascii="Arial" w:hAnsi="Arial" w:cs="Arial"/>
          <w:sz w:val="22"/>
          <w:szCs w:val="22"/>
        </w:rPr>
        <w:t>’</w:t>
      </w:r>
      <w:r w:rsidRPr="0001502D">
        <w:rPr>
          <w:rFonts w:ascii="Arial" w:hAnsi="Arial" w:cs="Arial"/>
          <w:sz w:val="22"/>
          <w:szCs w:val="22"/>
        </w:rPr>
        <w:t>un livre.</w:t>
      </w:r>
    </w:p>
    <w:p w14:paraId="042AD723" w14:textId="3F6B2E33" w:rsidR="0001502D" w:rsidRPr="0001502D" w:rsidRDefault="0001502D" w:rsidP="00771F30">
      <w:pPr>
        <w:keepNext/>
        <w:numPr>
          <w:ilvl w:val="1"/>
          <w:numId w:val="27"/>
        </w:numPr>
        <w:tabs>
          <w:tab w:val="left" w:pos="567"/>
          <w:tab w:val="left" w:pos="1701"/>
          <w:tab w:val="left" w:pos="2268"/>
        </w:tabs>
        <w:spacing w:before="120" w:after="120"/>
        <w:jc w:val="both"/>
        <w:rPr>
          <w:rFonts w:ascii="Arial" w:hAnsi="Arial" w:cs="Arial"/>
          <w:sz w:val="22"/>
          <w:szCs w:val="22"/>
          <w:lang w:eastAsia="ko-KR"/>
        </w:rPr>
      </w:pPr>
      <w:r w:rsidRPr="0001502D">
        <w:rPr>
          <w:rFonts w:ascii="Arial" w:hAnsi="Arial" w:cs="Arial"/>
          <w:sz w:val="22"/>
          <w:szCs w:val="22"/>
          <w:u w:val="single"/>
          <w:lang w:eastAsia="ko-KR"/>
        </w:rPr>
        <w:t>Estime</w:t>
      </w:r>
      <w:r w:rsidRPr="0001502D">
        <w:rPr>
          <w:rFonts w:ascii="Arial" w:hAnsi="Arial" w:cs="Arial"/>
          <w:sz w:val="22"/>
          <w:szCs w:val="22"/>
          <w:lang w:eastAsia="ko-KR"/>
        </w:rPr>
        <w:t xml:space="preserve"> que, d</w:t>
      </w:r>
      <w:r w:rsidR="009C104E">
        <w:rPr>
          <w:rFonts w:ascii="Arial" w:hAnsi="Arial" w:cs="Arial"/>
          <w:sz w:val="22"/>
          <w:szCs w:val="22"/>
          <w:lang w:eastAsia="ko-KR"/>
        </w:rPr>
        <w:t>’</w:t>
      </w:r>
      <w:r w:rsidRPr="0001502D">
        <w:rPr>
          <w:rFonts w:ascii="Arial" w:hAnsi="Arial" w:cs="Arial"/>
          <w:sz w:val="22"/>
          <w:szCs w:val="22"/>
          <w:lang w:eastAsia="ko-KR"/>
        </w:rPr>
        <w:t>après les informations contenues dans le dossier, la candidature satisfait aux critères d</w:t>
      </w:r>
      <w:r w:rsidR="009C104E">
        <w:rPr>
          <w:rFonts w:ascii="Arial" w:hAnsi="Arial" w:cs="Arial"/>
          <w:sz w:val="22"/>
          <w:szCs w:val="22"/>
          <w:lang w:eastAsia="ko-KR"/>
        </w:rPr>
        <w:t>’</w:t>
      </w:r>
      <w:r w:rsidRPr="0001502D">
        <w:rPr>
          <w:rFonts w:ascii="Arial" w:hAnsi="Arial" w:cs="Arial"/>
          <w:sz w:val="22"/>
          <w:szCs w:val="22"/>
          <w:lang w:eastAsia="ko-KR"/>
        </w:rPr>
        <w:t>inscription sur la Liste représentative du patrimoine culturel immatériel de l</w:t>
      </w:r>
      <w:r w:rsidR="009C104E">
        <w:rPr>
          <w:rFonts w:ascii="Arial" w:hAnsi="Arial" w:cs="Arial"/>
          <w:sz w:val="22"/>
          <w:szCs w:val="22"/>
          <w:lang w:eastAsia="ko-KR"/>
        </w:rPr>
        <w:t>’</w:t>
      </w:r>
      <w:r w:rsidRPr="0001502D">
        <w:rPr>
          <w:rFonts w:ascii="Arial" w:hAnsi="Arial" w:cs="Arial"/>
          <w:sz w:val="22"/>
          <w:szCs w:val="22"/>
          <w:lang w:eastAsia="ko-KR"/>
        </w:rPr>
        <w:t>humanité comme suit :</w:t>
      </w:r>
    </w:p>
    <w:p w14:paraId="7A8C0971" w14:textId="20EC9E8B" w:rsidR="0001502D" w:rsidRPr="0001502D" w:rsidRDefault="0001502D" w:rsidP="007B23DE">
      <w:pPr>
        <w:tabs>
          <w:tab w:val="left" w:pos="1134"/>
          <w:tab w:val="left" w:pos="2268"/>
        </w:tabs>
        <w:spacing w:before="120" w:after="120"/>
        <w:ind w:left="1134" w:hanging="555"/>
        <w:jc w:val="both"/>
        <w:rPr>
          <w:rFonts w:ascii="Arial" w:hAnsi="Arial" w:cs="Arial"/>
          <w:sz w:val="22"/>
          <w:szCs w:val="22"/>
        </w:rPr>
      </w:pPr>
      <w:r w:rsidRPr="0001502D">
        <w:rPr>
          <w:rFonts w:ascii="Arial" w:hAnsi="Arial" w:cs="Arial"/>
          <w:sz w:val="22"/>
          <w:szCs w:val="22"/>
        </w:rPr>
        <w:t xml:space="preserve">R.1 : </w:t>
      </w:r>
      <w:r w:rsidRPr="0001502D">
        <w:rPr>
          <w:rFonts w:ascii="Arial" w:hAnsi="Arial" w:cs="Arial"/>
          <w:sz w:val="22"/>
          <w:szCs w:val="22"/>
        </w:rPr>
        <w:tab/>
        <w:t>La dimension sociale de l</w:t>
      </w:r>
      <w:r w:rsidR="009C104E">
        <w:rPr>
          <w:rFonts w:ascii="Arial" w:hAnsi="Arial" w:cs="Arial"/>
          <w:sz w:val="22"/>
          <w:szCs w:val="22"/>
        </w:rPr>
        <w:t>’</w:t>
      </w:r>
      <w:r w:rsidRPr="0001502D">
        <w:rPr>
          <w:rFonts w:ascii="Arial" w:hAnsi="Arial" w:cs="Arial"/>
          <w:sz w:val="22"/>
          <w:szCs w:val="22"/>
        </w:rPr>
        <w:t>ak-kalpak est tournée vers l</w:t>
      </w:r>
      <w:r w:rsidR="009C104E">
        <w:rPr>
          <w:rFonts w:ascii="Arial" w:hAnsi="Arial" w:cs="Arial"/>
          <w:sz w:val="22"/>
          <w:szCs w:val="22"/>
        </w:rPr>
        <w:t>’</w:t>
      </w:r>
      <w:r w:rsidRPr="0001502D">
        <w:rPr>
          <w:rFonts w:ascii="Arial" w:hAnsi="Arial" w:cs="Arial"/>
          <w:sz w:val="22"/>
          <w:szCs w:val="22"/>
        </w:rPr>
        <w:t>intégration car l</w:t>
      </w:r>
      <w:r w:rsidR="009C104E">
        <w:rPr>
          <w:rFonts w:ascii="Arial" w:hAnsi="Arial" w:cs="Arial"/>
          <w:sz w:val="22"/>
          <w:szCs w:val="22"/>
        </w:rPr>
        <w:t>’</w:t>
      </w:r>
      <w:r w:rsidRPr="0001502D">
        <w:rPr>
          <w:rFonts w:ascii="Arial" w:hAnsi="Arial" w:cs="Arial"/>
          <w:sz w:val="22"/>
          <w:szCs w:val="22"/>
        </w:rPr>
        <w:t>élément réunit différentes tribus et communautés kirghizes, des hommes de tous âges, niveaux d</w:t>
      </w:r>
      <w:r w:rsidR="009C104E">
        <w:rPr>
          <w:rFonts w:ascii="Arial" w:hAnsi="Arial" w:cs="Arial"/>
          <w:sz w:val="22"/>
          <w:szCs w:val="22"/>
        </w:rPr>
        <w:t>’</w:t>
      </w:r>
      <w:r w:rsidRPr="0001502D">
        <w:rPr>
          <w:rFonts w:ascii="Arial" w:hAnsi="Arial" w:cs="Arial"/>
          <w:sz w:val="22"/>
          <w:szCs w:val="22"/>
        </w:rPr>
        <w:t>éducation et statuts sociaux ainsi que des artisanes. Cette pratique unit les individus et leur donne un sentiment d</w:t>
      </w:r>
      <w:r w:rsidR="009C104E">
        <w:rPr>
          <w:rFonts w:ascii="Arial" w:hAnsi="Arial" w:cs="Arial"/>
          <w:sz w:val="22"/>
          <w:szCs w:val="22"/>
        </w:rPr>
        <w:t>’</w:t>
      </w:r>
      <w:r w:rsidRPr="0001502D">
        <w:rPr>
          <w:rFonts w:ascii="Arial" w:hAnsi="Arial" w:cs="Arial"/>
          <w:sz w:val="22"/>
          <w:szCs w:val="22"/>
        </w:rPr>
        <w:t>identité culturelle partagée fondée sur un patrimoine culturel commun, tout en assurant une source de revenus à un grand nombre de jeunes femmes. L</w:t>
      </w:r>
      <w:r w:rsidR="009C104E">
        <w:rPr>
          <w:rFonts w:ascii="Arial" w:hAnsi="Arial" w:cs="Arial"/>
          <w:sz w:val="22"/>
          <w:szCs w:val="22"/>
        </w:rPr>
        <w:t>’</w:t>
      </w:r>
      <w:r w:rsidRPr="0001502D">
        <w:rPr>
          <w:rFonts w:ascii="Arial" w:hAnsi="Arial" w:cs="Arial"/>
          <w:sz w:val="22"/>
          <w:szCs w:val="22"/>
        </w:rPr>
        <w:t>élément se transmet de génération en génération, de mère en fille et au sein des communautés d</w:t>
      </w:r>
      <w:r w:rsidR="009C104E">
        <w:rPr>
          <w:rFonts w:ascii="Arial" w:hAnsi="Arial" w:cs="Arial"/>
          <w:sz w:val="22"/>
          <w:szCs w:val="22"/>
        </w:rPr>
        <w:t>’</w:t>
      </w:r>
      <w:r w:rsidRPr="0001502D">
        <w:rPr>
          <w:rFonts w:ascii="Arial" w:hAnsi="Arial" w:cs="Arial"/>
          <w:sz w:val="22"/>
          <w:szCs w:val="22"/>
        </w:rPr>
        <w:t>artisanes.</w:t>
      </w:r>
    </w:p>
    <w:p w14:paraId="695328F0" w14:textId="34AD5302" w:rsidR="0001502D" w:rsidRPr="0001502D" w:rsidRDefault="0001502D" w:rsidP="007B23DE">
      <w:pPr>
        <w:tabs>
          <w:tab w:val="left" w:pos="1134"/>
          <w:tab w:val="left" w:pos="2268"/>
        </w:tabs>
        <w:spacing w:before="120" w:after="120"/>
        <w:ind w:left="1134" w:hanging="555"/>
        <w:jc w:val="both"/>
        <w:rPr>
          <w:rFonts w:ascii="Arial" w:hAnsi="Arial" w:cs="Arial"/>
          <w:sz w:val="22"/>
          <w:szCs w:val="22"/>
        </w:rPr>
      </w:pPr>
      <w:r w:rsidRPr="0001502D">
        <w:rPr>
          <w:rFonts w:ascii="Arial" w:hAnsi="Arial" w:cs="Arial"/>
          <w:sz w:val="22"/>
          <w:szCs w:val="22"/>
        </w:rPr>
        <w:t xml:space="preserve">R.2 : </w:t>
      </w:r>
      <w:r w:rsidRPr="0001502D">
        <w:rPr>
          <w:rFonts w:ascii="Arial" w:hAnsi="Arial" w:cs="Arial"/>
          <w:sz w:val="22"/>
          <w:szCs w:val="22"/>
        </w:rPr>
        <w:tab/>
        <w:t>L</w:t>
      </w:r>
      <w:r w:rsidR="009C104E">
        <w:rPr>
          <w:rFonts w:ascii="Arial" w:hAnsi="Arial" w:cs="Arial"/>
          <w:sz w:val="22"/>
          <w:szCs w:val="22"/>
        </w:rPr>
        <w:t>’</w:t>
      </w:r>
      <w:r w:rsidRPr="0001502D">
        <w:rPr>
          <w:rFonts w:ascii="Arial" w:hAnsi="Arial" w:cs="Arial"/>
          <w:sz w:val="22"/>
          <w:szCs w:val="22"/>
        </w:rPr>
        <w:t>inscription de l</w:t>
      </w:r>
      <w:r w:rsidR="009C104E">
        <w:rPr>
          <w:rFonts w:ascii="Arial" w:hAnsi="Arial" w:cs="Arial"/>
          <w:sz w:val="22"/>
          <w:szCs w:val="22"/>
        </w:rPr>
        <w:t>’</w:t>
      </w:r>
      <w:r w:rsidRPr="0001502D">
        <w:rPr>
          <w:rFonts w:ascii="Arial" w:hAnsi="Arial" w:cs="Arial"/>
          <w:sz w:val="22"/>
          <w:szCs w:val="22"/>
        </w:rPr>
        <w:t>artisanat de l</w:t>
      </w:r>
      <w:r w:rsidR="009C104E">
        <w:rPr>
          <w:rFonts w:ascii="Arial" w:hAnsi="Arial" w:cs="Arial"/>
          <w:sz w:val="22"/>
          <w:szCs w:val="22"/>
        </w:rPr>
        <w:t>’</w:t>
      </w:r>
      <w:r w:rsidRPr="0001502D">
        <w:rPr>
          <w:rFonts w:ascii="Arial" w:hAnsi="Arial" w:cs="Arial"/>
          <w:sz w:val="22"/>
          <w:szCs w:val="22"/>
        </w:rPr>
        <w:t>ak-kalpak susciterait de l</w:t>
      </w:r>
      <w:r w:rsidR="009C104E">
        <w:rPr>
          <w:rFonts w:ascii="Arial" w:hAnsi="Arial" w:cs="Arial"/>
          <w:sz w:val="22"/>
          <w:szCs w:val="22"/>
        </w:rPr>
        <w:t>’</w:t>
      </w:r>
      <w:r w:rsidRPr="0001502D">
        <w:rPr>
          <w:rFonts w:ascii="Arial" w:hAnsi="Arial" w:cs="Arial"/>
          <w:sz w:val="22"/>
          <w:szCs w:val="22"/>
        </w:rPr>
        <w:t>intérêt et favoriserait le respect des artisanats traditionnels liés à la fabrication des chapeaux. Elle représenterait un exemple à suivre pour la sauvegarde et le développement de la culture des couvre-chefs d</w:t>
      </w:r>
      <w:r w:rsidR="009C104E">
        <w:rPr>
          <w:rFonts w:ascii="Arial" w:hAnsi="Arial" w:cs="Arial"/>
          <w:sz w:val="22"/>
          <w:szCs w:val="22"/>
        </w:rPr>
        <w:t>’</w:t>
      </w:r>
      <w:r w:rsidRPr="0001502D">
        <w:rPr>
          <w:rFonts w:ascii="Arial" w:hAnsi="Arial" w:cs="Arial"/>
          <w:sz w:val="22"/>
          <w:szCs w:val="22"/>
        </w:rPr>
        <w:t>autres groupes à travers le monde. Par ailleurs, elle attirerait l</w:t>
      </w:r>
      <w:r w:rsidR="009C104E">
        <w:rPr>
          <w:rFonts w:ascii="Arial" w:hAnsi="Arial" w:cs="Arial"/>
          <w:sz w:val="22"/>
          <w:szCs w:val="22"/>
        </w:rPr>
        <w:t>’</w:t>
      </w:r>
      <w:r w:rsidRPr="0001502D">
        <w:rPr>
          <w:rFonts w:ascii="Arial" w:hAnsi="Arial" w:cs="Arial"/>
          <w:sz w:val="22"/>
          <w:szCs w:val="22"/>
        </w:rPr>
        <w:t>attention à l</w:t>
      </w:r>
      <w:r w:rsidR="009C104E">
        <w:rPr>
          <w:rFonts w:ascii="Arial" w:hAnsi="Arial" w:cs="Arial"/>
          <w:sz w:val="22"/>
          <w:szCs w:val="22"/>
        </w:rPr>
        <w:t>’</w:t>
      </w:r>
      <w:r w:rsidRPr="0001502D">
        <w:rPr>
          <w:rFonts w:ascii="Arial" w:hAnsi="Arial" w:cs="Arial"/>
          <w:sz w:val="22"/>
          <w:szCs w:val="22"/>
        </w:rPr>
        <w:t>échelle nationale et internationale pour faciliter la compréhension des traditions associées à l</w:t>
      </w:r>
      <w:r w:rsidR="009C104E">
        <w:rPr>
          <w:rFonts w:ascii="Arial" w:hAnsi="Arial" w:cs="Arial"/>
          <w:sz w:val="22"/>
          <w:szCs w:val="22"/>
        </w:rPr>
        <w:t>’</w:t>
      </w:r>
      <w:r w:rsidRPr="0001502D">
        <w:rPr>
          <w:rFonts w:ascii="Arial" w:hAnsi="Arial" w:cs="Arial"/>
          <w:sz w:val="22"/>
          <w:szCs w:val="22"/>
        </w:rPr>
        <w:t>élevage de moutons et des aspects sacrés du port de ce chapeau, de l</w:t>
      </w:r>
      <w:r w:rsidR="009C104E">
        <w:rPr>
          <w:rFonts w:ascii="Arial" w:hAnsi="Arial" w:cs="Arial"/>
          <w:sz w:val="22"/>
          <w:szCs w:val="22"/>
        </w:rPr>
        <w:t>’</w:t>
      </w:r>
      <w:r w:rsidRPr="0001502D">
        <w:rPr>
          <w:rFonts w:ascii="Arial" w:hAnsi="Arial" w:cs="Arial"/>
          <w:sz w:val="22"/>
          <w:szCs w:val="22"/>
        </w:rPr>
        <w:t>utilisation de la laine, de l</w:t>
      </w:r>
      <w:r w:rsidR="009C104E">
        <w:rPr>
          <w:rFonts w:ascii="Arial" w:hAnsi="Arial" w:cs="Arial"/>
          <w:sz w:val="22"/>
          <w:szCs w:val="22"/>
        </w:rPr>
        <w:t>’</w:t>
      </w:r>
      <w:r w:rsidRPr="0001502D">
        <w:rPr>
          <w:rFonts w:ascii="Arial" w:hAnsi="Arial" w:cs="Arial"/>
          <w:sz w:val="22"/>
          <w:szCs w:val="22"/>
        </w:rPr>
        <w:t>artisanat et des motifs brodés.</w:t>
      </w:r>
    </w:p>
    <w:p w14:paraId="365666D0" w14:textId="7BC7027E" w:rsidR="0001502D" w:rsidRPr="0001502D" w:rsidRDefault="0001502D" w:rsidP="007B23DE">
      <w:pPr>
        <w:tabs>
          <w:tab w:val="left" w:pos="1134"/>
          <w:tab w:val="left" w:pos="2268"/>
        </w:tabs>
        <w:spacing w:before="120" w:after="120"/>
        <w:ind w:left="1134" w:hanging="555"/>
        <w:jc w:val="both"/>
        <w:rPr>
          <w:rFonts w:ascii="Arial" w:hAnsi="Arial" w:cs="Arial"/>
          <w:sz w:val="22"/>
          <w:szCs w:val="22"/>
        </w:rPr>
      </w:pPr>
      <w:r w:rsidRPr="0001502D">
        <w:rPr>
          <w:rFonts w:ascii="Arial" w:hAnsi="Arial" w:cs="Arial"/>
          <w:sz w:val="22"/>
          <w:szCs w:val="22"/>
        </w:rPr>
        <w:t xml:space="preserve">R.3 : </w:t>
      </w:r>
      <w:r w:rsidRPr="0001502D">
        <w:rPr>
          <w:rFonts w:ascii="Arial" w:hAnsi="Arial" w:cs="Arial"/>
          <w:sz w:val="22"/>
          <w:szCs w:val="22"/>
        </w:rPr>
        <w:tab/>
        <w:t>La sauvegarde de l</w:t>
      </w:r>
      <w:r w:rsidR="009C104E">
        <w:rPr>
          <w:rFonts w:ascii="Arial" w:hAnsi="Arial" w:cs="Arial"/>
          <w:sz w:val="22"/>
          <w:szCs w:val="22"/>
        </w:rPr>
        <w:t>’</w:t>
      </w:r>
      <w:r w:rsidRPr="0001502D">
        <w:rPr>
          <w:rFonts w:ascii="Arial" w:hAnsi="Arial" w:cs="Arial"/>
          <w:sz w:val="22"/>
          <w:szCs w:val="22"/>
        </w:rPr>
        <w:t>artisanat de l</w:t>
      </w:r>
      <w:r w:rsidR="009C104E">
        <w:rPr>
          <w:rFonts w:ascii="Arial" w:hAnsi="Arial" w:cs="Arial"/>
          <w:sz w:val="22"/>
          <w:szCs w:val="22"/>
        </w:rPr>
        <w:t>’</w:t>
      </w:r>
      <w:r w:rsidRPr="0001502D">
        <w:rPr>
          <w:rFonts w:ascii="Arial" w:hAnsi="Arial" w:cs="Arial"/>
          <w:sz w:val="22"/>
          <w:szCs w:val="22"/>
        </w:rPr>
        <w:t>ak-kalpak est assurée par les communautés et les détenteurs concernés par le biais d</w:t>
      </w:r>
      <w:r w:rsidR="009C104E">
        <w:rPr>
          <w:rFonts w:ascii="Arial" w:hAnsi="Arial" w:cs="Arial"/>
          <w:sz w:val="22"/>
          <w:szCs w:val="22"/>
        </w:rPr>
        <w:t>’</w:t>
      </w:r>
      <w:r w:rsidRPr="0001502D">
        <w:rPr>
          <w:rFonts w:ascii="Arial" w:hAnsi="Arial" w:cs="Arial"/>
          <w:sz w:val="22"/>
          <w:szCs w:val="22"/>
        </w:rPr>
        <w:t>ateliers, de festivals, d</w:t>
      </w:r>
      <w:r w:rsidR="009C104E">
        <w:rPr>
          <w:rFonts w:ascii="Arial" w:hAnsi="Arial" w:cs="Arial"/>
          <w:sz w:val="22"/>
          <w:szCs w:val="22"/>
        </w:rPr>
        <w:t>’</w:t>
      </w:r>
      <w:r w:rsidRPr="0001502D">
        <w:rPr>
          <w:rFonts w:ascii="Arial" w:hAnsi="Arial" w:cs="Arial"/>
          <w:sz w:val="22"/>
          <w:szCs w:val="22"/>
        </w:rPr>
        <w:t>expositions et de séminaires, mais aussi de projets d</w:t>
      </w:r>
      <w:r w:rsidR="009C104E">
        <w:rPr>
          <w:rFonts w:ascii="Arial" w:hAnsi="Arial" w:cs="Arial"/>
          <w:sz w:val="22"/>
          <w:szCs w:val="22"/>
        </w:rPr>
        <w:t>’</w:t>
      </w:r>
      <w:r w:rsidRPr="0001502D">
        <w:rPr>
          <w:rFonts w:ascii="Arial" w:hAnsi="Arial" w:cs="Arial"/>
          <w:sz w:val="22"/>
          <w:szCs w:val="22"/>
        </w:rPr>
        <w:t>inventaire et de recherche. L</w:t>
      </w:r>
      <w:r w:rsidR="009C104E">
        <w:rPr>
          <w:rFonts w:ascii="Arial" w:hAnsi="Arial" w:cs="Arial"/>
          <w:sz w:val="22"/>
          <w:szCs w:val="22"/>
        </w:rPr>
        <w:t>’</w:t>
      </w:r>
      <w:r w:rsidRPr="0001502D">
        <w:rPr>
          <w:rFonts w:ascii="Arial" w:hAnsi="Arial" w:cs="Arial"/>
          <w:sz w:val="22"/>
          <w:szCs w:val="22"/>
        </w:rPr>
        <w:t>État partie a également mis en place des mesures de sauvegarde, qui concernent notamment le développement d</w:t>
      </w:r>
      <w:r w:rsidR="009C104E">
        <w:rPr>
          <w:rFonts w:ascii="Arial" w:hAnsi="Arial" w:cs="Arial"/>
          <w:sz w:val="22"/>
          <w:szCs w:val="22"/>
        </w:rPr>
        <w:t>’</w:t>
      </w:r>
      <w:r w:rsidRPr="0001502D">
        <w:rPr>
          <w:rFonts w:ascii="Arial" w:hAnsi="Arial" w:cs="Arial"/>
          <w:sz w:val="22"/>
          <w:szCs w:val="22"/>
        </w:rPr>
        <w:t>un programme dédié dans les établissements d</w:t>
      </w:r>
      <w:r w:rsidR="009C104E">
        <w:rPr>
          <w:rFonts w:ascii="Arial" w:hAnsi="Arial" w:cs="Arial"/>
          <w:sz w:val="22"/>
          <w:szCs w:val="22"/>
        </w:rPr>
        <w:t>’</w:t>
      </w:r>
      <w:r w:rsidRPr="0001502D">
        <w:rPr>
          <w:rFonts w:ascii="Arial" w:hAnsi="Arial" w:cs="Arial"/>
          <w:sz w:val="22"/>
          <w:szCs w:val="22"/>
        </w:rPr>
        <w:t>enseignement professionnel et la mise en lumière de l</w:t>
      </w:r>
      <w:r w:rsidR="009C104E">
        <w:rPr>
          <w:rFonts w:ascii="Arial" w:hAnsi="Arial" w:cs="Arial"/>
          <w:sz w:val="22"/>
          <w:szCs w:val="22"/>
        </w:rPr>
        <w:t>’</w:t>
      </w:r>
      <w:r w:rsidRPr="0001502D">
        <w:rPr>
          <w:rFonts w:ascii="Arial" w:hAnsi="Arial" w:cs="Arial"/>
          <w:sz w:val="22"/>
          <w:szCs w:val="22"/>
        </w:rPr>
        <w:t>élément dans les médias. Cohérentes et bien structurées, les mesures de sauvegarde proposées portent sur quatre domaines : la transmission ; la promotion ; la documentation et la recherche ; et la sensibilisation. Elles ont été élaborées avec la participation de la communauté des artisanes de l</w:t>
      </w:r>
      <w:r w:rsidR="009C104E">
        <w:rPr>
          <w:rFonts w:ascii="Arial" w:hAnsi="Arial" w:cs="Arial"/>
          <w:sz w:val="22"/>
          <w:szCs w:val="22"/>
        </w:rPr>
        <w:t>’</w:t>
      </w:r>
      <w:r w:rsidRPr="0001502D">
        <w:rPr>
          <w:rFonts w:ascii="Arial" w:hAnsi="Arial" w:cs="Arial"/>
          <w:sz w:val="22"/>
          <w:szCs w:val="22"/>
        </w:rPr>
        <w:t>ak-kalpak et de représentants du Conseil pour l</w:t>
      </w:r>
      <w:r w:rsidR="009C104E">
        <w:rPr>
          <w:rFonts w:ascii="Arial" w:hAnsi="Arial" w:cs="Arial"/>
          <w:sz w:val="22"/>
          <w:szCs w:val="22"/>
        </w:rPr>
        <w:t>’</w:t>
      </w:r>
      <w:r w:rsidRPr="0001502D">
        <w:rPr>
          <w:rFonts w:ascii="Arial" w:hAnsi="Arial" w:cs="Arial"/>
          <w:sz w:val="22"/>
          <w:szCs w:val="22"/>
        </w:rPr>
        <w:t>artisanat. L</w:t>
      </w:r>
      <w:r w:rsidR="009C104E">
        <w:rPr>
          <w:rFonts w:ascii="Arial" w:hAnsi="Arial" w:cs="Arial"/>
          <w:sz w:val="22"/>
          <w:szCs w:val="22"/>
        </w:rPr>
        <w:t>’</w:t>
      </w:r>
      <w:r w:rsidRPr="0001502D">
        <w:rPr>
          <w:rFonts w:ascii="Arial" w:hAnsi="Arial" w:cs="Arial"/>
          <w:sz w:val="22"/>
          <w:szCs w:val="22"/>
        </w:rPr>
        <w:t>État partie s</w:t>
      </w:r>
      <w:r w:rsidR="009C104E">
        <w:rPr>
          <w:rFonts w:ascii="Arial" w:hAnsi="Arial" w:cs="Arial"/>
          <w:sz w:val="22"/>
          <w:szCs w:val="22"/>
        </w:rPr>
        <w:t>’</w:t>
      </w:r>
      <w:r w:rsidRPr="0001502D">
        <w:rPr>
          <w:rFonts w:ascii="Arial" w:hAnsi="Arial" w:cs="Arial"/>
          <w:sz w:val="22"/>
          <w:szCs w:val="22"/>
        </w:rPr>
        <w:t>est engagé à soutenir financièrement leur mise en œuvre.</w:t>
      </w:r>
    </w:p>
    <w:p w14:paraId="2BB31B6C" w14:textId="504B6553" w:rsidR="0001502D" w:rsidRPr="0001502D" w:rsidRDefault="0001502D" w:rsidP="007B23DE">
      <w:pPr>
        <w:tabs>
          <w:tab w:val="left" w:pos="1134"/>
          <w:tab w:val="left" w:pos="2268"/>
        </w:tabs>
        <w:spacing w:before="120" w:after="120"/>
        <w:ind w:left="1134" w:hanging="555"/>
        <w:jc w:val="both"/>
        <w:rPr>
          <w:rFonts w:ascii="Arial" w:hAnsi="Arial" w:cs="Arial"/>
          <w:sz w:val="22"/>
          <w:szCs w:val="22"/>
        </w:rPr>
      </w:pPr>
      <w:r w:rsidRPr="0001502D">
        <w:rPr>
          <w:rFonts w:ascii="Arial" w:hAnsi="Arial" w:cs="Arial"/>
          <w:sz w:val="22"/>
          <w:szCs w:val="22"/>
        </w:rPr>
        <w:t xml:space="preserve">R.4 : </w:t>
      </w:r>
      <w:r w:rsidRPr="0001502D">
        <w:rPr>
          <w:rFonts w:ascii="Arial" w:hAnsi="Arial" w:cs="Arial"/>
          <w:sz w:val="22"/>
          <w:szCs w:val="22"/>
        </w:rPr>
        <w:tab/>
        <w:t>Lancée en 2014, la préparation du dossier de candidature a été portée par la communauté des artisanes de l</w:t>
      </w:r>
      <w:r w:rsidR="009C104E">
        <w:rPr>
          <w:rFonts w:ascii="Arial" w:hAnsi="Arial" w:cs="Arial"/>
          <w:sz w:val="22"/>
          <w:szCs w:val="22"/>
        </w:rPr>
        <w:t>’</w:t>
      </w:r>
      <w:r w:rsidRPr="0001502D">
        <w:rPr>
          <w:rFonts w:ascii="Arial" w:hAnsi="Arial" w:cs="Arial"/>
          <w:sz w:val="22"/>
          <w:szCs w:val="22"/>
        </w:rPr>
        <w:t>ak-kalpak et le Conseil pour l</w:t>
      </w:r>
      <w:r w:rsidR="009C104E">
        <w:rPr>
          <w:rFonts w:ascii="Arial" w:hAnsi="Arial" w:cs="Arial"/>
          <w:sz w:val="22"/>
          <w:szCs w:val="22"/>
        </w:rPr>
        <w:t>’</w:t>
      </w:r>
      <w:r w:rsidRPr="0001502D">
        <w:rPr>
          <w:rFonts w:ascii="Arial" w:hAnsi="Arial" w:cs="Arial"/>
          <w:sz w:val="22"/>
          <w:szCs w:val="22"/>
        </w:rPr>
        <w:t>artisanat. En 2015, un groupe de travail rassemblant des acteurs pertinents a été créé pour fournir un soutien organisationnel et logistique plus efficace. Après plusieurs réunions et tables rondes organisées dans les différentes régions du pays avec les communautés de détenteurs, un projet de dossier de candidature a été transmis au Ministère de la culture et à la Commission nationale de la République kirghize pour l</w:t>
      </w:r>
      <w:r w:rsidR="009C104E">
        <w:rPr>
          <w:rFonts w:ascii="Arial" w:hAnsi="Arial" w:cs="Arial"/>
          <w:sz w:val="22"/>
          <w:szCs w:val="22"/>
        </w:rPr>
        <w:t>’</w:t>
      </w:r>
      <w:r w:rsidRPr="0001502D">
        <w:rPr>
          <w:rFonts w:ascii="Arial" w:hAnsi="Arial" w:cs="Arial"/>
          <w:sz w:val="22"/>
          <w:szCs w:val="22"/>
        </w:rPr>
        <w:t>UNESCO.</w:t>
      </w:r>
    </w:p>
    <w:p w14:paraId="112FBA41" w14:textId="0FBEEBC1" w:rsidR="0001502D" w:rsidRPr="0001502D" w:rsidRDefault="0001502D" w:rsidP="007B23DE">
      <w:pPr>
        <w:tabs>
          <w:tab w:val="left" w:pos="1134"/>
          <w:tab w:val="left" w:pos="2268"/>
        </w:tabs>
        <w:spacing w:before="120" w:after="120"/>
        <w:ind w:left="1134" w:hanging="555"/>
        <w:jc w:val="both"/>
        <w:rPr>
          <w:rFonts w:ascii="Arial" w:hAnsi="Arial" w:cs="Arial"/>
          <w:sz w:val="22"/>
          <w:szCs w:val="22"/>
        </w:rPr>
      </w:pPr>
      <w:r w:rsidRPr="0001502D">
        <w:rPr>
          <w:rFonts w:ascii="Arial" w:hAnsi="Arial" w:cs="Arial"/>
          <w:sz w:val="22"/>
          <w:szCs w:val="22"/>
        </w:rPr>
        <w:t>R.5 :</w:t>
      </w:r>
      <w:r w:rsidRPr="0001502D">
        <w:rPr>
          <w:rFonts w:ascii="Arial" w:hAnsi="Arial" w:cs="Arial"/>
          <w:sz w:val="22"/>
          <w:szCs w:val="22"/>
        </w:rPr>
        <w:tab/>
        <w:t>L</w:t>
      </w:r>
      <w:r w:rsidR="009C104E">
        <w:rPr>
          <w:rFonts w:ascii="Arial" w:hAnsi="Arial" w:cs="Arial"/>
          <w:sz w:val="22"/>
          <w:szCs w:val="22"/>
        </w:rPr>
        <w:t>’</w:t>
      </w:r>
      <w:r w:rsidRPr="0001502D">
        <w:rPr>
          <w:rFonts w:ascii="Arial" w:hAnsi="Arial" w:cs="Arial"/>
          <w:sz w:val="22"/>
          <w:szCs w:val="22"/>
        </w:rPr>
        <w:t>élément est inclus dans l</w:t>
      </w:r>
      <w:r w:rsidR="009C104E">
        <w:rPr>
          <w:rFonts w:ascii="Arial" w:hAnsi="Arial" w:cs="Arial"/>
          <w:sz w:val="22"/>
          <w:szCs w:val="22"/>
        </w:rPr>
        <w:t>’</w:t>
      </w:r>
      <w:r w:rsidRPr="0001502D">
        <w:rPr>
          <w:rFonts w:ascii="Arial" w:hAnsi="Arial" w:cs="Arial"/>
          <w:sz w:val="22"/>
          <w:szCs w:val="22"/>
        </w:rPr>
        <w:t>Inventaire national des éléments du patrimoine culturel immatériel de la République kirghize depuis 2008. Il a fait l</w:t>
      </w:r>
      <w:r w:rsidR="009C104E">
        <w:rPr>
          <w:rFonts w:ascii="Arial" w:hAnsi="Arial" w:cs="Arial"/>
          <w:sz w:val="22"/>
          <w:szCs w:val="22"/>
        </w:rPr>
        <w:t>’</w:t>
      </w:r>
      <w:r w:rsidRPr="0001502D">
        <w:rPr>
          <w:rFonts w:ascii="Arial" w:hAnsi="Arial" w:cs="Arial"/>
          <w:sz w:val="22"/>
          <w:szCs w:val="22"/>
        </w:rPr>
        <w:t>objet d</w:t>
      </w:r>
      <w:r w:rsidR="009C104E">
        <w:rPr>
          <w:rFonts w:ascii="Arial" w:hAnsi="Arial" w:cs="Arial"/>
          <w:sz w:val="22"/>
          <w:szCs w:val="22"/>
        </w:rPr>
        <w:t>’</w:t>
      </w:r>
      <w:r w:rsidRPr="0001502D">
        <w:rPr>
          <w:rFonts w:ascii="Arial" w:hAnsi="Arial" w:cs="Arial"/>
          <w:sz w:val="22"/>
          <w:szCs w:val="22"/>
        </w:rPr>
        <w:t>une mise à jour en 2015. Le Ministère de la culture, de l</w:t>
      </w:r>
      <w:r w:rsidR="009C104E">
        <w:rPr>
          <w:rFonts w:ascii="Arial" w:hAnsi="Arial" w:cs="Arial"/>
          <w:sz w:val="22"/>
          <w:szCs w:val="22"/>
        </w:rPr>
        <w:t>’</w:t>
      </w:r>
      <w:r w:rsidRPr="0001502D">
        <w:rPr>
          <w:rFonts w:ascii="Arial" w:hAnsi="Arial" w:cs="Arial"/>
          <w:sz w:val="22"/>
          <w:szCs w:val="22"/>
        </w:rPr>
        <w:t>information et du tourisme de la République kirghize, l</w:t>
      </w:r>
      <w:r w:rsidR="009C104E">
        <w:rPr>
          <w:rFonts w:ascii="Arial" w:hAnsi="Arial" w:cs="Arial"/>
          <w:sz w:val="22"/>
          <w:szCs w:val="22"/>
        </w:rPr>
        <w:t>’</w:t>
      </w:r>
      <w:r w:rsidRPr="0001502D">
        <w:rPr>
          <w:rFonts w:ascii="Arial" w:hAnsi="Arial" w:cs="Arial"/>
          <w:sz w:val="22"/>
          <w:szCs w:val="22"/>
        </w:rPr>
        <w:t>Académie nationale des sciences de la République kirghize et le Comité national du patrimoine culturel immatériel sont les organismes responsables de la gestion et de la mise à jour de cet inventaire. En moyenne, il est mis à jour tous les trois ans sur la base de propositions formulées par les communautés, les organisations non gouvernementales et les praticiens concernés.</w:t>
      </w:r>
    </w:p>
    <w:p w14:paraId="6F09160B" w14:textId="093F57A4" w:rsidR="0001502D" w:rsidRPr="0001502D" w:rsidRDefault="0001502D" w:rsidP="00771F30">
      <w:pPr>
        <w:numPr>
          <w:ilvl w:val="1"/>
          <w:numId w:val="27"/>
        </w:numPr>
        <w:tabs>
          <w:tab w:val="left" w:pos="567"/>
          <w:tab w:val="left" w:pos="2268"/>
        </w:tabs>
        <w:spacing w:before="120" w:after="120"/>
        <w:jc w:val="both"/>
        <w:rPr>
          <w:rFonts w:ascii="Arial" w:hAnsi="Arial" w:cs="Arial"/>
          <w:sz w:val="22"/>
          <w:szCs w:val="22"/>
          <w:lang w:eastAsia="ko-KR"/>
        </w:rPr>
      </w:pPr>
      <w:r w:rsidRPr="0001502D">
        <w:rPr>
          <w:rFonts w:ascii="Arial" w:hAnsi="Arial" w:cs="Arial"/>
          <w:sz w:val="22"/>
          <w:szCs w:val="22"/>
          <w:u w:val="single"/>
          <w:lang w:eastAsia="ko-KR"/>
        </w:rPr>
        <w:t>Décide d</w:t>
      </w:r>
      <w:r w:rsidR="009C104E">
        <w:rPr>
          <w:rFonts w:ascii="Arial" w:hAnsi="Arial" w:cs="Arial"/>
          <w:sz w:val="22"/>
          <w:szCs w:val="22"/>
          <w:u w:val="single"/>
          <w:lang w:eastAsia="ko-KR"/>
        </w:rPr>
        <w:t>’</w:t>
      </w:r>
      <w:r w:rsidRPr="0001502D">
        <w:rPr>
          <w:rFonts w:ascii="Arial" w:hAnsi="Arial" w:cs="Arial"/>
          <w:sz w:val="22"/>
          <w:szCs w:val="22"/>
          <w:u w:val="single"/>
          <w:lang w:eastAsia="ko-KR"/>
        </w:rPr>
        <w:t>inscrire</w:t>
      </w:r>
      <w:r w:rsidRPr="0001502D">
        <w:rPr>
          <w:rFonts w:ascii="Arial" w:hAnsi="Arial" w:cs="Arial"/>
          <w:sz w:val="22"/>
          <w:szCs w:val="22"/>
          <w:lang w:eastAsia="ko-KR"/>
        </w:rPr>
        <w:t xml:space="preserve"> </w:t>
      </w:r>
      <w:r w:rsidRPr="0001502D">
        <w:rPr>
          <w:rFonts w:ascii="Arial" w:hAnsi="Arial" w:cs="Arial"/>
          <w:b/>
          <w:sz w:val="22"/>
          <w:szCs w:val="22"/>
          <w:lang w:eastAsia="ko-KR"/>
        </w:rPr>
        <w:t>l</w:t>
      </w:r>
      <w:r w:rsidR="009C104E">
        <w:rPr>
          <w:rFonts w:ascii="Arial" w:hAnsi="Arial" w:cs="Arial"/>
          <w:b/>
          <w:sz w:val="22"/>
          <w:szCs w:val="22"/>
          <w:lang w:eastAsia="ko-KR"/>
        </w:rPr>
        <w:t>’</w:t>
      </w:r>
      <w:r w:rsidRPr="0001502D">
        <w:rPr>
          <w:rFonts w:ascii="Arial" w:hAnsi="Arial" w:cs="Arial"/>
          <w:b/>
          <w:sz w:val="22"/>
          <w:szCs w:val="22"/>
          <w:lang w:eastAsia="ko-KR"/>
        </w:rPr>
        <w:t>artisanat de l</w:t>
      </w:r>
      <w:r w:rsidR="009C104E">
        <w:rPr>
          <w:rFonts w:ascii="Arial" w:hAnsi="Arial" w:cs="Arial"/>
          <w:b/>
          <w:sz w:val="22"/>
          <w:szCs w:val="22"/>
          <w:lang w:eastAsia="ko-KR"/>
        </w:rPr>
        <w:t>’</w:t>
      </w:r>
      <w:r w:rsidRPr="0001502D">
        <w:rPr>
          <w:rFonts w:ascii="Arial" w:hAnsi="Arial" w:cs="Arial"/>
          <w:b/>
          <w:sz w:val="22"/>
          <w:szCs w:val="22"/>
          <w:lang w:eastAsia="ko-KR"/>
        </w:rPr>
        <w:t>ak-kalpak, connaissances et savoir-faire traditionnels liés à la fabrication et au port du chapeau masculin kirghiz</w:t>
      </w:r>
      <w:r w:rsidRPr="0001502D">
        <w:rPr>
          <w:rFonts w:ascii="Arial" w:hAnsi="Arial" w:cs="Arial"/>
          <w:sz w:val="22"/>
          <w:szCs w:val="22"/>
          <w:lang w:eastAsia="ko-KR"/>
        </w:rPr>
        <w:t xml:space="preserve"> sur la Liste représentative du patrimoine culturel immatériel de l</w:t>
      </w:r>
      <w:r w:rsidR="009C104E">
        <w:rPr>
          <w:rFonts w:ascii="Arial" w:hAnsi="Arial" w:cs="Arial"/>
          <w:sz w:val="22"/>
          <w:szCs w:val="22"/>
          <w:lang w:eastAsia="ko-KR"/>
        </w:rPr>
        <w:t>’</w:t>
      </w:r>
      <w:r w:rsidRPr="0001502D">
        <w:rPr>
          <w:rFonts w:ascii="Arial" w:hAnsi="Arial" w:cs="Arial"/>
          <w:sz w:val="22"/>
          <w:szCs w:val="22"/>
          <w:lang w:eastAsia="ko-KR"/>
        </w:rPr>
        <w:t>humanité.</w:t>
      </w:r>
    </w:p>
    <w:p w14:paraId="4A9F9A4F" w14:textId="4688ED70" w:rsidR="0001502D" w:rsidRPr="0001502D" w:rsidRDefault="0001502D" w:rsidP="00771F30">
      <w:pPr>
        <w:keepNext/>
        <w:keepLines/>
        <w:numPr>
          <w:ilvl w:val="0"/>
          <w:numId w:val="27"/>
        </w:numPr>
        <w:spacing w:before="360" w:after="120"/>
        <w:outlineLvl w:val="1"/>
        <w:rPr>
          <w:rFonts w:ascii="Arial" w:hAnsi="Arial" w:cs="Arial"/>
          <w:bCs/>
          <w:iCs/>
          <w:sz w:val="22"/>
          <w:szCs w:val="22"/>
        </w:rPr>
      </w:pPr>
      <w:bookmarkStart w:id="24" w:name="Decision_10b21"/>
      <w:r w:rsidRPr="0001502D">
        <w:rPr>
          <w:rFonts w:ascii="Arial" w:hAnsi="Arial" w:cs="Arial"/>
          <w:b/>
          <w:bCs/>
          <w:iCs/>
          <w:sz w:val="22"/>
          <w:szCs w:val="22"/>
        </w:rPr>
        <w:t xml:space="preserve">DÉCISION 14.COM 10.b.21 </w:t>
      </w:r>
    </w:p>
    <w:bookmarkEnd w:id="24"/>
    <w:p w14:paraId="67EF9B58" w14:textId="77777777" w:rsidR="0001502D" w:rsidRPr="0001502D" w:rsidRDefault="0001502D" w:rsidP="007B23DE">
      <w:pPr>
        <w:keepNext/>
        <w:tabs>
          <w:tab w:val="left" w:pos="567"/>
          <w:tab w:val="left" w:pos="1134"/>
          <w:tab w:val="left" w:pos="1701"/>
          <w:tab w:val="left" w:pos="2268"/>
        </w:tabs>
        <w:spacing w:before="120" w:after="120"/>
        <w:jc w:val="both"/>
        <w:rPr>
          <w:rFonts w:ascii="Arial" w:hAnsi="Arial" w:cs="Arial"/>
          <w:sz w:val="22"/>
          <w:szCs w:val="22"/>
        </w:rPr>
      </w:pPr>
      <w:r w:rsidRPr="0001502D">
        <w:rPr>
          <w:rFonts w:ascii="Arial" w:hAnsi="Arial" w:cs="Arial"/>
          <w:sz w:val="22"/>
          <w:szCs w:val="22"/>
        </w:rPr>
        <w:t>Le Comité,</w:t>
      </w:r>
    </w:p>
    <w:p w14:paraId="6E276638" w14:textId="6DACF52E" w:rsidR="0001502D" w:rsidRPr="0001502D" w:rsidRDefault="0001502D" w:rsidP="00771F30">
      <w:pPr>
        <w:numPr>
          <w:ilvl w:val="1"/>
          <w:numId w:val="27"/>
        </w:numPr>
        <w:tabs>
          <w:tab w:val="left" w:pos="567"/>
          <w:tab w:val="left" w:pos="1701"/>
          <w:tab w:val="left" w:pos="2268"/>
        </w:tabs>
        <w:spacing w:before="120" w:after="120"/>
        <w:jc w:val="both"/>
        <w:rPr>
          <w:rFonts w:ascii="Arial" w:hAnsi="Arial" w:cs="Arial"/>
          <w:sz w:val="22"/>
          <w:szCs w:val="22"/>
          <w:lang w:eastAsia="ko-KR"/>
        </w:rPr>
      </w:pPr>
      <w:r w:rsidRPr="0001502D">
        <w:rPr>
          <w:rFonts w:ascii="Arial" w:hAnsi="Arial" w:cs="Arial"/>
          <w:sz w:val="22"/>
          <w:szCs w:val="22"/>
          <w:u w:val="single"/>
          <w:lang w:eastAsia="ko-KR"/>
        </w:rPr>
        <w:t>Prend note</w:t>
      </w:r>
      <w:r w:rsidRPr="0001502D">
        <w:rPr>
          <w:rFonts w:ascii="Arial" w:hAnsi="Arial" w:cs="Arial"/>
          <w:sz w:val="22"/>
          <w:szCs w:val="22"/>
          <w:lang w:eastAsia="ko-KR"/>
        </w:rPr>
        <w:t xml:space="preserve"> que la République démocratique populaire lao a proposé la candidature </w:t>
      </w:r>
      <w:r w:rsidRPr="0001502D">
        <w:rPr>
          <w:rFonts w:ascii="Arial" w:hAnsi="Arial" w:cs="Arial"/>
          <w:b/>
          <w:sz w:val="22"/>
          <w:szCs w:val="22"/>
          <w:lang w:eastAsia="ko-KR"/>
        </w:rPr>
        <w:t>du</w:t>
      </w:r>
      <w:r w:rsidRPr="0001502D">
        <w:rPr>
          <w:rFonts w:ascii="Arial" w:hAnsi="Arial" w:cs="Arial"/>
          <w:sz w:val="22"/>
          <w:szCs w:val="22"/>
          <w:lang w:eastAsia="ko-KR"/>
        </w:rPr>
        <w:t> </w:t>
      </w:r>
      <w:r w:rsidRPr="0001502D">
        <w:rPr>
          <w:rFonts w:ascii="Arial" w:hAnsi="Arial" w:cs="Arial"/>
          <w:b/>
          <w:bCs/>
          <w:sz w:val="22"/>
          <w:szCs w:val="22"/>
          <w:lang w:eastAsia="ko-KR"/>
        </w:rPr>
        <w:t xml:space="preserve">fone lam vong </w:t>
      </w:r>
      <w:r w:rsidRPr="0001502D">
        <w:rPr>
          <w:rFonts w:ascii="Arial" w:hAnsi="Arial" w:cs="Arial"/>
          <w:b/>
          <w:sz w:val="22"/>
          <w:szCs w:val="22"/>
          <w:lang w:eastAsia="ko-KR"/>
        </w:rPr>
        <w:t>Lao (lamvonglao) (lamvong)</w:t>
      </w:r>
      <w:r w:rsidRPr="0001502D">
        <w:rPr>
          <w:rFonts w:ascii="Arial" w:hAnsi="Arial" w:cs="Arial"/>
          <w:sz w:val="22"/>
          <w:szCs w:val="22"/>
          <w:lang w:eastAsia="ko-KR"/>
        </w:rPr>
        <w:t xml:space="preserve"> (n° 01488) pour inscription sur la Liste représentative du patrimoine culturel immatériel de l</w:t>
      </w:r>
      <w:r w:rsidR="009C104E">
        <w:rPr>
          <w:rFonts w:ascii="Arial" w:hAnsi="Arial" w:cs="Arial"/>
          <w:sz w:val="22"/>
          <w:szCs w:val="22"/>
          <w:lang w:eastAsia="ko-KR"/>
        </w:rPr>
        <w:t>’</w:t>
      </w:r>
      <w:r w:rsidRPr="0001502D">
        <w:rPr>
          <w:rFonts w:ascii="Arial" w:hAnsi="Arial" w:cs="Arial"/>
          <w:sz w:val="22"/>
          <w:szCs w:val="22"/>
          <w:lang w:eastAsia="ko-KR"/>
        </w:rPr>
        <w:t>humanité :</w:t>
      </w:r>
    </w:p>
    <w:p w14:paraId="788957B8" w14:textId="0A3909C9" w:rsidR="0001502D" w:rsidRPr="0001502D" w:rsidRDefault="0001502D" w:rsidP="007B23DE">
      <w:pPr>
        <w:tabs>
          <w:tab w:val="left" w:pos="567"/>
          <w:tab w:val="left" w:pos="1701"/>
          <w:tab w:val="left" w:pos="2268"/>
        </w:tabs>
        <w:spacing w:before="120" w:after="120"/>
        <w:ind w:left="567"/>
        <w:jc w:val="both"/>
        <w:rPr>
          <w:rFonts w:ascii="Arial" w:hAnsi="Arial" w:cs="Arial"/>
          <w:sz w:val="22"/>
          <w:szCs w:val="22"/>
        </w:rPr>
      </w:pPr>
      <w:r w:rsidRPr="0001502D">
        <w:rPr>
          <w:rFonts w:ascii="Arial" w:hAnsi="Arial" w:cs="Arial"/>
          <w:sz w:val="22"/>
          <w:szCs w:val="22"/>
        </w:rPr>
        <w:t>À l</w:t>
      </w:r>
      <w:r w:rsidR="009C104E">
        <w:rPr>
          <w:rFonts w:ascii="Arial" w:hAnsi="Arial" w:cs="Arial"/>
          <w:sz w:val="22"/>
          <w:szCs w:val="22"/>
        </w:rPr>
        <w:t>’</w:t>
      </w:r>
      <w:r w:rsidRPr="0001502D">
        <w:rPr>
          <w:rFonts w:ascii="Arial" w:hAnsi="Arial" w:cs="Arial"/>
          <w:sz w:val="22"/>
          <w:szCs w:val="22"/>
        </w:rPr>
        <w:t>origine, le fone lam vong Lao (lamvonglao) (lamvong) vient d</w:t>
      </w:r>
      <w:r w:rsidR="009C104E">
        <w:rPr>
          <w:rFonts w:ascii="Arial" w:hAnsi="Arial" w:cs="Arial"/>
          <w:sz w:val="22"/>
          <w:szCs w:val="22"/>
        </w:rPr>
        <w:t>’</w:t>
      </w:r>
      <w:r w:rsidRPr="0001502D">
        <w:rPr>
          <w:rFonts w:ascii="Arial" w:hAnsi="Arial" w:cs="Arial"/>
          <w:sz w:val="22"/>
          <w:szCs w:val="22"/>
        </w:rPr>
        <w:t>une danse simple que les cultivateurs de riz exécutaient autour d</w:t>
      </w:r>
      <w:r w:rsidR="009C104E">
        <w:rPr>
          <w:rFonts w:ascii="Arial" w:hAnsi="Arial" w:cs="Arial"/>
          <w:sz w:val="22"/>
          <w:szCs w:val="22"/>
        </w:rPr>
        <w:t>’</w:t>
      </w:r>
      <w:r w:rsidRPr="0001502D">
        <w:rPr>
          <w:rFonts w:ascii="Arial" w:hAnsi="Arial" w:cs="Arial"/>
          <w:sz w:val="22"/>
          <w:szCs w:val="22"/>
        </w:rPr>
        <w:t xml:space="preserve">une balle de riz pour fêter la moisson : </w:t>
      </w:r>
      <w:r w:rsidRPr="0001502D">
        <w:rPr>
          <w:rFonts w:ascii="Arial" w:hAnsi="Arial" w:cs="Arial"/>
          <w:iCs/>
          <w:sz w:val="22"/>
          <w:szCs w:val="22"/>
        </w:rPr>
        <w:t>lam</w:t>
      </w:r>
      <w:r w:rsidRPr="0001502D">
        <w:rPr>
          <w:rFonts w:ascii="Arial" w:hAnsi="Arial" w:cs="Arial"/>
          <w:sz w:val="22"/>
          <w:szCs w:val="22"/>
        </w:rPr>
        <w:t xml:space="preserve"> (</w:t>
      </w:r>
      <w:r w:rsidRPr="0001502D">
        <w:rPr>
          <w:rFonts w:ascii="Arial" w:hAnsi="Arial" w:cs="Arial"/>
          <w:iCs/>
          <w:sz w:val="22"/>
          <w:szCs w:val="22"/>
        </w:rPr>
        <w:t>fone</w:t>
      </w:r>
      <w:r w:rsidRPr="0001502D">
        <w:rPr>
          <w:rFonts w:ascii="Arial" w:hAnsi="Arial" w:cs="Arial"/>
          <w:sz w:val="22"/>
          <w:szCs w:val="22"/>
        </w:rPr>
        <w:t xml:space="preserve">) signifie « danser » et </w:t>
      </w:r>
      <w:r w:rsidRPr="0001502D">
        <w:rPr>
          <w:rFonts w:ascii="Arial" w:hAnsi="Arial" w:cs="Arial"/>
          <w:iCs/>
          <w:sz w:val="22"/>
          <w:szCs w:val="22"/>
        </w:rPr>
        <w:t>vong</w:t>
      </w:r>
      <w:r w:rsidRPr="0001502D">
        <w:rPr>
          <w:rFonts w:ascii="Arial" w:hAnsi="Arial" w:cs="Arial"/>
          <w:sz w:val="22"/>
          <w:szCs w:val="22"/>
        </w:rPr>
        <w:t xml:space="preserve"> « cercle ». Avec le temps, cette danse simple a évolué pour devenir la danse raffinée reconnue aujourd</w:t>
      </w:r>
      <w:r w:rsidR="009C104E">
        <w:rPr>
          <w:rFonts w:ascii="Arial" w:hAnsi="Arial" w:cs="Arial"/>
          <w:sz w:val="22"/>
          <w:szCs w:val="22"/>
        </w:rPr>
        <w:t>’</w:t>
      </w:r>
      <w:r w:rsidRPr="0001502D">
        <w:rPr>
          <w:rFonts w:ascii="Arial" w:hAnsi="Arial" w:cs="Arial"/>
          <w:sz w:val="22"/>
          <w:szCs w:val="22"/>
        </w:rPr>
        <w:t>hui comme la forme classique du lamvonglao. Aujourd</w:t>
      </w:r>
      <w:r w:rsidR="009C104E">
        <w:rPr>
          <w:rFonts w:ascii="Arial" w:hAnsi="Arial" w:cs="Arial"/>
          <w:sz w:val="22"/>
          <w:szCs w:val="22"/>
        </w:rPr>
        <w:t>’</w:t>
      </w:r>
      <w:r w:rsidRPr="0001502D">
        <w:rPr>
          <w:rFonts w:ascii="Arial" w:hAnsi="Arial" w:cs="Arial"/>
          <w:sz w:val="22"/>
          <w:szCs w:val="22"/>
        </w:rPr>
        <w:t>hui, cette danse joue un rôle essentiel dans l</w:t>
      </w:r>
      <w:r w:rsidR="009C104E">
        <w:rPr>
          <w:rFonts w:ascii="Arial" w:hAnsi="Arial" w:cs="Arial"/>
          <w:sz w:val="22"/>
          <w:szCs w:val="22"/>
        </w:rPr>
        <w:t>’</w:t>
      </w:r>
      <w:r w:rsidRPr="0001502D">
        <w:rPr>
          <w:rFonts w:ascii="Arial" w:hAnsi="Arial" w:cs="Arial"/>
          <w:sz w:val="22"/>
          <w:szCs w:val="22"/>
        </w:rPr>
        <w:t>ouverture des cérémonies de mariage et figure dans toutes les manifestations nationales. Avant d</w:t>
      </w:r>
      <w:r w:rsidR="009C104E">
        <w:rPr>
          <w:rFonts w:ascii="Arial" w:hAnsi="Arial" w:cs="Arial"/>
          <w:sz w:val="22"/>
          <w:szCs w:val="22"/>
        </w:rPr>
        <w:t>’</w:t>
      </w:r>
      <w:r w:rsidRPr="0001502D">
        <w:rPr>
          <w:rFonts w:ascii="Arial" w:hAnsi="Arial" w:cs="Arial"/>
          <w:sz w:val="22"/>
          <w:szCs w:val="22"/>
        </w:rPr>
        <w:t>entamer la danse, il convient de suivre certaines règles. L</w:t>
      </w:r>
      <w:r w:rsidR="009C104E">
        <w:rPr>
          <w:rFonts w:ascii="Arial" w:hAnsi="Arial" w:cs="Arial"/>
          <w:sz w:val="22"/>
          <w:szCs w:val="22"/>
        </w:rPr>
        <w:t>’</w:t>
      </w:r>
      <w:r w:rsidRPr="0001502D">
        <w:rPr>
          <w:rFonts w:ascii="Arial" w:hAnsi="Arial" w:cs="Arial"/>
          <w:sz w:val="22"/>
          <w:szCs w:val="22"/>
        </w:rPr>
        <w:t>homme doit normalement exprimer son respect à la femme qu</w:t>
      </w:r>
      <w:r w:rsidR="009C104E">
        <w:rPr>
          <w:rFonts w:ascii="Arial" w:hAnsi="Arial" w:cs="Arial"/>
          <w:sz w:val="22"/>
          <w:szCs w:val="22"/>
        </w:rPr>
        <w:t>’</w:t>
      </w:r>
      <w:r w:rsidRPr="0001502D">
        <w:rPr>
          <w:rFonts w:ascii="Arial" w:hAnsi="Arial" w:cs="Arial"/>
          <w:sz w:val="22"/>
          <w:szCs w:val="22"/>
        </w:rPr>
        <w:t>il invite à danser. Cependant, lors de certaines cérémonies officielles, une femme peut inviter l</w:t>
      </w:r>
      <w:r w:rsidR="009C104E">
        <w:rPr>
          <w:rFonts w:ascii="Arial" w:hAnsi="Arial" w:cs="Arial"/>
          <w:sz w:val="22"/>
          <w:szCs w:val="22"/>
        </w:rPr>
        <w:t>’</w:t>
      </w:r>
      <w:r w:rsidRPr="0001502D">
        <w:rPr>
          <w:rFonts w:ascii="Arial" w:hAnsi="Arial" w:cs="Arial"/>
          <w:sz w:val="22"/>
          <w:szCs w:val="22"/>
        </w:rPr>
        <w:t>homme à danser avec elle. Les hommes forment un cercle intérieur et les femmes un cercle extérieur, et la danse compte huit mouvements par cycle. Les cycles sont répétés selon la durée de la musique. Le lamvonglao est très populaire dans tout le Laos en raison de son rythme et de son grand nombre de gestes. Symbolisant une culture ancienne et populaire, on considère que la danse représente l</w:t>
      </w:r>
      <w:r w:rsidR="009C104E">
        <w:rPr>
          <w:rFonts w:ascii="Arial" w:hAnsi="Arial" w:cs="Arial"/>
          <w:sz w:val="22"/>
          <w:szCs w:val="22"/>
        </w:rPr>
        <w:t>’</w:t>
      </w:r>
      <w:r w:rsidRPr="0001502D">
        <w:rPr>
          <w:rFonts w:ascii="Arial" w:hAnsi="Arial" w:cs="Arial"/>
          <w:sz w:val="22"/>
          <w:szCs w:val="22"/>
        </w:rPr>
        <w:t>âme de la nation. Les participants deviennent acteurs au lieu de spectateurs en participant joyeusement aux chansons et aux danses. De nombreuses associations au sein de la communauté lao, tels que des groupes d</w:t>
      </w:r>
      <w:r w:rsidR="009C104E">
        <w:rPr>
          <w:rFonts w:ascii="Arial" w:hAnsi="Arial" w:cs="Arial"/>
          <w:sz w:val="22"/>
          <w:szCs w:val="22"/>
        </w:rPr>
        <w:t>’</w:t>
      </w:r>
      <w:r w:rsidRPr="0001502D">
        <w:rPr>
          <w:rFonts w:ascii="Arial" w:hAnsi="Arial" w:cs="Arial"/>
          <w:sz w:val="22"/>
          <w:szCs w:val="22"/>
        </w:rPr>
        <w:t>arts du spectacle, des associations de femmes, des mouvements de jeunes, des centres culturels pour enfants et autres, pratiquent, enseignent et soutiennent le lamvonglao.</w:t>
      </w:r>
    </w:p>
    <w:p w14:paraId="47F724E8" w14:textId="4F5A021F" w:rsidR="0001502D" w:rsidRPr="0001502D" w:rsidRDefault="0001502D" w:rsidP="00771F30">
      <w:pPr>
        <w:keepNext/>
        <w:numPr>
          <w:ilvl w:val="1"/>
          <w:numId w:val="27"/>
        </w:numPr>
        <w:tabs>
          <w:tab w:val="left" w:pos="567"/>
          <w:tab w:val="left" w:pos="1701"/>
          <w:tab w:val="left" w:pos="2268"/>
        </w:tabs>
        <w:spacing w:before="120" w:after="120"/>
        <w:jc w:val="both"/>
        <w:rPr>
          <w:rFonts w:ascii="Arial" w:hAnsi="Arial" w:cs="Arial"/>
          <w:sz w:val="22"/>
          <w:szCs w:val="22"/>
          <w:lang w:eastAsia="ko-KR"/>
        </w:rPr>
      </w:pPr>
      <w:r w:rsidRPr="0001502D">
        <w:rPr>
          <w:rFonts w:ascii="Arial" w:hAnsi="Arial" w:cs="Arial"/>
          <w:sz w:val="22"/>
          <w:szCs w:val="22"/>
          <w:u w:val="single"/>
          <w:lang w:eastAsia="ko-KR"/>
        </w:rPr>
        <w:t>Estime</w:t>
      </w:r>
      <w:r w:rsidRPr="0001502D">
        <w:rPr>
          <w:rFonts w:ascii="Arial" w:hAnsi="Arial" w:cs="Arial"/>
          <w:sz w:val="22"/>
          <w:szCs w:val="22"/>
          <w:lang w:eastAsia="ko-KR"/>
        </w:rPr>
        <w:t xml:space="preserve"> que, d</w:t>
      </w:r>
      <w:r w:rsidR="009C104E">
        <w:rPr>
          <w:rFonts w:ascii="Arial" w:hAnsi="Arial" w:cs="Arial"/>
          <w:sz w:val="22"/>
          <w:szCs w:val="22"/>
          <w:lang w:eastAsia="ko-KR"/>
        </w:rPr>
        <w:t>’</w:t>
      </w:r>
      <w:r w:rsidRPr="0001502D">
        <w:rPr>
          <w:rFonts w:ascii="Arial" w:hAnsi="Arial" w:cs="Arial"/>
          <w:sz w:val="22"/>
          <w:szCs w:val="22"/>
          <w:lang w:eastAsia="ko-KR"/>
        </w:rPr>
        <w:t>après les informations contenues dans le dossier, la candidature satisfait aux critères d</w:t>
      </w:r>
      <w:r w:rsidR="009C104E">
        <w:rPr>
          <w:rFonts w:ascii="Arial" w:hAnsi="Arial" w:cs="Arial"/>
          <w:sz w:val="22"/>
          <w:szCs w:val="22"/>
          <w:lang w:eastAsia="ko-KR"/>
        </w:rPr>
        <w:t>’</w:t>
      </w:r>
      <w:r w:rsidRPr="0001502D">
        <w:rPr>
          <w:rFonts w:ascii="Arial" w:hAnsi="Arial" w:cs="Arial"/>
          <w:sz w:val="22"/>
          <w:szCs w:val="22"/>
          <w:lang w:eastAsia="ko-KR"/>
        </w:rPr>
        <w:t>inscription sur la Liste représentative du patrimoine culturel immatériel de l</w:t>
      </w:r>
      <w:r w:rsidR="009C104E">
        <w:rPr>
          <w:rFonts w:ascii="Arial" w:hAnsi="Arial" w:cs="Arial"/>
          <w:sz w:val="22"/>
          <w:szCs w:val="22"/>
          <w:lang w:eastAsia="ko-KR"/>
        </w:rPr>
        <w:t>’</w:t>
      </w:r>
      <w:r w:rsidRPr="0001502D">
        <w:rPr>
          <w:rFonts w:ascii="Arial" w:hAnsi="Arial" w:cs="Arial"/>
          <w:sz w:val="22"/>
          <w:szCs w:val="22"/>
          <w:lang w:eastAsia="ko-KR"/>
        </w:rPr>
        <w:t>humanité comme suit :</w:t>
      </w:r>
    </w:p>
    <w:p w14:paraId="6F4FA3E2" w14:textId="67E5527D" w:rsidR="0001502D" w:rsidRPr="0001502D" w:rsidRDefault="0001502D" w:rsidP="007B23DE">
      <w:pPr>
        <w:tabs>
          <w:tab w:val="left" w:pos="1134"/>
          <w:tab w:val="left" w:pos="2268"/>
        </w:tabs>
        <w:spacing w:before="120" w:after="120"/>
        <w:ind w:left="1134" w:hanging="555"/>
        <w:jc w:val="both"/>
        <w:rPr>
          <w:rFonts w:ascii="Arial" w:hAnsi="Arial" w:cs="Arial"/>
          <w:sz w:val="22"/>
          <w:szCs w:val="22"/>
        </w:rPr>
      </w:pPr>
      <w:r w:rsidRPr="0001502D">
        <w:rPr>
          <w:rFonts w:ascii="Arial" w:hAnsi="Arial" w:cs="Arial"/>
          <w:sz w:val="22"/>
          <w:szCs w:val="22"/>
        </w:rPr>
        <w:t xml:space="preserve">R.1 : </w:t>
      </w:r>
      <w:r w:rsidRPr="0001502D">
        <w:rPr>
          <w:rFonts w:ascii="Arial" w:hAnsi="Arial" w:cs="Arial"/>
          <w:sz w:val="22"/>
          <w:szCs w:val="22"/>
        </w:rPr>
        <w:tab/>
        <w:t>Le lamvonglao est considéré comme un symbole de l</w:t>
      </w:r>
      <w:r w:rsidR="009C104E">
        <w:rPr>
          <w:rFonts w:ascii="Arial" w:hAnsi="Arial" w:cs="Arial"/>
          <w:sz w:val="22"/>
          <w:szCs w:val="22"/>
        </w:rPr>
        <w:t>’</w:t>
      </w:r>
      <w:r w:rsidRPr="0001502D">
        <w:rPr>
          <w:rFonts w:ascii="Arial" w:hAnsi="Arial" w:cs="Arial"/>
          <w:sz w:val="22"/>
          <w:szCs w:val="22"/>
        </w:rPr>
        <w:t>identité nationale de la République démocratique populaire lao et assure la continuité de la société lao. Associé à la joie, il favorise la cohésion sociale et rassemble les familles et les communautés des villages. C</w:t>
      </w:r>
      <w:r w:rsidR="009C104E">
        <w:rPr>
          <w:rFonts w:ascii="Arial" w:hAnsi="Arial" w:cs="Arial"/>
          <w:sz w:val="22"/>
          <w:szCs w:val="22"/>
        </w:rPr>
        <w:t>’</w:t>
      </w:r>
      <w:r w:rsidRPr="0001502D">
        <w:rPr>
          <w:rFonts w:ascii="Arial" w:hAnsi="Arial" w:cs="Arial"/>
          <w:sz w:val="22"/>
          <w:szCs w:val="22"/>
        </w:rPr>
        <w:t>est aussi un moyen de communiquer et de transmettre divers messages sociaux, politiques et culturels en rapport avec un mode de vie sain, la sécurité et le développement durable.</w:t>
      </w:r>
    </w:p>
    <w:p w14:paraId="5D4EF981" w14:textId="5C2C5B6D" w:rsidR="0001502D" w:rsidRPr="0001502D" w:rsidRDefault="0001502D" w:rsidP="007B23DE">
      <w:pPr>
        <w:tabs>
          <w:tab w:val="left" w:pos="1134"/>
          <w:tab w:val="left" w:pos="2268"/>
        </w:tabs>
        <w:spacing w:before="120" w:after="120"/>
        <w:ind w:left="1134" w:hanging="555"/>
        <w:jc w:val="both"/>
        <w:rPr>
          <w:rFonts w:ascii="Arial" w:hAnsi="Arial" w:cs="Arial"/>
          <w:sz w:val="22"/>
          <w:szCs w:val="22"/>
        </w:rPr>
      </w:pPr>
      <w:r w:rsidRPr="0001502D">
        <w:rPr>
          <w:rFonts w:ascii="Arial" w:hAnsi="Arial" w:cs="Arial"/>
          <w:sz w:val="22"/>
          <w:szCs w:val="22"/>
        </w:rPr>
        <w:t xml:space="preserve">R.3 : </w:t>
      </w:r>
      <w:r w:rsidRPr="0001502D">
        <w:rPr>
          <w:rFonts w:ascii="Arial" w:hAnsi="Arial" w:cs="Arial"/>
          <w:sz w:val="22"/>
          <w:szCs w:val="22"/>
        </w:rPr>
        <w:tab/>
        <w:t>Les mesures de sauvegarde proposées incluent la transmission aux jeunes générations des connaissances et des savoir-faire associés à l</w:t>
      </w:r>
      <w:r w:rsidR="009C104E">
        <w:rPr>
          <w:rFonts w:ascii="Arial" w:hAnsi="Arial" w:cs="Arial"/>
          <w:sz w:val="22"/>
          <w:szCs w:val="22"/>
        </w:rPr>
        <w:t>’</w:t>
      </w:r>
      <w:r w:rsidRPr="0001502D">
        <w:rPr>
          <w:rFonts w:ascii="Arial" w:hAnsi="Arial" w:cs="Arial"/>
          <w:sz w:val="22"/>
          <w:szCs w:val="22"/>
        </w:rPr>
        <w:t>élément par le biais d</w:t>
      </w:r>
      <w:r w:rsidR="009C104E">
        <w:rPr>
          <w:rFonts w:ascii="Arial" w:hAnsi="Arial" w:cs="Arial"/>
          <w:sz w:val="22"/>
          <w:szCs w:val="22"/>
        </w:rPr>
        <w:t>’</w:t>
      </w:r>
      <w:r w:rsidRPr="0001502D">
        <w:rPr>
          <w:rFonts w:ascii="Arial" w:hAnsi="Arial" w:cs="Arial"/>
          <w:sz w:val="22"/>
          <w:szCs w:val="22"/>
        </w:rPr>
        <w:t>activités de formation telles que des leçons de danse, des spectacles et des représentations, ainsi que des initiatives axées sur la recherche, la documentation et la promotion de l</w:t>
      </w:r>
      <w:r w:rsidR="009C104E">
        <w:rPr>
          <w:rFonts w:ascii="Arial" w:hAnsi="Arial" w:cs="Arial"/>
          <w:sz w:val="22"/>
          <w:szCs w:val="22"/>
        </w:rPr>
        <w:t>’</w:t>
      </w:r>
      <w:r w:rsidRPr="0001502D">
        <w:rPr>
          <w:rFonts w:ascii="Arial" w:hAnsi="Arial" w:cs="Arial"/>
          <w:sz w:val="22"/>
          <w:szCs w:val="22"/>
        </w:rPr>
        <w:t>élément. Le gouvernement lao soutiendra la mise en œuvre des mesures de sauvegarde par des politiques nationales et locales avec la participation des communautés concernées. D</w:t>
      </w:r>
      <w:r w:rsidR="009C104E">
        <w:rPr>
          <w:rFonts w:ascii="Arial" w:hAnsi="Arial" w:cs="Arial"/>
          <w:sz w:val="22"/>
          <w:szCs w:val="22"/>
        </w:rPr>
        <w:t>’</w:t>
      </w:r>
      <w:r w:rsidRPr="0001502D">
        <w:rPr>
          <w:rFonts w:ascii="Arial" w:hAnsi="Arial" w:cs="Arial"/>
          <w:sz w:val="22"/>
          <w:szCs w:val="22"/>
        </w:rPr>
        <w:t>autres mesures incluent : l</w:t>
      </w:r>
      <w:r w:rsidR="009C104E">
        <w:rPr>
          <w:rFonts w:ascii="Arial" w:hAnsi="Arial" w:cs="Arial"/>
          <w:sz w:val="22"/>
          <w:szCs w:val="22"/>
        </w:rPr>
        <w:t>’</w:t>
      </w:r>
      <w:r w:rsidRPr="0001502D">
        <w:rPr>
          <w:rFonts w:ascii="Arial" w:hAnsi="Arial" w:cs="Arial"/>
          <w:sz w:val="22"/>
          <w:szCs w:val="22"/>
        </w:rPr>
        <w:t>éducation formelle et non formelle des jeunes, la création d</w:t>
      </w:r>
      <w:r w:rsidR="009C104E">
        <w:rPr>
          <w:rFonts w:ascii="Arial" w:hAnsi="Arial" w:cs="Arial"/>
          <w:sz w:val="22"/>
          <w:szCs w:val="22"/>
        </w:rPr>
        <w:t>’</w:t>
      </w:r>
      <w:r w:rsidRPr="0001502D">
        <w:rPr>
          <w:rFonts w:ascii="Arial" w:hAnsi="Arial" w:cs="Arial"/>
          <w:sz w:val="22"/>
          <w:szCs w:val="22"/>
        </w:rPr>
        <w:t>une association officielle de praticiens, le soutien financier et logistique pour les chercheurs, des publications, des festivals ainsi que le suivi et l</w:t>
      </w:r>
      <w:r w:rsidR="009C104E">
        <w:rPr>
          <w:rFonts w:ascii="Arial" w:hAnsi="Arial" w:cs="Arial"/>
          <w:sz w:val="22"/>
          <w:szCs w:val="22"/>
        </w:rPr>
        <w:t>’</w:t>
      </w:r>
      <w:r w:rsidRPr="0001502D">
        <w:rPr>
          <w:rFonts w:ascii="Arial" w:hAnsi="Arial" w:cs="Arial"/>
          <w:sz w:val="22"/>
          <w:szCs w:val="22"/>
        </w:rPr>
        <w:t>évaluation des activités.</w:t>
      </w:r>
    </w:p>
    <w:p w14:paraId="39C6B2FD" w14:textId="587F48E5" w:rsidR="0001502D" w:rsidRPr="0001502D" w:rsidRDefault="0001502D" w:rsidP="00771F30">
      <w:pPr>
        <w:keepNext/>
        <w:numPr>
          <w:ilvl w:val="1"/>
          <w:numId w:val="27"/>
        </w:numPr>
        <w:tabs>
          <w:tab w:val="left" w:pos="567"/>
          <w:tab w:val="left" w:pos="1701"/>
          <w:tab w:val="left" w:pos="2268"/>
        </w:tabs>
        <w:spacing w:before="120" w:after="120"/>
        <w:jc w:val="both"/>
        <w:rPr>
          <w:rFonts w:ascii="Arial" w:hAnsi="Arial" w:cs="Arial"/>
          <w:sz w:val="22"/>
          <w:szCs w:val="22"/>
          <w:lang w:eastAsia="ko-KR"/>
        </w:rPr>
      </w:pPr>
      <w:r w:rsidRPr="0001502D">
        <w:rPr>
          <w:rFonts w:ascii="Arial" w:hAnsi="Arial" w:cs="Arial"/>
          <w:sz w:val="22"/>
          <w:szCs w:val="22"/>
          <w:u w:val="single"/>
          <w:lang w:eastAsia="ko-KR"/>
        </w:rPr>
        <w:t>Estime en outre</w:t>
      </w:r>
      <w:r w:rsidRPr="0001502D">
        <w:rPr>
          <w:rFonts w:ascii="Arial" w:hAnsi="Arial" w:cs="Arial"/>
          <w:sz w:val="22"/>
          <w:szCs w:val="22"/>
          <w:lang w:eastAsia="ko-KR"/>
        </w:rPr>
        <w:t xml:space="preserve"> que les informations contenues dans le dossier ne sont pas suffisantes pour permettre au Comité de déterminer si les critères d</w:t>
      </w:r>
      <w:r w:rsidR="009C104E">
        <w:rPr>
          <w:rFonts w:ascii="Arial" w:hAnsi="Arial" w:cs="Arial"/>
          <w:sz w:val="22"/>
          <w:szCs w:val="22"/>
          <w:lang w:eastAsia="ko-KR"/>
        </w:rPr>
        <w:t>’</w:t>
      </w:r>
      <w:r w:rsidRPr="0001502D">
        <w:rPr>
          <w:rFonts w:ascii="Arial" w:hAnsi="Arial" w:cs="Arial"/>
          <w:sz w:val="22"/>
          <w:szCs w:val="22"/>
          <w:lang w:eastAsia="ko-KR"/>
        </w:rPr>
        <w:t>inscription sur la Liste représentative du patrimoine culturel immatériel de l</w:t>
      </w:r>
      <w:r w:rsidR="009C104E">
        <w:rPr>
          <w:rFonts w:ascii="Arial" w:hAnsi="Arial" w:cs="Arial"/>
          <w:sz w:val="22"/>
          <w:szCs w:val="22"/>
          <w:lang w:eastAsia="ko-KR"/>
        </w:rPr>
        <w:t>’</w:t>
      </w:r>
      <w:r w:rsidRPr="0001502D">
        <w:rPr>
          <w:rFonts w:ascii="Arial" w:hAnsi="Arial" w:cs="Arial"/>
          <w:sz w:val="22"/>
          <w:szCs w:val="22"/>
          <w:lang w:eastAsia="ko-KR"/>
        </w:rPr>
        <w:t>humanité suivants sont satisfaits :</w:t>
      </w:r>
    </w:p>
    <w:p w14:paraId="16CD67AF" w14:textId="2C16ED7F" w:rsidR="0001502D" w:rsidRPr="0001502D" w:rsidRDefault="0001502D" w:rsidP="007B23DE">
      <w:pPr>
        <w:tabs>
          <w:tab w:val="left" w:pos="1134"/>
          <w:tab w:val="left" w:pos="2268"/>
        </w:tabs>
        <w:spacing w:before="120" w:after="120"/>
        <w:ind w:left="1134" w:hanging="567"/>
        <w:jc w:val="both"/>
        <w:rPr>
          <w:rFonts w:ascii="Arial" w:hAnsi="Arial" w:cs="Arial"/>
          <w:sz w:val="22"/>
          <w:szCs w:val="22"/>
        </w:rPr>
      </w:pPr>
      <w:r w:rsidRPr="0001502D">
        <w:rPr>
          <w:rFonts w:ascii="Arial" w:hAnsi="Arial" w:cs="Arial"/>
          <w:sz w:val="22"/>
          <w:szCs w:val="22"/>
        </w:rPr>
        <w:t>R.2 :</w:t>
      </w:r>
      <w:r w:rsidR="00BC5A23" w:rsidRPr="0001502D">
        <w:rPr>
          <w:rFonts w:ascii="Arial" w:hAnsi="Arial" w:cs="Arial"/>
          <w:sz w:val="22"/>
          <w:szCs w:val="22"/>
        </w:rPr>
        <w:tab/>
      </w:r>
      <w:r w:rsidRPr="0001502D">
        <w:rPr>
          <w:rFonts w:ascii="Arial" w:hAnsi="Arial" w:cs="Arial"/>
          <w:sz w:val="22"/>
          <w:szCs w:val="22"/>
        </w:rPr>
        <w:t>Le dossier ne fournit pas suffisamment d</w:t>
      </w:r>
      <w:r w:rsidR="009C104E">
        <w:rPr>
          <w:rFonts w:ascii="Arial" w:hAnsi="Arial" w:cs="Arial"/>
          <w:sz w:val="22"/>
          <w:szCs w:val="22"/>
        </w:rPr>
        <w:t>’</w:t>
      </w:r>
      <w:r w:rsidRPr="0001502D">
        <w:rPr>
          <w:rFonts w:ascii="Arial" w:hAnsi="Arial" w:cs="Arial"/>
          <w:sz w:val="22"/>
          <w:szCs w:val="22"/>
        </w:rPr>
        <w:t>informations permettant d</w:t>
      </w:r>
      <w:r w:rsidR="009C104E">
        <w:rPr>
          <w:rFonts w:ascii="Arial" w:hAnsi="Arial" w:cs="Arial"/>
          <w:sz w:val="22"/>
          <w:szCs w:val="22"/>
        </w:rPr>
        <w:t>’</w:t>
      </w:r>
      <w:r w:rsidRPr="0001502D">
        <w:rPr>
          <w:rFonts w:ascii="Arial" w:hAnsi="Arial" w:cs="Arial"/>
          <w:sz w:val="22"/>
          <w:szCs w:val="22"/>
        </w:rPr>
        <w:t>affirmer que l</w:t>
      </w:r>
      <w:r w:rsidR="009C104E">
        <w:rPr>
          <w:rFonts w:ascii="Arial" w:hAnsi="Arial" w:cs="Arial"/>
          <w:sz w:val="22"/>
          <w:szCs w:val="22"/>
        </w:rPr>
        <w:t>’</w:t>
      </w:r>
      <w:r w:rsidRPr="0001502D">
        <w:rPr>
          <w:rFonts w:ascii="Arial" w:hAnsi="Arial" w:cs="Arial"/>
          <w:sz w:val="22"/>
          <w:szCs w:val="22"/>
        </w:rPr>
        <w:t>inscription de l</w:t>
      </w:r>
      <w:r w:rsidR="009C104E">
        <w:rPr>
          <w:rFonts w:ascii="Arial" w:hAnsi="Arial" w:cs="Arial"/>
          <w:sz w:val="22"/>
          <w:szCs w:val="22"/>
        </w:rPr>
        <w:t>’</w:t>
      </w:r>
      <w:r w:rsidRPr="0001502D">
        <w:rPr>
          <w:rFonts w:ascii="Arial" w:hAnsi="Arial" w:cs="Arial"/>
          <w:sz w:val="22"/>
          <w:szCs w:val="22"/>
        </w:rPr>
        <w:t>élément contribuerait à assurer</w:t>
      </w:r>
      <w:r w:rsidRPr="0001502D">
        <w:t xml:space="preserve"> </w:t>
      </w:r>
      <w:r w:rsidRPr="0001502D">
        <w:rPr>
          <w:rFonts w:ascii="Arial" w:hAnsi="Arial" w:cs="Arial"/>
          <w:sz w:val="22"/>
          <w:szCs w:val="22"/>
        </w:rPr>
        <w:t>la visibilité et la sensibilisation à l</w:t>
      </w:r>
      <w:r w:rsidR="009C104E">
        <w:rPr>
          <w:rFonts w:ascii="Arial" w:hAnsi="Arial" w:cs="Arial"/>
          <w:sz w:val="22"/>
          <w:szCs w:val="22"/>
        </w:rPr>
        <w:t>’</w:t>
      </w:r>
      <w:r w:rsidRPr="0001502D">
        <w:rPr>
          <w:rFonts w:ascii="Arial" w:hAnsi="Arial" w:cs="Arial"/>
          <w:sz w:val="22"/>
          <w:szCs w:val="22"/>
        </w:rPr>
        <w:t>importance du patrimoine culturel immatériel en général, ou comment elle encouragerait le dialogue entre les communautés, groupes et individus. La candidature se concentre principalement sur la manière dont l</w:t>
      </w:r>
      <w:r w:rsidR="009C104E">
        <w:rPr>
          <w:rFonts w:ascii="Arial" w:hAnsi="Arial" w:cs="Arial"/>
          <w:sz w:val="22"/>
          <w:szCs w:val="22"/>
        </w:rPr>
        <w:t>’</w:t>
      </w:r>
      <w:r w:rsidRPr="0001502D">
        <w:rPr>
          <w:rFonts w:ascii="Arial" w:hAnsi="Arial" w:cs="Arial"/>
          <w:sz w:val="22"/>
          <w:szCs w:val="22"/>
        </w:rPr>
        <w:t>inscription augmenterait la visibilité de l</w:t>
      </w:r>
      <w:r w:rsidR="009C104E">
        <w:rPr>
          <w:rFonts w:ascii="Arial" w:hAnsi="Arial" w:cs="Arial"/>
          <w:sz w:val="22"/>
          <w:szCs w:val="22"/>
        </w:rPr>
        <w:t>’</w:t>
      </w:r>
      <w:r w:rsidRPr="0001502D">
        <w:rPr>
          <w:rFonts w:ascii="Arial" w:hAnsi="Arial" w:cs="Arial"/>
          <w:sz w:val="22"/>
          <w:szCs w:val="22"/>
        </w:rPr>
        <w:t>élément lui-même.</w:t>
      </w:r>
    </w:p>
    <w:p w14:paraId="610F5AE5" w14:textId="18CD4090" w:rsidR="0001502D" w:rsidRPr="0001502D" w:rsidRDefault="0001502D" w:rsidP="007B23DE">
      <w:pPr>
        <w:tabs>
          <w:tab w:val="left" w:pos="1134"/>
          <w:tab w:val="left" w:pos="2268"/>
        </w:tabs>
        <w:spacing w:before="120" w:after="120"/>
        <w:ind w:left="1134" w:hanging="567"/>
        <w:jc w:val="both"/>
        <w:rPr>
          <w:rFonts w:ascii="Arial" w:hAnsi="Arial" w:cs="Arial"/>
          <w:sz w:val="22"/>
          <w:szCs w:val="22"/>
        </w:rPr>
      </w:pPr>
      <w:r w:rsidRPr="0001502D">
        <w:rPr>
          <w:rFonts w:ascii="Arial" w:hAnsi="Arial" w:cs="Arial"/>
          <w:sz w:val="22"/>
          <w:szCs w:val="22"/>
        </w:rPr>
        <w:t xml:space="preserve">R.4 : </w:t>
      </w:r>
      <w:r w:rsidRPr="0001502D">
        <w:rPr>
          <w:rFonts w:ascii="Arial" w:hAnsi="Arial" w:cs="Arial"/>
          <w:sz w:val="22"/>
          <w:szCs w:val="22"/>
        </w:rPr>
        <w:tab/>
        <w:t>La description de la participation de la communauté au processus de candidature est générale et vague et manque d</w:t>
      </w:r>
      <w:r w:rsidR="009C104E">
        <w:rPr>
          <w:rFonts w:ascii="Arial" w:hAnsi="Arial" w:cs="Arial"/>
          <w:sz w:val="22"/>
          <w:szCs w:val="22"/>
        </w:rPr>
        <w:t>’</w:t>
      </w:r>
      <w:r w:rsidRPr="0001502D">
        <w:rPr>
          <w:rFonts w:ascii="Arial" w:hAnsi="Arial" w:cs="Arial"/>
          <w:sz w:val="22"/>
          <w:szCs w:val="22"/>
        </w:rPr>
        <w:t>informations sur les méthodologies adoptées, les acteurs concernés et les activités menées. En outre, il n</w:t>
      </w:r>
      <w:r w:rsidR="009C104E">
        <w:rPr>
          <w:rFonts w:ascii="Arial" w:hAnsi="Arial" w:cs="Arial"/>
          <w:sz w:val="22"/>
          <w:szCs w:val="22"/>
        </w:rPr>
        <w:t>’</w:t>
      </w:r>
      <w:r w:rsidRPr="0001502D">
        <w:rPr>
          <w:rFonts w:ascii="Arial" w:hAnsi="Arial" w:cs="Arial"/>
          <w:sz w:val="22"/>
          <w:szCs w:val="22"/>
        </w:rPr>
        <w:t>y a pas suffisamment de preuves de cette participation. Bien que l</w:t>
      </w:r>
      <w:r w:rsidR="009C104E">
        <w:rPr>
          <w:rFonts w:ascii="Arial" w:hAnsi="Arial" w:cs="Arial"/>
          <w:sz w:val="22"/>
          <w:szCs w:val="22"/>
        </w:rPr>
        <w:t>’</w:t>
      </w:r>
      <w:r w:rsidRPr="0001502D">
        <w:rPr>
          <w:rFonts w:ascii="Arial" w:hAnsi="Arial" w:cs="Arial"/>
          <w:sz w:val="22"/>
          <w:szCs w:val="22"/>
        </w:rPr>
        <w:t>élément proposé pour inscription ait une portée nationale, le dossier contient seulement quatre lettres de consentement provenant de deux associations et de deux institutions gouvernementales.</w:t>
      </w:r>
    </w:p>
    <w:p w14:paraId="251EF77B" w14:textId="44B248AA" w:rsidR="0001502D" w:rsidRPr="0001502D" w:rsidRDefault="0001502D" w:rsidP="007B23DE">
      <w:pPr>
        <w:tabs>
          <w:tab w:val="left" w:pos="1134"/>
          <w:tab w:val="left" w:pos="2268"/>
        </w:tabs>
        <w:spacing w:before="120" w:after="120"/>
        <w:ind w:left="1134" w:hanging="567"/>
        <w:jc w:val="both"/>
        <w:rPr>
          <w:rFonts w:ascii="Arial" w:hAnsi="Arial" w:cs="Arial"/>
          <w:sz w:val="22"/>
          <w:szCs w:val="22"/>
        </w:rPr>
      </w:pPr>
      <w:r w:rsidRPr="0001502D">
        <w:rPr>
          <w:rFonts w:ascii="Arial" w:hAnsi="Arial" w:cs="Arial"/>
          <w:sz w:val="22"/>
          <w:szCs w:val="22"/>
        </w:rPr>
        <w:t xml:space="preserve">R.5 : </w:t>
      </w:r>
      <w:r w:rsidRPr="0001502D">
        <w:rPr>
          <w:rFonts w:ascii="Arial" w:hAnsi="Arial" w:cs="Arial"/>
          <w:sz w:val="22"/>
          <w:szCs w:val="22"/>
        </w:rPr>
        <w:tab/>
        <w:t>Les informations fournies en rapport avec l</w:t>
      </w:r>
      <w:r w:rsidR="009C104E">
        <w:rPr>
          <w:rFonts w:ascii="Arial" w:hAnsi="Arial" w:cs="Arial"/>
          <w:sz w:val="22"/>
          <w:szCs w:val="22"/>
        </w:rPr>
        <w:t>’</w:t>
      </w:r>
      <w:r w:rsidRPr="0001502D">
        <w:rPr>
          <w:rFonts w:ascii="Arial" w:hAnsi="Arial" w:cs="Arial"/>
          <w:sz w:val="22"/>
          <w:szCs w:val="22"/>
        </w:rPr>
        <w:t>inventaire du patrimoine culturel immatériel de la République démocratique populaire lao ne sont pas claires. Bien que le dossier de candidature fasse référence à la reconnaissance officielle de l</w:t>
      </w:r>
      <w:r w:rsidR="009C104E">
        <w:rPr>
          <w:rFonts w:ascii="Arial" w:hAnsi="Arial" w:cs="Arial"/>
          <w:sz w:val="22"/>
          <w:szCs w:val="22"/>
        </w:rPr>
        <w:t>’</w:t>
      </w:r>
      <w:r w:rsidRPr="0001502D">
        <w:rPr>
          <w:rFonts w:ascii="Arial" w:hAnsi="Arial" w:cs="Arial"/>
          <w:sz w:val="22"/>
          <w:szCs w:val="22"/>
        </w:rPr>
        <w:t>élément comme faisant partie du patrimoine culturel immatériel du pays, il n</w:t>
      </w:r>
      <w:r w:rsidR="009C104E">
        <w:rPr>
          <w:rFonts w:ascii="Arial" w:hAnsi="Arial" w:cs="Arial"/>
          <w:sz w:val="22"/>
          <w:szCs w:val="22"/>
        </w:rPr>
        <w:t>’</w:t>
      </w:r>
      <w:r w:rsidRPr="0001502D">
        <w:rPr>
          <w:rFonts w:ascii="Arial" w:hAnsi="Arial" w:cs="Arial"/>
          <w:sz w:val="22"/>
          <w:szCs w:val="22"/>
        </w:rPr>
        <w:t>indique pas le nom de l</w:t>
      </w:r>
      <w:r w:rsidR="009C104E">
        <w:rPr>
          <w:rFonts w:ascii="Arial" w:hAnsi="Arial" w:cs="Arial"/>
          <w:sz w:val="22"/>
          <w:szCs w:val="22"/>
        </w:rPr>
        <w:t>’</w:t>
      </w:r>
      <w:r w:rsidRPr="0001502D">
        <w:rPr>
          <w:rFonts w:ascii="Arial" w:hAnsi="Arial" w:cs="Arial"/>
          <w:sz w:val="22"/>
          <w:szCs w:val="22"/>
        </w:rPr>
        <w:t>inventaire, le mécanisme de mise à jour ou le nom de l</w:t>
      </w:r>
      <w:r w:rsidR="009C104E">
        <w:rPr>
          <w:rFonts w:ascii="Arial" w:hAnsi="Arial" w:cs="Arial"/>
          <w:sz w:val="22"/>
          <w:szCs w:val="22"/>
        </w:rPr>
        <w:t>’</w:t>
      </w:r>
      <w:r w:rsidRPr="0001502D">
        <w:rPr>
          <w:rFonts w:ascii="Arial" w:hAnsi="Arial" w:cs="Arial"/>
          <w:sz w:val="22"/>
          <w:szCs w:val="22"/>
        </w:rPr>
        <w:t>institution qui en est responsable. Il fait aussi état d</w:t>
      </w:r>
      <w:r w:rsidR="009C104E">
        <w:rPr>
          <w:rFonts w:ascii="Arial" w:hAnsi="Arial" w:cs="Arial"/>
          <w:sz w:val="22"/>
          <w:szCs w:val="22"/>
        </w:rPr>
        <w:t>’</w:t>
      </w:r>
      <w:r w:rsidRPr="0001502D">
        <w:rPr>
          <w:rFonts w:ascii="Arial" w:hAnsi="Arial" w:cs="Arial"/>
          <w:sz w:val="22"/>
          <w:szCs w:val="22"/>
        </w:rPr>
        <w:t>un processus descendant pour la réalisation de l</w:t>
      </w:r>
      <w:r w:rsidR="009C104E">
        <w:rPr>
          <w:rFonts w:ascii="Arial" w:hAnsi="Arial" w:cs="Arial"/>
          <w:sz w:val="22"/>
          <w:szCs w:val="22"/>
        </w:rPr>
        <w:t>’</w:t>
      </w:r>
      <w:r w:rsidRPr="0001502D">
        <w:rPr>
          <w:rFonts w:ascii="Arial" w:hAnsi="Arial" w:cs="Arial"/>
          <w:sz w:val="22"/>
          <w:szCs w:val="22"/>
        </w:rPr>
        <w:t>inventaire.</w:t>
      </w:r>
    </w:p>
    <w:p w14:paraId="3008FFED" w14:textId="4CF48DE2" w:rsidR="0001502D" w:rsidRPr="0001502D" w:rsidRDefault="0001502D" w:rsidP="00771F30">
      <w:pPr>
        <w:numPr>
          <w:ilvl w:val="1"/>
          <w:numId w:val="27"/>
        </w:numPr>
        <w:tabs>
          <w:tab w:val="left" w:pos="567"/>
          <w:tab w:val="left" w:pos="2268"/>
        </w:tabs>
        <w:spacing w:before="120" w:after="120"/>
        <w:jc w:val="both"/>
        <w:rPr>
          <w:rFonts w:ascii="Arial" w:hAnsi="Arial" w:cs="Arial"/>
          <w:sz w:val="22"/>
          <w:szCs w:val="22"/>
          <w:lang w:eastAsia="ko-KR"/>
        </w:rPr>
      </w:pPr>
      <w:r w:rsidRPr="0001502D">
        <w:rPr>
          <w:rFonts w:ascii="Arial" w:hAnsi="Arial" w:cs="Arial"/>
          <w:sz w:val="22"/>
          <w:szCs w:val="22"/>
          <w:u w:val="single"/>
          <w:lang w:eastAsia="ko-KR"/>
        </w:rPr>
        <w:t>Décide de renvoyer</w:t>
      </w:r>
      <w:r w:rsidRPr="0001502D">
        <w:rPr>
          <w:rFonts w:ascii="Arial" w:hAnsi="Arial" w:cs="Arial"/>
          <w:sz w:val="22"/>
          <w:szCs w:val="22"/>
          <w:lang w:eastAsia="ko-KR"/>
        </w:rPr>
        <w:t xml:space="preserve"> la candidature </w:t>
      </w:r>
      <w:r w:rsidRPr="0001502D">
        <w:rPr>
          <w:rFonts w:ascii="Arial" w:hAnsi="Arial" w:cs="Arial"/>
          <w:b/>
          <w:sz w:val="22"/>
          <w:szCs w:val="22"/>
          <w:lang w:eastAsia="ko-KR"/>
        </w:rPr>
        <w:t>du fone lam vong Lao (lamvonglao) (lamvong)</w:t>
      </w:r>
      <w:r w:rsidRPr="0001502D">
        <w:rPr>
          <w:rFonts w:ascii="Arial" w:hAnsi="Arial" w:cs="Arial"/>
          <w:sz w:val="22"/>
          <w:szCs w:val="22"/>
          <w:lang w:eastAsia="ko-KR"/>
        </w:rPr>
        <w:t xml:space="preserve"> à l</w:t>
      </w:r>
      <w:r w:rsidR="009C104E">
        <w:rPr>
          <w:rFonts w:ascii="Arial" w:hAnsi="Arial" w:cs="Arial"/>
          <w:sz w:val="22"/>
          <w:szCs w:val="22"/>
          <w:lang w:eastAsia="ko-KR"/>
        </w:rPr>
        <w:t>’</w:t>
      </w:r>
      <w:r w:rsidRPr="0001502D">
        <w:rPr>
          <w:rFonts w:ascii="Arial" w:hAnsi="Arial" w:cs="Arial"/>
          <w:sz w:val="22"/>
          <w:szCs w:val="22"/>
          <w:lang w:eastAsia="ko-KR"/>
        </w:rPr>
        <w:t>État partie soumissionnaire et l</w:t>
      </w:r>
      <w:r w:rsidR="009C104E">
        <w:rPr>
          <w:rFonts w:ascii="Arial" w:hAnsi="Arial" w:cs="Arial"/>
          <w:sz w:val="22"/>
          <w:szCs w:val="22"/>
          <w:lang w:eastAsia="ko-KR"/>
        </w:rPr>
        <w:t>’</w:t>
      </w:r>
      <w:r w:rsidRPr="0001502D">
        <w:rPr>
          <w:rFonts w:ascii="Arial" w:hAnsi="Arial" w:cs="Arial"/>
          <w:sz w:val="22"/>
          <w:szCs w:val="22"/>
          <w:u w:val="single"/>
          <w:lang w:eastAsia="ko-KR"/>
        </w:rPr>
        <w:t>invite</w:t>
      </w:r>
      <w:r w:rsidRPr="0001502D">
        <w:rPr>
          <w:rFonts w:ascii="Arial" w:hAnsi="Arial" w:cs="Arial"/>
          <w:sz w:val="22"/>
          <w:szCs w:val="22"/>
          <w:lang w:eastAsia="ko-KR"/>
        </w:rPr>
        <w:t xml:space="preserve"> à resoumettre la candidature au Comité pour examen au cours d</w:t>
      </w:r>
      <w:r w:rsidR="009C104E">
        <w:rPr>
          <w:rFonts w:ascii="Arial" w:hAnsi="Arial" w:cs="Arial"/>
          <w:sz w:val="22"/>
          <w:szCs w:val="22"/>
          <w:lang w:eastAsia="ko-KR"/>
        </w:rPr>
        <w:t>’</w:t>
      </w:r>
      <w:r w:rsidRPr="0001502D">
        <w:rPr>
          <w:rFonts w:ascii="Arial" w:hAnsi="Arial" w:cs="Arial"/>
          <w:sz w:val="22"/>
          <w:szCs w:val="22"/>
          <w:lang w:eastAsia="ko-KR"/>
        </w:rPr>
        <w:t>un cycle ultérieur ;</w:t>
      </w:r>
    </w:p>
    <w:p w14:paraId="644F038F" w14:textId="02E7661D" w:rsidR="0001502D" w:rsidRPr="0001502D" w:rsidRDefault="0001502D" w:rsidP="00771F30">
      <w:pPr>
        <w:numPr>
          <w:ilvl w:val="1"/>
          <w:numId w:val="27"/>
        </w:numPr>
        <w:tabs>
          <w:tab w:val="left" w:pos="567"/>
          <w:tab w:val="left" w:pos="2268"/>
        </w:tabs>
        <w:spacing w:before="120" w:after="120"/>
        <w:jc w:val="both"/>
        <w:rPr>
          <w:rFonts w:ascii="Arial" w:hAnsi="Arial" w:cs="Arial"/>
          <w:sz w:val="22"/>
          <w:szCs w:val="22"/>
          <w:lang w:eastAsia="ko-KR"/>
        </w:rPr>
      </w:pPr>
      <w:r w:rsidRPr="0001502D">
        <w:rPr>
          <w:rFonts w:ascii="Arial" w:hAnsi="Arial" w:cs="Arial"/>
          <w:sz w:val="22"/>
          <w:szCs w:val="22"/>
          <w:u w:val="single"/>
          <w:lang w:eastAsia="ko-KR"/>
        </w:rPr>
        <w:t>Encourage</w:t>
      </w:r>
      <w:r w:rsidRPr="0001502D">
        <w:rPr>
          <w:rFonts w:ascii="Arial" w:hAnsi="Arial" w:cs="Arial"/>
          <w:sz w:val="22"/>
          <w:szCs w:val="22"/>
          <w:lang w:eastAsia="ko-KR"/>
        </w:rPr>
        <w:t xml:space="preserve"> l</w:t>
      </w:r>
      <w:r w:rsidR="009C104E">
        <w:rPr>
          <w:rFonts w:ascii="Arial" w:hAnsi="Arial" w:cs="Arial"/>
          <w:sz w:val="22"/>
          <w:szCs w:val="22"/>
          <w:lang w:eastAsia="ko-KR"/>
        </w:rPr>
        <w:t>’</w:t>
      </w:r>
      <w:r w:rsidRPr="0001502D">
        <w:rPr>
          <w:rFonts w:ascii="Arial" w:hAnsi="Arial" w:cs="Arial"/>
          <w:sz w:val="22"/>
          <w:szCs w:val="22"/>
          <w:lang w:eastAsia="ko-KR"/>
        </w:rPr>
        <w:t>État partie à s</w:t>
      </w:r>
      <w:r w:rsidR="009C104E">
        <w:rPr>
          <w:rFonts w:ascii="Arial" w:hAnsi="Arial" w:cs="Arial"/>
          <w:sz w:val="22"/>
          <w:szCs w:val="22"/>
          <w:lang w:eastAsia="ko-KR"/>
        </w:rPr>
        <w:t>’</w:t>
      </w:r>
      <w:r w:rsidRPr="0001502D">
        <w:rPr>
          <w:rFonts w:ascii="Arial" w:hAnsi="Arial" w:cs="Arial"/>
          <w:sz w:val="22"/>
          <w:szCs w:val="22"/>
          <w:lang w:eastAsia="ko-KR"/>
        </w:rPr>
        <w:t>assurer du rôle principal des communautés, groupes et individus concernés durant toutes les étapes du processus de candidature et à éviter les approches descendantes susceptibles d</w:t>
      </w:r>
      <w:r w:rsidR="009C104E">
        <w:rPr>
          <w:rFonts w:ascii="Arial" w:hAnsi="Arial" w:cs="Arial"/>
          <w:sz w:val="22"/>
          <w:szCs w:val="22"/>
          <w:lang w:eastAsia="ko-KR"/>
        </w:rPr>
        <w:t>’</w:t>
      </w:r>
      <w:r w:rsidRPr="0001502D">
        <w:rPr>
          <w:rFonts w:ascii="Arial" w:hAnsi="Arial" w:cs="Arial"/>
          <w:sz w:val="22"/>
          <w:szCs w:val="22"/>
          <w:lang w:eastAsia="ko-KR"/>
        </w:rPr>
        <w:t>influencer indûment l</w:t>
      </w:r>
      <w:r w:rsidR="009C104E">
        <w:rPr>
          <w:rFonts w:ascii="Arial" w:hAnsi="Arial" w:cs="Arial"/>
          <w:sz w:val="22"/>
          <w:szCs w:val="22"/>
          <w:lang w:eastAsia="ko-KR"/>
        </w:rPr>
        <w:t>’</w:t>
      </w:r>
      <w:r w:rsidRPr="0001502D">
        <w:rPr>
          <w:rFonts w:ascii="Arial" w:hAnsi="Arial" w:cs="Arial"/>
          <w:sz w:val="22"/>
          <w:szCs w:val="22"/>
          <w:lang w:eastAsia="ko-KR"/>
        </w:rPr>
        <w:t>organisation traditionnelle et spontanée du patrimoine culturel immatériel.</w:t>
      </w:r>
    </w:p>
    <w:p w14:paraId="46486455" w14:textId="06A1F2BD" w:rsidR="0001502D" w:rsidRPr="00662C20" w:rsidRDefault="0001502D" w:rsidP="00771F30">
      <w:pPr>
        <w:keepNext/>
        <w:keepLines/>
        <w:numPr>
          <w:ilvl w:val="0"/>
          <w:numId w:val="27"/>
        </w:numPr>
        <w:spacing w:before="360" w:after="120"/>
        <w:outlineLvl w:val="1"/>
        <w:rPr>
          <w:rFonts w:ascii="Arial" w:hAnsi="Arial" w:cs="Arial"/>
          <w:bCs/>
          <w:iCs/>
          <w:sz w:val="22"/>
          <w:szCs w:val="22"/>
        </w:rPr>
      </w:pPr>
      <w:bookmarkStart w:id="25" w:name="Decision_10b22"/>
      <w:r w:rsidRPr="00662C20">
        <w:rPr>
          <w:rFonts w:ascii="Arial" w:hAnsi="Arial" w:cs="Arial"/>
          <w:b/>
          <w:bCs/>
          <w:iCs/>
          <w:sz w:val="22"/>
          <w:szCs w:val="22"/>
        </w:rPr>
        <w:t xml:space="preserve">DÉCISION 14.COM 10.b.22 </w:t>
      </w:r>
    </w:p>
    <w:bookmarkEnd w:id="25"/>
    <w:p w14:paraId="623DF37C" w14:textId="77777777" w:rsidR="0001502D" w:rsidRPr="00662C20" w:rsidRDefault="0001502D" w:rsidP="007B23DE">
      <w:pPr>
        <w:keepNext/>
        <w:tabs>
          <w:tab w:val="left" w:pos="567"/>
          <w:tab w:val="left" w:pos="1134"/>
          <w:tab w:val="left" w:pos="1701"/>
          <w:tab w:val="left" w:pos="2268"/>
        </w:tabs>
        <w:spacing w:before="120" w:after="120"/>
        <w:jc w:val="both"/>
        <w:rPr>
          <w:rFonts w:ascii="Arial" w:hAnsi="Arial" w:cs="Arial"/>
          <w:sz w:val="22"/>
          <w:szCs w:val="22"/>
        </w:rPr>
      </w:pPr>
      <w:r w:rsidRPr="00662C20">
        <w:rPr>
          <w:rFonts w:ascii="Arial" w:hAnsi="Arial" w:cs="Arial"/>
          <w:sz w:val="22"/>
          <w:szCs w:val="22"/>
        </w:rPr>
        <w:t>Le Comité,</w:t>
      </w:r>
    </w:p>
    <w:p w14:paraId="7DB2B762" w14:textId="2D6E9483" w:rsidR="0001502D" w:rsidRPr="00662C20" w:rsidRDefault="0001502D" w:rsidP="00771F30">
      <w:pPr>
        <w:numPr>
          <w:ilvl w:val="1"/>
          <w:numId w:val="27"/>
        </w:numPr>
        <w:tabs>
          <w:tab w:val="left" w:pos="567"/>
          <w:tab w:val="left" w:pos="1701"/>
          <w:tab w:val="left" w:pos="2268"/>
        </w:tabs>
        <w:spacing w:before="120" w:after="120"/>
        <w:jc w:val="both"/>
        <w:rPr>
          <w:rFonts w:ascii="Arial" w:hAnsi="Arial" w:cs="Arial"/>
          <w:sz w:val="22"/>
          <w:szCs w:val="22"/>
          <w:lang w:eastAsia="ko-KR"/>
        </w:rPr>
      </w:pPr>
      <w:r w:rsidRPr="00662C20">
        <w:rPr>
          <w:rFonts w:ascii="Arial" w:hAnsi="Arial" w:cs="Arial"/>
          <w:sz w:val="22"/>
          <w:szCs w:val="22"/>
          <w:u w:val="single"/>
          <w:lang w:eastAsia="ko-KR"/>
        </w:rPr>
        <w:t>Prend note</w:t>
      </w:r>
      <w:r w:rsidRPr="00662C20">
        <w:rPr>
          <w:rFonts w:ascii="Arial" w:hAnsi="Arial" w:cs="Arial"/>
          <w:sz w:val="22"/>
          <w:szCs w:val="22"/>
          <w:lang w:eastAsia="ko-KR"/>
        </w:rPr>
        <w:t xml:space="preserve"> que la Malaisie a proposé la candidature </w:t>
      </w:r>
      <w:r w:rsidRPr="00662C20">
        <w:rPr>
          <w:rFonts w:ascii="Arial" w:hAnsi="Arial" w:cs="Arial"/>
          <w:b/>
          <w:sz w:val="22"/>
          <w:szCs w:val="22"/>
          <w:lang w:eastAsia="ko-KR"/>
        </w:rPr>
        <w:t xml:space="preserve">du </w:t>
      </w:r>
      <w:r w:rsidRPr="00662C20">
        <w:rPr>
          <w:rFonts w:ascii="Arial" w:hAnsi="Arial" w:cs="Arial"/>
          <w:b/>
          <w:bCs/>
          <w:sz w:val="22"/>
          <w:szCs w:val="22"/>
          <w:lang w:eastAsia="ko-KR"/>
        </w:rPr>
        <w:t>silat</w:t>
      </w:r>
      <w:r w:rsidRPr="00662C20">
        <w:rPr>
          <w:rFonts w:ascii="Arial" w:hAnsi="Arial" w:cs="Arial"/>
          <w:sz w:val="22"/>
          <w:szCs w:val="22"/>
          <w:lang w:eastAsia="ko-KR"/>
        </w:rPr>
        <w:t xml:space="preserve"> (n° 01504) pour inscription sur la Liste représentative du patrimoine culturel immatériel de l</w:t>
      </w:r>
      <w:r w:rsidR="009C104E">
        <w:rPr>
          <w:rFonts w:ascii="Arial" w:hAnsi="Arial" w:cs="Arial"/>
          <w:sz w:val="22"/>
          <w:szCs w:val="22"/>
          <w:lang w:eastAsia="ko-KR"/>
        </w:rPr>
        <w:t>’</w:t>
      </w:r>
      <w:r w:rsidRPr="00662C20">
        <w:rPr>
          <w:rFonts w:ascii="Arial" w:hAnsi="Arial" w:cs="Arial"/>
          <w:sz w:val="22"/>
          <w:szCs w:val="22"/>
          <w:lang w:eastAsia="ko-KR"/>
        </w:rPr>
        <w:t>humanité :</w:t>
      </w:r>
    </w:p>
    <w:p w14:paraId="4C32148D" w14:textId="327763D6" w:rsidR="0001502D" w:rsidRPr="00662C20" w:rsidRDefault="0001502D" w:rsidP="007B23DE">
      <w:pPr>
        <w:tabs>
          <w:tab w:val="left" w:pos="567"/>
          <w:tab w:val="left" w:pos="1701"/>
          <w:tab w:val="left" w:pos="2268"/>
        </w:tabs>
        <w:spacing w:before="120" w:after="120"/>
        <w:ind w:left="567"/>
        <w:jc w:val="both"/>
        <w:rPr>
          <w:rFonts w:ascii="Arial" w:hAnsi="Arial" w:cs="Arial"/>
          <w:sz w:val="22"/>
          <w:szCs w:val="22"/>
        </w:rPr>
      </w:pPr>
      <w:r w:rsidRPr="00662C20">
        <w:rPr>
          <w:rFonts w:ascii="Arial" w:hAnsi="Arial" w:cs="Arial"/>
          <w:sz w:val="22"/>
          <w:szCs w:val="22"/>
        </w:rPr>
        <w:t>Le silat est un art martial d</w:t>
      </w:r>
      <w:r w:rsidR="009C104E">
        <w:rPr>
          <w:rFonts w:ascii="Arial" w:hAnsi="Arial" w:cs="Arial"/>
          <w:sz w:val="22"/>
          <w:szCs w:val="22"/>
        </w:rPr>
        <w:t>’</w:t>
      </w:r>
      <w:r w:rsidRPr="00662C20">
        <w:rPr>
          <w:rFonts w:ascii="Arial" w:hAnsi="Arial" w:cs="Arial"/>
          <w:sz w:val="22"/>
          <w:szCs w:val="22"/>
        </w:rPr>
        <w:t>autodéfense et de survie enraciné dans l</w:t>
      </w:r>
      <w:r w:rsidR="009C104E">
        <w:rPr>
          <w:rFonts w:ascii="Arial" w:hAnsi="Arial" w:cs="Arial"/>
          <w:sz w:val="22"/>
          <w:szCs w:val="22"/>
        </w:rPr>
        <w:t>’</w:t>
      </w:r>
      <w:r w:rsidRPr="00662C20">
        <w:rPr>
          <w:rFonts w:ascii="Arial" w:hAnsi="Arial" w:cs="Arial"/>
          <w:sz w:val="22"/>
          <w:szCs w:val="22"/>
        </w:rPr>
        <w:t>archipel de la Malaisie. Remontant au début du royaume de Langkasuka, le silat a évolué pour devenir une pratique élaborée d</w:t>
      </w:r>
      <w:r w:rsidR="009C104E">
        <w:rPr>
          <w:rFonts w:ascii="Arial" w:hAnsi="Arial" w:cs="Arial"/>
          <w:sz w:val="22"/>
          <w:szCs w:val="22"/>
        </w:rPr>
        <w:t>’</w:t>
      </w:r>
      <w:r w:rsidRPr="00662C20">
        <w:rPr>
          <w:rFonts w:ascii="Arial" w:hAnsi="Arial" w:cs="Arial"/>
          <w:sz w:val="22"/>
          <w:szCs w:val="22"/>
        </w:rPr>
        <w:t xml:space="preserve">entraînement physique et spirituel, incluant des tenues traditionnelles malaises, des instruments de musique et des coutumes propres au silat. Il existe de nombreux styles de silat inspirés par les mouvements des corps, de la nature et des animaux. Par exemple, le </w:t>
      </w:r>
      <w:r w:rsidRPr="00662C20">
        <w:rPr>
          <w:rFonts w:ascii="Arial" w:hAnsi="Arial" w:cs="Arial"/>
          <w:iCs/>
          <w:sz w:val="22"/>
          <w:szCs w:val="22"/>
        </w:rPr>
        <w:t>silat harimau</w:t>
      </w:r>
      <w:r w:rsidRPr="00662C20">
        <w:rPr>
          <w:rFonts w:ascii="Arial" w:hAnsi="Arial" w:cs="Arial"/>
          <w:sz w:val="22"/>
          <w:szCs w:val="22"/>
        </w:rPr>
        <w:t xml:space="preserve"> regroupe des mouvements esthétiques et rythmiques qui imitent les postures de défense et d</w:t>
      </w:r>
      <w:r w:rsidR="009C104E">
        <w:rPr>
          <w:rFonts w:ascii="Arial" w:hAnsi="Arial" w:cs="Arial"/>
          <w:sz w:val="22"/>
          <w:szCs w:val="22"/>
        </w:rPr>
        <w:t>’</w:t>
      </w:r>
      <w:r w:rsidRPr="00662C20">
        <w:rPr>
          <w:rFonts w:ascii="Arial" w:hAnsi="Arial" w:cs="Arial"/>
          <w:sz w:val="22"/>
          <w:szCs w:val="22"/>
        </w:rPr>
        <w:t>attaque du tigre. Rien qu</w:t>
      </w:r>
      <w:r w:rsidR="009C104E">
        <w:rPr>
          <w:rFonts w:ascii="Arial" w:hAnsi="Arial" w:cs="Arial"/>
          <w:sz w:val="22"/>
          <w:szCs w:val="22"/>
        </w:rPr>
        <w:t>’</w:t>
      </w:r>
      <w:r w:rsidRPr="00662C20">
        <w:rPr>
          <w:rFonts w:ascii="Arial" w:hAnsi="Arial" w:cs="Arial"/>
          <w:sz w:val="22"/>
          <w:szCs w:val="22"/>
        </w:rPr>
        <w:t>en Malaisie, il y a plus de 150 styles de silat connus reprenant les noms d</w:t>
      </w:r>
      <w:r w:rsidR="009C104E">
        <w:rPr>
          <w:rFonts w:ascii="Arial" w:hAnsi="Arial" w:cs="Arial"/>
          <w:sz w:val="22"/>
          <w:szCs w:val="22"/>
        </w:rPr>
        <w:t>’</w:t>
      </w:r>
      <w:r w:rsidRPr="00662C20">
        <w:rPr>
          <w:rFonts w:ascii="Arial" w:hAnsi="Arial" w:cs="Arial"/>
          <w:sz w:val="22"/>
          <w:szCs w:val="22"/>
        </w:rPr>
        <w:t>éléments naturels tels que des animaux ou des plantes. À l</w:t>
      </w:r>
      <w:r w:rsidR="009C104E">
        <w:rPr>
          <w:rFonts w:ascii="Arial" w:hAnsi="Arial" w:cs="Arial"/>
          <w:sz w:val="22"/>
          <w:szCs w:val="22"/>
        </w:rPr>
        <w:t>’</w:t>
      </w:r>
      <w:r w:rsidRPr="00662C20">
        <w:rPr>
          <w:rFonts w:ascii="Arial" w:hAnsi="Arial" w:cs="Arial"/>
          <w:sz w:val="22"/>
          <w:szCs w:val="22"/>
        </w:rPr>
        <w:t>origine, le silat malais était pratiqué par des guerriers – nobles défenseurs de la justice – mais aujourd</w:t>
      </w:r>
      <w:r w:rsidR="009C104E">
        <w:rPr>
          <w:rFonts w:ascii="Arial" w:hAnsi="Arial" w:cs="Arial"/>
          <w:sz w:val="22"/>
          <w:szCs w:val="22"/>
        </w:rPr>
        <w:t>’</w:t>
      </w:r>
      <w:r w:rsidRPr="00662C20">
        <w:rPr>
          <w:rFonts w:ascii="Arial" w:hAnsi="Arial" w:cs="Arial"/>
          <w:sz w:val="22"/>
          <w:szCs w:val="22"/>
        </w:rPr>
        <w:t>hui les praticiens sont des maîtres, gourous, enseignants et élèves qui assurent la pérennité de la pratique. Les entraînements se déroulent généralement le soir ou la nuit dans un lieu ouvert tel qu</w:t>
      </w:r>
      <w:r w:rsidR="009C104E">
        <w:rPr>
          <w:rFonts w:ascii="Arial" w:hAnsi="Arial" w:cs="Arial"/>
          <w:sz w:val="22"/>
          <w:szCs w:val="22"/>
        </w:rPr>
        <w:t>’</w:t>
      </w:r>
      <w:r w:rsidRPr="00662C20">
        <w:rPr>
          <w:rFonts w:ascii="Arial" w:hAnsi="Arial" w:cs="Arial"/>
          <w:sz w:val="22"/>
          <w:szCs w:val="22"/>
        </w:rPr>
        <w:t>une cour intérieure, dirigés par un maître et un « </w:t>
      </w:r>
      <w:r w:rsidRPr="00662C20">
        <w:rPr>
          <w:rFonts w:ascii="Arial" w:hAnsi="Arial" w:cs="Arial"/>
          <w:iCs/>
          <w:sz w:val="22"/>
          <w:szCs w:val="22"/>
        </w:rPr>
        <w:t>jurukaka »</w:t>
      </w:r>
      <w:r w:rsidRPr="00662C20">
        <w:rPr>
          <w:rFonts w:ascii="Arial" w:hAnsi="Arial" w:cs="Arial"/>
          <w:sz w:val="22"/>
          <w:szCs w:val="22"/>
        </w:rPr>
        <w:t>. Un grand nombre de praticiens ont été formés et encouragés, et un nombre grandissant de centres de formation ont été créés dans plusieurs régions. Compte tenu de l</w:t>
      </w:r>
      <w:r w:rsidR="009C104E">
        <w:rPr>
          <w:rFonts w:ascii="Arial" w:hAnsi="Arial" w:cs="Arial"/>
          <w:sz w:val="22"/>
          <w:szCs w:val="22"/>
        </w:rPr>
        <w:t>’</w:t>
      </w:r>
      <w:r w:rsidRPr="00662C20">
        <w:rPr>
          <w:rFonts w:ascii="Arial" w:hAnsi="Arial" w:cs="Arial"/>
          <w:sz w:val="22"/>
          <w:szCs w:val="22"/>
        </w:rPr>
        <w:t>accélération de sa diffusion, la pratique a de plus en plus transcendé son statut d</w:t>
      </w:r>
      <w:r w:rsidR="009C104E">
        <w:rPr>
          <w:rFonts w:ascii="Arial" w:hAnsi="Arial" w:cs="Arial"/>
          <w:sz w:val="22"/>
          <w:szCs w:val="22"/>
        </w:rPr>
        <w:t>’</w:t>
      </w:r>
      <w:r w:rsidRPr="00662C20">
        <w:rPr>
          <w:rFonts w:ascii="Arial" w:hAnsi="Arial" w:cs="Arial"/>
          <w:sz w:val="22"/>
          <w:szCs w:val="22"/>
        </w:rPr>
        <w:t>art martial pour devenir un art du spectacle. Le silat est donc devenu un sport populaire pour la santé et le loisir.</w:t>
      </w:r>
    </w:p>
    <w:p w14:paraId="384B3911" w14:textId="576E9958" w:rsidR="0001502D" w:rsidRPr="00662C20" w:rsidRDefault="0001502D" w:rsidP="00771F30">
      <w:pPr>
        <w:keepNext/>
        <w:numPr>
          <w:ilvl w:val="1"/>
          <w:numId w:val="27"/>
        </w:numPr>
        <w:tabs>
          <w:tab w:val="left" w:pos="567"/>
          <w:tab w:val="left" w:pos="1701"/>
          <w:tab w:val="left" w:pos="2268"/>
        </w:tabs>
        <w:spacing w:before="120" w:after="120"/>
        <w:jc w:val="both"/>
        <w:rPr>
          <w:rFonts w:ascii="Arial" w:hAnsi="Arial" w:cs="Arial"/>
          <w:sz w:val="22"/>
          <w:szCs w:val="22"/>
          <w:lang w:eastAsia="ko-KR"/>
        </w:rPr>
      </w:pPr>
      <w:r w:rsidRPr="00662C20">
        <w:rPr>
          <w:rFonts w:ascii="Arial" w:hAnsi="Arial" w:cs="Arial"/>
          <w:sz w:val="22"/>
          <w:szCs w:val="22"/>
          <w:u w:val="single"/>
          <w:lang w:eastAsia="ko-KR"/>
        </w:rPr>
        <w:t>Estime</w:t>
      </w:r>
      <w:r w:rsidRPr="00662C20">
        <w:rPr>
          <w:rFonts w:ascii="Arial" w:hAnsi="Arial" w:cs="Arial"/>
          <w:sz w:val="22"/>
          <w:szCs w:val="22"/>
          <w:lang w:eastAsia="ko-KR"/>
        </w:rPr>
        <w:t xml:space="preserve"> que, d</w:t>
      </w:r>
      <w:r w:rsidR="009C104E">
        <w:rPr>
          <w:rFonts w:ascii="Arial" w:hAnsi="Arial" w:cs="Arial"/>
          <w:sz w:val="22"/>
          <w:szCs w:val="22"/>
          <w:lang w:eastAsia="ko-KR"/>
        </w:rPr>
        <w:t>’</w:t>
      </w:r>
      <w:r w:rsidRPr="00662C20">
        <w:rPr>
          <w:rFonts w:ascii="Arial" w:hAnsi="Arial" w:cs="Arial"/>
          <w:sz w:val="22"/>
          <w:szCs w:val="22"/>
          <w:lang w:eastAsia="ko-KR"/>
        </w:rPr>
        <w:t>après les informations contenues dans le dossier, la candidature satisfait aux critères d</w:t>
      </w:r>
      <w:r w:rsidR="009C104E">
        <w:rPr>
          <w:rFonts w:ascii="Arial" w:hAnsi="Arial" w:cs="Arial"/>
          <w:sz w:val="22"/>
          <w:szCs w:val="22"/>
          <w:lang w:eastAsia="ko-KR"/>
        </w:rPr>
        <w:t>’</w:t>
      </w:r>
      <w:r w:rsidRPr="00662C20">
        <w:rPr>
          <w:rFonts w:ascii="Arial" w:hAnsi="Arial" w:cs="Arial"/>
          <w:sz w:val="22"/>
          <w:szCs w:val="22"/>
          <w:lang w:eastAsia="ko-KR"/>
        </w:rPr>
        <w:t>inscription sur la Liste représentative du patrimoine culturel immatériel de l</w:t>
      </w:r>
      <w:r w:rsidR="009C104E">
        <w:rPr>
          <w:rFonts w:ascii="Arial" w:hAnsi="Arial" w:cs="Arial"/>
          <w:sz w:val="22"/>
          <w:szCs w:val="22"/>
          <w:lang w:eastAsia="ko-KR"/>
        </w:rPr>
        <w:t>’</w:t>
      </w:r>
      <w:r w:rsidRPr="00662C20">
        <w:rPr>
          <w:rFonts w:ascii="Arial" w:hAnsi="Arial" w:cs="Arial"/>
          <w:sz w:val="22"/>
          <w:szCs w:val="22"/>
          <w:lang w:eastAsia="ko-KR"/>
        </w:rPr>
        <w:t>humanité comme suit :</w:t>
      </w:r>
    </w:p>
    <w:p w14:paraId="38D924D5" w14:textId="5AAE03FF" w:rsidR="0001502D" w:rsidRDefault="0001502D" w:rsidP="007B23DE">
      <w:pPr>
        <w:tabs>
          <w:tab w:val="left" w:pos="1134"/>
          <w:tab w:val="left" w:pos="2268"/>
        </w:tabs>
        <w:spacing w:before="120" w:after="120"/>
        <w:ind w:left="1134" w:hanging="555"/>
        <w:jc w:val="both"/>
        <w:rPr>
          <w:rFonts w:ascii="Arial" w:hAnsi="Arial" w:cs="Arial"/>
          <w:sz w:val="22"/>
          <w:szCs w:val="22"/>
        </w:rPr>
      </w:pPr>
      <w:r w:rsidRPr="00662C20">
        <w:rPr>
          <w:rFonts w:ascii="Arial" w:hAnsi="Arial" w:cs="Arial"/>
          <w:sz w:val="22"/>
          <w:szCs w:val="22"/>
        </w:rPr>
        <w:t xml:space="preserve">R.1 : </w:t>
      </w:r>
      <w:r w:rsidRPr="00662C20">
        <w:rPr>
          <w:rFonts w:ascii="Arial" w:hAnsi="Arial" w:cs="Arial"/>
          <w:sz w:val="22"/>
          <w:szCs w:val="22"/>
        </w:rPr>
        <w:tab/>
        <w:t>Le silat représente l</w:t>
      </w:r>
      <w:r w:rsidR="009C104E">
        <w:rPr>
          <w:rFonts w:ascii="Arial" w:hAnsi="Arial" w:cs="Arial"/>
          <w:sz w:val="22"/>
          <w:szCs w:val="22"/>
        </w:rPr>
        <w:t>’</w:t>
      </w:r>
      <w:r w:rsidRPr="00662C20">
        <w:rPr>
          <w:rFonts w:ascii="Arial" w:hAnsi="Arial" w:cs="Arial"/>
          <w:sz w:val="22"/>
          <w:szCs w:val="22"/>
        </w:rPr>
        <w:t>identité malaise et est un moyen de mettre en lumière les interactions sociales entre les communautés. Il est pratiqué lors des cérémonies de mariage traditionnelles malaises, des inaugurations officielles et comme spectacle de bienvenue pendant les fonctions officielles du gouvernement malais, comme le couronnement du roi. En tant qu</w:t>
      </w:r>
      <w:r w:rsidR="009C104E">
        <w:rPr>
          <w:rFonts w:ascii="Arial" w:hAnsi="Arial" w:cs="Arial"/>
          <w:sz w:val="22"/>
          <w:szCs w:val="22"/>
        </w:rPr>
        <w:t>’</w:t>
      </w:r>
      <w:r w:rsidRPr="00662C20">
        <w:rPr>
          <w:rFonts w:ascii="Arial" w:hAnsi="Arial" w:cs="Arial"/>
          <w:sz w:val="22"/>
          <w:szCs w:val="22"/>
        </w:rPr>
        <w:t>art martial, il comporte des principes philosophiques fondés sur le respect mutuel et la connaissance de la nature et de l</w:t>
      </w:r>
      <w:r w:rsidR="009C104E">
        <w:rPr>
          <w:rFonts w:ascii="Arial" w:hAnsi="Arial" w:cs="Arial"/>
          <w:sz w:val="22"/>
          <w:szCs w:val="22"/>
        </w:rPr>
        <w:t>’</w:t>
      </w:r>
      <w:r w:rsidRPr="00662C20">
        <w:rPr>
          <w:rFonts w:ascii="Arial" w:hAnsi="Arial" w:cs="Arial"/>
          <w:sz w:val="22"/>
          <w:szCs w:val="22"/>
        </w:rPr>
        <w:t>univers. Son apprentissage renforce l</w:t>
      </w:r>
      <w:r w:rsidR="009C104E">
        <w:rPr>
          <w:rFonts w:ascii="Arial" w:hAnsi="Arial" w:cs="Arial"/>
          <w:sz w:val="22"/>
          <w:szCs w:val="22"/>
        </w:rPr>
        <w:t>’</w:t>
      </w:r>
      <w:r w:rsidRPr="00662C20">
        <w:rPr>
          <w:rFonts w:ascii="Arial" w:hAnsi="Arial" w:cs="Arial"/>
          <w:sz w:val="22"/>
          <w:szCs w:val="22"/>
        </w:rPr>
        <w:t>agilité, l</w:t>
      </w:r>
      <w:r w:rsidR="009C104E">
        <w:rPr>
          <w:rFonts w:ascii="Arial" w:hAnsi="Arial" w:cs="Arial"/>
          <w:sz w:val="22"/>
          <w:szCs w:val="22"/>
        </w:rPr>
        <w:t>’</w:t>
      </w:r>
      <w:r w:rsidRPr="00662C20">
        <w:rPr>
          <w:rFonts w:ascii="Arial" w:hAnsi="Arial" w:cs="Arial"/>
          <w:sz w:val="22"/>
          <w:szCs w:val="22"/>
        </w:rPr>
        <w:t>habileté et une attitude réfléchie, stratégique, audacieuse, confiante, diligente, créative et courtoise.</w:t>
      </w:r>
    </w:p>
    <w:p w14:paraId="51619617" w14:textId="29B04036" w:rsidR="00662C20" w:rsidRDefault="00662C20" w:rsidP="007B23DE">
      <w:pPr>
        <w:tabs>
          <w:tab w:val="left" w:pos="1134"/>
          <w:tab w:val="left" w:pos="2268"/>
        </w:tabs>
        <w:spacing w:before="120" w:after="120"/>
        <w:ind w:left="1134" w:hanging="555"/>
        <w:jc w:val="both"/>
        <w:rPr>
          <w:rFonts w:ascii="Arial" w:hAnsi="Arial" w:cs="Arial"/>
          <w:sz w:val="22"/>
          <w:szCs w:val="22"/>
        </w:rPr>
      </w:pPr>
      <w:r>
        <w:rPr>
          <w:rFonts w:ascii="Arial" w:hAnsi="Arial" w:cs="Arial"/>
          <w:sz w:val="22"/>
          <w:szCs w:val="22"/>
        </w:rPr>
        <w:t>R.2 :</w:t>
      </w:r>
      <w:r w:rsidR="00BC5A23" w:rsidRPr="0001502D">
        <w:rPr>
          <w:rFonts w:ascii="Arial" w:hAnsi="Arial" w:cs="Arial"/>
          <w:sz w:val="22"/>
          <w:szCs w:val="22"/>
        </w:rPr>
        <w:tab/>
      </w:r>
      <w:r w:rsidRPr="00104F55">
        <w:rPr>
          <w:rFonts w:ascii="Arial" w:hAnsi="Arial" w:cs="Arial"/>
          <w:sz w:val="22"/>
          <w:szCs w:val="22"/>
        </w:rPr>
        <w:t>L</w:t>
      </w:r>
      <w:r w:rsidR="009C104E">
        <w:rPr>
          <w:rFonts w:ascii="Arial" w:hAnsi="Arial" w:cs="Arial"/>
          <w:sz w:val="22"/>
          <w:szCs w:val="22"/>
        </w:rPr>
        <w:t>’</w:t>
      </w:r>
      <w:r w:rsidRPr="00104F55">
        <w:rPr>
          <w:rFonts w:ascii="Arial" w:hAnsi="Arial" w:cs="Arial"/>
          <w:sz w:val="22"/>
          <w:szCs w:val="22"/>
        </w:rPr>
        <w:t>inscription de l</w:t>
      </w:r>
      <w:r w:rsidR="009C104E">
        <w:rPr>
          <w:rFonts w:ascii="Arial" w:hAnsi="Arial" w:cs="Arial"/>
          <w:sz w:val="22"/>
          <w:szCs w:val="22"/>
        </w:rPr>
        <w:t>’</w:t>
      </w:r>
      <w:r w:rsidRPr="00104F55">
        <w:rPr>
          <w:rFonts w:ascii="Arial" w:hAnsi="Arial" w:cs="Arial"/>
          <w:sz w:val="22"/>
          <w:szCs w:val="22"/>
        </w:rPr>
        <w:t xml:space="preserve">élément contribue à la visibilité et à la sensibilisation du patrimoine culturel immatériel en général en faisant </w:t>
      </w:r>
      <w:r>
        <w:rPr>
          <w:rFonts w:ascii="Arial" w:hAnsi="Arial" w:cs="Arial"/>
          <w:sz w:val="22"/>
          <w:szCs w:val="22"/>
        </w:rPr>
        <w:t>davantage</w:t>
      </w:r>
      <w:r w:rsidRPr="00104F55">
        <w:rPr>
          <w:rFonts w:ascii="Arial" w:hAnsi="Arial" w:cs="Arial"/>
          <w:sz w:val="22"/>
          <w:szCs w:val="22"/>
        </w:rPr>
        <w:t xml:space="preserve"> connaître le patrimoine culturel immatériel qui y est associé tel que la musique traditionnelle, la danse et les autres arts du spectacle</w:t>
      </w:r>
      <w:r w:rsidR="00433E48">
        <w:rPr>
          <w:rFonts w:ascii="Arial" w:hAnsi="Arial" w:cs="Arial"/>
          <w:sz w:val="22"/>
          <w:szCs w:val="22"/>
        </w:rPr>
        <w:t xml:space="preserve"> et de l</w:t>
      </w:r>
      <w:r w:rsidR="009C104E">
        <w:rPr>
          <w:rFonts w:ascii="Arial" w:hAnsi="Arial" w:cs="Arial"/>
          <w:sz w:val="22"/>
          <w:szCs w:val="22"/>
        </w:rPr>
        <w:t>’</w:t>
      </w:r>
      <w:r w:rsidR="00433E48">
        <w:rPr>
          <w:rFonts w:ascii="Arial" w:hAnsi="Arial" w:cs="Arial"/>
          <w:sz w:val="22"/>
          <w:szCs w:val="22"/>
        </w:rPr>
        <w:t>artisanat</w:t>
      </w:r>
      <w:r w:rsidRPr="00104F55">
        <w:rPr>
          <w:rFonts w:ascii="Arial" w:hAnsi="Arial" w:cs="Arial"/>
          <w:sz w:val="22"/>
          <w:szCs w:val="22"/>
        </w:rPr>
        <w:t>.</w:t>
      </w:r>
      <w:r>
        <w:rPr>
          <w:rFonts w:ascii="Arial" w:hAnsi="Arial" w:cs="Arial"/>
          <w:sz w:val="22"/>
          <w:szCs w:val="22"/>
        </w:rPr>
        <w:t xml:space="preserve"> Le s</w:t>
      </w:r>
      <w:r w:rsidRPr="00104F55">
        <w:rPr>
          <w:rFonts w:ascii="Arial" w:hAnsi="Arial" w:cs="Arial"/>
          <w:sz w:val="22"/>
          <w:szCs w:val="22"/>
        </w:rPr>
        <w:t>ilat encourage le dialogue entre les communautés, les groupes et les individus et</w:t>
      </w:r>
      <w:r w:rsidR="00433E48">
        <w:rPr>
          <w:rFonts w:ascii="Arial" w:hAnsi="Arial" w:cs="Arial"/>
          <w:sz w:val="22"/>
          <w:szCs w:val="22"/>
        </w:rPr>
        <w:t xml:space="preserve"> promeut</w:t>
      </w:r>
      <w:r w:rsidRPr="00104F55">
        <w:rPr>
          <w:rFonts w:ascii="Arial" w:hAnsi="Arial" w:cs="Arial"/>
          <w:sz w:val="22"/>
          <w:szCs w:val="22"/>
        </w:rPr>
        <w:t xml:space="preserve"> la diversité culturelle en étant un moyen d</w:t>
      </w:r>
      <w:r w:rsidR="009C104E">
        <w:rPr>
          <w:rFonts w:ascii="Arial" w:hAnsi="Arial" w:cs="Arial"/>
          <w:sz w:val="22"/>
          <w:szCs w:val="22"/>
        </w:rPr>
        <w:t>’</w:t>
      </w:r>
      <w:r w:rsidRPr="00104F55">
        <w:rPr>
          <w:rFonts w:ascii="Arial" w:hAnsi="Arial" w:cs="Arial"/>
          <w:sz w:val="22"/>
          <w:szCs w:val="22"/>
        </w:rPr>
        <w:t>exposition des interactions sociales entre les communautés et un vecteur pour les échanges culturels internationaux.</w:t>
      </w:r>
    </w:p>
    <w:p w14:paraId="4BD4DDC5" w14:textId="5E067473" w:rsidR="00662C20" w:rsidRPr="00662C20" w:rsidRDefault="00662C20" w:rsidP="00CC6739">
      <w:pPr>
        <w:tabs>
          <w:tab w:val="left" w:pos="1134"/>
          <w:tab w:val="left" w:pos="2268"/>
        </w:tabs>
        <w:spacing w:before="120" w:after="120"/>
        <w:ind w:left="1134" w:hanging="555"/>
        <w:jc w:val="both"/>
        <w:rPr>
          <w:rFonts w:ascii="Arial" w:hAnsi="Arial" w:cs="Arial"/>
          <w:sz w:val="22"/>
          <w:szCs w:val="22"/>
        </w:rPr>
      </w:pPr>
      <w:r>
        <w:rPr>
          <w:rFonts w:ascii="Arial" w:hAnsi="Arial" w:cs="Arial"/>
          <w:sz w:val="22"/>
          <w:szCs w:val="22"/>
        </w:rPr>
        <w:t>R.3 :</w:t>
      </w:r>
      <w:r w:rsidR="00BC5A23" w:rsidRPr="0001502D">
        <w:rPr>
          <w:rFonts w:ascii="Arial" w:hAnsi="Arial" w:cs="Arial"/>
          <w:sz w:val="22"/>
          <w:szCs w:val="22"/>
        </w:rPr>
        <w:tab/>
      </w:r>
      <w:r w:rsidRPr="00662C20">
        <w:rPr>
          <w:rFonts w:ascii="Arial" w:hAnsi="Arial" w:cs="Arial"/>
          <w:sz w:val="22"/>
          <w:szCs w:val="22"/>
        </w:rPr>
        <w:t>Les mesures de sauvegarde proposées incluent la participation active des communautés du silat dans les phases de planification et de mise en œuvre. Ces mesures comprennent la recherche et la documentation ainsi que des centres de formation pour promouvoir la transmission du silat qui sont appuyés par les organismes compétents de l</w:t>
      </w:r>
      <w:r w:rsidR="009C104E">
        <w:rPr>
          <w:rFonts w:ascii="Arial" w:hAnsi="Arial" w:cs="Arial"/>
          <w:sz w:val="22"/>
          <w:szCs w:val="22"/>
        </w:rPr>
        <w:t>’</w:t>
      </w:r>
      <w:r w:rsidRPr="00662C20">
        <w:rPr>
          <w:rFonts w:ascii="Arial" w:hAnsi="Arial" w:cs="Arial"/>
          <w:sz w:val="22"/>
          <w:szCs w:val="22"/>
        </w:rPr>
        <w:t>État partie. Afin de contrer d</w:t>
      </w:r>
      <w:r w:rsidR="009C104E">
        <w:rPr>
          <w:rFonts w:ascii="Arial" w:hAnsi="Arial" w:cs="Arial"/>
          <w:sz w:val="22"/>
          <w:szCs w:val="22"/>
        </w:rPr>
        <w:t>’</w:t>
      </w:r>
      <w:r w:rsidRPr="00662C20">
        <w:rPr>
          <w:rFonts w:ascii="Arial" w:hAnsi="Arial" w:cs="Arial"/>
          <w:sz w:val="22"/>
          <w:szCs w:val="22"/>
        </w:rPr>
        <w:t>éventuels impacts négatifs, un plan de gestion et de suivi ser</w:t>
      </w:r>
      <w:r w:rsidR="00956F09">
        <w:rPr>
          <w:rFonts w:ascii="Arial" w:hAnsi="Arial" w:cs="Arial"/>
          <w:sz w:val="22"/>
          <w:szCs w:val="22"/>
        </w:rPr>
        <w:t>a</w:t>
      </w:r>
      <w:r w:rsidRPr="00662C20">
        <w:rPr>
          <w:rFonts w:ascii="Arial" w:hAnsi="Arial" w:cs="Arial"/>
          <w:sz w:val="22"/>
          <w:szCs w:val="22"/>
        </w:rPr>
        <w:t xml:space="preserve"> élaboré.</w:t>
      </w:r>
    </w:p>
    <w:p w14:paraId="7D66C92E" w14:textId="38AE4AB3" w:rsidR="0001502D" w:rsidRPr="00662C20" w:rsidRDefault="0001502D" w:rsidP="007B23DE">
      <w:pPr>
        <w:tabs>
          <w:tab w:val="left" w:pos="1134"/>
          <w:tab w:val="left" w:pos="2268"/>
        </w:tabs>
        <w:spacing w:before="120" w:after="120"/>
        <w:ind w:left="1134" w:hanging="555"/>
        <w:jc w:val="both"/>
        <w:rPr>
          <w:rFonts w:ascii="Arial" w:hAnsi="Arial" w:cs="Arial"/>
          <w:sz w:val="22"/>
          <w:szCs w:val="22"/>
        </w:rPr>
      </w:pPr>
      <w:r w:rsidRPr="00662C20">
        <w:rPr>
          <w:rFonts w:ascii="Arial" w:hAnsi="Arial" w:cs="Arial"/>
          <w:sz w:val="22"/>
          <w:szCs w:val="22"/>
        </w:rPr>
        <w:t>R.4 :</w:t>
      </w:r>
      <w:r w:rsidR="00BC5A23" w:rsidRPr="0001502D">
        <w:rPr>
          <w:rFonts w:ascii="Arial" w:hAnsi="Arial" w:cs="Arial"/>
          <w:sz w:val="22"/>
          <w:szCs w:val="22"/>
        </w:rPr>
        <w:tab/>
      </w:r>
      <w:r w:rsidRPr="00662C20">
        <w:rPr>
          <w:rFonts w:ascii="Arial" w:hAnsi="Arial" w:cs="Arial"/>
          <w:sz w:val="22"/>
          <w:szCs w:val="22"/>
        </w:rPr>
        <w:t xml:space="preserve">La candidature du silat a été portée par des praticiens, ainsi que par les communautés et associations concernées : la </w:t>
      </w:r>
      <w:r w:rsidRPr="00662C20">
        <w:rPr>
          <w:rFonts w:ascii="Arial" w:hAnsi="Arial" w:cs="Arial"/>
          <w:iCs/>
          <w:sz w:val="22"/>
          <w:szCs w:val="22"/>
        </w:rPr>
        <w:t>Persatuan Dunia Seni Silat Melayu Malaysia</w:t>
      </w:r>
      <w:r w:rsidRPr="00662C20">
        <w:rPr>
          <w:rFonts w:ascii="Arial" w:hAnsi="Arial" w:cs="Arial"/>
          <w:sz w:val="22"/>
          <w:szCs w:val="22"/>
        </w:rPr>
        <w:t xml:space="preserve"> et la </w:t>
      </w:r>
      <w:r w:rsidRPr="00662C20">
        <w:rPr>
          <w:rFonts w:ascii="Arial" w:hAnsi="Arial" w:cs="Arial"/>
          <w:iCs/>
          <w:sz w:val="22"/>
          <w:szCs w:val="22"/>
        </w:rPr>
        <w:t>Persekutuan Silat Kebangsaan Malaysia</w:t>
      </w:r>
      <w:r w:rsidRPr="00662C20">
        <w:rPr>
          <w:rFonts w:ascii="Arial" w:hAnsi="Arial" w:cs="Arial"/>
          <w:sz w:val="22"/>
          <w:szCs w:val="22"/>
        </w:rPr>
        <w:t>. Le formulaire de candidature a été rempli à l</w:t>
      </w:r>
      <w:r w:rsidR="009C104E">
        <w:rPr>
          <w:rFonts w:ascii="Arial" w:hAnsi="Arial" w:cs="Arial"/>
          <w:sz w:val="22"/>
          <w:szCs w:val="22"/>
        </w:rPr>
        <w:t>’</w:t>
      </w:r>
      <w:r w:rsidRPr="00662C20">
        <w:rPr>
          <w:rFonts w:ascii="Arial" w:hAnsi="Arial" w:cs="Arial"/>
          <w:sz w:val="22"/>
          <w:szCs w:val="22"/>
        </w:rPr>
        <w:t>issue d</w:t>
      </w:r>
      <w:r w:rsidR="009C104E">
        <w:rPr>
          <w:rFonts w:ascii="Arial" w:hAnsi="Arial" w:cs="Arial"/>
          <w:sz w:val="22"/>
          <w:szCs w:val="22"/>
        </w:rPr>
        <w:t>’</w:t>
      </w:r>
      <w:r w:rsidRPr="00662C20">
        <w:rPr>
          <w:rFonts w:ascii="Arial" w:hAnsi="Arial" w:cs="Arial"/>
          <w:sz w:val="22"/>
          <w:szCs w:val="22"/>
        </w:rPr>
        <w:t>entretiens avec les maîtres du silat, des praticiens et des communautés et associations concernées, après s</w:t>
      </w:r>
      <w:r w:rsidR="009C104E">
        <w:rPr>
          <w:rFonts w:ascii="Arial" w:hAnsi="Arial" w:cs="Arial"/>
          <w:sz w:val="22"/>
          <w:szCs w:val="22"/>
        </w:rPr>
        <w:t>’</w:t>
      </w:r>
      <w:r w:rsidRPr="00662C20">
        <w:rPr>
          <w:rFonts w:ascii="Arial" w:hAnsi="Arial" w:cs="Arial"/>
          <w:sz w:val="22"/>
          <w:szCs w:val="22"/>
        </w:rPr>
        <w:t>être assuré de leur consentement à la candidature.</w:t>
      </w:r>
    </w:p>
    <w:p w14:paraId="6B40E6B0" w14:textId="5A64C677" w:rsidR="0001502D" w:rsidRPr="00662C20" w:rsidRDefault="0001502D" w:rsidP="007B23DE">
      <w:pPr>
        <w:tabs>
          <w:tab w:val="left" w:pos="1134"/>
          <w:tab w:val="left" w:pos="2268"/>
        </w:tabs>
        <w:spacing w:before="120" w:after="120"/>
        <w:ind w:left="1134" w:hanging="555"/>
        <w:jc w:val="both"/>
        <w:rPr>
          <w:rFonts w:ascii="Arial" w:hAnsi="Arial" w:cs="Arial"/>
          <w:sz w:val="22"/>
          <w:szCs w:val="22"/>
        </w:rPr>
      </w:pPr>
      <w:r w:rsidRPr="00662C20">
        <w:rPr>
          <w:rFonts w:ascii="Arial" w:hAnsi="Arial" w:cs="Arial"/>
          <w:sz w:val="22"/>
          <w:szCs w:val="22"/>
        </w:rPr>
        <w:t xml:space="preserve">R.5 : </w:t>
      </w:r>
      <w:r w:rsidRPr="00662C20">
        <w:rPr>
          <w:rFonts w:ascii="Arial" w:hAnsi="Arial" w:cs="Arial"/>
          <w:sz w:val="22"/>
          <w:szCs w:val="22"/>
        </w:rPr>
        <w:tab/>
        <w:t>Le silat a été inclus dans un inventaire du patrimoine immatériel en 2008 et déclaré patrimoine national en 2009. La Division du patrimoine culturel immatériel, rattachée au Département du patrimoine national, et le Ministère du tourisme et de la culture de la Malaisie sont les entités responsables de la gestion et de la mise à jour de l</w:t>
      </w:r>
      <w:r w:rsidR="009C104E">
        <w:rPr>
          <w:rFonts w:ascii="Arial" w:hAnsi="Arial" w:cs="Arial"/>
          <w:sz w:val="22"/>
          <w:szCs w:val="22"/>
        </w:rPr>
        <w:t>’</w:t>
      </w:r>
      <w:r w:rsidRPr="00662C20">
        <w:rPr>
          <w:rFonts w:ascii="Arial" w:hAnsi="Arial" w:cs="Arial"/>
          <w:sz w:val="22"/>
          <w:szCs w:val="22"/>
        </w:rPr>
        <w:t>inventaire.</w:t>
      </w:r>
    </w:p>
    <w:p w14:paraId="41F2A9C3" w14:textId="39BFBAD2" w:rsidR="0001502D" w:rsidRPr="00B07C34" w:rsidRDefault="00CC6739" w:rsidP="00771F30">
      <w:pPr>
        <w:numPr>
          <w:ilvl w:val="1"/>
          <w:numId w:val="27"/>
        </w:numPr>
        <w:tabs>
          <w:tab w:val="left" w:pos="567"/>
          <w:tab w:val="left" w:pos="1701"/>
          <w:tab w:val="left" w:pos="2268"/>
        </w:tabs>
        <w:spacing w:before="120" w:after="120"/>
        <w:jc w:val="both"/>
        <w:rPr>
          <w:rFonts w:ascii="Arial" w:hAnsi="Arial" w:cs="Arial"/>
          <w:sz w:val="22"/>
          <w:szCs w:val="22"/>
          <w:lang w:eastAsia="ko-KR"/>
        </w:rPr>
      </w:pPr>
      <w:r w:rsidRPr="00DF693C">
        <w:rPr>
          <w:rFonts w:ascii="Arial" w:hAnsi="Arial" w:cs="Arial"/>
          <w:sz w:val="22"/>
          <w:szCs w:val="22"/>
          <w:u w:val="single"/>
          <w:lang w:eastAsia="ko-KR"/>
        </w:rPr>
        <w:t xml:space="preserve">Décide </w:t>
      </w:r>
      <w:r w:rsidRPr="00B932EA">
        <w:rPr>
          <w:rFonts w:ascii="Arial" w:hAnsi="Arial" w:cs="Arial"/>
          <w:sz w:val="22"/>
          <w:szCs w:val="22"/>
          <w:u w:val="single"/>
          <w:lang w:eastAsia="ko-KR"/>
        </w:rPr>
        <w:t>d</w:t>
      </w:r>
      <w:r w:rsidR="009C104E" w:rsidRPr="00B932EA">
        <w:rPr>
          <w:rFonts w:ascii="Arial" w:hAnsi="Arial" w:cs="Arial"/>
          <w:sz w:val="22"/>
          <w:szCs w:val="22"/>
          <w:u w:val="single"/>
          <w:lang w:eastAsia="ko-KR"/>
        </w:rPr>
        <w:t>’</w:t>
      </w:r>
      <w:r w:rsidRPr="00B932EA">
        <w:rPr>
          <w:rFonts w:ascii="Arial" w:hAnsi="Arial" w:cs="Arial"/>
          <w:sz w:val="22"/>
          <w:szCs w:val="22"/>
          <w:u w:val="single"/>
          <w:lang w:eastAsia="ko-KR"/>
        </w:rPr>
        <w:t>inscrire</w:t>
      </w:r>
      <w:r w:rsidRPr="00B07C34">
        <w:rPr>
          <w:rFonts w:ascii="Arial" w:hAnsi="Arial" w:cs="Arial"/>
          <w:sz w:val="22"/>
          <w:szCs w:val="22"/>
          <w:lang w:eastAsia="ko-KR"/>
        </w:rPr>
        <w:t xml:space="preserve"> </w:t>
      </w:r>
      <w:r w:rsidRPr="00B932EA">
        <w:rPr>
          <w:rFonts w:ascii="Arial" w:hAnsi="Arial" w:cs="Arial"/>
          <w:b/>
          <w:sz w:val="22"/>
          <w:szCs w:val="22"/>
          <w:lang w:eastAsia="ko-KR"/>
        </w:rPr>
        <w:t>le silat</w:t>
      </w:r>
      <w:r w:rsidRPr="00B07C34">
        <w:rPr>
          <w:rFonts w:ascii="Arial" w:hAnsi="Arial" w:cs="Arial"/>
          <w:sz w:val="22"/>
          <w:szCs w:val="22"/>
          <w:lang w:eastAsia="ko-KR"/>
        </w:rPr>
        <w:t xml:space="preserve"> sur la Liste représentative du patrimoine culturel immatériel de l</w:t>
      </w:r>
      <w:r w:rsidR="009C104E">
        <w:rPr>
          <w:rFonts w:ascii="Arial" w:hAnsi="Arial" w:cs="Arial"/>
          <w:sz w:val="22"/>
          <w:szCs w:val="22"/>
          <w:lang w:eastAsia="ko-KR"/>
        </w:rPr>
        <w:t>’</w:t>
      </w:r>
      <w:r w:rsidRPr="00B07C34">
        <w:rPr>
          <w:rFonts w:ascii="Arial" w:hAnsi="Arial" w:cs="Arial"/>
          <w:sz w:val="22"/>
          <w:szCs w:val="22"/>
          <w:lang w:eastAsia="ko-KR"/>
        </w:rPr>
        <w:t>humanité ;</w:t>
      </w:r>
    </w:p>
    <w:p w14:paraId="14B0A159" w14:textId="70E4FAB2" w:rsidR="00CC6739" w:rsidRPr="00DF693C" w:rsidRDefault="00CC6739" w:rsidP="00771F30">
      <w:pPr>
        <w:numPr>
          <w:ilvl w:val="1"/>
          <w:numId w:val="27"/>
        </w:numPr>
        <w:tabs>
          <w:tab w:val="left" w:pos="567"/>
          <w:tab w:val="left" w:pos="1701"/>
          <w:tab w:val="left" w:pos="2268"/>
        </w:tabs>
        <w:spacing w:before="120" w:after="120"/>
        <w:jc w:val="both"/>
        <w:rPr>
          <w:rFonts w:ascii="Arial" w:hAnsi="Arial" w:cs="Arial"/>
          <w:sz w:val="22"/>
          <w:szCs w:val="22"/>
          <w:lang w:eastAsia="ko-KR"/>
        </w:rPr>
      </w:pPr>
      <w:r w:rsidRPr="005B00F8">
        <w:rPr>
          <w:rFonts w:ascii="Arial" w:hAnsi="Arial" w:cs="Arial"/>
          <w:sz w:val="22"/>
          <w:szCs w:val="22"/>
          <w:u w:val="single"/>
          <w:lang w:eastAsia="ko-KR"/>
        </w:rPr>
        <w:t>Encourage</w:t>
      </w:r>
      <w:r w:rsidRPr="00B932EA">
        <w:rPr>
          <w:rFonts w:ascii="Arial" w:hAnsi="Arial" w:cs="Arial"/>
          <w:sz w:val="22"/>
          <w:szCs w:val="22"/>
          <w:lang w:eastAsia="ko-KR"/>
        </w:rPr>
        <w:t xml:space="preserve"> </w:t>
      </w:r>
      <w:r w:rsidRPr="00B07C34">
        <w:rPr>
          <w:rFonts w:ascii="Arial" w:hAnsi="Arial" w:cs="Arial"/>
          <w:sz w:val="22"/>
          <w:szCs w:val="22"/>
        </w:rPr>
        <w:t>l</w:t>
      </w:r>
      <w:r w:rsidR="009C104E">
        <w:rPr>
          <w:rFonts w:ascii="Arial" w:hAnsi="Arial" w:cs="Arial"/>
          <w:sz w:val="22"/>
          <w:szCs w:val="22"/>
        </w:rPr>
        <w:t>’</w:t>
      </w:r>
      <w:r w:rsidR="00433E48">
        <w:rPr>
          <w:rFonts w:ascii="Arial" w:hAnsi="Arial" w:cs="Arial"/>
          <w:sz w:val="22"/>
          <w:szCs w:val="22"/>
        </w:rPr>
        <w:t>É</w:t>
      </w:r>
      <w:r w:rsidRPr="00B07C34">
        <w:rPr>
          <w:rFonts w:ascii="Arial" w:hAnsi="Arial" w:cs="Arial"/>
          <w:sz w:val="22"/>
          <w:szCs w:val="22"/>
        </w:rPr>
        <w:t xml:space="preserve">tat partie, lors de la soumission de dossiers de </w:t>
      </w:r>
      <w:r w:rsidRPr="00DF693C">
        <w:rPr>
          <w:rFonts w:ascii="Arial" w:hAnsi="Arial" w:cs="Arial"/>
          <w:sz w:val="22"/>
          <w:szCs w:val="22"/>
        </w:rPr>
        <w:t>candidature dans le futur, à s</w:t>
      </w:r>
      <w:r w:rsidR="009C104E" w:rsidRPr="00956F09">
        <w:rPr>
          <w:rFonts w:ascii="Arial" w:hAnsi="Arial" w:cs="Arial"/>
          <w:sz w:val="22"/>
          <w:szCs w:val="22"/>
        </w:rPr>
        <w:t>’</w:t>
      </w:r>
      <w:r w:rsidRPr="00956F09">
        <w:rPr>
          <w:rFonts w:ascii="Arial" w:hAnsi="Arial" w:cs="Arial"/>
          <w:sz w:val="22"/>
          <w:szCs w:val="22"/>
        </w:rPr>
        <w:t>efforcer de répondre à des questions spécifiques d</w:t>
      </w:r>
      <w:r w:rsidR="009C104E" w:rsidRPr="00956F09">
        <w:rPr>
          <w:rFonts w:ascii="Arial" w:hAnsi="Arial" w:cs="Arial"/>
          <w:sz w:val="22"/>
          <w:szCs w:val="22"/>
        </w:rPr>
        <w:t>’</w:t>
      </w:r>
      <w:r w:rsidRPr="00956F09">
        <w:rPr>
          <w:rFonts w:ascii="Arial" w:hAnsi="Arial" w:cs="Arial"/>
          <w:sz w:val="22"/>
          <w:szCs w:val="22"/>
        </w:rPr>
        <w:t xml:space="preserve">une manière claire et </w:t>
      </w:r>
      <w:r w:rsidR="00956F09" w:rsidRPr="00DF693C">
        <w:rPr>
          <w:rFonts w:ascii="Arial" w:hAnsi="Arial" w:cs="Arial"/>
          <w:sz w:val="22"/>
          <w:szCs w:val="22"/>
        </w:rPr>
        <w:t>succincte</w:t>
      </w:r>
      <w:r w:rsidR="00956F09" w:rsidRPr="00B932EA">
        <w:rPr>
          <w:rFonts w:ascii="Arial" w:hAnsi="Arial" w:cs="Arial"/>
          <w:sz w:val="22"/>
          <w:szCs w:val="22"/>
        </w:rPr>
        <w:t> </w:t>
      </w:r>
      <w:r w:rsidRPr="00B932EA">
        <w:rPr>
          <w:rFonts w:ascii="Arial" w:hAnsi="Arial" w:cs="Arial"/>
          <w:sz w:val="22"/>
          <w:szCs w:val="22"/>
        </w:rPr>
        <w:t>;</w:t>
      </w:r>
    </w:p>
    <w:p w14:paraId="24F5A5A4" w14:textId="1B726338" w:rsidR="00CC6739" w:rsidRPr="00662C20" w:rsidRDefault="00CC6739" w:rsidP="00771F30">
      <w:pPr>
        <w:numPr>
          <w:ilvl w:val="1"/>
          <w:numId w:val="27"/>
        </w:numPr>
        <w:tabs>
          <w:tab w:val="left" w:pos="567"/>
          <w:tab w:val="left" w:pos="1701"/>
          <w:tab w:val="left" w:pos="2268"/>
        </w:tabs>
        <w:spacing w:before="120" w:after="120"/>
        <w:jc w:val="both"/>
        <w:rPr>
          <w:rFonts w:ascii="Arial" w:hAnsi="Arial" w:cs="Arial"/>
          <w:sz w:val="22"/>
          <w:szCs w:val="22"/>
          <w:lang w:eastAsia="ko-KR"/>
        </w:rPr>
      </w:pPr>
      <w:r w:rsidRPr="00956F09">
        <w:rPr>
          <w:rFonts w:ascii="Arial" w:hAnsi="Arial" w:cs="Arial"/>
          <w:sz w:val="22"/>
          <w:szCs w:val="22"/>
          <w:u w:val="single"/>
          <w:lang w:eastAsia="ko-KR"/>
        </w:rPr>
        <w:t>Encourage</w:t>
      </w:r>
      <w:r w:rsidRPr="00B932EA">
        <w:rPr>
          <w:rFonts w:ascii="Arial" w:hAnsi="Arial" w:cs="Arial"/>
          <w:sz w:val="22"/>
          <w:szCs w:val="22"/>
          <w:u w:val="single"/>
          <w:lang w:eastAsia="ko-KR"/>
        </w:rPr>
        <w:t xml:space="preserve"> en outre</w:t>
      </w:r>
      <w:r w:rsidRPr="00CC6739">
        <w:rPr>
          <w:rFonts w:ascii="Arial" w:hAnsi="Arial" w:cs="Arial"/>
          <w:sz w:val="22"/>
          <w:szCs w:val="22"/>
          <w:lang w:eastAsia="ko-KR"/>
        </w:rPr>
        <w:t xml:space="preserve"> l</w:t>
      </w:r>
      <w:r w:rsidR="009C104E">
        <w:rPr>
          <w:rFonts w:ascii="Arial" w:hAnsi="Arial" w:cs="Arial"/>
          <w:sz w:val="22"/>
          <w:szCs w:val="22"/>
          <w:lang w:eastAsia="ko-KR"/>
        </w:rPr>
        <w:t>’</w:t>
      </w:r>
      <w:r w:rsidRPr="00CC6739">
        <w:rPr>
          <w:rFonts w:ascii="Arial" w:hAnsi="Arial" w:cs="Arial"/>
          <w:sz w:val="22"/>
          <w:szCs w:val="22"/>
          <w:lang w:eastAsia="ko-KR"/>
        </w:rPr>
        <w:t xml:space="preserve">Etat soumissionnaire à prêter attention aux éventuels résultats </w:t>
      </w:r>
      <w:r w:rsidR="00433E48">
        <w:rPr>
          <w:rFonts w:ascii="Arial" w:hAnsi="Arial" w:cs="Arial"/>
          <w:sz w:val="22"/>
          <w:szCs w:val="22"/>
          <w:lang w:eastAsia="ko-KR"/>
        </w:rPr>
        <w:t>imprévus</w:t>
      </w:r>
      <w:r w:rsidRPr="00CC6739">
        <w:rPr>
          <w:rFonts w:ascii="Arial" w:hAnsi="Arial" w:cs="Arial"/>
          <w:sz w:val="22"/>
          <w:szCs w:val="22"/>
          <w:lang w:eastAsia="ko-KR"/>
        </w:rPr>
        <w:t xml:space="preserve"> qui résulterait de l</w:t>
      </w:r>
      <w:r w:rsidR="009C104E">
        <w:rPr>
          <w:rFonts w:ascii="Arial" w:hAnsi="Arial" w:cs="Arial"/>
          <w:sz w:val="22"/>
          <w:szCs w:val="22"/>
          <w:lang w:eastAsia="ko-KR"/>
        </w:rPr>
        <w:t>’</w:t>
      </w:r>
      <w:r w:rsidRPr="00CC6739">
        <w:rPr>
          <w:rFonts w:ascii="Arial" w:hAnsi="Arial" w:cs="Arial"/>
          <w:sz w:val="22"/>
          <w:szCs w:val="22"/>
          <w:lang w:eastAsia="ko-KR"/>
        </w:rPr>
        <w:t>inscription de l</w:t>
      </w:r>
      <w:r w:rsidR="009C104E">
        <w:rPr>
          <w:rFonts w:ascii="Arial" w:hAnsi="Arial" w:cs="Arial"/>
          <w:sz w:val="22"/>
          <w:szCs w:val="22"/>
          <w:lang w:eastAsia="ko-KR"/>
        </w:rPr>
        <w:t>’</w:t>
      </w:r>
      <w:r w:rsidRPr="00CC6739">
        <w:rPr>
          <w:rFonts w:ascii="Arial" w:hAnsi="Arial" w:cs="Arial"/>
          <w:sz w:val="22"/>
          <w:szCs w:val="22"/>
          <w:lang w:eastAsia="ko-KR"/>
        </w:rPr>
        <w:t>élément</w:t>
      </w:r>
      <w:r>
        <w:rPr>
          <w:rFonts w:ascii="Arial" w:hAnsi="Arial" w:cs="Arial"/>
          <w:sz w:val="22"/>
          <w:szCs w:val="22"/>
          <w:lang w:eastAsia="ko-KR"/>
        </w:rPr>
        <w:t xml:space="preserve">, </w:t>
      </w:r>
      <w:r w:rsidRPr="00B932EA">
        <w:rPr>
          <w:rFonts w:ascii="Arial" w:hAnsi="Arial" w:cs="Arial"/>
          <w:sz w:val="22"/>
          <w:szCs w:val="22"/>
          <w:lang w:eastAsia="ko-KR"/>
        </w:rPr>
        <w:t>l</w:t>
      </w:r>
      <w:r w:rsidR="009C104E" w:rsidRPr="00B932EA">
        <w:rPr>
          <w:rFonts w:ascii="Arial" w:hAnsi="Arial" w:cs="Arial"/>
          <w:sz w:val="22"/>
          <w:szCs w:val="22"/>
          <w:lang w:eastAsia="ko-KR"/>
        </w:rPr>
        <w:t>’</w:t>
      </w:r>
      <w:r w:rsidRPr="00B07C34">
        <w:rPr>
          <w:rFonts w:ascii="Arial" w:hAnsi="Arial" w:cs="Arial"/>
          <w:sz w:val="22"/>
          <w:szCs w:val="22"/>
          <w:u w:val="single"/>
          <w:lang w:eastAsia="ko-KR"/>
        </w:rPr>
        <w:t>invite</w:t>
      </w:r>
      <w:r w:rsidRPr="00CC6739">
        <w:rPr>
          <w:rFonts w:ascii="Arial" w:hAnsi="Arial" w:cs="Arial"/>
          <w:sz w:val="22"/>
          <w:szCs w:val="22"/>
          <w:lang w:eastAsia="ko-KR"/>
        </w:rPr>
        <w:t xml:space="preserve"> à y réfléchir lors de la mise en œuvre des mesures de sauvegarde proposées</w:t>
      </w:r>
      <w:r>
        <w:rPr>
          <w:rFonts w:ascii="Arial" w:hAnsi="Arial" w:cs="Arial"/>
          <w:sz w:val="22"/>
          <w:szCs w:val="22"/>
          <w:lang w:eastAsia="ko-KR"/>
        </w:rPr>
        <w:t xml:space="preserve"> et </w:t>
      </w:r>
      <w:r w:rsidRPr="00B07C34">
        <w:rPr>
          <w:rFonts w:ascii="Arial" w:hAnsi="Arial" w:cs="Arial"/>
          <w:sz w:val="22"/>
          <w:szCs w:val="22"/>
          <w:u w:val="single"/>
          <w:lang w:eastAsia="ko-KR"/>
        </w:rPr>
        <w:t>encourage également</w:t>
      </w:r>
      <w:r>
        <w:rPr>
          <w:rFonts w:ascii="Arial" w:hAnsi="Arial" w:cs="Arial"/>
          <w:sz w:val="22"/>
          <w:szCs w:val="22"/>
          <w:lang w:eastAsia="ko-KR"/>
        </w:rPr>
        <w:t xml:space="preserve"> </w:t>
      </w:r>
      <w:r w:rsidRPr="00CC6739">
        <w:rPr>
          <w:rFonts w:ascii="Arial" w:hAnsi="Arial" w:cs="Arial"/>
          <w:sz w:val="22"/>
          <w:szCs w:val="22"/>
          <w:lang w:eastAsia="ko-KR"/>
        </w:rPr>
        <w:t>l</w:t>
      </w:r>
      <w:r w:rsidR="009C104E">
        <w:rPr>
          <w:rFonts w:ascii="Arial" w:hAnsi="Arial" w:cs="Arial"/>
          <w:sz w:val="22"/>
          <w:szCs w:val="22"/>
          <w:lang w:eastAsia="ko-KR"/>
        </w:rPr>
        <w:t>’</w:t>
      </w:r>
      <w:r w:rsidR="00433E48">
        <w:rPr>
          <w:rFonts w:ascii="Arial" w:hAnsi="Arial" w:cs="Arial"/>
          <w:sz w:val="22"/>
          <w:szCs w:val="22"/>
          <w:lang w:eastAsia="ko-KR"/>
        </w:rPr>
        <w:t>É</w:t>
      </w:r>
      <w:r w:rsidRPr="00CC6739">
        <w:rPr>
          <w:rFonts w:ascii="Arial" w:hAnsi="Arial" w:cs="Arial"/>
          <w:sz w:val="22"/>
          <w:szCs w:val="22"/>
          <w:lang w:eastAsia="ko-KR"/>
        </w:rPr>
        <w:t xml:space="preserve">tat partie </w:t>
      </w:r>
      <w:r w:rsidR="00956F09">
        <w:rPr>
          <w:rFonts w:ascii="Arial" w:hAnsi="Arial" w:cs="Arial"/>
          <w:sz w:val="22"/>
          <w:szCs w:val="22"/>
          <w:lang w:eastAsia="ko-KR"/>
        </w:rPr>
        <w:t xml:space="preserve">soumissionnaire </w:t>
      </w:r>
      <w:r w:rsidRPr="00CC6739">
        <w:rPr>
          <w:rFonts w:ascii="Arial" w:hAnsi="Arial" w:cs="Arial"/>
          <w:sz w:val="22"/>
          <w:szCs w:val="22"/>
          <w:lang w:eastAsia="ko-KR"/>
        </w:rPr>
        <w:t>à garantir que les mesures de sauvegarde incluent la participation active des communautés dans les phases de planification et de mise en œuvre et à avoir des orientations claires pour empêcher les impacts négatifs possibles de l</w:t>
      </w:r>
      <w:r w:rsidR="009C104E">
        <w:rPr>
          <w:rFonts w:ascii="Arial" w:hAnsi="Arial" w:cs="Arial"/>
          <w:sz w:val="22"/>
          <w:szCs w:val="22"/>
          <w:lang w:eastAsia="ko-KR"/>
        </w:rPr>
        <w:t>’</w:t>
      </w:r>
      <w:r w:rsidRPr="00CC6739">
        <w:rPr>
          <w:rFonts w:ascii="Arial" w:hAnsi="Arial" w:cs="Arial"/>
          <w:sz w:val="22"/>
          <w:szCs w:val="22"/>
          <w:lang w:eastAsia="ko-KR"/>
        </w:rPr>
        <w:t>inscription de l</w:t>
      </w:r>
      <w:r w:rsidR="009C104E">
        <w:rPr>
          <w:rFonts w:ascii="Arial" w:hAnsi="Arial" w:cs="Arial"/>
          <w:sz w:val="22"/>
          <w:szCs w:val="22"/>
          <w:lang w:eastAsia="ko-KR"/>
        </w:rPr>
        <w:t>’</w:t>
      </w:r>
      <w:r w:rsidRPr="00CC6739">
        <w:rPr>
          <w:rFonts w:ascii="Arial" w:hAnsi="Arial" w:cs="Arial"/>
          <w:sz w:val="22"/>
          <w:szCs w:val="22"/>
          <w:lang w:eastAsia="ko-KR"/>
        </w:rPr>
        <w:t>élément</w:t>
      </w:r>
      <w:r>
        <w:rPr>
          <w:rFonts w:ascii="Arial" w:hAnsi="Arial" w:cs="Arial"/>
          <w:sz w:val="22"/>
          <w:szCs w:val="22"/>
          <w:lang w:eastAsia="ko-KR"/>
        </w:rPr>
        <w:t xml:space="preserve">. </w:t>
      </w:r>
    </w:p>
    <w:p w14:paraId="15676DDE" w14:textId="748D2D43" w:rsidR="0001502D" w:rsidRPr="0001502D" w:rsidRDefault="0001502D" w:rsidP="00EA61FD">
      <w:pPr>
        <w:keepNext/>
        <w:keepLines/>
        <w:numPr>
          <w:ilvl w:val="0"/>
          <w:numId w:val="27"/>
        </w:numPr>
        <w:spacing w:before="360" w:after="120"/>
        <w:outlineLvl w:val="1"/>
        <w:rPr>
          <w:rFonts w:ascii="Arial" w:hAnsi="Arial" w:cs="Arial"/>
          <w:bCs/>
          <w:iCs/>
          <w:sz w:val="22"/>
          <w:szCs w:val="22"/>
        </w:rPr>
      </w:pPr>
      <w:bookmarkStart w:id="26" w:name="Decision_10b23"/>
      <w:r w:rsidRPr="0001502D">
        <w:rPr>
          <w:rFonts w:ascii="Arial" w:hAnsi="Arial" w:cs="Arial"/>
          <w:b/>
          <w:bCs/>
          <w:iCs/>
          <w:sz w:val="22"/>
          <w:szCs w:val="22"/>
        </w:rPr>
        <w:t>DÉCISION 14.COM 10.b.23</w:t>
      </w:r>
    </w:p>
    <w:bookmarkEnd w:id="26"/>
    <w:p w14:paraId="3BEE90D3" w14:textId="77777777" w:rsidR="00EA61FD" w:rsidRDefault="00EA61FD" w:rsidP="00EA61FD">
      <w:pPr>
        <w:tabs>
          <w:tab w:val="left" w:pos="567"/>
          <w:tab w:val="left" w:pos="1701"/>
          <w:tab w:val="left" w:pos="2268"/>
        </w:tabs>
        <w:spacing w:before="120" w:after="120"/>
        <w:jc w:val="both"/>
        <w:rPr>
          <w:rFonts w:ascii="Arial" w:hAnsi="Arial" w:cs="Arial"/>
          <w:sz w:val="22"/>
          <w:szCs w:val="22"/>
          <w:lang w:eastAsia="ko-KR"/>
        </w:rPr>
      </w:pPr>
      <w:r>
        <w:rPr>
          <w:rFonts w:ascii="Arial" w:hAnsi="Arial" w:cs="Arial"/>
          <w:sz w:val="22"/>
          <w:szCs w:val="22"/>
          <w:lang w:eastAsia="ko-KR"/>
        </w:rPr>
        <w:t>Le Comité,</w:t>
      </w:r>
    </w:p>
    <w:p w14:paraId="4A36CAD0" w14:textId="4759D819" w:rsidR="0001502D" w:rsidRPr="0001502D" w:rsidRDefault="0001502D" w:rsidP="00771F30">
      <w:pPr>
        <w:numPr>
          <w:ilvl w:val="1"/>
          <w:numId w:val="27"/>
        </w:numPr>
        <w:tabs>
          <w:tab w:val="left" w:pos="567"/>
          <w:tab w:val="left" w:pos="1701"/>
          <w:tab w:val="left" w:pos="2268"/>
        </w:tabs>
        <w:spacing w:before="120" w:after="120"/>
        <w:jc w:val="both"/>
        <w:rPr>
          <w:rFonts w:ascii="Arial" w:hAnsi="Arial" w:cs="Arial"/>
          <w:sz w:val="22"/>
          <w:szCs w:val="22"/>
          <w:lang w:eastAsia="ko-KR"/>
        </w:rPr>
      </w:pPr>
      <w:r w:rsidRPr="0001502D">
        <w:rPr>
          <w:rFonts w:ascii="Arial" w:hAnsi="Arial" w:cs="Arial"/>
          <w:sz w:val="22"/>
          <w:szCs w:val="22"/>
          <w:u w:val="single"/>
          <w:lang w:eastAsia="ko-KR"/>
        </w:rPr>
        <w:t>Prend note</w:t>
      </w:r>
      <w:r w:rsidRPr="0001502D">
        <w:rPr>
          <w:rFonts w:ascii="Arial" w:hAnsi="Arial" w:cs="Arial"/>
          <w:sz w:val="22"/>
          <w:szCs w:val="22"/>
          <w:lang w:eastAsia="ko-KR"/>
        </w:rPr>
        <w:t xml:space="preserve"> que le Mexique et l</w:t>
      </w:r>
      <w:r w:rsidR="009C104E">
        <w:rPr>
          <w:rFonts w:ascii="Arial" w:hAnsi="Arial" w:cs="Arial"/>
          <w:sz w:val="22"/>
          <w:szCs w:val="22"/>
          <w:lang w:eastAsia="ko-KR"/>
        </w:rPr>
        <w:t>’</w:t>
      </w:r>
      <w:r w:rsidRPr="0001502D">
        <w:rPr>
          <w:rFonts w:ascii="Arial" w:hAnsi="Arial" w:cs="Arial"/>
          <w:sz w:val="22"/>
          <w:szCs w:val="22"/>
          <w:lang w:eastAsia="ko-KR"/>
        </w:rPr>
        <w:t xml:space="preserve">Espagne ont proposé la candidature du </w:t>
      </w:r>
      <w:r w:rsidRPr="0001502D">
        <w:rPr>
          <w:rFonts w:ascii="Arial" w:hAnsi="Arial" w:cs="Arial"/>
          <w:b/>
          <w:sz w:val="22"/>
          <w:szCs w:val="22"/>
          <w:lang w:eastAsia="ko-KR"/>
        </w:rPr>
        <w:t>Processus de fabrication de la talavera artisanale de Puebla et de Tlaxcala</w:t>
      </w:r>
      <w:r w:rsidRPr="0001502D">
        <w:rPr>
          <w:rFonts w:ascii="Arial" w:hAnsi="Arial" w:cs="Arial"/>
          <w:color w:val="414042"/>
          <w:sz w:val="20"/>
          <w:szCs w:val="20"/>
          <w:shd w:val="clear" w:color="auto" w:fill="EBEBEB"/>
          <w:lang w:eastAsia="ko-KR"/>
        </w:rPr>
        <w:t xml:space="preserve"> </w:t>
      </w:r>
      <w:r w:rsidRPr="0001502D">
        <w:rPr>
          <w:rFonts w:ascii="Arial" w:hAnsi="Arial" w:cs="Arial"/>
          <w:b/>
          <w:sz w:val="22"/>
          <w:szCs w:val="22"/>
          <w:lang w:eastAsia="ko-KR"/>
        </w:rPr>
        <w:t>(Mexique) et de la céramique de Talavera de la Reina et d</w:t>
      </w:r>
      <w:r w:rsidR="009C104E">
        <w:rPr>
          <w:rFonts w:ascii="Arial" w:hAnsi="Arial" w:cs="Arial"/>
          <w:b/>
          <w:sz w:val="22"/>
          <w:szCs w:val="22"/>
          <w:lang w:eastAsia="ko-KR"/>
        </w:rPr>
        <w:t>’</w:t>
      </w:r>
      <w:r w:rsidRPr="0001502D">
        <w:rPr>
          <w:rFonts w:ascii="Arial" w:hAnsi="Arial" w:cs="Arial"/>
          <w:b/>
          <w:sz w:val="22"/>
          <w:szCs w:val="22"/>
          <w:lang w:eastAsia="ko-KR"/>
        </w:rPr>
        <w:t>El Puente del Arzobispo (Espagne)</w:t>
      </w:r>
      <w:r w:rsidRPr="0001502D">
        <w:rPr>
          <w:rFonts w:ascii="Arial" w:hAnsi="Arial" w:cs="Arial"/>
          <w:sz w:val="22"/>
          <w:szCs w:val="22"/>
          <w:lang w:eastAsia="ko-KR"/>
        </w:rPr>
        <w:t xml:space="preserve"> (n° 01462) pour inscription sur la Liste représentative du patrimoine culturel immatériel de l</w:t>
      </w:r>
      <w:r w:rsidR="009C104E">
        <w:rPr>
          <w:rFonts w:ascii="Arial" w:hAnsi="Arial" w:cs="Arial"/>
          <w:sz w:val="22"/>
          <w:szCs w:val="22"/>
          <w:lang w:eastAsia="ko-KR"/>
        </w:rPr>
        <w:t>’</w:t>
      </w:r>
      <w:r w:rsidRPr="0001502D">
        <w:rPr>
          <w:rFonts w:ascii="Arial" w:hAnsi="Arial" w:cs="Arial"/>
          <w:sz w:val="22"/>
          <w:szCs w:val="22"/>
          <w:lang w:eastAsia="ko-KR"/>
        </w:rPr>
        <w:t>humanité :</w:t>
      </w:r>
    </w:p>
    <w:p w14:paraId="330F7770" w14:textId="0C74E8A3" w:rsidR="0001502D" w:rsidRPr="0001502D" w:rsidRDefault="0001502D" w:rsidP="007B23DE">
      <w:pPr>
        <w:tabs>
          <w:tab w:val="left" w:pos="567"/>
          <w:tab w:val="left" w:pos="1701"/>
          <w:tab w:val="left" w:pos="2268"/>
        </w:tabs>
        <w:spacing w:before="120" w:after="120"/>
        <w:ind w:left="567"/>
        <w:jc w:val="both"/>
        <w:rPr>
          <w:rFonts w:ascii="Arial" w:hAnsi="Arial" w:cs="Arial"/>
          <w:sz w:val="22"/>
          <w:szCs w:val="22"/>
        </w:rPr>
      </w:pPr>
      <w:r w:rsidRPr="0001502D">
        <w:rPr>
          <w:rFonts w:ascii="Arial" w:hAnsi="Arial" w:cs="Arial"/>
          <w:sz w:val="22"/>
          <w:szCs w:val="22"/>
          <w:lang w:eastAsia="ko-KR"/>
        </w:rPr>
        <w:t>Deux communautés au Mexique et deux autres en Espagne fabriquent la talavera artisanale de Puebla et de Tlaxcala (Mexique) et la céramique de Talavera de la Reina et d</w:t>
      </w:r>
      <w:r w:rsidR="009C104E">
        <w:rPr>
          <w:rFonts w:ascii="Arial" w:hAnsi="Arial" w:cs="Arial"/>
          <w:sz w:val="22"/>
          <w:szCs w:val="22"/>
          <w:lang w:eastAsia="ko-KR"/>
        </w:rPr>
        <w:t>’</w:t>
      </w:r>
      <w:r w:rsidRPr="0001502D">
        <w:rPr>
          <w:rFonts w:ascii="Arial" w:hAnsi="Arial" w:cs="Arial"/>
          <w:sz w:val="22"/>
          <w:szCs w:val="22"/>
          <w:lang w:eastAsia="ko-KR"/>
        </w:rPr>
        <w:t>El Puente del Arzobispo (Espagne).</w:t>
      </w:r>
      <w:r w:rsidRPr="0001502D">
        <w:rPr>
          <w:rFonts w:ascii="Arial" w:hAnsi="Arial" w:cs="Arial"/>
          <w:sz w:val="22"/>
          <w:szCs w:val="22"/>
        </w:rPr>
        <w:t xml:space="preserve"> Les céramiques sont utilisées à des fins domestiques, décoratives et architecturales. Malgré des changements et les évolutions auxquelles les céramiques ont fait face dans les deux pays (liées à l</w:t>
      </w:r>
      <w:r w:rsidR="009C104E">
        <w:rPr>
          <w:rFonts w:ascii="Arial" w:hAnsi="Arial" w:cs="Arial"/>
          <w:sz w:val="22"/>
          <w:szCs w:val="22"/>
        </w:rPr>
        <w:t>’</w:t>
      </w:r>
      <w:r w:rsidRPr="0001502D">
        <w:rPr>
          <w:rFonts w:ascii="Arial" w:hAnsi="Arial" w:cs="Arial"/>
          <w:sz w:val="22"/>
          <w:szCs w:val="22"/>
        </w:rPr>
        <w:t>utilisation de tours de potiers électriques aujourd</w:t>
      </w:r>
      <w:r w:rsidR="009C104E">
        <w:rPr>
          <w:rFonts w:ascii="Arial" w:hAnsi="Arial" w:cs="Arial"/>
          <w:sz w:val="22"/>
          <w:szCs w:val="22"/>
        </w:rPr>
        <w:t>’</w:t>
      </w:r>
      <w:r w:rsidRPr="0001502D">
        <w:rPr>
          <w:rFonts w:ascii="Arial" w:hAnsi="Arial" w:cs="Arial"/>
          <w:sz w:val="22"/>
          <w:szCs w:val="22"/>
        </w:rPr>
        <w:t>hui), les processus de fabrication artisanaux, y compris les techniques de fabrication, d</w:t>
      </w:r>
      <w:r w:rsidR="009C104E">
        <w:rPr>
          <w:rFonts w:ascii="Arial" w:hAnsi="Arial" w:cs="Arial"/>
          <w:sz w:val="22"/>
          <w:szCs w:val="22"/>
        </w:rPr>
        <w:t>’</w:t>
      </w:r>
      <w:r w:rsidRPr="0001502D">
        <w:rPr>
          <w:rFonts w:ascii="Arial" w:hAnsi="Arial" w:cs="Arial"/>
          <w:sz w:val="22"/>
          <w:szCs w:val="22"/>
        </w:rPr>
        <w:t>émaillage et de décoration, restent les mêmes qu</w:t>
      </w:r>
      <w:r w:rsidR="009C104E">
        <w:rPr>
          <w:rFonts w:ascii="Arial" w:hAnsi="Arial" w:cs="Arial"/>
          <w:sz w:val="22"/>
          <w:szCs w:val="22"/>
        </w:rPr>
        <w:t>’</w:t>
      </w:r>
      <w:r w:rsidRPr="0001502D">
        <w:rPr>
          <w:rFonts w:ascii="Arial" w:hAnsi="Arial" w:cs="Arial"/>
          <w:sz w:val="22"/>
          <w:szCs w:val="22"/>
        </w:rPr>
        <w:t>au XVI</w:t>
      </w:r>
      <w:r w:rsidRPr="0001502D">
        <w:rPr>
          <w:rFonts w:ascii="Arial" w:hAnsi="Arial" w:cs="Arial"/>
          <w:sz w:val="22"/>
          <w:szCs w:val="22"/>
          <w:vertAlign w:val="superscript"/>
        </w:rPr>
        <w:t>e</w:t>
      </w:r>
      <w:r w:rsidRPr="0001502D">
        <w:rPr>
          <w:rFonts w:ascii="Arial" w:hAnsi="Arial" w:cs="Arial"/>
          <w:sz w:val="22"/>
          <w:szCs w:val="22"/>
        </w:rPr>
        <w:t> siècle. Les connaissances et savoir-faire relatifs à cet élément incluent la préparation de l</w:t>
      </w:r>
      <w:r w:rsidR="009C104E">
        <w:rPr>
          <w:rFonts w:ascii="Arial" w:hAnsi="Arial" w:cs="Arial"/>
          <w:sz w:val="22"/>
          <w:szCs w:val="22"/>
        </w:rPr>
        <w:t>’</w:t>
      </w:r>
      <w:r w:rsidRPr="0001502D">
        <w:rPr>
          <w:rFonts w:ascii="Arial" w:hAnsi="Arial" w:cs="Arial"/>
          <w:sz w:val="22"/>
          <w:szCs w:val="22"/>
        </w:rPr>
        <w:t>argile, la fabrication de la faïence à l</w:t>
      </w:r>
      <w:r w:rsidR="009C104E">
        <w:rPr>
          <w:rFonts w:ascii="Arial" w:hAnsi="Arial" w:cs="Arial"/>
          <w:sz w:val="22"/>
          <w:szCs w:val="22"/>
        </w:rPr>
        <w:t>’</w:t>
      </w:r>
      <w:r w:rsidRPr="0001502D">
        <w:rPr>
          <w:rFonts w:ascii="Arial" w:hAnsi="Arial" w:cs="Arial"/>
          <w:sz w:val="22"/>
          <w:szCs w:val="22"/>
        </w:rPr>
        <w:t>aide d</w:t>
      </w:r>
      <w:r w:rsidR="009C104E">
        <w:rPr>
          <w:rFonts w:ascii="Arial" w:hAnsi="Arial" w:cs="Arial"/>
          <w:sz w:val="22"/>
          <w:szCs w:val="22"/>
        </w:rPr>
        <w:t>’</w:t>
      </w:r>
      <w:r w:rsidRPr="0001502D">
        <w:rPr>
          <w:rFonts w:ascii="Arial" w:hAnsi="Arial" w:cs="Arial"/>
          <w:sz w:val="22"/>
          <w:szCs w:val="22"/>
        </w:rPr>
        <w:t>un tour de potier ou d</w:t>
      </w:r>
      <w:r w:rsidR="009C104E">
        <w:rPr>
          <w:rFonts w:ascii="Arial" w:hAnsi="Arial" w:cs="Arial"/>
          <w:sz w:val="22"/>
          <w:szCs w:val="22"/>
        </w:rPr>
        <w:t>’</w:t>
      </w:r>
      <w:r w:rsidRPr="0001502D">
        <w:rPr>
          <w:rFonts w:ascii="Arial" w:hAnsi="Arial" w:cs="Arial"/>
          <w:sz w:val="22"/>
          <w:szCs w:val="22"/>
        </w:rPr>
        <w:t>un moule, la décoration, la préparation des émaux et des pigments et la gestion du four, qui nécessite une grande expertise. Certains céramistes gèrent l</w:t>
      </w:r>
      <w:r w:rsidR="009C104E">
        <w:rPr>
          <w:rFonts w:ascii="Arial" w:hAnsi="Arial" w:cs="Arial"/>
          <w:sz w:val="22"/>
          <w:szCs w:val="22"/>
        </w:rPr>
        <w:t>’</w:t>
      </w:r>
      <w:r w:rsidRPr="0001502D">
        <w:rPr>
          <w:rFonts w:ascii="Arial" w:hAnsi="Arial" w:cs="Arial"/>
          <w:sz w:val="22"/>
          <w:szCs w:val="22"/>
        </w:rPr>
        <w:t>ensemble du processus, tandis que d</w:t>
      </w:r>
      <w:r w:rsidR="009C104E">
        <w:rPr>
          <w:rFonts w:ascii="Arial" w:hAnsi="Arial" w:cs="Arial"/>
          <w:sz w:val="22"/>
          <w:szCs w:val="22"/>
        </w:rPr>
        <w:t>’</w:t>
      </w:r>
      <w:r w:rsidRPr="0001502D">
        <w:rPr>
          <w:rFonts w:ascii="Arial" w:hAnsi="Arial" w:cs="Arial"/>
          <w:sz w:val="22"/>
          <w:szCs w:val="22"/>
        </w:rPr>
        <w:t xml:space="preserve">autres se spécialisent dans des tâches spécifiques. </w:t>
      </w:r>
      <w:r w:rsidRPr="0001502D">
        <w:rPr>
          <w:rFonts w:ascii="Arial" w:hAnsi="Arial" w:cs="Arial"/>
          <w:sz w:val="22"/>
          <w:szCs w:val="22"/>
          <w:lang w:eastAsia="ko-KR"/>
        </w:rPr>
        <w:t>Les connaissances liées à l</w:t>
      </w:r>
      <w:r w:rsidR="009C104E">
        <w:rPr>
          <w:rFonts w:ascii="Arial" w:hAnsi="Arial" w:cs="Arial"/>
          <w:sz w:val="22"/>
          <w:szCs w:val="22"/>
          <w:lang w:eastAsia="ko-KR"/>
        </w:rPr>
        <w:t>’</w:t>
      </w:r>
      <w:r w:rsidRPr="0001502D">
        <w:rPr>
          <w:rFonts w:ascii="Arial" w:hAnsi="Arial" w:cs="Arial"/>
          <w:sz w:val="22"/>
          <w:szCs w:val="22"/>
          <w:lang w:eastAsia="ko-KR"/>
        </w:rPr>
        <w:t>élément (y compris l</w:t>
      </w:r>
      <w:r w:rsidR="009C104E">
        <w:rPr>
          <w:rFonts w:ascii="Arial" w:hAnsi="Arial" w:cs="Arial"/>
          <w:sz w:val="22"/>
          <w:szCs w:val="22"/>
          <w:lang w:eastAsia="ko-KR"/>
        </w:rPr>
        <w:t>’</w:t>
      </w:r>
      <w:r w:rsidRPr="0001502D">
        <w:rPr>
          <w:rFonts w:ascii="Arial" w:hAnsi="Arial" w:cs="Arial"/>
          <w:sz w:val="22"/>
          <w:szCs w:val="22"/>
          <w:lang w:eastAsia="ko-KR"/>
        </w:rPr>
        <w:t xml:space="preserve">extraction des matières premières, le traitement des matériaux, la décoration et les techniques de cuisson) sont principalement </w:t>
      </w:r>
      <w:r w:rsidRPr="0001502D">
        <w:rPr>
          <w:rFonts w:ascii="Arial" w:hAnsi="Arial" w:cs="Arial"/>
          <w:sz w:val="22"/>
          <w:szCs w:val="22"/>
        </w:rPr>
        <w:t xml:space="preserve">détenues </w:t>
      </w:r>
      <w:r w:rsidRPr="0001502D">
        <w:rPr>
          <w:rFonts w:ascii="Arial" w:hAnsi="Arial" w:cs="Arial"/>
          <w:sz w:val="22"/>
          <w:szCs w:val="22"/>
          <w:lang w:eastAsia="ko-KR"/>
        </w:rPr>
        <w:t>par des maîtres faïenciers et céramistes qui ont développé leurs compétences au fil du temps et les ont oralement transmises aux jeunes générations, dans leurs ateliers ou dans le cadre familial.</w:t>
      </w:r>
      <w:r w:rsidRPr="0001502D">
        <w:rPr>
          <w:rFonts w:ascii="Arial" w:hAnsi="Arial" w:cs="Arial"/>
          <w:sz w:val="22"/>
          <w:szCs w:val="22"/>
        </w:rPr>
        <w:t xml:space="preserve"> Chaque atelier a sa propre identité, qui transparaît à travers le détail des formes, des décors, des couleurs et des émaux des pièces. La production de céramiques reste un symbole identitaire capital dans les deux pays.</w:t>
      </w:r>
    </w:p>
    <w:p w14:paraId="7365D069" w14:textId="6D8DB98E" w:rsidR="0001502D" w:rsidRPr="0001502D" w:rsidRDefault="0001502D" w:rsidP="00771F30">
      <w:pPr>
        <w:keepNext/>
        <w:numPr>
          <w:ilvl w:val="1"/>
          <w:numId w:val="27"/>
        </w:numPr>
        <w:tabs>
          <w:tab w:val="left" w:pos="567"/>
          <w:tab w:val="left" w:pos="1701"/>
          <w:tab w:val="left" w:pos="2268"/>
        </w:tabs>
        <w:spacing w:before="120" w:after="120"/>
        <w:jc w:val="both"/>
        <w:rPr>
          <w:rFonts w:ascii="Arial" w:hAnsi="Arial" w:cs="Arial"/>
          <w:sz w:val="22"/>
          <w:szCs w:val="22"/>
          <w:lang w:eastAsia="ko-KR"/>
        </w:rPr>
      </w:pPr>
      <w:r w:rsidRPr="0001502D">
        <w:rPr>
          <w:rFonts w:ascii="Arial" w:hAnsi="Arial" w:cs="Arial"/>
          <w:sz w:val="22"/>
          <w:szCs w:val="22"/>
          <w:u w:val="single"/>
          <w:lang w:eastAsia="ko-KR"/>
        </w:rPr>
        <w:t>Estime</w:t>
      </w:r>
      <w:r w:rsidRPr="0001502D">
        <w:rPr>
          <w:rFonts w:ascii="Arial" w:hAnsi="Arial" w:cs="Arial"/>
          <w:sz w:val="22"/>
          <w:szCs w:val="22"/>
          <w:lang w:eastAsia="ko-KR"/>
        </w:rPr>
        <w:t xml:space="preserve"> que, d</w:t>
      </w:r>
      <w:r w:rsidR="009C104E">
        <w:rPr>
          <w:rFonts w:ascii="Arial" w:hAnsi="Arial" w:cs="Arial"/>
          <w:sz w:val="22"/>
          <w:szCs w:val="22"/>
          <w:lang w:eastAsia="ko-KR"/>
        </w:rPr>
        <w:t>’</w:t>
      </w:r>
      <w:r w:rsidRPr="0001502D">
        <w:rPr>
          <w:rFonts w:ascii="Arial" w:hAnsi="Arial" w:cs="Arial"/>
          <w:sz w:val="22"/>
          <w:szCs w:val="22"/>
          <w:lang w:eastAsia="ko-KR"/>
        </w:rPr>
        <w:t>après les informations contenues dans le dossier, la candidature satisfait aux critères d</w:t>
      </w:r>
      <w:r w:rsidR="009C104E">
        <w:rPr>
          <w:rFonts w:ascii="Arial" w:hAnsi="Arial" w:cs="Arial"/>
          <w:sz w:val="22"/>
          <w:szCs w:val="22"/>
          <w:lang w:eastAsia="ko-KR"/>
        </w:rPr>
        <w:t>’</w:t>
      </w:r>
      <w:r w:rsidRPr="0001502D">
        <w:rPr>
          <w:rFonts w:ascii="Arial" w:hAnsi="Arial" w:cs="Arial"/>
          <w:sz w:val="22"/>
          <w:szCs w:val="22"/>
          <w:lang w:eastAsia="ko-KR"/>
        </w:rPr>
        <w:t>inscription sur la Liste représentative du patrimoine culturel immatériel de l</w:t>
      </w:r>
      <w:r w:rsidR="009C104E">
        <w:rPr>
          <w:rFonts w:ascii="Arial" w:hAnsi="Arial" w:cs="Arial"/>
          <w:sz w:val="22"/>
          <w:szCs w:val="22"/>
          <w:lang w:eastAsia="ko-KR"/>
        </w:rPr>
        <w:t>’</w:t>
      </w:r>
      <w:r w:rsidRPr="0001502D">
        <w:rPr>
          <w:rFonts w:ascii="Arial" w:hAnsi="Arial" w:cs="Arial"/>
          <w:sz w:val="22"/>
          <w:szCs w:val="22"/>
          <w:lang w:eastAsia="ko-KR"/>
        </w:rPr>
        <w:t>humanité comme suit :</w:t>
      </w:r>
    </w:p>
    <w:p w14:paraId="23F94C59" w14:textId="15626E00" w:rsidR="0001502D" w:rsidRPr="0001502D" w:rsidRDefault="0001502D" w:rsidP="007B23DE">
      <w:pPr>
        <w:tabs>
          <w:tab w:val="left" w:pos="1134"/>
          <w:tab w:val="left" w:pos="2268"/>
        </w:tabs>
        <w:spacing w:before="120" w:after="120"/>
        <w:ind w:left="1134" w:hanging="555"/>
        <w:jc w:val="both"/>
        <w:rPr>
          <w:rFonts w:ascii="Arial" w:hAnsi="Arial" w:cs="Arial"/>
          <w:sz w:val="22"/>
          <w:szCs w:val="22"/>
        </w:rPr>
      </w:pPr>
      <w:r w:rsidRPr="0001502D">
        <w:rPr>
          <w:rFonts w:ascii="Arial" w:hAnsi="Arial" w:cs="Arial"/>
          <w:sz w:val="22"/>
          <w:szCs w:val="22"/>
        </w:rPr>
        <w:t xml:space="preserve">R.1 : </w:t>
      </w:r>
      <w:r w:rsidRPr="0001502D">
        <w:rPr>
          <w:rFonts w:ascii="Arial" w:hAnsi="Arial" w:cs="Arial"/>
          <w:sz w:val="22"/>
          <w:szCs w:val="22"/>
        </w:rPr>
        <w:tab/>
        <w:t>Les processus de fabrication de la céramique talavera ont une continuité historique qui fait de la production de ce type de céramique un symbole identitaire de Puebla et de Tlaxcala au Mexique et de Talavera de la Reina et d</w:t>
      </w:r>
      <w:r w:rsidR="009C104E">
        <w:rPr>
          <w:rFonts w:ascii="Arial" w:hAnsi="Arial" w:cs="Arial"/>
          <w:sz w:val="22"/>
          <w:szCs w:val="22"/>
        </w:rPr>
        <w:t>’</w:t>
      </w:r>
      <w:r w:rsidRPr="0001502D">
        <w:rPr>
          <w:rFonts w:ascii="Arial" w:hAnsi="Arial" w:cs="Arial"/>
          <w:sz w:val="22"/>
          <w:szCs w:val="22"/>
        </w:rPr>
        <w:t>El Puente del Arzobispo en Espagne. En conséquence, le vocabulaire relatif à la production de céramique s</w:t>
      </w:r>
      <w:r w:rsidR="009C104E">
        <w:rPr>
          <w:rFonts w:ascii="Arial" w:hAnsi="Arial" w:cs="Arial"/>
          <w:sz w:val="22"/>
          <w:szCs w:val="22"/>
        </w:rPr>
        <w:t>’</w:t>
      </w:r>
      <w:r w:rsidRPr="0001502D">
        <w:rPr>
          <w:rFonts w:ascii="Arial" w:hAnsi="Arial" w:cs="Arial"/>
          <w:sz w:val="22"/>
          <w:szCs w:val="22"/>
        </w:rPr>
        <w:t>est développé et répandu, agissant comme un lien entre les deux pays. Aujourd</w:t>
      </w:r>
      <w:r w:rsidR="009C104E">
        <w:rPr>
          <w:rFonts w:ascii="Arial" w:hAnsi="Arial" w:cs="Arial"/>
          <w:sz w:val="22"/>
          <w:szCs w:val="22"/>
        </w:rPr>
        <w:t>’</w:t>
      </w:r>
      <w:r w:rsidRPr="0001502D">
        <w:rPr>
          <w:rFonts w:ascii="Arial" w:hAnsi="Arial" w:cs="Arial"/>
          <w:sz w:val="22"/>
          <w:szCs w:val="22"/>
        </w:rPr>
        <w:t>hui, dans chaque territoire, l</w:t>
      </w:r>
      <w:r w:rsidR="009C104E">
        <w:rPr>
          <w:rFonts w:ascii="Arial" w:hAnsi="Arial" w:cs="Arial"/>
          <w:sz w:val="22"/>
          <w:szCs w:val="22"/>
        </w:rPr>
        <w:t>’</w:t>
      </w:r>
      <w:r w:rsidRPr="0001502D">
        <w:rPr>
          <w:rFonts w:ascii="Arial" w:hAnsi="Arial" w:cs="Arial"/>
          <w:sz w:val="22"/>
          <w:szCs w:val="22"/>
        </w:rPr>
        <w:t>élément aide à créer un sentiment d</w:t>
      </w:r>
      <w:r w:rsidR="009C104E">
        <w:rPr>
          <w:rFonts w:ascii="Arial" w:hAnsi="Arial" w:cs="Arial"/>
          <w:sz w:val="22"/>
          <w:szCs w:val="22"/>
        </w:rPr>
        <w:t>’</w:t>
      </w:r>
      <w:r w:rsidRPr="0001502D">
        <w:rPr>
          <w:rFonts w:ascii="Arial" w:hAnsi="Arial" w:cs="Arial"/>
          <w:sz w:val="22"/>
          <w:szCs w:val="22"/>
        </w:rPr>
        <w:t>unité et renforce les liens entre les communautés.</w:t>
      </w:r>
    </w:p>
    <w:p w14:paraId="2DF2C415" w14:textId="4305183A" w:rsidR="0001502D" w:rsidRPr="0001502D" w:rsidRDefault="0001502D" w:rsidP="007B23DE">
      <w:pPr>
        <w:tabs>
          <w:tab w:val="left" w:pos="1134"/>
          <w:tab w:val="left" w:pos="2268"/>
        </w:tabs>
        <w:spacing w:before="120" w:after="120"/>
        <w:ind w:left="1134" w:hanging="555"/>
        <w:jc w:val="both"/>
        <w:rPr>
          <w:rFonts w:ascii="Arial" w:hAnsi="Arial" w:cs="Arial"/>
          <w:sz w:val="22"/>
          <w:szCs w:val="22"/>
        </w:rPr>
      </w:pPr>
      <w:r w:rsidRPr="0001502D">
        <w:rPr>
          <w:rFonts w:ascii="Arial" w:hAnsi="Arial" w:cs="Arial"/>
          <w:sz w:val="22"/>
          <w:szCs w:val="22"/>
        </w:rPr>
        <w:t xml:space="preserve">R.2 : </w:t>
      </w:r>
      <w:r w:rsidRPr="0001502D">
        <w:rPr>
          <w:rFonts w:ascii="Arial" w:hAnsi="Arial" w:cs="Arial"/>
          <w:sz w:val="22"/>
          <w:szCs w:val="22"/>
        </w:rPr>
        <w:tab/>
        <w:t>L</w:t>
      </w:r>
      <w:r w:rsidR="009C104E">
        <w:rPr>
          <w:rFonts w:ascii="Arial" w:hAnsi="Arial" w:cs="Arial"/>
          <w:sz w:val="22"/>
          <w:szCs w:val="22"/>
        </w:rPr>
        <w:t>’</w:t>
      </w:r>
      <w:r w:rsidRPr="0001502D">
        <w:rPr>
          <w:rFonts w:ascii="Arial" w:hAnsi="Arial" w:cs="Arial"/>
          <w:sz w:val="22"/>
          <w:szCs w:val="22"/>
        </w:rPr>
        <w:t>inscription de l</w:t>
      </w:r>
      <w:r w:rsidR="009C104E">
        <w:rPr>
          <w:rFonts w:ascii="Arial" w:hAnsi="Arial" w:cs="Arial"/>
          <w:sz w:val="22"/>
          <w:szCs w:val="22"/>
        </w:rPr>
        <w:t>’</w:t>
      </w:r>
      <w:r w:rsidRPr="0001502D">
        <w:rPr>
          <w:rFonts w:ascii="Arial" w:hAnsi="Arial" w:cs="Arial"/>
          <w:sz w:val="22"/>
          <w:szCs w:val="22"/>
        </w:rPr>
        <w:t>élément sensibiliserait à la valeur du patrimoine immatériel à l</w:t>
      </w:r>
      <w:r w:rsidR="009C104E">
        <w:rPr>
          <w:rFonts w:ascii="Arial" w:hAnsi="Arial" w:cs="Arial"/>
          <w:sz w:val="22"/>
          <w:szCs w:val="22"/>
        </w:rPr>
        <w:t>’</w:t>
      </w:r>
      <w:r w:rsidRPr="0001502D">
        <w:rPr>
          <w:rFonts w:ascii="Arial" w:hAnsi="Arial" w:cs="Arial"/>
          <w:sz w:val="22"/>
          <w:szCs w:val="22"/>
        </w:rPr>
        <w:t>échelle locale, augmenterait le sentiment de fierté des artisans, revaloriserait leurs connaissances ancestrales auprès de leurs communautés, et augmenterait l</w:t>
      </w:r>
      <w:r w:rsidR="009C104E">
        <w:rPr>
          <w:rFonts w:ascii="Arial" w:hAnsi="Arial" w:cs="Arial"/>
          <w:sz w:val="22"/>
          <w:szCs w:val="22"/>
        </w:rPr>
        <w:t>’</w:t>
      </w:r>
      <w:r w:rsidRPr="0001502D">
        <w:rPr>
          <w:rFonts w:ascii="Arial" w:hAnsi="Arial" w:cs="Arial"/>
          <w:sz w:val="22"/>
          <w:szCs w:val="22"/>
        </w:rPr>
        <w:t>intérêt des jeunes générations pour le patrimoine culturel immatériel. De plus, l</w:t>
      </w:r>
      <w:r w:rsidR="009C104E">
        <w:rPr>
          <w:rFonts w:ascii="Arial" w:hAnsi="Arial" w:cs="Arial"/>
          <w:sz w:val="22"/>
          <w:szCs w:val="22"/>
        </w:rPr>
        <w:t>’</w:t>
      </w:r>
      <w:r w:rsidRPr="0001502D">
        <w:rPr>
          <w:rFonts w:ascii="Arial" w:hAnsi="Arial" w:cs="Arial"/>
          <w:sz w:val="22"/>
          <w:szCs w:val="22"/>
        </w:rPr>
        <w:t>inscription contribuerait à la création d</w:t>
      </w:r>
      <w:r w:rsidR="009C104E">
        <w:rPr>
          <w:rFonts w:ascii="Arial" w:hAnsi="Arial" w:cs="Arial"/>
          <w:sz w:val="22"/>
          <w:szCs w:val="22"/>
        </w:rPr>
        <w:t>’</w:t>
      </w:r>
      <w:r w:rsidRPr="0001502D">
        <w:rPr>
          <w:rFonts w:ascii="Arial" w:hAnsi="Arial" w:cs="Arial"/>
          <w:sz w:val="22"/>
          <w:szCs w:val="22"/>
        </w:rPr>
        <w:t>un nouvel espace de dialogue et d</w:t>
      </w:r>
      <w:r w:rsidR="009C104E">
        <w:rPr>
          <w:rFonts w:ascii="Arial" w:hAnsi="Arial" w:cs="Arial"/>
          <w:sz w:val="22"/>
          <w:szCs w:val="22"/>
        </w:rPr>
        <w:t>’</w:t>
      </w:r>
      <w:r w:rsidRPr="0001502D">
        <w:rPr>
          <w:rFonts w:ascii="Arial" w:hAnsi="Arial" w:cs="Arial"/>
          <w:sz w:val="22"/>
          <w:szCs w:val="22"/>
        </w:rPr>
        <w:t>une dynamique de coopération internationale autour du patrimoine culturel immatériel, à laquelle d</w:t>
      </w:r>
      <w:r w:rsidR="009C104E">
        <w:rPr>
          <w:rFonts w:ascii="Arial" w:hAnsi="Arial" w:cs="Arial"/>
          <w:sz w:val="22"/>
          <w:szCs w:val="22"/>
        </w:rPr>
        <w:t>’</w:t>
      </w:r>
      <w:r w:rsidRPr="0001502D">
        <w:rPr>
          <w:rFonts w:ascii="Arial" w:hAnsi="Arial" w:cs="Arial"/>
          <w:sz w:val="22"/>
          <w:szCs w:val="22"/>
        </w:rPr>
        <w:t>autres nations pourraient participer. L</w:t>
      </w:r>
      <w:r w:rsidR="009C104E">
        <w:rPr>
          <w:rFonts w:ascii="Arial" w:hAnsi="Arial" w:cs="Arial"/>
          <w:sz w:val="22"/>
          <w:szCs w:val="22"/>
        </w:rPr>
        <w:t>’</w:t>
      </w:r>
      <w:r w:rsidRPr="0001502D">
        <w:rPr>
          <w:rFonts w:ascii="Arial" w:hAnsi="Arial" w:cs="Arial"/>
          <w:sz w:val="22"/>
          <w:szCs w:val="22"/>
        </w:rPr>
        <w:t>inscription de l</w:t>
      </w:r>
      <w:r w:rsidR="009C104E">
        <w:rPr>
          <w:rFonts w:ascii="Arial" w:hAnsi="Arial" w:cs="Arial"/>
          <w:sz w:val="22"/>
          <w:szCs w:val="22"/>
        </w:rPr>
        <w:t>’</w:t>
      </w:r>
      <w:r w:rsidRPr="0001502D">
        <w:rPr>
          <w:rFonts w:ascii="Arial" w:hAnsi="Arial" w:cs="Arial"/>
          <w:sz w:val="22"/>
          <w:szCs w:val="22"/>
        </w:rPr>
        <w:t>élément rappellerait également à la communauté internationale l</w:t>
      </w:r>
      <w:r w:rsidR="009C104E">
        <w:rPr>
          <w:rFonts w:ascii="Arial" w:hAnsi="Arial" w:cs="Arial"/>
          <w:sz w:val="22"/>
          <w:szCs w:val="22"/>
        </w:rPr>
        <w:t>’</w:t>
      </w:r>
      <w:r w:rsidRPr="0001502D">
        <w:rPr>
          <w:rFonts w:ascii="Arial" w:hAnsi="Arial" w:cs="Arial"/>
          <w:sz w:val="22"/>
          <w:szCs w:val="22"/>
        </w:rPr>
        <w:t>importance et la survie des savoirs artisanaux et contribuerait à accroître leur visibilité.</w:t>
      </w:r>
    </w:p>
    <w:p w14:paraId="5559139F" w14:textId="493895D5" w:rsidR="0001502D" w:rsidRPr="0001502D" w:rsidRDefault="0001502D" w:rsidP="007B23DE">
      <w:pPr>
        <w:tabs>
          <w:tab w:val="left" w:pos="1134"/>
          <w:tab w:val="left" w:pos="2268"/>
        </w:tabs>
        <w:spacing w:before="120" w:after="120"/>
        <w:ind w:left="1134" w:hanging="555"/>
        <w:jc w:val="both"/>
        <w:rPr>
          <w:rFonts w:ascii="Arial" w:hAnsi="Arial" w:cs="Arial"/>
          <w:sz w:val="22"/>
          <w:szCs w:val="22"/>
        </w:rPr>
      </w:pPr>
      <w:r w:rsidRPr="0001502D">
        <w:rPr>
          <w:rFonts w:ascii="Arial" w:hAnsi="Arial" w:cs="Arial"/>
          <w:sz w:val="22"/>
          <w:szCs w:val="22"/>
        </w:rPr>
        <w:t xml:space="preserve">R.4 : </w:t>
      </w:r>
      <w:r w:rsidRPr="0001502D">
        <w:rPr>
          <w:rFonts w:ascii="Arial" w:hAnsi="Arial" w:cs="Arial"/>
          <w:sz w:val="22"/>
          <w:szCs w:val="22"/>
        </w:rPr>
        <w:tab/>
        <w:t>Au Mexique, la préparation du dossier de candidature s</w:t>
      </w:r>
      <w:r w:rsidR="009C104E">
        <w:rPr>
          <w:rFonts w:ascii="Arial" w:hAnsi="Arial" w:cs="Arial"/>
          <w:sz w:val="22"/>
          <w:szCs w:val="22"/>
        </w:rPr>
        <w:t>’</w:t>
      </w:r>
      <w:r w:rsidRPr="0001502D">
        <w:rPr>
          <w:rFonts w:ascii="Arial" w:hAnsi="Arial" w:cs="Arial"/>
          <w:sz w:val="22"/>
          <w:szCs w:val="22"/>
        </w:rPr>
        <w:t>est faite avec la participation de représentants des détenteurs et d</w:t>
      </w:r>
      <w:r w:rsidR="009C104E">
        <w:rPr>
          <w:rFonts w:ascii="Arial" w:hAnsi="Arial" w:cs="Arial"/>
          <w:sz w:val="22"/>
          <w:szCs w:val="22"/>
        </w:rPr>
        <w:t>’</w:t>
      </w:r>
      <w:r w:rsidRPr="0001502D">
        <w:rPr>
          <w:rFonts w:ascii="Arial" w:hAnsi="Arial" w:cs="Arial"/>
          <w:sz w:val="22"/>
          <w:szCs w:val="22"/>
        </w:rPr>
        <w:t>acteurs concernés par cette pratique, tels que des universitaires, des experts, des autorités gouvernementales et des entrepreneurs. En Espagne, la candidature a été élaborée dans le cadre d</w:t>
      </w:r>
      <w:r w:rsidR="009C104E">
        <w:rPr>
          <w:rFonts w:ascii="Arial" w:hAnsi="Arial" w:cs="Arial"/>
          <w:sz w:val="22"/>
          <w:szCs w:val="22"/>
        </w:rPr>
        <w:t>’</w:t>
      </w:r>
      <w:r w:rsidRPr="0001502D">
        <w:rPr>
          <w:rFonts w:ascii="Arial" w:hAnsi="Arial" w:cs="Arial"/>
          <w:sz w:val="22"/>
          <w:szCs w:val="22"/>
        </w:rPr>
        <w:t>un projet citoyen à l</w:t>
      </w:r>
      <w:r w:rsidR="009C104E">
        <w:rPr>
          <w:rFonts w:ascii="Arial" w:hAnsi="Arial" w:cs="Arial"/>
          <w:sz w:val="22"/>
          <w:szCs w:val="22"/>
        </w:rPr>
        <w:t>’</w:t>
      </w:r>
      <w:r w:rsidRPr="0001502D">
        <w:rPr>
          <w:rFonts w:ascii="Arial" w:hAnsi="Arial" w:cs="Arial"/>
          <w:sz w:val="22"/>
          <w:szCs w:val="22"/>
        </w:rPr>
        <w:t>initiative des communautés elles-mêmes depuis le début du processus. Les informations nécessaires à la préparation de la candidature ont été recueillies auprès des habitants de centres de détenteurs, des universitaires, des entrepreneurs, des groupes politiques et des médias.</w:t>
      </w:r>
    </w:p>
    <w:p w14:paraId="5552AB3A" w14:textId="4CC5AE36" w:rsidR="0001502D" w:rsidRDefault="0001502D" w:rsidP="007B23DE">
      <w:pPr>
        <w:tabs>
          <w:tab w:val="left" w:pos="1134"/>
          <w:tab w:val="left" w:pos="2268"/>
        </w:tabs>
        <w:spacing w:before="120" w:after="120"/>
        <w:ind w:left="1134" w:hanging="555"/>
        <w:jc w:val="both"/>
        <w:rPr>
          <w:rFonts w:ascii="Arial" w:hAnsi="Arial" w:cs="Arial"/>
          <w:sz w:val="22"/>
          <w:szCs w:val="22"/>
        </w:rPr>
      </w:pPr>
      <w:r w:rsidRPr="0001502D">
        <w:rPr>
          <w:rFonts w:ascii="Arial" w:hAnsi="Arial" w:cs="Arial"/>
          <w:sz w:val="22"/>
          <w:szCs w:val="22"/>
        </w:rPr>
        <w:t xml:space="preserve">R.5 : </w:t>
      </w:r>
      <w:r w:rsidRPr="0001502D">
        <w:rPr>
          <w:rFonts w:ascii="Arial" w:hAnsi="Arial" w:cs="Arial"/>
          <w:sz w:val="22"/>
          <w:szCs w:val="22"/>
        </w:rPr>
        <w:tab/>
        <w:t>Les processus de fabrication des céramiques talavera sont inclus dans l</w:t>
      </w:r>
      <w:r w:rsidR="009C104E">
        <w:rPr>
          <w:rFonts w:ascii="Arial" w:hAnsi="Arial" w:cs="Arial"/>
          <w:sz w:val="22"/>
          <w:szCs w:val="22"/>
        </w:rPr>
        <w:t>’</w:t>
      </w:r>
      <w:r w:rsidRPr="0001502D">
        <w:rPr>
          <w:rFonts w:ascii="Arial" w:hAnsi="Arial" w:cs="Arial"/>
          <w:sz w:val="22"/>
          <w:szCs w:val="22"/>
        </w:rPr>
        <w:t>inventaire national des deux pays. Ils ont été inscrits dans l</w:t>
      </w:r>
      <w:r w:rsidR="009C104E">
        <w:rPr>
          <w:rFonts w:ascii="Arial" w:hAnsi="Arial" w:cs="Arial"/>
          <w:sz w:val="22"/>
          <w:szCs w:val="22"/>
        </w:rPr>
        <w:t>’</w:t>
      </w:r>
      <w:r w:rsidRPr="0001502D">
        <w:rPr>
          <w:rFonts w:ascii="Arial" w:hAnsi="Arial" w:cs="Arial"/>
          <w:sz w:val="22"/>
          <w:szCs w:val="22"/>
        </w:rPr>
        <w:t>Inventaire du patrimoine culturel immatériel du Mexique en 2018 et dans le Registre général des biens d</w:t>
      </w:r>
      <w:r w:rsidR="009C104E">
        <w:rPr>
          <w:rFonts w:ascii="Arial" w:hAnsi="Arial" w:cs="Arial"/>
          <w:sz w:val="22"/>
          <w:szCs w:val="22"/>
        </w:rPr>
        <w:t>’</w:t>
      </w:r>
      <w:r w:rsidRPr="0001502D">
        <w:rPr>
          <w:rFonts w:ascii="Arial" w:hAnsi="Arial" w:cs="Arial"/>
          <w:sz w:val="22"/>
          <w:szCs w:val="22"/>
        </w:rPr>
        <w:t>intérêt culturel du Ministère de l</w:t>
      </w:r>
      <w:r w:rsidR="009C104E">
        <w:rPr>
          <w:rFonts w:ascii="Arial" w:hAnsi="Arial" w:cs="Arial"/>
          <w:sz w:val="22"/>
          <w:szCs w:val="22"/>
        </w:rPr>
        <w:t>’</w:t>
      </w:r>
      <w:r w:rsidRPr="0001502D">
        <w:rPr>
          <w:rFonts w:ascii="Arial" w:hAnsi="Arial" w:cs="Arial"/>
          <w:sz w:val="22"/>
          <w:szCs w:val="22"/>
        </w:rPr>
        <w:t>éducation, de la culture et des sports d</w:t>
      </w:r>
      <w:r w:rsidR="009C104E">
        <w:rPr>
          <w:rFonts w:ascii="Arial" w:hAnsi="Arial" w:cs="Arial"/>
          <w:sz w:val="22"/>
          <w:szCs w:val="22"/>
        </w:rPr>
        <w:t>’</w:t>
      </w:r>
      <w:r w:rsidRPr="0001502D">
        <w:rPr>
          <w:rFonts w:ascii="Arial" w:hAnsi="Arial" w:cs="Arial"/>
          <w:sz w:val="22"/>
          <w:szCs w:val="22"/>
        </w:rPr>
        <w:t>Espagne en 2015. Des éléments indiquent clairement que les deux inventaires ont été mis à jour et comment les communautés ont participé au processus.</w:t>
      </w:r>
    </w:p>
    <w:p w14:paraId="40FA80C6" w14:textId="40DC99B8" w:rsidR="002213A1" w:rsidRPr="002213A1" w:rsidRDefault="00C32102" w:rsidP="002213A1">
      <w:pPr>
        <w:numPr>
          <w:ilvl w:val="1"/>
          <w:numId w:val="27"/>
        </w:numPr>
        <w:tabs>
          <w:tab w:val="left" w:pos="567"/>
          <w:tab w:val="left" w:pos="1701"/>
          <w:tab w:val="left" w:pos="2268"/>
        </w:tabs>
        <w:spacing w:before="120" w:after="120"/>
        <w:jc w:val="both"/>
        <w:rPr>
          <w:rFonts w:ascii="Arial" w:hAnsi="Arial" w:cs="Arial"/>
          <w:sz w:val="22"/>
          <w:szCs w:val="22"/>
          <w:lang w:eastAsia="ko-KR"/>
        </w:rPr>
      </w:pPr>
      <w:r>
        <w:rPr>
          <w:rFonts w:ascii="Arial" w:hAnsi="Arial" w:cs="Arial"/>
          <w:sz w:val="22"/>
          <w:szCs w:val="22"/>
          <w:u w:val="single"/>
          <w:lang w:eastAsia="ko-KR"/>
        </w:rPr>
        <w:t>Estime</w:t>
      </w:r>
      <w:r w:rsidR="002213A1" w:rsidRPr="00A400B1">
        <w:rPr>
          <w:rFonts w:ascii="Arial" w:hAnsi="Arial" w:cs="Arial"/>
          <w:sz w:val="22"/>
          <w:szCs w:val="22"/>
          <w:u w:val="single"/>
          <w:lang w:eastAsia="ko-KR"/>
        </w:rPr>
        <w:t xml:space="preserve"> en outre</w:t>
      </w:r>
      <w:r w:rsidR="002213A1" w:rsidRPr="00E27400">
        <w:rPr>
          <w:rFonts w:ascii="Arial" w:hAnsi="Arial" w:cs="Arial"/>
          <w:sz w:val="22"/>
          <w:szCs w:val="22"/>
          <w:lang w:eastAsia="ko-KR"/>
        </w:rPr>
        <w:t xml:space="preserve"> </w:t>
      </w:r>
      <w:r w:rsidR="002213A1" w:rsidRPr="002213A1">
        <w:rPr>
          <w:rFonts w:ascii="Arial" w:hAnsi="Arial" w:cs="Arial"/>
          <w:sz w:val="22"/>
          <w:szCs w:val="22"/>
          <w:lang w:eastAsia="ko-KR"/>
        </w:rPr>
        <w:t>que,</w:t>
      </w:r>
      <w:r w:rsidR="00AB5715">
        <w:rPr>
          <w:rFonts w:ascii="Arial" w:hAnsi="Arial" w:cs="Arial"/>
          <w:sz w:val="22"/>
          <w:szCs w:val="22"/>
          <w:lang w:eastAsia="ko-KR"/>
        </w:rPr>
        <w:t xml:space="preserve"> </w:t>
      </w:r>
      <w:r w:rsidR="00AB5715" w:rsidRPr="00AB5715">
        <w:rPr>
          <w:rFonts w:ascii="Arial" w:hAnsi="Arial" w:cs="Arial"/>
          <w:sz w:val="22"/>
          <w:szCs w:val="22"/>
          <w:lang w:eastAsia="ko-KR"/>
        </w:rPr>
        <w:t>sur la base de</w:t>
      </w:r>
      <w:r w:rsidR="00E27400">
        <w:rPr>
          <w:rFonts w:ascii="Arial" w:hAnsi="Arial" w:cs="Arial"/>
          <w:sz w:val="22"/>
          <w:szCs w:val="22"/>
          <w:lang w:eastAsia="ko-KR"/>
        </w:rPr>
        <w:t>s</w:t>
      </w:r>
      <w:r w:rsidR="00AB5715" w:rsidRPr="00AB5715">
        <w:rPr>
          <w:rFonts w:ascii="Arial" w:hAnsi="Arial" w:cs="Arial"/>
          <w:sz w:val="22"/>
          <w:szCs w:val="22"/>
          <w:lang w:eastAsia="ko-KR"/>
        </w:rPr>
        <w:t xml:space="preserve"> information</w:t>
      </w:r>
      <w:r w:rsidR="00E27400">
        <w:rPr>
          <w:rFonts w:ascii="Arial" w:hAnsi="Arial" w:cs="Arial"/>
          <w:sz w:val="22"/>
          <w:szCs w:val="22"/>
          <w:lang w:eastAsia="ko-KR"/>
        </w:rPr>
        <w:t>s</w:t>
      </w:r>
      <w:r w:rsidR="00AB5715" w:rsidRPr="00AB5715">
        <w:rPr>
          <w:rFonts w:ascii="Arial" w:hAnsi="Arial" w:cs="Arial"/>
          <w:sz w:val="22"/>
          <w:szCs w:val="22"/>
          <w:lang w:eastAsia="ko-KR"/>
        </w:rPr>
        <w:t xml:space="preserve"> fournie</w:t>
      </w:r>
      <w:r w:rsidR="00E27400">
        <w:rPr>
          <w:rFonts w:ascii="Arial" w:hAnsi="Arial" w:cs="Arial"/>
          <w:sz w:val="22"/>
          <w:szCs w:val="22"/>
          <w:lang w:eastAsia="ko-KR"/>
        </w:rPr>
        <w:t>s</w:t>
      </w:r>
      <w:r w:rsidR="00AB5715" w:rsidRPr="00AB5715">
        <w:rPr>
          <w:rFonts w:ascii="Arial" w:hAnsi="Arial" w:cs="Arial"/>
          <w:sz w:val="22"/>
          <w:szCs w:val="22"/>
          <w:lang w:eastAsia="ko-KR"/>
        </w:rPr>
        <w:t xml:space="preserve"> par les États parties au Comité au cours de sa présente session, le critère d</w:t>
      </w:r>
      <w:r w:rsidR="009C104E">
        <w:rPr>
          <w:rFonts w:ascii="Arial" w:hAnsi="Arial" w:cs="Arial"/>
          <w:sz w:val="22"/>
          <w:szCs w:val="22"/>
          <w:lang w:eastAsia="ko-KR"/>
        </w:rPr>
        <w:t>’</w:t>
      </w:r>
      <w:r w:rsidR="00AB5715" w:rsidRPr="00AB5715">
        <w:rPr>
          <w:rFonts w:ascii="Arial" w:hAnsi="Arial" w:cs="Arial"/>
          <w:sz w:val="22"/>
          <w:szCs w:val="22"/>
          <w:lang w:eastAsia="ko-KR"/>
        </w:rPr>
        <w:t>inscription sur la Liste représentative du patrimoine culturel immatériel de l</w:t>
      </w:r>
      <w:r w:rsidR="009C104E">
        <w:rPr>
          <w:rFonts w:ascii="Arial" w:hAnsi="Arial" w:cs="Arial"/>
          <w:sz w:val="22"/>
          <w:szCs w:val="22"/>
          <w:lang w:eastAsia="ko-KR"/>
        </w:rPr>
        <w:t>’</w:t>
      </w:r>
      <w:r w:rsidR="00AB5715" w:rsidRPr="00AB5715">
        <w:rPr>
          <w:rFonts w:ascii="Arial" w:hAnsi="Arial" w:cs="Arial"/>
          <w:sz w:val="22"/>
          <w:szCs w:val="22"/>
          <w:lang w:eastAsia="ko-KR"/>
        </w:rPr>
        <w:t>humanité suivant est satisfait</w:t>
      </w:r>
      <w:r w:rsidR="00A67B7A">
        <w:rPr>
          <w:rFonts w:ascii="Arial" w:hAnsi="Arial" w:cs="Arial"/>
          <w:sz w:val="22"/>
          <w:szCs w:val="22"/>
          <w:lang w:eastAsia="ko-KR"/>
        </w:rPr>
        <w:t> :</w:t>
      </w:r>
    </w:p>
    <w:p w14:paraId="652AF68E" w14:textId="4895C2A2" w:rsidR="002213A1" w:rsidRPr="002213A1" w:rsidRDefault="002213A1" w:rsidP="00A400B1">
      <w:pPr>
        <w:tabs>
          <w:tab w:val="left" w:pos="1701"/>
          <w:tab w:val="left" w:pos="2268"/>
        </w:tabs>
        <w:spacing w:before="120" w:after="120"/>
        <w:ind w:left="1134" w:hanging="567"/>
        <w:jc w:val="both"/>
        <w:rPr>
          <w:rFonts w:ascii="Arial" w:hAnsi="Arial" w:cs="Arial"/>
          <w:sz w:val="22"/>
          <w:szCs w:val="22"/>
          <w:lang w:eastAsia="ko-KR"/>
        </w:rPr>
      </w:pPr>
      <w:r>
        <w:rPr>
          <w:rFonts w:ascii="Arial" w:hAnsi="Arial" w:cs="Arial"/>
          <w:sz w:val="22"/>
          <w:szCs w:val="22"/>
          <w:lang w:eastAsia="ko-KR"/>
        </w:rPr>
        <w:t>R.3 :</w:t>
      </w:r>
      <w:r w:rsidR="00A67B7A" w:rsidRPr="0001502D">
        <w:rPr>
          <w:rFonts w:ascii="Arial" w:hAnsi="Arial" w:cs="Arial"/>
          <w:sz w:val="22"/>
          <w:szCs w:val="22"/>
        </w:rPr>
        <w:tab/>
      </w:r>
      <w:r w:rsidRPr="002213A1">
        <w:rPr>
          <w:rFonts w:ascii="Arial" w:hAnsi="Arial" w:cs="Arial"/>
          <w:sz w:val="22"/>
          <w:szCs w:val="22"/>
          <w:lang w:eastAsia="ko-KR"/>
        </w:rPr>
        <w:t>Les communautés de détenteurs des deux pays ont participé activement à la sauvegarde de la pratique artisanale traditionnelle à travers différents types de mesures avec le soutien des autorités</w:t>
      </w:r>
      <w:r w:rsidR="00040AC4">
        <w:rPr>
          <w:rFonts w:ascii="Arial" w:hAnsi="Arial" w:cs="Arial"/>
          <w:sz w:val="22"/>
          <w:szCs w:val="22"/>
          <w:lang w:eastAsia="ko-KR"/>
        </w:rPr>
        <w:t xml:space="preserve"> gouvernementales</w:t>
      </w:r>
      <w:r w:rsidRPr="002213A1">
        <w:rPr>
          <w:rFonts w:ascii="Arial" w:hAnsi="Arial" w:cs="Arial"/>
          <w:sz w:val="22"/>
          <w:szCs w:val="22"/>
          <w:lang w:eastAsia="ko-KR"/>
        </w:rPr>
        <w:t xml:space="preserve"> locales et nationales. Parmi elles, l</w:t>
      </w:r>
      <w:r w:rsidR="009C104E">
        <w:rPr>
          <w:rFonts w:ascii="Arial" w:hAnsi="Arial" w:cs="Arial"/>
          <w:sz w:val="22"/>
          <w:szCs w:val="22"/>
          <w:lang w:eastAsia="ko-KR"/>
        </w:rPr>
        <w:t>’</w:t>
      </w:r>
      <w:r w:rsidRPr="002213A1">
        <w:rPr>
          <w:rFonts w:ascii="Arial" w:hAnsi="Arial" w:cs="Arial"/>
          <w:sz w:val="22"/>
          <w:szCs w:val="22"/>
          <w:lang w:eastAsia="ko-KR"/>
        </w:rPr>
        <w:t xml:space="preserve">expérience </w:t>
      </w:r>
      <w:r w:rsidR="009C104E">
        <w:rPr>
          <w:rFonts w:ascii="Arial" w:hAnsi="Arial" w:cs="Arial"/>
          <w:sz w:val="22"/>
          <w:szCs w:val="22"/>
          <w:lang w:eastAsia="ko-KR"/>
        </w:rPr>
        <w:t>présentée</w:t>
      </w:r>
      <w:r w:rsidR="009C104E" w:rsidRPr="002213A1">
        <w:rPr>
          <w:rFonts w:ascii="Arial" w:hAnsi="Arial" w:cs="Arial"/>
          <w:sz w:val="22"/>
          <w:szCs w:val="22"/>
          <w:lang w:eastAsia="ko-KR"/>
        </w:rPr>
        <w:t xml:space="preserve"> </w:t>
      </w:r>
      <w:r w:rsidRPr="002213A1">
        <w:rPr>
          <w:rFonts w:ascii="Arial" w:hAnsi="Arial" w:cs="Arial"/>
          <w:sz w:val="22"/>
          <w:szCs w:val="22"/>
          <w:lang w:eastAsia="ko-KR"/>
        </w:rPr>
        <w:t>dans le dossier concernant le lien établi entre le patrimoine culturel immatériel et la propriété industrielle, peut fournir des éléments qui pourraient contribuer à une meilleure sauvegarde de ces pratiques artisanales dans le monde et éviter une appropriation culturelle inappropriée par des acteurs extérieurs. Le Mexique et l</w:t>
      </w:r>
      <w:r w:rsidR="009C104E">
        <w:rPr>
          <w:rFonts w:ascii="Arial" w:hAnsi="Arial" w:cs="Arial"/>
          <w:sz w:val="22"/>
          <w:szCs w:val="22"/>
          <w:lang w:eastAsia="ko-KR"/>
        </w:rPr>
        <w:t>’</w:t>
      </w:r>
      <w:r w:rsidRPr="002213A1">
        <w:rPr>
          <w:rFonts w:ascii="Arial" w:hAnsi="Arial" w:cs="Arial"/>
          <w:sz w:val="22"/>
          <w:szCs w:val="22"/>
          <w:lang w:eastAsia="ko-KR"/>
        </w:rPr>
        <w:t>Espagne ont souligné l</w:t>
      </w:r>
      <w:r w:rsidR="009C104E">
        <w:rPr>
          <w:rFonts w:ascii="Arial" w:hAnsi="Arial" w:cs="Arial"/>
          <w:sz w:val="22"/>
          <w:szCs w:val="22"/>
          <w:lang w:eastAsia="ko-KR"/>
        </w:rPr>
        <w:t>’</w:t>
      </w:r>
      <w:r w:rsidRPr="002213A1">
        <w:rPr>
          <w:rFonts w:ascii="Arial" w:hAnsi="Arial" w:cs="Arial"/>
          <w:sz w:val="22"/>
          <w:szCs w:val="22"/>
          <w:lang w:eastAsia="ko-KR"/>
        </w:rPr>
        <w:t>importance de cette tradition pour les deux pays et ont créé des espaces d</w:t>
      </w:r>
      <w:r w:rsidR="009C104E">
        <w:rPr>
          <w:rFonts w:ascii="Arial" w:hAnsi="Arial" w:cs="Arial"/>
          <w:sz w:val="22"/>
          <w:szCs w:val="22"/>
          <w:lang w:eastAsia="ko-KR"/>
        </w:rPr>
        <w:t>’</w:t>
      </w:r>
      <w:r w:rsidRPr="002213A1">
        <w:rPr>
          <w:rFonts w:ascii="Arial" w:hAnsi="Arial" w:cs="Arial"/>
          <w:sz w:val="22"/>
          <w:szCs w:val="22"/>
          <w:lang w:eastAsia="ko-KR"/>
        </w:rPr>
        <w:t>échange d</w:t>
      </w:r>
      <w:r w:rsidR="009C104E">
        <w:rPr>
          <w:rFonts w:ascii="Arial" w:hAnsi="Arial" w:cs="Arial"/>
          <w:sz w:val="22"/>
          <w:szCs w:val="22"/>
          <w:lang w:eastAsia="ko-KR"/>
        </w:rPr>
        <w:t>’</w:t>
      </w:r>
      <w:r w:rsidRPr="002213A1">
        <w:rPr>
          <w:rFonts w:ascii="Arial" w:hAnsi="Arial" w:cs="Arial"/>
          <w:sz w:val="22"/>
          <w:szCs w:val="22"/>
          <w:lang w:eastAsia="ko-KR"/>
        </w:rPr>
        <w:t>expériences pour renforcer le travail conjoint qui pourrait conduire à l</w:t>
      </w:r>
      <w:r w:rsidR="009C104E">
        <w:rPr>
          <w:rFonts w:ascii="Arial" w:hAnsi="Arial" w:cs="Arial"/>
          <w:sz w:val="22"/>
          <w:szCs w:val="22"/>
          <w:lang w:eastAsia="ko-KR"/>
        </w:rPr>
        <w:t>’</w:t>
      </w:r>
      <w:r w:rsidRPr="002213A1">
        <w:rPr>
          <w:rFonts w:ascii="Arial" w:hAnsi="Arial" w:cs="Arial"/>
          <w:sz w:val="22"/>
          <w:szCs w:val="22"/>
          <w:lang w:eastAsia="ko-KR"/>
        </w:rPr>
        <w:t>avenir à des mesures de sauvegarde communes.</w:t>
      </w:r>
    </w:p>
    <w:p w14:paraId="34BAD107" w14:textId="073FC671" w:rsidR="002213A1" w:rsidRPr="00A400B1" w:rsidRDefault="0001502D" w:rsidP="00A400B1">
      <w:pPr>
        <w:pStyle w:val="ListParagraph"/>
        <w:numPr>
          <w:ilvl w:val="1"/>
          <w:numId w:val="27"/>
        </w:numPr>
        <w:jc w:val="both"/>
        <w:rPr>
          <w:rFonts w:ascii="Arial" w:hAnsi="Arial" w:cs="Arial"/>
          <w:sz w:val="22"/>
          <w:szCs w:val="22"/>
          <w:lang w:eastAsia="ko-KR"/>
        </w:rPr>
      </w:pPr>
      <w:r w:rsidRPr="00E27400">
        <w:rPr>
          <w:rFonts w:ascii="Arial" w:hAnsi="Arial" w:cs="Arial"/>
          <w:sz w:val="22"/>
          <w:szCs w:val="22"/>
          <w:u w:val="single"/>
          <w:lang w:eastAsia="ko-KR"/>
        </w:rPr>
        <w:t xml:space="preserve">Décide </w:t>
      </w:r>
      <w:r w:rsidR="002213A1" w:rsidRPr="00E27400">
        <w:rPr>
          <w:rFonts w:ascii="Arial" w:hAnsi="Arial" w:cs="Arial"/>
          <w:sz w:val="22"/>
          <w:szCs w:val="22"/>
          <w:u w:val="single"/>
          <w:lang w:eastAsia="ko-KR"/>
        </w:rPr>
        <w:t>d</w:t>
      </w:r>
      <w:r w:rsidR="009C104E">
        <w:rPr>
          <w:rFonts w:ascii="Arial" w:hAnsi="Arial" w:cs="Arial"/>
          <w:sz w:val="22"/>
          <w:szCs w:val="22"/>
          <w:u w:val="single"/>
          <w:lang w:eastAsia="ko-KR"/>
        </w:rPr>
        <w:t>’</w:t>
      </w:r>
      <w:r w:rsidR="002213A1" w:rsidRPr="00E27400">
        <w:rPr>
          <w:rFonts w:ascii="Arial" w:hAnsi="Arial" w:cs="Arial"/>
          <w:sz w:val="22"/>
          <w:szCs w:val="22"/>
          <w:u w:val="single"/>
          <w:lang w:eastAsia="ko-KR"/>
        </w:rPr>
        <w:t>inscrire</w:t>
      </w:r>
      <w:r w:rsidR="002213A1" w:rsidRPr="00A400B1">
        <w:rPr>
          <w:rFonts w:ascii="Arial" w:hAnsi="Arial" w:cs="Arial"/>
          <w:sz w:val="22"/>
          <w:szCs w:val="22"/>
          <w:lang w:eastAsia="ko-KR"/>
        </w:rPr>
        <w:t xml:space="preserve"> le </w:t>
      </w:r>
      <w:r w:rsidR="002213A1" w:rsidRPr="00A400B1">
        <w:rPr>
          <w:rFonts w:ascii="Arial" w:hAnsi="Arial" w:cs="Arial"/>
          <w:b/>
          <w:sz w:val="22"/>
          <w:szCs w:val="22"/>
          <w:lang w:eastAsia="ko-KR"/>
        </w:rPr>
        <w:t>Processus de fabrication de la talavera artisanale de Puebla et de Tlaxcala (Mexique) et de la céramique de Talavera de la Reina et d</w:t>
      </w:r>
      <w:r w:rsidR="009C104E">
        <w:rPr>
          <w:rFonts w:ascii="Arial" w:hAnsi="Arial" w:cs="Arial"/>
          <w:b/>
          <w:sz w:val="22"/>
          <w:szCs w:val="22"/>
          <w:lang w:eastAsia="ko-KR"/>
        </w:rPr>
        <w:t>’</w:t>
      </w:r>
      <w:r w:rsidR="002213A1" w:rsidRPr="00A400B1">
        <w:rPr>
          <w:rFonts w:ascii="Arial" w:hAnsi="Arial" w:cs="Arial"/>
          <w:b/>
          <w:sz w:val="22"/>
          <w:szCs w:val="22"/>
          <w:lang w:eastAsia="ko-KR"/>
        </w:rPr>
        <w:t>El Puente del Arzobispo (Espagne)</w:t>
      </w:r>
      <w:r w:rsidR="002213A1" w:rsidRPr="00A400B1">
        <w:rPr>
          <w:rFonts w:ascii="Arial" w:hAnsi="Arial" w:cs="Arial"/>
          <w:sz w:val="22"/>
          <w:szCs w:val="22"/>
          <w:lang w:eastAsia="ko-KR"/>
        </w:rPr>
        <w:t xml:space="preserve"> sur la Liste représentative du patrimoine culturel immatériel de l</w:t>
      </w:r>
      <w:r w:rsidR="009C104E">
        <w:rPr>
          <w:rFonts w:ascii="Arial" w:hAnsi="Arial" w:cs="Arial"/>
          <w:sz w:val="22"/>
          <w:szCs w:val="22"/>
          <w:lang w:eastAsia="ko-KR"/>
        </w:rPr>
        <w:t>’</w:t>
      </w:r>
      <w:r w:rsidR="002213A1" w:rsidRPr="00A400B1">
        <w:rPr>
          <w:rFonts w:ascii="Arial" w:hAnsi="Arial" w:cs="Arial"/>
          <w:sz w:val="22"/>
          <w:szCs w:val="22"/>
          <w:lang w:eastAsia="ko-KR"/>
        </w:rPr>
        <w:t>humanité</w:t>
      </w:r>
      <w:r w:rsidR="00C32102">
        <w:rPr>
          <w:rFonts w:ascii="Arial" w:hAnsi="Arial" w:cs="Arial"/>
          <w:sz w:val="22"/>
          <w:szCs w:val="22"/>
          <w:lang w:eastAsia="ko-KR"/>
        </w:rPr>
        <w:t xml:space="preserve"> ; </w:t>
      </w:r>
    </w:p>
    <w:p w14:paraId="2487A7DD" w14:textId="78E653FC" w:rsidR="0001502D" w:rsidRPr="0001502D" w:rsidRDefault="0001502D" w:rsidP="00771F30">
      <w:pPr>
        <w:numPr>
          <w:ilvl w:val="1"/>
          <w:numId w:val="27"/>
        </w:numPr>
        <w:tabs>
          <w:tab w:val="left" w:pos="567"/>
          <w:tab w:val="left" w:pos="1701"/>
          <w:tab w:val="left" w:pos="2268"/>
        </w:tabs>
        <w:spacing w:before="120" w:after="120"/>
        <w:jc w:val="both"/>
        <w:rPr>
          <w:rFonts w:ascii="Arial" w:hAnsi="Arial" w:cs="Arial"/>
          <w:sz w:val="22"/>
          <w:szCs w:val="22"/>
          <w:lang w:eastAsia="ko-KR"/>
        </w:rPr>
      </w:pPr>
      <w:r w:rsidRPr="0001502D">
        <w:rPr>
          <w:rFonts w:ascii="Arial" w:hAnsi="Arial" w:cs="Arial"/>
          <w:sz w:val="22"/>
          <w:szCs w:val="22"/>
          <w:u w:val="single"/>
          <w:lang w:eastAsia="ko-KR"/>
        </w:rPr>
        <w:t>Rappelle</w:t>
      </w:r>
      <w:r w:rsidRPr="0001502D">
        <w:rPr>
          <w:rFonts w:ascii="Arial" w:hAnsi="Arial" w:cs="Arial"/>
          <w:sz w:val="22"/>
          <w:szCs w:val="22"/>
          <w:lang w:eastAsia="ko-KR"/>
        </w:rPr>
        <w:t xml:space="preserve"> aux États parties que l</w:t>
      </w:r>
      <w:r w:rsidR="009C104E">
        <w:rPr>
          <w:rFonts w:ascii="Arial" w:hAnsi="Arial" w:cs="Arial"/>
          <w:sz w:val="22"/>
          <w:szCs w:val="22"/>
          <w:lang w:eastAsia="ko-KR"/>
        </w:rPr>
        <w:t>’</w:t>
      </w:r>
      <w:r w:rsidRPr="0001502D">
        <w:rPr>
          <w:rFonts w:ascii="Arial" w:hAnsi="Arial" w:cs="Arial"/>
          <w:sz w:val="22"/>
          <w:szCs w:val="22"/>
          <w:lang w:eastAsia="ko-KR"/>
        </w:rPr>
        <w:t xml:space="preserve">objectif principal de la Convention est la sauvegarde du patrimoine culturel immatériel et les </w:t>
      </w:r>
      <w:r w:rsidRPr="0001502D">
        <w:rPr>
          <w:rFonts w:ascii="Arial" w:hAnsi="Arial" w:cs="Arial"/>
          <w:sz w:val="22"/>
          <w:szCs w:val="22"/>
          <w:u w:val="single"/>
          <w:lang w:eastAsia="ko-KR"/>
        </w:rPr>
        <w:t>invite</w:t>
      </w:r>
      <w:r w:rsidRPr="00B932EA">
        <w:rPr>
          <w:rFonts w:ascii="Arial" w:hAnsi="Arial" w:cs="Arial"/>
          <w:sz w:val="22"/>
          <w:szCs w:val="22"/>
          <w:lang w:eastAsia="ko-KR"/>
        </w:rPr>
        <w:t xml:space="preserve"> </w:t>
      </w:r>
      <w:r w:rsidRPr="0001502D">
        <w:rPr>
          <w:rFonts w:ascii="Arial" w:hAnsi="Arial" w:cs="Arial"/>
          <w:sz w:val="22"/>
          <w:szCs w:val="22"/>
          <w:lang w:eastAsia="ko-KR"/>
        </w:rPr>
        <w:t>à prendre des mesures pour gérer de manière adéquate la commercialisation de l</w:t>
      </w:r>
      <w:r w:rsidR="009C104E">
        <w:rPr>
          <w:rFonts w:ascii="Arial" w:hAnsi="Arial" w:cs="Arial"/>
          <w:sz w:val="22"/>
          <w:szCs w:val="22"/>
          <w:lang w:eastAsia="ko-KR"/>
        </w:rPr>
        <w:t>’</w:t>
      </w:r>
      <w:r w:rsidRPr="0001502D">
        <w:rPr>
          <w:rFonts w:ascii="Arial" w:hAnsi="Arial" w:cs="Arial"/>
          <w:sz w:val="22"/>
          <w:szCs w:val="22"/>
          <w:lang w:eastAsia="ko-KR"/>
        </w:rPr>
        <w:t>élément et atténuer les éventuels impacts négatifs</w:t>
      </w:r>
      <w:r w:rsidR="002213A1">
        <w:rPr>
          <w:rFonts w:ascii="Arial" w:hAnsi="Arial" w:cs="Arial"/>
          <w:sz w:val="22"/>
          <w:szCs w:val="22"/>
          <w:lang w:eastAsia="ko-KR"/>
        </w:rPr>
        <w:t>.</w:t>
      </w:r>
    </w:p>
    <w:p w14:paraId="381D59EE" w14:textId="481ED3DC" w:rsidR="0001502D" w:rsidRPr="0001502D" w:rsidRDefault="0001502D" w:rsidP="00771F30">
      <w:pPr>
        <w:keepNext/>
        <w:keepLines/>
        <w:numPr>
          <w:ilvl w:val="0"/>
          <w:numId w:val="27"/>
        </w:numPr>
        <w:spacing w:before="360" w:after="120"/>
        <w:outlineLvl w:val="1"/>
        <w:rPr>
          <w:rFonts w:ascii="Arial" w:hAnsi="Arial" w:cs="Arial"/>
          <w:bCs/>
          <w:iCs/>
          <w:sz w:val="22"/>
          <w:szCs w:val="22"/>
        </w:rPr>
      </w:pPr>
      <w:bookmarkStart w:id="27" w:name="Decision_10b24"/>
      <w:r w:rsidRPr="0001502D">
        <w:rPr>
          <w:rFonts w:ascii="Arial" w:hAnsi="Arial" w:cs="Arial"/>
          <w:b/>
          <w:bCs/>
          <w:iCs/>
          <w:sz w:val="22"/>
          <w:szCs w:val="22"/>
        </w:rPr>
        <w:t>DÉCISION 14.COM 10.b.24</w:t>
      </w:r>
    </w:p>
    <w:bookmarkEnd w:id="27"/>
    <w:p w14:paraId="590FE2D1" w14:textId="77777777" w:rsidR="0001502D" w:rsidRPr="0001502D" w:rsidRDefault="0001502D" w:rsidP="007B23DE">
      <w:pPr>
        <w:keepNext/>
        <w:tabs>
          <w:tab w:val="left" w:pos="567"/>
          <w:tab w:val="left" w:pos="1134"/>
          <w:tab w:val="left" w:pos="1701"/>
          <w:tab w:val="left" w:pos="2268"/>
        </w:tabs>
        <w:spacing w:before="120" w:after="120"/>
        <w:jc w:val="both"/>
        <w:rPr>
          <w:rFonts w:ascii="Arial" w:hAnsi="Arial" w:cs="Arial"/>
          <w:sz w:val="22"/>
          <w:szCs w:val="22"/>
        </w:rPr>
      </w:pPr>
      <w:r w:rsidRPr="0001502D">
        <w:rPr>
          <w:rFonts w:ascii="Arial" w:hAnsi="Arial" w:cs="Arial"/>
          <w:sz w:val="22"/>
          <w:szCs w:val="22"/>
        </w:rPr>
        <w:t>Le Comité,</w:t>
      </w:r>
    </w:p>
    <w:p w14:paraId="517D5739" w14:textId="59F5504A" w:rsidR="0001502D" w:rsidRPr="0001502D" w:rsidRDefault="0001502D" w:rsidP="00771F30">
      <w:pPr>
        <w:numPr>
          <w:ilvl w:val="1"/>
          <w:numId w:val="27"/>
        </w:numPr>
        <w:tabs>
          <w:tab w:val="left" w:pos="567"/>
          <w:tab w:val="left" w:pos="1701"/>
          <w:tab w:val="left" w:pos="2268"/>
        </w:tabs>
        <w:spacing w:before="120" w:after="120"/>
        <w:jc w:val="both"/>
        <w:rPr>
          <w:rFonts w:ascii="Arial" w:hAnsi="Arial" w:cs="Arial"/>
          <w:sz w:val="22"/>
          <w:szCs w:val="22"/>
          <w:lang w:eastAsia="ko-KR"/>
        </w:rPr>
      </w:pPr>
      <w:r w:rsidRPr="0001502D">
        <w:rPr>
          <w:rFonts w:ascii="Arial" w:hAnsi="Arial" w:cs="Arial"/>
          <w:sz w:val="22"/>
          <w:szCs w:val="22"/>
          <w:u w:val="single"/>
          <w:lang w:eastAsia="ko-KR"/>
        </w:rPr>
        <w:t>Prend note</w:t>
      </w:r>
      <w:r w:rsidRPr="0001502D">
        <w:rPr>
          <w:rFonts w:ascii="Arial" w:hAnsi="Arial" w:cs="Arial"/>
          <w:sz w:val="22"/>
          <w:szCs w:val="22"/>
          <w:lang w:eastAsia="ko-KR"/>
        </w:rPr>
        <w:t xml:space="preserve"> que la Mongolie a proposé la candidature </w:t>
      </w:r>
      <w:r w:rsidRPr="0001502D">
        <w:rPr>
          <w:rFonts w:ascii="Arial" w:hAnsi="Arial" w:cs="Arial"/>
          <w:b/>
          <w:sz w:val="22"/>
          <w:szCs w:val="22"/>
          <w:lang w:eastAsia="ko-KR"/>
        </w:rPr>
        <w:t>du procédé traditionnel de préparation de l</w:t>
      </w:r>
      <w:r w:rsidR="009C104E">
        <w:rPr>
          <w:rFonts w:ascii="Arial" w:hAnsi="Arial" w:cs="Arial"/>
          <w:b/>
          <w:sz w:val="22"/>
          <w:szCs w:val="22"/>
          <w:lang w:eastAsia="ko-KR"/>
        </w:rPr>
        <w:t>’</w:t>
      </w:r>
      <w:r w:rsidRPr="0001502D">
        <w:rPr>
          <w:rFonts w:ascii="Arial" w:hAnsi="Arial" w:cs="Arial"/>
          <w:b/>
          <w:sz w:val="22"/>
          <w:szCs w:val="22"/>
          <w:lang w:eastAsia="ko-KR"/>
        </w:rPr>
        <w:t>aïrag dans un khokhuur et des coutumes associées</w:t>
      </w:r>
      <w:r w:rsidRPr="0001502D">
        <w:rPr>
          <w:rFonts w:ascii="Arial" w:hAnsi="Arial" w:cs="Arial"/>
          <w:sz w:val="22"/>
          <w:szCs w:val="22"/>
          <w:lang w:eastAsia="ko-KR"/>
        </w:rPr>
        <w:t xml:space="preserve"> (n° 01172) pour inscription sur la Liste représentative du patrimoine culturel immatériel de l</w:t>
      </w:r>
      <w:r w:rsidR="009C104E">
        <w:rPr>
          <w:rFonts w:ascii="Arial" w:hAnsi="Arial" w:cs="Arial"/>
          <w:sz w:val="22"/>
          <w:szCs w:val="22"/>
          <w:lang w:eastAsia="ko-KR"/>
        </w:rPr>
        <w:t>’</w:t>
      </w:r>
      <w:r w:rsidRPr="0001502D">
        <w:rPr>
          <w:rFonts w:ascii="Arial" w:hAnsi="Arial" w:cs="Arial"/>
          <w:sz w:val="22"/>
          <w:szCs w:val="22"/>
          <w:lang w:eastAsia="ko-KR"/>
        </w:rPr>
        <w:t>humanité :</w:t>
      </w:r>
    </w:p>
    <w:p w14:paraId="508803BE" w14:textId="365DA066" w:rsidR="0001502D" w:rsidRPr="0001502D" w:rsidRDefault="0001502D" w:rsidP="007B23DE">
      <w:pPr>
        <w:tabs>
          <w:tab w:val="left" w:pos="567"/>
          <w:tab w:val="left" w:pos="1701"/>
          <w:tab w:val="left" w:pos="2268"/>
        </w:tabs>
        <w:spacing w:before="120" w:after="120"/>
        <w:ind w:left="567"/>
        <w:jc w:val="both"/>
        <w:rPr>
          <w:rFonts w:ascii="Arial" w:hAnsi="Arial" w:cs="Arial"/>
          <w:sz w:val="22"/>
          <w:szCs w:val="22"/>
        </w:rPr>
      </w:pPr>
      <w:r w:rsidRPr="0001502D">
        <w:rPr>
          <w:rFonts w:ascii="Arial" w:hAnsi="Arial" w:cs="Arial"/>
          <w:sz w:val="22"/>
          <w:szCs w:val="22"/>
        </w:rPr>
        <w:t>Le procédé traditionnel de préparation de l</w:t>
      </w:r>
      <w:r w:rsidR="009C104E">
        <w:rPr>
          <w:rFonts w:ascii="Arial" w:hAnsi="Arial" w:cs="Arial"/>
          <w:sz w:val="22"/>
          <w:szCs w:val="22"/>
        </w:rPr>
        <w:t>’</w:t>
      </w:r>
      <w:r w:rsidRPr="0001502D">
        <w:rPr>
          <w:rFonts w:ascii="Arial" w:hAnsi="Arial" w:cs="Arial"/>
          <w:sz w:val="22"/>
          <w:szCs w:val="22"/>
        </w:rPr>
        <w:t>aïrag dans un khokhuur et les coutumes associées englobent la méthode traditionnelle de préparation de l</w:t>
      </w:r>
      <w:r w:rsidR="009C104E">
        <w:rPr>
          <w:rFonts w:ascii="Arial" w:hAnsi="Arial" w:cs="Arial"/>
          <w:sz w:val="22"/>
          <w:szCs w:val="22"/>
        </w:rPr>
        <w:t>’</w:t>
      </w:r>
      <w:r w:rsidRPr="0001502D">
        <w:rPr>
          <w:rFonts w:ascii="Arial" w:hAnsi="Arial" w:cs="Arial"/>
          <w:sz w:val="22"/>
          <w:szCs w:val="22"/>
        </w:rPr>
        <w:t>aïrag – une boisson fermentée à base de lait de jument – et le matériel nécessaire à celle-ci, tel que le khokhuur (récipient en peau de vache), le buluur (spatule) et le khovoo (moule), ainsi que les coutumes sociales et les rituels associés. Le procédé basique de préparation de l</w:t>
      </w:r>
      <w:r w:rsidR="009C104E">
        <w:rPr>
          <w:rFonts w:ascii="Arial" w:hAnsi="Arial" w:cs="Arial"/>
          <w:sz w:val="22"/>
          <w:szCs w:val="22"/>
        </w:rPr>
        <w:t>’</w:t>
      </w:r>
      <w:r w:rsidRPr="0001502D">
        <w:rPr>
          <w:rFonts w:ascii="Arial" w:hAnsi="Arial" w:cs="Arial"/>
          <w:sz w:val="22"/>
          <w:szCs w:val="22"/>
        </w:rPr>
        <w:t>aïrag consiste à traire les juments et à laisser refroidir le lait frais, puis à le battre régulièrement (environ 500 fois) après l</w:t>
      </w:r>
      <w:r w:rsidR="009C104E">
        <w:rPr>
          <w:rFonts w:ascii="Arial" w:hAnsi="Arial" w:cs="Arial"/>
          <w:sz w:val="22"/>
          <w:szCs w:val="22"/>
        </w:rPr>
        <w:t>’</w:t>
      </w:r>
      <w:r w:rsidRPr="0001502D">
        <w:rPr>
          <w:rFonts w:ascii="Arial" w:hAnsi="Arial" w:cs="Arial"/>
          <w:sz w:val="22"/>
          <w:szCs w:val="22"/>
        </w:rPr>
        <w:t>avoir versé dans un khokhuur contenant un reste d</w:t>
      </w:r>
      <w:r w:rsidR="009C104E">
        <w:rPr>
          <w:rFonts w:ascii="Arial" w:hAnsi="Arial" w:cs="Arial"/>
          <w:sz w:val="22"/>
          <w:szCs w:val="22"/>
        </w:rPr>
        <w:t>’</w:t>
      </w:r>
      <w:r w:rsidRPr="0001502D">
        <w:rPr>
          <w:rFonts w:ascii="Arial" w:hAnsi="Arial" w:cs="Arial"/>
          <w:sz w:val="22"/>
          <w:szCs w:val="22"/>
        </w:rPr>
        <w:t>aïrag, ce qui facilite la fermentation. Le khokhuur et le matériel associé sont fabriqués par des personnes qui possèdent des connaissances et savoir-faire séculaires, et les compétences nécessaires à la préparation et à la conservation des ferments lactiques sont également très importantes. Boisson nutritive et facile à digérer, l</w:t>
      </w:r>
      <w:r w:rsidR="009C104E">
        <w:rPr>
          <w:rFonts w:ascii="Arial" w:hAnsi="Arial" w:cs="Arial"/>
          <w:sz w:val="22"/>
          <w:szCs w:val="22"/>
        </w:rPr>
        <w:t>’</w:t>
      </w:r>
      <w:r w:rsidRPr="0001502D">
        <w:rPr>
          <w:rFonts w:ascii="Arial" w:hAnsi="Arial" w:cs="Arial"/>
          <w:sz w:val="22"/>
          <w:szCs w:val="22"/>
        </w:rPr>
        <w:t>aïrag est un élément important de l</w:t>
      </w:r>
      <w:r w:rsidR="009C104E">
        <w:rPr>
          <w:rFonts w:ascii="Arial" w:hAnsi="Arial" w:cs="Arial"/>
          <w:sz w:val="22"/>
          <w:szCs w:val="22"/>
        </w:rPr>
        <w:t>’</w:t>
      </w:r>
      <w:r w:rsidRPr="0001502D">
        <w:rPr>
          <w:rFonts w:ascii="Arial" w:hAnsi="Arial" w:cs="Arial"/>
          <w:sz w:val="22"/>
          <w:szCs w:val="22"/>
        </w:rPr>
        <w:t>alimentation quotidienne des Mongols ; il s</w:t>
      </w:r>
      <w:r w:rsidR="009C104E">
        <w:rPr>
          <w:rFonts w:ascii="Arial" w:hAnsi="Arial" w:cs="Arial"/>
          <w:sz w:val="22"/>
          <w:szCs w:val="22"/>
        </w:rPr>
        <w:t>’</w:t>
      </w:r>
      <w:r w:rsidRPr="0001502D">
        <w:rPr>
          <w:rFonts w:ascii="Arial" w:hAnsi="Arial" w:cs="Arial"/>
          <w:sz w:val="22"/>
          <w:szCs w:val="22"/>
        </w:rPr>
        <w:t>est également avéré être efficace dans le traitement de certaines maladies. L</w:t>
      </w:r>
      <w:r w:rsidR="009C104E">
        <w:rPr>
          <w:rFonts w:ascii="Arial" w:hAnsi="Arial" w:cs="Arial"/>
          <w:sz w:val="22"/>
          <w:szCs w:val="22"/>
        </w:rPr>
        <w:t>’</w:t>
      </w:r>
      <w:r w:rsidRPr="0001502D">
        <w:rPr>
          <w:rFonts w:ascii="Arial" w:hAnsi="Arial" w:cs="Arial"/>
          <w:sz w:val="22"/>
          <w:szCs w:val="22"/>
        </w:rPr>
        <w:t>aïrag joue également un rôle essentiel en tant que boisson symbolique dans la vie quotidienne des éleveurs ainsi qu</w:t>
      </w:r>
      <w:r w:rsidR="009C104E">
        <w:rPr>
          <w:rFonts w:ascii="Arial" w:hAnsi="Arial" w:cs="Arial"/>
          <w:sz w:val="22"/>
          <w:szCs w:val="22"/>
        </w:rPr>
        <w:t>’</w:t>
      </w:r>
      <w:r w:rsidRPr="0001502D">
        <w:rPr>
          <w:rFonts w:ascii="Arial" w:hAnsi="Arial" w:cs="Arial"/>
          <w:sz w:val="22"/>
          <w:szCs w:val="22"/>
        </w:rPr>
        <w:t>à l</w:t>
      </w:r>
      <w:r w:rsidR="009C104E">
        <w:rPr>
          <w:rFonts w:ascii="Arial" w:hAnsi="Arial" w:cs="Arial"/>
          <w:sz w:val="22"/>
          <w:szCs w:val="22"/>
        </w:rPr>
        <w:t>’</w:t>
      </w:r>
      <w:r w:rsidRPr="0001502D">
        <w:rPr>
          <w:rFonts w:ascii="Arial" w:hAnsi="Arial" w:cs="Arial"/>
          <w:sz w:val="22"/>
          <w:szCs w:val="22"/>
        </w:rPr>
        <w:t>occasion des célébrations sociales : il est consommé comme boisson clé bénite lors de diverses festivités, et est utilisé pour des offrandes et des bénédictions rituelles. Les détenteurs et praticiens héritent des pratiques traditionnelles et des connaissances de leurs parents, ce qui a permis de perpétuer cette tradition depuis des milliers d</w:t>
      </w:r>
      <w:r w:rsidR="009C104E">
        <w:rPr>
          <w:rFonts w:ascii="Arial" w:hAnsi="Arial" w:cs="Arial"/>
          <w:sz w:val="22"/>
          <w:szCs w:val="22"/>
        </w:rPr>
        <w:t>’</w:t>
      </w:r>
      <w:r w:rsidRPr="0001502D">
        <w:rPr>
          <w:rFonts w:ascii="Arial" w:hAnsi="Arial" w:cs="Arial"/>
          <w:sz w:val="22"/>
          <w:szCs w:val="22"/>
        </w:rPr>
        <w:t>années.</w:t>
      </w:r>
    </w:p>
    <w:p w14:paraId="0D04684B" w14:textId="28D3ACE8" w:rsidR="0001502D" w:rsidRPr="0001502D" w:rsidRDefault="0001502D" w:rsidP="00771F30">
      <w:pPr>
        <w:keepNext/>
        <w:numPr>
          <w:ilvl w:val="1"/>
          <w:numId w:val="27"/>
        </w:numPr>
        <w:tabs>
          <w:tab w:val="left" w:pos="567"/>
          <w:tab w:val="left" w:pos="1701"/>
          <w:tab w:val="left" w:pos="2268"/>
        </w:tabs>
        <w:spacing w:before="120" w:after="120"/>
        <w:jc w:val="both"/>
        <w:rPr>
          <w:rFonts w:ascii="Arial" w:hAnsi="Arial" w:cs="Arial"/>
          <w:sz w:val="22"/>
          <w:szCs w:val="22"/>
          <w:lang w:eastAsia="ko-KR"/>
        </w:rPr>
      </w:pPr>
      <w:r w:rsidRPr="0001502D">
        <w:rPr>
          <w:rFonts w:ascii="Arial" w:hAnsi="Arial" w:cs="Arial"/>
          <w:sz w:val="22"/>
          <w:szCs w:val="22"/>
          <w:u w:val="single"/>
          <w:lang w:eastAsia="ko-KR"/>
        </w:rPr>
        <w:t>Estime</w:t>
      </w:r>
      <w:r w:rsidRPr="0001502D">
        <w:rPr>
          <w:rFonts w:ascii="Arial" w:hAnsi="Arial" w:cs="Arial"/>
          <w:sz w:val="22"/>
          <w:szCs w:val="22"/>
          <w:lang w:eastAsia="ko-KR"/>
        </w:rPr>
        <w:t xml:space="preserve"> que, d</w:t>
      </w:r>
      <w:r w:rsidR="009C104E">
        <w:rPr>
          <w:rFonts w:ascii="Arial" w:hAnsi="Arial" w:cs="Arial"/>
          <w:sz w:val="22"/>
          <w:szCs w:val="22"/>
          <w:lang w:eastAsia="ko-KR"/>
        </w:rPr>
        <w:t>’</w:t>
      </w:r>
      <w:r w:rsidRPr="0001502D">
        <w:rPr>
          <w:rFonts w:ascii="Arial" w:hAnsi="Arial" w:cs="Arial"/>
          <w:sz w:val="22"/>
          <w:szCs w:val="22"/>
          <w:lang w:eastAsia="ko-KR"/>
        </w:rPr>
        <w:t>après les informations contenues dans le dossier, la candidature satisfait aux critères d</w:t>
      </w:r>
      <w:r w:rsidR="009C104E">
        <w:rPr>
          <w:rFonts w:ascii="Arial" w:hAnsi="Arial" w:cs="Arial"/>
          <w:sz w:val="22"/>
          <w:szCs w:val="22"/>
          <w:lang w:eastAsia="ko-KR"/>
        </w:rPr>
        <w:t>’</w:t>
      </w:r>
      <w:r w:rsidRPr="0001502D">
        <w:rPr>
          <w:rFonts w:ascii="Arial" w:hAnsi="Arial" w:cs="Arial"/>
          <w:sz w:val="22"/>
          <w:szCs w:val="22"/>
          <w:lang w:eastAsia="ko-KR"/>
        </w:rPr>
        <w:t>inscription sur la Liste représentative du patrimoine culturel immatériel de l</w:t>
      </w:r>
      <w:r w:rsidR="009C104E">
        <w:rPr>
          <w:rFonts w:ascii="Arial" w:hAnsi="Arial" w:cs="Arial"/>
          <w:sz w:val="22"/>
          <w:szCs w:val="22"/>
          <w:lang w:eastAsia="ko-KR"/>
        </w:rPr>
        <w:t>’</w:t>
      </w:r>
      <w:r w:rsidRPr="0001502D">
        <w:rPr>
          <w:rFonts w:ascii="Arial" w:hAnsi="Arial" w:cs="Arial"/>
          <w:sz w:val="22"/>
          <w:szCs w:val="22"/>
          <w:lang w:eastAsia="ko-KR"/>
        </w:rPr>
        <w:t>humanité comme suit :</w:t>
      </w:r>
    </w:p>
    <w:p w14:paraId="7D21B7AB" w14:textId="545D7F54" w:rsidR="0001502D" w:rsidRPr="0001502D" w:rsidRDefault="0001502D" w:rsidP="007B23DE">
      <w:pPr>
        <w:tabs>
          <w:tab w:val="left" w:pos="1134"/>
          <w:tab w:val="left" w:pos="2268"/>
        </w:tabs>
        <w:spacing w:before="120" w:after="120"/>
        <w:ind w:left="1134" w:hanging="555"/>
        <w:jc w:val="both"/>
        <w:rPr>
          <w:rFonts w:ascii="Arial" w:hAnsi="Arial" w:cs="Arial"/>
          <w:sz w:val="22"/>
          <w:szCs w:val="22"/>
        </w:rPr>
      </w:pPr>
      <w:r w:rsidRPr="0001502D">
        <w:rPr>
          <w:rFonts w:ascii="Arial" w:hAnsi="Arial" w:cs="Arial"/>
          <w:sz w:val="22"/>
          <w:szCs w:val="22"/>
        </w:rPr>
        <w:t xml:space="preserve">R.1 : </w:t>
      </w:r>
      <w:r w:rsidRPr="0001502D">
        <w:rPr>
          <w:rFonts w:ascii="Arial" w:hAnsi="Arial" w:cs="Arial"/>
          <w:sz w:val="22"/>
          <w:szCs w:val="22"/>
        </w:rPr>
        <w:tab/>
        <w:t>Le procédé traditionnel de préparation de l</w:t>
      </w:r>
      <w:r w:rsidR="009C104E">
        <w:rPr>
          <w:rFonts w:ascii="Arial" w:hAnsi="Arial" w:cs="Arial"/>
          <w:sz w:val="22"/>
          <w:szCs w:val="22"/>
        </w:rPr>
        <w:t>’</w:t>
      </w:r>
      <w:r w:rsidRPr="0001502D">
        <w:rPr>
          <w:rFonts w:ascii="Arial" w:hAnsi="Arial" w:cs="Arial"/>
          <w:sz w:val="22"/>
          <w:szCs w:val="22"/>
        </w:rPr>
        <w:t>aïrag et les coutumes associées véhiculent des informations socioculturelles qui reflètent et expliquent les caractéristiques essentielles des relations sociales des communautés d</w:t>
      </w:r>
      <w:r w:rsidR="009C104E">
        <w:rPr>
          <w:rFonts w:ascii="Arial" w:hAnsi="Arial" w:cs="Arial"/>
          <w:sz w:val="22"/>
          <w:szCs w:val="22"/>
        </w:rPr>
        <w:t>’</w:t>
      </w:r>
      <w:r w:rsidRPr="0001502D">
        <w:rPr>
          <w:rFonts w:ascii="Arial" w:hAnsi="Arial" w:cs="Arial"/>
          <w:sz w:val="22"/>
          <w:szCs w:val="22"/>
        </w:rPr>
        <w:t>éleveurs. Considéré comme un symbole de bonheur, l</w:t>
      </w:r>
      <w:r w:rsidR="009C104E">
        <w:rPr>
          <w:rFonts w:ascii="Arial" w:hAnsi="Arial" w:cs="Arial"/>
          <w:sz w:val="22"/>
          <w:szCs w:val="22"/>
        </w:rPr>
        <w:t>’</w:t>
      </w:r>
      <w:r w:rsidRPr="0001502D">
        <w:rPr>
          <w:rFonts w:ascii="Arial" w:hAnsi="Arial" w:cs="Arial"/>
          <w:sz w:val="22"/>
          <w:szCs w:val="22"/>
        </w:rPr>
        <w:t>aïrag est clairement associé à l</w:t>
      </w:r>
      <w:r w:rsidR="009C104E">
        <w:rPr>
          <w:rFonts w:ascii="Arial" w:hAnsi="Arial" w:cs="Arial"/>
          <w:sz w:val="22"/>
          <w:szCs w:val="22"/>
        </w:rPr>
        <w:t>’</w:t>
      </w:r>
      <w:r w:rsidRPr="0001502D">
        <w:rPr>
          <w:rFonts w:ascii="Arial" w:hAnsi="Arial" w:cs="Arial"/>
          <w:sz w:val="22"/>
          <w:szCs w:val="22"/>
        </w:rPr>
        <w:t>identité culturelle de la nation mongole : il renforce la cohésion entre les membres de la société et est un important symbole de solidarité.</w:t>
      </w:r>
    </w:p>
    <w:p w14:paraId="119024B1" w14:textId="309F8203" w:rsidR="0001502D" w:rsidRPr="0001502D" w:rsidRDefault="0001502D" w:rsidP="007B23DE">
      <w:pPr>
        <w:tabs>
          <w:tab w:val="left" w:pos="1134"/>
          <w:tab w:val="left" w:pos="2268"/>
        </w:tabs>
        <w:spacing w:before="120" w:after="120"/>
        <w:ind w:left="1134" w:hanging="555"/>
        <w:jc w:val="both"/>
        <w:rPr>
          <w:rFonts w:ascii="Arial" w:hAnsi="Arial" w:cs="Arial"/>
          <w:sz w:val="22"/>
          <w:szCs w:val="22"/>
        </w:rPr>
      </w:pPr>
      <w:r w:rsidRPr="0001502D">
        <w:rPr>
          <w:rFonts w:ascii="Arial" w:hAnsi="Arial" w:cs="Arial"/>
          <w:sz w:val="22"/>
          <w:szCs w:val="22"/>
        </w:rPr>
        <w:t xml:space="preserve">R.2 : </w:t>
      </w:r>
      <w:r w:rsidRPr="0001502D">
        <w:rPr>
          <w:rFonts w:ascii="Arial" w:hAnsi="Arial" w:cs="Arial"/>
          <w:sz w:val="22"/>
          <w:szCs w:val="22"/>
        </w:rPr>
        <w:tab/>
        <w:t>L</w:t>
      </w:r>
      <w:r w:rsidR="009C104E">
        <w:rPr>
          <w:rFonts w:ascii="Arial" w:hAnsi="Arial" w:cs="Arial"/>
          <w:sz w:val="22"/>
          <w:szCs w:val="22"/>
        </w:rPr>
        <w:t>’</w:t>
      </w:r>
      <w:r w:rsidRPr="0001502D">
        <w:rPr>
          <w:rFonts w:ascii="Arial" w:hAnsi="Arial" w:cs="Arial"/>
          <w:sz w:val="22"/>
          <w:szCs w:val="22"/>
        </w:rPr>
        <w:t>inscription du procédé traditionnel de préparation de l</w:t>
      </w:r>
      <w:r w:rsidR="009C104E">
        <w:rPr>
          <w:rFonts w:ascii="Arial" w:hAnsi="Arial" w:cs="Arial"/>
          <w:sz w:val="22"/>
          <w:szCs w:val="22"/>
        </w:rPr>
        <w:t>’</w:t>
      </w:r>
      <w:r w:rsidRPr="0001502D">
        <w:rPr>
          <w:rFonts w:ascii="Arial" w:hAnsi="Arial" w:cs="Arial"/>
          <w:sz w:val="22"/>
          <w:szCs w:val="22"/>
        </w:rPr>
        <w:t>aïrag dans un khokhuur et les coutumes associées permettrait d</w:t>
      </w:r>
      <w:r w:rsidR="009C104E">
        <w:rPr>
          <w:rFonts w:ascii="Arial" w:hAnsi="Arial" w:cs="Arial"/>
          <w:sz w:val="22"/>
          <w:szCs w:val="22"/>
        </w:rPr>
        <w:t>’</w:t>
      </w:r>
      <w:r w:rsidRPr="0001502D">
        <w:rPr>
          <w:rFonts w:ascii="Arial" w:hAnsi="Arial" w:cs="Arial"/>
          <w:sz w:val="22"/>
          <w:szCs w:val="22"/>
        </w:rPr>
        <w:t>accroître la visibilité et la sensibilisation au patrimoine culturel immatériel associé à la culture nomade, en reconnaissant sa contribution à la diversité culturelle et à la créativité et en facilitant un dialogue positif entre les communautés nomades, mais aussi entre les éleveurs nomades et les communautés urbaines. De plus, la tradition du pastoralisme nomade, l</w:t>
      </w:r>
      <w:r w:rsidR="009C104E">
        <w:rPr>
          <w:rFonts w:ascii="Arial" w:hAnsi="Arial" w:cs="Arial"/>
          <w:sz w:val="22"/>
          <w:szCs w:val="22"/>
        </w:rPr>
        <w:t>’</w:t>
      </w:r>
      <w:r w:rsidRPr="0001502D">
        <w:rPr>
          <w:rFonts w:ascii="Arial" w:hAnsi="Arial" w:cs="Arial"/>
          <w:sz w:val="22"/>
          <w:szCs w:val="22"/>
        </w:rPr>
        <w:t>élevage de chevaux et la préparation de l</w:t>
      </w:r>
      <w:r w:rsidR="009C104E">
        <w:rPr>
          <w:rFonts w:ascii="Arial" w:hAnsi="Arial" w:cs="Arial"/>
          <w:sz w:val="22"/>
          <w:szCs w:val="22"/>
        </w:rPr>
        <w:t>’</w:t>
      </w:r>
      <w:r w:rsidRPr="0001502D">
        <w:rPr>
          <w:rFonts w:ascii="Arial" w:hAnsi="Arial" w:cs="Arial"/>
          <w:sz w:val="22"/>
          <w:szCs w:val="22"/>
        </w:rPr>
        <w:t>aïrag peuvent apporter de précieuses informations sur les pratiques relatives à la préservation de la nature, sans nuire toutefois à l</w:t>
      </w:r>
      <w:r w:rsidR="009C104E">
        <w:rPr>
          <w:rFonts w:ascii="Arial" w:hAnsi="Arial" w:cs="Arial"/>
          <w:sz w:val="22"/>
          <w:szCs w:val="22"/>
        </w:rPr>
        <w:t>’</w:t>
      </w:r>
      <w:r w:rsidRPr="0001502D">
        <w:rPr>
          <w:rFonts w:ascii="Arial" w:hAnsi="Arial" w:cs="Arial"/>
          <w:sz w:val="22"/>
          <w:szCs w:val="22"/>
        </w:rPr>
        <w:t>environnement.</w:t>
      </w:r>
    </w:p>
    <w:p w14:paraId="61DC60A8" w14:textId="0C8C3913" w:rsidR="0001502D" w:rsidRPr="0001502D" w:rsidRDefault="0001502D" w:rsidP="007B23DE">
      <w:pPr>
        <w:tabs>
          <w:tab w:val="left" w:pos="1134"/>
          <w:tab w:val="left" w:pos="2268"/>
        </w:tabs>
        <w:spacing w:before="120" w:after="120"/>
        <w:ind w:left="1134" w:hanging="555"/>
        <w:jc w:val="both"/>
        <w:rPr>
          <w:rFonts w:ascii="Arial" w:hAnsi="Arial" w:cs="Arial"/>
          <w:sz w:val="22"/>
          <w:szCs w:val="22"/>
        </w:rPr>
      </w:pPr>
      <w:r w:rsidRPr="0001502D">
        <w:rPr>
          <w:rFonts w:ascii="Arial" w:hAnsi="Arial" w:cs="Arial"/>
          <w:sz w:val="22"/>
          <w:szCs w:val="22"/>
        </w:rPr>
        <w:t xml:space="preserve">R.3 : </w:t>
      </w:r>
      <w:r w:rsidRPr="0001502D">
        <w:rPr>
          <w:rFonts w:ascii="Arial" w:hAnsi="Arial" w:cs="Arial"/>
          <w:sz w:val="22"/>
          <w:szCs w:val="22"/>
        </w:rPr>
        <w:tab/>
        <w:t>L</w:t>
      </w:r>
      <w:r w:rsidR="009C104E">
        <w:rPr>
          <w:rFonts w:ascii="Arial" w:hAnsi="Arial" w:cs="Arial"/>
          <w:sz w:val="22"/>
          <w:szCs w:val="22"/>
        </w:rPr>
        <w:t>’</w:t>
      </w:r>
      <w:r w:rsidRPr="0001502D">
        <w:rPr>
          <w:rFonts w:ascii="Arial" w:hAnsi="Arial" w:cs="Arial"/>
          <w:sz w:val="22"/>
          <w:szCs w:val="22"/>
        </w:rPr>
        <w:t>État partie a mis en œuvre différentes activités en étroite coopération avec les municipalités locales et les organisations non gouvernementales, afin de garantir la viabilité de l</w:t>
      </w:r>
      <w:r w:rsidR="009C104E">
        <w:rPr>
          <w:rFonts w:ascii="Arial" w:hAnsi="Arial" w:cs="Arial"/>
          <w:sz w:val="22"/>
          <w:szCs w:val="22"/>
        </w:rPr>
        <w:t>’</w:t>
      </w:r>
      <w:r w:rsidRPr="0001502D">
        <w:rPr>
          <w:rFonts w:ascii="Arial" w:hAnsi="Arial" w:cs="Arial"/>
          <w:sz w:val="22"/>
          <w:szCs w:val="22"/>
        </w:rPr>
        <w:t>élément. Les activités de sauvegarde proposées ont été examinées et planifiées à travers de nombreuses consultations et seront mises en œuvre par des organisations non gouvernementales des communautés en deux phases, entre 2019 et 2025. La première phase portera sur l</w:t>
      </w:r>
      <w:r w:rsidR="009C104E">
        <w:rPr>
          <w:rFonts w:ascii="Arial" w:hAnsi="Arial" w:cs="Arial"/>
          <w:sz w:val="22"/>
          <w:szCs w:val="22"/>
        </w:rPr>
        <w:t>’</w:t>
      </w:r>
      <w:r w:rsidRPr="0001502D">
        <w:rPr>
          <w:rFonts w:ascii="Arial" w:hAnsi="Arial" w:cs="Arial"/>
          <w:sz w:val="22"/>
          <w:szCs w:val="22"/>
        </w:rPr>
        <w:t>élaboration et le lancement d</w:t>
      </w:r>
      <w:r w:rsidR="009C104E">
        <w:rPr>
          <w:rFonts w:ascii="Arial" w:hAnsi="Arial" w:cs="Arial"/>
          <w:sz w:val="22"/>
          <w:szCs w:val="22"/>
        </w:rPr>
        <w:t>’</w:t>
      </w:r>
      <w:r w:rsidRPr="0001502D">
        <w:rPr>
          <w:rFonts w:ascii="Arial" w:hAnsi="Arial" w:cs="Arial"/>
          <w:sz w:val="22"/>
          <w:szCs w:val="22"/>
        </w:rPr>
        <w:t>un programme durable visant à sauvegarder, promouvoir, étudier, faire connaître et transmettre l</w:t>
      </w:r>
      <w:r w:rsidR="009C104E">
        <w:rPr>
          <w:rFonts w:ascii="Arial" w:hAnsi="Arial" w:cs="Arial"/>
          <w:sz w:val="22"/>
          <w:szCs w:val="22"/>
        </w:rPr>
        <w:t>’</w:t>
      </w:r>
      <w:r w:rsidRPr="0001502D">
        <w:rPr>
          <w:rFonts w:ascii="Arial" w:hAnsi="Arial" w:cs="Arial"/>
          <w:sz w:val="22"/>
          <w:szCs w:val="22"/>
        </w:rPr>
        <w:t>élément. La deuxième phase mettra en place les conditions pour renforcer son statut parmi les autres éléments culturels de la Liste représentative nationale du patrimoine culturel, afin d</w:t>
      </w:r>
      <w:r w:rsidR="009C104E">
        <w:rPr>
          <w:rFonts w:ascii="Arial" w:hAnsi="Arial" w:cs="Arial"/>
          <w:sz w:val="22"/>
          <w:szCs w:val="22"/>
        </w:rPr>
        <w:t>’</w:t>
      </w:r>
      <w:r w:rsidRPr="0001502D">
        <w:rPr>
          <w:rFonts w:ascii="Arial" w:hAnsi="Arial" w:cs="Arial"/>
          <w:sz w:val="22"/>
          <w:szCs w:val="22"/>
        </w:rPr>
        <w:t>en faire un secteur important de l</w:t>
      </w:r>
      <w:r w:rsidR="009C104E">
        <w:rPr>
          <w:rFonts w:ascii="Arial" w:hAnsi="Arial" w:cs="Arial"/>
          <w:sz w:val="22"/>
          <w:szCs w:val="22"/>
        </w:rPr>
        <w:t>’</w:t>
      </w:r>
      <w:r w:rsidRPr="0001502D">
        <w:rPr>
          <w:rFonts w:ascii="Arial" w:hAnsi="Arial" w:cs="Arial"/>
          <w:sz w:val="22"/>
          <w:szCs w:val="22"/>
        </w:rPr>
        <w:t>industrie culturelle.</w:t>
      </w:r>
    </w:p>
    <w:p w14:paraId="5E74FC60" w14:textId="26FEA92B" w:rsidR="0001502D" w:rsidRPr="0001502D" w:rsidRDefault="0001502D" w:rsidP="007B23DE">
      <w:pPr>
        <w:tabs>
          <w:tab w:val="left" w:pos="1134"/>
          <w:tab w:val="left" w:pos="2268"/>
        </w:tabs>
        <w:spacing w:before="120" w:after="120"/>
        <w:ind w:left="1134" w:hanging="555"/>
        <w:jc w:val="both"/>
        <w:rPr>
          <w:rFonts w:ascii="Arial" w:hAnsi="Arial" w:cs="Arial"/>
          <w:sz w:val="22"/>
          <w:szCs w:val="22"/>
        </w:rPr>
      </w:pPr>
      <w:r w:rsidRPr="0001502D">
        <w:rPr>
          <w:rFonts w:ascii="Arial" w:hAnsi="Arial" w:cs="Arial"/>
          <w:sz w:val="22"/>
          <w:szCs w:val="22"/>
        </w:rPr>
        <w:t xml:space="preserve">R.4 : </w:t>
      </w:r>
      <w:r w:rsidRPr="0001502D">
        <w:rPr>
          <w:rFonts w:ascii="Arial" w:hAnsi="Arial" w:cs="Arial"/>
          <w:sz w:val="22"/>
          <w:szCs w:val="22"/>
        </w:rPr>
        <w:tab/>
        <w:t>Ce dossier de candidature est le résultat de cinq années de travail. Les procédures adoptées pour la préparation du dossier ont été largement discutées entre les détenteurs, les chercheurs, les groupes et les communautés concernés. Les gouvernements locaux et les communautés concernées ont préparé ensemble le dossier de candidature et ses annexes, dès les premières étapes de préparation de la candidature. Les documents soumis sont le résultat et l</w:t>
      </w:r>
      <w:r w:rsidR="009C104E">
        <w:rPr>
          <w:rFonts w:ascii="Arial" w:hAnsi="Arial" w:cs="Arial"/>
          <w:sz w:val="22"/>
          <w:szCs w:val="22"/>
        </w:rPr>
        <w:t>’</w:t>
      </w:r>
      <w:r w:rsidRPr="0001502D">
        <w:rPr>
          <w:rFonts w:ascii="Arial" w:hAnsi="Arial" w:cs="Arial"/>
          <w:sz w:val="22"/>
          <w:szCs w:val="22"/>
        </w:rPr>
        <w:t>expression du travail collaboratif de toutes les parties prenantes.</w:t>
      </w:r>
    </w:p>
    <w:p w14:paraId="4902C591" w14:textId="770B4AA7" w:rsidR="0001502D" w:rsidRPr="0001502D" w:rsidRDefault="0001502D" w:rsidP="007B23DE">
      <w:pPr>
        <w:tabs>
          <w:tab w:val="left" w:pos="1134"/>
          <w:tab w:val="left" w:pos="2268"/>
        </w:tabs>
        <w:spacing w:before="120" w:after="120"/>
        <w:ind w:left="1134" w:hanging="555"/>
        <w:jc w:val="both"/>
        <w:rPr>
          <w:rFonts w:ascii="Arial" w:hAnsi="Arial" w:cs="Arial"/>
          <w:sz w:val="22"/>
          <w:szCs w:val="22"/>
        </w:rPr>
      </w:pPr>
      <w:r w:rsidRPr="0001502D">
        <w:rPr>
          <w:rFonts w:ascii="Arial" w:hAnsi="Arial" w:cs="Arial"/>
          <w:sz w:val="22"/>
          <w:szCs w:val="22"/>
        </w:rPr>
        <w:t xml:space="preserve">R.5 : </w:t>
      </w:r>
      <w:r w:rsidRPr="0001502D">
        <w:rPr>
          <w:rFonts w:ascii="Arial" w:hAnsi="Arial" w:cs="Arial"/>
          <w:sz w:val="22"/>
          <w:szCs w:val="22"/>
        </w:rPr>
        <w:tab/>
        <w:t>L</w:t>
      </w:r>
      <w:r w:rsidR="009C104E">
        <w:rPr>
          <w:rFonts w:ascii="Arial" w:hAnsi="Arial" w:cs="Arial"/>
          <w:sz w:val="22"/>
          <w:szCs w:val="22"/>
        </w:rPr>
        <w:t>’</w:t>
      </w:r>
      <w:r w:rsidRPr="0001502D">
        <w:rPr>
          <w:rFonts w:ascii="Arial" w:hAnsi="Arial" w:cs="Arial"/>
          <w:sz w:val="22"/>
          <w:szCs w:val="22"/>
        </w:rPr>
        <w:t>élément est inscrit sur la Liste représentative nationale du patrimoine culturel immatériel depuis 2013. Le Centre national pour le patrimoine culturel est l</w:t>
      </w:r>
      <w:r w:rsidR="009C104E">
        <w:rPr>
          <w:rFonts w:ascii="Arial" w:hAnsi="Arial" w:cs="Arial"/>
          <w:sz w:val="22"/>
          <w:szCs w:val="22"/>
        </w:rPr>
        <w:t>’</w:t>
      </w:r>
      <w:r w:rsidRPr="0001502D">
        <w:rPr>
          <w:rFonts w:ascii="Arial" w:hAnsi="Arial" w:cs="Arial"/>
          <w:sz w:val="22"/>
          <w:szCs w:val="22"/>
        </w:rPr>
        <w:t>organisation chargée d</w:t>
      </w:r>
      <w:r w:rsidR="009C104E">
        <w:rPr>
          <w:rFonts w:ascii="Arial" w:hAnsi="Arial" w:cs="Arial"/>
          <w:sz w:val="22"/>
          <w:szCs w:val="22"/>
        </w:rPr>
        <w:t>’</w:t>
      </w:r>
      <w:r w:rsidRPr="0001502D">
        <w:rPr>
          <w:rFonts w:ascii="Arial" w:hAnsi="Arial" w:cs="Arial"/>
          <w:sz w:val="22"/>
          <w:szCs w:val="22"/>
        </w:rPr>
        <w:t>enregistrer, d</w:t>
      </w:r>
      <w:r w:rsidR="009C104E">
        <w:rPr>
          <w:rFonts w:ascii="Arial" w:hAnsi="Arial" w:cs="Arial"/>
          <w:sz w:val="22"/>
          <w:szCs w:val="22"/>
        </w:rPr>
        <w:t>’</w:t>
      </w:r>
      <w:r w:rsidRPr="0001502D">
        <w:rPr>
          <w:rFonts w:ascii="Arial" w:hAnsi="Arial" w:cs="Arial"/>
          <w:sz w:val="22"/>
          <w:szCs w:val="22"/>
        </w:rPr>
        <w:t>informer, de créer et de tenir à jour la base de données et d</w:t>
      </w:r>
      <w:r w:rsidR="009C104E">
        <w:rPr>
          <w:rFonts w:ascii="Arial" w:hAnsi="Arial" w:cs="Arial"/>
          <w:sz w:val="22"/>
          <w:szCs w:val="22"/>
        </w:rPr>
        <w:t>’</w:t>
      </w:r>
      <w:r w:rsidRPr="0001502D">
        <w:rPr>
          <w:rFonts w:ascii="Arial" w:hAnsi="Arial" w:cs="Arial"/>
          <w:sz w:val="22"/>
          <w:szCs w:val="22"/>
        </w:rPr>
        <w:t>organiser l</w:t>
      </w:r>
      <w:r w:rsidR="009C104E">
        <w:rPr>
          <w:rFonts w:ascii="Arial" w:hAnsi="Arial" w:cs="Arial"/>
          <w:sz w:val="22"/>
          <w:szCs w:val="22"/>
        </w:rPr>
        <w:t>’</w:t>
      </w:r>
      <w:r w:rsidRPr="0001502D">
        <w:rPr>
          <w:rFonts w:ascii="Arial" w:hAnsi="Arial" w:cs="Arial"/>
          <w:sz w:val="22"/>
          <w:szCs w:val="22"/>
        </w:rPr>
        <w:t>inventaire du patrimoine culturel immatériel aux niveaux local, régional et national avec l</w:t>
      </w:r>
      <w:r w:rsidR="009C104E">
        <w:rPr>
          <w:rFonts w:ascii="Arial" w:hAnsi="Arial" w:cs="Arial"/>
          <w:sz w:val="22"/>
          <w:szCs w:val="22"/>
        </w:rPr>
        <w:t>’</w:t>
      </w:r>
      <w:r w:rsidRPr="0001502D">
        <w:rPr>
          <w:rFonts w:ascii="Arial" w:hAnsi="Arial" w:cs="Arial"/>
          <w:sz w:val="22"/>
          <w:szCs w:val="22"/>
        </w:rPr>
        <w:t>aide des communautés et des autres organismes concernés. Le gouvernement continue de surveiller et de mettre à jour annuellement la base de données de l</w:t>
      </w:r>
      <w:r w:rsidR="009C104E">
        <w:rPr>
          <w:rFonts w:ascii="Arial" w:hAnsi="Arial" w:cs="Arial"/>
          <w:sz w:val="22"/>
          <w:szCs w:val="22"/>
        </w:rPr>
        <w:t>’</w:t>
      </w:r>
      <w:r w:rsidRPr="0001502D">
        <w:rPr>
          <w:rFonts w:ascii="Arial" w:hAnsi="Arial" w:cs="Arial"/>
          <w:sz w:val="22"/>
          <w:szCs w:val="22"/>
        </w:rPr>
        <w:t>inventaire, avec la participation des communautés, groupes et individus concernés afin de s</w:t>
      </w:r>
      <w:r w:rsidR="009C104E">
        <w:rPr>
          <w:rFonts w:ascii="Arial" w:hAnsi="Arial" w:cs="Arial"/>
          <w:sz w:val="22"/>
          <w:szCs w:val="22"/>
        </w:rPr>
        <w:t>’</w:t>
      </w:r>
      <w:r w:rsidRPr="0001502D">
        <w:rPr>
          <w:rFonts w:ascii="Arial" w:hAnsi="Arial" w:cs="Arial"/>
          <w:sz w:val="22"/>
          <w:szCs w:val="22"/>
        </w:rPr>
        <w:t>assurer qu</w:t>
      </w:r>
      <w:r w:rsidR="009C104E">
        <w:rPr>
          <w:rFonts w:ascii="Arial" w:hAnsi="Arial" w:cs="Arial"/>
          <w:sz w:val="22"/>
          <w:szCs w:val="22"/>
        </w:rPr>
        <w:t>’</w:t>
      </w:r>
      <w:r w:rsidRPr="0001502D">
        <w:rPr>
          <w:rFonts w:ascii="Arial" w:hAnsi="Arial" w:cs="Arial"/>
          <w:sz w:val="22"/>
          <w:szCs w:val="22"/>
        </w:rPr>
        <w:t>il reprend les informations les plus récentes sur le patrimoine culturel immatériel.</w:t>
      </w:r>
    </w:p>
    <w:p w14:paraId="0A622B96" w14:textId="609CD24D" w:rsidR="0001502D" w:rsidRPr="0001502D" w:rsidRDefault="0001502D" w:rsidP="00771F30">
      <w:pPr>
        <w:numPr>
          <w:ilvl w:val="1"/>
          <w:numId w:val="27"/>
        </w:numPr>
        <w:tabs>
          <w:tab w:val="left" w:pos="567"/>
          <w:tab w:val="left" w:pos="1701"/>
          <w:tab w:val="left" w:pos="2268"/>
        </w:tabs>
        <w:spacing w:before="120" w:after="120"/>
        <w:jc w:val="both"/>
        <w:rPr>
          <w:rFonts w:ascii="Arial" w:hAnsi="Arial" w:cs="Arial"/>
          <w:sz w:val="22"/>
          <w:szCs w:val="22"/>
          <w:lang w:eastAsia="ko-KR"/>
        </w:rPr>
      </w:pPr>
      <w:r w:rsidRPr="0001502D">
        <w:rPr>
          <w:rFonts w:ascii="Arial" w:hAnsi="Arial" w:cs="Arial"/>
          <w:sz w:val="22"/>
          <w:szCs w:val="22"/>
          <w:u w:val="single"/>
          <w:lang w:eastAsia="ko-KR"/>
        </w:rPr>
        <w:t>Décide d</w:t>
      </w:r>
      <w:r w:rsidR="009C104E">
        <w:rPr>
          <w:rFonts w:ascii="Arial" w:hAnsi="Arial" w:cs="Arial"/>
          <w:sz w:val="22"/>
          <w:szCs w:val="22"/>
          <w:u w:val="single"/>
          <w:lang w:eastAsia="ko-KR"/>
        </w:rPr>
        <w:t>’</w:t>
      </w:r>
      <w:r w:rsidRPr="0001502D">
        <w:rPr>
          <w:rFonts w:ascii="Arial" w:hAnsi="Arial" w:cs="Arial"/>
          <w:sz w:val="22"/>
          <w:szCs w:val="22"/>
          <w:u w:val="single"/>
          <w:lang w:eastAsia="ko-KR"/>
        </w:rPr>
        <w:t>inscrire</w:t>
      </w:r>
      <w:r w:rsidRPr="0001502D">
        <w:rPr>
          <w:rFonts w:ascii="Arial" w:hAnsi="Arial" w:cs="Arial"/>
          <w:sz w:val="22"/>
          <w:szCs w:val="22"/>
          <w:lang w:eastAsia="ko-KR"/>
        </w:rPr>
        <w:t xml:space="preserve"> </w:t>
      </w:r>
      <w:r w:rsidRPr="0001502D">
        <w:rPr>
          <w:rFonts w:ascii="Arial" w:hAnsi="Arial" w:cs="Arial"/>
          <w:b/>
          <w:sz w:val="22"/>
          <w:szCs w:val="22"/>
          <w:lang w:eastAsia="ko-KR"/>
        </w:rPr>
        <w:t>le procédé traditionnel de préparation de l</w:t>
      </w:r>
      <w:r w:rsidR="009C104E">
        <w:rPr>
          <w:rFonts w:ascii="Arial" w:hAnsi="Arial" w:cs="Arial"/>
          <w:b/>
          <w:sz w:val="22"/>
          <w:szCs w:val="22"/>
          <w:lang w:eastAsia="ko-KR"/>
        </w:rPr>
        <w:t>’</w:t>
      </w:r>
      <w:r w:rsidRPr="0001502D">
        <w:rPr>
          <w:rFonts w:ascii="Arial" w:hAnsi="Arial" w:cs="Arial"/>
          <w:b/>
          <w:sz w:val="22"/>
          <w:szCs w:val="22"/>
          <w:lang w:eastAsia="ko-KR"/>
        </w:rPr>
        <w:t>aïrag dans un khokhuur et les coutumes associées</w:t>
      </w:r>
      <w:r w:rsidRPr="0001502D">
        <w:rPr>
          <w:rFonts w:ascii="Arial" w:hAnsi="Arial" w:cs="Arial"/>
          <w:sz w:val="22"/>
          <w:szCs w:val="22"/>
          <w:lang w:eastAsia="ko-KR"/>
        </w:rPr>
        <w:t xml:space="preserve"> sur la Liste représentative du patrimoine culturel immatériel de l</w:t>
      </w:r>
      <w:r w:rsidR="009C104E">
        <w:rPr>
          <w:rFonts w:ascii="Arial" w:hAnsi="Arial" w:cs="Arial"/>
          <w:sz w:val="22"/>
          <w:szCs w:val="22"/>
          <w:lang w:eastAsia="ko-KR"/>
        </w:rPr>
        <w:t>’</w:t>
      </w:r>
      <w:r w:rsidRPr="0001502D">
        <w:rPr>
          <w:rFonts w:ascii="Arial" w:hAnsi="Arial" w:cs="Arial"/>
          <w:sz w:val="22"/>
          <w:szCs w:val="22"/>
          <w:lang w:eastAsia="ko-KR"/>
        </w:rPr>
        <w:t>humanité ;</w:t>
      </w:r>
    </w:p>
    <w:p w14:paraId="732EE026" w14:textId="4BD807F0" w:rsidR="0001502D" w:rsidRPr="0001502D" w:rsidRDefault="0001502D" w:rsidP="00771F30">
      <w:pPr>
        <w:numPr>
          <w:ilvl w:val="1"/>
          <w:numId w:val="27"/>
        </w:numPr>
        <w:tabs>
          <w:tab w:val="left" w:pos="567"/>
          <w:tab w:val="left" w:pos="1701"/>
          <w:tab w:val="left" w:pos="2268"/>
        </w:tabs>
        <w:spacing w:before="120" w:after="120"/>
        <w:jc w:val="both"/>
        <w:rPr>
          <w:rFonts w:ascii="Arial" w:hAnsi="Arial" w:cs="Arial"/>
          <w:sz w:val="22"/>
          <w:szCs w:val="22"/>
          <w:lang w:eastAsia="ko-KR"/>
        </w:rPr>
      </w:pPr>
      <w:r w:rsidRPr="0001502D">
        <w:rPr>
          <w:rFonts w:ascii="Arial" w:hAnsi="Arial" w:cs="Arial"/>
          <w:sz w:val="22"/>
          <w:szCs w:val="22"/>
          <w:u w:val="single"/>
          <w:lang w:eastAsia="ko-KR"/>
        </w:rPr>
        <w:t>Félicite</w:t>
      </w:r>
      <w:r w:rsidRPr="0001502D">
        <w:rPr>
          <w:rFonts w:ascii="Arial" w:hAnsi="Arial" w:cs="Arial"/>
          <w:sz w:val="22"/>
          <w:szCs w:val="22"/>
          <w:lang w:eastAsia="ko-KR"/>
        </w:rPr>
        <w:t xml:space="preserve"> l</w:t>
      </w:r>
      <w:r w:rsidR="009C104E">
        <w:rPr>
          <w:rFonts w:ascii="Arial" w:hAnsi="Arial" w:cs="Arial"/>
          <w:sz w:val="22"/>
          <w:szCs w:val="22"/>
          <w:lang w:eastAsia="ko-KR"/>
        </w:rPr>
        <w:t>’</w:t>
      </w:r>
      <w:r w:rsidRPr="0001502D">
        <w:rPr>
          <w:rFonts w:ascii="Arial" w:hAnsi="Arial" w:cs="Arial"/>
          <w:sz w:val="22"/>
          <w:szCs w:val="22"/>
          <w:lang w:eastAsia="ko-KR"/>
        </w:rPr>
        <w:t>État partie d</w:t>
      </w:r>
      <w:r w:rsidR="009C104E">
        <w:rPr>
          <w:rFonts w:ascii="Arial" w:hAnsi="Arial" w:cs="Arial"/>
          <w:sz w:val="22"/>
          <w:szCs w:val="22"/>
          <w:lang w:eastAsia="ko-KR"/>
        </w:rPr>
        <w:t>’</w:t>
      </w:r>
      <w:r w:rsidRPr="0001502D">
        <w:rPr>
          <w:rFonts w:ascii="Arial" w:hAnsi="Arial" w:cs="Arial"/>
          <w:sz w:val="22"/>
          <w:szCs w:val="22"/>
          <w:lang w:eastAsia="ko-KR"/>
        </w:rPr>
        <w:t>avoir proposé un élément démontrant comment le pastoralisme nomade peut contribuer à la protection de l</w:t>
      </w:r>
      <w:r w:rsidR="009C104E">
        <w:rPr>
          <w:rFonts w:ascii="Arial" w:hAnsi="Arial" w:cs="Arial"/>
          <w:sz w:val="22"/>
          <w:szCs w:val="22"/>
          <w:lang w:eastAsia="ko-KR"/>
        </w:rPr>
        <w:t>’</w:t>
      </w:r>
      <w:r w:rsidRPr="0001502D">
        <w:rPr>
          <w:rFonts w:ascii="Arial" w:hAnsi="Arial" w:cs="Arial"/>
          <w:sz w:val="22"/>
          <w:szCs w:val="22"/>
          <w:lang w:eastAsia="ko-KR"/>
        </w:rPr>
        <w:t>environnement et au développement durable ;</w:t>
      </w:r>
    </w:p>
    <w:p w14:paraId="6859F6A8" w14:textId="41880171" w:rsidR="0001502D" w:rsidRPr="0001502D" w:rsidRDefault="0001502D" w:rsidP="00771F30">
      <w:pPr>
        <w:numPr>
          <w:ilvl w:val="1"/>
          <w:numId w:val="27"/>
        </w:numPr>
        <w:tabs>
          <w:tab w:val="left" w:pos="567"/>
          <w:tab w:val="left" w:pos="1701"/>
          <w:tab w:val="left" w:pos="2268"/>
        </w:tabs>
        <w:spacing w:before="120" w:after="120"/>
        <w:jc w:val="both"/>
        <w:rPr>
          <w:rFonts w:ascii="Arial" w:hAnsi="Arial" w:cs="Arial"/>
          <w:sz w:val="22"/>
          <w:szCs w:val="22"/>
          <w:lang w:eastAsia="ko-KR"/>
        </w:rPr>
      </w:pPr>
      <w:r w:rsidRPr="0001502D">
        <w:rPr>
          <w:rFonts w:ascii="Arial" w:hAnsi="Arial" w:cs="Arial"/>
          <w:sz w:val="22"/>
          <w:szCs w:val="22"/>
          <w:u w:val="single"/>
          <w:lang w:eastAsia="ko-KR"/>
        </w:rPr>
        <w:t>Encourage</w:t>
      </w:r>
      <w:r w:rsidRPr="0001502D">
        <w:rPr>
          <w:rFonts w:ascii="Arial" w:hAnsi="Arial" w:cs="Arial"/>
          <w:sz w:val="22"/>
          <w:szCs w:val="22"/>
          <w:lang w:eastAsia="ko-KR"/>
        </w:rPr>
        <w:t xml:space="preserve"> l</w:t>
      </w:r>
      <w:r w:rsidR="009C104E">
        <w:rPr>
          <w:rFonts w:ascii="Arial" w:hAnsi="Arial" w:cs="Arial"/>
          <w:sz w:val="22"/>
          <w:szCs w:val="22"/>
          <w:lang w:eastAsia="ko-KR"/>
        </w:rPr>
        <w:t>’</w:t>
      </w:r>
      <w:r w:rsidRPr="0001502D">
        <w:rPr>
          <w:rFonts w:ascii="Arial" w:hAnsi="Arial" w:cs="Arial"/>
          <w:sz w:val="22"/>
          <w:szCs w:val="22"/>
          <w:lang w:eastAsia="ko-KR"/>
        </w:rPr>
        <w:t>État partie à éviter d</w:t>
      </w:r>
      <w:r w:rsidR="009C104E">
        <w:rPr>
          <w:rFonts w:ascii="Arial" w:hAnsi="Arial" w:cs="Arial"/>
          <w:sz w:val="22"/>
          <w:szCs w:val="22"/>
          <w:lang w:eastAsia="ko-KR"/>
        </w:rPr>
        <w:t>’</w:t>
      </w:r>
      <w:r w:rsidRPr="0001502D">
        <w:rPr>
          <w:rFonts w:ascii="Arial" w:hAnsi="Arial" w:cs="Arial"/>
          <w:sz w:val="22"/>
          <w:szCs w:val="22"/>
          <w:lang w:eastAsia="ko-KR"/>
        </w:rPr>
        <w:t>inclure à l</w:t>
      </w:r>
      <w:r w:rsidR="009C104E">
        <w:rPr>
          <w:rFonts w:ascii="Arial" w:hAnsi="Arial" w:cs="Arial"/>
          <w:sz w:val="22"/>
          <w:szCs w:val="22"/>
          <w:lang w:eastAsia="ko-KR"/>
        </w:rPr>
        <w:t>’</w:t>
      </w:r>
      <w:r w:rsidRPr="0001502D">
        <w:rPr>
          <w:rFonts w:ascii="Arial" w:hAnsi="Arial" w:cs="Arial"/>
          <w:sz w:val="22"/>
          <w:szCs w:val="22"/>
          <w:lang w:eastAsia="ko-KR"/>
        </w:rPr>
        <w:t>avenir les lettres de consentement standardisées aux dossiers de candidature ;</w:t>
      </w:r>
    </w:p>
    <w:p w14:paraId="5E5877C0" w14:textId="37B43CFC" w:rsidR="0001502D" w:rsidRPr="0001502D" w:rsidRDefault="0001502D" w:rsidP="00771F30">
      <w:pPr>
        <w:numPr>
          <w:ilvl w:val="1"/>
          <w:numId w:val="27"/>
        </w:numPr>
        <w:tabs>
          <w:tab w:val="left" w:pos="567"/>
          <w:tab w:val="left" w:pos="1701"/>
          <w:tab w:val="left" w:pos="2268"/>
        </w:tabs>
        <w:spacing w:before="120" w:after="120"/>
        <w:ind w:hanging="578"/>
        <w:jc w:val="both"/>
        <w:rPr>
          <w:rFonts w:ascii="Arial" w:hAnsi="Arial" w:cs="Arial"/>
          <w:sz w:val="22"/>
          <w:szCs w:val="22"/>
          <w:lang w:eastAsia="ko-KR"/>
        </w:rPr>
      </w:pPr>
      <w:r w:rsidRPr="0001502D">
        <w:rPr>
          <w:rFonts w:ascii="Arial" w:hAnsi="Arial" w:cs="Arial"/>
          <w:sz w:val="22"/>
          <w:szCs w:val="22"/>
          <w:u w:val="single"/>
          <w:lang w:eastAsia="ko-KR"/>
        </w:rPr>
        <w:t>Encourage en outre</w:t>
      </w:r>
      <w:r w:rsidRPr="0001502D">
        <w:rPr>
          <w:rFonts w:ascii="Arial" w:hAnsi="Arial" w:cs="Arial"/>
          <w:sz w:val="22"/>
          <w:szCs w:val="22"/>
          <w:lang w:eastAsia="ko-KR"/>
        </w:rPr>
        <w:t xml:space="preserve"> l</w:t>
      </w:r>
      <w:r w:rsidR="009C104E">
        <w:rPr>
          <w:rFonts w:ascii="Arial" w:hAnsi="Arial" w:cs="Arial"/>
          <w:sz w:val="22"/>
          <w:szCs w:val="22"/>
          <w:lang w:eastAsia="ko-KR"/>
        </w:rPr>
        <w:t>’</w:t>
      </w:r>
      <w:r w:rsidRPr="0001502D">
        <w:rPr>
          <w:rFonts w:ascii="Arial" w:hAnsi="Arial" w:cs="Arial"/>
          <w:sz w:val="22"/>
          <w:szCs w:val="22"/>
          <w:lang w:eastAsia="ko-KR"/>
        </w:rPr>
        <w:t>État soumissionnaire à prendre en considération les éventuels effets indésirables de l</w:t>
      </w:r>
      <w:r w:rsidR="009C104E">
        <w:rPr>
          <w:rFonts w:ascii="Arial" w:hAnsi="Arial" w:cs="Arial"/>
          <w:sz w:val="22"/>
          <w:szCs w:val="22"/>
          <w:lang w:eastAsia="ko-KR"/>
        </w:rPr>
        <w:t>’</w:t>
      </w:r>
      <w:r w:rsidRPr="0001502D">
        <w:rPr>
          <w:rFonts w:ascii="Arial" w:hAnsi="Arial" w:cs="Arial"/>
          <w:sz w:val="22"/>
          <w:szCs w:val="22"/>
          <w:lang w:eastAsia="ko-KR"/>
        </w:rPr>
        <w:t>inscription de l</w:t>
      </w:r>
      <w:r w:rsidR="009C104E">
        <w:rPr>
          <w:rFonts w:ascii="Arial" w:hAnsi="Arial" w:cs="Arial"/>
          <w:sz w:val="22"/>
          <w:szCs w:val="22"/>
          <w:lang w:eastAsia="ko-KR"/>
        </w:rPr>
        <w:t>’</w:t>
      </w:r>
      <w:r w:rsidRPr="0001502D">
        <w:rPr>
          <w:rFonts w:ascii="Arial" w:hAnsi="Arial" w:cs="Arial"/>
          <w:sz w:val="22"/>
          <w:szCs w:val="22"/>
          <w:lang w:eastAsia="ko-KR"/>
        </w:rPr>
        <w:t>élément, y compris sa mise en péril, et l</w:t>
      </w:r>
      <w:r w:rsidR="009C104E">
        <w:rPr>
          <w:rFonts w:ascii="Arial" w:hAnsi="Arial" w:cs="Arial"/>
          <w:sz w:val="22"/>
          <w:szCs w:val="22"/>
          <w:lang w:eastAsia="ko-KR"/>
        </w:rPr>
        <w:t>’</w:t>
      </w:r>
      <w:r w:rsidRPr="0001502D">
        <w:rPr>
          <w:rFonts w:ascii="Arial" w:hAnsi="Arial" w:cs="Arial"/>
          <w:sz w:val="22"/>
          <w:szCs w:val="22"/>
          <w:u w:val="single"/>
          <w:lang w:eastAsia="ko-KR"/>
        </w:rPr>
        <w:t>invite</w:t>
      </w:r>
      <w:r w:rsidRPr="0001502D">
        <w:rPr>
          <w:rFonts w:ascii="Arial" w:hAnsi="Arial" w:cs="Arial"/>
          <w:sz w:val="22"/>
          <w:szCs w:val="22"/>
          <w:lang w:eastAsia="ko-KR"/>
        </w:rPr>
        <w:t xml:space="preserve"> à réfléchir à cet aspect lors de la mise en œuvre des mesures de sauvegarde proposées.</w:t>
      </w:r>
    </w:p>
    <w:p w14:paraId="02F6F019" w14:textId="5699D7DE" w:rsidR="0001502D" w:rsidRPr="0001502D" w:rsidRDefault="0001502D" w:rsidP="00771F30">
      <w:pPr>
        <w:keepNext/>
        <w:keepLines/>
        <w:numPr>
          <w:ilvl w:val="0"/>
          <w:numId w:val="27"/>
        </w:numPr>
        <w:spacing w:before="360" w:after="120"/>
        <w:outlineLvl w:val="1"/>
        <w:rPr>
          <w:rFonts w:ascii="Arial" w:hAnsi="Arial" w:cs="Arial"/>
          <w:bCs/>
          <w:iCs/>
          <w:sz w:val="22"/>
          <w:szCs w:val="22"/>
        </w:rPr>
      </w:pPr>
      <w:bookmarkStart w:id="28" w:name="Decision_10b25"/>
      <w:r w:rsidRPr="0001502D">
        <w:rPr>
          <w:rFonts w:ascii="Arial" w:hAnsi="Arial" w:cs="Arial"/>
          <w:b/>
          <w:bCs/>
          <w:iCs/>
          <w:sz w:val="22"/>
          <w:szCs w:val="22"/>
        </w:rPr>
        <w:t xml:space="preserve">DÉCISION 14.COM 10.b.25 </w:t>
      </w:r>
    </w:p>
    <w:bookmarkEnd w:id="28"/>
    <w:p w14:paraId="56659F69" w14:textId="77777777" w:rsidR="0001502D" w:rsidRPr="0001502D" w:rsidRDefault="0001502D" w:rsidP="00BD3FF4">
      <w:pPr>
        <w:keepNext/>
        <w:tabs>
          <w:tab w:val="left" w:pos="567"/>
          <w:tab w:val="left" w:pos="1134"/>
          <w:tab w:val="left" w:pos="1701"/>
          <w:tab w:val="left" w:pos="2268"/>
        </w:tabs>
        <w:spacing w:before="120" w:after="120"/>
        <w:jc w:val="both"/>
        <w:rPr>
          <w:rFonts w:ascii="Arial" w:hAnsi="Arial" w:cs="Arial"/>
          <w:sz w:val="22"/>
          <w:szCs w:val="22"/>
        </w:rPr>
      </w:pPr>
      <w:r w:rsidRPr="0001502D">
        <w:rPr>
          <w:rFonts w:ascii="Arial" w:hAnsi="Arial" w:cs="Arial"/>
          <w:sz w:val="22"/>
          <w:szCs w:val="22"/>
        </w:rPr>
        <w:t>Le Comité,</w:t>
      </w:r>
    </w:p>
    <w:p w14:paraId="13A15F0F" w14:textId="113145EA" w:rsidR="0001502D" w:rsidRPr="0001502D" w:rsidRDefault="0001502D" w:rsidP="00771F30">
      <w:pPr>
        <w:numPr>
          <w:ilvl w:val="1"/>
          <w:numId w:val="27"/>
        </w:numPr>
        <w:tabs>
          <w:tab w:val="left" w:pos="567"/>
          <w:tab w:val="left" w:pos="1701"/>
          <w:tab w:val="left" w:pos="2268"/>
        </w:tabs>
        <w:spacing w:before="120" w:after="120"/>
        <w:jc w:val="both"/>
        <w:rPr>
          <w:rFonts w:ascii="Arial" w:hAnsi="Arial" w:cs="Arial"/>
          <w:sz w:val="22"/>
          <w:szCs w:val="22"/>
          <w:lang w:eastAsia="ko-KR"/>
        </w:rPr>
      </w:pPr>
      <w:r w:rsidRPr="0001502D">
        <w:rPr>
          <w:rFonts w:ascii="Arial" w:hAnsi="Arial" w:cs="Arial"/>
          <w:sz w:val="22"/>
          <w:szCs w:val="22"/>
          <w:u w:val="single"/>
          <w:lang w:eastAsia="ko-KR"/>
        </w:rPr>
        <w:t>Prend note</w:t>
      </w:r>
      <w:r w:rsidRPr="0001502D">
        <w:rPr>
          <w:rFonts w:ascii="Arial" w:hAnsi="Arial" w:cs="Arial"/>
          <w:sz w:val="22"/>
          <w:szCs w:val="22"/>
          <w:lang w:eastAsia="ko-KR"/>
        </w:rPr>
        <w:t xml:space="preserve"> que le Monténégro a proposé la candidature de </w:t>
      </w:r>
      <w:r w:rsidRPr="0001502D">
        <w:rPr>
          <w:rFonts w:ascii="Arial" w:hAnsi="Arial" w:cs="Arial"/>
          <w:b/>
          <w:sz w:val="22"/>
          <w:szCs w:val="22"/>
          <w:lang w:eastAsia="ko-KR"/>
        </w:rPr>
        <w:t>la marine de la Boka, organisation maritime traditionnelle</w:t>
      </w:r>
      <w:r w:rsidRPr="0001502D">
        <w:rPr>
          <w:rFonts w:ascii="Arial" w:hAnsi="Arial" w:cs="Arial"/>
          <w:sz w:val="22"/>
          <w:szCs w:val="22"/>
          <w:lang w:eastAsia="ko-KR"/>
        </w:rPr>
        <w:t xml:space="preserve"> (n° 01507) pour inscription sur la Liste représentative du patrimoine culturel immatériel de l</w:t>
      </w:r>
      <w:r w:rsidR="009C104E">
        <w:rPr>
          <w:rFonts w:ascii="Arial" w:hAnsi="Arial" w:cs="Arial"/>
          <w:sz w:val="22"/>
          <w:szCs w:val="22"/>
          <w:lang w:eastAsia="ko-KR"/>
        </w:rPr>
        <w:t>’</w:t>
      </w:r>
      <w:r w:rsidRPr="0001502D">
        <w:rPr>
          <w:rFonts w:ascii="Arial" w:hAnsi="Arial" w:cs="Arial"/>
          <w:sz w:val="22"/>
          <w:szCs w:val="22"/>
          <w:lang w:eastAsia="ko-KR"/>
        </w:rPr>
        <w:t>humanité :</w:t>
      </w:r>
    </w:p>
    <w:p w14:paraId="30C879BF" w14:textId="3C62B1DF" w:rsidR="0001502D" w:rsidRPr="0001502D" w:rsidRDefault="0001502D" w:rsidP="00BD3FF4">
      <w:pPr>
        <w:tabs>
          <w:tab w:val="left" w:pos="567"/>
          <w:tab w:val="left" w:pos="1701"/>
          <w:tab w:val="left" w:pos="2268"/>
        </w:tabs>
        <w:spacing w:before="120" w:after="120"/>
        <w:ind w:left="567"/>
        <w:jc w:val="both"/>
        <w:rPr>
          <w:rFonts w:ascii="Arial" w:hAnsi="Arial" w:cs="Arial"/>
          <w:sz w:val="22"/>
          <w:szCs w:val="22"/>
        </w:rPr>
      </w:pPr>
      <w:r w:rsidRPr="0001502D">
        <w:rPr>
          <w:rFonts w:ascii="Arial" w:hAnsi="Arial" w:cs="Arial"/>
          <w:sz w:val="22"/>
          <w:szCs w:val="22"/>
        </w:rPr>
        <w:t>La marine de la Boka, organisation maritime traditionnelle, comprend une série d</w:t>
      </w:r>
      <w:r w:rsidR="009C104E">
        <w:rPr>
          <w:rFonts w:ascii="Arial" w:hAnsi="Arial" w:cs="Arial"/>
          <w:sz w:val="22"/>
          <w:szCs w:val="22"/>
        </w:rPr>
        <w:t>’</w:t>
      </w:r>
      <w:r w:rsidRPr="0001502D">
        <w:rPr>
          <w:rFonts w:ascii="Arial" w:hAnsi="Arial" w:cs="Arial"/>
          <w:sz w:val="22"/>
          <w:szCs w:val="22"/>
        </w:rPr>
        <w:t>activités, de pratiques et de rituels associés à la translation des reliques de Saint Tryphon à Kotor en 809, dans laquelle les marins ont joué un rôle fondamental. La marine de la Boka est le pilier des festivités annuelles dédiées à Saint Tryphon et participe aux célébrations des journées des municipalités de Kotor, Tivat et Herceg Novi. À ces dates, avec des citoyens, des festivités traditionnelles ont lieu dans les rues et sur les places des différentes villes. Le kolo, ronde médiévale, est au cœur des festivités et est accompagné par les orchestres de la ville. Le kolo a 12 figures chargées de symboles spirituels et maritimes. L</w:t>
      </w:r>
      <w:r w:rsidR="009C104E">
        <w:rPr>
          <w:rFonts w:ascii="Arial" w:hAnsi="Arial" w:cs="Arial"/>
          <w:sz w:val="22"/>
          <w:szCs w:val="22"/>
        </w:rPr>
        <w:t>’</w:t>
      </w:r>
      <w:r w:rsidRPr="0001502D">
        <w:rPr>
          <w:rFonts w:ascii="Arial" w:hAnsi="Arial" w:cs="Arial"/>
          <w:sz w:val="22"/>
          <w:szCs w:val="22"/>
        </w:rPr>
        <w:t>adhésion à la marine de la Boka est volontaire et chaque année, lors de la célébration de l</w:t>
      </w:r>
      <w:r w:rsidR="009C104E">
        <w:rPr>
          <w:rFonts w:ascii="Arial" w:hAnsi="Arial" w:cs="Arial"/>
          <w:sz w:val="22"/>
          <w:szCs w:val="22"/>
        </w:rPr>
        <w:t>’</w:t>
      </w:r>
      <w:r w:rsidRPr="0001502D">
        <w:rPr>
          <w:rFonts w:ascii="Arial" w:hAnsi="Arial" w:cs="Arial"/>
          <w:sz w:val="22"/>
          <w:szCs w:val="22"/>
        </w:rPr>
        <w:t>Amirauté, la marine de la Boka choisit un garçon âgé de 7 à 12 ans pour tenir le rôle du Jeune amiral, le plus jeune membre de l</w:t>
      </w:r>
      <w:r w:rsidR="009C104E">
        <w:rPr>
          <w:rFonts w:ascii="Arial" w:hAnsi="Arial" w:cs="Arial"/>
          <w:sz w:val="22"/>
          <w:szCs w:val="22"/>
        </w:rPr>
        <w:t>’</w:t>
      </w:r>
      <w:r w:rsidRPr="0001502D">
        <w:rPr>
          <w:rFonts w:ascii="Arial" w:hAnsi="Arial" w:cs="Arial"/>
          <w:sz w:val="22"/>
          <w:szCs w:val="22"/>
        </w:rPr>
        <w:t>organisation. Ceci constitue un symbole important de renouveau et de durabilité de l</w:t>
      </w:r>
      <w:r w:rsidR="009C104E">
        <w:rPr>
          <w:rFonts w:ascii="Arial" w:hAnsi="Arial" w:cs="Arial"/>
          <w:sz w:val="22"/>
          <w:szCs w:val="22"/>
        </w:rPr>
        <w:t>’</w:t>
      </w:r>
      <w:r w:rsidRPr="0001502D">
        <w:rPr>
          <w:rFonts w:ascii="Arial" w:hAnsi="Arial" w:cs="Arial"/>
          <w:sz w:val="22"/>
          <w:szCs w:val="22"/>
        </w:rPr>
        <w:t>élément. L</w:t>
      </w:r>
      <w:r w:rsidR="009C104E">
        <w:rPr>
          <w:rFonts w:ascii="Arial" w:hAnsi="Arial" w:cs="Arial"/>
          <w:sz w:val="22"/>
          <w:szCs w:val="22"/>
        </w:rPr>
        <w:t>’</w:t>
      </w:r>
      <w:r w:rsidRPr="0001502D">
        <w:rPr>
          <w:rFonts w:ascii="Arial" w:hAnsi="Arial" w:cs="Arial"/>
          <w:sz w:val="22"/>
          <w:szCs w:val="22"/>
        </w:rPr>
        <w:t>uniforme traditionnel, orné d</w:t>
      </w:r>
      <w:r w:rsidR="009C104E">
        <w:rPr>
          <w:rFonts w:ascii="Arial" w:hAnsi="Arial" w:cs="Arial"/>
          <w:sz w:val="22"/>
          <w:szCs w:val="22"/>
        </w:rPr>
        <w:t>’</w:t>
      </w:r>
      <w:r w:rsidRPr="0001502D">
        <w:rPr>
          <w:rFonts w:ascii="Arial" w:hAnsi="Arial" w:cs="Arial"/>
          <w:sz w:val="22"/>
          <w:szCs w:val="22"/>
        </w:rPr>
        <w:t>armes, est un autre aspect fondamental de l</w:t>
      </w:r>
      <w:r w:rsidR="009C104E">
        <w:rPr>
          <w:rFonts w:ascii="Arial" w:hAnsi="Arial" w:cs="Arial"/>
          <w:sz w:val="22"/>
          <w:szCs w:val="22"/>
        </w:rPr>
        <w:t>’</w:t>
      </w:r>
      <w:r w:rsidRPr="0001502D">
        <w:rPr>
          <w:rFonts w:ascii="Arial" w:hAnsi="Arial" w:cs="Arial"/>
          <w:sz w:val="22"/>
          <w:szCs w:val="22"/>
        </w:rPr>
        <w:t>élément.</w:t>
      </w:r>
    </w:p>
    <w:p w14:paraId="15F3702D" w14:textId="41FD96CA" w:rsidR="0001502D" w:rsidRPr="0001502D" w:rsidRDefault="0001502D" w:rsidP="00771F30">
      <w:pPr>
        <w:keepNext/>
        <w:numPr>
          <w:ilvl w:val="1"/>
          <w:numId w:val="27"/>
        </w:numPr>
        <w:tabs>
          <w:tab w:val="left" w:pos="567"/>
          <w:tab w:val="left" w:pos="1701"/>
          <w:tab w:val="left" w:pos="2268"/>
        </w:tabs>
        <w:spacing w:before="120" w:after="120"/>
        <w:jc w:val="both"/>
        <w:rPr>
          <w:rFonts w:ascii="Arial" w:hAnsi="Arial" w:cs="Arial"/>
          <w:sz w:val="22"/>
          <w:szCs w:val="22"/>
          <w:lang w:eastAsia="ko-KR"/>
        </w:rPr>
      </w:pPr>
      <w:r w:rsidRPr="0001502D">
        <w:rPr>
          <w:rFonts w:ascii="Arial" w:hAnsi="Arial" w:cs="Arial"/>
          <w:sz w:val="22"/>
          <w:szCs w:val="22"/>
          <w:u w:val="single"/>
          <w:lang w:eastAsia="ko-KR"/>
        </w:rPr>
        <w:t>Estime</w:t>
      </w:r>
      <w:r w:rsidRPr="0001502D">
        <w:rPr>
          <w:rFonts w:ascii="Arial" w:hAnsi="Arial" w:cs="Arial"/>
          <w:sz w:val="22"/>
          <w:szCs w:val="22"/>
          <w:lang w:eastAsia="ko-KR"/>
        </w:rPr>
        <w:t xml:space="preserve"> que, d</w:t>
      </w:r>
      <w:r w:rsidR="009C104E">
        <w:rPr>
          <w:rFonts w:ascii="Arial" w:hAnsi="Arial" w:cs="Arial"/>
          <w:sz w:val="22"/>
          <w:szCs w:val="22"/>
          <w:lang w:eastAsia="ko-KR"/>
        </w:rPr>
        <w:t>’</w:t>
      </w:r>
      <w:r w:rsidRPr="0001502D">
        <w:rPr>
          <w:rFonts w:ascii="Arial" w:hAnsi="Arial" w:cs="Arial"/>
          <w:sz w:val="22"/>
          <w:szCs w:val="22"/>
          <w:lang w:eastAsia="ko-KR"/>
        </w:rPr>
        <w:t>après les informations contenues dans le dossier, la candidature satisfait au critère d</w:t>
      </w:r>
      <w:r w:rsidR="009C104E">
        <w:rPr>
          <w:rFonts w:ascii="Arial" w:hAnsi="Arial" w:cs="Arial"/>
          <w:sz w:val="22"/>
          <w:szCs w:val="22"/>
          <w:lang w:eastAsia="ko-KR"/>
        </w:rPr>
        <w:t>’</w:t>
      </w:r>
      <w:r w:rsidRPr="0001502D">
        <w:rPr>
          <w:rFonts w:ascii="Arial" w:hAnsi="Arial" w:cs="Arial"/>
          <w:sz w:val="22"/>
          <w:szCs w:val="22"/>
          <w:lang w:eastAsia="ko-KR"/>
        </w:rPr>
        <w:t>inscription sur la Liste représentative du patrimoine culturel immatériel de l</w:t>
      </w:r>
      <w:r w:rsidR="009C104E">
        <w:rPr>
          <w:rFonts w:ascii="Arial" w:hAnsi="Arial" w:cs="Arial"/>
          <w:sz w:val="22"/>
          <w:szCs w:val="22"/>
          <w:lang w:eastAsia="ko-KR"/>
        </w:rPr>
        <w:t>’</w:t>
      </w:r>
      <w:r w:rsidRPr="0001502D">
        <w:rPr>
          <w:rFonts w:ascii="Arial" w:hAnsi="Arial" w:cs="Arial"/>
          <w:sz w:val="22"/>
          <w:szCs w:val="22"/>
          <w:lang w:eastAsia="ko-KR"/>
        </w:rPr>
        <w:t>humanité comme suit :</w:t>
      </w:r>
    </w:p>
    <w:p w14:paraId="37233561" w14:textId="41AC324A" w:rsidR="0001502D" w:rsidRPr="0001502D" w:rsidRDefault="0001502D" w:rsidP="00BD3FF4">
      <w:pPr>
        <w:tabs>
          <w:tab w:val="left" w:pos="1134"/>
          <w:tab w:val="left" w:pos="2268"/>
        </w:tabs>
        <w:spacing w:before="120" w:after="120"/>
        <w:ind w:left="1134" w:hanging="555"/>
        <w:jc w:val="both"/>
        <w:rPr>
          <w:rFonts w:ascii="Arial" w:hAnsi="Arial" w:cs="Arial"/>
          <w:sz w:val="22"/>
          <w:szCs w:val="22"/>
        </w:rPr>
      </w:pPr>
      <w:r w:rsidRPr="0001502D">
        <w:rPr>
          <w:rFonts w:ascii="Arial" w:hAnsi="Arial" w:cs="Arial"/>
          <w:sz w:val="22"/>
          <w:szCs w:val="22"/>
        </w:rPr>
        <w:t>R.5 :</w:t>
      </w:r>
      <w:r w:rsidRPr="0001502D">
        <w:rPr>
          <w:rFonts w:ascii="Arial" w:hAnsi="Arial" w:cs="Arial"/>
          <w:sz w:val="22"/>
          <w:szCs w:val="22"/>
        </w:rPr>
        <w:tab/>
        <w:t>La marine de la Boka a été inscrite au Registre des biens culturels du Monténégro (dans la section Biens culturels immatériels) en 2013. L</w:t>
      </w:r>
      <w:r w:rsidR="009C104E">
        <w:rPr>
          <w:rFonts w:ascii="Arial" w:hAnsi="Arial" w:cs="Arial"/>
          <w:sz w:val="22"/>
          <w:szCs w:val="22"/>
        </w:rPr>
        <w:t>’</w:t>
      </w:r>
      <w:r w:rsidRPr="0001502D">
        <w:rPr>
          <w:rFonts w:ascii="Arial" w:hAnsi="Arial" w:cs="Arial"/>
          <w:sz w:val="22"/>
          <w:szCs w:val="22"/>
        </w:rPr>
        <w:t>Administration pour la protection des biens culturels est l</w:t>
      </w:r>
      <w:r w:rsidR="009C104E">
        <w:rPr>
          <w:rFonts w:ascii="Arial" w:hAnsi="Arial" w:cs="Arial"/>
          <w:sz w:val="22"/>
          <w:szCs w:val="22"/>
        </w:rPr>
        <w:t>’</w:t>
      </w:r>
      <w:r w:rsidRPr="0001502D">
        <w:rPr>
          <w:rFonts w:ascii="Arial" w:hAnsi="Arial" w:cs="Arial"/>
          <w:sz w:val="22"/>
          <w:szCs w:val="22"/>
        </w:rPr>
        <w:t>organisme chargé de tenir l</w:t>
      </w:r>
      <w:r w:rsidR="009C104E">
        <w:rPr>
          <w:rFonts w:ascii="Arial" w:hAnsi="Arial" w:cs="Arial"/>
          <w:sz w:val="22"/>
          <w:szCs w:val="22"/>
        </w:rPr>
        <w:t>’</w:t>
      </w:r>
      <w:r w:rsidRPr="0001502D">
        <w:rPr>
          <w:rFonts w:ascii="Arial" w:hAnsi="Arial" w:cs="Arial"/>
          <w:sz w:val="22"/>
          <w:szCs w:val="22"/>
        </w:rPr>
        <w:t>inventaire à jour, notamment les données et la documentation sur les éléments nouveaux ou existants du patrimoine culturel immatériel. L</w:t>
      </w:r>
      <w:r w:rsidR="009C104E">
        <w:rPr>
          <w:rFonts w:ascii="Arial" w:hAnsi="Arial" w:cs="Arial"/>
          <w:sz w:val="22"/>
          <w:szCs w:val="22"/>
        </w:rPr>
        <w:t>’</w:t>
      </w:r>
      <w:r w:rsidRPr="0001502D">
        <w:rPr>
          <w:rFonts w:ascii="Arial" w:hAnsi="Arial" w:cs="Arial"/>
          <w:sz w:val="22"/>
          <w:szCs w:val="22"/>
        </w:rPr>
        <w:t>élément a été répertorié dans le cadre du projet d</w:t>
      </w:r>
      <w:r w:rsidR="009C104E">
        <w:rPr>
          <w:rFonts w:ascii="Arial" w:hAnsi="Arial" w:cs="Arial"/>
          <w:sz w:val="22"/>
          <w:szCs w:val="22"/>
        </w:rPr>
        <w:t>’</w:t>
      </w:r>
      <w:r w:rsidRPr="0001502D">
        <w:rPr>
          <w:rFonts w:ascii="Arial" w:hAnsi="Arial" w:cs="Arial"/>
          <w:sz w:val="22"/>
          <w:szCs w:val="22"/>
        </w:rPr>
        <w:t>inventaire du patrimoine culturel immatériel du Monténégro</w:t>
      </w:r>
      <w:r w:rsidRPr="0001502D">
        <w:t xml:space="preserve"> </w:t>
      </w:r>
      <w:r w:rsidRPr="0001502D">
        <w:rPr>
          <w:rFonts w:ascii="Arial" w:hAnsi="Arial" w:cs="Arial"/>
          <w:sz w:val="22"/>
          <w:szCs w:val="22"/>
        </w:rPr>
        <w:t>en</w:t>
      </w:r>
      <w:r w:rsidRPr="0001502D">
        <w:t> </w:t>
      </w:r>
      <w:r w:rsidRPr="0001502D">
        <w:rPr>
          <w:rFonts w:ascii="Arial" w:hAnsi="Arial" w:cs="Arial"/>
          <w:sz w:val="22"/>
          <w:szCs w:val="22"/>
        </w:rPr>
        <w:t>2012, mené par l</w:t>
      </w:r>
      <w:r w:rsidR="009C104E">
        <w:rPr>
          <w:rFonts w:ascii="Arial" w:hAnsi="Arial" w:cs="Arial"/>
          <w:sz w:val="22"/>
          <w:szCs w:val="22"/>
        </w:rPr>
        <w:t>’</w:t>
      </w:r>
      <w:r w:rsidRPr="0001502D">
        <w:rPr>
          <w:rFonts w:ascii="Arial" w:hAnsi="Arial" w:cs="Arial"/>
          <w:sz w:val="22"/>
          <w:szCs w:val="22"/>
        </w:rPr>
        <w:t>Administration pour la protection des biens culturels et le Musée national du Monténégro.</w:t>
      </w:r>
    </w:p>
    <w:p w14:paraId="5CC3AB92" w14:textId="00D38533" w:rsidR="0001502D" w:rsidRPr="0001502D" w:rsidRDefault="0001502D" w:rsidP="00771F30">
      <w:pPr>
        <w:keepNext/>
        <w:numPr>
          <w:ilvl w:val="1"/>
          <w:numId w:val="27"/>
        </w:numPr>
        <w:tabs>
          <w:tab w:val="left" w:pos="567"/>
          <w:tab w:val="left" w:pos="1701"/>
        </w:tabs>
        <w:spacing w:before="120" w:after="120"/>
        <w:jc w:val="both"/>
        <w:rPr>
          <w:rFonts w:ascii="Arial" w:hAnsi="Arial" w:cs="Arial"/>
          <w:sz w:val="22"/>
          <w:szCs w:val="22"/>
          <w:lang w:eastAsia="ko-KR"/>
        </w:rPr>
      </w:pPr>
      <w:r w:rsidRPr="0001502D">
        <w:rPr>
          <w:rFonts w:ascii="Arial" w:hAnsi="Arial" w:cs="Arial"/>
          <w:sz w:val="22"/>
          <w:szCs w:val="22"/>
          <w:u w:val="single"/>
          <w:lang w:eastAsia="ko-KR"/>
        </w:rPr>
        <w:t>Estime en outre</w:t>
      </w:r>
      <w:r w:rsidRPr="0001502D">
        <w:rPr>
          <w:rFonts w:ascii="Arial" w:hAnsi="Arial" w:cs="Arial"/>
          <w:sz w:val="22"/>
          <w:szCs w:val="22"/>
          <w:lang w:eastAsia="ko-KR"/>
        </w:rPr>
        <w:t xml:space="preserve"> que les informations contenues dans le dossier ne sont pas suffisantes pour permettre au Comité de déterminer si les critères d</w:t>
      </w:r>
      <w:r w:rsidR="009C104E">
        <w:rPr>
          <w:rFonts w:ascii="Arial" w:hAnsi="Arial" w:cs="Arial"/>
          <w:sz w:val="22"/>
          <w:szCs w:val="22"/>
          <w:lang w:eastAsia="ko-KR"/>
        </w:rPr>
        <w:t>’</w:t>
      </w:r>
      <w:r w:rsidRPr="0001502D">
        <w:rPr>
          <w:rFonts w:ascii="Arial" w:hAnsi="Arial" w:cs="Arial"/>
          <w:sz w:val="22"/>
          <w:szCs w:val="22"/>
          <w:lang w:eastAsia="ko-KR"/>
        </w:rPr>
        <w:t>inscription sur la Liste représentative du patrimoine culturel immatériel de l</w:t>
      </w:r>
      <w:r w:rsidR="009C104E">
        <w:rPr>
          <w:rFonts w:ascii="Arial" w:hAnsi="Arial" w:cs="Arial"/>
          <w:sz w:val="22"/>
          <w:szCs w:val="22"/>
          <w:lang w:eastAsia="ko-KR"/>
        </w:rPr>
        <w:t>’</w:t>
      </w:r>
      <w:r w:rsidRPr="0001502D">
        <w:rPr>
          <w:rFonts w:ascii="Arial" w:hAnsi="Arial" w:cs="Arial"/>
          <w:sz w:val="22"/>
          <w:szCs w:val="22"/>
          <w:lang w:eastAsia="ko-KR"/>
        </w:rPr>
        <w:t>humanité suivants sont satisfaits :</w:t>
      </w:r>
    </w:p>
    <w:p w14:paraId="5999D801" w14:textId="48B631D8" w:rsidR="0001502D" w:rsidRPr="0001502D" w:rsidRDefault="0001502D" w:rsidP="00BD3FF4">
      <w:pPr>
        <w:tabs>
          <w:tab w:val="left" w:pos="1134"/>
          <w:tab w:val="left" w:pos="2268"/>
        </w:tabs>
        <w:spacing w:before="120" w:after="120"/>
        <w:ind w:left="1134" w:hanging="555"/>
        <w:jc w:val="both"/>
        <w:rPr>
          <w:rFonts w:ascii="Arial" w:hAnsi="Arial" w:cs="Arial"/>
          <w:sz w:val="22"/>
          <w:szCs w:val="22"/>
        </w:rPr>
      </w:pPr>
      <w:r w:rsidRPr="0001502D">
        <w:rPr>
          <w:rFonts w:ascii="Arial" w:hAnsi="Arial" w:cs="Arial"/>
          <w:sz w:val="22"/>
          <w:szCs w:val="22"/>
        </w:rPr>
        <w:t xml:space="preserve">R.1 : </w:t>
      </w:r>
      <w:r w:rsidRPr="0001502D">
        <w:rPr>
          <w:rFonts w:ascii="Arial" w:hAnsi="Arial" w:cs="Arial"/>
          <w:sz w:val="22"/>
          <w:szCs w:val="22"/>
        </w:rPr>
        <w:tab/>
        <w:t>Malgré l</w:t>
      </w:r>
      <w:r w:rsidR="009C104E">
        <w:rPr>
          <w:rFonts w:ascii="Arial" w:hAnsi="Arial" w:cs="Arial"/>
          <w:sz w:val="22"/>
          <w:szCs w:val="22"/>
        </w:rPr>
        <w:t>’</w:t>
      </w:r>
      <w:r w:rsidRPr="0001502D">
        <w:rPr>
          <w:rFonts w:ascii="Arial" w:hAnsi="Arial" w:cs="Arial"/>
          <w:sz w:val="22"/>
          <w:szCs w:val="22"/>
        </w:rPr>
        <w:t>indéniable importance de la marine de la Boka, le dossier ne contient pas de description claire de l</w:t>
      </w:r>
      <w:r w:rsidR="009C104E">
        <w:rPr>
          <w:rFonts w:ascii="Arial" w:hAnsi="Arial" w:cs="Arial"/>
          <w:sz w:val="22"/>
          <w:szCs w:val="22"/>
        </w:rPr>
        <w:t>’</w:t>
      </w:r>
      <w:r w:rsidRPr="0001502D">
        <w:rPr>
          <w:rFonts w:ascii="Arial" w:hAnsi="Arial" w:cs="Arial"/>
          <w:sz w:val="22"/>
          <w:szCs w:val="22"/>
        </w:rPr>
        <w:t>élément. De nombreuses activités, pratiques et rituels sont mentionnés mais sans aucune précision sur leur nature, leurs fonctions sociales et leurs significations culturelles. De plus, selon le dossier de candidature, la marine de la Boka est une organisation. Cela crée de la confusion au sujet de la nature même de l</w:t>
      </w:r>
      <w:r w:rsidR="009C104E">
        <w:rPr>
          <w:rFonts w:ascii="Arial" w:hAnsi="Arial" w:cs="Arial"/>
          <w:sz w:val="22"/>
          <w:szCs w:val="22"/>
        </w:rPr>
        <w:t>’</w:t>
      </w:r>
      <w:r w:rsidRPr="0001502D">
        <w:rPr>
          <w:rFonts w:ascii="Arial" w:hAnsi="Arial" w:cs="Arial"/>
          <w:sz w:val="22"/>
          <w:szCs w:val="22"/>
        </w:rPr>
        <w:t>élément, puisqu</w:t>
      </w:r>
      <w:r w:rsidR="009C104E">
        <w:rPr>
          <w:rFonts w:ascii="Arial" w:hAnsi="Arial" w:cs="Arial"/>
          <w:sz w:val="22"/>
          <w:szCs w:val="22"/>
        </w:rPr>
        <w:t>’</w:t>
      </w:r>
      <w:r w:rsidRPr="0001502D">
        <w:rPr>
          <w:rFonts w:ascii="Arial" w:hAnsi="Arial" w:cs="Arial"/>
          <w:sz w:val="22"/>
          <w:szCs w:val="22"/>
        </w:rPr>
        <w:t>il est difficile de voir comment une organisation pourrait devenir un élément du patrimoine culturel immatériel. Enfin, le dossier mentionne les acteurs des modes de transmission sans toutefois décrire lesdits modes. Il ne démontre pas non plus les liens que l</w:t>
      </w:r>
      <w:r w:rsidR="009C104E">
        <w:rPr>
          <w:rFonts w:ascii="Arial" w:hAnsi="Arial" w:cs="Arial"/>
          <w:sz w:val="22"/>
          <w:szCs w:val="22"/>
        </w:rPr>
        <w:t>’</w:t>
      </w:r>
      <w:r w:rsidRPr="0001502D">
        <w:rPr>
          <w:rFonts w:ascii="Arial" w:hAnsi="Arial" w:cs="Arial"/>
          <w:sz w:val="22"/>
          <w:szCs w:val="22"/>
        </w:rPr>
        <w:t>élément entretient avec la communauté.</w:t>
      </w:r>
    </w:p>
    <w:p w14:paraId="7E0081A4" w14:textId="17B957FF" w:rsidR="0001502D" w:rsidRPr="0001502D" w:rsidRDefault="0001502D" w:rsidP="00BD3FF4">
      <w:pPr>
        <w:tabs>
          <w:tab w:val="left" w:pos="1134"/>
          <w:tab w:val="left" w:pos="2268"/>
        </w:tabs>
        <w:spacing w:before="120" w:after="120"/>
        <w:ind w:left="1134" w:hanging="555"/>
        <w:jc w:val="both"/>
        <w:rPr>
          <w:rFonts w:ascii="Arial" w:hAnsi="Arial" w:cs="Arial"/>
          <w:sz w:val="22"/>
          <w:szCs w:val="22"/>
        </w:rPr>
      </w:pPr>
      <w:r w:rsidRPr="0001502D">
        <w:rPr>
          <w:rFonts w:ascii="Arial" w:hAnsi="Arial" w:cs="Arial"/>
          <w:sz w:val="22"/>
          <w:szCs w:val="22"/>
        </w:rPr>
        <w:t xml:space="preserve">R.2 : </w:t>
      </w:r>
      <w:r w:rsidRPr="0001502D">
        <w:rPr>
          <w:rFonts w:ascii="Arial" w:hAnsi="Arial" w:cs="Arial"/>
          <w:sz w:val="22"/>
          <w:szCs w:val="22"/>
        </w:rPr>
        <w:tab/>
        <w:t>Le dossier ne démontre pas comment l</w:t>
      </w:r>
      <w:r w:rsidR="009C104E">
        <w:rPr>
          <w:rFonts w:ascii="Arial" w:hAnsi="Arial" w:cs="Arial"/>
          <w:sz w:val="22"/>
          <w:szCs w:val="22"/>
        </w:rPr>
        <w:t>’</w:t>
      </w:r>
      <w:r w:rsidRPr="0001502D">
        <w:rPr>
          <w:rFonts w:ascii="Arial" w:hAnsi="Arial" w:cs="Arial"/>
          <w:sz w:val="22"/>
          <w:szCs w:val="22"/>
        </w:rPr>
        <w:t>inscription de la marine de la Boka contribuerait à assurer la visibilité du patrimoine culturel immatériel en général. Il se concentre sur la visibilité et la sensibilisation à l</w:t>
      </w:r>
      <w:r w:rsidR="009C104E">
        <w:rPr>
          <w:rFonts w:ascii="Arial" w:hAnsi="Arial" w:cs="Arial"/>
          <w:sz w:val="22"/>
          <w:szCs w:val="22"/>
        </w:rPr>
        <w:t>’</w:t>
      </w:r>
      <w:r w:rsidRPr="0001502D">
        <w:rPr>
          <w:rFonts w:ascii="Arial" w:hAnsi="Arial" w:cs="Arial"/>
          <w:sz w:val="22"/>
          <w:szCs w:val="22"/>
        </w:rPr>
        <w:t>élément lui-même, mettant en avant les valeurs de la marine de la Boka en lien avec l</w:t>
      </w:r>
      <w:r w:rsidR="009C104E">
        <w:rPr>
          <w:rFonts w:ascii="Arial" w:hAnsi="Arial" w:cs="Arial"/>
          <w:sz w:val="22"/>
          <w:szCs w:val="22"/>
        </w:rPr>
        <w:t>’</w:t>
      </w:r>
      <w:r w:rsidRPr="0001502D">
        <w:rPr>
          <w:rFonts w:ascii="Arial" w:hAnsi="Arial" w:cs="Arial"/>
          <w:sz w:val="22"/>
          <w:szCs w:val="22"/>
        </w:rPr>
        <w:t>identité au niveau local. Il le décrit aussi comme un bon exemple pour d</w:t>
      </w:r>
      <w:r w:rsidR="009C104E">
        <w:rPr>
          <w:rFonts w:ascii="Arial" w:hAnsi="Arial" w:cs="Arial"/>
          <w:sz w:val="22"/>
          <w:szCs w:val="22"/>
        </w:rPr>
        <w:t>’</w:t>
      </w:r>
      <w:r w:rsidRPr="0001502D">
        <w:rPr>
          <w:rFonts w:ascii="Arial" w:hAnsi="Arial" w:cs="Arial"/>
          <w:sz w:val="22"/>
          <w:szCs w:val="22"/>
        </w:rPr>
        <w:t>autres communautés du Monténégro en ce qui concerne la promotion des valeurs culturelles au niveau national. En outre, rien n</w:t>
      </w:r>
      <w:r w:rsidR="009C104E">
        <w:rPr>
          <w:rFonts w:ascii="Arial" w:hAnsi="Arial" w:cs="Arial"/>
          <w:sz w:val="22"/>
          <w:szCs w:val="22"/>
        </w:rPr>
        <w:t>’</w:t>
      </w:r>
      <w:r w:rsidRPr="0001502D">
        <w:rPr>
          <w:rFonts w:ascii="Arial" w:hAnsi="Arial" w:cs="Arial"/>
          <w:sz w:val="22"/>
          <w:szCs w:val="22"/>
        </w:rPr>
        <w:t>indique en quoi l</w:t>
      </w:r>
      <w:r w:rsidR="009C104E">
        <w:rPr>
          <w:rFonts w:ascii="Arial" w:hAnsi="Arial" w:cs="Arial"/>
          <w:sz w:val="22"/>
          <w:szCs w:val="22"/>
        </w:rPr>
        <w:t>’</w:t>
      </w:r>
      <w:r w:rsidRPr="0001502D">
        <w:rPr>
          <w:rFonts w:ascii="Arial" w:hAnsi="Arial" w:cs="Arial"/>
          <w:sz w:val="22"/>
          <w:szCs w:val="22"/>
        </w:rPr>
        <w:t>élément constitue un bon exemple de rassemblement de différentes religions, peuples et cultures, ce qui est indiqué dans le dossier en tant qu</w:t>
      </w:r>
      <w:r w:rsidR="009C104E">
        <w:rPr>
          <w:rFonts w:ascii="Arial" w:hAnsi="Arial" w:cs="Arial"/>
          <w:sz w:val="22"/>
          <w:szCs w:val="22"/>
        </w:rPr>
        <w:t>’</w:t>
      </w:r>
      <w:r w:rsidRPr="0001502D">
        <w:rPr>
          <w:rFonts w:ascii="Arial" w:hAnsi="Arial" w:cs="Arial"/>
          <w:sz w:val="22"/>
          <w:szCs w:val="22"/>
        </w:rPr>
        <w:t>affirmation générale sans justification.</w:t>
      </w:r>
    </w:p>
    <w:p w14:paraId="747A6444" w14:textId="19A3F66F" w:rsidR="0001502D" w:rsidRPr="0001502D" w:rsidRDefault="0001502D" w:rsidP="00BD3FF4">
      <w:pPr>
        <w:tabs>
          <w:tab w:val="left" w:pos="1134"/>
          <w:tab w:val="left" w:pos="2268"/>
        </w:tabs>
        <w:spacing w:before="120" w:after="120"/>
        <w:ind w:left="1134" w:hanging="555"/>
        <w:jc w:val="both"/>
        <w:rPr>
          <w:rFonts w:ascii="Arial" w:hAnsi="Arial" w:cs="Arial"/>
          <w:sz w:val="22"/>
          <w:szCs w:val="22"/>
        </w:rPr>
      </w:pPr>
      <w:r w:rsidRPr="0001502D">
        <w:rPr>
          <w:rFonts w:ascii="Arial" w:hAnsi="Arial" w:cs="Arial"/>
          <w:sz w:val="22"/>
          <w:szCs w:val="22"/>
        </w:rPr>
        <w:t xml:space="preserve">R.3 : </w:t>
      </w:r>
      <w:r w:rsidRPr="0001502D">
        <w:rPr>
          <w:rFonts w:ascii="Arial" w:hAnsi="Arial" w:cs="Arial"/>
          <w:sz w:val="22"/>
          <w:szCs w:val="22"/>
        </w:rPr>
        <w:tab/>
        <w:t>Les mesures de sauvegarde proposées sont liées à des activités actuelles et passées. Cependant, la distinction entre elles n</w:t>
      </w:r>
      <w:r w:rsidR="009C104E">
        <w:rPr>
          <w:rFonts w:ascii="Arial" w:hAnsi="Arial" w:cs="Arial"/>
          <w:sz w:val="22"/>
          <w:szCs w:val="22"/>
        </w:rPr>
        <w:t>’</w:t>
      </w:r>
      <w:r w:rsidRPr="0001502D">
        <w:rPr>
          <w:rFonts w:ascii="Arial" w:hAnsi="Arial" w:cs="Arial"/>
          <w:sz w:val="22"/>
          <w:szCs w:val="22"/>
        </w:rPr>
        <w:t>est pas tout à fait claire, ce qui ne permet pas de déterminer quelles activités spécifiques seront entreprises pour sauvegarder l</w:t>
      </w:r>
      <w:r w:rsidR="009C104E">
        <w:rPr>
          <w:rFonts w:ascii="Arial" w:hAnsi="Arial" w:cs="Arial"/>
          <w:sz w:val="22"/>
          <w:szCs w:val="22"/>
        </w:rPr>
        <w:t>’</w:t>
      </w:r>
      <w:r w:rsidRPr="0001502D">
        <w:rPr>
          <w:rFonts w:ascii="Arial" w:hAnsi="Arial" w:cs="Arial"/>
          <w:sz w:val="22"/>
          <w:szCs w:val="22"/>
        </w:rPr>
        <w:t>élément à l</w:t>
      </w:r>
      <w:r w:rsidR="009C104E">
        <w:rPr>
          <w:rFonts w:ascii="Arial" w:hAnsi="Arial" w:cs="Arial"/>
          <w:sz w:val="22"/>
          <w:szCs w:val="22"/>
        </w:rPr>
        <w:t>’</w:t>
      </w:r>
      <w:r w:rsidRPr="0001502D">
        <w:rPr>
          <w:rFonts w:ascii="Arial" w:hAnsi="Arial" w:cs="Arial"/>
          <w:sz w:val="22"/>
          <w:szCs w:val="22"/>
        </w:rPr>
        <w:t>avenir. De plus, en raison de la confusion sur la nature de l</w:t>
      </w:r>
      <w:r w:rsidR="009C104E">
        <w:rPr>
          <w:rFonts w:ascii="Arial" w:hAnsi="Arial" w:cs="Arial"/>
          <w:sz w:val="22"/>
          <w:szCs w:val="22"/>
        </w:rPr>
        <w:t>’</w:t>
      </w:r>
      <w:r w:rsidRPr="0001502D">
        <w:rPr>
          <w:rFonts w:ascii="Arial" w:hAnsi="Arial" w:cs="Arial"/>
          <w:sz w:val="22"/>
          <w:szCs w:val="22"/>
        </w:rPr>
        <w:t>élément, il n</w:t>
      </w:r>
      <w:r w:rsidR="009C104E">
        <w:rPr>
          <w:rFonts w:ascii="Arial" w:hAnsi="Arial" w:cs="Arial"/>
          <w:sz w:val="22"/>
          <w:szCs w:val="22"/>
        </w:rPr>
        <w:t>’</w:t>
      </w:r>
      <w:r w:rsidRPr="0001502D">
        <w:rPr>
          <w:rFonts w:ascii="Arial" w:hAnsi="Arial" w:cs="Arial"/>
          <w:sz w:val="22"/>
          <w:szCs w:val="22"/>
        </w:rPr>
        <w:t>est pas possible d</w:t>
      </w:r>
      <w:r w:rsidR="009C104E">
        <w:rPr>
          <w:rFonts w:ascii="Arial" w:hAnsi="Arial" w:cs="Arial"/>
          <w:sz w:val="22"/>
          <w:szCs w:val="22"/>
        </w:rPr>
        <w:t>’</w:t>
      </w:r>
      <w:r w:rsidRPr="0001502D">
        <w:rPr>
          <w:rFonts w:ascii="Arial" w:hAnsi="Arial" w:cs="Arial"/>
          <w:sz w:val="22"/>
          <w:szCs w:val="22"/>
        </w:rPr>
        <w:t>identifier qui seront les parties prenantes des mesures, ni comment les communautés participeront à ces mesures. Enfin, d</w:t>
      </w:r>
      <w:r w:rsidR="009C104E">
        <w:rPr>
          <w:rFonts w:ascii="Arial" w:hAnsi="Arial" w:cs="Arial"/>
          <w:sz w:val="22"/>
          <w:szCs w:val="22"/>
        </w:rPr>
        <w:t>’</w:t>
      </w:r>
      <w:r w:rsidRPr="0001502D">
        <w:rPr>
          <w:rFonts w:ascii="Arial" w:hAnsi="Arial" w:cs="Arial"/>
          <w:sz w:val="22"/>
          <w:szCs w:val="22"/>
        </w:rPr>
        <w:t>autres aspects liés aux mesures de sauvegarde sont problématiques : un manque de mesures de sauvegarde visant à répondre aux éventuelles menaces mentionnées résultant du tourisme ; un manque d</w:t>
      </w:r>
      <w:r w:rsidR="009C104E">
        <w:rPr>
          <w:rFonts w:ascii="Arial" w:hAnsi="Arial" w:cs="Arial"/>
          <w:sz w:val="22"/>
          <w:szCs w:val="22"/>
        </w:rPr>
        <w:t>’</w:t>
      </w:r>
      <w:r w:rsidRPr="0001502D">
        <w:rPr>
          <w:rFonts w:ascii="Arial" w:hAnsi="Arial" w:cs="Arial"/>
          <w:sz w:val="22"/>
          <w:szCs w:val="22"/>
        </w:rPr>
        <w:t>explications sur les représentations et les activités cérémonielles en tant que mécanismes de protection ; et l</w:t>
      </w:r>
      <w:r w:rsidR="009C104E">
        <w:rPr>
          <w:rFonts w:ascii="Arial" w:hAnsi="Arial" w:cs="Arial"/>
          <w:sz w:val="22"/>
          <w:szCs w:val="22"/>
        </w:rPr>
        <w:t>’</w:t>
      </w:r>
      <w:r w:rsidRPr="0001502D">
        <w:rPr>
          <w:rFonts w:ascii="Arial" w:hAnsi="Arial" w:cs="Arial"/>
          <w:sz w:val="22"/>
          <w:szCs w:val="22"/>
        </w:rPr>
        <w:t>accent mis sur la « préservation » de la tradition et de ses valeurs.</w:t>
      </w:r>
    </w:p>
    <w:p w14:paraId="16656FEE" w14:textId="0327EF3F" w:rsidR="0001502D" w:rsidRPr="0001502D" w:rsidRDefault="0001502D" w:rsidP="00BD3FF4">
      <w:pPr>
        <w:tabs>
          <w:tab w:val="left" w:pos="1134"/>
          <w:tab w:val="left" w:pos="2268"/>
        </w:tabs>
        <w:spacing w:before="120" w:after="120"/>
        <w:ind w:left="1134" w:hanging="555"/>
        <w:jc w:val="both"/>
        <w:rPr>
          <w:rFonts w:ascii="Arial" w:hAnsi="Arial" w:cs="Arial"/>
          <w:sz w:val="22"/>
          <w:szCs w:val="22"/>
        </w:rPr>
      </w:pPr>
      <w:r w:rsidRPr="0001502D">
        <w:rPr>
          <w:rFonts w:ascii="Arial" w:hAnsi="Arial" w:cs="Arial"/>
          <w:sz w:val="22"/>
          <w:szCs w:val="22"/>
        </w:rPr>
        <w:t xml:space="preserve">R.4 : </w:t>
      </w:r>
      <w:r w:rsidRPr="0001502D">
        <w:rPr>
          <w:rFonts w:ascii="Arial" w:hAnsi="Arial" w:cs="Arial"/>
          <w:sz w:val="22"/>
          <w:szCs w:val="22"/>
        </w:rPr>
        <w:tab/>
        <w:t>Le dossier ne comporte aucune information sur les mécanismes et méthodologies de travail avec les communautés impliquées dans la marine de la Boka. Il mentionne que les membres de la communauté ont été informés des décisions importantes, des réunions, des plans et du contenu du dossier de candidature mais cela n</w:t>
      </w:r>
      <w:r w:rsidR="009C104E">
        <w:rPr>
          <w:rFonts w:ascii="Arial" w:hAnsi="Arial" w:cs="Arial"/>
          <w:sz w:val="22"/>
          <w:szCs w:val="22"/>
        </w:rPr>
        <w:t>’</w:t>
      </w:r>
      <w:r w:rsidRPr="0001502D">
        <w:rPr>
          <w:rFonts w:ascii="Arial" w:hAnsi="Arial" w:cs="Arial"/>
          <w:sz w:val="22"/>
          <w:szCs w:val="22"/>
        </w:rPr>
        <w:t>implique pas qu</w:t>
      </w:r>
      <w:r w:rsidR="009C104E">
        <w:rPr>
          <w:rFonts w:ascii="Arial" w:hAnsi="Arial" w:cs="Arial"/>
          <w:sz w:val="22"/>
          <w:szCs w:val="22"/>
        </w:rPr>
        <w:t>’</w:t>
      </w:r>
      <w:r w:rsidRPr="0001502D">
        <w:rPr>
          <w:rFonts w:ascii="Arial" w:hAnsi="Arial" w:cs="Arial"/>
          <w:sz w:val="22"/>
          <w:szCs w:val="22"/>
        </w:rPr>
        <w:t>ils aient activement participé à sa préparation. En outre, en raison de la description peu claire de l</w:t>
      </w:r>
      <w:r w:rsidR="009C104E">
        <w:rPr>
          <w:rFonts w:ascii="Arial" w:hAnsi="Arial" w:cs="Arial"/>
          <w:sz w:val="22"/>
          <w:szCs w:val="22"/>
        </w:rPr>
        <w:t>’</w:t>
      </w:r>
      <w:r w:rsidRPr="0001502D">
        <w:rPr>
          <w:rFonts w:ascii="Arial" w:hAnsi="Arial" w:cs="Arial"/>
          <w:sz w:val="22"/>
          <w:szCs w:val="22"/>
        </w:rPr>
        <w:t>élément, il n</w:t>
      </w:r>
      <w:r w:rsidR="009C104E">
        <w:rPr>
          <w:rFonts w:ascii="Arial" w:hAnsi="Arial" w:cs="Arial"/>
          <w:sz w:val="22"/>
          <w:szCs w:val="22"/>
        </w:rPr>
        <w:t>’</w:t>
      </w:r>
      <w:r w:rsidRPr="0001502D">
        <w:rPr>
          <w:rFonts w:ascii="Arial" w:hAnsi="Arial" w:cs="Arial"/>
          <w:sz w:val="22"/>
          <w:szCs w:val="22"/>
        </w:rPr>
        <w:t>est pas possible d</w:t>
      </w:r>
      <w:r w:rsidR="009C104E">
        <w:rPr>
          <w:rFonts w:ascii="Arial" w:hAnsi="Arial" w:cs="Arial"/>
          <w:sz w:val="22"/>
          <w:szCs w:val="22"/>
        </w:rPr>
        <w:t>’</w:t>
      </w:r>
      <w:r w:rsidRPr="0001502D">
        <w:rPr>
          <w:rFonts w:ascii="Arial" w:hAnsi="Arial" w:cs="Arial"/>
          <w:sz w:val="22"/>
          <w:szCs w:val="22"/>
        </w:rPr>
        <w:t>identifier les détenteurs de l</w:t>
      </w:r>
      <w:r w:rsidR="009C104E">
        <w:rPr>
          <w:rFonts w:ascii="Arial" w:hAnsi="Arial" w:cs="Arial"/>
          <w:sz w:val="22"/>
          <w:szCs w:val="22"/>
        </w:rPr>
        <w:t>’</w:t>
      </w:r>
      <w:r w:rsidRPr="0001502D">
        <w:rPr>
          <w:rFonts w:ascii="Arial" w:hAnsi="Arial" w:cs="Arial"/>
          <w:sz w:val="22"/>
          <w:szCs w:val="22"/>
        </w:rPr>
        <w:t>élément, ce qui crée une confusion entre les membres de la communauté et les membres de l</w:t>
      </w:r>
      <w:r w:rsidR="009C104E">
        <w:rPr>
          <w:rFonts w:ascii="Arial" w:hAnsi="Arial" w:cs="Arial"/>
          <w:sz w:val="22"/>
          <w:szCs w:val="22"/>
        </w:rPr>
        <w:t>’</w:t>
      </w:r>
      <w:r w:rsidRPr="0001502D">
        <w:rPr>
          <w:rFonts w:ascii="Arial" w:hAnsi="Arial" w:cs="Arial"/>
          <w:sz w:val="22"/>
          <w:szCs w:val="22"/>
        </w:rPr>
        <w:t>organisation.</w:t>
      </w:r>
    </w:p>
    <w:p w14:paraId="4C83AE3D" w14:textId="33E29B8B" w:rsidR="0001502D" w:rsidRPr="0001502D" w:rsidRDefault="0001502D" w:rsidP="00771F30">
      <w:pPr>
        <w:numPr>
          <w:ilvl w:val="1"/>
          <w:numId w:val="27"/>
        </w:numPr>
        <w:tabs>
          <w:tab w:val="left" w:pos="567"/>
          <w:tab w:val="left" w:pos="2268"/>
        </w:tabs>
        <w:spacing w:before="120" w:after="120"/>
        <w:jc w:val="both"/>
        <w:rPr>
          <w:rFonts w:ascii="Arial" w:hAnsi="Arial" w:cs="Arial"/>
          <w:sz w:val="22"/>
          <w:szCs w:val="22"/>
          <w:lang w:eastAsia="ko-KR"/>
        </w:rPr>
      </w:pPr>
      <w:r w:rsidRPr="0001502D">
        <w:rPr>
          <w:rFonts w:ascii="Arial" w:hAnsi="Arial" w:cs="Arial"/>
          <w:sz w:val="22"/>
          <w:szCs w:val="22"/>
          <w:u w:val="single"/>
          <w:lang w:eastAsia="ko-KR"/>
        </w:rPr>
        <w:t>Décide de renvoyer</w:t>
      </w:r>
      <w:r w:rsidRPr="0001502D">
        <w:rPr>
          <w:rFonts w:ascii="Arial" w:hAnsi="Arial" w:cs="Arial"/>
          <w:sz w:val="22"/>
          <w:szCs w:val="22"/>
          <w:lang w:eastAsia="ko-KR"/>
        </w:rPr>
        <w:t xml:space="preserve"> la candidature de </w:t>
      </w:r>
      <w:r w:rsidRPr="0001502D">
        <w:rPr>
          <w:rFonts w:ascii="Arial" w:hAnsi="Arial" w:cs="Arial"/>
          <w:b/>
          <w:bCs/>
          <w:sz w:val="22"/>
          <w:szCs w:val="22"/>
          <w:lang w:eastAsia="ko-KR"/>
        </w:rPr>
        <w:t>la marine de la Boka, organisation maritime traditionnelle</w:t>
      </w:r>
      <w:r w:rsidRPr="0001502D">
        <w:rPr>
          <w:rFonts w:ascii="Arial" w:hAnsi="Arial" w:cs="Arial"/>
          <w:sz w:val="22"/>
          <w:szCs w:val="22"/>
          <w:lang w:eastAsia="ko-KR"/>
        </w:rPr>
        <w:t xml:space="preserve"> à l</w:t>
      </w:r>
      <w:r w:rsidR="009C104E">
        <w:rPr>
          <w:rFonts w:ascii="Arial" w:hAnsi="Arial" w:cs="Arial"/>
          <w:sz w:val="22"/>
          <w:szCs w:val="22"/>
          <w:lang w:eastAsia="ko-KR"/>
        </w:rPr>
        <w:t>’</w:t>
      </w:r>
      <w:r w:rsidRPr="0001502D">
        <w:rPr>
          <w:rFonts w:ascii="Arial" w:hAnsi="Arial" w:cs="Arial"/>
          <w:sz w:val="22"/>
          <w:szCs w:val="22"/>
          <w:lang w:eastAsia="ko-KR"/>
        </w:rPr>
        <w:t>État partie soumissionnaire et l</w:t>
      </w:r>
      <w:r w:rsidR="009C104E">
        <w:rPr>
          <w:rFonts w:ascii="Arial" w:hAnsi="Arial" w:cs="Arial"/>
          <w:sz w:val="22"/>
          <w:szCs w:val="22"/>
          <w:lang w:eastAsia="ko-KR"/>
        </w:rPr>
        <w:t>’</w:t>
      </w:r>
      <w:r w:rsidRPr="0001502D">
        <w:rPr>
          <w:rFonts w:ascii="Arial" w:hAnsi="Arial" w:cs="Arial"/>
          <w:sz w:val="22"/>
          <w:szCs w:val="22"/>
          <w:u w:val="single"/>
          <w:lang w:eastAsia="ko-KR"/>
        </w:rPr>
        <w:t>invite</w:t>
      </w:r>
      <w:r w:rsidRPr="0001502D">
        <w:rPr>
          <w:rFonts w:ascii="Arial" w:hAnsi="Arial" w:cs="Arial"/>
          <w:sz w:val="22"/>
          <w:szCs w:val="22"/>
          <w:lang w:eastAsia="ko-KR"/>
        </w:rPr>
        <w:t xml:space="preserve"> à resoumettre la candidature au Comité pour examen au cours d</w:t>
      </w:r>
      <w:r w:rsidR="009C104E">
        <w:rPr>
          <w:rFonts w:ascii="Arial" w:hAnsi="Arial" w:cs="Arial"/>
          <w:sz w:val="22"/>
          <w:szCs w:val="22"/>
          <w:lang w:eastAsia="ko-KR"/>
        </w:rPr>
        <w:t>’</w:t>
      </w:r>
      <w:r w:rsidRPr="0001502D">
        <w:rPr>
          <w:rFonts w:ascii="Arial" w:hAnsi="Arial" w:cs="Arial"/>
          <w:sz w:val="22"/>
          <w:szCs w:val="22"/>
          <w:lang w:eastAsia="ko-KR"/>
        </w:rPr>
        <w:t>un cycle ultérieur ;</w:t>
      </w:r>
    </w:p>
    <w:p w14:paraId="72C03D83" w14:textId="6368B0D2" w:rsidR="0001502D" w:rsidRPr="0001502D" w:rsidRDefault="0001502D" w:rsidP="00771F30">
      <w:pPr>
        <w:numPr>
          <w:ilvl w:val="1"/>
          <w:numId w:val="27"/>
        </w:numPr>
        <w:tabs>
          <w:tab w:val="left" w:pos="567"/>
          <w:tab w:val="left" w:pos="2268"/>
        </w:tabs>
        <w:spacing w:before="120" w:after="120"/>
        <w:jc w:val="both"/>
        <w:rPr>
          <w:rFonts w:ascii="Arial" w:hAnsi="Arial" w:cs="Arial"/>
          <w:sz w:val="22"/>
          <w:szCs w:val="22"/>
          <w:lang w:eastAsia="ko-KR"/>
        </w:rPr>
      </w:pPr>
      <w:r w:rsidRPr="0001502D">
        <w:rPr>
          <w:rFonts w:ascii="Arial" w:hAnsi="Arial" w:cs="Arial"/>
          <w:sz w:val="22"/>
          <w:szCs w:val="22"/>
          <w:u w:val="single"/>
          <w:lang w:eastAsia="ko-KR"/>
        </w:rPr>
        <w:t>Encourage</w:t>
      </w:r>
      <w:r w:rsidRPr="0001502D">
        <w:rPr>
          <w:rFonts w:ascii="Arial" w:hAnsi="Arial" w:cs="Arial"/>
          <w:sz w:val="22"/>
          <w:szCs w:val="22"/>
          <w:lang w:eastAsia="ko-KR"/>
        </w:rPr>
        <w:t xml:space="preserve"> l</w:t>
      </w:r>
      <w:r w:rsidR="009C104E">
        <w:rPr>
          <w:rFonts w:ascii="Arial" w:hAnsi="Arial" w:cs="Arial"/>
          <w:sz w:val="22"/>
          <w:szCs w:val="22"/>
          <w:lang w:eastAsia="ko-KR"/>
        </w:rPr>
        <w:t>’</w:t>
      </w:r>
      <w:r w:rsidRPr="0001502D">
        <w:rPr>
          <w:rFonts w:ascii="Arial" w:hAnsi="Arial" w:cs="Arial"/>
          <w:sz w:val="22"/>
          <w:szCs w:val="22"/>
          <w:lang w:eastAsia="ko-KR"/>
        </w:rPr>
        <w:t>État partie à mettre à profit les outils de renforcement des capacités proposés par le Secrétariat afin d</w:t>
      </w:r>
      <w:r w:rsidR="009C104E">
        <w:rPr>
          <w:rFonts w:ascii="Arial" w:hAnsi="Arial" w:cs="Arial"/>
          <w:sz w:val="22"/>
          <w:szCs w:val="22"/>
          <w:lang w:eastAsia="ko-KR"/>
        </w:rPr>
        <w:t>’</w:t>
      </w:r>
      <w:r w:rsidRPr="0001502D">
        <w:rPr>
          <w:rFonts w:ascii="Arial" w:hAnsi="Arial" w:cs="Arial"/>
          <w:sz w:val="22"/>
          <w:szCs w:val="22"/>
          <w:lang w:eastAsia="ko-KR"/>
        </w:rPr>
        <w:t>améliorer son utilisation des différents mécanismes de la Convention.</w:t>
      </w:r>
    </w:p>
    <w:p w14:paraId="5404C53F" w14:textId="60678A65" w:rsidR="0001502D" w:rsidRPr="0001502D" w:rsidRDefault="0001502D" w:rsidP="00771F30">
      <w:pPr>
        <w:keepNext/>
        <w:keepLines/>
        <w:numPr>
          <w:ilvl w:val="0"/>
          <w:numId w:val="27"/>
        </w:numPr>
        <w:spacing w:before="360" w:after="120"/>
        <w:outlineLvl w:val="1"/>
        <w:rPr>
          <w:rFonts w:ascii="Arial" w:hAnsi="Arial" w:cs="Arial"/>
          <w:bCs/>
          <w:iCs/>
          <w:sz w:val="22"/>
          <w:szCs w:val="22"/>
        </w:rPr>
      </w:pPr>
      <w:bookmarkStart w:id="29" w:name="Decision_10b26"/>
      <w:r w:rsidRPr="0001502D">
        <w:rPr>
          <w:rFonts w:ascii="Arial" w:hAnsi="Arial" w:cs="Arial"/>
          <w:b/>
          <w:bCs/>
          <w:iCs/>
          <w:sz w:val="22"/>
          <w:szCs w:val="22"/>
        </w:rPr>
        <w:t xml:space="preserve">DÉCISION 14.COM 10.b.26 </w:t>
      </w:r>
    </w:p>
    <w:bookmarkEnd w:id="29"/>
    <w:p w14:paraId="560FE910" w14:textId="77777777" w:rsidR="0001502D" w:rsidRPr="0001502D" w:rsidRDefault="0001502D" w:rsidP="00BD3FF4">
      <w:pPr>
        <w:keepNext/>
        <w:tabs>
          <w:tab w:val="left" w:pos="567"/>
          <w:tab w:val="left" w:pos="1134"/>
          <w:tab w:val="left" w:pos="1701"/>
          <w:tab w:val="left" w:pos="2268"/>
        </w:tabs>
        <w:spacing w:before="120" w:after="120"/>
        <w:jc w:val="both"/>
        <w:rPr>
          <w:rFonts w:ascii="Arial" w:hAnsi="Arial" w:cs="Arial"/>
          <w:sz w:val="22"/>
          <w:szCs w:val="22"/>
        </w:rPr>
      </w:pPr>
      <w:r w:rsidRPr="0001502D">
        <w:rPr>
          <w:rFonts w:ascii="Arial" w:hAnsi="Arial" w:cs="Arial"/>
          <w:sz w:val="22"/>
          <w:szCs w:val="22"/>
        </w:rPr>
        <w:t>Le Comité,</w:t>
      </w:r>
    </w:p>
    <w:p w14:paraId="3B6CE939" w14:textId="397EDAD4" w:rsidR="0001502D" w:rsidRPr="0001502D" w:rsidRDefault="0001502D" w:rsidP="00771F30">
      <w:pPr>
        <w:numPr>
          <w:ilvl w:val="1"/>
          <w:numId w:val="27"/>
        </w:numPr>
        <w:tabs>
          <w:tab w:val="left" w:pos="567"/>
          <w:tab w:val="left" w:pos="1701"/>
          <w:tab w:val="left" w:pos="2268"/>
        </w:tabs>
        <w:spacing w:before="120" w:after="120"/>
        <w:jc w:val="both"/>
        <w:rPr>
          <w:rFonts w:ascii="Arial" w:hAnsi="Arial" w:cs="Arial"/>
          <w:sz w:val="22"/>
          <w:szCs w:val="22"/>
          <w:lang w:eastAsia="ko-KR"/>
        </w:rPr>
      </w:pPr>
      <w:r w:rsidRPr="0001502D">
        <w:rPr>
          <w:rFonts w:ascii="Arial" w:hAnsi="Arial" w:cs="Arial"/>
          <w:sz w:val="22"/>
          <w:szCs w:val="22"/>
          <w:u w:val="single"/>
          <w:lang w:eastAsia="ko-KR"/>
        </w:rPr>
        <w:t>Prend note</w:t>
      </w:r>
      <w:r w:rsidRPr="0001502D">
        <w:rPr>
          <w:rFonts w:ascii="Arial" w:hAnsi="Arial" w:cs="Arial"/>
          <w:sz w:val="22"/>
          <w:szCs w:val="22"/>
          <w:lang w:eastAsia="ko-KR"/>
        </w:rPr>
        <w:t xml:space="preserve"> que le Maroc a proposé la candidature de </w:t>
      </w:r>
      <w:r w:rsidRPr="0001502D">
        <w:rPr>
          <w:rFonts w:ascii="Arial" w:hAnsi="Arial" w:cs="Arial"/>
          <w:b/>
          <w:bCs/>
          <w:sz w:val="22"/>
          <w:szCs w:val="22"/>
          <w:lang w:eastAsia="ko-KR"/>
        </w:rPr>
        <w:t>Gnaoua</w:t>
      </w:r>
      <w:r w:rsidRPr="0001502D">
        <w:rPr>
          <w:rFonts w:ascii="Arial" w:hAnsi="Arial" w:cs="Arial"/>
          <w:sz w:val="22"/>
          <w:szCs w:val="22"/>
          <w:lang w:eastAsia="ko-KR"/>
        </w:rPr>
        <w:t xml:space="preserve"> (n° 01170) pour inscription sur la Liste représentative du patrimoine culturel immatériel de l</w:t>
      </w:r>
      <w:r w:rsidR="009C104E">
        <w:rPr>
          <w:rFonts w:ascii="Arial" w:hAnsi="Arial" w:cs="Arial"/>
          <w:sz w:val="22"/>
          <w:szCs w:val="22"/>
          <w:lang w:eastAsia="ko-KR"/>
        </w:rPr>
        <w:t>’</w:t>
      </w:r>
      <w:r w:rsidRPr="0001502D">
        <w:rPr>
          <w:rFonts w:ascii="Arial" w:hAnsi="Arial" w:cs="Arial"/>
          <w:sz w:val="22"/>
          <w:szCs w:val="22"/>
          <w:lang w:eastAsia="ko-KR"/>
        </w:rPr>
        <w:t>humanité :</w:t>
      </w:r>
    </w:p>
    <w:p w14:paraId="5C3C0473" w14:textId="4CBBFCB3" w:rsidR="0001502D" w:rsidRPr="0001502D" w:rsidRDefault="0001502D" w:rsidP="00BD3FF4">
      <w:pPr>
        <w:keepNext/>
        <w:tabs>
          <w:tab w:val="left" w:pos="567"/>
          <w:tab w:val="left" w:pos="1701"/>
          <w:tab w:val="left" w:pos="2268"/>
        </w:tabs>
        <w:spacing w:before="120" w:after="120"/>
        <w:ind w:left="567"/>
        <w:jc w:val="both"/>
        <w:rPr>
          <w:rFonts w:ascii="Arial" w:hAnsi="Arial" w:cs="Arial"/>
          <w:sz w:val="22"/>
          <w:szCs w:val="22"/>
        </w:rPr>
      </w:pPr>
      <w:r w:rsidRPr="0001502D">
        <w:rPr>
          <w:rFonts w:ascii="Arial" w:hAnsi="Arial" w:cs="Arial"/>
          <w:sz w:val="22"/>
          <w:szCs w:val="22"/>
        </w:rPr>
        <w:t xml:space="preserve">Le terme gnaoua se rapporte à un ensemble de productions musicales, de performances, de pratiques confrériques et de rituels à vocation thérapeutique où le profane se mêle au sacré. </w:t>
      </w:r>
      <w:r w:rsidR="00010F83">
        <w:rPr>
          <w:rFonts w:ascii="Arial" w:hAnsi="Arial" w:cs="Arial"/>
          <w:sz w:val="22"/>
          <w:szCs w:val="22"/>
        </w:rPr>
        <w:t>G</w:t>
      </w:r>
      <w:r w:rsidRPr="0001502D">
        <w:rPr>
          <w:rFonts w:ascii="Arial" w:hAnsi="Arial" w:cs="Arial"/>
          <w:sz w:val="22"/>
          <w:szCs w:val="22"/>
        </w:rPr>
        <w:t>naoua est avant tout une musique confrérique soufie généralement associée à des paroles à caractère religieux, qui invoque les ancêtres et les esprits. Pratiquée à l</w:t>
      </w:r>
      <w:r w:rsidR="009C104E">
        <w:rPr>
          <w:rFonts w:ascii="Arial" w:hAnsi="Arial" w:cs="Arial"/>
          <w:sz w:val="22"/>
          <w:szCs w:val="22"/>
        </w:rPr>
        <w:t>’</w:t>
      </w:r>
      <w:r w:rsidRPr="0001502D">
        <w:rPr>
          <w:rFonts w:ascii="Arial" w:hAnsi="Arial" w:cs="Arial"/>
          <w:sz w:val="22"/>
          <w:szCs w:val="22"/>
        </w:rPr>
        <w:t>origine par des groupes et des individus issus de l</w:t>
      </w:r>
      <w:r w:rsidR="009C104E">
        <w:rPr>
          <w:rFonts w:ascii="Arial" w:hAnsi="Arial" w:cs="Arial"/>
          <w:sz w:val="22"/>
          <w:szCs w:val="22"/>
        </w:rPr>
        <w:t>’</w:t>
      </w:r>
      <w:r w:rsidRPr="0001502D">
        <w:rPr>
          <w:rFonts w:ascii="Arial" w:hAnsi="Arial" w:cs="Arial"/>
          <w:sz w:val="22"/>
          <w:szCs w:val="22"/>
        </w:rPr>
        <w:t>esclavage et de la traite négrière remontant au moins au XVI</w:t>
      </w:r>
      <w:r w:rsidRPr="0001502D">
        <w:rPr>
          <w:rFonts w:ascii="Arial" w:hAnsi="Arial" w:cs="Arial"/>
          <w:sz w:val="22"/>
          <w:szCs w:val="22"/>
          <w:vertAlign w:val="superscript"/>
        </w:rPr>
        <w:t>e</w:t>
      </w:r>
      <w:r w:rsidRPr="0001502D">
        <w:rPr>
          <w:rFonts w:ascii="Arial" w:hAnsi="Arial" w:cs="Arial"/>
          <w:sz w:val="22"/>
          <w:szCs w:val="22"/>
        </w:rPr>
        <w:t> siècle, la culture gnaoua fait aujourd</w:t>
      </w:r>
      <w:r w:rsidR="009C104E">
        <w:rPr>
          <w:rFonts w:ascii="Arial" w:hAnsi="Arial" w:cs="Arial"/>
          <w:sz w:val="22"/>
          <w:szCs w:val="22"/>
        </w:rPr>
        <w:t>’</w:t>
      </w:r>
      <w:r w:rsidRPr="0001502D">
        <w:rPr>
          <w:rFonts w:ascii="Arial" w:hAnsi="Arial" w:cs="Arial"/>
          <w:sz w:val="22"/>
          <w:szCs w:val="22"/>
        </w:rPr>
        <w:t>hui partie des multiples facettes de l</w:t>
      </w:r>
      <w:r w:rsidR="009C104E">
        <w:rPr>
          <w:rFonts w:ascii="Arial" w:hAnsi="Arial" w:cs="Arial"/>
          <w:sz w:val="22"/>
          <w:szCs w:val="22"/>
        </w:rPr>
        <w:t>’</w:t>
      </w:r>
      <w:r w:rsidRPr="0001502D">
        <w:rPr>
          <w:rFonts w:ascii="Arial" w:hAnsi="Arial" w:cs="Arial"/>
          <w:sz w:val="22"/>
          <w:szCs w:val="22"/>
        </w:rPr>
        <w:t>identité culturelle marocaine. Les gnaoua, notamment ceux de la ville, pratiquent un rituel de possession thérapeutique sous forme d</w:t>
      </w:r>
      <w:r w:rsidR="009C104E">
        <w:rPr>
          <w:rFonts w:ascii="Arial" w:hAnsi="Arial" w:cs="Arial"/>
          <w:sz w:val="22"/>
          <w:szCs w:val="22"/>
        </w:rPr>
        <w:t>’</w:t>
      </w:r>
      <w:r w:rsidRPr="0001502D">
        <w:rPr>
          <w:rFonts w:ascii="Arial" w:hAnsi="Arial" w:cs="Arial"/>
          <w:sz w:val="22"/>
          <w:szCs w:val="22"/>
        </w:rPr>
        <w:t>une veillée de rythmes et de transe où se mêlent des pratiques africaines ancestrales, des influences arabo-musulmanes et des manifestations culturelles berbères autochtones. Les gnaoua de la campagne organisent des repas collectifs offerts aux saints maraboutiques. Certains gnaoua des villes utilisent un instrument de musique à cordes et des crotales, alors que ceux de la campagne ont plus particulièrement recours aux grands tambours et aux crotales. Dans les villes, les costumes sont colorés et brodés tandis que les costumes du monde rural sont blancs et accompagnés d</w:t>
      </w:r>
      <w:r w:rsidR="009C104E">
        <w:rPr>
          <w:rFonts w:ascii="Arial" w:hAnsi="Arial" w:cs="Arial"/>
          <w:sz w:val="22"/>
          <w:szCs w:val="22"/>
        </w:rPr>
        <w:t>’</w:t>
      </w:r>
      <w:r w:rsidRPr="0001502D">
        <w:rPr>
          <w:rFonts w:ascii="Arial" w:hAnsi="Arial" w:cs="Arial"/>
          <w:sz w:val="22"/>
          <w:szCs w:val="22"/>
        </w:rPr>
        <w:t>accessoires. Le nombre de groupes confrériques et de maîtres musiciens ne cesse de s</w:t>
      </w:r>
      <w:r w:rsidR="009C104E">
        <w:rPr>
          <w:rFonts w:ascii="Arial" w:hAnsi="Arial" w:cs="Arial"/>
          <w:sz w:val="22"/>
          <w:szCs w:val="22"/>
        </w:rPr>
        <w:t>’</w:t>
      </w:r>
      <w:r w:rsidRPr="0001502D">
        <w:rPr>
          <w:rFonts w:ascii="Arial" w:hAnsi="Arial" w:cs="Arial"/>
          <w:sz w:val="22"/>
          <w:szCs w:val="22"/>
        </w:rPr>
        <w:t>accroitre dans les villages et les grandes villes du Maroc. Les groupes gnaoua forment des associations et organisent des festivals locaux, régionaux, nationaux et internationaux toute l</w:t>
      </w:r>
      <w:r w:rsidR="009C104E">
        <w:rPr>
          <w:rFonts w:ascii="Arial" w:hAnsi="Arial" w:cs="Arial"/>
          <w:sz w:val="22"/>
          <w:szCs w:val="22"/>
        </w:rPr>
        <w:t>’</w:t>
      </w:r>
      <w:r w:rsidRPr="0001502D">
        <w:rPr>
          <w:rFonts w:ascii="Arial" w:hAnsi="Arial" w:cs="Arial"/>
          <w:sz w:val="22"/>
          <w:szCs w:val="22"/>
        </w:rPr>
        <w:t>année. Cela permet aux jeunes générations de découvrir les paroles et les instruments ainsi que les pratiques et rituels liés à la culture d</w:t>
      </w:r>
      <w:r w:rsidR="00010F83">
        <w:rPr>
          <w:rFonts w:ascii="Arial" w:hAnsi="Arial" w:cs="Arial"/>
          <w:sz w:val="22"/>
          <w:szCs w:val="22"/>
        </w:rPr>
        <w:t>e</w:t>
      </w:r>
      <w:r w:rsidRPr="0001502D">
        <w:rPr>
          <w:rFonts w:ascii="Arial" w:hAnsi="Arial" w:cs="Arial"/>
          <w:sz w:val="22"/>
          <w:szCs w:val="22"/>
        </w:rPr>
        <w:t xml:space="preserve"> </w:t>
      </w:r>
      <w:r w:rsidR="00010F83">
        <w:rPr>
          <w:rFonts w:ascii="Arial" w:hAnsi="Arial" w:cs="Arial"/>
          <w:sz w:val="22"/>
          <w:szCs w:val="22"/>
        </w:rPr>
        <w:t>G</w:t>
      </w:r>
      <w:r w:rsidRPr="0001502D">
        <w:rPr>
          <w:rFonts w:ascii="Arial" w:hAnsi="Arial" w:cs="Arial"/>
          <w:sz w:val="22"/>
          <w:szCs w:val="22"/>
        </w:rPr>
        <w:t>naoua.</w:t>
      </w:r>
    </w:p>
    <w:p w14:paraId="05839A54" w14:textId="5C16D0C5" w:rsidR="0001502D" w:rsidRPr="0001502D" w:rsidRDefault="0001502D" w:rsidP="00771F30">
      <w:pPr>
        <w:keepNext/>
        <w:numPr>
          <w:ilvl w:val="1"/>
          <w:numId w:val="27"/>
        </w:numPr>
        <w:tabs>
          <w:tab w:val="left" w:pos="567"/>
          <w:tab w:val="left" w:pos="1701"/>
          <w:tab w:val="left" w:pos="2268"/>
        </w:tabs>
        <w:spacing w:before="120" w:after="120"/>
        <w:jc w:val="both"/>
        <w:rPr>
          <w:rFonts w:ascii="Arial" w:hAnsi="Arial" w:cs="Arial"/>
          <w:sz w:val="22"/>
          <w:szCs w:val="22"/>
          <w:lang w:eastAsia="ko-KR"/>
        </w:rPr>
      </w:pPr>
      <w:r w:rsidRPr="0001502D">
        <w:rPr>
          <w:rFonts w:ascii="Arial" w:hAnsi="Arial" w:cs="Arial"/>
          <w:sz w:val="22"/>
          <w:szCs w:val="22"/>
          <w:u w:val="single"/>
          <w:lang w:eastAsia="ko-KR"/>
        </w:rPr>
        <w:t>Estime</w:t>
      </w:r>
      <w:r w:rsidRPr="0001502D">
        <w:rPr>
          <w:rFonts w:ascii="Arial" w:hAnsi="Arial" w:cs="Arial"/>
          <w:sz w:val="22"/>
          <w:szCs w:val="22"/>
          <w:lang w:eastAsia="ko-KR"/>
        </w:rPr>
        <w:t xml:space="preserve"> que, d</w:t>
      </w:r>
      <w:r w:rsidR="009C104E">
        <w:rPr>
          <w:rFonts w:ascii="Arial" w:hAnsi="Arial" w:cs="Arial"/>
          <w:sz w:val="22"/>
          <w:szCs w:val="22"/>
          <w:lang w:eastAsia="ko-KR"/>
        </w:rPr>
        <w:t>’</w:t>
      </w:r>
      <w:r w:rsidRPr="0001502D">
        <w:rPr>
          <w:rFonts w:ascii="Arial" w:hAnsi="Arial" w:cs="Arial"/>
          <w:sz w:val="22"/>
          <w:szCs w:val="22"/>
          <w:lang w:eastAsia="ko-KR"/>
        </w:rPr>
        <w:t>après les informations contenues dans le dossier, la candidature satisfait aux critères d</w:t>
      </w:r>
      <w:r w:rsidR="009C104E">
        <w:rPr>
          <w:rFonts w:ascii="Arial" w:hAnsi="Arial" w:cs="Arial"/>
          <w:sz w:val="22"/>
          <w:szCs w:val="22"/>
          <w:lang w:eastAsia="ko-KR"/>
        </w:rPr>
        <w:t>’</w:t>
      </w:r>
      <w:r w:rsidRPr="0001502D">
        <w:rPr>
          <w:rFonts w:ascii="Arial" w:hAnsi="Arial" w:cs="Arial"/>
          <w:sz w:val="22"/>
          <w:szCs w:val="22"/>
          <w:lang w:eastAsia="ko-KR"/>
        </w:rPr>
        <w:t>inscription sur la Liste représentative du patrimoine culturel immatériel de l</w:t>
      </w:r>
      <w:r w:rsidR="009C104E">
        <w:rPr>
          <w:rFonts w:ascii="Arial" w:hAnsi="Arial" w:cs="Arial"/>
          <w:sz w:val="22"/>
          <w:szCs w:val="22"/>
          <w:lang w:eastAsia="ko-KR"/>
        </w:rPr>
        <w:t>’</w:t>
      </w:r>
      <w:r w:rsidRPr="0001502D">
        <w:rPr>
          <w:rFonts w:ascii="Arial" w:hAnsi="Arial" w:cs="Arial"/>
          <w:sz w:val="22"/>
          <w:szCs w:val="22"/>
          <w:lang w:eastAsia="ko-KR"/>
        </w:rPr>
        <w:t>humanité comme suit :</w:t>
      </w:r>
    </w:p>
    <w:p w14:paraId="24C4473C" w14:textId="32E57AE0" w:rsidR="0001502D" w:rsidRPr="0001502D" w:rsidRDefault="0001502D" w:rsidP="00BD3FF4">
      <w:pPr>
        <w:tabs>
          <w:tab w:val="left" w:pos="1134"/>
          <w:tab w:val="left" w:pos="2268"/>
        </w:tabs>
        <w:spacing w:before="120" w:after="120"/>
        <w:ind w:left="1134" w:hanging="555"/>
        <w:jc w:val="both"/>
        <w:rPr>
          <w:rFonts w:ascii="Arial" w:hAnsi="Arial" w:cs="Arial"/>
          <w:sz w:val="22"/>
          <w:szCs w:val="22"/>
        </w:rPr>
      </w:pPr>
      <w:r w:rsidRPr="0001502D">
        <w:rPr>
          <w:rFonts w:ascii="Arial" w:hAnsi="Arial" w:cs="Arial"/>
          <w:sz w:val="22"/>
          <w:szCs w:val="22"/>
        </w:rPr>
        <w:t xml:space="preserve">R.1 : </w:t>
      </w:r>
      <w:r w:rsidRPr="0001502D">
        <w:rPr>
          <w:rFonts w:ascii="Arial" w:hAnsi="Arial" w:cs="Arial"/>
          <w:sz w:val="22"/>
          <w:szCs w:val="22"/>
        </w:rPr>
        <w:tab/>
      </w:r>
      <w:r w:rsidR="00010F83">
        <w:rPr>
          <w:rFonts w:ascii="Arial" w:hAnsi="Arial" w:cs="Arial"/>
          <w:sz w:val="22"/>
          <w:szCs w:val="22"/>
        </w:rPr>
        <w:t>G</w:t>
      </w:r>
      <w:r w:rsidRPr="0001502D">
        <w:rPr>
          <w:rFonts w:ascii="Arial" w:hAnsi="Arial" w:cs="Arial"/>
          <w:sz w:val="22"/>
          <w:szCs w:val="22"/>
        </w:rPr>
        <w:t>naoua procure à ses adeptes et praticiens un sentiment très fort de valorisation identitaire au sein de la société et constitue ainsi un lien social qui non seulement unit les membres d</w:t>
      </w:r>
      <w:r w:rsidR="009C104E">
        <w:rPr>
          <w:rFonts w:ascii="Arial" w:hAnsi="Arial" w:cs="Arial"/>
          <w:sz w:val="22"/>
          <w:szCs w:val="22"/>
        </w:rPr>
        <w:t>’</w:t>
      </w:r>
      <w:r w:rsidRPr="0001502D">
        <w:rPr>
          <w:rFonts w:ascii="Arial" w:hAnsi="Arial" w:cs="Arial"/>
          <w:sz w:val="22"/>
          <w:szCs w:val="22"/>
        </w:rPr>
        <w:t xml:space="preserve">un même groupe, mais aussi les relie aux autres habitants de la ville, du village ou de la région. </w:t>
      </w:r>
      <w:r w:rsidR="00010F83">
        <w:rPr>
          <w:rFonts w:ascii="Arial" w:hAnsi="Arial" w:cs="Arial"/>
          <w:sz w:val="22"/>
          <w:szCs w:val="22"/>
        </w:rPr>
        <w:t>G</w:t>
      </w:r>
      <w:r w:rsidRPr="0001502D">
        <w:rPr>
          <w:rFonts w:ascii="Arial" w:hAnsi="Arial" w:cs="Arial"/>
          <w:sz w:val="22"/>
          <w:szCs w:val="22"/>
        </w:rPr>
        <w:t>naoua revêt également des significations culturelles multiples et profondes. Les chants, les rythmes et les pratiques gnaoua incarnent une culture liée à l</w:t>
      </w:r>
      <w:r w:rsidR="009C104E">
        <w:rPr>
          <w:rFonts w:ascii="Arial" w:hAnsi="Arial" w:cs="Arial"/>
          <w:sz w:val="22"/>
          <w:szCs w:val="22"/>
        </w:rPr>
        <w:t>’</w:t>
      </w:r>
      <w:r w:rsidRPr="0001502D">
        <w:rPr>
          <w:rFonts w:ascii="Arial" w:hAnsi="Arial" w:cs="Arial"/>
          <w:sz w:val="22"/>
          <w:szCs w:val="22"/>
        </w:rPr>
        <w:t>histoire de l</w:t>
      </w:r>
      <w:r w:rsidR="009C104E">
        <w:rPr>
          <w:rFonts w:ascii="Arial" w:hAnsi="Arial" w:cs="Arial"/>
          <w:sz w:val="22"/>
          <w:szCs w:val="22"/>
        </w:rPr>
        <w:t>’</w:t>
      </w:r>
      <w:r w:rsidRPr="0001502D">
        <w:rPr>
          <w:rFonts w:ascii="Arial" w:hAnsi="Arial" w:cs="Arial"/>
          <w:sz w:val="22"/>
          <w:szCs w:val="22"/>
        </w:rPr>
        <w:t xml:space="preserve">esclavage et à la traite négrière en Afrique du Nord. Les connaissances et savoir-faire liés à la culture </w:t>
      </w:r>
      <w:r w:rsidR="00526069">
        <w:rPr>
          <w:rFonts w:ascii="Arial" w:hAnsi="Arial" w:cs="Arial"/>
          <w:sz w:val="22"/>
          <w:szCs w:val="22"/>
        </w:rPr>
        <w:t>g</w:t>
      </w:r>
      <w:r w:rsidR="00526069" w:rsidRPr="0001502D">
        <w:rPr>
          <w:rFonts w:ascii="Arial" w:hAnsi="Arial" w:cs="Arial"/>
          <w:sz w:val="22"/>
          <w:szCs w:val="22"/>
        </w:rPr>
        <w:t xml:space="preserve">naoua </w:t>
      </w:r>
      <w:r w:rsidRPr="0001502D">
        <w:rPr>
          <w:rFonts w:ascii="Arial" w:hAnsi="Arial" w:cs="Arial"/>
          <w:sz w:val="22"/>
          <w:szCs w:val="22"/>
        </w:rPr>
        <w:t>se transmettent de manière informelle au sein de la famille ou dans le cercle social proche des familles gnaoua.</w:t>
      </w:r>
    </w:p>
    <w:p w14:paraId="18ED7D8D" w14:textId="444C8D16" w:rsidR="0001502D" w:rsidRPr="0001502D" w:rsidRDefault="0001502D" w:rsidP="00BD3FF4">
      <w:pPr>
        <w:tabs>
          <w:tab w:val="left" w:pos="1134"/>
          <w:tab w:val="left" w:pos="2268"/>
        </w:tabs>
        <w:spacing w:before="120" w:after="120"/>
        <w:ind w:left="1134" w:hanging="555"/>
        <w:jc w:val="both"/>
        <w:rPr>
          <w:rFonts w:ascii="Arial" w:hAnsi="Arial" w:cs="Arial"/>
          <w:sz w:val="22"/>
          <w:szCs w:val="22"/>
        </w:rPr>
      </w:pPr>
      <w:r w:rsidRPr="0001502D">
        <w:rPr>
          <w:rFonts w:ascii="Arial" w:hAnsi="Arial" w:cs="Arial"/>
          <w:sz w:val="22"/>
          <w:szCs w:val="22"/>
        </w:rPr>
        <w:t xml:space="preserve">R.2 : </w:t>
      </w:r>
      <w:r w:rsidRPr="0001502D">
        <w:rPr>
          <w:rFonts w:ascii="Arial" w:hAnsi="Arial" w:cs="Arial"/>
          <w:sz w:val="22"/>
          <w:szCs w:val="22"/>
        </w:rPr>
        <w:tab/>
        <w:t>L</w:t>
      </w:r>
      <w:r w:rsidR="009C104E">
        <w:rPr>
          <w:rFonts w:ascii="Arial" w:hAnsi="Arial" w:cs="Arial"/>
          <w:sz w:val="22"/>
          <w:szCs w:val="22"/>
        </w:rPr>
        <w:t>’</w:t>
      </w:r>
      <w:r w:rsidRPr="0001502D">
        <w:rPr>
          <w:rFonts w:ascii="Arial" w:hAnsi="Arial" w:cs="Arial"/>
          <w:sz w:val="22"/>
          <w:szCs w:val="22"/>
        </w:rPr>
        <w:t>inscription d</w:t>
      </w:r>
      <w:r w:rsidR="00010F83">
        <w:rPr>
          <w:rFonts w:ascii="Arial" w:hAnsi="Arial" w:cs="Arial"/>
          <w:sz w:val="22"/>
          <w:szCs w:val="22"/>
        </w:rPr>
        <w:t>e</w:t>
      </w:r>
      <w:r w:rsidRPr="0001502D">
        <w:rPr>
          <w:rFonts w:ascii="Arial" w:hAnsi="Arial" w:cs="Arial"/>
          <w:sz w:val="22"/>
          <w:szCs w:val="22"/>
        </w:rPr>
        <w:t xml:space="preserve"> </w:t>
      </w:r>
      <w:r w:rsidR="00010F83">
        <w:rPr>
          <w:rFonts w:ascii="Arial" w:hAnsi="Arial" w:cs="Arial"/>
          <w:sz w:val="22"/>
          <w:szCs w:val="22"/>
        </w:rPr>
        <w:t>G</w:t>
      </w:r>
      <w:r w:rsidRPr="0001502D">
        <w:rPr>
          <w:rFonts w:ascii="Arial" w:hAnsi="Arial" w:cs="Arial"/>
          <w:sz w:val="22"/>
          <w:szCs w:val="22"/>
        </w:rPr>
        <w:t>naoua inciterait d</w:t>
      </w:r>
      <w:r w:rsidR="009C104E">
        <w:rPr>
          <w:rFonts w:ascii="Arial" w:hAnsi="Arial" w:cs="Arial"/>
          <w:sz w:val="22"/>
          <w:szCs w:val="22"/>
        </w:rPr>
        <w:t>’</w:t>
      </w:r>
      <w:r w:rsidRPr="0001502D">
        <w:rPr>
          <w:rFonts w:ascii="Arial" w:hAnsi="Arial" w:cs="Arial"/>
          <w:sz w:val="22"/>
          <w:szCs w:val="22"/>
        </w:rPr>
        <w:t>autres communautés à travers le monde qui détiennent des pratiques musicales similaires à redoubler d</w:t>
      </w:r>
      <w:r w:rsidR="009C104E">
        <w:rPr>
          <w:rFonts w:ascii="Arial" w:hAnsi="Arial" w:cs="Arial"/>
          <w:sz w:val="22"/>
          <w:szCs w:val="22"/>
        </w:rPr>
        <w:t>’</w:t>
      </w:r>
      <w:r w:rsidRPr="0001502D">
        <w:rPr>
          <w:rFonts w:ascii="Arial" w:hAnsi="Arial" w:cs="Arial"/>
          <w:sz w:val="22"/>
          <w:szCs w:val="22"/>
        </w:rPr>
        <w:t>efforts pour sauvegarder leur patrimoine culturel immatériel. Elle encouragerait et renforcerait le dialogue et les échanges entre les groupes gnaoua aussi bien au niveau local et régional qu</w:t>
      </w:r>
      <w:r w:rsidR="009C104E">
        <w:rPr>
          <w:rFonts w:ascii="Arial" w:hAnsi="Arial" w:cs="Arial"/>
          <w:sz w:val="22"/>
          <w:szCs w:val="22"/>
        </w:rPr>
        <w:t>’</w:t>
      </w:r>
      <w:r w:rsidRPr="0001502D">
        <w:rPr>
          <w:rFonts w:ascii="Arial" w:hAnsi="Arial" w:cs="Arial"/>
          <w:sz w:val="22"/>
          <w:szCs w:val="22"/>
        </w:rPr>
        <w:t>à l</w:t>
      </w:r>
      <w:r w:rsidR="009C104E">
        <w:rPr>
          <w:rFonts w:ascii="Arial" w:hAnsi="Arial" w:cs="Arial"/>
          <w:sz w:val="22"/>
          <w:szCs w:val="22"/>
        </w:rPr>
        <w:t>’</w:t>
      </w:r>
      <w:r w:rsidRPr="0001502D">
        <w:rPr>
          <w:rFonts w:ascii="Arial" w:hAnsi="Arial" w:cs="Arial"/>
          <w:sz w:val="22"/>
          <w:szCs w:val="22"/>
        </w:rPr>
        <w:t>échelle nationale, grâce à la multiplication des rencontres et des festivals locaux, régionaux et nationaux, favorisant ainsi la créativité culturelle.</w:t>
      </w:r>
    </w:p>
    <w:p w14:paraId="69F638E7" w14:textId="2C8265A4" w:rsidR="0001502D" w:rsidRPr="0001502D" w:rsidRDefault="0001502D" w:rsidP="00BD3FF4">
      <w:pPr>
        <w:tabs>
          <w:tab w:val="left" w:pos="1134"/>
          <w:tab w:val="left" w:pos="2268"/>
        </w:tabs>
        <w:spacing w:before="120" w:after="120"/>
        <w:ind w:left="1134" w:hanging="555"/>
        <w:jc w:val="both"/>
        <w:rPr>
          <w:rFonts w:ascii="Arial" w:hAnsi="Arial" w:cs="Arial"/>
          <w:sz w:val="22"/>
          <w:szCs w:val="22"/>
        </w:rPr>
      </w:pPr>
      <w:r w:rsidRPr="0001502D">
        <w:rPr>
          <w:rFonts w:ascii="Arial" w:hAnsi="Arial" w:cs="Arial"/>
          <w:sz w:val="22"/>
          <w:szCs w:val="22"/>
        </w:rPr>
        <w:t xml:space="preserve">R.3 : </w:t>
      </w:r>
      <w:r w:rsidRPr="0001502D">
        <w:rPr>
          <w:rFonts w:ascii="Arial" w:hAnsi="Arial" w:cs="Arial"/>
          <w:sz w:val="22"/>
          <w:szCs w:val="22"/>
        </w:rPr>
        <w:tab/>
        <w:t>La viabilité d</w:t>
      </w:r>
      <w:r w:rsidR="00010F83">
        <w:rPr>
          <w:rFonts w:ascii="Arial" w:hAnsi="Arial" w:cs="Arial"/>
          <w:sz w:val="22"/>
          <w:szCs w:val="22"/>
        </w:rPr>
        <w:t>e</w:t>
      </w:r>
      <w:r w:rsidRPr="0001502D">
        <w:rPr>
          <w:rFonts w:ascii="Arial" w:hAnsi="Arial" w:cs="Arial"/>
          <w:sz w:val="22"/>
          <w:szCs w:val="22"/>
        </w:rPr>
        <w:t xml:space="preserve"> </w:t>
      </w:r>
      <w:r w:rsidR="00010F83">
        <w:rPr>
          <w:rFonts w:ascii="Arial" w:hAnsi="Arial" w:cs="Arial"/>
          <w:sz w:val="22"/>
          <w:szCs w:val="22"/>
        </w:rPr>
        <w:t>G</w:t>
      </w:r>
      <w:r w:rsidRPr="0001502D">
        <w:rPr>
          <w:rFonts w:ascii="Arial" w:hAnsi="Arial" w:cs="Arial"/>
          <w:sz w:val="22"/>
          <w:szCs w:val="22"/>
        </w:rPr>
        <w:t>naoua est assurée du fait que l</w:t>
      </w:r>
      <w:r w:rsidR="009C104E">
        <w:rPr>
          <w:rFonts w:ascii="Arial" w:hAnsi="Arial" w:cs="Arial"/>
          <w:sz w:val="22"/>
          <w:szCs w:val="22"/>
        </w:rPr>
        <w:t>’</w:t>
      </w:r>
      <w:r w:rsidRPr="0001502D">
        <w:rPr>
          <w:rFonts w:ascii="Arial" w:hAnsi="Arial" w:cs="Arial"/>
          <w:sz w:val="22"/>
          <w:szCs w:val="22"/>
        </w:rPr>
        <w:t>élément est profondément ancré dans la pratique des communautés et que sa transmission est garantie. Ses détenteurs ainsi que l</w:t>
      </w:r>
      <w:r w:rsidR="009C104E">
        <w:rPr>
          <w:rFonts w:ascii="Arial" w:hAnsi="Arial" w:cs="Arial"/>
          <w:sz w:val="22"/>
          <w:szCs w:val="22"/>
        </w:rPr>
        <w:t>’</w:t>
      </w:r>
      <w:r w:rsidRPr="0001502D">
        <w:rPr>
          <w:rFonts w:ascii="Arial" w:hAnsi="Arial" w:cs="Arial"/>
          <w:sz w:val="22"/>
          <w:szCs w:val="22"/>
        </w:rPr>
        <w:t>État partie ont pris de nombreuses mesures pour assurer sa pérennité. Les mesures de sauvegarde ont été élaborées avec les communautés concernées et s</w:t>
      </w:r>
      <w:r w:rsidR="009C104E">
        <w:rPr>
          <w:rFonts w:ascii="Arial" w:hAnsi="Arial" w:cs="Arial"/>
          <w:sz w:val="22"/>
          <w:szCs w:val="22"/>
        </w:rPr>
        <w:t>’</w:t>
      </w:r>
      <w:r w:rsidRPr="0001502D">
        <w:rPr>
          <w:rFonts w:ascii="Arial" w:hAnsi="Arial" w:cs="Arial"/>
          <w:sz w:val="22"/>
          <w:szCs w:val="22"/>
        </w:rPr>
        <w:t>articulent autour de cinq axes principaux : documentation et archivage des données ; recherches académiques et universitaires ; communication et diffusion médiatique ; sensibilisation ; et assistance financière et logistique. Les organismes d</w:t>
      </w:r>
      <w:r w:rsidR="009C104E">
        <w:rPr>
          <w:rFonts w:ascii="Arial" w:hAnsi="Arial" w:cs="Arial"/>
          <w:sz w:val="22"/>
          <w:szCs w:val="22"/>
        </w:rPr>
        <w:t>’</w:t>
      </w:r>
      <w:r w:rsidRPr="0001502D">
        <w:rPr>
          <w:rFonts w:ascii="Arial" w:hAnsi="Arial" w:cs="Arial"/>
          <w:sz w:val="22"/>
          <w:szCs w:val="22"/>
        </w:rPr>
        <w:t>État marocains soutiendront la mise en œuvre des mesures de sauvegarde proposées en finançant directement les activités.</w:t>
      </w:r>
    </w:p>
    <w:p w14:paraId="25F1D5FA" w14:textId="4D684E64" w:rsidR="0001502D" w:rsidRPr="0001502D" w:rsidRDefault="0001502D" w:rsidP="00BD3FF4">
      <w:pPr>
        <w:tabs>
          <w:tab w:val="left" w:pos="1134"/>
          <w:tab w:val="left" w:pos="2268"/>
        </w:tabs>
        <w:spacing w:before="120" w:after="120"/>
        <w:ind w:left="1134" w:hanging="555"/>
        <w:jc w:val="both"/>
        <w:rPr>
          <w:rFonts w:ascii="Arial" w:hAnsi="Arial" w:cs="Arial"/>
          <w:sz w:val="22"/>
          <w:szCs w:val="22"/>
        </w:rPr>
      </w:pPr>
      <w:r w:rsidRPr="0001502D">
        <w:rPr>
          <w:rFonts w:ascii="Arial" w:hAnsi="Arial" w:cs="Arial"/>
          <w:sz w:val="22"/>
          <w:szCs w:val="22"/>
        </w:rPr>
        <w:t xml:space="preserve">R.4 : </w:t>
      </w:r>
      <w:r w:rsidRPr="0001502D">
        <w:rPr>
          <w:rFonts w:ascii="Arial" w:hAnsi="Arial" w:cs="Arial"/>
          <w:sz w:val="22"/>
          <w:szCs w:val="22"/>
        </w:rPr>
        <w:tab/>
        <w:t>La communauté a joué un rôle clé dans toutes les étapes du processus. L</w:t>
      </w:r>
      <w:r w:rsidR="009C104E">
        <w:rPr>
          <w:rFonts w:ascii="Arial" w:hAnsi="Arial" w:cs="Arial"/>
          <w:sz w:val="22"/>
          <w:szCs w:val="22"/>
        </w:rPr>
        <w:t>’</w:t>
      </w:r>
      <w:r w:rsidRPr="0001502D">
        <w:rPr>
          <w:rFonts w:ascii="Arial" w:hAnsi="Arial" w:cs="Arial"/>
          <w:sz w:val="22"/>
          <w:szCs w:val="22"/>
        </w:rPr>
        <w:t>association Yerma-Gnaoua (dédiée à la promotion et à la diffusion du patrimoine gnaoua) a lancé l</w:t>
      </w:r>
      <w:r w:rsidR="009C104E">
        <w:rPr>
          <w:rFonts w:ascii="Arial" w:hAnsi="Arial" w:cs="Arial"/>
          <w:sz w:val="22"/>
          <w:szCs w:val="22"/>
        </w:rPr>
        <w:t>’</w:t>
      </w:r>
      <w:r w:rsidRPr="0001502D">
        <w:rPr>
          <w:rFonts w:ascii="Arial" w:hAnsi="Arial" w:cs="Arial"/>
          <w:sz w:val="22"/>
          <w:szCs w:val="22"/>
        </w:rPr>
        <w:t>initiative de dépôt de candidature en 2013. Depuis, l</w:t>
      </w:r>
      <w:r w:rsidR="009C104E">
        <w:rPr>
          <w:rFonts w:ascii="Arial" w:hAnsi="Arial" w:cs="Arial"/>
          <w:sz w:val="22"/>
          <w:szCs w:val="22"/>
        </w:rPr>
        <w:t>’</w:t>
      </w:r>
      <w:r w:rsidRPr="0001502D">
        <w:rPr>
          <w:rFonts w:ascii="Arial" w:hAnsi="Arial" w:cs="Arial"/>
          <w:sz w:val="22"/>
          <w:szCs w:val="22"/>
        </w:rPr>
        <w:t>État partie et les communautés concernées ont pris part à des réunions, ateliers et activités pour sauvegarder l</w:t>
      </w:r>
      <w:r w:rsidR="009C104E">
        <w:rPr>
          <w:rFonts w:ascii="Arial" w:hAnsi="Arial" w:cs="Arial"/>
          <w:sz w:val="22"/>
          <w:szCs w:val="22"/>
        </w:rPr>
        <w:t>’</w:t>
      </w:r>
      <w:r w:rsidRPr="0001502D">
        <w:rPr>
          <w:rFonts w:ascii="Arial" w:hAnsi="Arial" w:cs="Arial"/>
          <w:sz w:val="22"/>
          <w:szCs w:val="22"/>
        </w:rPr>
        <w:t>élément, élaborer le dossier de candidature et définir les mesures de sauvegarde.</w:t>
      </w:r>
    </w:p>
    <w:p w14:paraId="49AAAC6A" w14:textId="2181FD4D" w:rsidR="0001502D" w:rsidRPr="0001502D" w:rsidRDefault="0001502D" w:rsidP="00BD3FF4">
      <w:pPr>
        <w:tabs>
          <w:tab w:val="left" w:pos="1134"/>
          <w:tab w:val="left" w:pos="2268"/>
        </w:tabs>
        <w:spacing w:before="120" w:after="120"/>
        <w:ind w:left="1134" w:hanging="555"/>
        <w:jc w:val="both"/>
        <w:rPr>
          <w:rFonts w:ascii="Arial" w:hAnsi="Arial" w:cs="Arial"/>
          <w:sz w:val="22"/>
          <w:szCs w:val="22"/>
        </w:rPr>
      </w:pPr>
      <w:r w:rsidRPr="0001502D">
        <w:rPr>
          <w:rFonts w:ascii="Arial" w:hAnsi="Arial" w:cs="Arial"/>
          <w:sz w:val="22"/>
          <w:szCs w:val="22"/>
        </w:rPr>
        <w:t>R.5 :</w:t>
      </w:r>
      <w:r w:rsidRPr="0001502D">
        <w:rPr>
          <w:rFonts w:ascii="Arial" w:hAnsi="Arial" w:cs="Arial"/>
          <w:sz w:val="22"/>
          <w:szCs w:val="22"/>
        </w:rPr>
        <w:tab/>
      </w:r>
      <w:r w:rsidR="00010F83">
        <w:rPr>
          <w:rFonts w:ascii="Arial" w:hAnsi="Arial" w:cs="Arial"/>
          <w:sz w:val="22"/>
          <w:szCs w:val="22"/>
        </w:rPr>
        <w:t>G</w:t>
      </w:r>
      <w:r w:rsidRPr="0001502D">
        <w:rPr>
          <w:rFonts w:ascii="Arial" w:hAnsi="Arial" w:cs="Arial"/>
          <w:sz w:val="22"/>
          <w:szCs w:val="22"/>
        </w:rPr>
        <w:t>naoua a été inscrit dans l</w:t>
      </w:r>
      <w:r w:rsidR="009C104E">
        <w:rPr>
          <w:rFonts w:ascii="Arial" w:hAnsi="Arial" w:cs="Arial"/>
          <w:sz w:val="22"/>
          <w:szCs w:val="22"/>
        </w:rPr>
        <w:t>’</w:t>
      </w:r>
      <w:r w:rsidRPr="0001502D">
        <w:rPr>
          <w:rFonts w:ascii="Arial" w:hAnsi="Arial" w:cs="Arial"/>
          <w:sz w:val="22"/>
          <w:szCs w:val="22"/>
        </w:rPr>
        <w:t>Inventaire et la documentation du patrimoine culturel du Maroc en 2015. Ce registre est mis à jour dès que le besoin se présente. Le processus a été mené avec la participation des communautés lors des festivals et des événements spéciaux et grâce au soutien de l</w:t>
      </w:r>
      <w:r w:rsidR="009C104E">
        <w:rPr>
          <w:rFonts w:ascii="Arial" w:hAnsi="Arial" w:cs="Arial"/>
          <w:sz w:val="22"/>
          <w:szCs w:val="22"/>
        </w:rPr>
        <w:t>’</w:t>
      </w:r>
      <w:r w:rsidRPr="0001502D">
        <w:rPr>
          <w:rFonts w:ascii="Arial" w:hAnsi="Arial" w:cs="Arial"/>
          <w:sz w:val="22"/>
          <w:szCs w:val="22"/>
        </w:rPr>
        <w:t>association Yerma-Gnaoua. La Direction du patrimoine culturel du Ministère de la culture est l</w:t>
      </w:r>
      <w:r w:rsidR="009C104E">
        <w:rPr>
          <w:rFonts w:ascii="Arial" w:hAnsi="Arial" w:cs="Arial"/>
          <w:sz w:val="22"/>
          <w:szCs w:val="22"/>
        </w:rPr>
        <w:t>’</w:t>
      </w:r>
      <w:r w:rsidRPr="0001502D">
        <w:rPr>
          <w:rFonts w:ascii="Arial" w:hAnsi="Arial" w:cs="Arial"/>
          <w:sz w:val="22"/>
          <w:szCs w:val="22"/>
        </w:rPr>
        <w:t>organisme responsable de la gestion et de la mise à jour de l</w:t>
      </w:r>
      <w:r w:rsidR="009C104E">
        <w:rPr>
          <w:rFonts w:ascii="Arial" w:hAnsi="Arial" w:cs="Arial"/>
          <w:sz w:val="22"/>
          <w:szCs w:val="22"/>
        </w:rPr>
        <w:t>’</w:t>
      </w:r>
      <w:r w:rsidRPr="0001502D">
        <w:rPr>
          <w:rFonts w:ascii="Arial" w:hAnsi="Arial" w:cs="Arial"/>
          <w:sz w:val="22"/>
          <w:szCs w:val="22"/>
        </w:rPr>
        <w:t>inventaire.</w:t>
      </w:r>
    </w:p>
    <w:p w14:paraId="33A53B1F" w14:textId="613A82CC" w:rsidR="0001502D" w:rsidRPr="0001502D" w:rsidRDefault="0001502D" w:rsidP="00771F30">
      <w:pPr>
        <w:numPr>
          <w:ilvl w:val="1"/>
          <w:numId w:val="27"/>
        </w:numPr>
        <w:tabs>
          <w:tab w:val="left" w:pos="567"/>
          <w:tab w:val="left" w:pos="1701"/>
          <w:tab w:val="left" w:pos="2268"/>
        </w:tabs>
        <w:spacing w:before="120" w:after="120"/>
        <w:jc w:val="both"/>
        <w:rPr>
          <w:rFonts w:ascii="Arial" w:hAnsi="Arial" w:cs="Arial"/>
          <w:sz w:val="22"/>
          <w:szCs w:val="22"/>
          <w:lang w:eastAsia="ko-KR"/>
        </w:rPr>
      </w:pPr>
      <w:r w:rsidRPr="0001502D">
        <w:rPr>
          <w:rFonts w:ascii="Arial" w:hAnsi="Arial" w:cs="Arial"/>
          <w:sz w:val="22"/>
          <w:szCs w:val="22"/>
          <w:u w:val="single"/>
          <w:lang w:eastAsia="ko-KR"/>
        </w:rPr>
        <w:t>Décide d</w:t>
      </w:r>
      <w:r w:rsidR="009C104E">
        <w:rPr>
          <w:rFonts w:ascii="Arial" w:hAnsi="Arial" w:cs="Arial"/>
          <w:sz w:val="22"/>
          <w:szCs w:val="22"/>
          <w:u w:val="single"/>
          <w:lang w:eastAsia="ko-KR"/>
        </w:rPr>
        <w:t>’</w:t>
      </w:r>
      <w:r w:rsidRPr="0001502D">
        <w:rPr>
          <w:rFonts w:ascii="Arial" w:hAnsi="Arial" w:cs="Arial"/>
          <w:sz w:val="22"/>
          <w:szCs w:val="22"/>
          <w:u w:val="single"/>
          <w:lang w:eastAsia="ko-KR"/>
        </w:rPr>
        <w:t>inscrire</w:t>
      </w:r>
      <w:r w:rsidRPr="0001502D">
        <w:rPr>
          <w:rFonts w:ascii="Arial" w:hAnsi="Arial" w:cs="Arial"/>
          <w:b/>
          <w:bCs/>
          <w:sz w:val="22"/>
          <w:szCs w:val="22"/>
          <w:lang w:eastAsia="ko-KR"/>
        </w:rPr>
        <w:t xml:space="preserve"> Gnaoua</w:t>
      </w:r>
      <w:r w:rsidRPr="0001502D">
        <w:rPr>
          <w:rFonts w:ascii="Arial" w:hAnsi="Arial" w:cs="Arial"/>
          <w:sz w:val="22"/>
          <w:szCs w:val="22"/>
          <w:lang w:eastAsia="ko-KR"/>
        </w:rPr>
        <w:t xml:space="preserve"> sur la Liste représentative du patrimoine culturel immatériel de l</w:t>
      </w:r>
      <w:r w:rsidR="009C104E">
        <w:rPr>
          <w:rFonts w:ascii="Arial" w:hAnsi="Arial" w:cs="Arial"/>
          <w:sz w:val="22"/>
          <w:szCs w:val="22"/>
          <w:lang w:eastAsia="ko-KR"/>
        </w:rPr>
        <w:t>’</w:t>
      </w:r>
      <w:r w:rsidRPr="0001502D">
        <w:rPr>
          <w:rFonts w:ascii="Arial" w:hAnsi="Arial" w:cs="Arial"/>
          <w:sz w:val="22"/>
          <w:szCs w:val="22"/>
          <w:lang w:eastAsia="ko-KR"/>
        </w:rPr>
        <w:t>humanité ;</w:t>
      </w:r>
    </w:p>
    <w:p w14:paraId="64D9DB38" w14:textId="210927F0" w:rsidR="0001502D" w:rsidRPr="0001502D" w:rsidRDefault="0001502D" w:rsidP="00771F30">
      <w:pPr>
        <w:numPr>
          <w:ilvl w:val="1"/>
          <w:numId w:val="27"/>
        </w:numPr>
        <w:tabs>
          <w:tab w:val="left" w:pos="567"/>
          <w:tab w:val="left" w:pos="1701"/>
          <w:tab w:val="left" w:pos="2268"/>
        </w:tabs>
        <w:spacing w:before="120" w:after="120"/>
        <w:jc w:val="both"/>
        <w:rPr>
          <w:rFonts w:ascii="Arial" w:hAnsi="Arial" w:cs="Arial"/>
          <w:sz w:val="22"/>
          <w:szCs w:val="22"/>
          <w:lang w:eastAsia="ko-KR"/>
        </w:rPr>
      </w:pPr>
      <w:r w:rsidRPr="0001502D">
        <w:rPr>
          <w:rFonts w:ascii="Arial" w:hAnsi="Arial" w:cs="Arial"/>
          <w:sz w:val="22"/>
          <w:szCs w:val="22"/>
          <w:u w:val="single"/>
          <w:lang w:eastAsia="ko-KR"/>
        </w:rPr>
        <w:t>Encourage</w:t>
      </w:r>
      <w:r w:rsidRPr="0001502D">
        <w:rPr>
          <w:rFonts w:ascii="Arial" w:hAnsi="Arial" w:cs="Arial"/>
          <w:sz w:val="22"/>
          <w:szCs w:val="22"/>
          <w:lang w:eastAsia="ko-KR"/>
        </w:rPr>
        <w:t xml:space="preserve"> l</w:t>
      </w:r>
      <w:r w:rsidR="009C104E">
        <w:rPr>
          <w:rFonts w:ascii="Arial" w:hAnsi="Arial" w:cs="Arial"/>
          <w:sz w:val="22"/>
          <w:szCs w:val="22"/>
          <w:lang w:eastAsia="ko-KR"/>
        </w:rPr>
        <w:t>’</w:t>
      </w:r>
      <w:r w:rsidRPr="0001502D">
        <w:rPr>
          <w:rFonts w:ascii="Arial" w:hAnsi="Arial" w:cs="Arial"/>
          <w:sz w:val="22"/>
          <w:szCs w:val="22"/>
          <w:lang w:eastAsia="ko-KR"/>
        </w:rPr>
        <w:t>État partie à accorder plus d</w:t>
      </w:r>
      <w:r w:rsidR="009C104E">
        <w:rPr>
          <w:rFonts w:ascii="Arial" w:hAnsi="Arial" w:cs="Arial"/>
          <w:sz w:val="22"/>
          <w:szCs w:val="22"/>
          <w:lang w:eastAsia="ko-KR"/>
        </w:rPr>
        <w:t>’</w:t>
      </w:r>
      <w:r w:rsidRPr="0001502D">
        <w:rPr>
          <w:rFonts w:ascii="Arial" w:hAnsi="Arial" w:cs="Arial"/>
          <w:sz w:val="22"/>
          <w:szCs w:val="22"/>
          <w:lang w:eastAsia="ko-KR"/>
        </w:rPr>
        <w:t>importance à l</w:t>
      </w:r>
      <w:r w:rsidR="009C104E">
        <w:rPr>
          <w:rFonts w:ascii="Arial" w:hAnsi="Arial" w:cs="Arial"/>
          <w:sz w:val="22"/>
          <w:szCs w:val="22"/>
          <w:lang w:eastAsia="ko-KR"/>
        </w:rPr>
        <w:t>’</w:t>
      </w:r>
      <w:r w:rsidRPr="0001502D">
        <w:rPr>
          <w:rFonts w:ascii="Arial" w:hAnsi="Arial" w:cs="Arial"/>
          <w:sz w:val="22"/>
          <w:szCs w:val="22"/>
          <w:lang w:eastAsia="ko-KR"/>
        </w:rPr>
        <w:t>égalité des genres dans la sauvegarde de l</w:t>
      </w:r>
      <w:r w:rsidR="009C104E">
        <w:rPr>
          <w:rFonts w:ascii="Arial" w:hAnsi="Arial" w:cs="Arial"/>
          <w:sz w:val="22"/>
          <w:szCs w:val="22"/>
          <w:lang w:eastAsia="ko-KR"/>
        </w:rPr>
        <w:t>’</w:t>
      </w:r>
      <w:r w:rsidRPr="0001502D">
        <w:rPr>
          <w:rFonts w:ascii="Arial" w:hAnsi="Arial" w:cs="Arial"/>
          <w:sz w:val="22"/>
          <w:szCs w:val="22"/>
          <w:lang w:eastAsia="ko-KR"/>
        </w:rPr>
        <w:t>élément en reconnaissant le rôle actif des femmes dans sa pratique ;</w:t>
      </w:r>
    </w:p>
    <w:p w14:paraId="14BBCDB6" w14:textId="7D57BDEE" w:rsidR="0001502D" w:rsidRPr="0001502D" w:rsidRDefault="0001502D" w:rsidP="00771F30">
      <w:pPr>
        <w:numPr>
          <w:ilvl w:val="1"/>
          <w:numId w:val="27"/>
        </w:numPr>
        <w:tabs>
          <w:tab w:val="left" w:pos="567"/>
          <w:tab w:val="left" w:pos="1701"/>
          <w:tab w:val="left" w:pos="2268"/>
        </w:tabs>
        <w:spacing w:before="120" w:after="120"/>
        <w:jc w:val="both"/>
        <w:rPr>
          <w:rFonts w:ascii="Arial" w:hAnsi="Arial" w:cs="Arial"/>
          <w:sz w:val="22"/>
          <w:szCs w:val="22"/>
          <w:lang w:eastAsia="ko-KR"/>
        </w:rPr>
      </w:pPr>
      <w:r w:rsidRPr="0001502D">
        <w:rPr>
          <w:rFonts w:ascii="Arial" w:hAnsi="Arial" w:cs="Arial"/>
          <w:sz w:val="22"/>
          <w:szCs w:val="22"/>
          <w:u w:val="single"/>
          <w:lang w:eastAsia="ko-KR"/>
        </w:rPr>
        <w:t>Félicite</w:t>
      </w:r>
      <w:r w:rsidRPr="0001502D">
        <w:rPr>
          <w:rFonts w:ascii="Arial" w:hAnsi="Arial" w:cs="Arial"/>
          <w:sz w:val="22"/>
          <w:szCs w:val="22"/>
          <w:lang w:eastAsia="ko-KR"/>
        </w:rPr>
        <w:t xml:space="preserve"> l</w:t>
      </w:r>
      <w:r w:rsidR="009C104E">
        <w:rPr>
          <w:rFonts w:ascii="Arial" w:hAnsi="Arial" w:cs="Arial"/>
          <w:sz w:val="22"/>
          <w:szCs w:val="22"/>
          <w:lang w:eastAsia="ko-KR"/>
        </w:rPr>
        <w:t>’</w:t>
      </w:r>
      <w:r w:rsidRPr="0001502D">
        <w:rPr>
          <w:rFonts w:ascii="Arial" w:hAnsi="Arial" w:cs="Arial"/>
          <w:sz w:val="22"/>
          <w:szCs w:val="22"/>
          <w:lang w:eastAsia="ko-KR"/>
        </w:rPr>
        <w:t>État partie d</w:t>
      </w:r>
      <w:r w:rsidR="009C104E">
        <w:rPr>
          <w:rFonts w:ascii="Arial" w:hAnsi="Arial" w:cs="Arial"/>
          <w:sz w:val="22"/>
          <w:szCs w:val="22"/>
          <w:lang w:eastAsia="ko-KR"/>
        </w:rPr>
        <w:t>’</w:t>
      </w:r>
      <w:r w:rsidRPr="0001502D">
        <w:rPr>
          <w:rFonts w:ascii="Arial" w:hAnsi="Arial" w:cs="Arial"/>
          <w:sz w:val="22"/>
          <w:szCs w:val="22"/>
          <w:lang w:eastAsia="ko-KR"/>
        </w:rPr>
        <w:t>avoir fourni des preuves du consentement de la communauté par le biais de formats personnalisés plutôt que standardisés, notamment en utilisant des vidéos.</w:t>
      </w:r>
    </w:p>
    <w:p w14:paraId="03CF74D8" w14:textId="12DF39B5" w:rsidR="0001502D" w:rsidRPr="0001502D" w:rsidRDefault="0001502D" w:rsidP="00771F30">
      <w:pPr>
        <w:keepNext/>
        <w:keepLines/>
        <w:numPr>
          <w:ilvl w:val="0"/>
          <w:numId w:val="27"/>
        </w:numPr>
        <w:spacing w:before="360" w:after="120"/>
        <w:outlineLvl w:val="1"/>
        <w:rPr>
          <w:rFonts w:ascii="Arial" w:hAnsi="Arial" w:cs="Arial"/>
          <w:bCs/>
          <w:iCs/>
          <w:sz w:val="22"/>
          <w:szCs w:val="22"/>
        </w:rPr>
      </w:pPr>
      <w:bookmarkStart w:id="30" w:name="Decision_10b27"/>
      <w:r w:rsidRPr="0001502D">
        <w:rPr>
          <w:rFonts w:ascii="Arial" w:hAnsi="Arial" w:cs="Arial"/>
          <w:b/>
          <w:bCs/>
          <w:iCs/>
          <w:sz w:val="22"/>
          <w:szCs w:val="22"/>
        </w:rPr>
        <w:t xml:space="preserve">DÉCISION 14.COM 10.b.27 </w:t>
      </w:r>
    </w:p>
    <w:bookmarkEnd w:id="30"/>
    <w:p w14:paraId="48C23F03" w14:textId="77777777" w:rsidR="0001502D" w:rsidRPr="0001502D" w:rsidRDefault="0001502D" w:rsidP="00BD3FF4">
      <w:pPr>
        <w:keepNext/>
        <w:tabs>
          <w:tab w:val="left" w:pos="567"/>
          <w:tab w:val="left" w:pos="1134"/>
          <w:tab w:val="left" w:pos="1701"/>
          <w:tab w:val="left" w:pos="2268"/>
        </w:tabs>
        <w:spacing w:before="120" w:after="120"/>
        <w:jc w:val="both"/>
        <w:rPr>
          <w:rFonts w:ascii="Arial" w:hAnsi="Arial" w:cs="Arial"/>
          <w:sz w:val="22"/>
          <w:szCs w:val="22"/>
        </w:rPr>
      </w:pPr>
      <w:r w:rsidRPr="0001502D">
        <w:rPr>
          <w:rFonts w:ascii="Arial" w:hAnsi="Arial" w:cs="Arial"/>
          <w:sz w:val="22"/>
          <w:szCs w:val="22"/>
        </w:rPr>
        <w:t>Le Comité,</w:t>
      </w:r>
    </w:p>
    <w:p w14:paraId="5EF826F0" w14:textId="66462C0E" w:rsidR="0001502D" w:rsidRPr="0001502D" w:rsidRDefault="0001502D" w:rsidP="00771F30">
      <w:pPr>
        <w:numPr>
          <w:ilvl w:val="1"/>
          <w:numId w:val="27"/>
        </w:numPr>
        <w:tabs>
          <w:tab w:val="left" w:pos="567"/>
          <w:tab w:val="left" w:pos="1701"/>
          <w:tab w:val="left" w:pos="2268"/>
        </w:tabs>
        <w:spacing w:before="120" w:after="120"/>
        <w:jc w:val="both"/>
        <w:rPr>
          <w:rFonts w:ascii="Arial" w:hAnsi="Arial" w:cs="Arial"/>
          <w:sz w:val="22"/>
          <w:szCs w:val="22"/>
          <w:lang w:eastAsia="ko-KR"/>
        </w:rPr>
      </w:pPr>
      <w:r w:rsidRPr="0001502D">
        <w:rPr>
          <w:rFonts w:ascii="Arial" w:hAnsi="Arial" w:cs="Arial"/>
          <w:sz w:val="22"/>
          <w:szCs w:val="22"/>
          <w:u w:val="single"/>
          <w:lang w:eastAsia="ko-KR"/>
        </w:rPr>
        <w:t>Prend note</w:t>
      </w:r>
      <w:r w:rsidRPr="0001502D">
        <w:rPr>
          <w:rFonts w:ascii="Arial" w:hAnsi="Arial" w:cs="Arial"/>
          <w:sz w:val="22"/>
          <w:szCs w:val="22"/>
          <w:lang w:eastAsia="ko-KR"/>
        </w:rPr>
        <w:t xml:space="preserve"> que le Nigéria a proposé la candidature </w:t>
      </w:r>
      <w:r w:rsidRPr="0001502D">
        <w:rPr>
          <w:rFonts w:ascii="Arial" w:hAnsi="Arial" w:cs="Arial"/>
          <w:b/>
          <w:sz w:val="22"/>
          <w:szCs w:val="22"/>
          <w:lang w:eastAsia="ko-KR"/>
        </w:rPr>
        <w:t xml:space="preserve">du </w:t>
      </w:r>
      <w:r w:rsidRPr="0001502D">
        <w:rPr>
          <w:rFonts w:ascii="Arial" w:hAnsi="Arial" w:cs="Arial"/>
          <w:b/>
          <w:bCs/>
          <w:sz w:val="22"/>
          <w:szCs w:val="22"/>
          <w:lang w:eastAsia="ko-KR"/>
        </w:rPr>
        <w:t>kwagh-hir, représentation théâtrale</w:t>
      </w:r>
      <w:r w:rsidRPr="0001502D">
        <w:rPr>
          <w:rFonts w:ascii="Arial" w:hAnsi="Arial" w:cs="Arial"/>
          <w:sz w:val="22"/>
          <w:szCs w:val="22"/>
          <w:lang w:eastAsia="ko-KR"/>
        </w:rPr>
        <w:t xml:space="preserve"> (n° 00683) pour inscription sur la Liste représentative du patrimoine culturel immatériel de l</w:t>
      </w:r>
      <w:r w:rsidR="009C104E">
        <w:rPr>
          <w:rFonts w:ascii="Arial" w:hAnsi="Arial" w:cs="Arial"/>
          <w:sz w:val="22"/>
          <w:szCs w:val="22"/>
          <w:lang w:eastAsia="ko-KR"/>
        </w:rPr>
        <w:t>’</w:t>
      </w:r>
      <w:r w:rsidRPr="0001502D">
        <w:rPr>
          <w:rFonts w:ascii="Arial" w:hAnsi="Arial" w:cs="Arial"/>
          <w:sz w:val="22"/>
          <w:szCs w:val="22"/>
          <w:lang w:eastAsia="ko-KR"/>
        </w:rPr>
        <w:t>humanité :</w:t>
      </w:r>
    </w:p>
    <w:p w14:paraId="70FA9EA6" w14:textId="006B02AC" w:rsidR="0001502D" w:rsidRPr="0001502D" w:rsidRDefault="0001502D" w:rsidP="00BD3FF4">
      <w:pPr>
        <w:tabs>
          <w:tab w:val="left" w:pos="567"/>
          <w:tab w:val="left" w:pos="1701"/>
          <w:tab w:val="left" w:pos="2268"/>
        </w:tabs>
        <w:spacing w:before="120" w:after="120"/>
        <w:ind w:left="567"/>
        <w:jc w:val="both"/>
        <w:rPr>
          <w:rFonts w:ascii="Arial" w:hAnsi="Arial" w:cs="Arial"/>
          <w:sz w:val="22"/>
          <w:szCs w:val="22"/>
        </w:rPr>
      </w:pPr>
      <w:r w:rsidRPr="0001502D">
        <w:rPr>
          <w:rFonts w:ascii="Arial" w:hAnsi="Arial" w:cs="Arial"/>
          <w:sz w:val="22"/>
          <w:szCs w:val="22"/>
        </w:rPr>
        <w:t>La représentation théâtrale kwagh-hir est une forme d</w:t>
      </w:r>
      <w:r w:rsidR="009C104E">
        <w:rPr>
          <w:rFonts w:ascii="Arial" w:hAnsi="Arial" w:cs="Arial"/>
          <w:sz w:val="22"/>
          <w:szCs w:val="22"/>
        </w:rPr>
        <w:t>’</w:t>
      </w:r>
      <w:r w:rsidRPr="0001502D">
        <w:rPr>
          <w:rFonts w:ascii="Arial" w:hAnsi="Arial" w:cs="Arial"/>
          <w:sz w:val="22"/>
          <w:szCs w:val="22"/>
        </w:rPr>
        <w:t>art composite qui englobe un spectacle à la fois visuellement captivant et édifiant d</w:t>
      </w:r>
      <w:r w:rsidR="009C104E">
        <w:rPr>
          <w:rFonts w:ascii="Arial" w:hAnsi="Arial" w:cs="Arial"/>
          <w:sz w:val="22"/>
          <w:szCs w:val="22"/>
        </w:rPr>
        <w:t>’</w:t>
      </w:r>
      <w:r w:rsidRPr="0001502D">
        <w:rPr>
          <w:rFonts w:ascii="Arial" w:hAnsi="Arial" w:cs="Arial"/>
          <w:sz w:val="22"/>
          <w:szCs w:val="22"/>
        </w:rPr>
        <w:t>un point de vue culturel. Le kwagh-hir puise ses origines dans la tradition des contes du peuple tiv, le « kwagh-alom », une pratique dans le cadre de laquelle des conteurs créatifs invitaient les familles à écouter des récits, généralement à la tombée de la nuit après la journée de travail à la ferme. Au fil du temps les conteurs créatifs ont commencé à mettre ces histoires en scène, une pratique qui a donné lieu à la forme et à l</w:t>
      </w:r>
      <w:r w:rsidR="009C104E">
        <w:rPr>
          <w:rFonts w:ascii="Arial" w:hAnsi="Arial" w:cs="Arial"/>
          <w:sz w:val="22"/>
          <w:szCs w:val="22"/>
        </w:rPr>
        <w:t>’</w:t>
      </w:r>
      <w:r w:rsidRPr="0001502D">
        <w:rPr>
          <w:rFonts w:ascii="Arial" w:hAnsi="Arial" w:cs="Arial"/>
          <w:sz w:val="22"/>
          <w:szCs w:val="22"/>
        </w:rPr>
        <w:t>état actuels du kwagh-hir. Il s</w:t>
      </w:r>
      <w:r w:rsidR="009C104E">
        <w:rPr>
          <w:rFonts w:ascii="Arial" w:hAnsi="Arial" w:cs="Arial"/>
          <w:sz w:val="22"/>
          <w:szCs w:val="22"/>
        </w:rPr>
        <w:t>’</w:t>
      </w:r>
      <w:r w:rsidRPr="0001502D">
        <w:rPr>
          <w:rFonts w:ascii="Arial" w:hAnsi="Arial" w:cs="Arial"/>
          <w:sz w:val="22"/>
          <w:szCs w:val="22"/>
        </w:rPr>
        <w:t>agit d</w:t>
      </w:r>
      <w:r w:rsidR="009C104E">
        <w:rPr>
          <w:rFonts w:ascii="Arial" w:hAnsi="Arial" w:cs="Arial"/>
          <w:sz w:val="22"/>
          <w:szCs w:val="22"/>
        </w:rPr>
        <w:t>’</w:t>
      </w:r>
      <w:r w:rsidRPr="0001502D">
        <w:rPr>
          <w:rFonts w:ascii="Arial" w:hAnsi="Arial" w:cs="Arial"/>
          <w:sz w:val="22"/>
          <w:szCs w:val="22"/>
        </w:rPr>
        <w:t>un spectacle social qui peut divertir et donner des leçons de morale par la mise en scène et l</w:t>
      </w:r>
      <w:r w:rsidR="009C104E">
        <w:rPr>
          <w:rFonts w:ascii="Arial" w:hAnsi="Arial" w:cs="Arial"/>
          <w:sz w:val="22"/>
          <w:szCs w:val="22"/>
        </w:rPr>
        <w:t>’</w:t>
      </w:r>
      <w:r w:rsidRPr="0001502D">
        <w:rPr>
          <w:rFonts w:ascii="Arial" w:hAnsi="Arial" w:cs="Arial"/>
          <w:sz w:val="22"/>
          <w:szCs w:val="22"/>
        </w:rPr>
        <w:t>interprétation de réalités sociales actuelles et passées. En tant que forme de « théâtre total », le kwagh-hir intègre l</w:t>
      </w:r>
      <w:r w:rsidR="009C104E">
        <w:rPr>
          <w:rFonts w:ascii="Arial" w:hAnsi="Arial" w:cs="Arial"/>
          <w:sz w:val="22"/>
          <w:szCs w:val="22"/>
        </w:rPr>
        <w:t>’</w:t>
      </w:r>
      <w:r w:rsidRPr="0001502D">
        <w:rPr>
          <w:rFonts w:ascii="Arial" w:hAnsi="Arial" w:cs="Arial"/>
          <w:sz w:val="22"/>
          <w:szCs w:val="22"/>
        </w:rPr>
        <w:t>art des marionnettes, la mascarade, la poésie, la musique, la danse et les récits animés dans l</w:t>
      </w:r>
      <w:r w:rsidR="009C104E">
        <w:rPr>
          <w:rFonts w:ascii="Arial" w:hAnsi="Arial" w:cs="Arial"/>
          <w:sz w:val="22"/>
          <w:szCs w:val="22"/>
        </w:rPr>
        <w:t>’</w:t>
      </w:r>
      <w:r w:rsidRPr="0001502D">
        <w:rPr>
          <w:rFonts w:ascii="Arial" w:hAnsi="Arial" w:cs="Arial"/>
          <w:sz w:val="22"/>
          <w:szCs w:val="22"/>
        </w:rPr>
        <w:t>expression de la réalité du peuple tiv. Les luttes quotidiennes, les aspirations, les réussites et les échecs sont exprimés dans une mise en scène créative. Le théâtre kwagh-hir appartient à la communauté ; les connaissances et les savoir-faire sont transmis par l</w:t>
      </w:r>
      <w:r w:rsidR="009C104E">
        <w:rPr>
          <w:rFonts w:ascii="Arial" w:hAnsi="Arial" w:cs="Arial"/>
          <w:sz w:val="22"/>
          <w:szCs w:val="22"/>
        </w:rPr>
        <w:t>’</w:t>
      </w:r>
      <w:r w:rsidRPr="0001502D">
        <w:rPr>
          <w:rFonts w:ascii="Arial" w:hAnsi="Arial" w:cs="Arial"/>
          <w:sz w:val="22"/>
          <w:szCs w:val="22"/>
        </w:rPr>
        <w:t>apprentissage. Les personnes qui manifestent leur intérêt pour les activités de la troupe sont formées et encadrées jusqu</w:t>
      </w:r>
      <w:r w:rsidR="009C104E">
        <w:rPr>
          <w:rFonts w:ascii="Arial" w:hAnsi="Arial" w:cs="Arial"/>
          <w:sz w:val="22"/>
          <w:szCs w:val="22"/>
        </w:rPr>
        <w:t>’</w:t>
      </w:r>
      <w:r w:rsidRPr="0001502D">
        <w:rPr>
          <w:rFonts w:ascii="Arial" w:hAnsi="Arial" w:cs="Arial"/>
          <w:sz w:val="22"/>
          <w:szCs w:val="22"/>
        </w:rPr>
        <w:t>à ce qu</w:t>
      </w:r>
      <w:r w:rsidR="009C104E">
        <w:rPr>
          <w:rFonts w:ascii="Arial" w:hAnsi="Arial" w:cs="Arial"/>
          <w:sz w:val="22"/>
          <w:szCs w:val="22"/>
        </w:rPr>
        <w:t>’</w:t>
      </w:r>
      <w:r w:rsidRPr="0001502D">
        <w:rPr>
          <w:rFonts w:ascii="Arial" w:hAnsi="Arial" w:cs="Arial"/>
          <w:sz w:val="22"/>
          <w:szCs w:val="22"/>
        </w:rPr>
        <w:t>elles acquièrent un certain niveau de maîtrise ; elles sont ensuite acceptées dans la troupe. Les représentations sont menées de façon régulière afin d</w:t>
      </w:r>
      <w:r w:rsidR="009C104E">
        <w:rPr>
          <w:rFonts w:ascii="Arial" w:hAnsi="Arial" w:cs="Arial"/>
          <w:sz w:val="22"/>
          <w:szCs w:val="22"/>
        </w:rPr>
        <w:t>’</w:t>
      </w:r>
      <w:r w:rsidRPr="0001502D">
        <w:rPr>
          <w:rFonts w:ascii="Arial" w:hAnsi="Arial" w:cs="Arial"/>
          <w:sz w:val="22"/>
          <w:szCs w:val="22"/>
        </w:rPr>
        <w:t>assurer que l</w:t>
      </w:r>
      <w:r w:rsidR="009C104E">
        <w:rPr>
          <w:rFonts w:ascii="Arial" w:hAnsi="Arial" w:cs="Arial"/>
          <w:sz w:val="22"/>
          <w:szCs w:val="22"/>
        </w:rPr>
        <w:t>’</w:t>
      </w:r>
      <w:r w:rsidRPr="0001502D">
        <w:rPr>
          <w:rFonts w:ascii="Arial" w:hAnsi="Arial" w:cs="Arial"/>
          <w:sz w:val="22"/>
          <w:szCs w:val="22"/>
        </w:rPr>
        <w:t>art continue à vivre et que la jeune génération puisse continuer à s</w:t>
      </w:r>
      <w:r w:rsidR="009C104E">
        <w:rPr>
          <w:rFonts w:ascii="Arial" w:hAnsi="Arial" w:cs="Arial"/>
          <w:sz w:val="22"/>
          <w:szCs w:val="22"/>
        </w:rPr>
        <w:t>’</w:t>
      </w:r>
      <w:r w:rsidRPr="0001502D">
        <w:rPr>
          <w:rFonts w:ascii="Arial" w:hAnsi="Arial" w:cs="Arial"/>
          <w:sz w:val="22"/>
          <w:szCs w:val="22"/>
        </w:rPr>
        <w:t>y identifier.</w:t>
      </w:r>
    </w:p>
    <w:p w14:paraId="59A541DC" w14:textId="59096E68" w:rsidR="0001502D" w:rsidRPr="0001502D" w:rsidRDefault="0001502D" w:rsidP="00771F30">
      <w:pPr>
        <w:keepNext/>
        <w:numPr>
          <w:ilvl w:val="1"/>
          <w:numId w:val="27"/>
        </w:numPr>
        <w:tabs>
          <w:tab w:val="left" w:pos="567"/>
          <w:tab w:val="left" w:pos="1701"/>
          <w:tab w:val="left" w:pos="2268"/>
        </w:tabs>
        <w:spacing w:before="120" w:after="120"/>
        <w:jc w:val="both"/>
        <w:rPr>
          <w:rFonts w:ascii="Arial" w:hAnsi="Arial" w:cs="Arial"/>
          <w:sz w:val="22"/>
          <w:szCs w:val="22"/>
          <w:lang w:eastAsia="ko-KR"/>
        </w:rPr>
      </w:pPr>
      <w:r w:rsidRPr="0001502D">
        <w:rPr>
          <w:rFonts w:ascii="Arial" w:hAnsi="Arial" w:cs="Arial"/>
          <w:sz w:val="22"/>
          <w:szCs w:val="22"/>
          <w:u w:val="single"/>
          <w:lang w:eastAsia="ko-KR"/>
        </w:rPr>
        <w:t>Estime</w:t>
      </w:r>
      <w:r w:rsidRPr="0001502D">
        <w:rPr>
          <w:rFonts w:ascii="Arial" w:hAnsi="Arial" w:cs="Arial"/>
          <w:sz w:val="22"/>
          <w:szCs w:val="22"/>
          <w:lang w:eastAsia="ko-KR"/>
        </w:rPr>
        <w:t xml:space="preserve"> que, d</w:t>
      </w:r>
      <w:r w:rsidR="009C104E">
        <w:rPr>
          <w:rFonts w:ascii="Arial" w:hAnsi="Arial" w:cs="Arial"/>
          <w:sz w:val="22"/>
          <w:szCs w:val="22"/>
          <w:lang w:eastAsia="ko-KR"/>
        </w:rPr>
        <w:t>’</w:t>
      </w:r>
      <w:r w:rsidRPr="0001502D">
        <w:rPr>
          <w:rFonts w:ascii="Arial" w:hAnsi="Arial" w:cs="Arial"/>
          <w:sz w:val="22"/>
          <w:szCs w:val="22"/>
          <w:lang w:eastAsia="ko-KR"/>
        </w:rPr>
        <w:t>après les informations contenues dans le dossier, la candidature satisfait aux critères d</w:t>
      </w:r>
      <w:r w:rsidR="009C104E">
        <w:rPr>
          <w:rFonts w:ascii="Arial" w:hAnsi="Arial" w:cs="Arial"/>
          <w:sz w:val="22"/>
          <w:szCs w:val="22"/>
          <w:lang w:eastAsia="ko-KR"/>
        </w:rPr>
        <w:t>’</w:t>
      </w:r>
      <w:r w:rsidRPr="0001502D">
        <w:rPr>
          <w:rFonts w:ascii="Arial" w:hAnsi="Arial" w:cs="Arial"/>
          <w:sz w:val="22"/>
          <w:szCs w:val="22"/>
          <w:lang w:eastAsia="ko-KR"/>
        </w:rPr>
        <w:t>inscription sur la Liste représentative du patrimoine culturel immatériel de l</w:t>
      </w:r>
      <w:r w:rsidR="009C104E">
        <w:rPr>
          <w:rFonts w:ascii="Arial" w:hAnsi="Arial" w:cs="Arial"/>
          <w:sz w:val="22"/>
          <w:szCs w:val="22"/>
          <w:lang w:eastAsia="ko-KR"/>
        </w:rPr>
        <w:t>’</w:t>
      </w:r>
      <w:r w:rsidRPr="0001502D">
        <w:rPr>
          <w:rFonts w:ascii="Arial" w:hAnsi="Arial" w:cs="Arial"/>
          <w:sz w:val="22"/>
          <w:szCs w:val="22"/>
          <w:lang w:eastAsia="ko-KR"/>
        </w:rPr>
        <w:t>humanité comme suit :</w:t>
      </w:r>
    </w:p>
    <w:p w14:paraId="33DC82FE" w14:textId="1ECF6815" w:rsidR="0001502D" w:rsidRPr="0001502D" w:rsidRDefault="0001502D" w:rsidP="00BD3FF4">
      <w:pPr>
        <w:tabs>
          <w:tab w:val="left" w:pos="1134"/>
          <w:tab w:val="left" w:pos="2268"/>
        </w:tabs>
        <w:spacing w:before="120" w:after="120"/>
        <w:ind w:left="1134" w:hanging="555"/>
        <w:jc w:val="both"/>
        <w:rPr>
          <w:rFonts w:ascii="Arial" w:hAnsi="Arial" w:cs="Arial"/>
          <w:sz w:val="22"/>
          <w:szCs w:val="22"/>
        </w:rPr>
      </w:pPr>
      <w:r w:rsidRPr="0001502D">
        <w:rPr>
          <w:rFonts w:ascii="Arial" w:hAnsi="Arial" w:cs="Arial"/>
          <w:sz w:val="22"/>
          <w:szCs w:val="22"/>
        </w:rPr>
        <w:t xml:space="preserve">R.1 : </w:t>
      </w:r>
      <w:r w:rsidRPr="0001502D">
        <w:rPr>
          <w:rFonts w:ascii="Arial" w:hAnsi="Arial" w:cs="Arial"/>
          <w:sz w:val="22"/>
          <w:szCs w:val="22"/>
        </w:rPr>
        <w:tab/>
        <w:t>Le kwagh-hir est une forme de théâtre total qui constitue un mécanisme culturel et traditionnel efficace de transmission des valeurs et des normes à la communauté. Cette représentation dynamique consiste en une mise en scène de contes oraux racontés par les détenteurs, qui expriment leur histoire, leur identité, leurs valeurs morales et leurs croyances religieuses. Ainsi, le théâtre kwagh-hir atténue les défis socioculturels, politiques, économiques et religieux de la société grâce aux messages qu</w:t>
      </w:r>
      <w:r w:rsidR="009C104E">
        <w:rPr>
          <w:rFonts w:ascii="Arial" w:hAnsi="Arial" w:cs="Arial"/>
          <w:sz w:val="22"/>
          <w:szCs w:val="22"/>
        </w:rPr>
        <w:t>’</w:t>
      </w:r>
      <w:r w:rsidRPr="0001502D">
        <w:rPr>
          <w:rFonts w:ascii="Arial" w:hAnsi="Arial" w:cs="Arial"/>
          <w:sz w:val="22"/>
          <w:szCs w:val="22"/>
        </w:rPr>
        <w:t>il transmet.</w:t>
      </w:r>
    </w:p>
    <w:p w14:paraId="2D9A1D98" w14:textId="5B4B628C" w:rsidR="0001502D" w:rsidRPr="0001502D" w:rsidRDefault="0001502D" w:rsidP="00BD3FF4">
      <w:pPr>
        <w:tabs>
          <w:tab w:val="left" w:pos="1134"/>
          <w:tab w:val="left" w:pos="2268"/>
        </w:tabs>
        <w:spacing w:before="120" w:after="120"/>
        <w:ind w:left="1134" w:hanging="555"/>
        <w:jc w:val="both"/>
        <w:rPr>
          <w:rFonts w:ascii="Arial" w:hAnsi="Arial" w:cs="Arial"/>
          <w:sz w:val="22"/>
          <w:szCs w:val="22"/>
        </w:rPr>
      </w:pPr>
      <w:r w:rsidRPr="0001502D">
        <w:rPr>
          <w:rFonts w:ascii="Arial" w:hAnsi="Arial" w:cs="Arial"/>
          <w:sz w:val="22"/>
          <w:szCs w:val="22"/>
        </w:rPr>
        <w:t xml:space="preserve">R.2 : </w:t>
      </w:r>
      <w:r w:rsidRPr="0001502D">
        <w:rPr>
          <w:rFonts w:ascii="Arial" w:hAnsi="Arial" w:cs="Arial"/>
          <w:sz w:val="22"/>
          <w:szCs w:val="22"/>
        </w:rPr>
        <w:tab/>
        <w:t>L</w:t>
      </w:r>
      <w:r w:rsidR="009C104E">
        <w:rPr>
          <w:rFonts w:ascii="Arial" w:hAnsi="Arial" w:cs="Arial"/>
          <w:sz w:val="22"/>
          <w:szCs w:val="22"/>
        </w:rPr>
        <w:t>’</w:t>
      </w:r>
      <w:r w:rsidRPr="0001502D">
        <w:rPr>
          <w:rFonts w:ascii="Arial" w:hAnsi="Arial" w:cs="Arial"/>
          <w:sz w:val="22"/>
          <w:szCs w:val="22"/>
        </w:rPr>
        <w:t>élément étant régulièrement présenté lors de festivals nationaux, son inscription pourrait contribuer à sensibiliser au patrimoine culturel immatériel en lien avec l</w:t>
      </w:r>
      <w:r w:rsidR="009C104E">
        <w:rPr>
          <w:rFonts w:ascii="Arial" w:hAnsi="Arial" w:cs="Arial"/>
          <w:sz w:val="22"/>
          <w:szCs w:val="22"/>
        </w:rPr>
        <w:t>’</w:t>
      </w:r>
      <w:r w:rsidRPr="0001502D">
        <w:rPr>
          <w:rFonts w:ascii="Arial" w:hAnsi="Arial" w:cs="Arial"/>
          <w:sz w:val="22"/>
          <w:szCs w:val="22"/>
        </w:rPr>
        <w:t>élément mais également de manière plus générale. L</w:t>
      </w:r>
      <w:r w:rsidR="009C104E">
        <w:rPr>
          <w:rFonts w:ascii="Arial" w:hAnsi="Arial" w:cs="Arial"/>
          <w:sz w:val="22"/>
          <w:szCs w:val="22"/>
        </w:rPr>
        <w:t>’</w:t>
      </w:r>
      <w:r w:rsidRPr="0001502D">
        <w:rPr>
          <w:rFonts w:ascii="Arial" w:hAnsi="Arial" w:cs="Arial"/>
          <w:sz w:val="22"/>
          <w:szCs w:val="22"/>
        </w:rPr>
        <w:t>État soumissionnaire souhaite principalement mieux faire connaître la tradition et attirer les touristes et les chercheurs étrangers voulant explorer et perpétrer les traditions nigérianes. L</w:t>
      </w:r>
      <w:r w:rsidR="009C104E">
        <w:rPr>
          <w:rFonts w:ascii="Arial" w:hAnsi="Arial" w:cs="Arial"/>
          <w:sz w:val="22"/>
          <w:szCs w:val="22"/>
        </w:rPr>
        <w:t>’</w:t>
      </w:r>
      <w:r w:rsidRPr="0001502D">
        <w:rPr>
          <w:rFonts w:ascii="Arial" w:hAnsi="Arial" w:cs="Arial"/>
          <w:sz w:val="22"/>
          <w:szCs w:val="22"/>
        </w:rPr>
        <w:t>inscription donnerait également lieu à des débats internationaux et ouvrirait le dialogue sur cette forme artistique, ce qui favoriserait son appréciation par le public à l</w:t>
      </w:r>
      <w:r w:rsidR="009C104E">
        <w:rPr>
          <w:rFonts w:ascii="Arial" w:hAnsi="Arial" w:cs="Arial"/>
          <w:sz w:val="22"/>
          <w:szCs w:val="22"/>
        </w:rPr>
        <w:t>’</w:t>
      </w:r>
      <w:r w:rsidRPr="0001502D">
        <w:rPr>
          <w:rFonts w:ascii="Arial" w:hAnsi="Arial" w:cs="Arial"/>
          <w:sz w:val="22"/>
          <w:szCs w:val="22"/>
        </w:rPr>
        <w:t>échelle internationale.</w:t>
      </w:r>
    </w:p>
    <w:p w14:paraId="0C6E2976" w14:textId="6B662505" w:rsidR="0001502D" w:rsidRPr="0001502D" w:rsidRDefault="0001502D" w:rsidP="00BD3FF4">
      <w:pPr>
        <w:tabs>
          <w:tab w:val="left" w:pos="1134"/>
          <w:tab w:val="left" w:pos="2268"/>
        </w:tabs>
        <w:spacing w:before="120" w:after="120"/>
        <w:ind w:left="1134" w:hanging="555"/>
        <w:jc w:val="both"/>
        <w:rPr>
          <w:rFonts w:ascii="Arial" w:hAnsi="Arial" w:cs="Arial"/>
          <w:sz w:val="22"/>
          <w:szCs w:val="22"/>
        </w:rPr>
      </w:pPr>
      <w:r w:rsidRPr="0001502D">
        <w:rPr>
          <w:rFonts w:ascii="Arial" w:hAnsi="Arial" w:cs="Arial"/>
          <w:sz w:val="22"/>
          <w:szCs w:val="22"/>
        </w:rPr>
        <w:t xml:space="preserve">R.5 : </w:t>
      </w:r>
      <w:r w:rsidRPr="0001502D">
        <w:rPr>
          <w:rFonts w:ascii="Arial" w:hAnsi="Arial" w:cs="Arial"/>
          <w:sz w:val="22"/>
          <w:szCs w:val="22"/>
        </w:rPr>
        <w:tab/>
        <w:t>Le kwagh-hir a été inclus dans l</w:t>
      </w:r>
      <w:r w:rsidR="009C104E">
        <w:rPr>
          <w:rFonts w:ascii="Arial" w:hAnsi="Arial" w:cs="Arial"/>
          <w:sz w:val="22"/>
          <w:szCs w:val="22"/>
        </w:rPr>
        <w:t>’</w:t>
      </w:r>
      <w:r w:rsidRPr="0001502D">
        <w:rPr>
          <w:rFonts w:ascii="Arial" w:hAnsi="Arial" w:cs="Arial"/>
          <w:sz w:val="22"/>
          <w:szCs w:val="22"/>
        </w:rPr>
        <w:t>Inventaire des ressources culturelles nigérianes en 2006. La Division de l</w:t>
      </w:r>
      <w:r w:rsidR="009C104E">
        <w:rPr>
          <w:rFonts w:ascii="Arial" w:hAnsi="Arial" w:cs="Arial"/>
          <w:sz w:val="22"/>
          <w:szCs w:val="22"/>
        </w:rPr>
        <w:t>’</w:t>
      </w:r>
      <w:r w:rsidRPr="0001502D">
        <w:rPr>
          <w:rFonts w:ascii="Arial" w:hAnsi="Arial" w:cs="Arial"/>
          <w:sz w:val="22"/>
          <w:szCs w:val="22"/>
        </w:rPr>
        <w:t>UNESCO au sein du Département des relations culturelles internationales dépendant du Ministère fédéral de l</w:t>
      </w:r>
      <w:r w:rsidR="009C104E">
        <w:rPr>
          <w:rFonts w:ascii="Arial" w:hAnsi="Arial" w:cs="Arial"/>
          <w:sz w:val="22"/>
          <w:szCs w:val="22"/>
        </w:rPr>
        <w:t>’</w:t>
      </w:r>
      <w:r w:rsidRPr="0001502D">
        <w:rPr>
          <w:rFonts w:ascii="Arial" w:hAnsi="Arial" w:cs="Arial"/>
          <w:sz w:val="22"/>
          <w:szCs w:val="22"/>
        </w:rPr>
        <w:t>information et de la culture à Abuja en République fédérale du Nigéria est l</w:t>
      </w:r>
      <w:r w:rsidR="009C104E">
        <w:rPr>
          <w:rFonts w:ascii="Arial" w:hAnsi="Arial" w:cs="Arial"/>
          <w:sz w:val="22"/>
          <w:szCs w:val="22"/>
        </w:rPr>
        <w:t>’</w:t>
      </w:r>
      <w:r w:rsidRPr="0001502D">
        <w:rPr>
          <w:rFonts w:ascii="Arial" w:hAnsi="Arial" w:cs="Arial"/>
          <w:sz w:val="22"/>
          <w:szCs w:val="22"/>
        </w:rPr>
        <w:t>organisme responsable de la gestion de l</w:t>
      </w:r>
      <w:r w:rsidR="009C104E">
        <w:rPr>
          <w:rFonts w:ascii="Arial" w:hAnsi="Arial" w:cs="Arial"/>
          <w:sz w:val="22"/>
          <w:szCs w:val="22"/>
        </w:rPr>
        <w:t>’</w:t>
      </w:r>
      <w:r w:rsidRPr="0001502D">
        <w:rPr>
          <w:rFonts w:ascii="Arial" w:hAnsi="Arial" w:cs="Arial"/>
          <w:sz w:val="22"/>
          <w:szCs w:val="22"/>
        </w:rPr>
        <w:t>inventaire. L</w:t>
      </w:r>
      <w:r w:rsidR="009C104E">
        <w:rPr>
          <w:rFonts w:ascii="Arial" w:hAnsi="Arial" w:cs="Arial"/>
          <w:sz w:val="22"/>
          <w:szCs w:val="22"/>
        </w:rPr>
        <w:t>’</w:t>
      </w:r>
      <w:r w:rsidRPr="0001502D">
        <w:rPr>
          <w:rFonts w:ascii="Arial" w:hAnsi="Arial" w:cs="Arial"/>
          <w:sz w:val="22"/>
          <w:szCs w:val="22"/>
        </w:rPr>
        <w:t>inventaire fait l</w:t>
      </w:r>
      <w:r w:rsidR="009C104E">
        <w:rPr>
          <w:rFonts w:ascii="Arial" w:hAnsi="Arial" w:cs="Arial"/>
          <w:sz w:val="22"/>
          <w:szCs w:val="22"/>
        </w:rPr>
        <w:t>’</w:t>
      </w:r>
      <w:r w:rsidRPr="0001502D">
        <w:rPr>
          <w:rFonts w:ascii="Arial" w:hAnsi="Arial" w:cs="Arial"/>
          <w:sz w:val="22"/>
          <w:szCs w:val="22"/>
        </w:rPr>
        <w:t>objet d</w:t>
      </w:r>
      <w:r w:rsidR="009C104E">
        <w:rPr>
          <w:rFonts w:ascii="Arial" w:hAnsi="Arial" w:cs="Arial"/>
          <w:sz w:val="22"/>
          <w:szCs w:val="22"/>
        </w:rPr>
        <w:t>’</w:t>
      </w:r>
      <w:r w:rsidRPr="0001502D">
        <w:rPr>
          <w:rFonts w:ascii="Arial" w:hAnsi="Arial" w:cs="Arial"/>
          <w:sz w:val="22"/>
          <w:szCs w:val="22"/>
        </w:rPr>
        <w:t>une révision fondée sur les résultats du projet « Appui à la mise en œuvre effective de la Convention pour la sauvegarde du patrimoine culturel immatériel au Nigéria », financé par l</w:t>
      </w:r>
      <w:r w:rsidR="009C104E">
        <w:rPr>
          <w:rFonts w:ascii="Arial" w:hAnsi="Arial" w:cs="Arial"/>
          <w:sz w:val="22"/>
          <w:szCs w:val="22"/>
        </w:rPr>
        <w:t>’</w:t>
      </w:r>
      <w:r w:rsidRPr="0001502D">
        <w:rPr>
          <w:rFonts w:ascii="Arial" w:hAnsi="Arial" w:cs="Arial"/>
          <w:sz w:val="22"/>
          <w:szCs w:val="22"/>
        </w:rPr>
        <w:t>UNESCO.</w:t>
      </w:r>
    </w:p>
    <w:p w14:paraId="79395427" w14:textId="12570C59" w:rsidR="0001502D" w:rsidRPr="0001502D" w:rsidRDefault="0001502D" w:rsidP="00771F30">
      <w:pPr>
        <w:keepNext/>
        <w:numPr>
          <w:ilvl w:val="1"/>
          <w:numId w:val="27"/>
        </w:numPr>
        <w:tabs>
          <w:tab w:val="left" w:pos="567"/>
          <w:tab w:val="left" w:pos="1701"/>
          <w:tab w:val="left" w:pos="2268"/>
        </w:tabs>
        <w:spacing w:before="120" w:after="120"/>
        <w:jc w:val="both"/>
        <w:rPr>
          <w:rFonts w:ascii="Arial" w:hAnsi="Arial" w:cs="Arial"/>
          <w:sz w:val="22"/>
          <w:szCs w:val="22"/>
          <w:lang w:eastAsia="ko-KR"/>
        </w:rPr>
      </w:pPr>
      <w:r w:rsidRPr="0001502D">
        <w:rPr>
          <w:rFonts w:ascii="Arial" w:hAnsi="Arial" w:cs="Arial"/>
          <w:sz w:val="22"/>
          <w:szCs w:val="22"/>
          <w:u w:val="single"/>
          <w:lang w:eastAsia="ko-KR"/>
        </w:rPr>
        <w:t>Estime en outre</w:t>
      </w:r>
      <w:r w:rsidRPr="0001502D">
        <w:rPr>
          <w:rFonts w:ascii="Arial" w:hAnsi="Arial" w:cs="Arial"/>
          <w:sz w:val="22"/>
          <w:szCs w:val="22"/>
          <w:lang w:eastAsia="ko-KR"/>
        </w:rPr>
        <w:t xml:space="preserve"> que les informations contenues dans le dossier n</w:t>
      </w:r>
      <w:r w:rsidR="009C104E">
        <w:rPr>
          <w:rFonts w:ascii="Arial" w:hAnsi="Arial" w:cs="Arial"/>
          <w:sz w:val="22"/>
          <w:szCs w:val="22"/>
          <w:lang w:eastAsia="ko-KR"/>
        </w:rPr>
        <w:t>’</w:t>
      </w:r>
      <w:r w:rsidRPr="0001502D">
        <w:rPr>
          <w:rFonts w:ascii="Arial" w:hAnsi="Arial" w:cs="Arial"/>
          <w:sz w:val="22"/>
          <w:szCs w:val="22"/>
          <w:lang w:eastAsia="ko-KR"/>
        </w:rPr>
        <w:t>étaient pas suffisantes pour permettre au Comité de déterminer si les critères d</w:t>
      </w:r>
      <w:r w:rsidR="009C104E">
        <w:rPr>
          <w:rFonts w:ascii="Arial" w:hAnsi="Arial" w:cs="Arial"/>
          <w:sz w:val="22"/>
          <w:szCs w:val="22"/>
          <w:lang w:eastAsia="ko-KR"/>
        </w:rPr>
        <w:t>’</w:t>
      </w:r>
      <w:r w:rsidRPr="0001502D">
        <w:rPr>
          <w:rFonts w:ascii="Arial" w:hAnsi="Arial" w:cs="Arial"/>
          <w:sz w:val="22"/>
          <w:szCs w:val="22"/>
          <w:lang w:eastAsia="ko-KR"/>
        </w:rPr>
        <w:t>inscription sur la Liste représentative du patrimoine culturel immatériel de l</w:t>
      </w:r>
      <w:r w:rsidR="009C104E">
        <w:rPr>
          <w:rFonts w:ascii="Arial" w:hAnsi="Arial" w:cs="Arial"/>
          <w:sz w:val="22"/>
          <w:szCs w:val="22"/>
          <w:lang w:eastAsia="ko-KR"/>
        </w:rPr>
        <w:t>’</w:t>
      </w:r>
      <w:r w:rsidRPr="0001502D">
        <w:rPr>
          <w:rFonts w:ascii="Arial" w:hAnsi="Arial" w:cs="Arial"/>
          <w:sz w:val="22"/>
          <w:szCs w:val="22"/>
          <w:lang w:eastAsia="ko-KR"/>
        </w:rPr>
        <w:t>humanité suivants sont satisfaits :</w:t>
      </w:r>
    </w:p>
    <w:p w14:paraId="275E5687" w14:textId="41693FC1" w:rsidR="0001502D" w:rsidRPr="0001502D" w:rsidRDefault="0001502D" w:rsidP="00BD3FF4">
      <w:pPr>
        <w:tabs>
          <w:tab w:val="left" w:pos="1134"/>
          <w:tab w:val="left" w:pos="2268"/>
        </w:tabs>
        <w:spacing w:before="120" w:after="120"/>
        <w:ind w:left="1134" w:hanging="555"/>
        <w:jc w:val="both"/>
        <w:rPr>
          <w:rFonts w:ascii="Arial" w:hAnsi="Arial" w:cs="Arial"/>
          <w:sz w:val="22"/>
          <w:szCs w:val="22"/>
        </w:rPr>
      </w:pPr>
      <w:r w:rsidRPr="0001502D">
        <w:rPr>
          <w:rFonts w:ascii="Arial" w:hAnsi="Arial" w:cs="Arial"/>
          <w:sz w:val="22"/>
          <w:szCs w:val="22"/>
        </w:rPr>
        <w:t xml:space="preserve">R.3 : </w:t>
      </w:r>
      <w:r w:rsidRPr="0001502D">
        <w:rPr>
          <w:rFonts w:ascii="Arial" w:hAnsi="Arial" w:cs="Arial"/>
          <w:sz w:val="22"/>
          <w:szCs w:val="22"/>
        </w:rPr>
        <w:tab/>
        <w:t>L</w:t>
      </w:r>
      <w:r w:rsidR="009C104E">
        <w:rPr>
          <w:rFonts w:ascii="Arial" w:hAnsi="Arial" w:cs="Arial"/>
          <w:sz w:val="22"/>
          <w:szCs w:val="22"/>
        </w:rPr>
        <w:t>’</w:t>
      </w:r>
      <w:r w:rsidRPr="0001502D">
        <w:rPr>
          <w:rFonts w:ascii="Arial" w:hAnsi="Arial" w:cs="Arial"/>
          <w:sz w:val="22"/>
          <w:szCs w:val="22"/>
        </w:rPr>
        <w:t>État partie et les communautés concernées ont entrepris des mesures de sauvegarde depuis les années 1980. Les mesures de sauvegarde proposées s</w:t>
      </w:r>
      <w:r w:rsidR="009C104E">
        <w:rPr>
          <w:rFonts w:ascii="Arial" w:hAnsi="Arial" w:cs="Arial"/>
          <w:sz w:val="22"/>
          <w:szCs w:val="22"/>
        </w:rPr>
        <w:t>’</w:t>
      </w:r>
      <w:r w:rsidRPr="0001502D">
        <w:rPr>
          <w:rFonts w:ascii="Arial" w:hAnsi="Arial" w:cs="Arial"/>
          <w:sz w:val="22"/>
          <w:szCs w:val="22"/>
        </w:rPr>
        <w:t>inscrivent dans la continuité de ces efforts mais aucune mesure n</w:t>
      </w:r>
      <w:r w:rsidR="009C104E">
        <w:rPr>
          <w:rFonts w:ascii="Arial" w:hAnsi="Arial" w:cs="Arial"/>
          <w:sz w:val="22"/>
          <w:szCs w:val="22"/>
        </w:rPr>
        <w:t>’</w:t>
      </w:r>
      <w:r w:rsidRPr="0001502D">
        <w:rPr>
          <w:rFonts w:ascii="Arial" w:hAnsi="Arial" w:cs="Arial"/>
          <w:sz w:val="22"/>
          <w:szCs w:val="22"/>
        </w:rPr>
        <w:t>est proposée pour contrer les éventuels impacts de l</w:t>
      </w:r>
      <w:r w:rsidR="009C104E">
        <w:rPr>
          <w:rFonts w:ascii="Arial" w:hAnsi="Arial" w:cs="Arial"/>
          <w:sz w:val="22"/>
          <w:szCs w:val="22"/>
        </w:rPr>
        <w:t>’</w:t>
      </w:r>
      <w:r w:rsidRPr="0001502D">
        <w:rPr>
          <w:rFonts w:ascii="Arial" w:hAnsi="Arial" w:cs="Arial"/>
          <w:sz w:val="22"/>
          <w:szCs w:val="22"/>
        </w:rPr>
        <w:t>inscription sur la viabilité de l</w:t>
      </w:r>
      <w:r w:rsidR="009C104E">
        <w:rPr>
          <w:rFonts w:ascii="Arial" w:hAnsi="Arial" w:cs="Arial"/>
          <w:sz w:val="22"/>
          <w:szCs w:val="22"/>
        </w:rPr>
        <w:t>’</w:t>
      </w:r>
      <w:r w:rsidRPr="0001502D">
        <w:rPr>
          <w:rFonts w:ascii="Arial" w:hAnsi="Arial" w:cs="Arial"/>
          <w:sz w:val="22"/>
          <w:szCs w:val="22"/>
        </w:rPr>
        <w:t>élément. Bien que le tourisme soit mentionné comme une menace potentielle pour le kwagh-hir dans le dossier de candidature, le principal problème est qu</w:t>
      </w:r>
      <w:r w:rsidR="009C104E">
        <w:rPr>
          <w:rFonts w:ascii="Arial" w:hAnsi="Arial" w:cs="Arial"/>
          <w:sz w:val="22"/>
          <w:szCs w:val="22"/>
        </w:rPr>
        <w:t>’</w:t>
      </w:r>
      <w:r w:rsidRPr="0001502D">
        <w:rPr>
          <w:rFonts w:ascii="Arial" w:hAnsi="Arial" w:cs="Arial"/>
          <w:sz w:val="22"/>
          <w:szCs w:val="22"/>
        </w:rPr>
        <w:t>aucune mesure n</w:t>
      </w:r>
      <w:r w:rsidR="009C104E">
        <w:rPr>
          <w:rFonts w:ascii="Arial" w:hAnsi="Arial" w:cs="Arial"/>
          <w:sz w:val="22"/>
          <w:szCs w:val="22"/>
        </w:rPr>
        <w:t>’</w:t>
      </w:r>
      <w:r w:rsidRPr="0001502D">
        <w:rPr>
          <w:rFonts w:ascii="Arial" w:hAnsi="Arial" w:cs="Arial"/>
          <w:sz w:val="22"/>
          <w:szCs w:val="22"/>
        </w:rPr>
        <w:t>est proposée pour empêcher l</w:t>
      </w:r>
      <w:r w:rsidR="009C104E">
        <w:rPr>
          <w:rFonts w:ascii="Arial" w:hAnsi="Arial" w:cs="Arial"/>
          <w:sz w:val="22"/>
          <w:szCs w:val="22"/>
        </w:rPr>
        <w:t>’</w:t>
      </w:r>
      <w:r w:rsidRPr="0001502D">
        <w:rPr>
          <w:rFonts w:ascii="Arial" w:hAnsi="Arial" w:cs="Arial"/>
          <w:sz w:val="22"/>
          <w:szCs w:val="22"/>
        </w:rPr>
        <w:t>éventuelle décontextualisation de l</w:t>
      </w:r>
      <w:r w:rsidR="009C104E">
        <w:rPr>
          <w:rFonts w:ascii="Arial" w:hAnsi="Arial" w:cs="Arial"/>
          <w:sz w:val="22"/>
          <w:szCs w:val="22"/>
        </w:rPr>
        <w:t>’</w:t>
      </w:r>
      <w:r w:rsidRPr="0001502D">
        <w:rPr>
          <w:rFonts w:ascii="Arial" w:hAnsi="Arial" w:cs="Arial"/>
          <w:sz w:val="22"/>
          <w:szCs w:val="22"/>
        </w:rPr>
        <w:t>élément due à l</w:t>
      </w:r>
      <w:r w:rsidR="009C104E">
        <w:rPr>
          <w:rFonts w:ascii="Arial" w:hAnsi="Arial" w:cs="Arial"/>
          <w:sz w:val="22"/>
          <w:szCs w:val="22"/>
        </w:rPr>
        <w:t>’</w:t>
      </w:r>
      <w:r w:rsidRPr="0001502D">
        <w:rPr>
          <w:rFonts w:ascii="Arial" w:hAnsi="Arial" w:cs="Arial"/>
          <w:sz w:val="22"/>
          <w:szCs w:val="22"/>
        </w:rPr>
        <w:t>essor du tourisme.</w:t>
      </w:r>
    </w:p>
    <w:p w14:paraId="692A4458" w14:textId="0C86F544" w:rsidR="0001502D" w:rsidRPr="0001502D" w:rsidRDefault="0001502D" w:rsidP="00BD3FF4">
      <w:pPr>
        <w:tabs>
          <w:tab w:val="left" w:pos="1134"/>
          <w:tab w:val="left" w:pos="2268"/>
        </w:tabs>
        <w:spacing w:before="120" w:after="120"/>
        <w:ind w:left="1134" w:hanging="555"/>
        <w:jc w:val="both"/>
        <w:rPr>
          <w:rFonts w:ascii="Arial" w:hAnsi="Arial" w:cs="Arial"/>
          <w:sz w:val="22"/>
          <w:szCs w:val="22"/>
        </w:rPr>
      </w:pPr>
      <w:r w:rsidRPr="0001502D">
        <w:rPr>
          <w:rFonts w:ascii="Arial" w:hAnsi="Arial" w:cs="Arial"/>
          <w:sz w:val="22"/>
          <w:szCs w:val="22"/>
        </w:rPr>
        <w:t xml:space="preserve">R.4 : </w:t>
      </w:r>
      <w:r w:rsidRPr="0001502D">
        <w:rPr>
          <w:rFonts w:ascii="Arial" w:hAnsi="Arial" w:cs="Arial"/>
          <w:sz w:val="22"/>
          <w:szCs w:val="22"/>
        </w:rPr>
        <w:tab/>
        <w:t>Le processus de candidature est décrit comme ayant été très participatif, incluant des consultations avec toutes les parties prenantes clés de l</w:t>
      </w:r>
      <w:r w:rsidR="009C104E">
        <w:rPr>
          <w:rFonts w:ascii="Arial" w:hAnsi="Arial" w:cs="Arial"/>
          <w:sz w:val="22"/>
          <w:szCs w:val="22"/>
        </w:rPr>
        <w:t>’</w:t>
      </w:r>
      <w:r w:rsidRPr="0001502D">
        <w:rPr>
          <w:rFonts w:ascii="Arial" w:hAnsi="Arial" w:cs="Arial"/>
          <w:sz w:val="22"/>
          <w:szCs w:val="22"/>
        </w:rPr>
        <w:t>élément. Cependant, le dossier ne contient qu</w:t>
      </w:r>
      <w:r w:rsidR="009C104E">
        <w:rPr>
          <w:rFonts w:ascii="Arial" w:hAnsi="Arial" w:cs="Arial"/>
          <w:sz w:val="22"/>
          <w:szCs w:val="22"/>
        </w:rPr>
        <w:t>’</w:t>
      </w:r>
      <w:r w:rsidRPr="0001502D">
        <w:rPr>
          <w:rFonts w:ascii="Arial" w:hAnsi="Arial" w:cs="Arial"/>
          <w:sz w:val="22"/>
          <w:szCs w:val="22"/>
        </w:rPr>
        <w:t>une seule lettre signée par treize personnes d</w:t>
      </w:r>
      <w:r w:rsidR="009C104E">
        <w:rPr>
          <w:rFonts w:ascii="Arial" w:hAnsi="Arial" w:cs="Arial"/>
          <w:sz w:val="22"/>
          <w:szCs w:val="22"/>
        </w:rPr>
        <w:t>’</w:t>
      </w:r>
      <w:r w:rsidRPr="0001502D">
        <w:rPr>
          <w:rFonts w:ascii="Arial" w:hAnsi="Arial" w:cs="Arial"/>
          <w:sz w:val="22"/>
          <w:szCs w:val="22"/>
        </w:rPr>
        <w:t>une des huit communautés décrites. Il n</w:t>
      </w:r>
      <w:r w:rsidR="009C104E">
        <w:rPr>
          <w:rFonts w:ascii="Arial" w:hAnsi="Arial" w:cs="Arial"/>
          <w:sz w:val="22"/>
          <w:szCs w:val="22"/>
        </w:rPr>
        <w:t>’</w:t>
      </w:r>
      <w:r w:rsidRPr="0001502D">
        <w:rPr>
          <w:rFonts w:ascii="Arial" w:hAnsi="Arial" w:cs="Arial"/>
          <w:sz w:val="22"/>
          <w:szCs w:val="22"/>
        </w:rPr>
        <w:t>est pas clair comment les autres communautés (Makurdi, Adikpo, Katsina-Ala, Zaki Biam, Konshisha, Vandeikya et Tarka) ont participé au processus de candidature, ce qui suggère que cela a été entrepris par un seul des nombreux groupes concernés par l</w:t>
      </w:r>
      <w:r w:rsidR="009C104E">
        <w:rPr>
          <w:rFonts w:ascii="Arial" w:hAnsi="Arial" w:cs="Arial"/>
          <w:sz w:val="22"/>
          <w:szCs w:val="22"/>
        </w:rPr>
        <w:t>’</w:t>
      </w:r>
      <w:r w:rsidRPr="0001502D">
        <w:rPr>
          <w:rFonts w:ascii="Arial" w:hAnsi="Arial" w:cs="Arial"/>
          <w:sz w:val="22"/>
          <w:szCs w:val="22"/>
        </w:rPr>
        <w:t>élément. La complexité des communautés à l</w:t>
      </w:r>
      <w:r w:rsidR="009C104E">
        <w:rPr>
          <w:rFonts w:ascii="Arial" w:hAnsi="Arial" w:cs="Arial"/>
          <w:sz w:val="22"/>
          <w:szCs w:val="22"/>
        </w:rPr>
        <w:t>’</w:t>
      </w:r>
      <w:r w:rsidRPr="0001502D">
        <w:rPr>
          <w:rFonts w:ascii="Arial" w:hAnsi="Arial" w:cs="Arial"/>
          <w:sz w:val="22"/>
          <w:szCs w:val="22"/>
        </w:rPr>
        <w:t>origine du processus de candidature et leur participation active à celui-ci doivent donc être clarifiées.</w:t>
      </w:r>
    </w:p>
    <w:p w14:paraId="158CD2DE" w14:textId="371F295B" w:rsidR="0001502D" w:rsidRPr="0001502D" w:rsidRDefault="0001502D" w:rsidP="00771F30">
      <w:pPr>
        <w:keepNext/>
        <w:numPr>
          <w:ilvl w:val="1"/>
          <w:numId w:val="27"/>
        </w:numPr>
        <w:tabs>
          <w:tab w:val="left" w:pos="567"/>
          <w:tab w:val="left" w:pos="1701"/>
          <w:tab w:val="left" w:pos="2268"/>
        </w:tabs>
        <w:spacing w:before="120" w:after="120"/>
        <w:jc w:val="both"/>
        <w:rPr>
          <w:rFonts w:ascii="Arial" w:hAnsi="Arial" w:cs="Arial"/>
          <w:sz w:val="22"/>
          <w:szCs w:val="22"/>
          <w:lang w:eastAsia="ko-KR"/>
        </w:rPr>
      </w:pPr>
      <w:r w:rsidRPr="0001502D">
        <w:rPr>
          <w:rFonts w:ascii="Arial" w:hAnsi="Arial" w:cs="Arial"/>
          <w:sz w:val="22"/>
          <w:szCs w:val="22"/>
          <w:u w:val="single"/>
          <w:lang w:eastAsia="ko-KR"/>
        </w:rPr>
        <w:t>Prend note en outre</w:t>
      </w:r>
      <w:r w:rsidRPr="0001502D">
        <w:rPr>
          <w:rFonts w:ascii="Arial" w:hAnsi="Arial" w:cs="Arial"/>
          <w:sz w:val="22"/>
          <w:szCs w:val="22"/>
          <w:lang w:eastAsia="ko-KR"/>
        </w:rPr>
        <w:t xml:space="preserve"> que, ayant estimé que les informations contenues dans le dossier n</w:t>
      </w:r>
      <w:r w:rsidR="009C104E">
        <w:rPr>
          <w:rFonts w:ascii="Arial" w:hAnsi="Arial" w:cs="Arial"/>
          <w:sz w:val="22"/>
          <w:szCs w:val="22"/>
          <w:lang w:eastAsia="ko-KR"/>
        </w:rPr>
        <w:t>’</w:t>
      </w:r>
      <w:r w:rsidRPr="0001502D">
        <w:rPr>
          <w:rFonts w:ascii="Arial" w:hAnsi="Arial" w:cs="Arial"/>
          <w:sz w:val="22"/>
          <w:szCs w:val="22"/>
          <w:lang w:eastAsia="ko-KR"/>
        </w:rPr>
        <w:t>étaient pas suffisantes pour déterminer si les critères R.3 et R.4 sont satisfaits et qu</w:t>
      </w:r>
      <w:r w:rsidR="009C104E">
        <w:rPr>
          <w:rFonts w:ascii="Arial" w:hAnsi="Arial" w:cs="Arial"/>
          <w:sz w:val="22"/>
          <w:szCs w:val="22"/>
          <w:lang w:eastAsia="ko-KR"/>
        </w:rPr>
        <w:t>’</w:t>
      </w:r>
      <w:r w:rsidRPr="0001502D">
        <w:rPr>
          <w:rFonts w:ascii="Arial" w:hAnsi="Arial" w:cs="Arial"/>
          <w:sz w:val="22"/>
          <w:szCs w:val="22"/>
          <w:lang w:eastAsia="ko-KR"/>
        </w:rPr>
        <w:t>un court processus de questions et réponses avec l</w:t>
      </w:r>
      <w:r w:rsidR="009C104E">
        <w:rPr>
          <w:rFonts w:ascii="Arial" w:hAnsi="Arial" w:cs="Arial"/>
          <w:sz w:val="22"/>
          <w:szCs w:val="22"/>
          <w:lang w:eastAsia="ko-KR"/>
        </w:rPr>
        <w:t>’</w:t>
      </w:r>
      <w:r w:rsidRPr="0001502D">
        <w:rPr>
          <w:rFonts w:ascii="Arial" w:hAnsi="Arial" w:cs="Arial"/>
          <w:sz w:val="22"/>
          <w:szCs w:val="22"/>
          <w:lang w:eastAsia="ko-KR"/>
        </w:rPr>
        <w:t>État soumissionnaire pourrait clarifier si la candidature remplit les critères concernés, l</w:t>
      </w:r>
      <w:r w:rsidR="009C104E">
        <w:rPr>
          <w:rFonts w:ascii="Arial" w:hAnsi="Arial" w:cs="Arial"/>
          <w:sz w:val="22"/>
          <w:szCs w:val="22"/>
          <w:lang w:eastAsia="ko-KR"/>
        </w:rPr>
        <w:t>’</w:t>
      </w:r>
      <w:r w:rsidRPr="0001502D">
        <w:rPr>
          <w:rFonts w:ascii="Arial" w:hAnsi="Arial" w:cs="Arial"/>
          <w:sz w:val="22"/>
          <w:szCs w:val="22"/>
          <w:lang w:eastAsia="ko-KR"/>
        </w:rPr>
        <w:t>Organe d</w:t>
      </w:r>
      <w:r w:rsidR="009C104E">
        <w:rPr>
          <w:rFonts w:ascii="Arial" w:hAnsi="Arial" w:cs="Arial"/>
          <w:sz w:val="22"/>
          <w:szCs w:val="22"/>
          <w:lang w:eastAsia="ko-KR"/>
        </w:rPr>
        <w:t>’</w:t>
      </w:r>
      <w:r w:rsidRPr="0001502D">
        <w:rPr>
          <w:rFonts w:ascii="Arial" w:hAnsi="Arial" w:cs="Arial"/>
          <w:sz w:val="22"/>
          <w:szCs w:val="22"/>
          <w:lang w:eastAsia="ko-KR"/>
        </w:rPr>
        <w:t xml:space="preserve">évaluation a décidé, conformément à la </w:t>
      </w:r>
      <w:hyperlink r:id="rId57" w:history="1">
        <w:r w:rsidRPr="0001502D">
          <w:rPr>
            <w:rFonts w:ascii="Arial" w:hAnsi="Arial" w:cs="Arial"/>
            <w:color w:val="0000FF" w:themeColor="hyperlink"/>
            <w:sz w:val="22"/>
            <w:szCs w:val="22"/>
            <w:u w:val="single"/>
            <w:lang w:eastAsia="ko-KR"/>
          </w:rPr>
          <w:t>décision 13.COM 10</w:t>
        </w:r>
      </w:hyperlink>
      <w:r w:rsidRPr="0001502D">
        <w:rPr>
          <w:rFonts w:ascii="Arial" w:hAnsi="Arial" w:cs="Arial"/>
          <w:sz w:val="22"/>
          <w:szCs w:val="22"/>
          <w:lang w:eastAsia="ko-KR"/>
        </w:rPr>
        <w:t>, d</w:t>
      </w:r>
      <w:r w:rsidR="009C104E">
        <w:rPr>
          <w:rFonts w:ascii="Arial" w:hAnsi="Arial" w:cs="Arial"/>
          <w:sz w:val="22"/>
          <w:szCs w:val="22"/>
          <w:lang w:eastAsia="ko-KR"/>
        </w:rPr>
        <w:t>’</w:t>
      </w:r>
      <w:r w:rsidRPr="0001502D">
        <w:rPr>
          <w:rFonts w:ascii="Arial" w:hAnsi="Arial" w:cs="Arial"/>
          <w:sz w:val="22"/>
          <w:szCs w:val="22"/>
          <w:lang w:eastAsia="ko-KR"/>
        </w:rPr>
        <w:t>engager un processus de « dialogue » afin d</w:t>
      </w:r>
      <w:r w:rsidR="009C104E">
        <w:rPr>
          <w:rFonts w:ascii="Arial" w:hAnsi="Arial" w:cs="Arial"/>
          <w:sz w:val="22"/>
          <w:szCs w:val="22"/>
          <w:lang w:eastAsia="ko-KR"/>
        </w:rPr>
        <w:t>’</w:t>
      </w:r>
      <w:r w:rsidRPr="0001502D">
        <w:rPr>
          <w:rFonts w:ascii="Arial" w:hAnsi="Arial" w:cs="Arial"/>
          <w:sz w:val="22"/>
          <w:szCs w:val="22"/>
          <w:lang w:eastAsia="ko-KR"/>
        </w:rPr>
        <w:t>obtenir des informations concernant les questions suivantes :</w:t>
      </w:r>
    </w:p>
    <w:p w14:paraId="56823B88" w14:textId="5355C91F" w:rsidR="0001502D" w:rsidRPr="0001502D" w:rsidRDefault="00BD3FF4" w:rsidP="00BD3FF4">
      <w:pPr>
        <w:tabs>
          <w:tab w:val="left" w:pos="567"/>
          <w:tab w:val="left" w:pos="1701"/>
          <w:tab w:val="left" w:pos="2268"/>
        </w:tabs>
        <w:spacing w:before="120" w:after="120"/>
        <w:ind w:left="567" w:hanging="567"/>
        <w:jc w:val="both"/>
        <w:rPr>
          <w:rFonts w:ascii="Arial" w:hAnsi="Arial" w:cs="Arial"/>
          <w:sz w:val="22"/>
          <w:szCs w:val="22"/>
          <w:shd w:val="clear" w:color="auto" w:fill="FFFFFF"/>
          <w:lang w:eastAsia="ko-KR"/>
        </w:rPr>
      </w:pPr>
      <w:r>
        <w:rPr>
          <w:rFonts w:ascii="Arial" w:hAnsi="Arial" w:cs="Arial"/>
          <w:sz w:val="22"/>
          <w:szCs w:val="22"/>
          <w:lang w:eastAsia="ko-KR"/>
        </w:rPr>
        <w:tab/>
      </w:r>
      <w:r w:rsidR="0001502D" w:rsidRPr="0001502D">
        <w:rPr>
          <w:rFonts w:ascii="Arial" w:hAnsi="Arial" w:cs="Arial"/>
          <w:sz w:val="22"/>
          <w:szCs w:val="22"/>
          <w:lang w:eastAsia="ko-KR"/>
        </w:rPr>
        <w:t xml:space="preserve">R.3 : </w:t>
      </w:r>
      <w:r w:rsidR="0001502D" w:rsidRPr="0001502D">
        <w:rPr>
          <w:rFonts w:ascii="Arial" w:hAnsi="Arial" w:cs="Arial"/>
          <w:sz w:val="22"/>
          <w:szCs w:val="22"/>
          <w:shd w:val="clear" w:color="auto" w:fill="FFFFFF"/>
          <w:lang w:eastAsia="ko-KR"/>
        </w:rPr>
        <w:t>Quelles mesures seront prises pour garantir que la viabilité de l</w:t>
      </w:r>
      <w:r w:rsidR="009C104E">
        <w:rPr>
          <w:rFonts w:ascii="Arial" w:hAnsi="Arial" w:cs="Arial"/>
          <w:sz w:val="22"/>
          <w:szCs w:val="22"/>
          <w:shd w:val="clear" w:color="auto" w:fill="FFFFFF"/>
          <w:lang w:eastAsia="ko-KR"/>
        </w:rPr>
        <w:t>’</w:t>
      </w:r>
      <w:r w:rsidR="0001502D" w:rsidRPr="0001502D">
        <w:rPr>
          <w:rFonts w:ascii="Arial" w:hAnsi="Arial" w:cs="Arial"/>
          <w:sz w:val="22"/>
          <w:szCs w:val="22"/>
          <w:shd w:val="clear" w:color="auto" w:fill="FFFFFF"/>
          <w:lang w:eastAsia="ko-KR"/>
        </w:rPr>
        <w:t>élément ne sera pas menacée ?</w:t>
      </w:r>
      <w:r w:rsidR="0001502D" w:rsidRPr="0001502D">
        <w:rPr>
          <w:rFonts w:ascii="Arial" w:hAnsi="Arial" w:cs="Arial"/>
          <w:sz w:val="22"/>
          <w:szCs w:val="22"/>
          <w:lang w:eastAsia="ko-KR"/>
        </w:rPr>
        <w:t xml:space="preserve"> </w:t>
      </w:r>
      <w:r w:rsidR="0001502D" w:rsidRPr="0001502D">
        <w:rPr>
          <w:rFonts w:ascii="Arial" w:hAnsi="Arial" w:cs="Arial"/>
          <w:sz w:val="22"/>
          <w:szCs w:val="22"/>
          <w:shd w:val="clear" w:color="auto" w:fill="FFFFFF"/>
          <w:lang w:eastAsia="ko-KR"/>
        </w:rPr>
        <w:t>Par exemple, comment les mesures de sauvegarde empêcheront-elles l</w:t>
      </w:r>
      <w:r w:rsidR="009C104E">
        <w:rPr>
          <w:rFonts w:ascii="Arial" w:hAnsi="Arial" w:cs="Arial"/>
          <w:sz w:val="22"/>
          <w:szCs w:val="22"/>
          <w:shd w:val="clear" w:color="auto" w:fill="FFFFFF"/>
          <w:lang w:eastAsia="ko-KR"/>
        </w:rPr>
        <w:t>’</w:t>
      </w:r>
      <w:r w:rsidR="0001502D" w:rsidRPr="0001502D">
        <w:rPr>
          <w:rFonts w:ascii="Arial" w:hAnsi="Arial" w:cs="Arial"/>
          <w:sz w:val="22"/>
          <w:szCs w:val="22"/>
          <w:shd w:val="clear" w:color="auto" w:fill="FFFFFF"/>
          <w:lang w:eastAsia="ko-KR"/>
        </w:rPr>
        <w:t>éventuelle décontextualisation de l</w:t>
      </w:r>
      <w:r w:rsidR="009C104E">
        <w:rPr>
          <w:rFonts w:ascii="Arial" w:hAnsi="Arial" w:cs="Arial"/>
          <w:sz w:val="22"/>
          <w:szCs w:val="22"/>
          <w:shd w:val="clear" w:color="auto" w:fill="FFFFFF"/>
          <w:lang w:eastAsia="ko-KR"/>
        </w:rPr>
        <w:t>’</w:t>
      </w:r>
      <w:r w:rsidR="0001502D" w:rsidRPr="0001502D">
        <w:rPr>
          <w:rFonts w:ascii="Arial" w:hAnsi="Arial" w:cs="Arial"/>
          <w:sz w:val="22"/>
          <w:szCs w:val="22"/>
          <w:shd w:val="clear" w:color="auto" w:fill="FFFFFF"/>
          <w:lang w:eastAsia="ko-KR"/>
        </w:rPr>
        <w:t>élément résultant de l</w:t>
      </w:r>
      <w:r w:rsidR="009C104E">
        <w:rPr>
          <w:rFonts w:ascii="Arial" w:hAnsi="Arial" w:cs="Arial"/>
          <w:sz w:val="22"/>
          <w:szCs w:val="22"/>
          <w:shd w:val="clear" w:color="auto" w:fill="FFFFFF"/>
          <w:lang w:eastAsia="ko-KR"/>
        </w:rPr>
        <w:t>’</w:t>
      </w:r>
      <w:r w:rsidR="0001502D" w:rsidRPr="0001502D">
        <w:rPr>
          <w:rFonts w:ascii="Arial" w:hAnsi="Arial" w:cs="Arial"/>
          <w:sz w:val="22"/>
          <w:szCs w:val="22"/>
          <w:shd w:val="clear" w:color="auto" w:fill="FFFFFF"/>
          <w:lang w:eastAsia="ko-KR"/>
        </w:rPr>
        <w:t>essor du tourisme ?</w:t>
      </w:r>
    </w:p>
    <w:p w14:paraId="5D32A2AD" w14:textId="454D5C60" w:rsidR="0001502D" w:rsidRPr="0001502D" w:rsidRDefault="00BD3FF4" w:rsidP="00BD3FF4">
      <w:pPr>
        <w:tabs>
          <w:tab w:val="left" w:pos="567"/>
          <w:tab w:val="left" w:pos="1701"/>
          <w:tab w:val="left" w:pos="2268"/>
        </w:tabs>
        <w:spacing w:before="120" w:after="120"/>
        <w:ind w:left="567" w:hanging="567"/>
        <w:jc w:val="both"/>
        <w:rPr>
          <w:rFonts w:ascii="Arial" w:hAnsi="Arial" w:cs="Arial"/>
          <w:sz w:val="22"/>
          <w:szCs w:val="22"/>
          <w:shd w:val="clear" w:color="auto" w:fill="FFFFFF"/>
          <w:lang w:eastAsia="ko-KR"/>
        </w:rPr>
      </w:pPr>
      <w:r>
        <w:rPr>
          <w:rFonts w:ascii="Arial" w:hAnsi="Arial" w:cs="Arial"/>
          <w:sz w:val="22"/>
          <w:szCs w:val="22"/>
          <w:shd w:val="clear" w:color="auto" w:fill="FFFFFF"/>
          <w:lang w:eastAsia="ko-KR"/>
        </w:rPr>
        <w:tab/>
      </w:r>
      <w:r w:rsidR="0001502D" w:rsidRPr="0001502D">
        <w:rPr>
          <w:rFonts w:ascii="Arial" w:hAnsi="Arial" w:cs="Arial"/>
          <w:sz w:val="22"/>
          <w:szCs w:val="22"/>
          <w:shd w:val="clear" w:color="auto" w:fill="FFFFFF"/>
          <w:lang w:eastAsia="ko-KR"/>
        </w:rPr>
        <w:t xml:space="preserve">R.4 : </w:t>
      </w:r>
      <w:r w:rsidR="0001502D" w:rsidRPr="0001502D">
        <w:rPr>
          <w:rFonts w:ascii="Arial" w:hAnsi="Arial" w:cs="Arial"/>
          <w:sz w:val="22"/>
          <w:szCs w:val="22"/>
          <w:lang w:eastAsia="ko-KR"/>
        </w:rPr>
        <w:t xml:space="preserve">Étant donné </w:t>
      </w:r>
      <w:r w:rsidR="0001502D" w:rsidRPr="0001502D">
        <w:rPr>
          <w:rFonts w:ascii="Arial" w:hAnsi="Arial" w:cs="Arial"/>
          <w:sz w:val="22"/>
          <w:szCs w:val="22"/>
          <w:shd w:val="clear" w:color="auto" w:fill="FFFFFF"/>
          <w:lang w:eastAsia="ko-KR"/>
        </w:rPr>
        <w:t>que de nombreuses communautés autre que la communauté Gboko sont concernées par l</w:t>
      </w:r>
      <w:r w:rsidR="009C104E">
        <w:rPr>
          <w:rFonts w:ascii="Arial" w:hAnsi="Arial" w:cs="Arial"/>
          <w:sz w:val="22"/>
          <w:szCs w:val="22"/>
          <w:shd w:val="clear" w:color="auto" w:fill="FFFFFF"/>
          <w:lang w:eastAsia="ko-KR"/>
        </w:rPr>
        <w:t>’</w:t>
      </w:r>
      <w:r w:rsidR="0001502D" w:rsidRPr="0001502D">
        <w:rPr>
          <w:rFonts w:ascii="Arial" w:hAnsi="Arial" w:cs="Arial"/>
          <w:sz w:val="22"/>
          <w:szCs w:val="22"/>
          <w:shd w:val="clear" w:color="auto" w:fill="FFFFFF"/>
          <w:lang w:eastAsia="ko-KR"/>
        </w:rPr>
        <w:t>élément, comment ces autres communautés (Makurdi, Adikpo, Katsina-Ala, Zaki Biam, Konshisha, Vandeikya et Tarka) ont-elles participé au processus de candidature ?</w:t>
      </w:r>
    </w:p>
    <w:p w14:paraId="7A97B19E" w14:textId="784DEF46" w:rsidR="0001502D" w:rsidRPr="0001502D" w:rsidRDefault="0001502D" w:rsidP="00771F30">
      <w:pPr>
        <w:keepNext/>
        <w:numPr>
          <w:ilvl w:val="1"/>
          <w:numId w:val="27"/>
        </w:numPr>
        <w:tabs>
          <w:tab w:val="left" w:pos="567"/>
          <w:tab w:val="left" w:pos="1701"/>
          <w:tab w:val="left" w:pos="2268"/>
        </w:tabs>
        <w:spacing w:before="120" w:after="120"/>
        <w:jc w:val="both"/>
        <w:rPr>
          <w:rFonts w:ascii="Arial" w:hAnsi="Arial" w:cs="Arial"/>
          <w:noProof/>
          <w:sz w:val="22"/>
          <w:szCs w:val="22"/>
          <w:lang w:eastAsia="ko-KR"/>
        </w:rPr>
      </w:pPr>
      <w:r w:rsidRPr="0001502D">
        <w:rPr>
          <w:rFonts w:ascii="Arial" w:hAnsi="Arial" w:cs="Arial"/>
          <w:sz w:val="22"/>
          <w:szCs w:val="22"/>
          <w:u w:val="single"/>
          <w:lang w:eastAsia="ko-KR"/>
        </w:rPr>
        <w:t>Prend note également</w:t>
      </w:r>
      <w:r w:rsidRPr="0001502D">
        <w:rPr>
          <w:rFonts w:ascii="Arial" w:hAnsi="Arial" w:cs="Arial"/>
          <w:sz w:val="22"/>
          <w:szCs w:val="22"/>
          <w:lang w:eastAsia="ko-KR"/>
        </w:rPr>
        <w:t xml:space="preserve"> des informations fournies à ce sujet par l</w:t>
      </w:r>
      <w:r w:rsidR="009C104E">
        <w:rPr>
          <w:rFonts w:ascii="Arial" w:hAnsi="Arial" w:cs="Arial"/>
          <w:sz w:val="22"/>
          <w:szCs w:val="22"/>
          <w:lang w:eastAsia="ko-KR"/>
        </w:rPr>
        <w:t>’</w:t>
      </w:r>
      <w:r w:rsidRPr="0001502D">
        <w:rPr>
          <w:rFonts w:ascii="Arial" w:hAnsi="Arial" w:cs="Arial"/>
          <w:sz w:val="22"/>
          <w:szCs w:val="22"/>
          <w:lang w:eastAsia="ko-KR"/>
        </w:rPr>
        <w:t>État soumissionnaire ainsi que de l</w:t>
      </w:r>
      <w:r w:rsidR="009C104E">
        <w:rPr>
          <w:rFonts w:ascii="Arial" w:hAnsi="Arial" w:cs="Arial"/>
          <w:sz w:val="22"/>
          <w:szCs w:val="22"/>
          <w:lang w:eastAsia="ko-KR"/>
        </w:rPr>
        <w:t>’</w:t>
      </w:r>
      <w:r w:rsidRPr="0001502D">
        <w:rPr>
          <w:rFonts w:ascii="Arial" w:hAnsi="Arial" w:cs="Arial"/>
          <w:sz w:val="22"/>
          <w:szCs w:val="22"/>
          <w:lang w:eastAsia="ko-KR"/>
        </w:rPr>
        <w:t>avis ultérieur de l</w:t>
      </w:r>
      <w:r w:rsidR="009C104E">
        <w:rPr>
          <w:rFonts w:ascii="Arial" w:hAnsi="Arial" w:cs="Arial"/>
          <w:sz w:val="22"/>
          <w:szCs w:val="22"/>
          <w:lang w:eastAsia="ko-KR"/>
        </w:rPr>
        <w:t>’</w:t>
      </w:r>
      <w:r w:rsidRPr="0001502D">
        <w:rPr>
          <w:rFonts w:ascii="Arial" w:hAnsi="Arial" w:cs="Arial"/>
          <w:sz w:val="22"/>
          <w:szCs w:val="22"/>
          <w:lang w:eastAsia="ko-KR"/>
        </w:rPr>
        <w:t>Organe d</w:t>
      </w:r>
      <w:r w:rsidR="009C104E">
        <w:rPr>
          <w:rFonts w:ascii="Arial" w:hAnsi="Arial" w:cs="Arial"/>
          <w:sz w:val="22"/>
          <w:szCs w:val="22"/>
          <w:lang w:eastAsia="ko-KR"/>
        </w:rPr>
        <w:t>’</w:t>
      </w:r>
      <w:r w:rsidRPr="0001502D">
        <w:rPr>
          <w:rFonts w:ascii="Arial" w:hAnsi="Arial" w:cs="Arial"/>
          <w:sz w:val="22"/>
          <w:szCs w:val="22"/>
          <w:lang w:eastAsia="ko-KR"/>
        </w:rPr>
        <w:t>évaluation, tel qu</w:t>
      </w:r>
      <w:r w:rsidR="009C104E">
        <w:rPr>
          <w:rFonts w:ascii="Arial" w:hAnsi="Arial" w:cs="Arial"/>
          <w:sz w:val="22"/>
          <w:szCs w:val="22"/>
          <w:lang w:eastAsia="ko-KR"/>
        </w:rPr>
        <w:t>’</w:t>
      </w:r>
      <w:r w:rsidRPr="0001502D">
        <w:rPr>
          <w:rFonts w:ascii="Arial" w:hAnsi="Arial" w:cs="Arial"/>
          <w:sz w:val="22"/>
          <w:szCs w:val="22"/>
          <w:lang w:eastAsia="ko-KR"/>
        </w:rPr>
        <w:t xml:space="preserve">il figure dans le document </w:t>
      </w:r>
      <w:hyperlink r:id="rId58" w:history="1">
        <w:r w:rsidRPr="0001502D">
          <w:rPr>
            <w:rFonts w:ascii="Arial" w:hAnsi="Arial" w:cs="Arial"/>
            <w:color w:val="0000FF" w:themeColor="hyperlink"/>
            <w:sz w:val="22"/>
            <w:szCs w:val="22"/>
            <w:u w:val="single"/>
            <w:lang w:eastAsia="ko-KR"/>
          </w:rPr>
          <w:t>LHE/19/14.COM/INF.10</w:t>
        </w:r>
      </w:hyperlink>
      <w:r w:rsidRPr="0001502D">
        <w:rPr>
          <w:rFonts w:ascii="Arial" w:hAnsi="Arial" w:cs="Arial"/>
          <w:sz w:val="22"/>
          <w:szCs w:val="22"/>
          <w:lang w:eastAsia="ko-KR"/>
        </w:rPr>
        <w:t>, selon lequel les réponses fournies répondent de manière adéquate aux questions (incluses au paragraphe 4) ;</w:t>
      </w:r>
    </w:p>
    <w:p w14:paraId="07A408CD" w14:textId="731A18D8" w:rsidR="0001502D" w:rsidRPr="00BD3FF4" w:rsidRDefault="0001502D" w:rsidP="00771F30">
      <w:pPr>
        <w:pStyle w:val="ListParagraph"/>
        <w:numPr>
          <w:ilvl w:val="1"/>
          <w:numId w:val="37"/>
        </w:numPr>
        <w:tabs>
          <w:tab w:val="left" w:pos="1134"/>
          <w:tab w:val="left" w:pos="1701"/>
          <w:tab w:val="left" w:pos="2268"/>
        </w:tabs>
        <w:spacing w:before="120" w:after="120"/>
        <w:jc w:val="both"/>
        <w:rPr>
          <w:rFonts w:ascii="Arial" w:hAnsi="Arial" w:cs="Arial"/>
          <w:noProof/>
          <w:sz w:val="22"/>
          <w:szCs w:val="22"/>
          <w:lang w:eastAsia="ko-KR"/>
        </w:rPr>
      </w:pPr>
      <w:r w:rsidRPr="00BD3FF4">
        <w:rPr>
          <w:rFonts w:ascii="Arial" w:hAnsi="Arial" w:cs="Arial"/>
          <w:sz w:val="22"/>
          <w:szCs w:val="22"/>
          <w:u w:val="single"/>
          <w:lang w:eastAsia="ko-KR"/>
        </w:rPr>
        <w:t>Considère</w:t>
      </w:r>
      <w:r w:rsidRPr="00BD3FF4">
        <w:rPr>
          <w:rFonts w:ascii="Arial" w:hAnsi="Arial" w:cs="Arial"/>
          <w:sz w:val="22"/>
          <w:szCs w:val="22"/>
          <w:lang w:eastAsia="ko-KR"/>
        </w:rPr>
        <w:t xml:space="preserve"> que, sur la base des informations contenues dans le dossier et des informations fournies par l</w:t>
      </w:r>
      <w:r w:rsidR="009C104E">
        <w:rPr>
          <w:rFonts w:ascii="Arial" w:hAnsi="Arial" w:cs="Arial"/>
          <w:sz w:val="22"/>
          <w:szCs w:val="22"/>
          <w:lang w:eastAsia="ko-KR"/>
        </w:rPr>
        <w:t>’</w:t>
      </w:r>
      <w:r w:rsidRPr="00BD3FF4">
        <w:rPr>
          <w:rFonts w:ascii="Arial" w:hAnsi="Arial" w:cs="Arial"/>
          <w:sz w:val="22"/>
          <w:szCs w:val="22"/>
          <w:lang w:eastAsia="ko-KR"/>
        </w:rPr>
        <w:t>État soumissionnaire dans le cadre du processus de « dialogue », ainsi que de l</w:t>
      </w:r>
      <w:r w:rsidR="009C104E">
        <w:rPr>
          <w:rFonts w:ascii="Arial" w:hAnsi="Arial" w:cs="Arial"/>
          <w:sz w:val="22"/>
          <w:szCs w:val="22"/>
          <w:lang w:eastAsia="ko-KR"/>
        </w:rPr>
        <w:t>’</w:t>
      </w:r>
      <w:r w:rsidRPr="00BD3FF4">
        <w:rPr>
          <w:rFonts w:ascii="Arial" w:hAnsi="Arial" w:cs="Arial"/>
          <w:sz w:val="22"/>
          <w:szCs w:val="22"/>
          <w:lang w:eastAsia="ko-KR"/>
        </w:rPr>
        <w:t>avis ultérieur de l</w:t>
      </w:r>
      <w:r w:rsidR="009C104E">
        <w:rPr>
          <w:rFonts w:ascii="Arial" w:hAnsi="Arial" w:cs="Arial"/>
          <w:sz w:val="22"/>
          <w:szCs w:val="22"/>
          <w:lang w:eastAsia="ko-KR"/>
        </w:rPr>
        <w:t>’</w:t>
      </w:r>
      <w:r w:rsidRPr="00BD3FF4">
        <w:rPr>
          <w:rFonts w:ascii="Arial" w:hAnsi="Arial" w:cs="Arial"/>
          <w:sz w:val="22"/>
          <w:szCs w:val="22"/>
          <w:lang w:eastAsia="ko-KR"/>
        </w:rPr>
        <w:t>Organe d</w:t>
      </w:r>
      <w:r w:rsidR="009C104E">
        <w:rPr>
          <w:rFonts w:ascii="Arial" w:hAnsi="Arial" w:cs="Arial"/>
          <w:sz w:val="22"/>
          <w:szCs w:val="22"/>
          <w:lang w:eastAsia="ko-KR"/>
        </w:rPr>
        <w:t>’</w:t>
      </w:r>
      <w:r w:rsidRPr="00BD3FF4">
        <w:rPr>
          <w:rFonts w:ascii="Arial" w:hAnsi="Arial" w:cs="Arial"/>
          <w:sz w:val="22"/>
          <w:szCs w:val="22"/>
          <w:lang w:eastAsia="ko-KR"/>
        </w:rPr>
        <w:t>évaluation, les critères R.3 et R.4 sont satisfaits ;</w:t>
      </w:r>
    </w:p>
    <w:p w14:paraId="53E38EF0" w14:textId="16F8DA80" w:rsidR="00662C20" w:rsidRPr="0001502D" w:rsidRDefault="0001502D" w:rsidP="00771F30">
      <w:pPr>
        <w:numPr>
          <w:ilvl w:val="1"/>
          <w:numId w:val="37"/>
        </w:numPr>
        <w:tabs>
          <w:tab w:val="left" w:pos="567"/>
          <w:tab w:val="left" w:pos="1701"/>
          <w:tab w:val="left" w:pos="2268"/>
        </w:tabs>
        <w:spacing w:before="120" w:after="120"/>
        <w:ind w:left="567" w:hanging="567"/>
        <w:jc w:val="both"/>
        <w:rPr>
          <w:rFonts w:ascii="Arial" w:hAnsi="Arial" w:cs="Arial"/>
          <w:noProof/>
          <w:sz w:val="22"/>
          <w:szCs w:val="22"/>
          <w:lang w:eastAsia="ko-KR"/>
        </w:rPr>
      </w:pPr>
      <w:r w:rsidRPr="0001502D">
        <w:rPr>
          <w:rFonts w:ascii="Arial" w:hAnsi="Arial" w:cs="Arial"/>
          <w:sz w:val="22"/>
          <w:szCs w:val="22"/>
          <w:u w:val="single"/>
          <w:lang w:eastAsia="ko-KR"/>
        </w:rPr>
        <w:t>Décide d</w:t>
      </w:r>
      <w:r w:rsidR="009C104E">
        <w:rPr>
          <w:rFonts w:ascii="Arial" w:hAnsi="Arial" w:cs="Arial"/>
          <w:sz w:val="22"/>
          <w:szCs w:val="22"/>
          <w:u w:val="single"/>
          <w:lang w:eastAsia="ko-KR"/>
        </w:rPr>
        <w:t>’</w:t>
      </w:r>
      <w:r w:rsidRPr="0001502D">
        <w:rPr>
          <w:rFonts w:ascii="Arial" w:hAnsi="Arial" w:cs="Arial"/>
          <w:sz w:val="22"/>
          <w:szCs w:val="22"/>
          <w:u w:val="single"/>
          <w:lang w:eastAsia="ko-KR"/>
        </w:rPr>
        <w:t>inscrire</w:t>
      </w:r>
      <w:r w:rsidRPr="0001502D">
        <w:rPr>
          <w:rFonts w:ascii="Arial" w:hAnsi="Arial" w:cs="Arial"/>
          <w:sz w:val="22"/>
          <w:szCs w:val="22"/>
          <w:lang w:eastAsia="ko-KR"/>
        </w:rPr>
        <w:t xml:space="preserve"> </w:t>
      </w:r>
      <w:r w:rsidRPr="0001502D">
        <w:rPr>
          <w:rFonts w:ascii="Arial" w:hAnsi="Arial" w:cs="Arial"/>
          <w:b/>
          <w:bCs/>
          <w:sz w:val="22"/>
          <w:szCs w:val="22"/>
          <w:lang w:eastAsia="ko-KR"/>
        </w:rPr>
        <w:t xml:space="preserve">le </w:t>
      </w:r>
      <w:r w:rsidRPr="0001502D">
        <w:rPr>
          <w:rFonts w:ascii="Arial" w:hAnsi="Arial" w:cs="Arial"/>
          <w:b/>
          <w:sz w:val="22"/>
          <w:szCs w:val="22"/>
          <w:lang w:eastAsia="ko-KR"/>
        </w:rPr>
        <w:t xml:space="preserve">kwagh-hir, représentation théâtrale </w:t>
      </w:r>
      <w:r w:rsidRPr="0001502D">
        <w:rPr>
          <w:rFonts w:ascii="Arial" w:hAnsi="Arial" w:cs="Arial"/>
          <w:sz w:val="22"/>
          <w:szCs w:val="22"/>
          <w:lang w:eastAsia="ko-KR"/>
        </w:rPr>
        <w:t>sur la Liste représentative du patrimoine culturel immatériel de l</w:t>
      </w:r>
      <w:r w:rsidR="009C104E">
        <w:rPr>
          <w:rFonts w:ascii="Arial" w:hAnsi="Arial" w:cs="Arial"/>
          <w:sz w:val="22"/>
          <w:szCs w:val="22"/>
          <w:lang w:eastAsia="ko-KR"/>
        </w:rPr>
        <w:t>’</w:t>
      </w:r>
      <w:r w:rsidRPr="0001502D">
        <w:rPr>
          <w:rFonts w:ascii="Arial" w:hAnsi="Arial" w:cs="Arial"/>
          <w:sz w:val="22"/>
          <w:szCs w:val="22"/>
          <w:lang w:eastAsia="ko-KR"/>
        </w:rPr>
        <w:t>humanité ;</w:t>
      </w:r>
    </w:p>
    <w:p w14:paraId="7ECD5476" w14:textId="3C5BCC6E" w:rsidR="0001502D" w:rsidRPr="00662C20" w:rsidRDefault="0001502D" w:rsidP="00B07C34">
      <w:pPr>
        <w:numPr>
          <w:ilvl w:val="1"/>
          <w:numId w:val="37"/>
        </w:numPr>
        <w:tabs>
          <w:tab w:val="left" w:pos="567"/>
          <w:tab w:val="left" w:pos="1701"/>
          <w:tab w:val="left" w:pos="2268"/>
        </w:tabs>
        <w:spacing w:before="120" w:after="120"/>
        <w:ind w:left="567" w:hanging="567"/>
        <w:jc w:val="both"/>
        <w:rPr>
          <w:rFonts w:ascii="Arial" w:hAnsi="Arial" w:cs="Arial"/>
          <w:sz w:val="22"/>
          <w:szCs w:val="22"/>
          <w:lang w:eastAsia="ko-KR"/>
        </w:rPr>
      </w:pPr>
      <w:r w:rsidRPr="00662C20">
        <w:rPr>
          <w:rFonts w:ascii="Arial" w:hAnsi="Arial" w:cs="Arial"/>
          <w:sz w:val="22"/>
          <w:szCs w:val="22"/>
          <w:u w:val="single"/>
          <w:shd w:val="clear" w:color="auto" w:fill="FFFFFF"/>
          <w:lang w:eastAsia="ko-KR"/>
        </w:rPr>
        <w:t>Rappelle</w:t>
      </w:r>
      <w:r w:rsidRPr="00662C20">
        <w:rPr>
          <w:rFonts w:ascii="Arial" w:hAnsi="Arial" w:cs="Arial"/>
          <w:sz w:val="22"/>
          <w:szCs w:val="22"/>
          <w:shd w:val="clear" w:color="auto" w:fill="FFFFFF"/>
          <w:lang w:eastAsia="ko-KR"/>
        </w:rPr>
        <w:t xml:space="preserve"> à l</w:t>
      </w:r>
      <w:r w:rsidR="009C104E">
        <w:rPr>
          <w:rFonts w:ascii="Arial" w:hAnsi="Arial" w:cs="Arial"/>
          <w:sz w:val="22"/>
          <w:szCs w:val="22"/>
          <w:shd w:val="clear" w:color="auto" w:fill="FFFFFF"/>
          <w:lang w:eastAsia="ko-KR"/>
        </w:rPr>
        <w:t>’</w:t>
      </w:r>
      <w:r w:rsidRPr="00662C20">
        <w:rPr>
          <w:rFonts w:ascii="Arial" w:hAnsi="Arial" w:cs="Arial"/>
          <w:sz w:val="22"/>
          <w:szCs w:val="22"/>
          <w:shd w:val="clear" w:color="auto" w:fill="FFFFFF"/>
          <w:lang w:eastAsia="ko-KR"/>
        </w:rPr>
        <w:t>État partie que la mise à jour est un aspect important du processus d</w:t>
      </w:r>
      <w:r w:rsidR="009C104E">
        <w:rPr>
          <w:rFonts w:ascii="Arial" w:hAnsi="Arial" w:cs="Arial"/>
          <w:sz w:val="22"/>
          <w:szCs w:val="22"/>
          <w:shd w:val="clear" w:color="auto" w:fill="FFFFFF"/>
          <w:lang w:eastAsia="ko-KR"/>
        </w:rPr>
        <w:t>’</w:t>
      </w:r>
      <w:r w:rsidRPr="00662C20">
        <w:rPr>
          <w:rFonts w:ascii="Arial" w:hAnsi="Arial" w:cs="Arial"/>
          <w:sz w:val="22"/>
          <w:szCs w:val="22"/>
          <w:shd w:val="clear" w:color="auto" w:fill="FFFFFF"/>
          <w:lang w:eastAsia="ko-KR"/>
        </w:rPr>
        <w:t>élaboration des inventaires et l</w:t>
      </w:r>
      <w:r w:rsidR="009C104E">
        <w:rPr>
          <w:rFonts w:ascii="Arial" w:hAnsi="Arial" w:cs="Arial"/>
          <w:sz w:val="22"/>
          <w:szCs w:val="22"/>
          <w:shd w:val="clear" w:color="auto" w:fill="FFFFFF"/>
          <w:lang w:eastAsia="ko-KR"/>
        </w:rPr>
        <w:t>’</w:t>
      </w:r>
      <w:r w:rsidRPr="00CC6739">
        <w:rPr>
          <w:rFonts w:ascii="Arial" w:hAnsi="Arial" w:cs="Arial"/>
          <w:sz w:val="22"/>
          <w:szCs w:val="22"/>
          <w:u w:val="single"/>
          <w:shd w:val="clear" w:color="auto" w:fill="FFFFFF"/>
          <w:lang w:eastAsia="ko-KR"/>
        </w:rPr>
        <w:t>invite</w:t>
      </w:r>
      <w:r w:rsidRPr="00CC6739">
        <w:rPr>
          <w:rFonts w:ascii="Arial" w:hAnsi="Arial" w:cs="Arial"/>
          <w:sz w:val="22"/>
          <w:szCs w:val="22"/>
          <w:shd w:val="clear" w:color="auto" w:fill="FFFFFF"/>
          <w:lang w:eastAsia="ko-KR"/>
        </w:rPr>
        <w:t xml:space="preserve"> à inclure, dans son prochain rapport périodique sur l</w:t>
      </w:r>
      <w:r w:rsidRPr="00E039A7">
        <w:rPr>
          <w:rFonts w:ascii="Arial" w:hAnsi="Arial" w:cs="Arial"/>
          <w:sz w:val="22"/>
          <w:szCs w:val="22"/>
          <w:shd w:val="clear" w:color="auto" w:fill="FFFFFF"/>
          <w:lang w:eastAsia="ko-KR"/>
        </w:rPr>
        <w:t>a mise en œuvre de la Convention au niveau national, des informations sur la périodicité de la mise à jour de l</w:t>
      </w:r>
      <w:r w:rsidR="009C104E">
        <w:rPr>
          <w:rFonts w:ascii="Arial" w:hAnsi="Arial" w:cs="Arial"/>
          <w:sz w:val="22"/>
          <w:szCs w:val="22"/>
          <w:shd w:val="clear" w:color="auto" w:fill="FFFFFF"/>
          <w:lang w:eastAsia="ko-KR"/>
        </w:rPr>
        <w:t>’</w:t>
      </w:r>
      <w:r w:rsidRPr="00E039A7">
        <w:rPr>
          <w:rFonts w:ascii="Arial" w:hAnsi="Arial" w:cs="Arial"/>
          <w:sz w:val="22"/>
          <w:szCs w:val="22"/>
          <w:shd w:val="clear" w:color="auto" w:fill="FFFFFF"/>
          <w:lang w:eastAsia="ko-KR"/>
        </w:rPr>
        <w:t>Inventaire des ressources culturelles nigérianes, conformément à l</w:t>
      </w:r>
      <w:r w:rsidR="009C104E">
        <w:rPr>
          <w:rFonts w:ascii="Arial" w:hAnsi="Arial" w:cs="Arial"/>
          <w:sz w:val="22"/>
          <w:szCs w:val="22"/>
          <w:shd w:val="clear" w:color="auto" w:fill="FFFFFF"/>
          <w:lang w:eastAsia="ko-KR"/>
        </w:rPr>
        <w:t>’</w:t>
      </w:r>
      <w:r w:rsidRPr="00E039A7">
        <w:rPr>
          <w:rFonts w:ascii="Arial" w:hAnsi="Arial" w:cs="Arial"/>
          <w:sz w:val="22"/>
          <w:szCs w:val="22"/>
          <w:shd w:val="clear" w:color="auto" w:fill="FFFFFF"/>
          <w:lang w:eastAsia="ko-KR"/>
        </w:rPr>
        <w:t>article 12.1 de la Convention.</w:t>
      </w:r>
    </w:p>
    <w:p w14:paraId="262E316C" w14:textId="006F212D" w:rsidR="0001502D" w:rsidRPr="0001502D" w:rsidRDefault="0001502D" w:rsidP="00771F30">
      <w:pPr>
        <w:keepNext/>
        <w:keepLines/>
        <w:numPr>
          <w:ilvl w:val="0"/>
          <w:numId w:val="27"/>
        </w:numPr>
        <w:spacing w:before="360" w:after="120"/>
        <w:outlineLvl w:val="1"/>
        <w:rPr>
          <w:rFonts w:ascii="Arial" w:hAnsi="Arial" w:cs="Arial"/>
          <w:bCs/>
          <w:iCs/>
          <w:sz w:val="22"/>
          <w:szCs w:val="22"/>
        </w:rPr>
      </w:pPr>
      <w:bookmarkStart w:id="31" w:name="Decision_10b28"/>
      <w:r w:rsidRPr="0001502D">
        <w:rPr>
          <w:rFonts w:ascii="Arial" w:hAnsi="Arial" w:cs="Arial"/>
          <w:b/>
          <w:bCs/>
          <w:iCs/>
          <w:sz w:val="22"/>
          <w:szCs w:val="22"/>
        </w:rPr>
        <w:t>DÉCISION 14.COM 10.b.28</w:t>
      </w:r>
    </w:p>
    <w:bookmarkEnd w:id="31"/>
    <w:p w14:paraId="552ACE21" w14:textId="77777777" w:rsidR="0001502D" w:rsidRPr="0001502D" w:rsidRDefault="0001502D" w:rsidP="00BD3FF4">
      <w:pPr>
        <w:keepNext/>
        <w:tabs>
          <w:tab w:val="left" w:pos="567"/>
          <w:tab w:val="left" w:pos="1134"/>
          <w:tab w:val="left" w:pos="1701"/>
          <w:tab w:val="left" w:pos="2268"/>
        </w:tabs>
        <w:spacing w:before="120" w:after="120"/>
        <w:jc w:val="both"/>
        <w:rPr>
          <w:rFonts w:ascii="Arial" w:hAnsi="Arial" w:cs="Arial"/>
          <w:sz w:val="22"/>
          <w:szCs w:val="22"/>
        </w:rPr>
      </w:pPr>
      <w:r w:rsidRPr="0001502D">
        <w:rPr>
          <w:rFonts w:ascii="Arial" w:hAnsi="Arial" w:cs="Arial"/>
          <w:sz w:val="22"/>
          <w:szCs w:val="22"/>
        </w:rPr>
        <w:t>Le Comité,</w:t>
      </w:r>
    </w:p>
    <w:p w14:paraId="6632B648" w14:textId="75AD3FEA" w:rsidR="0001502D" w:rsidRPr="0001502D" w:rsidRDefault="0001502D" w:rsidP="00762046">
      <w:pPr>
        <w:numPr>
          <w:ilvl w:val="1"/>
          <w:numId w:val="27"/>
        </w:numPr>
        <w:tabs>
          <w:tab w:val="left" w:pos="567"/>
          <w:tab w:val="left" w:pos="1701"/>
          <w:tab w:val="left" w:pos="2268"/>
        </w:tabs>
        <w:spacing w:before="120" w:after="120"/>
        <w:jc w:val="both"/>
        <w:rPr>
          <w:rFonts w:ascii="Arial" w:hAnsi="Arial" w:cs="Arial"/>
          <w:sz w:val="22"/>
          <w:szCs w:val="22"/>
          <w:lang w:eastAsia="ko-KR"/>
        </w:rPr>
      </w:pPr>
      <w:r w:rsidRPr="0001502D">
        <w:rPr>
          <w:rFonts w:ascii="Arial" w:hAnsi="Arial" w:cs="Arial"/>
          <w:sz w:val="22"/>
          <w:szCs w:val="22"/>
          <w:u w:val="single"/>
          <w:lang w:eastAsia="ko-KR"/>
        </w:rPr>
        <w:t>Prend note</w:t>
      </w:r>
      <w:r w:rsidRPr="0001502D">
        <w:rPr>
          <w:rFonts w:ascii="Arial" w:hAnsi="Arial" w:cs="Arial"/>
          <w:sz w:val="22"/>
          <w:szCs w:val="22"/>
          <w:lang w:eastAsia="ko-KR"/>
        </w:rPr>
        <w:t xml:space="preserve"> que la Norvège a proposé la candidature de </w:t>
      </w:r>
      <w:r w:rsidR="00762046" w:rsidRPr="00B932EA">
        <w:rPr>
          <w:rFonts w:ascii="Arial" w:hAnsi="Arial" w:cs="Arial"/>
          <w:b/>
          <w:sz w:val="22"/>
          <w:szCs w:val="22"/>
          <w:lang w:eastAsia="ko-KR"/>
        </w:rPr>
        <w:t>la pratique de la musique et de la danse traditionnelles au Setesdal, jouer de la musique, danser et chanter (stev/stevjing)</w:t>
      </w:r>
      <w:r w:rsidRPr="00B932EA">
        <w:rPr>
          <w:rFonts w:ascii="Arial" w:hAnsi="Arial" w:cs="Arial"/>
          <w:b/>
          <w:sz w:val="22"/>
          <w:szCs w:val="22"/>
          <w:lang w:eastAsia="ko-KR"/>
        </w:rPr>
        <w:t xml:space="preserve"> </w:t>
      </w:r>
      <w:r w:rsidRPr="0001502D">
        <w:rPr>
          <w:rFonts w:ascii="Arial" w:hAnsi="Arial" w:cs="Arial"/>
          <w:sz w:val="22"/>
          <w:szCs w:val="22"/>
          <w:lang w:eastAsia="ko-KR"/>
        </w:rPr>
        <w:t>(n° 01432) pour inscription sur la Liste représentative du patrimoine culturel immatériel de l</w:t>
      </w:r>
      <w:r w:rsidR="009C104E">
        <w:rPr>
          <w:rFonts w:ascii="Arial" w:hAnsi="Arial" w:cs="Arial"/>
          <w:sz w:val="22"/>
          <w:szCs w:val="22"/>
          <w:lang w:eastAsia="ko-KR"/>
        </w:rPr>
        <w:t>’</w:t>
      </w:r>
      <w:r w:rsidRPr="0001502D">
        <w:rPr>
          <w:rFonts w:ascii="Arial" w:hAnsi="Arial" w:cs="Arial"/>
          <w:sz w:val="22"/>
          <w:szCs w:val="22"/>
          <w:lang w:eastAsia="ko-KR"/>
        </w:rPr>
        <w:t>humanité :</w:t>
      </w:r>
    </w:p>
    <w:p w14:paraId="4287D062" w14:textId="499663FD" w:rsidR="0001502D" w:rsidRPr="0001502D" w:rsidRDefault="0001502D" w:rsidP="00BD3FF4">
      <w:pPr>
        <w:tabs>
          <w:tab w:val="left" w:pos="567"/>
          <w:tab w:val="left" w:pos="1701"/>
          <w:tab w:val="left" w:pos="2268"/>
        </w:tabs>
        <w:spacing w:before="120" w:after="120"/>
        <w:ind w:left="567"/>
        <w:jc w:val="both"/>
        <w:rPr>
          <w:rFonts w:ascii="Arial" w:hAnsi="Arial" w:cs="Arial"/>
          <w:sz w:val="22"/>
          <w:szCs w:val="22"/>
        </w:rPr>
      </w:pPr>
      <w:r w:rsidRPr="0001502D">
        <w:rPr>
          <w:rFonts w:ascii="Arial" w:hAnsi="Arial" w:cs="Arial"/>
          <w:sz w:val="22"/>
          <w:szCs w:val="22"/>
        </w:rPr>
        <w:t xml:space="preserve">Dans la pratique de la </w:t>
      </w:r>
      <w:r w:rsidR="00762046">
        <w:rPr>
          <w:rFonts w:ascii="Arial" w:hAnsi="Arial" w:cs="Arial"/>
          <w:sz w:val="22"/>
          <w:szCs w:val="22"/>
        </w:rPr>
        <w:t>musique</w:t>
      </w:r>
      <w:r w:rsidR="00762046" w:rsidRPr="0001502D">
        <w:rPr>
          <w:rFonts w:ascii="Arial" w:hAnsi="Arial" w:cs="Arial"/>
          <w:sz w:val="22"/>
          <w:szCs w:val="22"/>
        </w:rPr>
        <w:t xml:space="preserve"> </w:t>
      </w:r>
      <w:r w:rsidRPr="0001502D">
        <w:rPr>
          <w:rFonts w:ascii="Arial" w:hAnsi="Arial" w:cs="Arial"/>
          <w:sz w:val="22"/>
          <w:szCs w:val="22"/>
        </w:rPr>
        <w:t xml:space="preserve">et de la </w:t>
      </w:r>
      <w:r w:rsidR="00762046">
        <w:rPr>
          <w:rFonts w:ascii="Arial" w:hAnsi="Arial" w:cs="Arial"/>
          <w:sz w:val="22"/>
          <w:szCs w:val="22"/>
        </w:rPr>
        <w:t xml:space="preserve">danse </w:t>
      </w:r>
      <w:r w:rsidRPr="0001502D">
        <w:rPr>
          <w:rFonts w:ascii="Arial" w:hAnsi="Arial" w:cs="Arial"/>
          <w:sz w:val="22"/>
          <w:szCs w:val="22"/>
        </w:rPr>
        <w:t xml:space="preserve">traditionnelles </w:t>
      </w:r>
      <w:r w:rsidR="00762046">
        <w:rPr>
          <w:rFonts w:ascii="Arial" w:hAnsi="Arial" w:cs="Arial"/>
          <w:sz w:val="22"/>
          <w:szCs w:val="22"/>
        </w:rPr>
        <w:t xml:space="preserve">au </w:t>
      </w:r>
      <w:r w:rsidRPr="0001502D">
        <w:rPr>
          <w:rFonts w:ascii="Arial" w:hAnsi="Arial" w:cs="Arial"/>
          <w:sz w:val="22"/>
          <w:szCs w:val="22"/>
        </w:rPr>
        <w:t xml:space="preserve">Setesdal, jouer </w:t>
      </w:r>
      <w:r w:rsidR="00762046">
        <w:rPr>
          <w:rFonts w:ascii="Arial" w:hAnsi="Arial" w:cs="Arial"/>
          <w:sz w:val="22"/>
          <w:szCs w:val="22"/>
        </w:rPr>
        <w:t>de la musique</w:t>
      </w:r>
      <w:r w:rsidRPr="0001502D">
        <w:rPr>
          <w:rFonts w:ascii="Arial" w:hAnsi="Arial" w:cs="Arial"/>
          <w:sz w:val="22"/>
          <w:szCs w:val="22"/>
        </w:rPr>
        <w:t>, danser et chanter (stev/stevjing), la danse et la musique sont étroitement liées et profondément ancrées dans le contexte social. Les mélodies portent le nom de la danse « gangar » et la plupart d</w:t>
      </w:r>
      <w:r w:rsidR="009C104E">
        <w:rPr>
          <w:rFonts w:ascii="Arial" w:hAnsi="Arial" w:cs="Arial"/>
          <w:sz w:val="22"/>
          <w:szCs w:val="22"/>
        </w:rPr>
        <w:t>’</w:t>
      </w:r>
      <w:r w:rsidRPr="0001502D">
        <w:rPr>
          <w:rFonts w:ascii="Arial" w:hAnsi="Arial" w:cs="Arial"/>
          <w:sz w:val="22"/>
          <w:szCs w:val="22"/>
        </w:rPr>
        <w:t>entre elles sont des airs de danse. Les mélodies des chants « stev » peuvent être jouées à l</w:t>
      </w:r>
      <w:r w:rsidR="009C104E">
        <w:rPr>
          <w:rFonts w:ascii="Arial" w:hAnsi="Arial" w:cs="Arial"/>
          <w:sz w:val="22"/>
          <w:szCs w:val="22"/>
        </w:rPr>
        <w:t>’</w:t>
      </w:r>
      <w:r w:rsidRPr="0001502D">
        <w:rPr>
          <w:rFonts w:ascii="Arial" w:hAnsi="Arial" w:cs="Arial"/>
          <w:sz w:val="22"/>
          <w:szCs w:val="22"/>
        </w:rPr>
        <w:t>aide d</w:t>
      </w:r>
      <w:r w:rsidR="009C104E">
        <w:rPr>
          <w:rFonts w:ascii="Arial" w:hAnsi="Arial" w:cs="Arial"/>
          <w:sz w:val="22"/>
          <w:szCs w:val="22"/>
        </w:rPr>
        <w:t>’</w:t>
      </w:r>
      <w:r w:rsidRPr="0001502D">
        <w:rPr>
          <w:rFonts w:ascii="Arial" w:hAnsi="Arial" w:cs="Arial"/>
          <w:sz w:val="22"/>
          <w:szCs w:val="22"/>
        </w:rPr>
        <w:t>instruments et les paroles décrivent souvent la danse ou la musique des praticiens. Les chants « stev » sont souvent interprétés en alternance avec la danse et la musique, en solo ou par plusieurs chanteurs qui se répondent mutuellement dans un dialogue appelé « stevjing ». Les paroles sont des quatrains racontant une histoire. La danse est pratiquée soit par un couple, soit par des couples disposés en cercle, évoluant dans le sens des aiguilles d</w:t>
      </w:r>
      <w:r w:rsidR="009C104E">
        <w:rPr>
          <w:rFonts w:ascii="Arial" w:hAnsi="Arial" w:cs="Arial"/>
          <w:sz w:val="22"/>
          <w:szCs w:val="22"/>
        </w:rPr>
        <w:t>’</w:t>
      </w:r>
      <w:r w:rsidRPr="0001502D">
        <w:rPr>
          <w:rFonts w:ascii="Arial" w:hAnsi="Arial" w:cs="Arial"/>
          <w:sz w:val="22"/>
          <w:szCs w:val="22"/>
        </w:rPr>
        <w:t>une montre et changeant de partenaire. La danse peut être pratiquée de façon réservée ou au contraire avec frénésie et dynamisme. La musique est interprétée au violon « hardanger », l</w:t>
      </w:r>
      <w:r w:rsidR="009C104E">
        <w:rPr>
          <w:rFonts w:ascii="Arial" w:hAnsi="Arial" w:cs="Arial"/>
          <w:sz w:val="22"/>
          <w:szCs w:val="22"/>
        </w:rPr>
        <w:t>’</w:t>
      </w:r>
      <w:r w:rsidRPr="0001502D">
        <w:rPr>
          <w:rFonts w:ascii="Arial" w:hAnsi="Arial" w:cs="Arial"/>
          <w:sz w:val="22"/>
          <w:szCs w:val="22"/>
        </w:rPr>
        <w:t xml:space="preserve">instrument national norvégien, et à la guimbarde. Les traditions et les pratiques </w:t>
      </w:r>
      <w:r w:rsidR="00762046">
        <w:rPr>
          <w:rFonts w:ascii="Arial" w:hAnsi="Arial" w:cs="Arial"/>
          <w:sz w:val="22"/>
          <w:szCs w:val="22"/>
        </w:rPr>
        <w:t>du</w:t>
      </w:r>
      <w:r w:rsidRPr="0001502D">
        <w:rPr>
          <w:rFonts w:ascii="Arial" w:hAnsi="Arial" w:cs="Arial"/>
          <w:sz w:val="22"/>
          <w:szCs w:val="22"/>
        </w:rPr>
        <w:t xml:space="preserve"> Setesdal remontent au XVIII</w:t>
      </w:r>
      <w:r w:rsidRPr="0001502D">
        <w:rPr>
          <w:rFonts w:ascii="Arial" w:hAnsi="Arial" w:cs="Arial"/>
          <w:sz w:val="22"/>
          <w:szCs w:val="22"/>
          <w:vertAlign w:val="superscript"/>
        </w:rPr>
        <w:t>e</w:t>
      </w:r>
      <w:r w:rsidRPr="0001502D">
        <w:rPr>
          <w:rFonts w:ascii="Arial" w:hAnsi="Arial" w:cs="Arial"/>
          <w:sz w:val="22"/>
          <w:szCs w:val="22"/>
        </w:rPr>
        <w:t> siècle et ont été transmises sans interruption depuis. La tradition est en constante évolution : de nouveaux textes sont écrits en permanence pour les chants « stev » traditionnels et de nouvelles mélodies sont composées. La forme traditionnelle de transmission, perpétuée lors des rassemblements sociaux ou assurée par des experts adultes auprès des jeunes générations, est toujours la principale méthode d</w:t>
      </w:r>
      <w:r w:rsidR="009C104E">
        <w:rPr>
          <w:rFonts w:ascii="Arial" w:hAnsi="Arial" w:cs="Arial"/>
          <w:sz w:val="22"/>
          <w:szCs w:val="22"/>
        </w:rPr>
        <w:t>’</w:t>
      </w:r>
      <w:r w:rsidRPr="0001502D">
        <w:rPr>
          <w:rFonts w:ascii="Arial" w:hAnsi="Arial" w:cs="Arial"/>
          <w:sz w:val="22"/>
          <w:szCs w:val="22"/>
        </w:rPr>
        <w:t>apprentissage.</w:t>
      </w:r>
    </w:p>
    <w:p w14:paraId="6F520C7A" w14:textId="69F494D2" w:rsidR="0001502D" w:rsidRPr="0001502D" w:rsidRDefault="0001502D" w:rsidP="00771F30">
      <w:pPr>
        <w:keepNext/>
        <w:numPr>
          <w:ilvl w:val="1"/>
          <w:numId w:val="27"/>
        </w:numPr>
        <w:tabs>
          <w:tab w:val="left" w:pos="567"/>
          <w:tab w:val="left" w:pos="1701"/>
          <w:tab w:val="left" w:pos="2268"/>
        </w:tabs>
        <w:spacing w:before="120" w:after="120"/>
        <w:jc w:val="both"/>
        <w:rPr>
          <w:rFonts w:ascii="Arial" w:hAnsi="Arial" w:cs="Arial"/>
          <w:sz w:val="22"/>
          <w:szCs w:val="22"/>
          <w:lang w:eastAsia="ko-KR"/>
        </w:rPr>
      </w:pPr>
      <w:r w:rsidRPr="0001502D">
        <w:rPr>
          <w:rFonts w:ascii="Arial" w:hAnsi="Arial" w:cs="Arial"/>
          <w:sz w:val="22"/>
          <w:szCs w:val="22"/>
          <w:u w:val="single"/>
          <w:lang w:eastAsia="ko-KR"/>
        </w:rPr>
        <w:t>Estime</w:t>
      </w:r>
      <w:r w:rsidRPr="0001502D">
        <w:rPr>
          <w:rFonts w:ascii="Arial" w:hAnsi="Arial" w:cs="Arial"/>
          <w:sz w:val="22"/>
          <w:szCs w:val="22"/>
          <w:lang w:eastAsia="ko-KR"/>
        </w:rPr>
        <w:t xml:space="preserve"> que, d</w:t>
      </w:r>
      <w:r w:rsidR="009C104E">
        <w:rPr>
          <w:rFonts w:ascii="Arial" w:hAnsi="Arial" w:cs="Arial"/>
          <w:sz w:val="22"/>
          <w:szCs w:val="22"/>
          <w:lang w:eastAsia="ko-KR"/>
        </w:rPr>
        <w:t>’</w:t>
      </w:r>
      <w:r w:rsidRPr="0001502D">
        <w:rPr>
          <w:rFonts w:ascii="Arial" w:hAnsi="Arial" w:cs="Arial"/>
          <w:sz w:val="22"/>
          <w:szCs w:val="22"/>
          <w:lang w:eastAsia="ko-KR"/>
        </w:rPr>
        <w:t>après les informations contenues dans le dossier, la candidature satisfait aux critères d</w:t>
      </w:r>
      <w:r w:rsidR="009C104E">
        <w:rPr>
          <w:rFonts w:ascii="Arial" w:hAnsi="Arial" w:cs="Arial"/>
          <w:sz w:val="22"/>
          <w:szCs w:val="22"/>
          <w:lang w:eastAsia="ko-KR"/>
        </w:rPr>
        <w:t>’</w:t>
      </w:r>
      <w:r w:rsidRPr="0001502D">
        <w:rPr>
          <w:rFonts w:ascii="Arial" w:hAnsi="Arial" w:cs="Arial"/>
          <w:sz w:val="22"/>
          <w:szCs w:val="22"/>
          <w:lang w:eastAsia="ko-KR"/>
        </w:rPr>
        <w:t>inscription sur la Liste représentative du patrimoine culturel immatériel de l</w:t>
      </w:r>
      <w:r w:rsidR="009C104E">
        <w:rPr>
          <w:rFonts w:ascii="Arial" w:hAnsi="Arial" w:cs="Arial"/>
          <w:sz w:val="22"/>
          <w:szCs w:val="22"/>
          <w:lang w:eastAsia="ko-KR"/>
        </w:rPr>
        <w:t>’</w:t>
      </w:r>
      <w:r w:rsidRPr="0001502D">
        <w:rPr>
          <w:rFonts w:ascii="Arial" w:hAnsi="Arial" w:cs="Arial"/>
          <w:sz w:val="22"/>
          <w:szCs w:val="22"/>
          <w:lang w:eastAsia="ko-KR"/>
        </w:rPr>
        <w:t>humanité comme suit :</w:t>
      </w:r>
    </w:p>
    <w:p w14:paraId="39B58C19" w14:textId="4BC95C79" w:rsidR="0001502D" w:rsidRPr="0001502D" w:rsidRDefault="0001502D" w:rsidP="00BD3FF4">
      <w:pPr>
        <w:tabs>
          <w:tab w:val="left" w:pos="1134"/>
          <w:tab w:val="left" w:pos="2268"/>
        </w:tabs>
        <w:spacing w:before="120" w:after="120"/>
        <w:ind w:left="1134" w:hanging="555"/>
        <w:jc w:val="both"/>
        <w:rPr>
          <w:rFonts w:ascii="Arial" w:hAnsi="Arial" w:cs="Arial"/>
          <w:sz w:val="22"/>
          <w:szCs w:val="22"/>
        </w:rPr>
      </w:pPr>
      <w:r w:rsidRPr="0001502D">
        <w:rPr>
          <w:rFonts w:ascii="Arial" w:hAnsi="Arial" w:cs="Arial"/>
          <w:sz w:val="22"/>
          <w:szCs w:val="22"/>
        </w:rPr>
        <w:t xml:space="preserve">R.1 : </w:t>
      </w:r>
      <w:r w:rsidRPr="0001502D">
        <w:rPr>
          <w:rFonts w:ascii="Arial" w:hAnsi="Arial" w:cs="Arial"/>
          <w:sz w:val="22"/>
          <w:szCs w:val="22"/>
        </w:rPr>
        <w:tab/>
        <w:t xml:space="preserve">La pratique de la </w:t>
      </w:r>
      <w:r w:rsidR="00762046">
        <w:rPr>
          <w:rFonts w:ascii="Arial" w:hAnsi="Arial" w:cs="Arial"/>
          <w:sz w:val="22"/>
          <w:szCs w:val="22"/>
        </w:rPr>
        <w:t>musique</w:t>
      </w:r>
      <w:r w:rsidR="00762046" w:rsidRPr="0001502D">
        <w:rPr>
          <w:rFonts w:ascii="Arial" w:hAnsi="Arial" w:cs="Arial"/>
          <w:sz w:val="22"/>
          <w:szCs w:val="22"/>
        </w:rPr>
        <w:t xml:space="preserve"> </w:t>
      </w:r>
      <w:r w:rsidRPr="0001502D">
        <w:rPr>
          <w:rFonts w:ascii="Arial" w:hAnsi="Arial" w:cs="Arial"/>
          <w:sz w:val="22"/>
          <w:szCs w:val="22"/>
        </w:rPr>
        <w:t xml:space="preserve">et de la </w:t>
      </w:r>
      <w:r w:rsidR="00762046">
        <w:rPr>
          <w:rFonts w:ascii="Arial" w:hAnsi="Arial" w:cs="Arial"/>
          <w:sz w:val="22"/>
          <w:szCs w:val="22"/>
        </w:rPr>
        <w:t>danse</w:t>
      </w:r>
      <w:r w:rsidR="00762046" w:rsidRPr="0001502D">
        <w:rPr>
          <w:rFonts w:ascii="Arial" w:hAnsi="Arial" w:cs="Arial"/>
          <w:sz w:val="22"/>
          <w:szCs w:val="22"/>
        </w:rPr>
        <w:t xml:space="preserve"> </w:t>
      </w:r>
      <w:r w:rsidRPr="0001502D">
        <w:rPr>
          <w:rFonts w:ascii="Arial" w:hAnsi="Arial" w:cs="Arial"/>
          <w:sz w:val="22"/>
          <w:szCs w:val="22"/>
        </w:rPr>
        <w:t xml:space="preserve">traditionnelles </w:t>
      </w:r>
      <w:r w:rsidR="00762046">
        <w:rPr>
          <w:rFonts w:ascii="Arial" w:hAnsi="Arial" w:cs="Arial"/>
          <w:sz w:val="22"/>
          <w:szCs w:val="22"/>
        </w:rPr>
        <w:t xml:space="preserve">au </w:t>
      </w:r>
      <w:r w:rsidRPr="0001502D">
        <w:rPr>
          <w:rFonts w:ascii="Arial" w:hAnsi="Arial" w:cs="Arial"/>
          <w:sz w:val="22"/>
          <w:szCs w:val="22"/>
        </w:rPr>
        <w:t xml:space="preserve">Setesdal, jouer </w:t>
      </w:r>
      <w:r w:rsidR="00762046">
        <w:rPr>
          <w:rFonts w:ascii="Arial" w:hAnsi="Arial" w:cs="Arial"/>
          <w:sz w:val="22"/>
          <w:szCs w:val="22"/>
        </w:rPr>
        <w:t>de la musique</w:t>
      </w:r>
      <w:r w:rsidRPr="0001502D">
        <w:rPr>
          <w:rFonts w:ascii="Arial" w:hAnsi="Arial" w:cs="Arial"/>
          <w:sz w:val="22"/>
          <w:szCs w:val="22"/>
        </w:rPr>
        <w:t>, danser et chanter (stev/stevjing) est une série de danses et de chansons interprétées par les habitants de la vallée de Setesdal dans le cadre de leurs loisirs. Le chant aide à préserver le dialecte local et les paroles s</w:t>
      </w:r>
      <w:r w:rsidR="009C104E">
        <w:rPr>
          <w:rFonts w:ascii="Arial" w:hAnsi="Arial" w:cs="Arial"/>
          <w:sz w:val="22"/>
          <w:szCs w:val="22"/>
        </w:rPr>
        <w:t>’</w:t>
      </w:r>
      <w:r w:rsidRPr="0001502D">
        <w:rPr>
          <w:rFonts w:ascii="Arial" w:hAnsi="Arial" w:cs="Arial"/>
          <w:sz w:val="22"/>
          <w:szCs w:val="22"/>
        </w:rPr>
        <w:t>adaptent à différentes situations de la vie quotidienne ainsi qu</w:t>
      </w:r>
      <w:r w:rsidR="009C104E">
        <w:rPr>
          <w:rFonts w:ascii="Arial" w:hAnsi="Arial" w:cs="Arial"/>
          <w:sz w:val="22"/>
          <w:szCs w:val="22"/>
        </w:rPr>
        <w:t>’</w:t>
      </w:r>
      <w:r w:rsidRPr="0001502D">
        <w:rPr>
          <w:rFonts w:ascii="Arial" w:hAnsi="Arial" w:cs="Arial"/>
          <w:sz w:val="22"/>
          <w:szCs w:val="22"/>
        </w:rPr>
        <w:t xml:space="preserve">à des célébrations telles que des anniversaires, des mariages ou la fête nationale. Les chants </w:t>
      </w:r>
      <w:r w:rsidRPr="0001502D">
        <w:rPr>
          <w:rFonts w:ascii="Arial" w:hAnsi="Arial" w:cs="Arial"/>
          <w:iCs/>
          <w:sz w:val="22"/>
          <w:szCs w:val="22"/>
        </w:rPr>
        <w:t>« stev »</w:t>
      </w:r>
      <w:r w:rsidRPr="0001502D">
        <w:rPr>
          <w:rFonts w:ascii="Arial" w:hAnsi="Arial" w:cs="Arial"/>
          <w:sz w:val="22"/>
          <w:szCs w:val="22"/>
        </w:rPr>
        <w:t xml:space="preserve"> sont également repris dans la presse locale, pour des publicités ou des débats ou pour des sortes de batailles humoristiques où les participants s</w:t>
      </w:r>
      <w:r w:rsidR="009C104E">
        <w:rPr>
          <w:rFonts w:ascii="Arial" w:hAnsi="Arial" w:cs="Arial"/>
          <w:sz w:val="22"/>
          <w:szCs w:val="22"/>
        </w:rPr>
        <w:t>’</w:t>
      </w:r>
      <w:r w:rsidRPr="0001502D">
        <w:rPr>
          <w:rFonts w:ascii="Arial" w:hAnsi="Arial" w:cs="Arial"/>
          <w:sz w:val="22"/>
          <w:szCs w:val="22"/>
        </w:rPr>
        <w:t xml:space="preserve">affrontent à grand renfort de vers. La </w:t>
      </w:r>
      <w:r w:rsidR="00762046">
        <w:rPr>
          <w:rFonts w:ascii="Arial" w:hAnsi="Arial" w:cs="Arial"/>
          <w:sz w:val="22"/>
          <w:szCs w:val="22"/>
        </w:rPr>
        <w:t>pratique</w:t>
      </w:r>
      <w:r w:rsidR="00762046" w:rsidRPr="0001502D">
        <w:rPr>
          <w:rFonts w:ascii="Arial" w:hAnsi="Arial" w:cs="Arial"/>
          <w:sz w:val="22"/>
          <w:szCs w:val="22"/>
        </w:rPr>
        <w:t xml:space="preserve"> </w:t>
      </w:r>
      <w:r w:rsidRPr="0001502D">
        <w:rPr>
          <w:rFonts w:ascii="Arial" w:hAnsi="Arial" w:cs="Arial"/>
          <w:sz w:val="22"/>
          <w:szCs w:val="22"/>
        </w:rPr>
        <w:t>confère aux praticiens comme à l</w:t>
      </w:r>
      <w:r w:rsidR="009C104E">
        <w:rPr>
          <w:rFonts w:ascii="Arial" w:hAnsi="Arial" w:cs="Arial"/>
          <w:sz w:val="22"/>
          <w:szCs w:val="22"/>
        </w:rPr>
        <w:t>’</w:t>
      </w:r>
      <w:r w:rsidRPr="0001502D">
        <w:rPr>
          <w:rFonts w:ascii="Arial" w:hAnsi="Arial" w:cs="Arial"/>
          <w:sz w:val="22"/>
          <w:szCs w:val="22"/>
        </w:rPr>
        <w:t>ensemble de la communauté un fort sentiment d</w:t>
      </w:r>
      <w:r w:rsidR="009C104E">
        <w:rPr>
          <w:rFonts w:ascii="Arial" w:hAnsi="Arial" w:cs="Arial"/>
          <w:sz w:val="22"/>
          <w:szCs w:val="22"/>
        </w:rPr>
        <w:t>’</w:t>
      </w:r>
      <w:r w:rsidRPr="0001502D">
        <w:rPr>
          <w:rFonts w:ascii="Arial" w:hAnsi="Arial" w:cs="Arial"/>
          <w:sz w:val="22"/>
          <w:szCs w:val="22"/>
        </w:rPr>
        <w:t>identité et de fierté.</w:t>
      </w:r>
    </w:p>
    <w:p w14:paraId="04CC6497" w14:textId="1C000531" w:rsidR="0001502D" w:rsidRPr="0001502D" w:rsidRDefault="0001502D" w:rsidP="00BD3FF4">
      <w:pPr>
        <w:tabs>
          <w:tab w:val="left" w:pos="1134"/>
          <w:tab w:val="left" w:pos="2268"/>
        </w:tabs>
        <w:spacing w:before="120" w:after="120"/>
        <w:ind w:left="1134" w:hanging="555"/>
        <w:jc w:val="both"/>
        <w:rPr>
          <w:rFonts w:ascii="Arial" w:hAnsi="Arial" w:cs="Arial"/>
          <w:sz w:val="22"/>
          <w:szCs w:val="22"/>
        </w:rPr>
      </w:pPr>
      <w:r w:rsidRPr="0001502D">
        <w:rPr>
          <w:rFonts w:ascii="Arial" w:hAnsi="Arial" w:cs="Arial"/>
          <w:sz w:val="22"/>
          <w:szCs w:val="22"/>
        </w:rPr>
        <w:t xml:space="preserve">R.2 : </w:t>
      </w:r>
      <w:r w:rsidRPr="0001502D">
        <w:rPr>
          <w:rFonts w:ascii="Arial" w:hAnsi="Arial" w:cs="Arial"/>
          <w:sz w:val="22"/>
          <w:szCs w:val="22"/>
        </w:rPr>
        <w:tab/>
        <w:t>L</w:t>
      </w:r>
      <w:r w:rsidR="009C104E">
        <w:rPr>
          <w:rFonts w:ascii="Arial" w:hAnsi="Arial" w:cs="Arial"/>
          <w:sz w:val="22"/>
          <w:szCs w:val="22"/>
        </w:rPr>
        <w:t>’</w:t>
      </w:r>
      <w:r w:rsidRPr="0001502D">
        <w:rPr>
          <w:rFonts w:ascii="Arial" w:hAnsi="Arial" w:cs="Arial"/>
          <w:sz w:val="22"/>
          <w:szCs w:val="22"/>
        </w:rPr>
        <w:t xml:space="preserve">inscription de la pratique de la </w:t>
      </w:r>
      <w:r w:rsidR="00CD23FE">
        <w:rPr>
          <w:rFonts w:ascii="Arial" w:hAnsi="Arial" w:cs="Arial"/>
          <w:sz w:val="22"/>
          <w:szCs w:val="22"/>
        </w:rPr>
        <w:t>musique</w:t>
      </w:r>
      <w:r w:rsidR="00CD23FE" w:rsidRPr="0001502D">
        <w:rPr>
          <w:rFonts w:ascii="Arial" w:hAnsi="Arial" w:cs="Arial"/>
          <w:sz w:val="22"/>
          <w:szCs w:val="22"/>
        </w:rPr>
        <w:t xml:space="preserve"> </w:t>
      </w:r>
      <w:r w:rsidRPr="0001502D">
        <w:rPr>
          <w:rFonts w:ascii="Arial" w:hAnsi="Arial" w:cs="Arial"/>
          <w:sz w:val="22"/>
          <w:szCs w:val="22"/>
        </w:rPr>
        <w:t xml:space="preserve">et de la </w:t>
      </w:r>
      <w:r w:rsidR="00CD23FE">
        <w:rPr>
          <w:rFonts w:ascii="Arial" w:hAnsi="Arial" w:cs="Arial"/>
          <w:sz w:val="22"/>
          <w:szCs w:val="22"/>
        </w:rPr>
        <w:t xml:space="preserve">danse </w:t>
      </w:r>
      <w:r w:rsidRPr="0001502D">
        <w:rPr>
          <w:rFonts w:ascii="Arial" w:hAnsi="Arial" w:cs="Arial"/>
          <w:sz w:val="22"/>
          <w:szCs w:val="22"/>
        </w:rPr>
        <w:t xml:space="preserve">traditionnelles </w:t>
      </w:r>
      <w:r w:rsidR="00CD23FE">
        <w:rPr>
          <w:rFonts w:ascii="Arial" w:hAnsi="Arial" w:cs="Arial"/>
          <w:sz w:val="22"/>
          <w:szCs w:val="22"/>
        </w:rPr>
        <w:t xml:space="preserve">au </w:t>
      </w:r>
      <w:r w:rsidRPr="0001502D">
        <w:rPr>
          <w:rFonts w:ascii="Arial" w:hAnsi="Arial" w:cs="Arial"/>
          <w:sz w:val="22"/>
          <w:szCs w:val="22"/>
        </w:rPr>
        <w:t xml:space="preserve">Setesdal, jouer </w:t>
      </w:r>
      <w:r w:rsidR="00CD23FE">
        <w:rPr>
          <w:rFonts w:ascii="Arial" w:hAnsi="Arial" w:cs="Arial"/>
          <w:sz w:val="22"/>
          <w:szCs w:val="22"/>
        </w:rPr>
        <w:t>de la musique</w:t>
      </w:r>
      <w:r w:rsidRPr="0001502D">
        <w:rPr>
          <w:rFonts w:ascii="Arial" w:hAnsi="Arial" w:cs="Arial"/>
          <w:sz w:val="22"/>
          <w:szCs w:val="22"/>
        </w:rPr>
        <w:t>, danser et chanter (stev/stevjing) contribuerait à assurer la visibilité du patrimoine culturel immatériel, principalement en sensibilisant à d</w:t>
      </w:r>
      <w:r w:rsidR="009C104E">
        <w:rPr>
          <w:rFonts w:ascii="Arial" w:hAnsi="Arial" w:cs="Arial"/>
          <w:sz w:val="22"/>
          <w:szCs w:val="22"/>
        </w:rPr>
        <w:t>’</w:t>
      </w:r>
      <w:r w:rsidRPr="0001502D">
        <w:rPr>
          <w:rFonts w:ascii="Arial" w:hAnsi="Arial" w:cs="Arial"/>
          <w:sz w:val="22"/>
          <w:szCs w:val="22"/>
        </w:rPr>
        <w:t>autres formes de danse et de musique. De plus, l</w:t>
      </w:r>
      <w:r w:rsidR="009C104E">
        <w:rPr>
          <w:rFonts w:ascii="Arial" w:hAnsi="Arial" w:cs="Arial"/>
          <w:sz w:val="22"/>
          <w:szCs w:val="22"/>
        </w:rPr>
        <w:t>’</w:t>
      </w:r>
      <w:r w:rsidRPr="0001502D">
        <w:rPr>
          <w:rFonts w:ascii="Arial" w:hAnsi="Arial" w:cs="Arial"/>
          <w:sz w:val="22"/>
          <w:szCs w:val="22"/>
        </w:rPr>
        <w:t>influence des groupes minoritaires (les Taters/Romani), qui se reflète particulièrement dans le jeu instrumental, peut mettre en avant le dialogue interculturel et le respect de la diversité culturelle. Cela renforcerait également le sentiment d</w:t>
      </w:r>
      <w:r w:rsidR="009C104E">
        <w:rPr>
          <w:rFonts w:ascii="Arial" w:hAnsi="Arial" w:cs="Arial"/>
          <w:sz w:val="22"/>
          <w:szCs w:val="22"/>
        </w:rPr>
        <w:t>’</w:t>
      </w:r>
      <w:r w:rsidRPr="0001502D">
        <w:rPr>
          <w:rFonts w:ascii="Arial" w:hAnsi="Arial" w:cs="Arial"/>
          <w:sz w:val="22"/>
          <w:szCs w:val="22"/>
        </w:rPr>
        <w:t>identité et de fierté locales des praticiens qui pratiquent l</w:t>
      </w:r>
      <w:r w:rsidR="009C104E">
        <w:rPr>
          <w:rFonts w:ascii="Arial" w:hAnsi="Arial" w:cs="Arial"/>
          <w:sz w:val="22"/>
          <w:szCs w:val="22"/>
        </w:rPr>
        <w:t>’</w:t>
      </w:r>
      <w:r w:rsidRPr="0001502D">
        <w:rPr>
          <w:rFonts w:ascii="Arial" w:hAnsi="Arial" w:cs="Arial"/>
          <w:sz w:val="22"/>
          <w:szCs w:val="22"/>
        </w:rPr>
        <w:t>élément lors d</w:t>
      </w:r>
      <w:r w:rsidR="009C104E">
        <w:rPr>
          <w:rFonts w:ascii="Arial" w:hAnsi="Arial" w:cs="Arial"/>
          <w:sz w:val="22"/>
          <w:szCs w:val="22"/>
        </w:rPr>
        <w:t>’</w:t>
      </w:r>
      <w:r w:rsidRPr="0001502D">
        <w:rPr>
          <w:rFonts w:ascii="Arial" w:hAnsi="Arial" w:cs="Arial"/>
          <w:sz w:val="22"/>
          <w:szCs w:val="22"/>
        </w:rPr>
        <w:t>évènements et de rituels annuels et familiaux.</w:t>
      </w:r>
    </w:p>
    <w:p w14:paraId="303BAF9A" w14:textId="1DBB01AC" w:rsidR="0001502D" w:rsidRPr="0001502D" w:rsidRDefault="0001502D" w:rsidP="00BD3FF4">
      <w:pPr>
        <w:tabs>
          <w:tab w:val="left" w:pos="1134"/>
          <w:tab w:val="left" w:pos="2268"/>
        </w:tabs>
        <w:spacing w:before="120" w:after="120"/>
        <w:ind w:left="1134" w:hanging="555"/>
        <w:jc w:val="both"/>
        <w:rPr>
          <w:rFonts w:ascii="Arial" w:hAnsi="Arial" w:cs="Arial"/>
          <w:sz w:val="22"/>
          <w:szCs w:val="22"/>
        </w:rPr>
      </w:pPr>
      <w:r w:rsidRPr="0001502D">
        <w:rPr>
          <w:rFonts w:ascii="Arial" w:hAnsi="Arial" w:cs="Arial"/>
          <w:sz w:val="22"/>
          <w:szCs w:val="22"/>
        </w:rPr>
        <w:t xml:space="preserve">R.3 : </w:t>
      </w:r>
      <w:r w:rsidRPr="0001502D">
        <w:rPr>
          <w:rFonts w:ascii="Arial" w:hAnsi="Arial" w:cs="Arial"/>
          <w:sz w:val="22"/>
          <w:szCs w:val="22"/>
        </w:rPr>
        <w:tab/>
        <w:t>Grâce aux efforts constants de la communauté, un grand nombre de mesures de sauvegarde assurant la viabilité de l</w:t>
      </w:r>
      <w:r w:rsidR="009C104E">
        <w:rPr>
          <w:rFonts w:ascii="Arial" w:hAnsi="Arial" w:cs="Arial"/>
          <w:sz w:val="22"/>
          <w:szCs w:val="22"/>
        </w:rPr>
        <w:t>’</w:t>
      </w:r>
      <w:r w:rsidRPr="0001502D">
        <w:rPr>
          <w:rFonts w:ascii="Arial" w:hAnsi="Arial" w:cs="Arial"/>
          <w:sz w:val="22"/>
          <w:szCs w:val="22"/>
        </w:rPr>
        <w:t>élément ont été prises. L</w:t>
      </w:r>
      <w:r w:rsidR="009C104E">
        <w:rPr>
          <w:rFonts w:ascii="Arial" w:hAnsi="Arial" w:cs="Arial"/>
          <w:sz w:val="22"/>
          <w:szCs w:val="22"/>
        </w:rPr>
        <w:t>’</w:t>
      </w:r>
      <w:r w:rsidRPr="0001502D">
        <w:rPr>
          <w:rFonts w:ascii="Arial" w:hAnsi="Arial" w:cs="Arial"/>
          <w:sz w:val="22"/>
          <w:szCs w:val="22"/>
        </w:rPr>
        <w:t>État partie a proposé d</w:t>
      </w:r>
      <w:r w:rsidR="009C104E">
        <w:rPr>
          <w:rFonts w:ascii="Arial" w:hAnsi="Arial" w:cs="Arial"/>
          <w:sz w:val="22"/>
          <w:szCs w:val="22"/>
        </w:rPr>
        <w:t>’</w:t>
      </w:r>
      <w:r w:rsidRPr="0001502D">
        <w:rPr>
          <w:rFonts w:ascii="Arial" w:hAnsi="Arial" w:cs="Arial"/>
          <w:sz w:val="22"/>
          <w:szCs w:val="22"/>
        </w:rPr>
        <w:t>une part des mesures de sensibilisation et de recrutement, et d</w:t>
      </w:r>
      <w:r w:rsidR="009C104E">
        <w:rPr>
          <w:rFonts w:ascii="Arial" w:hAnsi="Arial" w:cs="Arial"/>
          <w:sz w:val="22"/>
          <w:szCs w:val="22"/>
        </w:rPr>
        <w:t>’</w:t>
      </w:r>
      <w:r w:rsidRPr="0001502D">
        <w:rPr>
          <w:rFonts w:ascii="Arial" w:hAnsi="Arial" w:cs="Arial"/>
          <w:sz w:val="22"/>
          <w:szCs w:val="22"/>
        </w:rPr>
        <w:t>autre part des mesures relevant de la documentation et de la promotion. Ces mesures sont meilleures que les précédentes : concrètes et réalistes, elles incluent des financements et des subventions provenant de différents niveaux gouvernementaux (nationaux, comtés, municipalités).</w:t>
      </w:r>
    </w:p>
    <w:p w14:paraId="7CCC6A01" w14:textId="65E0F05C" w:rsidR="0001502D" w:rsidRPr="0001502D" w:rsidRDefault="0001502D" w:rsidP="00BD3FF4">
      <w:pPr>
        <w:tabs>
          <w:tab w:val="left" w:pos="1134"/>
          <w:tab w:val="left" w:pos="2268"/>
        </w:tabs>
        <w:spacing w:before="120" w:after="120"/>
        <w:ind w:left="1134" w:hanging="555"/>
        <w:jc w:val="both"/>
        <w:rPr>
          <w:rFonts w:ascii="Arial" w:hAnsi="Arial" w:cs="Arial"/>
          <w:sz w:val="22"/>
          <w:szCs w:val="22"/>
        </w:rPr>
      </w:pPr>
      <w:r w:rsidRPr="0001502D">
        <w:rPr>
          <w:rFonts w:ascii="Arial" w:hAnsi="Arial" w:cs="Arial"/>
          <w:sz w:val="22"/>
          <w:szCs w:val="22"/>
        </w:rPr>
        <w:t xml:space="preserve">R.4 : </w:t>
      </w:r>
      <w:r w:rsidRPr="0001502D">
        <w:rPr>
          <w:rFonts w:ascii="Arial" w:hAnsi="Arial" w:cs="Arial"/>
          <w:sz w:val="22"/>
          <w:szCs w:val="22"/>
        </w:rPr>
        <w:tab/>
        <w:t>Les communautés locales de la vallée de Setesdal, et plus particulièrement l</w:t>
      </w:r>
      <w:r w:rsidR="009C104E">
        <w:rPr>
          <w:rFonts w:ascii="Arial" w:hAnsi="Arial" w:cs="Arial"/>
          <w:sz w:val="22"/>
          <w:szCs w:val="22"/>
        </w:rPr>
        <w:t>’</w:t>
      </w:r>
      <w:r w:rsidRPr="0001502D">
        <w:rPr>
          <w:rFonts w:ascii="Arial" w:hAnsi="Arial" w:cs="Arial"/>
          <w:sz w:val="22"/>
          <w:szCs w:val="22"/>
        </w:rPr>
        <w:t xml:space="preserve">organisation non gouvernementale </w:t>
      </w:r>
      <w:r w:rsidRPr="0001502D">
        <w:rPr>
          <w:rFonts w:ascii="Arial" w:hAnsi="Arial" w:cs="Arial"/>
          <w:iCs/>
          <w:sz w:val="22"/>
          <w:szCs w:val="22"/>
        </w:rPr>
        <w:t>Setesdal spelemannslag,</w:t>
      </w:r>
      <w:r w:rsidRPr="0001502D">
        <w:rPr>
          <w:rFonts w:ascii="Arial" w:hAnsi="Arial" w:cs="Arial"/>
          <w:sz w:val="22"/>
          <w:szCs w:val="22"/>
        </w:rPr>
        <w:t xml:space="preserve"> ont activement participé au processus de candidature, lequel a été diffusé aux niveaux local, régional et national et soutenu par d</w:t>
      </w:r>
      <w:r w:rsidR="009C104E">
        <w:rPr>
          <w:rFonts w:ascii="Arial" w:hAnsi="Arial" w:cs="Arial"/>
          <w:sz w:val="22"/>
          <w:szCs w:val="22"/>
        </w:rPr>
        <w:t>’</w:t>
      </w:r>
      <w:r w:rsidRPr="0001502D">
        <w:rPr>
          <w:rFonts w:ascii="Arial" w:hAnsi="Arial" w:cs="Arial"/>
          <w:sz w:val="22"/>
          <w:szCs w:val="22"/>
        </w:rPr>
        <w:t>autres institutions. L</w:t>
      </w:r>
      <w:r w:rsidR="009C104E">
        <w:rPr>
          <w:rFonts w:ascii="Arial" w:hAnsi="Arial" w:cs="Arial"/>
          <w:sz w:val="22"/>
          <w:szCs w:val="22"/>
        </w:rPr>
        <w:t>’</w:t>
      </w:r>
      <w:r w:rsidRPr="0001502D">
        <w:rPr>
          <w:rFonts w:ascii="Arial" w:hAnsi="Arial" w:cs="Arial"/>
          <w:sz w:val="22"/>
          <w:szCs w:val="22"/>
        </w:rPr>
        <w:t>initiative de soumettre la candidature de l</w:t>
      </w:r>
      <w:r w:rsidR="009C104E">
        <w:rPr>
          <w:rFonts w:ascii="Arial" w:hAnsi="Arial" w:cs="Arial"/>
          <w:sz w:val="22"/>
          <w:szCs w:val="22"/>
        </w:rPr>
        <w:t>’</w:t>
      </w:r>
      <w:r w:rsidRPr="0001502D">
        <w:rPr>
          <w:rFonts w:ascii="Arial" w:hAnsi="Arial" w:cs="Arial"/>
          <w:sz w:val="22"/>
          <w:szCs w:val="22"/>
        </w:rPr>
        <w:t>élément est venue des praticiens eux-mêmes, et ils ont été représentés tout au long du processus.</w:t>
      </w:r>
    </w:p>
    <w:p w14:paraId="490B9802" w14:textId="7903091D" w:rsidR="0001502D" w:rsidRPr="0001502D" w:rsidRDefault="0001502D" w:rsidP="00BD3FF4">
      <w:pPr>
        <w:tabs>
          <w:tab w:val="left" w:pos="1134"/>
          <w:tab w:val="left" w:pos="2268"/>
        </w:tabs>
        <w:spacing w:before="120" w:after="120"/>
        <w:ind w:left="1134" w:hanging="555"/>
        <w:jc w:val="both"/>
        <w:rPr>
          <w:rFonts w:ascii="Arial" w:hAnsi="Arial" w:cs="Arial"/>
          <w:sz w:val="22"/>
          <w:szCs w:val="22"/>
        </w:rPr>
      </w:pPr>
      <w:r w:rsidRPr="0001502D">
        <w:rPr>
          <w:rFonts w:ascii="Arial" w:hAnsi="Arial" w:cs="Arial"/>
          <w:sz w:val="22"/>
          <w:szCs w:val="22"/>
        </w:rPr>
        <w:t xml:space="preserve">R.5 : </w:t>
      </w:r>
      <w:r w:rsidRPr="0001502D">
        <w:rPr>
          <w:rFonts w:ascii="Arial" w:hAnsi="Arial" w:cs="Arial"/>
          <w:sz w:val="22"/>
          <w:szCs w:val="22"/>
        </w:rPr>
        <w:tab/>
        <w:t xml:space="preserve">La pratique de la </w:t>
      </w:r>
      <w:r w:rsidR="00CD23FE">
        <w:rPr>
          <w:rFonts w:ascii="Arial" w:hAnsi="Arial" w:cs="Arial"/>
          <w:sz w:val="22"/>
          <w:szCs w:val="22"/>
        </w:rPr>
        <w:t>musique</w:t>
      </w:r>
      <w:r w:rsidR="00CD23FE" w:rsidRPr="0001502D">
        <w:rPr>
          <w:rFonts w:ascii="Arial" w:hAnsi="Arial" w:cs="Arial"/>
          <w:sz w:val="22"/>
          <w:szCs w:val="22"/>
        </w:rPr>
        <w:t xml:space="preserve"> </w:t>
      </w:r>
      <w:r w:rsidRPr="0001502D">
        <w:rPr>
          <w:rFonts w:ascii="Arial" w:hAnsi="Arial" w:cs="Arial"/>
          <w:sz w:val="22"/>
          <w:szCs w:val="22"/>
        </w:rPr>
        <w:t xml:space="preserve">et de la </w:t>
      </w:r>
      <w:r w:rsidR="00CD23FE">
        <w:rPr>
          <w:rFonts w:ascii="Arial" w:hAnsi="Arial" w:cs="Arial"/>
          <w:sz w:val="22"/>
          <w:szCs w:val="22"/>
        </w:rPr>
        <w:t xml:space="preserve">danse </w:t>
      </w:r>
      <w:r w:rsidRPr="0001502D">
        <w:rPr>
          <w:rFonts w:ascii="Arial" w:hAnsi="Arial" w:cs="Arial"/>
          <w:sz w:val="22"/>
          <w:szCs w:val="22"/>
        </w:rPr>
        <w:t xml:space="preserve">traditionnelles </w:t>
      </w:r>
      <w:r w:rsidR="00CD23FE">
        <w:rPr>
          <w:rFonts w:ascii="Arial" w:hAnsi="Arial" w:cs="Arial"/>
          <w:sz w:val="22"/>
          <w:szCs w:val="22"/>
        </w:rPr>
        <w:t xml:space="preserve">au </w:t>
      </w:r>
      <w:r w:rsidRPr="0001502D">
        <w:rPr>
          <w:rFonts w:ascii="Arial" w:hAnsi="Arial" w:cs="Arial"/>
          <w:sz w:val="22"/>
          <w:szCs w:val="22"/>
        </w:rPr>
        <w:t xml:space="preserve">Setesdal, jouer </w:t>
      </w:r>
      <w:r w:rsidR="00CD23FE">
        <w:rPr>
          <w:rFonts w:ascii="Arial" w:hAnsi="Arial" w:cs="Arial"/>
          <w:sz w:val="22"/>
          <w:szCs w:val="22"/>
        </w:rPr>
        <w:t>de la musique</w:t>
      </w:r>
      <w:r w:rsidRPr="0001502D">
        <w:rPr>
          <w:rFonts w:ascii="Arial" w:hAnsi="Arial" w:cs="Arial"/>
          <w:sz w:val="22"/>
          <w:szCs w:val="22"/>
        </w:rPr>
        <w:t>, danser et chanter (stev/stevjing) est incluse dans l</w:t>
      </w:r>
      <w:r w:rsidR="009C104E">
        <w:rPr>
          <w:rFonts w:ascii="Arial" w:hAnsi="Arial" w:cs="Arial"/>
          <w:sz w:val="22"/>
          <w:szCs w:val="22"/>
        </w:rPr>
        <w:t>’</w:t>
      </w:r>
      <w:r w:rsidRPr="0001502D">
        <w:rPr>
          <w:rFonts w:ascii="Arial" w:hAnsi="Arial" w:cs="Arial"/>
          <w:sz w:val="22"/>
          <w:szCs w:val="22"/>
        </w:rPr>
        <w:t>Inventaire national du patrimoine culturel immatériel depuis 2017. Le processus d</w:t>
      </w:r>
      <w:r w:rsidR="009C104E">
        <w:rPr>
          <w:rFonts w:ascii="Arial" w:hAnsi="Arial" w:cs="Arial"/>
          <w:sz w:val="22"/>
          <w:szCs w:val="22"/>
        </w:rPr>
        <w:t>’</w:t>
      </w:r>
      <w:r w:rsidRPr="0001502D">
        <w:rPr>
          <w:rFonts w:ascii="Arial" w:hAnsi="Arial" w:cs="Arial"/>
          <w:sz w:val="22"/>
          <w:szCs w:val="22"/>
        </w:rPr>
        <w:t>inscription a été mené en utilisant une méthodologie avec la participation de la communauté, et l</w:t>
      </w:r>
      <w:r w:rsidR="009C104E">
        <w:rPr>
          <w:rFonts w:ascii="Arial" w:hAnsi="Arial" w:cs="Arial"/>
          <w:sz w:val="22"/>
          <w:szCs w:val="22"/>
        </w:rPr>
        <w:t>’</w:t>
      </w:r>
      <w:r w:rsidRPr="0001502D">
        <w:rPr>
          <w:rFonts w:ascii="Arial" w:hAnsi="Arial" w:cs="Arial"/>
          <w:sz w:val="22"/>
          <w:szCs w:val="22"/>
        </w:rPr>
        <w:t>inventaire est régulièrement mis à jour, comme demandé par le Conseil des arts de la Norvège.</w:t>
      </w:r>
    </w:p>
    <w:p w14:paraId="5CD35114" w14:textId="6853209B" w:rsidR="0001502D" w:rsidRPr="0001502D" w:rsidRDefault="0001502D" w:rsidP="00771F30">
      <w:pPr>
        <w:numPr>
          <w:ilvl w:val="1"/>
          <w:numId w:val="27"/>
        </w:numPr>
        <w:tabs>
          <w:tab w:val="left" w:pos="567"/>
          <w:tab w:val="left" w:pos="1701"/>
          <w:tab w:val="left" w:pos="2268"/>
        </w:tabs>
        <w:spacing w:before="120" w:after="120"/>
        <w:jc w:val="both"/>
        <w:rPr>
          <w:rFonts w:ascii="Arial" w:hAnsi="Arial" w:cs="Arial"/>
          <w:sz w:val="22"/>
          <w:szCs w:val="22"/>
          <w:lang w:eastAsia="ko-KR"/>
        </w:rPr>
      </w:pPr>
      <w:r w:rsidRPr="0001502D">
        <w:rPr>
          <w:rFonts w:ascii="Arial" w:hAnsi="Arial" w:cs="Arial"/>
          <w:sz w:val="22"/>
          <w:szCs w:val="22"/>
          <w:u w:val="single"/>
          <w:lang w:eastAsia="ko-KR"/>
        </w:rPr>
        <w:t>Décide d</w:t>
      </w:r>
      <w:r w:rsidR="009C104E">
        <w:rPr>
          <w:rFonts w:ascii="Arial" w:hAnsi="Arial" w:cs="Arial"/>
          <w:sz w:val="22"/>
          <w:szCs w:val="22"/>
          <w:u w:val="single"/>
          <w:lang w:eastAsia="ko-KR"/>
        </w:rPr>
        <w:t>’</w:t>
      </w:r>
      <w:r w:rsidRPr="0001502D">
        <w:rPr>
          <w:rFonts w:ascii="Arial" w:hAnsi="Arial" w:cs="Arial"/>
          <w:sz w:val="22"/>
          <w:szCs w:val="22"/>
          <w:u w:val="single"/>
          <w:lang w:eastAsia="ko-KR"/>
        </w:rPr>
        <w:t>inscrire</w:t>
      </w:r>
      <w:r w:rsidRPr="0001502D">
        <w:rPr>
          <w:rFonts w:ascii="Arial" w:hAnsi="Arial" w:cs="Arial"/>
          <w:sz w:val="22"/>
          <w:szCs w:val="22"/>
          <w:lang w:eastAsia="ko-KR"/>
        </w:rPr>
        <w:t xml:space="preserve"> </w:t>
      </w:r>
      <w:r w:rsidR="00CD23FE" w:rsidRPr="00131CAF">
        <w:rPr>
          <w:rFonts w:ascii="Arial" w:hAnsi="Arial" w:cs="Arial"/>
          <w:b/>
          <w:sz w:val="22"/>
          <w:szCs w:val="22"/>
          <w:lang w:eastAsia="ko-KR"/>
        </w:rPr>
        <w:t>la pratique de la musique et de la danse traditionnelles au Setesdal, jouer de la musique, danser et chanter (stev/stevjing)</w:t>
      </w:r>
      <w:r w:rsidRPr="0001502D">
        <w:rPr>
          <w:rFonts w:ascii="Arial" w:hAnsi="Arial" w:cs="Arial"/>
          <w:sz w:val="22"/>
          <w:szCs w:val="22"/>
          <w:lang w:eastAsia="ko-KR"/>
        </w:rPr>
        <w:t xml:space="preserve"> sur la Liste représentative du patrimoine culturel immatériel de l</w:t>
      </w:r>
      <w:r w:rsidR="009C104E">
        <w:rPr>
          <w:rFonts w:ascii="Arial" w:hAnsi="Arial" w:cs="Arial"/>
          <w:sz w:val="22"/>
          <w:szCs w:val="22"/>
          <w:lang w:eastAsia="ko-KR"/>
        </w:rPr>
        <w:t>’</w:t>
      </w:r>
      <w:r w:rsidRPr="0001502D">
        <w:rPr>
          <w:rFonts w:ascii="Arial" w:hAnsi="Arial" w:cs="Arial"/>
          <w:sz w:val="22"/>
          <w:szCs w:val="22"/>
          <w:lang w:eastAsia="ko-KR"/>
        </w:rPr>
        <w:t>humanité ;</w:t>
      </w:r>
    </w:p>
    <w:p w14:paraId="31DA49A1" w14:textId="17242E52" w:rsidR="0001502D" w:rsidRPr="0001502D" w:rsidRDefault="0001502D" w:rsidP="00771F30">
      <w:pPr>
        <w:numPr>
          <w:ilvl w:val="1"/>
          <w:numId w:val="27"/>
        </w:numPr>
        <w:tabs>
          <w:tab w:val="left" w:pos="567"/>
          <w:tab w:val="left" w:pos="1701"/>
          <w:tab w:val="left" w:pos="2268"/>
        </w:tabs>
        <w:spacing w:before="120" w:after="120"/>
        <w:jc w:val="both"/>
        <w:rPr>
          <w:rFonts w:ascii="Arial" w:hAnsi="Arial" w:cs="Arial"/>
          <w:sz w:val="22"/>
          <w:szCs w:val="22"/>
          <w:lang w:eastAsia="ko-KR"/>
        </w:rPr>
      </w:pPr>
      <w:r w:rsidRPr="0001502D">
        <w:rPr>
          <w:rFonts w:ascii="Arial" w:hAnsi="Arial" w:cs="Arial"/>
          <w:sz w:val="22"/>
          <w:szCs w:val="22"/>
          <w:u w:val="single"/>
          <w:lang w:eastAsia="ko-KR"/>
        </w:rPr>
        <w:t>Encourage</w:t>
      </w:r>
      <w:r w:rsidRPr="0001502D">
        <w:rPr>
          <w:rFonts w:ascii="Arial" w:hAnsi="Arial" w:cs="Arial"/>
          <w:sz w:val="22"/>
          <w:szCs w:val="22"/>
          <w:lang w:eastAsia="ko-KR"/>
        </w:rPr>
        <w:t xml:space="preserve"> l</w:t>
      </w:r>
      <w:r w:rsidR="009C104E">
        <w:rPr>
          <w:rFonts w:ascii="Arial" w:hAnsi="Arial" w:cs="Arial"/>
          <w:sz w:val="22"/>
          <w:szCs w:val="22"/>
          <w:lang w:eastAsia="ko-KR"/>
        </w:rPr>
        <w:t>’</w:t>
      </w:r>
      <w:r w:rsidRPr="0001502D">
        <w:rPr>
          <w:rFonts w:ascii="Arial" w:hAnsi="Arial" w:cs="Arial"/>
          <w:sz w:val="22"/>
          <w:szCs w:val="22"/>
          <w:lang w:eastAsia="ko-KR"/>
        </w:rPr>
        <w:t>État partie à éviter d</w:t>
      </w:r>
      <w:r w:rsidR="009C104E">
        <w:rPr>
          <w:rFonts w:ascii="Arial" w:hAnsi="Arial" w:cs="Arial"/>
          <w:sz w:val="22"/>
          <w:szCs w:val="22"/>
          <w:lang w:eastAsia="ko-KR"/>
        </w:rPr>
        <w:t>’</w:t>
      </w:r>
      <w:r w:rsidRPr="0001502D">
        <w:rPr>
          <w:rFonts w:ascii="Arial" w:hAnsi="Arial" w:cs="Arial"/>
          <w:sz w:val="22"/>
          <w:szCs w:val="22"/>
          <w:lang w:eastAsia="ko-KR"/>
        </w:rPr>
        <w:t>inclure à l</w:t>
      </w:r>
      <w:r w:rsidR="009C104E">
        <w:rPr>
          <w:rFonts w:ascii="Arial" w:hAnsi="Arial" w:cs="Arial"/>
          <w:sz w:val="22"/>
          <w:szCs w:val="22"/>
          <w:lang w:eastAsia="ko-KR"/>
        </w:rPr>
        <w:t>’</w:t>
      </w:r>
      <w:r w:rsidRPr="0001502D">
        <w:rPr>
          <w:rFonts w:ascii="Arial" w:hAnsi="Arial" w:cs="Arial"/>
          <w:sz w:val="22"/>
          <w:szCs w:val="22"/>
          <w:lang w:eastAsia="ko-KR"/>
        </w:rPr>
        <w:t>avenir des lettres de consentement standardisées aux dossiers de candidature.</w:t>
      </w:r>
    </w:p>
    <w:p w14:paraId="1E476568" w14:textId="7A9F60C0" w:rsidR="0001502D" w:rsidRPr="0001502D" w:rsidRDefault="0001502D" w:rsidP="00771F30">
      <w:pPr>
        <w:keepNext/>
        <w:keepLines/>
        <w:numPr>
          <w:ilvl w:val="0"/>
          <w:numId w:val="27"/>
        </w:numPr>
        <w:spacing w:before="360" w:after="120"/>
        <w:outlineLvl w:val="1"/>
        <w:rPr>
          <w:rFonts w:ascii="Arial" w:hAnsi="Arial" w:cs="Arial"/>
          <w:bCs/>
          <w:iCs/>
          <w:sz w:val="22"/>
          <w:szCs w:val="22"/>
        </w:rPr>
      </w:pPr>
      <w:bookmarkStart w:id="32" w:name="Decision_10b29"/>
      <w:r w:rsidRPr="0001502D">
        <w:rPr>
          <w:rFonts w:ascii="Arial" w:hAnsi="Arial" w:cs="Arial"/>
          <w:b/>
          <w:bCs/>
          <w:iCs/>
          <w:sz w:val="22"/>
          <w:szCs w:val="22"/>
        </w:rPr>
        <w:t>DÉCISION 14.COM 10.b.29</w:t>
      </w:r>
    </w:p>
    <w:bookmarkEnd w:id="32"/>
    <w:p w14:paraId="3409F7EF" w14:textId="77777777" w:rsidR="0001502D" w:rsidRPr="0001502D" w:rsidRDefault="0001502D" w:rsidP="0028634C">
      <w:pPr>
        <w:keepNext/>
        <w:tabs>
          <w:tab w:val="left" w:pos="567"/>
          <w:tab w:val="left" w:pos="1134"/>
          <w:tab w:val="left" w:pos="1701"/>
          <w:tab w:val="left" w:pos="2268"/>
        </w:tabs>
        <w:spacing w:before="120" w:after="120"/>
        <w:jc w:val="both"/>
        <w:rPr>
          <w:rFonts w:ascii="Arial" w:hAnsi="Arial" w:cs="Arial"/>
          <w:sz w:val="22"/>
          <w:szCs w:val="22"/>
        </w:rPr>
      </w:pPr>
      <w:r w:rsidRPr="0001502D">
        <w:rPr>
          <w:rFonts w:ascii="Arial" w:hAnsi="Arial" w:cs="Arial"/>
          <w:sz w:val="22"/>
          <w:szCs w:val="22"/>
        </w:rPr>
        <w:t>Le Comité,</w:t>
      </w:r>
    </w:p>
    <w:p w14:paraId="7D796BA7" w14:textId="72BA262C" w:rsidR="0001502D" w:rsidRPr="0001502D" w:rsidRDefault="0001502D" w:rsidP="00771F30">
      <w:pPr>
        <w:numPr>
          <w:ilvl w:val="1"/>
          <w:numId w:val="27"/>
        </w:numPr>
        <w:tabs>
          <w:tab w:val="left" w:pos="567"/>
          <w:tab w:val="left" w:pos="1701"/>
          <w:tab w:val="left" w:pos="2268"/>
        </w:tabs>
        <w:spacing w:before="120" w:after="120"/>
        <w:jc w:val="both"/>
        <w:rPr>
          <w:rFonts w:ascii="Arial" w:hAnsi="Arial" w:cs="Arial"/>
          <w:sz w:val="22"/>
          <w:szCs w:val="22"/>
          <w:lang w:eastAsia="ko-KR"/>
        </w:rPr>
      </w:pPr>
      <w:r w:rsidRPr="0001502D">
        <w:rPr>
          <w:rFonts w:ascii="Arial" w:hAnsi="Arial" w:cs="Arial"/>
          <w:sz w:val="22"/>
          <w:szCs w:val="22"/>
          <w:u w:val="single"/>
          <w:lang w:eastAsia="ko-KR"/>
        </w:rPr>
        <w:t>Prend note</w:t>
      </w:r>
      <w:r w:rsidRPr="0001502D">
        <w:rPr>
          <w:rFonts w:ascii="Arial" w:hAnsi="Arial" w:cs="Arial"/>
          <w:sz w:val="22"/>
          <w:szCs w:val="22"/>
          <w:lang w:eastAsia="ko-KR"/>
        </w:rPr>
        <w:t xml:space="preserve"> que le Pérou a proposé la candidature de </w:t>
      </w:r>
      <w:r w:rsidRPr="0001502D">
        <w:rPr>
          <w:rFonts w:ascii="Arial" w:hAnsi="Arial" w:cs="Arial"/>
          <w:b/>
          <w:sz w:val="22"/>
          <w:szCs w:val="22"/>
          <w:lang w:eastAsia="ko-KR"/>
        </w:rPr>
        <w:t>l</w:t>
      </w:r>
      <w:r w:rsidR="009C104E">
        <w:rPr>
          <w:rFonts w:ascii="Arial" w:hAnsi="Arial" w:cs="Arial"/>
          <w:b/>
          <w:sz w:val="22"/>
          <w:szCs w:val="22"/>
          <w:lang w:eastAsia="ko-KR"/>
        </w:rPr>
        <w:t>’</w:t>
      </w:r>
      <w:r w:rsidRPr="0001502D">
        <w:rPr>
          <w:rFonts w:ascii="Arial" w:hAnsi="Arial" w:cs="Arial"/>
          <w:b/>
          <w:sz w:val="22"/>
          <w:szCs w:val="22"/>
          <w:lang w:eastAsia="ko-KR"/>
        </w:rPr>
        <w:t>« hatajo de negritos » et l</w:t>
      </w:r>
      <w:r w:rsidR="009C104E">
        <w:rPr>
          <w:rFonts w:ascii="Arial" w:hAnsi="Arial" w:cs="Arial"/>
          <w:b/>
          <w:sz w:val="22"/>
          <w:szCs w:val="22"/>
          <w:lang w:eastAsia="ko-KR"/>
        </w:rPr>
        <w:t>’</w:t>
      </w:r>
      <w:r w:rsidRPr="0001502D">
        <w:rPr>
          <w:rFonts w:ascii="Arial" w:hAnsi="Arial" w:cs="Arial"/>
          <w:b/>
          <w:sz w:val="22"/>
          <w:szCs w:val="22"/>
          <w:lang w:eastAsia="ko-KR"/>
        </w:rPr>
        <w:t>« hatajo de pallitas » de la côte sud-centrale du Pérou</w:t>
      </w:r>
      <w:r w:rsidRPr="0001502D">
        <w:rPr>
          <w:rFonts w:ascii="Arial" w:hAnsi="Arial" w:cs="Arial"/>
          <w:sz w:val="22"/>
          <w:szCs w:val="22"/>
          <w:lang w:eastAsia="ko-KR"/>
        </w:rPr>
        <w:t xml:space="preserve"> (n° 01309) pour inscription sur la Liste représentative du patrimoine culturel immatériel de l</w:t>
      </w:r>
      <w:r w:rsidR="009C104E">
        <w:rPr>
          <w:rFonts w:ascii="Arial" w:hAnsi="Arial" w:cs="Arial"/>
          <w:sz w:val="22"/>
          <w:szCs w:val="22"/>
          <w:lang w:eastAsia="ko-KR"/>
        </w:rPr>
        <w:t>’</w:t>
      </w:r>
      <w:r w:rsidRPr="0001502D">
        <w:rPr>
          <w:rFonts w:ascii="Arial" w:hAnsi="Arial" w:cs="Arial"/>
          <w:sz w:val="22"/>
          <w:szCs w:val="22"/>
          <w:lang w:eastAsia="ko-KR"/>
        </w:rPr>
        <w:t>humanité :</w:t>
      </w:r>
    </w:p>
    <w:p w14:paraId="3623F216" w14:textId="145C317B" w:rsidR="0001502D" w:rsidRPr="0001502D" w:rsidRDefault="0001502D" w:rsidP="0028634C">
      <w:pPr>
        <w:tabs>
          <w:tab w:val="left" w:pos="567"/>
          <w:tab w:val="left" w:pos="1701"/>
          <w:tab w:val="left" w:pos="2268"/>
        </w:tabs>
        <w:spacing w:before="120" w:after="120"/>
        <w:ind w:left="567"/>
        <w:jc w:val="both"/>
        <w:rPr>
          <w:rFonts w:ascii="Arial" w:hAnsi="Arial" w:cs="Arial"/>
          <w:sz w:val="22"/>
          <w:szCs w:val="22"/>
        </w:rPr>
      </w:pPr>
      <w:r w:rsidRPr="0001502D">
        <w:rPr>
          <w:rFonts w:ascii="Arial" w:hAnsi="Arial" w:cs="Arial"/>
          <w:sz w:val="22"/>
          <w:szCs w:val="22"/>
        </w:rPr>
        <w:t>L</w:t>
      </w:r>
      <w:r w:rsidR="009C104E">
        <w:rPr>
          <w:rFonts w:ascii="Arial" w:hAnsi="Arial" w:cs="Arial"/>
          <w:sz w:val="22"/>
          <w:szCs w:val="22"/>
        </w:rPr>
        <w:t>’</w:t>
      </w:r>
      <w:r w:rsidRPr="0001502D">
        <w:rPr>
          <w:rFonts w:ascii="Arial" w:hAnsi="Arial" w:cs="Arial"/>
          <w:sz w:val="22"/>
          <w:szCs w:val="22"/>
        </w:rPr>
        <w:t>« hatajo de negritos » et l</w:t>
      </w:r>
      <w:r w:rsidR="009C104E">
        <w:rPr>
          <w:rFonts w:ascii="Arial" w:hAnsi="Arial" w:cs="Arial"/>
          <w:sz w:val="22"/>
          <w:szCs w:val="22"/>
        </w:rPr>
        <w:t>’</w:t>
      </w:r>
      <w:r w:rsidRPr="0001502D">
        <w:rPr>
          <w:rFonts w:ascii="Arial" w:hAnsi="Arial" w:cs="Arial"/>
          <w:sz w:val="22"/>
          <w:szCs w:val="22"/>
        </w:rPr>
        <w:t>« hatajo de pallitas » de la côte sud-centrale du Pérou sont deux expressions complémentaires qui associent des musiques et des chants originaires du département d</w:t>
      </w:r>
      <w:r w:rsidR="009C104E">
        <w:rPr>
          <w:rFonts w:ascii="Arial" w:hAnsi="Arial" w:cs="Arial"/>
          <w:sz w:val="22"/>
          <w:szCs w:val="22"/>
        </w:rPr>
        <w:t>’</w:t>
      </w:r>
      <w:r w:rsidRPr="0001502D">
        <w:rPr>
          <w:rFonts w:ascii="Arial" w:hAnsi="Arial" w:cs="Arial"/>
          <w:sz w:val="22"/>
          <w:szCs w:val="22"/>
        </w:rPr>
        <w:t>Ica, au centre du Pérou, dans le cadre des célébrations de Noël. Ces expressions sont des représentations bibliques de la visite d</w:t>
      </w:r>
      <w:r w:rsidR="009C104E">
        <w:rPr>
          <w:rFonts w:ascii="Arial" w:hAnsi="Arial" w:cs="Arial"/>
          <w:sz w:val="22"/>
          <w:szCs w:val="22"/>
        </w:rPr>
        <w:t>’</w:t>
      </w:r>
      <w:r w:rsidRPr="0001502D">
        <w:rPr>
          <w:rFonts w:ascii="Arial" w:hAnsi="Arial" w:cs="Arial"/>
          <w:sz w:val="22"/>
          <w:szCs w:val="22"/>
        </w:rPr>
        <w:t>un groupe de bergers au Christ nouveau-né et de l</w:t>
      </w:r>
      <w:r w:rsidR="009C104E">
        <w:rPr>
          <w:rFonts w:ascii="Arial" w:hAnsi="Arial" w:cs="Arial"/>
          <w:sz w:val="22"/>
          <w:szCs w:val="22"/>
        </w:rPr>
        <w:t>’</w:t>
      </w:r>
      <w:r w:rsidRPr="0001502D">
        <w:rPr>
          <w:rFonts w:ascii="Arial" w:hAnsi="Arial" w:cs="Arial"/>
          <w:sz w:val="22"/>
          <w:szCs w:val="22"/>
        </w:rPr>
        <w:t>arrivée des Rois mages. Ces deux expressions combinent des valeurs andines préhispaniques avec le catholicisme européen et l</w:t>
      </w:r>
      <w:r w:rsidR="009C104E">
        <w:rPr>
          <w:rFonts w:ascii="Arial" w:hAnsi="Arial" w:cs="Arial"/>
          <w:sz w:val="22"/>
          <w:szCs w:val="22"/>
        </w:rPr>
        <w:t>’</w:t>
      </w:r>
      <w:r w:rsidRPr="0001502D">
        <w:rPr>
          <w:rFonts w:ascii="Arial" w:hAnsi="Arial" w:cs="Arial"/>
          <w:sz w:val="22"/>
          <w:szCs w:val="22"/>
        </w:rPr>
        <w:t>héritage rythmique des descendants des africains arrivés dans la région à l</w:t>
      </w:r>
      <w:r w:rsidR="009C104E">
        <w:rPr>
          <w:rFonts w:ascii="Arial" w:hAnsi="Arial" w:cs="Arial"/>
          <w:sz w:val="22"/>
          <w:szCs w:val="22"/>
        </w:rPr>
        <w:t>’</w:t>
      </w:r>
      <w:r w:rsidRPr="0001502D">
        <w:rPr>
          <w:rFonts w:ascii="Arial" w:hAnsi="Arial" w:cs="Arial"/>
          <w:sz w:val="22"/>
          <w:szCs w:val="22"/>
        </w:rPr>
        <w:t>ère coloniale. Cette complexité a permis aux deux expressions de devenir des représentations de l</w:t>
      </w:r>
      <w:r w:rsidR="009C104E">
        <w:rPr>
          <w:rFonts w:ascii="Arial" w:hAnsi="Arial" w:cs="Arial"/>
          <w:sz w:val="22"/>
          <w:szCs w:val="22"/>
        </w:rPr>
        <w:t>’</w:t>
      </w:r>
      <w:r w:rsidRPr="0001502D">
        <w:rPr>
          <w:rFonts w:ascii="Arial" w:hAnsi="Arial" w:cs="Arial"/>
          <w:sz w:val="22"/>
          <w:szCs w:val="22"/>
        </w:rPr>
        <w:t>identité des métis et des descendants d</w:t>
      </w:r>
      <w:r w:rsidR="009C104E">
        <w:rPr>
          <w:rFonts w:ascii="Arial" w:hAnsi="Arial" w:cs="Arial"/>
          <w:sz w:val="22"/>
          <w:szCs w:val="22"/>
        </w:rPr>
        <w:t>’</w:t>
      </w:r>
      <w:r w:rsidRPr="0001502D">
        <w:rPr>
          <w:rFonts w:ascii="Arial" w:hAnsi="Arial" w:cs="Arial"/>
          <w:sz w:val="22"/>
          <w:szCs w:val="22"/>
        </w:rPr>
        <w:t>africains. La danse des « negritos » est surtout exécutée par des hommes au son d</w:t>
      </w:r>
      <w:r w:rsidR="009C104E">
        <w:rPr>
          <w:rFonts w:ascii="Arial" w:hAnsi="Arial" w:cs="Arial"/>
          <w:sz w:val="22"/>
          <w:szCs w:val="22"/>
        </w:rPr>
        <w:t>’</w:t>
      </w:r>
      <w:r w:rsidRPr="0001502D">
        <w:rPr>
          <w:rFonts w:ascii="Arial" w:hAnsi="Arial" w:cs="Arial"/>
          <w:sz w:val="22"/>
          <w:szCs w:val="22"/>
        </w:rPr>
        <w:t>un seul violon, auquel s</w:t>
      </w:r>
      <w:r w:rsidR="009C104E">
        <w:rPr>
          <w:rFonts w:ascii="Arial" w:hAnsi="Arial" w:cs="Arial"/>
          <w:sz w:val="22"/>
          <w:szCs w:val="22"/>
        </w:rPr>
        <w:t>’</w:t>
      </w:r>
      <w:r w:rsidRPr="0001502D">
        <w:rPr>
          <w:rFonts w:ascii="Arial" w:hAnsi="Arial" w:cs="Arial"/>
          <w:sz w:val="22"/>
          <w:szCs w:val="22"/>
        </w:rPr>
        <w:t>ajoutent des chants et le rythme de claquettes et de grelots. La danse des « pallitas » est exécutée par des femmes au son d</w:t>
      </w:r>
      <w:r w:rsidR="009C104E">
        <w:rPr>
          <w:rFonts w:ascii="Arial" w:hAnsi="Arial" w:cs="Arial"/>
          <w:sz w:val="22"/>
          <w:szCs w:val="22"/>
        </w:rPr>
        <w:t>’</w:t>
      </w:r>
      <w:r w:rsidRPr="0001502D">
        <w:rPr>
          <w:rFonts w:ascii="Arial" w:hAnsi="Arial" w:cs="Arial"/>
          <w:sz w:val="22"/>
          <w:szCs w:val="22"/>
        </w:rPr>
        <w:t>une guitare ou d</w:t>
      </w:r>
      <w:r w:rsidR="009C104E">
        <w:rPr>
          <w:rFonts w:ascii="Arial" w:hAnsi="Arial" w:cs="Arial"/>
          <w:sz w:val="22"/>
          <w:szCs w:val="22"/>
        </w:rPr>
        <w:t>’</w:t>
      </w:r>
      <w:r w:rsidRPr="0001502D">
        <w:rPr>
          <w:rFonts w:ascii="Arial" w:hAnsi="Arial" w:cs="Arial"/>
          <w:sz w:val="22"/>
          <w:szCs w:val="22"/>
        </w:rPr>
        <w:t>un violon, accompagné d</w:t>
      </w:r>
      <w:r w:rsidR="009C104E">
        <w:rPr>
          <w:rFonts w:ascii="Arial" w:hAnsi="Arial" w:cs="Arial"/>
          <w:sz w:val="22"/>
          <w:szCs w:val="22"/>
        </w:rPr>
        <w:t>’</w:t>
      </w:r>
      <w:r w:rsidRPr="0001502D">
        <w:rPr>
          <w:rFonts w:ascii="Arial" w:hAnsi="Arial" w:cs="Arial"/>
          <w:sz w:val="22"/>
          <w:szCs w:val="22"/>
        </w:rPr>
        <w:t>un « zapateo » et de chants. Ces deux danses, considérées comme des symboles de dévotion religieuse et de contemplation spirituelle, sont pratiquées par des groupes pouvant réunir jusqu</w:t>
      </w:r>
      <w:r w:rsidR="009C104E">
        <w:rPr>
          <w:rFonts w:ascii="Arial" w:hAnsi="Arial" w:cs="Arial"/>
          <w:sz w:val="22"/>
          <w:szCs w:val="22"/>
        </w:rPr>
        <w:t>’</w:t>
      </w:r>
      <w:r w:rsidRPr="0001502D">
        <w:rPr>
          <w:rFonts w:ascii="Arial" w:hAnsi="Arial" w:cs="Arial"/>
          <w:sz w:val="22"/>
          <w:szCs w:val="22"/>
        </w:rPr>
        <w:t>à cinquante membres. Ils se produisent sur des places et dans des églises en décembre et en janvier, ainsi que dans des maisons, pour des familles. Ces deux expressions sont très tôt enseignées aux jeunes. Encouragés par les adultes, les enfants apprennent un grand nombre de chants de Noël, de rythmes de « zapateo » et de séquences de danse en signe de dévotion.</w:t>
      </w:r>
    </w:p>
    <w:p w14:paraId="1C0AF8C1" w14:textId="73902A7E" w:rsidR="0001502D" w:rsidRPr="0001502D" w:rsidRDefault="0001502D" w:rsidP="00771F30">
      <w:pPr>
        <w:keepNext/>
        <w:numPr>
          <w:ilvl w:val="1"/>
          <w:numId w:val="27"/>
        </w:numPr>
        <w:tabs>
          <w:tab w:val="left" w:pos="567"/>
          <w:tab w:val="left" w:pos="1701"/>
          <w:tab w:val="left" w:pos="2268"/>
        </w:tabs>
        <w:spacing w:before="120" w:after="120"/>
        <w:jc w:val="both"/>
        <w:rPr>
          <w:rFonts w:ascii="Arial" w:hAnsi="Arial" w:cs="Arial"/>
          <w:sz w:val="22"/>
          <w:szCs w:val="22"/>
          <w:lang w:eastAsia="ko-KR"/>
        </w:rPr>
      </w:pPr>
      <w:r w:rsidRPr="0001502D">
        <w:rPr>
          <w:rFonts w:ascii="Arial" w:hAnsi="Arial" w:cs="Arial"/>
          <w:sz w:val="22"/>
          <w:szCs w:val="22"/>
          <w:u w:val="single"/>
          <w:lang w:eastAsia="ko-KR"/>
        </w:rPr>
        <w:t>Estime</w:t>
      </w:r>
      <w:r w:rsidRPr="0001502D">
        <w:rPr>
          <w:rFonts w:ascii="Arial" w:hAnsi="Arial" w:cs="Arial"/>
          <w:sz w:val="22"/>
          <w:szCs w:val="22"/>
          <w:lang w:eastAsia="ko-KR"/>
        </w:rPr>
        <w:t xml:space="preserve"> que, d</w:t>
      </w:r>
      <w:r w:rsidR="009C104E">
        <w:rPr>
          <w:rFonts w:ascii="Arial" w:hAnsi="Arial" w:cs="Arial"/>
          <w:sz w:val="22"/>
          <w:szCs w:val="22"/>
          <w:lang w:eastAsia="ko-KR"/>
        </w:rPr>
        <w:t>’</w:t>
      </w:r>
      <w:r w:rsidRPr="0001502D">
        <w:rPr>
          <w:rFonts w:ascii="Arial" w:hAnsi="Arial" w:cs="Arial"/>
          <w:sz w:val="22"/>
          <w:szCs w:val="22"/>
          <w:lang w:eastAsia="ko-KR"/>
        </w:rPr>
        <w:t>après les informations contenues dans le dossier, la candidature satisfait aux critères d</w:t>
      </w:r>
      <w:r w:rsidR="009C104E">
        <w:rPr>
          <w:rFonts w:ascii="Arial" w:hAnsi="Arial" w:cs="Arial"/>
          <w:sz w:val="22"/>
          <w:szCs w:val="22"/>
          <w:lang w:eastAsia="ko-KR"/>
        </w:rPr>
        <w:t>’</w:t>
      </w:r>
      <w:r w:rsidRPr="0001502D">
        <w:rPr>
          <w:rFonts w:ascii="Arial" w:hAnsi="Arial" w:cs="Arial"/>
          <w:sz w:val="22"/>
          <w:szCs w:val="22"/>
          <w:lang w:eastAsia="ko-KR"/>
        </w:rPr>
        <w:t>inscription sur la Liste représentative du patrimoine culturel immatériel de l</w:t>
      </w:r>
      <w:r w:rsidR="009C104E">
        <w:rPr>
          <w:rFonts w:ascii="Arial" w:hAnsi="Arial" w:cs="Arial"/>
          <w:sz w:val="22"/>
          <w:szCs w:val="22"/>
          <w:lang w:eastAsia="ko-KR"/>
        </w:rPr>
        <w:t>’</w:t>
      </w:r>
      <w:r w:rsidRPr="0001502D">
        <w:rPr>
          <w:rFonts w:ascii="Arial" w:hAnsi="Arial" w:cs="Arial"/>
          <w:sz w:val="22"/>
          <w:szCs w:val="22"/>
          <w:lang w:eastAsia="ko-KR"/>
        </w:rPr>
        <w:t>humanité comme suit :</w:t>
      </w:r>
    </w:p>
    <w:p w14:paraId="6BF5D7E1" w14:textId="49F7ED92" w:rsidR="0001502D" w:rsidRPr="0001502D" w:rsidRDefault="0001502D" w:rsidP="0028634C">
      <w:pPr>
        <w:tabs>
          <w:tab w:val="left" w:pos="1134"/>
          <w:tab w:val="left" w:pos="2268"/>
        </w:tabs>
        <w:spacing w:before="120" w:after="120"/>
        <w:ind w:left="1134" w:hanging="555"/>
        <w:jc w:val="both"/>
        <w:rPr>
          <w:rFonts w:ascii="Arial" w:hAnsi="Arial" w:cs="Arial"/>
          <w:sz w:val="22"/>
          <w:szCs w:val="22"/>
        </w:rPr>
      </w:pPr>
      <w:r w:rsidRPr="0001502D">
        <w:rPr>
          <w:rFonts w:ascii="Arial" w:hAnsi="Arial" w:cs="Arial"/>
          <w:sz w:val="22"/>
          <w:szCs w:val="22"/>
        </w:rPr>
        <w:t xml:space="preserve">R.1 : </w:t>
      </w:r>
      <w:r w:rsidRPr="0001502D">
        <w:rPr>
          <w:rFonts w:ascii="Arial" w:hAnsi="Arial" w:cs="Arial"/>
          <w:sz w:val="22"/>
          <w:szCs w:val="22"/>
        </w:rPr>
        <w:tab/>
        <w:t>L</w:t>
      </w:r>
      <w:r w:rsidR="009C104E">
        <w:rPr>
          <w:rFonts w:ascii="Arial" w:hAnsi="Arial" w:cs="Arial"/>
          <w:sz w:val="22"/>
          <w:szCs w:val="22"/>
        </w:rPr>
        <w:t>’</w:t>
      </w:r>
      <w:r w:rsidRPr="0001502D">
        <w:rPr>
          <w:rFonts w:ascii="Arial" w:hAnsi="Arial" w:cs="Arial"/>
          <w:sz w:val="22"/>
          <w:szCs w:val="22"/>
        </w:rPr>
        <w:t>« hatajo de negritos » et l</w:t>
      </w:r>
      <w:r w:rsidR="009C104E">
        <w:rPr>
          <w:rFonts w:ascii="Arial" w:hAnsi="Arial" w:cs="Arial"/>
          <w:sz w:val="22"/>
          <w:szCs w:val="22"/>
        </w:rPr>
        <w:t>’</w:t>
      </w:r>
      <w:r w:rsidRPr="0001502D">
        <w:rPr>
          <w:rFonts w:ascii="Arial" w:hAnsi="Arial" w:cs="Arial"/>
          <w:sz w:val="22"/>
          <w:szCs w:val="22"/>
        </w:rPr>
        <w:t>« hatajo de pallitas » sont d</w:t>
      </w:r>
      <w:r w:rsidR="009C104E">
        <w:rPr>
          <w:rFonts w:ascii="Arial" w:hAnsi="Arial" w:cs="Arial"/>
          <w:sz w:val="22"/>
          <w:szCs w:val="22"/>
        </w:rPr>
        <w:t>’</w:t>
      </w:r>
      <w:r w:rsidRPr="0001502D">
        <w:rPr>
          <w:rFonts w:ascii="Arial" w:hAnsi="Arial" w:cs="Arial"/>
          <w:sz w:val="22"/>
          <w:szCs w:val="22"/>
        </w:rPr>
        <w:t>importantes représentations de l</w:t>
      </w:r>
      <w:r w:rsidR="009C104E">
        <w:rPr>
          <w:rFonts w:ascii="Arial" w:hAnsi="Arial" w:cs="Arial"/>
          <w:sz w:val="22"/>
          <w:szCs w:val="22"/>
        </w:rPr>
        <w:t>’</w:t>
      </w:r>
      <w:r w:rsidRPr="0001502D">
        <w:rPr>
          <w:rFonts w:ascii="Arial" w:hAnsi="Arial" w:cs="Arial"/>
          <w:sz w:val="22"/>
          <w:szCs w:val="22"/>
        </w:rPr>
        <w:t>identité des métis et des descendants des africains de la région. Elles sont fondées sur les structures sociales de la famille et de la communauté. Les connaissances, expressions et savoir-faire connexes sont transmis de génération en génération. La pratique est donc un important marqueur d</w:t>
      </w:r>
      <w:r w:rsidR="009C104E">
        <w:rPr>
          <w:rFonts w:ascii="Arial" w:hAnsi="Arial" w:cs="Arial"/>
          <w:sz w:val="22"/>
          <w:szCs w:val="22"/>
        </w:rPr>
        <w:t>’</w:t>
      </w:r>
      <w:r w:rsidRPr="0001502D">
        <w:rPr>
          <w:rFonts w:ascii="Arial" w:hAnsi="Arial" w:cs="Arial"/>
          <w:sz w:val="22"/>
          <w:szCs w:val="22"/>
        </w:rPr>
        <w:t>identification culturelle, qui implique des significations relevant des cultures africaines et de la tradition coloniale.</w:t>
      </w:r>
    </w:p>
    <w:p w14:paraId="5167D5CA" w14:textId="36EE1DBF" w:rsidR="0001502D" w:rsidRPr="0001502D" w:rsidRDefault="0001502D" w:rsidP="0028634C">
      <w:pPr>
        <w:tabs>
          <w:tab w:val="left" w:pos="1134"/>
          <w:tab w:val="left" w:pos="2268"/>
        </w:tabs>
        <w:spacing w:before="120" w:after="120"/>
        <w:ind w:left="1134" w:hanging="555"/>
        <w:jc w:val="both"/>
        <w:rPr>
          <w:rFonts w:ascii="Arial" w:hAnsi="Arial" w:cs="Arial"/>
          <w:sz w:val="22"/>
          <w:szCs w:val="22"/>
        </w:rPr>
      </w:pPr>
      <w:r w:rsidRPr="0001502D">
        <w:rPr>
          <w:rFonts w:ascii="Arial" w:hAnsi="Arial" w:cs="Arial"/>
          <w:sz w:val="22"/>
          <w:szCs w:val="22"/>
        </w:rPr>
        <w:t xml:space="preserve">R.2 : </w:t>
      </w:r>
      <w:r w:rsidRPr="0001502D">
        <w:rPr>
          <w:rFonts w:ascii="Arial" w:hAnsi="Arial" w:cs="Arial"/>
          <w:sz w:val="22"/>
          <w:szCs w:val="22"/>
        </w:rPr>
        <w:tab/>
        <w:t>L</w:t>
      </w:r>
      <w:r w:rsidR="009C104E">
        <w:rPr>
          <w:rFonts w:ascii="Arial" w:hAnsi="Arial" w:cs="Arial"/>
          <w:sz w:val="22"/>
          <w:szCs w:val="22"/>
        </w:rPr>
        <w:t>’</w:t>
      </w:r>
      <w:r w:rsidRPr="0001502D">
        <w:rPr>
          <w:rFonts w:ascii="Arial" w:hAnsi="Arial" w:cs="Arial"/>
          <w:sz w:val="22"/>
          <w:szCs w:val="22"/>
        </w:rPr>
        <w:t>inscription de l</w:t>
      </w:r>
      <w:r w:rsidR="009C104E">
        <w:rPr>
          <w:rFonts w:ascii="Arial" w:hAnsi="Arial" w:cs="Arial"/>
          <w:sz w:val="22"/>
          <w:szCs w:val="22"/>
        </w:rPr>
        <w:t>’</w:t>
      </w:r>
      <w:r w:rsidRPr="0001502D">
        <w:rPr>
          <w:rFonts w:ascii="Arial" w:hAnsi="Arial" w:cs="Arial"/>
          <w:sz w:val="22"/>
          <w:szCs w:val="22"/>
        </w:rPr>
        <w:t>« hatajo de negritos » et l</w:t>
      </w:r>
      <w:r w:rsidR="009C104E">
        <w:rPr>
          <w:rFonts w:ascii="Arial" w:hAnsi="Arial" w:cs="Arial"/>
          <w:sz w:val="22"/>
          <w:szCs w:val="22"/>
        </w:rPr>
        <w:t>’</w:t>
      </w:r>
      <w:r w:rsidRPr="0001502D">
        <w:rPr>
          <w:rFonts w:ascii="Arial" w:hAnsi="Arial" w:cs="Arial"/>
          <w:sz w:val="22"/>
          <w:szCs w:val="22"/>
        </w:rPr>
        <w:t>« hatajo de pallitas » de la côte sud-centrale du Pérou améliorerait la visibilité de l</w:t>
      </w:r>
      <w:r w:rsidR="009C104E">
        <w:rPr>
          <w:rFonts w:ascii="Arial" w:hAnsi="Arial" w:cs="Arial"/>
          <w:sz w:val="22"/>
          <w:szCs w:val="22"/>
        </w:rPr>
        <w:t>’</w:t>
      </w:r>
      <w:r w:rsidRPr="0001502D">
        <w:rPr>
          <w:rFonts w:ascii="Arial" w:hAnsi="Arial" w:cs="Arial"/>
          <w:sz w:val="22"/>
          <w:szCs w:val="22"/>
        </w:rPr>
        <w:t>élément aux niveaux local et national. Elle permettrait également de sensibiliser la population au rôle clé joué par la richesse du patrimoine culturel immatériel des groupes d</w:t>
      </w:r>
      <w:r w:rsidR="009C104E">
        <w:rPr>
          <w:rFonts w:ascii="Arial" w:hAnsi="Arial" w:cs="Arial"/>
          <w:sz w:val="22"/>
          <w:szCs w:val="22"/>
        </w:rPr>
        <w:t>’</w:t>
      </w:r>
      <w:r w:rsidRPr="0001502D">
        <w:rPr>
          <w:rFonts w:ascii="Arial" w:hAnsi="Arial" w:cs="Arial"/>
          <w:sz w:val="22"/>
          <w:szCs w:val="22"/>
        </w:rPr>
        <w:t>individus d</w:t>
      </w:r>
      <w:r w:rsidR="009C104E">
        <w:rPr>
          <w:rFonts w:ascii="Arial" w:hAnsi="Arial" w:cs="Arial"/>
          <w:sz w:val="22"/>
          <w:szCs w:val="22"/>
        </w:rPr>
        <w:t>’</w:t>
      </w:r>
      <w:r w:rsidRPr="0001502D">
        <w:rPr>
          <w:rFonts w:ascii="Arial" w:hAnsi="Arial" w:cs="Arial"/>
          <w:sz w:val="22"/>
          <w:szCs w:val="22"/>
        </w:rPr>
        <w:t>ascendance africaine d</w:t>
      </w:r>
      <w:r w:rsidR="009C104E">
        <w:rPr>
          <w:rFonts w:ascii="Arial" w:hAnsi="Arial" w:cs="Arial"/>
          <w:sz w:val="22"/>
          <w:szCs w:val="22"/>
        </w:rPr>
        <w:t>’</w:t>
      </w:r>
      <w:r w:rsidRPr="0001502D">
        <w:rPr>
          <w:rFonts w:ascii="Arial" w:hAnsi="Arial" w:cs="Arial"/>
          <w:sz w:val="22"/>
          <w:szCs w:val="22"/>
        </w:rPr>
        <w:t>Amérique latine. De plus, elle encouragerait le dialogue entre les différentes communautés et groupes présents sur le territoire, ce qui permettrait de renforcer le respect mutuel et d</w:t>
      </w:r>
      <w:r w:rsidR="009C104E">
        <w:rPr>
          <w:rFonts w:ascii="Arial" w:hAnsi="Arial" w:cs="Arial"/>
          <w:sz w:val="22"/>
          <w:szCs w:val="22"/>
        </w:rPr>
        <w:t>’</w:t>
      </w:r>
      <w:r w:rsidRPr="0001502D">
        <w:rPr>
          <w:rFonts w:ascii="Arial" w:hAnsi="Arial" w:cs="Arial"/>
          <w:sz w:val="22"/>
          <w:szCs w:val="22"/>
        </w:rPr>
        <w:t>échanger de bonnes pratiques.</w:t>
      </w:r>
    </w:p>
    <w:p w14:paraId="17817463" w14:textId="6C3DD6A0" w:rsidR="0001502D" w:rsidRPr="0001502D" w:rsidRDefault="0001502D" w:rsidP="0028634C">
      <w:pPr>
        <w:tabs>
          <w:tab w:val="left" w:pos="1134"/>
          <w:tab w:val="left" w:pos="2268"/>
        </w:tabs>
        <w:spacing w:before="120" w:after="120"/>
        <w:ind w:left="1134" w:hanging="555"/>
        <w:jc w:val="both"/>
        <w:rPr>
          <w:rFonts w:ascii="Arial" w:hAnsi="Arial" w:cs="Arial"/>
          <w:sz w:val="22"/>
          <w:szCs w:val="22"/>
        </w:rPr>
      </w:pPr>
      <w:r w:rsidRPr="0001502D">
        <w:rPr>
          <w:rFonts w:ascii="Arial" w:hAnsi="Arial" w:cs="Arial"/>
          <w:sz w:val="22"/>
          <w:szCs w:val="22"/>
        </w:rPr>
        <w:t>R.3 :</w:t>
      </w:r>
      <w:r w:rsidRPr="0001502D">
        <w:rPr>
          <w:rFonts w:ascii="Arial" w:hAnsi="Arial" w:cs="Arial"/>
          <w:sz w:val="22"/>
          <w:szCs w:val="22"/>
        </w:rPr>
        <w:tab/>
        <w:t>La viabilité de l</w:t>
      </w:r>
      <w:r w:rsidR="009C104E">
        <w:rPr>
          <w:rFonts w:ascii="Arial" w:hAnsi="Arial" w:cs="Arial"/>
          <w:sz w:val="22"/>
          <w:szCs w:val="22"/>
        </w:rPr>
        <w:t>’</w:t>
      </w:r>
      <w:r w:rsidRPr="0001502D">
        <w:rPr>
          <w:rFonts w:ascii="Arial" w:hAnsi="Arial" w:cs="Arial"/>
          <w:sz w:val="22"/>
          <w:szCs w:val="22"/>
        </w:rPr>
        <w:t>élément est assurée par certaines familles et par des membres des communautés : ils organisent les groupes de danse et leur fournissent des espaces pour répéter durant les mois précédant Noël. L</w:t>
      </w:r>
      <w:r w:rsidR="009C104E">
        <w:rPr>
          <w:rFonts w:ascii="Arial" w:hAnsi="Arial" w:cs="Arial"/>
          <w:sz w:val="22"/>
          <w:szCs w:val="22"/>
        </w:rPr>
        <w:t>’</w:t>
      </w:r>
      <w:r w:rsidRPr="0001502D">
        <w:rPr>
          <w:rFonts w:ascii="Arial" w:hAnsi="Arial" w:cs="Arial"/>
          <w:sz w:val="22"/>
          <w:szCs w:val="22"/>
        </w:rPr>
        <w:t>État partie a identifié les facteurs menaçant la viabilité de l</w:t>
      </w:r>
      <w:r w:rsidR="009C104E">
        <w:rPr>
          <w:rFonts w:ascii="Arial" w:hAnsi="Arial" w:cs="Arial"/>
          <w:sz w:val="22"/>
          <w:szCs w:val="22"/>
        </w:rPr>
        <w:t>’</w:t>
      </w:r>
      <w:r w:rsidRPr="0001502D">
        <w:rPr>
          <w:rFonts w:ascii="Arial" w:hAnsi="Arial" w:cs="Arial"/>
          <w:sz w:val="22"/>
          <w:szCs w:val="22"/>
        </w:rPr>
        <w:t>élément et a rédigé un plan de sauvegarde visant à prévenir et désamorcer ces menaces. Les mesures sont clairement organisées en six objectifs et ont été définies avec la large participation de la communauté.</w:t>
      </w:r>
    </w:p>
    <w:p w14:paraId="5C5AB0D0" w14:textId="417188CC" w:rsidR="0001502D" w:rsidRPr="0001502D" w:rsidRDefault="0001502D" w:rsidP="0028634C">
      <w:pPr>
        <w:tabs>
          <w:tab w:val="left" w:pos="1134"/>
          <w:tab w:val="left" w:pos="2268"/>
        </w:tabs>
        <w:spacing w:before="120" w:after="120"/>
        <w:ind w:left="1134" w:hanging="555"/>
        <w:jc w:val="both"/>
        <w:rPr>
          <w:rFonts w:ascii="Arial" w:hAnsi="Arial" w:cs="Arial"/>
          <w:sz w:val="22"/>
          <w:szCs w:val="22"/>
        </w:rPr>
      </w:pPr>
      <w:r w:rsidRPr="0001502D">
        <w:rPr>
          <w:rFonts w:ascii="Arial" w:hAnsi="Arial" w:cs="Arial"/>
          <w:sz w:val="22"/>
          <w:szCs w:val="22"/>
        </w:rPr>
        <w:t xml:space="preserve">R.4 : </w:t>
      </w:r>
      <w:r w:rsidRPr="0001502D">
        <w:rPr>
          <w:rFonts w:ascii="Arial" w:hAnsi="Arial" w:cs="Arial"/>
          <w:sz w:val="22"/>
          <w:szCs w:val="22"/>
        </w:rPr>
        <w:tab/>
        <w:t>Lors du processus de candidature, de nombreuses associations et municipalités ont activement participé à l</w:t>
      </w:r>
      <w:r w:rsidR="009C104E">
        <w:rPr>
          <w:rFonts w:ascii="Arial" w:hAnsi="Arial" w:cs="Arial"/>
          <w:sz w:val="22"/>
          <w:szCs w:val="22"/>
        </w:rPr>
        <w:t>’</w:t>
      </w:r>
      <w:r w:rsidRPr="0001502D">
        <w:rPr>
          <w:rFonts w:ascii="Arial" w:hAnsi="Arial" w:cs="Arial"/>
          <w:sz w:val="22"/>
          <w:szCs w:val="22"/>
        </w:rPr>
        <w:t>élaboration du dossier et ont donné leur consentement libre, préalable et éclairé. Mais surtout, ils sont au cœur des mesures de sauvegarde proposées et seront les principaux acteurs impliqués dans leur mise en œuvre.</w:t>
      </w:r>
    </w:p>
    <w:p w14:paraId="1E3DF3E8" w14:textId="3ECD2ABA" w:rsidR="0001502D" w:rsidRPr="0001502D" w:rsidRDefault="0001502D" w:rsidP="0028634C">
      <w:pPr>
        <w:tabs>
          <w:tab w:val="left" w:pos="1134"/>
          <w:tab w:val="left" w:pos="2268"/>
        </w:tabs>
        <w:spacing w:before="120" w:after="120"/>
        <w:ind w:left="1134" w:hanging="555"/>
        <w:jc w:val="both"/>
        <w:rPr>
          <w:rFonts w:ascii="Arial" w:hAnsi="Arial" w:cs="Arial"/>
          <w:sz w:val="22"/>
          <w:szCs w:val="22"/>
        </w:rPr>
      </w:pPr>
      <w:r w:rsidRPr="0001502D">
        <w:rPr>
          <w:rFonts w:ascii="Arial" w:hAnsi="Arial" w:cs="Arial"/>
          <w:sz w:val="22"/>
          <w:szCs w:val="22"/>
        </w:rPr>
        <w:t xml:space="preserve">R.5 : </w:t>
      </w:r>
      <w:r w:rsidRPr="0001502D">
        <w:rPr>
          <w:rFonts w:ascii="Arial" w:hAnsi="Arial" w:cs="Arial"/>
          <w:sz w:val="22"/>
          <w:szCs w:val="22"/>
        </w:rPr>
        <w:tab/>
        <w:t>L</w:t>
      </w:r>
      <w:r w:rsidR="009C104E">
        <w:rPr>
          <w:rFonts w:ascii="Arial" w:hAnsi="Arial" w:cs="Arial"/>
          <w:sz w:val="22"/>
          <w:szCs w:val="22"/>
        </w:rPr>
        <w:t>’</w:t>
      </w:r>
      <w:r w:rsidRPr="0001502D">
        <w:rPr>
          <w:rFonts w:ascii="Arial" w:hAnsi="Arial" w:cs="Arial"/>
          <w:sz w:val="22"/>
          <w:szCs w:val="22"/>
        </w:rPr>
        <w:t>« hatajo de negritos » et l</w:t>
      </w:r>
      <w:r w:rsidR="009C104E">
        <w:rPr>
          <w:rFonts w:ascii="Arial" w:hAnsi="Arial" w:cs="Arial"/>
          <w:sz w:val="22"/>
          <w:szCs w:val="22"/>
        </w:rPr>
        <w:t>’</w:t>
      </w:r>
      <w:r w:rsidRPr="0001502D">
        <w:rPr>
          <w:rFonts w:ascii="Arial" w:hAnsi="Arial" w:cs="Arial"/>
          <w:sz w:val="22"/>
          <w:szCs w:val="22"/>
        </w:rPr>
        <w:t>« hatajo de pallitas » de la côte sud-centrale du Pérou ont été inclus dans les Déclarations du patrimoine culturel national en 2013. Elles sont mises à jour tous les cinq ans et le Musée national afropéruvien est à l</w:t>
      </w:r>
      <w:r w:rsidR="009C104E">
        <w:rPr>
          <w:rFonts w:ascii="Arial" w:hAnsi="Arial" w:cs="Arial"/>
          <w:sz w:val="22"/>
          <w:szCs w:val="22"/>
        </w:rPr>
        <w:t>’</w:t>
      </w:r>
      <w:r w:rsidRPr="0001502D">
        <w:rPr>
          <w:rFonts w:ascii="Arial" w:hAnsi="Arial" w:cs="Arial"/>
          <w:sz w:val="22"/>
          <w:szCs w:val="22"/>
        </w:rPr>
        <w:t>initiative de la demande d</w:t>
      </w:r>
      <w:r w:rsidR="009C104E">
        <w:rPr>
          <w:rFonts w:ascii="Arial" w:hAnsi="Arial" w:cs="Arial"/>
          <w:sz w:val="22"/>
          <w:szCs w:val="22"/>
        </w:rPr>
        <w:t>’</w:t>
      </w:r>
      <w:r w:rsidRPr="0001502D">
        <w:rPr>
          <w:rFonts w:ascii="Arial" w:hAnsi="Arial" w:cs="Arial"/>
          <w:sz w:val="22"/>
          <w:szCs w:val="22"/>
        </w:rPr>
        <w:t>inscription. La Direction du patrimoine immatériel du Ministère de la culture est l</w:t>
      </w:r>
      <w:r w:rsidR="009C104E">
        <w:rPr>
          <w:rFonts w:ascii="Arial" w:hAnsi="Arial" w:cs="Arial"/>
          <w:sz w:val="22"/>
          <w:szCs w:val="22"/>
        </w:rPr>
        <w:t>’</w:t>
      </w:r>
      <w:r w:rsidRPr="0001502D">
        <w:rPr>
          <w:rFonts w:ascii="Arial" w:hAnsi="Arial" w:cs="Arial"/>
          <w:sz w:val="22"/>
          <w:szCs w:val="22"/>
        </w:rPr>
        <w:t>organisme responsable de la gestion et de la mise à jour de l</w:t>
      </w:r>
      <w:r w:rsidR="009C104E">
        <w:rPr>
          <w:rFonts w:ascii="Arial" w:hAnsi="Arial" w:cs="Arial"/>
          <w:sz w:val="22"/>
          <w:szCs w:val="22"/>
        </w:rPr>
        <w:t>’</w:t>
      </w:r>
      <w:r w:rsidRPr="0001502D">
        <w:rPr>
          <w:rFonts w:ascii="Arial" w:hAnsi="Arial" w:cs="Arial"/>
          <w:sz w:val="22"/>
          <w:szCs w:val="22"/>
        </w:rPr>
        <w:t>inventaire, avec l</w:t>
      </w:r>
      <w:r w:rsidR="009C104E">
        <w:rPr>
          <w:rFonts w:ascii="Arial" w:hAnsi="Arial" w:cs="Arial"/>
          <w:sz w:val="22"/>
          <w:szCs w:val="22"/>
        </w:rPr>
        <w:t>’</w:t>
      </w:r>
      <w:r w:rsidRPr="0001502D">
        <w:rPr>
          <w:rFonts w:ascii="Arial" w:hAnsi="Arial" w:cs="Arial"/>
          <w:sz w:val="22"/>
          <w:szCs w:val="22"/>
        </w:rPr>
        <w:t>active participation des communautés.</w:t>
      </w:r>
    </w:p>
    <w:p w14:paraId="49C2C4AD" w14:textId="61A5961C" w:rsidR="0001502D" w:rsidRPr="0001502D" w:rsidRDefault="0001502D" w:rsidP="00771F30">
      <w:pPr>
        <w:numPr>
          <w:ilvl w:val="1"/>
          <w:numId w:val="27"/>
        </w:numPr>
        <w:tabs>
          <w:tab w:val="left" w:pos="567"/>
          <w:tab w:val="left" w:pos="1701"/>
          <w:tab w:val="left" w:pos="2268"/>
        </w:tabs>
        <w:spacing w:before="120" w:after="120"/>
        <w:jc w:val="both"/>
        <w:rPr>
          <w:rFonts w:ascii="Arial" w:hAnsi="Arial" w:cs="Arial"/>
          <w:sz w:val="22"/>
          <w:szCs w:val="22"/>
          <w:lang w:eastAsia="ko-KR"/>
        </w:rPr>
      </w:pPr>
      <w:r w:rsidRPr="0001502D">
        <w:rPr>
          <w:rFonts w:ascii="Arial" w:hAnsi="Arial" w:cs="Arial"/>
          <w:sz w:val="22"/>
          <w:szCs w:val="22"/>
          <w:u w:val="single"/>
          <w:lang w:eastAsia="ko-KR"/>
        </w:rPr>
        <w:t>Décide d</w:t>
      </w:r>
      <w:r w:rsidR="009C104E">
        <w:rPr>
          <w:rFonts w:ascii="Arial" w:hAnsi="Arial" w:cs="Arial"/>
          <w:sz w:val="22"/>
          <w:szCs w:val="22"/>
          <w:u w:val="single"/>
          <w:lang w:eastAsia="ko-KR"/>
        </w:rPr>
        <w:t>’</w:t>
      </w:r>
      <w:r w:rsidRPr="0001502D">
        <w:rPr>
          <w:rFonts w:ascii="Arial" w:hAnsi="Arial" w:cs="Arial"/>
          <w:sz w:val="22"/>
          <w:szCs w:val="22"/>
          <w:u w:val="single"/>
          <w:lang w:eastAsia="ko-KR"/>
        </w:rPr>
        <w:t>inscrire</w:t>
      </w:r>
      <w:r w:rsidRPr="0001502D">
        <w:rPr>
          <w:rFonts w:ascii="Arial" w:hAnsi="Arial" w:cs="Arial"/>
          <w:sz w:val="22"/>
          <w:szCs w:val="22"/>
          <w:lang w:eastAsia="ko-KR"/>
        </w:rPr>
        <w:t xml:space="preserve"> </w:t>
      </w:r>
      <w:r w:rsidRPr="0001502D">
        <w:rPr>
          <w:rFonts w:ascii="Arial" w:hAnsi="Arial" w:cs="Arial"/>
          <w:b/>
          <w:sz w:val="22"/>
          <w:szCs w:val="22"/>
          <w:lang w:eastAsia="ko-KR"/>
        </w:rPr>
        <w:t>l</w:t>
      </w:r>
      <w:r w:rsidR="009C104E">
        <w:rPr>
          <w:rFonts w:ascii="Arial" w:hAnsi="Arial" w:cs="Arial"/>
          <w:b/>
          <w:sz w:val="22"/>
          <w:szCs w:val="22"/>
          <w:lang w:eastAsia="ko-KR"/>
        </w:rPr>
        <w:t>’</w:t>
      </w:r>
      <w:r w:rsidRPr="0001502D">
        <w:rPr>
          <w:rFonts w:ascii="Arial" w:hAnsi="Arial" w:cs="Arial"/>
          <w:b/>
          <w:sz w:val="22"/>
          <w:szCs w:val="22"/>
          <w:lang w:eastAsia="ko-KR"/>
        </w:rPr>
        <w:t>« hatajo de negritos » et l</w:t>
      </w:r>
      <w:r w:rsidR="009C104E">
        <w:rPr>
          <w:rFonts w:ascii="Arial" w:hAnsi="Arial" w:cs="Arial"/>
          <w:b/>
          <w:sz w:val="22"/>
          <w:szCs w:val="22"/>
          <w:lang w:eastAsia="ko-KR"/>
        </w:rPr>
        <w:t>’</w:t>
      </w:r>
      <w:r w:rsidRPr="0001502D">
        <w:rPr>
          <w:rFonts w:ascii="Arial" w:hAnsi="Arial" w:cs="Arial"/>
          <w:b/>
          <w:sz w:val="22"/>
          <w:szCs w:val="22"/>
          <w:lang w:eastAsia="ko-KR"/>
        </w:rPr>
        <w:t>« hatajo de pallitas » de la côte sud-centrale du Pérou</w:t>
      </w:r>
      <w:r w:rsidRPr="0001502D">
        <w:rPr>
          <w:rFonts w:ascii="Arial" w:hAnsi="Arial" w:cs="Arial"/>
          <w:sz w:val="22"/>
          <w:szCs w:val="22"/>
          <w:lang w:eastAsia="ko-KR"/>
        </w:rPr>
        <w:t xml:space="preserve"> sur la Liste représentative du patrimoine culturel immatériel de l</w:t>
      </w:r>
      <w:r w:rsidR="009C104E">
        <w:rPr>
          <w:rFonts w:ascii="Arial" w:hAnsi="Arial" w:cs="Arial"/>
          <w:sz w:val="22"/>
          <w:szCs w:val="22"/>
          <w:lang w:eastAsia="ko-KR"/>
        </w:rPr>
        <w:t>’</w:t>
      </w:r>
      <w:r w:rsidRPr="0001502D">
        <w:rPr>
          <w:rFonts w:ascii="Arial" w:hAnsi="Arial" w:cs="Arial"/>
          <w:sz w:val="22"/>
          <w:szCs w:val="22"/>
          <w:lang w:eastAsia="ko-KR"/>
        </w:rPr>
        <w:t>humanité ;</w:t>
      </w:r>
    </w:p>
    <w:p w14:paraId="4FFFFFEE" w14:textId="6912AE3A" w:rsidR="0001502D" w:rsidRPr="0001502D" w:rsidRDefault="0001502D" w:rsidP="00771F30">
      <w:pPr>
        <w:numPr>
          <w:ilvl w:val="1"/>
          <w:numId w:val="27"/>
        </w:numPr>
        <w:tabs>
          <w:tab w:val="left" w:pos="567"/>
          <w:tab w:val="left" w:pos="1701"/>
          <w:tab w:val="left" w:pos="2268"/>
        </w:tabs>
        <w:spacing w:before="120" w:after="120"/>
        <w:jc w:val="both"/>
        <w:rPr>
          <w:rFonts w:ascii="Arial" w:hAnsi="Arial" w:cs="Arial"/>
          <w:sz w:val="22"/>
          <w:szCs w:val="22"/>
          <w:lang w:eastAsia="ko-KR"/>
        </w:rPr>
      </w:pPr>
      <w:r w:rsidRPr="0001502D">
        <w:rPr>
          <w:rFonts w:ascii="Arial" w:hAnsi="Arial" w:cs="Arial"/>
          <w:sz w:val="22"/>
          <w:szCs w:val="22"/>
          <w:u w:val="single"/>
          <w:lang w:eastAsia="ko-KR"/>
        </w:rPr>
        <w:t>Félicite</w:t>
      </w:r>
      <w:r w:rsidRPr="0001502D">
        <w:rPr>
          <w:rFonts w:ascii="Arial" w:hAnsi="Arial" w:cs="Arial"/>
          <w:sz w:val="22"/>
          <w:szCs w:val="22"/>
          <w:lang w:eastAsia="ko-KR"/>
        </w:rPr>
        <w:t xml:space="preserve"> l</w:t>
      </w:r>
      <w:r w:rsidR="009C104E">
        <w:rPr>
          <w:rFonts w:ascii="Arial" w:hAnsi="Arial" w:cs="Arial"/>
          <w:sz w:val="22"/>
          <w:szCs w:val="22"/>
          <w:lang w:eastAsia="ko-KR"/>
        </w:rPr>
        <w:t>’</w:t>
      </w:r>
      <w:r w:rsidRPr="0001502D">
        <w:rPr>
          <w:rFonts w:ascii="Arial" w:hAnsi="Arial" w:cs="Arial"/>
          <w:sz w:val="22"/>
          <w:szCs w:val="22"/>
          <w:lang w:eastAsia="ko-KR"/>
        </w:rPr>
        <w:t>État partie d</w:t>
      </w:r>
      <w:r w:rsidR="009C104E">
        <w:rPr>
          <w:rFonts w:ascii="Arial" w:hAnsi="Arial" w:cs="Arial"/>
          <w:sz w:val="22"/>
          <w:szCs w:val="22"/>
          <w:lang w:eastAsia="ko-KR"/>
        </w:rPr>
        <w:t>’</w:t>
      </w:r>
      <w:r w:rsidRPr="0001502D">
        <w:rPr>
          <w:rFonts w:ascii="Arial" w:hAnsi="Arial" w:cs="Arial"/>
          <w:sz w:val="22"/>
          <w:szCs w:val="22"/>
          <w:lang w:eastAsia="ko-KR"/>
        </w:rPr>
        <w:t>avoir soumis une candidature exemplaire, particulièrement en ce qui concerne les mesures de sauvegarde.</w:t>
      </w:r>
    </w:p>
    <w:p w14:paraId="2B0A3A8F" w14:textId="1BAAD832" w:rsidR="0001502D" w:rsidRPr="0001502D" w:rsidRDefault="0001502D" w:rsidP="00771F30">
      <w:pPr>
        <w:keepNext/>
        <w:keepLines/>
        <w:numPr>
          <w:ilvl w:val="0"/>
          <w:numId w:val="27"/>
        </w:numPr>
        <w:spacing w:before="360" w:after="120"/>
        <w:outlineLvl w:val="1"/>
        <w:rPr>
          <w:rFonts w:ascii="Arial" w:hAnsi="Arial" w:cs="Arial"/>
          <w:bCs/>
          <w:iCs/>
          <w:sz w:val="22"/>
          <w:szCs w:val="22"/>
        </w:rPr>
      </w:pPr>
      <w:bookmarkStart w:id="33" w:name="Decision_10b30"/>
      <w:r w:rsidRPr="0001502D">
        <w:rPr>
          <w:rFonts w:ascii="Arial" w:hAnsi="Arial" w:cs="Arial"/>
          <w:b/>
          <w:bCs/>
          <w:iCs/>
          <w:sz w:val="22"/>
          <w:szCs w:val="22"/>
        </w:rPr>
        <w:t>DÉCISION 14.COM 10.b.30</w:t>
      </w:r>
    </w:p>
    <w:bookmarkEnd w:id="33"/>
    <w:p w14:paraId="42754568" w14:textId="77777777" w:rsidR="0001502D" w:rsidRPr="0001502D" w:rsidRDefault="0001502D" w:rsidP="0028634C">
      <w:pPr>
        <w:keepNext/>
        <w:tabs>
          <w:tab w:val="left" w:pos="567"/>
          <w:tab w:val="left" w:pos="1134"/>
          <w:tab w:val="left" w:pos="1701"/>
          <w:tab w:val="left" w:pos="2268"/>
        </w:tabs>
        <w:spacing w:before="120" w:after="120"/>
        <w:jc w:val="both"/>
        <w:rPr>
          <w:rFonts w:ascii="Arial" w:hAnsi="Arial" w:cs="Arial"/>
          <w:sz w:val="22"/>
          <w:szCs w:val="22"/>
        </w:rPr>
      </w:pPr>
      <w:r w:rsidRPr="0001502D">
        <w:rPr>
          <w:rFonts w:ascii="Arial" w:hAnsi="Arial" w:cs="Arial"/>
          <w:sz w:val="22"/>
          <w:szCs w:val="22"/>
        </w:rPr>
        <w:t>Le Comité,</w:t>
      </w:r>
    </w:p>
    <w:p w14:paraId="27F48F3C" w14:textId="2A76CA8E" w:rsidR="0001502D" w:rsidRPr="0001502D" w:rsidRDefault="0001502D" w:rsidP="00771F30">
      <w:pPr>
        <w:numPr>
          <w:ilvl w:val="1"/>
          <w:numId w:val="27"/>
        </w:numPr>
        <w:tabs>
          <w:tab w:val="left" w:pos="567"/>
          <w:tab w:val="left" w:pos="1701"/>
          <w:tab w:val="left" w:pos="2268"/>
        </w:tabs>
        <w:spacing w:before="120" w:after="120"/>
        <w:jc w:val="both"/>
        <w:rPr>
          <w:rFonts w:ascii="Arial" w:hAnsi="Arial" w:cs="Arial"/>
          <w:sz w:val="22"/>
          <w:szCs w:val="22"/>
          <w:lang w:eastAsia="ko-KR"/>
        </w:rPr>
      </w:pPr>
      <w:r w:rsidRPr="0001502D">
        <w:rPr>
          <w:rFonts w:ascii="Arial" w:hAnsi="Arial" w:cs="Arial"/>
          <w:sz w:val="22"/>
          <w:szCs w:val="22"/>
          <w:u w:val="single"/>
          <w:lang w:eastAsia="ko-KR"/>
        </w:rPr>
        <w:t>Prend note</w:t>
      </w:r>
      <w:r w:rsidRPr="0001502D">
        <w:rPr>
          <w:rFonts w:ascii="Arial" w:hAnsi="Arial" w:cs="Arial"/>
          <w:sz w:val="22"/>
          <w:szCs w:val="22"/>
          <w:lang w:eastAsia="ko-KR"/>
        </w:rPr>
        <w:t xml:space="preserve"> que le Portugal a proposé la candidature </w:t>
      </w:r>
      <w:r w:rsidR="00C476A9">
        <w:rPr>
          <w:rFonts w:ascii="Arial" w:hAnsi="Arial" w:cs="Arial"/>
          <w:b/>
          <w:sz w:val="22"/>
          <w:szCs w:val="22"/>
          <w:lang w:eastAsia="ko-KR"/>
        </w:rPr>
        <w:t>des f</w:t>
      </w:r>
      <w:r w:rsidR="00C476A9" w:rsidRPr="00C476A9">
        <w:rPr>
          <w:rFonts w:ascii="Arial" w:hAnsi="Arial" w:cs="Arial"/>
          <w:b/>
          <w:sz w:val="22"/>
          <w:szCs w:val="22"/>
          <w:lang w:eastAsia="ko-KR"/>
        </w:rPr>
        <w:t>êtes de l’hiver, le carnaval de Podence</w:t>
      </w:r>
      <w:r w:rsidRPr="0001502D">
        <w:rPr>
          <w:rFonts w:ascii="Arial" w:hAnsi="Arial" w:cs="Arial"/>
          <w:sz w:val="22"/>
          <w:szCs w:val="22"/>
          <w:lang w:eastAsia="ko-KR"/>
        </w:rPr>
        <w:t xml:space="preserve"> (n° 01463) pour inscription sur la Liste représentative du patrimoine culturel immatériel de l</w:t>
      </w:r>
      <w:r w:rsidR="009C104E">
        <w:rPr>
          <w:rFonts w:ascii="Arial" w:hAnsi="Arial" w:cs="Arial"/>
          <w:sz w:val="22"/>
          <w:szCs w:val="22"/>
          <w:lang w:eastAsia="ko-KR"/>
        </w:rPr>
        <w:t>’</w:t>
      </w:r>
      <w:r w:rsidRPr="0001502D">
        <w:rPr>
          <w:rFonts w:ascii="Arial" w:hAnsi="Arial" w:cs="Arial"/>
          <w:sz w:val="22"/>
          <w:szCs w:val="22"/>
          <w:lang w:eastAsia="ko-KR"/>
        </w:rPr>
        <w:t>humanité :</w:t>
      </w:r>
    </w:p>
    <w:p w14:paraId="6C27AC36" w14:textId="2A45617C" w:rsidR="0001502D" w:rsidRPr="0001502D" w:rsidRDefault="0001502D" w:rsidP="0028634C">
      <w:pPr>
        <w:tabs>
          <w:tab w:val="left" w:pos="567"/>
          <w:tab w:val="left" w:pos="1701"/>
          <w:tab w:val="left" w:pos="2268"/>
        </w:tabs>
        <w:spacing w:before="120" w:after="120"/>
        <w:ind w:left="567"/>
        <w:jc w:val="both"/>
        <w:rPr>
          <w:rFonts w:ascii="Arial" w:hAnsi="Arial" w:cs="Arial"/>
          <w:sz w:val="22"/>
          <w:szCs w:val="22"/>
        </w:rPr>
      </w:pPr>
      <w:r w:rsidRPr="0001502D">
        <w:rPr>
          <w:rFonts w:ascii="Arial" w:hAnsi="Arial" w:cs="Arial"/>
          <w:sz w:val="22"/>
          <w:szCs w:val="22"/>
        </w:rPr>
        <w:t>Le carnaval de Podence, fête</w:t>
      </w:r>
      <w:r w:rsidR="00C476A9">
        <w:rPr>
          <w:rFonts w:ascii="Arial" w:hAnsi="Arial" w:cs="Arial"/>
          <w:sz w:val="22"/>
          <w:szCs w:val="22"/>
        </w:rPr>
        <w:t>s</w:t>
      </w:r>
      <w:r w:rsidRPr="0001502D">
        <w:rPr>
          <w:rFonts w:ascii="Arial" w:hAnsi="Arial" w:cs="Arial"/>
          <w:sz w:val="22"/>
          <w:szCs w:val="22"/>
        </w:rPr>
        <w:t xml:space="preserve"> de l</w:t>
      </w:r>
      <w:r w:rsidR="009C104E">
        <w:rPr>
          <w:rFonts w:ascii="Arial" w:hAnsi="Arial" w:cs="Arial"/>
          <w:sz w:val="22"/>
          <w:szCs w:val="22"/>
        </w:rPr>
        <w:t>’</w:t>
      </w:r>
      <w:r w:rsidRPr="0001502D">
        <w:rPr>
          <w:rFonts w:ascii="Arial" w:hAnsi="Arial" w:cs="Arial"/>
          <w:sz w:val="22"/>
          <w:szCs w:val="22"/>
        </w:rPr>
        <w:t>hiver, est une pratique sociale qui servait initialement de rite de passage pour les hommes. Désormais ouvert aux femmes et aux enfants, il s</w:t>
      </w:r>
      <w:r w:rsidR="009C104E">
        <w:rPr>
          <w:rFonts w:ascii="Arial" w:hAnsi="Arial" w:cs="Arial"/>
          <w:sz w:val="22"/>
          <w:szCs w:val="22"/>
        </w:rPr>
        <w:t>’</w:t>
      </w:r>
      <w:r w:rsidRPr="0001502D">
        <w:rPr>
          <w:rFonts w:ascii="Arial" w:hAnsi="Arial" w:cs="Arial"/>
          <w:sz w:val="22"/>
          <w:szCs w:val="22"/>
        </w:rPr>
        <w:t>est adapté au contexte contemporain. Cette fête marque la fin de l</w:t>
      </w:r>
      <w:r w:rsidR="009C104E">
        <w:rPr>
          <w:rFonts w:ascii="Arial" w:hAnsi="Arial" w:cs="Arial"/>
          <w:sz w:val="22"/>
          <w:szCs w:val="22"/>
        </w:rPr>
        <w:t>’</w:t>
      </w:r>
      <w:r w:rsidRPr="0001502D">
        <w:rPr>
          <w:rFonts w:ascii="Arial" w:hAnsi="Arial" w:cs="Arial"/>
          <w:sz w:val="22"/>
          <w:szCs w:val="22"/>
        </w:rPr>
        <w:t>hiver et l</w:t>
      </w:r>
      <w:r w:rsidR="009C104E">
        <w:rPr>
          <w:rFonts w:ascii="Arial" w:hAnsi="Arial" w:cs="Arial"/>
          <w:sz w:val="22"/>
          <w:szCs w:val="22"/>
        </w:rPr>
        <w:t>’</w:t>
      </w:r>
      <w:r w:rsidRPr="0001502D">
        <w:rPr>
          <w:rFonts w:ascii="Arial" w:hAnsi="Arial" w:cs="Arial"/>
          <w:sz w:val="22"/>
          <w:szCs w:val="22"/>
        </w:rPr>
        <w:t>arrivée du printemps. Elle se déroule pendant trois jours dans les rues du village et dans les maisons des voisins qui se rendent visite. À cette occasion, les caretos (personnages masqués traditionnels) dansent autour des femmes en se déhanchant au son des sonnailles. Probablement liée à d</w:t>
      </w:r>
      <w:r w:rsidR="009C104E">
        <w:rPr>
          <w:rFonts w:ascii="Arial" w:hAnsi="Arial" w:cs="Arial"/>
          <w:sz w:val="22"/>
          <w:szCs w:val="22"/>
        </w:rPr>
        <w:t>’</w:t>
      </w:r>
      <w:r w:rsidRPr="0001502D">
        <w:rPr>
          <w:rFonts w:ascii="Arial" w:hAnsi="Arial" w:cs="Arial"/>
          <w:sz w:val="22"/>
          <w:szCs w:val="22"/>
        </w:rPr>
        <w:t>anciens rites de fertilité, cette danse est pratiquée par des personnes masquées qui peuvent ainsi interagir avec d</w:t>
      </w:r>
      <w:r w:rsidR="009C104E">
        <w:rPr>
          <w:rFonts w:ascii="Arial" w:hAnsi="Arial" w:cs="Arial"/>
          <w:sz w:val="22"/>
          <w:szCs w:val="22"/>
        </w:rPr>
        <w:t>’</w:t>
      </w:r>
      <w:r w:rsidRPr="0001502D">
        <w:rPr>
          <w:rFonts w:ascii="Arial" w:hAnsi="Arial" w:cs="Arial"/>
          <w:sz w:val="22"/>
          <w:szCs w:val="22"/>
        </w:rPr>
        <w:t>autres sans être reconnues. Les caretos portent des masques en fer blanc ou en cuir, des costumes recouverts de franges de laine colorées et des petites cloches. Lors d</w:t>
      </w:r>
      <w:r w:rsidR="009C104E">
        <w:rPr>
          <w:rFonts w:ascii="Arial" w:hAnsi="Arial" w:cs="Arial"/>
          <w:sz w:val="22"/>
          <w:szCs w:val="22"/>
        </w:rPr>
        <w:t>’</w:t>
      </w:r>
      <w:r w:rsidRPr="0001502D">
        <w:rPr>
          <w:rFonts w:ascii="Arial" w:hAnsi="Arial" w:cs="Arial"/>
          <w:sz w:val="22"/>
          <w:szCs w:val="22"/>
        </w:rPr>
        <w:t>une représentation théâtrale le lundi soir, un groupe d</w:t>
      </w:r>
      <w:r w:rsidR="009C104E">
        <w:rPr>
          <w:rFonts w:ascii="Arial" w:hAnsi="Arial" w:cs="Arial"/>
          <w:sz w:val="22"/>
          <w:szCs w:val="22"/>
        </w:rPr>
        <w:t>’</w:t>
      </w:r>
      <w:r w:rsidRPr="0001502D">
        <w:rPr>
          <w:rFonts w:ascii="Arial" w:hAnsi="Arial" w:cs="Arial"/>
          <w:sz w:val="22"/>
          <w:szCs w:val="22"/>
        </w:rPr>
        <w:t>hommes lit une liste fictive de couples fiancés, en se moquant d</w:t>
      </w:r>
      <w:r w:rsidR="009C104E">
        <w:rPr>
          <w:rFonts w:ascii="Arial" w:hAnsi="Arial" w:cs="Arial"/>
          <w:sz w:val="22"/>
          <w:szCs w:val="22"/>
        </w:rPr>
        <w:t>’</w:t>
      </w:r>
      <w:r w:rsidRPr="0001502D">
        <w:rPr>
          <w:rFonts w:ascii="Arial" w:hAnsi="Arial" w:cs="Arial"/>
          <w:sz w:val="22"/>
          <w:szCs w:val="22"/>
        </w:rPr>
        <w:t>eux pour divertir et faire rire l</w:t>
      </w:r>
      <w:r w:rsidR="009C104E">
        <w:rPr>
          <w:rFonts w:ascii="Arial" w:hAnsi="Arial" w:cs="Arial"/>
          <w:sz w:val="22"/>
          <w:szCs w:val="22"/>
        </w:rPr>
        <w:t>’</w:t>
      </w:r>
      <w:r w:rsidRPr="0001502D">
        <w:rPr>
          <w:rFonts w:ascii="Arial" w:hAnsi="Arial" w:cs="Arial"/>
          <w:sz w:val="22"/>
          <w:szCs w:val="22"/>
        </w:rPr>
        <w:t>assistance. Quand arrive Mardi gras, plusieurs habitants se déguisent en « matrafonas », personnages masqués des carnavals ruraux. Le mardi après-midi, une grande marionnette est brûlée. Le groupe de caretos se rend alors chez des parents et des amis. La participation à la fête commence dès l</w:t>
      </w:r>
      <w:r w:rsidR="009C104E">
        <w:rPr>
          <w:rFonts w:ascii="Arial" w:hAnsi="Arial" w:cs="Arial"/>
          <w:sz w:val="22"/>
          <w:szCs w:val="22"/>
        </w:rPr>
        <w:t>’</w:t>
      </w:r>
      <w:r w:rsidRPr="0001502D">
        <w:rPr>
          <w:rFonts w:ascii="Arial" w:hAnsi="Arial" w:cs="Arial"/>
          <w:sz w:val="22"/>
          <w:szCs w:val="22"/>
        </w:rPr>
        <w:t>enfance. Les activités organisées par l</w:t>
      </w:r>
      <w:r w:rsidR="009C104E">
        <w:rPr>
          <w:rFonts w:ascii="Arial" w:hAnsi="Arial" w:cs="Arial"/>
          <w:sz w:val="22"/>
          <w:szCs w:val="22"/>
        </w:rPr>
        <w:t>’</w:t>
      </w:r>
      <w:r w:rsidRPr="0001502D">
        <w:rPr>
          <w:rFonts w:ascii="Arial" w:hAnsi="Arial" w:cs="Arial"/>
          <w:sz w:val="22"/>
          <w:szCs w:val="22"/>
        </w:rPr>
        <w:t>Association du groupe de caretos ont multiplié les occasions de transmission.</w:t>
      </w:r>
    </w:p>
    <w:p w14:paraId="49069565" w14:textId="71C27CA1" w:rsidR="0001502D" w:rsidRPr="0001502D" w:rsidRDefault="0001502D" w:rsidP="00771F30">
      <w:pPr>
        <w:keepNext/>
        <w:numPr>
          <w:ilvl w:val="1"/>
          <w:numId w:val="27"/>
        </w:numPr>
        <w:tabs>
          <w:tab w:val="left" w:pos="567"/>
          <w:tab w:val="left" w:pos="1701"/>
          <w:tab w:val="left" w:pos="2268"/>
        </w:tabs>
        <w:spacing w:before="120" w:after="120"/>
        <w:jc w:val="both"/>
        <w:rPr>
          <w:rFonts w:ascii="Arial" w:hAnsi="Arial" w:cs="Arial"/>
          <w:sz w:val="22"/>
          <w:szCs w:val="22"/>
          <w:lang w:eastAsia="ko-KR"/>
        </w:rPr>
      </w:pPr>
      <w:r w:rsidRPr="0001502D">
        <w:rPr>
          <w:rFonts w:ascii="Arial" w:hAnsi="Arial" w:cs="Arial"/>
          <w:sz w:val="22"/>
          <w:szCs w:val="22"/>
          <w:u w:val="single"/>
          <w:lang w:eastAsia="ko-KR"/>
        </w:rPr>
        <w:t>Estime</w:t>
      </w:r>
      <w:r w:rsidRPr="0001502D">
        <w:rPr>
          <w:rFonts w:ascii="Arial" w:hAnsi="Arial" w:cs="Arial"/>
          <w:sz w:val="22"/>
          <w:szCs w:val="22"/>
          <w:lang w:eastAsia="ko-KR"/>
        </w:rPr>
        <w:t xml:space="preserve"> que, d</w:t>
      </w:r>
      <w:r w:rsidR="009C104E">
        <w:rPr>
          <w:rFonts w:ascii="Arial" w:hAnsi="Arial" w:cs="Arial"/>
          <w:sz w:val="22"/>
          <w:szCs w:val="22"/>
          <w:lang w:eastAsia="ko-KR"/>
        </w:rPr>
        <w:t>’</w:t>
      </w:r>
      <w:r w:rsidRPr="0001502D">
        <w:rPr>
          <w:rFonts w:ascii="Arial" w:hAnsi="Arial" w:cs="Arial"/>
          <w:sz w:val="22"/>
          <w:szCs w:val="22"/>
          <w:lang w:eastAsia="ko-KR"/>
        </w:rPr>
        <w:t>après les informations contenues dans le dossier, la candidature satisfait aux critères d</w:t>
      </w:r>
      <w:r w:rsidR="009C104E">
        <w:rPr>
          <w:rFonts w:ascii="Arial" w:hAnsi="Arial" w:cs="Arial"/>
          <w:sz w:val="22"/>
          <w:szCs w:val="22"/>
          <w:lang w:eastAsia="ko-KR"/>
        </w:rPr>
        <w:t>’</w:t>
      </w:r>
      <w:r w:rsidRPr="0001502D">
        <w:rPr>
          <w:rFonts w:ascii="Arial" w:hAnsi="Arial" w:cs="Arial"/>
          <w:sz w:val="22"/>
          <w:szCs w:val="22"/>
          <w:lang w:eastAsia="ko-KR"/>
        </w:rPr>
        <w:t>inscription sur la Liste représentative du patrimoine culturel immatériel de l</w:t>
      </w:r>
      <w:r w:rsidR="009C104E">
        <w:rPr>
          <w:rFonts w:ascii="Arial" w:hAnsi="Arial" w:cs="Arial"/>
          <w:sz w:val="22"/>
          <w:szCs w:val="22"/>
          <w:lang w:eastAsia="ko-KR"/>
        </w:rPr>
        <w:t>’</w:t>
      </w:r>
      <w:r w:rsidRPr="0001502D">
        <w:rPr>
          <w:rFonts w:ascii="Arial" w:hAnsi="Arial" w:cs="Arial"/>
          <w:sz w:val="22"/>
          <w:szCs w:val="22"/>
          <w:lang w:eastAsia="ko-KR"/>
        </w:rPr>
        <w:t>humanité comme suit :</w:t>
      </w:r>
    </w:p>
    <w:p w14:paraId="1C9E0E3F" w14:textId="75F45E62" w:rsidR="0001502D" w:rsidRPr="0001502D" w:rsidRDefault="0001502D" w:rsidP="0028634C">
      <w:pPr>
        <w:tabs>
          <w:tab w:val="left" w:pos="1134"/>
          <w:tab w:val="left" w:pos="2268"/>
        </w:tabs>
        <w:spacing w:before="120" w:after="120"/>
        <w:ind w:left="1134" w:hanging="555"/>
        <w:jc w:val="both"/>
        <w:rPr>
          <w:rFonts w:ascii="Arial" w:hAnsi="Arial" w:cs="Arial"/>
          <w:sz w:val="22"/>
          <w:szCs w:val="22"/>
        </w:rPr>
      </w:pPr>
      <w:r w:rsidRPr="0001502D">
        <w:rPr>
          <w:rFonts w:ascii="Arial" w:hAnsi="Arial" w:cs="Arial"/>
          <w:sz w:val="22"/>
          <w:szCs w:val="22"/>
        </w:rPr>
        <w:t xml:space="preserve">R.1 : </w:t>
      </w:r>
      <w:r w:rsidRPr="0001502D">
        <w:rPr>
          <w:rFonts w:ascii="Arial" w:hAnsi="Arial" w:cs="Arial"/>
          <w:sz w:val="22"/>
          <w:szCs w:val="22"/>
        </w:rPr>
        <w:tab/>
        <w:t>Le carnaval des caretos de Podence implique tous les habitants du petit village de Macedo de Cavaleiros. Transmise principalement dans le cadre familial, la pratique procure un sentiment d</w:t>
      </w:r>
      <w:r w:rsidR="009C104E">
        <w:rPr>
          <w:rFonts w:ascii="Arial" w:hAnsi="Arial" w:cs="Arial"/>
          <w:sz w:val="22"/>
          <w:szCs w:val="22"/>
        </w:rPr>
        <w:t>’</w:t>
      </w:r>
      <w:r w:rsidRPr="0001502D">
        <w:rPr>
          <w:rFonts w:ascii="Arial" w:hAnsi="Arial" w:cs="Arial"/>
          <w:sz w:val="22"/>
          <w:szCs w:val="22"/>
        </w:rPr>
        <w:t>appartenance, d</w:t>
      </w:r>
      <w:r w:rsidR="009C104E">
        <w:rPr>
          <w:rFonts w:ascii="Arial" w:hAnsi="Arial" w:cs="Arial"/>
          <w:sz w:val="22"/>
          <w:szCs w:val="22"/>
        </w:rPr>
        <w:t>’</w:t>
      </w:r>
      <w:r w:rsidRPr="0001502D">
        <w:rPr>
          <w:rFonts w:ascii="Arial" w:hAnsi="Arial" w:cs="Arial"/>
          <w:sz w:val="22"/>
          <w:szCs w:val="22"/>
        </w:rPr>
        <w:t>identité culturelle, d</w:t>
      </w:r>
      <w:r w:rsidR="009C104E">
        <w:rPr>
          <w:rFonts w:ascii="Arial" w:hAnsi="Arial" w:cs="Arial"/>
          <w:sz w:val="22"/>
          <w:szCs w:val="22"/>
        </w:rPr>
        <w:t>’</w:t>
      </w:r>
      <w:r w:rsidRPr="0001502D">
        <w:rPr>
          <w:rFonts w:ascii="Arial" w:hAnsi="Arial" w:cs="Arial"/>
          <w:sz w:val="22"/>
          <w:szCs w:val="22"/>
        </w:rPr>
        <w:t>intégration au groupe et d</w:t>
      </w:r>
      <w:r w:rsidR="009C104E">
        <w:rPr>
          <w:rFonts w:ascii="Arial" w:hAnsi="Arial" w:cs="Arial"/>
          <w:sz w:val="22"/>
          <w:szCs w:val="22"/>
        </w:rPr>
        <w:t>’</w:t>
      </w:r>
      <w:r w:rsidRPr="0001502D">
        <w:rPr>
          <w:rFonts w:ascii="Arial" w:hAnsi="Arial" w:cs="Arial"/>
          <w:sz w:val="22"/>
          <w:szCs w:val="22"/>
        </w:rPr>
        <w:t>unité avec la communauté. Le carnaval est donc une fête de la communauté, qui réunit les familles et les amis. La pratique fait aussi référence à l</w:t>
      </w:r>
      <w:r w:rsidR="009C104E">
        <w:rPr>
          <w:rFonts w:ascii="Arial" w:hAnsi="Arial" w:cs="Arial"/>
          <w:sz w:val="22"/>
          <w:szCs w:val="22"/>
        </w:rPr>
        <w:t>’</w:t>
      </w:r>
      <w:r w:rsidRPr="0001502D">
        <w:rPr>
          <w:rFonts w:ascii="Arial" w:hAnsi="Arial" w:cs="Arial"/>
          <w:sz w:val="22"/>
          <w:szCs w:val="22"/>
        </w:rPr>
        <w:t>histoire de la communauté et représente un important marqueur symbolique de l</w:t>
      </w:r>
      <w:r w:rsidR="009C104E">
        <w:rPr>
          <w:rFonts w:ascii="Arial" w:hAnsi="Arial" w:cs="Arial"/>
          <w:sz w:val="22"/>
          <w:szCs w:val="22"/>
        </w:rPr>
        <w:t>’</w:t>
      </w:r>
      <w:r w:rsidRPr="0001502D">
        <w:rPr>
          <w:rFonts w:ascii="Arial" w:hAnsi="Arial" w:cs="Arial"/>
          <w:sz w:val="22"/>
          <w:szCs w:val="22"/>
        </w:rPr>
        <w:t>identité culturelle. L</w:t>
      </w:r>
      <w:r w:rsidR="009C104E">
        <w:rPr>
          <w:rFonts w:ascii="Arial" w:hAnsi="Arial" w:cs="Arial"/>
          <w:sz w:val="22"/>
          <w:szCs w:val="22"/>
        </w:rPr>
        <w:t>’</w:t>
      </w:r>
      <w:r w:rsidRPr="0001502D">
        <w:rPr>
          <w:rFonts w:ascii="Arial" w:hAnsi="Arial" w:cs="Arial"/>
          <w:sz w:val="22"/>
          <w:szCs w:val="22"/>
        </w:rPr>
        <w:t>évolution de l</w:t>
      </w:r>
      <w:r w:rsidR="009C104E">
        <w:rPr>
          <w:rFonts w:ascii="Arial" w:hAnsi="Arial" w:cs="Arial"/>
          <w:sz w:val="22"/>
          <w:szCs w:val="22"/>
        </w:rPr>
        <w:t>’</w:t>
      </w:r>
      <w:r w:rsidRPr="0001502D">
        <w:rPr>
          <w:rFonts w:ascii="Arial" w:hAnsi="Arial" w:cs="Arial"/>
          <w:sz w:val="22"/>
          <w:szCs w:val="22"/>
        </w:rPr>
        <w:t>élément et les réactions spontanées face aux changements de l</w:t>
      </w:r>
      <w:r w:rsidR="009C104E">
        <w:rPr>
          <w:rFonts w:ascii="Arial" w:hAnsi="Arial" w:cs="Arial"/>
          <w:sz w:val="22"/>
          <w:szCs w:val="22"/>
        </w:rPr>
        <w:t>’</w:t>
      </w:r>
      <w:r w:rsidRPr="0001502D">
        <w:rPr>
          <w:rFonts w:ascii="Arial" w:hAnsi="Arial" w:cs="Arial"/>
          <w:sz w:val="22"/>
          <w:szCs w:val="22"/>
        </w:rPr>
        <w:t>environnement économique et social montrent que le carnaval de Podence est une forme vivante de patrimoine culturel, qui évolue continuellement au contact direct des praticiens et de leurs besoins.</w:t>
      </w:r>
    </w:p>
    <w:p w14:paraId="76955675" w14:textId="3C785B88" w:rsidR="0001502D" w:rsidRPr="0001502D" w:rsidRDefault="0001502D" w:rsidP="0028634C">
      <w:pPr>
        <w:tabs>
          <w:tab w:val="left" w:pos="1134"/>
          <w:tab w:val="left" w:pos="2268"/>
        </w:tabs>
        <w:spacing w:before="120" w:after="120"/>
        <w:ind w:left="1134" w:hanging="555"/>
        <w:jc w:val="both"/>
        <w:rPr>
          <w:rFonts w:ascii="Arial" w:hAnsi="Arial" w:cs="Arial"/>
          <w:sz w:val="22"/>
          <w:szCs w:val="22"/>
        </w:rPr>
      </w:pPr>
      <w:r w:rsidRPr="0001502D">
        <w:rPr>
          <w:rFonts w:ascii="Arial" w:hAnsi="Arial" w:cs="Arial"/>
          <w:sz w:val="22"/>
          <w:szCs w:val="22"/>
        </w:rPr>
        <w:t>R.2 :</w:t>
      </w:r>
      <w:r w:rsidRPr="0001502D">
        <w:rPr>
          <w:rFonts w:ascii="Arial" w:hAnsi="Arial" w:cs="Arial"/>
          <w:sz w:val="22"/>
          <w:szCs w:val="22"/>
        </w:rPr>
        <w:tab/>
        <w:t>L</w:t>
      </w:r>
      <w:r w:rsidR="009C104E">
        <w:rPr>
          <w:rFonts w:ascii="Arial" w:hAnsi="Arial" w:cs="Arial"/>
          <w:sz w:val="22"/>
          <w:szCs w:val="22"/>
        </w:rPr>
        <w:t>’</w:t>
      </w:r>
      <w:r w:rsidRPr="0001502D">
        <w:rPr>
          <w:rFonts w:ascii="Arial" w:hAnsi="Arial" w:cs="Arial"/>
          <w:sz w:val="22"/>
          <w:szCs w:val="22"/>
        </w:rPr>
        <w:t xml:space="preserve">inscription </w:t>
      </w:r>
      <w:r w:rsidR="00C476A9" w:rsidRPr="00C476A9">
        <w:rPr>
          <w:rFonts w:ascii="Arial" w:hAnsi="Arial" w:cs="Arial"/>
          <w:sz w:val="22"/>
          <w:szCs w:val="22"/>
        </w:rPr>
        <w:t>des fêtes de l’hiver, le carnaval de Podence</w:t>
      </w:r>
      <w:r w:rsidRPr="0001502D">
        <w:rPr>
          <w:rFonts w:ascii="Arial" w:hAnsi="Arial" w:cs="Arial"/>
          <w:sz w:val="22"/>
          <w:szCs w:val="22"/>
        </w:rPr>
        <w:t>, renforcerait la visibilité existante du patrimoine culturel immatériel et en favoriserait l</w:t>
      </w:r>
      <w:r w:rsidR="009C104E">
        <w:rPr>
          <w:rFonts w:ascii="Arial" w:hAnsi="Arial" w:cs="Arial"/>
          <w:sz w:val="22"/>
          <w:szCs w:val="22"/>
        </w:rPr>
        <w:t>’</w:t>
      </w:r>
      <w:r w:rsidRPr="0001502D">
        <w:rPr>
          <w:rFonts w:ascii="Arial" w:hAnsi="Arial" w:cs="Arial"/>
          <w:sz w:val="22"/>
          <w:szCs w:val="22"/>
        </w:rPr>
        <w:t>inventaire, notamment celui d</w:t>
      </w:r>
      <w:r w:rsidR="009C104E">
        <w:rPr>
          <w:rFonts w:ascii="Arial" w:hAnsi="Arial" w:cs="Arial"/>
          <w:sz w:val="22"/>
          <w:szCs w:val="22"/>
        </w:rPr>
        <w:t>’</w:t>
      </w:r>
      <w:r w:rsidRPr="0001502D">
        <w:rPr>
          <w:rFonts w:ascii="Arial" w:hAnsi="Arial" w:cs="Arial"/>
          <w:sz w:val="22"/>
          <w:szCs w:val="22"/>
        </w:rPr>
        <w:t>autres rituels et fêtes masqués de l</w:t>
      </w:r>
      <w:r w:rsidR="009C104E">
        <w:rPr>
          <w:rFonts w:ascii="Arial" w:hAnsi="Arial" w:cs="Arial"/>
          <w:sz w:val="22"/>
          <w:szCs w:val="22"/>
        </w:rPr>
        <w:t>’</w:t>
      </w:r>
      <w:r w:rsidRPr="0001502D">
        <w:rPr>
          <w:rFonts w:ascii="Arial" w:hAnsi="Arial" w:cs="Arial"/>
          <w:sz w:val="22"/>
          <w:szCs w:val="22"/>
        </w:rPr>
        <w:t>hiver. Elle sensibiliserait également à l</w:t>
      </w:r>
      <w:r w:rsidR="009C104E">
        <w:rPr>
          <w:rFonts w:ascii="Arial" w:hAnsi="Arial" w:cs="Arial"/>
          <w:sz w:val="22"/>
          <w:szCs w:val="22"/>
        </w:rPr>
        <w:t>’</w:t>
      </w:r>
      <w:r w:rsidRPr="0001502D">
        <w:rPr>
          <w:rFonts w:ascii="Arial" w:hAnsi="Arial" w:cs="Arial"/>
          <w:sz w:val="22"/>
          <w:szCs w:val="22"/>
        </w:rPr>
        <w:t>importance de l</w:t>
      </w:r>
      <w:r w:rsidR="009C104E">
        <w:rPr>
          <w:rFonts w:ascii="Arial" w:hAnsi="Arial" w:cs="Arial"/>
          <w:sz w:val="22"/>
          <w:szCs w:val="22"/>
        </w:rPr>
        <w:t>’</w:t>
      </w:r>
      <w:r w:rsidRPr="0001502D">
        <w:rPr>
          <w:rFonts w:ascii="Arial" w:hAnsi="Arial" w:cs="Arial"/>
          <w:sz w:val="22"/>
          <w:szCs w:val="22"/>
        </w:rPr>
        <w:t>élaboration des mesures de sauvegarde. En outre, l</w:t>
      </w:r>
      <w:r w:rsidR="009C104E">
        <w:rPr>
          <w:rFonts w:ascii="Arial" w:hAnsi="Arial" w:cs="Arial"/>
          <w:sz w:val="22"/>
          <w:szCs w:val="22"/>
        </w:rPr>
        <w:t>’</w:t>
      </w:r>
      <w:r w:rsidRPr="0001502D">
        <w:rPr>
          <w:rFonts w:ascii="Arial" w:hAnsi="Arial" w:cs="Arial"/>
          <w:sz w:val="22"/>
          <w:szCs w:val="22"/>
        </w:rPr>
        <w:t>inscription renforcerait les efforts nationaux de sauvegarde, notamment en ce qui concerne le rôle du processus d</w:t>
      </w:r>
      <w:r w:rsidR="009C104E">
        <w:rPr>
          <w:rFonts w:ascii="Arial" w:hAnsi="Arial" w:cs="Arial"/>
          <w:sz w:val="22"/>
          <w:szCs w:val="22"/>
        </w:rPr>
        <w:t>’</w:t>
      </w:r>
      <w:r w:rsidRPr="0001502D">
        <w:rPr>
          <w:rFonts w:ascii="Arial" w:hAnsi="Arial" w:cs="Arial"/>
          <w:sz w:val="22"/>
          <w:szCs w:val="22"/>
        </w:rPr>
        <w:t>inventaire national, et sensibiliserait à l</w:t>
      </w:r>
      <w:r w:rsidR="009C104E">
        <w:rPr>
          <w:rFonts w:ascii="Arial" w:hAnsi="Arial" w:cs="Arial"/>
          <w:sz w:val="22"/>
          <w:szCs w:val="22"/>
        </w:rPr>
        <w:t>’</w:t>
      </w:r>
      <w:r w:rsidRPr="0001502D">
        <w:rPr>
          <w:rFonts w:ascii="Arial" w:hAnsi="Arial" w:cs="Arial"/>
          <w:sz w:val="22"/>
          <w:szCs w:val="22"/>
        </w:rPr>
        <w:t>importance sociale du patrimoine culturel immatériel et à son importance dans les sociétés contemporaines. Enfin, l</w:t>
      </w:r>
      <w:r w:rsidR="009C104E">
        <w:rPr>
          <w:rFonts w:ascii="Arial" w:hAnsi="Arial" w:cs="Arial"/>
          <w:sz w:val="22"/>
          <w:szCs w:val="22"/>
        </w:rPr>
        <w:t>’</w:t>
      </w:r>
      <w:r w:rsidRPr="0001502D">
        <w:rPr>
          <w:rFonts w:ascii="Arial" w:hAnsi="Arial" w:cs="Arial"/>
          <w:sz w:val="22"/>
          <w:szCs w:val="22"/>
        </w:rPr>
        <w:t>inscription enrichirait l</w:t>
      </w:r>
      <w:r w:rsidR="009C104E">
        <w:rPr>
          <w:rFonts w:ascii="Arial" w:hAnsi="Arial" w:cs="Arial"/>
          <w:sz w:val="22"/>
          <w:szCs w:val="22"/>
        </w:rPr>
        <w:t>’</w:t>
      </w:r>
      <w:r w:rsidRPr="0001502D">
        <w:rPr>
          <w:rFonts w:ascii="Arial" w:hAnsi="Arial" w:cs="Arial"/>
          <w:sz w:val="22"/>
          <w:szCs w:val="22"/>
        </w:rPr>
        <w:t>éventail des célébrations déjà inscrites sur la Liste représentative par l</w:t>
      </w:r>
      <w:r w:rsidR="009C104E">
        <w:rPr>
          <w:rFonts w:ascii="Arial" w:hAnsi="Arial" w:cs="Arial"/>
          <w:sz w:val="22"/>
          <w:szCs w:val="22"/>
        </w:rPr>
        <w:t>’</w:t>
      </w:r>
      <w:r w:rsidRPr="0001502D">
        <w:rPr>
          <w:rFonts w:ascii="Arial" w:hAnsi="Arial" w:cs="Arial"/>
          <w:sz w:val="22"/>
          <w:szCs w:val="22"/>
        </w:rPr>
        <w:t>ajout d</w:t>
      </w:r>
      <w:r w:rsidR="009C104E">
        <w:rPr>
          <w:rFonts w:ascii="Arial" w:hAnsi="Arial" w:cs="Arial"/>
          <w:sz w:val="22"/>
          <w:szCs w:val="22"/>
        </w:rPr>
        <w:t>’</w:t>
      </w:r>
      <w:r w:rsidRPr="0001502D">
        <w:rPr>
          <w:rFonts w:ascii="Arial" w:hAnsi="Arial" w:cs="Arial"/>
          <w:sz w:val="22"/>
          <w:szCs w:val="22"/>
        </w:rPr>
        <w:t>une célébration culturelle d</w:t>
      </w:r>
      <w:r w:rsidR="009C104E">
        <w:rPr>
          <w:rFonts w:ascii="Arial" w:hAnsi="Arial" w:cs="Arial"/>
          <w:sz w:val="22"/>
          <w:szCs w:val="22"/>
        </w:rPr>
        <w:t>’</w:t>
      </w:r>
      <w:r w:rsidRPr="0001502D">
        <w:rPr>
          <w:rFonts w:ascii="Arial" w:hAnsi="Arial" w:cs="Arial"/>
          <w:sz w:val="22"/>
          <w:szCs w:val="22"/>
        </w:rPr>
        <w:t>une communauté, favorisant l</w:t>
      </w:r>
      <w:r w:rsidR="009C104E">
        <w:rPr>
          <w:rFonts w:ascii="Arial" w:hAnsi="Arial" w:cs="Arial"/>
          <w:sz w:val="22"/>
          <w:szCs w:val="22"/>
        </w:rPr>
        <w:t>’</w:t>
      </w:r>
      <w:r w:rsidRPr="0001502D">
        <w:rPr>
          <w:rFonts w:ascii="Arial" w:hAnsi="Arial" w:cs="Arial"/>
          <w:sz w:val="22"/>
          <w:szCs w:val="22"/>
        </w:rPr>
        <w:t>intégration des hommes, des femmes et des enfants et l</w:t>
      </w:r>
      <w:r w:rsidR="009C104E">
        <w:rPr>
          <w:rFonts w:ascii="Arial" w:hAnsi="Arial" w:cs="Arial"/>
          <w:sz w:val="22"/>
          <w:szCs w:val="22"/>
        </w:rPr>
        <w:t>’</w:t>
      </w:r>
      <w:r w:rsidRPr="0001502D">
        <w:rPr>
          <w:rFonts w:ascii="Arial" w:hAnsi="Arial" w:cs="Arial"/>
          <w:sz w:val="22"/>
          <w:szCs w:val="22"/>
        </w:rPr>
        <w:t>affirmation de leur identité culturelle dans la société.</w:t>
      </w:r>
    </w:p>
    <w:p w14:paraId="5A22C2F5" w14:textId="36B94BB9" w:rsidR="0001502D" w:rsidRPr="0001502D" w:rsidRDefault="0001502D" w:rsidP="0028634C">
      <w:pPr>
        <w:tabs>
          <w:tab w:val="left" w:pos="1134"/>
          <w:tab w:val="left" w:pos="2268"/>
        </w:tabs>
        <w:spacing w:before="120" w:after="120"/>
        <w:ind w:left="1134" w:hanging="555"/>
        <w:jc w:val="both"/>
        <w:rPr>
          <w:rFonts w:ascii="Arial" w:hAnsi="Arial" w:cs="Arial"/>
          <w:sz w:val="22"/>
          <w:szCs w:val="22"/>
        </w:rPr>
      </w:pPr>
      <w:r w:rsidRPr="0001502D">
        <w:rPr>
          <w:rFonts w:ascii="Arial" w:hAnsi="Arial" w:cs="Arial"/>
          <w:sz w:val="22"/>
          <w:szCs w:val="22"/>
        </w:rPr>
        <w:t xml:space="preserve">R.3 : </w:t>
      </w:r>
      <w:r w:rsidRPr="0001502D">
        <w:rPr>
          <w:rFonts w:ascii="Arial" w:hAnsi="Arial" w:cs="Arial"/>
          <w:sz w:val="22"/>
          <w:szCs w:val="22"/>
        </w:rPr>
        <w:tab/>
        <w:t>La communauté de Macedo de Cavaleiros a fourni de nombreux efforts pour sauvegarder le carnaval, en renforçant son organisation depuis les années 1980 et en multipliant les actions pour le promouvoir. Les mesures de sauvegarde proposées renforceraient encore davantage les mesures existantes à travers quatre objectifs clairement définis. L</w:t>
      </w:r>
      <w:r w:rsidR="009C104E">
        <w:rPr>
          <w:rFonts w:ascii="Arial" w:hAnsi="Arial" w:cs="Arial"/>
          <w:sz w:val="22"/>
          <w:szCs w:val="22"/>
        </w:rPr>
        <w:t>’</w:t>
      </w:r>
      <w:r w:rsidRPr="0001502D">
        <w:rPr>
          <w:rFonts w:ascii="Arial" w:hAnsi="Arial" w:cs="Arial"/>
          <w:sz w:val="22"/>
          <w:szCs w:val="22"/>
        </w:rPr>
        <w:t>ensemble est élaboré de manière cohérente et basé sur des activités réalisables, définies et étudiées avec la communauté de Macedo de Cavaleiros.</w:t>
      </w:r>
    </w:p>
    <w:p w14:paraId="029E25F9" w14:textId="336B36B8" w:rsidR="0001502D" w:rsidRPr="0001502D" w:rsidRDefault="0001502D" w:rsidP="0028634C">
      <w:pPr>
        <w:tabs>
          <w:tab w:val="left" w:pos="1134"/>
          <w:tab w:val="left" w:pos="2268"/>
        </w:tabs>
        <w:spacing w:before="120" w:after="120"/>
        <w:ind w:left="1134" w:hanging="555"/>
        <w:jc w:val="both"/>
        <w:rPr>
          <w:rFonts w:ascii="Arial" w:hAnsi="Arial" w:cs="Arial"/>
          <w:sz w:val="22"/>
          <w:szCs w:val="22"/>
        </w:rPr>
      </w:pPr>
      <w:r w:rsidRPr="0001502D">
        <w:rPr>
          <w:rFonts w:ascii="Arial" w:hAnsi="Arial" w:cs="Arial"/>
          <w:sz w:val="22"/>
          <w:szCs w:val="22"/>
        </w:rPr>
        <w:t xml:space="preserve">R.4 : </w:t>
      </w:r>
      <w:r w:rsidRPr="0001502D">
        <w:rPr>
          <w:rFonts w:ascii="Arial" w:hAnsi="Arial" w:cs="Arial"/>
          <w:sz w:val="22"/>
          <w:szCs w:val="22"/>
        </w:rPr>
        <w:tab/>
        <w:t>La communauté a été pleinement impliquée dans toutes les étapes du processus de candidature. La candidature fait d</w:t>
      </w:r>
      <w:r w:rsidR="009C104E">
        <w:rPr>
          <w:rFonts w:ascii="Arial" w:hAnsi="Arial" w:cs="Arial"/>
          <w:sz w:val="22"/>
          <w:szCs w:val="22"/>
        </w:rPr>
        <w:t>’</w:t>
      </w:r>
      <w:r w:rsidRPr="0001502D">
        <w:rPr>
          <w:rFonts w:ascii="Arial" w:hAnsi="Arial" w:cs="Arial"/>
          <w:sz w:val="22"/>
          <w:szCs w:val="22"/>
        </w:rPr>
        <w:t>ailleurs partie du processus de sauvegarde et a été entreprise à la demande de la communauté.</w:t>
      </w:r>
    </w:p>
    <w:p w14:paraId="08236354" w14:textId="2096658A" w:rsidR="0001502D" w:rsidRPr="0001502D" w:rsidRDefault="0001502D" w:rsidP="0028634C">
      <w:pPr>
        <w:tabs>
          <w:tab w:val="left" w:pos="1134"/>
          <w:tab w:val="left" w:pos="2268"/>
        </w:tabs>
        <w:spacing w:before="120" w:after="120"/>
        <w:ind w:left="1134" w:hanging="555"/>
        <w:jc w:val="both"/>
        <w:rPr>
          <w:rFonts w:ascii="Arial" w:hAnsi="Arial" w:cs="Arial"/>
          <w:sz w:val="22"/>
          <w:szCs w:val="22"/>
        </w:rPr>
      </w:pPr>
      <w:r w:rsidRPr="0001502D">
        <w:rPr>
          <w:rFonts w:ascii="Arial" w:hAnsi="Arial" w:cs="Arial"/>
          <w:sz w:val="22"/>
          <w:szCs w:val="22"/>
        </w:rPr>
        <w:t xml:space="preserve">R.5 : </w:t>
      </w:r>
      <w:r w:rsidRPr="0001502D">
        <w:rPr>
          <w:rFonts w:ascii="Arial" w:hAnsi="Arial" w:cs="Arial"/>
          <w:sz w:val="22"/>
          <w:szCs w:val="22"/>
        </w:rPr>
        <w:tab/>
      </w:r>
      <w:r w:rsidR="00C476A9">
        <w:rPr>
          <w:rFonts w:ascii="Arial" w:hAnsi="Arial" w:cs="Arial"/>
          <w:sz w:val="22"/>
          <w:szCs w:val="22"/>
        </w:rPr>
        <w:t xml:space="preserve">L’élément des </w:t>
      </w:r>
      <w:r w:rsidR="00C476A9" w:rsidRPr="00C476A9">
        <w:rPr>
          <w:rFonts w:ascii="Arial" w:hAnsi="Arial" w:cs="Arial"/>
          <w:sz w:val="22"/>
          <w:szCs w:val="22"/>
        </w:rPr>
        <w:t xml:space="preserve">fêtes de l’hiver, le </w:t>
      </w:r>
      <w:r w:rsidRPr="0001502D">
        <w:rPr>
          <w:rFonts w:ascii="Arial" w:hAnsi="Arial" w:cs="Arial"/>
          <w:sz w:val="22"/>
          <w:szCs w:val="22"/>
        </w:rPr>
        <w:t>carnaval de Podence, a été inclus en 2017 dans l</w:t>
      </w:r>
      <w:r w:rsidR="009C104E">
        <w:rPr>
          <w:rFonts w:ascii="Arial" w:hAnsi="Arial" w:cs="Arial"/>
          <w:sz w:val="22"/>
          <w:szCs w:val="22"/>
        </w:rPr>
        <w:t>’</w:t>
      </w:r>
      <w:r w:rsidRPr="0001502D">
        <w:rPr>
          <w:rFonts w:ascii="Arial" w:hAnsi="Arial" w:cs="Arial"/>
          <w:sz w:val="22"/>
          <w:szCs w:val="22"/>
        </w:rPr>
        <w:t>Inventaire national du patrimoine culturel immatériel, qui est mis à jour au minimum tous les dix ans. Le processus d</w:t>
      </w:r>
      <w:r w:rsidR="009C104E">
        <w:rPr>
          <w:rFonts w:ascii="Arial" w:hAnsi="Arial" w:cs="Arial"/>
          <w:sz w:val="22"/>
          <w:szCs w:val="22"/>
        </w:rPr>
        <w:t>’</w:t>
      </w:r>
      <w:r w:rsidRPr="0001502D">
        <w:rPr>
          <w:rFonts w:ascii="Arial" w:hAnsi="Arial" w:cs="Arial"/>
          <w:sz w:val="22"/>
          <w:szCs w:val="22"/>
        </w:rPr>
        <w:t>inventaire a été initié par l</w:t>
      </w:r>
      <w:r w:rsidR="009C104E">
        <w:rPr>
          <w:rFonts w:ascii="Arial" w:hAnsi="Arial" w:cs="Arial"/>
          <w:sz w:val="22"/>
          <w:szCs w:val="22"/>
        </w:rPr>
        <w:t>’</w:t>
      </w:r>
      <w:r w:rsidRPr="0001502D">
        <w:rPr>
          <w:rFonts w:ascii="Arial" w:hAnsi="Arial" w:cs="Arial"/>
          <w:sz w:val="22"/>
          <w:szCs w:val="22"/>
        </w:rPr>
        <w:t>Association du groupe de caretos et marque une étape supplémentaire du processus de sauvegarde. La Direction générale du patrimoine culturel, au sein du Ministère de la culture, est l</w:t>
      </w:r>
      <w:r w:rsidR="009C104E">
        <w:rPr>
          <w:rFonts w:ascii="Arial" w:hAnsi="Arial" w:cs="Arial"/>
          <w:sz w:val="22"/>
          <w:szCs w:val="22"/>
        </w:rPr>
        <w:t>’</w:t>
      </w:r>
      <w:r w:rsidRPr="0001502D">
        <w:rPr>
          <w:rFonts w:ascii="Arial" w:hAnsi="Arial" w:cs="Arial"/>
          <w:sz w:val="22"/>
          <w:szCs w:val="22"/>
        </w:rPr>
        <w:t>organisme responsable de la gestion et de la mise à jour de l</w:t>
      </w:r>
      <w:r w:rsidR="009C104E">
        <w:rPr>
          <w:rFonts w:ascii="Arial" w:hAnsi="Arial" w:cs="Arial"/>
          <w:sz w:val="22"/>
          <w:szCs w:val="22"/>
        </w:rPr>
        <w:t>’</w:t>
      </w:r>
      <w:r w:rsidRPr="0001502D">
        <w:rPr>
          <w:rFonts w:ascii="Arial" w:hAnsi="Arial" w:cs="Arial"/>
          <w:sz w:val="22"/>
          <w:szCs w:val="22"/>
        </w:rPr>
        <w:t>inventaire.</w:t>
      </w:r>
    </w:p>
    <w:p w14:paraId="50A644E4" w14:textId="119A8F78" w:rsidR="0001502D" w:rsidRPr="0001502D" w:rsidRDefault="0001502D" w:rsidP="00771F30">
      <w:pPr>
        <w:numPr>
          <w:ilvl w:val="1"/>
          <w:numId w:val="27"/>
        </w:numPr>
        <w:tabs>
          <w:tab w:val="left" w:pos="567"/>
          <w:tab w:val="left" w:pos="1701"/>
          <w:tab w:val="left" w:pos="2268"/>
        </w:tabs>
        <w:spacing w:before="120" w:after="120"/>
        <w:jc w:val="both"/>
        <w:rPr>
          <w:rFonts w:ascii="Arial" w:hAnsi="Arial" w:cs="Arial"/>
          <w:sz w:val="22"/>
          <w:szCs w:val="22"/>
          <w:lang w:eastAsia="ko-KR"/>
        </w:rPr>
      </w:pPr>
      <w:r w:rsidRPr="0001502D">
        <w:rPr>
          <w:rFonts w:ascii="Arial" w:hAnsi="Arial" w:cs="Arial"/>
          <w:sz w:val="22"/>
          <w:szCs w:val="22"/>
          <w:u w:val="single"/>
          <w:lang w:eastAsia="ko-KR"/>
        </w:rPr>
        <w:t>Décide d</w:t>
      </w:r>
      <w:r w:rsidR="009C104E">
        <w:rPr>
          <w:rFonts w:ascii="Arial" w:hAnsi="Arial" w:cs="Arial"/>
          <w:sz w:val="22"/>
          <w:szCs w:val="22"/>
          <w:u w:val="single"/>
          <w:lang w:eastAsia="ko-KR"/>
        </w:rPr>
        <w:t>’</w:t>
      </w:r>
      <w:r w:rsidRPr="0001502D">
        <w:rPr>
          <w:rFonts w:ascii="Arial" w:hAnsi="Arial" w:cs="Arial"/>
          <w:sz w:val="22"/>
          <w:szCs w:val="22"/>
          <w:u w:val="single"/>
          <w:lang w:eastAsia="ko-KR"/>
        </w:rPr>
        <w:t>inscrire</w:t>
      </w:r>
      <w:r w:rsidRPr="0001502D">
        <w:rPr>
          <w:rFonts w:ascii="Arial" w:hAnsi="Arial" w:cs="Arial"/>
          <w:sz w:val="22"/>
          <w:szCs w:val="22"/>
          <w:lang w:eastAsia="ko-KR"/>
        </w:rPr>
        <w:t xml:space="preserve"> </w:t>
      </w:r>
      <w:r w:rsidR="00C476A9" w:rsidRPr="00C476A9">
        <w:rPr>
          <w:rFonts w:ascii="Arial" w:hAnsi="Arial" w:cs="Arial"/>
          <w:b/>
          <w:sz w:val="22"/>
          <w:szCs w:val="22"/>
          <w:lang w:eastAsia="ko-KR"/>
        </w:rPr>
        <w:t xml:space="preserve">les </w:t>
      </w:r>
      <w:r w:rsidR="00C476A9" w:rsidRPr="00C476A9">
        <w:rPr>
          <w:rFonts w:ascii="Arial" w:hAnsi="Arial" w:cs="Arial"/>
          <w:b/>
          <w:sz w:val="22"/>
          <w:szCs w:val="22"/>
        </w:rPr>
        <w:t>fêtes de l’hiver,</w:t>
      </w:r>
      <w:r w:rsidR="00C476A9" w:rsidRPr="00C476A9">
        <w:rPr>
          <w:rFonts w:ascii="Arial" w:hAnsi="Arial" w:cs="Arial"/>
          <w:sz w:val="22"/>
          <w:szCs w:val="22"/>
        </w:rPr>
        <w:t xml:space="preserve"> </w:t>
      </w:r>
      <w:r w:rsidRPr="0001502D">
        <w:rPr>
          <w:rFonts w:ascii="Arial" w:hAnsi="Arial" w:cs="Arial"/>
          <w:b/>
          <w:bCs/>
          <w:sz w:val="22"/>
          <w:szCs w:val="22"/>
          <w:lang w:eastAsia="ko-KR"/>
        </w:rPr>
        <w:t>le carnaval de Podence</w:t>
      </w:r>
      <w:r w:rsidRPr="0001502D">
        <w:rPr>
          <w:rFonts w:ascii="Arial" w:hAnsi="Arial" w:cs="Arial"/>
          <w:sz w:val="22"/>
          <w:szCs w:val="22"/>
          <w:lang w:eastAsia="ko-KR"/>
        </w:rPr>
        <w:t xml:space="preserve"> sur la Liste représentative du patrimoine culturel immatériel de l</w:t>
      </w:r>
      <w:r w:rsidR="009C104E">
        <w:rPr>
          <w:rFonts w:ascii="Arial" w:hAnsi="Arial" w:cs="Arial"/>
          <w:sz w:val="22"/>
          <w:szCs w:val="22"/>
          <w:lang w:eastAsia="ko-KR"/>
        </w:rPr>
        <w:t>’</w:t>
      </w:r>
      <w:r w:rsidRPr="0001502D">
        <w:rPr>
          <w:rFonts w:ascii="Arial" w:hAnsi="Arial" w:cs="Arial"/>
          <w:sz w:val="22"/>
          <w:szCs w:val="22"/>
          <w:lang w:eastAsia="ko-KR"/>
        </w:rPr>
        <w:t>humanité ;</w:t>
      </w:r>
    </w:p>
    <w:p w14:paraId="15ADB238" w14:textId="67811E6A" w:rsidR="0001502D" w:rsidRPr="0001502D" w:rsidRDefault="0001502D" w:rsidP="00771F30">
      <w:pPr>
        <w:numPr>
          <w:ilvl w:val="1"/>
          <w:numId w:val="27"/>
        </w:numPr>
        <w:tabs>
          <w:tab w:val="left" w:pos="567"/>
          <w:tab w:val="left" w:pos="1701"/>
          <w:tab w:val="left" w:pos="2268"/>
        </w:tabs>
        <w:spacing w:before="120" w:after="120"/>
        <w:jc w:val="both"/>
        <w:rPr>
          <w:rFonts w:ascii="Arial" w:hAnsi="Arial" w:cs="Arial"/>
          <w:sz w:val="22"/>
          <w:szCs w:val="22"/>
          <w:lang w:eastAsia="ko-KR"/>
        </w:rPr>
      </w:pPr>
      <w:r w:rsidRPr="0001502D">
        <w:rPr>
          <w:rFonts w:ascii="Arial" w:hAnsi="Arial" w:cs="Arial"/>
          <w:sz w:val="22"/>
          <w:szCs w:val="22"/>
          <w:u w:val="single"/>
          <w:lang w:eastAsia="ko-KR"/>
        </w:rPr>
        <w:t>Félicite</w:t>
      </w:r>
      <w:r w:rsidRPr="0001502D">
        <w:rPr>
          <w:rFonts w:ascii="Arial" w:hAnsi="Arial" w:cs="Arial"/>
          <w:sz w:val="22"/>
          <w:szCs w:val="22"/>
          <w:lang w:eastAsia="ko-KR"/>
        </w:rPr>
        <w:t xml:space="preserve"> l</w:t>
      </w:r>
      <w:r w:rsidR="009C104E">
        <w:rPr>
          <w:rFonts w:ascii="Arial" w:hAnsi="Arial" w:cs="Arial"/>
          <w:sz w:val="22"/>
          <w:szCs w:val="22"/>
          <w:lang w:eastAsia="ko-KR"/>
        </w:rPr>
        <w:t>’</w:t>
      </w:r>
      <w:r w:rsidRPr="0001502D">
        <w:rPr>
          <w:rFonts w:ascii="Arial" w:hAnsi="Arial" w:cs="Arial"/>
          <w:sz w:val="22"/>
          <w:szCs w:val="22"/>
          <w:lang w:eastAsia="ko-KR"/>
        </w:rPr>
        <w:t>État partie, et plus particulièrement la communauté de Macedo de Cavaleiros, d</w:t>
      </w:r>
      <w:r w:rsidR="009C104E">
        <w:rPr>
          <w:rFonts w:ascii="Arial" w:hAnsi="Arial" w:cs="Arial"/>
          <w:sz w:val="22"/>
          <w:szCs w:val="22"/>
          <w:lang w:eastAsia="ko-KR"/>
        </w:rPr>
        <w:t>’</w:t>
      </w:r>
      <w:r w:rsidRPr="0001502D">
        <w:rPr>
          <w:rFonts w:ascii="Arial" w:hAnsi="Arial" w:cs="Arial"/>
          <w:sz w:val="22"/>
          <w:szCs w:val="22"/>
          <w:lang w:eastAsia="ko-KR"/>
        </w:rPr>
        <w:t>avoir soumis une candidature exemplaire, démontrant qu</w:t>
      </w:r>
      <w:r w:rsidR="009C104E">
        <w:rPr>
          <w:rFonts w:ascii="Arial" w:hAnsi="Arial" w:cs="Arial"/>
          <w:sz w:val="22"/>
          <w:szCs w:val="22"/>
          <w:lang w:eastAsia="ko-KR"/>
        </w:rPr>
        <w:t>’</w:t>
      </w:r>
      <w:r w:rsidRPr="0001502D">
        <w:rPr>
          <w:rFonts w:ascii="Arial" w:hAnsi="Arial" w:cs="Arial"/>
          <w:sz w:val="22"/>
          <w:szCs w:val="22"/>
          <w:lang w:eastAsia="ko-KR"/>
        </w:rPr>
        <w:t>une petite communauté peut assumer ses responsabilités pour son patrimoine culturel immatériel grâce à une approche qui tient totalement compte de la participation de la communauté, et expliquant l</w:t>
      </w:r>
      <w:r w:rsidR="009C104E">
        <w:rPr>
          <w:rFonts w:ascii="Arial" w:hAnsi="Arial" w:cs="Arial"/>
          <w:sz w:val="22"/>
          <w:szCs w:val="22"/>
          <w:lang w:eastAsia="ko-KR"/>
        </w:rPr>
        <w:t>’</w:t>
      </w:r>
      <w:r w:rsidRPr="0001502D">
        <w:rPr>
          <w:rFonts w:ascii="Arial" w:hAnsi="Arial" w:cs="Arial"/>
          <w:sz w:val="22"/>
          <w:szCs w:val="22"/>
          <w:lang w:eastAsia="ko-KR"/>
        </w:rPr>
        <w:t>évolution des rôles de genre en réponse aux changements sociaux et économiques.</w:t>
      </w:r>
    </w:p>
    <w:p w14:paraId="439AB8E7" w14:textId="717E9780" w:rsidR="0001502D" w:rsidRPr="0001502D" w:rsidRDefault="0001502D" w:rsidP="00771F30">
      <w:pPr>
        <w:keepNext/>
        <w:keepLines/>
        <w:numPr>
          <w:ilvl w:val="0"/>
          <w:numId w:val="27"/>
        </w:numPr>
        <w:spacing w:before="360" w:after="120"/>
        <w:outlineLvl w:val="1"/>
        <w:rPr>
          <w:rFonts w:ascii="Arial" w:hAnsi="Arial" w:cs="Arial"/>
          <w:bCs/>
          <w:iCs/>
          <w:sz w:val="22"/>
          <w:szCs w:val="22"/>
        </w:rPr>
      </w:pPr>
      <w:bookmarkStart w:id="34" w:name="Decision_10b31"/>
      <w:r w:rsidRPr="0001502D">
        <w:rPr>
          <w:rFonts w:ascii="Arial" w:hAnsi="Arial" w:cs="Arial"/>
          <w:b/>
          <w:bCs/>
          <w:iCs/>
          <w:sz w:val="22"/>
          <w:szCs w:val="22"/>
        </w:rPr>
        <w:t xml:space="preserve">DÉCISION 14.COM 10.b.31 </w:t>
      </w:r>
    </w:p>
    <w:bookmarkEnd w:id="34"/>
    <w:p w14:paraId="21B4565A" w14:textId="77777777" w:rsidR="0001502D" w:rsidRPr="0001502D" w:rsidRDefault="0001502D" w:rsidP="0028634C">
      <w:pPr>
        <w:keepNext/>
        <w:tabs>
          <w:tab w:val="left" w:pos="567"/>
          <w:tab w:val="left" w:pos="1134"/>
          <w:tab w:val="left" w:pos="1701"/>
          <w:tab w:val="left" w:pos="2268"/>
        </w:tabs>
        <w:spacing w:before="120" w:after="120"/>
        <w:jc w:val="both"/>
        <w:rPr>
          <w:rFonts w:ascii="Arial" w:hAnsi="Arial" w:cs="Arial"/>
          <w:sz w:val="22"/>
          <w:szCs w:val="22"/>
        </w:rPr>
      </w:pPr>
      <w:r w:rsidRPr="0001502D">
        <w:rPr>
          <w:rFonts w:ascii="Arial" w:hAnsi="Arial" w:cs="Arial"/>
          <w:sz w:val="22"/>
          <w:szCs w:val="22"/>
        </w:rPr>
        <w:t>Le Comité,</w:t>
      </w:r>
    </w:p>
    <w:p w14:paraId="1E618BC5" w14:textId="1A233860" w:rsidR="0001502D" w:rsidRPr="0001502D" w:rsidRDefault="0001502D" w:rsidP="00771F30">
      <w:pPr>
        <w:numPr>
          <w:ilvl w:val="1"/>
          <w:numId w:val="27"/>
        </w:numPr>
        <w:tabs>
          <w:tab w:val="left" w:pos="567"/>
          <w:tab w:val="left" w:pos="1701"/>
          <w:tab w:val="left" w:pos="2268"/>
        </w:tabs>
        <w:spacing w:before="120" w:after="120"/>
        <w:jc w:val="both"/>
        <w:rPr>
          <w:rFonts w:ascii="Arial" w:hAnsi="Arial" w:cs="Arial"/>
          <w:sz w:val="22"/>
          <w:szCs w:val="22"/>
          <w:lang w:eastAsia="ko-KR"/>
        </w:rPr>
      </w:pPr>
      <w:r w:rsidRPr="0001502D">
        <w:rPr>
          <w:rFonts w:ascii="Arial" w:hAnsi="Arial" w:cs="Arial"/>
          <w:sz w:val="22"/>
          <w:szCs w:val="22"/>
          <w:u w:val="single"/>
          <w:lang w:eastAsia="ko-KR"/>
        </w:rPr>
        <w:t>Prend note</w:t>
      </w:r>
      <w:r w:rsidRPr="0001502D">
        <w:rPr>
          <w:rFonts w:ascii="Arial" w:hAnsi="Arial" w:cs="Arial"/>
          <w:sz w:val="22"/>
          <w:szCs w:val="22"/>
          <w:lang w:eastAsia="ko-KR"/>
        </w:rPr>
        <w:t xml:space="preserve"> que Samoa a proposé la candidature </w:t>
      </w:r>
      <w:r w:rsidRPr="0001502D">
        <w:rPr>
          <w:rFonts w:ascii="Arial" w:hAnsi="Arial" w:cs="Arial"/>
          <w:b/>
          <w:sz w:val="22"/>
          <w:szCs w:val="22"/>
          <w:lang w:eastAsia="ko-KR"/>
        </w:rPr>
        <w:t>du</w:t>
      </w:r>
      <w:r w:rsidRPr="0001502D">
        <w:rPr>
          <w:rFonts w:ascii="Arial" w:hAnsi="Arial" w:cs="Arial"/>
          <w:sz w:val="22"/>
          <w:szCs w:val="22"/>
          <w:lang w:eastAsia="ko-KR"/>
        </w:rPr>
        <w:t xml:space="preserve"> </w:t>
      </w:r>
      <w:r w:rsidR="009C104E">
        <w:rPr>
          <w:rFonts w:ascii="Arial" w:hAnsi="Arial" w:cs="Arial"/>
          <w:b/>
          <w:sz w:val="22"/>
          <w:szCs w:val="22"/>
          <w:lang w:eastAsia="ko-KR"/>
        </w:rPr>
        <w:t>‘</w:t>
      </w:r>
      <w:r w:rsidRPr="0001502D">
        <w:rPr>
          <w:rFonts w:ascii="Arial" w:hAnsi="Arial" w:cs="Arial"/>
          <w:b/>
          <w:sz w:val="22"/>
          <w:szCs w:val="22"/>
          <w:lang w:eastAsia="ko-KR"/>
        </w:rPr>
        <w:t>ie Samoa, ou natte fine, et sa valeur culturelle</w:t>
      </w:r>
      <w:r w:rsidRPr="0001502D">
        <w:rPr>
          <w:rFonts w:ascii="Arial" w:hAnsi="Arial" w:cs="Arial"/>
          <w:sz w:val="22"/>
          <w:szCs w:val="22"/>
          <w:lang w:eastAsia="ko-KR"/>
        </w:rPr>
        <w:t xml:space="preserve"> (n° 01499) pour inscription sur la Liste représentative du patrimoine culturel immatériel de l</w:t>
      </w:r>
      <w:r w:rsidR="009C104E">
        <w:rPr>
          <w:rFonts w:ascii="Arial" w:hAnsi="Arial" w:cs="Arial"/>
          <w:sz w:val="22"/>
          <w:szCs w:val="22"/>
          <w:lang w:eastAsia="ko-KR"/>
        </w:rPr>
        <w:t>’</w:t>
      </w:r>
      <w:r w:rsidRPr="0001502D">
        <w:rPr>
          <w:rFonts w:ascii="Arial" w:hAnsi="Arial" w:cs="Arial"/>
          <w:sz w:val="22"/>
          <w:szCs w:val="22"/>
          <w:lang w:eastAsia="ko-KR"/>
        </w:rPr>
        <w:t>humanité :</w:t>
      </w:r>
    </w:p>
    <w:p w14:paraId="1F3BCC93" w14:textId="1C736F15" w:rsidR="0001502D" w:rsidRPr="0001502D" w:rsidRDefault="0001502D" w:rsidP="001047B4">
      <w:pPr>
        <w:tabs>
          <w:tab w:val="left" w:pos="567"/>
          <w:tab w:val="left" w:pos="1701"/>
          <w:tab w:val="left" w:pos="2268"/>
        </w:tabs>
        <w:spacing w:before="120" w:after="120"/>
        <w:ind w:left="567"/>
        <w:jc w:val="both"/>
        <w:rPr>
          <w:rFonts w:ascii="Arial" w:hAnsi="Arial" w:cs="Arial"/>
          <w:sz w:val="22"/>
          <w:szCs w:val="22"/>
        </w:rPr>
      </w:pPr>
      <w:r w:rsidRPr="0001502D">
        <w:rPr>
          <w:rFonts w:ascii="Arial" w:hAnsi="Arial" w:cs="Arial"/>
          <w:sz w:val="22"/>
          <w:szCs w:val="22"/>
        </w:rPr>
        <w:t xml:space="preserve">Les </w:t>
      </w:r>
      <w:r w:rsidR="009C104E">
        <w:rPr>
          <w:rFonts w:ascii="Arial" w:hAnsi="Arial" w:cs="Arial"/>
          <w:sz w:val="22"/>
          <w:szCs w:val="22"/>
        </w:rPr>
        <w:t>‘</w:t>
      </w:r>
      <w:r w:rsidRPr="0001502D">
        <w:rPr>
          <w:rFonts w:ascii="Arial" w:hAnsi="Arial" w:cs="Arial"/>
          <w:sz w:val="22"/>
          <w:szCs w:val="22"/>
        </w:rPr>
        <w:t>ie Samoa sont des nattes finement tissées à la main dont une extrémité est bordée de longues franges, et les deux extrémités de deux rangées de plumes vertes et rouges. Traditionnellement élaboré à partir de fines fibres de pandanus, le produit final ressemble à de la soie. Sa lumineuse couleur cuivrée accroît sa valeur, car elle témoigne de son âge et du processus de décoloration naturelle. La production exige une grande dextérité car chaque fibre ne mesure pas plus d</w:t>
      </w:r>
      <w:r w:rsidR="009C104E">
        <w:rPr>
          <w:rFonts w:ascii="Arial" w:hAnsi="Arial" w:cs="Arial"/>
          <w:sz w:val="22"/>
          <w:szCs w:val="22"/>
        </w:rPr>
        <w:t>’</w:t>
      </w:r>
      <w:r w:rsidRPr="0001502D">
        <w:rPr>
          <w:rFonts w:ascii="Arial" w:hAnsi="Arial" w:cs="Arial"/>
          <w:sz w:val="22"/>
          <w:szCs w:val="22"/>
        </w:rPr>
        <w:t>un millimètre de large. La fabrication d</w:t>
      </w:r>
      <w:r w:rsidR="009C104E">
        <w:rPr>
          <w:rFonts w:ascii="Arial" w:hAnsi="Arial" w:cs="Arial"/>
          <w:sz w:val="22"/>
          <w:szCs w:val="22"/>
        </w:rPr>
        <w:t>’</w:t>
      </w:r>
      <w:r w:rsidRPr="0001502D">
        <w:rPr>
          <w:rFonts w:ascii="Arial" w:hAnsi="Arial" w:cs="Arial"/>
          <w:sz w:val="22"/>
          <w:szCs w:val="22"/>
        </w:rPr>
        <w:t xml:space="preserve">une seule natte peut donc prendre plusieurs mois, voire des années. Cependant, le </w:t>
      </w:r>
      <w:r w:rsidR="009C104E">
        <w:rPr>
          <w:rFonts w:ascii="Arial" w:hAnsi="Arial" w:cs="Arial"/>
          <w:sz w:val="22"/>
          <w:szCs w:val="22"/>
        </w:rPr>
        <w:t>‘</w:t>
      </w:r>
      <w:r w:rsidRPr="0001502D">
        <w:rPr>
          <w:rFonts w:ascii="Arial" w:hAnsi="Arial" w:cs="Arial"/>
          <w:sz w:val="22"/>
          <w:szCs w:val="22"/>
        </w:rPr>
        <w:t>ie Samoa est plus qu</w:t>
      </w:r>
      <w:r w:rsidR="009C104E">
        <w:rPr>
          <w:rFonts w:ascii="Arial" w:hAnsi="Arial" w:cs="Arial"/>
          <w:sz w:val="22"/>
          <w:szCs w:val="22"/>
        </w:rPr>
        <w:t>’</w:t>
      </w:r>
      <w:r w:rsidRPr="0001502D">
        <w:rPr>
          <w:rFonts w:ascii="Arial" w:hAnsi="Arial" w:cs="Arial"/>
          <w:sz w:val="22"/>
          <w:szCs w:val="22"/>
        </w:rPr>
        <w:t>un produit culturel dont la fabrication requiert un savoir-faire exceptionnel : sa véritable valeur réside dans son utilisation comme objet d</w:t>
      </w:r>
      <w:r w:rsidR="009C104E">
        <w:rPr>
          <w:rFonts w:ascii="Arial" w:hAnsi="Arial" w:cs="Arial"/>
          <w:sz w:val="22"/>
          <w:szCs w:val="22"/>
        </w:rPr>
        <w:t>’</w:t>
      </w:r>
      <w:r w:rsidRPr="0001502D">
        <w:rPr>
          <w:rFonts w:ascii="Arial" w:hAnsi="Arial" w:cs="Arial"/>
          <w:sz w:val="22"/>
          <w:szCs w:val="22"/>
        </w:rPr>
        <w:t xml:space="preserve">échange lors de cérémonies et rituels traditionnels qui réaffirme les liens de parenté et renforce le bien-être de la communauté. Le </w:t>
      </w:r>
      <w:r w:rsidR="009C104E">
        <w:rPr>
          <w:rFonts w:ascii="Arial" w:hAnsi="Arial" w:cs="Arial"/>
          <w:sz w:val="22"/>
          <w:szCs w:val="22"/>
        </w:rPr>
        <w:t>‘</w:t>
      </w:r>
      <w:r w:rsidRPr="0001502D">
        <w:rPr>
          <w:rFonts w:ascii="Arial" w:hAnsi="Arial" w:cs="Arial"/>
          <w:sz w:val="22"/>
          <w:szCs w:val="22"/>
        </w:rPr>
        <w:t>ie Samoa est exposé et échangé lors de célébrations festives ou de rassemblements importants (des mariages ou des funérailles, par exemple) et son échange contribue dans une large mesure à préserver la structure sociale. Cet art du tissage est actuellement pratiqué par un nombre croissant de jeunes filles, et même par des hommes. Les femmes et les maîtres tisseurs ont formé des comités dédiés aux nattes fines dans leurs villages, leur permettant d</w:t>
      </w:r>
      <w:r w:rsidR="009C104E">
        <w:rPr>
          <w:rFonts w:ascii="Arial" w:hAnsi="Arial" w:cs="Arial"/>
          <w:sz w:val="22"/>
          <w:szCs w:val="22"/>
        </w:rPr>
        <w:t>’</w:t>
      </w:r>
      <w:r w:rsidRPr="0001502D">
        <w:rPr>
          <w:rFonts w:ascii="Arial" w:hAnsi="Arial" w:cs="Arial"/>
          <w:sz w:val="22"/>
          <w:szCs w:val="22"/>
        </w:rPr>
        <w:t>échanger des idées sur les meilleures pratiques de tissage et de créer des opportunités renforçant la transmission de cette forme d</w:t>
      </w:r>
      <w:r w:rsidR="009C104E">
        <w:rPr>
          <w:rFonts w:ascii="Arial" w:hAnsi="Arial" w:cs="Arial"/>
          <w:sz w:val="22"/>
          <w:szCs w:val="22"/>
        </w:rPr>
        <w:t>’</w:t>
      </w:r>
      <w:r w:rsidRPr="0001502D">
        <w:rPr>
          <w:rFonts w:ascii="Arial" w:hAnsi="Arial" w:cs="Arial"/>
          <w:sz w:val="22"/>
          <w:szCs w:val="22"/>
        </w:rPr>
        <w:t>art.</w:t>
      </w:r>
    </w:p>
    <w:p w14:paraId="5423EC3B" w14:textId="1A304019" w:rsidR="0001502D" w:rsidRPr="0001502D" w:rsidRDefault="0001502D" w:rsidP="00771F30">
      <w:pPr>
        <w:keepNext/>
        <w:numPr>
          <w:ilvl w:val="1"/>
          <w:numId w:val="27"/>
        </w:numPr>
        <w:tabs>
          <w:tab w:val="left" w:pos="567"/>
          <w:tab w:val="left" w:pos="1701"/>
          <w:tab w:val="left" w:pos="2268"/>
        </w:tabs>
        <w:spacing w:before="120" w:after="120"/>
        <w:jc w:val="both"/>
        <w:rPr>
          <w:rFonts w:ascii="Arial" w:hAnsi="Arial" w:cs="Arial"/>
          <w:sz w:val="22"/>
          <w:szCs w:val="22"/>
          <w:lang w:eastAsia="ko-KR"/>
        </w:rPr>
      </w:pPr>
      <w:r w:rsidRPr="0001502D">
        <w:rPr>
          <w:rFonts w:ascii="Arial" w:hAnsi="Arial" w:cs="Arial"/>
          <w:sz w:val="22"/>
          <w:szCs w:val="22"/>
          <w:u w:val="single"/>
          <w:lang w:eastAsia="ko-KR"/>
        </w:rPr>
        <w:t>Estime</w:t>
      </w:r>
      <w:r w:rsidRPr="0001502D">
        <w:rPr>
          <w:rFonts w:ascii="Arial" w:hAnsi="Arial" w:cs="Arial"/>
          <w:sz w:val="22"/>
          <w:szCs w:val="22"/>
          <w:lang w:eastAsia="ko-KR"/>
        </w:rPr>
        <w:t xml:space="preserve"> que, d</w:t>
      </w:r>
      <w:r w:rsidR="009C104E">
        <w:rPr>
          <w:rFonts w:ascii="Arial" w:hAnsi="Arial" w:cs="Arial"/>
          <w:sz w:val="22"/>
          <w:szCs w:val="22"/>
          <w:lang w:eastAsia="ko-KR"/>
        </w:rPr>
        <w:t>’</w:t>
      </w:r>
      <w:r w:rsidRPr="0001502D">
        <w:rPr>
          <w:rFonts w:ascii="Arial" w:hAnsi="Arial" w:cs="Arial"/>
          <w:sz w:val="22"/>
          <w:szCs w:val="22"/>
          <w:lang w:eastAsia="ko-KR"/>
        </w:rPr>
        <w:t>après les informations contenues dans le dossier, la candidature satisfait aux critères d</w:t>
      </w:r>
      <w:r w:rsidR="009C104E">
        <w:rPr>
          <w:rFonts w:ascii="Arial" w:hAnsi="Arial" w:cs="Arial"/>
          <w:sz w:val="22"/>
          <w:szCs w:val="22"/>
          <w:lang w:eastAsia="ko-KR"/>
        </w:rPr>
        <w:t>’</w:t>
      </w:r>
      <w:r w:rsidRPr="0001502D">
        <w:rPr>
          <w:rFonts w:ascii="Arial" w:hAnsi="Arial" w:cs="Arial"/>
          <w:sz w:val="22"/>
          <w:szCs w:val="22"/>
          <w:lang w:eastAsia="ko-KR"/>
        </w:rPr>
        <w:t>inscription sur la Liste représentative du patrimoine culturel immatériel de l</w:t>
      </w:r>
      <w:r w:rsidR="009C104E">
        <w:rPr>
          <w:rFonts w:ascii="Arial" w:hAnsi="Arial" w:cs="Arial"/>
          <w:sz w:val="22"/>
          <w:szCs w:val="22"/>
          <w:lang w:eastAsia="ko-KR"/>
        </w:rPr>
        <w:t>’</w:t>
      </w:r>
      <w:r w:rsidRPr="0001502D">
        <w:rPr>
          <w:rFonts w:ascii="Arial" w:hAnsi="Arial" w:cs="Arial"/>
          <w:sz w:val="22"/>
          <w:szCs w:val="22"/>
          <w:lang w:eastAsia="ko-KR"/>
        </w:rPr>
        <w:t>humanité comme suit :</w:t>
      </w:r>
    </w:p>
    <w:p w14:paraId="012A828E" w14:textId="5BB002C5" w:rsidR="0001502D" w:rsidRPr="0001502D" w:rsidRDefault="0001502D" w:rsidP="001047B4">
      <w:pPr>
        <w:tabs>
          <w:tab w:val="left" w:pos="1134"/>
          <w:tab w:val="left" w:pos="2268"/>
        </w:tabs>
        <w:spacing w:before="120" w:after="120"/>
        <w:ind w:left="1134" w:hanging="567"/>
        <w:jc w:val="both"/>
        <w:rPr>
          <w:rFonts w:ascii="Arial" w:hAnsi="Arial" w:cs="Arial"/>
          <w:sz w:val="22"/>
          <w:szCs w:val="22"/>
        </w:rPr>
      </w:pPr>
      <w:r w:rsidRPr="0001502D">
        <w:rPr>
          <w:rFonts w:ascii="Arial" w:hAnsi="Arial" w:cs="Arial"/>
          <w:sz w:val="22"/>
          <w:szCs w:val="22"/>
        </w:rPr>
        <w:t xml:space="preserve">R.1 : </w:t>
      </w:r>
      <w:r w:rsidRPr="0001502D">
        <w:rPr>
          <w:rFonts w:ascii="Arial" w:hAnsi="Arial" w:cs="Arial"/>
          <w:sz w:val="22"/>
          <w:szCs w:val="22"/>
        </w:rPr>
        <w:tab/>
        <w:t xml:space="preserve">Le </w:t>
      </w:r>
      <w:r w:rsidR="009C104E">
        <w:rPr>
          <w:rFonts w:ascii="Arial" w:hAnsi="Arial" w:cs="Arial"/>
          <w:sz w:val="22"/>
          <w:szCs w:val="22"/>
        </w:rPr>
        <w:t>‘</w:t>
      </w:r>
      <w:r w:rsidRPr="0001502D">
        <w:rPr>
          <w:rFonts w:ascii="Arial" w:hAnsi="Arial" w:cs="Arial"/>
          <w:sz w:val="22"/>
          <w:szCs w:val="22"/>
        </w:rPr>
        <w:t>ie Samoa est un élément de patrimoine culturel unificateur pour le peuple samoan. Il véhicule un message de respect, de paix, de reconnaissance, d</w:t>
      </w:r>
      <w:r w:rsidR="009C104E">
        <w:rPr>
          <w:rFonts w:ascii="Arial" w:hAnsi="Arial" w:cs="Arial"/>
          <w:sz w:val="22"/>
          <w:szCs w:val="22"/>
        </w:rPr>
        <w:t>’</w:t>
      </w:r>
      <w:r w:rsidRPr="0001502D">
        <w:rPr>
          <w:rFonts w:ascii="Arial" w:hAnsi="Arial" w:cs="Arial"/>
          <w:sz w:val="22"/>
          <w:szCs w:val="22"/>
        </w:rPr>
        <w:t>honneur et d</w:t>
      </w:r>
      <w:r w:rsidR="009C104E">
        <w:rPr>
          <w:rFonts w:ascii="Arial" w:hAnsi="Arial" w:cs="Arial"/>
          <w:sz w:val="22"/>
          <w:szCs w:val="22"/>
        </w:rPr>
        <w:t>’</w:t>
      </w:r>
      <w:r w:rsidRPr="0001502D">
        <w:rPr>
          <w:rFonts w:ascii="Arial" w:hAnsi="Arial" w:cs="Arial"/>
          <w:sz w:val="22"/>
          <w:szCs w:val="22"/>
        </w:rPr>
        <w:t xml:space="preserve">unité. La population du pays reconnaît le </w:t>
      </w:r>
      <w:r w:rsidR="009C104E">
        <w:rPr>
          <w:rFonts w:ascii="Arial" w:hAnsi="Arial" w:cs="Arial"/>
          <w:sz w:val="22"/>
          <w:szCs w:val="22"/>
        </w:rPr>
        <w:t>‘</w:t>
      </w:r>
      <w:r w:rsidRPr="0001502D">
        <w:rPr>
          <w:rFonts w:ascii="Arial" w:hAnsi="Arial" w:cs="Arial"/>
          <w:sz w:val="22"/>
          <w:szCs w:val="22"/>
        </w:rPr>
        <w:t>ie Samoa comme faisant partie de son patrimoine culturel et l</w:t>
      </w:r>
      <w:r w:rsidR="009C104E">
        <w:rPr>
          <w:rFonts w:ascii="Arial" w:hAnsi="Arial" w:cs="Arial"/>
          <w:sz w:val="22"/>
          <w:szCs w:val="22"/>
        </w:rPr>
        <w:t>’</w:t>
      </w:r>
      <w:r w:rsidRPr="0001502D">
        <w:rPr>
          <w:rFonts w:ascii="Arial" w:hAnsi="Arial" w:cs="Arial"/>
          <w:sz w:val="22"/>
          <w:szCs w:val="22"/>
        </w:rPr>
        <w:t>élément intègre tous les membres de la communauté, depuis sa production jusqu</w:t>
      </w:r>
      <w:r w:rsidR="009C104E">
        <w:rPr>
          <w:rFonts w:ascii="Arial" w:hAnsi="Arial" w:cs="Arial"/>
          <w:sz w:val="22"/>
          <w:szCs w:val="22"/>
        </w:rPr>
        <w:t>’</w:t>
      </w:r>
      <w:r w:rsidRPr="0001502D">
        <w:rPr>
          <w:rFonts w:ascii="Arial" w:hAnsi="Arial" w:cs="Arial"/>
          <w:sz w:val="22"/>
          <w:szCs w:val="22"/>
        </w:rPr>
        <w:t>à son échange lors des cérémonies. Les connaissances et les savoir-faire associés au tissage des nattes fines et à leur échange lors des cérémonies se transmettent par l</w:t>
      </w:r>
      <w:r w:rsidR="009C104E">
        <w:rPr>
          <w:rFonts w:ascii="Arial" w:hAnsi="Arial" w:cs="Arial"/>
          <w:sz w:val="22"/>
          <w:szCs w:val="22"/>
        </w:rPr>
        <w:t>’</w:t>
      </w:r>
      <w:r w:rsidRPr="0001502D">
        <w:rPr>
          <w:rFonts w:ascii="Arial" w:hAnsi="Arial" w:cs="Arial"/>
          <w:sz w:val="22"/>
          <w:szCs w:val="22"/>
        </w:rPr>
        <w:t>observation et la pratique. L</w:t>
      </w:r>
      <w:r w:rsidR="009C104E">
        <w:rPr>
          <w:rFonts w:ascii="Arial" w:hAnsi="Arial" w:cs="Arial"/>
          <w:sz w:val="22"/>
          <w:szCs w:val="22"/>
        </w:rPr>
        <w:t>’</w:t>
      </w:r>
      <w:r w:rsidRPr="0001502D">
        <w:rPr>
          <w:rFonts w:ascii="Arial" w:hAnsi="Arial" w:cs="Arial"/>
          <w:sz w:val="22"/>
          <w:szCs w:val="22"/>
        </w:rPr>
        <w:t xml:space="preserve">échange du </w:t>
      </w:r>
      <w:r w:rsidR="009C104E">
        <w:rPr>
          <w:rFonts w:ascii="Arial" w:hAnsi="Arial" w:cs="Arial"/>
          <w:sz w:val="22"/>
          <w:szCs w:val="22"/>
        </w:rPr>
        <w:t>‘</w:t>
      </w:r>
      <w:r w:rsidRPr="0001502D">
        <w:rPr>
          <w:rFonts w:ascii="Arial" w:hAnsi="Arial" w:cs="Arial"/>
          <w:sz w:val="22"/>
          <w:szCs w:val="22"/>
        </w:rPr>
        <w:t>ie Samoa témoigne du respect et de l</w:t>
      </w:r>
      <w:r w:rsidR="009C104E">
        <w:rPr>
          <w:rFonts w:ascii="Arial" w:hAnsi="Arial" w:cs="Arial"/>
          <w:sz w:val="22"/>
          <w:szCs w:val="22"/>
        </w:rPr>
        <w:t>’</w:t>
      </w:r>
      <w:r w:rsidRPr="0001502D">
        <w:rPr>
          <w:rFonts w:ascii="Arial" w:hAnsi="Arial" w:cs="Arial"/>
          <w:sz w:val="22"/>
          <w:szCs w:val="22"/>
        </w:rPr>
        <w:t>appréciation des personnes entre elles, ce qui crée une coexistence pacifique.</w:t>
      </w:r>
    </w:p>
    <w:p w14:paraId="56DF435F" w14:textId="38F99D4F" w:rsidR="0001502D" w:rsidRPr="0001502D" w:rsidRDefault="0001502D" w:rsidP="001047B4">
      <w:pPr>
        <w:tabs>
          <w:tab w:val="left" w:pos="1134"/>
          <w:tab w:val="left" w:pos="2268"/>
        </w:tabs>
        <w:spacing w:before="120" w:after="120"/>
        <w:ind w:left="1134" w:hanging="567"/>
        <w:jc w:val="both"/>
        <w:rPr>
          <w:rFonts w:ascii="Arial" w:hAnsi="Arial" w:cs="Arial"/>
          <w:sz w:val="22"/>
          <w:szCs w:val="22"/>
        </w:rPr>
      </w:pPr>
      <w:r w:rsidRPr="0001502D">
        <w:rPr>
          <w:rFonts w:ascii="Arial" w:hAnsi="Arial" w:cs="Arial"/>
          <w:sz w:val="22"/>
          <w:szCs w:val="22"/>
        </w:rPr>
        <w:t>R.2 :</w:t>
      </w:r>
      <w:r w:rsidRPr="0001502D">
        <w:rPr>
          <w:rFonts w:ascii="Arial" w:hAnsi="Arial" w:cs="Arial"/>
          <w:sz w:val="22"/>
          <w:szCs w:val="22"/>
        </w:rPr>
        <w:tab/>
        <w:t>L</w:t>
      </w:r>
      <w:r w:rsidR="009C104E">
        <w:rPr>
          <w:rFonts w:ascii="Arial" w:hAnsi="Arial" w:cs="Arial"/>
          <w:sz w:val="22"/>
          <w:szCs w:val="22"/>
        </w:rPr>
        <w:t>’</w:t>
      </w:r>
      <w:r w:rsidRPr="0001502D">
        <w:rPr>
          <w:rFonts w:ascii="Arial" w:hAnsi="Arial" w:cs="Arial"/>
          <w:sz w:val="22"/>
          <w:szCs w:val="22"/>
        </w:rPr>
        <w:t xml:space="preserve">inscription du </w:t>
      </w:r>
      <w:r w:rsidR="009C104E">
        <w:rPr>
          <w:rFonts w:ascii="Arial" w:hAnsi="Arial" w:cs="Arial"/>
          <w:sz w:val="22"/>
          <w:szCs w:val="22"/>
        </w:rPr>
        <w:t>‘</w:t>
      </w:r>
      <w:r w:rsidRPr="0001502D">
        <w:rPr>
          <w:rFonts w:ascii="Arial" w:hAnsi="Arial" w:cs="Arial"/>
          <w:sz w:val="22"/>
          <w:szCs w:val="22"/>
        </w:rPr>
        <w:t>ie Samoa, ou natte fine, et sa valeur culturelle contribuerait à promouvoir la visibilité des éléments du patrimoine culturel immatériel basés sur les connaissances et les pratiques locales. Elle sensibiliserait également au niveau mondial au rôle des femmes dans la pratique, la transmission et la sauvegarde du patrimoine culturel immatériel. En outre, l</w:t>
      </w:r>
      <w:r w:rsidR="009C104E">
        <w:rPr>
          <w:rFonts w:ascii="Arial" w:hAnsi="Arial" w:cs="Arial"/>
          <w:sz w:val="22"/>
          <w:szCs w:val="22"/>
        </w:rPr>
        <w:t>’</w:t>
      </w:r>
      <w:r w:rsidRPr="0001502D">
        <w:rPr>
          <w:rFonts w:ascii="Arial" w:hAnsi="Arial" w:cs="Arial"/>
          <w:sz w:val="22"/>
          <w:szCs w:val="22"/>
        </w:rPr>
        <w:t>inscription renforcerait les interactions des Samoans entre eux et encouragerait le dialogue et la cohésion à travers la reconnaissance et le respect de leur patrimoine culturel immatériel.</w:t>
      </w:r>
    </w:p>
    <w:p w14:paraId="4E287FC9" w14:textId="211E5137" w:rsidR="0001502D" w:rsidRPr="0001502D" w:rsidRDefault="0001502D" w:rsidP="001047B4">
      <w:pPr>
        <w:tabs>
          <w:tab w:val="left" w:pos="1134"/>
          <w:tab w:val="left" w:pos="2268"/>
        </w:tabs>
        <w:spacing w:before="120" w:after="120"/>
        <w:ind w:left="1134" w:hanging="567"/>
        <w:jc w:val="both"/>
        <w:rPr>
          <w:rFonts w:ascii="Arial" w:hAnsi="Arial" w:cs="Arial"/>
          <w:sz w:val="22"/>
          <w:szCs w:val="22"/>
        </w:rPr>
      </w:pPr>
      <w:r w:rsidRPr="0001502D">
        <w:rPr>
          <w:rFonts w:ascii="Arial" w:hAnsi="Arial" w:cs="Arial"/>
          <w:sz w:val="22"/>
          <w:szCs w:val="22"/>
        </w:rPr>
        <w:t xml:space="preserve">R.4 : </w:t>
      </w:r>
      <w:r w:rsidRPr="0001502D">
        <w:rPr>
          <w:rFonts w:ascii="Arial" w:hAnsi="Arial" w:cs="Arial"/>
          <w:sz w:val="22"/>
          <w:szCs w:val="22"/>
        </w:rPr>
        <w:tab/>
        <w:t>L</w:t>
      </w:r>
      <w:r w:rsidR="009C104E">
        <w:rPr>
          <w:rFonts w:ascii="Arial" w:hAnsi="Arial" w:cs="Arial"/>
          <w:sz w:val="22"/>
          <w:szCs w:val="22"/>
        </w:rPr>
        <w:t>’</w:t>
      </w:r>
      <w:r w:rsidRPr="0001502D">
        <w:rPr>
          <w:rFonts w:ascii="Arial" w:hAnsi="Arial" w:cs="Arial"/>
          <w:sz w:val="22"/>
          <w:szCs w:val="22"/>
        </w:rPr>
        <w:t>initiative de proposer la candidature de l</w:t>
      </w:r>
      <w:r w:rsidR="009C104E">
        <w:rPr>
          <w:rFonts w:ascii="Arial" w:hAnsi="Arial" w:cs="Arial"/>
          <w:sz w:val="22"/>
          <w:szCs w:val="22"/>
        </w:rPr>
        <w:t>’</w:t>
      </w:r>
      <w:r w:rsidRPr="0001502D">
        <w:rPr>
          <w:rFonts w:ascii="Arial" w:hAnsi="Arial" w:cs="Arial"/>
          <w:sz w:val="22"/>
          <w:szCs w:val="22"/>
        </w:rPr>
        <w:t>élément en vue de son inscription sur la Liste représentative est venue des tisseurs de cette forme d</w:t>
      </w:r>
      <w:r w:rsidR="009C104E">
        <w:rPr>
          <w:rFonts w:ascii="Arial" w:hAnsi="Arial" w:cs="Arial"/>
          <w:sz w:val="22"/>
          <w:szCs w:val="22"/>
        </w:rPr>
        <w:t>’</w:t>
      </w:r>
      <w:r w:rsidRPr="0001502D">
        <w:rPr>
          <w:rFonts w:ascii="Arial" w:hAnsi="Arial" w:cs="Arial"/>
          <w:sz w:val="22"/>
          <w:szCs w:val="22"/>
        </w:rPr>
        <w:t>art traditionnel et d</w:t>
      </w:r>
      <w:r w:rsidR="009C104E">
        <w:rPr>
          <w:rFonts w:ascii="Arial" w:hAnsi="Arial" w:cs="Arial"/>
          <w:sz w:val="22"/>
          <w:szCs w:val="22"/>
        </w:rPr>
        <w:t>’</w:t>
      </w:r>
      <w:r w:rsidRPr="0001502D">
        <w:rPr>
          <w:rFonts w:ascii="Arial" w:hAnsi="Arial" w:cs="Arial"/>
          <w:sz w:val="22"/>
          <w:szCs w:val="22"/>
        </w:rPr>
        <w:t xml:space="preserve">autres membres de la communauté lors de consultations publiques. Les tisseuses et les représentants de la communauté des tisseurs de leur village ont donné leur consentement libre, préalable et éclairé dans des formulaires de consentement signés autorisant la candidature du </w:t>
      </w:r>
      <w:r w:rsidR="009C104E">
        <w:rPr>
          <w:rFonts w:ascii="Arial" w:hAnsi="Arial" w:cs="Arial"/>
          <w:sz w:val="22"/>
          <w:szCs w:val="22"/>
        </w:rPr>
        <w:t>‘</w:t>
      </w:r>
      <w:r w:rsidRPr="0001502D">
        <w:rPr>
          <w:rFonts w:ascii="Arial" w:hAnsi="Arial" w:cs="Arial"/>
          <w:sz w:val="22"/>
          <w:szCs w:val="22"/>
        </w:rPr>
        <w:t>ie Samoa en vue d</w:t>
      </w:r>
      <w:r w:rsidR="009C104E">
        <w:rPr>
          <w:rFonts w:ascii="Arial" w:hAnsi="Arial" w:cs="Arial"/>
          <w:sz w:val="22"/>
          <w:szCs w:val="22"/>
        </w:rPr>
        <w:t>’</w:t>
      </w:r>
      <w:r w:rsidRPr="0001502D">
        <w:rPr>
          <w:rFonts w:ascii="Arial" w:hAnsi="Arial" w:cs="Arial"/>
          <w:sz w:val="22"/>
          <w:szCs w:val="22"/>
        </w:rPr>
        <w:t>une possible inscription sur la Liste représentative. Cela a été fait à l</w:t>
      </w:r>
      <w:r w:rsidR="009C104E">
        <w:rPr>
          <w:rFonts w:ascii="Arial" w:hAnsi="Arial" w:cs="Arial"/>
          <w:sz w:val="22"/>
          <w:szCs w:val="22"/>
        </w:rPr>
        <w:t>’</w:t>
      </w:r>
      <w:r w:rsidRPr="0001502D">
        <w:rPr>
          <w:rFonts w:ascii="Arial" w:hAnsi="Arial" w:cs="Arial"/>
          <w:sz w:val="22"/>
          <w:szCs w:val="22"/>
        </w:rPr>
        <w:t>issue de la consultation nationale organisée par le Ministère de l</w:t>
      </w:r>
      <w:r w:rsidR="009C104E">
        <w:rPr>
          <w:rFonts w:ascii="Arial" w:hAnsi="Arial" w:cs="Arial"/>
          <w:sz w:val="22"/>
          <w:szCs w:val="22"/>
        </w:rPr>
        <w:t>’</w:t>
      </w:r>
      <w:r w:rsidRPr="0001502D">
        <w:rPr>
          <w:rFonts w:ascii="Arial" w:hAnsi="Arial" w:cs="Arial"/>
          <w:sz w:val="22"/>
          <w:szCs w:val="22"/>
        </w:rPr>
        <w:t>éducation, des sports et de la culture et des représentants de l</w:t>
      </w:r>
      <w:r w:rsidR="009C104E">
        <w:rPr>
          <w:rFonts w:ascii="Arial" w:hAnsi="Arial" w:cs="Arial"/>
          <w:sz w:val="22"/>
          <w:szCs w:val="22"/>
        </w:rPr>
        <w:t>’</w:t>
      </w:r>
      <w:r w:rsidRPr="0001502D">
        <w:rPr>
          <w:rFonts w:ascii="Arial" w:hAnsi="Arial" w:cs="Arial"/>
          <w:sz w:val="22"/>
          <w:szCs w:val="22"/>
        </w:rPr>
        <w:t>UNESCO.</w:t>
      </w:r>
    </w:p>
    <w:p w14:paraId="02BB1305" w14:textId="1B5114F5" w:rsidR="0001502D" w:rsidRPr="0001502D" w:rsidRDefault="0001502D" w:rsidP="001047B4">
      <w:pPr>
        <w:tabs>
          <w:tab w:val="left" w:pos="1134"/>
          <w:tab w:val="left" w:pos="2268"/>
        </w:tabs>
        <w:spacing w:before="120" w:after="120"/>
        <w:ind w:left="1134" w:hanging="567"/>
        <w:jc w:val="both"/>
        <w:rPr>
          <w:rFonts w:ascii="Arial" w:hAnsi="Arial" w:cs="Arial"/>
          <w:sz w:val="22"/>
          <w:szCs w:val="22"/>
        </w:rPr>
      </w:pPr>
      <w:r w:rsidRPr="0001502D">
        <w:rPr>
          <w:rFonts w:ascii="Arial" w:hAnsi="Arial" w:cs="Arial"/>
          <w:sz w:val="22"/>
          <w:szCs w:val="22"/>
        </w:rPr>
        <w:t xml:space="preserve">R.5 : </w:t>
      </w:r>
      <w:r w:rsidRPr="0001502D">
        <w:rPr>
          <w:rFonts w:ascii="Arial" w:hAnsi="Arial" w:cs="Arial"/>
          <w:sz w:val="22"/>
          <w:szCs w:val="22"/>
        </w:rPr>
        <w:tab/>
        <w:t xml:space="preserve">Le </w:t>
      </w:r>
      <w:r w:rsidR="009C104E">
        <w:rPr>
          <w:rFonts w:ascii="Arial" w:hAnsi="Arial" w:cs="Arial"/>
          <w:sz w:val="22"/>
          <w:szCs w:val="22"/>
        </w:rPr>
        <w:t>‘</w:t>
      </w:r>
      <w:r w:rsidRPr="0001502D">
        <w:rPr>
          <w:rFonts w:ascii="Arial" w:hAnsi="Arial" w:cs="Arial"/>
          <w:sz w:val="22"/>
          <w:szCs w:val="22"/>
        </w:rPr>
        <w:t>ie Samoa fait partie de la Base de données du patrimoine culturel immatériel de Samoa depuis 2018. Le Ministère de l</w:t>
      </w:r>
      <w:r w:rsidR="009C104E">
        <w:rPr>
          <w:rFonts w:ascii="Arial" w:hAnsi="Arial" w:cs="Arial"/>
          <w:sz w:val="22"/>
          <w:szCs w:val="22"/>
        </w:rPr>
        <w:t>’</w:t>
      </w:r>
      <w:r w:rsidRPr="0001502D">
        <w:rPr>
          <w:rFonts w:ascii="Arial" w:hAnsi="Arial" w:cs="Arial"/>
          <w:sz w:val="22"/>
          <w:szCs w:val="22"/>
        </w:rPr>
        <w:t>éducation, des sports et de la culture est l</w:t>
      </w:r>
      <w:r w:rsidR="009C104E">
        <w:rPr>
          <w:rFonts w:ascii="Arial" w:hAnsi="Arial" w:cs="Arial"/>
          <w:sz w:val="22"/>
          <w:szCs w:val="22"/>
        </w:rPr>
        <w:t>’</w:t>
      </w:r>
      <w:r w:rsidRPr="0001502D">
        <w:rPr>
          <w:rFonts w:ascii="Arial" w:hAnsi="Arial" w:cs="Arial"/>
          <w:sz w:val="22"/>
          <w:szCs w:val="22"/>
        </w:rPr>
        <w:t>organisme responsable de la gestion et de la mise à jour de l</w:t>
      </w:r>
      <w:r w:rsidR="009C104E">
        <w:rPr>
          <w:rFonts w:ascii="Arial" w:hAnsi="Arial" w:cs="Arial"/>
          <w:sz w:val="22"/>
          <w:szCs w:val="22"/>
        </w:rPr>
        <w:t>’</w:t>
      </w:r>
      <w:r w:rsidRPr="0001502D">
        <w:rPr>
          <w:rFonts w:ascii="Arial" w:hAnsi="Arial" w:cs="Arial"/>
          <w:sz w:val="22"/>
          <w:szCs w:val="22"/>
        </w:rPr>
        <w:t xml:space="preserve">inventaire, en coopération avec les communautés concernées et les autres parties prenantes. Le </w:t>
      </w:r>
      <w:r w:rsidR="009C104E">
        <w:rPr>
          <w:rFonts w:ascii="Arial" w:hAnsi="Arial" w:cs="Arial"/>
          <w:sz w:val="22"/>
          <w:szCs w:val="22"/>
        </w:rPr>
        <w:t>‘</w:t>
      </w:r>
      <w:r w:rsidRPr="0001502D">
        <w:rPr>
          <w:rFonts w:ascii="Arial" w:hAnsi="Arial" w:cs="Arial"/>
          <w:sz w:val="22"/>
          <w:szCs w:val="22"/>
        </w:rPr>
        <w:t>ie Samoa a été identifié et défini par les communautés elles-mêmes, et choisi comme premier élément à être inclus dans un inventaire en raison de sa viabilité à long terme et de son importance absolue pour la communauté samoane.</w:t>
      </w:r>
    </w:p>
    <w:p w14:paraId="5DD567DA" w14:textId="2590D369" w:rsidR="0001502D" w:rsidRPr="0001502D" w:rsidRDefault="0001502D" w:rsidP="00771F30">
      <w:pPr>
        <w:keepNext/>
        <w:numPr>
          <w:ilvl w:val="1"/>
          <w:numId w:val="27"/>
        </w:numPr>
        <w:tabs>
          <w:tab w:val="left" w:pos="567"/>
          <w:tab w:val="left" w:pos="1701"/>
          <w:tab w:val="left" w:pos="2268"/>
        </w:tabs>
        <w:spacing w:before="120" w:after="120"/>
        <w:jc w:val="both"/>
        <w:rPr>
          <w:rFonts w:ascii="Arial" w:hAnsi="Arial" w:cs="Arial"/>
          <w:sz w:val="22"/>
          <w:szCs w:val="22"/>
          <w:lang w:eastAsia="ko-KR"/>
        </w:rPr>
      </w:pPr>
      <w:r w:rsidRPr="0001502D">
        <w:rPr>
          <w:rFonts w:ascii="Arial" w:hAnsi="Arial" w:cs="Arial"/>
          <w:sz w:val="22"/>
          <w:szCs w:val="22"/>
          <w:u w:val="single"/>
          <w:lang w:eastAsia="ko-KR"/>
        </w:rPr>
        <w:t>Estime en outre</w:t>
      </w:r>
      <w:r w:rsidRPr="0001502D">
        <w:rPr>
          <w:rFonts w:ascii="Arial" w:hAnsi="Arial" w:cs="Arial"/>
          <w:sz w:val="22"/>
          <w:szCs w:val="22"/>
          <w:lang w:eastAsia="ko-KR"/>
        </w:rPr>
        <w:t xml:space="preserve"> que les informations contenues dans le dossier n</w:t>
      </w:r>
      <w:r w:rsidR="009C104E">
        <w:rPr>
          <w:rFonts w:ascii="Arial" w:hAnsi="Arial" w:cs="Arial"/>
          <w:sz w:val="22"/>
          <w:szCs w:val="22"/>
          <w:lang w:eastAsia="ko-KR"/>
        </w:rPr>
        <w:t>’</w:t>
      </w:r>
      <w:r w:rsidRPr="0001502D">
        <w:rPr>
          <w:rFonts w:ascii="Arial" w:hAnsi="Arial" w:cs="Arial"/>
          <w:sz w:val="22"/>
          <w:szCs w:val="22"/>
          <w:lang w:eastAsia="ko-KR"/>
        </w:rPr>
        <w:t>étaient pas suffisantes pour permettre au Comité de déterminer si le critère d</w:t>
      </w:r>
      <w:r w:rsidR="009C104E">
        <w:rPr>
          <w:rFonts w:ascii="Arial" w:hAnsi="Arial" w:cs="Arial"/>
          <w:sz w:val="22"/>
          <w:szCs w:val="22"/>
          <w:lang w:eastAsia="ko-KR"/>
        </w:rPr>
        <w:t>’</w:t>
      </w:r>
      <w:r w:rsidRPr="0001502D">
        <w:rPr>
          <w:rFonts w:ascii="Arial" w:hAnsi="Arial" w:cs="Arial"/>
          <w:sz w:val="22"/>
          <w:szCs w:val="22"/>
          <w:lang w:eastAsia="ko-KR"/>
        </w:rPr>
        <w:t>inscription sur la Liste représentative du patrimoine culturel immatériel de l</w:t>
      </w:r>
      <w:r w:rsidR="009C104E">
        <w:rPr>
          <w:rFonts w:ascii="Arial" w:hAnsi="Arial" w:cs="Arial"/>
          <w:sz w:val="22"/>
          <w:szCs w:val="22"/>
          <w:lang w:eastAsia="ko-KR"/>
        </w:rPr>
        <w:t>’</w:t>
      </w:r>
      <w:r w:rsidRPr="0001502D">
        <w:rPr>
          <w:rFonts w:ascii="Arial" w:hAnsi="Arial" w:cs="Arial"/>
          <w:sz w:val="22"/>
          <w:szCs w:val="22"/>
          <w:lang w:eastAsia="ko-KR"/>
        </w:rPr>
        <w:t>humanité suivant est satisfait :</w:t>
      </w:r>
    </w:p>
    <w:p w14:paraId="5EFE0983" w14:textId="393ED272" w:rsidR="0001502D" w:rsidRPr="0001502D" w:rsidRDefault="0001502D" w:rsidP="001047B4">
      <w:pPr>
        <w:tabs>
          <w:tab w:val="left" w:pos="1134"/>
          <w:tab w:val="left" w:pos="2268"/>
        </w:tabs>
        <w:spacing w:before="120" w:after="120"/>
        <w:ind w:left="1134" w:hanging="555"/>
        <w:jc w:val="both"/>
        <w:rPr>
          <w:rFonts w:ascii="Arial" w:hAnsi="Arial" w:cs="Arial"/>
          <w:sz w:val="22"/>
          <w:szCs w:val="22"/>
        </w:rPr>
      </w:pPr>
      <w:r w:rsidRPr="0001502D">
        <w:rPr>
          <w:rFonts w:ascii="Arial" w:hAnsi="Arial" w:cs="Arial"/>
          <w:sz w:val="22"/>
          <w:szCs w:val="22"/>
        </w:rPr>
        <w:t xml:space="preserve">R.3 : </w:t>
      </w:r>
      <w:r w:rsidRPr="0001502D">
        <w:rPr>
          <w:rFonts w:ascii="Arial" w:hAnsi="Arial" w:cs="Arial"/>
          <w:sz w:val="22"/>
          <w:szCs w:val="22"/>
        </w:rPr>
        <w:tab/>
        <w:t>Les mesures de sauvegarde proposées incluent la promotion, l</w:t>
      </w:r>
      <w:r w:rsidR="009C104E">
        <w:rPr>
          <w:rFonts w:ascii="Arial" w:hAnsi="Arial" w:cs="Arial"/>
          <w:sz w:val="22"/>
          <w:szCs w:val="22"/>
        </w:rPr>
        <w:t>’</w:t>
      </w:r>
      <w:r w:rsidRPr="0001502D">
        <w:rPr>
          <w:rFonts w:ascii="Arial" w:hAnsi="Arial" w:cs="Arial"/>
          <w:sz w:val="22"/>
          <w:szCs w:val="22"/>
        </w:rPr>
        <w:t>exposition et le soutien aux tisseurs et à leurs produits. Cependant, les informations concernant la participation des communautés dans la planification des mesures de sauvegarde ne sont pas claires. En outre, l</w:t>
      </w:r>
      <w:r w:rsidR="009C104E">
        <w:rPr>
          <w:rFonts w:ascii="Arial" w:hAnsi="Arial" w:cs="Arial"/>
          <w:sz w:val="22"/>
          <w:szCs w:val="22"/>
        </w:rPr>
        <w:t>’</w:t>
      </w:r>
      <w:r w:rsidRPr="0001502D">
        <w:rPr>
          <w:rFonts w:ascii="Arial" w:hAnsi="Arial" w:cs="Arial"/>
          <w:sz w:val="22"/>
          <w:szCs w:val="22"/>
        </w:rPr>
        <w:t>accent semble être mis davantage sur la valeur commerciale de l</w:t>
      </w:r>
      <w:r w:rsidR="009C104E">
        <w:rPr>
          <w:rFonts w:ascii="Arial" w:hAnsi="Arial" w:cs="Arial"/>
          <w:sz w:val="22"/>
          <w:szCs w:val="22"/>
        </w:rPr>
        <w:t>’</w:t>
      </w:r>
      <w:r w:rsidRPr="0001502D">
        <w:rPr>
          <w:rFonts w:ascii="Arial" w:hAnsi="Arial" w:cs="Arial"/>
          <w:sz w:val="22"/>
          <w:szCs w:val="22"/>
        </w:rPr>
        <w:t>élément plutôt que sur la sauvegarde de ses fonctions sociales et de ses significations culturelles.</w:t>
      </w:r>
    </w:p>
    <w:p w14:paraId="52BFC5F9" w14:textId="26DC3F7F" w:rsidR="0001502D" w:rsidRPr="0001502D" w:rsidRDefault="0001502D" w:rsidP="00771F30">
      <w:pPr>
        <w:keepNext/>
        <w:numPr>
          <w:ilvl w:val="1"/>
          <w:numId w:val="27"/>
        </w:numPr>
        <w:tabs>
          <w:tab w:val="left" w:pos="567"/>
          <w:tab w:val="left" w:pos="1701"/>
          <w:tab w:val="left" w:pos="2268"/>
        </w:tabs>
        <w:spacing w:before="120" w:after="120"/>
        <w:jc w:val="both"/>
        <w:rPr>
          <w:rFonts w:ascii="Arial" w:hAnsi="Arial" w:cs="Arial"/>
          <w:sz w:val="22"/>
          <w:szCs w:val="22"/>
          <w:lang w:eastAsia="ko-KR"/>
        </w:rPr>
      </w:pPr>
      <w:r w:rsidRPr="0001502D">
        <w:rPr>
          <w:rFonts w:ascii="Arial" w:hAnsi="Arial" w:cs="Arial"/>
          <w:sz w:val="22"/>
          <w:szCs w:val="22"/>
          <w:u w:val="single"/>
          <w:lang w:eastAsia="ko-KR"/>
        </w:rPr>
        <w:t>Prend note en outre</w:t>
      </w:r>
      <w:r w:rsidRPr="0001502D">
        <w:rPr>
          <w:rFonts w:ascii="Arial" w:hAnsi="Arial" w:cs="Arial"/>
          <w:sz w:val="22"/>
          <w:szCs w:val="22"/>
          <w:lang w:eastAsia="ko-KR"/>
        </w:rPr>
        <w:t xml:space="preserve"> que, ayant estimé que les informations contenues dans le dossier n</w:t>
      </w:r>
      <w:r w:rsidR="009C104E">
        <w:rPr>
          <w:rFonts w:ascii="Arial" w:hAnsi="Arial" w:cs="Arial"/>
          <w:sz w:val="22"/>
          <w:szCs w:val="22"/>
          <w:lang w:eastAsia="ko-KR"/>
        </w:rPr>
        <w:t>’</w:t>
      </w:r>
      <w:r w:rsidRPr="0001502D">
        <w:rPr>
          <w:rFonts w:ascii="Arial" w:hAnsi="Arial" w:cs="Arial"/>
          <w:sz w:val="22"/>
          <w:szCs w:val="22"/>
          <w:lang w:eastAsia="ko-KR"/>
        </w:rPr>
        <w:t>étaient pas suffisantes pour déterminer si le critère R.3 est satisfait et qu</w:t>
      </w:r>
      <w:r w:rsidR="009C104E">
        <w:rPr>
          <w:rFonts w:ascii="Arial" w:hAnsi="Arial" w:cs="Arial"/>
          <w:sz w:val="22"/>
          <w:szCs w:val="22"/>
          <w:lang w:eastAsia="ko-KR"/>
        </w:rPr>
        <w:t>’</w:t>
      </w:r>
      <w:r w:rsidRPr="0001502D">
        <w:rPr>
          <w:rFonts w:ascii="Arial" w:hAnsi="Arial" w:cs="Arial"/>
          <w:sz w:val="22"/>
          <w:szCs w:val="22"/>
          <w:lang w:eastAsia="ko-KR"/>
        </w:rPr>
        <w:t>un court processus de questions et réponses avec l</w:t>
      </w:r>
      <w:r w:rsidR="009C104E">
        <w:rPr>
          <w:rFonts w:ascii="Arial" w:hAnsi="Arial" w:cs="Arial"/>
          <w:sz w:val="22"/>
          <w:szCs w:val="22"/>
          <w:lang w:eastAsia="ko-KR"/>
        </w:rPr>
        <w:t>’</w:t>
      </w:r>
      <w:r w:rsidRPr="0001502D">
        <w:rPr>
          <w:rFonts w:ascii="Arial" w:hAnsi="Arial" w:cs="Arial"/>
          <w:sz w:val="22"/>
          <w:szCs w:val="22"/>
          <w:lang w:eastAsia="ko-KR"/>
        </w:rPr>
        <w:t>État soumissionnaire pourrait clarifier si la candidature remplit le critère concerné, l</w:t>
      </w:r>
      <w:r w:rsidR="009C104E">
        <w:rPr>
          <w:rFonts w:ascii="Arial" w:hAnsi="Arial" w:cs="Arial"/>
          <w:sz w:val="22"/>
          <w:szCs w:val="22"/>
          <w:lang w:eastAsia="ko-KR"/>
        </w:rPr>
        <w:t>’</w:t>
      </w:r>
      <w:r w:rsidRPr="0001502D">
        <w:rPr>
          <w:rFonts w:ascii="Arial" w:hAnsi="Arial" w:cs="Arial"/>
          <w:sz w:val="22"/>
          <w:szCs w:val="22"/>
          <w:lang w:eastAsia="ko-KR"/>
        </w:rPr>
        <w:t>Organe d</w:t>
      </w:r>
      <w:r w:rsidR="009C104E">
        <w:rPr>
          <w:rFonts w:ascii="Arial" w:hAnsi="Arial" w:cs="Arial"/>
          <w:sz w:val="22"/>
          <w:szCs w:val="22"/>
          <w:lang w:eastAsia="ko-KR"/>
        </w:rPr>
        <w:t>’</w:t>
      </w:r>
      <w:r w:rsidRPr="0001502D">
        <w:rPr>
          <w:rFonts w:ascii="Arial" w:hAnsi="Arial" w:cs="Arial"/>
          <w:sz w:val="22"/>
          <w:szCs w:val="22"/>
          <w:lang w:eastAsia="ko-KR"/>
        </w:rPr>
        <w:t xml:space="preserve">évaluation a décidé, conformément à la </w:t>
      </w:r>
      <w:hyperlink r:id="rId59" w:history="1">
        <w:r w:rsidRPr="0001502D">
          <w:rPr>
            <w:rFonts w:ascii="Arial" w:hAnsi="Arial" w:cs="Arial"/>
            <w:color w:val="0000FF" w:themeColor="hyperlink"/>
            <w:sz w:val="22"/>
            <w:szCs w:val="22"/>
            <w:u w:val="single"/>
            <w:lang w:eastAsia="ko-KR"/>
          </w:rPr>
          <w:t>décision 13.COM 10</w:t>
        </w:r>
      </w:hyperlink>
      <w:r w:rsidRPr="0001502D">
        <w:rPr>
          <w:rFonts w:ascii="Arial" w:hAnsi="Arial" w:cs="Arial"/>
          <w:sz w:val="22"/>
          <w:szCs w:val="22"/>
          <w:lang w:eastAsia="ko-KR"/>
        </w:rPr>
        <w:t>, d</w:t>
      </w:r>
      <w:r w:rsidR="009C104E">
        <w:rPr>
          <w:rFonts w:ascii="Arial" w:hAnsi="Arial" w:cs="Arial"/>
          <w:sz w:val="22"/>
          <w:szCs w:val="22"/>
          <w:lang w:eastAsia="ko-KR"/>
        </w:rPr>
        <w:t>’</w:t>
      </w:r>
      <w:r w:rsidRPr="0001502D">
        <w:rPr>
          <w:rFonts w:ascii="Arial" w:hAnsi="Arial" w:cs="Arial"/>
          <w:sz w:val="22"/>
          <w:szCs w:val="22"/>
          <w:lang w:eastAsia="ko-KR"/>
        </w:rPr>
        <w:t>engager un processus de « dialogue » afin d</w:t>
      </w:r>
      <w:r w:rsidR="009C104E">
        <w:rPr>
          <w:rFonts w:ascii="Arial" w:hAnsi="Arial" w:cs="Arial"/>
          <w:sz w:val="22"/>
          <w:szCs w:val="22"/>
          <w:lang w:eastAsia="ko-KR"/>
        </w:rPr>
        <w:t>’</w:t>
      </w:r>
      <w:r w:rsidRPr="0001502D">
        <w:rPr>
          <w:rFonts w:ascii="Arial" w:hAnsi="Arial" w:cs="Arial"/>
          <w:sz w:val="22"/>
          <w:szCs w:val="22"/>
          <w:lang w:eastAsia="ko-KR"/>
        </w:rPr>
        <w:t>obtenir des informations concernant la question suivante :</w:t>
      </w:r>
    </w:p>
    <w:p w14:paraId="221AC411" w14:textId="77777777" w:rsidR="0001502D" w:rsidRPr="0001502D" w:rsidRDefault="0001502D" w:rsidP="001047B4">
      <w:pPr>
        <w:tabs>
          <w:tab w:val="left" w:pos="567"/>
          <w:tab w:val="left" w:pos="1701"/>
          <w:tab w:val="left" w:pos="2268"/>
        </w:tabs>
        <w:spacing w:before="120" w:after="120"/>
        <w:ind w:left="567"/>
        <w:jc w:val="both"/>
        <w:rPr>
          <w:rFonts w:ascii="Arial" w:hAnsi="Arial" w:cs="Arial"/>
          <w:sz w:val="22"/>
          <w:szCs w:val="22"/>
          <w:lang w:eastAsia="ko-KR"/>
        </w:rPr>
      </w:pPr>
      <w:r w:rsidRPr="0001502D">
        <w:rPr>
          <w:rFonts w:ascii="Arial" w:hAnsi="Arial" w:cs="Arial"/>
          <w:sz w:val="22"/>
          <w:szCs w:val="22"/>
          <w:shd w:val="clear" w:color="auto" w:fill="FFFFFF"/>
          <w:lang w:eastAsia="ko-KR"/>
        </w:rPr>
        <w:t>Comment les communautés ont-elles participé à la planification des mesures de sauvegarde proposées ?</w:t>
      </w:r>
    </w:p>
    <w:p w14:paraId="77E07526" w14:textId="14F1950B" w:rsidR="0001502D" w:rsidRPr="0001502D" w:rsidRDefault="0001502D" w:rsidP="00771F30">
      <w:pPr>
        <w:keepNext/>
        <w:numPr>
          <w:ilvl w:val="1"/>
          <w:numId w:val="27"/>
        </w:numPr>
        <w:tabs>
          <w:tab w:val="left" w:pos="567"/>
          <w:tab w:val="left" w:pos="1701"/>
          <w:tab w:val="left" w:pos="2268"/>
        </w:tabs>
        <w:spacing w:before="120" w:after="120"/>
        <w:jc w:val="both"/>
        <w:rPr>
          <w:rFonts w:ascii="Arial" w:hAnsi="Arial" w:cs="Arial"/>
          <w:noProof/>
          <w:sz w:val="22"/>
          <w:szCs w:val="22"/>
          <w:lang w:eastAsia="ko-KR"/>
        </w:rPr>
      </w:pPr>
      <w:r w:rsidRPr="0001502D">
        <w:rPr>
          <w:rFonts w:ascii="Arial" w:hAnsi="Arial" w:cs="Arial"/>
          <w:sz w:val="22"/>
          <w:szCs w:val="22"/>
          <w:u w:val="single"/>
          <w:lang w:eastAsia="ko-KR"/>
        </w:rPr>
        <w:t>Prend note également</w:t>
      </w:r>
      <w:r w:rsidRPr="0001502D">
        <w:rPr>
          <w:rFonts w:ascii="Arial" w:hAnsi="Arial" w:cs="Arial"/>
          <w:sz w:val="22"/>
          <w:szCs w:val="22"/>
          <w:lang w:eastAsia="ko-KR"/>
        </w:rPr>
        <w:t xml:space="preserve"> des informations fournies à ce sujet par l</w:t>
      </w:r>
      <w:r w:rsidR="009C104E">
        <w:rPr>
          <w:rFonts w:ascii="Arial" w:hAnsi="Arial" w:cs="Arial"/>
          <w:sz w:val="22"/>
          <w:szCs w:val="22"/>
          <w:lang w:eastAsia="ko-KR"/>
        </w:rPr>
        <w:t>’</w:t>
      </w:r>
      <w:r w:rsidRPr="0001502D">
        <w:rPr>
          <w:rFonts w:ascii="Arial" w:hAnsi="Arial" w:cs="Arial"/>
          <w:sz w:val="22"/>
          <w:szCs w:val="22"/>
          <w:lang w:eastAsia="ko-KR"/>
        </w:rPr>
        <w:t>État soumissionnaire ainsi que de l</w:t>
      </w:r>
      <w:r w:rsidR="009C104E">
        <w:rPr>
          <w:rFonts w:ascii="Arial" w:hAnsi="Arial" w:cs="Arial"/>
          <w:sz w:val="22"/>
          <w:szCs w:val="22"/>
          <w:lang w:eastAsia="ko-KR"/>
        </w:rPr>
        <w:t>’</w:t>
      </w:r>
      <w:r w:rsidRPr="0001502D">
        <w:rPr>
          <w:rFonts w:ascii="Arial" w:hAnsi="Arial" w:cs="Arial"/>
          <w:sz w:val="22"/>
          <w:szCs w:val="22"/>
          <w:lang w:eastAsia="ko-KR"/>
        </w:rPr>
        <w:t>avis ultérieur de l</w:t>
      </w:r>
      <w:r w:rsidR="009C104E">
        <w:rPr>
          <w:rFonts w:ascii="Arial" w:hAnsi="Arial" w:cs="Arial"/>
          <w:sz w:val="22"/>
          <w:szCs w:val="22"/>
          <w:lang w:eastAsia="ko-KR"/>
        </w:rPr>
        <w:t>’</w:t>
      </w:r>
      <w:r w:rsidRPr="0001502D">
        <w:rPr>
          <w:rFonts w:ascii="Arial" w:hAnsi="Arial" w:cs="Arial"/>
          <w:sz w:val="22"/>
          <w:szCs w:val="22"/>
          <w:lang w:eastAsia="ko-KR"/>
        </w:rPr>
        <w:t>Organe d</w:t>
      </w:r>
      <w:r w:rsidR="009C104E">
        <w:rPr>
          <w:rFonts w:ascii="Arial" w:hAnsi="Arial" w:cs="Arial"/>
          <w:sz w:val="22"/>
          <w:szCs w:val="22"/>
          <w:lang w:eastAsia="ko-KR"/>
        </w:rPr>
        <w:t>’</w:t>
      </w:r>
      <w:r w:rsidRPr="0001502D">
        <w:rPr>
          <w:rFonts w:ascii="Arial" w:hAnsi="Arial" w:cs="Arial"/>
          <w:sz w:val="22"/>
          <w:szCs w:val="22"/>
          <w:lang w:eastAsia="ko-KR"/>
        </w:rPr>
        <w:t>évaluation, tel qu</w:t>
      </w:r>
      <w:r w:rsidR="009C104E">
        <w:rPr>
          <w:rFonts w:ascii="Arial" w:hAnsi="Arial" w:cs="Arial"/>
          <w:sz w:val="22"/>
          <w:szCs w:val="22"/>
          <w:lang w:eastAsia="ko-KR"/>
        </w:rPr>
        <w:t>’</w:t>
      </w:r>
      <w:r w:rsidRPr="0001502D">
        <w:rPr>
          <w:rFonts w:ascii="Arial" w:hAnsi="Arial" w:cs="Arial"/>
          <w:sz w:val="22"/>
          <w:szCs w:val="22"/>
          <w:lang w:eastAsia="ko-KR"/>
        </w:rPr>
        <w:t xml:space="preserve">il figure dans le document </w:t>
      </w:r>
      <w:hyperlink r:id="rId60" w:history="1">
        <w:r w:rsidRPr="0001502D">
          <w:rPr>
            <w:rFonts w:ascii="Arial" w:hAnsi="Arial" w:cs="Arial"/>
            <w:color w:val="0000FF" w:themeColor="hyperlink"/>
            <w:sz w:val="22"/>
            <w:szCs w:val="22"/>
            <w:u w:val="single"/>
            <w:lang w:eastAsia="ko-KR"/>
          </w:rPr>
          <w:t>LHE/19/14.COM/INF.10</w:t>
        </w:r>
      </w:hyperlink>
      <w:r w:rsidRPr="0001502D">
        <w:rPr>
          <w:rFonts w:ascii="Arial" w:hAnsi="Arial" w:cs="Arial"/>
          <w:sz w:val="22"/>
          <w:szCs w:val="22"/>
          <w:lang w:eastAsia="ko-KR"/>
        </w:rPr>
        <w:t>, selon lequel la réponse fournie répond de manière adéquate à la question (incluse au paragraphe 4) ;</w:t>
      </w:r>
    </w:p>
    <w:p w14:paraId="4C73EF2F" w14:textId="6C6C7DBE" w:rsidR="0001502D" w:rsidRPr="0001502D" w:rsidRDefault="0001502D" w:rsidP="00771F30">
      <w:pPr>
        <w:keepLines/>
        <w:numPr>
          <w:ilvl w:val="1"/>
          <w:numId w:val="40"/>
        </w:numPr>
        <w:tabs>
          <w:tab w:val="left" w:pos="567"/>
          <w:tab w:val="left" w:pos="1701"/>
          <w:tab w:val="left" w:pos="2268"/>
        </w:tabs>
        <w:spacing w:before="120" w:after="120"/>
        <w:ind w:left="567"/>
        <w:jc w:val="both"/>
        <w:rPr>
          <w:rFonts w:ascii="Arial" w:hAnsi="Arial" w:cs="Arial"/>
          <w:noProof/>
          <w:sz w:val="22"/>
          <w:szCs w:val="22"/>
          <w:lang w:eastAsia="ko-KR"/>
        </w:rPr>
      </w:pPr>
      <w:r w:rsidRPr="0001502D">
        <w:rPr>
          <w:rFonts w:ascii="Arial" w:hAnsi="Arial" w:cs="Arial"/>
          <w:sz w:val="22"/>
          <w:szCs w:val="22"/>
          <w:u w:val="single"/>
          <w:lang w:eastAsia="ko-KR"/>
        </w:rPr>
        <w:t>Considère</w:t>
      </w:r>
      <w:r w:rsidRPr="0001502D">
        <w:rPr>
          <w:rFonts w:ascii="Arial" w:hAnsi="Arial" w:cs="Arial"/>
          <w:sz w:val="22"/>
          <w:szCs w:val="22"/>
          <w:lang w:eastAsia="ko-KR"/>
        </w:rPr>
        <w:t xml:space="preserve"> que, sur la base des informations contenues dans le dossier et des informations fournies par l</w:t>
      </w:r>
      <w:r w:rsidR="009C104E">
        <w:rPr>
          <w:rFonts w:ascii="Arial" w:hAnsi="Arial" w:cs="Arial"/>
          <w:sz w:val="22"/>
          <w:szCs w:val="22"/>
          <w:lang w:eastAsia="ko-KR"/>
        </w:rPr>
        <w:t>’</w:t>
      </w:r>
      <w:r w:rsidRPr="0001502D">
        <w:rPr>
          <w:rFonts w:ascii="Arial" w:hAnsi="Arial" w:cs="Arial"/>
          <w:sz w:val="22"/>
          <w:szCs w:val="22"/>
          <w:lang w:eastAsia="ko-KR"/>
        </w:rPr>
        <w:t>État soumissionnaire dans le cadre du processus de « dialogue », ainsi que de l</w:t>
      </w:r>
      <w:r w:rsidR="009C104E">
        <w:rPr>
          <w:rFonts w:ascii="Arial" w:hAnsi="Arial" w:cs="Arial"/>
          <w:sz w:val="22"/>
          <w:szCs w:val="22"/>
          <w:lang w:eastAsia="ko-KR"/>
        </w:rPr>
        <w:t>’</w:t>
      </w:r>
      <w:r w:rsidRPr="0001502D">
        <w:rPr>
          <w:rFonts w:ascii="Arial" w:hAnsi="Arial" w:cs="Arial"/>
          <w:sz w:val="22"/>
          <w:szCs w:val="22"/>
          <w:lang w:eastAsia="ko-KR"/>
        </w:rPr>
        <w:t>avis ultérieur de l</w:t>
      </w:r>
      <w:r w:rsidR="009C104E">
        <w:rPr>
          <w:rFonts w:ascii="Arial" w:hAnsi="Arial" w:cs="Arial"/>
          <w:sz w:val="22"/>
          <w:szCs w:val="22"/>
          <w:lang w:eastAsia="ko-KR"/>
        </w:rPr>
        <w:t>’</w:t>
      </w:r>
      <w:r w:rsidRPr="0001502D">
        <w:rPr>
          <w:rFonts w:ascii="Arial" w:hAnsi="Arial" w:cs="Arial"/>
          <w:sz w:val="22"/>
          <w:szCs w:val="22"/>
          <w:lang w:eastAsia="ko-KR"/>
        </w:rPr>
        <w:t>Organe d</w:t>
      </w:r>
      <w:r w:rsidR="009C104E">
        <w:rPr>
          <w:rFonts w:ascii="Arial" w:hAnsi="Arial" w:cs="Arial"/>
          <w:sz w:val="22"/>
          <w:szCs w:val="22"/>
          <w:lang w:eastAsia="ko-KR"/>
        </w:rPr>
        <w:t>’</w:t>
      </w:r>
      <w:r w:rsidRPr="0001502D">
        <w:rPr>
          <w:rFonts w:ascii="Arial" w:hAnsi="Arial" w:cs="Arial"/>
          <w:sz w:val="22"/>
          <w:szCs w:val="22"/>
          <w:lang w:eastAsia="ko-KR"/>
        </w:rPr>
        <w:t>évaluation, le critère R.3 est satisfait ;</w:t>
      </w:r>
    </w:p>
    <w:p w14:paraId="16ABC554" w14:textId="630C5E41" w:rsidR="0001502D" w:rsidRPr="0001502D" w:rsidRDefault="0001502D" w:rsidP="00771F30">
      <w:pPr>
        <w:keepNext/>
        <w:numPr>
          <w:ilvl w:val="1"/>
          <w:numId w:val="40"/>
        </w:numPr>
        <w:tabs>
          <w:tab w:val="left" w:pos="567"/>
          <w:tab w:val="left" w:pos="1701"/>
          <w:tab w:val="left" w:pos="2268"/>
        </w:tabs>
        <w:spacing w:before="120" w:after="120"/>
        <w:ind w:left="567"/>
        <w:jc w:val="both"/>
        <w:rPr>
          <w:rFonts w:ascii="Arial" w:hAnsi="Arial" w:cs="Arial"/>
          <w:noProof/>
          <w:sz w:val="22"/>
          <w:szCs w:val="22"/>
          <w:lang w:eastAsia="ko-KR"/>
        </w:rPr>
      </w:pPr>
      <w:r w:rsidRPr="0001502D">
        <w:rPr>
          <w:rFonts w:ascii="Arial" w:hAnsi="Arial" w:cs="Arial"/>
          <w:sz w:val="22"/>
          <w:szCs w:val="22"/>
          <w:u w:val="single"/>
          <w:lang w:eastAsia="ko-KR"/>
        </w:rPr>
        <w:t>Décide d</w:t>
      </w:r>
      <w:r w:rsidR="009C104E">
        <w:rPr>
          <w:rFonts w:ascii="Arial" w:hAnsi="Arial" w:cs="Arial"/>
          <w:sz w:val="22"/>
          <w:szCs w:val="22"/>
          <w:u w:val="single"/>
          <w:lang w:eastAsia="ko-KR"/>
        </w:rPr>
        <w:t>’</w:t>
      </w:r>
      <w:r w:rsidRPr="0001502D">
        <w:rPr>
          <w:rFonts w:ascii="Arial" w:hAnsi="Arial" w:cs="Arial"/>
          <w:sz w:val="22"/>
          <w:szCs w:val="22"/>
          <w:u w:val="single"/>
          <w:lang w:eastAsia="ko-KR"/>
        </w:rPr>
        <w:t>inscrire</w:t>
      </w:r>
      <w:r w:rsidRPr="0001502D">
        <w:rPr>
          <w:rFonts w:ascii="Arial" w:hAnsi="Arial" w:cs="Arial"/>
          <w:sz w:val="22"/>
          <w:szCs w:val="22"/>
          <w:lang w:eastAsia="ko-KR"/>
        </w:rPr>
        <w:t xml:space="preserve"> </w:t>
      </w:r>
      <w:r w:rsidRPr="0001502D">
        <w:rPr>
          <w:rFonts w:ascii="Arial" w:hAnsi="Arial" w:cs="Arial"/>
          <w:b/>
          <w:sz w:val="22"/>
          <w:szCs w:val="22"/>
          <w:lang w:eastAsia="ko-KR"/>
        </w:rPr>
        <w:t xml:space="preserve">le </w:t>
      </w:r>
      <w:r w:rsidR="009C104E">
        <w:rPr>
          <w:rFonts w:ascii="Arial" w:hAnsi="Arial" w:cs="Arial"/>
          <w:b/>
          <w:sz w:val="22"/>
          <w:szCs w:val="22"/>
          <w:lang w:eastAsia="ko-KR"/>
        </w:rPr>
        <w:t>‘</w:t>
      </w:r>
      <w:r w:rsidRPr="0001502D">
        <w:rPr>
          <w:rFonts w:ascii="Arial" w:hAnsi="Arial" w:cs="Arial"/>
          <w:b/>
          <w:sz w:val="22"/>
          <w:szCs w:val="22"/>
          <w:lang w:eastAsia="ko-KR"/>
        </w:rPr>
        <w:t>ie Samoa, ou natte fine, et sa valeur culturelle</w:t>
      </w:r>
      <w:r w:rsidRPr="0001502D">
        <w:rPr>
          <w:rFonts w:ascii="Arial" w:hAnsi="Arial" w:cs="Arial"/>
          <w:sz w:val="22"/>
          <w:szCs w:val="22"/>
          <w:lang w:eastAsia="ko-KR"/>
        </w:rPr>
        <w:t xml:space="preserve"> sur la Liste représentative du patrimoine culturel immatériel de l</w:t>
      </w:r>
      <w:r w:rsidR="009C104E">
        <w:rPr>
          <w:rFonts w:ascii="Arial" w:hAnsi="Arial" w:cs="Arial"/>
          <w:sz w:val="22"/>
          <w:szCs w:val="22"/>
          <w:lang w:eastAsia="ko-KR"/>
        </w:rPr>
        <w:t>’</w:t>
      </w:r>
      <w:r w:rsidRPr="0001502D">
        <w:rPr>
          <w:rFonts w:ascii="Arial" w:hAnsi="Arial" w:cs="Arial"/>
          <w:sz w:val="22"/>
          <w:szCs w:val="22"/>
          <w:lang w:eastAsia="ko-KR"/>
        </w:rPr>
        <w:t>humanité ;</w:t>
      </w:r>
    </w:p>
    <w:p w14:paraId="56BDE687" w14:textId="5A1FE007" w:rsidR="0001502D" w:rsidRPr="0001502D" w:rsidRDefault="0001502D" w:rsidP="00771F30">
      <w:pPr>
        <w:numPr>
          <w:ilvl w:val="1"/>
          <w:numId w:val="40"/>
        </w:numPr>
        <w:tabs>
          <w:tab w:val="left" w:pos="567"/>
          <w:tab w:val="left" w:pos="1701"/>
          <w:tab w:val="left" w:pos="2268"/>
        </w:tabs>
        <w:spacing w:before="120" w:after="120"/>
        <w:ind w:left="567"/>
        <w:jc w:val="both"/>
        <w:rPr>
          <w:rFonts w:ascii="Arial" w:hAnsi="Arial" w:cs="Arial"/>
          <w:sz w:val="22"/>
          <w:szCs w:val="22"/>
          <w:lang w:eastAsia="ko-KR"/>
        </w:rPr>
      </w:pPr>
      <w:r w:rsidRPr="0001502D">
        <w:rPr>
          <w:rFonts w:ascii="Arial" w:hAnsi="Arial" w:cs="Arial"/>
          <w:sz w:val="22"/>
          <w:szCs w:val="22"/>
          <w:u w:val="single"/>
          <w:lang w:eastAsia="ko-KR"/>
        </w:rPr>
        <w:t>Félicite</w:t>
      </w:r>
      <w:r w:rsidRPr="0001502D">
        <w:rPr>
          <w:rFonts w:ascii="Arial" w:hAnsi="Arial" w:cs="Arial"/>
          <w:sz w:val="22"/>
          <w:szCs w:val="22"/>
          <w:lang w:eastAsia="ko-KR"/>
        </w:rPr>
        <w:t xml:space="preserve"> l</w:t>
      </w:r>
      <w:r w:rsidR="009C104E">
        <w:rPr>
          <w:rFonts w:ascii="Arial" w:hAnsi="Arial" w:cs="Arial"/>
          <w:sz w:val="22"/>
          <w:szCs w:val="22"/>
          <w:lang w:eastAsia="ko-KR"/>
        </w:rPr>
        <w:t>’</w:t>
      </w:r>
      <w:r w:rsidRPr="0001502D">
        <w:rPr>
          <w:rFonts w:ascii="Arial" w:hAnsi="Arial" w:cs="Arial"/>
          <w:sz w:val="22"/>
          <w:szCs w:val="22"/>
          <w:lang w:eastAsia="ko-KR"/>
        </w:rPr>
        <w:t>État partie pour sa première inscription ;</w:t>
      </w:r>
    </w:p>
    <w:p w14:paraId="4E41C007" w14:textId="7EAC67AB" w:rsidR="0001502D" w:rsidRPr="0001502D" w:rsidRDefault="0001502D" w:rsidP="00771F30">
      <w:pPr>
        <w:numPr>
          <w:ilvl w:val="1"/>
          <w:numId w:val="40"/>
        </w:numPr>
        <w:tabs>
          <w:tab w:val="left" w:pos="567"/>
          <w:tab w:val="left" w:pos="1701"/>
          <w:tab w:val="left" w:pos="2268"/>
        </w:tabs>
        <w:spacing w:before="120" w:after="120"/>
        <w:ind w:left="567"/>
        <w:jc w:val="both"/>
        <w:rPr>
          <w:rFonts w:ascii="Arial" w:hAnsi="Arial" w:cs="Arial"/>
          <w:sz w:val="22"/>
          <w:szCs w:val="22"/>
          <w:lang w:eastAsia="ko-KR"/>
        </w:rPr>
      </w:pPr>
      <w:r w:rsidRPr="0001502D">
        <w:rPr>
          <w:rFonts w:ascii="Arial" w:hAnsi="Arial" w:cs="Arial"/>
          <w:sz w:val="22"/>
          <w:szCs w:val="22"/>
          <w:u w:val="single"/>
          <w:lang w:eastAsia="ko-KR"/>
        </w:rPr>
        <w:t>Encourage</w:t>
      </w:r>
      <w:r w:rsidRPr="0001502D">
        <w:rPr>
          <w:rFonts w:ascii="Arial" w:hAnsi="Arial" w:cs="Arial"/>
          <w:sz w:val="22"/>
          <w:szCs w:val="22"/>
          <w:lang w:eastAsia="ko-KR"/>
        </w:rPr>
        <w:t xml:space="preserve"> l</w:t>
      </w:r>
      <w:r w:rsidR="009C104E">
        <w:rPr>
          <w:rFonts w:ascii="Arial" w:hAnsi="Arial" w:cs="Arial"/>
          <w:sz w:val="22"/>
          <w:szCs w:val="22"/>
          <w:lang w:eastAsia="ko-KR"/>
        </w:rPr>
        <w:t>’</w:t>
      </w:r>
      <w:r w:rsidRPr="0001502D">
        <w:rPr>
          <w:rFonts w:ascii="Arial" w:hAnsi="Arial" w:cs="Arial"/>
          <w:sz w:val="22"/>
          <w:szCs w:val="22"/>
          <w:lang w:eastAsia="ko-KR"/>
        </w:rPr>
        <w:t>État partie à accorder une attention particulière aux effets de la commercialisation excessive sur la sauvegarde de l</w:t>
      </w:r>
      <w:r w:rsidR="009C104E">
        <w:rPr>
          <w:rFonts w:ascii="Arial" w:hAnsi="Arial" w:cs="Arial"/>
          <w:sz w:val="22"/>
          <w:szCs w:val="22"/>
          <w:lang w:eastAsia="ko-KR"/>
        </w:rPr>
        <w:t>’</w:t>
      </w:r>
      <w:r w:rsidRPr="0001502D">
        <w:rPr>
          <w:rFonts w:ascii="Arial" w:hAnsi="Arial" w:cs="Arial"/>
          <w:sz w:val="22"/>
          <w:szCs w:val="22"/>
          <w:lang w:eastAsia="ko-KR"/>
        </w:rPr>
        <w:t>élément afin d</w:t>
      </w:r>
      <w:r w:rsidR="009C104E">
        <w:rPr>
          <w:rFonts w:ascii="Arial" w:hAnsi="Arial" w:cs="Arial"/>
          <w:sz w:val="22"/>
          <w:szCs w:val="22"/>
          <w:lang w:eastAsia="ko-KR"/>
        </w:rPr>
        <w:t>’</w:t>
      </w:r>
      <w:r w:rsidRPr="0001502D">
        <w:rPr>
          <w:rFonts w:ascii="Arial" w:hAnsi="Arial" w:cs="Arial"/>
          <w:sz w:val="22"/>
          <w:szCs w:val="22"/>
          <w:lang w:eastAsia="ko-KR"/>
        </w:rPr>
        <w:t>éviter son éventuelle décontextualisation ;</w:t>
      </w:r>
    </w:p>
    <w:p w14:paraId="4B70B777" w14:textId="05560B46" w:rsidR="0001502D" w:rsidRPr="0001502D" w:rsidRDefault="0001502D" w:rsidP="00771F30">
      <w:pPr>
        <w:numPr>
          <w:ilvl w:val="1"/>
          <w:numId w:val="40"/>
        </w:numPr>
        <w:tabs>
          <w:tab w:val="left" w:pos="567"/>
          <w:tab w:val="left" w:pos="1701"/>
          <w:tab w:val="left" w:pos="2268"/>
        </w:tabs>
        <w:spacing w:before="120" w:after="120"/>
        <w:ind w:left="567"/>
        <w:jc w:val="both"/>
        <w:rPr>
          <w:rFonts w:ascii="Arial" w:hAnsi="Arial" w:cs="Arial"/>
          <w:sz w:val="22"/>
          <w:szCs w:val="22"/>
          <w:lang w:eastAsia="ko-KR"/>
        </w:rPr>
      </w:pPr>
      <w:r w:rsidRPr="0001502D">
        <w:rPr>
          <w:rFonts w:ascii="Arial" w:hAnsi="Arial" w:cs="Arial"/>
          <w:sz w:val="22"/>
          <w:szCs w:val="22"/>
          <w:u w:val="single"/>
          <w:lang w:eastAsia="ko-KR"/>
        </w:rPr>
        <w:t>Rappelle</w:t>
      </w:r>
      <w:r w:rsidRPr="0001502D">
        <w:rPr>
          <w:rFonts w:ascii="Arial" w:hAnsi="Arial" w:cs="Arial"/>
          <w:sz w:val="22"/>
          <w:szCs w:val="22"/>
          <w:lang w:eastAsia="ko-KR"/>
        </w:rPr>
        <w:t xml:space="preserve"> à l</w:t>
      </w:r>
      <w:r w:rsidR="009C104E">
        <w:rPr>
          <w:rFonts w:ascii="Arial" w:hAnsi="Arial" w:cs="Arial"/>
          <w:sz w:val="22"/>
          <w:szCs w:val="22"/>
          <w:lang w:eastAsia="ko-KR"/>
        </w:rPr>
        <w:t>’</w:t>
      </w:r>
      <w:r w:rsidRPr="0001502D">
        <w:rPr>
          <w:rFonts w:ascii="Arial" w:hAnsi="Arial" w:cs="Arial"/>
          <w:sz w:val="22"/>
          <w:szCs w:val="22"/>
          <w:lang w:eastAsia="ko-KR"/>
        </w:rPr>
        <w:t>État partie d</w:t>
      </w:r>
      <w:r w:rsidR="009C104E">
        <w:rPr>
          <w:rFonts w:ascii="Arial" w:hAnsi="Arial" w:cs="Arial"/>
          <w:sz w:val="22"/>
          <w:szCs w:val="22"/>
          <w:lang w:eastAsia="ko-KR"/>
        </w:rPr>
        <w:t>’</w:t>
      </w:r>
      <w:r w:rsidRPr="0001502D">
        <w:rPr>
          <w:rFonts w:ascii="Arial" w:hAnsi="Arial" w:cs="Arial"/>
          <w:sz w:val="22"/>
          <w:szCs w:val="22"/>
          <w:lang w:eastAsia="ko-KR"/>
        </w:rPr>
        <w:t xml:space="preserve">éviter les approches descendantes </w:t>
      </w:r>
      <w:r w:rsidRPr="0001502D">
        <w:rPr>
          <w:rFonts w:ascii="Arial" w:hAnsi="Arial" w:cs="Arial"/>
          <w:color w:val="000000"/>
          <w:sz w:val="22"/>
          <w:szCs w:val="22"/>
          <w:lang w:eastAsia="ko-KR"/>
        </w:rPr>
        <w:t>tout au long des processus de sauvegarde du patrimoine culturel immatériel en s</w:t>
      </w:r>
      <w:r w:rsidR="009C104E">
        <w:rPr>
          <w:rFonts w:ascii="Arial" w:hAnsi="Arial" w:cs="Arial"/>
          <w:color w:val="000000"/>
          <w:sz w:val="22"/>
          <w:szCs w:val="22"/>
          <w:lang w:eastAsia="ko-KR"/>
        </w:rPr>
        <w:t>’</w:t>
      </w:r>
      <w:r w:rsidRPr="0001502D">
        <w:rPr>
          <w:rFonts w:ascii="Arial" w:hAnsi="Arial" w:cs="Arial"/>
          <w:color w:val="000000"/>
          <w:sz w:val="22"/>
          <w:szCs w:val="22"/>
          <w:lang w:eastAsia="ko-KR"/>
        </w:rPr>
        <w:t>assurant que les communautés sont au cœur de tous les efforts de sauvegarde</w:t>
      </w:r>
      <w:r w:rsidRPr="0001502D">
        <w:rPr>
          <w:rFonts w:ascii="Arial" w:hAnsi="Arial" w:cs="Arial"/>
          <w:sz w:val="22"/>
          <w:szCs w:val="22"/>
          <w:lang w:eastAsia="ko-KR"/>
        </w:rPr>
        <w:t> ;</w:t>
      </w:r>
    </w:p>
    <w:p w14:paraId="3E3B31CA" w14:textId="7775E27E" w:rsidR="0001502D" w:rsidRPr="0001502D" w:rsidRDefault="0001502D" w:rsidP="00771F30">
      <w:pPr>
        <w:numPr>
          <w:ilvl w:val="1"/>
          <w:numId w:val="40"/>
        </w:numPr>
        <w:tabs>
          <w:tab w:val="left" w:pos="567"/>
          <w:tab w:val="left" w:pos="1701"/>
          <w:tab w:val="left" w:pos="2268"/>
        </w:tabs>
        <w:spacing w:before="120" w:after="120"/>
        <w:ind w:left="567"/>
        <w:jc w:val="both"/>
        <w:rPr>
          <w:rFonts w:ascii="Arial" w:hAnsi="Arial" w:cs="Arial"/>
          <w:sz w:val="22"/>
          <w:szCs w:val="22"/>
          <w:lang w:eastAsia="ko-KR"/>
        </w:rPr>
      </w:pPr>
      <w:r w:rsidRPr="0001502D">
        <w:rPr>
          <w:rFonts w:ascii="Arial" w:hAnsi="Arial" w:cs="Arial"/>
          <w:sz w:val="22"/>
          <w:szCs w:val="22"/>
          <w:u w:val="single"/>
          <w:lang w:eastAsia="ko-KR"/>
        </w:rPr>
        <w:t>Encourage en outre</w:t>
      </w:r>
      <w:r w:rsidRPr="0001502D">
        <w:rPr>
          <w:rFonts w:ascii="Arial" w:hAnsi="Arial" w:cs="Arial"/>
          <w:sz w:val="22"/>
          <w:szCs w:val="22"/>
          <w:lang w:eastAsia="ko-KR"/>
        </w:rPr>
        <w:t xml:space="preserve"> l</w:t>
      </w:r>
      <w:r w:rsidR="009C104E">
        <w:rPr>
          <w:rFonts w:ascii="Arial" w:hAnsi="Arial" w:cs="Arial"/>
          <w:sz w:val="22"/>
          <w:szCs w:val="22"/>
          <w:lang w:eastAsia="ko-KR"/>
        </w:rPr>
        <w:t>’</w:t>
      </w:r>
      <w:r w:rsidRPr="0001502D">
        <w:rPr>
          <w:rFonts w:ascii="Arial" w:hAnsi="Arial" w:cs="Arial"/>
          <w:sz w:val="22"/>
          <w:szCs w:val="22"/>
          <w:lang w:eastAsia="ko-KR"/>
        </w:rPr>
        <w:t>État partie à éviter d</w:t>
      </w:r>
      <w:r w:rsidR="009C104E">
        <w:rPr>
          <w:rFonts w:ascii="Arial" w:hAnsi="Arial" w:cs="Arial"/>
          <w:sz w:val="22"/>
          <w:szCs w:val="22"/>
          <w:lang w:eastAsia="ko-KR"/>
        </w:rPr>
        <w:t>’</w:t>
      </w:r>
      <w:r w:rsidRPr="0001502D">
        <w:rPr>
          <w:rFonts w:ascii="Arial" w:hAnsi="Arial" w:cs="Arial"/>
          <w:sz w:val="22"/>
          <w:szCs w:val="22"/>
          <w:lang w:eastAsia="ko-KR"/>
        </w:rPr>
        <w:t>inclure à l</w:t>
      </w:r>
      <w:r w:rsidR="009C104E">
        <w:rPr>
          <w:rFonts w:ascii="Arial" w:hAnsi="Arial" w:cs="Arial"/>
          <w:sz w:val="22"/>
          <w:szCs w:val="22"/>
          <w:lang w:eastAsia="ko-KR"/>
        </w:rPr>
        <w:t>’</w:t>
      </w:r>
      <w:r w:rsidRPr="0001502D">
        <w:rPr>
          <w:rFonts w:ascii="Arial" w:hAnsi="Arial" w:cs="Arial"/>
          <w:sz w:val="22"/>
          <w:szCs w:val="22"/>
          <w:lang w:eastAsia="ko-KR"/>
        </w:rPr>
        <w:t>avenir des lettres de consentement standardisées aux dossiers de candidature ;</w:t>
      </w:r>
    </w:p>
    <w:p w14:paraId="7FF1D8E3" w14:textId="79A8C26E" w:rsidR="0001502D" w:rsidRPr="0001502D" w:rsidRDefault="0001502D" w:rsidP="00771F30">
      <w:pPr>
        <w:numPr>
          <w:ilvl w:val="1"/>
          <w:numId w:val="40"/>
        </w:numPr>
        <w:tabs>
          <w:tab w:val="left" w:pos="567"/>
          <w:tab w:val="left" w:pos="1701"/>
          <w:tab w:val="left" w:pos="2268"/>
        </w:tabs>
        <w:spacing w:before="120" w:after="120"/>
        <w:ind w:left="567"/>
        <w:jc w:val="both"/>
        <w:rPr>
          <w:rFonts w:ascii="Arial" w:hAnsi="Arial" w:cs="Arial"/>
          <w:sz w:val="22"/>
          <w:szCs w:val="22"/>
          <w:shd w:val="clear" w:color="auto" w:fill="FFFFFF"/>
          <w:lang w:eastAsia="ko-KR"/>
        </w:rPr>
      </w:pPr>
      <w:r w:rsidRPr="0001502D">
        <w:rPr>
          <w:rFonts w:ascii="Arial" w:hAnsi="Arial" w:cs="Arial"/>
          <w:sz w:val="22"/>
          <w:szCs w:val="22"/>
          <w:u w:val="single"/>
          <w:shd w:val="clear" w:color="auto" w:fill="FFFFFF"/>
          <w:lang w:eastAsia="ko-KR"/>
        </w:rPr>
        <w:t>Invite</w:t>
      </w:r>
      <w:r w:rsidRPr="0001502D">
        <w:rPr>
          <w:rFonts w:ascii="Arial" w:hAnsi="Arial" w:cs="Arial"/>
          <w:sz w:val="22"/>
          <w:szCs w:val="22"/>
          <w:shd w:val="clear" w:color="auto" w:fill="FFFFFF"/>
          <w:lang w:eastAsia="ko-KR"/>
        </w:rPr>
        <w:t xml:space="preserve"> l</w:t>
      </w:r>
      <w:r w:rsidR="009C104E">
        <w:rPr>
          <w:rFonts w:ascii="Arial" w:hAnsi="Arial" w:cs="Arial"/>
          <w:sz w:val="22"/>
          <w:szCs w:val="22"/>
          <w:shd w:val="clear" w:color="auto" w:fill="FFFFFF"/>
          <w:lang w:eastAsia="ko-KR"/>
        </w:rPr>
        <w:t>’</w:t>
      </w:r>
      <w:r w:rsidRPr="0001502D">
        <w:rPr>
          <w:rFonts w:ascii="Arial" w:hAnsi="Arial" w:cs="Arial"/>
          <w:sz w:val="22"/>
          <w:szCs w:val="22"/>
          <w:shd w:val="clear" w:color="auto" w:fill="FFFFFF"/>
          <w:lang w:eastAsia="ko-KR"/>
        </w:rPr>
        <w:t>État partie à détailler, dans son prochain rapport périodique sur la mise en œuvre de la Convention au niveau national, la manière dont la Base de données du patrimoine culturel immatériel de Samoa a été établie avec la participation active des communautés, des groupes et organisations non gouvernementales concernées, conformément à l</w:t>
      </w:r>
      <w:r w:rsidR="009C104E">
        <w:rPr>
          <w:rFonts w:ascii="Arial" w:hAnsi="Arial" w:cs="Arial"/>
          <w:sz w:val="22"/>
          <w:szCs w:val="22"/>
          <w:shd w:val="clear" w:color="auto" w:fill="FFFFFF"/>
          <w:lang w:eastAsia="ko-KR"/>
        </w:rPr>
        <w:t>’</w:t>
      </w:r>
      <w:r w:rsidRPr="0001502D">
        <w:rPr>
          <w:rFonts w:ascii="Arial" w:hAnsi="Arial" w:cs="Arial"/>
          <w:sz w:val="22"/>
          <w:szCs w:val="22"/>
          <w:shd w:val="clear" w:color="auto" w:fill="FFFFFF"/>
          <w:lang w:eastAsia="ko-KR"/>
        </w:rPr>
        <w:t>article 11(b) de la Convention.</w:t>
      </w:r>
    </w:p>
    <w:p w14:paraId="7C1A79BE" w14:textId="1920CB60" w:rsidR="0001502D" w:rsidRPr="0001502D" w:rsidRDefault="0001502D" w:rsidP="00771F30">
      <w:pPr>
        <w:keepNext/>
        <w:keepLines/>
        <w:numPr>
          <w:ilvl w:val="0"/>
          <w:numId w:val="40"/>
        </w:numPr>
        <w:spacing w:before="360" w:after="120"/>
        <w:outlineLvl w:val="1"/>
        <w:rPr>
          <w:rFonts w:ascii="Arial" w:hAnsi="Arial" w:cs="Arial"/>
          <w:bCs/>
          <w:iCs/>
          <w:sz w:val="22"/>
          <w:szCs w:val="22"/>
        </w:rPr>
      </w:pPr>
      <w:bookmarkStart w:id="35" w:name="Decision_10b32"/>
      <w:r w:rsidRPr="0001502D">
        <w:rPr>
          <w:rFonts w:ascii="Arial" w:hAnsi="Arial" w:cs="Arial"/>
          <w:b/>
          <w:bCs/>
          <w:iCs/>
          <w:sz w:val="22"/>
          <w:szCs w:val="22"/>
        </w:rPr>
        <w:t xml:space="preserve">DÉCISION 14.COM 10.b.32 </w:t>
      </w:r>
    </w:p>
    <w:bookmarkEnd w:id="35"/>
    <w:p w14:paraId="1EBD62D7" w14:textId="77777777" w:rsidR="00967CA2" w:rsidRDefault="00967CA2" w:rsidP="00967CA2">
      <w:pPr>
        <w:keepNext/>
        <w:tabs>
          <w:tab w:val="left" w:pos="567"/>
          <w:tab w:val="left" w:pos="1701"/>
          <w:tab w:val="left" w:pos="2268"/>
        </w:tabs>
        <w:spacing w:before="120" w:after="120"/>
        <w:jc w:val="both"/>
        <w:rPr>
          <w:rFonts w:ascii="Arial" w:hAnsi="Arial" w:cs="Arial"/>
          <w:sz w:val="22"/>
          <w:szCs w:val="22"/>
          <w:lang w:eastAsia="ko-KR"/>
        </w:rPr>
      </w:pPr>
      <w:r>
        <w:rPr>
          <w:rFonts w:ascii="Arial" w:hAnsi="Arial" w:cs="Arial"/>
          <w:sz w:val="22"/>
          <w:szCs w:val="22"/>
          <w:lang w:eastAsia="ko-KR"/>
        </w:rPr>
        <w:t xml:space="preserve">Le Comité, </w:t>
      </w:r>
    </w:p>
    <w:p w14:paraId="62858C79" w14:textId="2FBEECF9" w:rsidR="0001502D" w:rsidRPr="0001502D" w:rsidRDefault="0001502D" w:rsidP="00771F30">
      <w:pPr>
        <w:keepNext/>
        <w:numPr>
          <w:ilvl w:val="1"/>
          <w:numId w:val="41"/>
        </w:numPr>
        <w:tabs>
          <w:tab w:val="left" w:pos="567"/>
          <w:tab w:val="left" w:pos="1701"/>
          <w:tab w:val="left" w:pos="2268"/>
        </w:tabs>
        <w:spacing w:before="120" w:after="120"/>
        <w:ind w:left="567"/>
        <w:jc w:val="both"/>
        <w:rPr>
          <w:rFonts w:ascii="Arial" w:hAnsi="Arial" w:cs="Arial"/>
          <w:sz w:val="22"/>
          <w:szCs w:val="22"/>
          <w:lang w:eastAsia="ko-KR"/>
        </w:rPr>
      </w:pPr>
      <w:r w:rsidRPr="0001502D">
        <w:rPr>
          <w:rFonts w:ascii="Arial" w:hAnsi="Arial" w:cs="Arial"/>
          <w:sz w:val="22"/>
          <w:szCs w:val="22"/>
          <w:u w:val="single"/>
          <w:lang w:eastAsia="ko-KR"/>
        </w:rPr>
        <w:t>Prend note</w:t>
      </w:r>
      <w:r w:rsidRPr="0001502D">
        <w:rPr>
          <w:rFonts w:ascii="Arial" w:hAnsi="Arial" w:cs="Arial"/>
          <w:sz w:val="22"/>
          <w:szCs w:val="22"/>
          <w:lang w:eastAsia="ko-KR"/>
        </w:rPr>
        <w:t xml:space="preserve"> que les Seychelles ont proposé la candidature </w:t>
      </w:r>
      <w:r w:rsidRPr="0001502D">
        <w:rPr>
          <w:rFonts w:ascii="Arial" w:hAnsi="Arial" w:cs="Arial"/>
          <w:b/>
          <w:sz w:val="22"/>
          <w:szCs w:val="22"/>
          <w:lang w:eastAsia="ko-KR"/>
        </w:rPr>
        <w:t>du</w:t>
      </w:r>
      <w:r w:rsidRPr="0001502D">
        <w:rPr>
          <w:rFonts w:ascii="Arial" w:hAnsi="Arial" w:cs="Arial"/>
          <w:sz w:val="22"/>
          <w:szCs w:val="22"/>
          <w:lang w:eastAsia="ko-KR"/>
        </w:rPr>
        <w:t xml:space="preserve"> </w:t>
      </w:r>
      <w:r w:rsidRPr="0001502D">
        <w:rPr>
          <w:rFonts w:ascii="Arial" w:hAnsi="Arial" w:cs="Arial"/>
          <w:b/>
          <w:bCs/>
          <w:sz w:val="22"/>
          <w:szCs w:val="22"/>
          <w:lang w:eastAsia="ko-KR"/>
        </w:rPr>
        <w:t>moutya</w:t>
      </w:r>
      <w:r w:rsidRPr="0001502D">
        <w:rPr>
          <w:rFonts w:ascii="Arial" w:hAnsi="Arial" w:cs="Arial"/>
          <w:sz w:val="22"/>
          <w:szCs w:val="22"/>
          <w:lang w:eastAsia="ko-KR"/>
        </w:rPr>
        <w:t xml:space="preserve"> (n° 01487) pour inscription sur la Liste représentative du patrimoine culturel immatériel de l</w:t>
      </w:r>
      <w:r w:rsidR="009C104E">
        <w:rPr>
          <w:rFonts w:ascii="Arial" w:hAnsi="Arial" w:cs="Arial"/>
          <w:sz w:val="22"/>
          <w:szCs w:val="22"/>
          <w:lang w:eastAsia="ko-KR"/>
        </w:rPr>
        <w:t>’</w:t>
      </w:r>
      <w:r w:rsidRPr="0001502D">
        <w:rPr>
          <w:rFonts w:ascii="Arial" w:hAnsi="Arial" w:cs="Arial"/>
          <w:sz w:val="22"/>
          <w:szCs w:val="22"/>
          <w:lang w:eastAsia="ko-KR"/>
        </w:rPr>
        <w:t>humanité :</w:t>
      </w:r>
    </w:p>
    <w:p w14:paraId="386AEAE7" w14:textId="0D0E38BE" w:rsidR="0001502D" w:rsidRPr="0001502D" w:rsidRDefault="0001502D" w:rsidP="002A7118">
      <w:pPr>
        <w:tabs>
          <w:tab w:val="left" w:pos="567"/>
          <w:tab w:val="left" w:pos="1701"/>
          <w:tab w:val="left" w:pos="2268"/>
        </w:tabs>
        <w:spacing w:before="120" w:after="120"/>
        <w:ind w:left="567"/>
        <w:jc w:val="both"/>
        <w:rPr>
          <w:rFonts w:ascii="Arial" w:hAnsi="Arial" w:cs="Arial"/>
          <w:sz w:val="22"/>
          <w:szCs w:val="22"/>
        </w:rPr>
      </w:pPr>
      <w:r w:rsidRPr="0001502D">
        <w:rPr>
          <w:rFonts w:ascii="Arial" w:hAnsi="Arial" w:cs="Arial"/>
          <w:sz w:val="22"/>
          <w:szCs w:val="22"/>
        </w:rPr>
        <w:t>Traditionnellement, le moutya est une danse pratiquée de nuit, en plein air, autour d</w:t>
      </w:r>
      <w:r w:rsidR="009C104E">
        <w:rPr>
          <w:rFonts w:ascii="Arial" w:hAnsi="Arial" w:cs="Arial"/>
          <w:sz w:val="22"/>
          <w:szCs w:val="22"/>
        </w:rPr>
        <w:t>’</w:t>
      </w:r>
      <w:r w:rsidRPr="0001502D">
        <w:rPr>
          <w:rFonts w:ascii="Arial" w:hAnsi="Arial" w:cs="Arial"/>
          <w:sz w:val="22"/>
          <w:szCs w:val="22"/>
        </w:rPr>
        <w:t>un feu. Le seul instrument est le tambour moutya, un grand tambour doté d</w:t>
      </w:r>
      <w:r w:rsidR="009C104E">
        <w:rPr>
          <w:rFonts w:ascii="Arial" w:hAnsi="Arial" w:cs="Arial"/>
          <w:sz w:val="22"/>
          <w:szCs w:val="22"/>
        </w:rPr>
        <w:t>’</w:t>
      </w:r>
      <w:r w:rsidRPr="0001502D">
        <w:rPr>
          <w:rFonts w:ascii="Arial" w:hAnsi="Arial" w:cs="Arial"/>
          <w:sz w:val="22"/>
          <w:szCs w:val="22"/>
        </w:rPr>
        <w:t>un cadre fin en peau de chèvre. La danse débute ainsi : le tambour est chauffé au-dessus d</w:t>
      </w:r>
      <w:r w:rsidR="009C104E">
        <w:rPr>
          <w:rFonts w:ascii="Arial" w:hAnsi="Arial" w:cs="Arial"/>
          <w:sz w:val="22"/>
          <w:szCs w:val="22"/>
        </w:rPr>
        <w:t>’</w:t>
      </w:r>
      <w:r w:rsidRPr="0001502D">
        <w:rPr>
          <w:rFonts w:ascii="Arial" w:hAnsi="Arial" w:cs="Arial"/>
          <w:sz w:val="22"/>
          <w:szCs w:val="22"/>
        </w:rPr>
        <w:t>un feu et les hommes de la troupe lancent plusieurs « thèmes », généralement des observations sur la société, auxquelles les danseuses répondent. Au rythme de trois tambours, les hommes et les femmes commencent à danser et, sous l</w:t>
      </w:r>
      <w:r w:rsidR="009C104E">
        <w:rPr>
          <w:rFonts w:ascii="Arial" w:hAnsi="Arial" w:cs="Arial"/>
          <w:sz w:val="22"/>
          <w:szCs w:val="22"/>
        </w:rPr>
        <w:t>’</w:t>
      </w:r>
      <w:r w:rsidRPr="0001502D">
        <w:rPr>
          <w:rFonts w:ascii="Arial" w:hAnsi="Arial" w:cs="Arial"/>
          <w:sz w:val="22"/>
          <w:szCs w:val="22"/>
        </w:rPr>
        <w:t>effet de l</w:t>
      </w:r>
      <w:r w:rsidR="009C104E">
        <w:rPr>
          <w:rFonts w:ascii="Arial" w:hAnsi="Arial" w:cs="Arial"/>
          <w:sz w:val="22"/>
          <w:szCs w:val="22"/>
        </w:rPr>
        <w:t>’</w:t>
      </w:r>
      <w:r w:rsidRPr="0001502D">
        <w:rPr>
          <w:rFonts w:ascii="Arial" w:hAnsi="Arial" w:cs="Arial"/>
          <w:sz w:val="22"/>
          <w:szCs w:val="22"/>
        </w:rPr>
        <w:t>alcool, les paroles et la danse se font plus passionnées. La danse continue généralement toute la nuit, jusqu</w:t>
      </w:r>
      <w:r w:rsidR="009C104E">
        <w:rPr>
          <w:rFonts w:ascii="Arial" w:hAnsi="Arial" w:cs="Arial"/>
          <w:sz w:val="22"/>
          <w:szCs w:val="22"/>
        </w:rPr>
        <w:t>’</w:t>
      </w:r>
      <w:r w:rsidRPr="0001502D">
        <w:rPr>
          <w:rFonts w:ascii="Arial" w:hAnsi="Arial" w:cs="Arial"/>
          <w:sz w:val="22"/>
          <w:szCs w:val="22"/>
        </w:rPr>
        <w:t>à l</w:t>
      </w:r>
      <w:r w:rsidR="009C104E">
        <w:rPr>
          <w:rFonts w:ascii="Arial" w:hAnsi="Arial" w:cs="Arial"/>
          <w:sz w:val="22"/>
          <w:szCs w:val="22"/>
        </w:rPr>
        <w:t>’</w:t>
      </w:r>
      <w:r w:rsidRPr="0001502D">
        <w:rPr>
          <w:rFonts w:ascii="Arial" w:hAnsi="Arial" w:cs="Arial"/>
          <w:sz w:val="22"/>
          <w:szCs w:val="22"/>
        </w:rPr>
        <w:t>aube. La forme contemporaine du moutya a conservé certains aspects de la danse d</w:t>
      </w:r>
      <w:r w:rsidR="009C104E">
        <w:rPr>
          <w:rFonts w:ascii="Arial" w:hAnsi="Arial" w:cs="Arial"/>
          <w:sz w:val="22"/>
          <w:szCs w:val="22"/>
        </w:rPr>
        <w:t>’</w:t>
      </w:r>
      <w:r w:rsidRPr="0001502D">
        <w:rPr>
          <w:rFonts w:ascii="Arial" w:hAnsi="Arial" w:cs="Arial"/>
          <w:sz w:val="22"/>
          <w:szCs w:val="22"/>
        </w:rPr>
        <w:t>origine. Elle est généralement pratiquée sur la plage, voire sur scène, et ses représentations ne sont plus uniquement nocturnes. À ce jour, la danse reste un mode d</w:t>
      </w:r>
      <w:r w:rsidR="009C104E">
        <w:rPr>
          <w:rFonts w:ascii="Arial" w:hAnsi="Arial" w:cs="Arial"/>
          <w:sz w:val="22"/>
          <w:szCs w:val="22"/>
        </w:rPr>
        <w:t>’</w:t>
      </w:r>
      <w:r w:rsidRPr="0001502D">
        <w:rPr>
          <w:rFonts w:ascii="Arial" w:hAnsi="Arial" w:cs="Arial"/>
          <w:sz w:val="22"/>
          <w:szCs w:val="22"/>
        </w:rPr>
        <w:t>expression sociale, relais de l</w:t>
      </w:r>
      <w:r w:rsidR="009C104E">
        <w:rPr>
          <w:rFonts w:ascii="Arial" w:hAnsi="Arial" w:cs="Arial"/>
          <w:sz w:val="22"/>
          <w:szCs w:val="22"/>
        </w:rPr>
        <w:t>’</w:t>
      </w:r>
      <w:r w:rsidRPr="0001502D">
        <w:rPr>
          <w:rFonts w:ascii="Arial" w:hAnsi="Arial" w:cs="Arial"/>
          <w:sz w:val="22"/>
          <w:szCs w:val="22"/>
        </w:rPr>
        <w:t>actualité et de divers récits, bien que le contexte des chants ait changé de façon radicale et soit aujourd</w:t>
      </w:r>
      <w:r w:rsidR="009C104E">
        <w:rPr>
          <w:rFonts w:ascii="Arial" w:hAnsi="Arial" w:cs="Arial"/>
          <w:sz w:val="22"/>
          <w:szCs w:val="22"/>
        </w:rPr>
        <w:t>’</w:t>
      </w:r>
      <w:r w:rsidRPr="0001502D">
        <w:rPr>
          <w:rFonts w:ascii="Arial" w:hAnsi="Arial" w:cs="Arial"/>
          <w:sz w:val="22"/>
          <w:szCs w:val="22"/>
        </w:rPr>
        <w:t>hui plus léger. Les paroles constituent une version alternative aux récits officiels des évènements racontés par les maîtres coloniaux. Ces dernières années, le moutya a connu un renouveau, notamment grâce à l</w:t>
      </w:r>
      <w:r w:rsidR="009C104E">
        <w:rPr>
          <w:rFonts w:ascii="Arial" w:hAnsi="Arial" w:cs="Arial"/>
          <w:sz w:val="22"/>
          <w:szCs w:val="22"/>
        </w:rPr>
        <w:t>’</w:t>
      </w:r>
      <w:r w:rsidRPr="0001502D">
        <w:rPr>
          <w:rFonts w:ascii="Arial" w:hAnsi="Arial" w:cs="Arial"/>
          <w:sz w:val="22"/>
          <w:szCs w:val="22"/>
        </w:rPr>
        <w:t>organisation régulière de l</w:t>
      </w:r>
      <w:r w:rsidR="009C104E">
        <w:rPr>
          <w:rFonts w:ascii="Arial" w:hAnsi="Arial" w:cs="Arial"/>
          <w:sz w:val="22"/>
          <w:szCs w:val="22"/>
        </w:rPr>
        <w:t>’</w:t>
      </w:r>
      <w:r w:rsidRPr="0001502D">
        <w:rPr>
          <w:rFonts w:ascii="Arial" w:hAnsi="Arial" w:cs="Arial"/>
          <w:sz w:val="22"/>
          <w:szCs w:val="22"/>
        </w:rPr>
        <w:t>événement populaire « moutya du dimanche » par l</w:t>
      </w:r>
      <w:r w:rsidR="009C104E">
        <w:rPr>
          <w:rFonts w:ascii="Arial" w:hAnsi="Arial" w:cs="Arial"/>
          <w:sz w:val="22"/>
          <w:szCs w:val="22"/>
        </w:rPr>
        <w:t>’</w:t>
      </w:r>
      <w:r w:rsidRPr="0001502D">
        <w:rPr>
          <w:rFonts w:ascii="Arial" w:hAnsi="Arial" w:cs="Arial"/>
          <w:sz w:val="22"/>
          <w:szCs w:val="22"/>
        </w:rPr>
        <w:t>association des musiciens des Seychelles, et du festival annuel de juillet. Grâce aux groupes de moutya et aux amateurs, des représentations spontanées ont toujours lieu régulièrement.</w:t>
      </w:r>
    </w:p>
    <w:p w14:paraId="78C27DCD" w14:textId="06ECB3B5" w:rsidR="0001502D" w:rsidRPr="0001502D" w:rsidRDefault="0001502D" w:rsidP="00771F30">
      <w:pPr>
        <w:keepNext/>
        <w:numPr>
          <w:ilvl w:val="1"/>
          <w:numId w:val="41"/>
        </w:numPr>
        <w:tabs>
          <w:tab w:val="left" w:pos="567"/>
          <w:tab w:val="left" w:pos="1701"/>
          <w:tab w:val="left" w:pos="2268"/>
        </w:tabs>
        <w:spacing w:before="120" w:after="120"/>
        <w:ind w:left="567"/>
        <w:jc w:val="both"/>
        <w:rPr>
          <w:rFonts w:ascii="Arial" w:hAnsi="Arial" w:cs="Arial"/>
          <w:sz w:val="22"/>
          <w:szCs w:val="22"/>
          <w:lang w:eastAsia="ko-KR"/>
        </w:rPr>
      </w:pPr>
      <w:r w:rsidRPr="0001502D">
        <w:rPr>
          <w:rFonts w:ascii="Arial" w:hAnsi="Arial" w:cs="Arial"/>
          <w:sz w:val="22"/>
          <w:szCs w:val="22"/>
          <w:u w:val="single"/>
          <w:lang w:eastAsia="ko-KR"/>
        </w:rPr>
        <w:t>Estime</w:t>
      </w:r>
      <w:r w:rsidRPr="0001502D">
        <w:rPr>
          <w:rFonts w:ascii="Arial" w:hAnsi="Arial" w:cs="Arial"/>
          <w:sz w:val="22"/>
          <w:szCs w:val="22"/>
          <w:lang w:eastAsia="ko-KR"/>
        </w:rPr>
        <w:t xml:space="preserve"> que, d</w:t>
      </w:r>
      <w:r w:rsidR="009C104E">
        <w:rPr>
          <w:rFonts w:ascii="Arial" w:hAnsi="Arial" w:cs="Arial"/>
          <w:sz w:val="22"/>
          <w:szCs w:val="22"/>
          <w:lang w:eastAsia="ko-KR"/>
        </w:rPr>
        <w:t>’</w:t>
      </w:r>
      <w:r w:rsidRPr="0001502D">
        <w:rPr>
          <w:rFonts w:ascii="Arial" w:hAnsi="Arial" w:cs="Arial"/>
          <w:sz w:val="22"/>
          <w:szCs w:val="22"/>
          <w:lang w:eastAsia="ko-KR"/>
        </w:rPr>
        <w:t>après les informations contenues dans le dossier, la candidature satisfait aux critères d</w:t>
      </w:r>
      <w:r w:rsidR="009C104E">
        <w:rPr>
          <w:rFonts w:ascii="Arial" w:hAnsi="Arial" w:cs="Arial"/>
          <w:sz w:val="22"/>
          <w:szCs w:val="22"/>
          <w:lang w:eastAsia="ko-KR"/>
        </w:rPr>
        <w:t>’</w:t>
      </w:r>
      <w:r w:rsidRPr="0001502D">
        <w:rPr>
          <w:rFonts w:ascii="Arial" w:hAnsi="Arial" w:cs="Arial"/>
          <w:sz w:val="22"/>
          <w:szCs w:val="22"/>
          <w:lang w:eastAsia="ko-KR"/>
        </w:rPr>
        <w:t>inscription sur la Liste représentative du patrimoine culturel immatériel de l</w:t>
      </w:r>
      <w:r w:rsidR="009C104E">
        <w:rPr>
          <w:rFonts w:ascii="Arial" w:hAnsi="Arial" w:cs="Arial"/>
          <w:sz w:val="22"/>
          <w:szCs w:val="22"/>
          <w:lang w:eastAsia="ko-KR"/>
        </w:rPr>
        <w:t>’</w:t>
      </w:r>
      <w:r w:rsidRPr="0001502D">
        <w:rPr>
          <w:rFonts w:ascii="Arial" w:hAnsi="Arial" w:cs="Arial"/>
          <w:sz w:val="22"/>
          <w:szCs w:val="22"/>
          <w:lang w:eastAsia="ko-KR"/>
        </w:rPr>
        <w:t>humanité comme suit :</w:t>
      </w:r>
    </w:p>
    <w:p w14:paraId="5861122A" w14:textId="0691B432" w:rsidR="0001502D" w:rsidRPr="0001502D" w:rsidRDefault="0001502D" w:rsidP="002A7118">
      <w:pPr>
        <w:tabs>
          <w:tab w:val="left" w:pos="1134"/>
          <w:tab w:val="left" w:pos="2268"/>
        </w:tabs>
        <w:spacing w:before="120" w:after="120"/>
        <w:ind w:left="1134" w:hanging="555"/>
        <w:jc w:val="both"/>
        <w:rPr>
          <w:rFonts w:ascii="Arial" w:hAnsi="Arial" w:cs="Arial"/>
          <w:sz w:val="22"/>
          <w:szCs w:val="22"/>
        </w:rPr>
      </w:pPr>
      <w:r w:rsidRPr="0001502D">
        <w:rPr>
          <w:rFonts w:ascii="Arial" w:hAnsi="Arial" w:cs="Arial"/>
          <w:sz w:val="22"/>
          <w:szCs w:val="22"/>
        </w:rPr>
        <w:t xml:space="preserve">R.1 : </w:t>
      </w:r>
      <w:r w:rsidRPr="0001502D">
        <w:rPr>
          <w:rFonts w:ascii="Arial" w:hAnsi="Arial" w:cs="Arial"/>
          <w:sz w:val="22"/>
          <w:szCs w:val="22"/>
        </w:rPr>
        <w:tab/>
        <w:t>Associé à la tradition de l</w:t>
      </w:r>
      <w:r w:rsidR="009C104E">
        <w:rPr>
          <w:rFonts w:ascii="Arial" w:hAnsi="Arial" w:cs="Arial"/>
          <w:sz w:val="22"/>
          <w:szCs w:val="22"/>
        </w:rPr>
        <w:t>’</w:t>
      </w:r>
      <w:r w:rsidRPr="0001502D">
        <w:rPr>
          <w:rFonts w:ascii="Arial" w:hAnsi="Arial" w:cs="Arial"/>
          <w:sz w:val="22"/>
          <w:szCs w:val="22"/>
        </w:rPr>
        <w:t>esclave africain des Seychelles, le moutya est un style de musique et de danse populaire, commun à l</w:t>
      </w:r>
      <w:r w:rsidR="009C104E">
        <w:rPr>
          <w:rFonts w:ascii="Arial" w:hAnsi="Arial" w:cs="Arial"/>
          <w:sz w:val="22"/>
          <w:szCs w:val="22"/>
        </w:rPr>
        <w:t>’</w:t>
      </w:r>
      <w:r w:rsidRPr="0001502D">
        <w:rPr>
          <w:rFonts w:ascii="Arial" w:hAnsi="Arial" w:cs="Arial"/>
          <w:sz w:val="22"/>
          <w:szCs w:val="22"/>
        </w:rPr>
        <w:t>ensemble de la population de l</w:t>
      </w:r>
      <w:r w:rsidR="009C104E">
        <w:rPr>
          <w:rFonts w:ascii="Arial" w:hAnsi="Arial" w:cs="Arial"/>
          <w:sz w:val="22"/>
          <w:szCs w:val="22"/>
        </w:rPr>
        <w:t>’</w:t>
      </w:r>
      <w:r w:rsidRPr="0001502D">
        <w:rPr>
          <w:rFonts w:ascii="Arial" w:hAnsi="Arial" w:cs="Arial"/>
          <w:sz w:val="22"/>
          <w:szCs w:val="22"/>
        </w:rPr>
        <w:t>archipel. Sa pratique contemporaine reflète les changements sociaux et le dépassement des limites liées à la race ou au milieu social. Le moutya est un important symbole de l</w:t>
      </w:r>
      <w:r w:rsidR="009C104E">
        <w:rPr>
          <w:rFonts w:ascii="Arial" w:hAnsi="Arial" w:cs="Arial"/>
          <w:sz w:val="22"/>
          <w:szCs w:val="22"/>
        </w:rPr>
        <w:t>’</w:t>
      </w:r>
      <w:r w:rsidRPr="0001502D">
        <w:rPr>
          <w:rFonts w:ascii="Arial" w:hAnsi="Arial" w:cs="Arial"/>
          <w:sz w:val="22"/>
          <w:szCs w:val="22"/>
        </w:rPr>
        <w:t>identité nationale et un facteur social créateur d</w:t>
      </w:r>
      <w:r w:rsidR="009C104E">
        <w:rPr>
          <w:rFonts w:ascii="Arial" w:hAnsi="Arial" w:cs="Arial"/>
          <w:sz w:val="22"/>
          <w:szCs w:val="22"/>
        </w:rPr>
        <w:t>’</w:t>
      </w:r>
      <w:r w:rsidRPr="0001502D">
        <w:rPr>
          <w:rFonts w:ascii="Arial" w:hAnsi="Arial" w:cs="Arial"/>
          <w:sz w:val="22"/>
          <w:szCs w:val="22"/>
        </w:rPr>
        <w:t>unité. Il est pratiqué de manière spontanée par des individus ou sous forme de représentation sur scène. Il attire également beaucoup de touristes et constitue donc une source de revenus pour de nombreux praticiens qui dépendent du tourisme, celui-ci étant le principal secteur économique du pays.</w:t>
      </w:r>
    </w:p>
    <w:p w14:paraId="1F02B64B" w14:textId="67997B3C" w:rsidR="0001502D" w:rsidRPr="0001502D" w:rsidRDefault="0001502D" w:rsidP="002A7118">
      <w:pPr>
        <w:tabs>
          <w:tab w:val="left" w:pos="1134"/>
          <w:tab w:val="left" w:pos="2268"/>
        </w:tabs>
        <w:spacing w:before="120" w:after="120"/>
        <w:ind w:left="1134" w:hanging="555"/>
        <w:jc w:val="both"/>
        <w:rPr>
          <w:rFonts w:ascii="Arial" w:hAnsi="Arial" w:cs="Arial"/>
          <w:sz w:val="22"/>
          <w:szCs w:val="22"/>
        </w:rPr>
      </w:pPr>
      <w:r w:rsidRPr="0001502D">
        <w:rPr>
          <w:rFonts w:ascii="Arial" w:hAnsi="Arial" w:cs="Arial"/>
          <w:sz w:val="22"/>
          <w:szCs w:val="22"/>
        </w:rPr>
        <w:t xml:space="preserve">R.4 : </w:t>
      </w:r>
      <w:r w:rsidRPr="0001502D">
        <w:rPr>
          <w:rFonts w:ascii="Arial" w:hAnsi="Arial" w:cs="Arial"/>
          <w:sz w:val="22"/>
          <w:szCs w:val="22"/>
        </w:rPr>
        <w:tab/>
        <w:t>Les détenteurs et les praticiens de l</w:t>
      </w:r>
      <w:r w:rsidR="009C104E">
        <w:rPr>
          <w:rFonts w:ascii="Arial" w:hAnsi="Arial" w:cs="Arial"/>
          <w:sz w:val="22"/>
          <w:szCs w:val="22"/>
        </w:rPr>
        <w:t>’</w:t>
      </w:r>
      <w:r w:rsidRPr="0001502D">
        <w:rPr>
          <w:rFonts w:ascii="Arial" w:hAnsi="Arial" w:cs="Arial"/>
          <w:sz w:val="22"/>
          <w:szCs w:val="22"/>
        </w:rPr>
        <w:t>élément ont été informés depuis 2013 de la candidature et des conséquences que pourrait avoir l</w:t>
      </w:r>
      <w:r w:rsidR="009C104E">
        <w:rPr>
          <w:rFonts w:ascii="Arial" w:hAnsi="Arial" w:cs="Arial"/>
          <w:sz w:val="22"/>
          <w:szCs w:val="22"/>
        </w:rPr>
        <w:t>’</w:t>
      </w:r>
      <w:r w:rsidRPr="0001502D">
        <w:rPr>
          <w:rFonts w:ascii="Arial" w:hAnsi="Arial" w:cs="Arial"/>
          <w:sz w:val="22"/>
          <w:szCs w:val="22"/>
        </w:rPr>
        <w:t>inscription. Depuis, ils ont participé à de nombreux ateliers et réunions relatifs au dossier de candidature, lors desquels ils ont pu exprimer leurs préoccupations et suggestions concernant le processus. Des artistes, des hommes et des femmes, des jeunes, des danseurs, des musiciens, des détenteurs du savoir, des universitaires, des fabricants d</w:t>
      </w:r>
      <w:r w:rsidR="009C104E">
        <w:rPr>
          <w:rFonts w:ascii="Arial" w:hAnsi="Arial" w:cs="Arial"/>
          <w:sz w:val="22"/>
          <w:szCs w:val="22"/>
        </w:rPr>
        <w:t>’</w:t>
      </w:r>
      <w:r w:rsidRPr="0001502D">
        <w:rPr>
          <w:rFonts w:ascii="Arial" w:hAnsi="Arial" w:cs="Arial"/>
          <w:sz w:val="22"/>
          <w:szCs w:val="22"/>
        </w:rPr>
        <w:t>instruments, des chanteurs et encore bien d</w:t>
      </w:r>
      <w:r w:rsidR="009C104E">
        <w:rPr>
          <w:rFonts w:ascii="Arial" w:hAnsi="Arial" w:cs="Arial"/>
          <w:sz w:val="22"/>
          <w:szCs w:val="22"/>
        </w:rPr>
        <w:t>’</w:t>
      </w:r>
      <w:r w:rsidRPr="0001502D">
        <w:rPr>
          <w:rFonts w:ascii="Arial" w:hAnsi="Arial" w:cs="Arial"/>
          <w:sz w:val="22"/>
          <w:szCs w:val="22"/>
        </w:rPr>
        <w:t>autres membres des communautés concernées ont exprimé leur consentement libre, préalable et éclairé, à l</w:t>
      </w:r>
      <w:r w:rsidR="009C104E">
        <w:rPr>
          <w:rFonts w:ascii="Arial" w:hAnsi="Arial" w:cs="Arial"/>
          <w:sz w:val="22"/>
          <w:szCs w:val="22"/>
        </w:rPr>
        <w:t>’</w:t>
      </w:r>
      <w:r w:rsidRPr="0001502D">
        <w:rPr>
          <w:rFonts w:ascii="Arial" w:hAnsi="Arial" w:cs="Arial"/>
          <w:sz w:val="22"/>
          <w:szCs w:val="22"/>
        </w:rPr>
        <w:t>oral et par écrit.</w:t>
      </w:r>
    </w:p>
    <w:p w14:paraId="46181757" w14:textId="41F45FCA" w:rsidR="0001502D" w:rsidRPr="0001502D" w:rsidRDefault="0001502D" w:rsidP="002A7118">
      <w:pPr>
        <w:tabs>
          <w:tab w:val="left" w:pos="1134"/>
          <w:tab w:val="left" w:pos="2268"/>
        </w:tabs>
        <w:spacing w:before="120" w:after="120"/>
        <w:ind w:left="1134" w:hanging="555"/>
        <w:jc w:val="both"/>
        <w:rPr>
          <w:rFonts w:ascii="Arial" w:hAnsi="Arial" w:cs="Arial"/>
          <w:sz w:val="22"/>
          <w:szCs w:val="22"/>
        </w:rPr>
      </w:pPr>
      <w:r w:rsidRPr="0001502D">
        <w:rPr>
          <w:rFonts w:ascii="Arial" w:hAnsi="Arial" w:cs="Arial"/>
          <w:sz w:val="22"/>
          <w:szCs w:val="22"/>
        </w:rPr>
        <w:t xml:space="preserve">R.5 : </w:t>
      </w:r>
      <w:r w:rsidRPr="0001502D">
        <w:rPr>
          <w:rFonts w:ascii="Arial" w:hAnsi="Arial" w:cs="Arial"/>
          <w:sz w:val="22"/>
          <w:szCs w:val="22"/>
        </w:rPr>
        <w:tab/>
        <w:t>Le moutya est inclus dans l</w:t>
      </w:r>
      <w:r w:rsidR="009C104E">
        <w:rPr>
          <w:rFonts w:ascii="Arial" w:hAnsi="Arial" w:cs="Arial"/>
          <w:sz w:val="22"/>
          <w:szCs w:val="22"/>
        </w:rPr>
        <w:t>’</w:t>
      </w:r>
      <w:r w:rsidRPr="0001502D">
        <w:rPr>
          <w:rFonts w:ascii="Arial" w:hAnsi="Arial" w:cs="Arial"/>
          <w:sz w:val="22"/>
          <w:szCs w:val="22"/>
        </w:rPr>
        <w:t>Inventaire national du patrimoine culturel immatériel de la République des Seychelles depuis 2010. La section Recherche et protection du patrimoine national du Département de la culture, au sein du Ministère de la jeunesse, des sports et de la culture, est le service responsable de la mise à jour de cet inventaire, avec la participation des représentants des praticiens, des artistes, des fabricants d</w:t>
      </w:r>
      <w:r w:rsidR="009C104E">
        <w:rPr>
          <w:rFonts w:ascii="Arial" w:hAnsi="Arial" w:cs="Arial"/>
          <w:sz w:val="22"/>
          <w:szCs w:val="22"/>
        </w:rPr>
        <w:t>’</w:t>
      </w:r>
      <w:r w:rsidRPr="0001502D">
        <w:rPr>
          <w:rFonts w:ascii="Arial" w:hAnsi="Arial" w:cs="Arial"/>
          <w:sz w:val="22"/>
          <w:szCs w:val="22"/>
        </w:rPr>
        <w:t>instruments et des organisations des communautés.</w:t>
      </w:r>
    </w:p>
    <w:p w14:paraId="25443202" w14:textId="7D3266AD" w:rsidR="0001502D" w:rsidRPr="0001502D" w:rsidRDefault="0001502D" w:rsidP="00771F30">
      <w:pPr>
        <w:keepNext/>
        <w:numPr>
          <w:ilvl w:val="1"/>
          <w:numId w:val="41"/>
        </w:numPr>
        <w:tabs>
          <w:tab w:val="left" w:pos="567"/>
          <w:tab w:val="left" w:pos="1701"/>
          <w:tab w:val="left" w:pos="2268"/>
        </w:tabs>
        <w:spacing w:before="120" w:after="120"/>
        <w:ind w:left="567"/>
        <w:jc w:val="both"/>
        <w:rPr>
          <w:rFonts w:ascii="Arial" w:hAnsi="Arial" w:cs="Arial"/>
          <w:sz w:val="22"/>
          <w:szCs w:val="22"/>
          <w:lang w:eastAsia="ko-KR"/>
        </w:rPr>
      </w:pPr>
      <w:r w:rsidRPr="0001502D">
        <w:rPr>
          <w:rFonts w:ascii="Arial" w:hAnsi="Arial" w:cs="Arial"/>
          <w:sz w:val="22"/>
          <w:szCs w:val="22"/>
          <w:u w:val="single"/>
          <w:lang w:eastAsia="ko-KR"/>
        </w:rPr>
        <w:t>Estime en outre</w:t>
      </w:r>
      <w:r w:rsidRPr="0001502D">
        <w:rPr>
          <w:rFonts w:ascii="Arial" w:hAnsi="Arial" w:cs="Arial"/>
          <w:sz w:val="22"/>
          <w:szCs w:val="22"/>
          <w:lang w:eastAsia="ko-KR"/>
        </w:rPr>
        <w:t xml:space="preserve"> que les informations contenues dans le dossier ne sont pas suffisantes pour permettre au Comité de déterminer si les critères d</w:t>
      </w:r>
      <w:r w:rsidR="009C104E">
        <w:rPr>
          <w:rFonts w:ascii="Arial" w:hAnsi="Arial" w:cs="Arial"/>
          <w:sz w:val="22"/>
          <w:szCs w:val="22"/>
          <w:lang w:eastAsia="ko-KR"/>
        </w:rPr>
        <w:t>’</w:t>
      </w:r>
      <w:r w:rsidRPr="0001502D">
        <w:rPr>
          <w:rFonts w:ascii="Arial" w:hAnsi="Arial" w:cs="Arial"/>
          <w:sz w:val="22"/>
          <w:szCs w:val="22"/>
          <w:lang w:eastAsia="ko-KR"/>
        </w:rPr>
        <w:t>inscription sur la Liste représentative du patrimoine culturel immatériel de l</w:t>
      </w:r>
      <w:r w:rsidR="009C104E">
        <w:rPr>
          <w:rFonts w:ascii="Arial" w:hAnsi="Arial" w:cs="Arial"/>
          <w:sz w:val="22"/>
          <w:szCs w:val="22"/>
          <w:lang w:eastAsia="ko-KR"/>
        </w:rPr>
        <w:t>’</w:t>
      </w:r>
      <w:r w:rsidRPr="0001502D">
        <w:rPr>
          <w:rFonts w:ascii="Arial" w:hAnsi="Arial" w:cs="Arial"/>
          <w:sz w:val="22"/>
          <w:szCs w:val="22"/>
          <w:lang w:eastAsia="ko-KR"/>
        </w:rPr>
        <w:t>humanité suivants sont satisfaits :</w:t>
      </w:r>
    </w:p>
    <w:p w14:paraId="443F428E" w14:textId="7C651D6C" w:rsidR="0001502D" w:rsidRPr="0001502D" w:rsidRDefault="0001502D" w:rsidP="002A7118">
      <w:pPr>
        <w:tabs>
          <w:tab w:val="left" w:pos="1134"/>
          <w:tab w:val="left" w:pos="2268"/>
        </w:tabs>
        <w:spacing w:before="120" w:after="120"/>
        <w:ind w:left="1134" w:hanging="555"/>
        <w:jc w:val="both"/>
        <w:rPr>
          <w:rFonts w:ascii="Arial" w:hAnsi="Arial" w:cs="Arial"/>
          <w:sz w:val="22"/>
          <w:szCs w:val="22"/>
        </w:rPr>
      </w:pPr>
      <w:r w:rsidRPr="0001502D">
        <w:rPr>
          <w:rFonts w:ascii="Arial" w:hAnsi="Arial" w:cs="Arial"/>
          <w:sz w:val="22"/>
          <w:szCs w:val="22"/>
        </w:rPr>
        <w:t xml:space="preserve">R.2 : </w:t>
      </w:r>
      <w:r w:rsidRPr="0001502D">
        <w:rPr>
          <w:rFonts w:ascii="Arial" w:hAnsi="Arial" w:cs="Arial"/>
          <w:sz w:val="22"/>
          <w:szCs w:val="22"/>
        </w:rPr>
        <w:tab/>
        <w:t>Rien ne prouve comment l</w:t>
      </w:r>
      <w:r w:rsidR="009C104E">
        <w:rPr>
          <w:rFonts w:ascii="Arial" w:hAnsi="Arial" w:cs="Arial"/>
          <w:sz w:val="22"/>
          <w:szCs w:val="22"/>
        </w:rPr>
        <w:t>’</w:t>
      </w:r>
      <w:r w:rsidRPr="0001502D">
        <w:rPr>
          <w:rFonts w:ascii="Arial" w:hAnsi="Arial" w:cs="Arial"/>
          <w:sz w:val="22"/>
          <w:szCs w:val="22"/>
        </w:rPr>
        <w:t>inscription de l</w:t>
      </w:r>
      <w:r w:rsidR="009C104E">
        <w:rPr>
          <w:rFonts w:ascii="Arial" w:hAnsi="Arial" w:cs="Arial"/>
          <w:sz w:val="22"/>
          <w:szCs w:val="22"/>
        </w:rPr>
        <w:t>’</w:t>
      </w:r>
      <w:r w:rsidRPr="0001502D">
        <w:rPr>
          <w:rFonts w:ascii="Arial" w:hAnsi="Arial" w:cs="Arial"/>
          <w:sz w:val="22"/>
          <w:szCs w:val="22"/>
        </w:rPr>
        <w:t>élément pourrait contribuer à la visibilité du patrimoine culturel immatériel et à la prise de conscience de son importance. Au contraire, le dossier de candidature met l</w:t>
      </w:r>
      <w:r w:rsidR="009C104E">
        <w:rPr>
          <w:rFonts w:ascii="Arial" w:hAnsi="Arial" w:cs="Arial"/>
          <w:sz w:val="22"/>
          <w:szCs w:val="22"/>
        </w:rPr>
        <w:t>’</w:t>
      </w:r>
      <w:r w:rsidRPr="0001502D">
        <w:rPr>
          <w:rFonts w:ascii="Arial" w:hAnsi="Arial" w:cs="Arial"/>
          <w:sz w:val="22"/>
          <w:szCs w:val="22"/>
        </w:rPr>
        <w:t>accent sur la visibilité de l</w:t>
      </w:r>
      <w:r w:rsidR="009C104E">
        <w:rPr>
          <w:rFonts w:ascii="Arial" w:hAnsi="Arial" w:cs="Arial"/>
          <w:sz w:val="22"/>
          <w:szCs w:val="22"/>
        </w:rPr>
        <w:t>’</w:t>
      </w:r>
      <w:r w:rsidRPr="0001502D">
        <w:rPr>
          <w:rFonts w:ascii="Arial" w:hAnsi="Arial" w:cs="Arial"/>
          <w:sz w:val="22"/>
          <w:szCs w:val="22"/>
        </w:rPr>
        <w:t>élément lui-même, et en particulier sur la promotion du tourisme. De plus, le dossier indique que l</w:t>
      </w:r>
      <w:r w:rsidR="009C104E">
        <w:rPr>
          <w:rFonts w:ascii="Arial" w:hAnsi="Arial" w:cs="Arial"/>
          <w:sz w:val="22"/>
          <w:szCs w:val="22"/>
        </w:rPr>
        <w:t>’</w:t>
      </w:r>
      <w:r w:rsidRPr="0001502D">
        <w:rPr>
          <w:rFonts w:ascii="Arial" w:hAnsi="Arial" w:cs="Arial"/>
          <w:sz w:val="22"/>
          <w:szCs w:val="22"/>
        </w:rPr>
        <w:t>inscription encouragerait le dialogue et les liens avec d</w:t>
      </w:r>
      <w:r w:rsidR="009C104E">
        <w:rPr>
          <w:rFonts w:ascii="Arial" w:hAnsi="Arial" w:cs="Arial"/>
          <w:sz w:val="22"/>
          <w:szCs w:val="22"/>
        </w:rPr>
        <w:t>’</w:t>
      </w:r>
      <w:r w:rsidRPr="0001502D">
        <w:rPr>
          <w:rFonts w:ascii="Arial" w:hAnsi="Arial" w:cs="Arial"/>
          <w:sz w:val="22"/>
          <w:szCs w:val="22"/>
        </w:rPr>
        <w:t>autres industries créatives et créerait des opportunités d</w:t>
      </w:r>
      <w:r w:rsidR="009C104E">
        <w:rPr>
          <w:rFonts w:ascii="Arial" w:hAnsi="Arial" w:cs="Arial"/>
          <w:sz w:val="22"/>
          <w:szCs w:val="22"/>
        </w:rPr>
        <w:t>’</w:t>
      </w:r>
      <w:r w:rsidRPr="0001502D">
        <w:rPr>
          <w:rFonts w:ascii="Arial" w:hAnsi="Arial" w:cs="Arial"/>
          <w:sz w:val="22"/>
          <w:szCs w:val="22"/>
        </w:rPr>
        <w:t>emploi pour les artistes. Une telle approche, qui met principalement l</w:t>
      </w:r>
      <w:r w:rsidR="009C104E">
        <w:rPr>
          <w:rFonts w:ascii="Arial" w:hAnsi="Arial" w:cs="Arial"/>
          <w:sz w:val="22"/>
          <w:szCs w:val="22"/>
        </w:rPr>
        <w:t>’</w:t>
      </w:r>
      <w:r w:rsidRPr="0001502D">
        <w:rPr>
          <w:rFonts w:ascii="Arial" w:hAnsi="Arial" w:cs="Arial"/>
          <w:sz w:val="22"/>
          <w:szCs w:val="22"/>
        </w:rPr>
        <w:t>accent sur l</w:t>
      </w:r>
      <w:r w:rsidR="009C104E">
        <w:rPr>
          <w:rFonts w:ascii="Arial" w:hAnsi="Arial" w:cs="Arial"/>
          <w:sz w:val="22"/>
          <w:szCs w:val="22"/>
        </w:rPr>
        <w:t>’</w:t>
      </w:r>
      <w:r w:rsidRPr="0001502D">
        <w:rPr>
          <w:rFonts w:ascii="Arial" w:hAnsi="Arial" w:cs="Arial"/>
          <w:sz w:val="22"/>
          <w:szCs w:val="22"/>
        </w:rPr>
        <w:t>amélioration de la visibilité du patrimoine culturel immatériel par des approches commerciales, n</w:t>
      </w:r>
      <w:r w:rsidR="009C104E">
        <w:rPr>
          <w:rFonts w:ascii="Arial" w:hAnsi="Arial" w:cs="Arial"/>
          <w:sz w:val="22"/>
          <w:szCs w:val="22"/>
        </w:rPr>
        <w:t>’</w:t>
      </w:r>
      <w:r w:rsidRPr="0001502D">
        <w:rPr>
          <w:rFonts w:ascii="Arial" w:hAnsi="Arial" w:cs="Arial"/>
          <w:sz w:val="22"/>
          <w:szCs w:val="22"/>
        </w:rPr>
        <w:t>est pas nécessairement conforme à l</w:t>
      </w:r>
      <w:r w:rsidR="009C104E">
        <w:rPr>
          <w:rFonts w:ascii="Arial" w:hAnsi="Arial" w:cs="Arial"/>
          <w:sz w:val="22"/>
          <w:szCs w:val="22"/>
        </w:rPr>
        <w:t>’</w:t>
      </w:r>
      <w:r w:rsidRPr="0001502D">
        <w:rPr>
          <w:rFonts w:ascii="Arial" w:hAnsi="Arial" w:cs="Arial"/>
          <w:sz w:val="22"/>
          <w:szCs w:val="22"/>
        </w:rPr>
        <w:t>objectif de la Convention.</w:t>
      </w:r>
    </w:p>
    <w:p w14:paraId="49E91488" w14:textId="1239C25B" w:rsidR="0001502D" w:rsidRPr="0001502D" w:rsidRDefault="0001502D" w:rsidP="002A7118">
      <w:pPr>
        <w:tabs>
          <w:tab w:val="left" w:pos="1134"/>
          <w:tab w:val="left" w:pos="2268"/>
        </w:tabs>
        <w:spacing w:before="120" w:after="120"/>
        <w:ind w:left="1134" w:hanging="555"/>
        <w:jc w:val="both"/>
        <w:rPr>
          <w:rFonts w:ascii="Arial" w:hAnsi="Arial" w:cs="Arial"/>
          <w:sz w:val="22"/>
          <w:szCs w:val="22"/>
        </w:rPr>
      </w:pPr>
      <w:r w:rsidRPr="0001502D">
        <w:rPr>
          <w:rFonts w:ascii="Arial" w:hAnsi="Arial" w:cs="Arial"/>
          <w:sz w:val="22"/>
          <w:szCs w:val="22"/>
        </w:rPr>
        <w:t>R.3 :</w:t>
      </w:r>
      <w:r w:rsidRPr="0001502D">
        <w:rPr>
          <w:rFonts w:ascii="Arial" w:hAnsi="Arial" w:cs="Arial"/>
          <w:sz w:val="22"/>
          <w:szCs w:val="22"/>
        </w:rPr>
        <w:tab/>
        <w:t>Les mesures de sauvegarde proposées sont très générales et ne prennent pas en compte les éventuels impacts négatifs de l</w:t>
      </w:r>
      <w:r w:rsidR="009C104E">
        <w:rPr>
          <w:rFonts w:ascii="Arial" w:hAnsi="Arial" w:cs="Arial"/>
          <w:sz w:val="22"/>
          <w:szCs w:val="22"/>
        </w:rPr>
        <w:t>’</w:t>
      </w:r>
      <w:r w:rsidRPr="0001502D">
        <w:rPr>
          <w:rFonts w:ascii="Arial" w:hAnsi="Arial" w:cs="Arial"/>
          <w:sz w:val="22"/>
          <w:szCs w:val="22"/>
        </w:rPr>
        <w:t>inscription de l</w:t>
      </w:r>
      <w:r w:rsidR="009C104E">
        <w:rPr>
          <w:rFonts w:ascii="Arial" w:hAnsi="Arial" w:cs="Arial"/>
          <w:sz w:val="22"/>
          <w:szCs w:val="22"/>
        </w:rPr>
        <w:t>’</w:t>
      </w:r>
      <w:r w:rsidRPr="0001502D">
        <w:rPr>
          <w:rFonts w:ascii="Arial" w:hAnsi="Arial" w:cs="Arial"/>
          <w:sz w:val="22"/>
          <w:szCs w:val="22"/>
        </w:rPr>
        <w:t>élément. Même si le dossier de candidature mentionne explicitement le risque de commercialisation excessive de l</w:t>
      </w:r>
      <w:r w:rsidR="009C104E">
        <w:rPr>
          <w:rFonts w:ascii="Arial" w:hAnsi="Arial" w:cs="Arial"/>
          <w:sz w:val="22"/>
          <w:szCs w:val="22"/>
        </w:rPr>
        <w:t>’</w:t>
      </w:r>
      <w:r w:rsidRPr="0001502D">
        <w:rPr>
          <w:rFonts w:ascii="Arial" w:hAnsi="Arial" w:cs="Arial"/>
          <w:sz w:val="22"/>
          <w:szCs w:val="22"/>
        </w:rPr>
        <w:t>élément, aucune mesure de sauvegarde n</w:t>
      </w:r>
      <w:r w:rsidR="009C104E">
        <w:rPr>
          <w:rFonts w:ascii="Arial" w:hAnsi="Arial" w:cs="Arial"/>
          <w:sz w:val="22"/>
          <w:szCs w:val="22"/>
        </w:rPr>
        <w:t>’</w:t>
      </w:r>
      <w:r w:rsidRPr="0001502D">
        <w:rPr>
          <w:rFonts w:ascii="Arial" w:hAnsi="Arial" w:cs="Arial"/>
          <w:sz w:val="22"/>
          <w:szCs w:val="22"/>
        </w:rPr>
        <w:t>est proposée pour remédier à cette menace. Au contraire, les mesures proposées pourraient décontextualiser l</w:t>
      </w:r>
      <w:r w:rsidR="009C104E">
        <w:rPr>
          <w:rFonts w:ascii="Arial" w:hAnsi="Arial" w:cs="Arial"/>
          <w:sz w:val="22"/>
          <w:szCs w:val="22"/>
        </w:rPr>
        <w:t>’</w:t>
      </w:r>
      <w:r w:rsidRPr="0001502D">
        <w:rPr>
          <w:rFonts w:ascii="Arial" w:hAnsi="Arial" w:cs="Arial"/>
          <w:sz w:val="22"/>
          <w:szCs w:val="22"/>
        </w:rPr>
        <w:t>élément, dans la mesure où il est mis en avant comme un produit ou une attraction touristique. De plus, une approche descendante a été adoptée pour la conception des mesures de sauvegarde.</w:t>
      </w:r>
    </w:p>
    <w:p w14:paraId="0DC5822C" w14:textId="50AF9347" w:rsidR="0001502D" w:rsidRPr="0001502D" w:rsidRDefault="0001502D" w:rsidP="00771F30">
      <w:pPr>
        <w:numPr>
          <w:ilvl w:val="1"/>
          <w:numId w:val="41"/>
        </w:numPr>
        <w:tabs>
          <w:tab w:val="left" w:pos="567"/>
          <w:tab w:val="left" w:pos="1701"/>
          <w:tab w:val="left" w:pos="2268"/>
        </w:tabs>
        <w:spacing w:before="120" w:after="120"/>
        <w:ind w:left="567"/>
        <w:jc w:val="both"/>
        <w:rPr>
          <w:rFonts w:ascii="Arial" w:hAnsi="Arial" w:cs="Arial"/>
          <w:sz w:val="22"/>
          <w:szCs w:val="22"/>
          <w:lang w:eastAsia="ko-KR"/>
        </w:rPr>
      </w:pPr>
      <w:r w:rsidRPr="0001502D">
        <w:rPr>
          <w:rFonts w:ascii="Arial" w:hAnsi="Arial" w:cs="Arial"/>
          <w:sz w:val="22"/>
          <w:szCs w:val="22"/>
          <w:u w:val="single"/>
          <w:lang w:eastAsia="ko-KR"/>
        </w:rPr>
        <w:t>Décide de renvoyer</w:t>
      </w:r>
      <w:r w:rsidRPr="0001502D">
        <w:rPr>
          <w:rFonts w:ascii="Arial" w:hAnsi="Arial" w:cs="Arial"/>
          <w:sz w:val="22"/>
          <w:szCs w:val="22"/>
          <w:lang w:eastAsia="ko-KR"/>
        </w:rPr>
        <w:t xml:space="preserve"> la candidature </w:t>
      </w:r>
      <w:r w:rsidRPr="0001502D">
        <w:rPr>
          <w:rFonts w:ascii="Arial" w:hAnsi="Arial" w:cs="Arial"/>
          <w:b/>
          <w:sz w:val="22"/>
          <w:szCs w:val="22"/>
          <w:lang w:eastAsia="ko-KR"/>
        </w:rPr>
        <w:t xml:space="preserve">du </w:t>
      </w:r>
      <w:r w:rsidRPr="0001502D">
        <w:rPr>
          <w:rFonts w:ascii="Arial" w:hAnsi="Arial" w:cs="Arial"/>
          <w:b/>
          <w:bCs/>
          <w:sz w:val="22"/>
          <w:szCs w:val="22"/>
          <w:lang w:eastAsia="ko-KR"/>
        </w:rPr>
        <w:t>moutya</w:t>
      </w:r>
      <w:r w:rsidRPr="0001502D">
        <w:rPr>
          <w:rFonts w:ascii="Arial" w:hAnsi="Arial" w:cs="Arial"/>
          <w:sz w:val="22"/>
          <w:szCs w:val="22"/>
          <w:lang w:eastAsia="ko-KR"/>
        </w:rPr>
        <w:t xml:space="preserve"> à l</w:t>
      </w:r>
      <w:r w:rsidR="009C104E">
        <w:rPr>
          <w:rFonts w:ascii="Arial" w:hAnsi="Arial" w:cs="Arial"/>
          <w:sz w:val="22"/>
          <w:szCs w:val="22"/>
          <w:lang w:eastAsia="ko-KR"/>
        </w:rPr>
        <w:t>’</w:t>
      </w:r>
      <w:r w:rsidRPr="0001502D">
        <w:rPr>
          <w:rFonts w:ascii="Arial" w:hAnsi="Arial" w:cs="Arial"/>
          <w:sz w:val="22"/>
          <w:szCs w:val="22"/>
          <w:lang w:eastAsia="ko-KR"/>
        </w:rPr>
        <w:t>État partie soumissionnaire et l</w:t>
      </w:r>
      <w:r w:rsidR="009C104E">
        <w:rPr>
          <w:rFonts w:ascii="Arial" w:hAnsi="Arial" w:cs="Arial"/>
          <w:sz w:val="22"/>
          <w:szCs w:val="22"/>
          <w:lang w:eastAsia="ko-KR"/>
        </w:rPr>
        <w:t>’</w:t>
      </w:r>
      <w:r w:rsidRPr="0001502D">
        <w:rPr>
          <w:rFonts w:ascii="Arial" w:hAnsi="Arial" w:cs="Arial"/>
          <w:sz w:val="22"/>
          <w:szCs w:val="22"/>
          <w:u w:val="single"/>
          <w:lang w:eastAsia="ko-KR"/>
        </w:rPr>
        <w:t>invite</w:t>
      </w:r>
      <w:r w:rsidRPr="0001502D">
        <w:rPr>
          <w:rFonts w:ascii="Arial" w:hAnsi="Arial" w:cs="Arial"/>
          <w:sz w:val="22"/>
          <w:szCs w:val="22"/>
          <w:lang w:eastAsia="ko-KR"/>
        </w:rPr>
        <w:t xml:space="preserve"> à resoumettre la candidature au Comité pour examen au cours d</w:t>
      </w:r>
      <w:r w:rsidR="009C104E">
        <w:rPr>
          <w:rFonts w:ascii="Arial" w:hAnsi="Arial" w:cs="Arial"/>
          <w:sz w:val="22"/>
          <w:szCs w:val="22"/>
          <w:lang w:eastAsia="ko-KR"/>
        </w:rPr>
        <w:t>’</w:t>
      </w:r>
      <w:r w:rsidRPr="0001502D">
        <w:rPr>
          <w:rFonts w:ascii="Arial" w:hAnsi="Arial" w:cs="Arial"/>
          <w:sz w:val="22"/>
          <w:szCs w:val="22"/>
          <w:lang w:eastAsia="ko-KR"/>
        </w:rPr>
        <w:t>un cycle ultérieur ;</w:t>
      </w:r>
    </w:p>
    <w:p w14:paraId="6D1F8083" w14:textId="77EF570E" w:rsidR="0001502D" w:rsidRPr="0001502D" w:rsidRDefault="0001502D" w:rsidP="00771F30">
      <w:pPr>
        <w:numPr>
          <w:ilvl w:val="1"/>
          <w:numId w:val="41"/>
        </w:numPr>
        <w:tabs>
          <w:tab w:val="left" w:pos="567"/>
          <w:tab w:val="left" w:pos="1701"/>
          <w:tab w:val="left" w:pos="2268"/>
        </w:tabs>
        <w:spacing w:before="120" w:after="120"/>
        <w:ind w:left="567"/>
        <w:jc w:val="both"/>
        <w:rPr>
          <w:rFonts w:ascii="Arial" w:hAnsi="Arial" w:cs="Arial"/>
          <w:sz w:val="22"/>
          <w:szCs w:val="22"/>
          <w:lang w:eastAsia="ko-KR"/>
        </w:rPr>
      </w:pPr>
      <w:r w:rsidRPr="0001502D">
        <w:rPr>
          <w:rFonts w:ascii="Arial" w:hAnsi="Arial" w:cs="Arial"/>
          <w:sz w:val="22"/>
          <w:szCs w:val="22"/>
          <w:u w:val="single"/>
          <w:lang w:eastAsia="ko-KR"/>
        </w:rPr>
        <w:t>Invite en outre</w:t>
      </w:r>
      <w:r w:rsidRPr="0001502D">
        <w:rPr>
          <w:rFonts w:ascii="Arial" w:hAnsi="Arial" w:cs="Arial"/>
          <w:sz w:val="22"/>
          <w:szCs w:val="22"/>
          <w:lang w:eastAsia="ko-KR"/>
        </w:rPr>
        <w:t xml:space="preserve"> l</w:t>
      </w:r>
      <w:r w:rsidR="009C104E">
        <w:rPr>
          <w:rFonts w:ascii="Arial" w:hAnsi="Arial" w:cs="Arial"/>
          <w:sz w:val="22"/>
          <w:szCs w:val="22"/>
          <w:lang w:eastAsia="ko-KR"/>
        </w:rPr>
        <w:t>’</w:t>
      </w:r>
      <w:r w:rsidRPr="0001502D">
        <w:rPr>
          <w:rFonts w:ascii="Arial" w:hAnsi="Arial" w:cs="Arial"/>
          <w:sz w:val="22"/>
          <w:szCs w:val="22"/>
          <w:lang w:eastAsia="ko-KR"/>
        </w:rPr>
        <w:t>État partie à tenir particulièrement compte de l</w:t>
      </w:r>
      <w:r w:rsidR="009C104E">
        <w:rPr>
          <w:rFonts w:ascii="Arial" w:hAnsi="Arial" w:cs="Arial"/>
          <w:sz w:val="22"/>
          <w:szCs w:val="22"/>
          <w:lang w:eastAsia="ko-KR"/>
        </w:rPr>
        <w:t>’</w:t>
      </w:r>
      <w:r w:rsidRPr="0001502D">
        <w:rPr>
          <w:rFonts w:ascii="Arial" w:hAnsi="Arial" w:cs="Arial"/>
          <w:sz w:val="22"/>
          <w:szCs w:val="22"/>
          <w:lang w:eastAsia="ko-KR"/>
        </w:rPr>
        <w:t>impact du tourisme de masse et de la commercialisation excessive sur la sauvegarde de l</w:t>
      </w:r>
      <w:r w:rsidR="009C104E">
        <w:rPr>
          <w:rFonts w:ascii="Arial" w:hAnsi="Arial" w:cs="Arial"/>
          <w:sz w:val="22"/>
          <w:szCs w:val="22"/>
          <w:lang w:eastAsia="ko-KR"/>
        </w:rPr>
        <w:t>’</w:t>
      </w:r>
      <w:r w:rsidRPr="0001502D">
        <w:rPr>
          <w:rFonts w:ascii="Arial" w:hAnsi="Arial" w:cs="Arial"/>
          <w:sz w:val="22"/>
          <w:szCs w:val="22"/>
          <w:lang w:eastAsia="ko-KR"/>
        </w:rPr>
        <w:t>élément, afin d</w:t>
      </w:r>
      <w:r w:rsidR="009C104E">
        <w:rPr>
          <w:rFonts w:ascii="Arial" w:hAnsi="Arial" w:cs="Arial"/>
          <w:sz w:val="22"/>
          <w:szCs w:val="22"/>
          <w:lang w:eastAsia="ko-KR"/>
        </w:rPr>
        <w:t>’</w:t>
      </w:r>
      <w:r w:rsidRPr="0001502D">
        <w:rPr>
          <w:rFonts w:ascii="Arial" w:hAnsi="Arial" w:cs="Arial"/>
          <w:sz w:val="22"/>
          <w:szCs w:val="22"/>
          <w:lang w:eastAsia="ko-KR"/>
        </w:rPr>
        <w:t>éviter sa potentielle décontextualisation et l</w:t>
      </w:r>
      <w:r w:rsidR="009C104E">
        <w:rPr>
          <w:rFonts w:ascii="Arial" w:hAnsi="Arial" w:cs="Arial"/>
          <w:sz w:val="22"/>
          <w:szCs w:val="22"/>
          <w:lang w:eastAsia="ko-KR"/>
        </w:rPr>
        <w:t>’</w:t>
      </w:r>
      <w:r w:rsidRPr="0001502D">
        <w:rPr>
          <w:rFonts w:ascii="Arial" w:hAnsi="Arial" w:cs="Arial"/>
          <w:sz w:val="22"/>
          <w:szCs w:val="22"/>
          <w:u w:val="single"/>
          <w:lang w:eastAsia="ko-KR"/>
        </w:rPr>
        <w:t>encourage</w:t>
      </w:r>
      <w:r w:rsidRPr="0001502D">
        <w:rPr>
          <w:rFonts w:ascii="Arial" w:hAnsi="Arial" w:cs="Arial"/>
          <w:sz w:val="22"/>
          <w:szCs w:val="22"/>
          <w:lang w:eastAsia="ko-KR"/>
        </w:rPr>
        <w:t xml:space="preserve"> à se concentrer sur les aspects culturels et sociaux de l</w:t>
      </w:r>
      <w:r w:rsidR="009C104E">
        <w:rPr>
          <w:rFonts w:ascii="Arial" w:hAnsi="Arial" w:cs="Arial"/>
          <w:sz w:val="22"/>
          <w:szCs w:val="22"/>
          <w:lang w:eastAsia="ko-KR"/>
        </w:rPr>
        <w:t>’</w:t>
      </w:r>
      <w:r w:rsidRPr="0001502D">
        <w:rPr>
          <w:rFonts w:ascii="Arial" w:hAnsi="Arial" w:cs="Arial"/>
          <w:sz w:val="22"/>
          <w:szCs w:val="22"/>
          <w:lang w:eastAsia="ko-KR"/>
        </w:rPr>
        <w:t>élément lors de la planification et de la mise en œuvre des mesures de sauvegarde ;</w:t>
      </w:r>
    </w:p>
    <w:p w14:paraId="6C921A12" w14:textId="749B6AC3" w:rsidR="0001502D" w:rsidRPr="0001502D" w:rsidRDefault="0001502D" w:rsidP="00771F30">
      <w:pPr>
        <w:numPr>
          <w:ilvl w:val="1"/>
          <w:numId w:val="41"/>
        </w:numPr>
        <w:tabs>
          <w:tab w:val="left" w:pos="567"/>
          <w:tab w:val="left" w:pos="1701"/>
          <w:tab w:val="left" w:pos="2268"/>
        </w:tabs>
        <w:spacing w:before="120" w:after="120"/>
        <w:ind w:left="567"/>
        <w:jc w:val="both"/>
        <w:rPr>
          <w:rFonts w:ascii="Arial" w:hAnsi="Arial" w:cs="Arial"/>
          <w:sz w:val="22"/>
          <w:szCs w:val="22"/>
          <w:lang w:eastAsia="ko-KR"/>
        </w:rPr>
      </w:pPr>
      <w:r w:rsidRPr="0001502D">
        <w:rPr>
          <w:rFonts w:ascii="Arial" w:hAnsi="Arial" w:cs="Arial"/>
          <w:sz w:val="22"/>
          <w:szCs w:val="22"/>
          <w:u w:val="single"/>
          <w:lang w:eastAsia="ko-KR"/>
        </w:rPr>
        <w:t>Rappelle</w:t>
      </w:r>
      <w:r w:rsidRPr="0001502D">
        <w:rPr>
          <w:rFonts w:ascii="Arial" w:hAnsi="Arial" w:cs="Arial"/>
          <w:sz w:val="22"/>
          <w:szCs w:val="22"/>
          <w:lang w:eastAsia="ko-KR"/>
        </w:rPr>
        <w:t xml:space="preserve"> que la Liste représentative du patrimoine culturel immatériel de l</w:t>
      </w:r>
      <w:r w:rsidR="009C104E">
        <w:rPr>
          <w:rFonts w:ascii="Arial" w:hAnsi="Arial" w:cs="Arial"/>
          <w:sz w:val="22"/>
          <w:szCs w:val="22"/>
          <w:lang w:eastAsia="ko-KR"/>
        </w:rPr>
        <w:t>’</w:t>
      </w:r>
      <w:r w:rsidRPr="0001502D">
        <w:rPr>
          <w:rFonts w:ascii="Arial" w:hAnsi="Arial" w:cs="Arial"/>
          <w:sz w:val="22"/>
          <w:szCs w:val="22"/>
          <w:lang w:eastAsia="ko-KR"/>
        </w:rPr>
        <w:t>humanité a pour objectif de garantir la visibilité et la sensibilisation au patrimoine culturel immatériel de manière générale, et non de faire la promotion du tourisme ;</w:t>
      </w:r>
    </w:p>
    <w:p w14:paraId="3BFF27BD" w14:textId="546A5EE9" w:rsidR="0001502D" w:rsidRPr="0001502D" w:rsidRDefault="0001502D" w:rsidP="00771F30">
      <w:pPr>
        <w:numPr>
          <w:ilvl w:val="1"/>
          <w:numId w:val="41"/>
        </w:numPr>
        <w:tabs>
          <w:tab w:val="left" w:pos="567"/>
          <w:tab w:val="left" w:pos="1701"/>
          <w:tab w:val="left" w:pos="2268"/>
        </w:tabs>
        <w:spacing w:before="120" w:after="120"/>
        <w:ind w:left="567"/>
        <w:jc w:val="both"/>
        <w:rPr>
          <w:rFonts w:ascii="Arial" w:hAnsi="Arial" w:cs="Arial"/>
          <w:sz w:val="22"/>
          <w:szCs w:val="22"/>
          <w:lang w:eastAsia="ko-KR"/>
        </w:rPr>
      </w:pPr>
      <w:r w:rsidRPr="0001502D">
        <w:rPr>
          <w:rFonts w:ascii="Arial" w:hAnsi="Arial" w:cs="Arial"/>
          <w:sz w:val="22"/>
          <w:szCs w:val="22"/>
          <w:u w:val="single"/>
          <w:lang w:eastAsia="ko-KR"/>
        </w:rPr>
        <w:t>Rappelle</w:t>
      </w:r>
      <w:r w:rsidRPr="0001502D">
        <w:rPr>
          <w:rFonts w:ascii="Arial" w:hAnsi="Arial" w:cs="Arial"/>
          <w:sz w:val="22"/>
          <w:szCs w:val="22"/>
          <w:lang w:eastAsia="ko-KR"/>
        </w:rPr>
        <w:t xml:space="preserve"> à l</w:t>
      </w:r>
      <w:r w:rsidR="009C104E">
        <w:rPr>
          <w:rFonts w:ascii="Arial" w:hAnsi="Arial" w:cs="Arial"/>
          <w:sz w:val="22"/>
          <w:szCs w:val="22"/>
          <w:lang w:eastAsia="ko-KR"/>
        </w:rPr>
        <w:t>’</w:t>
      </w:r>
      <w:r w:rsidRPr="0001502D">
        <w:rPr>
          <w:rFonts w:ascii="Arial" w:hAnsi="Arial" w:cs="Arial"/>
          <w:sz w:val="22"/>
          <w:szCs w:val="22"/>
          <w:lang w:eastAsia="ko-KR"/>
        </w:rPr>
        <w:t>État partie d</w:t>
      </w:r>
      <w:r w:rsidR="009C104E">
        <w:rPr>
          <w:rFonts w:ascii="Arial" w:hAnsi="Arial" w:cs="Arial"/>
          <w:sz w:val="22"/>
          <w:szCs w:val="22"/>
          <w:lang w:eastAsia="ko-KR"/>
        </w:rPr>
        <w:t>’</w:t>
      </w:r>
      <w:r w:rsidRPr="0001502D">
        <w:rPr>
          <w:rFonts w:ascii="Arial" w:hAnsi="Arial" w:cs="Arial"/>
          <w:sz w:val="22"/>
          <w:szCs w:val="22"/>
          <w:lang w:eastAsia="ko-KR"/>
        </w:rPr>
        <w:t>éviter les approches descendantes pour la sauvegarde de l</w:t>
      </w:r>
      <w:r w:rsidR="009C104E">
        <w:rPr>
          <w:rFonts w:ascii="Arial" w:hAnsi="Arial" w:cs="Arial"/>
          <w:sz w:val="22"/>
          <w:szCs w:val="22"/>
          <w:lang w:eastAsia="ko-KR"/>
        </w:rPr>
        <w:t>’</w:t>
      </w:r>
      <w:r w:rsidRPr="0001502D">
        <w:rPr>
          <w:rFonts w:ascii="Arial" w:hAnsi="Arial" w:cs="Arial"/>
          <w:sz w:val="22"/>
          <w:szCs w:val="22"/>
          <w:lang w:eastAsia="ko-KR"/>
        </w:rPr>
        <w:t>élément, particulièrement dans la définition des mesures et des activités de sauvegarde.</w:t>
      </w:r>
    </w:p>
    <w:p w14:paraId="46A45999" w14:textId="0FC7F4FA" w:rsidR="0001502D" w:rsidRPr="0001502D" w:rsidRDefault="0001502D" w:rsidP="00771F30">
      <w:pPr>
        <w:keepNext/>
        <w:keepLines/>
        <w:numPr>
          <w:ilvl w:val="0"/>
          <w:numId w:val="41"/>
        </w:numPr>
        <w:spacing w:before="360" w:after="120"/>
        <w:outlineLvl w:val="1"/>
        <w:rPr>
          <w:rFonts w:ascii="Arial" w:hAnsi="Arial" w:cs="Arial"/>
          <w:bCs/>
          <w:iCs/>
          <w:sz w:val="22"/>
          <w:szCs w:val="22"/>
        </w:rPr>
      </w:pPr>
      <w:bookmarkStart w:id="36" w:name="Decision_10b33"/>
      <w:r w:rsidRPr="0001502D">
        <w:rPr>
          <w:rFonts w:ascii="Arial" w:hAnsi="Arial" w:cs="Arial"/>
          <w:b/>
          <w:bCs/>
          <w:iCs/>
          <w:sz w:val="22"/>
          <w:szCs w:val="22"/>
        </w:rPr>
        <w:t xml:space="preserve">DÉCISION 14.COM 10.b.33 </w:t>
      </w:r>
    </w:p>
    <w:bookmarkEnd w:id="36"/>
    <w:p w14:paraId="2A0E178D" w14:textId="77777777" w:rsidR="0001502D" w:rsidRPr="0001502D" w:rsidRDefault="0001502D" w:rsidP="002A7118">
      <w:pPr>
        <w:keepNext/>
        <w:tabs>
          <w:tab w:val="left" w:pos="567"/>
          <w:tab w:val="left" w:pos="1134"/>
          <w:tab w:val="left" w:pos="1701"/>
          <w:tab w:val="left" w:pos="2268"/>
        </w:tabs>
        <w:spacing w:before="120" w:after="120"/>
        <w:jc w:val="both"/>
        <w:rPr>
          <w:rFonts w:ascii="Arial" w:hAnsi="Arial" w:cs="Arial"/>
          <w:sz w:val="22"/>
          <w:szCs w:val="22"/>
        </w:rPr>
      </w:pPr>
      <w:r w:rsidRPr="0001502D">
        <w:rPr>
          <w:rFonts w:ascii="Arial" w:hAnsi="Arial" w:cs="Arial"/>
          <w:sz w:val="22"/>
          <w:szCs w:val="22"/>
        </w:rPr>
        <w:t>Le Comité,</w:t>
      </w:r>
    </w:p>
    <w:p w14:paraId="79AA554F" w14:textId="30260C25" w:rsidR="0001502D" w:rsidRPr="0001502D" w:rsidRDefault="0001502D" w:rsidP="00771F30">
      <w:pPr>
        <w:numPr>
          <w:ilvl w:val="1"/>
          <w:numId w:val="41"/>
        </w:numPr>
        <w:tabs>
          <w:tab w:val="left" w:pos="567"/>
          <w:tab w:val="left" w:pos="1701"/>
          <w:tab w:val="left" w:pos="2268"/>
        </w:tabs>
        <w:spacing w:before="120" w:after="120"/>
        <w:ind w:left="567"/>
        <w:jc w:val="both"/>
        <w:rPr>
          <w:rFonts w:ascii="Arial" w:hAnsi="Arial" w:cs="Arial"/>
          <w:sz w:val="22"/>
          <w:szCs w:val="22"/>
          <w:lang w:eastAsia="ko-KR"/>
        </w:rPr>
      </w:pPr>
      <w:r w:rsidRPr="0001502D">
        <w:rPr>
          <w:rFonts w:ascii="Arial" w:hAnsi="Arial" w:cs="Arial"/>
          <w:sz w:val="22"/>
          <w:szCs w:val="22"/>
          <w:u w:val="single"/>
          <w:lang w:eastAsia="ko-KR"/>
        </w:rPr>
        <w:t>Prend note</w:t>
      </w:r>
      <w:r w:rsidRPr="0001502D">
        <w:rPr>
          <w:rFonts w:ascii="Arial" w:hAnsi="Arial" w:cs="Arial"/>
          <w:sz w:val="22"/>
          <w:szCs w:val="22"/>
          <w:lang w:eastAsia="ko-KR"/>
        </w:rPr>
        <w:t xml:space="preserve"> que la Slovaquie a proposé la candidature de </w:t>
      </w:r>
      <w:r w:rsidRPr="0001502D">
        <w:rPr>
          <w:rFonts w:ascii="Arial" w:hAnsi="Arial" w:cs="Arial"/>
          <w:b/>
          <w:bCs/>
          <w:sz w:val="22"/>
          <w:szCs w:val="22"/>
          <w:lang w:eastAsia="ko-KR"/>
        </w:rPr>
        <w:t>Drotárstvo, art et artisanat à partir de fil de fer</w:t>
      </w:r>
      <w:r w:rsidRPr="0001502D">
        <w:rPr>
          <w:rFonts w:ascii="Arial" w:hAnsi="Arial" w:cs="Arial"/>
          <w:sz w:val="22"/>
          <w:szCs w:val="22"/>
          <w:lang w:eastAsia="ko-KR"/>
        </w:rPr>
        <w:t xml:space="preserve"> (n° 01478) pour inscription sur la Liste représentative du patrimoine culturel immatériel de l</w:t>
      </w:r>
      <w:r w:rsidR="009C104E">
        <w:rPr>
          <w:rFonts w:ascii="Arial" w:hAnsi="Arial" w:cs="Arial"/>
          <w:sz w:val="22"/>
          <w:szCs w:val="22"/>
          <w:lang w:eastAsia="ko-KR"/>
        </w:rPr>
        <w:t>’</w:t>
      </w:r>
      <w:r w:rsidRPr="0001502D">
        <w:rPr>
          <w:rFonts w:ascii="Arial" w:hAnsi="Arial" w:cs="Arial"/>
          <w:sz w:val="22"/>
          <w:szCs w:val="22"/>
          <w:lang w:eastAsia="ko-KR"/>
        </w:rPr>
        <w:t>humanité :</w:t>
      </w:r>
    </w:p>
    <w:p w14:paraId="1697B6C8" w14:textId="228E83CE" w:rsidR="0001502D" w:rsidRPr="0001502D" w:rsidRDefault="0001502D" w:rsidP="002A7118">
      <w:pPr>
        <w:tabs>
          <w:tab w:val="left" w:pos="567"/>
          <w:tab w:val="left" w:pos="1701"/>
          <w:tab w:val="left" w:pos="2268"/>
        </w:tabs>
        <w:spacing w:before="120" w:after="120"/>
        <w:ind w:left="567"/>
        <w:jc w:val="both"/>
        <w:rPr>
          <w:rFonts w:ascii="Arial" w:hAnsi="Arial" w:cs="Arial"/>
          <w:sz w:val="22"/>
          <w:szCs w:val="22"/>
        </w:rPr>
      </w:pPr>
      <w:r w:rsidRPr="0001502D">
        <w:rPr>
          <w:rFonts w:ascii="Arial" w:hAnsi="Arial" w:cs="Arial"/>
          <w:sz w:val="22"/>
          <w:szCs w:val="22"/>
        </w:rPr>
        <w:t>Le drotárstvo désigne une technique de fabrication à partir de fil de fer. Au XVIII</w:t>
      </w:r>
      <w:r w:rsidRPr="0001502D">
        <w:rPr>
          <w:rFonts w:ascii="Arial" w:hAnsi="Arial" w:cs="Arial"/>
          <w:sz w:val="22"/>
          <w:szCs w:val="22"/>
          <w:vertAlign w:val="superscript"/>
        </w:rPr>
        <w:t>e</w:t>
      </w:r>
      <w:r w:rsidRPr="0001502D">
        <w:rPr>
          <w:rFonts w:ascii="Arial" w:hAnsi="Arial" w:cs="Arial"/>
          <w:sz w:val="22"/>
          <w:szCs w:val="22"/>
        </w:rPr>
        <w:t> siècle, des artisans ont découvert les propriétés intéressantes du fil de fer et ont développé une technique simple consistant à tordre, lier et entrelacer à la main des fils de métal sans avoir recours au soudage. Cette technique est toujours utilisée aujourd</w:t>
      </w:r>
      <w:r w:rsidR="009C104E">
        <w:rPr>
          <w:rFonts w:ascii="Arial" w:hAnsi="Arial" w:cs="Arial"/>
          <w:sz w:val="22"/>
          <w:szCs w:val="22"/>
        </w:rPr>
        <w:t>’</w:t>
      </w:r>
      <w:r w:rsidRPr="0001502D">
        <w:rPr>
          <w:rFonts w:ascii="Arial" w:hAnsi="Arial" w:cs="Arial"/>
          <w:sz w:val="22"/>
          <w:szCs w:val="22"/>
        </w:rPr>
        <w:t>hui. À l</w:t>
      </w:r>
      <w:r w:rsidR="009C104E">
        <w:rPr>
          <w:rFonts w:ascii="Arial" w:hAnsi="Arial" w:cs="Arial"/>
          <w:sz w:val="22"/>
          <w:szCs w:val="22"/>
        </w:rPr>
        <w:t>’</w:t>
      </w:r>
      <w:r w:rsidRPr="0001502D">
        <w:rPr>
          <w:rFonts w:ascii="Arial" w:hAnsi="Arial" w:cs="Arial"/>
          <w:sz w:val="22"/>
          <w:szCs w:val="22"/>
        </w:rPr>
        <w:t>origine, l</w:t>
      </w:r>
      <w:r w:rsidR="009C104E">
        <w:rPr>
          <w:rFonts w:ascii="Arial" w:hAnsi="Arial" w:cs="Arial"/>
          <w:sz w:val="22"/>
          <w:szCs w:val="22"/>
        </w:rPr>
        <w:t>’</w:t>
      </w:r>
      <w:r w:rsidRPr="0001502D">
        <w:rPr>
          <w:rFonts w:ascii="Arial" w:hAnsi="Arial" w:cs="Arial"/>
          <w:sz w:val="22"/>
          <w:szCs w:val="22"/>
        </w:rPr>
        <w:t>art et l</w:t>
      </w:r>
      <w:r w:rsidR="009C104E">
        <w:rPr>
          <w:rFonts w:ascii="Arial" w:hAnsi="Arial" w:cs="Arial"/>
          <w:sz w:val="22"/>
          <w:szCs w:val="22"/>
        </w:rPr>
        <w:t>’</w:t>
      </w:r>
      <w:r w:rsidRPr="0001502D">
        <w:rPr>
          <w:rFonts w:ascii="Arial" w:hAnsi="Arial" w:cs="Arial"/>
          <w:sz w:val="22"/>
          <w:szCs w:val="22"/>
        </w:rPr>
        <w:t>artisanat à partir de fil de fer</w:t>
      </w:r>
      <w:r w:rsidRPr="0001502D" w:rsidDel="009204F3">
        <w:rPr>
          <w:rFonts w:ascii="Arial" w:hAnsi="Arial" w:cs="Arial"/>
          <w:sz w:val="22"/>
          <w:szCs w:val="22"/>
        </w:rPr>
        <w:t xml:space="preserve"> </w:t>
      </w:r>
      <w:r w:rsidRPr="0001502D">
        <w:rPr>
          <w:rFonts w:ascii="Arial" w:hAnsi="Arial" w:cs="Arial"/>
          <w:sz w:val="22"/>
          <w:szCs w:val="22"/>
        </w:rPr>
        <w:t>était une tâche annexe des travailleurs manuels qui devaient réparer des objets en céramique et des ustensiles de cuisine, et produisaient et vendaient des outils simples en fil de fer. Au cours du XIX</w:t>
      </w:r>
      <w:r w:rsidRPr="0001502D">
        <w:rPr>
          <w:rFonts w:ascii="Arial" w:hAnsi="Arial" w:cs="Arial"/>
          <w:sz w:val="22"/>
          <w:szCs w:val="22"/>
          <w:vertAlign w:val="superscript"/>
        </w:rPr>
        <w:t>e</w:t>
      </w:r>
      <w:r w:rsidRPr="0001502D">
        <w:rPr>
          <w:rFonts w:ascii="Arial" w:hAnsi="Arial" w:cs="Arial"/>
          <w:sz w:val="22"/>
          <w:szCs w:val="22"/>
        </w:rPr>
        <w:t xml:space="preserve"> siècle, cette pratique est devenue un artisanat à part entière, et depuis le XX</w:t>
      </w:r>
      <w:r w:rsidRPr="0001502D">
        <w:rPr>
          <w:rFonts w:ascii="Arial" w:hAnsi="Arial" w:cs="Arial"/>
          <w:sz w:val="22"/>
          <w:szCs w:val="22"/>
          <w:vertAlign w:val="superscript"/>
        </w:rPr>
        <w:t>e</w:t>
      </w:r>
      <w:r w:rsidRPr="0001502D">
        <w:rPr>
          <w:rFonts w:ascii="Arial" w:hAnsi="Arial" w:cs="Arial"/>
          <w:sz w:val="22"/>
          <w:szCs w:val="22"/>
        </w:rPr>
        <w:t> siècle, les artisans du fil de fer utilisent ce matériau pour créer des outils de la vie quotidienne et des objets d</w:t>
      </w:r>
      <w:r w:rsidR="009C104E">
        <w:rPr>
          <w:rFonts w:ascii="Arial" w:hAnsi="Arial" w:cs="Arial"/>
          <w:sz w:val="22"/>
          <w:szCs w:val="22"/>
        </w:rPr>
        <w:t>’</w:t>
      </w:r>
      <w:r w:rsidRPr="0001502D">
        <w:rPr>
          <w:rFonts w:ascii="Arial" w:hAnsi="Arial" w:cs="Arial"/>
          <w:sz w:val="22"/>
          <w:szCs w:val="22"/>
        </w:rPr>
        <w:t>art. Comme autrefois, ils s</w:t>
      </w:r>
      <w:r w:rsidR="009C104E">
        <w:rPr>
          <w:rFonts w:ascii="Arial" w:hAnsi="Arial" w:cs="Arial"/>
          <w:sz w:val="22"/>
          <w:szCs w:val="22"/>
        </w:rPr>
        <w:t>’</w:t>
      </w:r>
      <w:r w:rsidRPr="0001502D">
        <w:rPr>
          <w:rFonts w:ascii="Arial" w:hAnsi="Arial" w:cs="Arial"/>
          <w:sz w:val="22"/>
          <w:szCs w:val="22"/>
        </w:rPr>
        <w:t>adaptent à la demande du marché local et enrichissent la collection traditionnelle de nouveaux articles et objets d</w:t>
      </w:r>
      <w:r w:rsidR="009C104E">
        <w:rPr>
          <w:rFonts w:ascii="Arial" w:hAnsi="Arial" w:cs="Arial"/>
          <w:sz w:val="22"/>
          <w:szCs w:val="22"/>
        </w:rPr>
        <w:t>’</w:t>
      </w:r>
      <w:r w:rsidRPr="0001502D">
        <w:rPr>
          <w:rFonts w:ascii="Arial" w:hAnsi="Arial" w:cs="Arial"/>
          <w:sz w:val="22"/>
          <w:szCs w:val="22"/>
        </w:rPr>
        <w:t>art. La gamme actuelle inclut également de nouveaux types de fils utilisés de manière inhabituelle avec des matériaux qui n</w:t>
      </w:r>
      <w:r w:rsidR="009C104E">
        <w:rPr>
          <w:rFonts w:ascii="Arial" w:hAnsi="Arial" w:cs="Arial"/>
          <w:sz w:val="22"/>
          <w:szCs w:val="22"/>
        </w:rPr>
        <w:t>’</w:t>
      </w:r>
      <w:r w:rsidRPr="0001502D">
        <w:rPr>
          <w:rFonts w:ascii="Arial" w:hAnsi="Arial" w:cs="Arial"/>
          <w:sz w:val="22"/>
          <w:szCs w:val="22"/>
        </w:rPr>
        <w:t>étaient pas employés jusqu</w:t>
      </w:r>
      <w:r w:rsidR="009C104E">
        <w:rPr>
          <w:rFonts w:ascii="Arial" w:hAnsi="Arial" w:cs="Arial"/>
          <w:sz w:val="22"/>
          <w:szCs w:val="22"/>
        </w:rPr>
        <w:t>’</w:t>
      </w:r>
      <w:r w:rsidRPr="0001502D">
        <w:rPr>
          <w:rFonts w:ascii="Arial" w:hAnsi="Arial" w:cs="Arial"/>
          <w:sz w:val="22"/>
          <w:szCs w:val="22"/>
        </w:rPr>
        <w:t>à présent. Les détenteurs et les praticiens de l</w:t>
      </w:r>
      <w:r w:rsidR="009C104E">
        <w:rPr>
          <w:rFonts w:ascii="Arial" w:hAnsi="Arial" w:cs="Arial"/>
          <w:sz w:val="22"/>
          <w:szCs w:val="22"/>
        </w:rPr>
        <w:t>’</w:t>
      </w:r>
      <w:r w:rsidRPr="0001502D">
        <w:rPr>
          <w:rFonts w:ascii="Arial" w:hAnsi="Arial" w:cs="Arial"/>
          <w:sz w:val="22"/>
          <w:szCs w:val="22"/>
        </w:rPr>
        <w:t>élément travaillent aujourd</w:t>
      </w:r>
      <w:r w:rsidR="009C104E">
        <w:rPr>
          <w:rFonts w:ascii="Arial" w:hAnsi="Arial" w:cs="Arial"/>
          <w:sz w:val="22"/>
          <w:szCs w:val="22"/>
        </w:rPr>
        <w:t>’</w:t>
      </w:r>
      <w:r w:rsidRPr="0001502D">
        <w:rPr>
          <w:rFonts w:ascii="Arial" w:hAnsi="Arial" w:cs="Arial"/>
          <w:sz w:val="22"/>
          <w:szCs w:val="22"/>
        </w:rPr>
        <w:t>hui principalement au niveau artistique et vendent leurs créations dans des foires, des festivals, etc. Certains praticiens sont issus de familles où ces savoir-faire se transmettent depuis plusieurs générations. Il existe aussi des associations et des clubs d</w:t>
      </w:r>
      <w:r w:rsidR="009C104E">
        <w:rPr>
          <w:rFonts w:ascii="Arial" w:hAnsi="Arial" w:cs="Arial"/>
          <w:sz w:val="22"/>
          <w:szCs w:val="22"/>
        </w:rPr>
        <w:t>’</w:t>
      </w:r>
      <w:r w:rsidRPr="0001502D">
        <w:rPr>
          <w:rFonts w:ascii="Arial" w:hAnsi="Arial" w:cs="Arial"/>
          <w:sz w:val="22"/>
          <w:szCs w:val="22"/>
        </w:rPr>
        <w:t>artisans bénévoles. La pratique actuelle s</w:t>
      </w:r>
      <w:r w:rsidR="009C104E">
        <w:rPr>
          <w:rFonts w:ascii="Arial" w:hAnsi="Arial" w:cs="Arial"/>
          <w:sz w:val="22"/>
          <w:szCs w:val="22"/>
        </w:rPr>
        <w:t>’</w:t>
      </w:r>
      <w:r w:rsidRPr="0001502D">
        <w:rPr>
          <w:rFonts w:ascii="Arial" w:hAnsi="Arial" w:cs="Arial"/>
          <w:sz w:val="22"/>
          <w:szCs w:val="22"/>
        </w:rPr>
        <w:t>appuie sur des traditions et des techniques anciennes pour créer de nouvelles formes, ce qui témoigne de sa viabilité et du respect porté aux anciens artisans du fil de fer.</w:t>
      </w:r>
    </w:p>
    <w:p w14:paraId="554BCC87" w14:textId="58E65ED9" w:rsidR="0001502D" w:rsidRPr="0001502D" w:rsidRDefault="0001502D" w:rsidP="00771F30">
      <w:pPr>
        <w:keepNext/>
        <w:numPr>
          <w:ilvl w:val="1"/>
          <w:numId w:val="41"/>
        </w:numPr>
        <w:tabs>
          <w:tab w:val="left" w:pos="567"/>
          <w:tab w:val="left" w:pos="1701"/>
          <w:tab w:val="left" w:pos="2268"/>
        </w:tabs>
        <w:spacing w:before="120" w:after="120"/>
        <w:ind w:left="567"/>
        <w:jc w:val="both"/>
        <w:rPr>
          <w:rFonts w:ascii="Arial" w:hAnsi="Arial" w:cs="Arial"/>
          <w:sz w:val="22"/>
          <w:szCs w:val="22"/>
          <w:lang w:eastAsia="ko-KR"/>
        </w:rPr>
      </w:pPr>
      <w:r w:rsidRPr="0001502D">
        <w:rPr>
          <w:rFonts w:ascii="Arial" w:hAnsi="Arial" w:cs="Arial"/>
          <w:sz w:val="22"/>
          <w:szCs w:val="22"/>
          <w:u w:val="single"/>
          <w:lang w:eastAsia="ko-KR"/>
        </w:rPr>
        <w:t>Estime</w:t>
      </w:r>
      <w:r w:rsidRPr="0001502D">
        <w:rPr>
          <w:rFonts w:ascii="Arial" w:hAnsi="Arial" w:cs="Arial"/>
          <w:sz w:val="22"/>
          <w:szCs w:val="22"/>
          <w:lang w:eastAsia="ko-KR"/>
        </w:rPr>
        <w:t xml:space="preserve"> que, d</w:t>
      </w:r>
      <w:r w:rsidR="009C104E">
        <w:rPr>
          <w:rFonts w:ascii="Arial" w:hAnsi="Arial" w:cs="Arial"/>
          <w:sz w:val="22"/>
          <w:szCs w:val="22"/>
          <w:lang w:eastAsia="ko-KR"/>
        </w:rPr>
        <w:t>’</w:t>
      </w:r>
      <w:r w:rsidRPr="0001502D">
        <w:rPr>
          <w:rFonts w:ascii="Arial" w:hAnsi="Arial" w:cs="Arial"/>
          <w:sz w:val="22"/>
          <w:szCs w:val="22"/>
          <w:lang w:eastAsia="ko-KR"/>
        </w:rPr>
        <w:t>après les informations contenues dans le dossier, la candidature satisfait aux critères d</w:t>
      </w:r>
      <w:r w:rsidR="009C104E">
        <w:rPr>
          <w:rFonts w:ascii="Arial" w:hAnsi="Arial" w:cs="Arial"/>
          <w:sz w:val="22"/>
          <w:szCs w:val="22"/>
          <w:lang w:eastAsia="ko-KR"/>
        </w:rPr>
        <w:t>’</w:t>
      </w:r>
      <w:r w:rsidRPr="0001502D">
        <w:rPr>
          <w:rFonts w:ascii="Arial" w:hAnsi="Arial" w:cs="Arial"/>
          <w:sz w:val="22"/>
          <w:szCs w:val="22"/>
          <w:lang w:eastAsia="ko-KR"/>
        </w:rPr>
        <w:t>inscription sur la Liste représentative du patrimoine culturel immatériel de l</w:t>
      </w:r>
      <w:r w:rsidR="009C104E">
        <w:rPr>
          <w:rFonts w:ascii="Arial" w:hAnsi="Arial" w:cs="Arial"/>
          <w:sz w:val="22"/>
          <w:szCs w:val="22"/>
          <w:lang w:eastAsia="ko-KR"/>
        </w:rPr>
        <w:t>’</w:t>
      </w:r>
      <w:r w:rsidRPr="0001502D">
        <w:rPr>
          <w:rFonts w:ascii="Arial" w:hAnsi="Arial" w:cs="Arial"/>
          <w:sz w:val="22"/>
          <w:szCs w:val="22"/>
          <w:lang w:eastAsia="ko-KR"/>
        </w:rPr>
        <w:t>humanité comme suit :</w:t>
      </w:r>
    </w:p>
    <w:p w14:paraId="57F247E2" w14:textId="31F4EA7D" w:rsidR="0001502D" w:rsidRPr="0001502D" w:rsidRDefault="0001502D" w:rsidP="002A7118">
      <w:pPr>
        <w:tabs>
          <w:tab w:val="left" w:pos="1134"/>
          <w:tab w:val="left" w:pos="2268"/>
        </w:tabs>
        <w:spacing w:before="120" w:after="120"/>
        <w:ind w:left="1134" w:hanging="555"/>
        <w:jc w:val="both"/>
        <w:rPr>
          <w:rFonts w:ascii="Arial" w:hAnsi="Arial" w:cs="Arial"/>
          <w:sz w:val="22"/>
          <w:szCs w:val="22"/>
        </w:rPr>
      </w:pPr>
      <w:r w:rsidRPr="0001502D">
        <w:rPr>
          <w:rFonts w:ascii="Arial" w:hAnsi="Arial" w:cs="Arial"/>
          <w:sz w:val="22"/>
          <w:szCs w:val="22"/>
        </w:rPr>
        <w:t xml:space="preserve">R.1 : </w:t>
      </w:r>
      <w:r w:rsidRPr="0001502D">
        <w:rPr>
          <w:rFonts w:ascii="Arial" w:hAnsi="Arial" w:cs="Arial"/>
          <w:sz w:val="22"/>
          <w:szCs w:val="22"/>
        </w:rPr>
        <w:tab/>
        <w:t>Le drotárstvo, art et artisanat à partir de fil de fer, joue un rôle important dans la vie quotidienne des individus et des familles concernées. Il est aussi un marqueur de l</w:t>
      </w:r>
      <w:r w:rsidR="009C104E">
        <w:rPr>
          <w:rFonts w:ascii="Arial" w:hAnsi="Arial" w:cs="Arial"/>
          <w:sz w:val="22"/>
          <w:szCs w:val="22"/>
        </w:rPr>
        <w:t>’</w:t>
      </w:r>
      <w:r w:rsidRPr="0001502D">
        <w:rPr>
          <w:rFonts w:ascii="Arial" w:hAnsi="Arial" w:cs="Arial"/>
          <w:sz w:val="22"/>
          <w:szCs w:val="22"/>
        </w:rPr>
        <w:t>identité de la population drotária et, dans une certaine mesure, un symbole de l</w:t>
      </w:r>
      <w:r w:rsidR="009C104E">
        <w:rPr>
          <w:rFonts w:ascii="Arial" w:hAnsi="Arial" w:cs="Arial"/>
          <w:sz w:val="22"/>
          <w:szCs w:val="22"/>
        </w:rPr>
        <w:t>’</w:t>
      </w:r>
      <w:r w:rsidRPr="0001502D">
        <w:rPr>
          <w:rFonts w:ascii="Arial" w:hAnsi="Arial" w:cs="Arial"/>
          <w:sz w:val="22"/>
          <w:szCs w:val="22"/>
        </w:rPr>
        <w:t>identité nationale slovaque. En effet, ces ustensiles en fil de fer sont présents dans de nombreux foyers slovaques. Cet artisanat simple issu d</w:t>
      </w:r>
      <w:r w:rsidR="009C104E">
        <w:rPr>
          <w:rFonts w:ascii="Arial" w:hAnsi="Arial" w:cs="Arial"/>
          <w:sz w:val="22"/>
          <w:szCs w:val="22"/>
        </w:rPr>
        <w:t>’</w:t>
      </w:r>
      <w:r w:rsidRPr="0001502D">
        <w:rPr>
          <w:rFonts w:ascii="Arial" w:hAnsi="Arial" w:cs="Arial"/>
          <w:sz w:val="22"/>
          <w:szCs w:val="22"/>
        </w:rPr>
        <w:t>une région pauvre est de plus perçu comme un bel exemple de transformation d</w:t>
      </w:r>
      <w:r w:rsidR="009C104E">
        <w:rPr>
          <w:rFonts w:ascii="Arial" w:hAnsi="Arial" w:cs="Arial"/>
          <w:sz w:val="22"/>
          <w:szCs w:val="22"/>
        </w:rPr>
        <w:t>’</w:t>
      </w:r>
      <w:r w:rsidRPr="0001502D">
        <w:rPr>
          <w:rFonts w:ascii="Arial" w:hAnsi="Arial" w:cs="Arial"/>
          <w:sz w:val="22"/>
          <w:szCs w:val="22"/>
        </w:rPr>
        <w:t>un point faible en atout, et de la capacité de tirer parti de la valeur artistique et de la beauté des créations en fil de fer.</w:t>
      </w:r>
    </w:p>
    <w:p w14:paraId="04BC9813" w14:textId="0F147367" w:rsidR="0001502D" w:rsidRPr="0001502D" w:rsidRDefault="0001502D" w:rsidP="002A7118">
      <w:pPr>
        <w:tabs>
          <w:tab w:val="left" w:pos="1134"/>
          <w:tab w:val="left" w:pos="2268"/>
        </w:tabs>
        <w:spacing w:before="120" w:after="120"/>
        <w:ind w:left="1134" w:hanging="555"/>
        <w:jc w:val="both"/>
        <w:rPr>
          <w:rFonts w:ascii="Arial" w:hAnsi="Arial" w:cs="Arial"/>
          <w:sz w:val="22"/>
          <w:szCs w:val="22"/>
        </w:rPr>
      </w:pPr>
      <w:r w:rsidRPr="0001502D">
        <w:rPr>
          <w:rFonts w:ascii="Arial" w:hAnsi="Arial" w:cs="Arial"/>
          <w:sz w:val="22"/>
          <w:szCs w:val="22"/>
        </w:rPr>
        <w:t xml:space="preserve">R.2 : </w:t>
      </w:r>
      <w:r w:rsidRPr="0001502D">
        <w:rPr>
          <w:rFonts w:ascii="Arial" w:hAnsi="Arial" w:cs="Arial"/>
          <w:sz w:val="22"/>
          <w:szCs w:val="22"/>
        </w:rPr>
        <w:tab/>
        <w:t>Le drotárstvo est une forme d</w:t>
      </w:r>
      <w:r w:rsidR="009C104E">
        <w:rPr>
          <w:rFonts w:ascii="Arial" w:hAnsi="Arial" w:cs="Arial"/>
          <w:sz w:val="22"/>
          <w:szCs w:val="22"/>
        </w:rPr>
        <w:t>’</w:t>
      </w:r>
      <w:r w:rsidRPr="0001502D">
        <w:rPr>
          <w:rFonts w:ascii="Arial" w:hAnsi="Arial" w:cs="Arial"/>
          <w:sz w:val="22"/>
          <w:szCs w:val="22"/>
        </w:rPr>
        <w:t>artisanat traditionnel largement pratiquée en Europe centrale et son inscription sur la Liste représentative pourrait contribuer à promouvoir des programmes destinés à la sauvegarde du patrimoine culturel immatériel dans l</w:t>
      </w:r>
      <w:r w:rsidR="009C104E">
        <w:rPr>
          <w:rFonts w:ascii="Arial" w:hAnsi="Arial" w:cs="Arial"/>
          <w:sz w:val="22"/>
          <w:szCs w:val="22"/>
        </w:rPr>
        <w:t>’</w:t>
      </w:r>
      <w:r w:rsidRPr="0001502D">
        <w:rPr>
          <w:rFonts w:ascii="Arial" w:hAnsi="Arial" w:cs="Arial"/>
          <w:sz w:val="22"/>
          <w:szCs w:val="22"/>
        </w:rPr>
        <w:t>ensemble de la région. Le drotárstvo est en outre une pratique participant à la construction identitaire qui est bien connue des experts, mais aussi du grand public, ce qui pourrait accroître l</w:t>
      </w:r>
      <w:r w:rsidR="009C104E">
        <w:rPr>
          <w:rFonts w:ascii="Arial" w:hAnsi="Arial" w:cs="Arial"/>
          <w:sz w:val="22"/>
          <w:szCs w:val="22"/>
        </w:rPr>
        <w:t>’</w:t>
      </w:r>
      <w:r w:rsidRPr="0001502D">
        <w:rPr>
          <w:rFonts w:ascii="Arial" w:hAnsi="Arial" w:cs="Arial"/>
          <w:sz w:val="22"/>
          <w:szCs w:val="22"/>
        </w:rPr>
        <w:t>impact de son inscription. Il s</w:t>
      </w:r>
      <w:r w:rsidR="009C104E">
        <w:rPr>
          <w:rFonts w:ascii="Arial" w:hAnsi="Arial" w:cs="Arial"/>
          <w:sz w:val="22"/>
          <w:szCs w:val="22"/>
        </w:rPr>
        <w:t>’</w:t>
      </w:r>
      <w:r w:rsidRPr="0001502D">
        <w:rPr>
          <w:rFonts w:ascii="Arial" w:hAnsi="Arial" w:cs="Arial"/>
          <w:sz w:val="22"/>
          <w:szCs w:val="22"/>
        </w:rPr>
        <w:t>agit d</w:t>
      </w:r>
      <w:r w:rsidR="009C104E">
        <w:rPr>
          <w:rFonts w:ascii="Arial" w:hAnsi="Arial" w:cs="Arial"/>
          <w:sz w:val="22"/>
          <w:szCs w:val="22"/>
        </w:rPr>
        <w:t>’</w:t>
      </w:r>
      <w:r w:rsidRPr="0001502D">
        <w:rPr>
          <w:rFonts w:ascii="Arial" w:hAnsi="Arial" w:cs="Arial"/>
          <w:sz w:val="22"/>
          <w:szCs w:val="22"/>
        </w:rPr>
        <w:t>un excellent exemple d</w:t>
      </w:r>
      <w:r w:rsidR="009C104E">
        <w:rPr>
          <w:rFonts w:ascii="Arial" w:hAnsi="Arial" w:cs="Arial"/>
          <w:sz w:val="22"/>
          <w:szCs w:val="22"/>
        </w:rPr>
        <w:t>’</w:t>
      </w:r>
      <w:r w:rsidRPr="0001502D">
        <w:rPr>
          <w:rFonts w:ascii="Arial" w:hAnsi="Arial" w:cs="Arial"/>
          <w:sz w:val="22"/>
          <w:szCs w:val="22"/>
        </w:rPr>
        <w:t>élément inclusif de patrimoine culturel immatériel, qui pourrait servir de modèle à l</w:t>
      </w:r>
      <w:r w:rsidR="009C104E">
        <w:rPr>
          <w:rFonts w:ascii="Arial" w:hAnsi="Arial" w:cs="Arial"/>
          <w:sz w:val="22"/>
          <w:szCs w:val="22"/>
        </w:rPr>
        <w:t>’</w:t>
      </w:r>
      <w:r w:rsidRPr="0001502D">
        <w:rPr>
          <w:rFonts w:ascii="Arial" w:hAnsi="Arial" w:cs="Arial"/>
          <w:sz w:val="22"/>
          <w:szCs w:val="22"/>
        </w:rPr>
        <w:t>échelle internationale.</w:t>
      </w:r>
    </w:p>
    <w:p w14:paraId="5222C4C0" w14:textId="79A6069D" w:rsidR="0001502D" w:rsidRPr="0001502D" w:rsidRDefault="0001502D" w:rsidP="002A7118">
      <w:pPr>
        <w:tabs>
          <w:tab w:val="left" w:pos="1134"/>
          <w:tab w:val="left" w:pos="2268"/>
        </w:tabs>
        <w:spacing w:before="120" w:after="120"/>
        <w:ind w:left="1134" w:hanging="555"/>
        <w:jc w:val="both"/>
        <w:rPr>
          <w:rFonts w:ascii="Arial" w:hAnsi="Arial" w:cs="Arial"/>
          <w:sz w:val="22"/>
          <w:szCs w:val="22"/>
        </w:rPr>
      </w:pPr>
      <w:r w:rsidRPr="0001502D">
        <w:rPr>
          <w:rFonts w:ascii="Arial" w:hAnsi="Arial" w:cs="Arial"/>
          <w:sz w:val="22"/>
          <w:szCs w:val="22"/>
        </w:rPr>
        <w:t xml:space="preserve">R.3 : </w:t>
      </w:r>
      <w:r w:rsidRPr="0001502D">
        <w:rPr>
          <w:rFonts w:ascii="Arial" w:hAnsi="Arial" w:cs="Arial"/>
          <w:sz w:val="22"/>
          <w:szCs w:val="22"/>
        </w:rPr>
        <w:tab/>
        <w:t>L</w:t>
      </w:r>
      <w:r w:rsidR="009C104E">
        <w:rPr>
          <w:rFonts w:ascii="Arial" w:hAnsi="Arial" w:cs="Arial"/>
          <w:sz w:val="22"/>
          <w:szCs w:val="22"/>
        </w:rPr>
        <w:t>’</w:t>
      </w:r>
      <w:r w:rsidRPr="0001502D">
        <w:rPr>
          <w:rFonts w:ascii="Arial" w:hAnsi="Arial" w:cs="Arial"/>
          <w:sz w:val="22"/>
          <w:szCs w:val="22"/>
        </w:rPr>
        <w:t>objectif des mesures de sauvegarde proposées est de soutenir les détenteurs de l</w:t>
      </w:r>
      <w:r w:rsidR="009C104E">
        <w:rPr>
          <w:rFonts w:ascii="Arial" w:hAnsi="Arial" w:cs="Arial"/>
          <w:sz w:val="22"/>
          <w:szCs w:val="22"/>
        </w:rPr>
        <w:t>’</w:t>
      </w:r>
      <w:r w:rsidRPr="0001502D">
        <w:rPr>
          <w:rFonts w:ascii="Arial" w:hAnsi="Arial" w:cs="Arial"/>
          <w:sz w:val="22"/>
          <w:szCs w:val="22"/>
        </w:rPr>
        <w:t>élément, de poursuivre les recherches et la documentation sur l</w:t>
      </w:r>
      <w:r w:rsidR="009C104E">
        <w:rPr>
          <w:rFonts w:ascii="Arial" w:hAnsi="Arial" w:cs="Arial"/>
          <w:sz w:val="22"/>
          <w:szCs w:val="22"/>
        </w:rPr>
        <w:t>’</w:t>
      </w:r>
      <w:r w:rsidRPr="0001502D">
        <w:rPr>
          <w:rFonts w:ascii="Arial" w:hAnsi="Arial" w:cs="Arial"/>
          <w:sz w:val="22"/>
          <w:szCs w:val="22"/>
        </w:rPr>
        <w:t>élément, ainsi qu</w:t>
      </w:r>
      <w:r w:rsidR="009C104E">
        <w:rPr>
          <w:rFonts w:ascii="Arial" w:hAnsi="Arial" w:cs="Arial"/>
          <w:sz w:val="22"/>
          <w:szCs w:val="22"/>
        </w:rPr>
        <w:t>’</w:t>
      </w:r>
      <w:r w:rsidRPr="0001502D">
        <w:rPr>
          <w:rFonts w:ascii="Arial" w:hAnsi="Arial" w:cs="Arial"/>
          <w:sz w:val="22"/>
          <w:szCs w:val="22"/>
        </w:rPr>
        <w:t>à assurer un suivi de sa situation. Ces mesures tiennent également compte des problèmes liés au risque de commercialisation excessive de la pratique suite à son inscription et ont été programmées lors de réunions régulières avec les détenteurs de l</w:t>
      </w:r>
      <w:r w:rsidR="009C104E">
        <w:rPr>
          <w:rFonts w:ascii="Arial" w:hAnsi="Arial" w:cs="Arial"/>
          <w:sz w:val="22"/>
          <w:szCs w:val="22"/>
        </w:rPr>
        <w:t>’</w:t>
      </w:r>
      <w:r w:rsidRPr="0001502D">
        <w:rPr>
          <w:rFonts w:ascii="Arial" w:hAnsi="Arial" w:cs="Arial"/>
          <w:sz w:val="22"/>
          <w:szCs w:val="22"/>
        </w:rPr>
        <w:t>élément, dans le cadre d</w:t>
      </w:r>
      <w:r w:rsidR="009C104E">
        <w:rPr>
          <w:rFonts w:ascii="Arial" w:hAnsi="Arial" w:cs="Arial"/>
          <w:sz w:val="22"/>
          <w:szCs w:val="22"/>
        </w:rPr>
        <w:t>’</w:t>
      </w:r>
      <w:r w:rsidRPr="0001502D">
        <w:rPr>
          <w:rFonts w:ascii="Arial" w:hAnsi="Arial" w:cs="Arial"/>
          <w:sz w:val="22"/>
          <w:szCs w:val="22"/>
        </w:rPr>
        <w:t>un processus ascendant.</w:t>
      </w:r>
    </w:p>
    <w:p w14:paraId="1AE2EE44" w14:textId="2F305DCF" w:rsidR="0001502D" w:rsidRPr="0001502D" w:rsidRDefault="0001502D" w:rsidP="002A7118">
      <w:pPr>
        <w:keepNext/>
        <w:keepLines/>
        <w:tabs>
          <w:tab w:val="left" w:pos="1134"/>
          <w:tab w:val="left" w:pos="2268"/>
        </w:tabs>
        <w:spacing w:before="120" w:after="120"/>
        <w:ind w:left="1134" w:hanging="556"/>
        <w:jc w:val="both"/>
        <w:rPr>
          <w:rFonts w:ascii="Arial" w:hAnsi="Arial" w:cs="Arial"/>
          <w:sz w:val="22"/>
          <w:szCs w:val="22"/>
        </w:rPr>
      </w:pPr>
      <w:r w:rsidRPr="0001502D">
        <w:rPr>
          <w:rFonts w:ascii="Arial" w:hAnsi="Arial" w:cs="Arial"/>
          <w:sz w:val="22"/>
          <w:szCs w:val="22"/>
        </w:rPr>
        <w:t xml:space="preserve">R.4 : </w:t>
      </w:r>
      <w:r w:rsidRPr="0001502D">
        <w:rPr>
          <w:rFonts w:ascii="Arial" w:hAnsi="Arial" w:cs="Arial"/>
          <w:sz w:val="22"/>
          <w:szCs w:val="22"/>
        </w:rPr>
        <w:tab/>
        <w:t>La participation des communautés, groupes et individus concernés au processus de candidature a été assurée à travers l</w:t>
      </w:r>
      <w:r w:rsidR="009C104E">
        <w:rPr>
          <w:rFonts w:ascii="Arial" w:hAnsi="Arial" w:cs="Arial"/>
          <w:sz w:val="22"/>
          <w:szCs w:val="22"/>
        </w:rPr>
        <w:t>’</w:t>
      </w:r>
      <w:r w:rsidRPr="0001502D">
        <w:rPr>
          <w:rFonts w:ascii="Arial" w:hAnsi="Arial" w:cs="Arial"/>
          <w:sz w:val="22"/>
          <w:szCs w:val="22"/>
        </w:rPr>
        <w:t>implication de détenteurs de l</w:t>
      </w:r>
      <w:r w:rsidR="009C104E">
        <w:rPr>
          <w:rFonts w:ascii="Arial" w:hAnsi="Arial" w:cs="Arial"/>
          <w:sz w:val="22"/>
          <w:szCs w:val="22"/>
        </w:rPr>
        <w:t>’</w:t>
      </w:r>
      <w:r w:rsidRPr="0001502D">
        <w:rPr>
          <w:rFonts w:ascii="Arial" w:hAnsi="Arial" w:cs="Arial"/>
          <w:sz w:val="22"/>
          <w:szCs w:val="22"/>
        </w:rPr>
        <w:t>élément, de chercheurs universitaires et amateurs, de clubs (communautés), du musée de Považie à Žilina, de musées exposant des objets et des œuvres en fil de fer, de représentants des municipalités et des villes les plus importantes de la région des arts du fil de fer, ainsi que de représentants de la communauté des détenteurs de l</w:t>
      </w:r>
      <w:r w:rsidR="009C104E">
        <w:rPr>
          <w:rFonts w:ascii="Arial" w:hAnsi="Arial" w:cs="Arial"/>
          <w:sz w:val="22"/>
          <w:szCs w:val="22"/>
        </w:rPr>
        <w:t>’</w:t>
      </w:r>
      <w:r w:rsidRPr="0001502D">
        <w:rPr>
          <w:rFonts w:ascii="Arial" w:hAnsi="Arial" w:cs="Arial"/>
          <w:sz w:val="22"/>
          <w:szCs w:val="22"/>
        </w:rPr>
        <w:t>art et de l</w:t>
      </w:r>
      <w:r w:rsidR="009C104E">
        <w:rPr>
          <w:rFonts w:ascii="Arial" w:hAnsi="Arial" w:cs="Arial"/>
          <w:sz w:val="22"/>
          <w:szCs w:val="22"/>
        </w:rPr>
        <w:t>’</w:t>
      </w:r>
      <w:r w:rsidRPr="0001502D">
        <w:rPr>
          <w:rFonts w:ascii="Arial" w:hAnsi="Arial" w:cs="Arial"/>
          <w:sz w:val="22"/>
          <w:szCs w:val="22"/>
        </w:rPr>
        <w:t>artisanat à partir de fil de fer</w:t>
      </w:r>
      <w:r w:rsidRPr="0001502D" w:rsidDel="00701E84">
        <w:rPr>
          <w:rFonts w:ascii="Arial" w:hAnsi="Arial" w:cs="Arial"/>
          <w:sz w:val="22"/>
          <w:szCs w:val="22"/>
        </w:rPr>
        <w:t xml:space="preserve"> </w:t>
      </w:r>
      <w:r w:rsidRPr="0001502D">
        <w:rPr>
          <w:rFonts w:ascii="Arial" w:hAnsi="Arial" w:cs="Arial"/>
          <w:sz w:val="22"/>
          <w:szCs w:val="22"/>
        </w:rPr>
        <w:t>et de l</w:t>
      </w:r>
      <w:r w:rsidR="009C104E">
        <w:rPr>
          <w:rFonts w:ascii="Arial" w:hAnsi="Arial" w:cs="Arial"/>
          <w:sz w:val="22"/>
          <w:szCs w:val="22"/>
        </w:rPr>
        <w:t>’</w:t>
      </w:r>
      <w:r w:rsidRPr="0001502D">
        <w:rPr>
          <w:rFonts w:ascii="Arial" w:hAnsi="Arial" w:cs="Arial"/>
          <w:sz w:val="22"/>
          <w:szCs w:val="22"/>
        </w:rPr>
        <w:t>équipe responsable de la mise en œuvre de la Convention en Slovaquie. Ce vaste groupe composé d</w:t>
      </w:r>
      <w:r w:rsidR="009C104E">
        <w:rPr>
          <w:rFonts w:ascii="Arial" w:hAnsi="Arial" w:cs="Arial"/>
          <w:sz w:val="22"/>
          <w:szCs w:val="22"/>
        </w:rPr>
        <w:t>’</w:t>
      </w:r>
      <w:r w:rsidRPr="0001502D">
        <w:rPr>
          <w:rFonts w:ascii="Arial" w:hAnsi="Arial" w:cs="Arial"/>
          <w:sz w:val="22"/>
          <w:szCs w:val="22"/>
        </w:rPr>
        <w:t>individus, d</w:t>
      </w:r>
      <w:r w:rsidR="009C104E">
        <w:rPr>
          <w:rFonts w:ascii="Arial" w:hAnsi="Arial" w:cs="Arial"/>
          <w:sz w:val="22"/>
          <w:szCs w:val="22"/>
        </w:rPr>
        <w:t>’</w:t>
      </w:r>
      <w:r w:rsidRPr="0001502D">
        <w:rPr>
          <w:rFonts w:ascii="Arial" w:hAnsi="Arial" w:cs="Arial"/>
          <w:sz w:val="22"/>
          <w:szCs w:val="22"/>
        </w:rPr>
        <w:t>institutions et d</w:t>
      </w:r>
      <w:r w:rsidR="009C104E">
        <w:rPr>
          <w:rFonts w:ascii="Arial" w:hAnsi="Arial" w:cs="Arial"/>
          <w:sz w:val="22"/>
          <w:szCs w:val="22"/>
        </w:rPr>
        <w:t>’</w:t>
      </w:r>
      <w:r w:rsidRPr="0001502D">
        <w:rPr>
          <w:rFonts w:ascii="Arial" w:hAnsi="Arial" w:cs="Arial"/>
          <w:sz w:val="22"/>
          <w:szCs w:val="22"/>
        </w:rPr>
        <w:t>organes directeurs locaux (artisans, associations d</w:t>
      </w:r>
      <w:r w:rsidR="009C104E">
        <w:rPr>
          <w:rFonts w:ascii="Arial" w:hAnsi="Arial" w:cs="Arial"/>
          <w:sz w:val="22"/>
          <w:szCs w:val="22"/>
        </w:rPr>
        <w:t>’</w:t>
      </w:r>
      <w:r w:rsidRPr="0001502D">
        <w:rPr>
          <w:rFonts w:ascii="Arial" w:hAnsi="Arial" w:cs="Arial"/>
          <w:sz w:val="22"/>
          <w:szCs w:val="22"/>
        </w:rPr>
        <w:t>artisans, municipalités, musées et organisations non gouvernementales) a été impliqué dans la préparation de la candidature et a fourni son consentement, pour la plupart de manière individuelle.</w:t>
      </w:r>
    </w:p>
    <w:p w14:paraId="0EDB6B7E" w14:textId="1EB65562" w:rsidR="0001502D" w:rsidRPr="0001502D" w:rsidRDefault="0001502D" w:rsidP="002A7118">
      <w:pPr>
        <w:tabs>
          <w:tab w:val="left" w:pos="1134"/>
          <w:tab w:val="left" w:pos="2268"/>
        </w:tabs>
        <w:spacing w:before="120" w:after="120"/>
        <w:ind w:left="1134" w:hanging="555"/>
        <w:jc w:val="both"/>
        <w:rPr>
          <w:rFonts w:ascii="Arial" w:hAnsi="Arial" w:cs="Arial"/>
          <w:sz w:val="22"/>
          <w:szCs w:val="22"/>
        </w:rPr>
      </w:pPr>
      <w:r w:rsidRPr="0001502D">
        <w:rPr>
          <w:rFonts w:ascii="Arial" w:hAnsi="Arial" w:cs="Arial"/>
          <w:sz w:val="22"/>
          <w:szCs w:val="22"/>
        </w:rPr>
        <w:t xml:space="preserve">R.5 : </w:t>
      </w:r>
      <w:r w:rsidRPr="0001502D">
        <w:rPr>
          <w:rFonts w:ascii="Arial" w:hAnsi="Arial" w:cs="Arial"/>
          <w:sz w:val="22"/>
          <w:szCs w:val="22"/>
        </w:rPr>
        <w:tab/>
        <w:t>Le drotárstvo a été inscrit sur la Liste représentative du patrimoine culturel immatériel de la Slovaquie en 2017. Le Centre du patrimoine culturel immatériel est l</w:t>
      </w:r>
      <w:r w:rsidR="009C104E">
        <w:rPr>
          <w:rFonts w:ascii="Arial" w:hAnsi="Arial" w:cs="Arial"/>
          <w:sz w:val="22"/>
          <w:szCs w:val="22"/>
        </w:rPr>
        <w:t>’</w:t>
      </w:r>
      <w:r w:rsidRPr="0001502D">
        <w:rPr>
          <w:rFonts w:ascii="Arial" w:hAnsi="Arial" w:cs="Arial"/>
          <w:sz w:val="22"/>
          <w:szCs w:val="22"/>
        </w:rPr>
        <w:t>organisme responsable de la gestion et de la mise à jour de cet inventaire. La Liste représentative de la Slovaquie est mise à jour chaque année et la mise en œuvre des mesures de sauvegarde pour tous les éléments inscrits est évaluée régulièrement avec la participation active des communautés elles-mêmes, notamment des détenteurs de l</w:t>
      </w:r>
      <w:r w:rsidR="009C104E">
        <w:rPr>
          <w:rFonts w:ascii="Arial" w:hAnsi="Arial" w:cs="Arial"/>
          <w:sz w:val="22"/>
          <w:szCs w:val="22"/>
        </w:rPr>
        <w:t>’</w:t>
      </w:r>
      <w:r w:rsidRPr="0001502D">
        <w:rPr>
          <w:rFonts w:ascii="Arial" w:hAnsi="Arial" w:cs="Arial"/>
          <w:sz w:val="22"/>
          <w:szCs w:val="22"/>
        </w:rPr>
        <w:t>élément.</w:t>
      </w:r>
    </w:p>
    <w:p w14:paraId="12B76A83" w14:textId="1310B9C4" w:rsidR="0001502D" w:rsidRPr="0001502D" w:rsidRDefault="0001502D" w:rsidP="00771F30">
      <w:pPr>
        <w:numPr>
          <w:ilvl w:val="1"/>
          <w:numId w:val="41"/>
        </w:numPr>
        <w:tabs>
          <w:tab w:val="left" w:pos="567"/>
          <w:tab w:val="left" w:pos="1701"/>
          <w:tab w:val="left" w:pos="2268"/>
        </w:tabs>
        <w:spacing w:before="120" w:after="120"/>
        <w:ind w:left="567"/>
        <w:jc w:val="both"/>
        <w:rPr>
          <w:rFonts w:ascii="Arial" w:hAnsi="Arial" w:cs="Arial"/>
          <w:sz w:val="22"/>
          <w:szCs w:val="22"/>
          <w:lang w:eastAsia="ko-KR"/>
        </w:rPr>
      </w:pPr>
      <w:r w:rsidRPr="0001502D">
        <w:rPr>
          <w:rFonts w:ascii="Arial" w:hAnsi="Arial" w:cs="Arial"/>
          <w:sz w:val="22"/>
          <w:szCs w:val="22"/>
          <w:u w:val="single"/>
          <w:lang w:eastAsia="ko-KR"/>
        </w:rPr>
        <w:t>Décide d</w:t>
      </w:r>
      <w:r w:rsidR="009C104E">
        <w:rPr>
          <w:rFonts w:ascii="Arial" w:hAnsi="Arial" w:cs="Arial"/>
          <w:sz w:val="22"/>
          <w:szCs w:val="22"/>
          <w:u w:val="single"/>
          <w:lang w:eastAsia="ko-KR"/>
        </w:rPr>
        <w:t>’</w:t>
      </w:r>
      <w:r w:rsidRPr="0001502D">
        <w:rPr>
          <w:rFonts w:ascii="Arial" w:hAnsi="Arial" w:cs="Arial"/>
          <w:sz w:val="22"/>
          <w:szCs w:val="22"/>
          <w:u w:val="single"/>
          <w:lang w:eastAsia="ko-KR"/>
        </w:rPr>
        <w:t>inscrire</w:t>
      </w:r>
      <w:r w:rsidRPr="0001502D">
        <w:rPr>
          <w:rFonts w:ascii="Arial" w:hAnsi="Arial" w:cs="Arial"/>
          <w:sz w:val="22"/>
          <w:szCs w:val="22"/>
          <w:lang w:eastAsia="ko-KR"/>
        </w:rPr>
        <w:t xml:space="preserve"> </w:t>
      </w:r>
      <w:r w:rsidRPr="0001502D">
        <w:rPr>
          <w:rFonts w:ascii="Arial" w:hAnsi="Arial" w:cs="Arial"/>
          <w:b/>
          <w:bCs/>
          <w:sz w:val="22"/>
          <w:szCs w:val="22"/>
          <w:lang w:eastAsia="ko-KR"/>
        </w:rPr>
        <w:t>Drotárstvo, art et artisanat à partir de fil de fer</w:t>
      </w:r>
      <w:r w:rsidRPr="0001502D">
        <w:rPr>
          <w:rFonts w:ascii="Arial" w:hAnsi="Arial" w:cs="Arial"/>
          <w:sz w:val="22"/>
          <w:szCs w:val="22"/>
          <w:lang w:eastAsia="ko-KR"/>
        </w:rPr>
        <w:t xml:space="preserve"> sur la Liste représentative du patrimoine culturel immatériel de l</w:t>
      </w:r>
      <w:r w:rsidR="009C104E">
        <w:rPr>
          <w:rFonts w:ascii="Arial" w:hAnsi="Arial" w:cs="Arial"/>
          <w:sz w:val="22"/>
          <w:szCs w:val="22"/>
          <w:lang w:eastAsia="ko-KR"/>
        </w:rPr>
        <w:t>’</w:t>
      </w:r>
      <w:r w:rsidRPr="0001502D">
        <w:rPr>
          <w:rFonts w:ascii="Arial" w:hAnsi="Arial" w:cs="Arial"/>
          <w:sz w:val="22"/>
          <w:szCs w:val="22"/>
          <w:lang w:eastAsia="ko-KR"/>
        </w:rPr>
        <w:t>humanité.</w:t>
      </w:r>
    </w:p>
    <w:p w14:paraId="217DDDBD" w14:textId="3F586998" w:rsidR="0001502D" w:rsidRPr="0001502D" w:rsidRDefault="0001502D" w:rsidP="00B932EA">
      <w:pPr>
        <w:keepNext/>
        <w:numPr>
          <w:ilvl w:val="0"/>
          <w:numId w:val="41"/>
        </w:numPr>
        <w:spacing w:before="360" w:after="120"/>
        <w:outlineLvl w:val="1"/>
        <w:rPr>
          <w:rFonts w:ascii="Arial" w:hAnsi="Arial" w:cs="Arial"/>
          <w:bCs/>
          <w:iCs/>
          <w:sz w:val="22"/>
          <w:szCs w:val="22"/>
        </w:rPr>
      </w:pPr>
      <w:bookmarkStart w:id="37" w:name="Decision_10b34"/>
      <w:r w:rsidRPr="0001502D">
        <w:rPr>
          <w:rFonts w:ascii="Arial" w:hAnsi="Arial" w:cs="Arial"/>
          <w:b/>
          <w:bCs/>
          <w:iCs/>
          <w:sz w:val="22"/>
          <w:szCs w:val="22"/>
        </w:rPr>
        <w:t xml:space="preserve">DÉCISION 14.COM 10.b.34 </w:t>
      </w:r>
    </w:p>
    <w:bookmarkEnd w:id="37"/>
    <w:p w14:paraId="74B04D56" w14:textId="77777777" w:rsidR="0001502D" w:rsidRPr="0001502D" w:rsidRDefault="0001502D">
      <w:pPr>
        <w:keepNext/>
        <w:tabs>
          <w:tab w:val="left" w:pos="567"/>
          <w:tab w:val="left" w:pos="1134"/>
          <w:tab w:val="left" w:pos="1701"/>
          <w:tab w:val="left" w:pos="2268"/>
        </w:tabs>
        <w:spacing w:before="120" w:after="120"/>
        <w:jc w:val="both"/>
        <w:rPr>
          <w:rFonts w:ascii="Arial" w:hAnsi="Arial" w:cs="Arial"/>
          <w:sz w:val="22"/>
          <w:szCs w:val="22"/>
        </w:rPr>
      </w:pPr>
      <w:r w:rsidRPr="0001502D">
        <w:rPr>
          <w:rFonts w:ascii="Arial" w:hAnsi="Arial" w:cs="Arial"/>
          <w:sz w:val="22"/>
          <w:szCs w:val="22"/>
        </w:rPr>
        <w:t>Le Comité,</w:t>
      </w:r>
    </w:p>
    <w:p w14:paraId="2A93C67E" w14:textId="0E3F41FE" w:rsidR="0001502D" w:rsidRPr="0001502D" w:rsidRDefault="0001502D" w:rsidP="00B932EA">
      <w:pPr>
        <w:keepNext/>
        <w:numPr>
          <w:ilvl w:val="1"/>
          <w:numId w:val="41"/>
        </w:numPr>
        <w:tabs>
          <w:tab w:val="left" w:pos="567"/>
          <w:tab w:val="left" w:pos="1701"/>
          <w:tab w:val="left" w:pos="2268"/>
        </w:tabs>
        <w:spacing w:before="120" w:after="120"/>
        <w:ind w:left="567"/>
        <w:jc w:val="both"/>
        <w:rPr>
          <w:rFonts w:ascii="Arial" w:hAnsi="Arial" w:cs="Arial"/>
          <w:sz w:val="22"/>
          <w:szCs w:val="22"/>
          <w:lang w:eastAsia="ko-KR"/>
        </w:rPr>
      </w:pPr>
      <w:r w:rsidRPr="0001502D">
        <w:rPr>
          <w:rFonts w:ascii="Arial" w:hAnsi="Arial" w:cs="Arial"/>
          <w:sz w:val="22"/>
          <w:szCs w:val="22"/>
          <w:u w:val="single"/>
          <w:lang w:eastAsia="ko-KR"/>
        </w:rPr>
        <w:t>Prend note</w:t>
      </w:r>
      <w:r w:rsidRPr="0001502D">
        <w:rPr>
          <w:rFonts w:ascii="Arial" w:hAnsi="Arial" w:cs="Arial"/>
          <w:sz w:val="22"/>
          <w:szCs w:val="22"/>
          <w:lang w:eastAsia="ko-KR"/>
        </w:rPr>
        <w:t xml:space="preserve"> que la Suisse a proposé la candidature des </w:t>
      </w:r>
      <w:r w:rsidRPr="0001502D">
        <w:rPr>
          <w:rFonts w:ascii="Arial" w:hAnsi="Arial" w:cs="Arial"/>
          <w:b/>
          <w:bCs/>
          <w:sz w:val="22"/>
          <w:szCs w:val="22"/>
          <w:lang w:eastAsia="ko-KR"/>
        </w:rPr>
        <w:t>Processions de la Semaine sainte à Mendrisio</w:t>
      </w:r>
      <w:r w:rsidRPr="0001502D">
        <w:rPr>
          <w:rFonts w:ascii="Arial" w:hAnsi="Arial" w:cs="Arial"/>
          <w:sz w:val="22"/>
          <w:szCs w:val="22"/>
          <w:lang w:eastAsia="ko-KR"/>
        </w:rPr>
        <w:t xml:space="preserve"> (n° 01460) pour inscription sur la Liste représentative du patrimoine culturel immatériel de l</w:t>
      </w:r>
      <w:r w:rsidR="009C104E">
        <w:rPr>
          <w:rFonts w:ascii="Arial" w:hAnsi="Arial" w:cs="Arial"/>
          <w:sz w:val="22"/>
          <w:szCs w:val="22"/>
          <w:lang w:eastAsia="ko-KR"/>
        </w:rPr>
        <w:t>’</w:t>
      </w:r>
      <w:r w:rsidRPr="0001502D">
        <w:rPr>
          <w:rFonts w:ascii="Arial" w:hAnsi="Arial" w:cs="Arial"/>
          <w:sz w:val="22"/>
          <w:szCs w:val="22"/>
          <w:lang w:eastAsia="ko-KR"/>
        </w:rPr>
        <w:t>humanité :</w:t>
      </w:r>
    </w:p>
    <w:p w14:paraId="02329922" w14:textId="3EF38A34" w:rsidR="0001502D" w:rsidRPr="0001502D" w:rsidRDefault="0001502D" w:rsidP="002A7118">
      <w:pPr>
        <w:tabs>
          <w:tab w:val="left" w:pos="567"/>
          <w:tab w:val="left" w:pos="1701"/>
          <w:tab w:val="left" w:pos="2268"/>
        </w:tabs>
        <w:spacing w:before="120" w:after="120"/>
        <w:ind w:left="567"/>
        <w:jc w:val="both"/>
        <w:rPr>
          <w:rFonts w:ascii="Arial" w:hAnsi="Arial" w:cs="Arial"/>
          <w:sz w:val="22"/>
          <w:szCs w:val="22"/>
        </w:rPr>
      </w:pPr>
      <w:r w:rsidRPr="0001502D">
        <w:rPr>
          <w:rFonts w:ascii="Arial" w:hAnsi="Arial" w:cs="Arial"/>
          <w:sz w:val="22"/>
          <w:szCs w:val="22"/>
        </w:rPr>
        <w:t>Les processions de la Semaine sainte ont lieu dans la ville historique de Mendrisio les soirs du Jeudi et du Vendredi saints et attirent plus de 10 000 spectateurs. En ces occasions, les lumières de la ville sont éteintes et les rues ne sont plus éclairées qu</w:t>
      </w:r>
      <w:r w:rsidR="009C104E">
        <w:rPr>
          <w:rFonts w:ascii="Arial" w:hAnsi="Arial" w:cs="Arial"/>
          <w:sz w:val="22"/>
          <w:szCs w:val="22"/>
        </w:rPr>
        <w:t>’</w:t>
      </w:r>
      <w:r w:rsidRPr="0001502D">
        <w:rPr>
          <w:rFonts w:ascii="Arial" w:hAnsi="Arial" w:cs="Arial"/>
          <w:sz w:val="22"/>
          <w:szCs w:val="22"/>
        </w:rPr>
        <w:t>à la lueur des « transparents », des peintures translucides montées sur des cadres en bois et illuminées de l</w:t>
      </w:r>
      <w:r w:rsidR="009C104E">
        <w:rPr>
          <w:rFonts w:ascii="Arial" w:hAnsi="Arial" w:cs="Arial"/>
          <w:sz w:val="22"/>
          <w:szCs w:val="22"/>
        </w:rPr>
        <w:t>’</w:t>
      </w:r>
      <w:r w:rsidRPr="0001502D">
        <w:rPr>
          <w:rFonts w:ascii="Arial" w:hAnsi="Arial" w:cs="Arial"/>
          <w:sz w:val="22"/>
          <w:szCs w:val="22"/>
        </w:rPr>
        <w:t>intérieur, qui sont fabriquées à l</w:t>
      </w:r>
      <w:r w:rsidR="009C104E">
        <w:rPr>
          <w:rFonts w:ascii="Arial" w:hAnsi="Arial" w:cs="Arial"/>
          <w:sz w:val="22"/>
          <w:szCs w:val="22"/>
        </w:rPr>
        <w:t>’</w:t>
      </w:r>
      <w:r w:rsidRPr="0001502D">
        <w:rPr>
          <w:rFonts w:ascii="Arial" w:hAnsi="Arial" w:cs="Arial"/>
          <w:sz w:val="22"/>
          <w:szCs w:val="22"/>
        </w:rPr>
        <w:t>aide d</w:t>
      </w:r>
      <w:r w:rsidR="009C104E">
        <w:rPr>
          <w:rFonts w:ascii="Arial" w:hAnsi="Arial" w:cs="Arial"/>
          <w:sz w:val="22"/>
          <w:szCs w:val="22"/>
        </w:rPr>
        <w:t>’</w:t>
      </w:r>
      <w:r w:rsidRPr="0001502D">
        <w:rPr>
          <w:rFonts w:ascii="Arial" w:hAnsi="Arial" w:cs="Arial"/>
          <w:sz w:val="22"/>
          <w:szCs w:val="22"/>
        </w:rPr>
        <w:t>une technique de peinture particulière datant de la fin du XVIII</w:t>
      </w:r>
      <w:r w:rsidRPr="0001502D">
        <w:rPr>
          <w:rFonts w:ascii="Arial" w:hAnsi="Arial" w:cs="Arial"/>
          <w:sz w:val="22"/>
          <w:szCs w:val="22"/>
          <w:vertAlign w:val="superscript"/>
        </w:rPr>
        <w:t>e</w:t>
      </w:r>
      <w:r w:rsidRPr="0001502D">
        <w:rPr>
          <w:rFonts w:ascii="Arial" w:hAnsi="Arial" w:cs="Arial"/>
          <w:sz w:val="22"/>
          <w:szCs w:val="22"/>
        </w:rPr>
        <w:t> siècle. Aujourd</w:t>
      </w:r>
      <w:r w:rsidR="009C104E">
        <w:rPr>
          <w:rFonts w:ascii="Arial" w:hAnsi="Arial" w:cs="Arial"/>
          <w:sz w:val="22"/>
          <w:szCs w:val="22"/>
        </w:rPr>
        <w:t>’</w:t>
      </w:r>
      <w:r w:rsidRPr="0001502D">
        <w:rPr>
          <w:rFonts w:ascii="Arial" w:hAnsi="Arial" w:cs="Arial"/>
          <w:sz w:val="22"/>
          <w:szCs w:val="22"/>
        </w:rPr>
        <w:t>hui, les 260 transparents illustrent des scènes et des symboles bibliques. Lors de la procession du jeudi, environ 270 figurants jouent la passion du Christ et le chemin de croix. Le son des trompettes et des tambours donne le rythme et emplit les rues d</w:t>
      </w:r>
      <w:r w:rsidR="009C104E">
        <w:rPr>
          <w:rFonts w:ascii="Arial" w:hAnsi="Arial" w:cs="Arial"/>
          <w:sz w:val="22"/>
          <w:szCs w:val="22"/>
        </w:rPr>
        <w:t>’</w:t>
      </w:r>
      <w:r w:rsidRPr="0001502D">
        <w:rPr>
          <w:rFonts w:ascii="Arial" w:hAnsi="Arial" w:cs="Arial"/>
          <w:sz w:val="22"/>
          <w:szCs w:val="22"/>
        </w:rPr>
        <w:t>une atmosphère contemplative. La procession du Vendredi saint est plus austère : des centaines d</w:t>
      </w:r>
      <w:r w:rsidR="009C104E">
        <w:rPr>
          <w:rFonts w:ascii="Arial" w:hAnsi="Arial" w:cs="Arial"/>
          <w:sz w:val="22"/>
          <w:szCs w:val="22"/>
        </w:rPr>
        <w:t>’</w:t>
      </w:r>
      <w:r w:rsidRPr="0001502D">
        <w:rPr>
          <w:rFonts w:ascii="Arial" w:hAnsi="Arial" w:cs="Arial"/>
          <w:sz w:val="22"/>
          <w:szCs w:val="22"/>
        </w:rPr>
        <w:t>enfants et d</w:t>
      </w:r>
      <w:r w:rsidR="009C104E">
        <w:rPr>
          <w:rFonts w:ascii="Arial" w:hAnsi="Arial" w:cs="Arial"/>
          <w:sz w:val="22"/>
          <w:szCs w:val="22"/>
        </w:rPr>
        <w:t>’</w:t>
      </w:r>
      <w:r w:rsidRPr="0001502D">
        <w:rPr>
          <w:rFonts w:ascii="Arial" w:hAnsi="Arial" w:cs="Arial"/>
          <w:sz w:val="22"/>
          <w:szCs w:val="22"/>
        </w:rPr>
        <w:t>adultes défilent en portant plus de 500 objets cérémoniels, dont 320 lanternes représentant les symboles de la passion du Christ. La chorégraphie et la scénographie des processions établissent une atmosphère contemplative et les transparents promeuvent l</w:t>
      </w:r>
      <w:r w:rsidR="009C104E">
        <w:rPr>
          <w:rFonts w:ascii="Arial" w:hAnsi="Arial" w:cs="Arial"/>
          <w:sz w:val="22"/>
          <w:szCs w:val="22"/>
        </w:rPr>
        <w:t>’</w:t>
      </w:r>
      <w:r w:rsidRPr="0001502D">
        <w:rPr>
          <w:rFonts w:ascii="Arial" w:hAnsi="Arial" w:cs="Arial"/>
          <w:sz w:val="22"/>
          <w:szCs w:val="22"/>
        </w:rPr>
        <w:t>artisanat local. Des centaines d</w:t>
      </w:r>
      <w:r w:rsidR="009C104E">
        <w:rPr>
          <w:rFonts w:ascii="Arial" w:hAnsi="Arial" w:cs="Arial"/>
          <w:sz w:val="22"/>
          <w:szCs w:val="22"/>
        </w:rPr>
        <w:t>’</w:t>
      </w:r>
      <w:r w:rsidRPr="0001502D">
        <w:rPr>
          <w:rFonts w:ascii="Arial" w:hAnsi="Arial" w:cs="Arial"/>
          <w:sz w:val="22"/>
          <w:szCs w:val="22"/>
        </w:rPr>
        <w:t>hommes et de femmes organisent l</w:t>
      </w:r>
      <w:r w:rsidR="009C104E">
        <w:rPr>
          <w:rFonts w:ascii="Arial" w:hAnsi="Arial" w:cs="Arial"/>
          <w:sz w:val="22"/>
          <w:szCs w:val="22"/>
        </w:rPr>
        <w:t>’</w:t>
      </w:r>
      <w:r w:rsidRPr="0001502D">
        <w:rPr>
          <w:rFonts w:ascii="Arial" w:hAnsi="Arial" w:cs="Arial"/>
          <w:sz w:val="22"/>
          <w:szCs w:val="22"/>
        </w:rPr>
        <w:t xml:space="preserve">événement bénévolement et une grande partie de la population soutient la pratique en assistant aux processions. La </w:t>
      </w:r>
      <w:r w:rsidRPr="0001502D">
        <w:rPr>
          <w:rFonts w:ascii="Arial" w:hAnsi="Arial" w:cs="Arial"/>
          <w:iCs/>
          <w:sz w:val="22"/>
          <w:szCs w:val="22"/>
        </w:rPr>
        <w:t>Fondazione Processioni Storiche di Mendrisio</w:t>
      </w:r>
      <w:r w:rsidRPr="0001502D">
        <w:rPr>
          <w:rFonts w:ascii="Arial" w:hAnsi="Arial" w:cs="Arial"/>
          <w:sz w:val="22"/>
          <w:szCs w:val="22"/>
        </w:rPr>
        <w:t xml:space="preserve"> prépare et organise les processions avec la large participation de la communauté et veille à la transmission des connaissances associées par ses membres, entre autres.</w:t>
      </w:r>
    </w:p>
    <w:p w14:paraId="6A295A28" w14:textId="7E864A5C" w:rsidR="0001502D" w:rsidRPr="0001502D" w:rsidRDefault="0001502D" w:rsidP="00771F30">
      <w:pPr>
        <w:keepNext/>
        <w:numPr>
          <w:ilvl w:val="1"/>
          <w:numId w:val="41"/>
        </w:numPr>
        <w:tabs>
          <w:tab w:val="left" w:pos="567"/>
          <w:tab w:val="left" w:pos="1701"/>
          <w:tab w:val="left" w:pos="2268"/>
        </w:tabs>
        <w:spacing w:before="120" w:after="120"/>
        <w:ind w:left="567"/>
        <w:jc w:val="both"/>
        <w:rPr>
          <w:rFonts w:ascii="Arial" w:hAnsi="Arial" w:cs="Arial"/>
          <w:sz w:val="22"/>
          <w:szCs w:val="22"/>
          <w:lang w:eastAsia="ko-KR"/>
        </w:rPr>
      </w:pPr>
      <w:r w:rsidRPr="0001502D">
        <w:rPr>
          <w:rFonts w:ascii="Arial" w:hAnsi="Arial" w:cs="Arial"/>
          <w:sz w:val="22"/>
          <w:szCs w:val="22"/>
          <w:u w:val="single"/>
          <w:lang w:eastAsia="ko-KR"/>
        </w:rPr>
        <w:t>Estime</w:t>
      </w:r>
      <w:r w:rsidRPr="0001502D">
        <w:rPr>
          <w:rFonts w:ascii="Arial" w:hAnsi="Arial" w:cs="Arial"/>
          <w:sz w:val="22"/>
          <w:szCs w:val="22"/>
          <w:lang w:eastAsia="ko-KR"/>
        </w:rPr>
        <w:t xml:space="preserve"> que, d</w:t>
      </w:r>
      <w:r w:rsidR="009C104E">
        <w:rPr>
          <w:rFonts w:ascii="Arial" w:hAnsi="Arial" w:cs="Arial"/>
          <w:sz w:val="22"/>
          <w:szCs w:val="22"/>
          <w:lang w:eastAsia="ko-KR"/>
        </w:rPr>
        <w:t>’</w:t>
      </w:r>
      <w:r w:rsidRPr="0001502D">
        <w:rPr>
          <w:rFonts w:ascii="Arial" w:hAnsi="Arial" w:cs="Arial"/>
          <w:sz w:val="22"/>
          <w:szCs w:val="22"/>
          <w:lang w:eastAsia="ko-KR"/>
        </w:rPr>
        <w:t>après les informations contenues dans le dossier, la candidature satisfait aux critères d</w:t>
      </w:r>
      <w:r w:rsidR="009C104E">
        <w:rPr>
          <w:rFonts w:ascii="Arial" w:hAnsi="Arial" w:cs="Arial"/>
          <w:sz w:val="22"/>
          <w:szCs w:val="22"/>
          <w:lang w:eastAsia="ko-KR"/>
        </w:rPr>
        <w:t>’</w:t>
      </w:r>
      <w:r w:rsidRPr="0001502D">
        <w:rPr>
          <w:rFonts w:ascii="Arial" w:hAnsi="Arial" w:cs="Arial"/>
          <w:sz w:val="22"/>
          <w:szCs w:val="22"/>
          <w:lang w:eastAsia="ko-KR"/>
        </w:rPr>
        <w:t>inscription sur la Liste représentative du patrimoine culturel immatériel de l</w:t>
      </w:r>
      <w:r w:rsidR="009C104E">
        <w:rPr>
          <w:rFonts w:ascii="Arial" w:hAnsi="Arial" w:cs="Arial"/>
          <w:sz w:val="22"/>
          <w:szCs w:val="22"/>
          <w:lang w:eastAsia="ko-KR"/>
        </w:rPr>
        <w:t>’</w:t>
      </w:r>
      <w:r w:rsidRPr="0001502D">
        <w:rPr>
          <w:rFonts w:ascii="Arial" w:hAnsi="Arial" w:cs="Arial"/>
          <w:sz w:val="22"/>
          <w:szCs w:val="22"/>
          <w:lang w:eastAsia="ko-KR"/>
        </w:rPr>
        <w:t>humanité comme suit :</w:t>
      </w:r>
    </w:p>
    <w:p w14:paraId="4F74A233" w14:textId="2B2F730E" w:rsidR="0001502D" w:rsidRPr="0001502D" w:rsidRDefault="0001502D" w:rsidP="002A7118">
      <w:pPr>
        <w:tabs>
          <w:tab w:val="left" w:pos="1134"/>
          <w:tab w:val="left" w:pos="2268"/>
        </w:tabs>
        <w:spacing w:before="120" w:after="120"/>
        <w:ind w:left="1134" w:hanging="567"/>
        <w:jc w:val="both"/>
        <w:rPr>
          <w:rFonts w:ascii="Arial" w:hAnsi="Arial" w:cs="Arial"/>
          <w:sz w:val="22"/>
          <w:szCs w:val="22"/>
        </w:rPr>
      </w:pPr>
      <w:r w:rsidRPr="0001502D">
        <w:rPr>
          <w:rFonts w:ascii="Arial" w:hAnsi="Arial" w:cs="Arial"/>
          <w:sz w:val="22"/>
          <w:szCs w:val="22"/>
        </w:rPr>
        <w:t xml:space="preserve">R.1 : </w:t>
      </w:r>
      <w:r w:rsidRPr="0001502D">
        <w:rPr>
          <w:rFonts w:ascii="Arial" w:hAnsi="Arial" w:cs="Arial"/>
          <w:sz w:val="22"/>
          <w:szCs w:val="22"/>
        </w:rPr>
        <w:tab/>
        <w:t>Les processions de la Semaine sainte à Mendrisio sont un événement culturel et spirituel qui implique et réunit une grande partie de la population de la région de Mendrisio. Elles sont l</w:t>
      </w:r>
      <w:r w:rsidR="009C104E">
        <w:rPr>
          <w:rFonts w:ascii="Arial" w:hAnsi="Arial" w:cs="Arial"/>
          <w:sz w:val="22"/>
          <w:szCs w:val="22"/>
        </w:rPr>
        <w:t>’</w:t>
      </w:r>
      <w:r w:rsidRPr="0001502D">
        <w:rPr>
          <w:rFonts w:ascii="Arial" w:hAnsi="Arial" w:cs="Arial"/>
          <w:sz w:val="22"/>
          <w:szCs w:val="22"/>
        </w:rPr>
        <w:t>expression colorée et rituelle des croyances populaires que représente Pâques. La manière dont les participants aux processions sont informés de la tradition et recrutés est essentielle pour la transmission des connaissances associées. Les écoles de la région sont impliquées afin d</w:t>
      </w:r>
      <w:r w:rsidR="009C104E">
        <w:rPr>
          <w:rFonts w:ascii="Arial" w:hAnsi="Arial" w:cs="Arial"/>
          <w:sz w:val="22"/>
          <w:szCs w:val="22"/>
        </w:rPr>
        <w:t>’</w:t>
      </w:r>
      <w:r w:rsidRPr="0001502D">
        <w:rPr>
          <w:rFonts w:ascii="Arial" w:hAnsi="Arial" w:cs="Arial"/>
          <w:sz w:val="22"/>
          <w:szCs w:val="22"/>
        </w:rPr>
        <w:t>encourager les plus jeunes à participer. De manière plus informelle, la transmission passe aussi beaucoup par les familles qui participent aux processions depuis plusieurs générations.</w:t>
      </w:r>
    </w:p>
    <w:p w14:paraId="487F5E10" w14:textId="030EFFFC" w:rsidR="0001502D" w:rsidRPr="0001502D" w:rsidRDefault="0001502D" w:rsidP="002A7118">
      <w:pPr>
        <w:tabs>
          <w:tab w:val="left" w:pos="1134"/>
          <w:tab w:val="left" w:pos="2268"/>
        </w:tabs>
        <w:spacing w:before="120" w:after="120"/>
        <w:ind w:left="1134" w:hanging="567"/>
        <w:jc w:val="both"/>
        <w:rPr>
          <w:rFonts w:ascii="Arial" w:hAnsi="Arial" w:cs="Arial"/>
          <w:sz w:val="22"/>
          <w:szCs w:val="22"/>
        </w:rPr>
      </w:pPr>
      <w:r w:rsidRPr="0001502D">
        <w:rPr>
          <w:rFonts w:ascii="Arial" w:hAnsi="Arial" w:cs="Arial"/>
          <w:sz w:val="22"/>
          <w:szCs w:val="22"/>
        </w:rPr>
        <w:t xml:space="preserve">R.2 : </w:t>
      </w:r>
      <w:r w:rsidRPr="0001502D">
        <w:rPr>
          <w:rFonts w:ascii="Arial" w:hAnsi="Arial" w:cs="Arial"/>
          <w:sz w:val="22"/>
          <w:szCs w:val="22"/>
        </w:rPr>
        <w:tab/>
        <w:t>L</w:t>
      </w:r>
      <w:r w:rsidR="009C104E">
        <w:rPr>
          <w:rFonts w:ascii="Arial" w:hAnsi="Arial" w:cs="Arial"/>
          <w:sz w:val="22"/>
          <w:szCs w:val="22"/>
        </w:rPr>
        <w:t>’</w:t>
      </w:r>
      <w:r w:rsidRPr="0001502D">
        <w:rPr>
          <w:rFonts w:ascii="Arial" w:hAnsi="Arial" w:cs="Arial"/>
          <w:sz w:val="22"/>
          <w:szCs w:val="22"/>
        </w:rPr>
        <w:t>inscription des processions de la Semaine sainte à Mendrisio sur la Liste représentative enrichirait l</w:t>
      </w:r>
      <w:r w:rsidR="009C104E">
        <w:rPr>
          <w:rFonts w:ascii="Arial" w:hAnsi="Arial" w:cs="Arial"/>
          <w:sz w:val="22"/>
          <w:szCs w:val="22"/>
        </w:rPr>
        <w:t>’</w:t>
      </w:r>
      <w:r w:rsidRPr="0001502D">
        <w:rPr>
          <w:rFonts w:ascii="Arial" w:hAnsi="Arial" w:cs="Arial"/>
          <w:sz w:val="22"/>
          <w:szCs w:val="22"/>
        </w:rPr>
        <w:t>éventail des processions déjà inscrites et montrerait comment un rite lié à une croyance peut se transformer en un événement ouvert à tous. Les processions sont un exemple de dialogue intergénérationnel transcendant la famille, la communauté ou les affiliations sociales et culturelles à travers la collaboration active de différentes générations. L</w:t>
      </w:r>
      <w:r w:rsidR="009C104E">
        <w:rPr>
          <w:rFonts w:ascii="Arial" w:hAnsi="Arial" w:cs="Arial"/>
          <w:sz w:val="22"/>
          <w:szCs w:val="22"/>
        </w:rPr>
        <w:t>’</w:t>
      </w:r>
      <w:r w:rsidRPr="0001502D">
        <w:rPr>
          <w:rFonts w:ascii="Arial" w:hAnsi="Arial" w:cs="Arial"/>
          <w:sz w:val="22"/>
          <w:szCs w:val="22"/>
        </w:rPr>
        <w:t>inscription de l</w:t>
      </w:r>
      <w:r w:rsidR="009C104E">
        <w:rPr>
          <w:rFonts w:ascii="Arial" w:hAnsi="Arial" w:cs="Arial"/>
          <w:sz w:val="22"/>
          <w:szCs w:val="22"/>
        </w:rPr>
        <w:t>’</w:t>
      </w:r>
      <w:r w:rsidRPr="0001502D">
        <w:rPr>
          <w:rFonts w:ascii="Arial" w:hAnsi="Arial" w:cs="Arial"/>
          <w:sz w:val="22"/>
          <w:szCs w:val="22"/>
        </w:rPr>
        <w:t>élément encouragerait cette dynamique d</w:t>
      </w:r>
      <w:r w:rsidR="009C104E">
        <w:rPr>
          <w:rFonts w:ascii="Arial" w:hAnsi="Arial" w:cs="Arial"/>
          <w:sz w:val="22"/>
          <w:szCs w:val="22"/>
        </w:rPr>
        <w:t>’</w:t>
      </w:r>
      <w:r w:rsidRPr="0001502D">
        <w:rPr>
          <w:rFonts w:ascii="Arial" w:hAnsi="Arial" w:cs="Arial"/>
          <w:sz w:val="22"/>
          <w:szCs w:val="22"/>
        </w:rPr>
        <w:t>échange et ouvrirait la voie au dialogue et à la collaboration.</w:t>
      </w:r>
    </w:p>
    <w:p w14:paraId="594855FE" w14:textId="0A85E9AF" w:rsidR="0001502D" w:rsidRPr="0001502D" w:rsidRDefault="0001502D" w:rsidP="002A7118">
      <w:pPr>
        <w:tabs>
          <w:tab w:val="left" w:pos="1134"/>
          <w:tab w:val="left" w:pos="2268"/>
        </w:tabs>
        <w:spacing w:before="120" w:after="120"/>
        <w:ind w:left="1134" w:hanging="567"/>
        <w:jc w:val="both"/>
        <w:rPr>
          <w:rFonts w:ascii="Arial" w:hAnsi="Arial" w:cs="Arial"/>
          <w:sz w:val="22"/>
          <w:szCs w:val="22"/>
        </w:rPr>
      </w:pPr>
      <w:r w:rsidRPr="0001502D">
        <w:rPr>
          <w:rFonts w:ascii="Arial" w:hAnsi="Arial" w:cs="Arial"/>
          <w:sz w:val="22"/>
          <w:szCs w:val="22"/>
        </w:rPr>
        <w:t xml:space="preserve">R.3 : </w:t>
      </w:r>
      <w:r w:rsidRPr="0001502D">
        <w:rPr>
          <w:rFonts w:ascii="Arial" w:hAnsi="Arial" w:cs="Arial"/>
          <w:sz w:val="22"/>
          <w:szCs w:val="22"/>
        </w:rPr>
        <w:tab/>
        <w:t>La viabilité de l</w:t>
      </w:r>
      <w:r w:rsidR="009C104E">
        <w:rPr>
          <w:rFonts w:ascii="Arial" w:hAnsi="Arial" w:cs="Arial"/>
          <w:sz w:val="22"/>
          <w:szCs w:val="22"/>
        </w:rPr>
        <w:t>’</w:t>
      </w:r>
      <w:r w:rsidRPr="0001502D">
        <w:rPr>
          <w:rFonts w:ascii="Arial" w:hAnsi="Arial" w:cs="Arial"/>
          <w:sz w:val="22"/>
          <w:szCs w:val="22"/>
        </w:rPr>
        <w:t xml:space="preserve">élément est formellement garantie par la </w:t>
      </w:r>
      <w:r w:rsidRPr="0001502D">
        <w:rPr>
          <w:rFonts w:ascii="Arial" w:hAnsi="Arial" w:cs="Arial"/>
          <w:iCs/>
          <w:sz w:val="22"/>
          <w:szCs w:val="22"/>
        </w:rPr>
        <w:t>Fondazione Processioni Storiche di Mendrisio</w:t>
      </w:r>
      <w:r w:rsidRPr="0001502D">
        <w:rPr>
          <w:rFonts w:ascii="Arial" w:hAnsi="Arial" w:cs="Arial"/>
          <w:sz w:val="22"/>
          <w:szCs w:val="22"/>
        </w:rPr>
        <w:t>, les praticiens et les détenteurs. Ils sont soutenus à cet égard par la municipalité, le musée des transparents et les médias. Les mesures de sauvegarde proposées incluent un vaste éventail d</w:t>
      </w:r>
      <w:r w:rsidR="009C104E">
        <w:rPr>
          <w:rFonts w:ascii="Arial" w:hAnsi="Arial" w:cs="Arial"/>
          <w:sz w:val="22"/>
          <w:szCs w:val="22"/>
        </w:rPr>
        <w:t>’</w:t>
      </w:r>
      <w:r w:rsidRPr="0001502D">
        <w:rPr>
          <w:rFonts w:ascii="Arial" w:hAnsi="Arial" w:cs="Arial"/>
          <w:sz w:val="22"/>
          <w:szCs w:val="22"/>
        </w:rPr>
        <w:t>activités en lien avec la transmission, la promotion et l</w:t>
      </w:r>
      <w:r w:rsidR="009C104E">
        <w:rPr>
          <w:rFonts w:ascii="Arial" w:hAnsi="Arial" w:cs="Arial"/>
          <w:sz w:val="22"/>
          <w:szCs w:val="22"/>
        </w:rPr>
        <w:t>’</w:t>
      </w:r>
      <w:r w:rsidRPr="0001502D">
        <w:rPr>
          <w:rFonts w:ascii="Arial" w:hAnsi="Arial" w:cs="Arial"/>
          <w:sz w:val="22"/>
          <w:szCs w:val="22"/>
        </w:rPr>
        <w:t>étude de l</w:t>
      </w:r>
      <w:r w:rsidR="009C104E">
        <w:rPr>
          <w:rFonts w:ascii="Arial" w:hAnsi="Arial" w:cs="Arial"/>
          <w:sz w:val="22"/>
          <w:szCs w:val="22"/>
        </w:rPr>
        <w:t>’</w:t>
      </w:r>
      <w:r w:rsidRPr="0001502D">
        <w:rPr>
          <w:rFonts w:ascii="Arial" w:hAnsi="Arial" w:cs="Arial"/>
          <w:sz w:val="22"/>
          <w:szCs w:val="22"/>
        </w:rPr>
        <w:t>élément, ainsi que des activités de sensibilisation. Elles ont été conçues et discutées avec les détenteurs de l</w:t>
      </w:r>
      <w:r w:rsidR="009C104E">
        <w:rPr>
          <w:rFonts w:ascii="Arial" w:hAnsi="Arial" w:cs="Arial"/>
          <w:sz w:val="22"/>
          <w:szCs w:val="22"/>
        </w:rPr>
        <w:t>’</w:t>
      </w:r>
      <w:r w:rsidRPr="0001502D">
        <w:rPr>
          <w:rFonts w:ascii="Arial" w:hAnsi="Arial" w:cs="Arial"/>
          <w:sz w:val="22"/>
          <w:szCs w:val="22"/>
        </w:rPr>
        <w:t>élément au cours de nombreuses réunions et incluront des institutions culturelles, des écoles et les autorités locales.</w:t>
      </w:r>
    </w:p>
    <w:p w14:paraId="4717C45E" w14:textId="00D5799A" w:rsidR="0001502D" w:rsidRPr="0001502D" w:rsidRDefault="0001502D" w:rsidP="002A7118">
      <w:pPr>
        <w:tabs>
          <w:tab w:val="left" w:pos="1134"/>
          <w:tab w:val="left" w:pos="2268"/>
        </w:tabs>
        <w:spacing w:before="120" w:after="120"/>
        <w:ind w:left="1134" w:hanging="567"/>
        <w:jc w:val="both"/>
        <w:rPr>
          <w:rFonts w:ascii="Arial" w:hAnsi="Arial" w:cs="Arial"/>
          <w:sz w:val="22"/>
          <w:szCs w:val="22"/>
        </w:rPr>
      </w:pPr>
      <w:r w:rsidRPr="0001502D">
        <w:rPr>
          <w:rFonts w:ascii="Arial" w:hAnsi="Arial" w:cs="Arial"/>
          <w:sz w:val="22"/>
          <w:szCs w:val="22"/>
        </w:rPr>
        <w:t xml:space="preserve">R.4 : </w:t>
      </w:r>
      <w:r w:rsidRPr="0001502D">
        <w:rPr>
          <w:rFonts w:ascii="Arial" w:hAnsi="Arial" w:cs="Arial"/>
          <w:sz w:val="22"/>
          <w:szCs w:val="22"/>
        </w:rPr>
        <w:tab/>
        <w:t>Des chercheurs, des membres de la fondation de Mendrisio et les autorités fédérales et locales (Office fédéral de la culture, municipalité de Mendrisio) ont participé à la préparation du dossier de candidature et aux discussions associées entre 2012 et 2017. Les lettres manuscrites de consentement libre, préalable, et éclairé de la communauté, des groupes et d</w:t>
      </w:r>
      <w:r w:rsidR="009C104E">
        <w:rPr>
          <w:rFonts w:ascii="Arial" w:hAnsi="Arial" w:cs="Arial"/>
          <w:sz w:val="22"/>
          <w:szCs w:val="22"/>
        </w:rPr>
        <w:t>’</w:t>
      </w:r>
      <w:r w:rsidRPr="0001502D">
        <w:rPr>
          <w:rFonts w:ascii="Arial" w:hAnsi="Arial" w:cs="Arial"/>
          <w:sz w:val="22"/>
          <w:szCs w:val="22"/>
        </w:rPr>
        <w:t>individus concernés, y compris d</w:t>
      </w:r>
      <w:r w:rsidR="009C104E">
        <w:rPr>
          <w:rFonts w:ascii="Arial" w:hAnsi="Arial" w:cs="Arial"/>
          <w:sz w:val="22"/>
          <w:szCs w:val="22"/>
        </w:rPr>
        <w:t>’</w:t>
      </w:r>
      <w:r w:rsidRPr="0001502D">
        <w:rPr>
          <w:rFonts w:ascii="Arial" w:hAnsi="Arial" w:cs="Arial"/>
          <w:sz w:val="22"/>
          <w:szCs w:val="22"/>
        </w:rPr>
        <w:t>hommes et de femmes de tous âges, ont été obtenues après deux réunions d</w:t>
      </w:r>
      <w:r w:rsidR="009C104E">
        <w:rPr>
          <w:rFonts w:ascii="Arial" w:hAnsi="Arial" w:cs="Arial"/>
          <w:sz w:val="22"/>
          <w:szCs w:val="22"/>
        </w:rPr>
        <w:t>’</w:t>
      </w:r>
      <w:r w:rsidRPr="0001502D">
        <w:rPr>
          <w:rFonts w:ascii="Arial" w:hAnsi="Arial" w:cs="Arial"/>
          <w:sz w:val="22"/>
          <w:szCs w:val="22"/>
        </w:rPr>
        <w:t>information organisées par le conseil de la fondation en novembre et décembre 2017.</w:t>
      </w:r>
    </w:p>
    <w:p w14:paraId="75D534D8" w14:textId="0303E47B" w:rsidR="0001502D" w:rsidRPr="0001502D" w:rsidRDefault="0001502D" w:rsidP="002A7118">
      <w:pPr>
        <w:tabs>
          <w:tab w:val="left" w:pos="1134"/>
          <w:tab w:val="left" w:pos="2268"/>
        </w:tabs>
        <w:spacing w:before="120" w:after="120"/>
        <w:ind w:left="1134" w:hanging="567"/>
        <w:jc w:val="both"/>
        <w:rPr>
          <w:rFonts w:ascii="Arial" w:hAnsi="Arial" w:cs="Arial"/>
          <w:sz w:val="22"/>
          <w:szCs w:val="22"/>
        </w:rPr>
      </w:pPr>
      <w:r w:rsidRPr="0001502D">
        <w:rPr>
          <w:rFonts w:ascii="Arial" w:hAnsi="Arial" w:cs="Arial"/>
          <w:sz w:val="22"/>
          <w:szCs w:val="22"/>
        </w:rPr>
        <w:t xml:space="preserve">R.5 : </w:t>
      </w:r>
      <w:r w:rsidRPr="0001502D">
        <w:rPr>
          <w:rFonts w:ascii="Arial" w:hAnsi="Arial" w:cs="Arial"/>
          <w:sz w:val="22"/>
          <w:szCs w:val="22"/>
        </w:rPr>
        <w:tab/>
        <w:t>L</w:t>
      </w:r>
      <w:r w:rsidR="009C104E">
        <w:rPr>
          <w:rFonts w:ascii="Arial" w:hAnsi="Arial" w:cs="Arial"/>
          <w:sz w:val="22"/>
          <w:szCs w:val="22"/>
        </w:rPr>
        <w:t>’</w:t>
      </w:r>
      <w:r w:rsidRPr="0001502D">
        <w:rPr>
          <w:rFonts w:ascii="Arial" w:hAnsi="Arial" w:cs="Arial"/>
          <w:sz w:val="22"/>
          <w:szCs w:val="22"/>
        </w:rPr>
        <w:t>élément a été inscrit sur la Liste des traditions vivantes en Suisse en 2012. L</w:t>
      </w:r>
      <w:r w:rsidR="009C104E">
        <w:rPr>
          <w:rFonts w:ascii="Arial" w:hAnsi="Arial" w:cs="Arial"/>
          <w:sz w:val="22"/>
          <w:szCs w:val="22"/>
        </w:rPr>
        <w:t>’</w:t>
      </w:r>
      <w:r w:rsidRPr="0001502D">
        <w:rPr>
          <w:rFonts w:ascii="Arial" w:hAnsi="Arial" w:cs="Arial"/>
          <w:sz w:val="22"/>
          <w:szCs w:val="22"/>
        </w:rPr>
        <w:t>Office fédéral de la culture, à Bern, est l</w:t>
      </w:r>
      <w:r w:rsidR="009C104E">
        <w:rPr>
          <w:rFonts w:ascii="Arial" w:hAnsi="Arial" w:cs="Arial"/>
          <w:sz w:val="22"/>
          <w:szCs w:val="22"/>
        </w:rPr>
        <w:t>’</w:t>
      </w:r>
      <w:r w:rsidRPr="0001502D">
        <w:rPr>
          <w:rFonts w:ascii="Arial" w:hAnsi="Arial" w:cs="Arial"/>
          <w:sz w:val="22"/>
          <w:szCs w:val="22"/>
        </w:rPr>
        <w:t>organisme responsable de la gestion et de la mise à jour de cet inventaire. L</w:t>
      </w:r>
      <w:r w:rsidR="009C104E">
        <w:rPr>
          <w:rFonts w:ascii="Arial" w:hAnsi="Arial" w:cs="Arial"/>
          <w:sz w:val="22"/>
          <w:szCs w:val="22"/>
        </w:rPr>
        <w:t>’</w:t>
      </w:r>
      <w:r w:rsidRPr="0001502D">
        <w:rPr>
          <w:rFonts w:ascii="Arial" w:hAnsi="Arial" w:cs="Arial"/>
          <w:sz w:val="22"/>
          <w:szCs w:val="22"/>
        </w:rPr>
        <w:t>inventaire national est mis à jour tous les cinq ans selon une approche ascendante qui permet à la population et aux cantons de proposer l</w:t>
      </w:r>
      <w:r w:rsidR="009C104E">
        <w:rPr>
          <w:rFonts w:ascii="Arial" w:hAnsi="Arial" w:cs="Arial"/>
          <w:sz w:val="22"/>
          <w:szCs w:val="22"/>
        </w:rPr>
        <w:t>’</w:t>
      </w:r>
      <w:r w:rsidRPr="0001502D">
        <w:rPr>
          <w:rFonts w:ascii="Arial" w:hAnsi="Arial" w:cs="Arial"/>
          <w:sz w:val="22"/>
          <w:szCs w:val="22"/>
        </w:rPr>
        <w:t>ajout de nouveaux éléments et la révision des informations relatives aux éléments déjà inscrits.</w:t>
      </w:r>
    </w:p>
    <w:p w14:paraId="0F59357D" w14:textId="74276CD1" w:rsidR="0001502D" w:rsidRPr="0001502D" w:rsidRDefault="0001502D" w:rsidP="00771F30">
      <w:pPr>
        <w:numPr>
          <w:ilvl w:val="1"/>
          <w:numId w:val="41"/>
        </w:numPr>
        <w:tabs>
          <w:tab w:val="left" w:pos="567"/>
          <w:tab w:val="left" w:pos="1701"/>
          <w:tab w:val="left" w:pos="2268"/>
        </w:tabs>
        <w:spacing w:before="120" w:after="120"/>
        <w:ind w:left="567"/>
        <w:jc w:val="both"/>
        <w:rPr>
          <w:rFonts w:ascii="Arial" w:hAnsi="Arial" w:cs="Arial"/>
          <w:sz w:val="22"/>
          <w:szCs w:val="22"/>
          <w:lang w:eastAsia="ko-KR"/>
        </w:rPr>
      </w:pPr>
      <w:r w:rsidRPr="0001502D">
        <w:rPr>
          <w:rFonts w:ascii="Arial" w:hAnsi="Arial" w:cs="Arial"/>
          <w:sz w:val="22"/>
          <w:szCs w:val="22"/>
          <w:u w:val="single"/>
          <w:lang w:eastAsia="ko-KR"/>
        </w:rPr>
        <w:t>Décide d</w:t>
      </w:r>
      <w:r w:rsidR="009C104E">
        <w:rPr>
          <w:rFonts w:ascii="Arial" w:hAnsi="Arial" w:cs="Arial"/>
          <w:sz w:val="22"/>
          <w:szCs w:val="22"/>
          <w:u w:val="single"/>
          <w:lang w:eastAsia="ko-KR"/>
        </w:rPr>
        <w:t>’</w:t>
      </w:r>
      <w:r w:rsidRPr="0001502D">
        <w:rPr>
          <w:rFonts w:ascii="Arial" w:hAnsi="Arial" w:cs="Arial"/>
          <w:sz w:val="22"/>
          <w:szCs w:val="22"/>
          <w:u w:val="single"/>
          <w:lang w:eastAsia="ko-KR"/>
        </w:rPr>
        <w:t>inscrire</w:t>
      </w:r>
      <w:r w:rsidRPr="0001502D">
        <w:rPr>
          <w:rFonts w:ascii="Arial" w:hAnsi="Arial" w:cs="Arial"/>
          <w:sz w:val="22"/>
          <w:szCs w:val="22"/>
          <w:lang w:eastAsia="ko-KR"/>
        </w:rPr>
        <w:t xml:space="preserve"> les </w:t>
      </w:r>
      <w:r w:rsidRPr="0001502D">
        <w:rPr>
          <w:rFonts w:ascii="Arial" w:hAnsi="Arial" w:cs="Arial"/>
          <w:b/>
          <w:bCs/>
          <w:sz w:val="22"/>
          <w:szCs w:val="22"/>
          <w:lang w:eastAsia="ko-KR"/>
        </w:rPr>
        <w:t>Processions de la Semaine sainte à Mendrisio</w:t>
      </w:r>
      <w:r w:rsidRPr="0001502D">
        <w:rPr>
          <w:rFonts w:ascii="Arial" w:hAnsi="Arial" w:cs="Arial"/>
          <w:sz w:val="22"/>
          <w:szCs w:val="22"/>
          <w:lang w:eastAsia="ko-KR"/>
        </w:rPr>
        <w:t xml:space="preserve"> sur la Liste représentative du patrimoine culturel immatériel de l</w:t>
      </w:r>
      <w:r w:rsidR="009C104E">
        <w:rPr>
          <w:rFonts w:ascii="Arial" w:hAnsi="Arial" w:cs="Arial"/>
          <w:sz w:val="22"/>
          <w:szCs w:val="22"/>
          <w:lang w:eastAsia="ko-KR"/>
        </w:rPr>
        <w:t>’</w:t>
      </w:r>
      <w:r w:rsidRPr="0001502D">
        <w:rPr>
          <w:rFonts w:ascii="Arial" w:hAnsi="Arial" w:cs="Arial"/>
          <w:sz w:val="22"/>
          <w:szCs w:val="22"/>
          <w:lang w:eastAsia="ko-KR"/>
        </w:rPr>
        <w:t>humanité.</w:t>
      </w:r>
    </w:p>
    <w:p w14:paraId="6C65A8FD" w14:textId="6487881A" w:rsidR="0001502D" w:rsidRPr="0001502D" w:rsidRDefault="0001502D" w:rsidP="00771F30">
      <w:pPr>
        <w:keepNext/>
        <w:keepLines/>
        <w:numPr>
          <w:ilvl w:val="0"/>
          <w:numId w:val="41"/>
        </w:numPr>
        <w:spacing w:before="360" w:after="120"/>
        <w:outlineLvl w:val="1"/>
        <w:rPr>
          <w:rFonts w:ascii="Arial" w:hAnsi="Arial" w:cs="Arial"/>
          <w:bCs/>
          <w:iCs/>
          <w:sz w:val="22"/>
          <w:szCs w:val="22"/>
        </w:rPr>
      </w:pPr>
      <w:bookmarkStart w:id="38" w:name="Decision_10b35"/>
      <w:r w:rsidRPr="0001502D">
        <w:rPr>
          <w:rFonts w:ascii="Arial" w:hAnsi="Arial" w:cs="Arial"/>
          <w:b/>
          <w:bCs/>
          <w:iCs/>
          <w:sz w:val="22"/>
          <w:szCs w:val="22"/>
        </w:rPr>
        <w:t xml:space="preserve">DÉCISION 14.COM 10.b.35 </w:t>
      </w:r>
    </w:p>
    <w:bookmarkEnd w:id="38"/>
    <w:p w14:paraId="1310F50A" w14:textId="77777777" w:rsidR="0001502D" w:rsidRPr="0001502D" w:rsidRDefault="0001502D" w:rsidP="002A7118">
      <w:pPr>
        <w:keepNext/>
        <w:tabs>
          <w:tab w:val="left" w:pos="567"/>
          <w:tab w:val="left" w:pos="1134"/>
          <w:tab w:val="left" w:pos="1701"/>
          <w:tab w:val="left" w:pos="2268"/>
        </w:tabs>
        <w:spacing w:before="120" w:after="120"/>
        <w:jc w:val="both"/>
        <w:rPr>
          <w:rFonts w:ascii="Arial" w:hAnsi="Arial" w:cs="Arial"/>
          <w:sz w:val="22"/>
          <w:szCs w:val="22"/>
        </w:rPr>
      </w:pPr>
      <w:r w:rsidRPr="0001502D">
        <w:rPr>
          <w:rFonts w:ascii="Arial" w:hAnsi="Arial" w:cs="Arial"/>
          <w:sz w:val="22"/>
          <w:szCs w:val="22"/>
        </w:rPr>
        <w:t>Le Comité,</w:t>
      </w:r>
    </w:p>
    <w:p w14:paraId="0C952F51" w14:textId="381137B9" w:rsidR="0001502D" w:rsidRPr="0001502D" w:rsidRDefault="0001502D" w:rsidP="00771F30">
      <w:pPr>
        <w:numPr>
          <w:ilvl w:val="1"/>
          <w:numId w:val="41"/>
        </w:numPr>
        <w:tabs>
          <w:tab w:val="left" w:pos="567"/>
          <w:tab w:val="left" w:pos="1701"/>
          <w:tab w:val="left" w:pos="2268"/>
        </w:tabs>
        <w:spacing w:before="120" w:after="120"/>
        <w:ind w:left="567"/>
        <w:jc w:val="both"/>
        <w:rPr>
          <w:rFonts w:ascii="Arial" w:hAnsi="Arial" w:cs="Arial"/>
          <w:sz w:val="22"/>
          <w:szCs w:val="22"/>
          <w:lang w:eastAsia="ko-KR"/>
        </w:rPr>
      </w:pPr>
      <w:r w:rsidRPr="0001502D">
        <w:rPr>
          <w:rFonts w:ascii="Arial" w:hAnsi="Arial" w:cs="Arial"/>
          <w:sz w:val="22"/>
          <w:szCs w:val="22"/>
          <w:u w:val="single"/>
          <w:lang w:eastAsia="ko-KR"/>
        </w:rPr>
        <w:t>Prend note</w:t>
      </w:r>
      <w:r w:rsidRPr="0001502D">
        <w:rPr>
          <w:rFonts w:ascii="Arial" w:hAnsi="Arial" w:cs="Arial"/>
          <w:sz w:val="22"/>
          <w:szCs w:val="22"/>
          <w:lang w:eastAsia="ko-KR"/>
        </w:rPr>
        <w:t xml:space="preserve"> que la République arabe syrienne a proposé la candidature </w:t>
      </w:r>
      <w:r w:rsidRPr="0001502D">
        <w:rPr>
          <w:rFonts w:ascii="Arial" w:hAnsi="Arial" w:cs="Arial"/>
          <w:b/>
          <w:sz w:val="22"/>
          <w:szCs w:val="22"/>
          <w:lang w:eastAsia="ko-KR"/>
        </w:rPr>
        <w:t>des pratiques et de l</w:t>
      </w:r>
      <w:r w:rsidR="009C104E">
        <w:rPr>
          <w:rFonts w:ascii="Arial" w:hAnsi="Arial" w:cs="Arial"/>
          <w:b/>
          <w:sz w:val="22"/>
          <w:szCs w:val="22"/>
          <w:lang w:eastAsia="ko-KR"/>
        </w:rPr>
        <w:t>’</w:t>
      </w:r>
      <w:r w:rsidRPr="0001502D">
        <w:rPr>
          <w:rFonts w:ascii="Arial" w:hAnsi="Arial" w:cs="Arial"/>
          <w:b/>
          <w:sz w:val="22"/>
          <w:szCs w:val="22"/>
          <w:lang w:eastAsia="ko-KR"/>
        </w:rPr>
        <w:t>artisanat associés à la rose damascène à Al-Mrah</w:t>
      </w:r>
      <w:r w:rsidRPr="0001502D">
        <w:rPr>
          <w:rFonts w:ascii="Arial" w:hAnsi="Arial" w:cs="Arial"/>
          <w:sz w:val="22"/>
          <w:szCs w:val="22"/>
          <w:lang w:eastAsia="ko-KR"/>
        </w:rPr>
        <w:t xml:space="preserve"> (n° 01369) pour inscription sur la Liste représentative du patrimoine culturel immatériel de l</w:t>
      </w:r>
      <w:r w:rsidR="009C104E">
        <w:rPr>
          <w:rFonts w:ascii="Arial" w:hAnsi="Arial" w:cs="Arial"/>
          <w:sz w:val="22"/>
          <w:szCs w:val="22"/>
          <w:lang w:eastAsia="ko-KR"/>
        </w:rPr>
        <w:t>’</w:t>
      </w:r>
      <w:r w:rsidRPr="0001502D">
        <w:rPr>
          <w:rFonts w:ascii="Arial" w:hAnsi="Arial" w:cs="Arial"/>
          <w:sz w:val="22"/>
          <w:szCs w:val="22"/>
          <w:lang w:eastAsia="ko-KR"/>
        </w:rPr>
        <w:t>humanité :</w:t>
      </w:r>
    </w:p>
    <w:p w14:paraId="5244F01F" w14:textId="6D22EE74" w:rsidR="0001502D" w:rsidRPr="0001502D" w:rsidRDefault="0001502D" w:rsidP="002A7118">
      <w:pPr>
        <w:tabs>
          <w:tab w:val="left" w:pos="567"/>
          <w:tab w:val="left" w:pos="1701"/>
          <w:tab w:val="left" w:pos="2268"/>
        </w:tabs>
        <w:spacing w:before="120" w:after="120"/>
        <w:ind w:left="567"/>
        <w:jc w:val="both"/>
        <w:rPr>
          <w:rFonts w:ascii="Arial" w:hAnsi="Arial" w:cs="Arial"/>
          <w:sz w:val="22"/>
          <w:szCs w:val="22"/>
        </w:rPr>
      </w:pPr>
      <w:r w:rsidRPr="0001502D">
        <w:rPr>
          <w:rFonts w:ascii="Arial" w:hAnsi="Arial" w:cs="Arial"/>
          <w:sz w:val="22"/>
          <w:szCs w:val="22"/>
        </w:rPr>
        <w:t>Les pratiques et l</w:t>
      </w:r>
      <w:r w:rsidR="009C104E">
        <w:rPr>
          <w:rFonts w:ascii="Arial" w:hAnsi="Arial" w:cs="Arial"/>
          <w:sz w:val="22"/>
          <w:szCs w:val="22"/>
        </w:rPr>
        <w:t>’</w:t>
      </w:r>
      <w:r w:rsidRPr="0001502D">
        <w:rPr>
          <w:rFonts w:ascii="Arial" w:hAnsi="Arial" w:cs="Arial"/>
          <w:sz w:val="22"/>
          <w:szCs w:val="22"/>
        </w:rPr>
        <w:t>artisanat associés à la rose damascène concernent principalement les fermiers et familles du village d</w:t>
      </w:r>
      <w:r w:rsidR="009C104E">
        <w:rPr>
          <w:rFonts w:ascii="Arial" w:hAnsi="Arial" w:cs="Arial"/>
          <w:sz w:val="22"/>
          <w:szCs w:val="22"/>
        </w:rPr>
        <w:t>’</w:t>
      </w:r>
      <w:r w:rsidRPr="0001502D">
        <w:rPr>
          <w:rFonts w:ascii="Arial" w:hAnsi="Arial" w:cs="Arial"/>
          <w:sz w:val="22"/>
          <w:szCs w:val="22"/>
        </w:rPr>
        <w:t>Al-Mrah, dans les environs ruraux de Damas, qui disposent d</w:t>
      </w:r>
      <w:r w:rsidR="009C104E">
        <w:rPr>
          <w:rFonts w:ascii="Arial" w:hAnsi="Arial" w:cs="Arial"/>
          <w:sz w:val="22"/>
          <w:szCs w:val="22"/>
        </w:rPr>
        <w:t>’</w:t>
      </w:r>
      <w:r w:rsidRPr="0001502D">
        <w:rPr>
          <w:rFonts w:ascii="Arial" w:hAnsi="Arial" w:cs="Arial"/>
          <w:sz w:val="22"/>
          <w:szCs w:val="22"/>
        </w:rPr>
        <w:t>une expertise dans la production, entre autres, d</w:t>
      </w:r>
      <w:r w:rsidR="009C104E">
        <w:rPr>
          <w:rFonts w:ascii="Arial" w:hAnsi="Arial" w:cs="Arial"/>
          <w:sz w:val="22"/>
          <w:szCs w:val="22"/>
        </w:rPr>
        <w:t>’</w:t>
      </w:r>
      <w:r w:rsidRPr="0001502D">
        <w:rPr>
          <w:rFonts w:ascii="Arial" w:hAnsi="Arial" w:cs="Arial"/>
          <w:sz w:val="22"/>
          <w:szCs w:val="22"/>
        </w:rPr>
        <w:t>huiles essentielles et de remèdes traditionnels à partir de la rose de Damas, ainsi que la communauté et les familles du village qui organisent le festival annuel de la rose de Damas. La floraison de la rose de Damas, en mai, marque le début de la cueillette et du festival annuel. Les fermiers et leurs familles prennent la direction des champs tôt le matin pour cueillir les roses à la main, et revenir chez eux avant l</w:t>
      </w:r>
      <w:r w:rsidR="009C104E">
        <w:rPr>
          <w:rFonts w:ascii="Arial" w:hAnsi="Arial" w:cs="Arial"/>
          <w:sz w:val="22"/>
          <w:szCs w:val="22"/>
        </w:rPr>
        <w:t>’</w:t>
      </w:r>
      <w:r w:rsidRPr="0001502D">
        <w:rPr>
          <w:rFonts w:ascii="Arial" w:hAnsi="Arial" w:cs="Arial"/>
          <w:sz w:val="22"/>
          <w:szCs w:val="22"/>
        </w:rPr>
        <w:t>après-midi où toute la famille trie les boutons de rose, qui sont séchés pour faire du thé. Les pétales des roses sont stockés et préparés pour la distillation. Les femmes du village s</w:t>
      </w:r>
      <w:r w:rsidR="009C104E">
        <w:rPr>
          <w:rFonts w:ascii="Arial" w:hAnsi="Arial" w:cs="Arial"/>
          <w:sz w:val="22"/>
          <w:szCs w:val="22"/>
        </w:rPr>
        <w:t>’</w:t>
      </w:r>
      <w:r w:rsidRPr="0001502D">
        <w:rPr>
          <w:rFonts w:ascii="Arial" w:hAnsi="Arial" w:cs="Arial"/>
          <w:sz w:val="22"/>
          <w:szCs w:val="22"/>
        </w:rPr>
        <w:t>entraident pour la production de sirops, de confitures et de pâtisseries à la rose tout en chantant des airs locaux. Les apothicaires vendent la rose de Damas séchée pour ses nombreuses vertus médicinales. Le festival attire des habitants de nombreux villages alentour qui viennent y participer et profiter des festivités. Les femmes présentent des plats à base de rose et tout le monde chante des chants et incantations folkloriques en l</w:t>
      </w:r>
      <w:r w:rsidR="009C104E">
        <w:rPr>
          <w:rFonts w:ascii="Arial" w:hAnsi="Arial" w:cs="Arial"/>
          <w:sz w:val="22"/>
          <w:szCs w:val="22"/>
        </w:rPr>
        <w:t>’</w:t>
      </w:r>
      <w:r w:rsidRPr="0001502D">
        <w:rPr>
          <w:rFonts w:ascii="Arial" w:hAnsi="Arial" w:cs="Arial"/>
          <w:sz w:val="22"/>
          <w:szCs w:val="22"/>
        </w:rPr>
        <w:t>honneur de la rose. Le festival témoigne de l</w:t>
      </w:r>
      <w:r w:rsidR="009C104E">
        <w:rPr>
          <w:rFonts w:ascii="Arial" w:hAnsi="Arial" w:cs="Arial"/>
          <w:sz w:val="22"/>
          <w:szCs w:val="22"/>
        </w:rPr>
        <w:t>’</w:t>
      </w:r>
      <w:r w:rsidRPr="0001502D">
        <w:rPr>
          <w:rFonts w:ascii="Arial" w:hAnsi="Arial" w:cs="Arial"/>
          <w:sz w:val="22"/>
          <w:szCs w:val="22"/>
        </w:rPr>
        <w:t>importance culturelle inaltérable de l</w:t>
      </w:r>
      <w:r w:rsidR="009C104E">
        <w:rPr>
          <w:rFonts w:ascii="Arial" w:hAnsi="Arial" w:cs="Arial"/>
          <w:sz w:val="22"/>
          <w:szCs w:val="22"/>
        </w:rPr>
        <w:t>’</w:t>
      </w:r>
      <w:r w:rsidRPr="0001502D">
        <w:rPr>
          <w:rFonts w:ascii="Arial" w:hAnsi="Arial" w:cs="Arial"/>
          <w:sz w:val="22"/>
          <w:szCs w:val="22"/>
        </w:rPr>
        <w:t>élément pour ses détenteurs et leur engagement durable en faveur de sa sauvegarde.</w:t>
      </w:r>
    </w:p>
    <w:p w14:paraId="39BCA9DB" w14:textId="2C31476E" w:rsidR="0001502D" w:rsidRPr="0001502D" w:rsidRDefault="0001502D" w:rsidP="00771F30">
      <w:pPr>
        <w:keepNext/>
        <w:numPr>
          <w:ilvl w:val="1"/>
          <w:numId w:val="41"/>
        </w:numPr>
        <w:tabs>
          <w:tab w:val="left" w:pos="567"/>
          <w:tab w:val="left" w:pos="1701"/>
          <w:tab w:val="left" w:pos="2268"/>
        </w:tabs>
        <w:spacing w:before="120" w:after="120"/>
        <w:ind w:left="567"/>
        <w:jc w:val="both"/>
        <w:rPr>
          <w:rFonts w:ascii="Arial" w:hAnsi="Arial" w:cs="Arial"/>
          <w:sz w:val="22"/>
          <w:szCs w:val="22"/>
          <w:lang w:eastAsia="ko-KR"/>
        </w:rPr>
      </w:pPr>
      <w:r w:rsidRPr="0001502D">
        <w:rPr>
          <w:rFonts w:ascii="Arial" w:hAnsi="Arial" w:cs="Arial"/>
          <w:sz w:val="22"/>
          <w:szCs w:val="22"/>
          <w:u w:val="single"/>
          <w:lang w:eastAsia="ko-KR"/>
        </w:rPr>
        <w:t>Estime</w:t>
      </w:r>
      <w:r w:rsidRPr="0001502D">
        <w:rPr>
          <w:rFonts w:ascii="Arial" w:hAnsi="Arial" w:cs="Arial"/>
          <w:sz w:val="22"/>
          <w:szCs w:val="22"/>
          <w:lang w:eastAsia="ko-KR"/>
        </w:rPr>
        <w:t xml:space="preserve"> que, d</w:t>
      </w:r>
      <w:r w:rsidR="009C104E">
        <w:rPr>
          <w:rFonts w:ascii="Arial" w:hAnsi="Arial" w:cs="Arial"/>
          <w:sz w:val="22"/>
          <w:szCs w:val="22"/>
          <w:lang w:eastAsia="ko-KR"/>
        </w:rPr>
        <w:t>’</w:t>
      </w:r>
      <w:r w:rsidRPr="0001502D">
        <w:rPr>
          <w:rFonts w:ascii="Arial" w:hAnsi="Arial" w:cs="Arial"/>
          <w:sz w:val="22"/>
          <w:szCs w:val="22"/>
          <w:lang w:eastAsia="ko-KR"/>
        </w:rPr>
        <w:t>après les informations contenues dans le dossier, la candidature satisfait aux critères d</w:t>
      </w:r>
      <w:r w:rsidR="009C104E">
        <w:rPr>
          <w:rFonts w:ascii="Arial" w:hAnsi="Arial" w:cs="Arial"/>
          <w:sz w:val="22"/>
          <w:szCs w:val="22"/>
          <w:lang w:eastAsia="ko-KR"/>
        </w:rPr>
        <w:t>’</w:t>
      </w:r>
      <w:r w:rsidRPr="0001502D">
        <w:rPr>
          <w:rFonts w:ascii="Arial" w:hAnsi="Arial" w:cs="Arial"/>
          <w:sz w:val="22"/>
          <w:szCs w:val="22"/>
          <w:lang w:eastAsia="ko-KR"/>
        </w:rPr>
        <w:t>inscription sur la Liste représentative du patrimoine culturel immatériel de l</w:t>
      </w:r>
      <w:r w:rsidR="009C104E">
        <w:rPr>
          <w:rFonts w:ascii="Arial" w:hAnsi="Arial" w:cs="Arial"/>
          <w:sz w:val="22"/>
          <w:szCs w:val="22"/>
          <w:lang w:eastAsia="ko-KR"/>
        </w:rPr>
        <w:t>’</w:t>
      </w:r>
      <w:r w:rsidRPr="0001502D">
        <w:rPr>
          <w:rFonts w:ascii="Arial" w:hAnsi="Arial" w:cs="Arial"/>
          <w:sz w:val="22"/>
          <w:szCs w:val="22"/>
          <w:lang w:eastAsia="ko-KR"/>
        </w:rPr>
        <w:t>humanité comme suit :</w:t>
      </w:r>
    </w:p>
    <w:p w14:paraId="15CD132C" w14:textId="176F736D" w:rsidR="0001502D" w:rsidRPr="0001502D" w:rsidRDefault="0001502D" w:rsidP="002A7118">
      <w:pPr>
        <w:tabs>
          <w:tab w:val="left" w:pos="1134"/>
          <w:tab w:val="left" w:pos="2268"/>
        </w:tabs>
        <w:spacing w:before="120" w:after="120"/>
        <w:ind w:left="1134" w:hanging="555"/>
        <w:jc w:val="both"/>
        <w:rPr>
          <w:rFonts w:ascii="Arial" w:hAnsi="Arial" w:cs="Arial"/>
          <w:sz w:val="22"/>
          <w:szCs w:val="22"/>
        </w:rPr>
      </w:pPr>
      <w:r w:rsidRPr="0001502D">
        <w:rPr>
          <w:rFonts w:ascii="Arial" w:hAnsi="Arial" w:cs="Arial"/>
          <w:sz w:val="22"/>
          <w:szCs w:val="22"/>
        </w:rPr>
        <w:t xml:space="preserve">R.1 : </w:t>
      </w:r>
      <w:r w:rsidRPr="0001502D">
        <w:rPr>
          <w:rFonts w:ascii="Arial" w:hAnsi="Arial" w:cs="Arial"/>
          <w:sz w:val="22"/>
          <w:szCs w:val="22"/>
        </w:rPr>
        <w:tab/>
        <w:t>Les pratiques et l</w:t>
      </w:r>
      <w:r w:rsidR="009C104E">
        <w:rPr>
          <w:rFonts w:ascii="Arial" w:hAnsi="Arial" w:cs="Arial"/>
          <w:sz w:val="22"/>
          <w:szCs w:val="22"/>
        </w:rPr>
        <w:t>’</w:t>
      </w:r>
      <w:r w:rsidRPr="0001502D">
        <w:rPr>
          <w:rFonts w:ascii="Arial" w:hAnsi="Arial" w:cs="Arial"/>
          <w:sz w:val="22"/>
          <w:szCs w:val="22"/>
        </w:rPr>
        <w:t>artisanat associés à la rose damascène à Al-Mrah sont un symbole culturel important pour le peuple syrien dans son ensemble. De plus, compte tenu de sa nature saisonnière, l</w:t>
      </w:r>
      <w:r w:rsidR="009C104E">
        <w:rPr>
          <w:rFonts w:ascii="Arial" w:hAnsi="Arial" w:cs="Arial"/>
          <w:sz w:val="22"/>
          <w:szCs w:val="22"/>
        </w:rPr>
        <w:t>’</w:t>
      </w:r>
      <w:r w:rsidRPr="0001502D">
        <w:rPr>
          <w:rFonts w:ascii="Arial" w:hAnsi="Arial" w:cs="Arial"/>
          <w:sz w:val="22"/>
          <w:szCs w:val="22"/>
        </w:rPr>
        <w:t>élément rythme la vie des communautés locales. Il réunit la communauté à travers le partage de différentes tâches et responsabilités. Il encourage également à agir de manière responsable vis-à-vis de l</w:t>
      </w:r>
      <w:r w:rsidR="009C104E">
        <w:rPr>
          <w:rFonts w:ascii="Arial" w:hAnsi="Arial" w:cs="Arial"/>
          <w:sz w:val="22"/>
          <w:szCs w:val="22"/>
        </w:rPr>
        <w:t>’</w:t>
      </w:r>
      <w:r w:rsidRPr="0001502D">
        <w:rPr>
          <w:rFonts w:ascii="Arial" w:hAnsi="Arial" w:cs="Arial"/>
          <w:sz w:val="22"/>
          <w:szCs w:val="22"/>
        </w:rPr>
        <w:t>environnement, souligne la nécessité de respecter la nature, et a une grande influence sur les créations et expressions artistiques. Le festival annuel permet d</w:t>
      </w:r>
      <w:r w:rsidR="009C104E">
        <w:rPr>
          <w:rFonts w:ascii="Arial" w:hAnsi="Arial" w:cs="Arial"/>
          <w:sz w:val="22"/>
          <w:szCs w:val="22"/>
        </w:rPr>
        <w:t>’</w:t>
      </w:r>
      <w:r w:rsidRPr="0001502D">
        <w:rPr>
          <w:rFonts w:ascii="Arial" w:hAnsi="Arial" w:cs="Arial"/>
          <w:sz w:val="22"/>
          <w:szCs w:val="22"/>
        </w:rPr>
        <w:t>entretenir le lien entre les familles rurales et les citadins. Il a lieu à chaque récolte et est un symbole de vie, d</w:t>
      </w:r>
      <w:r w:rsidR="009C104E">
        <w:rPr>
          <w:rFonts w:ascii="Arial" w:hAnsi="Arial" w:cs="Arial"/>
          <w:sz w:val="22"/>
          <w:szCs w:val="22"/>
        </w:rPr>
        <w:t>’</w:t>
      </w:r>
      <w:r w:rsidRPr="0001502D">
        <w:rPr>
          <w:rFonts w:ascii="Arial" w:hAnsi="Arial" w:cs="Arial"/>
          <w:sz w:val="22"/>
          <w:szCs w:val="22"/>
        </w:rPr>
        <w:t>espoir et de croissance, dans l</w:t>
      </w:r>
      <w:r w:rsidR="009C104E">
        <w:rPr>
          <w:rFonts w:ascii="Arial" w:hAnsi="Arial" w:cs="Arial"/>
          <w:sz w:val="22"/>
          <w:szCs w:val="22"/>
        </w:rPr>
        <w:t>’</w:t>
      </w:r>
      <w:r w:rsidRPr="0001502D">
        <w:rPr>
          <w:rFonts w:ascii="Arial" w:hAnsi="Arial" w:cs="Arial"/>
          <w:sz w:val="22"/>
          <w:szCs w:val="22"/>
        </w:rPr>
        <w:t>attente d</w:t>
      </w:r>
      <w:r w:rsidR="009C104E">
        <w:rPr>
          <w:rFonts w:ascii="Arial" w:hAnsi="Arial" w:cs="Arial"/>
          <w:sz w:val="22"/>
          <w:szCs w:val="22"/>
        </w:rPr>
        <w:t>’</w:t>
      </w:r>
      <w:r w:rsidRPr="0001502D">
        <w:rPr>
          <w:rFonts w:ascii="Arial" w:hAnsi="Arial" w:cs="Arial"/>
          <w:sz w:val="22"/>
          <w:szCs w:val="22"/>
        </w:rPr>
        <w:t>une bonne récolte pour l</w:t>
      </w:r>
      <w:r w:rsidR="009C104E">
        <w:rPr>
          <w:rFonts w:ascii="Arial" w:hAnsi="Arial" w:cs="Arial"/>
          <w:sz w:val="22"/>
          <w:szCs w:val="22"/>
        </w:rPr>
        <w:t>’</w:t>
      </w:r>
      <w:r w:rsidRPr="0001502D">
        <w:rPr>
          <w:rFonts w:ascii="Arial" w:hAnsi="Arial" w:cs="Arial"/>
          <w:sz w:val="22"/>
          <w:szCs w:val="22"/>
        </w:rPr>
        <w:t>année suivante.</w:t>
      </w:r>
    </w:p>
    <w:p w14:paraId="776545F0" w14:textId="3CBBDB16" w:rsidR="0001502D" w:rsidRPr="0001502D" w:rsidRDefault="0001502D" w:rsidP="002A7118">
      <w:pPr>
        <w:tabs>
          <w:tab w:val="left" w:pos="1134"/>
          <w:tab w:val="left" w:pos="2268"/>
        </w:tabs>
        <w:spacing w:before="120" w:after="120"/>
        <w:ind w:left="1134" w:hanging="555"/>
        <w:jc w:val="both"/>
        <w:rPr>
          <w:rFonts w:ascii="Arial" w:hAnsi="Arial" w:cs="Arial"/>
          <w:sz w:val="22"/>
          <w:szCs w:val="22"/>
        </w:rPr>
      </w:pPr>
      <w:r w:rsidRPr="0001502D">
        <w:rPr>
          <w:rFonts w:ascii="Arial" w:hAnsi="Arial" w:cs="Arial"/>
          <w:sz w:val="22"/>
          <w:szCs w:val="22"/>
        </w:rPr>
        <w:t xml:space="preserve">R.2 : </w:t>
      </w:r>
      <w:r w:rsidRPr="0001502D">
        <w:rPr>
          <w:rFonts w:ascii="Arial" w:hAnsi="Arial" w:cs="Arial"/>
          <w:sz w:val="22"/>
          <w:szCs w:val="22"/>
        </w:rPr>
        <w:tab/>
        <w:t>L</w:t>
      </w:r>
      <w:r w:rsidR="009C104E">
        <w:rPr>
          <w:rFonts w:ascii="Arial" w:hAnsi="Arial" w:cs="Arial"/>
          <w:sz w:val="22"/>
          <w:szCs w:val="22"/>
        </w:rPr>
        <w:t>’</w:t>
      </w:r>
      <w:r w:rsidRPr="0001502D">
        <w:rPr>
          <w:rFonts w:ascii="Arial" w:hAnsi="Arial" w:cs="Arial"/>
          <w:sz w:val="22"/>
          <w:szCs w:val="22"/>
        </w:rPr>
        <w:t>inscription des pratiques et de l</w:t>
      </w:r>
      <w:r w:rsidR="009C104E">
        <w:rPr>
          <w:rFonts w:ascii="Arial" w:hAnsi="Arial" w:cs="Arial"/>
          <w:sz w:val="22"/>
          <w:szCs w:val="22"/>
        </w:rPr>
        <w:t>’</w:t>
      </w:r>
      <w:r w:rsidRPr="0001502D">
        <w:rPr>
          <w:rFonts w:ascii="Arial" w:hAnsi="Arial" w:cs="Arial"/>
          <w:sz w:val="22"/>
          <w:szCs w:val="22"/>
        </w:rPr>
        <w:t>artisanat associés à la rose damascène à Al-Mrah</w:t>
      </w:r>
      <w:r w:rsidRPr="0001502D" w:rsidDel="00EA4AB3">
        <w:rPr>
          <w:rFonts w:ascii="Arial" w:hAnsi="Arial" w:cs="Arial"/>
          <w:sz w:val="22"/>
          <w:szCs w:val="22"/>
        </w:rPr>
        <w:t xml:space="preserve"> </w:t>
      </w:r>
      <w:r w:rsidRPr="0001502D">
        <w:rPr>
          <w:rFonts w:ascii="Arial" w:hAnsi="Arial" w:cs="Arial"/>
          <w:sz w:val="22"/>
          <w:szCs w:val="22"/>
        </w:rPr>
        <w:t>renforcerait la reconnaissance du patrimoine culturel immatériel comme instrument en faveur du développement durable et mettrait en lumière les éléments qui contribuent à instaurer une relation harmonieuse entre les êtres humains et la nature. Cela pourrait entraîner des échanges culturels et un dialogue pour promouvoir et faire progresser la coopération en matière de sauvegarde du patrimoine culturel immatériel.</w:t>
      </w:r>
    </w:p>
    <w:p w14:paraId="033908EB" w14:textId="3D4C466C" w:rsidR="0001502D" w:rsidRPr="0001502D" w:rsidRDefault="0001502D" w:rsidP="002A7118">
      <w:pPr>
        <w:tabs>
          <w:tab w:val="left" w:pos="1134"/>
          <w:tab w:val="left" w:pos="2268"/>
        </w:tabs>
        <w:spacing w:before="120" w:after="120"/>
        <w:ind w:left="1134" w:hanging="555"/>
        <w:jc w:val="both"/>
        <w:rPr>
          <w:rFonts w:ascii="Arial" w:hAnsi="Arial" w:cs="Arial"/>
          <w:sz w:val="22"/>
          <w:szCs w:val="22"/>
        </w:rPr>
      </w:pPr>
      <w:r w:rsidRPr="0001502D">
        <w:rPr>
          <w:rFonts w:ascii="Arial" w:hAnsi="Arial" w:cs="Arial"/>
          <w:sz w:val="22"/>
          <w:szCs w:val="22"/>
        </w:rPr>
        <w:t xml:space="preserve">R.3 : </w:t>
      </w:r>
      <w:r w:rsidRPr="0001502D">
        <w:rPr>
          <w:rFonts w:ascii="Arial" w:hAnsi="Arial" w:cs="Arial"/>
          <w:sz w:val="22"/>
          <w:szCs w:val="22"/>
        </w:rPr>
        <w:tab/>
        <w:t>Compte tenu de son importance, la viabilité de l</w:t>
      </w:r>
      <w:r w:rsidR="009C104E">
        <w:rPr>
          <w:rFonts w:ascii="Arial" w:hAnsi="Arial" w:cs="Arial"/>
          <w:sz w:val="22"/>
          <w:szCs w:val="22"/>
        </w:rPr>
        <w:t>’</w:t>
      </w:r>
      <w:r w:rsidRPr="0001502D">
        <w:rPr>
          <w:rFonts w:ascii="Arial" w:hAnsi="Arial" w:cs="Arial"/>
          <w:sz w:val="22"/>
          <w:szCs w:val="22"/>
        </w:rPr>
        <w:t>élément semble assurée. L</w:t>
      </w:r>
      <w:r w:rsidR="009C104E">
        <w:rPr>
          <w:rFonts w:ascii="Arial" w:hAnsi="Arial" w:cs="Arial"/>
          <w:sz w:val="22"/>
          <w:szCs w:val="22"/>
        </w:rPr>
        <w:t>’</w:t>
      </w:r>
      <w:r w:rsidRPr="0001502D">
        <w:rPr>
          <w:rFonts w:ascii="Arial" w:hAnsi="Arial" w:cs="Arial"/>
          <w:sz w:val="22"/>
          <w:szCs w:val="22"/>
        </w:rPr>
        <w:t>État partie et les communautés concernées ont entrepris de nombreuses mesures de sauvegarde en complément des mesures proposées par la communauté d</w:t>
      </w:r>
      <w:r w:rsidR="009C104E">
        <w:rPr>
          <w:rFonts w:ascii="Arial" w:hAnsi="Arial" w:cs="Arial"/>
          <w:sz w:val="22"/>
          <w:szCs w:val="22"/>
        </w:rPr>
        <w:t>’</w:t>
      </w:r>
      <w:r w:rsidRPr="0001502D">
        <w:rPr>
          <w:rFonts w:ascii="Arial" w:hAnsi="Arial" w:cs="Arial"/>
          <w:sz w:val="22"/>
          <w:szCs w:val="22"/>
        </w:rPr>
        <w:t>Al-Mrah pour cette candidature. Cet ensemble complet de mesures de sauvegarde s</w:t>
      </w:r>
      <w:r w:rsidR="009C104E">
        <w:rPr>
          <w:rFonts w:ascii="Arial" w:hAnsi="Arial" w:cs="Arial"/>
          <w:sz w:val="22"/>
          <w:szCs w:val="22"/>
        </w:rPr>
        <w:t>’</w:t>
      </w:r>
      <w:r w:rsidRPr="0001502D">
        <w:rPr>
          <w:rFonts w:ascii="Arial" w:hAnsi="Arial" w:cs="Arial"/>
          <w:sz w:val="22"/>
          <w:szCs w:val="22"/>
        </w:rPr>
        <w:t>attache à sensibiliser à l</w:t>
      </w:r>
      <w:r w:rsidR="009C104E">
        <w:rPr>
          <w:rFonts w:ascii="Arial" w:hAnsi="Arial" w:cs="Arial"/>
          <w:sz w:val="22"/>
          <w:szCs w:val="22"/>
        </w:rPr>
        <w:t>’</w:t>
      </w:r>
      <w:r w:rsidRPr="0001502D">
        <w:rPr>
          <w:rFonts w:ascii="Arial" w:hAnsi="Arial" w:cs="Arial"/>
          <w:sz w:val="22"/>
          <w:szCs w:val="22"/>
        </w:rPr>
        <w:t>élément et à assurer sa durabilité en apportant un soutien aux détenteurs et à leurs familles, en soutenant et encourageant le rôle de la jeunesse syrienne à sauvegarder son patrimoine culturel immatériel, ainsi qu</w:t>
      </w:r>
      <w:r w:rsidR="009C104E">
        <w:rPr>
          <w:rFonts w:ascii="Arial" w:hAnsi="Arial" w:cs="Arial"/>
          <w:sz w:val="22"/>
          <w:szCs w:val="22"/>
        </w:rPr>
        <w:t>’</w:t>
      </w:r>
      <w:r w:rsidRPr="0001502D">
        <w:rPr>
          <w:rFonts w:ascii="Arial" w:hAnsi="Arial" w:cs="Arial"/>
          <w:sz w:val="22"/>
          <w:szCs w:val="22"/>
        </w:rPr>
        <w:t>en organisant des ateliers, des sessions de formation et des activités éducatives.</w:t>
      </w:r>
    </w:p>
    <w:p w14:paraId="3E17D53F" w14:textId="77E22715" w:rsidR="0001502D" w:rsidRPr="0001502D" w:rsidRDefault="0001502D" w:rsidP="002A7118">
      <w:pPr>
        <w:tabs>
          <w:tab w:val="left" w:pos="1134"/>
          <w:tab w:val="left" w:pos="2268"/>
        </w:tabs>
        <w:spacing w:before="120" w:after="120"/>
        <w:ind w:left="1134" w:hanging="555"/>
        <w:jc w:val="both"/>
        <w:rPr>
          <w:rFonts w:ascii="Arial" w:hAnsi="Arial" w:cs="Arial"/>
          <w:sz w:val="22"/>
          <w:szCs w:val="22"/>
        </w:rPr>
      </w:pPr>
      <w:r w:rsidRPr="0001502D">
        <w:rPr>
          <w:rFonts w:ascii="Arial" w:hAnsi="Arial" w:cs="Arial"/>
          <w:sz w:val="22"/>
          <w:szCs w:val="22"/>
        </w:rPr>
        <w:t xml:space="preserve">R.4 : </w:t>
      </w:r>
      <w:r w:rsidRPr="0001502D">
        <w:rPr>
          <w:rFonts w:ascii="Arial" w:hAnsi="Arial" w:cs="Arial"/>
          <w:sz w:val="22"/>
          <w:szCs w:val="22"/>
        </w:rPr>
        <w:tab/>
        <w:t>Les communautés prennent part depuis 2016 au processus de candidature en participant à des ateliers et des réunions et en restant constamment en contact avec l</w:t>
      </w:r>
      <w:r w:rsidR="009C104E">
        <w:rPr>
          <w:rFonts w:ascii="Arial" w:hAnsi="Arial" w:cs="Arial"/>
          <w:sz w:val="22"/>
          <w:szCs w:val="22"/>
        </w:rPr>
        <w:t>’</w:t>
      </w:r>
      <w:r w:rsidRPr="0001502D">
        <w:rPr>
          <w:rFonts w:ascii="Arial" w:hAnsi="Arial" w:cs="Arial"/>
          <w:sz w:val="22"/>
          <w:szCs w:val="22"/>
        </w:rPr>
        <w:t>équipe d</w:t>
      </w:r>
      <w:r w:rsidR="009C104E">
        <w:rPr>
          <w:rFonts w:ascii="Arial" w:hAnsi="Arial" w:cs="Arial"/>
          <w:sz w:val="22"/>
          <w:szCs w:val="22"/>
        </w:rPr>
        <w:t>’</w:t>
      </w:r>
      <w:r w:rsidRPr="0001502D">
        <w:rPr>
          <w:rFonts w:ascii="Arial" w:hAnsi="Arial" w:cs="Arial"/>
          <w:sz w:val="22"/>
          <w:szCs w:val="22"/>
        </w:rPr>
        <w:t>experts. Les détenteurs de l</w:t>
      </w:r>
      <w:r w:rsidR="009C104E">
        <w:rPr>
          <w:rFonts w:ascii="Arial" w:hAnsi="Arial" w:cs="Arial"/>
          <w:sz w:val="22"/>
          <w:szCs w:val="22"/>
        </w:rPr>
        <w:t>’</w:t>
      </w:r>
      <w:r w:rsidRPr="0001502D">
        <w:rPr>
          <w:rFonts w:ascii="Arial" w:hAnsi="Arial" w:cs="Arial"/>
          <w:sz w:val="22"/>
          <w:szCs w:val="22"/>
        </w:rPr>
        <w:t>élément ont élaboré les propositions particulières relatives aux mesures de sauvegarde et ont été impliqués dans toutes les étapes du processus.</w:t>
      </w:r>
    </w:p>
    <w:p w14:paraId="335C9C5E" w14:textId="17F8AF6A" w:rsidR="0001502D" w:rsidRPr="0001502D" w:rsidRDefault="0001502D" w:rsidP="002A7118">
      <w:pPr>
        <w:tabs>
          <w:tab w:val="left" w:pos="1134"/>
          <w:tab w:val="left" w:pos="2268"/>
        </w:tabs>
        <w:spacing w:before="120" w:after="120"/>
        <w:ind w:left="1134" w:hanging="555"/>
        <w:jc w:val="both"/>
        <w:rPr>
          <w:rFonts w:ascii="Arial" w:hAnsi="Arial" w:cs="Arial"/>
          <w:sz w:val="22"/>
          <w:szCs w:val="22"/>
        </w:rPr>
      </w:pPr>
      <w:r w:rsidRPr="0001502D">
        <w:rPr>
          <w:rFonts w:ascii="Arial" w:hAnsi="Arial" w:cs="Arial"/>
          <w:sz w:val="22"/>
          <w:szCs w:val="22"/>
        </w:rPr>
        <w:t xml:space="preserve">R.5 : </w:t>
      </w:r>
      <w:r w:rsidRPr="0001502D">
        <w:rPr>
          <w:rFonts w:ascii="Arial" w:hAnsi="Arial" w:cs="Arial"/>
          <w:sz w:val="22"/>
          <w:szCs w:val="22"/>
        </w:rPr>
        <w:tab/>
        <w:t>Les pratiques et l</w:t>
      </w:r>
      <w:r w:rsidR="009C104E">
        <w:rPr>
          <w:rFonts w:ascii="Arial" w:hAnsi="Arial" w:cs="Arial"/>
          <w:sz w:val="22"/>
          <w:szCs w:val="22"/>
        </w:rPr>
        <w:t>’</w:t>
      </w:r>
      <w:r w:rsidRPr="0001502D">
        <w:rPr>
          <w:rFonts w:ascii="Arial" w:hAnsi="Arial" w:cs="Arial"/>
          <w:sz w:val="22"/>
          <w:szCs w:val="22"/>
        </w:rPr>
        <w:t>artisanat associés à la rose damascène à Al-Mrah ont été inscrits à l</w:t>
      </w:r>
      <w:r w:rsidR="009C104E">
        <w:rPr>
          <w:rFonts w:ascii="Arial" w:hAnsi="Arial" w:cs="Arial"/>
          <w:sz w:val="22"/>
          <w:szCs w:val="22"/>
        </w:rPr>
        <w:t>’</w:t>
      </w:r>
      <w:r w:rsidRPr="0001502D">
        <w:rPr>
          <w:rFonts w:ascii="Arial" w:hAnsi="Arial" w:cs="Arial"/>
          <w:sz w:val="22"/>
          <w:szCs w:val="22"/>
        </w:rPr>
        <w:t>Inventaire national des éléments du patrimoine culturel immatériel en 2017, lors de la création de l</w:t>
      </w:r>
      <w:r w:rsidR="009C104E">
        <w:rPr>
          <w:rFonts w:ascii="Arial" w:hAnsi="Arial" w:cs="Arial"/>
          <w:sz w:val="22"/>
          <w:szCs w:val="22"/>
        </w:rPr>
        <w:t>’</w:t>
      </w:r>
      <w:r w:rsidRPr="0001502D">
        <w:rPr>
          <w:rFonts w:ascii="Arial" w:hAnsi="Arial" w:cs="Arial"/>
          <w:sz w:val="22"/>
          <w:szCs w:val="22"/>
        </w:rPr>
        <w:t>inventaire. L</w:t>
      </w:r>
      <w:r w:rsidR="009C104E">
        <w:rPr>
          <w:rFonts w:ascii="Arial" w:hAnsi="Arial" w:cs="Arial"/>
          <w:sz w:val="22"/>
          <w:szCs w:val="22"/>
        </w:rPr>
        <w:t>’</w:t>
      </w:r>
      <w:r w:rsidRPr="0001502D">
        <w:rPr>
          <w:rFonts w:ascii="Arial" w:hAnsi="Arial" w:cs="Arial"/>
          <w:sz w:val="22"/>
          <w:szCs w:val="22"/>
        </w:rPr>
        <w:t>Unité de développement et de soutien du patrimoine culturel syrien du Ministère de la culture est l</w:t>
      </w:r>
      <w:r w:rsidR="009C104E">
        <w:rPr>
          <w:rFonts w:ascii="Arial" w:hAnsi="Arial" w:cs="Arial"/>
          <w:sz w:val="22"/>
          <w:szCs w:val="22"/>
        </w:rPr>
        <w:t>’</w:t>
      </w:r>
      <w:r w:rsidRPr="0001502D">
        <w:rPr>
          <w:rFonts w:ascii="Arial" w:hAnsi="Arial" w:cs="Arial"/>
          <w:sz w:val="22"/>
          <w:szCs w:val="22"/>
        </w:rPr>
        <w:t>organisme responsable de la gestion et de la mise à jour de l</w:t>
      </w:r>
      <w:r w:rsidR="009C104E">
        <w:rPr>
          <w:rFonts w:ascii="Arial" w:hAnsi="Arial" w:cs="Arial"/>
          <w:sz w:val="22"/>
          <w:szCs w:val="22"/>
        </w:rPr>
        <w:t>’</w:t>
      </w:r>
      <w:r w:rsidRPr="0001502D">
        <w:rPr>
          <w:rFonts w:ascii="Arial" w:hAnsi="Arial" w:cs="Arial"/>
          <w:sz w:val="22"/>
          <w:szCs w:val="22"/>
        </w:rPr>
        <w:t>inventaire, qui a lieu tous les deux ans.</w:t>
      </w:r>
    </w:p>
    <w:p w14:paraId="02E7A1C3" w14:textId="13C7B2B3" w:rsidR="0001502D" w:rsidRPr="0001502D" w:rsidRDefault="0001502D" w:rsidP="00771F30">
      <w:pPr>
        <w:numPr>
          <w:ilvl w:val="1"/>
          <w:numId w:val="41"/>
        </w:numPr>
        <w:tabs>
          <w:tab w:val="left" w:pos="567"/>
          <w:tab w:val="left" w:pos="1701"/>
          <w:tab w:val="left" w:pos="2268"/>
        </w:tabs>
        <w:spacing w:before="120" w:after="120"/>
        <w:ind w:left="567"/>
        <w:jc w:val="both"/>
        <w:rPr>
          <w:rFonts w:ascii="Arial" w:hAnsi="Arial" w:cs="Arial"/>
          <w:sz w:val="22"/>
          <w:szCs w:val="22"/>
          <w:lang w:eastAsia="ko-KR"/>
        </w:rPr>
      </w:pPr>
      <w:r w:rsidRPr="0001502D">
        <w:rPr>
          <w:rFonts w:ascii="Arial" w:hAnsi="Arial" w:cs="Arial"/>
          <w:sz w:val="22"/>
          <w:szCs w:val="22"/>
          <w:u w:val="single"/>
          <w:lang w:eastAsia="ko-KR"/>
        </w:rPr>
        <w:t>Décide d</w:t>
      </w:r>
      <w:r w:rsidR="009C104E">
        <w:rPr>
          <w:rFonts w:ascii="Arial" w:hAnsi="Arial" w:cs="Arial"/>
          <w:sz w:val="22"/>
          <w:szCs w:val="22"/>
          <w:u w:val="single"/>
          <w:lang w:eastAsia="ko-KR"/>
        </w:rPr>
        <w:t>’</w:t>
      </w:r>
      <w:r w:rsidRPr="0001502D">
        <w:rPr>
          <w:rFonts w:ascii="Arial" w:hAnsi="Arial" w:cs="Arial"/>
          <w:sz w:val="22"/>
          <w:szCs w:val="22"/>
          <w:u w:val="single"/>
          <w:lang w:eastAsia="ko-KR"/>
        </w:rPr>
        <w:t>inscrire</w:t>
      </w:r>
      <w:r w:rsidRPr="0001502D">
        <w:rPr>
          <w:rFonts w:ascii="Arial" w:hAnsi="Arial" w:cs="Arial"/>
          <w:sz w:val="22"/>
          <w:szCs w:val="22"/>
          <w:lang w:eastAsia="ko-KR"/>
        </w:rPr>
        <w:t xml:space="preserve"> </w:t>
      </w:r>
      <w:r w:rsidRPr="0001502D">
        <w:rPr>
          <w:rFonts w:ascii="Arial" w:hAnsi="Arial" w:cs="Arial"/>
          <w:b/>
          <w:sz w:val="22"/>
          <w:szCs w:val="22"/>
          <w:lang w:eastAsia="ko-KR"/>
        </w:rPr>
        <w:t>les pratiques et l</w:t>
      </w:r>
      <w:r w:rsidR="009C104E">
        <w:rPr>
          <w:rFonts w:ascii="Arial" w:hAnsi="Arial" w:cs="Arial"/>
          <w:b/>
          <w:sz w:val="22"/>
          <w:szCs w:val="22"/>
          <w:lang w:eastAsia="ko-KR"/>
        </w:rPr>
        <w:t>’</w:t>
      </w:r>
      <w:r w:rsidRPr="0001502D">
        <w:rPr>
          <w:rFonts w:ascii="Arial" w:hAnsi="Arial" w:cs="Arial"/>
          <w:b/>
          <w:sz w:val="22"/>
          <w:szCs w:val="22"/>
          <w:lang w:eastAsia="ko-KR"/>
        </w:rPr>
        <w:t>artisanat associés à la rose damascène à Al-Mrah</w:t>
      </w:r>
      <w:r w:rsidRPr="0001502D">
        <w:rPr>
          <w:rFonts w:ascii="Arial" w:hAnsi="Arial" w:cs="Arial"/>
          <w:sz w:val="22"/>
          <w:szCs w:val="22"/>
          <w:lang w:eastAsia="ko-KR"/>
        </w:rPr>
        <w:t xml:space="preserve"> sur la Liste représentative du patrimoine culturel immatériel de l</w:t>
      </w:r>
      <w:r w:rsidR="009C104E">
        <w:rPr>
          <w:rFonts w:ascii="Arial" w:hAnsi="Arial" w:cs="Arial"/>
          <w:sz w:val="22"/>
          <w:szCs w:val="22"/>
          <w:lang w:eastAsia="ko-KR"/>
        </w:rPr>
        <w:t>’</w:t>
      </w:r>
      <w:r w:rsidRPr="0001502D">
        <w:rPr>
          <w:rFonts w:ascii="Arial" w:hAnsi="Arial" w:cs="Arial"/>
          <w:sz w:val="22"/>
          <w:szCs w:val="22"/>
          <w:lang w:eastAsia="ko-KR"/>
        </w:rPr>
        <w:t>humanité ;</w:t>
      </w:r>
    </w:p>
    <w:p w14:paraId="0B3560A1" w14:textId="52763094" w:rsidR="0001502D" w:rsidRPr="0001502D" w:rsidRDefault="0001502D" w:rsidP="00771F30">
      <w:pPr>
        <w:numPr>
          <w:ilvl w:val="1"/>
          <w:numId w:val="41"/>
        </w:numPr>
        <w:tabs>
          <w:tab w:val="left" w:pos="567"/>
          <w:tab w:val="left" w:pos="1701"/>
          <w:tab w:val="left" w:pos="2268"/>
        </w:tabs>
        <w:spacing w:before="120" w:after="120"/>
        <w:ind w:left="567"/>
        <w:jc w:val="both"/>
        <w:rPr>
          <w:rFonts w:ascii="Arial" w:hAnsi="Arial" w:cs="Arial"/>
          <w:sz w:val="22"/>
          <w:szCs w:val="22"/>
          <w:lang w:eastAsia="ko-KR"/>
        </w:rPr>
      </w:pPr>
      <w:r w:rsidRPr="0001502D">
        <w:rPr>
          <w:rFonts w:ascii="Arial" w:hAnsi="Arial" w:cs="Arial"/>
          <w:sz w:val="22"/>
          <w:szCs w:val="22"/>
          <w:u w:val="single"/>
          <w:lang w:eastAsia="ko-KR"/>
        </w:rPr>
        <w:t>Encourage</w:t>
      </w:r>
      <w:r w:rsidRPr="0001502D">
        <w:rPr>
          <w:rFonts w:ascii="Arial" w:hAnsi="Arial" w:cs="Arial"/>
          <w:sz w:val="22"/>
          <w:szCs w:val="22"/>
          <w:lang w:eastAsia="ko-KR"/>
        </w:rPr>
        <w:t xml:space="preserve"> l</w:t>
      </w:r>
      <w:r w:rsidR="009C104E">
        <w:rPr>
          <w:rFonts w:ascii="Arial" w:hAnsi="Arial" w:cs="Arial"/>
          <w:sz w:val="22"/>
          <w:szCs w:val="22"/>
          <w:lang w:eastAsia="ko-KR"/>
        </w:rPr>
        <w:t>’</w:t>
      </w:r>
      <w:r w:rsidRPr="0001502D">
        <w:rPr>
          <w:rFonts w:ascii="Arial" w:hAnsi="Arial" w:cs="Arial"/>
          <w:sz w:val="22"/>
          <w:szCs w:val="22"/>
          <w:lang w:eastAsia="ko-KR"/>
        </w:rPr>
        <w:t>État partie à tenir particulièrement compte de l</w:t>
      </w:r>
      <w:r w:rsidR="009C104E">
        <w:rPr>
          <w:rFonts w:ascii="Arial" w:hAnsi="Arial" w:cs="Arial"/>
          <w:sz w:val="22"/>
          <w:szCs w:val="22"/>
          <w:lang w:eastAsia="ko-KR"/>
        </w:rPr>
        <w:t>’</w:t>
      </w:r>
      <w:r w:rsidRPr="0001502D">
        <w:rPr>
          <w:rFonts w:ascii="Arial" w:hAnsi="Arial" w:cs="Arial"/>
          <w:sz w:val="22"/>
          <w:szCs w:val="22"/>
          <w:lang w:eastAsia="ko-KR"/>
        </w:rPr>
        <w:t>impact d</w:t>
      </w:r>
      <w:r w:rsidR="009C104E">
        <w:rPr>
          <w:rFonts w:ascii="Arial" w:hAnsi="Arial" w:cs="Arial"/>
          <w:sz w:val="22"/>
          <w:szCs w:val="22"/>
          <w:lang w:eastAsia="ko-KR"/>
        </w:rPr>
        <w:t>’</w:t>
      </w:r>
      <w:r w:rsidRPr="0001502D">
        <w:rPr>
          <w:rFonts w:ascii="Arial" w:hAnsi="Arial" w:cs="Arial"/>
          <w:sz w:val="22"/>
          <w:szCs w:val="22"/>
          <w:lang w:eastAsia="ko-KR"/>
        </w:rPr>
        <w:t>une commercialisation excessive sur la sauvegarde de l</w:t>
      </w:r>
      <w:r w:rsidR="009C104E">
        <w:rPr>
          <w:rFonts w:ascii="Arial" w:hAnsi="Arial" w:cs="Arial"/>
          <w:sz w:val="22"/>
          <w:szCs w:val="22"/>
          <w:lang w:eastAsia="ko-KR"/>
        </w:rPr>
        <w:t>’</w:t>
      </w:r>
      <w:r w:rsidRPr="0001502D">
        <w:rPr>
          <w:rFonts w:ascii="Arial" w:hAnsi="Arial" w:cs="Arial"/>
          <w:sz w:val="22"/>
          <w:szCs w:val="22"/>
          <w:lang w:eastAsia="ko-KR"/>
        </w:rPr>
        <w:t>élément, ce que négligent les mesures de sauvegarde malgré l</w:t>
      </w:r>
      <w:r w:rsidR="009C104E">
        <w:rPr>
          <w:rFonts w:ascii="Arial" w:hAnsi="Arial" w:cs="Arial"/>
          <w:sz w:val="22"/>
          <w:szCs w:val="22"/>
          <w:lang w:eastAsia="ko-KR"/>
        </w:rPr>
        <w:t>’</w:t>
      </w:r>
      <w:r w:rsidRPr="0001502D">
        <w:rPr>
          <w:rFonts w:ascii="Arial" w:hAnsi="Arial" w:cs="Arial"/>
          <w:sz w:val="22"/>
          <w:szCs w:val="22"/>
          <w:lang w:eastAsia="ko-KR"/>
        </w:rPr>
        <w:t>augmentation possible de la demande du marché ;</w:t>
      </w:r>
    </w:p>
    <w:p w14:paraId="19C8A91B" w14:textId="7694CFA8" w:rsidR="0001502D" w:rsidRPr="0001502D" w:rsidRDefault="0001502D" w:rsidP="00771F30">
      <w:pPr>
        <w:numPr>
          <w:ilvl w:val="1"/>
          <w:numId w:val="41"/>
        </w:numPr>
        <w:tabs>
          <w:tab w:val="left" w:pos="567"/>
          <w:tab w:val="left" w:pos="1701"/>
          <w:tab w:val="left" w:pos="2268"/>
        </w:tabs>
        <w:spacing w:before="120" w:after="120"/>
        <w:ind w:left="567"/>
        <w:jc w:val="both"/>
        <w:rPr>
          <w:rFonts w:ascii="Arial" w:hAnsi="Arial" w:cs="Arial"/>
          <w:sz w:val="22"/>
          <w:szCs w:val="22"/>
          <w:lang w:eastAsia="ko-KR"/>
        </w:rPr>
      </w:pPr>
      <w:r w:rsidRPr="0001502D">
        <w:rPr>
          <w:rFonts w:ascii="Arial" w:hAnsi="Arial" w:cs="Arial"/>
          <w:sz w:val="22"/>
          <w:szCs w:val="22"/>
          <w:u w:val="single"/>
          <w:lang w:eastAsia="ko-KR"/>
        </w:rPr>
        <w:t>Félicite</w:t>
      </w:r>
      <w:r w:rsidRPr="0001502D">
        <w:rPr>
          <w:rFonts w:ascii="Arial" w:hAnsi="Arial" w:cs="Arial"/>
          <w:sz w:val="22"/>
          <w:szCs w:val="22"/>
          <w:lang w:eastAsia="ko-KR"/>
        </w:rPr>
        <w:t xml:space="preserve"> l</w:t>
      </w:r>
      <w:r w:rsidR="009C104E">
        <w:rPr>
          <w:rFonts w:ascii="Arial" w:hAnsi="Arial" w:cs="Arial"/>
          <w:sz w:val="22"/>
          <w:szCs w:val="22"/>
          <w:lang w:eastAsia="ko-KR"/>
        </w:rPr>
        <w:t>’</w:t>
      </w:r>
      <w:r w:rsidRPr="0001502D">
        <w:rPr>
          <w:rFonts w:ascii="Arial" w:hAnsi="Arial" w:cs="Arial"/>
          <w:sz w:val="22"/>
          <w:szCs w:val="22"/>
          <w:lang w:eastAsia="ko-KR"/>
        </w:rPr>
        <w:t>État partie pour son dossier exemplaire qui souligne l</w:t>
      </w:r>
      <w:r w:rsidR="009C104E">
        <w:rPr>
          <w:rFonts w:ascii="Arial" w:hAnsi="Arial" w:cs="Arial"/>
          <w:sz w:val="22"/>
          <w:szCs w:val="22"/>
          <w:lang w:eastAsia="ko-KR"/>
        </w:rPr>
        <w:t>’</w:t>
      </w:r>
      <w:r w:rsidRPr="0001502D">
        <w:rPr>
          <w:rFonts w:ascii="Arial" w:hAnsi="Arial" w:cs="Arial"/>
          <w:sz w:val="22"/>
          <w:szCs w:val="22"/>
          <w:lang w:eastAsia="ko-KR"/>
        </w:rPr>
        <w:t>importance des connaissances traditionnelles sur la nature, et l</w:t>
      </w:r>
      <w:r w:rsidR="009C104E">
        <w:rPr>
          <w:rFonts w:ascii="Arial" w:hAnsi="Arial" w:cs="Arial"/>
          <w:sz w:val="22"/>
          <w:szCs w:val="22"/>
          <w:lang w:eastAsia="ko-KR"/>
        </w:rPr>
        <w:t>’</w:t>
      </w:r>
      <w:r w:rsidRPr="0001502D">
        <w:rPr>
          <w:rFonts w:ascii="Arial" w:hAnsi="Arial" w:cs="Arial"/>
          <w:sz w:val="22"/>
          <w:szCs w:val="22"/>
          <w:lang w:eastAsia="ko-KR"/>
        </w:rPr>
        <w:t>univers et offre un exemple positif du rôle du patrimoine culturel immatériel comme instrument au service du développement durable.</w:t>
      </w:r>
    </w:p>
    <w:p w14:paraId="420C2626" w14:textId="7546FED8" w:rsidR="0001502D" w:rsidRPr="00E039A7" w:rsidRDefault="0001502D" w:rsidP="00771F30">
      <w:pPr>
        <w:keepNext/>
        <w:keepLines/>
        <w:numPr>
          <w:ilvl w:val="0"/>
          <w:numId w:val="41"/>
        </w:numPr>
        <w:spacing w:before="360" w:after="120"/>
        <w:outlineLvl w:val="1"/>
        <w:rPr>
          <w:rFonts w:ascii="Arial" w:hAnsi="Arial" w:cs="Arial"/>
          <w:bCs/>
          <w:iCs/>
          <w:sz w:val="22"/>
          <w:szCs w:val="22"/>
        </w:rPr>
      </w:pPr>
      <w:bookmarkStart w:id="39" w:name="Decision_10b36"/>
      <w:r w:rsidRPr="00E039A7">
        <w:rPr>
          <w:rFonts w:ascii="Arial" w:hAnsi="Arial" w:cs="Arial"/>
          <w:b/>
          <w:bCs/>
          <w:iCs/>
          <w:sz w:val="22"/>
          <w:szCs w:val="22"/>
        </w:rPr>
        <w:t>DÉCISION 14.COM 10.b.36</w:t>
      </w:r>
    </w:p>
    <w:bookmarkEnd w:id="39"/>
    <w:p w14:paraId="672056FB" w14:textId="77777777" w:rsidR="0001502D" w:rsidRPr="00E039A7" w:rsidRDefault="0001502D" w:rsidP="002A7118">
      <w:pPr>
        <w:keepNext/>
        <w:tabs>
          <w:tab w:val="left" w:pos="567"/>
          <w:tab w:val="left" w:pos="1134"/>
          <w:tab w:val="left" w:pos="1701"/>
          <w:tab w:val="left" w:pos="2268"/>
        </w:tabs>
        <w:spacing w:before="120" w:after="120"/>
        <w:jc w:val="both"/>
        <w:rPr>
          <w:rFonts w:ascii="Arial" w:hAnsi="Arial" w:cs="Arial"/>
          <w:sz w:val="22"/>
          <w:szCs w:val="22"/>
        </w:rPr>
      </w:pPr>
      <w:r w:rsidRPr="00E039A7">
        <w:rPr>
          <w:rFonts w:ascii="Arial" w:hAnsi="Arial" w:cs="Arial"/>
          <w:sz w:val="22"/>
          <w:szCs w:val="22"/>
        </w:rPr>
        <w:t>Le Comité,</w:t>
      </w:r>
    </w:p>
    <w:p w14:paraId="5EB5D52A" w14:textId="0BE9C882" w:rsidR="0001502D" w:rsidRPr="00E039A7" w:rsidRDefault="0001502D" w:rsidP="00771F30">
      <w:pPr>
        <w:numPr>
          <w:ilvl w:val="1"/>
          <w:numId w:val="41"/>
        </w:numPr>
        <w:tabs>
          <w:tab w:val="left" w:pos="567"/>
          <w:tab w:val="left" w:pos="1701"/>
          <w:tab w:val="left" w:pos="2268"/>
        </w:tabs>
        <w:spacing w:before="120" w:after="120"/>
        <w:ind w:left="567"/>
        <w:jc w:val="both"/>
        <w:rPr>
          <w:rFonts w:ascii="Arial" w:hAnsi="Arial" w:cs="Arial"/>
          <w:sz w:val="22"/>
          <w:szCs w:val="22"/>
          <w:lang w:eastAsia="ko-KR"/>
        </w:rPr>
      </w:pPr>
      <w:r w:rsidRPr="00E039A7">
        <w:rPr>
          <w:rFonts w:ascii="Arial" w:hAnsi="Arial" w:cs="Arial"/>
          <w:sz w:val="22"/>
          <w:szCs w:val="22"/>
          <w:u w:val="single"/>
          <w:lang w:eastAsia="ko-KR"/>
        </w:rPr>
        <w:t>Prend note</w:t>
      </w:r>
      <w:r w:rsidRPr="00E039A7">
        <w:rPr>
          <w:rFonts w:ascii="Arial" w:hAnsi="Arial" w:cs="Arial"/>
          <w:sz w:val="22"/>
          <w:szCs w:val="22"/>
          <w:lang w:eastAsia="ko-KR"/>
        </w:rPr>
        <w:t xml:space="preserve"> que le Tadjikistan a proposé la candidature </w:t>
      </w:r>
      <w:r w:rsidRPr="00E039A7">
        <w:rPr>
          <w:rFonts w:ascii="Arial" w:hAnsi="Arial" w:cs="Arial"/>
          <w:b/>
          <w:sz w:val="22"/>
          <w:szCs w:val="22"/>
          <w:lang w:eastAsia="ko-KR"/>
        </w:rPr>
        <w:t xml:space="preserve">du </w:t>
      </w:r>
      <w:r w:rsidRPr="00E039A7">
        <w:rPr>
          <w:rFonts w:ascii="Arial" w:hAnsi="Arial" w:cs="Arial"/>
          <w:b/>
          <w:bCs/>
          <w:sz w:val="22"/>
          <w:szCs w:val="22"/>
          <w:lang w:eastAsia="ko-KR"/>
        </w:rPr>
        <w:t>falak</w:t>
      </w:r>
      <w:r w:rsidRPr="00E039A7">
        <w:rPr>
          <w:rFonts w:ascii="Arial" w:hAnsi="Arial" w:cs="Arial"/>
          <w:sz w:val="22"/>
          <w:szCs w:val="22"/>
          <w:lang w:eastAsia="ko-KR"/>
        </w:rPr>
        <w:t xml:space="preserve"> (n° 01455) pour inscription sur la Liste représentative du patrimoine culturel immatériel de l</w:t>
      </w:r>
      <w:r w:rsidR="009C104E">
        <w:rPr>
          <w:rFonts w:ascii="Arial" w:hAnsi="Arial" w:cs="Arial"/>
          <w:sz w:val="22"/>
          <w:szCs w:val="22"/>
          <w:lang w:eastAsia="ko-KR"/>
        </w:rPr>
        <w:t>’</w:t>
      </w:r>
      <w:r w:rsidRPr="00E039A7">
        <w:rPr>
          <w:rFonts w:ascii="Arial" w:hAnsi="Arial" w:cs="Arial"/>
          <w:sz w:val="22"/>
          <w:szCs w:val="22"/>
          <w:lang w:eastAsia="ko-KR"/>
        </w:rPr>
        <w:t>humanité :</w:t>
      </w:r>
    </w:p>
    <w:p w14:paraId="00BFA160" w14:textId="7491996B" w:rsidR="0001502D" w:rsidRPr="00E039A7" w:rsidRDefault="0001502D" w:rsidP="002A7118">
      <w:pPr>
        <w:tabs>
          <w:tab w:val="left" w:pos="567"/>
          <w:tab w:val="left" w:pos="1701"/>
          <w:tab w:val="left" w:pos="2268"/>
        </w:tabs>
        <w:spacing w:before="120" w:after="120"/>
        <w:ind w:left="567"/>
        <w:jc w:val="both"/>
        <w:rPr>
          <w:rFonts w:ascii="Arial" w:hAnsi="Arial" w:cs="Arial"/>
          <w:sz w:val="22"/>
          <w:szCs w:val="22"/>
        </w:rPr>
      </w:pPr>
      <w:r w:rsidRPr="00E039A7">
        <w:rPr>
          <w:rFonts w:ascii="Arial" w:hAnsi="Arial" w:cs="Arial"/>
          <w:sz w:val="22"/>
          <w:szCs w:val="22"/>
        </w:rPr>
        <w:t>Le falak est un genre musical lié à la culture musicale des peuples montagnards tadjiks qui comprend des variantes vocales et instrumentales avec des structures simples et cycliques. Le falak peut se chanter a cappella, en solo avec un accompagnement instrumental unique ou un ensemble instrumental. Les détenteurs et les praticiens du falak, que l</w:t>
      </w:r>
      <w:r w:rsidR="009C104E">
        <w:rPr>
          <w:rFonts w:ascii="Arial" w:hAnsi="Arial" w:cs="Arial"/>
          <w:sz w:val="22"/>
          <w:szCs w:val="22"/>
        </w:rPr>
        <w:t>’</w:t>
      </w:r>
      <w:r w:rsidRPr="00E039A7">
        <w:rPr>
          <w:rFonts w:ascii="Arial" w:hAnsi="Arial" w:cs="Arial"/>
          <w:sz w:val="22"/>
          <w:szCs w:val="22"/>
        </w:rPr>
        <w:t>on appelle les « falakkhons », sont de grands chanteurs et musiciens qui se produisent lors de festivités, de cérémonies et d</w:t>
      </w:r>
      <w:r w:rsidR="009C104E">
        <w:rPr>
          <w:rFonts w:ascii="Arial" w:hAnsi="Arial" w:cs="Arial"/>
          <w:sz w:val="22"/>
          <w:szCs w:val="22"/>
        </w:rPr>
        <w:t>’</w:t>
      </w:r>
      <w:r w:rsidRPr="00E039A7">
        <w:rPr>
          <w:rFonts w:ascii="Arial" w:hAnsi="Arial" w:cs="Arial"/>
          <w:sz w:val="22"/>
          <w:szCs w:val="22"/>
        </w:rPr>
        <w:t>événements rituels. Deux falakkhons sont parfois invités pour initier une sorte de compétition au cours de laquelle les auditeurs témoignent leur soutien à l</w:t>
      </w:r>
      <w:r w:rsidR="009C104E">
        <w:rPr>
          <w:rFonts w:ascii="Arial" w:hAnsi="Arial" w:cs="Arial"/>
          <w:sz w:val="22"/>
          <w:szCs w:val="22"/>
        </w:rPr>
        <w:t>’</w:t>
      </w:r>
      <w:r w:rsidRPr="00E039A7">
        <w:rPr>
          <w:rFonts w:ascii="Arial" w:hAnsi="Arial" w:cs="Arial"/>
          <w:sz w:val="22"/>
          <w:szCs w:val="22"/>
        </w:rPr>
        <w:t>un ou l</w:t>
      </w:r>
      <w:r w:rsidR="009C104E">
        <w:rPr>
          <w:rFonts w:ascii="Arial" w:hAnsi="Arial" w:cs="Arial"/>
          <w:sz w:val="22"/>
          <w:szCs w:val="22"/>
        </w:rPr>
        <w:t>’</w:t>
      </w:r>
      <w:r w:rsidRPr="00E039A7">
        <w:rPr>
          <w:rFonts w:ascii="Arial" w:hAnsi="Arial" w:cs="Arial"/>
          <w:sz w:val="22"/>
          <w:szCs w:val="22"/>
        </w:rPr>
        <w:t>autre participant. Le falak fait partie intégrante de la vie culturelle traditionnelle à Kulob et au Badakhshan. Il est étroitement lié à la spiritualité des communautés concernées. Il inclut trois sous-genres principaux : le « falaki dashti » (le falak de la terre) qui se chante en solo avec un accompagnement instrumental ; le « falaki motami » qui est chanté par les membres féminins de la famille du défunt lors des processions funéraires ; et le « beparvofalak » un style vocal au cours duquel le chanteur interprète une mélodie avec une tessiture aiguë. La population locale connaît bien d</w:t>
      </w:r>
      <w:r w:rsidR="009C104E">
        <w:rPr>
          <w:rFonts w:ascii="Arial" w:hAnsi="Arial" w:cs="Arial"/>
          <w:sz w:val="22"/>
          <w:szCs w:val="22"/>
        </w:rPr>
        <w:t>’</w:t>
      </w:r>
      <w:r w:rsidRPr="00E039A7">
        <w:rPr>
          <w:rFonts w:ascii="Arial" w:hAnsi="Arial" w:cs="Arial"/>
          <w:sz w:val="22"/>
          <w:szCs w:val="22"/>
        </w:rPr>
        <w:t>autres variantes de falak. Les falakkhons et les groupes communautaires de shogirds (disciples) qui se réunissent autour d</w:t>
      </w:r>
      <w:r w:rsidR="009C104E">
        <w:rPr>
          <w:rFonts w:ascii="Arial" w:hAnsi="Arial" w:cs="Arial"/>
          <w:sz w:val="22"/>
          <w:szCs w:val="22"/>
        </w:rPr>
        <w:t>’</w:t>
      </w:r>
      <w:r w:rsidRPr="00E039A7">
        <w:rPr>
          <w:rFonts w:ascii="Arial" w:hAnsi="Arial" w:cs="Arial"/>
          <w:sz w:val="22"/>
          <w:szCs w:val="22"/>
        </w:rPr>
        <w:t>eux ne sont pas seulement des détenteurs de la tradition, ils en sont aussi les novateurs. La transmission du falak n</w:t>
      </w:r>
      <w:r w:rsidR="009C104E">
        <w:rPr>
          <w:rFonts w:ascii="Arial" w:hAnsi="Arial" w:cs="Arial"/>
          <w:sz w:val="22"/>
          <w:szCs w:val="22"/>
        </w:rPr>
        <w:t>’</w:t>
      </w:r>
      <w:r w:rsidRPr="00E039A7">
        <w:rPr>
          <w:rFonts w:ascii="Arial" w:hAnsi="Arial" w:cs="Arial"/>
          <w:sz w:val="22"/>
          <w:szCs w:val="22"/>
        </w:rPr>
        <w:t>implique pas seulement d</w:t>
      </w:r>
      <w:r w:rsidR="009C104E">
        <w:rPr>
          <w:rFonts w:ascii="Arial" w:hAnsi="Arial" w:cs="Arial"/>
          <w:sz w:val="22"/>
          <w:szCs w:val="22"/>
        </w:rPr>
        <w:t>’</w:t>
      </w:r>
      <w:r w:rsidRPr="00E039A7">
        <w:rPr>
          <w:rFonts w:ascii="Arial" w:hAnsi="Arial" w:cs="Arial"/>
          <w:sz w:val="22"/>
          <w:szCs w:val="22"/>
        </w:rPr>
        <w:t>enseigner comment interpréter le falak, mais aussi comment créer de nouveaux falaks, une compétence qui se développe notamment au travers du système de formation maître-disciple.</w:t>
      </w:r>
    </w:p>
    <w:p w14:paraId="529E8FAE" w14:textId="351A3E0F" w:rsidR="0001502D" w:rsidRPr="00E039A7" w:rsidRDefault="0001502D" w:rsidP="00771F30">
      <w:pPr>
        <w:keepNext/>
        <w:numPr>
          <w:ilvl w:val="1"/>
          <w:numId w:val="41"/>
        </w:numPr>
        <w:tabs>
          <w:tab w:val="left" w:pos="567"/>
          <w:tab w:val="left" w:pos="1701"/>
          <w:tab w:val="left" w:pos="2268"/>
        </w:tabs>
        <w:spacing w:before="120" w:after="120"/>
        <w:ind w:left="567"/>
        <w:jc w:val="both"/>
        <w:rPr>
          <w:rFonts w:ascii="Arial" w:hAnsi="Arial" w:cs="Arial"/>
          <w:sz w:val="22"/>
          <w:szCs w:val="22"/>
          <w:lang w:eastAsia="ko-KR"/>
        </w:rPr>
      </w:pPr>
      <w:r w:rsidRPr="00E039A7">
        <w:rPr>
          <w:rFonts w:ascii="Arial" w:hAnsi="Arial" w:cs="Arial"/>
          <w:sz w:val="22"/>
          <w:szCs w:val="22"/>
          <w:u w:val="single"/>
          <w:lang w:eastAsia="ko-KR"/>
        </w:rPr>
        <w:t>Estime</w:t>
      </w:r>
      <w:r w:rsidRPr="00E039A7">
        <w:rPr>
          <w:rFonts w:ascii="Arial" w:hAnsi="Arial" w:cs="Arial"/>
          <w:sz w:val="22"/>
          <w:szCs w:val="22"/>
          <w:lang w:eastAsia="ko-KR"/>
        </w:rPr>
        <w:t xml:space="preserve"> que, d</w:t>
      </w:r>
      <w:r w:rsidR="009C104E">
        <w:rPr>
          <w:rFonts w:ascii="Arial" w:hAnsi="Arial" w:cs="Arial"/>
          <w:sz w:val="22"/>
          <w:szCs w:val="22"/>
          <w:lang w:eastAsia="ko-KR"/>
        </w:rPr>
        <w:t>’</w:t>
      </w:r>
      <w:r w:rsidRPr="00E039A7">
        <w:rPr>
          <w:rFonts w:ascii="Arial" w:hAnsi="Arial" w:cs="Arial"/>
          <w:sz w:val="22"/>
          <w:szCs w:val="22"/>
          <w:lang w:eastAsia="ko-KR"/>
        </w:rPr>
        <w:t>après les informations contenues dans le dossier, la candidature satisfait aux critères d</w:t>
      </w:r>
      <w:r w:rsidR="009C104E">
        <w:rPr>
          <w:rFonts w:ascii="Arial" w:hAnsi="Arial" w:cs="Arial"/>
          <w:sz w:val="22"/>
          <w:szCs w:val="22"/>
          <w:lang w:eastAsia="ko-KR"/>
        </w:rPr>
        <w:t>’</w:t>
      </w:r>
      <w:r w:rsidRPr="00E039A7">
        <w:rPr>
          <w:rFonts w:ascii="Arial" w:hAnsi="Arial" w:cs="Arial"/>
          <w:sz w:val="22"/>
          <w:szCs w:val="22"/>
          <w:lang w:eastAsia="ko-KR"/>
        </w:rPr>
        <w:t>inscription sur la Liste représentative du patrimoine culturel immatériel de l</w:t>
      </w:r>
      <w:r w:rsidR="009C104E">
        <w:rPr>
          <w:rFonts w:ascii="Arial" w:hAnsi="Arial" w:cs="Arial"/>
          <w:sz w:val="22"/>
          <w:szCs w:val="22"/>
          <w:lang w:eastAsia="ko-KR"/>
        </w:rPr>
        <w:t>’</w:t>
      </w:r>
      <w:r w:rsidRPr="00E039A7">
        <w:rPr>
          <w:rFonts w:ascii="Arial" w:hAnsi="Arial" w:cs="Arial"/>
          <w:sz w:val="22"/>
          <w:szCs w:val="22"/>
          <w:lang w:eastAsia="ko-KR"/>
        </w:rPr>
        <w:t>humanité comme suit :</w:t>
      </w:r>
    </w:p>
    <w:p w14:paraId="27FADBB5" w14:textId="3822F2B0" w:rsidR="0001502D" w:rsidRPr="00E039A7" w:rsidRDefault="0001502D" w:rsidP="002A7118">
      <w:pPr>
        <w:tabs>
          <w:tab w:val="left" w:pos="1134"/>
          <w:tab w:val="left" w:pos="2268"/>
        </w:tabs>
        <w:spacing w:before="120" w:after="120"/>
        <w:ind w:left="1134" w:hanging="555"/>
        <w:jc w:val="both"/>
        <w:rPr>
          <w:rFonts w:ascii="Arial" w:hAnsi="Arial" w:cs="Arial"/>
          <w:sz w:val="22"/>
          <w:szCs w:val="22"/>
        </w:rPr>
      </w:pPr>
      <w:r w:rsidRPr="00E039A7">
        <w:rPr>
          <w:rFonts w:ascii="Arial" w:hAnsi="Arial" w:cs="Arial"/>
          <w:sz w:val="22"/>
          <w:szCs w:val="22"/>
        </w:rPr>
        <w:t xml:space="preserve">R.1 : </w:t>
      </w:r>
      <w:r w:rsidRPr="00E039A7">
        <w:rPr>
          <w:rFonts w:ascii="Arial" w:hAnsi="Arial" w:cs="Arial"/>
          <w:sz w:val="22"/>
          <w:szCs w:val="22"/>
        </w:rPr>
        <w:tab/>
        <w:t>Le falak fait partie intégrante de la vie culturelle traditionnelle des régions de Kulob et du Badakhshan. Il est lié à la vie religieuse et personnelle des individus, ce qui le dote d</w:t>
      </w:r>
      <w:r w:rsidR="009C104E">
        <w:rPr>
          <w:rFonts w:ascii="Arial" w:hAnsi="Arial" w:cs="Arial"/>
          <w:sz w:val="22"/>
          <w:szCs w:val="22"/>
        </w:rPr>
        <w:t>’</w:t>
      </w:r>
      <w:r w:rsidRPr="00E039A7">
        <w:rPr>
          <w:rFonts w:ascii="Arial" w:hAnsi="Arial" w:cs="Arial"/>
          <w:sz w:val="22"/>
          <w:szCs w:val="22"/>
        </w:rPr>
        <w:t>une importance culturelle et d</w:t>
      </w:r>
      <w:r w:rsidR="009C104E">
        <w:rPr>
          <w:rFonts w:ascii="Arial" w:hAnsi="Arial" w:cs="Arial"/>
          <w:sz w:val="22"/>
          <w:szCs w:val="22"/>
        </w:rPr>
        <w:t>’</w:t>
      </w:r>
      <w:r w:rsidRPr="00E039A7">
        <w:rPr>
          <w:rFonts w:ascii="Arial" w:hAnsi="Arial" w:cs="Arial"/>
          <w:sz w:val="22"/>
          <w:szCs w:val="22"/>
        </w:rPr>
        <w:t>un rôle social. Il sert aussi de moyen de subsistance pour ses praticiens qui jouissent d</w:t>
      </w:r>
      <w:r w:rsidR="009C104E">
        <w:rPr>
          <w:rFonts w:ascii="Arial" w:hAnsi="Arial" w:cs="Arial"/>
          <w:sz w:val="22"/>
          <w:szCs w:val="22"/>
        </w:rPr>
        <w:t>’</w:t>
      </w:r>
      <w:r w:rsidRPr="00E039A7">
        <w:rPr>
          <w:rFonts w:ascii="Arial" w:hAnsi="Arial" w:cs="Arial"/>
          <w:sz w:val="22"/>
          <w:szCs w:val="22"/>
        </w:rPr>
        <w:t>un grand prestige parmi la population, puisque la connaissance du falak est considérée comme faisant partie intégrante de la continuité familiale en tant que telle.</w:t>
      </w:r>
    </w:p>
    <w:p w14:paraId="5DCB775C" w14:textId="7794AA93" w:rsidR="0001502D" w:rsidRPr="00E039A7" w:rsidRDefault="0001502D" w:rsidP="002A7118">
      <w:pPr>
        <w:tabs>
          <w:tab w:val="left" w:pos="1134"/>
          <w:tab w:val="left" w:pos="2268"/>
        </w:tabs>
        <w:spacing w:before="120" w:after="120"/>
        <w:ind w:left="1134" w:hanging="555"/>
        <w:jc w:val="both"/>
        <w:rPr>
          <w:rFonts w:ascii="Arial" w:hAnsi="Arial" w:cs="Arial"/>
          <w:sz w:val="22"/>
          <w:szCs w:val="22"/>
        </w:rPr>
      </w:pPr>
      <w:r w:rsidRPr="00E039A7">
        <w:rPr>
          <w:rFonts w:ascii="Arial" w:hAnsi="Arial" w:cs="Arial"/>
          <w:sz w:val="22"/>
          <w:szCs w:val="22"/>
        </w:rPr>
        <w:t xml:space="preserve">R.4 : </w:t>
      </w:r>
      <w:r w:rsidRPr="00E039A7">
        <w:rPr>
          <w:rFonts w:ascii="Arial" w:hAnsi="Arial" w:cs="Arial"/>
          <w:sz w:val="22"/>
          <w:szCs w:val="22"/>
        </w:rPr>
        <w:tab/>
        <w:t>Environ cinquante communautés du Badakhshan, de Kulob, de Douchanbé et d</w:t>
      </w:r>
      <w:r w:rsidR="009C104E">
        <w:rPr>
          <w:rFonts w:ascii="Arial" w:hAnsi="Arial" w:cs="Arial"/>
          <w:sz w:val="22"/>
          <w:szCs w:val="22"/>
        </w:rPr>
        <w:t>’</w:t>
      </w:r>
      <w:r w:rsidRPr="00E039A7">
        <w:rPr>
          <w:rFonts w:ascii="Arial" w:hAnsi="Arial" w:cs="Arial"/>
          <w:sz w:val="22"/>
          <w:szCs w:val="22"/>
        </w:rPr>
        <w:t>autres villes et lieux ont été impliquées dans la préparation de la candidature du falak, dont des écoles traditionnelles, des ensembles familiaux de falak, l</w:t>
      </w:r>
      <w:r w:rsidR="009C104E">
        <w:rPr>
          <w:rFonts w:ascii="Arial" w:hAnsi="Arial" w:cs="Arial"/>
          <w:sz w:val="22"/>
          <w:szCs w:val="22"/>
        </w:rPr>
        <w:t>’</w:t>
      </w:r>
      <w:r w:rsidRPr="00E039A7">
        <w:rPr>
          <w:rFonts w:ascii="Arial" w:hAnsi="Arial" w:cs="Arial"/>
          <w:sz w:val="22"/>
          <w:szCs w:val="22"/>
        </w:rPr>
        <w:t xml:space="preserve">organisation non gouvernementale </w:t>
      </w:r>
      <w:r w:rsidRPr="00E039A7">
        <w:rPr>
          <w:rFonts w:ascii="Arial" w:hAnsi="Arial" w:cs="Arial"/>
          <w:iCs/>
          <w:sz w:val="22"/>
          <w:szCs w:val="22"/>
        </w:rPr>
        <w:t>Odam va Olam</w:t>
      </w:r>
      <w:r w:rsidRPr="00E039A7">
        <w:rPr>
          <w:rFonts w:ascii="Arial" w:hAnsi="Arial" w:cs="Arial"/>
          <w:sz w:val="22"/>
          <w:szCs w:val="22"/>
        </w:rPr>
        <w:t>, de célèbres falakkhons et des détenteurs locaux de l</w:t>
      </w:r>
      <w:r w:rsidR="009C104E">
        <w:rPr>
          <w:rFonts w:ascii="Arial" w:hAnsi="Arial" w:cs="Arial"/>
          <w:sz w:val="22"/>
          <w:szCs w:val="22"/>
        </w:rPr>
        <w:t>’</w:t>
      </w:r>
      <w:r w:rsidRPr="00E039A7">
        <w:rPr>
          <w:rFonts w:ascii="Arial" w:hAnsi="Arial" w:cs="Arial"/>
          <w:sz w:val="22"/>
          <w:szCs w:val="22"/>
        </w:rPr>
        <w:t>élément. Ces communautés ont fait entendre leur voix sur la candidature, ont assisté à des concerts et fourni leur consentement.</w:t>
      </w:r>
    </w:p>
    <w:p w14:paraId="61AEDEA2" w14:textId="6EB5112C" w:rsidR="0001502D" w:rsidRPr="00E039A7" w:rsidRDefault="0001502D" w:rsidP="00771F30">
      <w:pPr>
        <w:keepNext/>
        <w:numPr>
          <w:ilvl w:val="1"/>
          <w:numId w:val="41"/>
        </w:numPr>
        <w:tabs>
          <w:tab w:val="left" w:pos="567"/>
          <w:tab w:val="left" w:pos="1701"/>
          <w:tab w:val="left" w:pos="2268"/>
        </w:tabs>
        <w:spacing w:before="120" w:after="120"/>
        <w:ind w:left="567" w:hanging="567"/>
        <w:jc w:val="both"/>
        <w:rPr>
          <w:rFonts w:ascii="Arial" w:hAnsi="Arial" w:cs="Arial"/>
          <w:sz w:val="22"/>
          <w:szCs w:val="22"/>
          <w:lang w:eastAsia="ko-KR"/>
        </w:rPr>
      </w:pPr>
      <w:r w:rsidRPr="00E039A7">
        <w:rPr>
          <w:rFonts w:ascii="Arial" w:hAnsi="Arial" w:cs="Arial"/>
          <w:sz w:val="22"/>
          <w:szCs w:val="22"/>
          <w:u w:val="single"/>
          <w:lang w:eastAsia="ko-KR"/>
        </w:rPr>
        <w:t>Estime en outre</w:t>
      </w:r>
      <w:r w:rsidRPr="00E039A7">
        <w:rPr>
          <w:rFonts w:ascii="Arial" w:hAnsi="Arial" w:cs="Arial"/>
          <w:sz w:val="22"/>
          <w:szCs w:val="22"/>
          <w:lang w:eastAsia="ko-KR"/>
        </w:rPr>
        <w:t xml:space="preserve"> que les informations contenues dans le dossier ne sont pas suffisantes pour permettre au Comité de déterminer si l</w:t>
      </w:r>
      <w:r w:rsidR="00D9548E">
        <w:rPr>
          <w:rFonts w:ascii="Arial" w:hAnsi="Arial" w:cs="Arial"/>
          <w:sz w:val="22"/>
          <w:szCs w:val="22"/>
          <w:lang w:eastAsia="ko-KR"/>
        </w:rPr>
        <w:t>e</w:t>
      </w:r>
      <w:r w:rsidRPr="00E039A7">
        <w:rPr>
          <w:rFonts w:ascii="Arial" w:hAnsi="Arial" w:cs="Arial"/>
          <w:sz w:val="22"/>
          <w:szCs w:val="22"/>
          <w:lang w:eastAsia="ko-KR"/>
        </w:rPr>
        <w:t xml:space="preserve"> critère d</w:t>
      </w:r>
      <w:r w:rsidR="009C104E">
        <w:rPr>
          <w:rFonts w:ascii="Arial" w:hAnsi="Arial" w:cs="Arial"/>
          <w:sz w:val="22"/>
          <w:szCs w:val="22"/>
          <w:lang w:eastAsia="ko-KR"/>
        </w:rPr>
        <w:t>’</w:t>
      </w:r>
      <w:r w:rsidRPr="00E039A7">
        <w:rPr>
          <w:rFonts w:ascii="Arial" w:hAnsi="Arial" w:cs="Arial"/>
          <w:sz w:val="22"/>
          <w:szCs w:val="22"/>
          <w:lang w:eastAsia="ko-KR"/>
        </w:rPr>
        <w:t>inscription sur la Liste représentative du patrimoine culturel immatériel de l</w:t>
      </w:r>
      <w:r w:rsidR="009C104E">
        <w:rPr>
          <w:rFonts w:ascii="Arial" w:hAnsi="Arial" w:cs="Arial"/>
          <w:sz w:val="22"/>
          <w:szCs w:val="22"/>
          <w:lang w:eastAsia="ko-KR"/>
        </w:rPr>
        <w:t>’</w:t>
      </w:r>
      <w:r w:rsidRPr="00E039A7">
        <w:rPr>
          <w:rFonts w:ascii="Arial" w:hAnsi="Arial" w:cs="Arial"/>
          <w:sz w:val="22"/>
          <w:szCs w:val="22"/>
          <w:lang w:eastAsia="ko-KR"/>
        </w:rPr>
        <w:t xml:space="preserve">humanité suivants </w:t>
      </w:r>
      <w:r w:rsidR="00E039A7">
        <w:rPr>
          <w:rFonts w:ascii="Arial" w:hAnsi="Arial" w:cs="Arial"/>
          <w:sz w:val="22"/>
          <w:szCs w:val="22"/>
          <w:lang w:eastAsia="ko-KR"/>
        </w:rPr>
        <w:t>est</w:t>
      </w:r>
      <w:r w:rsidR="00E039A7" w:rsidRPr="00E039A7">
        <w:rPr>
          <w:rFonts w:ascii="Arial" w:hAnsi="Arial" w:cs="Arial"/>
          <w:sz w:val="22"/>
          <w:szCs w:val="22"/>
          <w:lang w:eastAsia="ko-KR"/>
        </w:rPr>
        <w:t xml:space="preserve"> </w:t>
      </w:r>
      <w:r w:rsidRPr="00E039A7">
        <w:rPr>
          <w:rFonts w:ascii="Arial" w:hAnsi="Arial" w:cs="Arial"/>
          <w:sz w:val="22"/>
          <w:szCs w:val="22"/>
          <w:lang w:eastAsia="ko-KR"/>
        </w:rPr>
        <w:t>satisfait :</w:t>
      </w:r>
    </w:p>
    <w:p w14:paraId="6C9597EE" w14:textId="15575DB2" w:rsidR="0001502D" w:rsidRDefault="0001502D" w:rsidP="002A7118">
      <w:pPr>
        <w:tabs>
          <w:tab w:val="left" w:pos="1134"/>
          <w:tab w:val="left" w:pos="2268"/>
        </w:tabs>
        <w:spacing w:before="120" w:after="120"/>
        <w:ind w:left="1134" w:hanging="567"/>
        <w:jc w:val="both"/>
        <w:rPr>
          <w:rFonts w:ascii="Arial" w:hAnsi="Arial" w:cs="Arial"/>
          <w:sz w:val="22"/>
          <w:szCs w:val="22"/>
        </w:rPr>
      </w:pPr>
      <w:r w:rsidRPr="00E039A7">
        <w:rPr>
          <w:rFonts w:ascii="Arial" w:hAnsi="Arial" w:cs="Arial"/>
          <w:sz w:val="22"/>
          <w:szCs w:val="22"/>
        </w:rPr>
        <w:t>R.3 :</w:t>
      </w:r>
      <w:r w:rsidRPr="00E039A7">
        <w:rPr>
          <w:rFonts w:ascii="Arial" w:hAnsi="Arial" w:cs="Arial"/>
          <w:sz w:val="22"/>
          <w:szCs w:val="22"/>
        </w:rPr>
        <w:tab/>
        <w:t>Bien que de nombreuses mesures de sauvegarde aient été entreprises pour assurer la viabilité du falak, les mesures de sauvegarde proposées ne sont pas concrètes. Le dossier dresse la liste de ce qu</w:t>
      </w:r>
      <w:r w:rsidR="009C104E">
        <w:rPr>
          <w:rFonts w:ascii="Arial" w:hAnsi="Arial" w:cs="Arial"/>
          <w:sz w:val="22"/>
          <w:szCs w:val="22"/>
        </w:rPr>
        <w:t>’</w:t>
      </w:r>
      <w:r w:rsidRPr="00E039A7">
        <w:rPr>
          <w:rFonts w:ascii="Arial" w:hAnsi="Arial" w:cs="Arial"/>
          <w:sz w:val="22"/>
          <w:szCs w:val="22"/>
        </w:rPr>
        <w:t>il faudrait entreprendre sans proposer d</w:t>
      </w:r>
      <w:r w:rsidR="009C104E">
        <w:rPr>
          <w:rFonts w:ascii="Arial" w:hAnsi="Arial" w:cs="Arial"/>
          <w:sz w:val="22"/>
          <w:szCs w:val="22"/>
        </w:rPr>
        <w:t>’</w:t>
      </w:r>
      <w:r w:rsidRPr="00E039A7">
        <w:rPr>
          <w:rFonts w:ascii="Arial" w:hAnsi="Arial" w:cs="Arial"/>
          <w:sz w:val="22"/>
          <w:szCs w:val="22"/>
        </w:rPr>
        <w:t>activité particulière ni démontrer comment les communautés, les groupes et les individus concernés ont été impliqués dans la programmation des mesures de sauvegarde proposées. De plus, le dossier sous-entend que la candidature a été préparée sans une compréhension suffisante de la Convention. Notamment l</w:t>
      </w:r>
      <w:r w:rsidR="009C104E">
        <w:rPr>
          <w:rFonts w:ascii="Arial" w:hAnsi="Arial" w:cs="Arial"/>
          <w:sz w:val="22"/>
          <w:szCs w:val="22"/>
        </w:rPr>
        <w:t>’</w:t>
      </w:r>
      <w:r w:rsidRPr="00E039A7">
        <w:rPr>
          <w:rFonts w:ascii="Arial" w:hAnsi="Arial" w:cs="Arial"/>
          <w:sz w:val="22"/>
          <w:szCs w:val="22"/>
        </w:rPr>
        <w:t>importance de la nature changeante et dynamique du patrimoine culturel immatériel ne semble pas être reconnue.</w:t>
      </w:r>
    </w:p>
    <w:p w14:paraId="14F6B7DB" w14:textId="77B57B28" w:rsidR="002C0425" w:rsidRPr="002C0425" w:rsidRDefault="002C0425" w:rsidP="002C0425">
      <w:pPr>
        <w:numPr>
          <w:ilvl w:val="1"/>
          <w:numId w:val="41"/>
        </w:numPr>
        <w:tabs>
          <w:tab w:val="left" w:pos="567"/>
          <w:tab w:val="left" w:pos="1701"/>
          <w:tab w:val="left" w:pos="2268"/>
        </w:tabs>
        <w:spacing w:before="120" w:after="120"/>
        <w:ind w:left="567"/>
        <w:jc w:val="both"/>
        <w:rPr>
          <w:rFonts w:ascii="Arial" w:hAnsi="Arial" w:cs="Arial"/>
          <w:sz w:val="22"/>
          <w:szCs w:val="22"/>
          <w:lang w:eastAsia="ko-KR"/>
        </w:rPr>
      </w:pPr>
      <w:r w:rsidRPr="002C0425">
        <w:rPr>
          <w:rFonts w:ascii="Arial" w:hAnsi="Arial" w:cs="Arial"/>
          <w:sz w:val="22"/>
          <w:szCs w:val="22"/>
          <w:u w:val="single"/>
          <w:lang w:eastAsia="ko-KR"/>
        </w:rPr>
        <w:t xml:space="preserve">Estime </w:t>
      </w:r>
      <w:r w:rsidR="009A46EE">
        <w:rPr>
          <w:rFonts w:ascii="Arial" w:hAnsi="Arial" w:cs="Arial"/>
          <w:sz w:val="22"/>
          <w:szCs w:val="22"/>
          <w:u w:val="single"/>
          <w:lang w:eastAsia="ko-KR"/>
        </w:rPr>
        <w:t>également</w:t>
      </w:r>
      <w:r w:rsidRPr="002C0425">
        <w:rPr>
          <w:rFonts w:ascii="Arial" w:hAnsi="Arial" w:cs="Arial"/>
          <w:sz w:val="22"/>
          <w:szCs w:val="22"/>
          <w:lang w:eastAsia="ko-KR"/>
        </w:rPr>
        <w:t xml:space="preserve"> que</w:t>
      </w:r>
      <w:r w:rsidR="002C0FC9">
        <w:rPr>
          <w:rFonts w:ascii="Arial" w:hAnsi="Arial" w:cs="Arial"/>
          <w:sz w:val="22"/>
          <w:szCs w:val="22"/>
          <w:lang w:eastAsia="ko-KR"/>
        </w:rPr>
        <w:t>,</w:t>
      </w:r>
      <w:r w:rsidRPr="002C0425">
        <w:rPr>
          <w:rFonts w:ascii="Arial" w:hAnsi="Arial" w:cs="Arial"/>
          <w:sz w:val="22"/>
          <w:szCs w:val="22"/>
          <w:lang w:eastAsia="ko-KR"/>
        </w:rPr>
        <w:t xml:space="preserve"> </w:t>
      </w:r>
      <w:r w:rsidRPr="00B07C34">
        <w:rPr>
          <w:rFonts w:ascii="Arial" w:hAnsi="Arial" w:cs="Arial"/>
          <w:sz w:val="22"/>
          <w:szCs w:val="22"/>
          <w:lang w:eastAsia="ko-KR"/>
        </w:rPr>
        <w:t>sur la base des</w:t>
      </w:r>
      <w:r w:rsidRPr="002C0425">
        <w:rPr>
          <w:rFonts w:ascii="Arial" w:hAnsi="Arial" w:cs="Arial"/>
          <w:sz w:val="22"/>
          <w:szCs w:val="22"/>
          <w:lang w:eastAsia="ko-KR"/>
        </w:rPr>
        <w:t xml:space="preserve"> informations </w:t>
      </w:r>
      <w:r w:rsidRPr="00B07C34">
        <w:rPr>
          <w:rFonts w:ascii="Arial" w:hAnsi="Arial" w:cs="Arial"/>
          <w:sz w:val="22"/>
          <w:szCs w:val="22"/>
        </w:rPr>
        <w:t>subséquemment</w:t>
      </w:r>
      <w:r w:rsidR="005A4520">
        <w:rPr>
          <w:rFonts w:ascii="Arial" w:hAnsi="Arial" w:cs="Arial"/>
          <w:sz w:val="22"/>
          <w:szCs w:val="22"/>
        </w:rPr>
        <w:t xml:space="preserve"> fournies</w:t>
      </w:r>
      <w:r w:rsidRPr="00B07C34">
        <w:rPr>
          <w:rFonts w:ascii="Arial" w:hAnsi="Arial" w:cs="Arial"/>
          <w:sz w:val="22"/>
          <w:szCs w:val="22"/>
        </w:rPr>
        <w:t xml:space="preserve"> par l</w:t>
      </w:r>
      <w:r w:rsidR="009C104E">
        <w:rPr>
          <w:rFonts w:ascii="Arial" w:hAnsi="Arial" w:cs="Arial"/>
          <w:sz w:val="22"/>
          <w:szCs w:val="22"/>
        </w:rPr>
        <w:t>’</w:t>
      </w:r>
      <w:r w:rsidRPr="00B07C34">
        <w:rPr>
          <w:rFonts w:ascii="Arial" w:hAnsi="Arial" w:cs="Arial"/>
          <w:sz w:val="22"/>
          <w:szCs w:val="22"/>
        </w:rPr>
        <w:t>État soumissionnaire à cette présente session sur la manière dont l</w:t>
      </w:r>
      <w:r w:rsidR="009C104E">
        <w:rPr>
          <w:rFonts w:ascii="Arial" w:hAnsi="Arial" w:cs="Arial"/>
          <w:sz w:val="22"/>
          <w:szCs w:val="22"/>
        </w:rPr>
        <w:t>’</w:t>
      </w:r>
      <w:r w:rsidRPr="00B07C34">
        <w:rPr>
          <w:rFonts w:ascii="Arial" w:hAnsi="Arial" w:cs="Arial"/>
          <w:sz w:val="22"/>
          <w:szCs w:val="22"/>
        </w:rPr>
        <w:t>inscription du falak pourrait servir à accroître la visibilité du patrimoine culturel en général et sur la manière dont elle encouragerait le dialogue et favoriserait la diversité culturelle, les critères suivants d</w:t>
      </w:r>
      <w:r w:rsidR="009C104E">
        <w:rPr>
          <w:rFonts w:ascii="Arial" w:hAnsi="Arial" w:cs="Arial"/>
          <w:sz w:val="22"/>
          <w:szCs w:val="22"/>
        </w:rPr>
        <w:t>’</w:t>
      </w:r>
      <w:r w:rsidRPr="00B07C34">
        <w:rPr>
          <w:rFonts w:ascii="Arial" w:hAnsi="Arial" w:cs="Arial"/>
          <w:sz w:val="22"/>
          <w:szCs w:val="22"/>
        </w:rPr>
        <w:t>inscription sur la Liste représentative du patrimoine culturel immatériel de l</w:t>
      </w:r>
      <w:r w:rsidR="009C104E">
        <w:rPr>
          <w:rFonts w:ascii="Arial" w:hAnsi="Arial" w:cs="Arial"/>
          <w:sz w:val="22"/>
          <w:szCs w:val="22"/>
        </w:rPr>
        <w:t>’</w:t>
      </w:r>
      <w:r w:rsidRPr="00B07C34">
        <w:rPr>
          <w:rFonts w:ascii="Arial" w:hAnsi="Arial" w:cs="Arial"/>
          <w:sz w:val="22"/>
          <w:szCs w:val="22"/>
        </w:rPr>
        <w:t>humanité sont satisfaits :</w:t>
      </w:r>
    </w:p>
    <w:p w14:paraId="734B3C60" w14:textId="00971C7B" w:rsidR="00E039A7" w:rsidRPr="00E039A7" w:rsidRDefault="002C0425" w:rsidP="002A7118">
      <w:pPr>
        <w:tabs>
          <w:tab w:val="left" w:pos="1134"/>
          <w:tab w:val="left" w:pos="2268"/>
        </w:tabs>
        <w:spacing w:before="120" w:after="120"/>
        <w:ind w:left="1134" w:hanging="567"/>
        <w:jc w:val="both"/>
        <w:rPr>
          <w:rFonts w:ascii="Arial" w:hAnsi="Arial" w:cs="Arial"/>
          <w:sz w:val="22"/>
          <w:szCs w:val="22"/>
        </w:rPr>
      </w:pPr>
      <w:r>
        <w:rPr>
          <w:rFonts w:ascii="Arial" w:hAnsi="Arial" w:cs="Arial"/>
          <w:sz w:val="22"/>
          <w:szCs w:val="22"/>
        </w:rPr>
        <w:t>R.2 :</w:t>
      </w:r>
      <w:r w:rsidR="005A4520" w:rsidRPr="0001502D">
        <w:rPr>
          <w:rFonts w:ascii="Arial" w:hAnsi="Arial" w:cs="Arial"/>
          <w:sz w:val="22"/>
          <w:szCs w:val="22"/>
        </w:rPr>
        <w:tab/>
      </w:r>
      <w:r w:rsidRPr="002C0425">
        <w:rPr>
          <w:rFonts w:ascii="Arial" w:hAnsi="Arial" w:cs="Arial"/>
          <w:sz w:val="22"/>
          <w:szCs w:val="22"/>
        </w:rPr>
        <w:t>L</w:t>
      </w:r>
      <w:r w:rsidR="009C104E">
        <w:rPr>
          <w:rFonts w:ascii="Arial" w:hAnsi="Arial" w:cs="Arial"/>
          <w:sz w:val="22"/>
          <w:szCs w:val="22"/>
        </w:rPr>
        <w:t>’</w:t>
      </w:r>
      <w:r w:rsidRPr="002C0425">
        <w:rPr>
          <w:rFonts w:ascii="Arial" w:hAnsi="Arial" w:cs="Arial"/>
          <w:sz w:val="22"/>
          <w:szCs w:val="22"/>
        </w:rPr>
        <w:t xml:space="preserve">inscription du falak encouragerait la visibilité du patrimoine culturel immatériel en général et encouragerait le dialogue en reconnectant les régions montagneuses du Badakhshan et de Kulob, en promouvant un mode traditionnel de transmission de maître à apprenti (Ustod - Shogird), en encourageant la législation nationale sur le </w:t>
      </w:r>
      <w:r w:rsidR="002C0FC9">
        <w:rPr>
          <w:rFonts w:ascii="Arial" w:hAnsi="Arial" w:cs="Arial"/>
          <w:sz w:val="22"/>
          <w:szCs w:val="22"/>
        </w:rPr>
        <w:t>patrimoine culturel immatériel</w:t>
      </w:r>
      <w:r w:rsidR="002C0FC9" w:rsidRPr="002C0425">
        <w:rPr>
          <w:rFonts w:ascii="Arial" w:hAnsi="Arial" w:cs="Arial"/>
          <w:sz w:val="22"/>
          <w:szCs w:val="22"/>
        </w:rPr>
        <w:t xml:space="preserve"> </w:t>
      </w:r>
      <w:r w:rsidRPr="002C0425">
        <w:rPr>
          <w:rFonts w:ascii="Arial" w:hAnsi="Arial" w:cs="Arial"/>
          <w:sz w:val="22"/>
          <w:szCs w:val="22"/>
        </w:rPr>
        <w:t>et la musique, en soutenant les communautés d</w:t>
      </w:r>
      <w:r w:rsidR="009C104E">
        <w:rPr>
          <w:rFonts w:ascii="Arial" w:hAnsi="Arial" w:cs="Arial"/>
          <w:sz w:val="22"/>
          <w:szCs w:val="22"/>
        </w:rPr>
        <w:t>’</w:t>
      </w:r>
      <w:r w:rsidRPr="002C0425">
        <w:rPr>
          <w:rFonts w:ascii="Arial" w:hAnsi="Arial" w:cs="Arial"/>
          <w:sz w:val="22"/>
          <w:szCs w:val="22"/>
        </w:rPr>
        <w:t xml:space="preserve">artisans et de musiciens traditionnels, en rapprochant </w:t>
      </w:r>
      <w:r w:rsidR="00D9548E">
        <w:rPr>
          <w:rFonts w:ascii="Arial" w:hAnsi="Arial" w:cs="Arial"/>
          <w:sz w:val="22"/>
          <w:szCs w:val="22"/>
        </w:rPr>
        <w:t xml:space="preserve">les </w:t>
      </w:r>
      <w:r w:rsidRPr="002C0425">
        <w:rPr>
          <w:rFonts w:ascii="Arial" w:hAnsi="Arial" w:cs="Arial"/>
          <w:sz w:val="22"/>
          <w:szCs w:val="22"/>
        </w:rPr>
        <w:t>générations, genres, populations urbaines et rurales. L</w:t>
      </w:r>
      <w:r w:rsidR="009C104E">
        <w:rPr>
          <w:rFonts w:ascii="Arial" w:hAnsi="Arial" w:cs="Arial"/>
          <w:sz w:val="22"/>
          <w:szCs w:val="22"/>
        </w:rPr>
        <w:t>’</w:t>
      </w:r>
      <w:r w:rsidRPr="002C0425">
        <w:rPr>
          <w:rFonts w:ascii="Arial" w:hAnsi="Arial" w:cs="Arial"/>
          <w:sz w:val="22"/>
          <w:szCs w:val="22"/>
        </w:rPr>
        <w:t>inscription de l</w:t>
      </w:r>
      <w:r w:rsidR="009C104E">
        <w:rPr>
          <w:rFonts w:ascii="Arial" w:hAnsi="Arial" w:cs="Arial"/>
          <w:sz w:val="22"/>
          <w:szCs w:val="22"/>
        </w:rPr>
        <w:t>’</w:t>
      </w:r>
      <w:r w:rsidRPr="002C0425">
        <w:rPr>
          <w:rFonts w:ascii="Arial" w:hAnsi="Arial" w:cs="Arial"/>
          <w:sz w:val="22"/>
          <w:szCs w:val="22"/>
        </w:rPr>
        <w:t>élément sur la Liste représentative du patrimoine culturel immatériel de l</w:t>
      </w:r>
      <w:r w:rsidR="009C104E">
        <w:rPr>
          <w:rFonts w:ascii="Arial" w:hAnsi="Arial" w:cs="Arial"/>
          <w:sz w:val="22"/>
          <w:szCs w:val="22"/>
        </w:rPr>
        <w:t>’</w:t>
      </w:r>
      <w:r w:rsidRPr="002C0425">
        <w:rPr>
          <w:rFonts w:ascii="Arial" w:hAnsi="Arial" w:cs="Arial"/>
          <w:sz w:val="22"/>
          <w:szCs w:val="22"/>
        </w:rPr>
        <w:t xml:space="preserve">humanité </w:t>
      </w:r>
      <w:r w:rsidR="00D9548E">
        <w:rPr>
          <w:rFonts w:ascii="Arial" w:hAnsi="Arial" w:cs="Arial"/>
          <w:sz w:val="22"/>
          <w:szCs w:val="22"/>
        </w:rPr>
        <w:t>contribuerait à promouvoir</w:t>
      </w:r>
      <w:r w:rsidRPr="002C0425">
        <w:rPr>
          <w:rFonts w:ascii="Arial" w:hAnsi="Arial" w:cs="Arial"/>
          <w:sz w:val="22"/>
          <w:szCs w:val="22"/>
        </w:rPr>
        <w:t xml:space="preserve"> le respect de la diversité culturelle </w:t>
      </w:r>
      <w:r w:rsidR="00D9548E">
        <w:rPr>
          <w:rFonts w:ascii="Arial" w:hAnsi="Arial" w:cs="Arial"/>
          <w:sz w:val="22"/>
          <w:szCs w:val="22"/>
        </w:rPr>
        <w:t>en améliorant</w:t>
      </w:r>
      <w:r w:rsidRPr="002C0425">
        <w:rPr>
          <w:rFonts w:ascii="Arial" w:hAnsi="Arial" w:cs="Arial"/>
          <w:sz w:val="22"/>
          <w:szCs w:val="22"/>
        </w:rPr>
        <w:t xml:space="preserve"> sa reconnaissance en tant que phénomène musical mondial. Le dossier se concentre sur l</w:t>
      </w:r>
      <w:r w:rsidR="009C104E">
        <w:rPr>
          <w:rFonts w:ascii="Arial" w:hAnsi="Arial" w:cs="Arial"/>
          <w:sz w:val="22"/>
          <w:szCs w:val="22"/>
        </w:rPr>
        <w:t>’</w:t>
      </w:r>
      <w:r w:rsidRPr="002C0425">
        <w:rPr>
          <w:rFonts w:ascii="Arial" w:hAnsi="Arial" w:cs="Arial"/>
          <w:sz w:val="22"/>
          <w:szCs w:val="22"/>
        </w:rPr>
        <w:t>élément, montrant comment l</w:t>
      </w:r>
      <w:r w:rsidR="009C104E">
        <w:rPr>
          <w:rFonts w:ascii="Arial" w:hAnsi="Arial" w:cs="Arial"/>
          <w:sz w:val="22"/>
          <w:szCs w:val="22"/>
        </w:rPr>
        <w:t>’</w:t>
      </w:r>
      <w:r w:rsidRPr="002C0425">
        <w:rPr>
          <w:rFonts w:ascii="Arial" w:hAnsi="Arial" w:cs="Arial"/>
          <w:sz w:val="22"/>
          <w:szCs w:val="22"/>
        </w:rPr>
        <w:t xml:space="preserve">inscription aurait un effet positif sur la viabilité et la promotion du falak, de ses praticiens et du peuple tadjik </w:t>
      </w:r>
      <w:r w:rsidR="00D9548E">
        <w:rPr>
          <w:rFonts w:ascii="Arial" w:hAnsi="Arial" w:cs="Arial"/>
          <w:sz w:val="22"/>
          <w:szCs w:val="22"/>
        </w:rPr>
        <w:t>de manière plus large</w:t>
      </w:r>
      <w:r w:rsidRPr="002C0425">
        <w:rPr>
          <w:rFonts w:ascii="Arial" w:hAnsi="Arial" w:cs="Arial"/>
          <w:sz w:val="22"/>
          <w:szCs w:val="22"/>
        </w:rPr>
        <w:t>, ce qui représente un signe de fierté et de reconnaissance pour la communauté.</w:t>
      </w:r>
    </w:p>
    <w:p w14:paraId="08DEF747" w14:textId="402C41F2" w:rsidR="002C0425" w:rsidRDefault="0001502D" w:rsidP="002A7118">
      <w:pPr>
        <w:tabs>
          <w:tab w:val="left" w:pos="1134"/>
          <w:tab w:val="left" w:pos="2268"/>
        </w:tabs>
        <w:spacing w:before="120" w:after="120"/>
        <w:ind w:left="1134" w:hanging="567"/>
        <w:jc w:val="both"/>
        <w:rPr>
          <w:rFonts w:ascii="Arial" w:hAnsi="Arial" w:cs="Arial"/>
          <w:sz w:val="22"/>
          <w:szCs w:val="22"/>
        </w:rPr>
      </w:pPr>
      <w:r w:rsidRPr="00E039A7">
        <w:rPr>
          <w:rFonts w:ascii="Arial" w:hAnsi="Arial" w:cs="Arial"/>
          <w:sz w:val="22"/>
          <w:szCs w:val="22"/>
        </w:rPr>
        <w:t>R.5 :</w:t>
      </w:r>
      <w:r w:rsidRPr="00E039A7">
        <w:rPr>
          <w:rFonts w:ascii="Arial" w:hAnsi="Arial" w:cs="Arial"/>
          <w:sz w:val="22"/>
          <w:szCs w:val="22"/>
        </w:rPr>
        <w:tab/>
      </w:r>
      <w:r w:rsidR="002C0425" w:rsidRPr="002C0425">
        <w:rPr>
          <w:rFonts w:ascii="Arial" w:hAnsi="Arial" w:cs="Arial"/>
          <w:sz w:val="22"/>
          <w:szCs w:val="22"/>
        </w:rPr>
        <w:t>Le falak a été inscrit sur la Liste nationale du patrimoine culturel immatériel du Tadjikistan en 2016 et chaque élément est mis à jour toutes les trois ou cinq ans après leur inscription. L</w:t>
      </w:r>
      <w:r w:rsidR="009C104E">
        <w:rPr>
          <w:rFonts w:ascii="Arial" w:hAnsi="Arial" w:cs="Arial"/>
          <w:sz w:val="22"/>
          <w:szCs w:val="22"/>
        </w:rPr>
        <w:t>’</w:t>
      </w:r>
      <w:r w:rsidR="002C0425" w:rsidRPr="002C0425">
        <w:rPr>
          <w:rFonts w:ascii="Arial" w:hAnsi="Arial" w:cs="Arial"/>
          <w:sz w:val="22"/>
          <w:szCs w:val="22"/>
        </w:rPr>
        <w:t>inventaire a été réalisé avec la participation des communautés, groupes et organisations non gouvernementales concernés lors du processus d</w:t>
      </w:r>
      <w:r w:rsidR="009C104E">
        <w:rPr>
          <w:rFonts w:ascii="Arial" w:hAnsi="Arial" w:cs="Arial"/>
          <w:sz w:val="22"/>
          <w:szCs w:val="22"/>
        </w:rPr>
        <w:t>’</w:t>
      </w:r>
      <w:r w:rsidR="002C0425" w:rsidRPr="002C0425">
        <w:rPr>
          <w:rFonts w:ascii="Arial" w:hAnsi="Arial" w:cs="Arial"/>
          <w:sz w:val="22"/>
          <w:szCs w:val="22"/>
        </w:rPr>
        <w:t>inventaire en 2001-2012. L</w:t>
      </w:r>
      <w:r w:rsidR="009C104E">
        <w:rPr>
          <w:rFonts w:ascii="Arial" w:hAnsi="Arial" w:cs="Arial"/>
          <w:sz w:val="22"/>
          <w:szCs w:val="22"/>
        </w:rPr>
        <w:t>’</w:t>
      </w:r>
      <w:r w:rsidR="002C0425" w:rsidRPr="002C0425">
        <w:rPr>
          <w:rFonts w:ascii="Arial" w:hAnsi="Arial" w:cs="Arial"/>
          <w:sz w:val="22"/>
          <w:szCs w:val="22"/>
        </w:rPr>
        <w:t>Institut de recherche de la culture et de l</w:t>
      </w:r>
      <w:r w:rsidR="009C104E">
        <w:rPr>
          <w:rFonts w:ascii="Arial" w:hAnsi="Arial" w:cs="Arial"/>
          <w:sz w:val="22"/>
          <w:szCs w:val="22"/>
        </w:rPr>
        <w:t>’</w:t>
      </w:r>
      <w:r w:rsidR="002C0425" w:rsidRPr="002C0425">
        <w:rPr>
          <w:rFonts w:ascii="Arial" w:hAnsi="Arial" w:cs="Arial"/>
          <w:sz w:val="22"/>
          <w:szCs w:val="22"/>
        </w:rPr>
        <w:t>information (RICI) est en charge de l</w:t>
      </w:r>
      <w:r w:rsidR="009C104E">
        <w:rPr>
          <w:rFonts w:ascii="Arial" w:hAnsi="Arial" w:cs="Arial"/>
          <w:sz w:val="22"/>
          <w:szCs w:val="22"/>
        </w:rPr>
        <w:t>’</w:t>
      </w:r>
      <w:r w:rsidR="002C0425" w:rsidRPr="002C0425">
        <w:rPr>
          <w:rFonts w:ascii="Arial" w:hAnsi="Arial" w:cs="Arial"/>
          <w:sz w:val="22"/>
          <w:szCs w:val="22"/>
        </w:rPr>
        <w:t>inventaire.</w:t>
      </w:r>
    </w:p>
    <w:p w14:paraId="0E88ED52" w14:textId="5513CF5A" w:rsidR="0001502D" w:rsidRDefault="0001502D" w:rsidP="00771F30">
      <w:pPr>
        <w:numPr>
          <w:ilvl w:val="1"/>
          <w:numId w:val="41"/>
        </w:numPr>
        <w:tabs>
          <w:tab w:val="left" w:pos="567"/>
          <w:tab w:val="left" w:pos="1701"/>
          <w:tab w:val="left" w:pos="2268"/>
        </w:tabs>
        <w:spacing w:before="120" w:after="120"/>
        <w:ind w:left="567"/>
        <w:jc w:val="both"/>
        <w:rPr>
          <w:rFonts w:ascii="Arial" w:hAnsi="Arial" w:cs="Arial"/>
          <w:sz w:val="22"/>
          <w:szCs w:val="22"/>
          <w:lang w:eastAsia="ko-KR"/>
        </w:rPr>
      </w:pPr>
      <w:r w:rsidRPr="00E039A7">
        <w:rPr>
          <w:rFonts w:ascii="Arial" w:hAnsi="Arial" w:cs="Arial"/>
          <w:sz w:val="22"/>
          <w:szCs w:val="22"/>
          <w:u w:val="single"/>
          <w:lang w:eastAsia="ko-KR"/>
        </w:rPr>
        <w:t>Décide de renvoyer</w:t>
      </w:r>
      <w:r w:rsidRPr="00E039A7">
        <w:rPr>
          <w:rFonts w:ascii="Arial" w:hAnsi="Arial" w:cs="Arial"/>
          <w:sz w:val="22"/>
          <w:szCs w:val="22"/>
          <w:lang w:eastAsia="ko-KR"/>
        </w:rPr>
        <w:t xml:space="preserve"> la candidature </w:t>
      </w:r>
      <w:r w:rsidRPr="00E039A7">
        <w:rPr>
          <w:rFonts w:ascii="Arial" w:hAnsi="Arial" w:cs="Arial"/>
          <w:b/>
          <w:sz w:val="22"/>
          <w:szCs w:val="22"/>
          <w:lang w:eastAsia="ko-KR"/>
        </w:rPr>
        <w:t xml:space="preserve">du </w:t>
      </w:r>
      <w:r w:rsidRPr="00E039A7">
        <w:rPr>
          <w:rFonts w:ascii="Arial" w:hAnsi="Arial" w:cs="Arial"/>
          <w:b/>
          <w:bCs/>
          <w:sz w:val="22"/>
          <w:szCs w:val="22"/>
          <w:lang w:eastAsia="ko-KR"/>
        </w:rPr>
        <w:t>falak</w:t>
      </w:r>
      <w:r w:rsidRPr="00E039A7">
        <w:rPr>
          <w:rFonts w:ascii="Arial" w:hAnsi="Arial" w:cs="Arial"/>
          <w:sz w:val="22"/>
          <w:szCs w:val="22"/>
          <w:lang w:eastAsia="ko-KR"/>
        </w:rPr>
        <w:t xml:space="preserve"> à l</w:t>
      </w:r>
      <w:r w:rsidR="009C104E">
        <w:rPr>
          <w:rFonts w:ascii="Arial" w:hAnsi="Arial" w:cs="Arial"/>
          <w:sz w:val="22"/>
          <w:szCs w:val="22"/>
          <w:lang w:eastAsia="ko-KR"/>
        </w:rPr>
        <w:t>’</w:t>
      </w:r>
      <w:r w:rsidRPr="00E039A7">
        <w:rPr>
          <w:rFonts w:ascii="Arial" w:hAnsi="Arial" w:cs="Arial"/>
          <w:sz w:val="22"/>
          <w:szCs w:val="22"/>
          <w:lang w:eastAsia="ko-KR"/>
        </w:rPr>
        <w:t>État partie soumissionnaire et l</w:t>
      </w:r>
      <w:r w:rsidR="009C104E">
        <w:rPr>
          <w:rFonts w:ascii="Arial" w:hAnsi="Arial" w:cs="Arial"/>
          <w:sz w:val="22"/>
          <w:szCs w:val="22"/>
          <w:lang w:eastAsia="ko-KR"/>
        </w:rPr>
        <w:t>’</w:t>
      </w:r>
      <w:r w:rsidRPr="00E039A7">
        <w:rPr>
          <w:rFonts w:ascii="Arial" w:hAnsi="Arial" w:cs="Arial"/>
          <w:sz w:val="22"/>
          <w:szCs w:val="22"/>
          <w:u w:val="single"/>
          <w:lang w:eastAsia="ko-KR"/>
        </w:rPr>
        <w:t>invite</w:t>
      </w:r>
      <w:r w:rsidRPr="00E039A7">
        <w:rPr>
          <w:rFonts w:ascii="Arial" w:hAnsi="Arial" w:cs="Arial"/>
          <w:sz w:val="22"/>
          <w:szCs w:val="22"/>
          <w:lang w:eastAsia="ko-KR"/>
        </w:rPr>
        <w:t xml:space="preserve"> à soumettre de nouveau la candidature au Comité pour examen au cours </w:t>
      </w:r>
      <w:r w:rsidRPr="002C0425">
        <w:rPr>
          <w:rFonts w:ascii="Arial" w:hAnsi="Arial" w:cs="Arial"/>
          <w:sz w:val="22"/>
          <w:szCs w:val="22"/>
          <w:lang w:eastAsia="ko-KR"/>
        </w:rPr>
        <w:t>d</w:t>
      </w:r>
      <w:r w:rsidR="009C104E">
        <w:rPr>
          <w:rFonts w:ascii="Arial" w:hAnsi="Arial" w:cs="Arial"/>
          <w:sz w:val="22"/>
          <w:szCs w:val="22"/>
          <w:lang w:eastAsia="ko-KR"/>
        </w:rPr>
        <w:t>’</w:t>
      </w:r>
      <w:r w:rsidRPr="002C0425">
        <w:rPr>
          <w:rFonts w:ascii="Arial" w:hAnsi="Arial" w:cs="Arial"/>
          <w:sz w:val="22"/>
          <w:szCs w:val="22"/>
          <w:lang w:eastAsia="ko-KR"/>
        </w:rPr>
        <w:t>un cycle ultérieur</w:t>
      </w:r>
      <w:r w:rsidR="002C0FC9">
        <w:rPr>
          <w:rFonts w:ascii="Arial" w:hAnsi="Arial" w:cs="Arial"/>
          <w:sz w:val="22"/>
          <w:szCs w:val="22"/>
          <w:lang w:eastAsia="ko-KR"/>
        </w:rPr>
        <w:t> ;</w:t>
      </w:r>
    </w:p>
    <w:p w14:paraId="35ECA797" w14:textId="4A61BE7B" w:rsidR="002C0425" w:rsidRPr="002C0425" w:rsidRDefault="002C0425" w:rsidP="00771F30">
      <w:pPr>
        <w:numPr>
          <w:ilvl w:val="1"/>
          <w:numId w:val="41"/>
        </w:numPr>
        <w:tabs>
          <w:tab w:val="left" w:pos="567"/>
          <w:tab w:val="left" w:pos="1701"/>
          <w:tab w:val="left" w:pos="2268"/>
        </w:tabs>
        <w:spacing w:before="120" w:after="120"/>
        <w:ind w:left="567"/>
        <w:jc w:val="both"/>
        <w:rPr>
          <w:rFonts w:ascii="Arial" w:hAnsi="Arial" w:cs="Arial"/>
          <w:sz w:val="22"/>
          <w:szCs w:val="22"/>
          <w:lang w:eastAsia="ko-KR"/>
        </w:rPr>
      </w:pPr>
      <w:r w:rsidRPr="00B07C34">
        <w:rPr>
          <w:rFonts w:ascii="Arial" w:hAnsi="Arial" w:cs="Arial"/>
          <w:sz w:val="22"/>
          <w:szCs w:val="22"/>
          <w:u w:val="single"/>
          <w:lang w:eastAsia="ko-KR"/>
        </w:rPr>
        <w:t>Encourage</w:t>
      </w:r>
      <w:r w:rsidRPr="002C0425">
        <w:rPr>
          <w:rFonts w:ascii="Arial" w:hAnsi="Arial" w:cs="Arial"/>
          <w:sz w:val="22"/>
          <w:szCs w:val="22"/>
          <w:lang w:eastAsia="ko-KR"/>
        </w:rPr>
        <w:t xml:space="preserve"> l</w:t>
      </w:r>
      <w:r w:rsidR="009C104E">
        <w:rPr>
          <w:rFonts w:ascii="Arial" w:hAnsi="Arial" w:cs="Arial"/>
          <w:sz w:val="22"/>
          <w:szCs w:val="22"/>
          <w:lang w:eastAsia="ko-KR"/>
        </w:rPr>
        <w:t>’</w:t>
      </w:r>
      <w:r w:rsidRPr="002C0425">
        <w:rPr>
          <w:rFonts w:ascii="Arial" w:hAnsi="Arial" w:cs="Arial"/>
          <w:sz w:val="22"/>
          <w:szCs w:val="22"/>
          <w:lang w:eastAsia="ko-KR"/>
        </w:rPr>
        <w:t>État partie à assurer la participation de la communauté tout au long du processus de révision du dossier</w:t>
      </w:r>
      <w:r>
        <w:rPr>
          <w:rFonts w:ascii="Arial" w:hAnsi="Arial" w:cs="Arial"/>
          <w:sz w:val="22"/>
          <w:szCs w:val="22"/>
          <w:lang w:eastAsia="ko-KR"/>
        </w:rPr>
        <w:t>.</w:t>
      </w:r>
    </w:p>
    <w:p w14:paraId="36051B70" w14:textId="740685A3" w:rsidR="0001502D" w:rsidRPr="0001502D" w:rsidRDefault="0001502D" w:rsidP="00771F30">
      <w:pPr>
        <w:keepNext/>
        <w:keepLines/>
        <w:numPr>
          <w:ilvl w:val="0"/>
          <w:numId w:val="41"/>
        </w:numPr>
        <w:spacing w:before="360" w:after="120"/>
        <w:outlineLvl w:val="1"/>
        <w:rPr>
          <w:rFonts w:ascii="Arial" w:hAnsi="Arial" w:cs="Arial"/>
          <w:bCs/>
          <w:iCs/>
          <w:sz w:val="22"/>
          <w:szCs w:val="22"/>
        </w:rPr>
      </w:pPr>
      <w:bookmarkStart w:id="40" w:name="Decision_10b37"/>
      <w:r w:rsidRPr="0001502D">
        <w:rPr>
          <w:rFonts w:ascii="Arial" w:hAnsi="Arial" w:cs="Arial"/>
          <w:b/>
          <w:bCs/>
          <w:iCs/>
          <w:sz w:val="22"/>
          <w:szCs w:val="22"/>
        </w:rPr>
        <w:t xml:space="preserve">DÉCISION 14.COM 10.b.37 </w:t>
      </w:r>
    </w:p>
    <w:bookmarkEnd w:id="40"/>
    <w:p w14:paraId="7CFA5773" w14:textId="77777777" w:rsidR="0001502D" w:rsidRPr="0001502D" w:rsidRDefault="0001502D" w:rsidP="002A7118">
      <w:pPr>
        <w:keepNext/>
        <w:tabs>
          <w:tab w:val="left" w:pos="567"/>
          <w:tab w:val="left" w:pos="1134"/>
          <w:tab w:val="left" w:pos="1701"/>
          <w:tab w:val="left" w:pos="2268"/>
        </w:tabs>
        <w:spacing w:before="120" w:after="120"/>
        <w:jc w:val="both"/>
        <w:rPr>
          <w:rFonts w:ascii="Arial" w:hAnsi="Arial" w:cs="Arial"/>
          <w:sz w:val="22"/>
          <w:szCs w:val="22"/>
        </w:rPr>
      </w:pPr>
      <w:r w:rsidRPr="0001502D">
        <w:rPr>
          <w:rFonts w:ascii="Arial" w:hAnsi="Arial" w:cs="Arial"/>
          <w:sz w:val="22"/>
          <w:szCs w:val="22"/>
        </w:rPr>
        <w:t>Le Comité,</w:t>
      </w:r>
    </w:p>
    <w:p w14:paraId="2AF9C6B9" w14:textId="6E6B62BE" w:rsidR="0001502D" w:rsidRPr="0001502D" w:rsidRDefault="0001502D" w:rsidP="00771F30">
      <w:pPr>
        <w:numPr>
          <w:ilvl w:val="1"/>
          <w:numId w:val="41"/>
        </w:numPr>
        <w:tabs>
          <w:tab w:val="left" w:pos="567"/>
          <w:tab w:val="left" w:pos="1701"/>
          <w:tab w:val="left" w:pos="2268"/>
        </w:tabs>
        <w:spacing w:before="120" w:after="120"/>
        <w:ind w:left="567" w:hanging="567"/>
        <w:jc w:val="both"/>
        <w:rPr>
          <w:rFonts w:ascii="Arial" w:hAnsi="Arial" w:cs="Arial"/>
          <w:sz w:val="22"/>
          <w:szCs w:val="22"/>
          <w:lang w:eastAsia="ko-KR"/>
        </w:rPr>
      </w:pPr>
      <w:r w:rsidRPr="0001502D">
        <w:rPr>
          <w:rFonts w:ascii="Arial" w:hAnsi="Arial" w:cs="Arial"/>
          <w:sz w:val="22"/>
          <w:szCs w:val="22"/>
          <w:u w:val="single"/>
          <w:lang w:eastAsia="ko-KR"/>
        </w:rPr>
        <w:t>Prend note</w:t>
      </w:r>
      <w:r w:rsidRPr="0001502D">
        <w:rPr>
          <w:rFonts w:ascii="Arial" w:hAnsi="Arial" w:cs="Arial"/>
          <w:sz w:val="22"/>
          <w:szCs w:val="22"/>
          <w:lang w:eastAsia="ko-KR"/>
        </w:rPr>
        <w:t xml:space="preserve"> que la Thaïlande a proposé la candidature </w:t>
      </w:r>
      <w:r w:rsidRPr="0001502D">
        <w:rPr>
          <w:rFonts w:ascii="Arial" w:hAnsi="Arial" w:cs="Arial"/>
          <w:b/>
          <w:sz w:val="22"/>
          <w:szCs w:val="22"/>
          <w:lang w:eastAsia="ko-KR"/>
        </w:rPr>
        <w:t>du nuad thai, massage thaïlandais traditionnel</w:t>
      </w:r>
      <w:r w:rsidRPr="0001502D">
        <w:rPr>
          <w:rFonts w:ascii="Arial" w:hAnsi="Arial" w:cs="Arial"/>
          <w:sz w:val="22"/>
          <w:szCs w:val="22"/>
          <w:lang w:eastAsia="ko-KR"/>
        </w:rPr>
        <w:t xml:space="preserve"> (n° 01384) pour inscription sur la Liste représentative du patrimoine culturel immatériel de l</w:t>
      </w:r>
      <w:r w:rsidR="009C104E">
        <w:rPr>
          <w:rFonts w:ascii="Arial" w:hAnsi="Arial" w:cs="Arial"/>
          <w:sz w:val="22"/>
          <w:szCs w:val="22"/>
          <w:lang w:eastAsia="ko-KR"/>
        </w:rPr>
        <w:t>’</w:t>
      </w:r>
      <w:r w:rsidRPr="0001502D">
        <w:rPr>
          <w:rFonts w:ascii="Arial" w:hAnsi="Arial" w:cs="Arial"/>
          <w:sz w:val="22"/>
          <w:szCs w:val="22"/>
          <w:lang w:eastAsia="ko-KR"/>
        </w:rPr>
        <w:t>humanité :</w:t>
      </w:r>
    </w:p>
    <w:p w14:paraId="4B496912" w14:textId="4145C116" w:rsidR="0001502D" w:rsidRPr="0001502D" w:rsidRDefault="002A7118" w:rsidP="002A7118">
      <w:pPr>
        <w:tabs>
          <w:tab w:val="left" w:pos="567"/>
          <w:tab w:val="left" w:pos="1701"/>
          <w:tab w:val="left" w:pos="2268"/>
        </w:tabs>
        <w:spacing w:before="120" w:after="120"/>
        <w:ind w:left="567" w:hanging="567"/>
        <w:jc w:val="both"/>
        <w:rPr>
          <w:rFonts w:ascii="Arial" w:hAnsi="Arial" w:cs="Arial"/>
          <w:sz w:val="22"/>
          <w:szCs w:val="22"/>
        </w:rPr>
      </w:pPr>
      <w:r>
        <w:rPr>
          <w:rFonts w:ascii="Arial" w:hAnsi="Arial" w:cs="Arial"/>
          <w:sz w:val="22"/>
          <w:szCs w:val="22"/>
        </w:rPr>
        <w:tab/>
      </w:r>
      <w:r w:rsidR="0001502D" w:rsidRPr="0001502D">
        <w:rPr>
          <w:rFonts w:ascii="Arial" w:hAnsi="Arial" w:cs="Arial"/>
          <w:sz w:val="22"/>
          <w:szCs w:val="22"/>
        </w:rPr>
        <w:t>Le nuad thai, massage thaïlandais traditionnel, est considéré comme faisant partie de l</w:t>
      </w:r>
      <w:r w:rsidR="009C104E">
        <w:rPr>
          <w:rFonts w:ascii="Arial" w:hAnsi="Arial" w:cs="Arial"/>
          <w:sz w:val="22"/>
          <w:szCs w:val="22"/>
        </w:rPr>
        <w:t>’</w:t>
      </w:r>
      <w:r w:rsidR="0001502D" w:rsidRPr="0001502D">
        <w:rPr>
          <w:rFonts w:ascii="Arial" w:hAnsi="Arial" w:cs="Arial"/>
          <w:sz w:val="22"/>
          <w:szCs w:val="22"/>
        </w:rPr>
        <w:t>art, de la science et de la culture des soins thaïlandais traditionnels. En tant que remède non médical et thérapie manuelle, il implique une manipulation corporelle au cours de laquelle le praticien aide à rééquilibrer les énergies, la structure et le corps du patient afin de traiter des maux attribués à l</w:t>
      </w:r>
      <w:r w:rsidR="009C104E">
        <w:rPr>
          <w:rFonts w:ascii="Arial" w:hAnsi="Arial" w:cs="Arial"/>
          <w:sz w:val="22"/>
          <w:szCs w:val="22"/>
        </w:rPr>
        <w:t>’</w:t>
      </w:r>
      <w:r w:rsidR="0001502D" w:rsidRPr="0001502D">
        <w:rPr>
          <w:rFonts w:ascii="Arial" w:hAnsi="Arial" w:cs="Arial"/>
          <w:sz w:val="22"/>
          <w:szCs w:val="22"/>
        </w:rPr>
        <w:t>obstruction des flux énergétiques le long des « sen », lignes qui quadrilleraient le corps humain. Cette manipulation a pour objectif la régulation des quatre éléments corporels : la terre, l</w:t>
      </w:r>
      <w:r w:rsidR="009C104E">
        <w:rPr>
          <w:rFonts w:ascii="Arial" w:hAnsi="Arial" w:cs="Arial"/>
          <w:sz w:val="22"/>
          <w:szCs w:val="22"/>
        </w:rPr>
        <w:t>’</w:t>
      </w:r>
      <w:r w:rsidR="0001502D" w:rsidRPr="0001502D">
        <w:rPr>
          <w:rFonts w:ascii="Arial" w:hAnsi="Arial" w:cs="Arial"/>
          <w:sz w:val="22"/>
          <w:szCs w:val="22"/>
        </w:rPr>
        <w:t>eau, le vent et le feu. Pour ouvrir les voies bloquées, les thérapeutes qui pratiquent le nuad thai réalisent une série de manipulations à l</w:t>
      </w:r>
      <w:r w:rsidR="009C104E">
        <w:rPr>
          <w:rFonts w:ascii="Arial" w:hAnsi="Arial" w:cs="Arial"/>
          <w:sz w:val="22"/>
          <w:szCs w:val="22"/>
        </w:rPr>
        <w:t>’</w:t>
      </w:r>
      <w:r w:rsidR="0001502D" w:rsidRPr="0001502D">
        <w:rPr>
          <w:rFonts w:ascii="Arial" w:hAnsi="Arial" w:cs="Arial"/>
          <w:sz w:val="22"/>
          <w:szCs w:val="22"/>
        </w:rPr>
        <w:t>aide de leurs mains, de leurs coudes, de leurs genoux et de leurs pieds, qu</w:t>
      </w:r>
      <w:r w:rsidR="009C104E">
        <w:rPr>
          <w:rFonts w:ascii="Arial" w:hAnsi="Arial" w:cs="Arial"/>
          <w:sz w:val="22"/>
          <w:szCs w:val="22"/>
        </w:rPr>
        <w:t>’</w:t>
      </w:r>
      <w:r w:rsidR="0001502D" w:rsidRPr="0001502D">
        <w:rPr>
          <w:rFonts w:ascii="Arial" w:hAnsi="Arial" w:cs="Arial"/>
          <w:sz w:val="22"/>
          <w:szCs w:val="22"/>
        </w:rPr>
        <w:t>ils associent à des compresses chaudes à base d</w:t>
      </w:r>
      <w:r w:rsidR="009C104E">
        <w:rPr>
          <w:rFonts w:ascii="Arial" w:hAnsi="Arial" w:cs="Arial"/>
          <w:sz w:val="22"/>
          <w:szCs w:val="22"/>
        </w:rPr>
        <w:t>’</w:t>
      </w:r>
      <w:r w:rsidR="0001502D" w:rsidRPr="0001502D">
        <w:rPr>
          <w:rFonts w:ascii="Arial" w:hAnsi="Arial" w:cs="Arial"/>
          <w:sz w:val="22"/>
          <w:szCs w:val="22"/>
        </w:rPr>
        <w:t>herbes qui réduisent les inflammations. Le nuad thai se classe actuellement en deux catégories principales : le nuad thai thérapeutique et le nuad thai destiné à la promotion de la santé. Le nuad thai tire son origine de soins personnels appliqués par le passé par la société paysanne thaïlandaise. Chaque village disposait alors de masseurs-guérisseurs que les villageois consultaient pour leurs problèmes musculaires, dus au travail dans les champs. Au fil du temps, cette expérience s</w:t>
      </w:r>
      <w:r w:rsidR="009C104E">
        <w:rPr>
          <w:rFonts w:ascii="Arial" w:hAnsi="Arial" w:cs="Arial"/>
          <w:sz w:val="22"/>
          <w:szCs w:val="22"/>
        </w:rPr>
        <w:t>’</w:t>
      </w:r>
      <w:r w:rsidR="0001502D" w:rsidRPr="0001502D">
        <w:rPr>
          <w:rFonts w:ascii="Arial" w:hAnsi="Arial" w:cs="Arial"/>
          <w:sz w:val="22"/>
          <w:szCs w:val="22"/>
        </w:rPr>
        <w:t>est transformée en un système de connaissances formel, et le nuad thai est aujourd</w:t>
      </w:r>
      <w:r w:rsidR="009C104E">
        <w:rPr>
          <w:rFonts w:ascii="Arial" w:hAnsi="Arial" w:cs="Arial"/>
          <w:sz w:val="22"/>
          <w:szCs w:val="22"/>
        </w:rPr>
        <w:t>’</w:t>
      </w:r>
      <w:r w:rsidR="0001502D" w:rsidRPr="0001502D">
        <w:rPr>
          <w:rFonts w:ascii="Arial" w:hAnsi="Arial" w:cs="Arial"/>
          <w:sz w:val="22"/>
          <w:szCs w:val="22"/>
        </w:rPr>
        <w:t>hui une profession génératrice de revenus. En 1985, le projet de redynamisation du massage thaïlandais a été lancé pour redynamiser et améliorer la connaissance du nuad thai et une initiative a aussi été prise afin de former une alliance des praticiens de nuad thai qui se réunissent chaque année.</w:t>
      </w:r>
    </w:p>
    <w:p w14:paraId="5A50A46A" w14:textId="781DEBF7" w:rsidR="0001502D" w:rsidRPr="0001502D" w:rsidRDefault="0001502D" w:rsidP="00771F30">
      <w:pPr>
        <w:keepNext/>
        <w:numPr>
          <w:ilvl w:val="1"/>
          <w:numId w:val="41"/>
        </w:numPr>
        <w:tabs>
          <w:tab w:val="left" w:pos="567"/>
          <w:tab w:val="left" w:pos="1701"/>
          <w:tab w:val="left" w:pos="2268"/>
        </w:tabs>
        <w:spacing w:before="120" w:after="120"/>
        <w:ind w:left="567" w:hanging="567"/>
        <w:jc w:val="both"/>
        <w:rPr>
          <w:rFonts w:ascii="Arial" w:hAnsi="Arial" w:cs="Arial"/>
          <w:sz w:val="22"/>
          <w:szCs w:val="22"/>
          <w:lang w:eastAsia="ko-KR"/>
        </w:rPr>
      </w:pPr>
      <w:r w:rsidRPr="0001502D">
        <w:rPr>
          <w:rFonts w:ascii="Arial" w:hAnsi="Arial" w:cs="Arial"/>
          <w:sz w:val="22"/>
          <w:szCs w:val="22"/>
          <w:u w:val="single"/>
          <w:lang w:eastAsia="ko-KR"/>
        </w:rPr>
        <w:t>Estime</w:t>
      </w:r>
      <w:r w:rsidRPr="0001502D">
        <w:rPr>
          <w:rFonts w:ascii="Arial" w:hAnsi="Arial" w:cs="Arial"/>
          <w:sz w:val="22"/>
          <w:szCs w:val="22"/>
          <w:lang w:eastAsia="ko-KR"/>
        </w:rPr>
        <w:t xml:space="preserve"> que, d</w:t>
      </w:r>
      <w:r w:rsidR="009C104E">
        <w:rPr>
          <w:rFonts w:ascii="Arial" w:hAnsi="Arial" w:cs="Arial"/>
          <w:sz w:val="22"/>
          <w:szCs w:val="22"/>
          <w:lang w:eastAsia="ko-KR"/>
        </w:rPr>
        <w:t>’</w:t>
      </w:r>
      <w:r w:rsidRPr="0001502D">
        <w:rPr>
          <w:rFonts w:ascii="Arial" w:hAnsi="Arial" w:cs="Arial"/>
          <w:sz w:val="22"/>
          <w:szCs w:val="22"/>
          <w:lang w:eastAsia="ko-KR"/>
        </w:rPr>
        <w:t>après les informations contenues dans le dossier, la candidature satisfait aux critères d</w:t>
      </w:r>
      <w:r w:rsidR="009C104E">
        <w:rPr>
          <w:rFonts w:ascii="Arial" w:hAnsi="Arial" w:cs="Arial"/>
          <w:sz w:val="22"/>
          <w:szCs w:val="22"/>
          <w:lang w:eastAsia="ko-KR"/>
        </w:rPr>
        <w:t>’</w:t>
      </w:r>
      <w:r w:rsidRPr="0001502D">
        <w:rPr>
          <w:rFonts w:ascii="Arial" w:hAnsi="Arial" w:cs="Arial"/>
          <w:sz w:val="22"/>
          <w:szCs w:val="22"/>
          <w:lang w:eastAsia="ko-KR"/>
        </w:rPr>
        <w:t>inscription sur la Liste représentative du patrimoine culturel immatériel de l</w:t>
      </w:r>
      <w:r w:rsidR="009C104E">
        <w:rPr>
          <w:rFonts w:ascii="Arial" w:hAnsi="Arial" w:cs="Arial"/>
          <w:sz w:val="22"/>
          <w:szCs w:val="22"/>
          <w:lang w:eastAsia="ko-KR"/>
        </w:rPr>
        <w:t>’</w:t>
      </w:r>
      <w:r w:rsidRPr="0001502D">
        <w:rPr>
          <w:rFonts w:ascii="Arial" w:hAnsi="Arial" w:cs="Arial"/>
          <w:sz w:val="22"/>
          <w:szCs w:val="22"/>
          <w:lang w:eastAsia="ko-KR"/>
        </w:rPr>
        <w:t>humanité comme suit :</w:t>
      </w:r>
    </w:p>
    <w:p w14:paraId="62C05E48" w14:textId="2B0F333D" w:rsidR="0001502D" w:rsidRPr="0001502D" w:rsidRDefault="0001502D" w:rsidP="002A7118">
      <w:pPr>
        <w:tabs>
          <w:tab w:val="left" w:pos="1134"/>
          <w:tab w:val="left" w:pos="2268"/>
        </w:tabs>
        <w:spacing w:before="120" w:after="120"/>
        <w:ind w:left="1134" w:hanging="555"/>
        <w:jc w:val="both"/>
        <w:rPr>
          <w:rFonts w:ascii="Arial" w:hAnsi="Arial" w:cs="Arial"/>
          <w:sz w:val="22"/>
          <w:szCs w:val="22"/>
        </w:rPr>
      </w:pPr>
      <w:r w:rsidRPr="0001502D">
        <w:rPr>
          <w:rFonts w:ascii="Arial" w:hAnsi="Arial" w:cs="Arial"/>
          <w:sz w:val="22"/>
          <w:szCs w:val="22"/>
        </w:rPr>
        <w:t xml:space="preserve">R.1 : </w:t>
      </w:r>
      <w:r w:rsidRPr="0001502D">
        <w:rPr>
          <w:rFonts w:ascii="Arial" w:hAnsi="Arial" w:cs="Arial"/>
          <w:sz w:val="22"/>
          <w:szCs w:val="22"/>
        </w:rPr>
        <w:tab/>
        <w:t>Au sein des familles et des communautés, la pratique du nuad thai est une expression de l</w:t>
      </w:r>
      <w:r w:rsidR="009C104E">
        <w:rPr>
          <w:rFonts w:ascii="Arial" w:hAnsi="Arial" w:cs="Arial"/>
          <w:sz w:val="22"/>
          <w:szCs w:val="22"/>
        </w:rPr>
        <w:t>’</w:t>
      </w:r>
      <w:r w:rsidRPr="0001502D">
        <w:rPr>
          <w:rFonts w:ascii="Arial" w:hAnsi="Arial" w:cs="Arial"/>
          <w:sz w:val="22"/>
          <w:szCs w:val="22"/>
        </w:rPr>
        <w:t>amour et de l</w:t>
      </w:r>
      <w:r w:rsidR="009C104E">
        <w:rPr>
          <w:rFonts w:ascii="Arial" w:hAnsi="Arial" w:cs="Arial"/>
          <w:sz w:val="22"/>
          <w:szCs w:val="22"/>
        </w:rPr>
        <w:t>’</w:t>
      </w:r>
      <w:r w:rsidRPr="0001502D">
        <w:rPr>
          <w:rFonts w:ascii="Arial" w:hAnsi="Arial" w:cs="Arial"/>
          <w:sz w:val="22"/>
          <w:szCs w:val="22"/>
        </w:rPr>
        <w:t>attention portés aux autres. Elle renforce la solidarité au sein de la société, améliore l</w:t>
      </w:r>
      <w:r w:rsidR="009C104E">
        <w:rPr>
          <w:rFonts w:ascii="Arial" w:hAnsi="Arial" w:cs="Arial"/>
          <w:sz w:val="22"/>
          <w:szCs w:val="22"/>
        </w:rPr>
        <w:t>’</w:t>
      </w:r>
      <w:r w:rsidRPr="0001502D">
        <w:rPr>
          <w:rFonts w:ascii="Arial" w:hAnsi="Arial" w:cs="Arial"/>
          <w:sz w:val="22"/>
          <w:szCs w:val="22"/>
        </w:rPr>
        <w:t>autonomie et est un symbole d</w:t>
      </w:r>
      <w:r w:rsidR="009C104E">
        <w:rPr>
          <w:rFonts w:ascii="Arial" w:hAnsi="Arial" w:cs="Arial"/>
          <w:sz w:val="22"/>
          <w:szCs w:val="22"/>
        </w:rPr>
        <w:t>’</w:t>
      </w:r>
      <w:r w:rsidRPr="0001502D">
        <w:rPr>
          <w:rFonts w:ascii="Arial" w:hAnsi="Arial" w:cs="Arial"/>
          <w:sz w:val="22"/>
          <w:szCs w:val="22"/>
        </w:rPr>
        <w:t>amour et de bonté, des qualités qui ont inspiré la Thaïlande à devenir une société soucieuse de ses habitants. La poursuite de la tradition permet à la communauté de garder son identité, qui est profondément ancrée dans son histoire et dans la sagesse locale. Les masseurs-guérisseurs des communautés rurales sont souvent des fermiers qui héritent de leur art de génération en génération et le pratiquent afin de soulager les souffrances d</w:t>
      </w:r>
      <w:r w:rsidR="009C104E">
        <w:rPr>
          <w:rFonts w:ascii="Arial" w:hAnsi="Arial" w:cs="Arial"/>
          <w:sz w:val="22"/>
          <w:szCs w:val="22"/>
        </w:rPr>
        <w:t>’</w:t>
      </w:r>
      <w:r w:rsidRPr="0001502D">
        <w:rPr>
          <w:rFonts w:ascii="Arial" w:hAnsi="Arial" w:cs="Arial"/>
          <w:sz w:val="22"/>
          <w:szCs w:val="22"/>
        </w:rPr>
        <w:t>autrui.</w:t>
      </w:r>
    </w:p>
    <w:p w14:paraId="08EDDFF4" w14:textId="496E2D05" w:rsidR="0001502D" w:rsidRPr="0001502D" w:rsidRDefault="0001502D" w:rsidP="002A7118">
      <w:pPr>
        <w:tabs>
          <w:tab w:val="left" w:pos="1134"/>
          <w:tab w:val="left" w:pos="2268"/>
        </w:tabs>
        <w:spacing w:before="120" w:after="120"/>
        <w:ind w:left="1134" w:hanging="555"/>
        <w:jc w:val="both"/>
        <w:rPr>
          <w:rFonts w:ascii="Arial" w:hAnsi="Arial" w:cs="Arial"/>
          <w:sz w:val="22"/>
          <w:szCs w:val="22"/>
        </w:rPr>
      </w:pPr>
      <w:r w:rsidRPr="0001502D">
        <w:rPr>
          <w:rFonts w:ascii="Arial" w:hAnsi="Arial" w:cs="Arial"/>
          <w:sz w:val="22"/>
          <w:szCs w:val="22"/>
        </w:rPr>
        <w:t xml:space="preserve">R.2 : </w:t>
      </w:r>
      <w:r w:rsidRPr="0001502D">
        <w:rPr>
          <w:rFonts w:ascii="Arial" w:hAnsi="Arial" w:cs="Arial"/>
          <w:sz w:val="22"/>
          <w:szCs w:val="22"/>
        </w:rPr>
        <w:tab/>
        <w:t>L</w:t>
      </w:r>
      <w:r w:rsidR="009C104E">
        <w:rPr>
          <w:rFonts w:ascii="Arial" w:hAnsi="Arial" w:cs="Arial"/>
          <w:sz w:val="22"/>
          <w:szCs w:val="22"/>
        </w:rPr>
        <w:t>’</w:t>
      </w:r>
      <w:r w:rsidRPr="0001502D">
        <w:rPr>
          <w:rFonts w:ascii="Arial" w:hAnsi="Arial" w:cs="Arial"/>
          <w:sz w:val="22"/>
          <w:szCs w:val="22"/>
        </w:rPr>
        <w:t>inscription du nuad thai, massage thaïlandais traditionnel, serait un signe de reconnaissance de cette médecine basée sur les savoirs populaires et des médecines traditionnelles en général dans le monde entier. Elle pourrait également avoir un impact positif sur la perception de la pratique à tous les niveaux, en encourageant les communautés locales à préserver les savoirs associés et en inspirant les nouvelles générations à acquérir la pratique auprès des praticiens plus anciens et à faire vivre la tradition.</w:t>
      </w:r>
    </w:p>
    <w:p w14:paraId="28B5476B" w14:textId="0E8B6587" w:rsidR="0001502D" w:rsidRPr="0001502D" w:rsidRDefault="0001502D" w:rsidP="002A7118">
      <w:pPr>
        <w:tabs>
          <w:tab w:val="left" w:pos="1134"/>
          <w:tab w:val="left" w:pos="2268"/>
        </w:tabs>
        <w:spacing w:before="120" w:after="120"/>
        <w:ind w:left="1134" w:hanging="555"/>
        <w:jc w:val="both"/>
        <w:rPr>
          <w:rFonts w:ascii="Arial" w:hAnsi="Arial" w:cs="Arial"/>
          <w:sz w:val="22"/>
          <w:szCs w:val="22"/>
        </w:rPr>
      </w:pPr>
      <w:r w:rsidRPr="0001502D">
        <w:rPr>
          <w:rFonts w:ascii="Arial" w:hAnsi="Arial" w:cs="Arial"/>
          <w:sz w:val="22"/>
          <w:szCs w:val="22"/>
        </w:rPr>
        <w:t xml:space="preserve">R.4 : </w:t>
      </w:r>
      <w:r w:rsidRPr="0001502D">
        <w:rPr>
          <w:rFonts w:ascii="Arial" w:hAnsi="Arial" w:cs="Arial"/>
          <w:sz w:val="22"/>
          <w:szCs w:val="22"/>
        </w:rPr>
        <w:tab/>
        <w:t>Le processus de candidature a impliqué des organisations des communautés, des groupes de praticiens, des organisations professionnelles, des organisations commerciales privées, les agences gouvernementales concernées et des individus clés au travers de réunions formelles et informelles. Un consentement préalable, libre et éclairé à la candidature a été obtenu auprès des communautés concernées, de différents groupes de praticiens du nuad thai, d</w:t>
      </w:r>
      <w:r w:rsidR="009C104E">
        <w:rPr>
          <w:rFonts w:ascii="Arial" w:hAnsi="Arial" w:cs="Arial"/>
          <w:sz w:val="22"/>
          <w:szCs w:val="22"/>
        </w:rPr>
        <w:t>’</w:t>
      </w:r>
      <w:r w:rsidRPr="0001502D">
        <w:rPr>
          <w:rFonts w:ascii="Arial" w:hAnsi="Arial" w:cs="Arial"/>
          <w:sz w:val="22"/>
          <w:szCs w:val="22"/>
        </w:rPr>
        <w:t>individus, de représentants de l</w:t>
      </w:r>
      <w:r w:rsidR="009C104E">
        <w:rPr>
          <w:rFonts w:ascii="Arial" w:hAnsi="Arial" w:cs="Arial"/>
          <w:sz w:val="22"/>
          <w:szCs w:val="22"/>
        </w:rPr>
        <w:t>’</w:t>
      </w:r>
      <w:r w:rsidRPr="0001502D">
        <w:rPr>
          <w:rFonts w:ascii="Arial" w:hAnsi="Arial" w:cs="Arial"/>
          <w:sz w:val="22"/>
          <w:szCs w:val="22"/>
        </w:rPr>
        <w:t>État, de comités nationaux, de praticiens du nuad thai, d</w:t>
      </w:r>
      <w:r w:rsidR="009C104E">
        <w:rPr>
          <w:rFonts w:ascii="Arial" w:hAnsi="Arial" w:cs="Arial"/>
          <w:sz w:val="22"/>
          <w:szCs w:val="22"/>
        </w:rPr>
        <w:t>’</w:t>
      </w:r>
      <w:r w:rsidRPr="0001502D">
        <w:rPr>
          <w:rFonts w:ascii="Arial" w:hAnsi="Arial" w:cs="Arial"/>
          <w:sz w:val="22"/>
          <w:szCs w:val="22"/>
        </w:rPr>
        <w:t>universitaires et de représentants d</w:t>
      </w:r>
      <w:r w:rsidR="009C104E">
        <w:rPr>
          <w:rFonts w:ascii="Arial" w:hAnsi="Arial" w:cs="Arial"/>
          <w:sz w:val="22"/>
          <w:szCs w:val="22"/>
        </w:rPr>
        <w:t>’</w:t>
      </w:r>
      <w:r w:rsidRPr="0001502D">
        <w:rPr>
          <w:rFonts w:ascii="Arial" w:hAnsi="Arial" w:cs="Arial"/>
          <w:sz w:val="22"/>
          <w:szCs w:val="22"/>
        </w:rPr>
        <w:t>organisations non gouvernementales.</w:t>
      </w:r>
    </w:p>
    <w:p w14:paraId="4D819B0D" w14:textId="46DA04A3" w:rsidR="0001502D" w:rsidRPr="0001502D" w:rsidRDefault="0001502D" w:rsidP="002A7118">
      <w:pPr>
        <w:tabs>
          <w:tab w:val="left" w:pos="1134"/>
          <w:tab w:val="left" w:pos="2268"/>
        </w:tabs>
        <w:spacing w:before="120" w:after="120"/>
        <w:ind w:left="1134" w:hanging="555"/>
        <w:jc w:val="both"/>
        <w:rPr>
          <w:rFonts w:ascii="Arial" w:hAnsi="Arial" w:cs="Arial"/>
          <w:sz w:val="22"/>
          <w:szCs w:val="22"/>
        </w:rPr>
      </w:pPr>
      <w:r w:rsidRPr="0001502D">
        <w:rPr>
          <w:rFonts w:ascii="Arial" w:hAnsi="Arial" w:cs="Arial"/>
          <w:sz w:val="22"/>
          <w:szCs w:val="22"/>
        </w:rPr>
        <w:t xml:space="preserve">R.5 : </w:t>
      </w:r>
      <w:r w:rsidRPr="0001502D">
        <w:rPr>
          <w:rFonts w:ascii="Arial" w:hAnsi="Arial" w:cs="Arial"/>
          <w:sz w:val="22"/>
          <w:szCs w:val="22"/>
        </w:rPr>
        <w:tab/>
        <w:t>Le nuad thai a été officiellement inscrit à l</w:t>
      </w:r>
      <w:r w:rsidR="009C104E">
        <w:rPr>
          <w:rFonts w:ascii="Arial" w:hAnsi="Arial" w:cs="Arial"/>
          <w:sz w:val="22"/>
          <w:szCs w:val="22"/>
        </w:rPr>
        <w:t>’</w:t>
      </w:r>
      <w:r w:rsidRPr="0001502D">
        <w:rPr>
          <w:rFonts w:ascii="Arial" w:hAnsi="Arial" w:cs="Arial"/>
          <w:sz w:val="22"/>
          <w:szCs w:val="22"/>
        </w:rPr>
        <w:t>Inventaire du patrimoine culturel immatériel de la Thaïlande en 2016. Le département de la promotion culturelle, au sein du Ministère de la culture, est l</w:t>
      </w:r>
      <w:r w:rsidR="009C104E">
        <w:rPr>
          <w:rFonts w:ascii="Arial" w:hAnsi="Arial" w:cs="Arial"/>
          <w:sz w:val="22"/>
          <w:szCs w:val="22"/>
        </w:rPr>
        <w:t>’</w:t>
      </w:r>
      <w:r w:rsidRPr="0001502D">
        <w:rPr>
          <w:rFonts w:ascii="Arial" w:hAnsi="Arial" w:cs="Arial"/>
          <w:sz w:val="22"/>
          <w:szCs w:val="22"/>
        </w:rPr>
        <w:t>organisme responsable de la gestion et de la mise à jour de l</w:t>
      </w:r>
      <w:r w:rsidR="009C104E">
        <w:rPr>
          <w:rFonts w:ascii="Arial" w:hAnsi="Arial" w:cs="Arial"/>
          <w:sz w:val="22"/>
          <w:szCs w:val="22"/>
        </w:rPr>
        <w:t>’</w:t>
      </w:r>
      <w:r w:rsidRPr="0001502D">
        <w:rPr>
          <w:rFonts w:ascii="Arial" w:hAnsi="Arial" w:cs="Arial"/>
          <w:sz w:val="22"/>
          <w:szCs w:val="22"/>
        </w:rPr>
        <w:t>inventaire dans le cadre d</w:t>
      </w:r>
      <w:r w:rsidR="009C104E">
        <w:rPr>
          <w:rFonts w:ascii="Arial" w:hAnsi="Arial" w:cs="Arial"/>
          <w:sz w:val="22"/>
          <w:szCs w:val="22"/>
        </w:rPr>
        <w:t>’</w:t>
      </w:r>
      <w:r w:rsidRPr="0001502D">
        <w:rPr>
          <w:rFonts w:ascii="Arial" w:hAnsi="Arial" w:cs="Arial"/>
          <w:sz w:val="22"/>
          <w:szCs w:val="22"/>
        </w:rPr>
        <w:t>un cycle de trois ans qui implique la participation active d</w:t>
      </w:r>
      <w:r w:rsidR="009C104E">
        <w:rPr>
          <w:rFonts w:ascii="Arial" w:hAnsi="Arial" w:cs="Arial"/>
          <w:sz w:val="22"/>
          <w:szCs w:val="22"/>
        </w:rPr>
        <w:t>’</w:t>
      </w:r>
      <w:r w:rsidRPr="0001502D">
        <w:rPr>
          <w:rFonts w:ascii="Arial" w:hAnsi="Arial" w:cs="Arial"/>
          <w:sz w:val="22"/>
          <w:szCs w:val="22"/>
        </w:rPr>
        <w:t>individus, de groupes, de communautés, d</w:t>
      </w:r>
      <w:r w:rsidR="009C104E">
        <w:rPr>
          <w:rFonts w:ascii="Arial" w:hAnsi="Arial" w:cs="Arial"/>
          <w:sz w:val="22"/>
          <w:szCs w:val="22"/>
        </w:rPr>
        <w:t>’</w:t>
      </w:r>
      <w:r w:rsidRPr="0001502D">
        <w:rPr>
          <w:rFonts w:ascii="Arial" w:hAnsi="Arial" w:cs="Arial"/>
          <w:sz w:val="22"/>
          <w:szCs w:val="22"/>
        </w:rPr>
        <w:t>organisations et d</w:t>
      </w:r>
      <w:r w:rsidR="009C104E">
        <w:rPr>
          <w:rFonts w:ascii="Arial" w:hAnsi="Arial" w:cs="Arial"/>
          <w:sz w:val="22"/>
          <w:szCs w:val="22"/>
        </w:rPr>
        <w:t>’</w:t>
      </w:r>
      <w:r w:rsidRPr="0001502D">
        <w:rPr>
          <w:rFonts w:ascii="Arial" w:hAnsi="Arial" w:cs="Arial"/>
          <w:sz w:val="22"/>
          <w:szCs w:val="22"/>
        </w:rPr>
        <w:t>agences gouvernementales.</w:t>
      </w:r>
    </w:p>
    <w:p w14:paraId="002630FF" w14:textId="47069CEE" w:rsidR="0001502D" w:rsidRPr="0001502D" w:rsidRDefault="0001502D" w:rsidP="00771F30">
      <w:pPr>
        <w:keepNext/>
        <w:numPr>
          <w:ilvl w:val="1"/>
          <w:numId w:val="41"/>
        </w:numPr>
        <w:tabs>
          <w:tab w:val="left" w:pos="2268"/>
        </w:tabs>
        <w:spacing w:before="120" w:after="120"/>
        <w:ind w:left="567"/>
        <w:jc w:val="both"/>
        <w:rPr>
          <w:rFonts w:ascii="Arial" w:hAnsi="Arial" w:cs="Arial"/>
          <w:sz w:val="22"/>
          <w:szCs w:val="22"/>
          <w:lang w:eastAsia="ko-KR"/>
        </w:rPr>
      </w:pPr>
      <w:r w:rsidRPr="0001502D">
        <w:rPr>
          <w:rFonts w:ascii="Arial" w:hAnsi="Arial" w:cs="Arial"/>
          <w:sz w:val="22"/>
          <w:szCs w:val="22"/>
          <w:u w:val="single"/>
          <w:lang w:eastAsia="ko-KR"/>
        </w:rPr>
        <w:t>Estime en outre</w:t>
      </w:r>
      <w:r w:rsidRPr="0001502D">
        <w:rPr>
          <w:rFonts w:ascii="Arial" w:hAnsi="Arial" w:cs="Arial"/>
          <w:sz w:val="22"/>
          <w:szCs w:val="22"/>
          <w:lang w:eastAsia="ko-KR"/>
        </w:rPr>
        <w:t xml:space="preserve"> que les informations contenues dans le dossier n</w:t>
      </w:r>
      <w:r w:rsidR="009C104E">
        <w:rPr>
          <w:rFonts w:ascii="Arial" w:hAnsi="Arial" w:cs="Arial"/>
          <w:sz w:val="22"/>
          <w:szCs w:val="22"/>
          <w:lang w:eastAsia="ko-KR"/>
        </w:rPr>
        <w:t>’</w:t>
      </w:r>
      <w:r w:rsidRPr="0001502D">
        <w:rPr>
          <w:rFonts w:ascii="Arial" w:hAnsi="Arial" w:cs="Arial"/>
          <w:sz w:val="22"/>
          <w:szCs w:val="22"/>
          <w:lang w:eastAsia="ko-KR"/>
        </w:rPr>
        <w:t>étaient pas suffisantes pour permettre au Comité de déterminer si le critère d</w:t>
      </w:r>
      <w:r w:rsidR="009C104E">
        <w:rPr>
          <w:rFonts w:ascii="Arial" w:hAnsi="Arial" w:cs="Arial"/>
          <w:sz w:val="22"/>
          <w:szCs w:val="22"/>
          <w:lang w:eastAsia="ko-KR"/>
        </w:rPr>
        <w:t>’</w:t>
      </w:r>
      <w:r w:rsidRPr="0001502D">
        <w:rPr>
          <w:rFonts w:ascii="Arial" w:hAnsi="Arial" w:cs="Arial"/>
          <w:sz w:val="22"/>
          <w:szCs w:val="22"/>
          <w:lang w:eastAsia="ko-KR"/>
        </w:rPr>
        <w:t>inscription sur la Liste représentative du patrimoine culturel immatériel de l</w:t>
      </w:r>
      <w:r w:rsidR="009C104E">
        <w:rPr>
          <w:rFonts w:ascii="Arial" w:hAnsi="Arial" w:cs="Arial"/>
          <w:sz w:val="22"/>
          <w:szCs w:val="22"/>
          <w:lang w:eastAsia="ko-KR"/>
        </w:rPr>
        <w:t>’</w:t>
      </w:r>
      <w:r w:rsidRPr="0001502D">
        <w:rPr>
          <w:rFonts w:ascii="Arial" w:hAnsi="Arial" w:cs="Arial"/>
          <w:sz w:val="22"/>
          <w:szCs w:val="22"/>
          <w:lang w:eastAsia="ko-KR"/>
        </w:rPr>
        <w:t>humanité suivant est satisfait :</w:t>
      </w:r>
    </w:p>
    <w:p w14:paraId="54324FFF" w14:textId="2E38F09F" w:rsidR="0001502D" w:rsidRPr="0001502D" w:rsidRDefault="0001502D" w:rsidP="00B07C34">
      <w:pPr>
        <w:tabs>
          <w:tab w:val="left" w:pos="1134"/>
          <w:tab w:val="left" w:pos="2268"/>
        </w:tabs>
        <w:spacing w:before="120" w:after="120"/>
        <w:ind w:left="1134" w:hanging="555"/>
        <w:jc w:val="both"/>
        <w:rPr>
          <w:rFonts w:ascii="Arial" w:hAnsi="Arial" w:cs="Arial"/>
          <w:sz w:val="22"/>
          <w:szCs w:val="22"/>
        </w:rPr>
      </w:pPr>
      <w:r w:rsidRPr="0001502D">
        <w:rPr>
          <w:rFonts w:ascii="Arial" w:hAnsi="Arial" w:cs="Arial"/>
          <w:sz w:val="22"/>
          <w:szCs w:val="22"/>
        </w:rPr>
        <w:t xml:space="preserve">R.3 : </w:t>
      </w:r>
      <w:r w:rsidRPr="0001502D">
        <w:rPr>
          <w:rFonts w:ascii="Arial" w:hAnsi="Arial" w:cs="Arial"/>
          <w:sz w:val="22"/>
          <w:szCs w:val="22"/>
        </w:rPr>
        <w:tab/>
        <w:t>Les mesures de sauvegarde proposées incluent la promotion du nuad thai, la formation et l</w:t>
      </w:r>
      <w:r w:rsidR="009C104E">
        <w:rPr>
          <w:rFonts w:ascii="Arial" w:hAnsi="Arial" w:cs="Arial"/>
          <w:sz w:val="22"/>
          <w:szCs w:val="22"/>
        </w:rPr>
        <w:t>’</w:t>
      </w:r>
      <w:r w:rsidRPr="0001502D">
        <w:rPr>
          <w:rFonts w:ascii="Arial" w:hAnsi="Arial" w:cs="Arial"/>
          <w:sz w:val="22"/>
          <w:szCs w:val="22"/>
        </w:rPr>
        <w:t>enseignement, la transmission, la documentation, ainsi que des politiques légales et des réglementations. Les organisations sanitaires de l</w:t>
      </w:r>
      <w:r w:rsidR="009C104E">
        <w:rPr>
          <w:rFonts w:ascii="Arial" w:hAnsi="Arial" w:cs="Arial"/>
          <w:sz w:val="22"/>
          <w:szCs w:val="22"/>
        </w:rPr>
        <w:t>’</w:t>
      </w:r>
      <w:r w:rsidRPr="0001502D">
        <w:rPr>
          <w:rFonts w:ascii="Arial" w:hAnsi="Arial" w:cs="Arial"/>
          <w:sz w:val="22"/>
          <w:szCs w:val="22"/>
        </w:rPr>
        <w:t>état et d</w:t>
      </w:r>
      <w:r w:rsidR="009C104E">
        <w:rPr>
          <w:rFonts w:ascii="Arial" w:hAnsi="Arial" w:cs="Arial"/>
          <w:sz w:val="22"/>
          <w:szCs w:val="22"/>
        </w:rPr>
        <w:t>’</w:t>
      </w:r>
      <w:r w:rsidRPr="0001502D">
        <w:rPr>
          <w:rFonts w:ascii="Arial" w:hAnsi="Arial" w:cs="Arial"/>
          <w:sz w:val="22"/>
          <w:szCs w:val="22"/>
        </w:rPr>
        <w:t>autres agences concernées se sont engagées à soutenir effectivement et financièrement la mise en œuvre des mesures de sauvegarde. Toutefois, bien que ces mesures permettraient de sauvegarder le nuad thai dans un contexte plus large, en particulier par le biais d</w:t>
      </w:r>
      <w:r w:rsidR="009C104E">
        <w:rPr>
          <w:rFonts w:ascii="Arial" w:hAnsi="Arial" w:cs="Arial"/>
          <w:sz w:val="22"/>
          <w:szCs w:val="22"/>
        </w:rPr>
        <w:t>’</w:t>
      </w:r>
      <w:r w:rsidRPr="0001502D">
        <w:rPr>
          <w:rFonts w:ascii="Arial" w:hAnsi="Arial" w:cs="Arial"/>
          <w:sz w:val="22"/>
          <w:szCs w:val="22"/>
        </w:rPr>
        <w:t>activités de promotion, des clarifications sont requises sur la façon dont les mesures de sauvegarde profiteraient aux communautés concernées.</w:t>
      </w:r>
    </w:p>
    <w:p w14:paraId="2933CDAB" w14:textId="7095B69A" w:rsidR="0001502D" w:rsidRPr="0001502D" w:rsidRDefault="0001502D" w:rsidP="00771F30">
      <w:pPr>
        <w:keepNext/>
        <w:keepLines/>
        <w:numPr>
          <w:ilvl w:val="1"/>
          <w:numId w:val="41"/>
        </w:numPr>
        <w:tabs>
          <w:tab w:val="left" w:pos="579"/>
          <w:tab w:val="left" w:pos="1701"/>
          <w:tab w:val="left" w:pos="2268"/>
        </w:tabs>
        <w:spacing w:before="120" w:after="120"/>
        <w:ind w:left="567" w:hanging="578"/>
        <w:jc w:val="both"/>
        <w:rPr>
          <w:rFonts w:ascii="Arial" w:hAnsi="Arial" w:cs="Arial"/>
          <w:sz w:val="22"/>
          <w:szCs w:val="22"/>
          <w:lang w:eastAsia="ko-KR"/>
        </w:rPr>
      </w:pPr>
      <w:r w:rsidRPr="0001502D">
        <w:rPr>
          <w:rFonts w:ascii="Arial" w:hAnsi="Arial" w:cs="Arial"/>
          <w:sz w:val="22"/>
          <w:szCs w:val="22"/>
          <w:u w:val="single"/>
          <w:lang w:eastAsia="ko-KR"/>
        </w:rPr>
        <w:t>Prend note en outre</w:t>
      </w:r>
      <w:r w:rsidRPr="0001502D">
        <w:rPr>
          <w:rFonts w:ascii="Arial" w:hAnsi="Arial" w:cs="Arial"/>
          <w:sz w:val="22"/>
          <w:szCs w:val="22"/>
          <w:lang w:eastAsia="ko-KR"/>
        </w:rPr>
        <w:t xml:space="preserve"> que, ayant estimé que les informations contenues dans le dossier n</w:t>
      </w:r>
      <w:r w:rsidR="009C104E">
        <w:rPr>
          <w:rFonts w:ascii="Arial" w:hAnsi="Arial" w:cs="Arial"/>
          <w:sz w:val="22"/>
          <w:szCs w:val="22"/>
          <w:lang w:eastAsia="ko-KR"/>
        </w:rPr>
        <w:t>’</w:t>
      </w:r>
      <w:r w:rsidRPr="0001502D">
        <w:rPr>
          <w:rFonts w:ascii="Arial" w:hAnsi="Arial" w:cs="Arial"/>
          <w:sz w:val="22"/>
          <w:szCs w:val="22"/>
          <w:lang w:eastAsia="ko-KR"/>
        </w:rPr>
        <w:t>étaient pas suffisantes pour déterminer si le critère R.3 est satisfait et qu</w:t>
      </w:r>
      <w:r w:rsidR="009C104E">
        <w:rPr>
          <w:rFonts w:ascii="Arial" w:hAnsi="Arial" w:cs="Arial"/>
          <w:sz w:val="22"/>
          <w:szCs w:val="22"/>
          <w:lang w:eastAsia="ko-KR"/>
        </w:rPr>
        <w:t>’</w:t>
      </w:r>
      <w:r w:rsidRPr="0001502D">
        <w:rPr>
          <w:rFonts w:ascii="Arial" w:hAnsi="Arial" w:cs="Arial"/>
          <w:sz w:val="22"/>
          <w:szCs w:val="22"/>
          <w:lang w:eastAsia="ko-KR"/>
        </w:rPr>
        <w:t>un court processus de questions et réponses avec l</w:t>
      </w:r>
      <w:r w:rsidR="009C104E">
        <w:rPr>
          <w:rFonts w:ascii="Arial" w:hAnsi="Arial" w:cs="Arial"/>
          <w:sz w:val="22"/>
          <w:szCs w:val="22"/>
          <w:lang w:eastAsia="ko-KR"/>
        </w:rPr>
        <w:t>’</w:t>
      </w:r>
      <w:r w:rsidRPr="0001502D">
        <w:rPr>
          <w:rFonts w:ascii="Arial" w:hAnsi="Arial" w:cs="Arial"/>
          <w:sz w:val="22"/>
          <w:szCs w:val="22"/>
          <w:lang w:eastAsia="ko-KR"/>
        </w:rPr>
        <w:t>État soumissionnaire pourrait clarifier si la candidature remplit le critère concerné, l</w:t>
      </w:r>
      <w:r w:rsidR="009C104E">
        <w:rPr>
          <w:rFonts w:ascii="Arial" w:hAnsi="Arial" w:cs="Arial"/>
          <w:sz w:val="22"/>
          <w:szCs w:val="22"/>
          <w:lang w:eastAsia="ko-KR"/>
        </w:rPr>
        <w:t>’</w:t>
      </w:r>
      <w:r w:rsidRPr="0001502D">
        <w:rPr>
          <w:rFonts w:ascii="Arial" w:hAnsi="Arial" w:cs="Arial"/>
          <w:sz w:val="22"/>
          <w:szCs w:val="22"/>
          <w:lang w:eastAsia="ko-KR"/>
        </w:rPr>
        <w:t>Organe d</w:t>
      </w:r>
      <w:r w:rsidR="009C104E">
        <w:rPr>
          <w:rFonts w:ascii="Arial" w:hAnsi="Arial" w:cs="Arial"/>
          <w:sz w:val="22"/>
          <w:szCs w:val="22"/>
          <w:lang w:eastAsia="ko-KR"/>
        </w:rPr>
        <w:t>’</w:t>
      </w:r>
      <w:r w:rsidRPr="0001502D">
        <w:rPr>
          <w:rFonts w:ascii="Arial" w:hAnsi="Arial" w:cs="Arial"/>
          <w:sz w:val="22"/>
          <w:szCs w:val="22"/>
          <w:lang w:eastAsia="ko-KR"/>
        </w:rPr>
        <w:t xml:space="preserve">évaluation a décidé, conformément à la </w:t>
      </w:r>
      <w:hyperlink r:id="rId61" w:history="1">
        <w:r w:rsidRPr="0001502D">
          <w:rPr>
            <w:rFonts w:ascii="Arial" w:hAnsi="Arial" w:cs="Arial"/>
            <w:color w:val="0000FF" w:themeColor="hyperlink"/>
            <w:sz w:val="22"/>
            <w:szCs w:val="22"/>
            <w:u w:val="single"/>
            <w:lang w:eastAsia="ko-KR"/>
          </w:rPr>
          <w:t>décision 13.COM 10</w:t>
        </w:r>
      </w:hyperlink>
      <w:r w:rsidRPr="0001502D">
        <w:rPr>
          <w:rFonts w:ascii="Arial" w:hAnsi="Arial" w:cs="Arial"/>
          <w:sz w:val="22"/>
          <w:szCs w:val="22"/>
          <w:lang w:eastAsia="ko-KR"/>
        </w:rPr>
        <w:t>, d</w:t>
      </w:r>
      <w:r w:rsidR="009C104E">
        <w:rPr>
          <w:rFonts w:ascii="Arial" w:hAnsi="Arial" w:cs="Arial"/>
          <w:sz w:val="22"/>
          <w:szCs w:val="22"/>
          <w:lang w:eastAsia="ko-KR"/>
        </w:rPr>
        <w:t>’</w:t>
      </w:r>
      <w:r w:rsidRPr="0001502D">
        <w:rPr>
          <w:rFonts w:ascii="Arial" w:hAnsi="Arial" w:cs="Arial"/>
          <w:sz w:val="22"/>
          <w:szCs w:val="22"/>
          <w:lang w:eastAsia="ko-KR"/>
        </w:rPr>
        <w:t>engager un processus de « dialogue » afin d</w:t>
      </w:r>
      <w:r w:rsidR="009C104E">
        <w:rPr>
          <w:rFonts w:ascii="Arial" w:hAnsi="Arial" w:cs="Arial"/>
          <w:sz w:val="22"/>
          <w:szCs w:val="22"/>
          <w:lang w:eastAsia="ko-KR"/>
        </w:rPr>
        <w:t>’</w:t>
      </w:r>
      <w:r w:rsidRPr="0001502D">
        <w:rPr>
          <w:rFonts w:ascii="Arial" w:hAnsi="Arial" w:cs="Arial"/>
          <w:sz w:val="22"/>
          <w:szCs w:val="22"/>
          <w:lang w:eastAsia="ko-KR"/>
        </w:rPr>
        <w:t>obtenir des informations concernant la question suivante :</w:t>
      </w:r>
    </w:p>
    <w:p w14:paraId="4365EDCA" w14:textId="77777777" w:rsidR="0001502D" w:rsidRPr="0001502D" w:rsidRDefault="0001502D" w:rsidP="002A7118">
      <w:pPr>
        <w:tabs>
          <w:tab w:val="left" w:pos="579"/>
          <w:tab w:val="left" w:pos="1701"/>
          <w:tab w:val="left" w:pos="2268"/>
        </w:tabs>
        <w:spacing w:before="120" w:after="120"/>
        <w:ind w:left="567"/>
        <w:jc w:val="both"/>
        <w:rPr>
          <w:rFonts w:ascii="Arial" w:hAnsi="Arial" w:cs="Arial"/>
          <w:sz w:val="22"/>
          <w:szCs w:val="22"/>
          <w:lang w:eastAsia="ko-KR"/>
        </w:rPr>
      </w:pPr>
      <w:r w:rsidRPr="0001502D">
        <w:rPr>
          <w:rFonts w:ascii="Arial" w:hAnsi="Arial" w:cs="Arial"/>
          <w:sz w:val="22"/>
          <w:szCs w:val="22"/>
          <w:shd w:val="clear" w:color="auto" w:fill="FFFFFF"/>
          <w:lang w:eastAsia="ko-KR"/>
        </w:rPr>
        <w:t>De quelle manière les mesures de sauvegarde proposées profiteront-elles aux communautés concernées ?</w:t>
      </w:r>
    </w:p>
    <w:p w14:paraId="386041F7" w14:textId="08205003" w:rsidR="0001502D" w:rsidRPr="0001502D" w:rsidRDefault="0001502D" w:rsidP="00771F30">
      <w:pPr>
        <w:keepNext/>
        <w:numPr>
          <w:ilvl w:val="1"/>
          <w:numId w:val="41"/>
        </w:numPr>
        <w:tabs>
          <w:tab w:val="left" w:pos="579"/>
          <w:tab w:val="left" w:pos="1701"/>
          <w:tab w:val="left" w:pos="2268"/>
        </w:tabs>
        <w:spacing w:before="120" w:after="120"/>
        <w:ind w:left="567"/>
        <w:jc w:val="both"/>
        <w:rPr>
          <w:rFonts w:ascii="Arial" w:hAnsi="Arial" w:cs="Arial"/>
          <w:noProof/>
          <w:sz w:val="22"/>
          <w:szCs w:val="22"/>
          <w:lang w:eastAsia="ko-KR"/>
        </w:rPr>
      </w:pPr>
      <w:r w:rsidRPr="0001502D">
        <w:rPr>
          <w:rFonts w:ascii="Arial" w:hAnsi="Arial" w:cs="Arial"/>
          <w:sz w:val="22"/>
          <w:szCs w:val="22"/>
          <w:u w:val="single"/>
          <w:lang w:eastAsia="ko-KR"/>
        </w:rPr>
        <w:t>Prend note également</w:t>
      </w:r>
      <w:r w:rsidRPr="0001502D">
        <w:rPr>
          <w:rFonts w:ascii="Arial" w:hAnsi="Arial" w:cs="Arial"/>
          <w:sz w:val="22"/>
          <w:szCs w:val="22"/>
          <w:lang w:eastAsia="ko-KR"/>
        </w:rPr>
        <w:t xml:space="preserve"> des informations fournies à ce sujet par l</w:t>
      </w:r>
      <w:r w:rsidR="009C104E">
        <w:rPr>
          <w:rFonts w:ascii="Arial" w:hAnsi="Arial" w:cs="Arial"/>
          <w:sz w:val="22"/>
          <w:szCs w:val="22"/>
          <w:lang w:eastAsia="ko-KR"/>
        </w:rPr>
        <w:t>’</w:t>
      </w:r>
      <w:r w:rsidRPr="0001502D">
        <w:rPr>
          <w:rFonts w:ascii="Arial" w:hAnsi="Arial" w:cs="Arial"/>
          <w:sz w:val="22"/>
          <w:szCs w:val="22"/>
          <w:lang w:eastAsia="ko-KR"/>
        </w:rPr>
        <w:t>État soumissionnaire ainsi que de l</w:t>
      </w:r>
      <w:r w:rsidR="009C104E">
        <w:rPr>
          <w:rFonts w:ascii="Arial" w:hAnsi="Arial" w:cs="Arial"/>
          <w:sz w:val="22"/>
          <w:szCs w:val="22"/>
          <w:lang w:eastAsia="ko-KR"/>
        </w:rPr>
        <w:t>’</w:t>
      </w:r>
      <w:r w:rsidRPr="0001502D">
        <w:rPr>
          <w:rFonts w:ascii="Arial" w:hAnsi="Arial" w:cs="Arial"/>
          <w:sz w:val="22"/>
          <w:szCs w:val="22"/>
          <w:lang w:eastAsia="ko-KR"/>
        </w:rPr>
        <w:t>avis ultérieur de l</w:t>
      </w:r>
      <w:r w:rsidR="009C104E">
        <w:rPr>
          <w:rFonts w:ascii="Arial" w:hAnsi="Arial" w:cs="Arial"/>
          <w:sz w:val="22"/>
          <w:szCs w:val="22"/>
          <w:lang w:eastAsia="ko-KR"/>
        </w:rPr>
        <w:t>’</w:t>
      </w:r>
      <w:r w:rsidRPr="0001502D">
        <w:rPr>
          <w:rFonts w:ascii="Arial" w:hAnsi="Arial" w:cs="Arial"/>
          <w:sz w:val="22"/>
          <w:szCs w:val="22"/>
          <w:lang w:eastAsia="ko-KR"/>
        </w:rPr>
        <w:t>Organe d</w:t>
      </w:r>
      <w:r w:rsidR="009C104E">
        <w:rPr>
          <w:rFonts w:ascii="Arial" w:hAnsi="Arial" w:cs="Arial"/>
          <w:sz w:val="22"/>
          <w:szCs w:val="22"/>
          <w:lang w:eastAsia="ko-KR"/>
        </w:rPr>
        <w:t>’</w:t>
      </w:r>
      <w:r w:rsidRPr="0001502D">
        <w:rPr>
          <w:rFonts w:ascii="Arial" w:hAnsi="Arial" w:cs="Arial"/>
          <w:sz w:val="22"/>
          <w:szCs w:val="22"/>
          <w:lang w:eastAsia="ko-KR"/>
        </w:rPr>
        <w:t>évaluation, tel qu</w:t>
      </w:r>
      <w:r w:rsidR="009C104E">
        <w:rPr>
          <w:rFonts w:ascii="Arial" w:hAnsi="Arial" w:cs="Arial"/>
          <w:sz w:val="22"/>
          <w:szCs w:val="22"/>
          <w:lang w:eastAsia="ko-KR"/>
        </w:rPr>
        <w:t>’</w:t>
      </w:r>
      <w:r w:rsidRPr="0001502D">
        <w:rPr>
          <w:rFonts w:ascii="Arial" w:hAnsi="Arial" w:cs="Arial"/>
          <w:sz w:val="22"/>
          <w:szCs w:val="22"/>
          <w:lang w:eastAsia="ko-KR"/>
        </w:rPr>
        <w:t xml:space="preserve">il figure dans le document </w:t>
      </w:r>
      <w:hyperlink r:id="rId62" w:history="1">
        <w:r w:rsidRPr="0001502D">
          <w:rPr>
            <w:rFonts w:ascii="Arial" w:hAnsi="Arial" w:cs="Arial"/>
            <w:color w:val="0000FF" w:themeColor="hyperlink"/>
            <w:sz w:val="22"/>
            <w:szCs w:val="22"/>
            <w:u w:val="single"/>
            <w:lang w:eastAsia="ko-KR"/>
          </w:rPr>
          <w:t>LHE/19/14.COM/INF.10</w:t>
        </w:r>
      </w:hyperlink>
      <w:r w:rsidRPr="0001502D">
        <w:rPr>
          <w:rFonts w:ascii="Arial" w:hAnsi="Arial" w:cs="Arial"/>
          <w:sz w:val="22"/>
          <w:szCs w:val="22"/>
          <w:lang w:eastAsia="ko-KR"/>
        </w:rPr>
        <w:t>, selon lequel la réponse fournie répond de manière adéquate à la question (incluse au paragraphe 4) ;</w:t>
      </w:r>
    </w:p>
    <w:p w14:paraId="2B65D79D" w14:textId="4C81CB23" w:rsidR="0001502D" w:rsidRPr="0001502D" w:rsidRDefault="0001502D" w:rsidP="00771F30">
      <w:pPr>
        <w:keepNext/>
        <w:numPr>
          <w:ilvl w:val="1"/>
          <w:numId w:val="42"/>
        </w:numPr>
        <w:tabs>
          <w:tab w:val="left" w:pos="567"/>
          <w:tab w:val="left" w:pos="1701"/>
          <w:tab w:val="left" w:pos="2268"/>
        </w:tabs>
        <w:spacing w:before="120" w:after="120"/>
        <w:ind w:left="567"/>
        <w:jc w:val="both"/>
        <w:rPr>
          <w:rFonts w:ascii="Arial" w:hAnsi="Arial" w:cs="Arial"/>
          <w:noProof/>
          <w:sz w:val="22"/>
          <w:szCs w:val="22"/>
        </w:rPr>
      </w:pPr>
      <w:r w:rsidRPr="0001502D">
        <w:rPr>
          <w:rFonts w:ascii="Arial" w:hAnsi="Arial" w:cs="Arial"/>
          <w:sz w:val="22"/>
          <w:szCs w:val="22"/>
          <w:u w:val="single"/>
        </w:rPr>
        <w:t>Considère</w:t>
      </w:r>
      <w:r w:rsidRPr="0001502D">
        <w:rPr>
          <w:rFonts w:ascii="Arial" w:hAnsi="Arial" w:cs="Arial"/>
          <w:sz w:val="22"/>
          <w:szCs w:val="22"/>
        </w:rPr>
        <w:t xml:space="preserve"> que, sur la base des informations contenues dans le dossier et</w:t>
      </w:r>
      <w:r w:rsidRPr="0001502D">
        <w:t xml:space="preserve"> </w:t>
      </w:r>
      <w:r w:rsidRPr="0001502D">
        <w:rPr>
          <w:rFonts w:ascii="Arial" w:hAnsi="Arial" w:cs="Arial"/>
          <w:sz w:val="22"/>
          <w:szCs w:val="22"/>
        </w:rPr>
        <w:t>des informations fournies par l</w:t>
      </w:r>
      <w:r w:rsidR="009C104E">
        <w:rPr>
          <w:rFonts w:ascii="Arial" w:hAnsi="Arial" w:cs="Arial"/>
          <w:sz w:val="22"/>
          <w:szCs w:val="22"/>
        </w:rPr>
        <w:t>’</w:t>
      </w:r>
      <w:r w:rsidRPr="0001502D">
        <w:rPr>
          <w:rFonts w:ascii="Arial" w:hAnsi="Arial" w:cs="Arial"/>
          <w:sz w:val="22"/>
          <w:szCs w:val="22"/>
        </w:rPr>
        <w:t>État soumissionnaire dans le cadre du processus de « dialogue », ainsi que de l</w:t>
      </w:r>
      <w:r w:rsidR="009C104E">
        <w:rPr>
          <w:rFonts w:ascii="Arial" w:hAnsi="Arial" w:cs="Arial"/>
          <w:sz w:val="22"/>
          <w:szCs w:val="22"/>
        </w:rPr>
        <w:t>’</w:t>
      </w:r>
      <w:r w:rsidRPr="0001502D">
        <w:rPr>
          <w:rFonts w:ascii="Arial" w:hAnsi="Arial" w:cs="Arial"/>
          <w:sz w:val="22"/>
          <w:szCs w:val="22"/>
        </w:rPr>
        <w:t>avis ultérieur de l</w:t>
      </w:r>
      <w:r w:rsidR="009C104E">
        <w:rPr>
          <w:rFonts w:ascii="Arial" w:hAnsi="Arial" w:cs="Arial"/>
          <w:sz w:val="22"/>
          <w:szCs w:val="22"/>
        </w:rPr>
        <w:t>’</w:t>
      </w:r>
      <w:r w:rsidRPr="0001502D">
        <w:rPr>
          <w:rFonts w:ascii="Arial" w:hAnsi="Arial" w:cs="Arial"/>
          <w:sz w:val="22"/>
          <w:szCs w:val="22"/>
        </w:rPr>
        <w:t>Organe d</w:t>
      </w:r>
      <w:r w:rsidR="009C104E">
        <w:rPr>
          <w:rFonts w:ascii="Arial" w:hAnsi="Arial" w:cs="Arial"/>
          <w:sz w:val="22"/>
          <w:szCs w:val="22"/>
        </w:rPr>
        <w:t>’</w:t>
      </w:r>
      <w:r w:rsidRPr="0001502D">
        <w:rPr>
          <w:rFonts w:ascii="Arial" w:hAnsi="Arial" w:cs="Arial"/>
          <w:sz w:val="22"/>
          <w:szCs w:val="22"/>
        </w:rPr>
        <w:t>évaluation, le critère R.3 est satisfait ;</w:t>
      </w:r>
    </w:p>
    <w:p w14:paraId="7D0D69E3" w14:textId="3DC12705" w:rsidR="0001502D" w:rsidRPr="0001502D" w:rsidRDefault="0001502D" w:rsidP="00771F30">
      <w:pPr>
        <w:keepNext/>
        <w:numPr>
          <w:ilvl w:val="1"/>
          <w:numId w:val="42"/>
        </w:numPr>
        <w:tabs>
          <w:tab w:val="left" w:pos="567"/>
          <w:tab w:val="left" w:pos="1701"/>
          <w:tab w:val="left" w:pos="2268"/>
        </w:tabs>
        <w:spacing w:before="120" w:after="120"/>
        <w:ind w:left="567"/>
        <w:jc w:val="both"/>
        <w:rPr>
          <w:rFonts w:ascii="Arial" w:hAnsi="Arial" w:cs="Arial"/>
          <w:noProof/>
          <w:sz w:val="22"/>
          <w:szCs w:val="22"/>
        </w:rPr>
      </w:pPr>
      <w:r w:rsidRPr="0001502D">
        <w:rPr>
          <w:rFonts w:ascii="Arial" w:hAnsi="Arial" w:cs="Arial"/>
          <w:sz w:val="22"/>
          <w:szCs w:val="22"/>
          <w:u w:val="single"/>
        </w:rPr>
        <w:t>Décide d</w:t>
      </w:r>
      <w:r w:rsidR="009C104E">
        <w:rPr>
          <w:rFonts w:ascii="Arial" w:hAnsi="Arial" w:cs="Arial"/>
          <w:sz w:val="22"/>
          <w:szCs w:val="22"/>
          <w:u w:val="single"/>
        </w:rPr>
        <w:t>’</w:t>
      </w:r>
      <w:r w:rsidRPr="0001502D">
        <w:rPr>
          <w:rFonts w:ascii="Arial" w:hAnsi="Arial" w:cs="Arial"/>
          <w:sz w:val="22"/>
          <w:szCs w:val="22"/>
          <w:u w:val="single"/>
        </w:rPr>
        <w:t>inscrire</w:t>
      </w:r>
      <w:r w:rsidRPr="0001502D">
        <w:rPr>
          <w:rFonts w:ascii="Arial" w:hAnsi="Arial" w:cs="Arial"/>
          <w:sz w:val="22"/>
          <w:szCs w:val="22"/>
        </w:rPr>
        <w:t xml:space="preserve"> </w:t>
      </w:r>
      <w:r w:rsidRPr="0001502D">
        <w:rPr>
          <w:rFonts w:ascii="Arial" w:hAnsi="Arial" w:cs="Arial"/>
          <w:b/>
          <w:bCs/>
          <w:sz w:val="22"/>
          <w:szCs w:val="22"/>
        </w:rPr>
        <w:t xml:space="preserve">le </w:t>
      </w:r>
      <w:r w:rsidRPr="0001502D">
        <w:rPr>
          <w:rFonts w:ascii="Arial" w:hAnsi="Arial" w:cs="Arial"/>
          <w:b/>
          <w:sz w:val="22"/>
          <w:szCs w:val="22"/>
        </w:rPr>
        <w:t>nuad thai, massage thaïlandais traditionnel</w:t>
      </w:r>
      <w:r w:rsidRPr="0001502D">
        <w:rPr>
          <w:rFonts w:ascii="Arial" w:hAnsi="Arial" w:cs="Arial"/>
          <w:sz w:val="22"/>
          <w:szCs w:val="22"/>
        </w:rPr>
        <w:t xml:space="preserve"> sur la Liste représentative du patrimoine culturel immatériel de l</w:t>
      </w:r>
      <w:r w:rsidR="009C104E">
        <w:rPr>
          <w:rFonts w:ascii="Arial" w:hAnsi="Arial" w:cs="Arial"/>
          <w:sz w:val="22"/>
          <w:szCs w:val="22"/>
        </w:rPr>
        <w:t>’</w:t>
      </w:r>
      <w:r w:rsidRPr="0001502D">
        <w:rPr>
          <w:rFonts w:ascii="Arial" w:hAnsi="Arial" w:cs="Arial"/>
          <w:sz w:val="22"/>
          <w:szCs w:val="22"/>
        </w:rPr>
        <w:t>humanité.</w:t>
      </w:r>
    </w:p>
    <w:p w14:paraId="06A43117" w14:textId="2A5AEE1C" w:rsidR="0001502D" w:rsidRPr="0001502D" w:rsidRDefault="0001502D" w:rsidP="00771F30">
      <w:pPr>
        <w:keepNext/>
        <w:keepLines/>
        <w:numPr>
          <w:ilvl w:val="0"/>
          <w:numId w:val="42"/>
        </w:numPr>
        <w:spacing w:before="360" w:after="120"/>
        <w:outlineLvl w:val="1"/>
        <w:rPr>
          <w:rFonts w:ascii="Arial" w:hAnsi="Arial" w:cs="Arial"/>
          <w:bCs/>
          <w:iCs/>
          <w:sz w:val="22"/>
          <w:szCs w:val="22"/>
        </w:rPr>
      </w:pPr>
      <w:bookmarkStart w:id="41" w:name="Decision_10b38"/>
      <w:r w:rsidRPr="0001502D">
        <w:rPr>
          <w:rFonts w:ascii="Arial" w:hAnsi="Arial" w:cs="Arial"/>
          <w:b/>
          <w:bCs/>
          <w:iCs/>
          <w:sz w:val="22"/>
          <w:szCs w:val="22"/>
        </w:rPr>
        <w:t xml:space="preserve">DÉCISION 14.COM 10.b.38 </w:t>
      </w:r>
    </w:p>
    <w:bookmarkEnd w:id="41"/>
    <w:p w14:paraId="63FBEA23" w14:textId="77777777" w:rsidR="0001502D" w:rsidRPr="0001502D" w:rsidRDefault="0001502D" w:rsidP="002A7118">
      <w:pPr>
        <w:keepNext/>
        <w:tabs>
          <w:tab w:val="left" w:pos="567"/>
          <w:tab w:val="left" w:pos="1134"/>
          <w:tab w:val="left" w:pos="1701"/>
          <w:tab w:val="left" w:pos="2268"/>
        </w:tabs>
        <w:spacing w:before="120" w:after="120"/>
        <w:jc w:val="both"/>
        <w:rPr>
          <w:rFonts w:ascii="Arial" w:hAnsi="Arial" w:cs="Arial"/>
          <w:sz w:val="22"/>
          <w:szCs w:val="22"/>
        </w:rPr>
      </w:pPr>
      <w:r w:rsidRPr="0001502D">
        <w:rPr>
          <w:rFonts w:ascii="Arial" w:hAnsi="Arial" w:cs="Arial"/>
          <w:sz w:val="22"/>
          <w:szCs w:val="22"/>
        </w:rPr>
        <w:t>Le Comité,</w:t>
      </w:r>
    </w:p>
    <w:p w14:paraId="5252360D" w14:textId="66A7810E" w:rsidR="0001502D" w:rsidRPr="0001502D" w:rsidRDefault="0001502D" w:rsidP="00771F30">
      <w:pPr>
        <w:keepNext/>
        <w:numPr>
          <w:ilvl w:val="1"/>
          <w:numId w:val="43"/>
        </w:numPr>
        <w:tabs>
          <w:tab w:val="left" w:pos="567"/>
          <w:tab w:val="left" w:pos="1701"/>
          <w:tab w:val="left" w:pos="2268"/>
        </w:tabs>
        <w:spacing w:before="120" w:after="120"/>
        <w:ind w:left="567"/>
        <w:jc w:val="both"/>
        <w:rPr>
          <w:rFonts w:ascii="Arial" w:hAnsi="Arial" w:cs="Arial"/>
          <w:sz w:val="22"/>
          <w:szCs w:val="22"/>
          <w:lang w:eastAsia="ko-KR"/>
        </w:rPr>
      </w:pPr>
      <w:r w:rsidRPr="0001502D">
        <w:rPr>
          <w:rFonts w:ascii="Arial" w:hAnsi="Arial" w:cs="Arial"/>
          <w:sz w:val="22"/>
          <w:szCs w:val="22"/>
          <w:u w:val="single"/>
          <w:lang w:eastAsia="ko-KR"/>
        </w:rPr>
        <w:t>Prend note</w:t>
      </w:r>
      <w:r w:rsidRPr="0001502D">
        <w:rPr>
          <w:rFonts w:ascii="Arial" w:hAnsi="Arial" w:cs="Arial"/>
          <w:sz w:val="22"/>
          <w:szCs w:val="22"/>
          <w:lang w:eastAsia="ko-KR"/>
        </w:rPr>
        <w:t xml:space="preserve"> que la Turquie a proposé la candidature </w:t>
      </w:r>
      <w:r w:rsidRPr="0001502D">
        <w:rPr>
          <w:rFonts w:ascii="Arial" w:hAnsi="Arial" w:cs="Arial"/>
          <w:b/>
          <w:sz w:val="22"/>
          <w:szCs w:val="22"/>
          <w:lang w:eastAsia="ko-KR"/>
        </w:rPr>
        <w:t xml:space="preserve">du </w:t>
      </w:r>
      <w:r w:rsidRPr="0001502D">
        <w:rPr>
          <w:rFonts w:ascii="Arial" w:hAnsi="Arial" w:cs="Arial"/>
          <w:b/>
          <w:bCs/>
          <w:sz w:val="22"/>
          <w:szCs w:val="22"/>
          <w:lang w:eastAsia="ko-KR"/>
        </w:rPr>
        <w:t>tir à l</w:t>
      </w:r>
      <w:r w:rsidR="009C104E">
        <w:rPr>
          <w:rFonts w:ascii="Arial" w:hAnsi="Arial" w:cs="Arial"/>
          <w:b/>
          <w:bCs/>
          <w:sz w:val="22"/>
          <w:szCs w:val="22"/>
          <w:lang w:eastAsia="ko-KR"/>
        </w:rPr>
        <w:t>’</w:t>
      </w:r>
      <w:r w:rsidRPr="0001502D">
        <w:rPr>
          <w:rFonts w:ascii="Arial" w:hAnsi="Arial" w:cs="Arial"/>
          <w:b/>
          <w:bCs/>
          <w:sz w:val="22"/>
          <w:szCs w:val="22"/>
          <w:lang w:eastAsia="ko-KR"/>
        </w:rPr>
        <w:t>arc traditionnel turc</w:t>
      </w:r>
      <w:r w:rsidRPr="0001502D">
        <w:rPr>
          <w:rFonts w:ascii="Arial" w:hAnsi="Arial" w:cs="Arial"/>
          <w:sz w:val="22"/>
          <w:szCs w:val="22"/>
          <w:lang w:eastAsia="ko-KR"/>
        </w:rPr>
        <w:t xml:space="preserve"> (n° 01367) pour inscription sur la Liste représentative du patrimoine culturel immatériel de l</w:t>
      </w:r>
      <w:r w:rsidR="009C104E">
        <w:rPr>
          <w:rFonts w:ascii="Arial" w:hAnsi="Arial" w:cs="Arial"/>
          <w:sz w:val="22"/>
          <w:szCs w:val="22"/>
          <w:lang w:eastAsia="ko-KR"/>
        </w:rPr>
        <w:t>’</w:t>
      </w:r>
      <w:r w:rsidRPr="0001502D">
        <w:rPr>
          <w:rFonts w:ascii="Arial" w:hAnsi="Arial" w:cs="Arial"/>
          <w:sz w:val="22"/>
          <w:szCs w:val="22"/>
          <w:lang w:eastAsia="ko-KR"/>
        </w:rPr>
        <w:t>humanité :</w:t>
      </w:r>
    </w:p>
    <w:p w14:paraId="36F07BCC" w14:textId="332FF7A9" w:rsidR="0001502D" w:rsidRPr="0001502D" w:rsidRDefault="0001502D" w:rsidP="002A7118">
      <w:pPr>
        <w:tabs>
          <w:tab w:val="left" w:pos="567"/>
          <w:tab w:val="left" w:pos="1701"/>
          <w:tab w:val="left" w:pos="2268"/>
        </w:tabs>
        <w:spacing w:before="120" w:after="120"/>
        <w:ind w:left="567"/>
        <w:jc w:val="both"/>
        <w:rPr>
          <w:rFonts w:ascii="Arial" w:hAnsi="Arial" w:cs="Arial"/>
          <w:sz w:val="22"/>
          <w:szCs w:val="22"/>
        </w:rPr>
      </w:pPr>
      <w:r w:rsidRPr="0001502D">
        <w:rPr>
          <w:rFonts w:ascii="Arial" w:hAnsi="Arial" w:cs="Arial"/>
          <w:sz w:val="22"/>
          <w:szCs w:val="22"/>
        </w:rPr>
        <w:t>Le tir à l</w:t>
      </w:r>
      <w:r w:rsidR="009C104E">
        <w:rPr>
          <w:rFonts w:ascii="Arial" w:hAnsi="Arial" w:cs="Arial"/>
          <w:sz w:val="22"/>
          <w:szCs w:val="22"/>
        </w:rPr>
        <w:t>’</w:t>
      </w:r>
      <w:r w:rsidRPr="0001502D">
        <w:rPr>
          <w:rFonts w:ascii="Arial" w:hAnsi="Arial" w:cs="Arial"/>
          <w:sz w:val="22"/>
          <w:szCs w:val="22"/>
        </w:rPr>
        <w:t>arc traditionnel turc englobe les principes, les rituels et les pratiques sociales, la fabrication artisanale de l</w:t>
      </w:r>
      <w:r w:rsidR="009C104E">
        <w:rPr>
          <w:rFonts w:ascii="Arial" w:hAnsi="Arial" w:cs="Arial"/>
          <w:sz w:val="22"/>
          <w:szCs w:val="22"/>
        </w:rPr>
        <w:t>’</w:t>
      </w:r>
      <w:r w:rsidRPr="0001502D">
        <w:rPr>
          <w:rFonts w:ascii="Arial" w:hAnsi="Arial" w:cs="Arial"/>
          <w:sz w:val="22"/>
          <w:szCs w:val="22"/>
        </w:rPr>
        <w:t>équipement traditionnel, les disciplines du tir à l</w:t>
      </w:r>
      <w:r w:rsidR="009C104E">
        <w:rPr>
          <w:rFonts w:ascii="Arial" w:hAnsi="Arial" w:cs="Arial"/>
          <w:sz w:val="22"/>
          <w:szCs w:val="22"/>
        </w:rPr>
        <w:t>’</w:t>
      </w:r>
      <w:r w:rsidRPr="0001502D">
        <w:rPr>
          <w:rFonts w:ascii="Arial" w:hAnsi="Arial" w:cs="Arial"/>
          <w:sz w:val="22"/>
          <w:szCs w:val="22"/>
        </w:rPr>
        <w:t>arc et les techniques de tir qui ont évolué au fil des siècles. Dans le tir à l</w:t>
      </w:r>
      <w:r w:rsidR="009C104E">
        <w:rPr>
          <w:rFonts w:ascii="Arial" w:hAnsi="Arial" w:cs="Arial"/>
          <w:sz w:val="22"/>
          <w:szCs w:val="22"/>
        </w:rPr>
        <w:t>’</w:t>
      </w:r>
      <w:r w:rsidRPr="0001502D">
        <w:rPr>
          <w:rFonts w:ascii="Arial" w:hAnsi="Arial" w:cs="Arial"/>
          <w:sz w:val="22"/>
          <w:szCs w:val="22"/>
        </w:rPr>
        <w:t>arc traditionnel turc, différentes disciplines se pratiquent debout ou à cheval. Les détenteurs et les praticiens s</w:t>
      </w:r>
      <w:r w:rsidR="009C104E">
        <w:rPr>
          <w:rFonts w:ascii="Arial" w:hAnsi="Arial" w:cs="Arial"/>
          <w:sz w:val="22"/>
          <w:szCs w:val="22"/>
        </w:rPr>
        <w:t>’</w:t>
      </w:r>
      <w:r w:rsidRPr="0001502D">
        <w:rPr>
          <w:rFonts w:ascii="Arial" w:hAnsi="Arial" w:cs="Arial"/>
          <w:sz w:val="22"/>
          <w:szCs w:val="22"/>
        </w:rPr>
        <w:t>entraînent seuls ou en groupe pour progresser, s</w:t>
      </w:r>
      <w:r w:rsidR="009C104E">
        <w:rPr>
          <w:rFonts w:ascii="Arial" w:hAnsi="Arial" w:cs="Arial"/>
          <w:sz w:val="22"/>
          <w:szCs w:val="22"/>
        </w:rPr>
        <w:t>’</w:t>
      </w:r>
      <w:r w:rsidRPr="0001502D">
        <w:rPr>
          <w:rFonts w:ascii="Arial" w:hAnsi="Arial" w:cs="Arial"/>
          <w:sz w:val="22"/>
          <w:szCs w:val="22"/>
        </w:rPr>
        <w:t>exercent lors de séances de tir individuelles et participent à des compétitions et à des manifestations festives. La fabrication artisanale de l</w:t>
      </w:r>
      <w:r w:rsidR="009C104E">
        <w:rPr>
          <w:rFonts w:ascii="Arial" w:hAnsi="Arial" w:cs="Arial"/>
          <w:sz w:val="22"/>
          <w:szCs w:val="22"/>
        </w:rPr>
        <w:t>’</w:t>
      </w:r>
      <w:r w:rsidRPr="0001502D">
        <w:rPr>
          <w:rFonts w:ascii="Arial" w:hAnsi="Arial" w:cs="Arial"/>
          <w:sz w:val="22"/>
          <w:szCs w:val="22"/>
        </w:rPr>
        <w:t>équipement traditionnel est une composante essentielle de l</w:t>
      </w:r>
      <w:r w:rsidR="009C104E">
        <w:rPr>
          <w:rFonts w:ascii="Arial" w:hAnsi="Arial" w:cs="Arial"/>
          <w:sz w:val="22"/>
          <w:szCs w:val="22"/>
        </w:rPr>
        <w:t>’</w:t>
      </w:r>
      <w:r w:rsidRPr="0001502D">
        <w:rPr>
          <w:rFonts w:ascii="Arial" w:hAnsi="Arial" w:cs="Arial"/>
          <w:sz w:val="22"/>
          <w:szCs w:val="22"/>
        </w:rPr>
        <w:t>élément. L</w:t>
      </w:r>
      <w:r w:rsidR="009C104E">
        <w:rPr>
          <w:rFonts w:ascii="Arial" w:hAnsi="Arial" w:cs="Arial"/>
          <w:sz w:val="22"/>
          <w:szCs w:val="22"/>
        </w:rPr>
        <w:t>’</w:t>
      </w:r>
      <w:r w:rsidRPr="0001502D">
        <w:rPr>
          <w:rFonts w:ascii="Arial" w:hAnsi="Arial" w:cs="Arial"/>
          <w:sz w:val="22"/>
          <w:szCs w:val="22"/>
        </w:rPr>
        <w:t>équipement est fabriqué à partir de matières premières comme des arbres poussant dans certaines conditions climatiques en altitude, des colles organiques, la corne, les tendons, la soie et le cuir. Les artisans doivent donc disposer de connaissances approfondies sur la nature, y compris sur les plantes, les animaux et le climat. Les arcs sont généralement décorés de calligraphies, d</w:t>
      </w:r>
      <w:r w:rsidR="009C104E">
        <w:rPr>
          <w:rFonts w:ascii="Arial" w:hAnsi="Arial" w:cs="Arial"/>
          <w:sz w:val="22"/>
          <w:szCs w:val="22"/>
        </w:rPr>
        <w:t>’</w:t>
      </w:r>
      <w:r w:rsidRPr="0001502D">
        <w:rPr>
          <w:rFonts w:ascii="Arial" w:hAnsi="Arial" w:cs="Arial"/>
          <w:sz w:val="22"/>
          <w:szCs w:val="22"/>
        </w:rPr>
        <w:t>ornements et de marquèterie. Les artisans qui fabriquent les équipements traditionnels de tir à l</w:t>
      </w:r>
      <w:r w:rsidR="009C104E">
        <w:rPr>
          <w:rFonts w:ascii="Arial" w:hAnsi="Arial" w:cs="Arial"/>
          <w:sz w:val="22"/>
          <w:szCs w:val="22"/>
        </w:rPr>
        <w:t>’</w:t>
      </w:r>
      <w:r w:rsidRPr="0001502D">
        <w:rPr>
          <w:rFonts w:ascii="Arial" w:hAnsi="Arial" w:cs="Arial"/>
          <w:sz w:val="22"/>
          <w:szCs w:val="22"/>
        </w:rPr>
        <w:t>arc jouent aussi un rôle important dans la sauvegarde de l</w:t>
      </w:r>
      <w:r w:rsidR="009C104E">
        <w:rPr>
          <w:rFonts w:ascii="Arial" w:hAnsi="Arial" w:cs="Arial"/>
          <w:sz w:val="22"/>
          <w:szCs w:val="22"/>
        </w:rPr>
        <w:t>’</w:t>
      </w:r>
      <w:r w:rsidRPr="0001502D">
        <w:rPr>
          <w:rFonts w:ascii="Arial" w:hAnsi="Arial" w:cs="Arial"/>
          <w:sz w:val="22"/>
          <w:szCs w:val="22"/>
        </w:rPr>
        <w:t>élément, car les savoir-faire associés sont transmis de maître à apprenti ou acquis en autodidacte. Ces dernières années, le nombre d</w:t>
      </w:r>
      <w:r w:rsidR="009C104E">
        <w:rPr>
          <w:rFonts w:ascii="Arial" w:hAnsi="Arial" w:cs="Arial"/>
          <w:sz w:val="22"/>
          <w:szCs w:val="22"/>
        </w:rPr>
        <w:t>’</w:t>
      </w:r>
      <w:r w:rsidRPr="0001502D">
        <w:rPr>
          <w:rFonts w:ascii="Arial" w:hAnsi="Arial" w:cs="Arial"/>
          <w:sz w:val="22"/>
          <w:szCs w:val="22"/>
        </w:rPr>
        <w:t>archères et d</w:t>
      </w:r>
      <w:r w:rsidR="009C104E">
        <w:rPr>
          <w:rFonts w:ascii="Arial" w:hAnsi="Arial" w:cs="Arial"/>
          <w:sz w:val="22"/>
          <w:szCs w:val="22"/>
        </w:rPr>
        <w:t>’</w:t>
      </w:r>
      <w:r w:rsidRPr="0001502D">
        <w:rPr>
          <w:rFonts w:ascii="Arial" w:hAnsi="Arial" w:cs="Arial"/>
          <w:sz w:val="22"/>
          <w:szCs w:val="22"/>
        </w:rPr>
        <w:t>apprenties a augmenté de manière spectaculaire, tout comme le nombre d</w:t>
      </w:r>
      <w:r w:rsidR="009C104E">
        <w:rPr>
          <w:rFonts w:ascii="Arial" w:hAnsi="Arial" w:cs="Arial"/>
          <w:sz w:val="22"/>
          <w:szCs w:val="22"/>
        </w:rPr>
        <w:t>’</w:t>
      </w:r>
      <w:r w:rsidRPr="0001502D">
        <w:rPr>
          <w:rFonts w:ascii="Arial" w:hAnsi="Arial" w:cs="Arial"/>
          <w:sz w:val="22"/>
          <w:szCs w:val="22"/>
        </w:rPr>
        <w:t>organisations non gouvernementales impliquées dans le tir à l</w:t>
      </w:r>
      <w:r w:rsidR="009C104E">
        <w:rPr>
          <w:rFonts w:ascii="Arial" w:hAnsi="Arial" w:cs="Arial"/>
          <w:sz w:val="22"/>
          <w:szCs w:val="22"/>
        </w:rPr>
        <w:t>’</w:t>
      </w:r>
      <w:r w:rsidRPr="0001502D">
        <w:rPr>
          <w:rFonts w:ascii="Arial" w:hAnsi="Arial" w:cs="Arial"/>
          <w:sz w:val="22"/>
          <w:szCs w:val="22"/>
        </w:rPr>
        <w:t>arc dans diverses régions de la Turquie. Les détenteurs et les praticiens assurent la viabilité de l</w:t>
      </w:r>
      <w:r w:rsidR="009C104E">
        <w:rPr>
          <w:rFonts w:ascii="Arial" w:hAnsi="Arial" w:cs="Arial"/>
          <w:sz w:val="22"/>
          <w:szCs w:val="22"/>
        </w:rPr>
        <w:t>’</w:t>
      </w:r>
      <w:r w:rsidRPr="0001502D">
        <w:rPr>
          <w:rFonts w:ascii="Arial" w:hAnsi="Arial" w:cs="Arial"/>
          <w:sz w:val="22"/>
          <w:szCs w:val="22"/>
        </w:rPr>
        <w:t>élément en l</w:t>
      </w:r>
      <w:r w:rsidR="009C104E">
        <w:rPr>
          <w:rFonts w:ascii="Arial" w:hAnsi="Arial" w:cs="Arial"/>
          <w:sz w:val="22"/>
          <w:szCs w:val="22"/>
        </w:rPr>
        <w:t>’</w:t>
      </w:r>
      <w:r w:rsidRPr="0001502D">
        <w:rPr>
          <w:rFonts w:ascii="Arial" w:hAnsi="Arial" w:cs="Arial"/>
          <w:sz w:val="22"/>
          <w:szCs w:val="22"/>
        </w:rPr>
        <w:t>adaptant au monde d</w:t>
      </w:r>
      <w:r w:rsidR="009C104E">
        <w:rPr>
          <w:rFonts w:ascii="Arial" w:hAnsi="Arial" w:cs="Arial"/>
          <w:sz w:val="22"/>
          <w:szCs w:val="22"/>
        </w:rPr>
        <w:t>’</w:t>
      </w:r>
      <w:r w:rsidRPr="0001502D">
        <w:rPr>
          <w:rFonts w:ascii="Arial" w:hAnsi="Arial" w:cs="Arial"/>
          <w:sz w:val="22"/>
          <w:szCs w:val="22"/>
        </w:rPr>
        <w:t>aujourd</w:t>
      </w:r>
      <w:r w:rsidR="009C104E">
        <w:rPr>
          <w:rFonts w:ascii="Arial" w:hAnsi="Arial" w:cs="Arial"/>
          <w:sz w:val="22"/>
          <w:szCs w:val="22"/>
        </w:rPr>
        <w:t>’</w:t>
      </w:r>
      <w:r w:rsidRPr="0001502D">
        <w:rPr>
          <w:rFonts w:ascii="Arial" w:hAnsi="Arial" w:cs="Arial"/>
          <w:sz w:val="22"/>
          <w:szCs w:val="22"/>
        </w:rPr>
        <w:t>hui.</w:t>
      </w:r>
    </w:p>
    <w:p w14:paraId="42CA0A3D" w14:textId="5EAF87AA" w:rsidR="0001502D" w:rsidRPr="0001502D" w:rsidRDefault="0001502D" w:rsidP="00771F30">
      <w:pPr>
        <w:keepNext/>
        <w:numPr>
          <w:ilvl w:val="1"/>
          <w:numId w:val="43"/>
        </w:numPr>
        <w:tabs>
          <w:tab w:val="left" w:pos="567"/>
          <w:tab w:val="left" w:pos="1701"/>
          <w:tab w:val="left" w:pos="2268"/>
        </w:tabs>
        <w:spacing w:before="120" w:after="120"/>
        <w:ind w:left="567"/>
        <w:jc w:val="both"/>
        <w:rPr>
          <w:rFonts w:ascii="Arial" w:hAnsi="Arial" w:cs="Arial"/>
          <w:sz w:val="22"/>
          <w:szCs w:val="22"/>
          <w:lang w:eastAsia="ko-KR"/>
        </w:rPr>
      </w:pPr>
      <w:r w:rsidRPr="0001502D">
        <w:rPr>
          <w:rFonts w:ascii="Arial" w:hAnsi="Arial" w:cs="Arial"/>
          <w:sz w:val="22"/>
          <w:szCs w:val="22"/>
          <w:u w:val="single"/>
          <w:lang w:eastAsia="ko-KR"/>
        </w:rPr>
        <w:t>Estime</w:t>
      </w:r>
      <w:r w:rsidRPr="0001502D">
        <w:rPr>
          <w:rFonts w:ascii="Arial" w:hAnsi="Arial" w:cs="Arial"/>
          <w:sz w:val="22"/>
          <w:szCs w:val="22"/>
          <w:lang w:eastAsia="ko-KR"/>
        </w:rPr>
        <w:t xml:space="preserve"> que, d</w:t>
      </w:r>
      <w:r w:rsidR="009C104E">
        <w:rPr>
          <w:rFonts w:ascii="Arial" w:hAnsi="Arial" w:cs="Arial"/>
          <w:sz w:val="22"/>
          <w:szCs w:val="22"/>
          <w:lang w:eastAsia="ko-KR"/>
        </w:rPr>
        <w:t>’</w:t>
      </w:r>
      <w:r w:rsidRPr="0001502D">
        <w:rPr>
          <w:rFonts w:ascii="Arial" w:hAnsi="Arial" w:cs="Arial"/>
          <w:sz w:val="22"/>
          <w:szCs w:val="22"/>
          <w:lang w:eastAsia="ko-KR"/>
        </w:rPr>
        <w:t>après les informations contenues dans le dossier, la candidature satisfait aux critères d</w:t>
      </w:r>
      <w:r w:rsidR="009C104E">
        <w:rPr>
          <w:rFonts w:ascii="Arial" w:hAnsi="Arial" w:cs="Arial"/>
          <w:sz w:val="22"/>
          <w:szCs w:val="22"/>
          <w:lang w:eastAsia="ko-KR"/>
        </w:rPr>
        <w:t>’</w:t>
      </w:r>
      <w:r w:rsidRPr="0001502D">
        <w:rPr>
          <w:rFonts w:ascii="Arial" w:hAnsi="Arial" w:cs="Arial"/>
          <w:sz w:val="22"/>
          <w:szCs w:val="22"/>
          <w:lang w:eastAsia="ko-KR"/>
        </w:rPr>
        <w:t>inscription sur la Liste représentative du patrimoine culturel immatériel de l</w:t>
      </w:r>
      <w:r w:rsidR="009C104E">
        <w:rPr>
          <w:rFonts w:ascii="Arial" w:hAnsi="Arial" w:cs="Arial"/>
          <w:sz w:val="22"/>
          <w:szCs w:val="22"/>
          <w:lang w:eastAsia="ko-KR"/>
        </w:rPr>
        <w:t>’</w:t>
      </w:r>
      <w:r w:rsidRPr="0001502D">
        <w:rPr>
          <w:rFonts w:ascii="Arial" w:hAnsi="Arial" w:cs="Arial"/>
          <w:sz w:val="22"/>
          <w:szCs w:val="22"/>
          <w:lang w:eastAsia="ko-KR"/>
        </w:rPr>
        <w:t>humanité comme suit :</w:t>
      </w:r>
    </w:p>
    <w:p w14:paraId="5BF7AACA" w14:textId="13E5995C" w:rsidR="0001502D" w:rsidRPr="0001502D" w:rsidRDefault="0001502D" w:rsidP="00D645C1">
      <w:pPr>
        <w:tabs>
          <w:tab w:val="left" w:pos="1134"/>
          <w:tab w:val="left" w:pos="2268"/>
        </w:tabs>
        <w:spacing w:before="120" w:after="120"/>
        <w:ind w:left="1134" w:hanging="555"/>
        <w:jc w:val="both"/>
        <w:rPr>
          <w:rFonts w:ascii="Arial" w:hAnsi="Arial" w:cs="Arial"/>
          <w:sz w:val="22"/>
          <w:szCs w:val="22"/>
        </w:rPr>
      </w:pPr>
      <w:r w:rsidRPr="0001502D">
        <w:rPr>
          <w:rFonts w:ascii="Arial" w:hAnsi="Arial" w:cs="Arial"/>
          <w:sz w:val="22"/>
          <w:szCs w:val="22"/>
        </w:rPr>
        <w:t xml:space="preserve">R.1 : </w:t>
      </w:r>
      <w:r w:rsidRPr="0001502D">
        <w:rPr>
          <w:rFonts w:ascii="Arial" w:hAnsi="Arial" w:cs="Arial"/>
          <w:sz w:val="22"/>
          <w:szCs w:val="22"/>
        </w:rPr>
        <w:tab/>
        <w:t>Le tir à l</w:t>
      </w:r>
      <w:r w:rsidR="009C104E">
        <w:rPr>
          <w:rFonts w:ascii="Arial" w:hAnsi="Arial" w:cs="Arial"/>
          <w:sz w:val="22"/>
          <w:szCs w:val="22"/>
        </w:rPr>
        <w:t>’</w:t>
      </w:r>
      <w:r w:rsidRPr="0001502D">
        <w:rPr>
          <w:rFonts w:ascii="Arial" w:hAnsi="Arial" w:cs="Arial"/>
          <w:sz w:val="22"/>
          <w:szCs w:val="22"/>
        </w:rPr>
        <w:t>arc traditionnel turc est un élément important de la vie culturelle turque. Outre ses fonctions culturelles et éducatives, il a aussi des significations sociales et religieuses. L</w:t>
      </w:r>
      <w:r w:rsidR="009C104E">
        <w:rPr>
          <w:rFonts w:ascii="Arial" w:hAnsi="Arial" w:cs="Arial"/>
          <w:sz w:val="22"/>
          <w:szCs w:val="22"/>
        </w:rPr>
        <w:t>’</w:t>
      </w:r>
      <w:r w:rsidRPr="0001502D">
        <w:rPr>
          <w:rFonts w:ascii="Arial" w:hAnsi="Arial" w:cs="Arial"/>
          <w:sz w:val="22"/>
          <w:szCs w:val="22"/>
        </w:rPr>
        <w:t>élément comprend le sport en lui-même, mais aussi de nombreuses autres traditions, comme la fabrication artisanale ou les croyances religieuses. Sa pratique est très répandue dans de nombreuses provinces du pays. Le tir à l</w:t>
      </w:r>
      <w:r w:rsidR="009C104E">
        <w:rPr>
          <w:rFonts w:ascii="Arial" w:hAnsi="Arial" w:cs="Arial"/>
          <w:sz w:val="22"/>
          <w:szCs w:val="22"/>
        </w:rPr>
        <w:t>’</w:t>
      </w:r>
      <w:r w:rsidRPr="0001502D">
        <w:rPr>
          <w:rFonts w:ascii="Arial" w:hAnsi="Arial" w:cs="Arial"/>
          <w:sz w:val="22"/>
          <w:szCs w:val="22"/>
        </w:rPr>
        <w:t>arc traditionnel turc est considéré comme faisant partie intégrante de l</w:t>
      </w:r>
      <w:r w:rsidR="009C104E">
        <w:rPr>
          <w:rFonts w:ascii="Arial" w:hAnsi="Arial" w:cs="Arial"/>
          <w:sz w:val="22"/>
          <w:szCs w:val="22"/>
        </w:rPr>
        <w:t>’</w:t>
      </w:r>
      <w:r w:rsidRPr="0001502D">
        <w:rPr>
          <w:rFonts w:ascii="Arial" w:hAnsi="Arial" w:cs="Arial"/>
          <w:sz w:val="22"/>
          <w:szCs w:val="22"/>
        </w:rPr>
        <w:t>identité historique et culturelle turque et il renforce le sentiment de continuité culturelle.</w:t>
      </w:r>
    </w:p>
    <w:p w14:paraId="475FDF0C" w14:textId="1EB27241" w:rsidR="0001502D" w:rsidRPr="0001502D" w:rsidRDefault="0001502D" w:rsidP="00D645C1">
      <w:pPr>
        <w:tabs>
          <w:tab w:val="left" w:pos="1134"/>
          <w:tab w:val="left" w:pos="2268"/>
        </w:tabs>
        <w:spacing w:before="120" w:after="120"/>
        <w:ind w:left="1134" w:hanging="555"/>
        <w:jc w:val="both"/>
        <w:rPr>
          <w:rFonts w:ascii="Arial" w:hAnsi="Arial" w:cs="Arial"/>
          <w:sz w:val="22"/>
          <w:szCs w:val="22"/>
        </w:rPr>
      </w:pPr>
      <w:r w:rsidRPr="0001502D">
        <w:rPr>
          <w:rFonts w:ascii="Arial" w:hAnsi="Arial" w:cs="Arial"/>
          <w:sz w:val="22"/>
          <w:szCs w:val="22"/>
        </w:rPr>
        <w:t xml:space="preserve">R.2 : </w:t>
      </w:r>
      <w:r w:rsidRPr="0001502D">
        <w:rPr>
          <w:rFonts w:ascii="Arial" w:hAnsi="Arial" w:cs="Arial"/>
          <w:sz w:val="22"/>
          <w:szCs w:val="22"/>
        </w:rPr>
        <w:tab/>
        <w:t>L</w:t>
      </w:r>
      <w:r w:rsidR="009C104E">
        <w:rPr>
          <w:rFonts w:ascii="Arial" w:hAnsi="Arial" w:cs="Arial"/>
          <w:sz w:val="22"/>
          <w:szCs w:val="22"/>
        </w:rPr>
        <w:t>’</w:t>
      </w:r>
      <w:r w:rsidRPr="0001502D">
        <w:rPr>
          <w:rFonts w:ascii="Arial" w:hAnsi="Arial" w:cs="Arial"/>
          <w:sz w:val="22"/>
          <w:szCs w:val="22"/>
        </w:rPr>
        <w:t>inscription du tir à l</w:t>
      </w:r>
      <w:r w:rsidR="009C104E">
        <w:rPr>
          <w:rFonts w:ascii="Arial" w:hAnsi="Arial" w:cs="Arial"/>
          <w:sz w:val="22"/>
          <w:szCs w:val="22"/>
        </w:rPr>
        <w:t>’</w:t>
      </w:r>
      <w:r w:rsidRPr="0001502D">
        <w:rPr>
          <w:rFonts w:ascii="Arial" w:hAnsi="Arial" w:cs="Arial"/>
          <w:sz w:val="22"/>
          <w:szCs w:val="22"/>
        </w:rPr>
        <w:t>arc traditionnel turc sensibiliserait au patrimoine culturel immatériel en général et à l</w:t>
      </w:r>
      <w:r w:rsidR="009C104E">
        <w:rPr>
          <w:rFonts w:ascii="Arial" w:hAnsi="Arial" w:cs="Arial"/>
          <w:sz w:val="22"/>
          <w:szCs w:val="22"/>
        </w:rPr>
        <w:t>’</w:t>
      </w:r>
      <w:r w:rsidRPr="0001502D">
        <w:rPr>
          <w:rFonts w:ascii="Arial" w:hAnsi="Arial" w:cs="Arial"/>
          <w:sz w:val="22"/>
          <w:szCs w:val="22"/>
        </w:rPr>
        <w:t>importance de sa sauvegarde auprès de nombreux individus et d</w:t>
      </w:r>
      <w:r w:rsidR="009C104E">
        <w:rPr>
          <w:rFonts w:ascii="Arial" w:hAnsi="Arial" w:cs="Arial"/>
          <w:sz w:val="22"/>
          <w:szCs w:val="22"/>
        </w:rPr>
        <w:t>’</w:t>
      </w:r>
      <w:r w:rsidRPr="0001502D">
        <w:rPr>
          <w:rFonts w:ascii="Arial" w:hAnsi="Arial" w:cs="Arial"/>
          <w:sz w:val="22"/>
          <w:szCs w:val="22"/>
        </w:rPr>
        <w:t>organisations non gouvernementales impliqués dans le sport à l</w:t>
      </w:r>
      <w:r w:rsidR="009C104E">
        <w:rPr>
          <w:rFonts w:ascii="Arial" w:hAnsi="Arial" w:cs="Arial"/>
          <w:sz w:val="22"/>
          <w:szCs w:val="22"/>
        </w:rPr>
        <w:t>’</w:t>
      </w:r>
      <w:r w:rsidRPr="0001502D">
        <w:rPr>
          <w:rFonts w:ascii="Arial" w:hAnsi="Arial" w:cs="Arial"/>
          <w:sz w:val="22"/>
          <w:szCs w:val="22"/>
        </w:rPr>
        <w:t>échelle nationale et internationale. Le tir à l</w:t>
      </w:r>
      <w:r w:rsidR="009C104E">
        <w:rPr>
          <w:rFonts w:ascii="Arial" w:hAnsi="Arial" w:cs="Arial"/>
          <w:sz w:val="22"/>
          <w:szCs w:val="22"/>
        </w:rPr>
        <w:t>’</w:t>
      </w:r>
      <w:r w:rsidRPr="0001502D">
        <w:rPr>
          <w:rFonts w:ascii="Arial" w:hAnsi="Arial" w:cs="Arial"/>
          <w:sz w:val="22"/>
          <w:szCs w:val="22"/>
        </w:rPr>
        <w:t>arc est lié à plusieurs autres domaines du patrimoine culturel immatériel, et leurs gardiens bénéficieraient aussi d</w:t>
      </w:r>
      <w:r w:rsidR="009C104E">
        <w:rPr>
          <w:rFonts w:ascii="Arial" w:hAnsi="Arial" w:cs="Arial"/>
          <w:sz w:val="22"/>
          <w:szCs w:val="22"/>
        </w:rPr>
        <w:t>’</w:t>
      </w:r>
      <w:r w:rsidRPr="0001502D">
        <w:rPr>
          <w:rFonts w:ascii="Arial" w:hAnsi="Arial" w:cs="Arial"/>
          <w:sz w:val="22"/>
          <w:szCs w:val="22"/>
        </w:rPr>
        <w:t>une meilleure compréhension des concepts liés au patrimoine culturel immatériel. À la suite de l</w:t>
      </w:r>
      <w:r w:rsidR="009C104E">
        <w:rPr>
          <w:rFonts w:ascii="Arial" w:hAnsi="Arial" w:cs="Arial"/>
          <w:sz w:val="22"/>
          <w:szCs w:val="22"/>
        </w:rPr>
        <w:t>’</w:t>
      </w:r>
      <w:r w:rsidRPr="0001502D">
        <w:rPr>
          <w:rFonts w:ascii="Arial" w:hAnsi="Arial" w:cs="Arial"/>
          <w:sz w:val="22"/>
          <w:szCs w:val="22"/>
        </w:rPr>
        <w:t>inscription de l</w:t>
      </w:r>
      <w:r w:rsidR="009C104E">
        <w:rPr>
          <w:rFonts w:ascii="Arial" w:hAnsi="Arial" w:cs="Arial"/>
          <w:sz w:val="22"/>
          <w:szCs w:val="22"/>
        </w:rPr>
        <w:t>’</w:t>
      </w:r>
      <w:r w:rsidRPr="0001502D">
        <w:rPr>
          <w:rFonts w:ascii="Arial" w:hAnsi="Arial" w:cs="Arial"/>
          <w:sz w:val="22"/>
          <w:szCs w:val="22"/>
        </w:rPr>
        <w:t>élément, ses praticiens auraient plus d</w:t>
      </w:r>
      <w:r w:rsidR="009C104E">
        <w:rPr>
          <w:rFonts w:ascii="Arial" w:hAnsi="Arial" w:cs="Arial"/>
          <w:sz w:val="22"/>
          <w:szCs w:val="22"/>
        </w:rPr>
        <w:t>’</w:t>
      </w:r>
      <w:r w:rsidRPr="0001502D">
        <w:rPr>
          <w:rFonts w:ascii="Arial" w:hAnsi="Arial" w:cs="Arial"/>
          <w:sz w:val="22"/>
          <w:szCs w:val="22"/>
        </w:rPr>
        <w:t>occasions de se rencontrer et de partager leurs savoirs et leur expérience. Le développement de nouveaux projets créatifs et de nouveaux designs en vue de la fabrication artisanale d</w:t>
      </w:r>
      <w:r w:rsidR="009C104E">
        <w:rPr>
          <w:rFonts w:ascii="Arial" w:hAnsi="Arial" w:cs="Arial"/>
          <w:sz w:val="22"/>
          <w:szCs w:val="22"/>
        </w:rPr>
        <w:t>’</w:t>
      </w:r>
      <w:r w:rsidRPr="0001502D">
        <w:rPr>
          <w:rFonts w:ascii="Arial" w:hAnsi="Arial" w:cs="Arial"/>
          <w:sz w:val="22"/>
          <w:szCs w:val="22"/>
        </w:rPr>
        <w:t>équipements de tir à l</w:t>
      </w:r>
      <w:r w:rsidR="009C104E">
        <w:rPr>
          <w:rFonts w:ascii="Arial" w:hAnsi="Arial" w:cs="Arial"/>
          <w:sz w:val="22"/>
          <w:szCs w:val="22"/>
        </w:rPr>
        <w:t>’</w:t>
      </w:r>
      <w:r w:rsidRPr="0001502D">
        <w:rPr>
          <w:rFonts w:ascii="Arial" w:hAnsi="Arial" w:cs="Arial"/>
          <w:sz w:val="22"/>
          <w:szCs w:val="22"/>
        </w:rPr>
        <w:t>arc témoignerait de la créativité et de l</w:t>
      </w:r>
      <w:r w:rsidR="009C104E">
        <w:rPr>
          <w:rFonts w:ascii="Arial" w:hAnsi="Arial" w:cs="Arial"/>
          <w:sz w:val="22"/>
          <w:szCs w:val="22"/>
        </w:rPr>
        <w:t>’</w:t>
      </w:r>
      <w:r w:rsidRPr="0001502D">
        <w:rPr>
          <w:rFonts w:ascii="Arial" w:hAnsi="Arial" w:cs="Arial"/>
          <w:sz w:val="22"/>
          <w:szCs w:val="22"/>
        </w:rPr>
        <w:t>ingéniosité des artisans concernés.</w:t>
      </w:r>
    </w:p>
    <w:p w14:paraId="43FCBD21" w14:textId="5A5A0781" w:rsidR="0001502D" w:rsidRPr="0001502D" w:rsidRDefault="0001502D" w:rsidP="00D645C1">
      <w:pPr>
        <w:tabs>
          <w:tab w:val="left" w:pos="1134"/>
          <w:tab w:val="left" w:pos="2268"/>
        </w:tabs>
        <w:spacing w:before="120" w:after="120"/>
        <w:ind w:left="1134" w:hanging="555"/>
        <w:jc w:val="both"/>
        <w:rPr>
          <w:rFonts w:ascii="Arial" w:hAnsi="Arial" w:cs="Arial"/>
          <w:noProof/>
          <w:sz w:val="22"/>
          <w:szCs w:val="22"/>
        </w:rPr>
      </w:pPr>
      <w:r w:rsidRPr="0001502D">
        <w:rPr>
          <w:rFonts w:ascii="Arial" w:hAnsi="Arial" w:cs="Arial"/>
          <w:sz w:val="22"/>
          <w:szCs w:val="22"/>
        </w:rPr>
        <w:t xml:space="preserve">R.3 : </w:t>
      </w:r>
      <w:r w:rsidRPr="0001502D">
        <w:rPr>
          <w:rFonts w:ascii="Arial" w:hAnsi="Arial" w:cs="Arial"/>
          <w:sz w:val="22"/>
          <w:szCs w:val="22"/>
        </w:rPr>
        <w:tab/>
        <w:t>L</w:t>
      </w:r>
      <w:r w:rsidR="009C104E">
        <w:rPr>
          <w:rFonts w:ascii="Arial" w:hAnsi="Arial" w:cs="Arial"/>
          <w:sz w:val="22"/>
          <w:szCs w:val="22"/>
        </w:rPr>
        <w:t>’</w:t>
      </w:r>
      <w:r w:rsidRPr="0001502D">
        <w:rPr>
          <w:rFonts w:ascii="Arial" w:hAnsi="Arial" w:cs="Arial"/>
          <w:sz w:val="22"/>
          <w:szCs w:val="22"/>
        </w:rPr>
        <w:t>État partie et les communautés concernées ont établi de nombreuses mesures de sauvegarde assurant la viabilité de l</w:t>
      </w:r>
      <w:r w:rsidR="009C104E">
        <w:rPr>
          <w:rFonts w:ascii="Arial" w:hAnsi="Arial" w:cs="Arial"/>
          <w:sz w:val="22"/>
          <w:szCs w:val="22"/>
        </w:rPr>
        <w:t>’</w:t>
      </w:r>
      <w:r w:rsidRPr="0001502D">
        <w:rPr>
          <w:rFonts w:ascii="Arial" w:hAnsi="Arial" w:cs="Arial"/>
          <w:sz w:val="22"/>
          <w:szCs w:val="22"/>
        </w:rPr>
        <w:t>élément. Le « Plan stratégique pour la sauvegarde du tir à l</w:t>
      </w:r>
      <w:r w:rsidR="009C104E">
        <w:rPr>
          <w:rFonts w:ascii="Arial" w:hAnsi="Arial" w:cs="Arial"/>
          <w:sz w:val="22"/>
          <w:szCs w:val="22"/>
        </w:rPr>
        <w:t>’</w:t>
      </w:r>
      <w:r w:rsidRPr="0001502D">
        <w:rPr>
          <w:rFonts w:ascii="Arial" w:hAnsi="Arial" w:cs="Arial"/>
          <w:sz w:val="22"/>
          <w:szCs w:val="22"/>
        </w:rPr>
        <w:t>arc traditionnel turc » proposé renforce ces mesures. Le plan comprend des objectifs clairs développés en collaboration avec de nombreux détenteurs et acteurs de la sauvegarde de l</w:t>
      </w:r>
      <w:r w:rsidR="009C104E">
        <w:rPr>
          <w:rFonts w:ascii="Arial" w:hAnsi="Arial" w:cs="Arial"/>
          <w:sz w:val="22"/>
          <w:szCs w:val="22"/>
        </w:rPr>
        <w:t>’</w:t>
      </w:r>
      <w:r w:rsidRPr="0001502D">
        <w:rPr>
          <w:rFonts w:ascii="Arial" w:hAnsi="Arial" w:cs="Arial"/>
          <w:sz w:val="22"/>
          <w:szCs w:val="22"/>
        </w:rPr>
        <w:t>élément. Ces mesures incluent le renforcement des capacités de l</w:t>
      </w:r>
      <w:r w:rsidR="009C104E">
        <w:rPr>
          <w:rFonts w:ascii="Arial" w:hAnsi="Arial" w:cs="Arial"/>
          <w:sz w:val="22"/>
          <w:szCs w:val="22"/>
        </w:rPr>
        <w:t>’</w:t>
      </w:r>
      <w:r w:rsidRPr="0001502D">
        <w:rPr>
          <w:rFonts w:ascii="Arial" w:hAnsi="Arial" w:cs="Arial"/>
          <w:sz w:val="22"/>
          <w:szCs w:val="22"/>
        </w:rPr>
        <w:t>élément, la sensibilisation à l</w:t>
      </w:r>
      <w:r w:rsidR="009C104E">
        <w:rPr>
          <w:rFonts w:ascii="Arial" w:hAnsi="Arial" w:cs="Arial"/>
          <w:sz w:val="22"/>
          <w:szCs w:val="22"/>
        </w:rPr>
        <w:t>’</w:t>
      </w:r>
      <w:r w:rsidRPr="0001502D">
        <w:rPr>
          <w:rFonts w:ascii="Arial" w:hAnsi="Arial" w:cs="Arial"/>
          <w:sz w:val="22"/>
          <w:szCs w:val="22"/>
        </w:rPr>
        <w:t>élément aux niveaux local, national et international, l</w:t>
      </w:r>
      <w:r w:rsidR="009C104E">
        <w:rPr>
          <w:rFonts w:ascii="Arial" w:hAnsi="Arial" w:cs="Arial"/>
          <w:sz w:val="22"/>
          <w:szCs w:val="22"/>
        </w:rPr>
        <w:t>’</w:t>
      </w:r>
      <w:r w:rsidRPr="0001502D">
        <w:rPr>
          <w:rFonts w:ascii="Arial" w:hAnsi="Arial" w:cs="Arial"/>
          <w:sz w:val="22"/>
          <w:szCs w:val="22"/>
        </w:rPr>
        <w:t>augmentation du nombre d</w:t>
      </w:r>
      <w:r w:rsidR="009C104E">
        <w:rPr>
          <w:rFonts w:ascii="Arial" w:hAnsi="Arial" w:cs="Arial"/>
          <w:sz w:val="22"/>
          <w:szCs w:val="22"/>
        </w:rPr>
        <w:t>’</w:t>
      </w:r>
      <w:r w:rsidRPr="0001502D">
        <w:rPr>
          <w:rFonts w:ascii="Arial" w:hAnsi="Arial" w:cs="Arial"/>
          <w:sz w:val="22"/>
          <w:szCs w:val="22"/>
        </w:rPr>
        <w:t>études et de publications scientifiques, la contribution au respect de la diversité culturelle et au développement du dialogue à travers l</w:t>
      </w:r>
      <w:r w:rsidR="009C104E">
        <w:rPr>
          <w:rFonts w:ascii="Arial" w:hAnsi="Arial" w:cs="Arial"/>
          <w:sz w:val="22"/>
          <w:szCs w:val="22"/>
        </w:rPr>
        <w:t>’</w:t>
      </w:r>
      <w:r w:rsidRPr="0001502D">
        <w:rPr>
          <w:rFonts w:ascii="Arial" w:hAnsi="Arial" w:cs="Arial"/>
          <w:sz w:val="22"/>
          <w:szCs w:val="22"/>
        </w:rPr>
        <w:t>élément, et la sauvegarde de la fabrication artisanale traditionnelle des équipements de tir à l</w:t>
      </w:r>
      <w:r w:rsidR="009C104E">
        <w:rPr>
          <w:rFonts w:ascii="Arial" w:hAnsi="Arial" w:cs="Arial"/>
          <w:sz w:val="22"/>
          <w:szCs w:val="22"/>
        </w:rPr>
        <w:t>’</w:t>
      </w:r>
      <w:r w:rsidRPr="0001502D">
        <w:rPr>
          <w:rFonts w:ascii="Arial" w:hAnsi="Arial" w:cs="Arial"/>
          <w:sz w:val="22"/>
          <w:szCs w:val="22"/>
        </w:rPr>
        <w:t>arc.</w:t>
      </w:r>
    </w:p>
    <w:p w14:paraId="51F078CC" w14:textId="04BF15E6" w:rsidR="0001502D" w:rsidRPr="0001502D" w:rsidRDefault="0001502D" w:rsidP="00D645C1">
      <w:pPr>
        <w:tabs>
          <w:tab w:val="left" w:pos="1134"/>
          <w:tab w:val="left" w:pos="2268"/>
        </w:tabs>
        <w:spacing w:before="120" w:after="120"/>
        <w:ind w:left="1134" w:hanging="555"/>
        <w:jc w:val="both"/>
        <w:rPr>
          <w:rFonts w:ascii="Arial" w:hAnsi="Arial" w:cs="Arial"/>
          <w:sz w:val="22"/>
          <w:szCs w:val="22"/>
        </w:rPr>
      </w:pPr>
      <w:r w:rsidRPr="0001502D">
        <w:rPr>
          <w:rFonts w:ascii="Arial" w:hAnsi="Arial" w:cs="Arial"/>
          <w:sz w:val="22"/>
          <w:szCs w:val="22"/>
        </w:rPr>
        <w:t xml:space="preserve">R.4 : </w:t>
      </w:r>
      <w:r w:rsidRPr="0001502D">
        <w:rPr>
          <w:rFonts w:ascii="Arial" w:hAnsi="Arial" w:cs="Arial"/>
          <w:sz w:val="22"/>
          <w:szCs w:val="22"/>
        </w:rPr>
        <w:tab/>
        <w:t>L</w:t>
      </w:r>
      <w:r w:rsidR="009C104E">
        <w:rPr>
          <w:rFonts w:ascii="Arial" w:hAnsi="Arial" w:cs="Arial"/>
          <w:sz w:val="22"/>
          <w:szCs w:val="22"/>
        </w:rPr>
        <w:t>’</w:t>
      </w:r>
      <w:r w:rsidRPr="0001502D">
        <w:rPr>
          <w:rFonts w:ascii="Arial" w:hAnsi="Arial" w:cs="Arial"/>
          <w:sz w:val="22"/>
          <w:szCs w:val="22"/>
        </w:rPr>
        <w:t>État partie a entrepris un long travail avec les communautés depuis l</w:t>
      </w:r>
      <w:r w:rsidR="009C104E">
        <w:rPr>
          <w:rFonts w:ascii="Arial" w:hAnsi="Arial" w:cs="Arial"/>
          <w:sz w:val="22"/>
          <w:szCs w:val="22"/>
        </w:rPr>
        <w:t>’</w:t>
      </w:r>
      <w:r w:rsidRPr="0001502D">
        <w:rPr>
          <w:rFonts w:ascii="Arial" w:hAnsi="Arial" w:cs="Arial"/>
          <w:sz w:val="22"/>
          <w:szCs w:val="22"/>
        </w:rPr>
        <w:t>inscription du tir à l</w:t>
      </w:r>
      <w:r w:rsidR="009C104E">
        <w:rPr>
          <w:rFonts w:ascii="Arial" w:hAnsi="Arial" w:cs="Arial"/>
          <w:sz w:val="22"/>
          <w:szCs w:val="22"/>
        </w:rPr>
        <w:t>’</w:t>
      </w:r>
      <w:r w:rsidRPr="0001502D">
        <w:rPr>
          <w:rFonts w:ascii="Arial" w:hAnsi="Arial" w:cs="Arial"/>
          <w:sz w:val="22"/>
          <w:szCs w:val="22"/>
        </w:rPr>
        <w:t>arc traditionnel turc à l</w:t>
      </w:r>
      <w:r w:rsidR="009C104E">
        <w:rPr>
          <w:rFonts w:ascii="Arial" w:hAnsi="Arial" w:cs="Arial"/>
          <w:sz w:val="22"/>
          <w:szCs w:val="22"/>
        </w:rPr>
        <w:t>’</w:t>
      </w:r>
      <w:r w:rsidRPr="0001502D">
        <w:rPr>
          <w:rFonts w:ascii="Arial" w:hAnsi="Arial" w:cs="Arial"/>
          <w:sz w:val="22"/>
          <w:szCs w:val="22"/>
        </w:rPr>
        <w:t>Inventaire national du patrimoine culturel immatériel en 2014. Depuis lors, un vaste groupe composé d</w:t>
      </w:r>
      <w:r w:rsidR="009C104E">
        <w:rPr>
          <w:rFonts w:ascii="Arial" w:hAnsi="Arial" w:cs="Arial"/>
          <w:sz w:val="22"/>
          <w:szCs w:val="22"/>
        </w:rPr>
        <w:t>’</w:t>
      </w:r>
      <w:r w:rsidRPr="0001502D">
        <w:rPr>
          <w:rFonts w:ascii="Arial" w:hAnsi="Arial" w:cs="Arial"/>
          <w:sz w:val="22"/>
          <w:szCs w:val="22"/>
        </w:rPr>
        <w:t>organisations non gouvernementales et de détenteurs a été invité à participer au processus dans son ensemble, à travers la définition du plan de sauvegarde et la préparation du dossier de candidature. Les nombreuses lettres incluses témoignent de la diversité des acteurs et des provinces impliqués dans le processus.</w:t>
      </w:r>
    </w:p>
    <w:p w14:paraId="115713D6" w14:textId="13FF42D6" w:rsidR="0001502D" w:rsidRPr="0001502D" w:rsidRDefault="0001502D" w:rsidP="00D645C1">
      <w:pPr>
        <w:tabs>
          <w:tab w:val="left" w:pos="1134"/>
          <w:tab w:val="left" w:pos="2268"/>
        </w:tabs>
        <w:spacing w:before="120" w:after="120"/>
        <w:ind w:left="1134" w:hanging="555"/>
        <w:jc w:val="both"/>
        <w:rPr>
          <w:rFonts w:ascii="Arial" w:hAnsi="Arial" w:cs="Arial"/>
          <w:sz w:val="22"/>
          <w:szCs w:val="22"/>
        </w:rPr>
      </w:pPr>
      <w:r w:rsidRPr="0001502D">
        <w:rPr>
          <w:rFonts w:ascii="Arial" w:hAnsi="Arial" w:cs="Arial"/>
          <w:sz w:val="22"/>
          <w:szCs w:val="22"/>
        </w:rPr>
        <w:t>R.5 :</w:t>
      </w:r>
      <w:r w:rsidRPr="0001502D">
        <w:rPr>
          <w:rFonts w:ascii="Arial" w:hAnsi="Arial" w:cs="Arial"/>
          <w:sz w:val="22"/>
          <w:szCs w:val="22"/>
        </w:rPr>
        <w:tab/>
        <w:t xml:space="preserve"> Le tir à l</w:t>
      </w:r>
      <w:r w:rsidR="009C104E">
        <w:rPr>
          <w:rFonts w:ascii="Arial" w:hAnsi="Arial" w:cs="Arial"/>
          <w:sz w:val="22"/>
          <w:szCs w:val="22"/>
        </w:rPr>
        <w:t>’</w:t>
      </w:r>
      <w:r w:rsidRPr="0001502D">
        <w:rPr>
          <w:rFonts w:ascii="Arial" w:hAnsi="Arial" w:cs="Arial"/>
          <w:sz w:val="22"/>
          <w:szCs w:val="22"/>
        </w:rPr>
        <w:t>arc traditionnel turc a été inscrit à l</w:t>
      </w:r>
      <w:r w:rsidR="009C104E">
        <w:rPr>
          <w:rFonts w:ascii="Arial" w:hAnsi="Arial" w:cs="Arial"/>
          <w:sz w:val="22"/>
          <w:szCs w:val="22"/>
        </w:rPr>
        <w:t>’</w:t>
      </w:r>
      <w:r w:rsidRPr="0001502D">
        <w:rPr>
          <w:rFonts w:ascii="Arial" w:hAnsi="Arial" w:cs="Arial"/>
          <w:sz w:val="22"/>
          <w:szCs w:val="22"/>
        </w:rPr>
        <w:t>Inventaire national du patrimoine culturel immatériel de la Turquie en 2014 et, en 2018, de nombreuses autres provinces ont rejoint le processus. L</w:t>
      </w:r>
      <w:r w:rsidR="009C104E">
        <w:rPr>
          <w:rFonts w:ascii="Arial" w:hAnsi="Arial" w:cs="Arial"/>
          <w:sz w:val="22"/>
          <w:szCs w:val="22"/>
        </w:rPr>
        <w:t>’</w:t>
      </w:r>
      <w:r w:rsidRPr="0001502D">
        <w:rPr>
          <w:rFonts w:ascii="Arial" w:hAnsi="Arial" w:cs="Arial"/>
          <w:sz w:val="22"/>
          <w:szCs w:val="22"/>
        </w:rPr>
        <w:t>inventaire est mis à jour tous les deux ans. Un mécanisme précis assure la participation des communautés. Le Ministère de la culture et du tourisme – Direction générale de la recherche et de la formation, la Commission d</w:t>
      </w:r>
      <w:r w:rsidR="009C104E">
        <w:rPr>
          <w:rFonts w:ascii="Arial" w:hAnsi="Arial" w:cs="Arial"/>
          <w:sz w:val="22"/>
          <w:szCs w:val="22"/>
        </w:rPr>
        <w:t>’</w:t>
      </w:r>
      <w:r w:rsidRPr="0001502D">
        <w:rPr>
          <w:rFonts w:ascii="Arial" w:hAnsi="Arial" w:cs="Arial"/>
          <w:sz w:val="22"/>
          <w:szCs w:val="22"/>
        </w:rPr>
        <w:t>experts sur le patrimoine culturel immatériel et les Conseils du patrimoine culturel immatériel des provinces sont responsables de la gestion et de la mise à jour de l</w:t>
      </w:r>
      <w:r w:rsidR="009C104E">
        <w:rPr>
          <w:rFonts w:ascii="Arial" w:hAnsi="Arial" w:cs="Arial"/>
          <w:sz w:val="22"/>
          <w:szCs w:val="22"/>
        </w:rPr>
        <w:t>’</w:t>
      </w:r>
      <w:r w:rsidRPr="0001502D">
        <w:rPr>
          <w:rFonts w:ascii="Arial" w:hAnsi="Arial" w:cs="Arial"/>
          <w:sz w:val="22"/>
          <w:szCs w:val="22"/>
        </w:rPr>
        <w:t>inventaire.</w:t>
      </w:r>
    </w:p>
    <w:p w14:paraId="54A0B788" w14:textId="3A76F202" w:rsidR="0001502D" w:rsidRPr="0001502D" w:rsidRDefault="0001502D" w:rsidP="00771F30">
      <w:pPr>
        <w:numPr>
          <w:ilvl w:val="1"/>
          <w:numId w:val="43"/>
        </w:numPr>
        <w:tabs>
          <w:tab w:val="left" w:pos="567"/>
          <w:tab w:val="left" w:pos="1701"/>
          <w:tab w:val="left" w:pos="2268"/>
        </w:tabs>
        <w:spacing w:before="120" w:after="120"/>
        <w:ind w:left="567"/>
        <w:jc w:val="both"/>
        <w:rPr>
          <w:rFonts w:ascii="Arial" w:hAnsi="Arial" w:cs="Arial"/>
          <w:sz w:val="22"/>
          <w:szCs w:val="22"/>
          <w:lang w:eastAsia="ko-KR"/>
        </w:rPr>
      </w:pPr>
      <w:r w:rsidRPr="0001502D">
        <w:rPr>
          <w:rFonts w:ascii="Arial" w:hAnsi="Arial" w:cs="Arial"/>
          <w:sz w:val="22"/>
          <w:szCs w:val="22"/>
          <w:u w:val="single"/>
          <w:lang w:eastAsia="ko-KR"/>
        </w:rPr>
        <w:t>Décide d</w:t>
      </w:r>
      <w:r w:rsidR="009C104E">
        <w:rPr>
          <w:rFonts w:ascii="Arial" w:hAnsi="Arial" w:cs="Arial"/>
          <w:sz w:val="22"/>
          <w:szCs w:val="22"/>
          <w:u w:val="single"/>
          <w:lang w:eastAsia="ko-KR"/>
        </w:rPr>
        <w:t>’</w:t>
      </w:r>
      <w:r w:rsidRPr="0001502D">
        <w:rPr>
          <w:rFonts w:ascii="Arial" w:hAnsi="Arial" w:cs="Arial"/>
          <w:sz w:val="22"/>
          <w:szCs w:val="22"/>
          <w:u w:val="single"/>
          <w:lang w:eastAsia="ko-KR"/>
        </w:rPr>
        <w:t>inscrire</w:t>
      </w:r>
      <w:r w:rsidRPr="0001502D">
        <w:rPr>
          <w:rFonts w:ascii="Arial" w:hAnsi="Arial" w:cs="Arial"/>
          <w:sz w:val="22"/>
          <w:szCs w:val="22"/>
          <w:lang w:eastAsia="ko-KR"/>
        </w:rPr>
        <w:t xml:space="preserve"> </w:t>
      </w:r>
      <w:r w:rsidRPr="0001502D">
        <w:rPr>
          <w:rFonts w:ascii="Arial" w:hAnsi="Arial" w:cs="Arial"/>
          <w:b/>
          <w:bCs/>
          <w:sz w:val="22"/>
          <w:szCs w:val="22"/>
          <w:lang w:eastAsia="ko-KR"/>
        </w:rPr>
        <w:t>le tir à l</w:t>
      </w:r>
      <w:r w:rsidR="009C104E">
        <w:rPr>
          <w:rFonts w:ascii="Arial" w:hAnsi="Arial" w:cs="Arial"/>
          <w:b/>
          <w:bCs/>
          <w:sz w:val="22"/>
          <w:szCs w:val="22"/>
          <w:lang w:eastAsia="ko-KR"/>
        </w:rPr>
        <w:t>’</w:t>
      </w:r>
      <w:r w:rsidRPr="0001502D">
        <w:rPr>
          <w:rFonts w:ascii="Arial" w:hAnsi="Arial" w:cs="Arial"/>
          <w:b/>
          <w:bCs/>
          <w:sz w:val="22"/>
          <w:szCs w:val="22"/>
          <w:lang w:eastAsia="ko-KR"/>
        </w:rPr>
        <w:t>arc traditionnel turc</w:t>
      </w:r>
      <w:r w:rsidRPr="0001502D">
        <w:rPr>
          <w:rFonts w:ascii="Arial" w:hAnsi="Arial" w:cs="Arial"/>
          <w:sz w:val="22"/>
          <w:szCs w:val="22"/>
          <w:lang w:eastAsia="ko-KR"/>
        </w:rPr>
        <w:t xml:space="preserve"> sur la Liste représentative du patrimoine culturel immatériel de l</w:t>
      </w:r>
      <w:r w:rsidR="009C104E">
        <w:rPr>
          <w:rFonts w:ascii="Arial" w:hAnsi="Arial" w:cs="Arial"/>
          <w:sz w:val="22"/>
          <w:szCs w:val="22"/>
          <w:lang w:eastAsia="ko-KR"/>
        </w:rPr>
        <w:t>’</w:t>
      </w:r>
      <w:r w:rsidRPr="0001502D">
        <w:rPr>
          <w:rFonts w:ascii="Arial" w:hAnsi="Arial" w:cs="Arial"/>
          <w:sz w:val="22"/>
          <w:szCs w:val="22"/>
          <w:lang w:eastAsia="ko-KR"/>
        </w:rPr>
        <w:t>humanité ;</w:t>
      </w:r>
    </w:p>
    <w:p w14:paraId="34ADBE7D" w14:textId="52C398B0" w:rsidR="0001502D" w:rsidRPr="0001502D" w:rsidRDefault="0001502D" w:rsidP="00771F30">
      <w:pPr>
        <w:numPr>
          <w:ilvl w:val="1"/>
          <w:numId w:val="43"/>
        </w:numPr>
        <w:tabs>
          <w:tab w:val="left" w:pos="567"/>
          <w:tab w:val="left" w:pos="1701"/>
          <w:tab w:val="left" w:pos="2268"/>
        </w:tabs>
        <w:spacing w:before="120" w:after="120"/>
        <w:ind w:left="567"/>
        <w:jc w:val="both"/>
        <w:rPr>
          <w:rFonts w:ascii="Arial" w:hAnsi="Arial" w:cs="Arial"/>
          <w:sz w:val="22"/>
          <w:szCs w:val="22"/>
          <w:lang w:eastAsia="ko-KR"/>
        </w:rPr>
      </w:pPr>
      <w:r w:rsidRPr="0001502D">
        <w:rPr>
          <w:rFonts w:ascii="Arial" w:hAnsi="Arial" w:cs="Arial"/>
          <w:sz w:val="22"/>
          <w:szCs w:val="22"/>
          <w:u w:val="single"/>
          <w:lang w:eastAsia="ko-KR"/>
        </w:rPr>
        <w:t>Félicite</w:t>
      </w:r>
      <w:r w:rsidRPr="0001502D">
        <w:rPr>
          <w:rFonts w:ascii="Arial" w:hAnsi="Arial" w:cs="Arial"/>
          <w:sz w:val="22"/>
          <w:szCs w:val="22"/>
          <w:lang w:eastAsia="ko-KR"/>
        </w:rPr>
        <w:t xml:space="preserve"> l</w:t>
      </w:r>
      <w:r w:rsidR="009C104E">
        <w:rPr>
          <w:rFonts w:ascii="Arial" w:hAnsi="Arial" w:cs="Arial"/>
          <w:sz w:val="22"/>
          <w:szCs w:val="22"/>
          <w:lang w:eastAsia="ko-KR"/>
        </w:rPr>
        <w:t>’</w:t>
      </w:r>
      <w:r w:rsidRPr="0001502D">
        <w:rPr>
          <w:rFonts w:ascii="Arial" w:hAnsi="Arial" w:cs="Arial"/>
          <w:sz w:val="22"/>
          <w:szCs w:val="22"/>
          <w:lang w:eastAsia="ko-KR"/>
        </w:rPr>
        <w:t xml:space="preserve">État partie pour son dossier de candidature exemplaire et </w:t>
      </w:r>
      <w:r w:rsidRPr="0001502D">
        <w:rPr>
          <w:rFonts w:ascii="Arial" w:hAnsi="Arial" w:cs="Arial"/>
          <w:sz w:val="22"/>
          <w:szCs w:val="22"/>
          <w:u w:val="single"/>
          <w:lang w:eastAsia="ko-KR"/>
        </w:rPr>
        <w:t>salue</w:t>
      </w:r>
      <w:r w:rsidRPr="0001502D">
        <w:rPr>
          <w:rFonts w:ascii="Arial" w:hAnsi="Arial" w:cs="Arial"/>
          <w:sz w:val="22"/>
          <w:szCs w:val="22"/>
          <w:lang w:eastAsia="ko-KR"/>
        </w:rPr>
        <w:t xml:space="preserve"> sa vidéo qui met en lumière tous les aspects importants de l</w:t>
      </w:r>
      <w:r w:rsidR="009C104E">
        <w:rPr>
          <w:rFonts w:ascii="Arial" w:hAnsi="Arial" w:cs="Arial"/>
          <w:sz w:val="22"/>
          <w:szCs w:val="22"/>
          <w:lang w:eastAsia="ko-KR"/>
        </w:rPr>
        <w:t>’</w:t>
      </w:r>
      <w:r w:rsidRPr="0001502D">
        <w:rPr>
          <w:rFonts w:ascii="Arial" w:hAnsi="Arial" w:cs="Arial"/>
          <w:sz w:val="22"/>
          <w:szCs w:val="22"/>
          <w:lang w:eastAsia="ko-KR"/>
        </w:rPr>
        <w:t>élément et permet aux spectateurs de le comprendre dans les détails.</w:t>
      </w:r>
    </w:p>
    <w:p w14:paraId="08719256" w14:textId="151B6571" w:rsidR="0001502D" w:rsidRPr="0001502D" w:rsidRDefault="0001502D" w:rsidP="00771F30">
      <w:pPr>
        <w:keepNext/>
        <w:keepLines/>
        <w:numPr>
          <w:ilvl w:val="0"/>
          <w:numId w:val="43"/>
        </w:numPr>
        <w:spacing w:before="360" w:after="120"/>
        <w:outlineLvl w:val="1"/>
        <w:rPr>
          <w:rFonts w:ascii="Arial" w:hAnsi="Arial" w:cs="Arial"/>
          <w:bCs/>
          <w:iCs/>
          <w:sz w:val="22"/>
          <w:szCs w:val="22"/>
        </w:rPr>
      </w:pPr>
      <w:bookmarkStart w:id="42" w:name="Decision_10b39"/>
      <w:r w:rsidRPr="0001502D">
        <w:rPr>
          <w:rFonts w:ascii="Arial" w:hAnsi="Arial" w:cs="Arial"/>
          <w:b/>
          <w:bCs/>
          <w:iCs/>
          <w:sz w:val="22"/>
          <w:szCs w:val="22"/>
        </w:rPr>
        <w:t xml:space="preserve">DÉCISION 14.COM 10.b.39 </w:t>
      </w:r>
    </w:p>
    <w:bookmarkEnd w:id="42"/>
    <w:p w14:paraId="0807A751" w14:textId="77777777" w:rsidR="0001502D" w:rsidRPr="0001502D" w:rsidRDefault="0001502D" w:rsidP="00A036F1">
      <w:pPr>
        <w:keepNext/>
        <w:tabs>
          <w:tab w:val="left" w:pos="567"/>
          <w:tab w:val="left" w:pos="1134"/>
          <w:tab w:val="left" w:pos="1701"/>
          <w:tab w:val="left" w:pos="2268"/>
        </w:tabs>
        <w:spacing w:before="120" w:after="120"/>
        <w:jc w:val="both"/>
        <w:rPr>
          <w:rFonts w:ascii="Arial" w:hAnsi="Arial" w:cs="Arial"/>
          <w:sz w:val="22"/>
          <w:szCs w:val="22"/>
        </w:rPr>
      </w:pPr>
      <w:r w:rsidRPr="0001502D">
        <w:rPr>
          <w:rFonts w:ascii="Arial" w:hAnsi="Arial" w:cs="Arial"/>
          <w:sz w:val="22"/>
          <w:szCs w:val="22"/>
        </w:rPr>
        <w:t>Le Comité,</w:t>
      </w:r>
    </w:p>
    <w:p w14:paraId="28AA7923" w14:textId="3B57A594" w:rsidR="0001502D" w:rsidRPr="0001502D" w:rsidRDefault="0001502D" w:rsidP="00771F30">
      <w:pPr>
        <w:numPr>
          <w:ilvl w:val="1"/>
          <w:numId w:val="43"/>
        </w:numPr>
        <w:tabs>
          <w:tab w:val="left" w:pos="567"/>
          <w:tab w:val="left" w:pos="1701"/>
          <w:tab w:val="left" w:pos="2268"/>
        </w:tabs>
        <w:spacing w:before="120" w:after="120"/>
        <w:ind w:left="567" w:hanging="567"/>
        <w:jc w:val="both"/>
        <w:rPr>
          <w:rFonts w:ascii="Arial" w:hAnsi="Arial" w:cs="Arial"/>
          <w:sz w:val="22"/>
          <w:szCs w:val="22"/>
          <w:lang w:eastAsia="ko-KR"/>
        </w:rPr>
      </w:pPr>
      <w:r w:rsidRPr="0001502D">
        <w:rPr>
          <w:rFonts w:ascii="Arial" w:hAnsi="Arial" w:cs="Arial"/>
          <w:sz w:val="22"/>
          <w:szCs w:val="22"/>
          <w:u w:val="single"/>
          <w:lang w:eastAsia="ko-KR"/>
        </w:rPr>
        <w:t>Prend note</w:t>
      </w:r>
      <w:r w:rsidRPr="0001502D">
        <w:rPr>
          <w:rFonts w:ascii="Arial" w:hAnsi="Arial" w:cs="Arial"/>
          <w:sz w:val="22"/>
          <w:szCs w:val="22"/>
          <w:lang w:eastAsia="ko-KR"/>
        </w:rPr>
        <w:t xml:space="preserve"> que le Turkménistan a proposé la candidature de </w:t>
      </w:r>
      <w:r w:rsidRPr="0001502D">
        <w:rPr>
          <w:rFonts w:ascii="Arial" w:hAnsi="Arial" w:cs="Arial"/>
          <w:b/>
          <w:bCs/>
          <w:sz w:val="22"/>
          <w:szCs w:val="22"/>
          <w:lang w:eastAsia="ko-KR"/>
        </w:rPr>
        <w:t>l</w:t>
      </w:r>
      <w:r w:rsidR="009C104E">
        <w:rPr>
          <w:rFonts w:ascii="Arial" w:hAnsi="Arial" w:cs="Arial"/>
          <w:b/>
          <w:bCs/>
          <w:sz w:val="22"/>
          <w:szCs w:val="22"/>
          <w:lang w:eastAsia="ko-KR"/>
        </w:rPr>
        <w:t>’</w:t>
      </w:r>
      <w:r w:rsidRPr="0001502D">
        <w:rPr>
          <w:rFonts w:ascii="Arial" w:hAnsi="Arial" w:cs="Arial"/>
          <w:b/>
          <w:bCs/>
          <w:sz w:val="22"/>
          <w:szCs w:val="22"/>
          <w:lang w:eastAsia="ko-KR"/>
        </w:rPr>
        <w:t xml:space="preserve">art traditionnel de la fabrication des tapis </w:t>
      </w:r>
      <w:r w:rsidR="006471DB" w:rsidRPr="006471DB">
        <w:rPr>
          <w:rFonts w:ascii="Arial" w:hAnsi="Arial" w:cs="Arial"/>
          <w:b/>
          <w:bCs/>
          <w:sz w:val="22"/>
          <w:szCs w:val="22"/>
          <w:lang w:eastAsia="ko-KR"/>
        </w:rPr>
        <w:t xml:space="preserve">turkmènes </w:t>
      </w:r>
      <w:r w:rsidRPr="0001502D">
        <w:rPr>
          <w:rFonts w:ascii="Arial" w:hAnsi="Arial" w:cs="Arial"/>
          <w:b/>
          <w:bCs/>
          <w:sz w:val="22"/>
          <w:szCs w:val="22"/>
          <w:lang w:eastAsia="ko-KR"/>
        </w:rPr>
        <w:t>au Turkménistan</w:t>
      </w:r>
      <w:r w:rsidRPr="0001502D">
        <w:rPr>
          <w:rFonts w:ascii="Arial" w:hAnsi="Arial" w:cs="Arial"/>
          <w:sz w:val="22"/>
          <w:szCs w:val="22"/>
          <w:lang w:eastAsia="ko-KR"/>
        </w:rPr>
        <w:t xml:space="preserve"> (n° 01486) pour inscription sur la Liste représentative du patrimoine culturel immatériel de l</w:t>
      </w:r>
      <w:r w:rsidR="009C104E">
        <w:rPr>
          <w:rFonts w:ascii="Arial" w:hAnsi="Arial" w:cs="Arial"/>
          <w:sz w:val="22"/>
          <w:szCs w:val="22"/>
          <w:lang w:eastAsia="ko-KR"/>
        </w:rPr>
        <w:t>’</w:t>
      </w:r>
      <w:r w:rsidRPr="0001502D">
        <w:rPr>
          <w:rFonts w:ascii="Arial" w:hAnsi="Arial" w:cs="Arial"/>
          <w:sz w:val="22"/>
          <w:szCs w:val="22"/>
          <w:lang w:eastAsia="ko-KR"/>
        </w:rPr>
        <w:t>humanité :</w:t>
      </w:r>
    </w:p>
    <w:p w14:paraId="2EF5FBB9" w14:textId="43DD05EE" w:rsidR="0001502D" w:rsidRPr="0001502D" w:rsidRDefault="00A036F1" w:rsidP="00A036F1">
      <w:pPr>
        <w:tabs>
          <w:tab w:val="left" w:pos="567"/>
          <w:tab w:val="left" w:pos="1701"/>
          <w:tab w:val="left" w:pos="2268"/>
        </w:tabs>
        <w:spacing w:before="120" w:after="120"/>
        <w:ind w:left="567" w:hanging="567"/>
        <w:jc w:val="both"/>
        <w:rPr>
          <w:rFonts w:ascii="Arial" w:hAnsi="Arial" w:cs="Arial"/>
          <w:sz w:val="22"/>
          <w:szCs w:val="22"/>
        </w:rPr>
      </w:pPr>
      <w:r>
        <w:rPr>
          <w:rFonts w:ascii="Arial" w:hAnsi="Arial" w:cs="Arial"/>
          <w:sz w:val="22"/>
          <w:szCs w:val="22"/>
        </w:rPr>
        <w:tab/>
      </w:r>
      <w:r w:rsidR="0001502D" w:rsidRPr="0001502D">
        <w:rPr>
          <w:rFonts w:ascii="Arial" w:hAnsi="Arial" w:cs="Arial"/>
          <w:sz w:val="22"/>
          <w:szCs w:val="22"/>
        </w:rPr>
        <w:t>L</w:t>
      </w:r>
      <w:r w:rsidR="009C104E">
        <w:rPr>
          <w:rFonts w:ascii="Arial" w:hAnsi="Arial" w:cs="Arial"/>
          <w:sz w:val="22"/>
          <w:szCs w:val="22"/>
        </w:rPr>
        <w:t>’</w:t>
      </w:r>
      <w:r w:rsidR="0001502D" w:rsidRPr="0001502D">
        <w:rPr>
          <w:rFonts w:ascii="Arial" w:hAnsi="Arial" w:cs="Arial"/>
          <w:sz w:val="22"/>
          <w:szCs w:val="22"/>
        </w:rPr>
        <w:t xml:space="preserve">art traditionnel de la fabrication des tapis </w:t>
      </w:r>
      <w:r w:rsidR="006471DB" w:rsidRPr="006471DB">
        <w:rPr>
          <w:rFonts w:ascii="Arial" w:hAnsi="Arial" w:cs="Arial"/>
          <w:sz w:val="22"/>
          <w:szCs w:val="22"/>
        </w:rPr>
        <w:t xml:space="preserve">turkmènes </w:t>
      </w:r>
      <w:r w:rsidR="0001502D" w:rsidRPr="0001502D">
        <w:rPr>
          <w:rFonts w:ascii="Arial" w:hAnsi="Arial" w:cs="Arial"/>
          <w:sz w:val="22"/>
          <w:szCs w:val="22"/>
        </w:rPr>
        <w:t>au Turkménistan se rapporte à la production de tapis traditionnels turkmènes et d</w:t>
      </w:r>
      <w:r w:rsidR="009C104E">
        <w:rPr>
          <w:rFonts w:ascii="Arial" w:hAnsi="Arial" w:cs="Arial"/>
          <w:sz w:val="22"/>
          <w:szCs w:val="22"/>
        </w:rPr>
        <w:t>’</w:t>
      </w:r>
      <w:r w:rsidR="0001502D" w:rsidRPr="0001502D">
        <w:rPr>
          <w:rFonts w:ascii="Arial" w:hAnsi="Arial" w:cs="Arial"/>
          <w:sz w:val="22"/>
          <w:szCs w:val="22"/>
        </w:rPr>
        <w:t>articles dérivés des tapis : des produits textiles en laine tissés et décorés à la main. Les tapis se caractérisent par leur texture dense et leurs riches motifs colorés qui sont associés à l</w:t>
      </w:r>
      <w:r w:rsidR="009C104E">
        <w:rPr>
          <w:rFonts w:ascii="Arial" w:hAnsi="Arial" w:cs="Arial"/>
          <w:sz w:val="22"/>
          <w:szCs w:val="22"/>
        </w:rPr>
        <w:t>’</w:t>
      </w:r>
      <w:r w:rsidR="0001502D" w:rsidRPr="0001502D">
        <w:rPr>
          <w:rFonts w:ascii="Arial" w:hAnsi="Arial" w:cs="Arial"/>
          <w:sz w:val="22"/>
          <w:szCs w:val="22"/>
        </w:rPr>
        <w:t>une des cinq grandes tribus du pays. Les motifs sont linéaires et géométriques. Le contexte, c</w:t>
      </w:r>
      <w:r w:rsidR="009C104E">
        <w:rPr>
          <w:rFonts w:ascii="Arial" w:hAnsi="Arial" w:cs="Arial"/>
          <w:sz w:val="22"/>
          <w:szCs w:val="22"/>
        </w:rPr>
        <w:t>’</w:t>
      </w:r>
      <w:r w:rsidR="0001502D" w:rsidRPr="0001502D">
        <w:rPr>
          <w:rFonts w:ascii="Arial" w:hAnsi="Arial" w:cs="Arial"/>
          <w:sz w:val="22"/>
          <w:szCs w:val="22"/>
        </w:rPr>
        <w:t>est-à-dire la flore, la faune et l</w:t>
      </w:r>
      <w:r w:rsidR="009C104E">
        <w:rPr>
          <w:rFonts w:ascii="Arial" w:hAnsi="Arial" w:cs="Arial"/>
          <w:sz w:val="22"/>
          <w:szCs w:val="22"/>
        </w:rPr>
        <w:t>’</w:t>
      </w:r>
      <w:r w:rsidR="0001502D" w:rsidRPr="0001502D">
        <w:rPr>
          <w:rFonts w:ascii="Arial" w:hAnsi="Arial" w:cs="Arial"/>
          <w:sz w:val="22"/>
          <w:szCs w:val="22"/>
        </w:rPr>
        <w:t>environnement, dans lequel vivent les tisserands se reflète dans le choix des fils et des coloris utilisés et des dessins représentés. Les tapis turkmènes sont tissés sur des métiers horizontaux ou verticaux avec des fils de laine de différentes couleurs. Les tapis servent à la fois de revêtement de sol et de décoration murale, et des tapis particuliers sont aussi tissés pour les naissances, les mariages et les rituels de deuil et d</w:t>
      </w:r>
      <w:r w:rsidR="009C104E">
        <w:rPr>
          <w:rFonts w:ascii="Arial" w:hAnsi="Arial" w:cs="Arial"/>
          <w:sz w:val="22"/>
          <w:szCs w:val="22"/>
        </w:rPr>
        <w:t>’</w:t>
      </w:r>
      <w:r w:rsidR="0001502D" w:rsidRPr="0001502D">
        <w:rPr>
          <w:rFonts w:ascii="Arial" w:hAnsi="Arial" w:cs="Arial"/>
          <w:sz w:val="22"/>
          <w:szCs w:val="22"/>
        </w:rPr>
        <w:t>oraison. L</w:t>
      </w:r>
      <w:r w:rsidR="009C104E">
        <w:rPr>
          <w:rFonts w:ascii="Arial" w:hAnsi="Arial" w:cs="Arial"/>
          <w:sz w:val="22"/>
          <w:szCs w:val="22"/>
        </w:rPr>
        <w:t>’</w:t>
      </w:r>
      <w:r w:rsidR="0001502D" w:rsidRPr="0001502D">
        <w:rPr>
          <w:rFonts w:ascii="Arial" w:hAnsi="Arial" w:cs="Arial"/>
          <w:sz w:val="22"/>
          <w:szCs w:val="22"/>
        </w:rPr>
        <w:t>art de la confection de tapis est largement intégré à la vie sociale et culturelle des Turkmènes et est considéré comme un signe d</w:t>
      </w:r>
      <w:r w:rsidR="009C104E">
        <w:rPr>
          <w:rFonts w:ascii="Arial" w:hAnsi="Arial" w:cs="Arial"/>
          <w:sz w:val="22"/>
          <w:szCs w:val="22"/>
        </w:rPr>
        <w:t>’</w:t>
      </w:r>
      <w:r w:rsidR="0001502D" w:rsidRPr="0001502D">
        <w:rPr>
          <w:rFonts w:ascii="Arial" w:hAnsi="Arial" w:cs="Arial"/>
          <w:sz w:val="22"/>
          <w:szCs w:val="22"/>
        </w:rPr>
        <w:t>identité et d</w:t>
      </w:r>
      <w:r w:rsidR="009C104E">
        <w:rPr>
          <w:rFonts w:ascii="Arial" w:hAnsi="Arial" w:cs="Arial"/>
          <w:sz w:val="22"/>
          <w:szCs w:val="22"/>
        </w:rPr>
        <w:t>’</w:t>
      </w:r>
      <w:r w:rsidR="0001502D" w:rsidRPr="0001502D">
        <w:rPr>
          <w:rFonts w:ascii="Arial" w:hAnsi="Arial" w:cs="Arial"/>
          <w:sz w:val="22"/>
          <w:szCs w:val="22"/>
        </w:rPr>
        <w:t>unité culturelle. Les savoir-faire et connaissances associés sont transmis au sein de la famille, et la viabilité de la tradition est assurée par les membres de la communauté. La célébration annuelle de la Journée du tapis joue un rôle clé dans la transmission de l</w:t>
      </w:r>
      <w:r w:rsidR="009C104E">
        <w:rPr>
          <w:rFonts w:ascii="Arial" w:hAnsi="Arial" w:cs="Arial"/>
          <w:sz w:val="22"/>
          <w:szCs w:val="22"/>
        </w:rPr>
        <w:t>’</w:t>
      </w:r>
      <w:r w:rsidR="0001502D" w:rsidRPr="0001502D">
        <w:rPr>
          <w:rFonts w:ascii="Arial" w:hAnsi="Arial" w:cs="Arial"/>
          <w:sz w:val="22"/>
          <w:szCs w:val="22"/>
        </w:rPr>
        <w:t>élément en réunissant les différentes communautés et en renforçant les liens sociaux et la coopération.</w:t>
      </w:r>
    </w:p>
    <w:p w14:paraId="2DC6B10A" w14:textId="14AEBE68" w:rsidR="0001502D" w:rsidRPr="0001502D" w:rsidRDefault="0001502D" w:rsidP="00771F30">
      <w:pPr>
        <w:keepNext/>
        <w:numPr>
          <w:ilvl w:val="1"/>
          <w:numId w:val="43"/>
        </w:numPr>
        <w:tabs>
          <w:tab w:val="left" w:pos="567"/>
          <w:tab w:val="left" w:pos="1701"/>
          <w:tab w:val="left" w:pos="2268"/>
        </w:tabs>
        <w:spacing w:before="120" w:after="120"/>
        <w:ind w:left="567" w:hanging="567"/>
        <w:jc w:val="both"/>
        <w:rPr>
          <w:rFonts w:ascii="Arial" w:hAnsi="Arial" w:cs="Arial"/>
          <w:sz w:val="22"/>
          <w:szCs w:val="22"/>
          <w:lang w:eastAsia="ko-KR"/>
        </w:rPr>
      </w:pPr>
      <w:r w:rsidRPr="0001502D">
        <w:rPr>
          <w:rFonts w:ascii="Arial" w:hAnsi="Arial" w:cs="Arial"/>
          <w:sz w:val="22"/>
          <w:szCs w:val="22"/>
          <w:u w:val="single"/>
          <w:lang w:eastAsia="ko-KR"/>
        </w:rPr>
        <w:t>Estime</w:t>
      </w:r>
      <w:r w:rsidRPr="0001502D">
        <w:rPr>
          <w:rFonts w:ascii="Arial" w:hAnsi="Arial" w:cs="Arial"/>
          <w:sz w:val="22"/>
          <w:szCs w:val="22"/>
          <w:lang w:eastAsia="ko-KR"/>
        </w:rPr>
        <w:t xml:space="preserve"> que, d</w:t>
      </w:r>
      <w:r w:rsidR="009C104E">
        <w:rPr>
          <w:rFonts w:ascii="Arial" w:hAnsi="Arial" w:cs="Arial"/>
          <w:sz w:val="22"/>
          <w:szCs w:val="22"/>
          <w:lang w:eastAsia="ko-KR"/>
        </w:rPr>
        <w:t>’</w:t>
      </w:r>
      <w:r w:rsidRPr="0001502D">
        <w:rPr>
          <w:rFonts w:ascii="Arial" w:hAnsi="Arial" w:cs="Arial"/>
          <w:sz w:val="22"/>
          <w:szCs w:val="22"/>
          <w:lang w:eastAsia="ko-KR"/>
        </w:rPr>
        <w:t>après les informations contenues dans le dossier, la candidature satisfait aux critères d</w:t>
      </w:r>
      <w:r w:rsidR="009C104E">
        <w:rPr>
          <w:rFonts w:ascii="Arial" w:hAnsi="Arial" w:cs="Arial"/>
          <w:sz w:val="22"/>
          <w:szCs w:val="22"/>
          <w:lang w:eastAsia="ko-KR"/>
        </w:rPr>
        <w:t>’</w:t>
      </w:r>
      <w:r w:rsidRPr="0001502D">
        <w:rPr>
          <w:rFonts w:ascii="Arial" w:hAnsi="Arial" w:cs="Arial"/>
          <w:sz w:val="22"/>
          <w:szCs w:val="22"/>
          <w:lang w:eastAsia="ko-KR"/>
        </w:rPr>
        <w:t>inscription sur la Liste représentative du patrimoine culturel immatériel de l</w:t>
      </w:r>
      <w:r w:rsidR="009C104E">
        <w:rPr>
          <w:rFonts w:ascii="Arial" w:hAnsi="Arial" w:cs="Arial"/>
          <w:sz w:val="22"/>
          <w:szCs w:val="22"/>
          <w:lang w:eastAsia="ko-KR"/>
        </w:rPr>
        <w:t>’</w:t>
      </w:r>
      <w:r w:rsidRPr="0001502D">
        <w:rPr>
          <w:rFonts w:ascii="Arial" w:hAnsi="Arial" w:cs="Arial"/>
          <w:sz w:val="22"/>
          <w:szCs w:val="22"/>
          <w:lang w:eastAsia="ko-KR"/>
        </w:rPr>
        <w:t>humanité comme suit :</w:t>
      </w:r>
    </w:p>
    <w:p w14:paraId="3A829564" w14:textId="609CFDD1" w:rsidR="0001502D" w:rsidRPr="0001502D" w:rsidRDefault="0001502D" w:rsidP="00A036F1">
      <w:pPr>
        <w:tabs>
          <w:tab w:val="left" w:pos="1134"/>
          <w:tab w:val="left" w:pos="2268"/>
        </w:tabs>
        <w:spacing w:before="120" w:after="120"/>
        <w:ind w:left="1134" w:hanging="555"/>
        <w:jc w:val="both"/>
        <w:rPr>
          <w:rFonts w:ascii="Arial" w:hAnsi="Arial" w:cs="Arial"/>
          <w:sz w:val="22"/>
          <w:szCs w:val="22"/>
        </w:rPr>
      </w:pPr>
      <w:r w:rsidRPr="0001502D">
        <w:rPr>
          <w:rFonts w:ascii="Arial" w:hAnsi="Arial" w:cs="Arial"/>
          <w:sz w:val="22"/>
          <w:szCs w:val="22"/>
        </w:rPr>
        <w:t xml:space="preserve">R.1 : </w:t>
      </w:r>
      <w:r w:rsidRPr="0001502D">
        <w:rPr>
          <w:rFonts w:ascii="Arial" w:hAnsi="Arial" w:cs="Arial"/>
          <w:sz w:val="22"/>
          <w:szCs w:val="22"/>
        </w:rPr>
        <w:tab/>
        <w:t>L</w:t>
      </w:r>
      <w:r w:rsidR="009C104E">
        <w:rPr>
          <w:rFonts w:ascii="Arial" w:hAnsi="Arial" w:cs="Arial"/>
          <w:sz w:val="22"/>
          <w:szCs w:val="22"/>
        </w:rPr>
        <w:t>’</w:t>
      </w:r>
      <w:r w:rsidRPr="0001502D">
        <w:rPr>
          <w:rFonts w:ascii="Arial" w:hAnsi="Arial" w:cs="Arial"/>
          <w:sz w:val="22"/>
          <w:szCs w:val="22"/>
        </w:rPr>
        <w:t xml:space="preserve">art traditionnel de la fabrication des tapis </w:t>
      </w:r>
      <w:r w:rsidR="006471DB" w:rsidRPr="006471DB">
        <w:rPr>
          <w:rFonts w:ascii="Arial" w:hAnsi="Arial" w:cs="Arial"/>
          <w:sz w:val="22"/>
          <w:szCs w:val="22"/>
        </w:rPr>
        <w:t xml:space="preserve">turkmènes </w:t>
      </w:r>
      <w:r w:rsidRPr="0001502D">
        <w:rPr>
          <w:rFonts w:ascii="Arial" w:hAnsi="Arial" w:cs="Arial"/>
          <w:sz w:val="22"/>
          <w:szCs w:val="22"/>
        </w:rPr>
        <w:t>se pratique dans tout le Turkménistan et les produits associés sont présents dans l</w:t>
      </w:r>
      <w:r w:rsidR="009C104E">
        <w:rPr>
          <w:rFonts w:ascii="Arial" w:hAnsi="Arial" w:cs="Arial"/>
          <w:sz w:val="22"/>
          <w:szCs w:val="22"/>
        </w:rPr>
        <w:t>’</w:t>
      </w:r>
      <w:r w:rsidRPr="0001502D">
        <w:rPr>
          <w:rFonts w:ascii="Arial" w:hAnsi="Arial" w:cs="Arial"/>
          <w:sz w:val="22"/>
          <w:szCs w:val="22"/>
        </w:rPr>
        <w:t>ensemble du pays, ce qui crée un sentiment d</w:t>
      </w:r>
      <w:r w:rsidR="009C104E">
        <w:rPr>
          <w:rFonts w:ascii="Arial" w:hAnsi="Arial" w:cs="Arial"/>
          <w:sz w:val="22"/>
          <w:szCs w:val="22"/>
        </w:rPr>
        <w:t>’</w:t>
      </w:r>
      <w:r w:rsidRPr="0001502D">
        <w:rPr>
          <w:rFonts w:ascii="Arial" w:hAnsi="Arial" w:cs="Arial"/>
          <w:sz w:val="22"/>
          <w:szCs w:val="22"/>
        </w:rPr>
        <w:t>identité et de continuité sociales, rapproche les communautés et leur permet de s</w:t>
      </w:r>
      <w:r w:rsidR="009C104E">
        <w:rPr>
          <w:rFonts w:ascii="Arial" w:hAnsi="Arial" w:cs="Arial"/>
          <w:sz w:val="22"/>
          <w:szCs w:val="22"/>
        </w:rPr>
        <w:t>’</w:t>
      </w:r>
      <w:r w:rsidRPr="0001502D">
        <w:rPr>
          <w:rFonts w:ascii="Arial" w:hAnsi="Arial" w:cs="Arial"/>
          <w:sz w:val="22"/>
          <w:szCs w:val="22"/>
        </w:rPr>
        <w:t>identifier autour de l</w:t>
      </w:r>
      <w:r w:rsidR="009C104E">
        <w:rPr>
          <w:rFonts w:ascii="Arial" w:hAnsi="Arial" w:cs="Arial"/>
          <w:sz w:val="22"/>
          <w:szCs w:val="22"/>
        </w:rPr>
        <w:t>’</w:t>
      </w:r>
      <w:r w:rsidRPr="0001502D">
        <w:rPr>
          <w:rFonts w:ascii="Arial" w:hAnsi="Arial" w:cs="Arial"/>
          <w:sz w:val="22"/>
          <w:szCs w:val="22"/>
        </w:rPr>
        <w:t>élément. La pratique et les produits associés font partie de la vie sociale et culturelle des Turkmènes et contribuent à leur vie économique. Outre ses fonctions pratiques, la confection de tapis au Turkménistan joue un rôle important dans les rituels familiaux et communautaires, les pratiques sociales et les événements festifs. L</w:t>
      </w:r>
      <w:r w:rsidR="009C104E">
        <w:rPr>
          <w:rFonts w:ascii="Arial" w:hAnsi="Arial" w:cs="Arial"/>
          <w:sz w:val="22"/>
          <w:szCs w:val="22"/>
        </w:rPr>
        <w:t>’</w:t>
      </w:r>
      <w:r w:rsidRPr="0001502D">
        <w:rPr>
          <w:rFonts w:ascii="Arial" w:hAnsi="Arial" w:cs="Arial"/>
          <w:sz w:val="22"/>
          <w:szCs w:val="22"/>
        </w:rPr>
        <w:t>élément est pratiqué par des personnes de différentes professions ayant des rôles bien définis dans le processus et la transmission de l</w:t>
      </w:r>
      <w:r w:rsidR="009C104E">
        <w:rPr>
          <w:rFonts w:ascii="Arial" w:hAnsi="Arial" w:cs="Arial"/>
          <w:sz w:val="22"/>
          <w:szCs w:val="22"/>
        </w:rPr>
        <w:t>’</w:t>
      </w:r>
      <w:r w:rsidRPr="0001502D">
        <w:rPr>
          <w:rFonts w:ascii="Arial" w:hAnsi="Arial" w:cs="Arial"/>
          <w:sz w:val="22"/>
          <w:szCs w:val="22"/>
        </w:rPr>
        <w:t>élément.</w:t>
      </w:r>
    </w:p>
    <w:p w14:paraId="3EA9DF1E" w14:textId="4AB88CDE" w:rsidR="0001502D" w:rsidRPr="0001502D" w:rsidRDefault="0001502D" w:rsidP="00A036F1">
      <w:pPr>
        <w:tabs>
          <w:tab w:val="left" w:pos="1134"/>
          <w:tab w:val="left" w:pos="2268"/>
        </w:tabs>
        <w:spacing w:before="120" w:after="120"/>
        <w:ind w:left="1134" w:hanging="555"/>
        <w:jc w:val="both"/>
        <w:rPr>
          <w:rFonts w:ascii="Arial" w:hAnsi="Arial" w:cs="Arial"/>
          <w:sz w:val="22"/>
          <w:szCs w:val="22"/>
        </w:rPr>
      </w:pPr>
      <w:r w:rsidRPr="0001502D">
        <w:rPr>
          <w:rFonts w:ascii="Arial" w:hAnsi="Arial" w:cs="Arial"/>
          <w:sz w:val="22"/>
          <w:szCs w:val="22"/>
        </w:rPr>
        <w:t xml:space="preserve">R.2 : </w:t>
      </w:r>
      <w:r w:rsidRPr="0001502D">
        <w:rPr>
          <w:rFonts w:ascii="Arial" w:hAnsi="Arial" w:cs="Arial"/>
          <w:sz w:val="22"/>
          <w:szCs w:val="22"/>
        </w:rPr>
        <w:tab/>
        <w:t>L</w:t>
      </w:r>
      <w:r w:rsidR="009C104E">
        <w:rPr>
          <w:rFonts w:ascii="Arial" w:hAnsi="Arial" w:cs="Arial"/>
          <w:sz w:val="22"/>
          <w:szCs w:val="22"/>
        </w:rPr>
        <w:t>’</w:t>
      </w:r>
      <w:r w:rsidRPr="0001502D">
        <w:rPr>
          <w:rFonts w:ascii="Arial" w:hAnsi="Arial" w:cs="Arial"/>
          <w:sz w:val="22"/>
          <w:szCs w:val="22"/>
        </w:rPr>
        <w:t>inscription de l</w:t>
      </w:r>
      <w:r w:rsidR="009C104E">
        <w:rPr>
          <w:rFonts w:ascii="Arial" w:hAnsi="Arial" w:cs="Arial"/>
          <w:sz w:val="22"/>
          <w:szCs w:val="22"/>
        </w:rPr>
        <w:t>’</w:t>
      </w:r>
      <w:r w:rsidRPr="0001502D">
        <w:rPr>
          <w:rFonts w:ascii="Arial" w:hAnsi="Arial" w:cs="Arial"/>
          <w:sz w:val="22"/>
          <w:szCs w:val="22"/>
        </w:rPr>
        <w:t xml:space="preserve">art traditionnel de la fabrication des tapis </w:t>
      </w:r>
      <w:r w:rsidR="006471DB" w:rsidRPr="006471DB">
        <w:rPr>
          <w:rFonts w:ascii="Arial" w:hAnsi="Arial" w:cs="Arial"/>
          <w:sz w:val="22"/>
          <w:szCs w:val="22"/>
        </w:rPr>
        <w:t xml:space="preserve">turkmènes </w:t>
      </w:r>
      <w:r w:rsidRPr="0001502D">
        <w:rPr>
          <w:rFonts w:ascii="Arial" w:hAnsi="Arial" w:cs="Arial"/>
          <w:sz w:val="22"/>
          <w:szCs w:val="22"/>
        </w:rPr>
        <w:t>au Turkménistan encouragerait le dialogue et permettrait de renforcer le réseau des tapissiers et de les rapprocher d</w:t>
      </w:r>
      <w:r w:rsidR="009C104E">
        <w:rPr>
          <w:rFonts w:ascii="Arial" w:hAnsi="Arial" w:cs="Arial"/>
          <w:sz w:val="22"/>
          <w:szCs w:val="22"/>
        </w:rPr>
        <w:t>’</w:t>
      </w:r>
      <w:r w:rsidRPr="0001502D">
        <w:rPr>
          <w:rFonts w:ascii="Arial" w:hAnsi="Arial" w:cs="Arial"/>
          <w:sz w:val="22"/>
          <w:szCs w:val="22"/>
        </w:rPr>
        <w:t>autres artisans. L</w:t>
      </w:r>
      <w:r w:rsidR="009C104E">
        <w:rPr>
          <w:rFonts w:ascii="Arial" w:hAnsi="Arial" w:cs="Arial"/>
          <w:sz w:val="22"/>
          <w:szCs w:val="22"/>
        </w:rPr>
        <w:t>’</w:t>
      </w:r>
      <w:r w:rsidRPr="0001502D">
        <w:rPr>
          <w:rFonts w:ascii="Arial" w:hAnsi="Arial" w:cs="Arial"/>
          <w:sz w:val="22"/>
          <w:szCs w:val="22"/>
        </w:rPr>
        <w:t>inscription stimulerait aussi l</w:t>
      </w:r>
      <w:r w:rsidR="009C104E">
        <w:rPr>
          <w:rFonts w:ascii="Arial" w:hAnsi="Arial" w:cs="Arial"/>
          <w:sz w:val="22"/>
          <w:szCs w:val="22"/>
        </w:rPr>
        <w:t>’</w:t>
      </w:r>
      <w:r w:rsidRPr="0001502D">
        <w:rPr>
          <w:rFonts w:ascii="Arial" w:hAnsi="Arial" w:cs="Arial"/>
          <w:sz w:val="22"/>
          <w:szCs w:val="22"/>
        </w:rPr>
        <w:t>intérêt porté à la promotion de domaines similaires de l</w:t>
      </w:r>
      <w:r w:rsidR="009C104E">
        <w:rPr>
          <w:rFonts w:ascii="Arial" w:hAnsi="Arial" w:cs="Arial"/>
          <w:sz w:val="22"/>
          <w:szCs w:val="22"/>
        </w:rPr>
        <w:t>’</w:t>
      </w:r>
      <w:r w:rsidRPr="0001502D">
        <w:rPr>
          <w:rFonts w:ascii="Arial" w:hAnsi="Arial" w:cs="Arial"/>
          <w:sz w:val="22"/>
          <w:szCs w:val="22"/>
        </w:rPr>
        <w:t>artisanat dans le pays et permettrait le partage d</w:t>
      </w:r>
      <w:r w:rsidR="009C104E">
        <w:rPr>
          <w:rFonts w:ascii="Arial" w:hAnsi="Arial" w:cs="Arial"/>
          <w:sz w:val="22"/>
          <w:szCs w:val="22"/>
        </w:rPr>
        <w:t>’</w:t>
      </w:r>
      <w:r w:rsidRPr="0001502D">
        <w:rPr>
          <w:rFonts w:ascii="Arial" w:hAnsi="Arial" w:cs="Arial"/>
          <w:sz w:val="22"/>
          <w:szCs w:val="22"/>
        </w:rPr>
        <w:t>expériences, de connaissances et de savoir-faire entre les communautés du monde entier pour encourager le dialogue à l</w:t>
      </w:r>
      <w:r w:rsidR="009C104E">
        <w:rPr>
          <w:rFonts w:ascii="Arial" w:hAnsi="Arial" w:cs="Arial"/>
          <w:sz w:val="22"/>
          <w:szCs w:val="22"/>
        </w:rPr>
        <w:t>’</w:t>
      </w:r>
      <w:r w:rsidRPr="0001502D">
        <w:rPr>
          <w:rFonts w:ascii="Arial" w:hAnsi="Arial" w:cs="Arial"/>
          <w:sz w:val="22"/>
          <w:szCs w:val="22"/>
        </w:rPr>
        <w:t>échelle internationale.</w:t>
      </w:r>
    </w:p>
    <w:p w14:paraId="15E147CF" w14:textId="0F5A6473" w:rsidR="0001502D" w:rsidRPr="0001502D" w:rsidRDefault="0001502D" w:rsidP="00A036F1">
      <w:pPr>
        <w:tabs>
          <w:tab w:val="left" w:pos="1134"/>
          <w:tab w:val="left" w:pos="2268"/>
        </w:tabs>
        <w:spacing w:before="120" w:after="120"/>
        <w:ind w:left="1134" w:hanging="555"/>
        <w:jc w:val="both"/>
        <w:rPr>
          <w:rFonts w:ascii="Arial" w:hAnsi="Arial" w:cs="Arial"/>
          <w:sz w:val="22"/>
          <w:szCs w:val="22"/>
        </w:rPr>
      </w:pPr>
      <w:r w:rsidRPr="0001502D">
        <w:rPr>
          <w:rFonts w:ascii="Arial" w:hAnsi="Arial" w:cs="Arial"/>
          <w:sz w:val="22"/>
          <w:szCs w:val="22"/>
        </w:rPr>
        <w:t xml:space="preserve">R.3 : </w:t>
      </w:r>
      <w:r w:rsidRPr="0001502D">
        <w:rPr>
          <w:rFonts w:ascii="Arial" w:hAnsi="Arial" w:cs="Arial"/>
          <w:sz w:val="22"/>
          <w:szCs w:val="22"/>
        </w:rPr>
        <w:tab/>
        <w:t>Compte tenu de l</w:t>
      </w:r>
      <w:r w:rsidR="009C104E">
        <w:rPr>
          <w:rFonts w:ascii="Arial" w:hAnsi="Arial" w:cs="Arial"/>
          <w:sz w:val="22"/>
          <w:szCs w:val="22"/>
        </w:rPr>
        <w:t>’</w:t>
      </w:r>
      <w:r w:rsidRPr="0001502D">
        <w:rPr>
          <w:rFonts w:ascii="Arial" w:hAnsi="Arial" w:cs="Arial"/>
          <w:sz w:val="22"/>
          <w:szCs w:val="22"/>
        </w:rPr>
        <w:t>importance de l</w:t>
      </w:r>
      <w:r w:rsidR="009C104E">
        <w:rPr>
          <w:rFonts w:ascii="Arial" w:hAnsi="Arial" w:cs="Arial"/>
          <w:sz w:val="22"/>
          <w:szCs w:val="22"/>
        </w:rPr>
        <w:t>’</w:t>
      </w:r>
      <w:r w:rsidRPr="0001502D">
        <w:rPr>
          <w:rFonts w:ascii="Arial" w:hAnsi="Arial" w:cs="Arial"/>
          <w:sz w:val="22"/>
          <w:szCs w:val="22"/>
        </w:rPr>
        <w:t>élément pour les Turkmènes, de nombreuses mesures de sauvegarde ont déjà été entreprises par les communautés et l</w:t>
      </w:r>
      <w:r w:rsidR="009C104E">
        <w:rPr>
          <w:rFonts w:ascii="Arial" w:hAnsi="Arial" w:cs="Arial"/>
          <w:sz w:val="22"/>
          <w:szCs w:val="22"/>
        </w:rPr>
        <w:t>’</w:t>
      </w:r>
      <w:r w:rsidRPr="0001502D">
        <w:rPr>
          <w:rFonts w:ascii="Arial" w:hAnsi="Arial" w:cs="Arial"/>
          <w:sz w:val="22"/>
          <w:szCs w:val="22"/>
        </w:rPr>
        <w:t>État partie. Les mesures de sauvegarde proposées s</w:t>
      </w:r>
      <w:r w:rsidR="009C104E">
        <w:rPr>
          <w:rFonts w:ascii="Arial" w:hAnsi="Arial" w:cs="Arial"/>
          <w:sz w:val="22"/>
          <w:szCs w:val="22"/>
        </w:rPr>
        <w:t>’</w:t>
      </w:r>
      <w:r w:rsidRPr="0001502D">
        <w:rPr>
          <w:rFonts w:ascii="Arial" w:hAnsi="Arial" w:cs="Arial"/>
          <w:sz w:val="22"/>
          <w:szCs w:val="22"/>
        </w:rPr>
        <w:t>inscrivent dans la continuité de ce qui a été fait et sont logiquement organisées autour de sept axes principaux : la transmission, la recherche et la documentation, l</w:t>
      </w:r>
      <w:r w:rsidR="009C104E">
        <w:rPr>
          <w:rFonts w:ascii="Arial" w:hAnsi="Arial" w:cs="Arial"/>
          <w:sz w:val="22"/>
          <w:szCs w:val="22"/>
        </w:rPr>
        <w:t>’</w:t>
      </w:r>
      <w:r w:rsidRPr="0001502D">
        <w:rPr>
          <w:rFonts w:ascii="Arial" w:hAnsi="Arial" w:cs="Arial"/>
          <w:sz w:val="22"/>
          <w:szCs w:val="22"/>
        </w:rPr>
        <w:t>éducation, les publications, la promotion et la sensibilisation, la protection et la préservation, et le renforcement des capacités nationales. Même si elles sont majoritairement organisées au niveau institutionnel, les tapissiers et les autres praticiens jouent un rôle essentiel dans leur mise en œuvre.</w:t>
      </w:r>
    </w:p>
    <w:p w14:paraId="7E8C95BB" w14:textId="5667D09C" w:rsidR="0001502D" w:rsidRPr="0001502D" w:rsidRDefault="0001502D" w:rsidP="00A036F1">
      <w:pPr>
        <w:tabs>
          <w:tab w:val="left" w:pos="1134"/>
          <w:tab w:val="left" w:pos="2268"/>
        </w:tabs>
        <w:spacing w:before="120" w:after="120"/>
        <w:ind w:left="1134" w:hanging="555"/>
        <w:jc w:val="both"/>
        <w:rPr>
          <w:rFonts w:ascii="Arial" w:hAnsi="Arial" w:cs="Arial"/>
          <w:sz w:val="22"/>
          <w:szCs w:val="22"/>
        </w:rPr>
      </w:pPr>
      <w:r w:rsidRPr="0001502D">
        <w:rPr>
          <w:rFonts w:ascii="Arial" w:hAnsi="Arial" w:cs="Arial"/>
          <w:sz w:val="22"/>
          <w:szCs w:val="22"/>
        </w:rPr>
        <w:t xml:space="preserve">R.4 : </w:t>
      </w:r>
      <w:r w:rsidRPr="0001502D">
        <w:rPr>
          <w:rFonts w:ascii="Arial" w:hAnsi="Arial" w:cs="Arial"/>
          <w:sz w:val="22"/>
          <w:szCs w:val="22"/>
        </w:rPr>
        <w:tab/>
        <w:t>L</w:t>
      </w:r>
      <w:r w:rsidR="009C104E">
        <w:rPr>
          <w:rFonts w:ascii="Arial" w:hAnsi="Arial" w:cs="Arial"/>
          <w:sz w:val="22"/>
          <w:szCs w:val="22"/>
        </w:rPr>
        <w:t>’</w:t>
      </w:r>
      <w:r w:rsidRPr="0001502D">
        <w:rPr>
          <w:rFonts w:ascii="Arial" w:hAnsi="Arial" w:cs="Arial"/>
          <w:sz w:val="22"/>
          <w:szCs w:val="22"/>
        </w:rPr>
        <w:t xml:space="preserve">art traditionnel de la fabrication des tapis </w:t>
      </w:r>
      <w:r w:rsidR="006471DB" w:rsidRPr="006471DB">
        <w:rPr>
          <w:rFonts w:ascii="Arial" w:hAnsi="Arial" w:cs="Arial"/>
          <w:sz w:val="22"/>
          <w:szCs w:val="22"/>
        </w:rPr>
        <w:t xml:space="preserve">turkmènes </w:t>
      </w:r>
      <w:r w:rsidRPr="0001502D">
        <w:rPr>
          <w:rFonts w:ascii="Arial" w:hAnsi="Arial" w:cs="Arial"/>
          <w:sz w:val="22"/>
          <w:szCs w:val="22"/>
        </w:rPr>
        <w:t>est répandu dans tout le Turkménistan et est pratiqué par de nombreuses personnes. L</w:t>
      </w:r>
      <w:r w:rsidR="009C104E">
        <w:rPr>
          <w:rFonts w:ascii="Arial" w:hAnsi="Arial" w:cs="Arial"/>
          <w:sz w:val="22"/>
          <w:szCs w:val="22"/>
        </w:rPr>
        <w:t>’</w:t>
      </w:r>
      <w:r w:rsidRPr="0001502D">
        <w:rPr>
          <w:rFonts w:ascii="Arial" w:hAnsi="Arial" w:cs="Arial"/>
          <w:sz w:val="22"/>
          <w:szCs w:val="22"/>
        </w:rPr>
        <w:t>État partie a, par conséquent, entrepris de sélectionner des représentants des artisans qui ont soutenu la candidature depuis le début, en 2015. Plusieurs réunions et ateliers ont été organisés afin de débattre avec les communautés des cinq provinces du pays.</w:t>
      </w:r>
    </w:p>
    <w:p w14:paraId="72591659" w14:textId="41722BE5" w:rsidR="0001502D" w:rsidRPr="0001502D" w:rsidRDefault="0001502D" w:rsidP="00A036F1">
      <w:pPr>
        <w:tabs>
          <w:tab w:val="left" w:pos="1134"/>
          <w:tab w:val="left" w:pos="2268"/>
        </w:tabs>
        <w:spacing w:before="120" w:after="120"/>
        <w:ind w:left="1134" w:hanging="555"/>
        <w:jc w:val="both"/>
        <w:rPr>
          <w:rFonts w:ascii="Arial" w:hAnsi="Arial" w:cs="Arial"/>
          <w:sz w:val="22"/>
          <w:szCs w:val="22"/>
        </w:rPr>
      </w:pPr>
      <w:r w:rsidRPr="0001502D">
        <w:rPr>
          <w:rFonts w:ascii="Arial" w:hAnsi="Arial" w:cs="Arial"/>
          <w:sz w:val="22"/>
          <w:szCs w:val="22"/>
        </w:rPr>
        <w:t xml:space="preserve">R.5 : </w:t>
      </w:r>
      <w:r w:rsidRPr="0001502D">
        <w:rPr>
          <w:rFonts w:ascii="Arial" w:hAnsi="Arial" w:cs="Arial"/>
          <w:sz w:val="22"/>
          <w:szCs w:val="22"/>
        </w:rPr>
        <w:tab/>
        <w:t>L</w:t>
      </w:r>
      <w:r w:rsidR="009C104E">
        <w:rPr>
          <w:rFonts w:ascii="Arial" w:hAnsi="Arial" w:cs="Arial"/>
          <w:sz w:val="22"/>
          <w:szCs w:val="22"/>
        </w:rPr>
        <w:t>’</w:t>
      </w:r>
      <w:r w:rsidRPr="0001502D">
        <w:rPr>
          <w:rFonts w:ascii="Arial" w:hAnsi="Arial" w:cs="Arial"/>
          <w:sz w:val="22"/>
          <w:szCs w:val="22"/>
        </w:rPr>
        <w:t xml:space="preserve">art traditionnel de la fabrication des tapis </w:t>
      </w:r>
      <w:r w:rsidR="006471DB" w:rsidRPr="006471DB">
        <w:rPr>
          <w:rFonts w:ascii="Arial" w:hAnsi="Arial" w:cs="Arial"/>
          <w:sz w:val="22"/>
          <w:szCs w:val="22"/>
        </w:rPr>
        <w:t>turkmènes</w:t>
      </w:r>
      <w:r w:rsidR="006471DB">
        <w:rPr>
          <w:rFonts w:ascii="Arial" w:hAnsi="Arial" w:cs="Arial"/>
          <w:sz w:val="22"/>
          <w:szCs w:val="22"/>
        </w:rPr>
        <w:t xml:space="preserve"> </w:t>
      </w:r>
      <w:r w:rsidRPr="0001502D">
        <w:rPr>
          <w:rFonts w:ascii="Arial" w:hAnsi="Arial" w:cs="Arial"/>
          <w:sz w:val="22"/>
          <w:szCs w:val="22"/>
        </w:rPr>
        <w:t>a été inscrit en 2013 à l</w:t>
      </w:r>
      <w:r w:rsidR="009C104E">
        <w:rPr>
          <w:rFonts w:ascii="Arial" w:hAnsi="Arial" w:cs="Arial"/>
          <w:sz w:val="22"/>
          <w:szCs w:val="22"/>
        </w:rPr>
        <w:t>’</w:t>
      </w:r>
      <w:r w:rsidRPr="0001502D">
        <w:rPr>
          <w:rFonts w:ascii="Arial" w:hAnsi="Arial" w:cs="Arial"/>
          <w:sz w:val="22"/>
          <w:szCs w:val="22"/>
        </w:rPr>
        <w:t>Inventaire national du patrimoine culturel immatériel du Turkménistan, qui est mis à jour chaque année grâce aux informations collectées lors d</w:t>
      </w:r>
      <w:r w:rsidR="009C104E">
        <w:rPr>
          <w:rFonts w:ascii="Arial" w:hAnsi="Arial" w:cs="Arial"/>
          <w:sz w:val="22"/>
          <w:szCs w:val="22"/>
        </w:rPr>
        <w:t>’</w:t>
      </w:r>
      <w:r w:rsidRPr="0001502D">
        <w:rPr>
          <w:rFonts w:ascii="Arial" w:hAnsi="Arial" w:cs="Arial"/>
          <w:sz w:val="22"/>
          <w:szCs w:val="22"/>
        </w:rPr>
        <w:t>expéditions sur site. Les communautés concernées ont été impliquées à toutes les étapes de l</w:t>
      </w:r>
      <w:r w:rsidR="009C104E">
        <w:rPr>
          <w:rFonts w:ascii="Arial" w:hAnsi="Arial" w:cs="Arial"/>
          <w:sz w:val="22"/>
          <w:szCs w:val="22"/>
        </w:rPr>
        <w:t>’</w:t>
      </w:r>
      <w:r w:rsidRPr="0001502D">
        <w:rPr>
          <w:rFonts w:ascii="Arial" w:hAnsi="Arial" w:cs="Arial"/>
          <w:sz w:val="22"/>
          <w:szCs w:val="22"/>
        </w:rPr>
        <w:t>inventaire par le biais d</w:t>
      </w:r>
      <w:r w:rsidR="009C104E">
        <w:rPr>
          <w:rFonts w:ascii="Arial" w:hAnsi="Arial" w:cs="Arial"/>
          <w:sz w:val="22"/>
          <w:szCs w:val="22"/>
        </w:rPr>
        <w:t>’</w:t>
      </w:r>
      <w:r w:rsidRPr="0001502D">
        <w:rPr>
          <w:rFonts w:ascii="Arial" w:hAnsi="Arial" w:cs="Arial"/>
          <w:sz w:val="22"/>
          <w:szCs w:val="22"/>
        </w:rPr>
        <w:t>entretiens, de récits, de présentations et de démonstrations des savoir-faire, traditions et connaissances qui ont été collectés et traités sous forme de textes, de photographies et d</w:t>
      </w:r>
      <w:r w:rsidR="009C104E">
        <w:rPr>
          <w:rFonts w:ascii="Arial" w:hAnsi="Arial" w:cs="Arial"/>
          <w:sz w:val="22"/>
          <w:szCs w:val="22"/>
        </w:rPr>
        <w:t>’</w:t>
      </w:r>
      <w:r w:rsidRPr="0001502D">
        <w:rPr>
          <w:rFonts w:ascii="Arial" w:hAnsi="Arial" w:cs="Arial"/>
          <w:sz w:val="22"/>
          <w:szCs w:val="22"/>
        </w:rPr>
        <w:t>enregistrements audio et vidéo.</w:t>
      </w:r>
    </w:p>
    <w:p w14:paraId="5EBB586E" w14:textId="36599EF3" w:rsidR="0001502D" w:rsidRPr="0001502D" w:rsidRDefault="0001502D" w:rsidP="00771F30">
      <w:pPr>
        <w:numPr>
          <w:ilvl w:val="1"/>
          <w:numId w:val="43"/>
        </w:numPr>
        <w:tabs>
          <w:tab w:val="left" w:pos="567"/>
          <w:tab w:val="left" w:pos="1701"/>
          <w:tab w:val="left" w:pos="2268"/>
        </w:tabs>
        <w:spacing w:before="120" w:after="120"/>
        <w:ind w:left="567"/>
        <w:jc w:val="both"/>
        <w:rPr>
          <w:rFonts w:ascii="Arial" w:hAnsi="Arial" w:cs="Arial"/>
          <w:sz w:val="22"/>
          <w:szCs w:val="22"/>
          <w:lang w:eastAsia="ko-KR"/>
        </w:rPr>
      </w:pPr>
      <w:r w:rsidRPr="0001502D">
        <w:rPr>
          <w:rFonts w:ascii="Arial" w:hAnsi="Arial" w:cs="Arial"/>
          <w:sz w:val="22"/>
          <w:szCs w:val="22"/>
          <w:u w:val="single"/>
          <w:lang w:eastAsia="ko-KR"/>
        </w:rPr>
        <w:t>Décide d</w:t>
      </w:r>
      <w:r w:rsidR="009C104E">
        <w:rPr>
          <w:rFonts w:ascii="Arial" w:hAnsi="Arial" w:cs="Arial"/>
          <w:sz w:val="22"/>
          <w:szCs w:val="22"/>
          <w:u w:val="single"/>
          <w:lang w:eastAsia="ko-KR"/>
        </w:rPr>
        <w:t>’</w:t>
      </w:r>
      <w:r w:rsidRPr="0001502D">
        <w:rPr>
          <w:rFonts w:ascii="Arial" w:hAnsi="Arial" w:cs="Arial"/>
          <w:sz w:val="22"/>
          <w:szCs w:val="22"/>
          <w:u w:val="single"/>
          <w:lang w:eastAsia="ko-KR"/>
        </w:rPr>
        <w:t>inscrire</w:t>
      </w:r>
      <w:r w:rsidRPr="0001502D">
        <w:rPr>
          <w:rFonts w:ascii="Arial" w:hAnsi="Arial" w:cs="Arial"/>
          <w:sz w:val="22"/>
          <w:szCs w:val="22"/>
          <w:lang w:eastAsia="ko-KR"/>
        </w:rPr>
        <w:t xml:space="preserve"> </w:t>
      </w:r>
      <w:r w:rsidRPr="0001502D">
        <w:rPr>
          <w:rFonts w:ascii="Arial" w:hAnsi="Arial" w:cs="Arial"/>
          <w:b/>
          <w:bCs/>
          <w:sz w:val="22"/>
          <w:szCs w:val="22"/>
          <w:lang w:eastAsia="ko-KR"/>
        </w:rPr>
        <w:t>l</w:t>
      </w:r>
      <w:r w:rsidR="009C104E">
        <w:rPr>
          <w:rFonts w:ascii="Arial" w:hAnsi="Arial" w:cs="Arial"/>
          <w:b/>
          <w:bCs/>
          <w:sz w:val="22"/>
          <w:szCs w:val="22"/>
          <w:lang w:eastAsia="ko-KR"/>
        </w:rPr>
        <w:t>’</w:t>
      </w:r>
      <w:r w:rsidRPr="0001502D">
        <w:rPr>
          <w:rFonts w:ascii="Arial" w:hAnsi="Arial" w:cs="Arial"/>
          <w:b/>
          <w:bCs/>
          <w:sz w:val="22"/>
          <w:szCs w:val="22"/>
          <w:lang w:eastAsia="ko-KR"/>
        </w:rPr>
        <w:t xml:space="preserve">art traditionnel de la fabrication des tapis </w:t>
      </w:r>
      <w:r w:rsidR="006471DB" w:rsidRPr="006471DB">
        <w:rPr>
          <w:rFonts w:ascii="Arial" w:hAnsi="Arial" w:cs="Arial"/>
          <w:b/>
          <w:sz w:val="22"/>
          <w:szCs w:val="22"/>
        </w:rPr>
        <w:t>turkmènes</w:t>
      </w:r>
      <w:r w:rsidR="006471DB" w:rsidRPr="006471DB">
        <w:rPr>
          <w:rFonts w:ascii="Arial" w:hAnsi="Arial" w:cs="Arial"/>
          <w:sz w:val="22"/>
          <w:szCs w:val="22"/>
        </w:rPr>
        <w:t xml:space="preserve"> </w:t>
      </w:r>
      <w:r w:rsidRPr="0001502D">
        <w:rPr>
          <w:rFonts w:ascii="Arial" w:hAnsi="Arial" w:cs="Arial"/>
          <w:b/>
          <w:bCs/>
          <w:sz w:val="22"/>
          <w:szCs w:val="22"/>
          <w:lang w:eastAsia="ko-KR"/>
        </w:rPr>
        <w:t>au Turkménistan</w:t>
      </w:r>
      <w:r w:rsidRPr="0001502D">
        <w:rPr>
          <w:rFonts w:ascii="Arial" w:hAnsi="Arial" w:cs="Arial"/>
          <w:sz w:val="22"/>
          <w:szCs w:val="22"/>
          <w:lang w:eastAsia="ko-KR"/>
        </w:rPr>
        <w:t xml:space="preserve"> sur la Liste représentative du patrimoine culturel immatériel de l</w:t>
      </w:r>
      <w:r w:rsidR="009C104E">
        <w:rPr>
          <w:rFonts w:ascii="Arial" w:hAnsi="Arial" w:cs="Arial"/>
          <w:sz w:val="22"/>
          <w:szCs w:val="22"/>
          <w:lang w:eastAsia="ko-KR"/>
        </w:rPr>
        <w:t>’</w:t>
      </w:r>
      <w:r w:rsidRPr="0001502D">
        <w:rPr>
          <w:rFonts w:ascii="Arial" w:hAnsi="Arial" w:cs="Arial"/>
          <w:sz w:val="22"/>
          <w:szCs w:val="22"/>
          <w:lang w:eastAsia="ko-KR"/>
        </w:rPr>
        <w:t>humanité.</w:t>
      </w:r>
    </w:p>
    <w:p w14:paraId="543C56CA" w14:textId="749E7A55" w:rsidR="0001502D" w:rsidRPr="0001502D" w:rsidRDefault="0001502D" w:rsidP="00771F30">
      <w:pPr>
        <w:numPr>
          <w:ilvl w:val="1"/>
          <w:numId w:val="43"/>
        </w:numPr>
        <w:tabs>
          <w:tab w:val="left" w:pos="567"/>
          <w:tab w:val="left" w:pos="1701"/>
          <w:tab w:val="left" w:pos="2268"/>
        </w:tabs>
        <w:spacing w:before="120" w:after="120"/>
        <w:ind w:left="567" w:hanging="578"/>
        <w:jc w:val="both"/>
        <w:rPr>
          <w:rFonts w:ascii="Arial" w:hAnsi="Arial" w:cs="Arial"/>
          <w:sz w:val="22"/>
          <w:szCs w:val="22"/>
          <w:lang w:eastAsia="ko-KR"/>
        </w:rPr>
      </w:pPr>
      <w:r w:rsidRPr="0001502D">
        <w:rPr>
          <w:rFonts w:ascii="Arial" w:hAnsi="Arial" w:cs="Arial"/>
          <w:sz w:val="22"/>
          <w:szCs w:val="22"/>
          <w:u w:val="single"/>
          <w:lang w:eastAsia="ko-KR"/>
        </w:rPr>
        <w:t>Invite</w:t>
      </w:r>
      <w:r w:rsidRPr="0001502D">
        <w:rPr>
          <w:rFonts w:ascii="Arial" w:hAnsi="Arial" w:cs="Arial"/>
          <w:sz w:val="22"/>
          <w:szCs w:val="22"/>
          <w:lang w:eastAsia="ko-KR"/>
        </w:rPr>
        <w:t xml:space="preserve"> l</w:t>
      </w:r>
      <w:r w:rsidR="009C104E">
        <w:rPr>
          <w:rFonts w:ascii="Arial" w:hAnsi="Arial" w:cs="Arial"/>
          <w:sz w:val="22"/>
          <w:szCs w:val="22"/>
          <w:lang w:eastAsia="ko-KR"/>
        </w:rPr>
        <w:t>’</w:t>
      </w:r>
      <w:r w:rsidRPr="0001502D">
        <w:rPr>
          <w:rFonts w:ascii="Arial" w:hAnsi="Arial" w:cs="Arial"/>
          <w:sz w:val="22"/>
          <w:szCs w:val="22"/>
          <w:lang w:eastAsia="ko-KR"/>
        </w:rPr>
        <w:t>État partie à réfléchir à des mesures visant à permettre l</w:t>
      </w:r>
      <w:r w:rsidR="009C104E">
        <w:rPr>
          <w:rFonts w:ascii="Arial" w:hAnsi="Arial" w:cs="Arial"/>
          <w:sz w:val="22"/>
          <w:szCs w:val="22"/>
          <w:lang w:eastAsia="ko-KR"/>
        </w:rPr>
        <w:t>’</w:t>
      </w:r>
      <w:r w:rsidRPr="0001502D">
        <w:rPr>
          <w:rFonts w:ascii="Arial" w:hAnsi="Arial" w:cs="Arial"/>
          <w:sz w:val="22"/>
          <w:szCs w:val="22"/>
          <w:lang w:eastAsia="ko-KR"/>
        </w:rPr>
        <w:t>indépendance socioéconomique des femmes, compte tenu de leur rôle essentiel dans la sauvegarde de l</w:t>
      </w:r>
      <w:r w:rsidR="009C104E">
        <w:rPr>
          <w:rFonts w:ascii="Arial" w:hAnsi="Arial" w:cs="Arial"/>
          <w:sz w:val="22"/>
          <w:szCs w:val="22"/>
          <w:lang w:eastAsia="ko-KR"/>
        </w:rPr>
        <w:t>’</w:t>
      </w:r>
      <w:r w:rsidRPr="0001502D">
        <w:rPr>
          <w:rFonts w:ascii="Arial" w:hAnsi="Arial" w:cs="Arial"/>
          <w:sz w:val="22"/>
          <w:szCs w:val="22"/>
          <w:lang w:eastAsia="ko-KR"/>
        </w:rPr>
        <w:t>élément.</w:t>
      </w:r>
    </w:p>
    <w:p w14:paraId="29DA73A1" w14:textId="0F70DBB1" w:rsidR="0001502D" w:rsidRPr="0001502D" w:rsidRDefault="0001502D" w:rsidP="00771F30">
      <w:pPr>
        <w:keepNext/>
        <w:keepLines/>
        <w:numPr>
          <w:ilvl w:val="0"/>
          <w:numId w:val="43"/>
        </w:numPr>
        <w:spacing w:before="360" w:after="120"/>
        <w:outlineLvl w:val="1"/>
        <w:rPr>
          <w:rFonts w:ascii="Arial" w:hAnsi="Arial" w:cs="Arial"/>
          <w:bCs/>
          <w:iCs/>
          <w:sz w:val="22"/>
          <w:szCs w:val="22"/>
        </w:rPr>
      </w:pPr>
      <w:bookmarkStart w:id="43" w:name="Decision_10b40"/>
      <w:r w:rsidRPr="0001502D">
        <w:rPr>
          <w:rFonts w:ascii="Arial" w:hAnsi="Arial" w:cs="Arial"/>
          <w:b/>
          <w:bCs/>
          <w:iCs/>
          <w:sz w:val="22"/>
          <w:szCs w:val="22"/>
        </w:rPr>
        <w:t xml:space="preserve">DÉCISION 14.COM 10.b.40 </w:t>
      </w:r>
    </w:p>
    <w:bookmarkEnd w:id="43"/>
    <w:p w14:paraId="3C929EB6" w14:textId="77777777" w:rsidR="0001502D" w:rsidRPr="0001502D" w:rsidRDefault="0001502D" w:rsidP="00972AAF">
      <w:pPr>
        <w:keepNext/>
        <w:tabs>
          <w:tab w:val="left" w:pos="567"/>
          <w:tab w:val="left" w:pos="1134"/>
          <w:tab w:val="left" w:pos="1701"/>
          <w:tab w:val="left" w:pos="2268"/>
        </w:tabs>
        <w:spacing w:before="120" w:after="120"/>
        <w:jc w:val="both"/>
        <w:rPr>
          <w:rFonts w:ascii="Arial" w:hAnsi="Arial" w:cs="Arial"/>
          <w:sz w:val="22"/>
          <w:szCs w:val="22"/>
        </w:rPr>
      </w:pPr>
      <w:r w:rsidRPr="0001502D">
        <w:rPr>
          <w:rFonts w:ascii="Arial" w:hAnsi="Arial" w:cs="Arial"/>
          <w:sz w:val="22"/>
          <w:szCs w:val="22"/>
        </w:rPr>
        <w:t>Le Comité,</w:t>
      </w:r>
    </w:p>
    <w:p w14:paraId="5FDF80EF" w14:textId="64051B3A" w:rsidR="0001502D" w:rsidRPr="0001502D" w:rsidRDefault="0001502D" w:rsidP="00771F30">
      <w:pPr>
        <w:numPr>
          <w:ilvl w:val="1"/>
          <w:numId w:val="43"/>
        </w:numPr>
        <w:tabs>
          <w:tab w:val="left" w:pos="567"/>
          <w:tab w:val="left" w:pos="1701"/>
          <w:tab w:val="left" w:pos="2268"/>
        </w:tabs>
        <w:spacing w:before="120" w:after="120"/>
        <w:ind w:left="567"/>
        <w:jc w:val="both"/>
        <w:rPr>
          <w:rFonts w:ascii="Arial" w:hAnsi="Arial" w:cs="Arial"/>
          <w:sz w:val="22"/>
          <w:szCs w:val="22"/>
          <w:lang w:eastAsia="ko-KR"/>
        </w:rPr>
      </w:pPr>
      <w:r w:rsidRPr="0001502D">
        <w:rPr>
          <w:rFonts w:ascii="Arial" w:hAnsi="Arial" w:cs="Arial"/>
          <w:sz w:val="22"/>
          <w:szCs w:val="22"/>
          <w:u w:val="single"/>
          <w:lang w:eastAsia="ko-KR"/>
        </w:rPr>
        <w:t>Prend note</w:t>
      </w:r>
      <w:r w:rsidRPr="0001502D">
        <w:rPr>
          <w:rFonts w:ascii="Arial" w:hAnsi="Arial" w:cs="Arial"/>
          <w:sz w:val="22"/>
          <w:szCs w:val="22"/>
          <w:lang w:eastAsia="ko-KR"/>
        </w:rPr>
        <w:t xml:space="preserve"> que l</w:t>
      </w:r>
      <w:r w:rsidR="009C104E">
        <w:rPr>
          <w:rFonts w:ascii="Arial" w:hAnsi="Arial" w:cs="Arial"/>
          <w:sz w:val="22"/>
          <w:szCs w:val="22"/>
          <w:lang w:eastAsia="ko-KR"/>
        </w:rPr>
        <w:t>’</w:t>
      </w:r>
      <w:r w:rsidRPr="0001502D">
        <w:rPr>
          <w:rFonts w:ascii="Arial" w:hAnsi="Arial" w:cs="Arial"/>
          <w:sz w:val="22"/>
          <w:szCs w:val="22"/>
          <w:lang w:eastAsia="ko-KR"/>
        </w:rPr>
        <w:t xml:space="preserve">Ukraine a proposé la candidature de </w:t>
      </w:r>
      <w:r w:rsidR="00C254CB" w:rsidRPr="00C254CB">
        <w:rPr>
          <w:rFonts w:ascii="Arial" w:hAnsi="Arial" w:cs="Arial"/>
          <w:b/>
          <w:sz w:val="22"/>
          <w:szCs w:val="22"/>
          <w:lang w:eastAsia="ko-KR"/>
        </w:rPr>
        <w:t xml:space="preserve">la tradition des céramiques peintes </w:t>
      </w:r>
      <w:r w:rsidRPr="0001502D">
        <w:rPr>
          <w:rFonts w:ascii="Arial" w:hAnsi="Arial" w:cs="Arial"/>
          <w:b/>
          <w:bCs/>
          <w:sz w:val="22"/>
          <w:szCs w:val="22"/>
          <w:lang w:eastAsia="ko-KR"/>
        </w:rPr>
        <w:t>de Kossiv</w:t>
      </w:r>
      <w:r w:rsidRPr="0001502D">
        <w:rPr>
          <w:rFonts w:ascii="Arial" w:hAnsi="Arial" w:cs="Arial"/>
          <w:sz w:val="22"/>
          <w:szCs w:val="22"/>
          <w:lang w:eastAsia="ko-KR"/>
        </w:rPr>
        <w:t xml:space="preserve"> (n° 01456) pour inscription sur la Liste représentative du patrimoine culturel immatériel de l</w:t>
      </w:r>
      <w:r w:rsidR="009C104E">
        <w:rPr>
          <w:rFonts w:ascii="Arial" w:hAnsi="Arial" w:cs="Arial"/>
          <w:sz w:val="22"/>
          <w:szCs w:val="22"/>
          <w:lang w:eastAsia="ko-KR"/>
        </w:rPr>
        <w:t>’</w:t>
      </w:r>
      <w:r w:rsidRPr="0001502D">
        <w:rPr>
          <w:rFonts w:ascii="Arial" w:hAnsi="Arial" w:cs="Arial"/>
          <w:sz w:val="22"/>
          <w:szCs w:val="22"/>
          <w:lang w:eastAsia="ko-KR"/>
        </w:rPr>
        <w:t>humanité :</w:t>
      </w:r>
    </w:p>
    <w:p w14:paraId="1C624258" w14:textId="32F271E3" w:rsidR="0001502D" w:rsidRPr="0001502D" w:rsidRDefault="0001502D" w:rsidP="00972AAF">
      <w:pPr>
        <w:tabs>
          <w:tab w:val="left" w:pos="567"/>
          <w:tab w:val="left" w:pos="1701"/>
          <w:tab w:val="left" w:pos="2268"/>
        </w:tabs>
        <w:spacing w:before="120" w:after="120"/>
        <w:ind w:left="567"/>
        <w:jc w:val="both"/>
        <w:rPr>
          <w:rFonts w:ascii="Arial" w:hAnsi="Arial" w:cs="Arial"/>
          <w:sz w:val="22"/>
          <w:szCs w:val="22"/>
        </w:rPr>
      </w:pPr>
      <w:r w:rsidRPr="0001502D">
        <w:rPr>
          <w:rFonts w:ascii="Arial" w:hAnsi="Arial" w:cs="Arial"/>
          <w:sz w:val="22"/>
          <w:szCs w:val="22"/>
        </w:rPr>
        <w:t xml:space="preserve">La tradition </w:t>
      </w:r>
      <w:r w:rsidR="00C254CB">
        <w:rPr>
          <w:rFonts w:ascii="Arial" w:hAnsi="Arial" w:cs="Arial"/>
          <w:sz w:val="22"/>
          <w:szCs w:val="22"/>
        </w:rPr>
        <w:t>des</w:t>
      </w:r>
      <w:r w:rsidRPr="0001502D">
        <w:rPr>
          <w:rFonts w:ascii="Arial" w:hAnsi="Arial" w:cs="Arial"/>
          <w:sz w:val="22"/>
          <w:szCs w:val="22"/>
        </w:rPr>
        <w:t xml:space="preserve"> céramique</w:t>
      </w:r>
      <w:r w:rsidR="00C254CB">
        <w:rPr>
          <w:rFonts w:ascii="Arial" w:hAnsi="Arial" w:cs="Arial"/>
          <w:sz w:val="22"/>
          <w:szCs w:val="22"/>
        </w:rPr>
        <w:t>s</w:t>
      </w:r>
      <w:r w:rsidRPr="0001502D">
        <w:rPr>
          <w:rFonts w:ascii="Arial" w:hAnsi="Arial" w:cs="Arial"/>
          <w:sz w:val="22"/>
          <w:szCs w:val="22"/>
        </w:rPr>
        <w:t xml:space="preserve"> peinte</w:t>
      </w:r>
      <w:r w:rsidR="00C254CB">
        <w:rPr>
          <w:rFonts w:ascii="Arial" w:hAnsi="Arial" w:cs="Arial"/>
          <w:sz w:val="22"/>
          <w:szCs w:val="22"/>
        </w:rPr>
        <w:t>s</w:t>
      </w:r>
      <w:r w:rsidRPr="0001502D">
        <w:rPr>
          <w:rFonts w:ascii="Arial" w:hAnsi="Arial" w:cs="Arial"/>
          <w:sz w:val="22"/>
          <w:szCs w:val="22"/>
        </w:rPr>
        <w:t xml:space="preserve"> de Kossiv, qui concerne la vaisselle, les objets cérémoniels, les jouets et le carrelage, est née au XVIII</w:t>
      </w:r>
      <w:r w:rsidRPr="0001502D">
        <w:rPr>
          <w:rFonts w:ascii="Arial" w:hAnsi="Arial" w:cs="Arial"/>
          <w:sz w:val="22"/>
          <w:szCs w:val="22"/>
          <w:vertAlign w:val="superscript"/>
        </w:rPr>
        <w:t>e</w:t>
      </w:r>
      <w:r w:rsidRPr="0001502D">
        <w:rPr>
          <w:rFonts w:ascii="Arial" w:hAnsi="Arial" w:cs="Arial"/>
          <w:sz w:val="22"/>
          <w:szCs w:val="22"/>
        </w:rPr>
        <w:t> siècle et a connu son âge d</w:t>
      </w:r>
      <w:r w:rsidR="009C104E">
        <w:rPr>
          <w:rFonts w:ascii="Arial" w:hAnsi="Arial" w:cs="Arial"/>
          <w:sz w:val="22"/>
          <w:szCs w:val="22"/>
        </w:rPr>
        <w:t>’</w:t>
      </w:r>
      <w:r w:rsidRPr="0001502D">
        <w:rPr>
          <w:rFonts w:ascii="Arial" w:hAnsi="Arial" w:cs="Arial"/>
          <w:sz w:val="22"/>
          <w:szCs w:val="22"/>
        </w:rPr>
        <w:t>or au milieu du XIX</w:t>
      </w:r>
      <w:r w:rsidRPr="0001502D">
        <w:rPr>
          <w:rFonts w:ascii="Arial" w:hAnsi="Arial" w:cs="Arial"/>
          <w:sz w:val="22"/>
          <w:szCs w:val="22"/>
          <w:vertAlign w:val="superscript"/>
        </w:rPr>
        <w:t>e</w:t>
      </w:r>
      <w:r w:rsidRPr="0001502D">
        <w:rPr>
          <w:rFonts w:ascii="Arial" w:hAnsi="Arial" w:cs="Arial"/>
          <w:sz w:val="22"/>
          <w:szCs w:val="22"/>
        </w:rPr>
        <w:t> siècle. Les objets sont fabriqués à partir d</w:t>
      </w:r>
      <w:r w:rsidR="009C104E">
        <w:rPr>
          <w:rFonts w:ascii="Arial" w:hAnsi="Arial" w:cs="Arial"/>
          <w:sz w:val="22"/>
          <w:szCs w:val="22"/>
        </w:rPr>
        <w:t>’</w:t>
      </w:r>
      <w:r w:rsidRPr="0001502D">
        <w:rPr>
          <w:rFonts w:ascii="Arial" w:hAnsi="Arial" w:cs="Arial"/>
          <w:sz w:val="22"/>
          <w:szCs w:val="22"/>
        </w:rPr>
        <w:t>argile grise locale, puis recouverts d</w:t>
      </w:r>
      <w:r w:rsidR="009C104E">
        <w:rPr>
          <w:rFonts w:ascii="Arial" w:hAnsi="Arial" w:cs="Arial"/>
          <w:sz w:val="22"/>
          <w:szCs w:val="22"/>
        </w:rPr>
        <w:t>’</w:t>
      </w:r>
      <w:r w:rsidRPr="0001502D">
        <w:rPr>
          <w:rFonts w:ascii="Arial" w:hAnsi="Arial" w:cs="Arial"/>
          <w:sz w:val="22"/>
          <w:szCs w:val="22"/>
        </w:rPr>
        <w:t>une argile blanche à la texture crémeuse. Une fois secs, le contour des dessins est créé en grattant la surface des objets à l</w:t>
      </w:r>
      <w:r w:rsidR="009C104E">
        <w:rPr>
          <w:rFonts w:ascii="Arial" w:hAnsi="Arial" w:cs="Arial"/>
          <w:sz w:val="22"/>
          <w:szCs w:val="22"/>
        </w:rPr>
        <w:t>’</w:t>
      </w:r>
      <w:r w:rsidRPr="0001502D">
        <w:rPr>
          <w:rFonts w:ascii="Arial" w:hAnsi="Arial" w:cs="Arial"/>
          <w:sz w:val="22"/>
          <w:szCs w:val="22"/>
        </w:rPr>
        <w:t>aide d</w:t>
      </w:r>
      <w:r w:rsidR="009C104E">
        <w:rPr>
          <w:rFonts w:ascii="Arial" w:hAnsi="Arial" w:cs="Arial"/>
          <w:sz w:val="22"/>
          <w:szCs w:val="22"/>
        </w:rPr>
        <w:t>’</w:t>
      </w:r>
      <w:r w:rsidRPr="0001502D">
        <w:rPr>
          <w:rFonts w:ascii="Arial" w:hAnsi="Arial" w:cs="Arial"/>
          <w:sz w:val="22"/>
          <w:szCs w:val="22"/>
        </w:rPr>
        <w:t>une tige métallique. Ils sont ensuite cuits et peints avec des oxydes métalliques afin de produire les coloris vert et jaune traditionnels, une caractéristique indispensable de ces céramiques. Parfois, les maîtres ajoutent un peu de cobalt, tout en veillant à préserver les couleurs traditionnelles. Pendant la cuisson, le colorant vert s</w:t>
      </w:r>
      <w:r w:rsidR="009C104E">
        <w:rPr>
          <w:rFonts w:ascii="Arial" w:hAnsi="Arial" w:cs="Arial"/>
          <w:sz w:val="22"/>
          <w:szCs w:val="22"/>
        </w:rPr>
        <w:t>’</w:t>
      </w:r>
      <w:r w:rsidRPr="0001502D">
        <w:rPr>
          <w:rFonts w:ascii="Arial" w:hAnsi="Arial" w:cs="Arial"/>
          <w:sz w:val="22"/>
          <w:szCs w:val="22"/>
        </w:rPr>
        <w:t>étale pour créer un effet d</w:t>
      </w:r>
      <w:r w:rsidR="009C104E">
        <w:rPr>
          <w:rFonts w:ascii="Arial" w:hAnsi="Arial" w:cs="Arial"/>
          <w:sz w:val="22"/>
          <w:szCs w:val="22"/>
        </w:rPr>
        <w:t>’</w:t>
      </w:r>
      <w:r w:rsidRPr="0001502D">
        <w:rPr>
          <w:rFonts w:ascii="Arial" w:hAnsi="Arial" w:cs="Arial"/>
          <w:sz w:val="22"/>
          <w:szCs w:val="22"/>
        </w:rPr>
        <w:t>aquarelle, que l</w:t>
      </w:r>
      <w:r w:rsidR="009C104E">
        <w:rPr>
          <w:rFonts w:ascii="Arial" w:hAnsi="Arial" w:cs="Arial"/>
          <w:sz w:val="22"/>
          <w:szCs w:val="22"/>
        </w:rPr>
        <w:t>’</w:t>
      </w:r>
      <w:r w:rsidRPr="0001502D">
        <w:rPr>
          <w:rFonts w:ascii="Arial" w:hAnsi="Arial" w:cs="Arial"/>
          <w:sz w:val="22"/>
          <w:szCs w:val="22"/>
        </w:rPr>
        <w:t>on appelle généralement les « larmes ». Les dessins figuratifs des décors sont la principale caractéristique des céramiques de Kossiv. Ils illustrent l</w:t>
      </w:r>
      <w:r w:rsidR="009C104E">
        <w:rPr>
          <w:rFonts w:ascii="Arial" w:hAnsi="Arial" w:cs="Arial"/>
          <w:sz w:val="22"/>
          <w:szCs w:val="22"/>
        </w:rPr>
        <w:t>’</w:t>
      </w:r>
      <w:r w:rsidRPr="0001502D">
        <w:rPr>
          <w:rFonts w:ascii="Arial" w:hAnsi="Arial" w:cs="Arial"/>
          <w:sz w:val="22"/>
          <w:szCs w:val="22"/>
        </w:rPr>
        <w:t>histoire, la vie, les traditions, les croyances et les coutumes des Houtsoules ainsi que la faune et la flore environnantes. Les céramiques sont utilisées dans la vie quotidienne et ont une valeur pratique et artistique. Les maîtres travaillent dans des ateliers familiaux et de petites échoppes et la pratique constitue un marqueur identitaire ainsi qu</w:t>
      </w:r>
      <w:r w:rsidR="009C104E">
        <w:rPr>
          <w:rFonts w:ascii="Arial" w:hAnsi="Arial" w:cs="Arial"/>
          <w:sz w:val="22"/>
          <w:szCs w:val="22"/>
        </w:rPr>
        <w:t>’</w:t>
      </w:r>
      <w:r w:rsidRPr="0001502D">
        <w:rPr>
          <w:rFonts w:ascii="Arial" w:hAnsi="Arial" w:cs="Arial"/>
          <w:sz w:val="22"/>
          <w:szCs w:val="22"/>
        </w:rPr>
        <w:t>un signe d</w:t>
      </w:r>
      <w:r w:rsidR="009C104E">
        <w:rPr>
          <w:rFonts w:ascii="Arial" w:hAnsi="Arial" w:cs="Arial"/>
          <w:sz w:val="22"/>
          <w:szCs w:val="22"/>
        </w:rPr>
        <w:t>’</w:t>
      </w:r>
      <w:r w:rsidRPr="0001502D">
        <w:rPr>
          <w:rFonts w:ascii="Arial" w:hAnsi="Arial" w:cs="Arial"/>
          <w:sz w:val="22"/>
          <w:szCs w:val="22"/>
        </w:rPr>
        <w:t>appartenance à la communauté. Le Département de céramique d</w:t>
      </w:r>
      <w:r w:rsidR="009C104E">
        <w:rPr>
          <w:rFonts w:ascii="Arial" w:hAnsi="Arial" w:cs="Arial"/>
          <w:sz w:val="22"/>
          <w:szCs w:val="22"/>
        </w:rPr>
        <w:t>’</w:t>
      </w:r>
      <w:r w:rsidRPr="0001502D">
        <w:rPr>
          <w:rFonts w:ascii="Arial" w:hAnsi="Arial" w:cs="Arial"/>
          <w:sz w:val="22"/>
          <w:szCs w:val="22"/>
        </w:rPr>
        <w:t>art de l</w:t>
      </w:r>
      <w:r w:rsidR="009C104E">
        <w:rPr>
          <w:rFonts w:ascii="Arial" w:hAnsi="Arial" w:cs="Arial"/>
          <w:sz w:val="22"/>
          <w:szCs w:val="22"/>
        </w:rPr>
        <w:t>’</w:t>
      </w:r>
      <w:r w:rsidRPr="0001502D">
        <w:rPr>
          <w:rFonts w:ascii="Arial" w:hAnsi="Arial" w:cs="Arial"/>
          <w:sz w:val="22"/>
          <w:szCs w:val="22"/>
        </w:rPr>
        <w:t>Université de Kossiv assure la continuité des générations de maîtres et de détenteurs et assume la responsabilité de faire vivre la tradition et de préserver le cycle technologique traditionnel (tours de potier, argile, outils et fours).</w:t>
      </w:r>
    </w:p>
    <w:p w14:paraId="0097E491" w14:textId="6BB05A6A" w:rsidR="0001502D" w:rsidRPr="0001502D" w:rsidRDefault="0001502D" w:rsidP="00771F30">
      <w:pPr>
        <w:keepNext/>
        <w:numPr>
          <w:ilvl w:val="1"/>
          <w:numId w:val="43"/>
        </w:numPr>
        <w:tabs>
          <w:tab w:val="left" w:pos="567"/>
          <w:tab w:val="left" w:pos="1701"/>
          <w:tab w:val="left" w:pos="2268"/>
        </w:tabs>
        <w:spacing w:before="120" w:after="120"/>
        <w:ind w:left="567"/>
        <w:jc w:val="both"/>
        <w:rPr>
          <w:rFonts w:ascii="Arial" w:hAnsi="Arial" w:cs="Arial"/>
          <w:sz w:val="22"/>
          <w:szCs w:val="22"/>
          <w:lang w:eastAsia="ko-KR"/>
        </w:rPr>
      </w:pPr>
      <w:r w:rsidRPr="0001502D">
        <w:rPr>
          <w:rFonts w:ascii="Arial" w:hAnsi="Arial" w:cs="Arial"/>
          <w:sz w:val="22"/>
          <w:szCs w:val="22"/>
          <w:u w:val="single"/>
          <w:lang w:eastAsia="ko-KR"/>
        </w:rPr>
        <w:t>Estime</w:t>
      </w:r>
      <w:r w:rsidRPr="0001502D">
        <w:rPr>
          <w:rFonts w:ascii="Arial" w:hAnsi="Arial" w:cs="Arial"/>
          <w:sz w:val="22"/>
          <w:szCs w:val="22"/>
          <w:lang w:eastAsia="ko-KR"/>
        </w:rPr>
        <w:t xml:space="preserve"> que, d</w:t>
      </w:r>
      <w:r w:rsidR="009C104E">
        <w:rPr>
          <w:rFonts w:ascii="Arial" w:hAnsi="Arial" w:cs="Arial"/>
          <w:sz w:val="22"/>
          <w:szCs w:val="22"/>
          <w:lang w:eastAsia="ko-KR"/>
        </w:rPr>
        <w:t>’</w:t>
      </w:r>
      <w:r w:rsidRPr="0001502D">
        <w:rPr>
          <w:rFonts w:ascii="Arial" w:hAnsi="Arial" w:cs="Arial"/>
          <w:sz w:val="22"/>
          <w:szCs w:val="22"/>
          <w:lang w:eastAsia="ko-KR"/>
        </w:rPr>
        <w:t>après les informations contenues dans le dossier, la candidature satisfait aux critères d</w:t>
      </w:r>
      <w:r w:rsidR="009C104E">
        <w:rPr>
          <w:rFonts w:ascii="Arial" w:hAnsi="Arial" w:cs="Arial"/>
          <w:sz w:val="22"/>
          <w:szCs w:val="22"/>
          <w:lang w:eastAsia="ko-KR"/>
        </w:rPr>
        <w:t>’</w:t>
      </w:r>
      <w:r w:rsidRPr="0001502D">
        <w:rPr>
          <w:rFonts w:ascii="Arial" w:hAnsi="Arial" w:cs="Arial"/>
          <w:sz w:val="22"/>
          <w:szCs w:val="22"/>
          <w:lang w:eastAsia="ko-KR"/>
        </w:rPr>
        <w:t>inscription sur la Liste représentative du patrimoine culturel immatériel de l</w:t>
      </w:r>
      <w:r w:rsidR="009C104E">
        <w:rPr>
          <w:rFonts w:ascii="Arial" w:hAnsi="Arial" w:cs="Arial"/>
          <w:sz w:val="22"/>
          <w:szCs w:val="22"/>
          <w:lang w:eastAsia="ko-KR"/>
        </w:rPr>
        <w:t>’</w:t>
      </w:r>
      <w:r w:rsidRPr="0001502D">
        <w:rPr>
          <w:rFonts w:ascii="Arial" w:hAnsi="Arial" w:cs="Arial"/>
          <w:sz w:val="22"/>
          <w:szCs w:val="22"/>
          <w:lang w:eastAsia="ko-KR"/>
        </w:rPr>
        <w:t>humanité comme suit :</w:t>
      </w:r>
    </w:p>
    <w:p w14:paraId="5E2843CC" w14:textId="1A07E7EF" w:rsidR="0001502D" w:rsidRPr="0001502D" w:rsidRDefault="0001502D" w:rsidP="00972AAF">
      <w:pPr>
        <w:tabs>
          <w:tab w:val="left" w:pos="1134"/>
          <w:tab w:val="left" w:pos="2268"/>
        </w:tabs>
        <w:spacing w:before="120" w:after="120"/>
        <w:ind w:left="1134" w:hanging="555"/>
        <w:jc w:val="both"/>
        <w:rPr>
          <w:rFonts w:ascii="Arial" w:hAnsi="Arial" w:cs="Arial"/>
          <w:sz w:val="22"/>
          <w:szCs w:val="22"/>
        </w:rPr>
      </w:pPr>
      <w:r w:rsidRPr="0001502D">
        <w:rPr>
          <w:rFonts w:ascii="Arial" w:hAnsi="Arial" w:cs="Arial"/>
          <w:sz w:val="22"/>
          <w:szCs w:val="22"/>
        </w:rPr>
        <w:t xml:space="preserve">R.1 : </w:t>
      </w:r>
      <w:r w:rsidRPr="0001502D">
        <w:rPr>
          <w:rFonts w:ascii="Arial" w:hAnsi="Arial" w:cs="Arial"/>
          <w:sz w:val="22"/>
          <w:szCs w:val="22"/>
        </w:rPr>
        <w:tab/>
        <w:t xml:space="preserve">La </w:t>
      </w:r>
      <w:r w:rsidR="00C237F4" w:rsidRPr="00C237F4">
        <w:rPr>
          <w:rFonts w:ascii="Arial" w:hAnsi="Arial" w:cs="Arial"/>
          <w:sz w:val="22"/>
          <w:szCs w:val="22"/>
        </w:rPr>
        <w:t xml:space="preserve">tradition des céramiques peintes </w:t>
      </w:r>
      <w:r w:rsidRPr="0001502D">
        <w:rPr>
          <w:rFonts w:ascii="Arial" w:hAnsi="Arial" w:cs="Arial"/>
          <w:sz w:val="22"/>
          <w:szCs w:val="22"/>
        </w:rPr>
        <w:t>de Kossiv fait partie du patrimoine culturel immatériel de la région ethnographique de Hutsulshchyna. Elle est complètement intégrée à la communauté locale, qui fait partie de la sous-ethnie des houtsoules, et à différents aspects de sa vie sociale et culturelle. Les connaissances et savoir-faire liés à l</w:t>
      </w:r>
      <w:r w:rsidR="009C104E">
        <w:rPr>
          <w:rFonts w:ascii="Arial" w:hAnsi="Arial" w:cs="Arial"/>
          <w:sz w:val="22"/>
          <w:szCs w:val="22"/>
        </w:rPr>
        <w:t>’</w:t>
      </w:r>
      <w:r w:rsidRPr="0001502D">
        <w:rPr>
          <w:rFonts w:ascii="Arial" w:hAnsi="Arial" w:cs="Arial"/>
          <w:sz w:val="22"/>
          <w:szCs w:val="22"/>
        </w:rPr>
        <w:t>élément sont transmis de génération en génération de manière informelle au sein de la famille ainsi que de manière formelle à travers l</w:t>
      </w:r>
      <w:r w:rsidR="009C104E">
        <w:rPr>
          <w:rFonts w:ascii="Arial" w:hAnsi="Arial" w:cs="Arial"/>
          <w:sz w:val="22"/>
          <w:szCs w:val="22"/>
        </w:rPr>
        <w:t>’</w:t>
      </w:r>
      <w:r w:rsidRPr="0001502D">
        <w:rPr>
          <w:rFonts w:ascii="Arial" w:hAnsi="Arial" w:cs="Arial"/>
          <w:sz w:val="22"/>
          <w:szCs w:val="22"/>
        </w:rPr>
        <w:t>enseignement académique, les activités des musées et les cours organisés par le biais d</w:t>
      </w:r>
      <w:r w:rsidR="009C104E">
        <w:rPr>
          <w:rFonts w:ascii="Arial" w:hAnsi="Arial" w:cs="Arial"/>
          <w:sz w:val="22"/>
          <w:szCs w:val="22"/>
        </w:rPr>
        <w:t>’</w:t>
      </w:r>
      <w:r w:rsidRPr="0001502D">
        <w:rPr>
          <w:rFonts w:ascii="Arial" w:hAnsi="Arial" w:cs="Arial"/>
          <w:sz w:val="22"/>
          <w:szCs w:val="22"/>
        </w:rPr>
        <w:t>ateliers locaux.</w:t>
      </w:r>
    </w:p>
    <w:p w14:paraId="49BDE0FF" w14:textId="3C5986D4" w:rsidR="0001502D" w:rsidRPr="0001502D" w:rsidRDefault="0001502D" w:rsidP="00972AAF">
      <w:pPr>
        <w:tabs>
          <w:tab w:val="left" w:pos="1134"/>
          <w:tab w:val="left" w:pos="2268"/>
        </w:tabs>
        <w:spacing w:before="120" w:after="120"/>
        <w:ind w:left="1134" w:hanging="555"/>
        <w:jc w:val="both"/>
        <w:rPr>
          <w:rFonts w:ascii="Arial" w:hAnsi="Arial" w:cs="Arial"/>
          <w:sz w:val="22"/>
          <w:szCs w:val="22"/>
        </w:rPr>
      </w:pPr>
      <w:r w:rsidRPr="0001502D">
        <w:rPr>
          <w:rFonts w:ascii="Arial" w:hAnsi="Arial" w:cs="Arial"/>
          <w:sz w:val="22"/>
          <w:szCs w:val="22"/>
        </w:rPr>
        <w:t xml:space="preserve">R.2 : </w:t>
      </w:r>
      <w:r w:rsidRPr="0001502D">
        <w:rPr>
          <w:rFonts w:ascii="Arial" w:hAnsi="Arial" w:cs="Arial"/>
          <w:sz w:val="22"/>
          <w:szCs w:val="22"/>
        </w:rPr>
        <w:tab/>
        <w:t>L</w:t>
      </w:r>
      <w:r w:rsidR="009C104E">
        <w:rPr>
          <w:rFonts w:ascii="Arial" w:hAnsi="Arial" w:cs="Arial"/>
          <w:sz w:val="22"/>
          <w:szCs w:val="22"/>
        </w:rPr>
        <w:t>’</w:t>
      </w:r>
      <w:r w:rsidRPr="0001502D">
        <w:rPr>
          <w:rFonts w:ascii="Arial" w:hAnsi="Arial" w:cs="Arial"/>
          <w:sz w:val="22"/>
          <w:szCs w:val="22"/>
        </w:rPr>
        <w:t xml:space="preserve">inscription de la </w:t>
      </w:r>
      <w:r w:rsidR="00C237F4" w:rsidRPr="00C237F4">
        <w:rPr>
          <w:rFonts w:ascii="Arial" w:hAnsi="Arial" w:cs="Arial"/>
          <w:sz w:val="22"/>
          <w:szCs w:val="22"/>
        </w:rPr>
        <w:t xml:space="preserve">tradition des céramiques peintes </w:t>
      </w:r>
      <w:r w:rsidRPr="0001502D">
        <w:rPr>
          <w:rFonts w:ascii="Arial" w:hAnsi="Arial" w:cs="Arial"/>
          <w:sz w:val="22"/>
          <w:szCs w:val="22"/>
        </w:rPr>
        <w:t>de Kossiv permettrait d</w:t>
      </w:r>
      <w:r w:rsidR="009C104E">
        <w:rPr>
          <w:rFonts w:ascii="Arial" w:hAnsi="Arial" w:cs="Arial"/>
          <w:sz w:val="22"/>
          <w:szCs w:val="22"/>
        </w:rPr>
        <w:t>’</w:t>
      </w:r>
      <w:r w:rsidRPr="0001502D">
        <w:rPr>
          <w:rFonts w:ascii="Arial" w:hAnsi="Arial" w:cs="Arial"/>
          <w:sz w:val="22"/>
          <w:szCs w:val="22"/>
        </w:rPr>
        <w:t>accroître l</w:t>
      </w:r>
      <w:r w:rsidR="009C104E">
        <w:rPr>
          <w:rFonts w:ascii="Arial" w:hAnsi="Arial" w:cs="Arial"/>
          <w:sz w:val="22"/>
          <w:szCs w:val="22"/>
        </w:rPr>
        <w:t>’</w:t>
      </w:r>
      <w:r w:rsidRPr="0001502D">
        <w:rPr>
          <w:rFonts w:ascii="Arial" w:hAnsi="Arial" w:cs="Arial"/>
          <w:sz w:val="22"/>
          <w:szCs w:val="22"/>
        </w:rPr>
        <w:t>intérêt porté à l</w:t>
      </w:r>
      <w:r w:rsidR="009C104E">
        <w:rPr>
          <w:rFonts w:ascii="Arial" w:hAnsi="Arial" w:cs="Arial"/>
          <w:sz w:val="22"/>
          <w:szCs w:val="22"/>
        </w:rPr>
        <w:t>’</w:t>
      </w:r>
      <w:r w:rsidRPr="0001502D">
        <w:rPr>
          <w:rFonts w:ascii="Arial" w:hAnsi="Arial" w:cs="Arial"/>
          <w:sz w:val="22"/>
          <w:szCs w:val="22"/>
        </w:rPr>
        <w:t>artisanat de la céramique et de promouvoir les échanges entre les détenteurs de différents éléments. Cela encouragerait aussi le dialogue entre la communauté et les détenteurs et améliorerait les échanges créatifs entre ces derniers et les maîtres d</w:t>
      </w:r>
      <w:r w:rsidR="009C104E">
        <w:rPr>
          <w:rFonts w:ascii="Arial" w:hAnsi="Arial" w:cs="Arial"/>
          <w:sz w:val="22"/>
          <w:szCs w:val="22"/>
        </w:rPr>
        <w:t>’</w:t>
      </w:r>
      <w:r w:rsidRPr="0001502D">
        <w:rPr>
          <w:rFonts w:ascii="Arial" w:hAnsi="Arial" w:cs="Arial"/>
          <w:sz w:val="22"/>
          <w:szCs w:val="22"/>
        </w:rPr>
        <w:t>autres régions d</w:t>
      </w:r>
      <w:r w:rsidR="009C104E">
        <w:rPr>
          <w:rFonts w:ascii="Arial" w:hAnsi="Arial" w:cs="Arial"/>
          <w:sz w:val="22"/>
          <w:szCs w:val="22"/>
        </w:rPr>
        <w:t>’</w:t>
      </w:r>
      <w:r w:rsidRPr="0001502D">
        <w:rPr>
          <w:rFonts w:ascii="Arial" w:hAnsi="Arial" w:cs="Arial"/>
          <w:sz w:val="22"/>
          <w:szCs w:val="22"/>
        </w:rPr>
        <w:t>Ukraine et du monde.</w:t>
      </w:r>
    </w:p>
    <w:p w14:paraId="146D6D8E" w14:textId="23794256" w:rsidR="0001502D" w:rsidRPr="0001502D" w:rsidRDefault="0001502D" w:rsidP="00972AAF">
      <w:pPr>
        <w:tabs>
          <w:tab w:val="left" w:pos="1134"/>
          <w:tab w:val="left" w:pos="2268"/>
        </w:tabs>
        <w:spacing w:before="120" w:after="120"/>
        <w:ind w:left="1134" w:hanging="555"/>
        <w:jc w:val="both"/>
        <w:rPr>
          <w:rFonts w:ascii="Arial" w:hAnsi="Arial" w:cs="Arial"/>
          <w:sz w:val="22"/>
          <w:szCs w:val="22"/>
        </w:rPr>
      </w:pPr>
      <w:r w:rsidRPr="0001502D">
        <w:rPr>
          <w:rFonts w:ascii="Arial" w:hAnsi="Arial" w:cs="Arial"/>
          <w:sz w:val="22"/>
          <w:szCs w:val="22"/>
        </w:rPr>
        <w:t xml:space="preserve">R.3 : </w:t>
      </w:r>
      <w:r w:rsidRPr="0001502D">
        <w:rPr>
          <w:rFonts w:ascii="Arial" w:hAnsi="Arial" w:cs="Arial"/>
          <w:sz w:val="22"/>
          <w:szCs w:val="22"/>
        </w:rPr>
        <w:tab/>
        <w:t>La viabilité de la céramique de Kossiv a été assurée de nombreuses manières par l</w:t>
      </w:r>
      <w:r w:rsidR="009C104E">
        <w:rPr>
          <w:rFonts w:ascii="Arial" w:hAnsi="Arial" w:cs="Arial"/>
          <w:sz w:val="22"/>
          <w:szCs w:val="22"/>
        </w:rPr>
        <w:t>’</w:t>
      </w:r>
      <w:r w:rsidRPr="0001502D">
        <w:rPr>
          <w:rFonts w:ascii="Arial" w:hAnsi="Arial" w:cs="Arial"/>
          <w:sz w:val="22"/>
          <w:szCs w:val="22"/>
        </w:rPr>
        <w:t>État et les communautés concernées. Les mesures de sauvegarde proposées poursuivent et renforcent les actions précédentes au travers des principaux objectifs suivants : développer des politiques et stratégies locales, encourager les artistes et souligner l</w:t>
      </w:r>
      <w:r w:rsidR="009C104E">
        <w:rPr>
          <w:rFonts w:ascii="Arial" w:hAnsi="Arial" w:cs="Arial"/>
          <w:sz w:val="22"/>
          <w:szCs w:val="22"/>
        </w:rPr>
        <w:t>’</w:t>
      </w:r>
      <w:r w:rsidRPr="0001502D">
        <w:rPr>
          <w:rFonts w:ascii="Arial" w:hAnsi="Arial" w:cs="Arial"/>
          <w:sz w:val="22"/>
          <w:szCs w:val="22"/>
        </w:rPr>
        <w:t>importance de prévenir les effets indésirables de la commercialisation et du changement des techniques traditionnelles, entreprendre des activités de recherche et de documentation, sensibiliser à l</w:t>
      </w:r>
      <w:r w:rsidR="009C104E">
        <w:rPr>
          <w:rFonts w:ascii="Arial" w:hAnsi="Arial" w:cs="Arial"/>
          <w:sz w:val="22"/>
          <w:szCs w:val="22"/>
        </w:rPr>
        <w:t>’</w:t>
      </w:r>
      <w:r w:rsidRPr="0001502D">
        <w:rPr>
          <w:rFonts w:ascii="Arial" w:hAnsi="Arial" w:cs="Arial"/>
          <w:sz w:val="22"/>
          <w:szCs w:val="22"/>
        </w:rPr>
        <w:t>élément, encourager le dialogue interculturel et lancer des activités d</w:t>
      </w:r>
      <w:r w:rsidR="009C104E">
        <w:rPr>
          <w:rFonts w:ascii="Arial" w:hAnsi="Arial" w:cs="Arial"/>
          <w:sz w:val="22"/>
          <w:szCs w:val="22"/>
        </w:rPr>
        <w:t>’</w:t>
      </w:r>
      <w:r w:rsidRPr="0001502D">
        <w:rPr>
          <w:rFonts w:ascii="Arial" w:hAnsi="Arial" w:cs="Arial"/>
          <w:sz w:val="22"/>
          <w:szCs w:val="22"/>
        </w:rPr>
        <w:t>analyse et d</w:t>
      </w:r>
      <w:r w:rsidR="009C104E">
        <w:rPr>
          <w:rFonts w:ascii="Arial" w:hAnsi="Arial" w:cs="Arial"/>
          <w:sz w:val="22"/>
          <w:szCs w:val="22"/>
        </w:rPr>
        <w:t>’</w:t>
      </w:r>
      <w:r w:rsidRPr="0001502D">
        <w:rPr>
          <w:rFonts w:ascii="Arial" w:hAnsi="Arial" w:cs="Arial"/>
          <w:sz w:val="22"/>
          <w:szCs w:val="22"/>
        </w:rPr>
        <w:t>évaluation. Ces mesures seront soutenues par l</w:t>
      </w:r>
      <w:r w:rsidR="009C104E">
        <w:rPr>
          <w:rFonts w:ascii="Arial" w:hAnsi="Arial" w:cs="Arial"/>
          <w:sz w:val="22"/>
          <w:szCs w:val="22"/>
        </w:rPr>
        <w:t>’</w:t>
      </w:r>
      <w:r w:rsidRPr="0001502D">
        <w:rPr>
          <w:rFonts w:ascii="Arial" w:hAnsi="Arial" w:cs="Arial"/>
          <w:sz w:val="22"/>
          <w:szCs w:val="22"/>
        </w:rPr>
        <w:t>État partie et ont été définies après de nombreuses discussions avec les détenteurs de l</w:t>
      </w:r>
      <w:r w:rsidR="009C104E">
        <w:rPr>
          <w:rFonts w:ascii="Arial" w:hAnsi="Arial" w:cs="Arial"/>
          <w:sz w:val="22"/>
          <w:szCs w:val="22"/>
        </w:rPr>
        <w:t>’</w:t>
      </w:r>
      <w:r w:rsidRPr="0001502D">
        <w:rPr>
          <w:rFonts w:ascii="Arial" w:hAnsi="Arial" w:cs="Arial"/>
          <w:sz w:val="22"/>
          <w:szCs w:val="22"/>
        </w:rPr>
        <w:t>élément.</w:t>
      </w:r>
    </w:p>
    <w:p w14:paraId="4510AF09" w14:textId="03DCC589" w:rsidR="0001502D" w:rsidRPr="0001502D" w:rsidRDefault="0001502D" w:rsidP="00972AAF">
      <w:pPr>
        <w:tabs>
          <w:tab w:val="left" w:pos="1134"/>
          <w:tab w:val="left" w:pos="2268"/>
        </w:tabs>
        <w:spacing w:before="120" w:after="120"/>
        <w:ind w:left="1134" w:hanging="555"/>
        <w:jc w:val="both"/>
        <w:rPr>
          <w:rFonts w:ascii="Arial" w:hAnsi="Arial" w:cs="Arial"/>
          <w:sz w:val="22"/>
          <w:szCs w:val="22"/>
        </w:rPr>
      </w:pPr>
      <w:r w:rsidRPr="0001502D">
        <w:rPr>
          <w:rFonts w:ascii="Arial" w:hAnsi="Arial" w:cs="Arial"/>
          <w:sz w:val="22"/>
          <w:szCs w:val="22"/>
        </w:rPr>
        <w:t xml:space="preserve">R.4 : </w:t>
      </w:r>
      <w:r w:rsidRPr="0001502D">
        <w:rPr>
          <w:rFonts w:ascii="Arial" w:hAnsi="Arial" w:cs="Arial"/>
          <w:sz w:val="22"/>
          <w:szCs w:val="22"/>
        </w:rPr>
        <w:tab/>
        <w:t>À la suite de l</w:t>
      </w:r>
      <w:r w:rsidR="009C104E">
        <w:rPr>
          <w:rFonts w:ascii="Arial" w:hAnsi="Arial" w:cs="Arial"/>
          <w:sz w:val="22"/>
          <w:szCs w:val="22"/>
        </w:rPr>
        <w:t>’</w:t>
      </w:r>
      <w:r w:rsidRPr="0001502D">
        <w:rPr>
          <w:rFonts w:ascii="Arial" w:hAnsi="Arial" w:cs="Arial"/>
          <w:sz w:val="22"/>
          <w:szCs w:val="22"/>
        </w:rPr>
        <w:t>initiative du Ministère de la culture d</w:t>
      </w:r>
      <w:r w:rsidR="009C104E">
        <w:rPr>
          <w:rFonts w:ascii="Arial" w:hAnsi="Arial" w:cs="Arial"/>
          <w:sz w:val="22"/>
          <w:szCs w:val="22"/>
        </w:rPr>
        <w:t>’</w:t>
      </w:r>
      <w:r w:rsidRPr="0001502D">
        <w:rPr>
          <w:rFonts w:ascii="Arial" w:hAnsi="Arial" w:cs="Arial"/>
          <w:sz w:val="22"/>
          <w:szCs w:val="22"/>
        </w:rPr>
        <w:t>Ukraine, avec l</w:t>
      </w:r>
      <w:r w:rsidR="009C104E">
        <w:rPr>
          <w:rFonts w:ascii="Arial" w:hAnsi="Arial" w:cs="Arial"/>
          <w:sz w:val="22"/>
          <w:szCs w:val="22"/>
        </w:rPr>
        <w:t>’</w:t>
      </w:r>
      <w:r w:rsidRPr="0001502D">
        <w:rPr>
          <w:rFonts w:ascii="Arial" w:hAnsi="Arial" w:cs="Arial"/>
          <w:sz w:val="22"/>
          <w:szCs w:val="22"/>
        </w:rPr>
        <w:t>administration régionale d</w:t>
      </w:r>
      <w:r w:rsidR="009C104E">
        <w:rPr>
          <w:rFonts w:ascii="Arial" w:hAnsi="Arial" w:cs="Arial"/>
          <w:sz w:val="22"/>
          <w:szCs w:val="22"/>
        </w:rPr>
        <w:t>’</w:t>
      </w:r>
      <w:r w:rsidRPr="0001502D">
        <w:rPr>
          <w:rFonts w:ascii="Arial" w:hAnsi="Arial" w:cs="Arial"/>
          <w:sz w:val="22"/>
          <w:szCs w:val="22"/>
        </w:rPr>
        <w:t>Ivano-Frankivsk et le Département de la culture de l</w:t>
      </w:r>
      <w:r w:rsidR="009C104E">
        <w:rPr>
          <w:rFonts w:ascii="Arial" w:hAnsi="Arial" w:cs="Arial"/>
          <w:sz w:val="22"/>
          <w:szCs w:val="22"/>
        </w:rPr>
        <w:t>’</w:t>
      </w:r>
      <w:r w:rsidRPr="0001502D">
        <w:rPr>
          <w:rFonts w:ascii="Arial" w:hAnsi="Arial" w:cs="Arial"/>
          <w:sz w:val="22"/>
          <w:szCs w:val="22"/>
        </w:rPr>
        <w:t>administration du district de Kossiv, la communauté des détenteurs a été pleinement impliquée dans le processus de candidature depuis 2013 et a participé à plusieurs ateliers et réunions aux côtés d</w:t>
      </w:r>
      <w:r w:rsidR="009C104E">
        <w:rPr>
          <w:rFonts w:ascii="Arial" w:hAnsi="Arial" w:cs="Arial"/>
          <w:sz w:val="22"/>
          <w:szCs w:val="22"/>
        </w:rPr>
        <w:t>’</w:t>
      </w:r>
      <w:r w:rsidRPr="0001502D">
        <w:rPr>
          <w:rFonts w:ascii="Arial" w:hAnsi="Arial" w:cs="Arial"/>
          <w:sz w:val="22"/>
          <w:szCs w:val="22"/>
        </w:rPr>
        <w:t>experts, d</w:t>
      </w:r>
      <w:r w:rsidR="009C104E">
        <w:rPr>
          <w:rFonts w:ascii="Arial" w:hAnsi="Arial" w:cs="Arial"/>
          <w:sz w:val="22"/>
          <w:szCs w:val="22"/>
        </w:rPr>
        <w:t>’</w:t>
      </w:r>
      <w:r w:rsidRPr="0001502D">
        <w:rPr>
          <w:rFonts w:ascii="Arial" w:hAnsi="Arial" w:cs="Arial"/>
          <w:sz w:val="22"/>
          <w:szCs w:val="22"/>
        </w:rPr>
        <w:t>universitaires, d</w:t>
      </w:r>
      <w:r w:rsidR="009C104E">
        <w:rPr>
          <w:rFonts w:ascii="Arial" w:hAnsi="Arial" w:cs="Arial"/>
          <w:sz w:val="22"/>
          <w:szCs w:val="22"/>
        </w:rPr>
        <w:t>’</w:t>
      </w:r>
      <w:r w:rsidRPr="0001502D">
        <w:rPr>
          <w:rFonts w:ascii="Arial" w:hAnsi="Arial" w:cs="Arial"/>
          <w:sz w:val="22"/>
          <w:szCs w:val="22"/>
        </w:rPr>
        <w:t>employés de musées et de représentants des autorités.</w:t>
      </w:r>
    </w:p>
    <w:p w14:paraId="2C17CCEE" w14:textId="51964609" w:rsidR="0001502D" w:rsidRPr="0001502D" w:rsidRDefault="0001502D" w:rsidP="00972AAF">
      <w:pPr>
        <w:tabs>
          <w:tab w:val="left" w:pos="1134"/>
          <w:tab w:val="left" w:pos="2268"/>
        </w:tabs>
        <w:spacing w:before="120" w:after="120"/>
        <w:ind w:left="1134" w:hanging="555"/>
        <w:jc w:val="both"/>
        <w:rPr>
          <w:rFonts w:ascii="Arial" w:hAnsi="Arial" w:cs="Arial"/>
          <w:sz w:val="22"/>
          <w:szCs w:val="22"/>
        </w:rPr>
      </w:pPr>
      <w:r w:rsidRPr="0001502D">
        <w:rPr>
          <w:rFonts w:ascii="Arial" w:hAnsi="Arial" w:cs="Arial"/>
          <w:sz w:val="22"/>
          <w:szCs w:val="22"/>
        </w:rPr>
        <w:t>R.5 :</w:t>
      </w:r>
      <w:r w:rsidRPr="0001502D">
        <w:rPr>
          <w:rFonts w:ascii="Arial" w:hAnsi="Arial" w:cs="Arial"/>
          <w:sz w:val="22"/>
          <w:szCs w:val="22"/>
        </w:rPr>
        <w:tab/>
        <w:t xml:space="preserve">La </w:t>
      </w:r>
      <w:r w:rsidR="00C237F4" w:rsidRPr="00C237F4">
        <w:rPr>
          <w:rFonts w:ascii="Arial" w:hAnsi="Arial" w:cs="Arial"/>
          <w:sz w:val="22"/>
          <w:szCs w:val="22"/>
        </w:rPr>
        <w:t xml:space="preserve">tradition des céramiques peintes </w:t>
      </w:r>
      <w:r w:rsidRPr="0001502D">
        <w:rPr>
          <w:rFonts w:ascii="Arial" w:hAnsi="Arial" w:cs="Arial"/>
          <w:sz w:val="22"/>
          <w:szCs w:val="22"/>
        </w:rPr>
        <w:t>de Kossiv a été inscrite sur la Liste nationale des éléments du patrimoine culturel immatériel de l</w:t>
      </w:r>
      <w:r w:rsidR="009C104E">
        <w:rPr>
          <w:rFonts w:ascii="Arial" w:hAnsi="Arial" w:cs="Arial"/>
          <w:sz w:val="22"/>
          <w:szCs w:val="22"/>
        </w:rPr>
        <w:t>’</w:t>
      </w:r>
      <w:r w:rsidRPr="0001502D">
        <w:rPr>
          <w:rFonts w:ascii="Arial" w:hAnsi="Arial" w:cs="Arial"/>
          <w:sz w:val="22"/>
          <w:szCs w:val="22"/>
        </w:rPr>
        <w:t>Ukraine en 2012. La liste est régulièrement mise à jour et enrichie, comme en 2016. L</w:t>
      </w:r>
      <w:r w:rsidR="009C104E">
        <w:rPr>
          <w:rFonts w:ascii="Arial" w:hAnsi="Arial" w:cs="Arial"/>
          <w:sz w:val="22"/>
          <w:szCs w:val="22"/>
        </w:rPr>
        <w:t>’</w:t>
      </w:r>
      <w:r w:rsidRPr="0001502D">
        <w:rPr>
          <w:rFonts w:ascii="Arial" w:hAnsi="Arial" w:cs="Arial"/>
          <w:sz w:val="22"/>
          <w:szCs w:val="22"/>
        </w:rPr>
        <w:t>organisation responsable de la gestion de la Liste nationale est le Centre ukrainien des études culturelles du Ministère de la culture d</w:t>
      </w:r>
      <w:r w:rsidR="009C104E">
        <w:rPr>
          <w:rFonts w:ascii="Arial" w:hAnsi="Arial" w:cs="Arial"/>
          <w:sz w:val="22"/>
          <w:szCs w:val="22"/>
        </w:rPr>
        <w:t>’</w:t>
      </w:r>
      <w:r w:rsidRPr="0001502D">
        <w:rPr>
          <w:rFonts w:ascii="Arial" w:hAnsi="Arial" w:cs="Arial"/>
          <w:sz w:val="22"/>
          <w:szCs w:val="22"/>
        </w:rPr>
        <w:t>Ukraine.</w:t>
      </w:r>
    </w:p>
    <w:p w14:paraId="281D8614" w14:textId="0D09AB01" w:rsidR="0001502D" w:rsidRPr="0001502D" w:rsidRDefault="0001502D" w:rsidP="00771F30">
      <w:pPr>
        <w:numPr>
          <w:ilvl w:val="1"/>
          <w:numId w:val="43"/>
        </w:numPr>
        <w:tabs>
          <w:tab w:val="left" w:pos="567"/>
          <w:tab w:val="left" w:pos="1701"/>
          <w:tab w:val="left" w:pos="2268"/>
        </w:tabs>
        <w:spacing w:before="120" w:after="120"/>
        <w:ind w:left="567"/>
        <w:jc w:val="both"/>
        <w:rPr>
          <w:rFonts w:ascii="Arial" w:hAnsi="Arial" w:cs="Arial"/>
          <w:sz w:val="22"/>
          <w:szCs w:val="22"/>
          <w:lang w:eastAsia="ko-KR"/>
        </w:rPr>
      </w:pPr>
      <w:r w:rsidRPr="0001502D">
        <w:rPr>
          <w:rFonts w:ascii="Arial" w:hAnsi="Arial" w:cs="Arial"/>
          <w:sz w:val="22"/>
          <w:szCs w:val="22"/>
          <w:u w:val="single"/>
          <w:lang w:eastAsia="ko-KR"/>
        </w:rPr>
        <w:t>Décide d</w:t>
      </w:r>
      <w:r w:rsidR="009C104E">
        <w:rPr>
          <w:rFonts w:ascii="Arial" w:hAnsi="Arial" w:cs="Arial"/>
          <w:sz w:val="22"/>
          <w:szCs w:val="22"/>
          <w:u w:val="single"/>
          <w:lang w:eastAsia="ko-KR"/>
        </w:rPr>
        <w:t>’</w:t>
      </w:r>
      <w:r w:rsidRPr="0001502D">
        <w:rPr>
          <w:rFonts w:ascii="Arial" w:hAnsi="Arial" w:cs="Arial"/>
          <w:sz w:val="22"/>
          <w:szCs w:val="22"/>
          <w:u w:val="single"/>
          <w:lang w:eastAsia="ko-KR"/>
        </w:rPr>
        <w:t>inscrire</w:t>
      </w:r>
      <w:r w:rsidRPr="0001502D">
        <w:rPr>
          <w:rFonts w:ascii="Arial" w:hAnsi="Arial" w:cs="Arial"/>
          <w:sz w:val="22"/>
          <w:szCs w:val="22"/>
          <w:lang w:eastAsia="ko-KR"/>
        </w:rPr>
        <w:t xml:space="preserve"> </w:t>
      </w:r>
      <w:r w:rsidRPr="0001502D">
        <w:rPr>
          <w:rFonts w:ascii="Arial" w:hAnsi="Arial" w:cs="Arial"/>
          <w:b/>
          <w:bCs/>
          <w:sz w:val="22"/>
          <w:szCs w:val="22"/>
          <w:lang w:eastAsia="ko-KR"/>
        </w:rPr>
        <w:t xml:space="preserve">la </w:t>
      </w:r>
      <w:r w:rsidR="00C237F4" w:rsidRPr="00C237F4">
        <w:rPr>
          <w:rFonts w:ascii="Arial" w:hAnsi="Arial" w:cs="Arial"/>
          <w:b/>
          <w:bCs/>
          <w:sz w:val="22"/>
          <w:szCs w:val="22"/>
          <w:lang w:eastAsia="ko-KR"/>
        </w:rPr>
        <w:t xml:space="preserve">tradition des céramiques peintes </w:t>
      </w:r>
      <w:r w:rsidRPr="0001502D">
        <w:rPr>
          <w:rFonts w:ascii="Arial" w:hAnsi="Arial" w:cs="Arial"/>
          <w:b/>
          <w:bCs/>
          <w:sz w:val="22"/>
          <w:szCs w:val="22"/>
          <w:lang w:eastAsia="ko-KR"/>
        </w:rPr>
        <w:t>de Kossiv</w:t>
      </w:r>
      <w:r w:rsidRPr="0001502D">
        <w:rPr>
          <w:rFonts w:ascii="Arial" w:hAnsi="Arial" w:cs="Arial"/>
          <w:sz w:val="22"/>
          <w:szCs w:val="22"/>
          <w:lang w:eastAsia="ko-KR"/>
        </w:rPr>
        <w:t xml:space="preserve"> sur la Liste représentative du patrimoine culturel immatériel de l</w:t>
      </w:r>
      <w:r w:rsidR="009C104E">
        <w:rPr>
          <w:rFonts w:ascii="Arial" w:hAnsi="Arial" w:cs="Arial"/>
          <w:sz w:val="22"/>
          <w:szCs w:val="22"/>
          <w:lang w:eastAsia="ko-KR"/>
        </w:rPr>
        <w:t>’</w:t>
      </w:r>
      <w:r w:rsidRPr="0001502D">
        <w:rPr>
          <w:rFonts w:ascii="Arial" w:hAnsi="Arial" w:cs="Arial"/>
          <w:sz w:val="22"/>
          <w:szCs w:val="22"/>
          <w:lang w:eastAsia="ko-KR"/>
        </w:rPr>
        <w:t>humanité.</w:t>
      </w:r>
    </w:p>
    <w:p w14:paraId="0FAD68E9" w14:textId="46F1EFC6" w:rsidR="0001502D" w:rsidRPr="0001502D" w:rsidRDefault="0001502D" w:rsidP="00771F30">
      <w:pPr>
        <w:keepNext/>
        <w:keepLines/>
        <w:numPr>
          <w:ilvl w:val="0"/>
          <w:numId w:val="43"/>
        </w:numPr>
        <w:spacing w:before="360" w:after="120"/>
        <w:outlineLvl w:val="1"/>
        <w:rPr>
          <w:rFonts w:ascii="Arial" w:hAnsi="Arial" w:cs="Arial"/>
          <w:bCs/>
          <w:iCs/>
          <w:sz w:val="22"/>
          <w:szCs w:val="22"/>
        </w:rPr>
      </w:pPr>
      <w:bookmarkStart w:id="44" w:name="Decision_10b41"/>
      <w:r w:rsidRPr="0001502D">
        <w:rPr>
          <w:rFonts w:ascii="Arial" w:hAnsi="Arial" w:cs="Arial"/>
          <w:b/>
          <w:bCs/>
          <w:iCs/>
          <w:sz w:val="22"/>
          <w:szCs w:val="22"/>
        </w:rPr>
        <w:t xml:space="preserve">DÉCISION 14.COM 10.b.41 </w:t>
      </w:r>
    </w:p>
    <w:bookmarkEnd w:id="44"/>
    <w:p w14:paraId="0A9E7C9A" w14:textId="77777777" w:rsidR="0001502D" w:rsidRPr="0001502D" w:rsidRDefault="0001502D" w:rsidP="00972AAF">
      <w:pPr>
        <w:keepNext/>
        <w:tabs>
          <w:tab w:val="left" w:pos="567"/>
          <w:tab w:val="left" w:pos="1134"/>
          <w:tab w:val="left" w:pos="1701"/>
          <w:tab w:val="left" w:pos="2268"/>
        </w:tabs>
        <w:spacing w:before="120" w:after="120"/>
        <w:jc w:val="both"/>
        <w:rPr>
          <w:rFonts w:ascii="Arial" w:hAnsi="Arial" w:cs="Arial"/>
          <w:sz w:val="22"/>
          <w:szCs w:val="22"/>
        </w:rPr>
      </w:pPr>
      <w:r w:rsidRPr="0001502D">
        <w:rPr>
          <w:rFonts w:ascii="Arial" w:hAnsi="Arial" w:cs="Arial"/>
          <w:sz w:val="22"/>
          <w:szCs w:val="22"/>
        </w:rPr>
        <w:t>Le Comité,</w:t>
      </w:r>
    </w:p>
    <w:p w14:paraId="7D1EDE22" w14:textId="1D81DA50" w:rsidR="0001502D" w:rsidRPr="0001502D" w:rsidRDefault="0001502D" w:rsidP="00771F30">
      <w:pPr>
        <w:numPr>
          <w:ilvl w:val="1"/>
          <w:numId w:val="43"/>
        </w:numPr>
        <w:tabs>
          <w:tab w:val="left" w:pos="567"/>
          <w:tab w:val="left" w:pos="1701"/>
          <w:tab w:val="left" w:pos="2268"/>
        </w:tabs>
        <w:spacing w:before="120" w:after="120"/>
        <w:ind w:left="567"/>
        <w:jc w:val="both"/>
        <w:rPr>
          <w:rFonts w:ascii="Arial" w:hAnsi="Arial" w:cs="Arial"/>
          <w:sz w:val="22"/>
          <w:szCs w:val="22"/>
          <w:lang w:eastAsia="ko-KR"/>
        </w:rPr>
      </w:pPr>
      <w:r w:rsidRPr="0001502D">
        <w:rPr>
          <w:rFonts w:ascii="Arial" w:hAnsi="Arial" w:cs="Arial"/>
          <w:sz w:val="22"/>
          <w:szCs w:val="22"/>
          <w:u w:val="single"/>
          <w:lang w:eastAsia="ko-KR"/>
        </w:rPr>
        <w:t>Prend note</w:t>
      </w:r>
      <w:r w:rsidRPr="0001502D">
        <w:rPr>
          <w:rFonts w:ascii="Arial" w:hAnsi="Arial" w:cs="Arial"/>
          <w:sz w:val="22"/>
          <w:szCs w:val="22"/>
          <w:lang w:eastAsia="ko-KR"/>
        </w:rPr>
        <w:t xml:space="preserve"> que l</w:t>
      </w:r>
      <w:r w:rsidR="009C104E">
        <w:rPr>
          <w:rFonts w:ascii="Arial" w:hAnsi="Arial" w:cs="Arial"/>
          <w:sz w:val="22"/>
          <w:szCs w:val="22"/>
          <w:lang w:eastAsia="ko-KR"/>
        </w:rPr>
        <w:t>’</w:t>
      </w:r>
      <w:r w:rsidRPr="0001502D">
        <w:rPr>
          <w:rFonts w:ascii="Arial" w:hAnsi="Arial" w:cs="Arial"/>
          <w:sz w:val="22"/>
          <w:szCs w:val="22"/>
          <w:lang w:eastAsia="ko-KR"/>
        </w:rPr>
        <w:t xml:space="preserve">Ouzbékistan a proposé la candidature </w:t>
      </w:r>
      <w:r w:rsidRPr="0001502D">
        <w:rPr>
          <w:rFonts w:ascii="Arial" w:hAnsi="Arial" w:cs="Arial"/>
          <w:b/>
          <w:sz w:val="22"/>
          <w:szCs w:val="22"/>
          <w:lang w:eastAsia="ko-KR"/>
        </w:rPr>
        <w:t xml:space="preserve">du </w:t>
      </w:r>
      <w:r w:rsidRPr="0001502D">
        <w:rPr>
          <w:rFonts w:ascii="Arial" w:hAnsi="Arial" w:cs="Arial"/>
          <w:b/>
          <w:bCs/>
          <w:sz w:val="22"/>
          <w:szCs w:val="22"/>
          <w:lang w:eastAsia="ko-KR"/>
        </w:rPr>
        <w:t>lazgi, danse de Khorezm</w:t>
      </w:r>
      <w:r w:rsidRPr="0001502D">
        <w:rPr>
          <w:rFonts w:ascii="Arial" w:hAnsi="Arial" w:cs="Arial"/>
          <w:sz w:val="22"/>
          <w:szCs w:val="22"/>
          <w:lang w:eastAsia="ko-KR"/>
        </w:rPr>
        <w:t xml:space="preserve"> (n° 01364) pour inscription sur la Liste représentative du patrimoine culturel immatériel de l</w:t>
      </w:r>
      <w:r w:rsidR="009C104E">
        <w:rPr>
          <w:rFonts w:ascii="Arial" w:hAnsi="Arial" w:cs="Arial"/>
          <w:sz w:val="22"/>
          <w:szCs w:val="22"/>
          <w:lang w:eastAsia="ko-KR"/>
        </w:rPr>
        <w:t>’</w:t>
      </w:r>
      <w:r w:rsidRPr="0001502D">
        <w:rPr>
          <w:rFonts w:ascii="Arial" w:hAnsi="Arial" w:cs="Arial"/>
          <w:sz w:val="22"/>
          <w:szCs w:val="22"/>
          <w:lang w:eastAsia="ko-KR"/>
        </w:rPr>
        <w:t>humanité :</w:t>
      </w:r>
    </w:p>
    <w:p w14:paraId="243CB56A" w14:textId="6FAEA491" w:rsidR="0001502D" w:rsidRPr="0001502D" w:rsidRDefault="0001502D" w:rsidP="00972AAF">
      <w:pPr>
        <w:tabs>
          <w:tab w:val="left" w:pos="567"/>
          <w:tab w:val="left" w:pos="1701"/>
          <w:tab w:val="left" w:pos="2268"/>
        </w:tabs>
        <w:spacing w:before="120" w:after="120"/>
        <w:ind w:left="567"/>
        <w:jc w:val="both"/>
        <w:rPr>
          <w:rFonts w:ascii="Arial" w:hAnsi="Arial" w:cs="Arial"/>
          <w:sz w:val="22"/>
          <w:szCs w:val="22"/>
        </w:rPr>
      </w:pPr>
      <w:r w:rsidRPr="0001502D">
        <w:rPr>
          <w:rFonts w:ascii="Arial" w:hAnsi="Arial" w:cs="Arial"/>
          <w:sz w:val="22"/>
          <w:szCs w:val="22"/>
        </w:rPr>
        <w:t>Les mouvements du lazgi, danse de Khorezm, illustrent la créativité humaine en reflétant les sons et les manifestations de la nature environnante et les sentiments que sont l</w:t>
      </w:r>
      <w:r w:rsidR="009C104E">
        <w:rPr>
          <w:rFonts w:ascii="Arial" w:hAnsi="Arial" w:cs="Arial"/>
          <w:sz w:val="22"/>
          <w:szCs w:val="22"/>
        </w:rPr>
        <w:t>’</w:t>
      </w:r>
      <w:r w:rsidRPr="0001502D">
        <w:rPr>
          <w:rFonts w:ascii="Arial" w:hAnsi="Arial" w:cs="Arial"/>
          <w:sz w:val="22"/>
          <w:szCs w:val="22"/>
        </w:rPr>
        <w:t>amour et le bonheur. Le lazgi, danse de Khorezm, était au départ associé à la région de Khorezm, mais est aujourd</w:t>
      </w:r>
      <w:r w:rsidR="009C104E">
        <w:rPr>
          <w:rFonts w:ascii="Arial" w:hAnsi="Arial" w:cs="Arial"/>
          <w:sz w:val="22"/>
          <w:szCs w:val="22"/>
        </w:rPr>
        <w:t>’</w:t>
      </w:r>
      <w:r w:rsidRPr="0001502D">
        <w:rPr>
          <w:rFonts w:ascii="Arial" w:hAnsi="Arial" w:cs="Arial"/>
          <w:sz w:val="22"/>
          <w:szCs w:val="22"/>
        </w:rPr>
        <w:t>hui répandu dans tout l</w:t>
      </w:r>
      <w:r w:rsidR="009C104E">
        <w:rPr>
          <w:rFonts w:ascii="Arial" w:hAnsi="Arial" w:cs="Arial"/>
          <w:sz w:val="22"/>
          <w:szCs w:val="22"/>
        </w:rPr>
        <w:t>’</w:t>
      </w:r>
      <w:r w:rsidRPr="0001502D">
        <w:rPr>
          <w:rFonts w:ascii="Arial" w:hAnsi="Arial" w:cs="Arial"/>
          <w:sz w:val="22"/>
          <w:szCs w:val="22"/>
        </w:rPr>
        <w:t>Ouzbékistan. Des peintures de la danse peuvent être trouvées sur le site archéologique de Topraq-Kala dans la région de Khorezm, témoignant des racines séculaires de cette danse. Le lazgi, qui s</w:t>
      </w:r>
      <w:r w:rsidR="009C104E">
        <w:rPr>
          <w:rFonts w:ascii="Arial" w:hAnsi="Arial" w:cs="Arial"/>
          <w:sz w:val="22"/>
          <w:szCs w:val="22"/>
        </w:rPr>
        <w:t>’</w:t>
      </w:r>
      <w:r w:rsidRPr="0001502D">
        <w:rPr>
          <w:rFonts w:ascii="Arial" w:hAnsi="Arial" w:cs="Arial"/>
          <w:sz w:val="22"/>
          <w:szCs w:val="22"/>
        </w:rPr>
        <w:t>inspire de la vie sociale et des activités des communautés locales, représente la vie dans chacun de ses mouvements. Au cours de la danse, tous les musiciens, chanteurs et danseurs agissent en harmonie. Les paroles des chansons sont très souvent une ode à l</w:t>
      </w:r>
      <w:r w:rsidR="009C104E">
        <w:rPr>
          <w:rFonts w:ascii="Arial" w:hAnsi="Arial" w:cs="Arial"/>
          <w:sz w:val="22"/>
          <w:szCs w:val="22"/>
        </w:rPr>
        <w:t>’</w:t>
      </w:r>
      <w:r w:rsidRPr="0001502D">
        <w:rPr>
          <w:rFonts w:ascii="Arial" w:hAnsi="Arial" w:cs="Arial"/>
          <w:sz w:val="22"/>
          <w:szCs w:val="22"/>
        </w:rPr>
        <w:t>amour et à la bonté. On distingue deux types de danse : une forme « figurative » et une forme improvisée interprétative. Tandis que la première représente les sentiments sous forme de mouvements concrets, la seconde se concentre sur l</w:t>
      </w:r>
      <w:r w:rsidR="009C104E">
        <w:rPr>
          <w:rFonts w:ascii="Arial" w:hAnsi="Arial" w:cs="Arial"/>
          <w:sz w:val="22"/>
          <w:szCs w:val="22"/>
        </w:rPr>
        <w:t>’</w:t>
      </w:r>
      <w:r w:rsidRPr="0001502D">
        <w:rPr>
          <w:rFonts w:ascii="Arial" w:hAnsi="Arial" w:cs="Arial"/>
          <w:sz w:val="22"/>
          <w:szCs w:val="22"/>
        </w:rPr>
        <w:t>improvisation à mesure que le rythme et les mouvements de la danse deviennent plus dynamiques et changeants. Les mélodies et danses du lazgi sont si communicatives que les spectateurs se mettent à danser spontanément. Le lazgi, danse de Khorezm, est une forme essentielle d</w:t>
      </w:r>
      <w:r w:rsidR="009C104E">
        <w:rPr>
          <w:rFonts w:ascii="Arial" w:hAnsi="Arial" w:cs="Arial"/>
          <w:sz w:val="22"/>
          <w:szCs w:val="22"/>
        </w:rPr>
        <w:t>’</w:t>
      </w:r>
      <w:r w:rsidRPr="0001502D">
        <w:rPr>
          <w:rFonts w:ascii="Arial" w:hAnsi="Arial" w:cs="Arial"/>
          <w:sz w:val="22"/>
          <w:szCs w:val="22"/>
        </w:rPr>
        <w:t>expression personnelle. Il se transmet de génération en génération à travers la création de nouvelles versions des représentations. Le lazgi se danse lors des fêtes nationales et des festivités traditionnelles sous ses formes figuratives. La forme interprétative, inspirée de la vie quotidienne, est privilégiée lors des événements familiaux et communautaires.</w:t>
      </w:r>
    </w:p>
    <w:p w14:paraId="48086F1C" w14:textId="1AFCE6CE" w:rsidR="0001502D" w:rsidRPr="0001502D" w:rsidRDefault="0001502D" w:rsidP="00771F30">
      <w:pPr>
        <w:keepNext/>
        <w:numPr>
          <w:ilvl w:val="1"/>
          <w:numId w:val="43"/>
        </w:numPr>
        <w:tabs>
          <w:tab w:val="left" w:pos="567"/>
          <w:tab w:val="left" w:pos="1701"/>
          <w:tab w:val="left" w:pos="2268"/>
        </w:tabs>
        <w:spacing w:before="120" w:after="120"/>
        <w:ind w:left="567"/>
        <w:jc w:val="both"/>
        <w:rPr>
          <w:rFonts w:ascii="Arial" w:hAnsi="Arial" w:cs="Arial"/>
          <w:sz w:val="22"/>
          <w:szCs w:val="22"/>
          <w:lang w:eastAsia="ko-KR"/>
        </w:rPr>
      </w:pPr>
      <w:r w:rsidRPr="0001502D">
        <w:rPr>
          <w:rFonts w:ascii="Arial" w:hAnsi="Arial" w:cs="Arial"/>
          <w:sz w:val="22"/>
          <w:szCs w:val="22"/>
          <w:u w:val="single"/>
          <w:lang w:eastAsia="ko-KR"/>
        </w:rPr>
        <w:t>Estime</w:t>
      </w:r>
      <w:r w:rsidRPr="0001502D">
        <w:rPr>
          <w:rFonts w:ascii="Arial" w:hAnsi="Arial" w:cs="Arial"/>
          <w:sz w:val="22"/>
          <w:szCs w:val="22"/>
          <w:lang w:eastAsia="ko-KR"/>
        </w:rPr>
        <w:t xml:space="preserve"> que, d</w:t>
      </w:r>
      <w:r w:rsidR="009C104E">
        <w:rPr>
          <w:rFonts w:ascii="Arial" w:hAnsi="Arial" w:cs="Arial"/>
          <w:sz w:val="22"/>
          <w:szCs w:val="22"/>
          <w:lang w:eastAsia="ko-KR"/>
        </w:rPr>
        <w:t>’</w:t>
      </w:r>
      <w:r w:rsidRPr="0001502D">
        <w:rPr>
          <w:rFonts w:ascii="Arial" w:hAnsi="Arial" w:cs="Arial"/>
          <w:sz w:val="22"/>
          <w:szCs w:val="22"/>
          <w:lang w:eastAsia="ko-KR"/>
        </w:rPr>
        <w:t>après les informations contenues dans le dossier, la candidature satisfait aux critères d</w:t>
      </w:r>
      <w:r w:rsidR="009C104E">
        <w:rPr>
          <w:rFonts w:ascii="Arial" w:hAnsi="Arial" w:cs="Arial"/>
          <w:sz w:val="22"/>
          <w:szCs w:val="22"/>
          <w:lang w:eastAsia="ko-KR"/>
        </w:rPr>
        <w:t>’</w:t>
      </w:r>
      <w:r w:rsidRPr="0001502D">
        <w:rPr>
          <w:rFonts w:ascii="Arial" w:hAnsi="Arial" w:cs="Arial"/>
          <w:sz w:val="22"/>
          <w:szCs w:val="22"/>
          <w:lang w:eastAsia="ko-KR"/>
        </w:rPr>
        <w:t>inscription sur la Liste représentative du patrimoine culturel immatériel de l</w:t>
      </w:r>
      <w:r w:rsidR="009C104E">
        <w:rPr>
          <w:rFonts w:ascii="Arial" w:hAnsi="Arial" w:cs="Arial"/>
          <w:sz w:val="22"/>
          <w:szCs w:val="22"/>
          <w:lang w:eastAsia="ko-KR"/>
        </w:rPr>
        <w:t>’</w:t>
      </w:r>
      <w:r w:rsidRPr="0001502D">
        <w:rPr>
          <w:rFonts w:ascii="Arial" w:hAnsi="Arial" w:cs="Arial"/>
          <w:sz w:val="22"/>
          <w:szCs w:val="22"/>
          <w:lang w:eastAsia="ko-KR"/>
        </w:rPr>
        <w:t>humanité comme suit :</w:t>
      </w:r>
    </w:p>
    <w:p w14:paraId="069B6994" w14:textId="4BF37588" w:rsidR="0001502D" w:rsidRPr="0001502D" w:rsidRDefault="0001502D" w:rsidP="00972AAF">
      <w:pPr>
        <w:tabs>
          <w:tab w:val="left" w:pos="1134"/>
          <w:tab w:val="left" w:pos="2268"/>
        </w:tabs>
        <w:spacing w:before="120" w:after="120"/>
        <w:ind w:left="1134" w:hanging="555"/>
        <w:jc w:val="both"/>
        <w:rPr>
          <w:rFonts w:ascii="Arial" w:hAnsi="Arial" w:cs="Arial"/>
          <w:sz w:val="22"/>
          <w:szCs w:val="22"/>
        </w:rPr>
      </w:pPr>
      <w:r w:rsidRPr="0001502D">
        <w:rPr>
          <w:rFonts w:ascii="Arial" w:hAnsi="Arial" w:cs="Arial"/>
          <w:sz w:val="22"/>
          <w:szCs w:val="22"/>
        </w:rPr>
        <w:t xml:space="preserve">R.1 : </w:t>
      </w:r>
      <w:r w:rsidRPr="0001502D">
        <w:rPr>
          <w:rFonts w:ascii="Arial" w:hAnsi="Arial" w:cs="Arial"/>
          <w:sz w:val="22"/>
          <w:szCs w:val="22"/>
        </w:rPr>
        <w:tab/>
        <w:t>Le lazgi, danse de Khorezm, encourage la solidarité et la fraternité entre les membres de classes sociales différentes. En s</w:t>
      </w:r>
      <w:r w:rsidR="009C104E">
        <w:rPr>
          <w:rFonts w:ascii="Arial" w:hAnsi="Arial" w:cs="Arial"/>
          <w:sz w:val="22"/>
          <w:szCs w:val="22"/>
        </w:rPr>
        <w:t>’</w:t>
      </w:r>
      <w:r w:rsidRPr="0001502D">
        <w:rPr>
          <w:rFonts w:ascii="Arial" w:hAnsi="Arial" w:cs="Arial"/>
          <w:sz w:val="22"/>
          <w:szCs w:val="22"/>
        </w:rPr>
        <w:t>inspirant de la vie sociale et des activités des communautés locales, il illustre la vie réelle dans ses mouvements et constitue aussi un moyen de satisfaire les besoins moraux des individus. Le lazgi, danse de Khorezm, exprime, en outre, toute la richesse du monde spirituel des populations locales et joue un rôle important dans l</w:t>
      </w:r>
      <w:r w:rsidR="009C104E">
        <w:rPr>
          <w:rFonts w:ascii="Arial" w:hAnsi="Arial" w:cs="Arial"/>
          <w:sz w:val="22"/>
          <w:szCs w:val="22"/>
        </w:rPr>
        <w:t>’</w:t>
      </w:r>
      <w:r w:rsidRPr="0001502D">
        <w:rPr>
          <w:rFonts w:ascii="Arial" w:hAnsi="Arial" w:cs="Arial"/>
          <w:sz w:val="22"/>
          <w:szCs w:val="22"/>
        </w:rPr>
        <w:t>éducation esthétique des jeunes.</w:t>
      </w:r>
    </w:p>
    <w:p w14:paraId="132E1588" w14:textId="472325CC" w:rsidR="0001502D" w:rsidRPr="0001502D" w:rsidRDefault="0001502D" w:rsidP="00972AAF">
      <w:pPr>
        <w:tabs>
          <w:tab w:val="left" w:pos="1134"/>
          <w:tab w:val="left" w:pos="2268"/>
        </w:tabs>
        <w:spacing w:before="120" w:after="120"/>
        <w:ind w:left="1134" w:hanging="555"/>
        <w:jc w:val="both"/>
        <w:rPr>
          <w:rFonts w:ascii="Arial" w:hAnsi="Arial" w:cs="Arial"/>
          <w:sz w:val="22"/>
          <w:szCs w:val="22"/>
        </w:rPr>
      </w:pPr>
      <w:r w:rsidRPr="0001502D">
        <w:rPr>
          <w:rFonts w:ascii="Arial" w:hAnsi="Arial" w:cs="Arial"/>
          <w:sz w:val="22"/>
          <w:szCs w:val="22"/>
        </w:rPr>
        <w:t>R.2 :</w:t>
      </w:r>
      <w:r w:rsidRPr="0001502D">
        <w:rPr>
          <w:rFonts w:ascii="Arial" w:hAnsi="Arial" w:cs="Arial"/>
          <w:sz w:val="22"/>
          <w:szCs w:val="22"/>
        </w:rPr>
        <w:tab/>
        <w:t>Avec l</w:t>
      </w:r>
      <w:r w:rsidR="009C104E">
        <w:rPr>
          <w:rFonts w:ascii="Arial" w:hAnsi="Arial" w:cs="Arial"/>
          <w:sz w:val="22"/>
          <w:szCs w:val="22"/>
        </w:rPr>
        <w:t>’</w:t>
      </w:r>
      <w:r w:rsidRPr="0001502D">
        <w:rPr>
          <w:rFonts w:ascii="Arial" w:hAnsi="Arial" w:cs="Arial"/>
          <w:sz w:val="22"/>
          <w:szCs w:val="22"/>
        </w:rPr>
        <w:t>inscription du lazgi, danse de Khorezm, les valeurs positives inhérentes à l</w:t>
      </w:r>
      <w:r w:rsidR="009C104E">
        <w:rPr>
          <w:rFonts w:ascii="Arial" w:hAnsi="Arial" w:cs="Arial"/>
          <w:sz w:val="22"/>
          <w:szCs w:val="22"/>
        </w:rPr>
        <w:t>’</w:t>
      </w:r>
      <w:r w:rsidRPr="0001502D">
        <w:rPr>
          <w:rFonts w:ascii="Arial" w:hAnsi="Arial" w:cs="Arial"/>
          <w:sz w:val="22"/>
          <w:szCs w:val="22"/>
        </w:rPr>
        <w:t>élément permettraient de promouvoir l</w:t>
      </w:r>
      <w:r w:rsidR="009C104E">
        <w:rPr>
          <w:rFonts w:ascii="Arial" w:hAnsi="Arial" w:cs="Arial"/>
          <w:sz w:val="22"/>
          <w:szCs w:val="22"/>
        </w:rPr>
        <w:t>’</w:t>
      </w:r>
      <w:r w:rsidRPr="0001502D">
        <w:rPr>
          <w:rFonts w:ascii="Arial" w:hAnsi="Arial" w:cs="Arial"/>
          <w:sz w:val="22"/>
          <w:szCs w:val="22"/>
        </w:rPr>
        <w:t>amitié, le dialogue et la compréhension entre différents groupes au sein de la société ouzbek. Puisque l</w:t>
      </w:r>
      <w:r w:rsidR="009C104E">
        <w:rPr>
          <w:rFonts w:ascii="Arial" w:hAnsi="Arial" w:cs="Arial"/>
          <w:sz w:val="22"/>
          <w:szCs w:val="22"/>
        </w:rPr>
        <w:t>’</w:t>
      </w:r>
      <w:r w:rsidRPr="0001502D">
        <w:rPr>
          <w:rFonts w:ascii="Arial" w:hAnsi="Arial" w:cs="Arial"/>
          <w:sz w:val="22"/>
          <w:szCs w:val="22"/>
        </w:rPr>
        <w:t>élément représente symboliquement des émotions et des sentiments humains universels, son inscription pourrait aussi encourager des valeurs positives et facilement compréhensibles dans le monde entier. De plus, la diversité et la créativité qui caractérisent l</w:t>
      </w:r>
      <w:r w:rsidR="009C104E">
        <w:rPr>
          <w:rFonts w:ascii="Arial" w:hAnsi="Arial" w:cs="Arial"/>
          <w:sz w:val="22"/>
          <w:szCs w:val="22"/>
        </w:rPr>
        <w:t>’</w:t>
      </w:r>
      <w:r w:rsidRPr="0001502D">
        <w:rPr>
          <w:rFonts w:ascii="Arial" w:hAnsi="Arial" w:cs="Arial"/>
          <w:sz w:val="22"/>
          <w:szCs w:val="22"/>
        </w:rPr>
        <w:t>élément pourraient inciter les jeunes à respecter leurs traditions locales et à s</w:t>
      </w:r>
      <w:r w:rsidR="009C104E">
        <w:rPr>
          <w:rFonts w:ascii="Arial" w:hAnsi="Arial" w:cs="Arial"/>
          <w:sz w:val="22"/>
          <w:szCs w:val="22"/>
        </w:rPr>
        <w:t>’</w:t>
      </w:r>
      <w:r w:rsidRPr="0001502D">
        <w:rPr>
          <w:rFonts w:ascii="Arial" w:hAnsi="Arial" w:cs="Arial"/>
          <w:sz w:val="22"/>
          <w:szCs w:val="22"/>
        </w:rPr>
        <w:t>impliquer dans leur pratique.</w:t>
      </w:r>
    </w:p>
    <w:p w14:paraId="69FCAFD0" w14:textId="4BDC1321" w:rsidR="0001502D" w:rsidRPr="0001502D" w:rsidRDefault="0001502D" w:rsidP="00972AAF">
      <w:pPr>
        <w:tabs>
          <w:tab w:val="left" w:pos="1134"/>
          <w:tab w:val="left" w:pos="2268"/>
        </w:tabs>
        <w:spacing w:before="120" w:after="120"/>
        <w:ind w:left="1134" w:hanging="555"/>
        <w:jc w:val="both"/>
        <w:rPr>
          <w:rFonts w:ascii="Arial" w:hAnsi="Arial" w:cs="Arial"/>
          <w:noProof/>
          <w:sz w:val="22"/>
          <w:szCs w:val="22"/>
        </w:rPr>
      </w:pPr>
      <w:r w:rsidRPr="0001502D">
        <w:rPr>
          <w:rFonts w:ascii="Arial" w:hAnsi="Arial" w:cs="Arial"/>
          <w:sz w:val="22"/>
          <w:szCs w:val="22"/>
        </w:rPr>
        <w:t xml:space="preserve">R.3 : </w:t>
      </w:r>
      <w:r w:rsidRPr="0001502D">
        <w:rPr>
          <w:rFonts w:ascii="Arial" w:hAnsi="Arial" w:cs="Arial"/>
          <w:sz w:val="22"/>
          <w:szCs w:val="22"/>
        </w:rPr>
        <w:tab/>
        <w:t>La viabilité du lazgi, danse de Khorezm, n</w:t>
      </w:r>
      <w:r w:rsidR="009C104E">
        <w:rPr>
          <w:rFonts w:ascii="Arial" w:hAnsi="Arial" w:cs="Arial"/>
          <w:sz w:val="22"/>
          <w:szCs w:val="22"/>
        </w:rPr>
        <w:t>’</w:t>
      </w:r>
      <w:r w:rsidRPr="0001502D">
        <w:rPr>
          <w:rFonts w:ascii="Arial" w:hAnsi="Arial" w:cs="Arial"/>
          <w:sz w:val="22"/>
          <w:szCs w:val="22"/>
        </w:rPr>
        <w:t>est actuellement pas sérieusement menacée. Sa transmission est assurée à différents niveaux, y compris dans l</w:t>
      </w:r>
      <w:r w:rsidR="009C104E">
        <w:rPr>
          <w:rFonts w:ascii="Arial" w:hAnsi="Arial" w:cs="Arial"/>
          <w:sz w:val="22"/>
          <w:szCs w:val="22"/>
        </w:rPr>
        <w:t>’</w:t>
      </w:r>
      <w:r w:rsidRPr="0001502D">
        <w:rPr>
          <w:rFonts w:ascii="Arial" w:hAnsi="Arial" w:cs="Arial"/>
          <w:sz w:val="22"/>
          <w:szCs w:val="22"/>
        </w:rPr>
        <w:t>environnement familial et à travers le système éducatif. En raison de ses liens étroits avec un vaste éventail de festivités et d</w:t>
      </w:r>
      <w:r w:rsidR="009C104E">
        <w:rPr>
          <w:rFonts w:ascii="Arial" w:hAnsi="Arial" w:cs="Arial"/>
          <w:sz w:val="22"/>
          <w:szCs w:val="22"/>
        </w:rPr>
        <w:t>’</w:t>
      </w:r>
      <w:r w:rsidRPr="0001502D">
        <w:rPr>
          <w:rFonts w:ascii="Arial" w:hAnsi="Arial" w:cs="Arial"/>
          <w:sz w:val="22"/>
          <w:szCs w:val="22"/>
        </w:rPr>
        <w:t>événements importants, cette pratique est présente en permanence dans les sphères publiques et privées. Le lazgi est en outre inclus dans des programmes d</w:t>
      </w:r>
      <w:r w:rsidR="009C104E">
        <w:rPr>
          <w:rFonts w:ascii="Arial" w:hAnsi="Arial" w:cs="Arial"/>
          <w:sz w:val="22"/>
          <w:szCs w:val="22"/>
        </w:rPr>
        <w:t>’</w:t>
      </w:r>
      <w:r w:rsidRPr="0001502D">
        <w:rPr>
          <w:rFonts w:ascii="Arial" w:hAnsi="Arial" w:cs="Arial"/>
          <w:sz w:val="22"/>
          <w:szCs w:val="22"/>
        </w:rPr>
        <w:t>État pour la sauvegarde et la promotion du patrimoine culturel ouzbek. L</w:t>
      </w:r>
      <w:r w:rsidR="009C104E">
        <w:rPr>
          <w:rFonts w:ascii="Arial" w:hAnsi="Arial" w:cs="Arial"/>
          <w:sz w:val="22"/>
          <w:szCs w:val="22"/>
        </w:rPr>
        <w:t>’</w:t>
      </w:r>
      <w:r w:rsidRPr="0001502D">
        <w:rPr>
          <w:rFonts w:ascii="Arial" w:hAnsi="Arial" w:cs="Arial"/>
          <w:sz w:val="22"/>
          <w:szCs w:val="22"/>
        </w:rPr>
        <w:t>inscription encouragerait et appuierait ces efforts. Toutes les mesures de sauvegarde seront mises en œuvre avec la participation active des communautés concernées. Elles visent à promouvoir l</w:t>
      </w:r>
      <w:r w:rsidR="009C104E">
        <w:rPr>
          <w:rFonts w:ascii="Arial" w:hAnsi="Arial" w:cs="Arial"/>
          <w:sz w:val="22"/>
          <w:szCs w:val="22"/>
        </w:rPr>
        <w:t>’</w:t>
      </w:r>
      <w:r w:rsidRPr="0001502D">
        <w:rPr>
          <w:rFonts w:ascii="Arial" w:hAnsi="Arial" w:cs="Arial"/>
          <w:sz w:val="22"/>
          <w:szCs w:val="22"/>
        </w:rPr>
        <w:t>élément, à améliorer la recherche, à inventorier et documenter l</w:t>
      </w:r>
      <w:r w:rsidR="009C104E">
        <w:rPr>
          <w:rFonts w:ascii="Arial" w:hAnsi="Arial" w:cs="Arial"/>
          <w:sz w:val="22"/>
          <w:szCs w:val="22"/>
        </w:rPr>
        <w:t>’</w:t>
      </w:r>
      <w:r w:rsidRPr="0001502D">
        <w:rPr>
          <w:rFonts w:ascii="Arial" w:hAnsi="Arial" w:cs="Arial"/>
          <w:sz w:val="22"/>
          <w:szCs w:val="22"/>
        </w:rPr>
        <w:t>élément et à soutenir la créativité des détenteurs locaux du patrimoine culturel immatériel.</w:t>
      </w:r>
    </w:p>
    <w:p w14:paraId="1DF19B40" w14:textId="479CFB19" w:rsidR="0001502D" w:rsidRPr="0001502D" w:rsidRDefault="0001502D" w:rsidP="00972AAF">
      <w:pPr>
        <w:tabs>
          <w:tab w:val="left" w:pos="1134"/>
          <w:tab w:val="left" w:pos="2268"/>
        </w:tabs>
        <w:spacing w:before="120" w:after="120"/>
        <w:ind w:left="1134" w:hanging="555"/>
        <w:jc w:val="both"/>
        <w:rPr>
          <w:rFonts w:ascii="Arial" w:hAnsi="Arial" w:cs="Arial"/>
          <w:sz w:val="22"/>
          <w:szCs w:val="22"/>
        </w:rPr>
      </w:pPr>
      <w:r w:rsidRPr="0001502D">
        <w:rPr>
          <w:rFonts w:ascii="Arial" w:hAnsi="Arial" w:cs="Arial"/>
          <w:sz w:val="22"/>
          <w:szCs w:val="22"/>
        </w:rPr>
        <w:t xml:space="preserve">R.4 : </w:t>
      </w:r>
      <w:r w:rsidRPr="0001502D">
        <w:rPr>
          <w:rFonts w:ascii="Arial" w:hAnsi="Arial" w:cs="Arial"/>
          <w:sz w:val="22"/>
          <w:szCs w:val="22"/>
        </w:rPr>
        <w:tab/>
        <w:t>Une approche ascendante a été adoptée lors de la phase de préparation. Le dossier de candidature a été préparé en étroite coopération avec des scientifiques, les municipalités locales et les détenteurs du patrimoine culturel immatériel avec la participation d</w:t>
      </w:r>
      <w:r w:rsidR="009C104E">
        <w:rPr>
          <w:rFonts w:ascii="Arial" w:hAnsi="Arial" w:cs="Arial"/>
          <w:sz w:val="22"/>
          <w:szCs w:val="22"/>
        </w:rPr>
        <w:t>’</w:t>
      </w:r>
      <w:r w:rsidRPr="0001502D">
        <w:rPr>
          <w:rFonts w:ascii="Arial" w:hAnsi="Arial" w:cs="Arial"/>
          <w:sz w:val="22"/>
          <w:szCs w:val="22"/>
        </w:rPr>
        <w:t>experts de la Fondation publique Oltin Meros, de la Commission nationale de la République d</w:t>
      </w:r>
      <w:r w:rsidR="009C104E">
        <w:rPr>
          <w:rFonts w:ascii="Arial" w:hAnsi="Arial" w:cs="Arial"/>
          <w:sz w:val="22"/>
          <w:szCs w:val="22"/>
        </w:rPr>
        <w:t>’</w:t>
      </w:r>
      <w:r w:rsidRPr="0001502D">
        <w:rPr>
          <w:rFonts w:ascii="Arial" w:hAnsi="Arial" w:cs="Arial"/>
          <w:sz w:val="22"/>
          <w:szCs w:val="22"/>
        </w:rPr>
        <w:t>Ouzbékistan pour l</w:t>
      </w:r>
      <w:r w:rsidR="009C104E">
        <w:rPr>
          <w:rFonts w:ascii="Arial" w:hAnsi="Arial" w:cs="Arial"/>
          <w:sz w:val="22"/>
          <w:szCs w:val="22"/>
        </w:rPr>
        <w:t>’</w:t>
      </w:r>
      <w:r w:rsidRPr="0001502D">
        <w:rPr>
          <w:rFonts w:ascii="Arial" w:hAnsi="Arial" w:cs="Arial"/>
          <w:sz w:val="22"/>
          <w:szCs w:val="22"/>
        </w:rPr>
        <w:t>UNESCO, de l</w:t>
      </w:r>
      <w:r w:rsidR="009C104E">
        <w:rPr>
          <w:rFonts w:ascii="Arial" w:hAnsi="Arial" w:cs="Arial"/>
          <w:sz w:val="22"/>
          <w:szCs w:val="22"/>
        </w:rPr>
        <w:t>’</w:t>
      </w:r>
      <w:r w:rsidRPr="0001502D">
        <w:rPr>
          <w:rFonts w:ascii="Arial" w:hAnsi="Arial" w:cs="Arial"/>
          <w:sz w:val="22"/>
          <w:szCs w:val="22"/>
        </w:rPr>
        <w:t>Académie Khorazm Ma</w:t>
      </w:r>
      <w:r w:rsidR="009C104E">
        <w:rPr>
          <w:rFonts w:ascii="Arial" w:hAnsi="Arial" w:cs="Arial"/>
          <w:sz w:val="22"/>
          <w:szCs w:val="22"/>
        </w:rPr>
        <w:t>’</w:t>
      </w:r>
      <w:r w:rsidRPr="0001502D">
        <w:rPr>
          <w:rFonts w:ascii="Arial" w:hAnsi="Arial" w:cs="Arial"/>
          <w:sz w:val="22"/>
          <w:szCs w:val="22"/>
        </w:rPr>
        <w:t>mun et de la Maison-musée de Tamara Khanum, sous la direction d</w:t>
      </w:r>
      <w:r w:rsidR="009C104E">
        <w:rPr>
          <w:rFonts w:ascii="Arial" w:hAnsi="Arial" w:cs="Arial"/>
          <w:sz w:val="22"/>
          <w:szCs w:val="22"/>
        </w:rPr>
        <w:t>’</w:t>
      </w:r>
      <w:r w:rsidRPr="0001502D">
        <w:rPr>
          <w:rFonts w:ascii="Arial" w:hAnsi="Arial" w:cs="Arial"/>
          <w:sz w:val="22"/>
          <w:szCs w:val="22"/>
        </w:rPr>
        <w:t>un détenteur important de l</w:t>
      </w:r>
      <w:r w:rsidR="009C104E">
        <w:rPr>
          <w:rFonts w:ascii="Arial" w:hAnsi="Arial" w:cs="Arial"/>
          <w:sz w:val="22"/>
          <w:szCs w:val="22"/>
        </w:rPr>
        <w:t>’</w:t>
      </w:r>
      <w:r w:rsidRPr="0001502D">
        <w:rPr>
          <w:rFonts w:ascii="Arial" w:hAnsi="Arial" w:cs="Arial"/>
          <w:sz w:val="22"/>
          <w:szCs w:val="22"/>
        </w:rPr>
        <w:t>élément.</w:t>
      </w:r>
    </w:p>
    <w:p w14:paraId="58DDB42D" w14:textId="06636D49" w:rsidR="0001502D" w:rsidRPr="0001502D" w:rsidRDefault="0001502D" w:rsidP="00972AAF">
      <w:pPr>
        <w:tabs>
          <w:tab w:val="left" w:pos="1134"/>
          <w:tab w:val="left" w:pos="2268"/>
        </w:tabs>
        <w:spacing w:before="120" w:after="120"/>
        <w:ind w:left="1134" w:hanging="555"/>
        <w:jc w:val="both"/>
        <w:rPr>
          <w:rFonts w:ascii="Arial" w:hAnsi="Arial" w:cs="Arial"/>
          <w:sz w:val="22"/>
          <w:szCs w:val="22"/>
        </w:rPr>
      </w:pPr>
      <w:r w:rsidRPr="0001502D">
        <w:rPr>
          <w:rFonts w:ascii="Arial" w:hAnsi="Arial" w:cs="Arial"/>
          <w:sz w:val="22"/>
          <w:szCs w:val="22"/>
        </w:rPr>
        <w:t xml:space="preserve">R.5 : </w:t>
      </w:r>
      <w:r w:rsidRPr="0001502D">
        <w:rPr>
          <w:rFonts w:ascii="Arial" w:hAnsi="Arial" w:cs="Arial"/>
          <w:sz w:val="22"/>
          <w:szCs w:val="22"/>
        </w:rPr>
        <w:tab/>
        <w:t xml:space="preserve">Le lazgi, danse de Khorezm, a été inscrit à </w:t>
      </w:r>
      <w:r w:rsidRPr="0001502D">
        <w:rPr>
          <w:rFonts w:ascii="Arial" w:hAnsi="Arial"/>
          <w:sz w:val="22"/>
          <w:szCs w:val="22"/>
        </w:rPr>
        <w:t xml:space="preserve">la Liste de </w:t>
      </w:r>
      <w:r w:rsidRPr="0001502D">
        <w:rPr>
          <w:rFonts w:ascii="Arial" w:hAnsi="Arial" w:cs="Arial"/>
          <w:sz w:val="22"/>
          <w:szCs w:val="22"/>
        </w:rPr>
        <w:t>l</w:t>
      </w:r>
      <w:r w:rsidR="009C104E">
        <w:rPr>
          <w:rFonts w:ascii="Arial" w:hAnsi="Arial" w:cs="Arial"/>
          <w:sz w:val="22"/>
          <w:szCs w:val="22"/>
        </w:rPr>
        <w:t>’</w:t>
      </w:r>
      <w:r w:rsidRPr="0001502D">
        <w:rPr>
          <w:rFonts w:ascii="Arial" w:hAnsi="Arial" w:cs="Arial"/>
          <w:sz w:val="22"/>
          <w:szCs w:val="22"/>
        </w:rPr>
        <w:t xml:space="preserve">inventaire national du patrimoine culturel immatériel </w:t>
      </w:r>
      <w:r w:rsidRPr="0001502D">
        <w:rPr>
          <w:rFonts w:ascii="Arial" w:hAnsi="Arial"/>
          <w:sz w:val="22"/>
          <w:szCs w:val="22"/>
        </w:rPr>
        <w:t>de l</w:t>
      </w:r>
      <w:r w:rsidR="009C104E">
        <w:rPr>
          <w:rFonts w:ascii="Arial" w:hAnsi="Arial"/>
          <w:sz w:val="22"/>
          <w:szCs w:val="22"/>
        </w:rPr>
        <w:t>’</w:t>
      </w:r>
      <w:r w:rsidRPr="0001502D">
        <w:rPr>
          <w:rFonts w:ascii="Arial" w:hAnsi="Arial"/>
          <w:sz w:val="22"/>
          <w:szCs w:val="22"/>
        </w:rPr>
        <w:t>Ouzbékistan</w:t>
      </w:r>
      <w:r w:rsidRPr="0001502D">
        <w:rPr>
          <w:rFonts w:cs="Arial"/>
        </w:rPr>
        <w:t xml:space="preserve"> </w:t>
      </w:r>
      <w:r w:rsidRPr="0001502D">
        <w:rPr>
          <w:rFonts w:ascii="Arial" w:hAnsi="Arial" w:cs="Arial"/>
          <w:sz w:val="22"/>
          <w:szCs w:val="22"/>
        </w:rPr>
        <w:t xml:space="preserve">et à </w:t>
      </w:r>
      <w:r w:rsidRPr="0001502D">
        <w:rPr>
          <w:rFonts w:ascii="Arial" w:hAnsi="Arial"/>
          <w:sz w:val="22"/>
          <w:szCs w:val="22"/>
        </w:rPr>
        <w:t xml:space="preserve">la Liste de </w:t>
      </w:r>
      <w:r w:rsidRPr="0001502D">
        <w:rPr>
          <w:rFonts w:ascii="Arial" w:hAnsi="Arial" w:cs="Arial"/>
          <w:sz w:val="22"/>
          <w:szCs w:val="22"/>
        </w:rPr>
        <w:t>l</w:t>
      </w:r>
      <w:r w:rsidR="009C104E">
        <w:rPr>
          <w:rFonts w:ascii="Arial" w:hAnsi="Arial" w:cs="Arial"/>
          <w:sz w:val="22"/>
          <w:szCs w:val="22"/>
        </w:rPr>
        <w:t>’</w:t>
      </w:r>
      <w:r w:rsidRPr="0001502D">
        <w:rPr>
          <w:rFonts w:ascii="Arial" w:hAnsi="Arial" w:cs="Arial"/>
          <w:sz w:val="22"/>
          <w:szCs w:val="22"/>
        </w:rPr>
        <w:t>inventaire régional du Khorezm, région d</w:t>
      </w:r>
      <w:r w:rsidR="009C104E">
        <w:rPr>
          <w:rFonts w:ascii="Arial" w:hAnsi="Arial" w:cs="Arial"/>
          <w:sz w:val="22"/>
          <w:szCs w:val="22"/>
        </w:rPr>
        <w:t>’</w:t>
      </w:r>
      <w:r w:rsidRPr="0001502D">
        <w:rPr>
          <w:rFonts w:ascii="Arial" w:hAnsi="Arial" w:cs="Arial"/>
          <w:sz w:val="22"/>
          <w:szCs w:val="22"/>
        </w:rPr>
        <w:t xml:space="preserve">Ouzbékistan, en 2009. Le Centre républicain pour les arts populaires du Ministère de la culture et le Département culturel de la région de Khorezm sont les organismes respectivement responsables de la gestion et de la mise à jour de </w:t>
      </w:r>
      <w:r w:rsidRPr="0001502D">
        <w:rPr>
          <w:rFonts w:ascii="Arial" w:hAnsi="Arial"/>
          <w:sz w:val="22"/>
          <w:szCs w:val="22"/>
        </w:rPr>
        <w:t xml:space="preserve">la Liste de </w:t>
      </w:r>
      <w:r w:rsidRPr="0001502D">
        <w:rPr>
          <w:rFonts w:ascii="Arial" w:hAnsi="Arial" w:cs="Arial"/>
          <w:sz w:val="22"/>
          <w:szCs w:val="22"/>
        </w:rPr>
        <w:t>l</w:t>
      </w:r>
      <w:r w:rsidR="009C104E">
        <w:rPr>
          <w:rFonts w:ascii="Arial" w:hAnsi="Arial" w:cs="Arial"/>
          <w:sz w:val="22"/>
          <w:szCs w:val="22"/>
        </w:rPr>
        <w:t>’</w:t>
      </w:r>
      <w:r w:rsidRPr="0001502D">
        <w:rPr>
          <w:rFonts w:ascii="Arial" w:hAnsi="Arial" w:cs="Arial"/>
          <w:sz w:val="22"/>
          <w:szCs w:val="22"/>
        </w:rPr>
        <w:t xml:space="preserve">inventaire national du patrimoine culturel immatériel et de </w:t>
      </w:r>
      <w:r w:rsidRPr="0001502D">
        <w:rPr>
          <w:rFonts w:ascii="Arial" w:hAnsi="Arial"/>
          <w:sz w:val="22"/>
          <w:szCs w:val="22"/>
        </w:rPr>
        <w:t xml:space="preserve">la Liste de </w:t>
      </w:r>
      <w:r w:rsidRPr="0001502D">
        <w:rPr>
          <w:rFonts w:ascii="Arial" w:hAnsi="Arial" w:cs="Arial"/>
          <w:sz w:val="22"/>
          <w:szCs w:val="22"/>
        </w:rPr>
        <w:t>l</w:t>
      </w:r>
      <w:r w:rsidR="009C104E">
        <w:rPr>
          <w:rFonts w:ascii="Arial" w:hAnsi="Arial" w:cs="Arial"/>
          <w:sz w:val="22"/>
          <w:szCs w:val="22"/>
        </w:rPr>
        <w:t>’</w:t>
      </w:r>
      <w:r w:rsidRPr="0001502D">
        <w:rPr>
          <w:rFonts w:ascii="Arial" w:hAnsi="Arial" w:cs="Arial"/>
          <w:sz w:val="22"/>
          <w:szCs w:val="22"/>
        </w:rPr>
        <w:t xml:space="preserve">inventaire régional. La Liste </w:t>
      </w:r>
      <w:r w:rsidRPr="0001502D">
        <w:rPr>
          <w:rFonts w:ascii="Arial" w:hAnsi="Arial"/>
          <w:sz w:val="22"/>
          <w:szCs w:val="22"/>
        </w:rPr>
        <w:t xml:space="preserve">de </w:t>
      </w:r>
      <w:r w:rsidRPr="0001502D">
        <w:rPr>
          <w:rFonts w:ascii="Arial" w:hAnsi="Arial" w:cs="Arial"/>
          <w:sz w:val="22"/>
          <w:szCs w:val="22"/>
        </w:rPr>
        <w:t>l</w:t>
      </w:r>
      <w:r w:rsidR="009C104E">
        <w:rPr>
          <w:rFonts w:ascii="Arial" w:hAnsi="Arial" w:cs="Arial"/>
          <w:sz w:val="22"/>
          <w:szCs w:val="22"/>
        </w:rPr>
        <w:t>’</w:t>
      </w:r>
      <w:r w:rsidRPr="0001502D">
        <w:rPr>
          <w:rFonts w:ascii="Arial" w:hAnsi="Arial" w:cs="Arial"/>
          <w:sz w:val="22"/>
          <w:szCs w:val="22"/>
        </w:rPr>
        <w:t>inventaire national du patrimoine culturel immatériel de la République d</w:t>
      </w:r>
      <w:r w:rsidR="009C104E">
        <w:rPr>
          <w:rFonts w:ascii="Arial" w:hAnsi="Arial" w:cs="Arial"/>
          <w:sz w:val="22"/>
          <w:szCs w:val="22"/>
        </w:rPr>
        <w:t>’</w:t>
      </w:r>
      <w:r w:rsidRPr="0001502D">
        <w:rPr>
          <w:rFonts w:ascii="Arial" w:hAnsi="Arial" w:cs="Arial"/>
          <w:sz w:val="22"/>
          <w:szCs w:val="22"/>
        </w:rPr>
        <w:t>Ouzbékistan est mise à jour tous les trois ans en étroite collaboration avec les communautés Makhalla locales, les autorités locales et les détenteurs du patrimoine culturel immatériel.</w:t>
      </w:r>
    </w:p>
    <w:p w14:paraId="4C55F897" w14:textId="5D743598" w:rsidR="0001502D" w:rsidRPr="0001502D" w:rsidRDefault="0001502D" w:rsidP="00771F30">
      <w:pPr>
        <w:numPr>
          <w:ilvl w:val="1"/>
          <w:numId w:val="43"/>
        </w:numPr>
        <w:tabs>
          <w:tab w:val="left" w:pos="567"/>
          <w:tab w:val="left" w:pos="1701"/>
          <w:tab w:val="left" w:pos="2268"/>
        </w:tabs>
        <w:spacing w:before="120" w:after="120"/>
        <w:ind w:left="567" w:hanging="425"/>
        <w:jc w:val="both"/>
        <w:rPr>
          <w:rFonts w:ascii="Arial" w:hAnsi="Arial" w:cs="Arial"/>
          <w:sz w:val="22"/>
          <w:szCs w:val="22"/>
          <w:lang w:eastAsia="ko-KR"/>
        </w:rPr>
      </w:pPr>
      <w:r w:rsidRPr="0001502D">
        <w:rPr>
          <w:rFonts w:ascii="Arial" w:hAnsi="Arial" w:cs="Arial"/>
          <w:sz w:val="22"/>
          <w:szCs w:val="22"/>
          <w:u w:val="single"/>
          <w:lang w:eastAsia="ko-KR"/>
        </w:rPr>
        <w:t>Décide d</w:t>
      </w:r>
      <w:r w:rsidR="009C104E">
        <w:rPr>
          <w:rFonts w:ascii="Arial" w:hAnsi="Arial" w:cs="Arial"/>
          <w:sz w:val="22"/>
          <w:szCs w:val="22"/>
          <w:u w:val="single"/>
          <w:lang w:eastAsia="ko-KR"/>
        </w:rPr>
        <w:t>’</w:t>
      </w:r>
      <w:r w:rsidRPr="0001502D">
        <w:rPr>
          <w:rFonts w:ascii="Arial" w:hAnsi="Arial" w:cs="Arial"/>
          <w:sz w:val="22"/>
          <w:szCs w:val="22"/>
          <w:u w:val="single"/>
          <w:lang w:eastAsia="ko-KR"/>
        </w:rPr>
        <w:t>inscrire</w:t>
      </w:r>
      <w:r w:rsidRPr="0001502D">
        <w:rPr>
          <w:rFonts w:ascii="Arial" w:hAnsi="Arial" w:cs="Arial"/>
          <w:sz w:val="22"/>
          <w:szCs w:val="22"/>
          <w:lang w:eastAsia="ko-KR"/>
        </w:rPr>
        <w:t xml:space="preserve"> </w:t>
      </w:r>
      <w:r w:rsidRPr="0001502D">
        <w:rPr>
          <w:rFonts w:ascii="Arial" w:hAnsi="Arial" w:cs="Arial"/>
          <w:b/>
          <w:bCs/>
          <w:sz w:val="22"/>
          <w:szCs w:val="22"/>
          <w:lang w:eastAsia="ko-KR"/>
        </w:rPr>
        <w:t>le lazgi, danse de Khorezm</w:t>
      </w:r>
      <w:r w:rsidRPr="0001502D">
        <w:rPr>
          <w:rFonts w:ascii="Arial" w:hAnsi="Arial" w:cs="Arial"/>
          <w:sz w:val="22"/>
          <w:szCs w:val="22"/>
          <w:lang w:eastAsia="ko-KR"/>
        </w:rPr>
        <w:t xml:space="preserve"> sur la Liste représentative du patrimoine culturel immatériel de l</w:t>
      </w:r>
      <w:r w:rsidR="009C104E">
        <w:rPr>
          <w:rFonts w:ascii="Arial" w:hAnsi="Arial" w:cs="Arial"/>
          <w:sz w:val="22"/>
          <w:szCs w:val="22"/>
          <w:lang w:eastAsia="ko-KR"/>
        </w:rPr>
        <w:t>’</w:t>
      </w:r>
      <w:r w:rsidRPr="0001502D">
        <w:rPr>
          <w:rFonts w:ascii="Arial" w:hAnsi="Arial" w:cs="Arial"/>
          <w:sz w:val="22"/>
          <w:szCs w:val="22"/>
          <w:lang w:eastAsia="ko-KR"/>
        </w:rPr>
        <w:t>humanité.</w:t>
      </w:r>
    </w:p>
    <w:p w14:paraId="192E9552" w14:textId="73592B93" w:rsidR="0001502D" w:rsidRPr="0001502D" w:rsidRDefault="0001502D" w:rsidP="00771F30">
      <w:pPr>
        <w:keepNext/>
        <w:keepLines/>
        <w:numPr>
          <w:ilvl w:val="0"/>
          <w:numId w:val="43"/>
        </w:numPr>
        <w:spacing w:before="360" w:after="120"/>
        <w:outlineLvl w:val="1"/>
        <w:rPr>
          <w:rFonts w:ascii="Arial" w:hAnsi="Arial" w:cs="Arial"/>
          <w:bCs/>
          <w:iCs/>
          <w:sz w:val="22"/>
          <w:szCs w:val="22"/>
        </w:rPr>
      </w:pPr>
      <w:bookmarkStart w:id="45" w:name="Decision_10b42"/>
      <w:r w:rsidRPr="0001502D">
        <w:rPr>
          <w:rFonts w:ascii="Arial" w:hAnsi="Arial" w:cs="Arial"/>
          <w:b/>
          <w:bCs/>
          <w:iCs/>
          <w:sz w:val="22"/>
          <w:szCs w:val="22"/>
        </w:rPr>
        <w:t xml:space="preserve">DÉCISION 14.COM 10.b.42 </w:t>
      </w:r>
    </w:p>
    <w:bookmarkEnd w:id="45"/>
    <w:p w14:paraId="2B2323D0" w14:textId="77777777" w:rsidR="0001502D" w:rsidRPr="0001502D" w:rsidRDefault="0001502D" w:rsidP="009D2234">
      <w:pPr>
        <w:keepNext/>
        <w:tabs>
          <w:tab w:val="left" w:pos="567"/>
          <w:tab w:val="left" w:pos="1134"/>
          <w:tab w:val="left" w:pos="1701"/>
          <w:tab w:val="left" w:pos="2268"/>
        </w:tabs>
        <w:spacing w:before="120" w:after="120"/>
        <w:jc w:val="both"/>
        <w:rPr>
          <w:rFonts w:ascii="Arial" w:hAnsi="Arial" w:cs="Arial"/>
          <w:sz w:val="22"/>
          <w:szCs w:val="22"/>
        </w:rPr>
      </w:pPr>
      <w:r w:rsidRPr="0001502D">
        <w:rPr>
          <w:rFonts w:ascii="Arial" w:hAnsi="Arial" w:cs="Arial"/>
          <w:sz w:val="22"/>
          <w:szCs w:val="22"/>
        </w:rPr>
        <w:t>Le Comité,</w:t>
      </w:r>
    </w:p>
    <w:p w14:paraId="7E219ECD" w14:textId="7844FF9C" w:rsidR="0001502D" w:rsidRPr="0001502D" w:rsidRDefault="0001502D" w:rsidP="00771F30">
      <w:pPr>
        <w:numPr>
          <w:ilvl w:val="1"/>
          <w:numId w:val="43"/>
        </w:numPr>
        <w:tabs>
          <w:tab w:val="left" w:pos="567"/>
          <w:tab w:val="left" w:pos="1701"/>
          <w:tab w:val="left" w:pos="2268"/>
        </w:tabs>
        <w:spacing w:before="120" w:after="120"/>
        <w:ind w:left="567"/>
        <w:jc w:val="both"/>
        <w:rPr>
          <w:rFonts w:ascii="Arial" w:hAnsi="Arial" w:cs="Arial"/>
          <w:sz w:val="22"/>
          <w:szCs w:val="22"/>
          <w:lang w:eastAsia="ko-KR"/>
        </w:rPr>
      </w:pPr>
      <w:r w:rsidRPr="0001502D">
        <w:rPr>
          <w:rFonts w:ascii="Arial" w:hAnsi="Arial" w:cs="Arial"/>
          <w:sz w:val="22"/>
          <w:szCs w:val="22"/>
          <w:u w:val="single"/>
          <w:lang w:eastAsia="ko-KR"/>
        </w:rPr>
        <w:t>Prend note</w:t>
      </w:r>
      <w:r w:rsidRPr="0001502D">
        <w:rPr>
          <w:rFonts w:ascii="Arial" w:hAnsi="Arial" w:cs="Arial"/>
          <w:sz w:val="22"/>
          <w:szCs w:val="22"/>
          <w:lang w:eastAsia="ko-KR"/>
        </w:rPr>
        <w:t xml:space="preserve"> que le Viet Nam a proposé la candidature </w:t>
      </w:r>
      <w:r w:rsidRPr="0001502D">
        <w:rPr>
          <w:rFonts w:ascii="Arial" w:hAnsi="Arial" w:cs="Arial"/>
          <w:b/>
          <w:sz w:val="22"/>
          <w:szCs w:val="22"/>
          <w:lang w:eastAsia="ko-KR"/>
        </w:rPr>
        <w:t>des pratiques du then par les groupes ethniques Tày, Nùng et Thái au Viet Nam</w:t>
      </w:r>
      <w:r w:rsidRPr="0001502D">
        <w:rPr>
          <w:rFonts w:ascii="Arial" w:hAnsi="Arial" w:cs="Arial"/>
          <w:sz w:val="22"/>
          <w:szCs w:val="22"/>
          <w:lang w:eastAsia="ko-KR"/>
        </w:rPr>
        <w:t xml:space="preserve"> (n° 01379) pour inscription sur la Liste représentative du patrimoine culturel immatériel de l</w:t>
      </w:r>
      <w:r w:rsidR="009C104E">
        <w:rPr>
          <w:rFonts w:ascii="Arial" w:hAnsi="Arial" w:cs="Arial"/>
          <w:sz w:val="22"/>
          <w:szCs w:val="22"/>
          <w:lang w:eastAsia="ko-KR"/>
        </w:rPr>
        <w:t>’</w:t>
      </w:r>
      <w:r w:rsidRPr="0001502D">
        <w:rPr>
          <w:rFonts w:ascii="Arial" w:hAnsi="Arial" w:cs="Arial"/>
          <w:sz w:val="22"/>
          <w:szCs w:val="22"/>
          <w:lang w:eastAsia="ko-KR"/>
        </w:rPr>
        <w:t>humanité :</w:t>
      </w:r>
    </w:p>
    <w:p w14:paraId="6AD6202C" w14:textId="44A3D95A" w:rsidR="0001502D" w:rsidRPr="0001502D" w:rsidRDefault="0001502D" w:rsidP="008E7D08">
      <w:pPr>
        <w:tabs>
          <w:tab w:val="left" w:pos="567"/>
          <w:tab w:val="left" w:pos="1701"/>
          <w:tab w:val="left" w:pos="2268"/>
        </w:tabs>
        <w:spacing w:before="120" w:after="120"/>
        <w:ind w:left="567"/>
        <w:jc w:val="both"/>
        <w:rPr>
          <w:rFonts w:ascii="Arial" w:hAnsi="Arial" w:cs="Arial"/>
          <w:sz w:val="22"/>
          <w:szCs w:val="22"/>
        </w:rPr>
      </w:pPr>
      <w:r w:rsidRPr="0001502D">
        <w:rPr>
          <w:rFonts w:ascii="Arial" w:hAnsi="Arial" w:cs="Arial"/>
          <w:sz w:val="22"/>
          <w:szCs w:val="22"/>
        </w:rPr>
        <w:t>Pratique rituelle essentielle de la vie spirituelle des ethnies tày, nùng et thái au Viet Nam, le then reflète des concepts relatifs aux êtres humains, à la nature et à l</w:t>
      </w:r>
      <w:r w:rsidR="009C104E">
        <w:rPr>
          <w:rFonts w:ascii="Arial" w:hAnsi="Arial" w:cs="Arial"/>
          <w:sz w:val="22"/>
          <w:szCs w:val="22"/>
        </w:rPr>
        <w:t>’</w:t>
      </w:r>
      <w:r w:rsidRPr="0001502D">
        <w:rPr>
          <w:rFonts w:ascii="Arial" w:hAnsi="Arial" w:cs="Arial"/>
          <w:sz w:val="22"/>
          <w:szCs w:val="22"/>
        </w:rPr>
        <w:t>univers. Les cérémonies du then décrivent un voyage au cours duquel le maître then (homme ou femme) guide les soldats fantômes dans leur trajet du royaume terrestre au royaume des cieux afin d</w:t>
      </w:r>
      <w:r w:rsidR="009C104E">
        <w:rPr>
          <w:rFonts w:ascii="Arial" w:hAnsi="Arial" w:cs="Arial"/>
          <w:sz w:val="22"/>
          <w:szCs w:val="22"/>
        </w:rPr>
        <w:t>’</w:t>
      </w:r>
      <w:r w:rsidRPr="0001502D">
        <w:rPr>
          <w:rFonts w:ascii="Arial" w:hAnsi="Arial" w:cs="Arial"/>
          <w:sz w:val="22"/>
          <w:szCs w:val="22"/>
        </w:rPr>
        <w:t>offrir des objets religieux et de prier pour la paix, la guérison, les récoltes, une bonne année, etc. Le maître then commence la cérémonie en chantant et en jouant du tính, une sorte de luth. En fonction de l</w:t>
      </w:r>
      <w:r w:rsidR="009C104E">
        <w:rPr>
          <w:rFonts w:ascii="Arial" w:hAnsi="Arial" w:cs="Arial"/>
          <w:sz w:val="22"/>
          <w:szCs w:val="22"/>
        </w:rPr>
        <w:t>’</w:t>
      </w:r>
      <w:r w:rsidRPr="0001502D">
        <w:rPr>
          <w:rFonts w:ascii="Arial" w:hAnsi="Arial" w:cs="Arial"/>
          <w:sz w:val="22"/>
          <w:szCs w:val="22"/>
        </w:rPr>
        <w:t>objectif du culte, les maîtres then organisent des voyages cérémoniels pour prier différents dieux natifs. Les maîtres then utilisent différents objets, comme des épées d</w:t>
      </w:r>
      <w:r w:rsidR="009C104E">
        <w:rPr>
          <w:rFonts w:ascii="Arial" w:hAnsi="Arial" w:cs="Arial"/>
          <w:sz w:val="22"/>
          <w:szCs w:val="22"/>
        </w:rPr>
        <w:t>’</w:t>
      </w:r>
      <w:r w:rsidRPr="0001502D">
        <w:rPr>
          <w:rFonts w:ascii="Arial" w:hAnsi="Arial" w:cs="Arial"/>
          <w:sz w:val="22"/>
          <w:szCs w:val="22"/>
        </w:rPr>
        <w:t>exorcisme, des baguettes yin et yang, des cloches, etc., pour réaliser les cérémonies dans la maison du croyant, en plein air ou à l</w:t>
      </w:r>
      <w:r w:rsidR="009C104E">
        <w:rPr>
          <w:rFonts w:ascii="Arial" w:hAnsi="Arial" w:cs="Arial"/>
          <w:sz w:val="22"/>
          <w:szCs w:val="22"/>
        </w:rPr>
        <w:t>’</w:t>
      </w:r>
      <w:r w:rsidRPr="0001502D">
        <w:rPr>
          <w:rFonts w:ascii="Arial" w:hAnsi="Arial" w:cs="Arial"/>
          <w:sz w:val="22"/>
          <w:szCs w:val="22"/>
        </w:rPr>
        <w:t>autel then de la maison du maître. Le maître porte une robe de cérémonie, chante dans la langue de son ethnie, joue du tính, fait tinter des clochettes et agite un éventail. Un groupe de danseuses participe à certaines cérémonies. La transmission du then est toujours orale et s</w:t>
      </w:r>
      <w:r w:rsidR="009C104E">
        <w:rPr>
          <w:rFonts w:ascii="Arial" w:hAnsi="Arial" w:cs="Arial"/>
          <w:sz w:val="22"/>
          <w:szCs w:val="22"/>
        </w:rPr>
        <w:t>’</w:t>
      </w:r>
      <w:r w:rsidRPr="0001502D">
        <w:rPr>
          <w:rFonts w:ascii="Arial" w:hAnsi="Arial" w:cs="Arial"/>
          <w:sz w:val="22"/>
          <w:szCs w:val="22"/>
        </w:rPr>
        <w:t>effectue pendant les rituels, reflétant sa pérennité à travers les générations. Les maîtres du then, qui peuvent effectuer jusqu</w:t>
      </w:r>
      <w:r w:rsidR="009C104E">
        <w:rPr>
          <w:rFonts w:ascii="Arial" w:hAnsi="Arial" w:cs="Arial"/>
          <w:sz w:val="22"/>
          <w:szCs w:val="22"/>
        </w:rPr>
        <w:t>’</w:t>
      </w:r>
      <w:r w:rsidRPr="0001502D">
        <w:rPr>
          <w:rFonts w:ascii="Arial" w:hAnsi="Arial" w:cs="Arial"/>
          <w:sz w:val="22"/>
          <w:szCs w:val="22"/>
        </w:rPr>
        <w:t>à 200 cérémonies par an, jouent un rôle essentiel dans la transmission des savoir-faire.</w:t>
      </w:r>
    </w:p>
    <w:p w14:paraId="339D2202" w14:textId="580BB8A5" w:rsidR="0001502D" w:rsidRPr="0001502D" w:rsidRDefault="0001502D" w:rsidP="00771F30">
      <w:pPr>
        <w:keepNext/>
        <w:numPr>
          <w:ilvl w:val="1"/>
          <w:numId w:val="43"/>
        </w:numPr>
        <w:tabs>
          <w:tab w:val="left" w:pos="567"/>
          <w:tab w:val="left" w:pos="1701"/>
          <w:tab w:val="left" w:pos="2268"/>
        </w:tabs>
        <w:spacing w:before="120" w:after="120"/>
        <w:ind w:left="567"/>
        <w:jc w:val="both"/>
        <w:rPr>
          <w:rFonts w:ascii="Arial" w:hAnsi="Arial" w:cs="Arial"/>
          <w:sz w:val="22"/>
          <w:szCs w:val="22"/>
          <w:lang w:eastAsia="ko-KR"/>
        </w:rPr>
      </w:pPr>
      <w:r w:rsidRPr="0001502D">
        <w:rPr>
          <w:rFonts w:ascii="Arial" w:hAnsi="Arial" w:cs="Arial"/>
          <w:sz w:val="22"/>
          <w:szCs w:val="22"/>
          <w:u w:val="single"/>
          <w:lang w:eastAsia="ko-KR"/>
        </w:rPr>
        <w:t>Estime</w:t>
      </w:r>
      <w:r w:rsidRPr="0001502D">
        <w:rPr>
          <w:rFonts w:ascii="Arial" w:hAnsi="Arial" w:cs="Arial"/>
          <w:sz w:val="22"/>
          <w:szCs w:val="22"/>
          <w:lang w:eastAsia="ko-KR"/>
        </w:rPr>
        <w:t xml:space="preserve"> que, d</w:t>
      </w:r>
      <w:r w:rsidR="009C104E">
        <w:rPr>
          <w:rFonts w:ascii="Arial" w:hAnsi="Arial" w:cs="Arial"/>
          <w:sz w:val="22"/>
          <w:szCs w:val="22"/>
          <w:lang w:eastAsia="ko-KR"/>
        </w:rPr>
        <w:t>’</w:t>
      </w:r>
      <w:r w:rsidRPr="0001502D">
        <w:rPr>
          <w:rFonts w:ascii="Arial" w:hAnsi="Arial" w:cs="Arial"/>
          <w:sz w:val="22"/>
          <w:szCs w:val="22"/>
          <w:lang w:eastAsia="ko-KR"/>
        </w:rPr>
        <w:t>après les informations contenues dans le dossier, la candidature satisfait aux critères d</w:t>
      </w:r>
      <w:r w:rsidR="009C104E">
        <w:rPr>
          <w:rFonts w:ascii="Arial" w:hAnsi="Arial" w:cs="Arial"/>
          <w:sz w:val="22"/>
          <w:szCs w:val="22"/>
          <w:lang w:eastAsia="ko-KR"/>
        </w:rPr>
        <w:t>’</w:t>
      </w:r>
      <w:r w:rsidRPr="0001502D">
        <w:rPr>
          <w:rFonts w:ascii="Arial" w:hAnsi="Arial" w:cs="Arial"/>
          <w:sz w:val="22"/>
          <w:szCs w:val="22"/>
          <w:lang w:eastAsia="ko-KR"/>
        </w:rPr>
        <w:t>inscription sur la Liste représentative du patrimoine culturel immatériel de l</w:t>
      </w:r>
      <w:r w:rsidR="009C104E">
        <w:rPr>
          <w:rFonts w:ascii="Arial" w:hAnsi="Arial" w:cs="Arial"/>
          <w:sz w:val="22"/>
          <w:szCs w:val="22"/>
          <w:lang w:eastAsia="ko-KR"/>
        </w:rPr>
        <w:t>’</w:t>
      </w:r>
      <w:r w:rsidRPr="0001502D">
        <w:rPr>
          <w:rFonts w:ascii="Arial" w:hAnsi="Arial" w:cs="Arial"/>
          <w:sz w:val="22"/>
          <w:szCs w:val="22"/>
          <w:lang w:eastAsia="ko-KR"/>
        </w:rPr>
        <w:t>humanité comme suit :</w:t>
      </w:r>
    </w:p>
    <w:p w14:paraId="2E2E8177" w14:textId="44202CA4" w:rsidR="0001502D" w:rsidRPr="0001502D" w:rsidRDefault="0001502D" w:rsidP="008E7D08">
      <w:pPr>
        <w:tabs>
          <w:tab w:val="left" w:pos="1134"/>
          <w:tab w:val="left" w:pos="2268"/>
        </w:tabs>
        <w:spacing w:before="120" w:after="120"/>
        <w:ind w:left="1134" w:hanging="555"/>
        <w:jc w:val="both"/>
        <w:rPr>
          <w:rFonts w:ascii="Arial" w:hAnsi="Arial" w:cs="Arial"/>
          <w:sz w:val="22"/>
          <w:szCs w:val="22"/>
        </w:rPr>
      </w:pPr>
      <w:r w:rsidRPr="0001502D">
        <w:rPr>
          <w:rFonts w:ascii="Arial" w:hAnsi="Arial" w:cs="Arial"/>
          <w:sz w:val="22"/>
          <w:szCs w:val="22"/>
        </w:rPr>
        <w:t xml:space="preserve">R.1 : </w:t>
      </w:r>
      <w:r w:rsidRPr="0001502D">
        <w:rPr>
          <w:rFonts w:ascii="Arial" w:hAnsi="Arial" w:cs="Arial"/>
          <w:sz w:val="22"/>
          <w:szCs w:val="22"/>
        </w:rPr>
        <w:tab/>
        <w:t>Les pratiques du then au Viet Nam sont une composante essentielle de la vie spirituelle des ethnies tày, nùng et thái, et elles reflètent les relations qui existent entre les humains, la nature et l</w:t>
      </w:r>
      <w:r w:rsidR="009C104E">
        <w:rPr>
          <w:rFonts w:ascii="Arial" w:hAnsi="Arial" w:cs="Arial"/>
          <w:sz w:val="22"/>
          <w:szCs w:val="22"/>
        </w:rPr>
        <w:t>’</w:t>
      </w:r>
      <w:r w:rsidRPr="0001502D">
        <w:rPr>
          <w:rFonts w:ascii="Arial" w:hAnsi="Arial" w:cs="Arial"/>
          <w:sz w:val="22"/>
          <w:szCs w:val="22"/>
        </w:rPr>
        <w:t>univers. Les rituels then sont l</w:t>
      </w:r>
      <w:r w:rsidR="009C104E">
        <w:rPr>
          <w:rFonts w:ascii="Arial" w:hAnsi="Arial" w:cs="Arial"/>
          <w:sz w:val="22"/>
          <w:szCs w:val="22"/>
        </w:rPr>
        <w:t>’</w:t>
      </w:r>
      <w:r w:rsidRPr="0001502D">
        <w:rPr>
          <w:rFonts w:ascii="Arial" w:hAnsi="Arial" w:cs="Arial"/>
          <w:sz w:val="22"/>
          <w:szCs w:val="22"/>
        </w:rPr>
        <w:t>expression de l</w:t>
      </w:r>
      <w:r w:rsidR="009C104E">
        <w:rPr>
          <w:rFonts w:ascii="Arial" w:hAnsi="Arial" w:cs="Arial"/>
          <w:sz w:val="22"/>
          <w:szCs w:val="22"/>
        </w:rPr>
        <w:t>’</w:t>
      </w:r>
      <w:r w:rsidRPr="0001502D">
        <w:rPr>
          <w:rFonts w:ascii="Arial" w:hAnsi="Arial" w:cs="Arial"/>
          <w:sz w:val="22"/>
          <w:szCs w:val="22"/>
        </w:rPr>
        <w:t>identité culturelle de ces groupes ethniques : de leurs coutumes à leurs instruments, en passant par leurs danses et leurs musiques. Grâce à ses fonctions sociales et culturelles, le then contribue à l</w:t>
      </w:r>
      <w:r w:rsidR="009C104E">
        <w:rPr>
          <w:rFonts w:ascii="Arial" w:hAnsi="Arial" w:cs="Arial"/>
          <w:sz w:val="22"/>
          <w:szCs w:val="22"/>
        </w:rPr>
        <w:t>’</w:t>
      </w:r>
      <w:r w:rsidRPr="0001502D">
        <w:rPr>
          <w:rFonts w:ascii="Arial" w:hAnsi="Arial" w:cs="Arial"/>
          <w:sz w:val="22"/>
          <w:szCs w:val="22"/>
        </w:rPr>
        <w:t>éducation morale, à l</w:t>
      </w:r>
      <w:r w:rsidR="009C104E">
        <w:rPr>
          <w:rFonts w:ascii="Arial" w:hAnsi="Arial" w:cs="Arial"/>
          <w:sz w:val="22"/>
          <w:szCs w:val="22"/>
        </w:rPr>
        <w:t>’</w:t>
      </w:r>
      <w:r w:rsidRPr="0001502D">
        <w:rPr>
          <w:rFonts w:ascii="Arial" w:hAnsi="Arial" w:cs="Arial"/>
          <w:sz w:val="22"/>
          <w:szCs w:val="22"/>
        </w:rPr>
        <w:t>humanité et à la sauvegarde des coutumes et traditions culturelles au Viet Nam.</w:t>
      </w:r>
    </w:p>
    <w:p w14:paraId="49298ACC" w14:textId="4B537791" w:rsidR="0001502D" w:rsidRPr="0001502D" w:rsidRDefault="0001502D" w:rsidP="008E7D08">
      <w:pPr>
        <w:tabs>
          <w:tab w:val="left" w:pos="1134"/>
          <w:tab w:val="left" w:pos="2268"/>
        </w:tabs>
        <w:spacing w:before="120" w:after="120"/>
        <w:ind w:left="1134" w:hanging="555"/>
        <w:jc w:val="both"/>
        <w:rPr>
          <w:rFonts w:ascii="Arial" w:hAnsi="Arial" w:cs="Arial"/>
          <w:sz w:val="22"/>
          <w:szCs w:val="22"/>
        </w:rPr>
      </w:pPr>
      <w:r w:rsidRPr="0001502D">
        <w:rPr>
          <w:rFonts w:ascii="Arial" w:hAnsi="Arial" w:cs="Arial"/>
          <w:sz w:val="22"/>
          <w:szCs w:val="22"/>
        </w:rPr>
        <w:t xml:space="preserve">R.2 : </w:t>
      </w:r>
      <w:r w:rsidRPr="0001502D">
        <w:rPr>
          <w:rFonts w:ascii="Arial" w:hAnsi="Arial" w:cs="Arial"/>
          <w:sz w:val="22"/>
          <w:szCs w:val="22"/>
        </w:rPr>
        <w:tab/>
        <w:t>L</w:t>
      </w:r>
      <w:r w:rsidR="009C104E">
        <w:rPr>
          <w:rFonts w:ascii="Arial" w:hAnsi="Arial" w:cs="Arial"/>
          <w:sz w:val="22"/>
          <w:szCs w:val="22"/>
        </w:rPr>
        <w:t>’</w:t>
      </w:r>
      <w:r w:rsidRPr="0001502D">
        <w:rPr>
          <w:rFonts w:ascii="Arial" w:hAnsi="Arial" w:cs="Arial"/>
          <w:sz w:val="22"/>
          <w:szCs w:val="22"/>
        </w:rPr>
        <w:t>inscription des pratiques du then par les groupes ethniques Tày, Nùng et Thái au Viet Nam mettrait en lumière leur contribution à la préservation des identités ethniques et à la consolidation de la solidarité parmi les différents groupes ethniques. Elle permettrait aussi d</w:t>
      </w:r>
      <w:r w:rsidR="009C104E">
        <w:rPr>
          <w:rFonts w:ascii="Arial" w:hAnsi="Arial" w:cs="Arial"/>
          <w:sz w:val="22"/>
          <w:szCs w:val="22"/>
        </w:rPr>
        <w:t>’</w:t>
      </w:r>
      <w:r w:rsidRPr="0001502D">
        <w:rPr>
          <w:rFonts w:ascii="Arial" w:hAnsi="Arial" w:cs="Arial"/>
          <w:sz w:val="22"/>
          <w:szCs w:val="22"/>
        </w:rPr>
        <w:t>attirer l</w:t>
      </w:r>
      <w:r w:rsidR="009C104E">
        <w:rPr>
          <w:rFonts w:ascii="Arial" w:hAnsi="Arial" w:cs="Arial"/>
          <w:sz w:val="22"/>
          <w:szCs w:val="22"/>
        </w:rPr>
        <w:t>’</w:t>
      </w:r>
      <w:r w:rsidRPr="0001502D">
        <w:rPr>
          <w:rFonts w:ascii="Arial" w:hAnsi="Arial" w:cs="Arial"/>
          <w:sz w:val="22"/>
          <w:szCs w:val="22"/>
        </w:rPr>
        <w:t>attention sur d</w:t>
      </w:r>
      <w:r w:rsidR="009C104E">
        <w:rPr>
          <w:rFonts w:ascii="Arial" w:hAnsi="Arial" w:cs="Arial"/>
          <w:sz w:val="22"/>
          <w:szCs w:val="22"/>
        </w:rPr>
        <w:t>’</w:t>
      </w:r>
      <w:r w:rsidRPr="0001502D">
        <w:rPr>
          <w:rFonts w:ascii="Arial" w:hAnsi="Arial" w:cs="Arial"/>
          <w:sz w:val="22"/>
          <w:szCs w:val="22"/>
        </w:rPr>
        <w:t>autres éléments impliquant des pratiques rituelles, des transes et des médiums dans le reste du monde.</w:t>
      </w:r>
    </w:p>
    <w:p w14:paraId="59BE8268" w14:textId="0C167577" w:rsidR="0001502D" w:rsidRPr="0001502D" w:rsidRDefault="0001502D" w:rsidP="008E7D08">
      <w:pPr>
        <w:tabs>
          <w:tab w:val="left" w:pos="1134"/>
          <w:tab w:val="left" w:pos="2268"/>
        </w:tabs>
        <w:spacing w:before="120" w:after="120"/>
        <w:ind w:left="1134" w:hanging="555"/>
        <w:jc w:val="both"/>
        <w:rPr>
          <w:rFonts w:ascii="Arial" w:hAnsi="Arial" w:cs="Arial"/>
          <w:sz w:val="22"/>
          <w:szCs w:val="22"/>
        </w:rPr>
      </w:pPr>
      <w:r w:rsidRPr="0001502D">
        <w:rPr>
          <w:rFonts w:ascii="Arial" w:hAnsi="Arial" w:cs="Arial"/>
          <w:sz w:val="22"/>
          <w:szCs w:val="22"/>
        </w:rPr>
        <w:t xml:space="preserve">R.3 : </w:t>
      </w:r>
      <w:r w:rsidRPr="0001502D">
        <w:rPr>
          <w:rFonts w:ascii="Arial" w:hAnsi="Arial" w:cs="Arial"/>
          <w:sz w:val="22"/>
          <w:szCs w:val="22"/>
        </w:rPr>
        <w:tab/>
        <w:t>La viabilité de l</w:t>
      </w:r>
      <w:r w:rsidR="009C104E">
        <w:rPr>
          <w:rFonts w:ascii="Arial" w:hAnsi="Arial" w:cs="Arial"/>
          <w:sz w:val="22"/>
          <w:szCs w:val="22"/>
        </w:rPr>
        <w:t>’</w:t>
      </w:r>
      <w:r w:rsidRPr="0001502D">
        <w:rPr>
          <w:rFonts w:ascii="Arial" w:hAnsi="Arial" w:cs="Arial"/>
          <w:sz w:val="22"/>
          <w:szCs w:val="22"/>
        </w:rPr>
        <w:t>élément est assurée par les individus, les familles ou les communautés qui invitent les maîtres then à prier pour la santé, la paix et les récoltes. Depuis 2001, le gouvernement a alloué des fonds des programmes nationaux concernant la culture à la sauvegarde du patrimoine culturel des communautés ethniques du Viet Nam, y compris des rituels then. Les mesures de sauvegarde proposées suivent la voie ouverte par ces programmes et incluent la promulgation de directives, politiques et lois nationales pour la sauvegarde et la promotion des valeurs du patrimoine culturel immatériel ; la promotion des activités de recherche et l</w:t>
      </w:r>
      <w:r w:rsidR="009C104E">
        <w:rPr>
          <w:rFonts w:ascii="Arial" w:hAnsi="Arial" w:cs="Arial"/>
          <w:sz w:val="22"/>
          <w:szCs w:val="22"/>
        </w:rPr>
        <w:t>’</w:t>
      </w:r>
      <w:r w:rsidRPr="0001502D">
        <w:rPr>
          <w:rFonts w:ascii="Arial" w:hAnsi="Arial" w:cs="Arial"/>
          <w:sz w:val="22"/>
          <w:szCs w:val="22"/>
        </w:rPr>
        <w:t>établissement de conditions favorables en la matière ; des activités d</w:t>
      </w:r>
      <w:r w:rsidR="009C104E">
        <w:rPr>
          <w:rFonts w:ascii="Arial" w:hAnsi="Arial" w:cs="Arial"/>
          <w:sz w:val="22"/>
          <w:szCs w:val="22"/>
        </w:rPr>
        <w:t>’</w:t>
      </w:r>
      <w:r w:rsidRPr="0001502D">
        <w:rPr>
          <w:rFonts w:ascii="Arial" w:hAnsi="Arial" w:cs="Arial"/>
          <w:sz w:val="22"/>
          <w:szCs w:val="22"/>
        </w:rPr>
        <w:t>inventaire, d</w:t>
      </w:r>
      <w:r w:rsidR="009C104E">
        <w:rPr>
          <w:rFonts w:ascii="Arial" w:hAnsi="Arial" w:cs="Arial"/>
          <w:sz w:val="22"/>
          <w:szCs w:val="22"/>
        </w:rPr>
        <w:t>’</w:t>
      </w:r>
      <w:r w:rsidRPr="0001502D">
        <w:rPr>
          <w:rFonts w:ascii="Arial" w:hAnsi="Arial" w:cs="Arial"/>
          <w:sz w:val="22"/>
          <w:szCs w:val="22"/>
        </w:rPr>
        <w:t>identification et de documentation ; la transmission des connaissances des artistes traditionnels en intégrant l</w:t>
      </w:r>
      <w:r w:rsidR="009C104E">
        <w:rPr>
          <w:rFonts w:ascii="Arial" w:hAnsi="Arial" w:cs="Arial"/>
          <w:sz w:val="22"/>
          <w:szCs w:val="22"/>
        </w:rPr>
        <w:t>’</w:t>
      </w:r>
      <w:r w:rsidRPr="0001502D">
        <w:rPr>
          <w:rFonts w:ascii="Arial" w:hAnsi="Arial" w:cs="Arial"/>
          <w:sz w:val="22"/>
          <w:szCs w:val="22"/>
        </w:rPr>
        <w:t>apprentissage du chant then et du tính dans les programmes scolaires ; et la production de publications visant à promouvoir, étudier et enseigner la tradition du then en motivant et en encourageant les jeunes à s</w:t>
      </w:r>
      <w:r w:rsidR="009C104E">
        <w:rPr>
          <w:rFonts w:ascii="Arial" w:hAnsi="Arial" w:cs="Arial"/>
          <w:sz w:val="22"/>
          <w:szCs w:val="22"/>
        </w:rPr>
        <w:t>’</w:t>
      </w:r>
      <w:r w:rsidRPr="0001502D">
        <w:rPr>
          <w:rFonts w:ascii="Arial" w:hAnsi="Arial" w:cs="Arial"/>
          <w:sz w:val="22"/>
          <w:szCs w:val="22"/>
        </w:rPr>
        <w:t>intéresser à cette pratique. Les communautés et les artistes ont été activement impliqués dans la planification des mesures de sauvegarde proposées.</w:t>
      </w:r>
    </w:p>
    <w:p w14:paraId="7C9DC8DD" w14:textId="77777777" w:rsidR="0001502D" w:rsidRPr="0001502D" w:rsidRDefault="0001502D" w:rsidP="008E7D08">
      <w:pPr>
        <w:tabs>
          <w:tab w:val="left" w:pos="1134"/>
          <w:tab w:val="left" w:pos="2268"/>
        </w:tabs>
        <w:spacing w:before="120" w:after="120"/>
        <w:ind w:left="1134" w:hanging="555"/>
        <w:jc w:val="both"/>
        <w:rPr>
          <w:rFonts w:ascii="Arial" w:hAnsi="Arial" w:cs="Arial"/>
          <w:sz w:val="22"/>
          <w:szCs w:val="22"/>
        </w:rPr>
      </w:pPr>
      <w:r w:rsidRPr="0001502D">
        <w:rPr>
          <w:rFonts w:ascii="Arial" w:hAnsi="Arial" w:cs="Arial"/>
          <w:sz w:val="22"/>
          <w:szCs w:val="22"/>
        </w:rPr>
        <w:t xml:space="preserve">R.4 : </w:t>
      </w:r>
      <w:r w:rsidRPr="0001502D">
        <w:rPr>
          <w:rFonts w:ascii="Arial" w:hAnsi="Arial" w:cs="Arial"/>
          <w:sz w:val="22"/>
          <w:szCs w:val="22"/>
        </w:rPr>
        <w:tab/>
        <w:t>Les artistes traditionnels et les communautés concernés ont activement participé à toutes les étapes de la préparation du dossier de candidature à travers des réunions, des séminaires, des conférences et des ateliers. Des communautés, des groupes, différents individus, des clubs, des maîtres et des familles pratiquant le then ont donné leur consentement par écrit ou à travers des enregistrements audio et vidéo, en exprimant notamment leur volonté de soutenir la préparation du dossier de candidature et de sauvegarder leur patrimoine culturel.</w:t>
      </w:r>
    </w:p>
    <w:p w14:paraId="4C2FB481" w14:textId="74E8AF11" w:rsidR="0001502D" w:rsidRPr="0001502D" w:rsidRDefault="0001502D" w:rsidP="008E7D08">
      <w:pPr>
        <w:tabs>
          <w:tab w:val="left" w:pos="1134"/>
          <w:tab w:val="left" w:pos="2268"/>
        </w:tabs>
        <w:spacing w:before="120" w:after="120"/>
        <w:ind w:left="1134" w:hanging="555"/>
        <w:jc w:val="both"/>
        <w:rPr>
          <w:rFonts w:ascii="Arial" w:hAnsi="Arial" w:cs="Arial"/>
          <w:sz w:val="22"/>
          <w:szCs w:val="22"/>
        </w:rPr>
      </w:pPr>
      <w:r w:rsidRPr="0001502D">
        <w:rPr>
          <w:rFonts w:ascii="Arial" w:hAnsi="Arial" w:cs="Arial"/>
          <w:sz w:val="22"/>
          <w:szCs w:val="22"/>
        </w:rPr>
        <w:t>R.5 :</w:t>
      </w:r>
      <w:r w:rsidRPr="0001502D">
        <w:rPr>
          <w:rFonts w:ascii="Arial" w:hAnsi="Arial" w:cs="Arial"/>
          <w:sz w:val="22"/>
          <w:szCs w:val="22"/>
        </w:rPr>
        <w:tab/>
        <w:t>Depuis 2012, la tradition du then dans onze provinces a été progressivement inscrite sur la Liste nationale du patrimoine culturel immatériel. La mise à jour la plus récente date de 2017. Le Département du patrimoine culturel du Ministère de la culture, des sports et du tourisme du Viet Nam est l</w:t>
      </w:r>
      <w:r w:rsidR="009C104E">
        <w:rPr>
          <w:rFonts w:ascii="Arial" w:hAnsi="Arial" w:cs="Arial"/>
          <w:sz w:val="22"/>
          <w:szCs w:val="22"/>
        </w:rPr>
        <w:t>’</w:t>
      </w:r>
      <w:r w:rsidRPr="0001502D">
        <w:rPr>
          <w:rFonts w:ascii="Arial" w:hAnsi="Arial" w:cs="Arial"/>
          <w:sz w:val="22"/>
          <w:szCs w:val="22"/>
        </w:rPr>
        <w:t>organisme responsable de la gestion et de la mise à jour de l</w:t>
      </w:r>
      <w:r w:rsidR="009C104E">
        <w:rPr>
          <w:rFonts w:ascii="Arial" w:hAnsi="Arial" w:cs="Arial"/>
          <w:sz w:val="22"/>
          <w:szCs w:val="22"/>
        </w:rPr>
        <w:t>’</w:t>
      </w:r>
      <w:r w:rsidRPr="0001502D">
        <w:rPr>
          <w:rFonts w:ascii="Arial" w:hAnsi="Arial" w:cs="Arial"/>
          <w:sz w:val="22"/>
          <w:szCs w:val="22"/>
        </w:rPr>
        <w:t>inventaire. Les Départements de la culture, des sports et du tourisme et les Départements de la culture et des sports des provinces où existent les pratiques then collaborent chaque année avec des représentants des communautés et des artistes concernés pour mettre à jour l</w:t>
      </w:r>
      <w:r w:rsidR="009C104E">
        <w:rPr>
          <w:rFonts w:ascii="Arial" w:hAnsi="Arial" w:cs="Arial"/>
          <w:sz w:val="22"/>
          <w:szCs w:val="22"/>
        </w:rPr>
        <w:t>’</w:t>
      </w:r>
      <w:r w:rsidRPr="0001502D">
        <w:rPr>
          <w:rFonts w:ascii="Arial" w:hAnsi="Arial" w:cs="Arial"/>
          <w:sz w:val="22"/>
          <w:szCs w:val="22"/>
        </w:rPr>
        <w:t>inventaire.</w:t>
      </w:r>
    </w:p>
    <w:p w14:paraId="5D2C9A32" w14:textId="30882C57" w:rsidR="0074605C" w:rsidRDefault="0001502D" w:rsidP="00771F30">
      <w:pPr>
        <w:numPr>
          <w:ilvl w:val="1"/>
          <w:numId w:val="43"/>
        </w:numPr>
        <w:tabs>
          <w:tab w:val="left" w:pos="567"/>
          <w:tab w:val="left" w:pos="1701"/>
          <w:tab w:val="left" w:pos="2268"/>
        </w:tabs>
        <w:spacing w:before="120" w:after="120"/>
        <w:ind w:left="567"/>
        <w:jc w:val="both"/>
        <w:rPr>
          <w:rFonts w:ascii="Arial" w:hAnsi="Arial" w:cs="Arial"/>
          <w:sz w:val="22"/>
          <w:szCs w:val="22"/>
          <w:lang w:eastAsia="ko-KR"/>
        </w:rPr>
      </w:pPr>
      <w:r w:rsidRPr="0074605C">
        <w:rPr>
          <w:rFonts w:ascii="Arial" w:hAnsi="Arial" w:cs="Arial"/>
          <w:sz w:val="22"/>
          <w:szCs w:val="22"/>
          <w:u w:val="single"/>
          <w:lang w:eastAsia="ko-KR"/>
        </w:rPr>
        <w:t>Décide d</w:t>
      </w:r>
      <w:r w:rsidR="009C104E">
        <w:rPr>
          <w:rFonts w:ascii="Arial" w:hAnsi="Arial" w:cs="Arial"/>
          <w:sz w:val="22"/>
          <w:szCs w:val="22"/>
          <w:u w:val="single"/>
          <w:lang w:eastAsia="ko-KR"/>
        </w:rPr>
        <w:t>’</w:t>
      </w:r>
      <w:r w:rsidRPr="0074605C">
        <w:rPr>
          <w:rFonts w:ascii="Arial" w:hAnsi="Arial" w:cs="Arial"/>
          <w:sz w:val="22"/>
          <w:szCs w:val="22"/>
          <w:u w:val="single"/>
          <w:lang w:eastAsia="ko-KR"/>
        </w:rPr>
        <w:t>inscrire</w:t>
      </w:r>
      <w:r w:rsidRPr="0074605C">
        <w:rPr>
          <w:rFonts w:ascii="Arial" w:hAnsi="Arial" w:cs="Arial"/>
          <w:sz w:val="22"/>
          <w:szCs w:val="22"/>
          <w:lang w:eastAsia="ko-KR"/>
        </w:rPr>
        <w:t xml:space="preserve"> </w:t>
      </w:r>
      <w:r w:rsidRPr="0074605C">
        <w:rPr>
          <w:rFonts w:ascii="Arial" w:hAnsi="Arial" w:cs="Arial"/>
          <w:b/>
          <w:sz w:val="22"/>
          <w:szCs w:val="22"/>
          <w:lang w:eastAsia="ko-KR"/>
        </w:rPr>
        <w:t>les pratiques du then par les groupes ethniques Tày, Nùng et Thái au Viet Nam</w:t>
      </w:r>
      <w:r w:rsidRPr="0074605C">
        <w:rPr>
          <w:rFonts w:ascii="Arial" w:hAnsi="Arial" w:cs="Arial"/>
          <w:sz w:val="22"/>
          <w:szCs w:val="22"/>
          <w:lang w:eastAsia="ko-KR"/>
        </w:rPr>
        <w:t xml:space="preserve"> sur la Liste représentative du patrimoine culturel immatériel de l</w:t>
      </w:r>
      <w:r w:rsidR="009C104E">
        <w:rPr>
          <w:rFonts w:ascii="Arial" w:hAnsi="Arial" w:cs="Arial"/>
          <w:sz w:val="22"/>
          <w:szCs w:val="22"/>
          <w:lang w:eastAsia="ko-KR"/>
        </w:rPr>
        <w:t>’</w:t>
      </w:r>
      <w:r w:rsidRPr="0074605C">
        <w:rPr>
          <w:rFonts w:ascii="Arial" w:hAnsi="Arial" w:cs="Arial"/>
          <w:sz w:val="22"/>
          <w:szCs w:val="22"/>
          <w:lang w:eastAsia="ko-KR"/>
        </w:rPr>
        <w:t>humanité.</w:t>
      </w:r>
    </w:p>
    <w:p w14:paraId="13244822" w14:textId="3FEA2856" w:rsidR="006244CE" w:rsidRPr="00AC1594" w:rsidRDefault="006244CE" w:rsidP="006244CE">
      <w:pPr>
        <w:pStyle w:val="Heading1"/>
        <w:spacing w:before="360" w:after="120"/>
        <w:rPr>
          <w:rFonts w:ascii="Arial" w:eastAsia="SimSun" w:hAnsi="Arial" w:cs="Arial"/>
          <w:b/>
          <w:color w:val="auto"/>
          <w:sz w:val="22"/>
          <w:szCs w:val="22"/>
        </w:rPr>
      </w:pPr>
      <w:bookmarkStart w:id="46" w:name="Decision_10c1"/>
      <w:r w:rsidRPr="00AC1594">
        <w:rPr>
          <w:rFonts w:ascii="Arial" w:hAnsi="Arial" w:cs="Arial"/>
          <w:b/>
          <w:color w:val="auto"/>
          <w:sz w:val="22"/>
          <w:szCs w:val="22"/>
        </w:rPr>
        <w:t>DÉCISION 14.COM 10.c.1</w:t>
      </w:r>
      <w:bookmarkEnd w:id="46"/>
    </w:p>
    <w:p w14:paraId="71EFFD44" w14:textId="77777777" w:rsidR="006244CE" w:rsidRPr="00AC1594" w:rsidRDefault="006244CE" w:rsidP="006244CE">
      <w:pPr>
        <w:keepNext/>
        <w:tabs>
          <w:tab w:val="left" w:pos="567"/>
          <w:tab w:val="left" w:pos="1134"/>
          <w:tab w:val="left" w:pos="1701"/>
          <w:tab w:val="left" w:pos="2268"/>
        </w:tabs>
        <w:spacing w:before="120" w:after="120"/>
        <w:jc w:val="both"/>
        <w:rPr>
          <w:rFonts w:ascii="Arial" w:eastAsia="SimSun" w:hAnsi="Arial" w:cs="Arial"/>
          <w:sz w:val="22"/>
          <w:szCs w:val="22"/>
        </w:rPr>
      </w:pPr>
      <w:r w:rsidRPr="00AC1594">
        <w:rPr>
          <w:rFonts w:ascii="Arial" w:hAnsi="Arial" w:cs="Arial"/>
          <w:sz w:val="22"/>
          <w:szCs w:val="22"/>
        </w:rPr>
        <w:t>Le Comité</w:t>
      </w:r>
      <w:r>
        <w:rPr>
          <w:rFonts w:ascii="Arial" w:hAnsi="Arial" w:cs="Arial"/>
          <w:sz w:val="22"/>
          <w:szCs w:val="22"/>
        </w:rPr>
        <w:t>,</w:t>
      </w:r>
    </w:p>
    <w:p w14:paraId="1ED40D65" w14:textId="41141BCE" w:rsidR="006244CE" w:rsidRPr="00AC1594" w:rsidRDefault="006244CE" w:rsidP="00771F30">
      <w:pPr>
        <w:numPr>
          <w:ilvl w:val="0"/>
          <w:numId w:val="44"/>
        </w:numPr>
        <w:tabs>
          <w:tab w:val="left" w:pos="567"/>
          <w:tab w:val="left" w:pos="1701"/>
          <w:tab w:val="left" w:pos="2268"/>
          <w:tab w:val="left" w:pos="8080"/>
          <w:tab w:val="left" w:pos="8364"/>
        </w:tabs>
        <w:spacing w:before="120" w:after="120"/>
        <w:ind w:left="567" w:hanging="567"/>
        <w:jc w:val="both"/>
        <w:rPr>
          <w:rFonts w:ascii="Arial" w:hAnsi="Arial" w:cs="Arial"/>
          <w:sz w:val="22"/>
          <w:szCs w:val="22"/>
        </w:rPr>
      </w:pPr>
      <w:r w:rsidRPr="00AC1594">
        <w:rPr>
          <w:rFonts w:ascii="Arial" w:hAnsi="Arial" w:cs="Arial"/>
          <w:sz w:val="22"/>
          <w:szCs w:val="22"/>
          <w:u w:val="single"/>
        </w:rPr>
        <w:t>Prend note</w:t>
      </w:r>
      <w:r w:rsidRPr="00AC1594">
        <w:rPr>
          <w:rFonts w:ascii="Arial" w:hAnsi="Arial" w:cs="Arial"/>
          <w:sz w:val="22"/>
          <w:szCs w:val="22"/>
        </w:rPr>
        <w:t xml:space="preserve"> que la Colombie a proposé </w:t>
      </w:r>
      <w:r w:rsidRPr="00AC1594">
        <w:rPr>
          <w:rFonts w:ascii="Arial" w:hAnsi="Arial" w:cs="Arial"/>
          <w:b/>
          <w:sz w:val="22"/>
          <w:szCs w:val="22"/>
        </w:rPr>
        <w:t>la stratégie de sauvegarde de l</w:t>
      </w:r>
      <w:r w:rsidR="009C104E">
        <w:rPr>
          <w:rFonts w:ascii="Arial" w:hAnsi="Arial" w:cs="Arial"/>
          <w:b/>
          <w:sz w:val="22"/>
          <w:szCs w:val="22"/>
        </w:rPr>
        <w:t>’</w:t>
      </w:r>
      <w:r w:rsidRPr="00AC1594">
        <w:rPr>
          <w:rFonts w:ascii="Arial" w:hAnsi="Arial" w:cs="Arial"/>
          <w:b/>
          <w:sz w:val="22"/>
          <w:szCs w:val="22"/>
        </w:rPr>
        <w:t>artisanat traditionnel pour la consolidation de la paix</w:t>
      </w:r>
      <w:r w:rsidRPr="00AC1594">
        <w:rPr>
          <w:rFonts w:ascii="Arial" w:hAnsi="Arial" w:cs="Arial"/>
          <w:sz w:val="22"/>
          <w:szCs w:val="22"/>
        </w:rPr>
        <w:t xml:space="preserve"> (n° 01480) pour sélection et promotion par le Comité comme programme, projet ou activité reflétant le mieux les principes et objectifs de la Convention :</w:t>
      </w:r>
    </w:p>
    <w:p w14:paraId="4812A08D" w14:textId="119CC88A" w:rsidR="006244CE" w:rsidRPr="00AC1594" w:rsidRDefault="006244CE" w:rsidP="006244CE">
      <w:pPr>
        <w:shd w:val="clear" w:color="auto" w:fill="FFFFFF"/>
        <w:tabs>
          <w:tab w:val="left" w:pos="567"/>
        </w:tabs>
        <w:spacing w:after="150"/>
        <w:ind w:left="567" w:hanging="567"/>
        <w:jc w:val="both"/>
        <w:rPr>
          <w:rFonts w:ascii="Arial" w:hAnsi="Arial" w:cs="Arial"/>
          <w:sz w:val="22"/>
          <w:szCs w:val="22"/>
        </w:rPr>
      </w:pPr>
      <w:r>
        <w:rPr>
          <w:rFonts w:ascii="Arial" w:hAnsi="Arial" w:cs="Arial"/>
          <w:sz w:val="22"/>
          <w:szCs w:val="22"/>
        </w:rPr>
        <w:tab/>
      </w:r>
      <w:r w:rsidRPr="00AC1594">
        <w:rPr>
          <w:rFonts w:ascii="Arial" w:hAnsi="Arial" w:cs="Arial"/>
          <w:sz w:val="22"/>
          <w:szCs w:val="22"/>
        </w:rPr>
        <w:t>La stratégie de sauvegarde de l</w:t>
      </w:r>
      <w:r w:rsidR="009C104E">
        <w:rPr>
          <w:rFonts w:ascii="Arial" w:hAnsi="Arial" w:cs="Arial"/>
          <w:sz w:val="22"/>
          <w:szCs w:val="22"/>
        </w:rPr>
        <w:t>’</w:t>
      </w:r>
      <w:r w:rsidRPr="00AC1594">
        <w:rPr>
          <w:rFonts w:ascii="Arial" w:hAnsi="Arial" w:cs="Arial"/>
          <w:sz w:val="22"/>
          <w:szCs w:val="22"/>
        </w:rPr>
        <w:t>artisanat traditionnel pour la consolidation de la paix lutte contre la fragilisation de l</w:t>
      </w:r>
      <w:r w:rsidR="009C104E">
        <w:rPr>
          <w:rFonts w:ascii="Arial" w:hAnsi="Arial" w:cs="Arial"/>
          <w:sz w:val="22"/>
          <w:szCs w:val="22"/>
        </w:rPr>
        <w:t>’</w:t>
      </w:r>
      <w:r w:rsidRPr="00AC1594">
        <w:rPr>
          <w:rFonts w:ascii="Arial" w:hAnsi="Arial" w:cs="Arial"/>
          <w:sz w:val="22"/>
          <w:szCs w:val="22"/>
        </w:rPr>
        <w:t>artisanat traditionnel en s</w:t>
      </w:r>
      <w:r w:rsidR="009C104E">
        <w:rPr>
          <w:rFonts w:ascii="Arial" w:hAnsi="Arial" w:cs="Arial"/>
          <w:sz w:val="22"/>
          <w:szCs w:val="22"/>
        </w:rPr>
        <w:t>’</w:t>
      </w:r>
      <w:r w:rsidRPr="00AC1594">
        <w:rPr>
          <w:rFonts w:ascii="Arial" w:hAnsi="Arial" w:cs="Arial"/>
          <w:sz w:val="22"/>
          <w:szCs w:val="22"/>
        </w:rPr>
        <w:t>appuyant sur un système de transmission intergénérationnelle des connaissances entre maîtres et apprentis et sur une méthode non formelle d</w:t>
      </w:r>
      <w:r w:rsidR="009C104E">
        <w:rPr>
          <w:rFonts w:ascii="Arial" w:hAnsi="Arial" w:cs="Arial"/>
          <w:sz w:val="22"/>
          <w:szCs w:val="22"/>
        </w:rPr>
        <w:t>’</w:t>
      </w:r>
      <w:r w:rsidRPr="00AC1594">
        <w:rPr>
          <w:rFonts w:ascii="Arial" w:hAnsi="Arial" w:cs="Arial"/>
          <w:sz w:val="22"/>
          <w:szCs w:val="22"/>
        </w:rPr>
        <w:t>apprentissage par la pratique. Cette stratégie de sauvegarde vise à former différentes catégories de population, à favoriser les contacts professionnels et à stimuler l</w:t>
      </w:r>
      <w:r w:rsidR="009C104E">
        <w:rPr>
          <w:rFonts w:ascii="Arial" w:hAnsi="Arial" w:cs="Arial"/>
          <w:sz w:val="22"/>
          <w:szCs w:val="22"/>
        </w:rPr>
        <w:t>’</w:t>
      </w:r>
      <w:r w:rsidRPr="00AC1594">
        <w:rPr>
          <w:rFonts w:ascii="Arial" w:hAnsi="Arial" w:cs="Arial"/>
          <w:sz w:val="22"/>
          <w:szCs w:val="22"/>
        </w:rPr>
        <w:t>entrepreneuriat culturel. Elle met en relation les détenteurs de l</w:t>
      </w:r>
      <w:r w:rsidR="009C104E">
        <w:rPr>
          <w:rFonts w:ascii="Arial" w:hAnsi="Arial" w:cs="Arial"/>
          <w:sz w:val="22"/>
          <w:szCs w:val="22"/>
        </w:rPr>
        <w:t>’</w:t>
      </w:r>
      <w:r w:rsidRPr="00AC1594">
        <w:rPr>
          <w:rFonts w:ascii="Arial" w:hAnsi="Arial" w:cs="Arial"/>
          <w:sz w:val="22"/>
          <w:szCs w:val="22"/>
        </w:rPr>
        <w:t>artisanat et des savoir-faire traditionnels, reconnus par leurs communautés pour leurs connaissances empiriques des spécificités de leurs régions, et des apprentis âgés de 14 à 35 ans qui, en acquérant des savoir-faire ou en apprenant un métier artisanal, deviennent des acteurs de la consolidation de la paix désireux de sortir de leur situation de vulnérabilité. La stratégie de sauvegarde est donc axée sur le développement de qualifications relatives à l</w:t>
      </w:r>
      <w:r w:rsidR="009C104E">
        <w:rPr>
          <w:rFonts w:ascii="Arial" w:hAnsi="Arial" w:cs="Arial"/>
          <w:sz w:val="22"/>
          <w:szCs w:val="22"/>
        </w:rPr>
        <w:t>’</w:t>
      </w:r>
      <w:r w:rsidRPr="00AC1594">
        <w:rPr>
          <w:rFonts w:ascii="Arial" w:hAnsi="Arial" w:cs="Arial"/>
          <w:sz w:val="22"/>
          <w:szCs w:val="22"/>
        </w:rPr>
        <w:t>artisanat traditionnel, qui favoriserait l</w:t>
      </w:r>
      <w:r w:rsidR="009C104E">
        <w:rPr>
          <w:rFonts w:ascii="Arial" w:hAnsi="Arial" w:cs="Arial"/>
          <w:sz w:val="22"/>
          <w:szCs w:val="22"/>
        </w:rPr>
        <w:t>’</w:t>
      </w:r>
      <w:r w:rsidRPr="00AC1594">
        <w:rPr>
          <w:rFonts w:ascii="Arial" w:hAnsi="Arial" w:cs="Arial"/>
          <w:sz w:val="22"/>
          <w:szCs w:val="22"/>
        </w:rPr>
        <w:t>accès à l</w:t>
      </w:r>
      <w:r w:rsidR="009C104E">
        <w:rPr>
          <w:rFonts w:ascii="Arial" w:hAnsi="Arial" w:cs="Arial"/>
          <w:sz w:val="22"/>
          <w:szCs w:val="22"/>
        </w:rPr>
        <w:t>’</w:t>
      </w:r>
      <w:r w:rsidRPr="00AC1594">
        <w:rPr>
          <w:rFonts w:ascii="Arial" w:hAnsi="Arial" w:cs="Arial"/>
          <w:sz w:val="22"/>
          <w:szCs w:val="22"/>
        </w:rPr>
        <w:t>emploi ; la mise en place d</w:t>
      </w:r>
      <w:r w:rsidR="009C104E">
        <w:rPr>
          <w:rFonts w:ascii="Arial" w:hAnsi="Arial" w:cs="Arial"/>
          <w:sz w:val="22"/>
          <w:szCs w:val="22"/>
        </w:rPr>
        <w:t>’</w:t>
      </w:r>
      <w:r w:rsidRPr="00AC1594">
        <w:rPr>
          <w:rFonts w:ascii="Arial" w:hAnsi="Arial" w:cs="Arial"/>
          <w:sz w:val="22"/>
          <w:szCs w:val="22"/>
        </w:rPr>
        <w:t>une politique en faveur de l</w:t>
      </w:r>
      <w:r w:rsidR="009C104E">
        <w:rPr>
          <w:rFonts w:ascii="Arial" w:hAnsi="Arial" w:cs="Arial"/>
          <w:sz w:val="22"/>
          <w:szCs w:val="22"/>
        </w:rPr>
        <w:t>’</w:t>
      </w:r>
      <w:r w:rsidRPr="00AC1594">
        <w:rPr>
          <w:rFonts w:ascii="Arial" w:hAnsi="Arial" w:cs="Arial"/>
          <w:sz w:val="22"/>
          <w:szCs w:val="22"/>
        </w:rPr>
        <w:t>artisanat traditionnel afin d</w:t>
      </w:r>
      <w:r w:rsidR="009C104E">
        <w:rPr>
          <w:rFonts w:ascii="Arial" w:hAnsi="Arial" w:cs="Arial"/>
          <w:sz w:val="22"/>
          <w:szCs w:val="22"/>
        </w:rPr>
        <w:t>’</w:t>
      </w:r>
      <w:r w:rsidRPr="00AC1594">
        <w:rPr>
          <w:rFonts w:ascii="Arial" w:hAnsi="Arial" w:cs="Arial"/>
          <w:sz w:val="22"/>
          <w:szCs w:val="22"/>
        </w:rPr>
        <w:t>orienter et de garantir la continuité de la transmission et de la pratique de l</w:t>
      </w:r>
      <w:r w:rsidR="009C104E">
        <w:rPr>
          <w:rFonts w:ascii="Arial" w:hAnsi="Arial" w:cs="Arial"/>
          <w:sz w:val="22"/>
          <w:szCs w:val="22"/>
        </w:rPr>
        <w:t>’</w:t>
      </w:r>
      <w:r w:rsidRPr="00AC1594">
        <w:rPr>
          <w:rFonts w:ascii="Arial" w:hAnsi="Arial" w:cs="Arial"/>
          <w:sz w:val="22"/>
          <w:szCs w:val="22"/>
        </w:rPr>
        <w:t xml:space="preserve">artisanat ; et le renforcement du programme des écoles ateliers. La priorité est donnée aux jeunes exposés aux conséquences des conflits armés, </w:t>
      </w:r>
      <w:r>
        <w:rPr>
          <w:rFonts w:ascii="Arial" w:hAnsi="Arial" w:cs="Arial"/>
          <w:sz w:val="22"/>
          <w:szCs w:val="22"/>
        </w:rPr>
        <w:t>aux manques d</w:t>
      </w:r>
      <w:r w:rsidR="009C104E">
        <w:rPr>
          <w:rFonts w:ascii="Arial" w:hAnsi="Arial" w:cs="Arial"/>
          <w:sz w:val="22"/>
          <w:szCs w:val="22"/>
        </w:rPr>
        <w:t>’</w:t>
      </w:r>
      <w:r w:rsidRPr="00AC1594">
        <w:rPr>
          <w:rFonts w:ascii="Arial" w:hAnsi="Arial" w:cs="Arial"/>
          <w:sz w:val="22"/>
          <w:szCs w:val="22"/>
        </w:rPr>
        <w:t>opportunités professionnelles, aux répercussions de l</w:t>
      </w:r>
      <w:r w:rsidR="009C104E">
        <w:rPr>
          <w:rFonts w:ascii="Arial" w:hAnsi="Arial" w:cs="Arial"/>
          <w:sz w:val="22"/>
          <w:szCs w:val="22"/>
        </w:rPr>
        <w:t>’</w:t>
      </w:r>
      <w:r w:rsidRPr="00AC1594">
        <w:rPr>
          <w:rFonts w:ascii="Arial" w:hAnsi="Arial" w:cs="Arial"/>
          <w:sz w:val="22"/>
          <w:szCs w:val="22"/>
        </w:rPr>
        <w:t>abandon scolaire et au chômage. La formation permet également aux apprentis de travailler, ce qui garantit leurs perspectives</w:t>
      </w:r>
      <w:r>
        <w:rPr>
          <w:rFonts w:ascii="Arial" w:hAnsi="Arial" w:cs="Arial"/>
          <w:sz w:val="22"/>
          <w:szCs w:val="22"/>
        </w:rPr>
        <w:t xml:space="preserve"> de trouver un </w:t>
      </w:r>
      <w:r w:rsidRPr="00AC1594">
        <w:rPr>
          <w:rFonts w:ascii="Arial" w:hAnsi="Arial" w:cs="Arial"/>
          <w:sz w:val="22"/>
          <w:szCs w:val="22"/>
        </w:rPr>
        <w:t>emploi. La stratégie a donc pour objectif de contribuer à la sauvegarde de l</w:t>
      </w:r>
      <w:r w:rsidR="009C104E">
        <w:rPr>
          <w:rFonts w:ascii="Arial" w:hAnsi="Arial" w:cs="Arial"/>
          <w:sz w:val="22"/>
          <w:szCs w:val="22"/>
        </w:rPr>
        <w:t>’</w:t>
      </w:r>
      <w:r w:rsidRPr="00AC1594">
        <w:rPr>
          <w:rFonts w:ascii="Arial" w:hAnsi="Arial" w:cs="Arial"/>
          <w:sz w:val="22"/>
          <w:szCs w:val="22"/>
        </w:rPr>
        <w:t>artisanat traditionnel en tant qu</w:t>
      </w:r>
      <w:r w:rsidR="009C104E">
        <w:rPr>
          <w:rFonts w:ascii="Arial" w:hAnsi="Arial" w:cs="Arial"/>
          <w:sz w:val="22"/>
          <w:szCs w:val="22"/>
        </w:rPr>
        <w:t>’</w:t>
      </w:r>
      <w:r w:rsidRPr="00AC1594">
        <w:rPr>
          <w:rFonts w:ascii="Arial" w:hAnsi="Arial" w:cs="Arial"/>
          <w:sz w:val="22"/>
          <w:szCs w:val="22"/>
        </w:rPr>
        <w:t>outil favorisant l</w:t>
      </w:r>
      <w:r w:rsidR="009C104E">
        <w:rPr>
          <w:rFonts w:ascii="Arial" w:hAnsi="Arial" w:cs="Arial"/>
          <w:sz w:val="22"/>
          <w:szCs w:val="22"/>
        </w:rPr>
        <w:t>’</w:t>
      </w:r>
      <w:r w:rsidRPr="00AC1594">
        <w:rPr>
          <w:rFonts w:ascii="Arial" w:hAnsi="Arial" w:cs="Arial"/>
          <w:sz w:val="22"/>
          <w:szCs w:val="22"/>
        </w:rPr>
        <w:t>inclusion sociale, l</w:t>
      </w:r>
      <w:r w:rsidR="009C104E">
        <w:rPr>
          <w:rFonts w:ascii="Arial" w:hAnsi="Arial" w:cs="Arial"/>
          <w:sz w:val="22"/>
          <w:szCs w:val="22"/>
        </w:rPr>
        <w:t>’</w:t>
      </w:r>
      <w:r w:rsidRPr="00AC1594">
        <w:rPr>
          <w:rFonts w:ascii="Arial" w:hAnsi="Arial" w:cs="Arial"/>
          <w:sz w:val="22"/>
          <w:szCs w:val="22"/>
        </w:rPr>
        <w:t>emploi et l</w:t>
      </w:r>
      <w:r w:rsidR="009C104E">
        <w:rPr>
          <w:rFonts w:ascii="Arial" w:hAnsi="Arial" w:cs="Arial"/>
          <w:sz w:val="22"/>
          <w:szCs w:val="22"/>
        </w:rPr>
        <w:t>’</w:t>
      </w:r>
      <w:r w:rsidRPr="00AC1594">
        <w:rPr>
          <w:rFonts w:ascii="Arial" w:hAnsi="Arial" w:cs="Arial"/>
          <w:sz w:val="22"/>
          <w:szCs w:val="22"/>
        </w:rPr>
        <w:t>entrepreneuriat culturel. La communauté, quant à elle, peut ainsi prendre conscience de la valeur culturelle et sociétale des différents savoir-faire et métiers de l</w:t>
      </w:r>
      <w:r w:rsidR="009C104E">
        <w:rPr>
          <w:rFonts w:ascii="Arial" w:hAnsi="Arial" w:cs="Arial"/>
          <w:sz w:val="22"/>
          <w:szCs w:val="22"/>
        </w:rPr>
        <w:t>’</w:t>
      </w:r>
      <w:r w:rsidRPr="00AC1594">
        <w:rPr>
          <w:rFonts w:ascii="Arial" w:hAnsi="Arial" w:cs="Arial"/>
          <w:sz w:val="22"/>
          <w:szCs w:val="22"/>
        </w:rPr>
        <w:t>artisanat traditionnels.</w:t>
      </w:r>
    </w:p>
    <w:p w14:paraId="0DA6184B" w14:textId="34BF2A9D" w:rsidR="006244CE" w:rsidRPr="00AC1594" w:rsidRDefault="006244CE" w:rsidP="00771F30">
      <w:pPr>
        <w:keepNext/>
        <w:numPr>
          <w:ilvl w:val="0"/>
          <w:numId w:val="44"/>
        </w:numPr>
        <w:tabs>
          <w:tab w:val="left" w:pos="567"/>
          <w:tab w:val="left" w:pos="993"/>
          <w:tab w:val="left" w:pos="1701"/>
          <w:tab w:val="left" w:pos="2268"/>
        </w:tabs>
        <w:spacing w:before="120" w:after="120"/>
        <w:ind w:left="567" w:hanging="567"/>
        <w:jc w:val="both"/>
        <w:rPr>
          <w:rFonts w:ascii="Arial" w:hAnsi="Arial" w:cs="Arial"/>
          <w:sz w:val="22"/>
          <w:szCs w:val="22"/>
        </w:rPr>
      </w:pPr>
      <w:r w:rsidRPr="00AC1594">
        <w:rPr>
          <w:rFonts w:ascii="Arial" w:hAnsi="Arial" w:cs="Arial"/>
          <w:sz w:val="22"/>
          <w:szCs w:val="22"/>
          <w:u w:val="single"/>
        </w:rPr>
        <w:t>Estime</w:t>
      </w:r>
      <w:r w:rsidRPr="00AC1594">
        <w:rPr>
          <w:rFonts w:ascii="Arial" w:hAnsi="Arial" w:cs="Arial"/>
          <w:sz w:val="22"/>
          <w:szCs w:val="22"/>
        </w:rPr>
        <w:t xml:space="preserve"> que, d</w:t>
      </w:r>
      <w:r w:rsidR="009C104E">
        <w:rPr>
          <w:rFonts w:ascii="Arial" w:hAnsi="Arial" w:cs="Arial"/>
          <w:sz w:val="22"/>
          <w:szCs w:val="22"/>
        </w:rPr>
        <w:t>’</w:t>
      </w:r>
      <w:r w:rsidRPr="00AC1594">
        <w:rPr>
          <w:rFonts w:ascii="Arial" w:hAnsi="Arial" w:cs="Arial"/>
          <w:sz w:val="22"/>
          <w:szCs w:val="22"/>
        </w:rPr>
        <w:t>après les informations contenues dans le dossier, la demande répond aux critères de sélection en tant que bonne pratique de sauvegarde, énoncés au paragraphe 7 des Directives opérationnelles comme suit :</w:t>
      </w:r>
    </w:p>
    <w:p w14:paraId="37FEAB45" w14:textId="30947F0D" w:rsidR="006244CE" w:rsidRPr="00AC1594" w:rsidRDefault="006244CE" w:rsidP="006244CE">
      <w:pPr>
        <w:tabs>
          <w:tab w:val="left" w:pos="1134"/>
          <w:tab w:val="left" w:pos="2268"/>
        </w:tabs>
        <w:spacing w:before="120" w:after="120"/>
        <w:ind w:left="1134" w:hanging="567"/>
        <w:jc w:val="both"/>
        <w:rPr>
          <w:rFonts w:ascii="Arial" w:hAnsi="Arial" w:cs="Arial"/>
          <w:sz w:val="22"/>
          <w:szCs w:val="22"/>
        </w:rPr>
      </w:pPr>
      <w:r w:rsidRPr="00AC1594">
        <w:rPr>
          <w:rFonts w:ascii="Arial" w:hAnsi="Arial" w:cs="Arial"/>
          <w:sz w:val="22"/>
          <w:szCs w:val="22"/>
        </w:rPr>
        <w:t>P.1 :</w:t>
      </w:r>
      <w:r w:rsidRPr="00AC1594">
        <w:rPr>
          <w:rFonts w:ascii="Arial" w:hAnsi="Arial" w:cs="Arial"/>
          <w:sz w:val="22"/>
          <w:szCs w:val="22"/>
        </w:rPr>
        <w:tab/>
      </w:r>
      <w:r w:rsidRPr="00AC1594">
        <w:rPr>
          <w:rFonts w:ascii="Arial" w:hAnsi="Arial" w:cs="Arial"/>
          <w:sz w:val="22"/>
          <w:szCs w:val="22"/>
          <w:shd w:val="clear" w:color="auto" w:fill="FFFFFF"/>
        </w:rPr>
        <w:t xml:space="preserve">Le programme vise à renforcer les mesures de sauvegarde garantissant la viabilité </w:t>
      </w:r>
      <w:r w:rsidRPr="00AC1594">
        <w:rPr>
          <w:rFonts w:ascii="Arial" w:hAnsi="Arial" w:cs="Arial"/>
          <w:sz w:val="22"/>
          <w:szCs w:val="22"/>
        </w:rPr>
        <w:t>de l</w:t>
      </w:r>
      <w:r w:rsidR="009C104E">
        <w:rPr>
          <w:rFonts w:ascii="Arial" w:hAnsi="Arial" w:cs="Arial"/>
          <w:sz w:val="22"/>
          <w:szCs w:val="22"/>
        </w:rPr>
        <w:t>’</w:t>
      </w:r>
      <w:r w:rsidRPr="00AC1594">
        <w:rPr>
          <w:rFonts w:ascii="Arial" w:hAnsi="Arial" w:cs="Arial"/>
          <w:sz w:val="22"/>
          <w:szCs w:val="22"/>
        </w:rPr>
        <w:t>artisanat traditionnel sur l</w:t>
      </w:r>
      <w:r w:rsidR="009C104E">
        <w:rPr>
          <w:rFonts w:ascii="Arial" w:hAnsi="Arial" w:cs="Arial"/>
          <w:sz w:val="22"/>
          <w:szCs w:val="22"/>
        </w:rPr>
        <w:t>’</w:t>
      </w:r>
      <w:r w:rsidRPr="00AC1594">
        <w:rPr>
          <w:rFonts w:ascii="Arial" w:hAnsi="Arial" w:cs="Arial"/>
          <w:sz w:val="22"/>
          <w:szCs w:val="22"/>
        </w:rPr>
        <w:t>ensemble du territoire national</w:t>
      </w:r>
      <w:r w:rsidRPr="00AC1594">
        <w:rPr>
          <w:rFonts w:ascii="Arial" w:hAnsi="Arial" w:cs="Arial"/>
          <w:sz w:val="22"/>
          <w:szCs w:val="22"/>
          <w:shd w:val="clear" w:color="auto" w:fill="FFFFFF"/>
        </w:rPr>
        <w:t xml:space="preserve">. </w:t>
      </w:r>
      <w:r w:rsidRPr="00AC1594">
        <w:rPr>
          <w:rFonts w:ascii="Arial" w:hAnsi="Arial" w:cs="Arial"/>
          <w:sz w:val="22"/>
          <w:szCs w:val="22"/>
        </w:rPr>
        <w:t>Une stratégie complète a été élaborée, reprenant des mesures de sauvegarde adéquates parmi lesquelles la création de systèmes de soutien reconnaissant le savoir des détenteurs ; la mise en place d</w:t>
      </w:r>
      <w:r w:rsidR="009C104E">
        <w:rPr>
          <w:rFonts w:ascii="Arial" w:hAnsi="Arial" w:cs="Arial"/>
          <w:sz w:val="22"/>
          <w:szCs w:val="22"/>
        </w:rPr>
        <w:t>’</w:t>
      </w:r>
      <w:r w:rsidRPr="00AC1594">
        <w:rPr>
          <w:rFonts w:ascii="Arial" w:hAnsi="Arial" w:cs="Arial"/>
          <w:sz w:val="22"/>
          <w:szCs w:val="22"/>
        </w:rPr>
        <w:t>une politique inter-institutionnelle en faveur de l</w:t>
      </w:r>
      <w:r w:rsidR="009C104E">
        <w:rPr>
          <w:rFonts w:ascii="Arial" w:hAnsi="Arial" w:cs="Arial"/>
          <w:sz w:val="22"/>
          <w:szCs w:val="22"/>
        </w:rPr>
        <w:t>’</w:t>
      </w:r>
      <w:r w:rsidRPr="00AC1594">
        <w:rPr>
          <w:rFonts w:ascii="Arial" w:hAnsi="Arial" w:cs="Arial"/>
          <w:sz w:val="22"/>
          <w:szCs w:val="22"/>
        </w:rPr>
        <w:t>artisanat traditionnel fondé sur le modèle de l</w:t>
      </w:r>
      <w:r w:rsidR="009C104E">
        <w:rPr>
          <w:rFonts w:ascii="Arial" w:hAnsi="Arial" w:cs="Arial"/>
          <w:sz w:val="22"/>
          <w:szCs w:val="22"/>
        </w:rPr>
        <w:t>’</w:t>
      </w:r>
      <w:r w:rsidRPr="00AC1594">
        <w:rPr>
          <w:rFonts w:ascii="Arial" w:hAnsi="Arial" w:cs="Arial"/>
          <w:sz w:val="22"/>
          <w:szCs w:val="22"/>
        </w:rPr>
        <w:t>apprentissage, et le renforcement du programme des écoles ateliers afin de garantir la continuité de la pratique et de la transmission. En outre, afin de consolider l</w:t>
      </w:r>
      <w:r w:rsidR="009C104E">
        <w:rPr>
          <w:rFonts w:ascii="Arial" w:hAnsi="Arial" w:cs="Arial"/>
          <w:sz w:val="22"/>
          <w:szCs w:val="22"/>
        </w:rPr>
        <w:t>’</w:t>
      </w:r>
      <w:r w:rsidRPr="00AC1594">
        <w:rPr>
          <w:rFonts w:ascii="Arial" w:hAnsi="Arial" w:cs="Arial"/>
          <w:sz w:val="22"/>
          <w:szCs w:val="22"/>
        </w:rPr>
        <w:t>artisanat traditionnel et d</w:t>
      </w:r>
      <w:r w:rsidR="009C104E">
        <w:rPr>
          <w:rFonts w:ascii="Arial" w:hAnsi="Arial" w:cs="Arial"/>
          <w:sz w:val="22"/>
          <w:szCs w:val="22"/>
        </w:rPr>
        <w:t>’</w:t>
      </w:r>
      <w:r w:rsidRPr="00AC1594">
        <w:rPr>
          <w:rFonts w:ascii="Arial" w:hAnsi="Arial" w:cs="Arial"/>
          <w:sz w:val="22"/>
          <w:szCs w:val="22"/>
        </w:rPr>
        <w:t>assurer la durabilité de la pratique des détenteurs, le programme favorise la création d</w:t>
      </w:r>
      <w:r w:rsidR="009C104E">
        <w:rPr>
          <w:rFonts w:ascii="Arial" w:hAnsi="Arial" w:cs="Arial"/>
          <w:sz w:val="22"/>
          <w:szCs w:val="22"/>
        </w:rPr>
        <w:t>’</w:t>
      </w:r>
      <w:r w:rsidRPr="00AC1594">
        <w:rPr>
          <w:rFonts w:ascii="Arial" w:hAnsi="Arial" w:cs="Arial"/>
          <w:sz w:val="22"/>
          <w:szCs w:val="22"/>
        </w:rPr>
        <w:t>emplois dans une optique d</w:t>
      </w:r>
      <w:r w:rsidR="009C104E">
        <w:rPr>
          <w:rFonts w:ascii="Arial" w:hAnsi="Arial" w:cs="Arial"/>
          <w:sz w:val="22"/>
          <w:szCs w:val="22"/>
        </w:rPr>
        <w:t>’</w:t>
      </w:r>
      <w:r w:rsidRPr="00AC1594">
        <w:rPr>
          <w:rFonts w:ascii="Arial" w:hAnsi="Arial" w:cs="Arial"/>
          <w:sz w:val="22"/>
          <w:szCs w:val="22"/>
        </w:rPr>
        <w:t>inclusion sociale.</w:t>
      </w:r>
    </w:p>
    <w:p w14:paraId="3FFD4E7B" w14:textId="7ECBA878" w:rsidR="006244CE" w:rsidRPr="00AC1594" w:rsidRDefault="006244CE" w:rsidP="006244CE">
      <w:pPr>
        <w:tabs>
          <w:tab w:val="left" w:pos="1134"/>
          <w:tab w:val="left" w:pos="2268"/>
        </w:tabs>
        <w:spacing w:before="120" w:after="120"/>
        <w:ind w:left="1134" w:hanging="567"/>
        <w:jc w:val="both"/>
        <w:rPr>
          <w:rFonts w:ascii="Arial" w:hAnsi="Arial" w:cs="Arial"/>
          <w:sz w:val="22"/>
          <w:szCs w:val="22"/>
        </w:rPr>
      </w:pPr>
      <w:r w:rsidRPr="00AC1594">
        <w:rPr>
          <w:rFonts w:ascii="Arial" w:hAnsi="Arial" w:cs="Arial"/>
          <w:sz w:val="22"/>
          <w:szCs w:val="22"/>
        </w:rPr>
        <w:t>P.2 :</w:t>
      </w:r>
      <w:r w:rsidRPr="00AC1594">
        <w:rPr>
          <w:rFonts w:ascii="Arial" w:hAnsi="Arial" w:cs="Arial"/>
          <w:sz w:val="22"/>
          <w:szCs w:val="22"/>
        </w:rPr>
        <w:tab/>
        <w:t>La stratégie aide à la coordination des efforts de sauvegarde aux niveaux national et international. Au niveau national, la politique en faveur de l</w:t>
      </w:r>
      <w:r w:rsidR="009C104E">
        <w:rPr>
          <w:rFonts w:ascii="Arial" w:hAnsi="Arial" w:cs="Arial"/>
          <w:sz w:val="22"/>
          <w:szCs w:val="22"/>
        </w:rPr>
        <w:t>’</w:t>
      </w:r>
      <w:r w:rsidRPr="00AC1594">
        <w:rPr>
          <w:rFonts w:ascii="Arial" w:hAnsi="Arial" w:cs="Arial"/>
          <w:sz w:val="22"/>
          <w:szCs w:val="22"/>
        </w:rPr>
        <w:t>artisanat traditionnel a permis la création de onze centres de développement de l</w:t>
      </w:r>
      <w:r w:rsidR="009C104E">
        <w:rPr>
          <w:rFonts w:ascii="Arial" w:hAnsi="Arial" w:cs="Arial"/>
          <w:sz w:val="22"/>
          <w:szCs w:val="22"/>
        </w:rPr>
        <w:t>’</w:t>
      </w:r>
      <w:r w:rsidRPr="00AC1594">
        <w:rPr>
          <w:rFonts w:ascii="Arial" w:hAnsi="Arial" w:cs="Arial"/>
          <w:sz w:val="22"/>
          <w:szCs w:val="22"/>
        </w:rPr>
        <w:t>artisanat et des savoir-faire traditionnels, et de nouveaux espaces deviendront progressivement accessibles dans les différentes régions du pays au cours de la période post-conflit. Au niveau international, la coopération avec d</w:t>
      </w:r>
      <w:r w:rsidR="009C104E">
        <w:rPr>
          <w:rFonts w:ascii="Arial" w:hAnsi="Arial" w:cs="Arial"/>
          <w:sz w:val="22"/>
          <w:szCs w:val="22"/>
        </w:rPr>
        <w:t>’</w:t>
      </w:r>
      <w:r w:rsidRPr="00AC1594">
        <w:rPr>
          <w:rFonts w:ascii="Arial" w:hAnsi="Arial" w:cs="Arial"/>
          <w:sz w:val="22"/>
          <w:szCs w:val="22"/>
        </w:rPr>
        <w:t>autres pays de la région d</w:t>
      </w:r>
      <w:r w:rsidR="009C104E">
        <w:rPr>
          <w:rFonts w:ascii="Arial" w:hAnsi="Arial" w:cs="Arial"/>
          <w:sz w:val="22"/>
          <w:szCs w:val="22"/>
        </w:rPr>
        <w:t>’</w:t>
      </w:r>
      <w:r w:rsidRPr="00AC1594">
        <w:rPr>
          <w:rFonts w:ascii="Arial" w:hAnsi="Arial" w:cs="Arial"/>
          <w:sz w:val="22"/>
          <w:szCs w:val="22"/>
        </w:rPr>
        <w:t xml:space="preserve">Amérique latine et au-delà est un bon </w:t>
      </w:r>
      <w:r>
        <w:rPr>
          <w:rFonts w:ascii="Arial" w:hAnsi="Arial" w:cs="Arial"/>
          <w:sz w:val="22"/>
          <w:szCs w:val="22"/>
        </w:rPr>
        <w:t>exemple de coopération Sud-Sud.</w:t>
      </w:r>
    </w:p>
    <w:p w14:paraId="73B8AB68" w14:textId="522E020D" w:rsidR="006244CE" w:rsidRPr="00AC1594" w:rsidRDefault="006244CE" w:rsidP="006244CE">
      <w:pPr>
        <w:tabs>
          <w:tab w:val="left" w:pos="1134"/>
          <w:tab w:val="left" w:pos="2268"/>
        </w:tabs>
        <w:spacing w:before="120" w:after="120"/>
        <w:ind w:left="1134" w:hanging="567"/>
        <w:jc w:val="both"/>
        <w:rPr>
          <w:rFonts w:ascii="Arial" w:hAnsi="Arial" w:cs="Arial"/>
          <w:sz w:val="22"/>
          <w:szCs w:val="22"/>
          <w:shd w:val="clear" w:color="auto" w:fill="FFFFFF"/>
        </w:rPr>
      </w:pPr>
      <w:r w:rsidRPr="00AC1594">
        <w:rPr>
          <w:rFonts w:ascii="Arial" w:hAnsi="Arial" w:cs="Arial"/>
          <w:sz w:val="22"/>
          <w:szCs w:val="22"/>
        </w:rPr>
        <w:t>P.3 :</w:t>
      </w:r>
      <w:r w:rsidRPr="00AC1594">
        <w:rPr>
          <w:rFonts w:ascii="Arial" w:hAnsi="Arial" w:cs="Arial"/>
          <w:sz w:val="22"/>
          <w:szCs w:val="22"/>
        </w:rPr>
        <w:tab/>
        <w:t xml:space="preserve">Les objectifs du programme visent à </w:t>
      </w:r>
      <w:r w:rsidRPr="00AC1594">
        <w:rPr>
          <w:rFonts w:ascii="Arial" w:hAnsi="Arial" w:cs="Arial"/>
          <w:sz w:val="22"/>
          <w:szCs w:val="22"/>
          <w:shd w:val="clear" w:color="auto" w:fill="FFFFFF"/>
        </w:rPr>
        <w:t xml:space="preserve">améliorer la </w:t>
      </w:r>
      <w:r w:rsidRPr="00AC1594">
        <w:rPr>
          <w:rFonts w:ascii="Arial" w:hAnsi="Arial" w:cs="Arial"/>
          <w:sz w:val="22"/>
          <w:szCs w:val="22"/>
        </w:rPr>
        <w:t xml:space="preserve">reconnaissance et le respect de la diversité culturelle, à assurer la transmission continue de connaissances et des savoir-faire traditionnels et à promouvoir la </w:t>
      </w:r>
      <w:r w:rsidRPr="00AC1594">
        <w:rPr>
          <w:rFonts w:ascii="Arial" w:hAnsi="Arial" w:cs="Arial"/>
          <w:sz w:val="22"/>
          <w:szCs w:val="22"/>
          <w:shd w:val="clear" w:color="auto" w:fill="FFFFFF"/>
        </w:rPr>
        <w:t>contribution du patrimoine culturel immatériel à la consolidation de la paix. Ils répondent donc pleinement</w:t>
      </w:r>
      <w:r w:rsidRPr="00AC1594">
        <w:rPr>
          <w:rFonts w:ascii="Arial" w:hAnsi="Arial" w:cs="Arial"/>
          <w:sz w:val="22"/>
          <w:szCs w:val="22"/>
        </w:rPr>
        <w:t xml:space="preserve"> aux principes et objectifs de la Convention. Le programme souligne aussi l</w:t>
      </w:r>
      <w:r w:rsidR="009C104E">
        <w:rPr>
          <w:rFonts w:ascii="Arial" w:hAnsi="Arial" w:cs="Arial"/>
          <w:sz w:val="22"/>
          <w:szCs w:val="22"/>
        </w:rPr>
        <w:t>’</w:t>
      </w:r>
      <w:r w:rsidRPr="00AC1594">
        <w:rPr>
          <w:rFonts w:ascii="Arial" w:hAnsi="Arial" w:cs="Arial"/>
          <w:sz w:val="22"/>
          <w:szCs w:val="22"/>
        </w:rPr>
        <w:t>importance de l</w:t>
      </w:r>
      <w:r w:rsidR="009C104E">
        <w:rPr>
          <w:rFonts w:ascii="Arial" w:hAnsi="Arial" w:cs="Arial"/>
          <w:sz w:val="22"/>
          <w:szCs w:val="22"/>
        </w:rPr>
        <w:t>’</w:t>
      </w:r>
      <w:r w:rsidRPr="00AC1594">
        <w:rPr>
          <w:rFonts w:ascii="Arial" w:hAnsi="Arial" w:cs="Arial"/>
          <w:sz w:val="22"/>
          <w:szCs w:val="22"/>
        </w:rPr>
        <w:t>appropriation sociale du patrimoine culturel immatériel en favorisant les liens sociaux et les opportunités professionnelles pour les populations vulnérables t</w:t>
      </w:r>
      <w:r>
        <w:rPr>
          <w:rFonts w:ascii="Arial" w:hAnsi="Arial" w:cs="Arial"/>
          <w:sz w:val="22"/>
          <w:szCs w:val="22"/>
        </w:rPr>
        <w:t>ouchées par les conflits armés.</w:t>
      </w:r>
    </w:p>
    <w:p w14:paraId="0E94B61C" w14:textId="75B2D44B" w:rsidR="006244CE" w:rsidRPr="00AC1594" w:rsidRDefault="006244CE" w:rsidP="006244CE">
      <w:pPr>
        <w:tabs>
          <w:tab w:val="left" w:pos="1134"/>
          <w:tab w:val="left" w:pos="2268"/>
        </w:tabs>
        <w:spacing w:before="120" w:after="120"/>
        <w:ind w:left="1134" w:hanging="567"/>
        <w:jc w:val="both"/>
        <w:rPr>
          <w:rFonts w:ascii="Arial" w:hAnsi="Arial" w:cs="Arial"/>
          <w:sz w:val="22"/>
          <w:szCs w:val="22"/>
        </w:rPr>
      </w:pPr>
      <w:r w:rsidRPr="00AC1594">
        <w:rPr>
          <w:rFonts w:ascii="Arial" w:hAnsi="Arial" w:cs="Arial"/>
          <w:sz w:val="22"/>
          <w:szCs w:val="22"/>
        </w:rPr>
        <w:t>P.4 :</w:t>
      </w:r>
      <w:r w:rsidRPr="00AC1594">
        <w:rPr>
          <w:rFonts w:ascii="Arial" w:hAnsi="Arial" w:cs="Arial"/>
          <w:sz w:val="22"/>
          <w:szCs w:val="22"/>
        </w:rPr>
        <w:tab/>
        <w:t>Depuis 2009, la mise en œuvre de la stratégie de sauvegarde a permis à plus de 24 000 jeunes d</w:t>
      </w:r>
      <w:r w:rsidR="009C104E">
        <w:rPr>
          <w:rFonts w:ascii="Arial" w:hAnsi="Arial" w:cs="Arial"/>
          <w:sz w:val="22"/>
          <w:szCs w:val="22"/>
        </w:rPr>
        <w:t>’</w:t>
      </w:r>
      <w:r w:rsidRPr="00AC1594">
        <w:rPr>
          <w:rFonts w:ascii="Arial" w:hAnsi="Arial" w:cs="Arial"/>
          <w:sz w:val="22"/>
          <w:szCs w:val="22"/>
        </w:rPr>
        <w:t>acquérir des connaissances et des savoir-faire grâce aux centres de développement de l</w:t>
      </w:r>
      <w:r w:rsidR="009C104E">
        <w:rPr>
          <w:rFonts w:ascii="Arial" w:hAnsi="Arial" w:cs="Arial"/>
          <w:sz w:val="22"/>
          <w:szCs w:val="22"/>
        </w:rPr>
        <w:t>’</w:t>
      </w:r>
      <w:r w:rsidRPr="00AC1594">
        <w:rPr>
          <w:rFonts w:ascii="Arial" w:hAnsi="Arial" w:cs="Arial"/>
          <w:sz w:val="22"/>
          <w:szCs w:val="22"/>
        </w:rPr>
        <w:t>artisanat et des savoir-faire traditionnels créés à cet effet. Elle s</w:t>
      </w:r>
      <w:r w:rsidR="009C104E">
        <w:rPr>
          <w:rFonts w:ascii="Arial" w:hAnsi="Arial" w:cs="Arial"/>
          <w:sz w:val="22"/>
          <w:szCs w:val="22"/>
        </w:rPr>
        <w:t>’</w:t>
      </w:r>
      <w:r w:rsidRPr="00AC1594">
        <w:rPr>
          <w:rFonts w:ascii="Arial" w:hAnsi="Arial" w:cs="Arial"/>
          <w:sz w:val="22"/>
          <w:szCs w:val="22"/>
        </w:rPr>
        <w:t>est révélée efficace pour garantir la viabilité de l</w:t>
      </w:r>
      <w:r w:rsidR="009C104E">
        <w:rPr>
          <w:rFonts w:ascii="Arial" w:hAnsi="Arial" w:cs="Arial"/>
          <w:sz w:val="22"/>
          <w:szCs w:val="22"/>
        </w:rPr>
        <w:t>’</w:t>
      </w:r>
      <w:r w:rsidRPr="00AC1594">
        <w:rPr>
          <w:rFonts w:ascii="Arial" w:hAnsi="Arial" w:cs="Arial"/>
          <w:sz w:val="22"/>
          <w:szCs w:val="22"/>
        </w:rPr>
        <w:t xml:space="preserve">artisanat dans le pays et promouvoir </w:t>
      </w:r>
      <w:r>
        <w:rPr>
          <w:rFonts w:ascii="Arial" w:hAnsi="Arial" w:cs="Arial"/>
          <w:sz w:val="22"/>
          <w:szCs w:val="22"/>
        </w:rPr>
        <w:t>la valeur des cultures locales.</w:t>
      </w:r>
    </w:p>
    <w:p w14:paraId="7A1B176D" w14:textId="7518C125" w:rsidR="006244CE" w:rsidRPr="00AC1594" w:rsidRDefault="006244CE" w:rsidP="006244CE">
      <w:pPr>
        <w:tabs>
          <w:tab w:val="left" w:pos="1134"/>
          <w:tab w:val="left" w:pos="2268"/>
        </w:tabs>
        <w:spacing w:before="120" w:after="120"/>
        <w:ind w:left="1134" w:hanging="567"/>
        <w:jc w:val="both"/>
        <w:rPr>
          <w:rFonts w:ascii="Arial" w:hAnsi="Arial" w:cs="Arial"/>
          <w:sz w:val="22"/>
          <w:szCs w:val="22"/>
        </w:rPr>
      </w:pPr>
      <w:r w:rsidRPr="00AC1594">
        <w:rPr>
          <w:rFonts w:ascii="Arial" w:hAnsi="Arial" w:cs="Arial"/>
          <w:sz w:val="22"/>
          <w:szCs w:val="22"/>
        </w:rPr>
        <w:t>P.5 :</w:t>
      </w:r>
      <w:r w:rsidRPr="00AC1594">
        <w:rPr>
          <w:rFonts w:ascii="Arial" w:hAnsi="Arial" w:cs="Arial"/>
          <w:sz w:val="22"/>
          <w:szCs w:val="22"/>
        </w:rPr>
        <w:tab/>
        <w:t>Le programme a été mis en œuvre avec la participation des détenteurs et des communautés concernées, et avec leur consentement libre, préalable et éclairé. Outre les lettres de consentement fournies par les communautés, le dossier contient</w:t>
      </w:r>
      <w:r w:rsidRPr="00AC1594">
        <w:rPr>
          <w:rFonts w:ascii="Arial" w:hAnsi="Arial" w:cs="Arial"/>
          <w:sz w:val="22"/>
          <w:szCs w:val="22"/>
          <w:shd w:val="clear" w:color="auto" w:fill="FFFFFF"/>
        </w:rPr>
        <w:t xml:space="preserve"> un grand nombre de documents témoignant </w:t>
      </w:r>
      <w:r w:rsidRPr="00AC1594">
        <w:rPr>
          <w:rFonts w:ascii="Arial" w:hAnsi="Arial" w:cs="Arial"/>
          <w:sz w:val="22"/>
          <w:szCs w:val="22"/>
        </w:rPr>
        <w:t>de l</w:t>
      </w:r>
      <w:r w:rsidR="009C104E">
        <w:rPr>
          <w:rFonts w:ascii="Arial" w:hAnsi="Arial" w:cs="Arial"/>
          <w:sz w:val="22"/>
          <w:szCs w:val="22"/>
        </w:rPr>
        <w:t>’</w:t>
      </w:r>
      <w:r w:rsidRPr="00AC1594">
        <w:rPr>
          <w:rFonts w:ascii="Arial" w:hAnsi="Arial" w:cs="Arial"/>
          <w:sz w:val="22"/>
          <w:szCs w:val="22"/>
        </w:rPr>
        <w:t>implication active d</w:t>
      </w:r>
      <w:r w:rsidR="009C104E">
        <w:rPr>
          <w:rFonts w:ascii="Arial" w:hAnsi="Arial" w:cs="Arial"/>
          <w:sz w:val="22"/>
          <w:szCs w:val="22"/>
        </w:rPr>
        <w:t>’</w:t>
      </w:r>
      <w:r w:rsidRPr="00AC1594">
        <w:rPr>
          <w:rFonts w:ascii="Arial" w:hAnsi="Arial" w:cs="Arial"/>
          <w:sz w:val="22"/>
          <w:szCs w:val="22"/>
        </w:rPr>
        <w:t>acteurs locaux et d</w:t>
      </w:r>
      <w:r w:rsidR="009C104E">
        <w:rPr>
          <w:rFonts w:ascii="Arial" w:hAnsi="Arial" w:cs="Arial"/>
          <w:sz w:val="22"/>
          <w:szCs w:val="22"/>
        </w:rPr>
        <w:t>’</w:t>
      </w:r>
      <w:r w:rsidRPr="00AC1594">
        <w:rPr>
          <w:rFonts w:ascii="Arial" w:hAnsi="Arial" w:cs="Arial"/>
          <w:sz w:val="22"/>
          <w:szCs w:val="22"/>
        </w:rPr>
        <w:t>institutions nationales qui collaborent avec les communautés pour mettre en œuvre une stratégie collective de revitalisatio</w:t>
      </w:r>
      <w:r>
        <w:rPr>
          <w:rFonts w:ascii="Arial" w:hAnsi="Arial" w:cs="Arial"/>
          <w:sz w:val="22"/>
          <w:szCs w:val="22"/>
        </w:rPr>
        <w:t>n de l</w:t>
      </w:r>
      <w:r w:rsidR="009C104E">
        <w:rPr>
          <w:rFonts w:ascii="Arial" w:hAnsi="Arial" w:cs="Arial"/>
          <w:sz w:val="22"/>
          <w:szCs w:val="22"/>
        </w:rPr>
        <w:t>’</w:t>
      </w:r>
      <w:r>
        <w:rPr>
          <w:rFonts w:ascii="Arial" w:hAnsi="Arial" w:cs="Arial"/>
          <w:sz w:val="22"/>
          <w:szCs w:val="22"/>
        </w:rPr>
        <w:t>artisanat traditionnel.</w:t>
      </w:r>
    </w:p>
    <w:p w14:paraId="7C5EA6D5" w14:textId="467D0980" w:rsidR="006244CE" w:rsidRPr="00AC1594" w:rsidRDefault="006244CE" w:rsidP="006244CE">
      <w:pPr>
        <w:tabs>
          <w:tab w:val="left" w:pos="1134"/>
          <w:tab w:val="left" w:pos="1276"/>
          <w:tab w:val="left" w:pos="2268"/>
        </w:tabs>
        <w:spacing w:before="120" w:after="120"/>
        <w:ind w:left="1134" w:hanging="567"/>
        <w:jc w:val="both"/>
        <w:rPr>
          <w:rFonts w:ascii="Arial" w:hAnsi="Arial" w:cs="Arial"/>
          <w:sz w:val="22"/>
          <w:szCs w:val="22"/>
        </w:rPr>
      </w:pPr>
      <w:r w:rsidRPr="00AC1594">
        <w:rPr>
          <w:rFonts w:ascii="Arial" w:hAnsi="Arial" w:cs="Arial"/>
          <w:sz w:val="22"/>
          <w:szCs w:val="22"/>
        </w:rPr>
        <w:t>P.6 :</w:t>
      </w:r>
      <w:r w:rsidRPr="00AC1594">
        <w:rPr>
          <w:rFonts w:ascii="Arial" w:hAnsi="Arial" w:cs="Arial"/>
          <w:sz w:val="22"/>
          <w:szCs w:val="22"/>
        </w:rPr>
        <w:tab/>
        <w:t>La stratégie de sauvegarde pourrait être adaptée aux différents contextes locaux, régionaux et internationaux, en tant que modèle de transmission et d</w:t>
      </w:r>
      <w:r w:rsidR="009C104E">
        <w:rPr>
          <w:rFonts w:ascii="Arial" w:hAnsi="Arial" w:cs="Arial"/>
          <w:sz w:val="22"/>
          <w:szCs w:val="22"/>
        </w:rPr>
        <w:t>’</w:t>
      </w:r>
      <w:r w:rsidRPr="00AC1594">
        <w:rPr>
          <w:rFonts w:ascii="Arial" w:hAnsi="Arial" w:cs="Arial"/>
          <w:sz w:val="22"/>
          <w:szCs w:val="22"/>
        </w:rPr>
        <w:t>apprentissage permettant d</w:t>
      </w:r>
      <w:r w:rsidR="009C104E">
        <w:rPr>
          <w:rFonts w:ascii="Arial" w:hAnsi="Arial" w:cs="Arial"/>
          <w:sz w:val="22"/>
          <w:szCs w:val="22"/>
        </w:rPr>
        <w:t>’</w:t>
      </w:r>
      <w:r w:rsidRPr="00AC1594">
        <w:rPr>
          <w:rFonts w:ascii="Arial" w:hAnsi="Arial" w:cs="Arial"/>
          <w:sz w:val="22"/>
          <w:szCs w:val="22"/>
        </w:rPr>
        <w:t>assurer la viabilité du patrimoine culturel immatériel. Le modèle d</w:t>
      </w:r>
      <w:r w:rsidR="009C104E">
        <w:rPr>
          <w:rFonts w:ascii="Arial" w:hAnsi="Arial" w:cs="Arial"/>
          <w:sz w:val="22"/>
          <w:szCs w:val="22"/>
        </w:rPr>
        <w:t>’</w:t>
      </w:r>
      <w:r w:rsidRPr="00AC1594">
        <w:rPr>
          <w:rFonts w:ascii="Arial" w:hAnsi="Arial" w:cs="Arial"/>
          <w:sz w:val="22"/>
          <w:szCs w:val="22"/>
        </w:rPr>
        <w:t>apprentissage par la pratique pourrait être reproduit afin d</w:t>
      </w:r>
      <w:r w:rsidR="009C104E">
        <w:rPr>
          <w:rFonts w:ascii="Arial" w:hAnsi="Arial" w:cs="Arial"/>
          <w:sz w:val="22"/>
          <w:szCs w:val="22"/>
        </w:rPr>
        <w:t>’</w:t>
      </w:r>
      <w:r w:rsidRPr="00AC1594">
        <w:rPr>
          <w:rFonts w:ascii="Arial" w:hAnsi="Arial" w:cs="Arial"/>
          <w:sz w:val="22"/>
          <w:szCs w:val="22"/>
        </w:rPr>
        <w:t>encourager la transmission intergénérationnelle dans le cadre des relations quotidiennes entre les maîtres et les apprentis, d</w:t>
      </w:r>
      <w:r w:rsidR="009C104E">
        <w:rPr>
          <w:rFonts w:ascii="Arial" w:hAnsi="Arial" w:cs="Arial"/>
          <w:sz w:val="22"/>
          <w:szCs w:val="22"/>
        </w:rPr>
        <w:t>’</w:t>
      </w:r>
      <w:r w:rsidRPr="00AC1594">
        <w:rPr>
          <w:rFonts w:ascii="Arial" w:hAnsi="Arial" w:cs="Arial"/>
          <w:sz w:val="22"/>
          <w:szCs w:val="22"/>
        </w:rPr>
        <w:t>offrir de meilleures opportunités professionnelles et de favoriser l</w:t>
      </w:r>
      <w:r w:rsidR="009C104E">
        <w:rPr>
          <w:rFonts w:ascii="Arial" w:hAnsi="Arial" w:cs="Arial"/>
          <w:sz w:val="22"/>
          <w:szCs w:val="22"/>
        </w:rPr>
        <w:t>’</w:t>
      </w:r>
      <w:r w:rsidRPr="00AC1594">
        <w:rPr>
          <w:rFonts w:ascii="Arial" w:hAnsi="Arial" w:cs="Arial"/>
          <w:sz w:val="22"/>
          <w:szCs w:val="22"/>
        </w:rPr>
        <w:t>inclusion sociale. La stratégie est particulièrement reproductible dans les régions touchées par les conflits armés, la marginalisation et l</w:t>
      </w:r>
      <w:r w:rsidR="009C104E">
        <w:rPr>
          <w:rFonts w:ascii="Arial" w:hAnsi="Arial" w:cs="Arial"/>
          <w:sz w:val="22"/>
          <w:szCs w:val="22"/>
        </w:rPr>
        <w:t>’</w:t>
      </w:r>
      <w:r w:rsidRPr="00AC1594">
        <w:rPr>
          <w:rFonts w:ascii="Arial" w:hAnsi="Arial" w:cs="Arial"/>
          <w:sz w:val="22"/>
          <w:szCs w:val="22"/>
        </w:rPr>
        <w:t>exclusion socio-économique.</w:t>
      </w:r>
    </w:p>
    <w:p w14:paraId="56332B7E" w14:textId="1B678A77" w:rsidR="006244CE" w:rsidRPr="00AC1594" w:rsidRDefault="006244CE" w:rsidP="006244CE">
      <w:pPr>
        <w:tabs>
          <w:tab w:val="left" w:pos="567"/>
          <w:tab w:val="left" w:pos="1134"/>
          <w:tab w:val="left" w:pos="2268"/>
        </w:tabs>
        <w:spacing w:before="120" w:after="120"/>
        <w:ind w:left="1134" w:hanging="567"/>
        <w:jc w:val="both"/>
        <w:rPr>
          <w:rFonts w:ascii="Arial" w:hAnsi="Arial" w:cs="Arial"/>
          <w:sz w:val="22"/>
          <w:szCs w:val="22"/>
        </w:rPr>
      </w:pPr>
      <w:r w:rsidRPr="00AC1594">
        <w:rPr>
          <w:rFonts w:ascii="Arial" w:hAnsi="Arial" w:cs="Arial"/>
          <w:sz w:val="22"/>
          <w:szCs w:val="22"/>
        </w:rPr>
        <w:t>P.7 :</w:t>
      </w:r>
      <w:r w:rsidRPr="00AC1594">
        <w:rPr>
          <w:rFonts w:ascii="Arial" w:hAnsi="Arial" w:cs="Arial"/>
          <w:sz w:val="22"/>
          <w:szCs w:val="22"/>
        </w:rPr>
        <w:tab/>
        <w:t>Le dossier montre bien l</w:t>
      </w:r>
      <w:r w:rsidR="009C104E">
        <w:rPr>
          <w:rFonts w:ascii="Arial" w:hAnsi="Arial" w:cs="Arial"/>
          <w:sz w:val="22"/>
          <w:szCs w:val="22"/>
        </w:rPr>
        <w:t>’</w:t>
      </w:r>
      <w:r w:rsidRPr="00AC1594">
        <w:rPr>
          <w:rFonts w:ascii="Arial" w:hAnsi="Arial" w:cs="Arial"/>
          <w:sz w:val="22"/>
          <w:szCs w:val="22"/>
        </w:rPr>
        <w:t>engagement de différentes parties prenantes désireuses de coopérer à la diffusion de la stratégie, parmi lesquelles des institutions publiques dont le ministère de la Culture colombien et le Programme national des métiers de l</w:t>
      </w:r>
      <w:r w:rsidR="009C104E">
        <w:rPr>
          <w:rFonts w:ascii="Arial" w:hAnsi="Arial" w:cs="Arial"/>
          <w:sz w:val="22"/>
          <w:szCs w:val="22"/>
        </w:rPr>
        <w:t>’</w:t>
      </w:r>
      <w:r w:rsidRPr="00AC1594">
        <w:rPr>
          <w:rFonts w:ascii="Arial" w:hAnsi="Arial" w:cs="Arial"/>
          <w:sz w:val="22"/>
          <w:szCs w:val="22"/>
        </w:rPr>
        <w:t>artisanat traditionnel pour la consolidation de la paix, mais aussi des détenteurs, des maîtres artisans, d</w:t>
      </w:r>
      <w:r w:rsidR="009C104E">
        <w:rPr>
          <w:rFonts w:ascii="Arial" w:hAnsi="Arial" w:cs="Arial"/>
          <w:sz w:val="22"/>
          <w:szCs w:val="22"/>
        </w:rPr>
        <w:t>’</w:t>
      </w:r>
      <w:r w:rsidRPr="00AC1594">
        <w:rPr>
          <w:rFonts w:ascii="Arial" w:hAnsi="Arial" w:cs="Arial"/>
          <w:sz w:val="22"/>
          <w:szCs w:val="22"/>
        </w:rPr>
        <w:t>anciens apprentis et des jeunes en cours de formation. D</w:t>
      </w:r>
      <w:r w:rsidR="009C104E">
        <w:rPr>
          <w:rFonts w:ascii="Arial" w:hAnsi="Arial" w:cs="Arial"/>
          <w:sz w:val="22"/>
          <w:szCs w:val="22"/>
        </w:rPr>
        <w:t>’</w:t>
      </w:r>
      <w:r w:rsidRPr="00AC1594">
        <w:rPr>
          <w:rFonts w:ascii="Arial" w:hAnsi="Arial" w:cs="Arial"/>
          <w:sz w:val="22"/>
          <w:szCs w:val="22"/>
        </w:rPr>
        <w:t>autres moyens de partager les connaissances et l</w:t>
      </w:r>
      <w:r w:rsidR="009C104E">
        <w:rPr>
          <w:rFonts w:ascii="Arial" w:hAnsi="Arial" w:cs="Arial"/>
          <w:sz w:val="22"/>
          <w:szCs w:val="22"/>
        </w:rPr>
        <w:t>’</w:t>
      </w:r>
      <w:r w:rsidRPr="00AC1594">
        <w:rPr>
          <w:rFonts w:ascii="Arial" w:hAnsi="Arial" w:cs="Arial"/>
          <w:sz w:val="22"/>
          <w:szCs w:val="22"/>
        </w:rPr>
        <w:t>expérience acquise sont envisagés, notamment par le biais d</w:t>
      </w:r>
      <w:r w:rsidR="009C104E">
        <w:rPr>
          <w:rFonts w:ascii="Arial" w:hAnsi="Arial" w:cs="Arial"/>
          <w:sz w:val="22"/>
          <w:szCs w:val="22"/>
        </w:rPr>
        <w:t>’</w:t>
      </w:r>
      <w:r w:rsidRPr="00AC1594">
        <w:rPr>
          <w:rFonts w:ascii="Arial" w:hAnsi="Arial" w:cs="Arial"/>
          <w:sz w:val="22"/>
          <w:szCs w:val="22"/>
        </w:rPr>
        <w:t>ateliers publics. Des alliances stratégiques pourraient également être établies afin de diffuser le programme dans d</w:t>
      </w:r>
      <w:r w:rsidR="009C104E">
        <w:rPr>
          <w:rFonts w:ascii="Arial" w:hAnsi="Arial" w:cs="Arial"/>
          <w:sz w:val="22"/>
          <w:szCs w:val="22"/>
        </w:rPr>
        <w:t>’</w:t>
      </w:r>
      <w:r w:rsidRPr="00AC1594">
        <w:rPr>
          <w:rFonts w:ascii="Arial" w:hAnsi="Arial" w:cs="Arial"/>
          <w:sz w:val="22"/>
          <w:szCs w:val="22"/>
        </w:rPr>
        <w:t>autres pays.</w:t>
      </w:r>
    </w:p>
    <w:p w14:paraId="04187331" w14:textId="30DCBC68" w:rsidR="006244CE" w:rsidRPr="00AC1594" w:rsidRDefault="006244CE" w:rsidP="006244CE">
      <w:pPr>
        <w:tabs>
          <w:tab w:val="left" w:pos="567"/>
          <w:tab w:val="left" w:pos="1134"/>
          <w:tab w:val="left" w:pos="1560"/>
          <w:tab w:val="left" w:pos="2268"/>
        </w:tabs>
        <w:spacing w:before="120" w:after="120"/>
        <w:ind w:left="1134" w:hanging="567"/>
        <w:jc w:val="both"/>
        <w:rPr>
          <w:rFonts w:ascii="Arial" w:hAnsi="Arial" w:cs="Arial"/>
          <w:sz w:val="22"/>
          <w:szCs w:val="22"/>
        </w:rPr>
      </w:pPr>
      <w:r w:rsidRPr="00AC1594">
        <w:rPr>
          <w:rFonts w:ascii="Arial" w:hAnsi="Arial" w:cs="Arial"/>
          <w:sz w:val="22"/>
          <w:szCs w:val="22"/>
        </w:rPr>
        <w:t>P.8 :</w:t>
      </w:r>
      <w:r w:rsidRPr="00AC1594">
        <w:rPr>
          <w:rFonts w:ascii="Arial" w:hAnsi="Arial" w:cs="Arial"/>
          <w:sz w:val="22"/>
          <w:szCs w:val="22"/>
        </w:rPr>
        <w:tab/>
        <w:t>Le programme comprend des mécanismes de coordination inter-institutionnelle, qui présentent des indicateurs de suivi pour tous les centres de développement de l</w:t>
      </w:r>
      <w:r w:rsidR="009C104E">
        <w:rPr>
          <w:rFonts w:ascii="Arial" w:hAnsi="Arial" w:cs="Arial"/>
          <w:sz w:val="22"/>
          <w:szCs w:val="22"/>
        </w:rPr>
        <w:t>’</w:t>
      </w:r>
      <w:r w:rsidRPr="00AC1594">
        <w:rPr>
          <w:rFonts w:ascii="Arial" w:hAnsi="Arial" w:cs="Arial"/>
          <w:sz w:val="22"/>
          <w:szCs w:val="22"/>
        </w:rPr>
        <w:t>artisanat et des savoir-faire traditionnels. À l</w:t>
      </w:r>
      <w:r w:rsidR="009C104E">
        <w:rPr>
          <w:rFonts w:ascii="Arial" w:hAnsi="Arial" w:cs="Arial"/>
          <w:sz w:val="22"/>
          <w:szCs w:val="22"/>
        </w:rPr>
        <w:t>’</w:t>
      </w:r>
      <w:r w:rsidRPr="00AC1594">
        <w:rPr>
          <w:rFonts w:ascii="Arial" w:hAnsi="Arial" w:cs="Arial"/>
          <w:sz w:val="22"/>
          <w:szCs w:val="22"/>
        </w:rPr>
        <w:t>aide de ces indicateurs, chaque centre prépare des rapports trimestriels</w:t>
      </w:r>
      <w:r>
        <w:rPr>
          <w:rFonts w:ascii="Arial" w:hAnsi="Arial" w:cs="Arial"/>
          <w:sz w:val="22"/>
          <w:szCs w:val="22"/>
        </w:rPr>
        <w:t>, pour l</w:t>
      </w:r>
      <w:r w:rsidR="009C104E">
        <w:rPr>
          <w:rFonts w:ascii="Arial" w:hAnsi="Arial" w:cs="Arial"/>
          <w:sz w:val="22"/>
          <w:szCs w:val="22"/>
        </w:rPr>
        <w:t>’</w:t>
      </w:r>
      <w:r>
        <w:rPr>
          <w:rFonts w:ascii="Arial" w:hAnsi="Arial" w:cs="Arial"/>
          <w:sz w:val="22"/>
          <w:szCs w:val="22"/>
        </w:rPr>
        <w:t xml:space="preserve">unité générale de coordination, et qui rendent </w:t>
      </w:r>
      <w:r w:rsidRPr="00AC1594">
        <w:rPr>
          <w:rFonts w:ascii="Arial" w:hAnsi="Arial" w:cs="Arial"/>
          <w:sz w:val="22"/>
          <w:szCs w:val="22"/>
        </w:rPr>
        <w:t>compte de ses activités, des résultats des programmes d</w:t>
      </w:r>
      <w:r w:rsidR="009C104E">
        <w:rPr>
          <w:rFonts w:ascii="Arial" w:hAnsi="Arial" w:cs="Arial"/>
          <w:sz w:val="22"/>
          <w:szCs w:val="22"/>
        </w:rPr>
        <w:t>’</w:t>
      </w:r>
      <w:r w:rsidRPr="00AC1594">
        <w:rPr>
          <w:rFonts w:ascii="Arial" w:hAnsi="Arial" w:cs="Arial"/>
          <w:sz w:val="22"/>
          <w:szCs w:val="22"/>
        </w:rPr>
        <w:t>apprentissage et du nombre d</w:t>
      </w:r>
      <w:r w:rsidR="009C104E">
        <w:rPr>
          <w:rFonts w:ascii="Arial" w:hAnsi="Arial" w:cs="Arial"/>
          <w:sz w:val="22"/>
          <w:szCs w:val="22"/>
        </w:rPr>
        <w:t>’</w:t>
      </w:r>
      <w:r w:rsidRPr="00AC1594">
        <w:rPr>
          <w:rFonts w:ascii="Arial" w:hAnsi="Arial" w:cs="Arial"/>
          <w:sz w:val="22"/>
          <w:szCs w:val="22"/>
        </w:rPr>
        <w:t>apprentis inscrits. Outre le nombre d</w:t>
      </w:r>
      <w:r w:rsidR="009C104E">
        <w:rPr>
          <w:rFonts w:ascii="Arial" w:hAnsi="Arial" w:cs="Arial"/>
          <w:sz w:val="22"/>
          <w:szCs w:val="22"/>
        </w:rPr>
        <w:t>’</w:t>
      </w:r>
      <w:r w:rsidRPr="00AC1594">
        <w:rPr>
          <w:rFonts w:ascii="Arial" w:hAnsi="Arial" w:cs="Arial"/>
          <w:sz w:val="22"/>
          <w:szCs w:val="22"/>
        </w:rPr>
        <w:t>apprentis, des indicateurs plus précis pourraient être envisagés pour facili</w:t>
      </w:r>
      <w:r>
        <w:rPr>
          <w:rFonts w:ascii="Arial" w:hAnsi="Arial" w:cs="Arial"/>
          <w:sz w:val="22"/>
          <w:szCs w:val="22"/>
        </w:rPr>
        <w:t>ter l</w:t>
      </w:r>
      <w:r w:rsidR="009C104E">
        <w:rPr>
          <w:rFonts w:ascii="Arial" w:hAnsi="Arial" w:cs="Arial"/>
          <w:sz w:val="22"/>
          <w:szCs w:val="22"/>
        </w:rPr>
        <w:t>’</w:t>
      </w:r>
      <w:r>
        <w:rPr>
          <w:rFonts w:ascii="Arial" w:hAnsi="Arial" w:cs="Arial"/>
          <w:sz w:val="22"/>
          <w:szCs w:val="22"/>
        </w:rPr>
        <w:t>évaluation des résultats.</w:t>
      </w:r>
    </w:p>
    <w:p w14:paraId="3907E04A" w14:textId="66C34CE7" w:rsidR="006244CE" w:rsidRPr="00AC1594" w:rsidRDefault="006244CE" w:rsidP="006244CE">
      <w:pPr>
        <w:tabs>
          <w:tab w:val="left" w:pos="567"/>
          <w:tab w:val="left" w:pos="1134"/>
          <w:tab w:val="left" w:pos="1276"/>
          <w:tab w:val="left" w:pos="2268"/>
        </w:tabs>
        <w:spacing w:before="120" w:after="120"/>
        <w:ind w:left="1134" w:hanging="567"/>
        <w:jc w:val="both"/>
        <w:rPr>
          <w:rFonts w:ascii="Arial" w:hAnsi="Arial" w:cs="Arial"/>
          <w:sz w:val="22"/>
          <w:szCs w:val="22"/>
        </w:rPr>
      </w:pPr>
      <w:r w:rsidRPr="00AC1594">
        <w:rPr>
          <w:rFonts w:ascii="Arial" w:hAnsi="Arial" w:cs="Arial"/>
          <w:sz w:val="22"/>
          <w:szCs w:val="22"/>
        </w:rPr>
        <w:t>P.9 :</w:t>
      </w:r>
      <w:r w:rsidRPr="00AC1594">
        <w:rPr>
          <w:rFonts w:ascii="Arial" w:hAnsi="Arial" w:cs="Arial"/>
          <w:sz w:val="22"/>
          <w:szCs w:val="22"/>
        </w:rPr>
        <w:tab/>
        <w:t>La stratégie de sauvegarde de l</w:t>
      </w:r>
      <w:r w:rsidR="009C104E">
        <w:rPr>
          <w:rFonts w:ascii="Arial" w:hAnsi="Arial" w:cs="Arial"/>
          <w:sz w:val="22"/>
          <w:szCs w:val="22"/>
        </w:rPr>
        <w:t>’</w:t>
      </w:r>
      <w:r w:rsidRPr="00AC1594">
        <w:rPr>
          <w:rFonts w:ascii="Arial" w:hAnsi="Arial" w:cs="Arial"/>
          <w:sz w:val="22"/>
          <w:szCs w:val="22"/>
        </w:rPr>
        <w:t>artisanat traditionnel pour la consolidation de la paix, qui favorise la transmission de connaissances et des savoir-faire liés aux métiers de l</w:t>
      </w:r>
      <w:r w:rsidR="009C104E">
        <w:rPr>
          <w:rFonts w:ascii="Arial" w:hAnsi="Arial" w:cs="Arial"/>
          <w:sz w:val="22"/>
          <w:szCs w:val="22"/>
        </w:rPr>
        <w:t>’</w:t>
      </w:r>
      <w:r w:rsidRPr="00AC1594">
        <w:rPr>
          <w:rFonts w:ascii="Arial" w:hAnsi="Arial" w:cs="Arial"/>
          <w:sz w:val="22"/>
          <w:szCs w:val="22"/>
        </w:rPr>
        <w:t>artisanat, répond bien aux besoins des pays en développement, en particulier en ce qui concerne les populations vulnérables touchées par l</w:t>
      </w:r>
      <w:r w:rsidR="009C104E">
        <w:rPr>
          <w:rFonts w:ascii="Arial" w:hAnsi="Arial" w:cs="Arial"/>
          <w:sz w:val="22"/>
          <w:szCs w:val="22"/>
        </w:rPr>
        <w:t>’</w:t>
      </w:r>
      <w:r w:rsidRPr="00AC1594">
        <w:rPr>
          <w:rFonts w:ascii="Arial" w:hAnsi="Arial" w:cs="Arial"/>
          <w:sz w:val="22"/>
          <w:szCs w:val="22"/>
        </w:rPr>
        <w:t>exclusion socio-économique. En outre, elle pourrait être un modèle efficace pour les populations des pays sortant d</w:t>
      </w:r>
      <w:r w:rsidR="009C104E">
        <w:rPr>
          <w:rFonts w:ascii="Arial" w:hAnsi="Arial" w:cs="Arial"/>
          <w:sz w:val="22"/>
          <w:szCs w:val="22"/>
        </w:rPr>
        <w:t>’</w:t>
      </w:r>
      <w:r w:rsidRPr="00AC1594">
        <w:rPr>
          <w:rFonts w:ascii="Arial" w:hAnsi="Arial" w:cs="Arial"/>
          <w:sz w:val="22"/>
          <w:szCs w:val="22"/>
        </w:rPr>
        <w:t>un conflit armé</w:t>
      </w:r>
      <w:r>
        <w:rPr>
          <w:rFonts w:ascii="Arial" w:hAnsi="Arial" w:cs="Arial"/>
          <w:sz w:val="22"/>
          <w:szCs w:val="22"/>
        </w:rPr>
        <w:t>.</w:t>
      </w:r>
    </w:p>
    <w:p w14:paraId="7E344747" w14:textId="1C730966" w:rsidR="006244CE" w:rsidRPr="002C0FC9" w:rsidRDefault="006244CE" w:rsidP="00771F30">
      <w:pPr>
        <w:numPr>
          <w:ilvl w:val="0"/>
          <w:numId w:val="44"/>
        </w:numPr>
        <w:tabs>
          <w:tab w:val="left" w:pos="567"/>
          <w:tab w:val="left" w:pos="1701"/>
          <w:tab w:val="left" w:pos="2268"/>
        </w:tabs>
        <w:spacing w:before="120" w:after="120"/>
        <w:ind w:left="567" w:hanging="567"/>
        <w:jc w:val="both"/>
        <w:rPr>
          <w:rFonts w:ascii="Arial" w:hAnsi="Arial" w:cs="Arial"/>
          <w:bCs/>
          <w:sz w:val="22"/>
          <w:szCs w:val="22"/>
        </w:rPr>
      </w:pPr>
      <w:r w:rsidRPr="00DF693C">
        <w:rPr>
          <w:rFonts w:ascii="Arial" w:hAnsi="Arial" w:cs="Arial"/>
          <w:sz w:val="22"/>
          <w:szCs w:val="22"/>
          <w:u w:val="single"/>
        </w:rPr>
        <w:t xml:space="preserve">Décide de </w:t>
      </w:r>
      <w:r w:rsidRPr="00B932EA">
        <w:rPr>
          <w:rFonts w:ascii="Arial" w:hAnsi="Arial" w:cs="Arial"/>
          <w:sz w:val="22"/>
          <w:szCs w:val="22"/>
          <w:u w:val="single"/>
        </w:rPr>
        <w:t>s</w:t>
      </w:r>
      <w:r w:rsidRPr="00DF693C">
        <w:rPr>
          <w:rFonts w:ascii="Arial" w:hAnsi="Arial" w:cs="Arial"/>
          <w:bCs/>
          <w:sz w:val="22"/>
          <w:szCs w:val="22"/>
          <w:u w:val="single"/>
        </w:rPr>
        <w:t>électionner</w:t>
      </w:r>
      <w:r w:rsidRPr="00DF693C">
        <w:rPr>
          <w:rFonts w:ascii="Arial" w:hAnsi="Arial" w:cs="Arial"/>
          <w:bCs/>
          <w:sz w:val="22"/>
          <w:szCs w:val="22"/>
        </w:rPr>
        <w:t xml:space="preserve"> </w:t>
      </w:r>
      <w:r w:rsidRPr="002C0FC9">
        <w:rPr>
          <w:rFonts w:ascii="Arial" w:hAnsi="Arial" w:cs="Arial"/>
          <w:b/>
          <w:bCs/>
          <w:sz w:val="22"/>
          <w:szCs w:val="22"/>
        </w:rPr>
        <w:t>la stratégie de sauvegarde de l</w:t>
      </w:r>
      <w:r w:rsidR="009C104E" w:rsidRPr="002C0FC9">
        <w:rPr>
          <w:rFonts w:ascii="Arial" w:hAnsi="Arial" w:cs="Arial"/>
          <w:b/>
          <w:bCs/>
          <w:sz w:val="22"/>
          <w:szCs w:val="22"/>
        </w:rPr>
        <w:t>’</w:t>
      </w:r>
      <w:r w:rsidRPr="002C0FC9">
        <w:rPr>
          <w:rFonts w:ascii="Arial" w:hAnsi="Arial" w:cs="Arial"/>
          <w:b/>
          <w:bCs/>
          <w:sz w:val="22"/>
          <w:szCs w:val="22"/>
        </w:rPr>
        <w:t>artisanat traditionnel pour la consolidation de la paix</w:t>
      </w:r>
      <w:r w:rsidRPr="002C0FC9">
        <w:rPr>
          <w:rFonts w:ascii="Arial" w:hAnsi="Arial" w:cs="Arial"/>
          <w:bCs/>
          <w:sz w:val="22"/>
          <w:szCs w:val="22"/>
        </w:rPr>
        <w:t xml:space="preserve"> comme programme, projet ou activité reflétant le mieux les principes et objectifs de la Convention ;</w:t>
      </w:r>
    </w:p>
    <w:p w14:paraId="369F6B2D" w14:textId="4DA24F68" w:rsidR="006244CE" w:rsidRPr="009A4CBD" w:rsidRDefault="006244CE" w:rsidP="00771F30">
      <w:pPr>
        <w:numPr>
          <w:ilvl w:val="0"/>
          <w:numId w:val="44"/>
        </w:numPr>
        <w:tabs>
          <w:tab w:val="left" w:pos="567"/>
          <w:tab w:val="left" w:pos="1701"/>
          <w:tab w:val="left" w:pos="2268"/>
        </w:tabs>
        <w:spacing w:before="120" w:after="120"/>
        <w:ind w:left="567" w:hanging="567"/>
        <w:jc w:val="both"/>
        <w:rPr>
          <w:rFonts w:ascii="Arial" w:hAnsi="Arial" w:cs="Arial"/>
          <w:bCs/>
          <w:sz w:val="22"/>
          <w:szCs w:val="22"/>
        </w:rPr>
      </w:pPr>
      <w:r w:rsidRPr="00AC1594">
        <w:rPr>
          <w:rFonts w:ascii="Arial" w:hAnsi="Arial" w:cs="Arial"/>
          <w:sz w:val="22"/>
          <w:szCs w:val="22"/>
          <w:u w:val="single"/>
        </w:rPr>
        <w:t>Félicite</w:t>
      </w:r>
      <w:r w:rsidRPr="00AC1594">
        <w:rPr>
          <w:rFonts w:ascii="Arial" w:hAnsi="Arial" w:cs="Arial"/>
          <w:sz w:val="22"/>
          <w:szCs w:val="22"/>
        </w:rPr>
        <w:t xml:space="preserve"> l</w:t>
      </w:r>
      <w:r w:rsidR="009C104E">
        <w:rPr>
          <w:rFonts w:ascii="Arial" w:hAnsi="Arial" w:cs="Arial"/>
          <w:sz w:val="22"/>
          <w:szCs w:val="22"/>
        </w:rPr>
        <w:t>’</w:t>
      </w:r>
      <w:r w:rsidRPr="00AC1594">
        <w:rPr>
          <w:rFonts w:ascii="Arial" w:hAnsi="Arial" w:cs="Arial"/>
          <w:sz w:val="22"/>
          <w:szCs w:val="22"/>
        </w:rPr>
        <w:t>État partie pour sa première sélection et pour avoir soumis un dossier exemplaire qui présente un programme de sauvegarde fortement axé sur le développement de la communauté et l</w:t>
      </w:r>
      <w:r w:rsidR="009C104E">
        <w:rPr>
          <w:rFonts w:ascii="Arial" w:hAnsi="Arial" w:cs="Arial"/>
          <w:sz w:val="22"/>
          <w:szCs w:val="22"/>
        </w:rPr>
        <w:t>’</w:t>
      </w:r>
      <w:r w:rsidRPr="00AC1594">
        <w:rPr>
          <w:rFonts w:ascii="Arial" w:hAnsi="Arial" w:cs="Arial"/>
          <w:sz w:val="22"/>
          <w:szCs w:val="22"/>
        </w:rPr>
        <w:t>inclusion sociale, qui contribue à la pérennité des moyens de subsistance des communautés et qui sert de modèle pour la consolidation de la paix dans d</w:t>
      </w:r>
      <w:r w:rsidR="009C104E">
        <w:rPr>
          <w:rFonts w:ascii="Arial" w:hAnsi="Arial" w:cs="Arial"/>
          <w:sz w:val="22"/>
          <w:szCs w:val="22"/>
        </w:rPr>
        <w:t>’</w:t>
      </w:r>
      <w:r w:rsidRPr="00AC1594">
        <w:rPr>
          <w:rFonts w:ascii="Arial" w:hAnsi="Arial" w:cs="Arial"/>
          <w:sz w:val="22"/>
          <w:szCs w:val="22"/>
        </w:rPr>
        <w:t xml:space="preserve">autres pays, </w:t>
      </w:r>
      <w:r>
        <w:rPr>
          <w:rFonts w:ascii="Arial" w:hAnsi="Arial" w:cs="Arial"/>
          <w:sz w:val="22"/>
          <w:szCs w:val="22"/>
        </w:rPr>
        <w:t>surtout pour</w:t>
      </w:r>
      <w:r w:rsidRPr="00AC1594">
        <w:rPr>
          <w:rFonts w:ascii="Arial" w:hAnsi="Arial" w:cs="Arial"/>
          <w:sz w:val="22"/>
          <w:szCs w:val="22"/>
        </w:rPr>
        <w:t xml:space="preserve"> ceux sortant d</w:t>
      </w:r>
      <w:r w:rsidR="009C104E">
        <w:rPr>
          <w:rFonts w:ascii="Arial" w:hAnsi="Arial" w:cs="Arial"/>
          <w:sz w:val="22"/>
          <w:szCs w:val="22"/>
        </w:rPr>
        <w:t>’</w:t>
      </w:r>
      <w:r w:rsidRPr="00AC1594">
        <w:rPr>
          <w:rFonts w:ascii="Arial" w:hAnsi="Arial" w:cs="Arial"/>
          <w:sz w:val="22"/>
          <w:szCs w:val="22"/>
        </w:rPr>
        <w:t>un conflit.</w:t>
      </w:r>
    </w:p>
    <w:p w14:paraId="48483D75" w14:textId="18FF85A8" w:rsidR="00EE020D" w:rsidRPr="00EE020D" w:rsidRDefault="00EE020D" w:rsidP="00771F30">
      <w:pPr>
        <w:pStyle w:val="Heading2"/>
        <w:keepLines/>
        <w:numPr>
          <w:ilvl w:val="0"/>
          <w:numId w:val="45"/>
        </w:numPr>
        <w:spacing w:before="360" w:after="120"/>
        <w:rPr>
          <w:rFonts w:ascii="Arial" w:hAnsi="Arial" w:cs="Arial"/>
          <w:b w:val="0"/>
          <w:i w:val="0"/>
          <w:sz w:val="22"/>
          <w:szCs w:val="22"/>
        </w:rPr>
      </w:pPr>
      <w:bookmarkStart w:id="47" w:name="Decision_10c3"/>
      <w:r w:rsidRPr="00EE020D">
        <w:rPr>
          <w:rFonts w:ascii="Arial" w:hAnsi="Arial" w:cs="Arial"/>
          <w:i w:val="0"/>
          <w:sz w:val="22"/>
          <w:szCs w:val="22"/>
        </w:rPr>
        <w:t>DÉCISION 14.COM 10.c.3</w:t>
      </w:r>
    </w:p>
    <w:bookmarkEnd w:id="47"/>
    <w:p w14:paraId="166A8294" w14:textId="77777777" w:rsidR="00EE020D" w:rsidRPr="00EE020D" w:rsidRDefault="00EE020D" w:rsidP="00EE020D">
      <w:pPr>
        <w:pStyle w:val="NoSpacing"/>
        <w:keepNext/>
        <w:tabs>
          <w:tab w:val="left" w:pos="567"/>
          <w:tab w:val="left" w:pos="1134"/>
          <w:tab w:val="left" w:pos="1701"/>
          <w:tab w:val="left" w:pos="2268"/>
        </w:tabs>
        <w:spacing w:before="120" w:after="120"/>
        <w:jc w:val="both"/>
        <w:rPr>
          <w:rFonts w:ascii="Arial" w:hAnsi="Arial" w:cs="Arial"/>
          <w:sz w:val="22"/>
          <w:szCs w:val="22"/>
        </w:rPr>
      </w:pPr>
      <w:r w:rsidRPr="00EE020D">
        <w:rPr>
          <w:rFonts w:ascii="Arial" w:hAnsi="Arial" w:cs="Arial"/>
          <w:sz w:val="22"/>
          <w:szCs w:val="22"/>
        </w:rPr>
        <w:t>Le Comité,</w:t>
      </w:r>
    </w:p>
    <w:p w14:paraId="0F202FC6" w14:textId="77777777" w:rsidR="00EE020D" w:rsidRPr="00EE020D" w:rsidRDefault="00EE020D" w:rsidP="00771F30">
      <w:pPr>
        <w:numPr>
          <w:ilvl w:val="1"/>
          <w:numId w:val="45"/>
        </w:numPr>
        <w:tabs>
          <w:tab w:val="left" w:pos="567"/>
          <w:tab w:val="left" w:pos="1701"/>
          <w:tab w:val="left" w:pos="2268"/>
        </w:tabs>
        <w:spacing w:before="120" w:after="120"/>
        <w:ind w:left="567" w:hanging="567"/>
        <w:jc w:val="both"/>
        <w:rPr>
          <w:rFonts w:ascii="Arial" w:hAnsi="Arial" w:cs="Arial"/>
          <w:sz w:val="22"/>
          <w:szCs w:val="22"/>
        </w:rPr>
      </w:pPr>
      <w:r w:rsidRPr="00EE020D">
        <w:rPr>
          <w:rFonts w:ascii="Arial" w:hAnsi="Arial" w:cs="Arial"/>
          <w:sz w:val="22"/>
          <w:szCs w:val="22"/>
          <w:u w:val="single"/>
        </w:rPr>
        <w:t>Prend note</w:t>
      </w:r>
      <w:r w:rsidRPr="00EE020D">
        <w:rPr>
          <w:rFonts w:ascii="Arial" w:hAnsi="Arial" w:cs="Arial"/>
          <w:sz w:val="22"/>
          <w:szCs w:val="22"/>
        </w:rPr>
        <w:t xml:space="preserve"> que la République bolivarienne du Venezuela a proposé </w:t>
      </w:r>
      <w:r w:rsidRPr="00EE020D">
        <w:rPr>
          <w:rFonts w:ascii="Arial" w:hAnsi="Arial" w:cs="Arial"/>
          <w:b/>
          <w:sz w:val="22"/>
          <w:szCs w:val="22"/>
        </w:rPr>
        <w:t>le programme bioculturel pour la sauvegarde de la tradition du palmier béni au Venezuela</w:t>
      </w:r>
      <w:r w:rsidRPr="00EE020D">
        <w:rPr>
          <w:rFonts w:ascii="Arial" w:hAnsi="Arial" w:cs="Arial"/>
          <w:sz w:val="22"/>
          <w:szCs w:val="22"/>
        </w:rPr>
        <w:t xml:space="preserve"> (n° 01464) pour sélection et promotion par le Comité comme programme, projet ou activité reflétant le mieux les principes et objectifs de la Convention :</w:t>
      </w:r>
    </w:p>
    <w:p w14:paraId="60D587C2" w14:textId="05E0BF37" w:rsidR="00EE020D" w:rsidRPr="00EE020D" w:rsidRDefault="00EE020D" w:rsidP="00EE020D">
      <w:pPr>
        <w:tabs>
          <w:tab w:val="left" w:pos="567"/>
          <w:tab w:val="left" w:pos="1701"/>
          <w:tab w:val="left" w:pos="2268"/>
        </w:tabs>
        <w:spacing w:before="120" w:after="120"/>
        <w:ind w:left="567" w:hanging="567"/>
        <w:jc w:val="both"/>
        <w:rPr>
          <w:rFonts w:ascii="Arial" w:hAnsi="Arial" w:cs="Arial"/>
          <w:sz w:val="22"/>
          <w:szCs w:val="22"/>
        </w:rPr>
      </w:pPr>
      <w:r>
        <w:rPr>
          <w:rFonts w:ascii="Arial" w:hAnsi="Arial" w:cs="Arial"/>
          <w:sz w:val="22"/>
          <w:szCs w:val="22"/>
        </w:rPr>
        <w:tab/>
      </w:r>
      <w:r w:rsidRPr="00EE020D">
        <w:rPr>
          <w:rFonts w:ascii="Arial" w:hAnsi="Arial" w:cs="Arial"/>
          <w:sz w:val="22"/>
          <w:szCs w:val="22"/>
        </w:rPr>
        <w:t>Les activités associées au programme bioculturel pour la sauvegarde de la tradition du palmier béni au Venezuela portent notamment sur la collecte de feuilles de plusieurs espèces de palmiers dans un secteur montagneux bien défini. Après avoir été bénis lors d</w:t>
      </w:r>
      <w:r w:rsidR="009C104E">
        <w:rPr>
          <w:rFonts w:ascii="Arial" w:hAnsi="Arial" w:cs="Arial"/>
          <w:sz w:val="22"/>
          <w:szCs w:val="22"/>
        </w:rPr>
        <w:t>’</w:t>
      </w:r>
      <w:r w:rsidRPr="00EE020D">
        <w:rPr>
          <w:rFonts w:ascii="Arial" w:hAnsi="Arial" w:cs="Arial"/>
          <w:sz w:val="22"/>
          <w:szCs w:val="22"/>
        </w:rPr>
        <w:t>une cérémonie religieuse, les « palmeros » gravissent la montagne où ils vont passer plusieurs nuits et pratiquent différentes activités. Ils racontent des histoires, s</w:t>
      </w:r>
      <w:r w:rsidR="009C104E">
        <w:rPr>
          <w:rFonts w:ascii="Arial" w:hAnsi="Arial" w:cs="Arial"/>
          <w:sz w:val="22"/>
          <w:szCs w:val="22"/>
        </w:rPr>
        <w:t>’</w:t>
      </w:r>
      <w:r w:rsidRPr="00EE020D">
        <w:rPr>
          <w:rFonts w:ascii="Arial" w:hAnsi="Arial" w:cs="Arial"/>
          <w:sz w:val="22"/>
          <w:szCs w:val="22"/>
        </w:rPr>
        <w:t>arrêtent à des endroits précis comme s</w:t>
      </w:r>
      <w:r w:rsidR="009C104E">
        <w:rPr>
          <w:rFonts w:ascii="Arial" w:hAnsi="Arial" w:cs="Arial"/>
          <w:sz w:val="22"/>
          <w:szCs w:val="22"/>
        </w:rPr>
        <w:t>’</w:t>
      </w:r>
      <w:r w:rsidRPr="00EE020D">
        <w:rPr>
          <w:rFonts w:ascii="Arial" w:hAnsi="Arial" w:cs="Arial"/>
          <w:sz w:val="22"/>
          <w:szCs w:val="22"/>
        </w:rPr>
        <w:t>ils faisaient un Chemin de croix, entretiennent les sentiers, plantent des palmiers et les taillent. Les palmes ainsi obtenues sont bénies pendant la Semaine sainte et distribuées aux différentes communautés. Il y a trois décennies, cette tradition était en voie de disparition car les palmeros ne disposaient d</w:t>
      </w:r>
      <w:r w:rsidR="009C104E">
        <w:rPr>
          <w:rFonts w:ascii="Arial" w:hAnsi="Arial" w:cs="Arial"/>
          <w:sz w:val="22"/>
          <w:szCs w:val="22"/>
        </w:rPr>
        <w:t>’</w:t>
      </w:r>
      <w:r w:rsidRPr="00EE020D">
        <w:rPr>
          <w:rFonts w:ascii="Arial" w:hAnsi="Arial" w:cs="Arial"/>
          <w:sz w:val="22"/>
          <w:szCs w:val="22"/>
        </w:rPr>
        <w:t>aucun plan de reforestation, et les responsables des parcs nationaux commençaient à les considérer comme une menace pour l</w:t>
      </w:r>
      <w:r w:rsidR="009C104E">
        <w:rPr>
          <w:rFonts w:ascii="Arial" w:hAnsi="Arial" w:cs="Arial"/>
          <w:sz w:val="22"/>
          <w:szCs w:val="22"/>
        </w:rPr>
        <w:t>’</w:t>
      </w:r>
      <w:r w:rsidRPr="00EE020D">
        <w:rPr>
          <w:rFonts w:ascii="Arial" w:hAnsi="Arial" w:cs="Arial"/>
          <w:sz w:val="22"/>
          <w:szCs w:val="22"/>
        </w:rPr>
        <w:t>environnement. Conscients de la nécessité de modifier le mode de collecte des palmes, les palmeros ont donc décidé d</w:t>
      </w:r>
      <w:r w:rsidR="009C104E">
        <w:rPr>
          <w:rFonts w:ascii="Arial" w:hAnsi="Arial" w:cs="Arial"/>
          <w:sz w:val="22"/>
          <w:szCs w:val="22"/>
        </w:rPr>
        <w:t>’</w:t>
      </w:r>
      <w:r w:rsidRPr="00EE020D">
        <w:rPr>
          <w:rFonts w:ascii="Arial" w:hAnsi="Arial" w:cs="Arial"/>
          <w:sz w:val="22"/>
          <w:szCs w:val="22"/>
        </w:rPr>
        <w:t>élaguer les arbres plutôt que de les couper. Plusieurs mesures innovantes ont été élaborées dans le cadre du programme bioculturel, notamment des projets éducatifs à l</w:t>
      </w:r>
      <w:r w:rsidR="009C104E">
        <w:rPr>
          <w:rFonts w:ascii="Arial" w:hAnsi="Arial" w:cs="Arial"/>
          <w:sz w:val="22"/>
          <w:szCs w:val="22"/>
        </w:rPr>
        <w:t>’</w:t>
      </w:r>
      <w:r w:rsidRPr="00EE020D">
        <w:rPr>
          <w:rFonts w:ascii="Arial" w:hAnsi="Arial" w:cs="Arial"/>
          <w:sz w:val="22"/>
          <w:szCs w:val="22"/>
        </w:rPr>
        <w:t>intention des jeunes et des activités culturelles proposées à l</w:t>
      </w:r>
      <w:r w:rsidR="009C104E">
        <w:rPr>
          <w:rFonts w:ascii="Arial" w:hAnsi="Arial" w:cs="Arial"/>
          <w:sz w:val="22"/>
          <w:szCs w:val="22"/>
        </w:rPr>
        <w:t>’</w:t>
      </w:r>
      <w:r w:rsidRPr="00EE020D">
        <w:rPr>
          <w:rFonts w:ascii="Arial" w:hAnsi="Arial" w:cs="Arial"/>
          <w:sz w:val="22"/>
          <w:szCs w:val="22"/>
        </w:rPr>
        <w:t>ensemble de la communauté. Le programme bioculturel a encouragé des centaines d</w:t>
      </w:r>
      <w:r w:rsidR="009C104E">
        <w:rPr>
          <w:rFonts w:ascii="Arial" w:hAnsi="Arial" w:cs="Arial"/>
          <w:sz w:val="22"/>
          <w:szCs w:val="22"/>
        </w:rPr>
        <w:t>’</w:t>
      </w:r>
      <w:r w:rsidRPr="00EE020D">
        <w:rPr>
          <w:rFonts w:ascii="Arial" w:hAnsi="Arial" w:cs="Arial"/>
          <w:sz w:val="22"/>
          <w:szCs w:val="22"/>
        </w:rPr>
        <w:t>enfants et de jeunes à s</w:t>
      </w:r>
      <w:r w:rsidR="009C104E">
        <w:rPr>
          <w:rFonts w:ascii="Arial" w:hAnsi="Arial" w:cs="Arial"/>
          <w:sz w:val="22"/>
          <w:szCs w:val="22"/>
        </w:rPr>
        <w:t>’</w:t>
      </w:r>
      <w:r w:rsidRPr="00EE020D">
        <w:rPr>
          <w:rFonts w:ascii="Arial" w:hAnsi="Arial" w:cs="Arial"/>
          <w:sz w:val="22"/>
          <w:szCs w:val="22"/>
        </w:rPr>
        <w:t>impliquer, et ses aspects éducatifs en font un modèle à suivre pour les autres communautés qui récoltent du palmier béni pendant la Semaine sainte, ou qui se livrent à tout autre pratique du patrimoine vivant mettant en jeu les liens entre la culture et la nature.</w:t>
      </w:r>
    </w:p>
    <w:p w14:paraId="7AC60C98" w14:textId="1B79E157" w:rsidR="00EE020D" w:rsidRPr="00EE020D" w:rsidRDefault="00EE020D" w:rsidP="00771F30">
      <w:pPr>
        <w:keepNext/>
        <w:numPr>
          <w:ilvl w:val="1"/>
          <w:numId w:val="45"/>
        </w:numPr>
        <w:tabs>
          <w:tab w:val="left" w:pos="567"/>
          <w:tab w:val="left" w:pos="1701"/>
          <w:tab w:val="left" w:pos="2268"/>
        </w:tabs>
        <w:spacing w:before="120" w:after="120"/>
        <w:ind w:left="567" w:hanging="567"/>
        <w:jc w:val="both"/>
        <w:rPr>
          <w:rFonts w:ascii="Arial" w:hAnsi="Arial" w:cs="Arial"/>
          <w:sz w:val="22"/>
          <w:szCs w:val="22"/>
        </w:rPr>
      </w:pPr>
      <w:r w:rsidRPr="00EE020D">
        <w:rPr>
          <w:rFonts w:ascii="Arial" w:hAnsi="Arial" w:cs="Arial"/>
          <w:sz w:val="22"/>
          <w:szCs w:val="22"/>
          <w:u w:val="single"/>
        </w:rPr>
        <w:t>Estime</w:t>
      </w:r>
      <w:r w:rsidRPr="00EE020D">
        <w:rPr>
          <w:rFonts w:ascii="Arial" w:hAnsi="Arial" w:cs="Arial"/>
          <w:sz w:val="22"/>
          <w:szCs w:val="22"/>
        </w:rPr>
        <w:t xml:space="preserve"> que, d</w:t>
      </w:r>
      <w:r w:rsidR="009C104E">
        <w:rPr>
          <w:rFonts w:ascii="Arial" w:hAnsi="Arial" w:cs="Arial"/>
          <w:sz w:val="22"/>
          <w:szCs w:val="22"/>
        </w:rPr>
        <w:t>’</w:t>
      </w:r>
      <w:r w:rsidRPr="00EE020D">
        <w:rPr>
          <w:rFonts w:ascii="Arial" w:hAnsi="Arial" w:cs="Arial"/>
          <w:sz w:val="22"/>
          <w:szCs w:val="22"/>
        </w:rPr>
        <w:t>après les informations contenues dans le dossier, la demande répond aux critères de sélection en tant que bonne pratique de sauvegarde, énoncés au paragraphe 7 des Directives opérationnelles comme suit :</w:t>
      </w:r>
    </w:p>
    <w:p w14:paraId="1ADE0B5F" w14:textId="1DD2D7DC" w:rsidR="00EE020D" w:rsidRPr="00EE020D" w:rsidRDefault="00EE020D" w:rsidP="00EE020D">
      <w:pPr>
        <w:tabs>
          <w:tab w:val="left" w:pos="851"/>
          <w:tab w:val="left" w:pos="1134"/>
          <w:tab w:val="left" w:pos="2268"/>
        </w:tabs>
        <w:spacing w:before="120" w:after="120"/>
        <w:ind w:left="1134" w:hanging="567"/>
        <w:jc w:val="both"/>
        <w:rPr>
          <w:rFonts w:ascii="Arial" w:hAnsi="Arial" w:cs="Arial"/>
          <w:sz w:val="22"/>
          <w:szCs w:val="22"/>
        </w:rPr>
      </w:pPr>
      <w:r w:rsidRPr="00EE020D">
        <w:rPr>
          <w:rFonts w:ascii="Arial" w:hAnsi="Arial" w:cs="Arial"/>
          <w:sz w:val="22"/>
          <w:szCs w:val="22"/>
        </w:rPr>
        <w:t xml:space="preserve">P.1 : </w:t>
      </w:r>
      <w:r w:rsidRPr="00EE020D">
        <w:rPr>
          <w:rFonts w:ascii="Arial" w:hAnsi="Arial" w:cs="Arial"/>
          <w:sz w:val="22"/>
          <w:szCs w:val="22"/>
        </w:rPr>
        <w:tab/>
        <w:t>Le programme a appliqué plusieurs types de mesures de sauvegarde, portant principalement sur l</w:t>
      </w:r>
      <w:r w:rsidR="009C104E">
        <w:rPr>
          <w:rFonts w:ascii="Arial" w:hAnsi="Arial" w:cs="Arial"/>
          <w:sz w:val="22"/>
          <w:szCs w:val="22"/>
        </w:rPr>
        <w:t>’</w:t>
      </w:r>
      <w:r w:rsidRPr="00EE020D">
        <w:rPr>
          <w:rFonts w:ascii="Arial" w:hAnsi="Arial" w:cs="Arial"/>
          <w:sz w:val="22"/>
          <w:szCs w:val="22"/>
        </w:rPr>
        <w:t>éducation et la formation. Citons par exemple un programme éducatif sur l</w:t>
      </w:r>
      <w:r w:rsidR="009C104E">
        <w:rPr>
          <w:rFonts w:ascii="Arial" w:hAnsi="Arial" w:cs="Arial"/>
          <w:sz w:val="22"/>
          <w:szCs w:val="22"/>
        </w:rPr>
        <w:t>’</w:t>
      </w:r>
      <w:r w:rsidRPr="00EE020D">
        <w:rPr>
          <w:rFonts w:ascii="Arial" w:hAnsi="Arial" w:cs="Arial"/>
          <w:sz w:val="22"/>
          <w:szCs w:val="22"/>
        </w:rPr>
        <w:t>environnement, un programme de formation dans le secteur du tourisme, un plan de gestion des pépinières et de nombreuses autres activités culturelles. Toutes ces mesures impliquent des enfants, des jeunes, des enseignants et des professeurs d</w:t>
      </w:r>
      <w:r w:rsidR="009C104E">
        <w:rPr>
          <w:rFonts w:ascii="Arial" w:hAnsi="Arial" w:cs="Arial"/>
          <w:sz w:val="22"/>
          <w:szCs w:val="22"/>
        </w:rPr>
        <w:t>’</w:t>
      </w:r>
      <w:r w:rsidRPr="00EE020D">
        <w:rPr>
          <w:rFonts w:ascii="Arial" w:hAnsi="Arial" w:cs="Arial"/>
          <w:sz w:val="22"/>
          <w:szCs w:val="22"/>
        </w:rPr>
        <w:t>université. En outre, le programme établit un lien innovant entre la sauvegarde et la conservation de la nature en mettant en avant le concept de patrimoine bioculturel.</w:t>
      </w:r>
    </w:p>
    <w:p w14:paraId="53670192" w14:textId="2902A83D" w:rsidR="00EE020D" w:rsidRPr="00EE020D" w:rsidRDefault="00EE020D" w:rsidP="00EE020D">
      <w:pPr>
        <w:tabs>
          <w:tab w:val="left" w:pos="851"/>
          <w:tab w:val="left" w:pos="1134"/>
          <w:tab w:val="left" w:pos="2268"/>
        </w:tabs>
        <w:spacing w:before="120" w:after="120"/>
        <w:ind w:left="1134" w:hanging="567"/>
        <w:jc w:val="both"/>
        <w:rPr>
          <w:rFonts w:ascii="Arial" w:hAnsi="Arial" w:cs="Arial"/>
          <w:sz w:val="22"/>
          <w:szCs w:val="22"/>
        </w:rPr>
      </w:pPr>
      <w:r w:rsidRPr="00EE020D">
        <w:rPr>
          <w:rFonts w:ascii="Arial" w:hAnsi="Arial" w:cs="Arial"/>
          <w:sz w:val="22"/>
          <w:szCs w:val="22"/>
        </w:rPr>
        <w:t xml:space="preserve">P.2 : </w:t>
      </w:r>
      <w:r w:rsidRPr="00EE020D">
        <w:rPr>
          <w:rFonts w:ascii="Arial" w:hAnsi="Arial" w:cs="Arial"/>
          <w:sz w:val="22"/>
          <w:szCs w:val="22"/>
        </w:rPr>
        <w:tab/>
        <w:t>Bien qu</w:t>
      </w:r>
      <w:r w:rsidR="009C104E">
        <w:rPr>
          <w:rFonts w:ascii="Arial" w:hAnsi="Arial" w:cs="Arial"/>
          <w:sz w:val="22"/>
          <w:szCs w:val="22"/>
        </w:rPr>
        <w:t>’</w:t>
      </w:r>
      <w:r w:rsidRPr="00EE020D">
        <w:rPr>
          <w:rFonts w:ascii="Arial" w:hAnsi="Arial" w:cs="Arial"/>
          <w:sz w:val="22"/>
          <w:szCs w:val="22"/>
        </w:rPr>
        <w:t>il n</w:t>
      </w:r>
      <w:r w:rsidR="009C104E">
        <w:rPr>
          <w:rFonts w:ascii="Arial" w:hAnsi="Arial" w:cs="Arial"/>
          <w:sz w:val="22"/>
          <w:szCs w:val="22"/>
        </w:rPr>
        <w:t>’</w:t>
      </w:r>
      <w:r w:rsidRPr="00EE020D">
        <w:rPr>
          <w:rFonts w:ascii="Arial" w:hAnsi="Arial" w:cs="Arial"/>
          <w:sz w:val="22"/>
          <w:szCs w:val="22"/>
        </w:rPr>
        <w:t>y ait pas de preuve que la coordination des efforts de sauvegarde du patrimoine culturel immatériel ait été favorisée au niveau régional ou international, ce programme est un bon exemple de collaboration entre les communautés, plusieurs institutions publiques dans le pays (la Garde nationale, l</w:t>
      </w:r>
      <w:r w:rsidR="009C104E">
        <w:rPr>
          <w:rFonts w:ascii="Arial" w:hAnsi="Arial" w:cs="Arial"/>
          <w:sz w:val="22"/>
          <w:szCs w:val="22"/>
        </w:rPr>
        <w:t>’</w:t>
      </w:r>
      <w:r w:rsidRPr="00EE020D">
        <w:rPr>
          <w:rFonts w:ascii="Arial" w:hAnsi="Arial" w:cs="Arial"/>
          <w:iCs/>
          <w:sz w:val="22"/>
          <w:szCs w:val="22"/>
        </w:rPr>
        <w:t>Instituto Nacional de Parques (Inparques),</w:t>
      </w:r>
      <w:r w:rsidRPr="00EE020D">
        <w:rPr>
          <w:rFonts w:ascii="Arial" w:hAnsi="Arial" w:cs="Arial"/>
          <w:sz w:val="22"/>
          <w:szCs w:val="22"/>
        </w:rPr>
        <w:t xml:space="preserve"> la Protection civile et d</w:t>
      </w:r>
      <w:r w:rsidR="009C104E">
        <w:rPr>
          <w:rFonts w:ascii="Arial" w:hAnsi="Arial" w:cs="Arial"/>
          <w:sz w:val="22"/>
          <w:szCs w:val="22"/>
        </w:rPr>
        <w:t>’</w:t>
      </w:r>
      <w:r w:rsidRPr="00EE020D">
        <w:rPr>
          <w:rFonts w:ascii="Arial" w:hAnsi="Arial" w:cs="Arial"/>
          <w:sz w:val="22"/>
          <w:szCs w:val="22"/>
        </w:rPr>
        <w:t>autres institutions), des universités et des organisations non gouvernementales.</w:t>
      </w:r>
    </w:p>
    <w:p w14:paraId="31B41183" w14:textId="31A35BCF" w:rsidR="00EE020D" w:rsidRPr="00EE020D" w:rsidRDefault="00EE020D" w:rsidP="00EE020D">
      <w:pPr>
        <w:tabs>
          <w:tab w:val="left" w:pos="851"/>
          <w:tab w:val="left" w:pos="1134"/>
          <w:tab w:val="left" w:pos="2268"/>
        </w:tabs>
        <w:spacing w:before="120" w:after="120"/>
        <w:ind w:left="1134" w:hanging="567"/>
        <w:jc w:val="both"/>
        <w:rPr>
          <w:rFonts w:ascii="Arial" w:hAnsi="Arial" w:cs="Arial"/>
          <w:sz w:val="22"/>
          <w:szCs w:val="22"/>
        </w:rPr>
      </w:pPr>
      <w:r w:rsidRPr="00EE020D">
        <w:rPr>
          <w:rFonts w:ascii="Arial" w:hAnsi="Arial" w:cs="Arial"/>
          <w:sz w:val="22"/>
          <w:szCs w:val="22"/>
        </w:rPr>
        <w:t xml:space="preserve">P.3 : </w:t>
      </w:r>
      <w:r w:rsidRPr="00EE020D">
        <w:rPr>
          <w:rFonts w:ascii="Arial" w:hAnsi="Arial" w:cs="Arial"/>
          <w:sz w:val="22"/>
          <w:szCs w:val="22"/>
        </w:rPr>
        <w:tab/>
        <w:t>Ce programme participe à la sauvegarde des traditions locales, contribue au renforcement de la cohésion communautaire et du sentiment d</w:t>
      </w:r>
      <w:r w:rsidR="009C104E">
        <w:rPr>
          <w:rFonts w:ascii="Arial" w:hAnsi="Arial" w:cs="Arial"/>
          <w:sz w:val="22"/>
          <w:szCs w:val="22"/>
        </w:rPr>
        <w:t>’</w:t>
      </w:r>
      <w:r w:rsidRPr="00EE020D">
        <w:rPr>
          <w:rFonts w:ascii="Arial" w:hAnsi="Arial" w:cs="Arial"/>
          <w:sz w:val="22"/>
          <w:szCs w:val="22"/>
        </w:rPr>
        <w:t>appartenance des détenteurs et favorise de manière créative des liens entre la sauvegarde du patrimoine culturel immatériel et la protection de la diversité naturelle. En outre, la vitalité de la tradition repose non seulement sur le dialogue et la coopération mais aussi et surtout sur la participation communautaire, ce qui reflète les principes et objectifs de la Convention.</w:t>
      </w:r>
    </w:p>
    <w:p w14:paraId="64108F67" w14:textId="74A04DFC" w:rsidR="00EE020D" w:rsidRPr="00EE020D" w:rsidRDefault="00EE020D" w:rsidP="00EE020D">
      <w:pPr>
        <w:tabs>
          <w:tab w:val="left" w:pos="851"/>
          <w:tab w:val="left" w:pos="1134"/>
          <w:tab w:val="left" w:pos="2268"/>
        </w:tabs>
        <w:spacing w:before="120" w:after="120"/>
        <w:ind w:left="1134" w:hanging="567"/>
        <w:jc w:val="both"/>
        <w:rPr>
          <w:rFonts w:ascii="Arial" w:hAnsi="Arial" w:cs="Arial"/>
          <w:sz w:val="22"/>
          <w:szCs w:val="22"/>
        </w:rPr>
      </w:pPr>
      <w:r w:rsidRPr="00EE020D">
        <w:rPr>
          <w:rFonts w:ascii="Arial" w:hAnsi="Arial" w:cs="Arial"/>
          <w:sz w:val="22"/>
          <w:szCs w:val="22"/>
        </w:rPr>
        <w:t xml:space="preserve">P.4 : </w:t>
      </w:r>
      <w:r w:rsidRPr="00EE020D">
        <w:rPr>
          <w:rFonts w:ascii="Arial" w:hAnsi="Arial" w:cs="Arial"/>
          <w:sz w:val="22"/>
          <w:szCs w:val="22"/>
        </w:rPr>
        <w:tab/>
        <w:t>Ce programme s</w:t>
      </w:r>
      <w:r w:rsidR="009C104E">
        <w:rPr>
          <w:rFonts w:ascii="Arial" w:hAnsi="Arial" w:cs="Arial"/>
          <w:sz w:val="22"/>
          <w:szCs w:val="22"/>
        </w:rPr>
        <w:t>’</w:t>
      </w:r>
      <w:r w:rsidRPr="00EE020D">
        <w:rPr>
          <w:rFonts w:ascii="Arial" w:hAnsi="Arial" w:cs="Arial"/>
          <w:sz w:val="22"/>
          <w:szCs w:val="22"/>
        </w:rPr>
        <w:t>est révélé efficace pour contribuer à la viabilité du patrimoine culturel immatériel. En témoignent le changement d</w:t>
      </w:r>
      <w:r w:rsidR="009C104E">
        <w:rPr>
          <w:rFonts w:ascii="Arial" w:hAnsi="Arial" w:cs="Arial"/>
          <w:sz w:val="22"/>
          <w:szCs w:val="22"/>
        </w:rPr>
        <w:t>’</w:t>
      </w:r>
      <w:r w:rsidRPr="00EE020D">
        <w:rPr>
          <w:rFonts w:ascii="Arial" w:hAnsi="Arial" w:cs="Arial"/>
          <w:sz w:val="22"/>
          <w:szCs w:val="22"/>
        </w:rPr>
        <w:t>état d</w:t>
      </w:r>
      <w:r w:rsidR="009C104E">
        <w:rPr>
          <w:rFonts w:ascii="Arial" w:hAnsi="Arial" w:cs="Arial"/>
          <w:sz w:val="22"/>
          <w:szCs w:val="22"/>
        </w:rPr>
        <w:t>’</w:t>
      </w:r>
      <w:r w:rsidRPr="00EE020D">
        <w:rPr>
          <w:rFonts w:ascii="Arial" w:hAnsi="Arial" w:cs="Arial"/>
          <w:sz w:val="22"/>
          <w:szCs w:val="22"/>
        </w:rPr>
        <w:t>esprit des détenteurs de la tradition, et le fait que les enfants et les jeunes soient incités à prendre part aux diverses activités. Ils sont désormais sensibilisés et s</w:t>
      </w:r>
      <w:r w:rsidR="009C104E">
        <w:rPr>
          <w:rFonts w:ascii="Arial" w:hAnsi="Arial" w:cs="Arial"/>
          <w:sz w:val="22"/>
          <w:szCs w:val="22"/>
        </w:rPr>
        <w:t>’</w:t>
      </w:r>
      <w:r w:rsidRPr="00EE020D">
        <w:rPr>
          <w:rFonts w:ascii="Arial" w:hAnsi="Arial" w:cs="Arial"/>
          <w:sz w:val="22"/>
          <w:szCs w:val="22"/>
        </w:rPr>
        <w:t>engagent pour la reforestation des palmiers, en prenant de plus en plus de responsabilités. Le programme a également rappelé aux individus concernés l</w:t>
      </w:r>
      <w:r w:rsidR="009C104E">
        <w:rPr>
          <w:rFonts w:ascii="Arial" w:hAnsi="Arial" w:cs="Arial"/>
          <w:sz w:val="22"/>
          <w:szCs w:val="22"/>
        </w:rPr>
        <w:t>’</w:t>
      </w:r>
      <w:r w:rsidRPr="00EE020D">
        <w:rPr>
          <w:rFonts w:ascii="Arial" w:hAnsi="Arial" w:cs="Arial"/>
          <w:sz w:val="22"/>
          <w:szCs w:val="22"/>
        </w:rPr>
        <w:t>importance du palmier béni pour leur vie culturelle et les a aidés à prendre conscience de la nécessité de protéger les arbres pour assurer la viabilité des traditions associées. Sans ce programme, ces traditions auraient probablement disparu en raison de l</w:t>
      </w:r>
      <w:r w:rsidR="009C104E">
        <w:rPr>
          <w:rFonts w:ascii="Arial" w:hAnsi="Arial" w:cs="Arial"/>
          <w:sz w:val="22"/>
          <w:szCs w:val="22"/>
        </w:rPr>
        <w:t>’</w:t>
      </w:r>
      <w:r w:rsidRPr="00EE020D">
        <w:rPr>
          <w:rFonts w:ascii="Arial" w:hAnsi="Arial" w:cs="Arial"/>
          <w:sz w:val="22"/>
          <w:szCs w:val="22"/>
        </w:rPr>
        <w:t>approche stricte adoptée en matière de conservation de la nature et de l</w:t>
      </w:r>
      <w:r w:rsidR="009C104E">
        <w:rPr>
          <w:rFonts w:ascii="Arial" w:hAnsi="Arial" w:cs="Arial"/>
          <w:sz w:val="22"/>
          <w:szCs w:val="22"/>
        </w:rPr>
        <w:t>’</w:t>
      </w:r>
      <w:r w:rsidRPr="00EE020D">
        <w:rPr>
          <w:rFonts w:ascii="Arial" w:hAnsi="Arial" w:cs="Arial"/>
          <w:sz w:val="22"/>
          <w:szCs w:val="22"/>
        </w:rPr>
        <w:t>extinction de certaines espèces ; mais aussi faute d</w:t>
      </w:r>
      <w:r w:rsidR="009C104E">
        <w:rPr>
          <w:rFonts w:ascii="Arial" w:hAnsi="Arial" w:cs="Arial"/>
          <w:sz w:val="22"/>
          <w:szCs w:val="22"/>
        </w:rPr>
        <w:t>’</w:t>
      </w:r>
      <w:r w:rsidRPr="00EE020D">
        <w:rPr>
          <w:rFonts w:ascii="Arial" w:hAnsi="Arial" w:cs="Arial"/>
          <w:sz w:val="22"/>
          <w:szCs w:val="22"/>
        </w:rPr>
        <w:t>un intérêt suffisant de la part des jeunes générations.</w:t>
      </w:r>
    </w:p>
    <w:p w14:paraId="6A5A40D3" w14:textId="1ADDCB47" w:rsidR="00EE020D" w:rsidRPr="00EE020D" w:rsidRDefault="00EE020D" w:rsidP="00EE020D">
      <w:pPr>
        <w:tabs>
          <w:tab w:val="left" w:pos="851"/>
          <w:tab w:val="left" w:pos="1134"/>
          <w:tab w:val="left" w:pos="2268"/>
        </w:tabs>
        <w:spacing w:before="120" w:after="120"/>
        <w:ind w:left="1134" w:hanging="567"/>
        <w:jc w:val="both"/>
        <w:rPr>
          <w:rFonts w:ascii="Arial" w:hAnsi="Arial" w:cs="Arial"/>
          <w:sz w:val="22"/>
          <w:szCs w:val="22"/>
        </w:rPr>
      </w:pPr>
      <w:r w:rsidRPr="00EE020D">
        <w:rPr>
          <w:rFonts w:ascii="Arial" w:hAnsi="Arial" w:cs="Arial"/>
          <w:sz w:val="22"/>
          <w:szCs w:val="22"/>
        </w:rPr>
        <w:t xml:space="preserve">P.5 : </w:t>
      </w:r>
      <w:r w:rsidRPr="00EE020D">
        <w:rPr>
          <w:rFonts w:ascii="Arial" w:hAnsi="Arial" w:cs="Arial"/>
          <w:sz w:val="22"/>
          <w:szCs w:val="22"/>
        </w:rPr>
        <w:tab/>
        <w:t>La communauté a participé à la mise en œuvre du programme par l</w:t>
      </w:r>
      <w:r w:rsidR="009C104E">
        <w:rPr>
          <w:rFonts w:ascii="Arial" w:hAnsi="Arial" w:cs="Arial"/>
          <w:sz w:val="22"/>
          <w:szCs w:val="22"/>
        </w:rPr>
        <w:t>’</w:t>
      </w:r>
      <w:r w:rsidRPr="00EE020D">
        <w:rPr>
          <w:rFonts w:ascii="Arial" w:hAnsi="Arial" w:cs="Arial"/>
          <w:sz w:val="22"/>
          <w:szCs w:val="22"/>
        </w:rPr>
        <w:t>intermédiaire des associations de palmeros. Ce programme a rassemblé des maîtres de la tradition, appelés « palmeros mayores », des hommes et des femmes chargés des aspects logistiques, mais aussi des enfants, des jeunes et d</w:t>
      </w:r>
      <w:r w:rsidR="009C104E">
        <w:rPr>
          <w:rFonts w:ascii="Arial" w:hAnsi="Arial" w:cs="Arial"/>
          <w:sz w:val="22"/>
          <w:szCs w:val="22"/>
        </w:rPr>
        <w:t>’</w:t>
      </w:r>
      <w:r w:rsidRPr="00EE020D">
        <w:rPr>
          <w:rFonts w:ascii="Arial" w:hAnsi="Arial" w:cs="Arial"/>
          <w:sz w:val="22"/>
          <w:szCs w:val="22"/>
        </w:rPr>
        <w:t>autres membres de la communauté. Les palmeros mayores prennent part à la pratique depuis de nombreuses années, mais ne sont plus physiquement capables de gravir la montagne, ou ne peuvent le faire que jusqu</w:t>
      </w:r>
      <w:r w:rsidR="009C104E">
        <w:rPr>
          <w:rFonts w:ascii="Arial" w:hAnsi="Arial" w:cs="Arial"/>
          <w:sz w:val="22"/>
          <w:szCs w:val="22"/>
        </w:rPr>
        <w:t>’</w:t>
      </w:r>
      <w:r w:rsidRPr="00EE020D">
        <w:rPr>
          <w:rFonts w:ascii="Arial" w:hAnsi="Arial" w:cs="Arial"/>
          <w:sz w:val="22"/>
          <w:szCs w:val="22"/>
        </w:rPr>
        <w:t>à une certaine altitude. En revanche, ils participent pleinement aux activités éducatives qui s</w:t>
      </w:r>
      <w:r w:rsidR="009C104E">
        <w:rPr>
          <w:rFonts w:ascii="Arial" w:hAnsi="Arial" w:cs="Arial"/>
          <w:sz w:val="22"/>
          <w:szCs w:val="22"/>
        </w:rPr>
        <w:t>’</w:t>
      </w:r>
      <w:r w:rsidRPr="00EE020D">
        <w:rPr>
          <w:rFonts w:ascii="Arial" w:hAnsi="Arial" w:cs="Arial"/>
          <w:sz w:val="22"/>
          <w:szCs w:val="22"/>
        </w:rPr>
        <w:t>adressent aux palmeritos, ainsi qu</w:t>
      </w:r>
      <w:r w:rsidR="009C104E">
        <w:rPr>
          <w:rFonts w:ascii="Arial" w:hAnsi="Arial" w:cs="Arial"/>
          <w:sz w:val="22"/>
          <w:szCs w:val="22"/>
        </w:rPr>
        <w:t>’</w:t>
      </w:r>
      <w:r w:rsidRPr="00EE020D">
        <w:rPr>
          <w:rFonts w:ascii="Arial" w:hAnsi="Arial" w:cs="Arial"/>
          <w:sz w:val="22"/>
          <w:szCs w:val="22"/>
        </w:rPr>
        <w:t>à la gestion des pépinières à visée pédagogique. Ils jouent un rôle fondamental dans le programme, car ce sont les piliers de la transmission orale des connaissances associées. Le dossier contient des lettres exprimant le consentement libre, préalable et éclairé de représentants des associations mais aussi de représentants des municipalités, écoles et autres institutions culturelles.</w:t>
      </w:r>
    </w:p>
    <w:p w14:paraId="2375D9C3" w14:textId="06CBD08F" w:rsidR="00EE020D" w:rsidRPr="00EE020D" w:rsidRDefault="00EE020D" w:rsidP="00EE020D">
      <w:pPr>
        <w:tabs>
          <w:tab w:val="left" w:pos="851"/>
          <w:tab w:val="left" w:pos="1134"/>
          <w:tab w:val="left" w:pos="2268"/>
        </w:tabs>
        <w:spacing w:before="120" w:after="120"/>
        <w:ind w:left="1134" w:hanging="567"/>
        <w:jc w:val="both"/>
        <w:rPr>
          <w:rFonts w:ascii="Arial" w:hAnsi="Arial" w:cs="Arial"/>
          <w:sz w:val="22"/>
          <w:szCs w:val="22"/>
        </w:rPr>
      </w:pPr>
      <w:r w:rsidRPr="00EE020D">
        <w:rPr>
          <w:rFonts w:ascii="Arial" w:hAnsi="Arial" w:cs="Arial"/>
          <w:sz w:val="22"/>
          <w:szCs w:val="22"/>
        </w:rPr>
        <w:t xml:space="preserve">P.6 : </w:t>
      </w:r>
      <w:r w:rsidRPr="00EE020D">
        <w:rPr>
          <w:rFonts w:ascii="Arial" w:hAnsi="Arial" w:cs="Arial"/>
          <w:sz w:val="22"/>
          <w:szCs w:val="22"/>
        </w:rPr>
        <w:tab/>
        <w:t>Le programme pourrait servir de modèle, en particulier pour la récolte de rameaux sans réduire la population des palmiers, la gestion des pépinières où sont cultivés des spécimens et l</w:t>
      </w:r>
      <w:r w:rsidR="009C104E">
        <w:rPr>
          <w:rFonts w:ascii="Arial" w:hAnsi="Arial" w:cs="Arial"/>
          <w:sz w:val="22"/>
          <w:szCs w:val="22"/>
        </w:rPr>
        <w:t>’</w:t>
      </w:r>
      <w:r w:rsidRPr="00EE020D">
        <w:rPr>
          <w:rFonts w:ascii="Arial" w:hAnsi="Arial" w:cs="Arial"/>
          <w:sz w:val="22"/>
          <w:szCs w:val="22"/>
        </w:rPr>
        <w:t>important volet éducatif. Il peut également être un modèle pour les communautés où la collecte de ressources naturelles constitue un élément fondamental des traditions culturelles et dans lesquelles le patrimoine culturel immatériel est étroitement lié aux pratiques de conservation de la nature. L</w:t>
      </w:r>
      <w:r w:rsidR="009C104E">
        <w:rPr>
          <w:rFonts w:ascii="Arial" w:hAnsi="Arial" w:cs="Arial"/>
          <w:sz w:val="22"/>
          <w:szCs w:val="22"/>
        </w:rPr>
        <w:t>’</w:t>
      </w:r>
      <w:r w:rsidRPr="00EE020D">
        <w:rPr>
          <w:rFonts w:ascii="Arial" w:hAnsi="Arial" w:cs="Arial"/>
          <w:sz w:val="22"/>
          <w:szCs w:val="22"/>
        </w:rPr>
        <w:t>approche pourrait être reproduite non seulement à l</w:t>
      </w:r>
      <w:r w:rsidR="009C104E">
        <w:rPr>
          <w:rFonts w:ascii="Arial" w:hAnsi="Arial" w:cs="Arial"/>
          <w:sz w:val="22"/>
          <w:szCs w:val="22"/>
        </w:rPr>
        <w:t>’</w:t>
      </w:r>
      <w:r w:rsidRPr="00EE020D">
        <w:rPr>
          <w:rFonts w:ascii="Arial" w:hAnsi="Arial" w:cs="Arial"/>
          <w:sz w:val="22"/>
          <w:szCs w:val="22"/>
        </w:rPr>
        <w:t>échelle régionale et sous-régionale, mais aussi dans le monde entier.</w:t>
      </w:r>
    </w:p>
    <w:p w14:paraId="7B2FD205" w14:textId="6D4DAD62" w:rsidR="00EE020D" w:rsidRPr="00EE020D" w:rsidRDefault="00EE020D" w:rsidP="00EE020D">
      <w:pPr>
        <w:tabs>
          <w:tab w:val="left" w:pos="851"/>
          <w:tab w:val="left" w:pos="1134"/>
          <w:tab w:val="left" w:pos="2268"/>
        </w:tabs>
        <w:spacing w:before="120" w:after="120"/>
        <w:ind w:left="1134" w:hanging="567"/>
        <w:jc w:val="both"/>
        <w:rPr>
          <w:rFonts w:ascii="Arial" w:hAnsi="Arial" w:cs="Arial"/>
          <w:sz w:val="22"/>
          <w:szCs w:val="22"/>
        </w:rPr>
      </w:pPr>
      <w:r w:rsidRPr="00EE020D">
        <w:rPr>
          <w:rFonts w:ascii="Arial" w:hAnsi="Arial" w:cs="Arial"/>
          <w:sz w:val="22"/>
          <w:szCs w:val="22"/>
        </w:rPr>
        <w:t xml:space="preserve">P.7 : </w:t>
      </w:r>
      <w:r w:rsidRPr="00EE020D">
        <w:rPr>
          <w:rFonts w:ascii="Arial" w:hAnsi="Arial" w:cs="Arial"/>
          <w:sz w:val="22"/>
          <w:szCs w:val="22"/>
        </w:rPr>
        <w:tab/>
        <w:t>Les communautés et les individus concernés sont clairement engagés en faveur de la diffusion du programme. Cette volonté est démontrée à la fois par les membres de l</w:t>
      </w:r>
      <w:r w:rsidR="009C104E">
        <w:rPr>
          <w:rFonts w:ascii="Arial" w:hAnsi="Arial" w:cs="Arial"/>
          <w:sz w:val="22"/>
          <w:szCs w:val="22"/>
        </w:rPr>
        <w:t>’</w:t>
      </w:r>
      <w:r w:rsidRPr="00EE020D">
        <w:rPr>
          <w:rFonts w:ascii="Arial" w:hAnsi="Arial" w:cs="Arial"/>
          <w:sz w:val="22"/>
          <w:szCs w:val="22"/>
        </w:rPr>
        <w:t>Association des palmeros qui ont exprimé leur volonté de transmettre les expériences acquises au cours du développement du programme bioculturel et par les déclarations des enseignants, des biologistes et des journalistes impliqués dans le programme. La diffusion se fera grâce à la coopération de tous ces acteurs, en s</w:t>
      </w:r>
      <w:r w:rsidR="009C104E">
        <w:rPr>
          <w:rFonts w:ascii="Arial" w:hAnsi="Arial" w:cs="Arial"/>
          <w:sz w:val="22"/>
          <w:szCs w:val="22"/>
        </w:rPr>
        <w:t>’</w:t>
      </w:r>
      <w:r w:rsidRPr="00EE020D">
        <w:rPr>
          <w:rFonts w:ascii="Arial" w:hAnsi="Arial" w:cs="Arial"/>
          <w:sz w:val="22"/>
          <w:szCs w:val="22"/>
        </w:rPr>
        <w:t>appuyant sur les nombreuses initiatives déjà prises en la matière.</w:t>
      </w:r>
    </w:p>
    <w:p w14:paraId="74991541" w14:textId="050F1404" w:rsidR="00EE020D" w:rsidRPr="00EE020D" w:rsidRDefault="00EE020D" w:rsidP="00EE020D">
      <w:pPr>
        <w:tabs>
          <w:tab w:val="left" w:pos="851"/>
          <w:tab w:val="left" w:pos="1134"/>
          <w:tab w:val="left" w:pos="2268"/>
        </w:tabs>
        <w:spacing w:before="120" w:after="120"/>
        <w:ind w:left="1134" w:hanging="567"/>
        <w:jc w:val="both"/>
        <w:rPr>
          <w:rFonts w:ascii="Arial" w:hAnsi="Arial" w:cs="Arial"/>
          <w:sz w:val="22"/>
          <w:szCs w:val="22"/>
        </w:rPr>
      </w:pPr>
      <w:r w:rsidRPr="00EE020D">
        <w:rPr>
          <w:rFonts w:ascii="Arial" w:hAnsi="Arial" w:cs="Arial"/>
          <w:sz w:val="22"/>
          <w:szCs w:val="22"/>
        </w:rPr>
        <w:t xml:space="preserve">P.8 : </w:t>
      </w:r>
      <w:r w:rsidRPr="00EE020D">
        <w:rPr>
          <w:rFonts w:ascii="Arial" w:hAnsi="Arial" w:cs="Arial"/>
          <w:sz w:val="22"/>
          <w:szCs w:val="22"/>
        </w:rPr>
        <w:tab/>
        <w:t>Le programme inclut des exemples concrets et formels de mesure et d</w:t>
      </w:r>
      <w:r w:rsidR="009C104E">
        <w:rPr>
          <w:rFonts w:ascii="Arial" w:hAnsi="Arial" w:cs="Arial"/>
          <w:sz w:val="22"/>
          <w:szCs w:val="22"/>
        </w:rPr>
        <w:t>’</w:t>
      </w:r>
      <w:r w:rsidRPr="00EE020D">
        <w:rPr>
          <w:rFonts w:ascii="Arial" w:hAnsi="Arial" w:cs="Arial"/>
          <w:sz w:val="22"/>
          <w:szCs w:val="22"/>
        </w:rPr>
        <w:t xml:space="preserve">évaluation de ses progrès, reposant sur des normes et des procédures détaillées. Les évaluations ont été menées à partir de rapports externes préparés par </w:t>
      </w:r>
      <w:r w:rsidRPr="00EE020D">
        <w:rPr>
          <w:rFonts w:ascii="Arial" w:hAnsi="Arial" w:cs="Arial"/>
          <w:iCs/>
          <w:sz w:val="22"/>
          <w:szCs w:val="22"/>
        </w:rPr>
        <w:t>Inparques</w:t>
      </w:r>
      <w:r w:rsidRPr="00EE020D">
        <w:rPr>
          <w:rFonts w:ascii="Arial" w:hAnsi="Arial" w:cs="Arial"/>
          <w:sz w:val="22"/>
          <w:szCs w:val="22"/>
        </w:rPr>
        <w:t xml:space="preserve"> et de bilans internes basés sur des critères formels objectifs. Le dossier donne également un certain nombre d</w:t>
      </w:r>
      <w:r w:rsidR="009C104E">
        <w:rPr>
          <w:rFonts w:ascii="Arial" w:hAnsi="Arial" w:cs="Arial"/>
          <w:sz w:val="22"/>
          <w:szCs w:val="22"/>
        </w:rPr>
        <w:t>’</w:t>
      </w:r>
      <w:r w:rsidRPr="00EE020D">
        <w:rPr>
          <w:rFonts w:ascii="Arial" w:hAnsi="Arial" w:cs="Arial"/>
          <w:sz w:val="22"/>
          <w:szCs w:val="22"/>
        </w:rPr>
        <w:t>exemples de la manière dont le programme pourrait être évalué par d</w:t>
      </w:r>
      <w:r w:rsidR="009C104E">
        <w:rPr>
          <w:rFonts w:ascii="Arial" w:hAnsi="Arial" w:cs="Arial"/>
          <w:sz w:val="22"/>
          <w:szCs w:val="22"/>
        </w:rPr>
        <w:t>’</w:t>
      </w:r>
      <w:r w:rsidRPr="00EE020D">
        <w:rPr>
          <w:rFonts w:ascii="Arial" w:hAnsi="Arial" w:cs="Arial"/>
          <w:sz w:val="22"/>
          <w:szCs w:val="22"/>
        </w:rPr>
        <w:t>autres agences à l</w:t>
      </w:r>
      <w:r w:rsidR="009C104E">
        <w:rPr>
          <w:rFonts w:ascii="Arial" w:hAnsi="Arial" w:cs="Arial"/>
          <w:sz w:val="22"/>
          <w:szCs w:val="22"/>
        </w:rPr>
        <w:t>’</w:t>
      </w:r>
      <w:r w:rsidRPr="00EE020D">
        <w:rPr>
          <w:rFonts w:ascii="Arial" w:hAnsi="Arial" w:cs="Arial"/>
          <w:sz w:val="22"/>
          <w:szCs w:val="22"/>
        </w:rPr>
        <w:t>avenir. En outre, le plan de sauvegarde proposé pour la tradition du panier béni sera un outil important pour le suivi et l</w:t>
      </w:r>
      <w:r w:rsidR="009C104E">
        <w:rPr>
          <w:rFonts w:ascii="Arial" w:hAnsi="Arial" w:cs="Arial"/>
          <w:sz w:val="22"/>
          <w:szCs w:val="22"/>
        </w:rPr>
        <w:t>’</w:t>
      </w:r>
      <w:r w:rsidRPr="00EE020D">
        <w:rPr>
          <w:rFonts w:ascii="Arial" w:hAnsi="Arial" w:cs="Arial"/>
          <w:sz w:val="22"/>
          <w:szCs w:val="22"/>
        </w:rPr>
        <w:t>évaluation des activités du programme bioculturel en tant que bonne pratique.</w:t>
      </w:r>
    </w:p>
    <w:p w14:paraId="2FD1602A" w14:textId="3C44D9D4" w:rsidR="00EE020D" w:rsidRPr="00EE020D" w:rsidRDefault="00EE020D" w:rsidP="00EE020D">
      <w:pPr>
        <w:tabs>
          <w:tab w:val="left" w:pos="851"/>
          <w:tab w:val="left" w:pos="1134"/>
          <w:tab w:val="left" w:pos="2268"/>
        </w:tabs>
        <w:spacing w:before="120" w:after="120"/>
        <w:ind w:left="1134" w:hanging="567"/>
        <w:jc w:val="both"/>
        <w:rPr>
          <w:rFonts w:ascii="Arial" w:hAnsi="Arial" w:cs="Arial"/>
          <w:sz w:val="22"/>
          <w:szCs w:val="22"/>
        </w:rPr>
      </w:pPr>
      <w:r w:rsidRPr="00EE020D">
        <w:rPr>
          <w:rFonts w:ascii="Arial" w:hAnsi="Arial" w:cs="Arial"/>
          <w:sz w:val="22"/>
          <w:szCs w:val="22"/>
        </w:rPr>
        <w:t>P.9 :</w:t>
      </w:r>
      <w:r w:rsidRPr="00EE020D">
        <w:rPr>
          <w:rFonts w:ascii="Arial" w:hAnsi="Arial" w:cs="Arial"/>
          <w:sz w:val="22"/>
          <w:szCs w:val="22"/>
        </w:rPr>
        <w:tab/>
        <w:t>Le programme pourrait répondre aux besoins des pays en développement. Précisément, il pourrait servir de modèle à d</w:t>
      </w:r>
      <w:r w:rsidR="009C104E">
        <w:rPr>
          <w:rFonts w:ascii="Arial" w:hAnsi="Arial" w:cs="Arial"/>
          <w:sz w:val="22"/>
          <w:szCs w:val="22"/>
        </w:rPr>
        <w:t>’</w:t>
      </w:r>
      <w:r w:rsidRPr="00EE020D">
        <w:rPr>
          <w:rFonts w:ascii="Arial" w:hAnsi="Arial" w:cs="Arial"/>
          <w:sz w:val="22"/>
          <w:szCs w:val="22"/>
        </w:rPr>
        <w:t>autres communautés confrontées à des difficultés similaires liées à l</w:t>
      </w:r>
      <w:r w:rsidR="009C104E">
        <w:rPr>
          <w:rFonts w:ascii="Arial" w:hAnsi="Arial" w:cs="Arial"/>
          <w:sz w:val="22"/>
          <w:szCs w:val="22"/>
        </w:rPr>
        <w:t>’</w:t>
      </w:r>
      <w:r w:rsidRPr="00EE020D">
        <w:rPr>
          <w:rFonts w:ascii="Arial" w:hAnsi="Arial" w:cs="Arial"/>
          <w:sz w:val="22"/>
          <w:szCs w:val="22"/>
        </w:rPr>
        <w:t>utilisation de palmier ou d</w:t>
      </w:r>
      <w:r w:rsidR="009C104E">
        <w:rPr>
          <w:rFonts w:ascii="Arial" w:hAnsi="Arial" w:cs="Arial"/>
          <w:sz w:val="22"/>
          <w:szCs w:val="22"/>
        </w:rPr>
        <w:t>’</w:t>
      </w:r>
      <w:r w:rsidRPr="00EE020D">
        <w:rPr>
          <w:rFonts w:ascii="Arial" w:hAnsi="Arial" w:cs="Arial"/>
          <w:sz w:val="22"/>
          <w:szCs w:val="22"/>
        </w:rPr>
        <w:t>autres ressources naturelles dans le cadre des traditions culturelles. Il pourrait contribuer au rétablissement des espèces menacées, en encourageant des comportements appropriés dans les zones naturelles protégées et en soutenant les programmes relatifs aux droits de l</w:t>
      </w:r>
      <w:r w:rsidR="009C104E">
        <w:rPr>
          <w:rFonts w:ascii="Arial" w:hAnsi="Arial" w:cs="Arial"/>
          <w:sz w:val="22"/>
          <w:szCs w:val="22"/>
        </w:rPr>
        <w:t>’</w:t>
      </w:r>
      <w:r w:rsidRPr="00EE020D">
        <w:rPr>
          <w:rFonts w:ascii="Arial" w:hAnsi="Arial" w:cs="Arial"/>
          <w:sz w:val="22"/>
          <w:szCs w:val="22"/>
        </w:rPr>
        <w:t>homme et à la préservation de la biosphère. Le principal objectif du programme était de convertir les citoyens en acteurs de la transformation. Cette idée pourrait être appliquée dans les pays en développement comme dans les pays développés.</w:t>
      </w:r>
    </w:p>
    <w:p w14:paraId="0E630759" w14:textId="77777777" w:rsidR="00EE020D" w:rsidRPr="00EE020D" w:rsidRDefault="00EE020D" w:rsidP="00771F30">
      <w:pPr>
        <w:numPr>
          <w:ilvl w:val="1"/>
          <w:numId w:val="45"/>
        </w:numPr>
        <w:tabs>
          <w:tab w:val="left" w:pos="1701"/>
          <w:tab w:val="left" w:pos="2268"/>
        </w:tabs>
        <w:spacing w:before="120" w:after="120"/>
        <w:ind w:left="567"/>
        <w:jc w:val="both"/>
        <w:rPr>
          <w:rFonts w:ascii="Arial" w:hAnsi="Arial" w:cs="Arial"/>
          <w:sz w:val="22"/>
          <w:szCs w:val="22"/>
        </w:rPr>
      </w:pPr>
      <w:r w:rsidRPr="00EE020D">
        <w:rPr>
          <w:rFonts w:ascii="Arial" w:hAnsi="Arial" w:cs="Arial"/>
          <w:sz w:val="22"/>
          <w:szCs w:val="22"/>
          <w:u w:val="single"/>
        </w:rPr>
        <w:t>Décide de sélectionner</w:t>
      </w:r>
      <w:r w:rsidRPr="00EE020D">
        <w:rPr>
          <w:rFonts w:ascii="Arial" w:hAnsi="Arial" w:cs="Arial"/>
          <w:sz w:val="22"/>
          <w:szCs w:val="22"/>
        </w:rPr>
        <w:t xml:space="preserve"> </w:t>
      </w:r>
      <w:r w:rsidRPr="00EE020D">
        <w:rPr>
          <w:rFonts w:ascii="Arial" w:hAnsi="Arial" w:cs="Arial"/>
          <w:b/>
          <w:sz w:val="22"/>
          <w:szCs w:val="22"/>
        </w:rPr>
        <w:t>le programme bioculturel pour la sauvegarde de la tradition du palmier béni au Venezuela</w:t>
      </w:r>
      <w:r w:rsidRPr="00EE020D">
        <w:rPr>
          <w:rFonts w:ascii="Arial" w:hAnsi="Arial" w:cs="Arial"/>
          <w:sz w:val="22"/>
          <w:szCs w:val="22"/>
        </w:rPr>
        <w:t xml:space="preserve"> comme programme, projet ou activité reflétant le mieux les principes et objectifs de la Convention ;</w:t>
      </w:r>
    </w:p>
    <w:p w14:paraId="081D9DE1" w14:textId="1A662CF0" w:rsidR="00EE020D" w:rsidRPr="00EE020D" w:rsidRDefault="00EE020D" w:rsidP="00771F30">
      <w:pPr>
        <w:numPr>
          <w:ilvl w:val="1"/>
          <w:numId w:val="45"/>
        </w:numPr>
        <w:tabs>
          <w:tab w:val="left" w:pos="1701"/>
          <w:tab w:val="left" w:pos="2268"/>
        </w:tabs>
        <w:spacing w:before="120" w:after="120"/>
        <w:ind w:left="567"/>
        <w:jc w:val="both"/>
        <w:rPr>
          <w:rFonts w:ascii="Arial" w:hAnsi="Arial" w:cs="Arial"/>
          <w:sz w:val="22"/>
          <w:szCs w:val="22"/>
        </w:rPr>
      </w:pPr>
      <w:r w:rsidRPr="00EE020D">
        <w:rPr>
          <w:rFonts w:ascii="Arial" w:hAnsi="Arial" w:cs="Arial"/>
          <w:sz w:val="22"/>
          <w:szCs w:val="22"/>
          <w:u w:val="single"/>
        </w:rPr>
        <w:t>Félicite</w:t>
      </w:r>
      <w:r w:rsidRPr="00EE020D">
        <w:rPr>
          <w:rFonts w:ascii="Arial" w:hAnsi="Arial" w:cs="Arial"/>
          <w:sz w:val="22"/>
          <w:szCs w:val="22"/>
        </w:rPr>
        <w:t xml:space="preserve"> l</w:t>
      </w:r>
      <w:r w:rsidR="009C104E">
        <w:rPr>
          <w:rFonts w:ascii="Arial" w:hAnsi="Arial" w:cs="Arial"/>
          <w:sz w:val="22"/>
          <w:szCs w:val="22"/>
        </w:rPr>
        <w:t>’</w:t>
      </w:r>
      <w:r w:rsidRPr="00EE020D">
        <w:rPr>
          <w:rFonts w:ascii="Arial" w:hAnsi="Arial" w:cs="Arial"/>
          <w:sz w:val="22"/>
          <w:szCs w:val="22"/>
        </w:rPr>
        <w:t>État partie pour sa première sélection et pour avoir soumis un dossier exemplaire qui met en lumière le rôle fondamental du patrimoine culturel immatériel pour le développement durable et la protection de l</w:t>
      </w:r>
      <w:r w:rsidR="009C104E">
        <w:rPr>
          <w:rFonts w:ascii="Arial" w:hAnsi="Arial" w:cs="Arial"/>
          <w:sz w:val="22"/>
          <w:szCs w:val="22"/>
        </w:rPr>
        <w:t>’</w:t>
      </w:r>
      <w:r w:rsidRPr="00EE020D">
        <w:rPr>
          <w:rFonts w:ascii="Arial" w:hAnsi="Arial" w:cs="Arial"/>
          <w:sz w:val="22"/>
          <w:szCs w:val="22"/>
        </w:rPr>
        <w:t>environnement, programme ayant un impact sur l</w:t>
      </w:r>
      <w:r w:rsidR="009C104E">
        <w:rPr>
          <w:rFonts w:ascii="Arial" w:hAnsi="Arial" w:cs="Arial"/>
          <w:sz w:val="22"/>
          <w:szCs w:val="22"/>
        </w:rPr>
        <w:t>’</w:t>
      </w:r>
      <w:r w:rsidRPr="00EE020D">
        <w:rPr>
          <w:rFonts w:ascii="Arial" w:hAnsi="Arial" w:cs="Arial"/>
          <w:sz w:val="22"/>
          <w:szCs w:val="22"/>
        </w:rPr>
        <w:t>ensemble de la communauté dont les citoyens sont devenus des acteurs de la transformation ;</w:t>
      </w:r>
    </w:p>
    <w:p w14:paraId="733E6B38" w14:textId="3148FEFE" w:rsidR="00EE020D" w:rsidRPr="00EE020D" w:rsidRDefault="00EE020D" w:rsidP="00771F30">
      <w:pPr>
        <w:numPr>
          <w:ilvl w:val="1"/>
          <w:numId w:val="45"/>
        </w:numPr>
        <w:tabs>
          <w:tab w:val="left" w:pos="1701"/>
          <w:tab w:val="left" w:pos="2268"/>
        </w:tabs>
        <w:spacing w:before="120" w:after="120"/>
        <w:ind w:left="567"/>
        <w:jc w:val="both"/>
        <w:rPr>
          <w:rFonts w:ascii="Arial" w:hAnsi="Arial" w:cs="Arial"/>
          <w:sz w:val="22"/>
          <w:szCs w:val="22"/>
        </w:rPr>
      </w:pPr>
      <w:r w:rsidRPr="00EE020D">
        <w:rPr>
          <w:rFonts w:ascii="Arial" w:hAnsi="Arial" w:cs="Arial"/>
          <w:sz w:val="22"/>
          <w:szCs w:val="22"/>
          <w:u w:val="single"/>
        </w:rPr>
        <w:t>Encourage</w:t>
      </w:r>
      <w:r w:rsidRPr="00EE020D">
        <w:rPr>
          <w:rFonts w:ascii="Arial" w:hAnsi="Arial" w:cs="Arial"/>
          <w:sz w:val="22"/>
          <w:szCs w:val="22"/>
        </w:rPr>
        <w:t xml:space="preserve"> l</w:t>
      </w:r>
      <w:r w:rsidR="009C104E">
        <w:rPr>
          <w:rFonts w:ascii="Arial" w:hAnsi="Arial" w:cs="Arial"/>
          <w:sz w:val="22"/>
          <w:szCs w:val="22"/>
        </w:rPr>
        <w:t>’</w:t>
      </w:r>
      <w:r w:rsidRPr="00EE020D">
        <w:rPr>
          <w:rFonts w:ascii="Arial" w:hAnsi="Arial" w:cs="Arial"/>
          <w:sz w:val="22"/>
          <w:szCs w:val="22"/>
        </w:rPr>
        <w:t>État partie à partager ses expériences et ses savoir-faire relatifs à la sauvegarde de la tradition du palmier béni, notamment en ce qui concerne la sensibilisation aux questions bioculturelles.</w:t>
      </w:r>
    </w:p>
    <w:p w14:paraId="3CA4432C" w14:textId="38657EB8" w:rsidR="00E10266" w:rsidRPr="00E10266" w:rsidRDefault="00E10266" w:rsidP="00E10266">
      <w:pPr>
        <w:pStyle w:val="Heading2"/>
        <w:spacing w:before="360" w:after="120"/>
        <w:rPr>
          <w:rFonts w:ascii="Arial" w:hAnsi="Arial" w:cs="Arial"/>
          <w:bCs w:val="0"/>
          <w:i w:val="0"/>
          <w:iCs w:val="0"/>
          <w:sz w:val="22"/>
          <w:szCs w:val="22"/>
        </w:rPr>
      </w:pPr>
      <w:bookmarkStart w:id="48" w:name="Decision_10d"/>
      <w:r w:rsidRPr="00E10266">
        <w:rPr>
          <w:rFonts w:ascii="Arial" w:hAnsi="Arial" w:cs="Arial"/>
          <w:i w:val="0"/>
          <w:sz w:val="22"/>
          <w:szCs w:val="22"/>
        </w:rPr>
        <w:t>DÉCISION 14.COM 10.d</w:t>
      </w:r>
      <w:bookmarkEnd w:id="48"/>
    </w:p>
    <w:p w14:paraId="04B1C455" w14:textId="77777777" w:rsidR="00E10266" w:rsidRPr="00E10266" w:rsidRDefault="00E10266" w:rsidP="00E10266">
      <w:pPr>
        <w:keepNext/>
        <w:tabs>
          <w:tab w:val="left" w:pos="567"/>
          <w:tab w:val="left" w:pos="1134"/>
          <w:tab w:val="left" w:pos="1701"/>
          <w:tab w:val="left" w:pos="2268"/>
        </w:tabs>
        <w:spacing w:before="120" w:after="120"/>
        <w:jc w:val="both"/>
        <w:rPr>
          <w:rFonts w:ascii="Arial" w:eastAsia="SimSun" w:hAnsi="Arial" w:cs="Arial"/>
          <w:sz w:val="22"/>
          <w:szCs w:val="22"/>
        </w:rPr>
      </w:pPr>
      <w:r w:rsidRPr="00E10266">
        <w:rPr>
          <w:rFonts w:ascii="Arial" w:hAnsi="Arial" w:cs="Arial"/>
          <w:sz w:val="22"/>
          <w:szCs w:val="22"/>
        </w:rPr>
        <w:t>Le Comité,</w:t>
      </w:r>
    </w:p>
    <w:p w14:paraId="32C5A016" w14:textId="285843A9" w:rsidR="00E10266" w:rsidRPr="00E10266" w:rsidRDefault="00E10266" w:rsidP="00771F30">
      <w:pPr>
        <w:numPr>
          <w:ilvl w:val="1"/>
          <w:numId w:val="46"/>
        </w:numPr>
        <w:tabs>
          <w:tab w:val="left" w:pos="1134"/>
          <w:tab w:val="left" w:pos="1701"/>
          <w:tab w:val="left" w:pos="2268"/>
        </w:tabs>
        <w:spacing w:before="120" w:after="120"/>
        <w:jc w:val="both"/>
        <w:rPr>
          <w:rFonts w:ascii="Arial" w:hAnsi="Arial" w:cs="Arial"/>
          <w:sz w:val="22"/>
          <w:szCs w:val="22"/>
        </w:rPr>
      </w:pPr>
      <w:r w:rsidRPr="00E10266">
        <w:rPr>
          <w:rFonts w:ascii="Arial" w:hAnsi="Arial" w:cs="Arial"/>
          <w:sz w:val="22"/>
          <w:szCs w:val="22"/>
          <w:u w:val="single"/>
        </w:rPr>
        <w:t>Rappelant</w:t>
      </w:r>
      <w:r w:rsidRPr="00E10266">
        <w:rPr>
          <w:rFonts w:ascii="Arial" w:hAnsi="Arial" w:cs="Arial"/>
          <w:sz w:val="22"/>
          <w:szCs w:val="22"/>
        </w:rPr>
        <w:t xml:space="preserve"> l</w:t>
      </w:r>
      <w:r w:rsidR="009C104E">
        <w:rPr>
          <w:rFonts w:ascii="Arial" w:hAnsi="Arial" w:cs="Arial"/>
          <w:sz w:val="22"/>
          <w:szCs w:val="22"/>
        </w:rPr>
        <w:t>’</w:t>
      </w:r>
      <w:r w:rsidRPr="00E10266">
        <w:rPr>
          <w:rFonts w:ascii="Arial" w:hAnsi="Arial" w:cs="Arial"/>
          <w:sz w:val="22"/>
          <w:szCs w:val="22"/>
        </w:rPr>
        <w:t>article 23 de la Convention ainsi que le chapitre I.4 des Directives opérationnelles relatifs à l</w:t>
      </w:r>
      <w:r w:rsidR="009C104E">
        <w:rPr>
          <w:rFonts w:ascii="Arial" w:hAnsi="Arial" w:cs="Arial"/>
          <w:sz w:val="22"/>
          <w:szCs w:val="22"/>
        </w:rPr>
        <w:t>’</w:t>
      </w:r>
      <w:r w:rsidRPr="00E10266">
        <w:rPr>
          <w:rFonts w:ascii="Arial" w:hAnsi="Arial" w:cs="Arial"/>
          <w:sz w:val="22"/>
          <w:szCs w:val="22"/>
        </w:rPr>
        <w:t>admissibilité et aux critères des demandes d</w:t>
      </w:r>
      <w:r w:rsidR="009C104E">
        <w:rPr>
          <w:rFonts w:ascii="Arial" w:hAnsi="Arial" w:cs="Arial"/>
          <w:sz w:val="22"/>
          <w:szCs w:val="22"/>
        </w:rPr>
        <w:t>’</w:t>
      </w:r>
      <w:r w:rsidRPr="00E10266">
        <w:rPr>
          <w:rFonts w:ascii="Arial" w:hAnsi="Arial" w:cs="Arial"/>
          <w:sz w:val="22"/>
          <w:szCs w:val="22"/>
        </w:rPr>
        <w:t>assistance internationale,</w:t>
      </w:r>
    </w:p>
    <w:p w14:paraId="629B301A" w14:textId="085C1266" w:rsidR="00E10266" w:rsidRPr="00E10266" w:rsidRDefault="00E10266" w:rsidP="00771F30">
      <w:pPr>
        <w:numPr>
          <w:ilvl w:val="1"/>
          <w:numId w:val="46"/>
        </w:numPr>
        <w:tabs>
          <w:tab w:val="left" w:pos="567"/>
          <w:tab w:val="left" w:pos="1701"/>
          <w:tab w:val="left" w:pos="2268"/>
        </w:tabs>
        <w:spacing w:before="120" w:after="120"/>
        <w:ind w:left="567"/>
        <w:jc w:val="both"/>
        <w:rPr>
          <w:rFonts w:ascii="Arial" w:hAnsi="Arial" w:cs="Arial"/>
          <w:sz w:val="22"/>
          <w:szCs w:val="22"/>
          <w:u w:val="single"/>
        </w:rPr>
      </w:pPr>
      <w:r w:rsidRPr="00E10266">
        <w:rPr>
          <w:rFonts w:ascii="Arial" w:hAnsi="Arial" w:cs="Arial"/>
          <w:sz w:val="22"/>
          <w:szCs w:val="22"/>
          <w:u w:val="single"/>
        </w:rPr>
        <w:t>Ayant examiné</w:t>
      </w:r>
      <w:r w:rsidRPr="00E10266">
        <w:rPr>
          <w:rFonts w:ascii="Arial" w:hAnsi="Arial" w:cs="Arial"/>
          <w:sz w:val="22"/>
          <w:szCs w:val="22"/>
        </w:rPr>
        <w:t xml:space="preserve"> le document </w:t>
      </w:r>
      <w:hyperlink r:id="rId63" w:history="1">
        <w:r w:rsidRPr="002C0FC9">
          <w:rPr>
            <w:rStyle w:val="Hyperlink"/>
            <w:rFonts w:ascii="Arial" w:hAnsi="Arial" w:cs="Arial"/>
            <w:sz w:val="22"/>
            <w:szCs w:val="22"/>
          </w:rPr>
          <w:t>LHE/19/14.COM/10.d</w:t>
        </w:r>
      </w:hyperlink>
      <w:r w:rsidR="002C0FC9">
        <w:rPr>
          <w:rFonts w:ascii="Arial" w:hAnsi="Arial" w:cs="Arial"/>
          <w:sz w:val="22"/>
          <w:szCs w:val="22"/>
        </w:rPr>
        <w:t>,</w:t>
      </w:r>
      <w:r w:rsidRPr="00E10266">
        <w:rPr>
          <w:rFonts w:ascii="Arial" w:hAnsi="Arial" w:cs="Arial"/>
          <w:sz w:val="22"/>
          <w:szCs w:val="22"/>
        </w:rPr>
        <w:t xml:space="preserve"> ainsi que la demande d</w:t>
      </w:r>
      <w:r w:rsidR="009C104E">
        <w:rPr>
          <w:rFonts w:ascii="Arial" w:hAnsi="Arial" w:cs="Arial"/>
          <w:sz w:val="22"/>
          <w:szCs w:val="22"/>
        </w:rPr>
        <w:t>’</w:t>
      </w:r>
      <w:r w:rsidRPr="00E10266">
        <w:rPr>
          <w:rFonts w:ascii="Arial" w:hAnsi="Arial" w:cs="Arial"/>
          <w:sz w:val="22"/>
          <w:szCs w:val="22"/>
        </w:rPr>
        <w:t>assistance internationale n°01501 soumise par le Burkina Faso,</w:t>
      </w:r>
    </w:p>
    <w:p w14:paraId="7691338D" w14:textId="77777777" w:rsidR="00E10266" w:rsidRPr="00E10266" w:rsidRDefault="00E10266" w:rsidP="00771F30">
      <w:pPr>
        <w:numPr>
          <w:ilvl w:val="1"/>
          <w:numId w:val="46"/>
        </w:numPr>
        <w:tabs>
          <w:tab w:val="left" w:pos="567"/>
          <w:tab w:val="left" w:pos="1701"/>
          <w:tab w:val="left" w:pos="2268"/>
        </w:tabs>
        <w:spacing w:before="120" w:after="120"/>
        <w:ind w:left="567"/>
        <w:jc w:val="both"/>
        <w:rPr>
          <w:rFonts w:ascii="Arial" w:hAnsi="Arial" w:cs="Arial"/>
          <w:sz w:val="22"/>
          <w:szCs w:val="22"/>
        </w:rPr>
      </w:pPr>
      <w:r w:rsidRPr="00E10266">
        <w:rPr>
          <w:rFonts w:ascii="Arial" w:hAnsi="Arial" w:cs="Arial"/>
          <w:sz w:val="22"/>
          <w:szCs w:val="22"/>
          <w:u w:val="single"/>
        </w:rPr>
        <w:t>Prend note</w:t>
      </w:r>
      <w:r w:rsidRPr="00E10266">
        <w:rPr>
          <w:rFonts w:ascii="Arial" w:hAnsi="Arial" w:cs="Arial"/>
          <w:sz w:val="22"/>
          <w:szCs w:val="22"/>
        </w:rPr>
        <w:t xml:space="preserve"> que le Burkina Faso a demandé une assistance internationale pour le projet intitulé </w:t>
      </w:r>
      <w:r w:rsidRPr="00E10266">
        <w:rPr>
          <w:rFonts w:ascii="Arial" w:hAnsi="Arial" w:cs="Arial"/>
          <w:b/>
          <w:sz w:val="22"/>
          <w:szCs w:val="22"/>
        </w:rPr>
        <w:t>Renforcement des capacités des acteurs intervenant dans la sauvegarde du patrimoine culturel immatériel au Burkina Faso</w:t>
      </w:r>
      <w:r w:rsidRPr="00E10266">
        <w:rPr>
          <w:rFonts w:ascii="Arial" w:hAnsi="Arial" w:cs="Arial"/>
          <w:sz w:val="22"/>
          <w:szCs w:val="22"/>
        </w:rPr>
        <w:t> :</w:t>
      </w:r>
    </w:p>
    <w:p w14:paraId="3B73ADD2" w14:textId="316B1EF8" w:rsidR="00E10266" w:rsidRPr="00E10266" w:rsidRDefault="00E10266" w:rsidP="00E10266">
      <w:pPr>
        <w:tabs>
          <w:tab w:val="left" w:pos="567"/>
        </w:tabs>
        <w:ind w:left="567"/>
        <w:jc w:val="both"/>
        <w:rPr>
          <w:rFonts w:ascii="Arial" w:hAnsi="Arial" w:cs="Arial"/>
          <w:sz w:val="22"/>
          <w:szCs w:val="22"/>
        </w:rPr>
      </w:pPr>
      <w:r w:rsidRPr="00E10266">
        <w:rPr>
          <w:rFonts w:ascii="Arial" w:hAnsi="Arial" w:cs="Arial"/>
          <w:sz w:val="22"/>
          <w:szCs w:val="22"/>
        </w:rPr>
        <w:t>Le projet proposé, d</w:t>
      </w:r>
      <w:r w:rsidR="009C104E">
        <w:rPr>
          <w:rFonts w:ascii="Arial" w:hAnsi="Arial" w:cs="Arial"/>
          <w:sz w:val="22"/>
          <w:szCs w:val="22"/>
        </w:rPr>
        <w:t>’</w:t>
      </w:r>
      <w:r w:rsidRPr="00E10266">
        <w:rPr>
          <w:rFonts w:ascii="Arial" w:hAnsi="Arial" w:cs="Arial"/>
          <w:sz w:val="22"/>
          <w:szCs w:val="22"/>
        </w:rPr>
        <w:t>une durée de vingt-quatre mois, vise à renforcer les capacités des acteurs intervenant dans la sauvegarde du patrimoine culturel immatériel au Burkina Faso. Un inventaire réalisé dans le cadre de la mise en œuvre de la Convention a mis en évidence la nécessité de constituer une masse critique d</w:t>
      </w:r>
      <w:r w:rsidR="009C104E">
        <w:rPr>
          <w:rFonts w:ascii="Arial" w:hAnsi="Arial" w:cs="Arial"/>
          <w:sz w:val="22"/>
          <w:szCs w:val="22"/>
        </w:rPr>
        <w:t>’</w:t>
      </w:r>
      <w:r w:rsidRPr="00E10266">
        <w:rPr>
          <w:rFonts w:ascii="Arial" w:hAnsi="Arial" w:cs="Arial"/>
          <w:sz w:val="22"/>
          <w:szCs w:val="22"/>
        </w:rPr>
        <w:t>acteurs capables d</w:t>
      </w:r>
      <w:r w:rsidR="009C104E">
        <w:rPr>
          <w:rFonts w:ascii="Arial" w:hAnsi="Arial" w:cs="Arial"/>
          <w:sz w:val="22"/>
          <w:szCs w:val="22"/>
        </w:rPr>
        <w:t>’</w:t>
      </w:r>
      <w:r w:rsidRPr="00E10266">
        <w:rPr>
          <w:rFonts w:ascii="Arial" w:hAnsi="Arial" w:cs="Arial"/>
          <w:sz w:val="22"/>
          <w:szCs w:val="22"/>
        </w:rPr>
        <w:t>intervenir dans l</w:t>
      </w:r>
      <w:r w:rsidR="009C104E">
        <w:rPr>
          <w:rFonts w:ascii="Arial" w:hAnsi="Arial" w:cs="Arial"/>
          <w:sz w:val="22"/>
          <w:szCs w:val="22"/>
        </w:rPr>
        <w:t>’</w:t>
      </w:r>
      <w:r w:rsidRPr="00E10266">
        <w:rPr>
          <w:rFonts w:ascii="Arial" w:hAnsi="Arial" w:cs="Arial"/>
          <w:sz w:val="22"/>
          <w:szCs w:val="22"/>
        </w:rPr>
        <w:t>ensemble du processus de sauvegarde du patrimoine vivant à l</w:t>
      </w:r>
      <w:r w:rsidR="009C104E">
        <w:rPr>
          <w:rFonts w:ascii="Arial" w:hAnsi="Arial" w:cs="Arial"/>
          <w:sz w:val="22"/>
          <w:szCs w:val="22"/>
        </w:rPr>
        <w:t>’</w:t>
      </w:r>
      <w:r w:rsidRPr="00E10266">
        <w:rPr>
          <w:rFonts w:ascii="Arial" w:hAnsi="Arial" w:cs="Arial"/>
          <w:sz w:val="22"/>
          <w:szCs w:val="22"/>
        </w:rPr>
        <w:t>échelle nationale. Dans ce contexte, ce projet porte sur la formation des formateurs : il devrait permettre la création d</w:t>
      </w:r>
      <w:r w:rsidR="009C104E">
        <w:rPr>
          <w:rFonts w:ascii="Arial" w:hAnsi="Arial" w:cs="Arial"/>
          <w:sz w:val="22"/>
          <w:szCs w:val="22"/>
        </w:rPr>
        <w:t>’</w:t>
      </w:r>
      <w:r w:rsidRPr="00E10266">
        <w:rPr>
          <w:rFonts w:ascii="Arial" w:hAnsi="Arial" w:cs="Arial"/>
          <w:sz w:val="22"/>
          <w:szCs w:val="22"/>
        </w:rPr>
        <w:t>une équipe de 10 facilitateurs nationaux qui assureront la formation de 225 acteurs locaux. Plus précisément, il répond aux objectifs suivants : mise en place d</w:t>
      </w:r>
      <w:r w:rsidR="009C104E">
        <w:rPr>
          <w:rFonts w:ascii="Arial" w:hAnsi="Arial" w:cs="Arial"/>
          <w:sz w:val="22"/>
          <w:szCs w:val="22"/>
        </w:rPr>
        <w:t>’</w:t>
      </w:r>
      <w:r w:rsidRPr="00E10266">
        <w:rPr>
          <w:rFonts w:ascii="Arial" w:hAnsi="Arial" w:cs="Arial"/>
          <w:sz w:val="22"/>
          <w:szCs w:val="22"/>
        </w:rPr>
        <w:t>un programme de formation sur la sauvegarde du patrimoine vivant ; production et diffusion d</w:t>
      </w:r>
      <w:r w:rsidR="009C104E">
        <w:rPr>
          <w:rFonts w:ascii="Arial" w:hAnsi="Arial" w:cs="Arial"/>
          <w:sz w:val="22"/>
          <w:szCs w:val="22"/>
        </w:rPr>
        <w:t>’</w:t>
      </w:r>
      <w:r w:rsidRPr="00E10266">
        <w:rPr>
          <w:rFonts w:ascii="Arial" w:hAnsi="Arial" w:cs="Arial"/>
          <w:sz w:val="22"/>
          <w:szCs w:val="22"/>
        </w:rPr>
        <w:t>informations et d</w:t>
      </w:r>
      <w:r w:rsidR="009C104E">
        <w:rPr>
          <w:rFonts w:ascii="Arial" w:hAnsi="Arial" w:cs="Arial"/>
          <w:sz w:val="22"/>
          <w:szCs w:val="22"/>
        </w:rPr>
        <w:t>’</w:t>
      </w:r>
      <w:r w:rsidRPr="00E10266">
        <w:rPr>
          <w:rFonts w:ascii="Arial" w:hAnsi="Arial" w:cs="Arial"/>
          <w:sz w:val="22"/>
          <w:szCs w:val="22"/>
        </w:rPr>
        <w:t>outils de communication pour garantir la bonne compréhension du concept de patrimoine culturel immatériel et son application dans les politiques publiques locales; et création d</w:t>
      </w:r>
      <w:r w:rsidR="009C104E">
        <w:rPr>
          <w:rFonts w:ascii="Arial" w:hAnsi="Arial" w:cs="Arial"/>
          <w:sz w:val="22"/>
          <w:szCs w:val="22"/>
        </w:rPr>
        <w:t>’</w:t>
      </w:r>
      <w:r w:rsidRPr="00E10266">
        <w:rPr>
          <w:rFonts w:ascii="Arial" w:hAnsi="Arial" w:cs="Arial"/>
          <w:sz w:val="22"/>
          <w:szCs w:val="22"/>
        </w:rPr>
        <w:t>un réseau de facilitateurs et d</w:t>
      </w:r>
      <w:r w:rsidR="009C104E">
        <w:rPr>
          <w:rFonts w:ascii="Arial" w:hAnsi="Arial" w:cs="Arial"/>
          <w:sz w:val="22"/>
          <w:szCs w:val="22"/>
        </w:rPr>
        <w:t>’</w:t>
      </w:r>
      <w:r w:rsidRPr="00E10266">
        <w:rPr>
          <w:rFonts w:ascii="Arial" w:hAnsi="Arial" w:cs="Arial"/>
          <w:sz w:val="22"/>
          <w:szCs w:val="22"/>
        </w:rPr>
        <w:t>autres acteurs qui soutiendra la mise en œuvre de la Convention au niveau local. Le projet se déroulera en deux phases. La première étape de douze mois consistera à former 110 personnes parmi lesquelles seront sélectionnés dix facilitateurs nationaux. Deux experts internationaux du patrimoine vivant seront invités à participer à ce processus. Pendant la seconde phase, les dix facilitateurs formeront 225 personnes dans le cadre de neufs ateliers régionaux. Il est attendu que ces acteurs travaillent ensuite en concertation avec les communautés locales pour assurer la sauvegarde du patrimoine vivant au niveau local.</w:t>
      </w:r>
    </w:p>
    <w:p w14:paraId="5FE02608" w14:textId="4FAABCA7" w:rsidR="00E10266" w:rsidRPr="00E10266" w:rsidRDefault="00E10266" w:rsidP="00771F30">
      <w:pPr>
        <w:keepNext/>
        <w:numPr>
          <w:ilvl w:val="1"/>
          <w:numId w:val="46"/>
        </w:numPr>
        <w:tabs>
          <w:tab w:val="left" w:pos="567"/>
          <w:tab w:val="left" w:pos="1701"/>
          <w:tab w:val="left" w:pos="2268"/>
        </w:tabs>
        <w:spacing w:before="120" w:after="120"/>
        <w:ind w:left="567"/>
        <w:jc w:val="both"/>
        <w:rPr>
          <w:rFonts w:ascii="Arial" w:hAnsi="Arial" w:cs="Arial"/>
          <w:sz w:val="22"/>
          <w:szCs w:val="22"/>
        </w:rPr>
      </w:pPr>
      <w:r w:rsidRPr="00E10266">
        <w:rPr>
          <w:rFonts w:ascii="Arial" w:hAnsi="Arial" w:cs="Arial"/>
          <w:sz w:val="22"/>
          <w:szCs w:val="22"/>
          <w:u w:val="single"/>
        </w:rPr>
        <w:t>Prend note en outre</w:t>
      </w:r>
      <w:r w:rsidRPr="00E10266">
        <w:rPr>
          <w:rFonts w:ascii="Arial" w:hAnsi="Arial" w:cs="Arial"/>
          <w:sz w:val="22"/>
          <w:szCs w:val="22"/>
        </w:rPr>
        <w:t xml:space="preserve"> que cette assistance concerne l</w:t>
      </w:r>
      <w:r w:rsidR="009C104E">
        <w:rPr>
          <w:rFonts w:ascii="Arial" w:hAnsi="Arial" w:cs="Arial"/>
          <w:sz w:val="22"/>
          <w:szCs w:val="22"/>
        </w:rPr>
        <w:t>’</w:t>
      </w:r>
      <w:r w:rsidRPr="00E10266">
        <w:rPr>
          <w:rFonts w:ascii="Arial" w:hAnsi="Arial" w:cs="Arial"/>
          <w:sz w:val="22"/>
          <w:szCs w:val="22"/>
        </w:rPr>
        <w:t>appui à un projet mis en œuvre au niveau national, conformément à l</w:t>
      </w:r>
      <w:r w:rsidR="009C104E">
        <w:rPr>
          <w:rFonts w:ascii="Arial" w:hAnsi="Arial" w:cs="Arial"/>
          <w:sz w:val="22"/>
          <w:szCs w:val="22"/>
        </w:rPr>
        <w:t>’</w:t>
      </w:r>
      <w:r w:rsidRPr="00E10266">
        <w:rPr>
          <w:rFonts w:ascii="Arial" w:hAnsi="Arial" w:cs="Arial"/>
          <w:sz w:val="22"/>
          <w:szCs w:val="22"/>
        </w:rPr>
        <w:t>article 20 (c) de la Convention, et qu</w:t>
      </w:r>
      <w:r w:rsidR="009C104E">
        <w:rPr>
          <w:rFonts w:ascii="Arial" w:hAnsi="Arial" w:cs="Arial"/>
          <w:sz w:val="22"/>
          <w:szCs w:val="22"/>
        </w:rPr>
        <w:t>’</w:t>
      </w:r>
      <w:r w:rsidRPr="00E10266">
        <w:rPr>
          <w:rFonts w:ascii="Arial" w:hAnsi="Arial" w:cs="Arial"/>
          <w:sz w:val="22"/>
          <w:szCs w:val="22"/>
        </w:rPr>
        <w:t>elle prend la forme d</w:t>
      </w:r>
      <w:r w:rsidR="009C104E">
        <w:rPr>
          <w:rFonts w:ascii="Arial" w:hAnsi="Arial" w:cs="Arial"/>
          <w:sz w:val="22"/>
          <w:szCs w:val="22"/>
        </w:rPr>
        <w:t>’</w:t>
      </w:r>
      <w:r w:rsidRPr="00E10266">
        <w:rPr>
          <w:rFonts w:ascii="Arial" w:hAnsi="Arial" w:cs="Arial"/>
          <w:b/>
          <w:sz w:val="22"/>
          <w:szCs w:val="22"/>
        </w:rPr>
        <w:t>octroi d</w:t>
      </w:r>
      <w:r w:rsidR="009C104E">
        <w:rPr>
          <w:rFonts w:ascii="Arial" w:hAnsi="Arial" w:cs="Arial"/>
          <w:b/>
          <w:sz w:val="22"/>
          <w:szCs w:val="22"/>
        </w:rPr>
        <w:t>’</w:t>
      </w:r>
      <w:r w:rsidRPr="00E10266">
        <w:rPr>
          <w:rFonts w:ascii="Arial" w:hAnsi="Arial" w:cs="Arial"/>
          <w:b/>
          <w:sz w:val="22"/>
          <w:szCs w:val="22"/>
        </w:rPr>
        <w:t>un don</w:t>
      </w:r>
      <w:r w:rsidRPr="00E10266">
        <w:rPr>
          <w:rFonts w:ascii="Arial" w:hAnsi="Arial" w:cs="Arial"/>
          <w:sz w:val="22"/>
          <w:szCs w:val="22"/>
        </w:rPr>
        <w:t>, conformément à l</w:t>
      </w:r>
      <w:r w:rsidR="009C104E">
        <w:rPr>
          <w:rFonts w:ascii="Arial" w:hAnsi="Arial" w:cs="Arial"/>
          <w:sz w:val="22"/>
          <w:szCs w:val="22"/>
        </w:rPr>
        <w:t>’</w:t>
      </w:r>
      <w:r w:rsidRPr="00E10266">
        <w:rPr>
          <w:rFonts w:ascii="Arial" w:hAnsi="Arial" w:cs="Arial"/>
          <w:sz w:val="22"/>
          <w:szCs w:val="22"/>
        </w:rPr>
        <w:t>article 21 (g) de la Convention ;</w:t>
      </w:r>
    </w:p>
    <w:p w14:paraId="351FEB75" w14:textId="76B1353D" w:rsidR="00E10266" w:rsidRPr="00E10266" w:rsidRDefault="00E10266" w:rsidP="00771F30">
      <w:pPr>
        <w:keepNext/>
        <w:numPr>
          <w:ilvl w:val="1"/>
          <w:numId w:val="46"/>
        </w:numPr>
        <w:tabs>
          <w:tab w:val="left" w:pos="567"/>
          <w:tab w:val="left" w:pos="1701"/>
          <w:tab w:val="left" w:pos="2268"/>
        </w:tabs>
        <w:spacing w:before="120" w:after="120"/>
        <w:ind w:left="567"/>
        <w:jc w:val="both"/>
        <w:rPr>
          <w:rFonts w:ascii="Arial" w:hAnsi="Arial" w:cs="Arial"/>
          <w:sz w:val="22"/>
          <w:szCs w:val="22"/>
        </w:rPr>
      </w:pPr>
      <w:r w:rsidRPr="00E10266">
        <w:rPr>
          <w:rFonts w:ascii="Arial" w:hAnsi="Arial" w:cs="Arial"/>
          <w:sz w:val="22"/>
          <w:szCs w:val="22"/>
          <w:u w:val="single"/>
        </w:rPr>
        <w:t>Prend note également</w:t>
      </w:r>
      <w:r w:rsidRPr="00E10266">
        <w:rPr>
          <w:rFonts w:ascii="Arial" w:hAnsi="Arial" w:cs="Arial"/>
          <w:sz w:val="22"/>
          <w:szCs w:val="22"/>
        </w:rPr>
        <w:t xml:space="preserve"> que le Burkina Faso a demandé une allocation d</w:t>
      </w:r>
      <w:r w:rsidR="009C104E">
        <w:rPr>
          <w:rFonts w:ascii="Arial" w:hAnsi="Arial" w:cs="Arial"/>
          <w:sz w:val="22"/>
          <w:szCs w:val="22"/>
        </w:rPr>
        <w:t>’</w:t>
      </w:r>
      <w:r w:rsidRPr="00E10266">
        <w:rPr>
          <w:rFonts w:ascii="Arial" w:hAnsi="Arial" w:cs="Arial"/>
          <w:sz w:val="22"/>
          <w:szCs w:val="22"/>
        </w:rPr>
        <w:t>un montant de 387 770 dollars des États-Unis du Fonds du patrimoine culturel immatériel pour la mise en œuvre de ce projet ;</w:t>
      </w:r>
    </w:p>
    <w:p w14:paraId="2498A639" w14:textId="744375C0" w:rsidR="00E10266" w:rsidRPr="00E10266" w:rsidRDefault="00E10266" w:rsidP="00771F30">
      <w:pPr>
        <w:keepNext/>
        <w:numPr>
          <w:ilvl w:val="1"/>
          <w:numId w:val="46"/>
        </w:numPr>
        <w:tabs>
          <w:tab w:val="left" w:pos="567"/>
          <w:tab w:val="left" w:pos="1701"/>
          <w:tab w:val="left" w:pos="2268"/>
        </w:tabs>
        <w:spacing w:before="120" w:after="120"/>
        <w:ind w:left="567"/>
        <w:jc w:val="both"/>
        <w:rPr>
          <w:rFonts w:ascii="Arial" w:hAnsi="Arial" w:cs="Arial"/>
          <w:sz w:val="22"/>
          <w:szCs w:val="22"/>
        </w:rPr>
      </w:pPr>
      <w:r w:rsidRPr="00E10266">
        <w:rPr>
          <w:rFonts w:ascii="Arial" w:hAnsi="Arial" w:cs="Arial"/>
          <w:sz w:val="22"/>
          <w:szCs w:val="22"/>
          <w:u w:val="single"/>
        </w:rPr>
        <w:t>Estime</w:t>
      </w:r>
      <w:r w:rsidRPr="00E10266">
        <w:rPr>
          <w:rFonts w:ascii="Arial" w:hAnsi="Arial" w:cs="Arial"/>
          <w:sz w:val="22"/>
          <w:szCs w:val="22"/>
        </w:rPr>
        <w:t xml:space="preserve"> que, d</w:t>
      </w:r>
      <w:r w:rsidR="009C104E">
        <w:rPr>
          <w:rFonts w:ascii="Arial" w:hAnsi="Arial" w:cs="Arial"/>
          <w:sz w:val="22"/>
          <w:szCs w:val="22"/>
        </w:rPr>
        <w:t>’</w:t>
      </w:r>
      <w:r w:rsidRPr="00E10266">
        <w:rPr>
          <w:rFonts w:ascii="Arial" w:hAnsi="Arial" w:cs="Arial"/>
          <w:sz w:val="22"/>
          <w:szCs w:val="22"/>
        </w:rPr>
        <w:t>après les informations contenues dans le dossier, la demande satisfait aux critères d</w:t>
      </w:r>
      <w:r w:rsidR="009C104E">
        <w:rPr>
          <w:rFonts w:ascii="Arial" w:hAnsi="Arial" w:cs="Arial"/>
          <w:sz w:val="22"/>
          <w:szCs w:val="22"/>
        </w:rPr>
        <w:t>’</w:t>
      </w:r>
      <w:r w:rsidRPr="00E10266">
        <w:rPr>
          <w:rFonts w:ascii="Arial" w:hAnsi="Arial" w:cs="Arial"/>
          <w:sz w:val="22"/>
          <w:szCs w:val="22"/>
        </w:rPr>
        <w:t>octroi de l</w:t>
      </w:r>
      <w:r w:rsidR="009C104E">
        <w:rPr>
          <w:rFonts w:ascii="Arial" w:hAnsi="Arial" w:cs="Arial"/>
          <w:sz w:val="22"/>
          <w:szCs w:val="22"/>
        </w:rPr>
        <w:t>’</w:t>
      </w:r>
      <w:r w:rsidRPr="00E10266">
        <w:rPr>
          <w:rFonts w:ascii="Arial" w:hAnsi="Arial" w:cs="Arial"/>
          <w:sz w:val="22"/>
          <w:szCs w:val="22"/>
        </w:rPr>
        <w:t>assistance internationale énoncés aux paragraphes 10 et 12 des Directives opérationnelles comme suit :</w:t>
      </w:r>
    </w:p>
    <w:p w14:paraId="0F2D8D76" w14:textId="4246568B" w:rsidR="00E10266" w:rsidRPr="00E10266" w:rsidRDefault="00E10266" w:rsidP="009712DA">
      <w:pPr>
        <w:tabs>
          <w:tab w:val="left" w:pos="567"/>
          <w:tab w:val="left" w:pos="1701"/>
          <w:tab w:val="left" w:pos="2268"/>
        </w:tabs>
        <w:spacing w:before="120" w:after="120"/>
        <w:ind w:left="567"/>
        <w:jc w:val="both"/>
        <w:rPr>
          <w:rFonts w:ascii="Arial" w:hAnsi="Arial" w:cs="Arial"/>
          <w:b/>
          <w:bCs/>
          <w:sz w:val="22"/>
          <w:szCs w:val="22"/>
        </w:rPr>
      </w:pPr>
      <w:r w:rsidRPr="00E10266">
        <w:rPr>
          <w:rFonts w:ascii="Arial" w:hAnsi="Arial" w:cs="Arial"/>
          <w:b/>
          <w:bCs/>
          <w:sz w:val="22"/>
          <w:szCs w:val="22"/>
        </w:rPr>
        <w:t>Critère A.1 </w:t>
      </w:r>
      <w:r w:rsidRPr="00E10266">
        <w:rPr>
          <w:rFonts w:ascii="Arial" w:hAnsi="Arial" w:cs="Arial"/>
          <w:sz w:val="22"/>
          <w:szCs w:val="22"/>
        </w:rPr>
        <w:t>: Le Conseil supérieur des chefs traditionnels et coutumiers du Burkina Faso, organisation qui réunit l</w:t>
      </w:r>
      <w:r w:rsidR="009C104E">
        <w:rPr>
          <w:rFonts w:ascii="Arial" w:hAnsi="Arial" w:cs="Arial"/>
          <w:sz w:val="22"/>
          <w:szCs w:val="22"/>
        </w:rPr>
        <w:t>’</w:t>
      </w:r>
      <w:r w:rsidRPr="00E10266">
        <w:rPr>
          <w:rFonts w:ascii="Arial" w:hAnsi="Arial" w:cs="Arial"/>
          <w:sz w:val="22"/>
          <w:szCs w:val="22"/>
        </w:rPr>
        <w:t>ensemble des chefs traditionnels et coutumiers du pays, a participé à l</w:t>
      </w:r>
      <w:r w:rsidR="009C104E">
        <w:rPr>
          <w:rFonts w:ascii="Arial" w:hAnsi="Arial" w:cs="Arial"/>
          <w:sz w:val="22"/>
          <w:szCs w:val="22"/>
        </w:rPr>
        <w:t>’</w:t>
      </w:r>
      <w:r w:rsidRPr="00E10266">
        <w:rPr>
          <w:rFonts w:ascii="Arial" w:hAnsi="Arial" w:cs="Arial"/>
          <w:sz w:val="22"/>
          <w:szCs w:val="22"/>
        </w:rPr>
        <w:t>ensemble du processus d</w:t>
      </w:r>
      <w:r w:rsidR="009C104E">
        <w:rPr>
          <w:rFonts w:ascii="Arial" w:hAnsi="Arial" w:cs="Arial"/>
          <w:sz w:val="22"/>
          <w:szCs w:val="22"/>
        </w:rPr>
        <w:t>’</w:t>
      </w:r>
      <w:r w:rsidRPr="00E10266">
        <w:rPr>
          <w:rFonts w:ascii="Arial" w:hAnsi="Arial" w:cs="Arial"/>
          <w:sz w:val="22"/>
          <w:szCs w:val="22"/>
        </w:rPr>
        <w:t>élaboration du projet au nom de toutes les communautés qu</w:t>
      </w:r>
      <w:r w:rsidR="009C104E">
        <w:rPr>
          <w:rFonts w:ascii="Arial" w:hAnsi="Arial" w:cs="Arial"/>
          <w:sz w:val="22"/>
          <w:szCs w:val="22"/>
        </w:rPr>
        <w:t>’</w:t>
      </w:r>
      <w:r w:rsidRPr="00E10266">
        <w:rPr>
          <w:rFonts w:ascii="Arial" w:hAnsi="Arial" w:cs="Arial"/>
          <w:sz w:val="22"/>
          <w:szCs w:val="22"/>
        </w:rPr>
        <w:t>il représente. Le projet a aussi fait l</w:t>
      </w:r>
      <w:r w:rsidR="009C104E">
        <w:rPr>
          <w:rFonts w:ascii="Arial" w:hAnsi="Arial" w:cs="Arial"/>
          <w:sz w:val="22"/>
          <w:szCs w:val="22"/>
        </w:rPr>
        <w:t>’</w:t>
      </w:r>
      <w:r w:rsidRPr="00E10266">
        <w:rPr>
          <w:rFonts w:ascii="Arial" w:hAnsi="Arial" w:cs="Arial"/>
          <w:sz w:val="22"/>
          <w:szCs w:val="22"/>
        </w:rPr>
        <w:t>objet de discussions avec des associations et des organisations non gouvernementales impliquées dans la sauvegarde du patrimoine culturel immatériel. Les activités seront mises en œuvre pour et par les membres des communautés concernées, y compris des femmes et des jeunes. Bien que les facilitateurs de la première phase ne seront pas nécessairement des membres des communautés en question, lors de la seconde phase les facilitateurs seront issus des communautés sélectionnées lors de la première phase.</w:t>
      </w:r>
    </w:p>
    <w:p w14:paraId="6198968C" w14:textId="77777777" w:rsidR="00E10266" w:rsidRPr="00E10266" w:rsidRDefault="00E10266" w:rsidP="009712DA">
      <w:pPr>
        <w:tabs>
          <w:tab w:val="left" w:pos="567"/>
          <w:tab w:val="left" w:pos="1701"/>
          <w:tab w:val="left" w:pos="2268"/>
        </w:tabs>
        <w:spacing w:before="120" w:after="120"/>
        <w:ind w:left="567"/>
        <w:jc w:val="both"/>
        <w:rPr>
          <w:rFonts w:ascii="Arial" w:hAnsi="Arial" w:cs="Arial"/>
          <w:sz w:val="22"/>
          <w:szCs w:val="22"/>
        </w:rPr>
      </w:pPr>
      <w:r w:rsidRPr="00E10266">
        <w:rPr>
          <w:rFonts w:ascii="Arial" w:hAnsi="Arial" w:cs="Arial"/>
          <w:b/>
          <w:bCs/>
          <w:sz w:val="22"/>
          <w:szCs w:val="22"/>
        </w:rPr>
        <w:t>Critère A.2 </w:t>
      </w:r>
      <w:r w:rsidRPr="00E10266">
        <w:rPr>
          <w:rFonts w:ascii="Arial" w:hAnsi="Arial" w:cs="Arial"/>
          <w:sz w:val="22"/>
          <w:szCs w:val="22"/>
        </w:rPr>
        <w:t>: Le budget est détaillé et adapté. Il présente clairement les dépenses associées aux activités, qui sont précisément décrites. Les montants prévus sont suffisants pour garantir la mise en œuvre du projet. La grande majorité des fonds (89 %) sera consacrée aux formations qui constituent le cœur du projet. Les 11 % restants seront alloués au suivi du projet, à la préparation des rapports et à la campagne de communication.</w:t>
      </w:r>
    </w:p>
    <w:p w14:paraId="35D458EB" w14:textId="32CCC6AA" w:rsidR="00E10266" w:rsidRPr="00E10266" w:rsidRDefault="00E10266" w:rsidP="009712DA">
      <w:pPr>
        <w:tabs>
          <w:tab w:val="left" w:pos="567"/>
          <w:tab w:val="left" w:pos="1701"/>
          <w:tab w:val="left" w:pos="2268"/>
        </w:tabs>
        <w:spacing w:before="120" w:after="120"/>
        <w:ind w:left="567"/>
        <w:jc w:val="both"/>
        <w:rPr>
          <w:rFonts w:ascii="Arial" w:hAnsi="Arial" w:cs="Arial"/>
          <w:sz w:val="22"/>
          <w:szCs w:val="22"/>
        </w:rPr>
      </w:pPr>
      <w:r w:rsidRPr="00E10266">
        <w:rPr>
          <w:rFonts w:ascii="Arial" w:hAnsi="Arial" w:cs="Arial"/>
          <w:b/>
          <w:bCs/>
          <w:sz w:val="22"/>
          <w:szCs w:val="22"/>
        </w:rPr>
        <w:t>Critère</w:t>
      </w:r>
      <w:r w:rsidRPr="00E10266">
        <w:rPr>
          <w:rFonts w:ascii="Arial" w:hAnsi="Arial" w:cs="Arial"/>
          <w:sz w:val="22"/>
          <w:szCs w:val="22"/>
        </w:rPr>
        <w:t xml:space="preserve"> </w:t>
      </w:r>
      <w:r w:rsidRPr="00E10266">
        <w:rPr>
          <w:rFonts w:ascii="Arial" w:hAnsi="Arial" w:cs="Arial"/>
          <w:b/>
          <w:bCs/>
          <w:sz w:val="22"/>
          <w:szCs w:val="22"/>
        </w:rPr>
        <w:t>A.3</w:t>
      </w:r>
      <w:r w:rsidRPr="00E10266">
        <w:rPr>
          <w:rFonts w:ascii="Arial" w:hAnsi="Arial" w:cs="Arial"/>
          <w:sz w:val="22"/>
          <w:szCs w:val="22"/>
        </w:rPr>
        <w:t> : Les activités proposées, bien qu</w:t>
      </w:r>
      <w:r w:rsidR="009C104E">
        <w:rPr>
          <w:rFonts w:ascii="Arial" w:hAnsi="Arial" w:cs="Arial"/>
          <w:sz w:val="22"/>
          <w:szCs w:val="22"/>
        </w:rPr>
        <w:t>’</w:t>
      </w:r>
      <w:r w:rsidRPr="00E10266">
        <w:rPr>
          <w:rFonts w:ascii="Arial" w:hAnsi="Arial" w:cs="Arial"/>
          <w:sz w:val="22"/>
          <w:szCs w:val="22"/>
        </w:rPr>
        <w:t>ambitieuses, correspondent aux objectifs et aux résultats escomptés du projet. Elles sont réalisables selon le calendrier proposé. Elles sont présentées comme la prochaine étape pratique de la sauvegarde du patrimoine culturel immatériel au Burkina Faso, car elles tiennent compte des expériences nationales précédentes et des problèmes déjà rencontrés. La mise en œuvre du projet sera assurée par un comité d</w:t>
      </w:r>
      <w:r w:rsidR="009C104E">
        <w:rPr>
          <w:rFonts w:ascii="Arial" w:hAnsi="Arial" w:cs="Arial"/>
          <w:sz w:val="22"/>
          <w:szCs w:val="22"/>
        </w:rPr>
        <w:t>’</w:t>
      </w:r>
      <w:r w:rsidRPr="00E10266">
        <w:rPr>
          <w:rFonts w:ascii="Arial" w:hAnsi="Arial" w:cs="Arial"/>
          <w:sz w:val="22"/>
          <w:szCs w:val="22"/>
        </w:rPr>
        <w:t>examen et une unité de gestion. Ces entités seront également chargées du suivi et de l</w:t>
      </w:r>
      <w:r w:rsidR="009C104E">
        <w:rPr>
          <w:rFonts w:ascii="Arial" w:hAnsi="Arial" w:cs="Arial"/>
          <w:sz w:val="22"/>
          <w:szCs w:val="22"/>
        </w:rPr>
        <w:t>’</w:t>
      </w:r>
      <w:r w:rsidRPr="00E10266">
        <w:rPr>
          <w:rFonts w:ascii="Arial" w:hAnsi="Arial" w:cs="Arial"/>
          <w:sz w:val="22"/>
          <w:szCs w:val="22"/>
        </w:rPr>
        <w:t>évaluation, qui reposent également sur des mécanismes clairs. En outre, le projet s</w:t>
      </w:r>
      <w:r w:rsidR="009C104E">
        <w:rPr>
          <w:rFonts w:ascii="Arial" w:hAnsi="Arial" w:cs="Arial"/>
          <w:sz w:val="22"/>
          <w:szCs w:val="22"/>
        </w:rPr>
        <w:t>’</w:t>
      </w:r>
      <w:r w:rsidRPr="00E10266">
        <w:rPr>
          <w:rFonts w:ascii="Arial" w:hAnsi="Arial" w:cs="Arial"/>
          <w:sz w:val="22"/>
          <w:szCs w:val="22"/>
        </w:rPr>
        <w:t>inscrit dans le cadre du Plan stratégique pour le développement du patrimoine culturel du Burkina Faso, qui couvre la période de 2019 à 2028. Il inclut la participation d</w:t>
      </w:r>
      <w:r w:rsidR="009C104E">
        <w:rPr>
          <w:rFonts w:ascii="Arial" w:hAnsi="Arial" w:cs="Arial"/>
          <w:sz w:val="22"/>
          <w:szCs w:val="22"/>
        </w:rPr>
        <w:t>’</w:t>
      </w:r>
      <w:r w:rsidRPr="00E10266">
        <w:rPr>
          <w:rFonts w:ascii="Arial" w:hAnsi="Arial" w:cs="Arial"/>
          <w:sz w:val="22"/>
          <w:szCs w:val="22"/>
        </w:rPr>
        <w:t>autorités nationales, régionales et locales, mais aussi d</w:t>
      </w:r>
      <w:r w:rsidR="009C104E">
        <w:rPr>
          <w:rFonts w:ascii="Arial" w:hAnsi="Arial" w:cs="Arial"/>
          <w:sz w:val="22"/>
          <w:szCs w:val="22"/>
        </w:rPr>
        <w:t>’</w:t>
      </w:r>
      <w:r w:rsidRPr="00E10266">
        <w:rPr>
          <w:rFonts w:ascii="Arial" w:hAnsi="Arial" w:cs="Arial"/>
          <w:sz w:val="22"/>
          <w:szCs w:val="22"/>
        </w:rPr>
        <w:t>organisations non gouvernementales et d</w:t>
      </w:r>
      <w:r w:rsidR="009C104E">
        <w:rPr>
          <w:rFonts w:ascii="Arial" w:hAnsi="Arial" w:cs="Arial"/>
          <w:sz w:val="22"/>
          <w:szCs w:val="22"/>
        </w:rPr>
        <w:t>’</w:t>
      </w:r>
      <w:r w:rsidRPr="00E10266">
        <w:rPr>
          <w:rFonts w:ascii="Arial" w:hAnsi="Arial" w:cs="Arial"/>
          <w:sz w:val="22"/>
          <w:szCs w:val="22"/>
        </w:rPr>
        <w:t>organisations locales.</w:t>
      </w:r>
    </w:p>
    <w:p w14:paraId="2E6403F7" w14:textId="478F7350" w:rsidR="00E10266" w:rsidRPr="00E10266" w:rsidRDefault="00E10266" w:rsidP="009712DA">
      <w:pPr>
        <w:tabs>
          <w:tab w:val="left" w:pos="567"/>
          <w:tab w:val="left" w:pos="1701"/>
          <w:tab w:val="left" w:pos="2268"/>
        </w:tabs>
        <w:spacing w:before="120" w:after="120"/>
        <w:ind w:left="567"/>
        <w:jc w:val="both"/>
        <w:rPr>
          <w:rFonts w:ascii="Arial" w:hAnsi="Arial" w:cs="Arial"/>
          <w:sz w:val="22"/>
          <w:szCs w:val="22"/>
        </w:rPr>
      </w:pPr>
      <w:r w:rsidRPr="00E10266">
        <w:rPr>
          <w:rFonts w:ascii="Arial" w:hAnsi="Arial" w:cs="Arial"/>
          <w:b/>
          <w:bCs/>
          <w:sz w:val="22"/>
          <w:szCs w:val="22"/>
        </w:rPr>
        <w:t>Critère A.4</w:t>
      </w:r>
      <w:r w:rsidRPr="00E10266">
        <w:rPr>
          <w:rFonts w:ascii="Arial" w:hAnsi="Arial" w:cs="Arial"/>
          <w:sz w:val="22"/>
          <w:szCs w:val="22"/>
        </w:rPr>
        <w:t> : Le programme de formation vise à établir un vaste réseau d</w:t>
      </w:r>
      <w:r w:rsidR="009C104E">
        <w:rPr>
          <w:rFonts w:ascii="Arial" w:hAnsi="Arial" w:cs="Arial"/>
          <w:sz w:val="22"/>
          <w:szCs w:val="22"/>
        </w:rPr>
        <w:t>’</w:t>
      </w:r>
      <w:r w:rsidRPr="00E10266">
        <w:rPr>
          <w:rFonts w:ascii="Arial" w:hAnsi="Arial" w:cs="Arial"/>
          <w:sz w:val="22"/>
          <w:szCs w:val="22"/>
        </w:rPr>
        <w:t>acteurs disposant des outils appropriés pour assurer la sauvegarde du patrimoine culturel immatériel, ainsi qu</w:t>
      </w:r>
      <w:r w:rsidR="009C104E">
        <w:rPr>
          <w:rFonts w:ascii="Arial" w:hAnsi="Arial" w:cs="Arial"/>
          <w:sz w:val="22"/>
          <w:szCs w:val="22"/>
        </w:rPr>
        <w:t>’</w:t>
      </w:r>
      <w:r w:rsidRPr="00E10266">
        <w:rPr>
          <w:rFonts w:ascii="Arial" w:hAnsi="Arial" w:cs="Arial"/>
          <w:sz w:val="22"/>
          <w:szCs w:val="22"/>
        </w:rPr>
        <w:t>une équipe de facilitateurs à même de répliquer la formation aussi largement que possible dans de nombreuses régions. La masse critique d</w:t>
      </w:r>
      <w:r w:rsidR="009C104E">
        <w:rPr>
          <w:rFonts w:ascii="Arial" w:hAnsi="Arial" w:cs="Arial"/>
          <w:sz w:val="22"/>
          <w:szCs w:val="22"/>
        </w:rPr>
        <w:t>’</w:t>
      </w:r>
      <w:r w:rsidRPr="00E10266">
        <w:rPr>
          <w:rFonts w:ascii="Arial" w:hAnsi="Arial" w:cs="Arial"/>
          <w:sz w:val="22"/>
          <w:szCs w:val="22"/>
        </w:rPr>
        <w:t>acteurs disposant des connaissances relatives au patrimoine culturel immatériel sera en mesure de soutenir les activités, les projets et les programmes de sauvegarde à l</w:t>
      </w:r>
      <w:r w:rsidR="009C104E">
        <w:rPr>
          <w:rFonts w:ascii="Arial" w:hAnsi="Arial" w:cs="Arial"/>
          <w:sz w:val="22"/>
          <w:szCs w:val="22"/>
        </w:rPr>
        <w:t>’</w:t>
      </w:r>
      <w:r w:rsidRPr="00E10266">
        <w:rPr>
          <w:rFonts w:ascii="Arial" w:hAnsi="Arial" w:cs="Arial"/>
          <w:sz w:val="22"/>
          <w:szCs w:val="22"/>
        </w:rPr>
        <w:t>issue du projet, en particulier grâce à la mise en œuvre des plans de sauvegarde résultant du projet. En outre, le projet donnera aux communautés concernées les moyens de gérer leur propre patrimoine vivant, contribuant ainsi à la sauvegarde systématique du patrimoine culturel immatériel du Burkina Faso.</w:t>
      </w:r>
    </w:p>
    <w:p w14:paraId="4DF8F757" w14:textId="4F612215" w:rsidR="00E10266" w:rsidRPr="00E10266" w:rsidRDefault="00E10266" w:rsidP="009712DA">
      <w:pPr>
        <w:tabs>
          <w:tab w:val="left" w:pos="567"/>
          <w:tab w:val="left" w:pos="1701"/>
          <w:tab w:val="left" w:pos="2268"/>
        </w:tabs>
        <w:spacing w:before="120" w:after="120"/>
        <w:ind w:left="567"/>
        <w:jc w:val="both"/>
        <w:rPr>
          <w:rFonts w:ascii="Arial" w:hAnsi="Arial" w:cs="Arial"/>
          <w:sz w:val="22"/>
          <w:szCs w:val="22"/>
        </w:rPr>
      </w:pPr>
      <w:r w:rsidRPr="00E10266">
        <w:rPr>
          <w:rFonts w:ascii="Arial" w:hAnsi="Arial" w:cs="Arial"/>
          <w:b/>
          <w:bCs/>
          <w:sz w:val="22"/>
          <w:szCs w:val="22"/>
        </w:rPr>
        <w:t>Critère A.5</w:t>
      </w:r>
      <w:r w:rsidRPr="00E10266">
        <w:rPr>
          <w:rFonts w:ascii="Arial" w:hAnsi="Arial" w:cs="Arial"/>
          <w:sz w:val="22"/>
          <w:szCs w:val="22"/>
        </w:rPr>
        <w:t> : L</w:t>
      </w:r>
      <w:r w:rsidR="009C104E">
        <w:rPr>
          <w:rFonts w:ascii="Arial" w:hAnsi="Arial" w:cs="Arial"/>
          <w:sz w:val="22"/>
          <w:szCs w:val="22"/>
        </w:rPr>
        <w:t>’</w:t>
      </w:r>
      <w:r w:rsidRPr="00E10266">
        <w:rPr>
          <w:rFonts w:ascii="Arial" w:hAnsi="Arial" w:cs="Arial"/>
          <w:sz w:val="22"/>
          <w:szCs w:val="22"/>
        </w:rPr>
        <w:t>État partie fournira 20 % du budget total. La plupart des montants versés aux participants (internationaux comme nationaux) proviendront du Fonds du patrimoine culturel immatériel. L</w:t>
      </w:r>
      <w:r w:rsidR="009C104E">
        <w:rPr>
          <w:rFonts w:ascii="Arial" w:hAnsi="Arial" w:cs="Arial"/>
          <w:sz w:val="22"/>
          <w:szCs w:val="22"/>
        </w:rPr>
        <w:t>’</w:t>
      </w:r>
      <w:r w:rsidRPr="00E10266">
        <w:rPr>
          <w:rFonts w:ascii="Arial" w:hAnsi="Arial" w:cs="Arial"/>
          <w:sz w:val="22"/>
          <w:szCs w:val="22"/>
        </w:rPr>
        <w:t>État partie couvrira les paiements aux institutions et les petites dépenses, liées notamment à l</w:t>
      </w:r>
      <w:r w:rsidR="009C104E">
        <w:rPr>
          <w:rFonts w:ascii="Arial" w:hAnsi="Arial" w:cs="Arial"/>
          <w:sz w:val="22"/>
          <w:szCs w:val="22"/>
        </w:rPr>
        <w:t>’</w:t>
      </w:r>
      <w:r w:rsidRPr="00E10266">
        <w:rPr>
          <w:rFonts w:ascii="Arial" w:hAnsi="Arial" w:cs="Arial"/>
          <w:sz w:val="22"/>
          <w:szCs w:val="22"/>
        </w:rPr>
        <w:t>organisation d</w:t>
      </w:r>
      <w:r w:rsidR="009C104E">
        <w:rPr>
          <w:rFonts w:ascii="Arial" w:hAnsi="Arial" w:cs="Arial"/>
          <w:sz w:val="22"/>
          <w:szCs w:val="22"/>
        </w:rPr>
        <w:t>’</w:t>
      </w:r>
      <w:r w:rsidRPr="00E10266">
        <w:rPr>
          <w:rFonts w:ascii="Arial" w:hAnsi="Arial" w:cs="Arial"/>
          <w:sz w:val="22"/>
          <w:szCs w:val="22"/>
        </w:rPr>
        <w:t>ateliers, à la confection de banderoles, à la couverture médiatique du projet, à la réalisation de programmes télévisuels et radiophoniques, aux transports et à l</w:t>
      </w:r>
      <w:r w:rsidR="009C104E">
        <w:rPr>
          <w:rFonts w:ascii="Arial" w:hAnsi="Arial" w:cs="Arial"/>
          <w:sz w:val="22"/>
          <w:szCs w:val="22"/>
        </w:rPr>
        <w:t>’</w:t>
      </w:r>
      <w:r w:rsidRPr="00E10266">
        <w:rPr>
          <w:rFonts w:ascii="Arial" w:hAnsi="Arial" w:cs="Arial"/>
          <w:sz w:val="22"/>
          <w:szCs w:val="22"/>
        </w:rPr>
        <w:t>achat de fournitures de bureau. Elles incluent également les frais engagés dans le cadre du suivi et de l</w:t>
      </w:r>
      <w:r w:rsidR="009C104E">
        <w:rPr>
          <w:rFonts w:ascii="Arial" w:hAnsi="Arial" w:cs="Arial"/>
          <w:sz w:val="22"/>
          <w:szCs w:val="22"/>
        </w:rPr>
        <w:t>’</w:t>
      </w:r>
      <w:r w:rsidRPr="00E10266">
        <w:rPr>
          <w:rFonts w:ascii="Arial" w:hAnsi="Arial" w:cs="Arial"/>
          <w:sz w:val="22"/>
          <w:szCs w:val="22"/>
        </w:rPr>
        <w:t>évaluation du projet, ainsi que pour la rédaction des rapports.</w:t>
      </w:r>
    </w:p>
    <w:p w14:paraId="6335B1ED" w14:textId="2EC16369" w:rsidR="00E10266" w:rsidRPr="00E10266" w:rsidRDefault="00E10266" w:rsidP="009712DA">
      <w:pPr>
        <w:tabs>
          <w:tab w:val="left" w:pos="567"/>
          <w:tab w:val="left" w:pos="1701"/>
          <w:tab w:val="left" w:pos="2268"/>
        </w:tabs>
        <w:spacing w:before="120" w:after="120"/>
        <w:ind w:left="567"/>
        <w:jc w:val="both"/>
        <w:rPr>
          <w:rFonts w:ascii="Arial" w:hAnsi="Arial" w:cs="Arial"/>
          <w:sz w:val="22"/>
          <w:szCs w:val="22"/>
        </w:rPr>
      </w:pPr>
      <w:r w:rsidRPr="00E10266">
        <w:rPr>
          <w:rFonts w:ascii="Arial" w:hAnsi="Arial" w:cs="Arial"/>
          <w:b/>
          <w:bCs/>
          <w:sz w:val="22"/>
          <w:szCs w:val="22"/>
        </w:rPr>
        <w:t>Critère A.6</w:t>
      </w:r>
      <w:r w:rsidRPr="00E10266">
        <w:rPr>
          <w:rFonts w:ascii="Arial" w:hAnsi="Arial" w:cs="Arial"/>
          <w:sz w:val="22"/>
          <w:szCs w:val="22"/>
        </w:rPr>
        <w:t> : L</w:t>
      </w:r>
      <w:r w:rsidR="009C104E">
        <w:rPr>
          <w:rFonts w:ascii="Arial" w:hAnsi="Arial" w:cs="Arial"/>
          <w:sz w:val="22"/>
          <w:szCs w:val="22"/>
        </w:rPr>
        <w:t>’</w:t>
      </w:r>
      <w:r w:rsidRPr="00E10266">
        <w:rPr>
          <w:rFonts w:ascii="Arial" w:hAnsi="Arial" w:cs="Arial"/>
          <w:sz w:val="22"/>
          <w:szCs w:val="22"/>
        </w:rPr>
        <w:t>objectif spécifique de la demande d</w:t>
      </w:r>
      <w:r w:rsidR="009C104E">
        <w:rPr>
          <w:rFonts w:ascii="Arial" w:hAnsi="Arial" w:cs="Arial"/>
          <w:sz w:val="22"/>
          <w:szCs w:val="22"/>
        </w:rPr>
        <w:t>’</w:t>
      </w:r>
      <w:r w:rsidRPr="00E10266">
        <w:rPr>
          <w:rFonts w:ascii="Arial" w:hAnsi="Arial" w:cs="Arial"/>
          <w:sz w:val="22"/>
          <w:szCs w:val="22"/>
        </w:rPr>
        <w:t>assistance est de renforcer les capacités locales et nationales de sauvegarde du patrimoine culturel immatériel. Le projet proposé pourrait renforcer la prise de décisions et favoriser des changements de comportement susceptibles d</w:t>
      </w:r>
      <w:r w:rsidR="009C104E">
        <w:rPr>
          <w:rFonts w:ascii="Arial" w:hAnsi="Arial" w:cs="Arial"/>
          <w:sz w:val="22"/>
          <w:szCs w:val="22"/>
        </w:rPr>
        <w:t>’</w:t>
      </w:r>
      <w:r w:rsidRPr="00E10266">
        <w:rPr>
          <w:rFonts w:ascii="Arial" w:hAnsi="Arial" w:cs="Arial"/>
          <w:sz w:val="22"/>
          <w:szCs w:val="22"/>
        </w:rPr>
        <w:t>améliorer la sauvegarde du patrimoine culturel immatériel, notamment en encourageant l</w:t>
      </w:r>
      <w:r w:rsidR="009C104E">
        <w:rPr>
          <w:rFonts w:ascii="Arial" w:hAnsi="Arial" w:cs="Arial"/>
          <w:sz w:val="22"/>
          <w:szCs w:val="22"/>
        </w:rPr>
        <w:t>’</w:t>
      </w:r>
      <w:r w:rsidRPr="00E10266">
        <w:rPr>
          <w:rFonts w:ascii="Arial" w:hAnsi="Arial" w:cs="Arial"/>
          <w:sz w:val="22"/>
          <w:szCs w:val="22"/>
        </w:rPr>
        <w:t>adoption d</w:t>
      </w:r>
      <w:r w:rsidR="009C104E">
        <w:rPr>
          <w:rFonts w:ascii="Arial" w:hAnsi="Arial" w:cs="Arial"/>
          <w:sz w:val="22"/>
          <w:szCs w:val="22"/>
        </w:rPr>
        <w:t>’</w:t>
      </w:r>
      <w:r w:rsidRPr="00E10266">
        <w:rPr>
          <w:rFonts w:ascii="Arial" w:hAnsi="Arial" w:cs="Arial"/>
          <w:sz w:val="22"/>
          <w:szCs w:val="22"/>
        </w:rPr>
        <w:t>une approche ascendante de sa gestion. En outre, le projet inclut des activités de suivi et d</w:t>
      </w:r>
      <w:r w:rsidR="009C104E">
        <w:rPr>
          <w:rFonts w:ascii="Arial" w:hAnsi="Arial" w:cs="Arial"/>
          <w:sz w:val="22"/>
          <w:szCs w:val="22"/>
        </w:rPr>
        <w:t>’</w:t>
      </w:r>
      <w:r w:rsidRPr="00E10266">
        <w:rPr>
          <w:rFonts w:ascii="Arial" w:hAnsi="Arial" w:cs="Arial"/>
          <w:sz w:val="22"/>
          <w:szCs w:val="22"/>
        </w:rPr>
        <w:t>évaluation ainsi que la préparation de rapports. Cela permettrait de générer des retours d</w:t>
      </w:r>
      <w:r w:rsidR="009C104E">
        <w:rPr>
          <w:rFonts w:ascii="Arial" w:hAnsi="Arial" w:cs="Arial"/>
          <w:sz w:val="22"/>
          <w:szCs w:val="22"/>
        </w:rPr>
        <w:t>’</w:t>
      </w:r>
      <w:r w:rsidRPr="00E10266">
        <w:rPr>
          <w:rFonts w:ascii="Arial" w:hAnsi="Arial" w:cs="Arial"/>
          <w:sz w:val="22"/>
          <w:szCs w:val="22"/>
        </w:rPr>
        <w:t>informations précieux sur la stratégie adoptée, sur les mesures concrètes prises en matière de formation et sur l</w:t>
      </w:r>
      <w:r w:rsidR="009C104E">
        <w:rPr>
          <w:rFonts w:ascii="Arial" w:hAnsi="Arial" w:cs="Arial"/>
          <w:sz w:val="22"/>
          <w:szCs w:val="22"/>
        </w:rPr>
        <w:t>’</w:t>
      </w:r>
      <w:r w:rsidRPr="00E10266">
        <w:rPr>
          <w:rFonts w:ascii="Arial" w:hAnsi="Arial" w:cs="Arial"/>
          <w:sz w:val="22"/>
          <w:szCs w:val="22"/>
        </w:rPr>
        <w:t>impact du projet sur la sauvegarde du patrimoine culturel immatériel au Burkina Faso.</w:t>
      </w:r>
    </w:p>
    <w:p w14:paraId="1DF7AB77" w14:textId="3C3FE6FF" w:rsidR="00E10266" w:rsidRPr="00E10266" w:rsidRDefault="00E10266" w:rsidP="009712DA">
      <w:pPr>
        <w:tabs>
          <w:tab w:val="left" w:pos="567"/>
          <w:tab w:val="left" w:pos="1701"/>
          <w:tab w:val="left" w:pos="2268"/>
        </w:tabs>
        <w:spacing w:before="120" w:after="120"/>
        <w:ind w:left="567"/>
        <w:jc w:val="both"/>
        <w:rPr>
          <w:rFonts w:ascii="Arial" w:hAnsi="Arial" w:cs="Arial"/>
          <w:sz w:val="22"/>
          <w:szCs w:val="22"/>
        </w:rPr>
      </w:pPr>
      <w:r w:rsidRPr="00E10266">
        <w:rPr>
          <w:rFonts w:ascii="Arial" w:hAnsi="Arial" w:cs="Arial"/>
          <w:b/>
          <w:bCs/>
          <w:sz w:val="22"/>
          <w:szCs w:val="22"/>
        </w:rPr>
        <w:t>Critère A.7 </w:t>
      </w:r>
      <w:r w:rsidRPr="00E10266">
        <w:rPr>
          <w:rFonts w:ascii="Arial" w:hAnsi="Arial" w:cs="Arial"/>
          <w:sz w:val="22"/>
          <w:szCs w:val="22"/>
        </w:rPr>
        <w:t>: L</w:t>
      </w:r>
      <w:r w:rsidR="009C104E">
        <w:rPr>
          <w:rFonts w:ascii="Arial" w:hAnsi="Arial" w:cs="Arial"/>
          <w:sz w:val="22"/>
          <w:szCs w:val="22"/>
        </w:rPr>
        <w:t>’</w:t>
      </w:r>
      <w:r w:rsidRPr="00E10266">
        <w:rPr>
          <w:rFonts w:ascii="Arial" w:hAnsi="Arial" w:cs="Arial"/>
          <w:sz w:val="22"/>
          <w:szCs w:val="22"/>
        </w:rPr>
        <w:t>État partie a bénéficié d</w:t>
      </w:r>
      <w:r w:rsidR="009C104E">
        <w:rPr>
          <w:rFonts w:ascii="Arial" w:hAnsi="Arial" w:cs="Arial"/>
          <w:sz w:val="22"/>
          <w:szCs w:val="22"/>
        </w:rPr>
        <w:t>’</w:t>
      </w:r>
      <w:r w:rsidRPr="00E10266">
        <w:rPr>
          <w:rFonts w:ascii="Arial" w:hAnsi="Arial" w:cs="Arial"/>
          <w:sz w:val="22"/>
          <w:szCs w:val="22"/>
        </w:rPr>
        <w:t>une assistance internationale du Fonds du patrimoine culturel immatériel, pour un projet intitulé « L</w:t>
      </w:r>
      <w:r w:rsidR="009C104E">
        <w:rPr>
          <w:rFonts w:ascii="Arial" w:hAnsi="Arial" w:cs="Arial"/>
          <w:sz w:val="22"/>
          <w:szCs w:val="22"/>
        </w:rPr>
        <w:t>’</w:t>
      </w:r>
      <w:r w:rsidRPr="00E10266">
        <w:rPr>
          <w:rFonts w:ascii="Arial" w:hAnsi="Arial" w:cs="Arial"/>
          <w:sz w:val="22"/>
          <w:szCs w:val="22"/>
        </w:rPr>
        <w:t>inventaire et la promotion du patrimoine culturel immatériel au Burkina Faso » (2013–2018, 262 080 dollars des États-Unis). Ce projet a été mené avec succès et conformément aux réglementations de l</w:t>
      </w:r>
      <w:r w:rsidR="009C104E">
        <w:rPr>
          <w:rFonts w:ascii="Arial" w:hAnsi="Arial" w:cs="Arial"/>
          <w:sz w:val="22"/>
          <w:szCs w:val="22"/>
        </w:rPr>
        <w:t>’</w:t>
      </w:r>
      <w:r w:rsidRPr="00E10266">
        <w:rPr>
          <w:rFonts w:ascii="Arial" w:hAnsi="Arial" w:cs="Arial"/>
          <w:sz w:val="22"/>
          <w:szCs w:val="22"/>
        </w:rPr>
        <w:t>UNESCO.</w:t>
      </w:r>
    </w:p>
    <w:p w14:paraId="4179A9F4" w14:textId="2F44F5F2" w:rsidR="00E10266" w:rsidRPr="00E10266" w:rsidRDefault="00E10266" w:rsidP="009712DA">
      <w:pPr>
        <w:tabs>
          <w:tab w:val="left" w:pos="567"/>
          <w:tab w:val="left" w:pos="1701"/>
          <w:tab w:val="left" w:pos="2268"/>
        </w:tabs>
        <w:spacing w:before="120" w:after="120"/>
        <w:ind w:left="567"/>
        <w:jc w:val="both"/>
        <w:rPr>
          <w:rFonts w:ascii="Arial" w:hAnsi="Arial" w:cs="Arial"/>
          <w:sz w:val="22"/>
          <w:szCs w:val="22"/>
        </w:rPr>
      </w:pPr>
      <w:r w:rsidRPr="00E10266">
        <w:rPr>
          <w:rFonts w:ascii="Arial" w:hAnsi="Arial" w:cs="Arial"/>
          <w:b/>
          <w:bCs/>
          <w:sz w:val="22"/>
          <w:szCs w:val="22"/>
        </w:rPr>
        <w:t>Paragraphe 10(a)</w:t>
      </w:r>
      <w:r w:rsidRPr="00E10266">
        <w:rPr>
          <w:rFonts w:ascii="Arial" w:hAnsi="Arial" w:cs="Arial"/>
          <w:sz w:val="22"/>
          <w:szCs w:val="22"/>
        </w:rPr>
        <w:t> : De portée nationale, le projet proposé implique des participants des treize régions administratives du Burkina Faso. Il fait également intervenir de nombreuses institutions nationales aux responsabilités bien définies. Deux experts internationaux, membres du réseau des facilitateurs de l</w:t>
      </w:r>
      <w:r w:rsidR="009C104E">
        <w:rPr>
          <w:rFonts w:ascii="Arial" w:hAnsi="Arial" w:cs="Arial"/>
          <w:sz w:val="22"/>
          <w:szCs w:val="22"/>
        </w:rPr>
        <w:t>’</w:t>
      </w:r>
      <w:r w:rsidRPr="00E10266">
        <w:rPr>
          <w:rFonts w:ascii="Arial" w:hAnsi="Arial" w:cs="Arial"/>
          <w:sz w:val="22"/>
          <w:szCs w:val="22"/>
        </w:rPr>
        <w:t>UNESCO pour la mise en œuvre de la Convention, seront invités. L</w:t>
      </w:r>
      <w:r w:rsidR="009C104E">
        <w:rPr>
          <w:rFonts w:ascii="Arial" w:hAnsi="Arial" w:cs="Arial"/>
          <w:sz w:val="22"/>
          <w:szCs w:val="22"/>
        </w:rPr>
        <w:t>’</w:t>
      </w:r>
      <w:r w:rsidRPr="00E10266">
        <w:rPr>
          <w:rFonts w:ascii="Arial" w:hAnsi="Arial" w:cs="Arial"/>
          <w:sz w:val="22"/>
          <w:szCs w:val="22"/>
        </w:rPr>
        <w:t>un dirigera les sessions de formation, l</w:t>
      </w:r>
      <w:r w:rsidR="009C104E">
        <w:rPr>
          <w:rFonts w:ascii="Arial" w:hAnsi="Arial" w:cs="Arial"/>
          <w:sz w:val="22"/>
          <w:szCs w:val="22"/>
        </w:rPr>
        <w:t>’</w:t>
      </w:r>
      <w:r w:rsidRPr="00E10266">
        <w:rPr>
          <w:rFonts w:ascii="Arial" w:hAnsi="Arial" w:cs="Arial"/>
          <w:sz w:val="22"/>
          <w:szCs w:val="22"/>
        </w:rPr>
        <w:t>autre réalisera une évaluation externe.</w:t>
      </w:r>
    </w:p>
    <w:p w14:paraId="7379D88B" w14:textId="531165FD" w:rsidR="00E10266" w:rsidRPr="00E10266" w:rsidRDefault="00E10266" w:rsidP="009712DA">
      <w:pPr>
        <w:tabs>
          <w:tab w:val="left" w:pos="567"/>
          <w:tab w:val="left" w:pos="1701"/>
          <w:tab w:val="left" w:pos="2268"/>
        </w:tabs>
        <w:spacing w:before="120" w:after="120"/>
        <w:ind w:left="567"/>
        <w:jc w:val="both"/>
        <w:rPr>
          <w:rFonts w:ascii="Arial" w:hAnsi="Arial" w:cs="Arial"/>
          <w:sz w:val="22"/>
          <w:szCs w:val="22"/>
        </w:rPr>
      </w:pPr>
      <w:r w:rsidRPr="00E10266">
        <w:rPr>
          <w:rFonts w:ascii="Arial" w:hAnsi="Arial" w:cs="Arial"/>
          <w:b/>
          <w:bCs/>
          <w:sz w:val="22"/>
          <w:szCs w:val="22"/>
        </w:rPr>
        <w:t>Paragraphe 10(b) </w:t>
      </w:r>
      <w:r w:rsidRPr="00E10266">
        <w:rPr>
          <w:rFonts w:ascii="Arial" w:hAnsi="Arial" w:cs="Arial"/>
          <w:sz w:val="22"/>
          <w:szCs w:val="22"/>
        </w:rPr>
        <w:t>: Le projet n</w:t>
      </w:r>
      <w:r w:rsidR="009C104E">
        <w:rPr>
          <w:rFonts w:ascii="Arial" w:hAnsi="Arial" w:cs="Arial"/>
          <w:sz w:val="22"/>
          <w:szCs w:val="22"/>
        </w:rPr>
        <w:t>’</w:t>
      </w:r>
      <w:r w:rsidRPr="00E10266">
        <w:rPr>
          <w:rFonts w:ascii="Arial" w:hAnsi="Arial" w:cs="Arial"/>
          <w:sz w:val="22"/>
          <w:szCs w:val="22"/>
        </w:rPr>
        <w:t>aura pas d</w:t>
      </w:r>
      <w:r w:rsidR="009C104E">
        <w:rPr>
          <w:rFonts w:ascii="Arial" w:hAnsi="Arial" w:cs="Arial"/>
          <w:sz w:val="22"/>
          <w:szCs w:val="22"/>
        </w:rPr>
        <w:t>’</w:t>
      </w:r>
      <w:r w:rsidRPr="00E10266">
        <w:rPr>
          <w:rFonts w:ascii="Arial" w:hAnsi="Arial" w:cs="Arial"/>
          <w:sz w:val="22"/>
          <w:szCs w:val="22"/>
        </w:rPr>
        <w:t>effet multiplicateur direct et n</w:t>
      </w:r>
      <w:r w:rsidR="009C104E">
        <w:rPr>
          <w:rFonts w:ascii="Arial" w:hAnsi="Arial" w:cs="Arial"/>
          <w:sz w:val="22"/>
          <w:szCs w:val="22"/>
        </w:rPr>
        <w:t>’</w:t>
      </w:r>
      <w:r w:rsidRPr="00E10266">
        <w:rPr>
          <w:rFonts w:ascii="Arial" w:hAnsi="Arial" w:cs="Arial"/>
          <w:sz w:val="22"/>
          <w:szCs w:val="22"/>
        </w:rPr>
        <w:t>encouragera pas les contributions financières et techniques venant d</w:t>
      </w:r>
      <w:r w:rsidR="009C104E">
        <w:rPr>
          <w:rFonts w:ascii="Arial" w:hAnsi="Arial" w:cs="Arial"/>
          <w:sz w:val="22"/>
          <w:szCs w:val="22"/>
        </w:rPr>
        <w:t>’</w:t>
      </w:r>
      <w:r w:rsidRPr="00E10266">
        <w:rPr>
          <w:rFonts w:ascii="Arial" w:hAnsi="Arial" w:cs="Arial"/>
          <w:sz w:val="22"/>
          <w:szCs w:val="22"/>
        </w:rPr>
        <w:t>autres sources ; mais il permettra de constituer un grand groupe d</w:t>
      </w:r>
      <w:r w:rsidR="009C104E">
        <w:rPr>
          <w:rFonts w:ascii="Arial" w:hAnsi="Arial" w:cs="Arial"/>
          <w:sz w:val="22"/>
          <w:szCs w:val="22"/>
        </w:rPr>
        <w:t>’</w:t>
      </w:r>
      <w:r w:rsidRPr="00E10266">
        <w:rPr>
          <w:rFonts w:ascii="Arial" w:hAnsi="Arial" w:cs="Arial"/>
          <w:sz w:val="22"/>
          <w:szCs w:val="22"/>
        </w:rPr>
        <w:t>acteurs (335 au total) capables de soutenir les futurs projets de sauvegarde du patrimoine culturel immatériel. En outre, ces acteurs pourront garantir la prise en compte du patrimoine culturel immatériel dans les plans de développements locaux ayant indirectement le potentiel d</w:t>
      </w:r>
      <w:r w:rsidR="009C104E">
        <w:rPr>
          <w:rFonts w:ascii="Arial" w:hAnsi="Arial" w:cs="Arial"/>
          <w:sz w:val="22"/>
          <w:szCs w:val="22"/>
        </w:rPr>
        <w:t>’</w:t>
      </w:r>
      <w:r w:rsidRPr="00E10266">
        <w:rPr>
          <w:rFonts w:ascii="Arial" w:hAnsi="Arial" w:cs="Arial"/>
          <w:sz w:val="22"/>
          <w:szCs w:val="22"/>
        </w:rPr>
        <w:t>attirer de nouveaux financements destinés à la sauvegarde du patrimoine vivant. Le projet proposé pourrait également être une source d</w:t>
      </w:r>
      <w:r w:rsidR="009C104E">
        <w:rPr>
          <w:rFonts w:ascii="Arial" w:hAnsi="Arial" w:cs="Arial"/>
          <w:sz w:val="22"/>
          <w:szCs w:val="22"/>
        </w:rPr>
        <w:t>’</w:t>
      </w:r>
      <w:r w:rsidRPr="00E10266">
        <w:rPr>
          <w:rFonts w:ascii="Arial" w:hAnsi="Arial" w:cs="Arial"/>
          <w:sz w:val="22"/>
          <w:szCs w:val="22"/>
        </w:rPr>
        <w:t>inspiration, ou de méthodologie à reproduire dans d</w:t>
      </w:r>
      <w:r w:rsidR="009C104E">
        <w:rPr>
          <w:rFonts w:ascii="Arial" w:hAnsi="Arial" w:cs="Arial"/>
          <w:sz w:val="22"/>
          <w:szCs w:val="22"/>
        </w:rPr>
        <w:t>’</w:t>
      </w:r>
      <w:r w:rsidRPr="00E10266">
        <w:rPr>
          <w:rFonts w:ascii="Arial" w:hAnsi="Arial" w:cs="Arial"/>
          <w:sz w:val="22"/>
          <w:szCs w:val="22"/>
        </w:rPr>
        <w:t>autres États.</w:t>
      </w:r>
    </w:p>
    <w:p w14:paraId="247543B6" w14:textId="165BCB7E" w:rsidR="00E10266" w:rsidRPr="00E10266" w:rsidRDefault="00E10266" w:rsidP="00771F30">
      <w:pPr>
        <w:numPr>
          <w:ilvl w:val="1"/>
          <w:numId w:val="46"/>
        </w:numPr>
        <w:tabs>
          <w:tab w:val="left" w:pos="567"/>
          <w:tab w:val="left" w:pos="1701"/>
          <w:tab w:val="left" w:pos="2268"/>
        </w:tabs>
        <w:spacing w:before="120" w:after="120"/>
        <w:ind w:left="567"/>
        <w:jc w:val="both"/>
        <w:rPr>
          <w:rFonts w:ascii="Arial" w:hAnsi="Arial" w:cs="Arial"/>
          <w:sz w:val="22"/>
          <w:szCs w:val="22"/>
        </w:rPr>
      </w:pPr>
      <w:r w:rsidRPr="00E10266">
        <w:rPr>
          <w:rFonts w:ascii="Arial" w:hAnsi="Arial" w:cs="Arial"/>
          <w:sz w:val="22"/>
          <w:szCs w:val="22"/>
          <w:u w:val="single"/>
        </w:rPr>
        <w:t>Décide d</w:t>
      </w:r>
      <w:r w:rsidR="009C104E">
        <w:rPr>
          <w:rFonts w:ascii="Arial" w:hAnsi="Arial" w:cs="Arial"/>
          <w:sz w:val="22"/>
          <w:szCs w:val="22"/>
          <w:u w:val="single"/>
        </w:rPr>
        <w:t>’</w:t>
      </w:r>
      <w:r w:rsidRPr="00E10266">
        <w:rPr>
          <w:rFonts w:ascii="Arial" w:hAnsi="Arial" w:cs="Arial"/>
          <w:sz w:val="22"/>
          <w:szCs w:val="22"/>
          <w:u w:val="single"/>
        </w:rPr>
        <w:t>approuver</w:t>
      </w:r>
      <w:r w:rsidRPr="00E10266">
        <w:rPr>
          <w:rFonts w:ascii="Arial" w:hAnsi="Arial" w:cs="Arial"/>
          <w:sz w:val="22"/>
          <w:szCs w:val="22"/>
        </w:rPr>
        <w:t xml:space="preserve"> la demande d</w:t>
      </w:r>
      <w:r w:rsidR="009C104E">
        <w:rPr>
          <w:rFonts w:ascii="Arial" w:hAnsi="Arial" w:cs="Arial"/>
          <w:sz w:val="22"/>
          <w:szCs w:val="22"/>
        </w:rPr>
        <w:t>’</w:t>
      </w:r>
      <w:r w:rsidRPr="00E10266">
        <w:rPr>
          <w:rFonts w:ascii="Arial" w:hAnsi="Arial" w:cs="Arial"/>
          <w:sz w:val="22"/>
          <w:szCs w:val="22"/>
        </w:rPr>
        <w:t xml:space="preserve">assistance internationale du Burkina Faso pour le projet intitulé </w:t>
      </w:r>
      <w:r w:rsidRPr="00E10266">
        <w:rPr>
          <w:rFonts w:ascii="Arial" w:hAnsi="Arial" w:cs="Arial"/>
          <w:b/>
          <w:sz w:val="22"/>
          <w:szCs w:val="22"/>
        </w:rPr>
        <w:t>Renforcement des capacités des acteurs intervenant dans la sauvegarde du patrimoine culturel immatériel au Burkina Faso</w:t>
      </w:r>
      <w:r w:rsidRPr="00E10266">
        <w:rPr>
          <w:rFonts w:ascii="Arial" w:hAnsi="Arial" w:cs="Arial"/>
          <w:sz w:val="22"/>
          <w:szCs w:val="22"/>
        </w:rPr>
        <w:t xml:space="preserve"> et </w:t>
      </w:r>
      <w:r w:rsidRPr="00E10266">
        <w:rPr>
          <w:rFonts w:ascii="Arial" w:hAnsi="Arial" w:cs="Arial"/>
          <w:sz w:val="22"/>
          <w:szCs w:val="22"/>
          <w:u w:val="single"/>
        </w:rPr>
        <w:t>accorde</w:t>
      </w:r>
      <w:r w:rsidRPr="00E10266">
        <w:rPr>
          <w:rFonts w:ascii="Arial" w:hAnsi="Arial" w:cs="Arial"/>
          <w:sz w:val="22"/>
          <w:szCs w:val="22"/>
        </w:rPr>
        <w:t xml:space="preserve"> à cette fin le montant de 387 770 dollars des États-Unis à l</w:t>
      </w:r>
      <w:r w:rsidR="009C104E">
        <w:rPr>
          <w:rFonts w:ascii="Arial" w:hAnsi="Arial" w:cs="Arial"/>
          <w:sz w:val="22"/>
          <w:szCs w:val="22"/>
        </w:rPr>
        <w:t>’</w:t>
      </w:r>
      <w:r w:rsidRPr="00E10266">
        <w:rPr>
          <w:rFonts w:ascii="Arial" w:hAnsi="Arial" w:cs="Arial"/>
          <w:sz w:val="22"/>
          <w:szCs w:val="22"/>
        </w:rPr>
        <w:t>État partie ;</w:t>
      </w:r>
    </w:p>
    <w:p w14:paraId="41B3504B" w14:textId="65DEA202" w:rsidR="00E10266" w:rsidRPr="00E10266" w:rsidRDefault="00E10266" w:rsidP="00771F30">
      <w:pPr>
        <w:numPr>
          <w:ilvl w:val="1"/>
          <w:numId w:val="46"/>
        </w:numPr>
        <w:tabs>
          <w:tab w:val="left" w:pos="567"/>
          <w:tab w:val="left" w:pos="1701"/>
          <w:tab w:val="left" w:pos="2268"/>
        </w:tabs>
        <w:spacing w:before="120" w:after="120"/>
        <w:ind w:left="567"/>
        <w:jc w:val="both"/>
        <w:rPr>
          <w:rFonts w:ascii="Arial" w:hAnsi="Arial" w:cs="Arial"/>
          <w:sz w:val="22"/>
          <w:szCs w:val="22"/>
        </w:rPr>
      </w:pPr>
      <w:r w:rsidRPr="00E10266">
        <w:rPr>
          <w:rFonts w:ascii="Arial" w:hAnsi="Arial" w:cs="Arial"/>
          <w:sz w:val="22"/>
          <w:szCs w:val="22"/>
          <w:u w:val="single"/>
        </w:rPr>
        <w:t>Félicite</w:t>
      </w:r>
      <w:r w:rsidRPr="00E10266">
        <w:rPr>
          <w:rFonts w:ascii="Arial" w:hAnsi="Arial" w:cs="Arial"/>
          <w:sz w:val="22"/>
          <w:szCs w:val="22"/>
        </w:rPr>
        <w:t xml:space="preserve"> l</w:t>
      </w:r>
      <w:r w:rsidR="009C104E">
        <w:rPr>
          <w:rFonts w:ascii="Arial" w:hAnsi="Arial" w:cs="Arial"/>
          <w:sz w:val="22"/>
          <w:szCs w:val="22"/>
        </w:rPr>
        <w:t>’</w:t>
      </w:r>
      <w:r w:rsidRPr="00E10266">
        <w:rPr>
          <w:rFonts w:ascii="Arial" w:hAnsi="Arial" w:cs="Arial"/>
          <w:sz w:val="22"/>
          <w:szCs w:val="22"/>
        </w:rPr>
        <w:t>État partie d</w:t>
      </w:r>
      <w:r w:rsidR="009C104E">
        <w:rPr>
          <w:rFonts w:ascii="Arial" w:hAnsi="Arial" w:cs="Arial"/>
          <w:sz w:val="22"/>
          <w:szCs w:val="22"/>
        </w:rPr>
        <w:t>’</w:t>
      </w:r>
      <w:r w:rsidRPr="00E10266">
        <w:rPr>
          <w:rFonts w:ascii="Arial" w:hAnsi="Arial" w:cs="Arial"/>
          <w:sz w:val="22"/>
          <w:szCs w:val="22"/>
        </w:rPr>
        <w:t>avoir soumis un projet très bien structuré présentant clairement ses objectifs, ses activités et les résultats escomptés, ainsi qu</w:t>
      </w:r>
      <w:r w:rsidR="009C104E">
        <w:rPr>
          <w:rFonts w:ascii="Arial" w:hAnsi="Arial" w:cs="Arial"/>
          <w:sz w:val="22"/>
          <w:szCs w:val="22"/>
        </w:rPr>
        <w:t>’</w:t>
      </w:r>
      <w:r w:rsidRPr="00E10266">
        <w:rPr>
          <w:rFonts w:ascii="Arial" w:hAnsi="Arial" w:cs="Arial"/>
          <w:sz w:val="22"/>
          <w:szCs w:val="22"/>
        </w:rPr>
        <w:t>un budget complet et un calendrier précis, et visant à renforcer les capacités d</w:t>
      </w:r>
      <w:r w:rsidR="009C104E">
        <w:rPr>
          <w:rFonts w:ascii="Arial" w:hAnsi="Arial" w:cs="Arial"/>
          <w:sz w:val="22"/>
          <w:szCs w:val="22"/>
        </w:rPr>
        <w:t>’</w:t>
      </w:r>
      <w:r w:rsidRPr="00E10266">
        <w:rPr>
          <w:rFonts w:ascii="Arial" w:hAnsi="Arial" w:cs="Arial"/>
          <w:sz w:val="22"/>
          <w:szCs w:val="22"/>
        </w:rPr>
        <w:t>un grand nombre d</w:t>
      </w:r>
      <w:r w:rsidR="009C104E">
        <w:rPr>
          <w:rFonts w:ascii="Arial" w:hAnsi="Arial" w:cs="Arial"/>
          <w:sz w:val="22"/>
          <w:szCs w:val="22"/>
        </w:rPr>
        <w:t>’</w:t>
      </w:r>
      <w:r w:rsidRPr="00E10266">
        <w:rPr>
          <w:rFonts w:ascii="Arial" w:hAnsi="Arial" w:cs="Arial"/>
          <w:sz w:val="22"/>
          <w:szCs w:val="22"/>
        </w:rPr>
        <w:t>acteurs locaux à l</w:t>
      </w:r>
      <w:r w:rsidR="009C104E">
        <w:rPr>
          <w:rFonts w:ascii="Arial" w:hAnsi="Arial" w:cs="Arial"/>
          <w:sz w:val="22"/>
          <w:szCs w:val="22"/>
        </w:rPr>
        <w:t>’</w:t>
      </w:r>
      <w:r w:rsidRPr="00E10266">
        <w:rPr>
          <w:rFonts w:ascii="Arial" w:hAnsi="Arial" w:cs="Arial"/>
          <w:sz w:val="22"/>
          <w:szCs w:val="22"/>
        </w:rPr>
        <w:t>échelle nationale ;</w:t>
      </w:r>
    </w:p>
    <w:p w14:paraId="171C2969" w14:textId="237DDBF5" w:rsidR="00E10266" w:rsidRDefault="00E10266" w:rsidP="00771F30">
      <w:pPr>
        <w:numPr>
          <w:ilvl w:val="1"/>
          <w:numId w:val="46"/>
        </w:numPr>
        <w:tabs>
          <w:tab w:val="left" w:pos="567"/>
          <w:tab w:val="left" w:pos="1701"/>
          <w:tab w:val="left" w:pos="2268"/>
        </w:tabs>
        <w:spacing w:before="120" w:after="120"/>
        <w:ind w:left="567"/>
        <w:jc w:val="both"/>
        <w:rPr>
          <w:rFonts w:ascii="Arial" w:hAnsi="Arial" w:cs="Arial"/>
          <w:sz w:val="22"/>
          <w:szCs w:val="22"/>
        </w:rPr>
      </w:pPr>
      <w:r w:rsidRPr="00E10266">
        <w:rPr>
          <w:rFonts w:ascii="Arial" w:hAnsi="Arial" w:cs="Arial"/>
          <w:sz w:val="22"/>
          <w:szCs w:val="22"/>
          <w:u w:val="single"/>
        </w:rPr>
        <w:t>Invite</w:t>
      </w:r>
      <w:r w:rsidRPr="00E10266">
        <w:rPr>
          <w:rFonts w:ascii="Arial" w:hAnsi="Arial" w:cs="Arial"/>
          <w:sz w:val="22"/>
          <w:szCs w:val="22"/>
        </w:rPr>
        <w:t xml:space="preserve"> l</w:t>
      </w:r>
      <w:r w:rsidR="009C104E">
        <w:rPr>
          <w:rFonts w:ascii="Arial" w:hAnsi="Arial" w:cs="Arial"/>
          <w:sz w:val="22"/>
          <w:szCs w:val="22"/>
        </w:rPr>
        <w:t>’</w:t>
      </w:r>
      <w:r w:rsidRPr="00E10266">
        <w:rPr>
          <w:rFonts w:ascii="Arial" w:hAnsi="Arial" w:cs="Arial"/>
          <w:sz w:val="22"/>
          <w:szCs w:val="22"/>
        </w:rPr>
        <w:t>État partie à utiliser le formulaire ICH-04-Rapport pour rendre compte de l</w:t>
      </w:r>
      <w:r w:rsidR="009C104E">
        <w:rPr>
          <w:rFonts w:ascii="Arial" w:hAnsi="Arial" w:cs="Arial"/>
          <w:sz w:val="22"/>
          <w:szCs w:val="22"/>
        </w:rPr>
        <w:t>’</w:t>
      </w:r>
      <w:r w:rsidRPr="00E10266">
        <w:rPr>
          <w:rFonts w:ascii="Arial" w:hAnsi="Arial" w:cs="Arial"/>
          <w:sz w:val="22"/>
          <w:szCs w:val="22"/>
        </w:rPr>
        <w:t>utilisation de l</w:t>
      </w:r>
      <w:r w:rsidR="009C104E">
        <w:rPr>
          <w:rFonts w:ascii="Arial" w:hAnsi="Arial" w:cs="Arial"/>
          <w:sz w:val="22"/>
          <w:szCs w:val="22"/>
        </w:rPr>
        <w:t>’</w:t>
      </w:r>
      <w:r w:rsidRPr="00E10266">
        <w:rPr>
          <w:rFonts w:ascii="Arial" w:hAnsi="Arial" w:cs="Arial"/>
          <w:sz w:val="22"/>
          <w:szCs w:val="22"/>
        </w:rPr>
        <w:t>assistance accordée.</w:t>
      </w:r>
    </w:p>
    <w:p w14:paraId="2E6D64A8" w14:textId="77777777" w:rsidR="006D14E5" w:rsidRDefault="006D14E5" w:rsidP="006D14E5">
      <w:pPr>
        <w:pStyle w:val="GATitleResolution"/>
        <w:tabs>
          <w:tab w:val="clear" w:pos="567"/>
          <w:tab w:val="left" w:pos="0"/>
        </w:tabs>
        <w:spacing w:before="360"/>
        <w:ind w:left="0"/>
      </w:pPr>
      <w:r w:rsidRPr="00561007">
        <w:t>DÉCISION 14.COM 11</w:t>
      </w:r>
    </w:p>
    <w:p w14:paraId="35BB4DC2" w14:textId="77777777" w:rsidR="006D14E5" w:rsidRDefault="006D14E5" w:rsidP="006D14E5">
      <w:pPr>
        <w:pStyle w:val="COMPreambulaDecision"/>
        <w:tabs>
          <w:tab w:val="clear" w:pos="567"/>
          <w:tab w:val="left" w:pos="0"/>
        </w:tabs>
        <w:ind w:left="0"/>
      </w:pPr>
      <w:r>
        <w:t>Le Comité,</w:t>
      </w:r>
    </w:p>
    <w:p w14:paraId="6DA2E550" w14:textId="77777777" w:rsidR="006D14E5" w:rsidRDefault="006D14E5" w:rsidP="00771F30">
      <w:pPr>
        <w:pStyle w:val="COMParaDecision"/>
        <w:numPr>
          <w:ilvl w:val="0"/>
          <w:numId w:val="47"/>
        </w:numPr>
        <w:ind w:left="567" w:hanging="567"/>
        <w:jc w:val="left"/>
      </w:pPr>
      <w:r>
        <w:t>Ayant examiné</w:t>
      </w:r>
      <w:r w:rsidRPr="006D14E5">
        <w:rPr>
          <w:u w:val="none"/>
        </w:rPr>
        <w:t xml:space="preserve"> le document </w:t>
      </w:r>
      <w:hyperlink r:id="rId64" w:history="1">
        <w:r w:rsidRPr="006D14E5">
          <w:rPr>
            <w:rStyle w:val="Hyperlink"/>
          </w:rPr>
          <w:t>LHE/19/14.COM/11</w:t>
        </w:r>
      </w:hyperlink>
      <w:r w:rsidRPr="006D14E5">
        <w:rPr>
          <w:u w:val="none"/>
        </w:rPr>
        <w:t>,</w:t>
      </w:r>
    </w:p>
    <w:p w14:paraId="1D44261A" w14:textId="77777777" w:rsidR="006D14E5" w:rsidRDefault="006D14E5" w:rsidP="00771F30">
      <w:pPr>
        <w:pStyle w:val="COMParaDecision"/>
        <w:numPr>
          <w:ilvl w:val="0"/>
          <w:numId w:val="5"/>
        </w:numPr>
        <w:ind w:left="567" w:hanging="567"/>
        <w:jc w:val="left"/>
      </w:pPr>
      <w:r>
        <w:t>Rappelant</w:t>
      </w:r>
      <w:r>
        <w:rPr>
          <w:u w:val="none"/>
        </w:rPr>
        <w:t xml:space="preserve"> la </w:t>
      </w:r>
      <w:hyperlink r:id="rId65" w:history="1">
        <w:r>
          <w:rPr>
            <w:rStyle w:val="Hyperlink"/>
          </w:rPr>
          <w:t>décision 13.COM 10.c.2</w:t>
        </w:r>
      </w:hyperlink>
      <w:r>
        <w:rPr>
          <w:u w:val="none"/>
        </w:rPr>
        <w:t xml:space="preserve"> et le chapitre I.12 des Directives opérationnelles,</w:t>
      </w:r>
    </w:p>
    <w:p w14:paraId="5A76669F" w14:textId="203F4E78" w:rsidR="006D14E5" w:rsidRDefault="006D14E5" w:rsidP="00771F30">
      <w:pPr>
        <w:pStyle w:val="COMParaDecision"/>
        <w:numPr>
          <w:ilvl w:val="0"/>
          <w:numId w:val="5"/>
        </w:numPr>
        <w:ind w:left="567" w:hanging="567"/>
        <w:rPr>
          <w:u w:val="none"/>
        </w:rPr>
      </w:pPr>
      <w:r>
        <w:t>Notant</w:t>
      </w:r>
      <w:r>
        <w:rPr>
          <w:u w:val="none"/>
        </w:rPr>
        <w:t xml:space="preserve"> la demande de la Suède de modifier le nom « Le </w:t>
      </w:r>
      <w:r>
        <w:rPr>
          <w:u w:val="none"/>
          <w:lang w:bidi="fr-FR"/>
        </w:rPr>
        <w:t>programme « Terre des légendes » pour promouvoir et redynamiser l</w:t>
      </w:r>
      <w:r w:rsidR="009C104E">
        <w:rPr>
          <w:u w:val="none"/>
          <w:lang w:bidi="fr-FR"/>
        </w:rPr>
        <w:t>’</w:t>
      </w:r>
      <w:r>
        <w:rPr>
          <w:u w:val="none"/>
          <w:lang w:bidi="fr-FR"/>
        </w:rPr>
        <w:t>art du conte dans le comté de Kronoberg (sud de la Suède) »</w:t>
      </w:r>
      <w:r>
        <w:rPr>
          <w:u w:val="none"/>
        </w:rPr>
        <w:t xml:space="preserve">, sélectionné en 2018 </w:t>
      </w:r>
      <w:r>
        <w:rPr>
          <w:u w:val="none"/>
          <w:lang w:bidi="fr-FR"/>
        </w:rPr>
        <w:t>comme programme, projet ou activité reflétant le mieux les principes et objectifs de la Convention,</w:t>
      </w:r>
    </w:p>
    <w:p w14:paraId="0B4BBDED" w14:textId="3A166D8F" w:rsidR="006D14E5" w:rsidRDefault="006D14E5" w:rsidP="00771F30">
      <w:pPr>
        <w:pStyle w:val="COMParaDecision"/>
        <w:numPr>
          <w:ilvl w:val="0"/>
          <w:numId w:val="5"/>
        </w:numPr>
        <w:ind w:left="567" w:hanging="567"/>
        <w:rPr>
          <w:u w:val="none"/>
        </w:rPr>
      </w:pPr>
      <w:r>
        <w:t>Approuve</w:t>
      </w:r>
      <w:r>
        <w:rPr>
          <w:u w:val="none"/>
        </w:rPr>
        <w:t xml:space="preserve"> le changement de nom proposé par la Suède et </w:t>
      </w:r>
      <w:r>
        <w:t>décide</w:t>
      </w:r>
      <w:r>
        <w:rPr>
          <w:u w:val="none"/>
        </w:rPr>
        <w:t xml:space="preserve"> </w:t>
      </w:r>
      <w:r>
        <w:rPr>
          <w:u w:val="none"/>
          <w:lang w:bidi="fr-FR"/>
        </w:rPr>
        <w:t>que le nouveau nom du programme est « </w:t>
      </w:r>
      <w:r>
        <w:rPr>
          <w:b/>
          <w:u w:val="none"/>
          <w:lang w:bidi="fr-FR"/>
        </w:rPr>
        <w:t>Land-of-Legends programme, for promoting and revitalizing the art of storytelling in Kronoberg Region</w:t>
      </w:r>
      <w:r>
        <w:rPr>
          <w:u w:val="none"/>
          <w:lang w:bidi="fr-FR"/>
        </w:rPr>
        <w:t xml:space="preserve"> » en anglais et </w:t>
      </w:r>
      <w:r>
        <w:rPr>
          <w:u w:val="none"/>
        </w:rPr>
        <w:t>« </w:t>
      </w:r>
      <w:r>
        <w:rPr>
          <w:b/>
          <w:u w:val="none"/>
        </w:rPr>
        <w:t>Le programme Terre des légendes, pour promouvoir et redynamiser l</w:t>
      </w:r>
      <w:r w:rsidR="009C104E">
        <w:rPr>
          <w:b/>
          <w:u w:val="none"/>
        </w:rPr>
        <w:t>’</w:t>
      </w:r>
      <w:r>
        <w:rPr>
          <w:b/>
          <w:u w:val="none"/>
        </w:rPr>
        <w:t>art du conte dans le comté de Kronoberg </w:t>
      </w:r>
      <w:r>
        <w:rPr>
          <w:u w:val="none"/>
        </w:rPr>
        <w:t>» en français ;</w:t>
      </w:r>
    </w:p>
    <w:p w14:paraId="73C1F09B" w14:textId="7E43E366" w:rsidR="006D14E5" w:rsidRPr="006D11D2" w:rsidRDefault="006D14E5" w:rsidP="00771F30">
      <w:pPr>
        <w:pStyle w:val="COMParaDecision"/>
        <w:numPr>
          <w:ilvl w:val="0"/>
          <w:numId w:val="5"/>
        </w:numPr>
        <w:ind w:left="567" w:hanging="567"/>
        <w:rPr>
          <w:snapToGrid w:val="0"/>
          <w:lang w:eastAsia="en-US"/>
        </w:rPr>
      </w:pPr>
      <w:r>
        <w:t>Demande</w:t>
      </w:r>
      <w:r>
        <w:rPr>
          <w:u w:val="none"/>
        </w:rPr>
        <w:t xml:space="preserve"> </w:t>
      </w:r>
      <w:r>
        <w:rPr>
          <w:u w:val="none"/>
          <w:lang w:bidi="fr-FR"/>
        </w:rPr>
        <w:t>au Secrétariat d</w:t>
      </w:r>
      <w:r w:rsidR="009C104E">
        <w:rPr>
          <w:u w:val="none"/>
          <w:lang w:bidi="fr-FR"/>
        </w:rPr>
        <w:t>’</w:t>
      </w:r>
      <w:r>
        <w:rPr>
          <w:u w:val="none"/>
          <w:lang w:bidi="fr-FR"/>
        </w:rPr>
        <w:t>intégrer cette modification dans toutes ses communications relatives au programme en question.</w:t>
      </w:r>
    </w:p>
    <w:p w14:paraId="72385D65" w14:textId="77777777" w:rsidR="006D11D2" w:rsidRDefault="006D11D2" w:rsidP="001A4F02">
      <w:pPr>
        <w:pStyle w:val="COMTitleDecision"/>
        <w:keepNext w:val="0"/>
        <w:spacing w:before="360"/>
        <w:ind w:left="0"/>
        <w:rPr>
          <w:rFonts w:eastAsia="SimSun"/>
        </w:rPr>
      </w:pPr>
      <w:r>
        <w:t>DÉCISION 14.COM 12</w:t>
      </w:r>
    </w:p>
    <w:p w14:paraId="7763EBE4" w14:textId="77777777" w:rsidR="006D11D2" w:rsidRDefault="006D11D2" w:rsidP="006D11D2">
      <w:pPr>
        <w:pStyle w:val="COMPreambulaDecisions"/>
        <w:keepNext w:val="0"/>
        <w:ind w:left="0"/>
        <w:rPr>
          <w:rFonts w:eastAsia="SimSun"/>
        </w:rPr>
      </w:pPr>
      <w:r>
        <w:t>Le Comité,</w:t>
      </w:r>
    </w:p>
    <w:p w14:paraId="4F5D81F0" w14:textId="19A2DBEB" w:rsidR="006D11D2" w:rsidRPr="006D11D2" w:rsidRDefault="006D11D2" w:rsidP="00771F30">
      <w:pPr>
        <w:pStyle w:val="COMParaDecision"/>
        <w:numPr>
          <w:ilvl w:val="0"/>
          <w:numId w:val="48"/>
        </w:numPr>
        <w:ind w:left="567" w:hanging="567"/>
        <w:jc w:val="left"/>
        <w:rPr>
          <w:rFonts w:eastAsia="SimSun"/>
        </w:rPr>
      </w:pPr>
      <w:r>
        <w:t>Ayant examiné</w:t>
      </w:r>
      <w:r w:rsidRPr="006D11D2">
        <w:rPr>
          <w:u w:val="none"/>
        </w:rPr>
        <w:t xml:space="preserve"> le document </w:t>
      </w:r>
      <w:hyperlink r:id="rId66" w:history="1">
        <w:r w:rsidRPr="006D11D2">
          <w:rPr>
            <w:rStyle w:val="Hyperlink"/>
          </w:rPr>
          <w:t>LHE/19/14.COM/12</w:t>
        </w:r>
      </w:hyperlink>
      <w:r w:rsidR="00561007">
        <w:rPr>
          <w:rStyle w:val="Hyperlink"/>
        </w:rPr>
        <w:t xml:space="preserve"> et son addendum</w:t>
      </w:r>
      <w:r w:rsidRPr="006D11D2">
        <w:rPr>
          <w:u w:val="none"/>
        </w:rPr>
        <w:t>,</w:t>
      </w:r>
    </w:p>
    <w:p w14:paraId="514EB49F" w14:textId="77777777" w:rsidR="006D11D2" w:rsidRDefault="006D11D2" w:rsidP="00771F30">
      <w:pPr>
        <w:pStyle w:val="COMParaDecision"/>
        <w:numPr>
          <w:ilvl w:val="0"/>
          <w:numId w:val="5"/>
        </w:numPr>
        <w:ind w:left="567" w:hanging="567"/>
        <w:rPr>
          <w:u w:val="none"/>
        </w:rPr>
      </w:pPr>
      <w:r>
        <w:t>Rappelant</w:t>
      </w:r>
      <w:r>
        <w:rPr>
          <w:u w:val="none"/>
        </w:rPr>
        <w:t xml:space="preserve"> les décisions </w:t>
      </w:r>
      <w:hyperlink r:id="rId67" w:history="1">
        <w:r>
          <w:rPr>
            <w:rStyle w:val="Hyperlink"/>
          </w:rPr>
          <w:t>7.COM 11</w:t>
        </w:r>
      </w:hyperlink>
      <w:r>
        <w:rPr>
          <w:u w:val="none"/>
        </w:rPr>
        <w:t xml:space="preserve">, </w:t>
      </w:r>
      <w:hyperlink r:id="rId68" w:history="1">
        <w:r>
          <w:rPr>
            <w:rStyle w:val="Hyperlink"/>
          </w:rPr>
          <w:t>7.COM 15</w:t>
        </w:r>
      </w:hyperlink>
      <w:r>
        <w:rPr>
          <w:u w:val="none"/>
        </w:rPr>
        <w:t xml:space="preserve"> et </w:t>
      </w:r>
      <w:hyperlink r:id="rId69" w:history="1">
        <w:r>
          <w:rPr>
            <w:rStyle w:val="Hyperlink"/>
          </w:rPr>
          <w:t>14.COM 1.BUR 4</w:t>
        </w:r>
      </w:hyperlink>
      <w:r>
        <w:rPr>
          <w:u w:val="none"/>
        </w:rPr>
        <w:t>, ainsi que le paragraphe 40 des Directives opérationnelles,</w:t>
      </w:r>
    </w:p>
    <w:p w14:paraId="537408D5" w14:textId="033D9C18" w:rsidR="006D11D2" w:rsidRDefault="006D11D2" w:rsidP="00771F30">
      <w:pPr>
        <w:pStyle w:val="COMParaDecision"/>
        <w:numPr>
          <w:ilvl w:val="0"/>
          <w:numId w:val="5"/>
        </w:numPr>
        <w:ind w:left="567" w:hanging="567"/>
        <w:rPr>
          <w:u w:val="none"/>
        </w:rPr>
      </w:pPr>
      <w:r>
        <w:t>Rappelant en outre</w:t>
      </w:r>
      <w:r>
        <w:rPr>
          <w:u w:val="none"/>
        </w:rPr>
        <w:t xml:space="preserve"> que le carnaval d</w:t>
      </w:r>
      <w:r w:rsidR="009C104E">
        <w:rPr>
          <w:u w:val="none"/>
        </w:rPr>
        <w:t>’</w:t>
      </w:r>
      <w:r>
        <w:rPr>
          <w:u w:val="none"/>
        </w:rPr>
        <w:t>Alost a été inscrit en 2010 sur la Liste représentative du patrimoine culturel immatériel de l</w:t>
      </w:r>
      <w:r w:rsidR="009C104E">
        <w:rPr>
          <w:u w:val="none"/>
        </w:rPr>
        <w:t>’</w:t>
      </w:r>
      <w:r>
        <w:rPr>
          <w:u w:val="none"/>
        </w:rPr>
        <w:t>humanité sur la base de la candidature soumise par la Belgique (</w:t>
      </w:r>
      <w:hyperlink r:id="rId70" w:history="1">
        <w:r>
          <w:rPr>
            <w:rStyle w:val="Hyperlink"/>
          </w:rPr>
          <w:t>décision 5.COM 6.3</w:t>
        </w:r>
      </w:hyperlink>
      <w:r>
        <w:rPr>
          <w:u w:val="none"/>
        </w:rPr>
        <w:t>),</w:t>
      </w:r>
    </w:p>
    <w:p w14:paraId="2583C1C0" w14:textId="28BB377B" w:rsidR="006D11D2" w:rsidRDefault="006D11D2" w:rsidP="00771F30">
      <w:pPr>
        <w:pStyle w:val="COMParaDecision"/>
        <w:numPr>
          <w:ilvl w:val="0"/>
          <w:numId w:val="5"/>
        </w:numPr>
        <w:ind w:left="567" w:hanging="567"/>
        <w:rPr>
          <w:u w:val="none"/>
        </w:rPr>
      </w:pPr>
      <w:r>
        <w:t>Rappelant également</w:t>
      </w:r>
      <w:r>
        <w:rPr>
          <w:u w:val="none"/>
        </w:rPr>
        <w:t xml:space="preserve"> les principes fondateurs de l</w:t>
      </w:r>
      <w:r w:rsidR="009C104E">
        <w:rPr>
          <w:u w:val="none"/>
        </w:rPr>
        <w:t>’</w:t>
      </w:r>
      <w:r>
        <w:rPr>
          <w:u w:val="none"/>
        </w:rPr>
        <w:t>UNESCO que sont la dignité, l</w:t>
      </w:r>
      <w:r w:rsidR="009C104E">
        <w:rPr>
          <w:u w:val="none"/>
        </w:rPr>
        <w:t>’</w:t>
      </w:r>
      <w:r>
        <w:rPr>
          <w:u w:val="none"/>
        </w:rPr>
        <w:t>égalité et le respect mutuel entre les peuples, tels que reflétés dans le préambule de l</w:t>
      </w:r>
      <w:r w:rsidR="009C104E">
        <w:rPr>
          <w:u w:val="none"/>
        </w:rPr>
        <w:t>’</w:t>
      </w:r>
      <w:r>
        <w:rPr>
          <w:u w:val="none"/>
        </w:rPr>
        <w:t>Acte constitutif de l</w:t>
      </w:r>
      <w:r w:rsidR="009C104E">
        <w:rPr>
          <w:u w:val="none"/>
        </w:rPr>
        <w:t>’</w:t>
      </w:r>
      <w:r>
        <w:rPr>
          <w:u w:val="none"/>
        </w:rPr>
        <w:t>Organisation, ainsi que l</w:t>
      </w:r>
      <w:r w:rsidR="009C104E">
        <w:rPr>
          <w:u w:val="none"/>
        </w:rPr>
        <w:t>’</w:t>
      </w:r>
      <w:r>
        <w:rPr>
          <w:u w:val="none"/>
        </w:rPr>
        <w:t>exigence du respect mutuel entre communautés, groupes et individus, telle que stipulée dans l</w:t>
      </w:r>
      <w:r w:rsidR="009C104E">
        <w:rPr>
          <w:u w:val="none"/>
        </w:rPr>
        <w:t>’</w:t>
      </w:r>
      <w:r>
        <w:rPr>
          <w:u w:val="none"/>
        </w:rPr>
        <w:t xml:space="preserve">article 2 de la Convention, et </w:t>
      </w:r>
      <w:r>
        <w:t>reconnaissant</w:t>
      </w:r>
      <w:r>
        <w:rPr>
          <w:u w:val="none"/>
        </w:rPr>
        <w:t xml:space="preserve"> les communiqués publiés par l</w:t>
      </w:r>
      <w:r w:rsidR="009C104E">
        <w:rPr>
          <w:u w:val="none"/>
        </w:rPr>
        <w:t>’</w:t>
      </w:r>
      <w:r>
        <w:rPr>
          <w:u w:val="none"/>
        </w:rPr>
        <w:t xml:space="preserve">UNESCO les 6 </w:t>
      </w:r>
      <w:r w:rsidR="002C0FC9">
        <w:rPr>
          <w:u w:val="none"/>
        </w:rPr>
        <w:t xml:space="preserve">mars </w:t>
      </w:r>
      <w:r>
        <w:rPr>
          <w:u w:val="none"/>
        </w:rPr>
        <w:t>et 22 mars 2019,</w:t>
      </w:r>
    </w:p>
    <w:p w14:paraId="4AACAB94" w14:textId="1C457D98" w:rsidR="006D11D2" w:rsidRDefault="006D11D2" w:rsidP="00771F30">
      <w:pPr>
        <w:pStyle w:val="COMParaDecision"/>
        <w:numPr>
          <w:ilvl w:val="0"/>
          <w:numId w:val="5"/>
        </w:numPr>
        <w:ind w:left="567" w:hanging="567"/>
        <w:rPr>
          <w:u w:val="none"/>
        </w:rPr>
      </w:pPr>
      <w:r>
        <w:t>Condamne</w:t>
      </w:r>
      <w:r>
        <w:rPr>
          <w:u w:val="none"/>
        </w:rPr>
        <w:t xml:space="preserve"> toutes les formes </w:t>
      </w:r>
      <w:r w:rsidR="00561007">
        <w:rPr>
          <w:u w:val="none"/>
        </w:rPr>
        <w:t>de discrimination, y compris le</w:t>
      </w:r>
      <w:r>
        <w:rPr>
          <w:u w:val="none"/>
        </w:rPr>
        <w:t xml:space="preserve"> racisme, </w:t>
      </w:r>
      <w:r w:rsidR="00561007">
        <w:rPr>
          <w:u w:val="none"/>
        </w:rPr>
        <w:t>l’</w:t>
      </w:r>
      <w:r>
        <w:rPr>
          <w:u w:val="none"/>
        </w:rPr>
        <w:t xml:space="preserve">antisémitisme, </w:t>
      </w:r>
      <w:r w:rsidR="00561007">
        <w:rPr>
          <w:u w:val="none"/>
        </w:rPr>
        <w:t>l’i</w:t>
      </w:r>
      <w:r>
        <w:rPr>
          <w:u w:val="none"/>
        </w:rPr>
        <w:t xml:space="preserve">slamophobie et </w:t>
      </w:r>
      <w:r w:rsidR="00561007">
        <w:rPr>
          <w:u w:val="none"/>
        </w:rPr>
        <w:t xml:space="preserve">la </w:t>
      </w:r>
      <w:r>
        <w:rPr>
          <w:u w:val="none"/>
        </w:rPr>
        <w:t>xénophobie ;</w:t>
      </w:r>
    </w:p>
    <w:p w14:paraId="542863BE" w14:textId="7972964B" w:rsidR="00561007" w:rsidRPr="00D12E5F" w:rsidRDefault="00D12E5F" w:rsidP="00D12E5F">
      <w:pPr>
        <w:pStyle w:val="COMParaDecision"/>
        <w:numPr>
          <w:ilvl w:val="0"/>
          <w:numId w:val="5"/>
        </w:numPr>
        <w:ind w:left="567" w:hanging="567"/>
        <w:rPr>
          <w:u w:val="none"/>
        </w:rPr>
      </w:pPr>
      <w:r>
        <w:t>Prend note</w:t>
      </w:r>
      <w:r w:rsidRPr="00D12E5F">
        <w:rPr>
          <w:u w:val="none"/>
        </w:rPr>
        <w:t xml:space="preserve"> de la note verbale du 5 décembre 2019 envoyée par la Délégation permanente du Royaume de Belgique auprès de l’UNESCO au Secrétariat de la Convention, demandant que le carnaval d’Alost soit retiré de la Liste représentative du patrimoine culturel immatériel de l’humanité, à la demande de la ville d’Alost et au nom de la communauté du carnaval d’Alost ;</w:t>
      </w:r>
    </w:p>
    <w:p w14:paraId="5D3F3BE2" w14:textId="151EA8A5" w:rsidR="006D11D2" w:rsidRDefault="006D11D2" w:rsidP="00771F30">
      <w:pPr>
        <w:pStyle w:val="COMParaDecision"/>
        <w:numPr>
          <w:ilvl w:val="0"/>
          <w:numId w:val="5"/>
        </w:numPr>
        <w:ind w:left="567" w:hanging="567"/>
        <w:rPr>
          <w:u w:val="none"/>
        </w:rPr>
      </w:pPr>
      <w:r>
        <w:t>Considère</w:t>
      </w:r>
      <w:r>
        <w:rPr>
          <w:u w:val="none"/>
        </w:rPr>
        <w:t>, d</w:t>
      </w:r>
      <w:r w:rsidR="009C104E">
        <w:rPr>
          <w:u w:val="none"/>
        </w:rPr>
        <w:t>’</w:t>
      </w:r>
      <w:r>
        <w:rPr>
          <w:u w:val="none"/>
        </w:rPr>
        <w:t>après les éléments portés à son attention par le Bureau et le Secrétariat, que « le carnaval d</w:t>
      </w:r>
      <w:r w:rsidR="009C104E">
        <w:rPr>
          <w:u w:val="none"/>
        </w:rPr>
        <w:t>’</w:t>
      </w:r>
      <w:r>
        <w:rPr>
          <w:u w:val="none"/>
        </w:rPr>
        <w:t>Alost » ne remplit plus les critères R.1 et R.2 d</w:t>
      </w:r>
      <w:r w:rsidR="009C104E">
        <w:rPr>
          <w:u w:val="none"/>
        </w:rPr>
        <w:t>’</w:t>
      </w:r>
      <w:r>
        <w:rPr>
          <w:u w:val="none"/>
        </w:rPr>
        <w:t>inscription sur la Liste représentative du patrimoine culturel immatériel de l</w:t>
      </w:r>
      <w:r w:rsidR="009C104E">
        <w:rPr>
          <w:u w:val="none"/>
        </w:rPr>
        <w:t>’</w:t>
      </w:r>
      <w:r>
        <w:rPr>
          <w:u w:val="none"/>
        </w:rPr>
        <w:t>humanité, comme suit :</w:t>
      </w:r>
    </w:p>
    <w:p w14:paraId="5DE93540" w14:textId="52660447" w:rsidR="006D11D2" w:rsidRDefault="006D11D2" w:rsidP="006D11D2">
      <w:pPr>
        <w:tabs>
          <w:tab w:val="left" w:pos="567"/>
          <w:tab w:val="left" w:pos="1134"/>
          <w:tab w:val="left" w:pos="2268"/>
        </w:tabs>
        <w:spacing w:before="120" w:after="120"/>
        <w:ind w:left="1134" w:hanging="567"/>
        <w:jc w:val="both"/>
        <w:rPr>
          <w:rFonts w:ascii="Arial" w:hAnsi="Arial" w:cs="Arial"/>
          <w:sz w:val="22"/>
          <w:szCs w:val="22"/>
        </w:rPr>
      </w:pPr>
      <w:r>
        <w:rPr>
          <w:rFonts w:ascii="Arial" w:hAnsi="Arial" w:cs="Arial"/>
          <w:sz w:val="22"/>
          <w:szCs w:val="22"/>
        </w:rPr>
        <w:t>R.1 :</w:t>
      </w:r>
      <w:r w:rsidR="002A7CCF" w:rsidRPr="00EE020D">
        <w:rPr>
          <w:rFonts w:ascii="Arial" w:hAnsi="Arial" w:cs="Arial"/>
          <w:sz w:val="22"/>
          <w:szCs w:val="22"/>
        </w:rPr>
        <w:tab/>
      </w:r>
      <w:r>
        <w:rPr>
          <w:rFonts w:ascii="Arial" w:hAnsi="Arial" w:cs="Arial"/>
          <w:sz w:val="22"/>
          <w:szCs w:val="22"/>
        </w:rPr>
        <w:t>Depuis son inscription, le carnaval d</w:t>
      </w:r>
      <w:r w:rsidR="009C104E">
        <w:rPr>
          <w:rFonts w:ascii="Arial" w:hAnsi="Arial" w:cs="Arial"/>
          <w:sz w:val="22"/>
          <w:szCs w:val="22"/>
        </w:rPr>
        <w:t>’</w:t>
      </w:r>
      <w:r>
        <w:rPr>
          <w:rFonts w:ascii="Arial" w:hAnsi="Arial" w:cs="Arial"/>
          <w:sz w:val="22"/>
          <w:szCs w:val="22"/>
        </w:rPr>
        <w:t>Alost a, à plusieurs reprises, diffusé des messages, images et représentations qui peuvent être considérés, au sein de la communauté et en dehors, comme encourageant les stéréotypes, ridiculisant certains groupes et insultant les souvenirs d</w:t>
      </w:r>
      <w:r w:rsidR="009C104E">
        <w:rPr>
          <w:rFonts w:ascii="Arial" w:hAnsi="Arial" w:cs="Arial"/>
          <w:sz w:val="22"/>
          <w:szCs w:val="22"/>
        </w:rPr>
        <w:t>’</w:t>
      </w:r>
      <w:r>
        <w:rPr>
          <w:rFonts w:ascii="Arial" w:hAnsi="Arial" w:cs="Arial"/>
          <w:sz w:val="22"/>
          <w:szCs w:val="22"/>
        </w:rPr>
        <w:t>expériences historiques douloureuses comme le génocide, l</w:t>
      </w:r>
      <w:r w:rsidR="009C104E">
        <w:rPr>
          <w:rFonts w:ascii="Arial" w:hAnsi="Arial" w:cs="Arial"/>
          <w:sz w:val="22"/>
          <w:szCs w:val="22"/>
        </w:rPr>
        <w:t>’</w:t>
      </w:r>
      <w:r>
        <w:rPr>
          <w:rFonts w:ascii="Arial" w:hAnsi="Arial" w:cs="Arial"/>
          <w:sz w:val="22"/>
          <w:szCs w:val="22"/>
        </w:rPr>
        <w:t>esclavage et la ségrégation raciale. Ces comportements, intentionnels ou non, vont à l</w:t>
      </w:r>
      <w:r w:rsidR="009C104E">
        <w:rPr>
          <w:rFonts w:ascii="Arial" w:hAnsi="Arial" w:cs="Arial"/>
          <w:sz w:val="22"/>
          <w:szCs w:val="22"/>
        </w:rPr>
        <w:t>’</w:t>
      </w:r>
      <w:r>
        <w:rPr>
          <w:rFonts w:ascii="Arial" w:hAnsi="Arial" w:cs="Arial"/>
          <w:sz w:val="22"/>
          <w:szCs w:val="22"/>
        </w:rPr>
        <w:t>encontre de</w:t>
      </w:r>
      <w:r w:rsidR="002A7CCF">
        <w:rPr>
          <w:rFonts w:ascii="Arial" w:hAnsi="Arial" w:cs="Arial"/>
          <w:sz w:val="22"/>
          <w:szCs w:val="22"/>
        </w:rPr>
        <w:t xml:space="preserve"> </w:t>
      </w:r>
      <w:r>
        <w:rPr>
          <w:rFonts w:ascii="Arial" w:hAnsi="Arial" w:cs="Arial"/>
          <w:sz w:val="22"/>
          <w:szCs w:val="22"/>
        </w:rPr>
        <w:t>l</w:t>
      </w:r>
      <w:r w:rsidR="009C104E">
        <w:rPr>
          <w:rFonts w:ascii="Arial" w:hAnsi="Arial" w:cs="Arial"/>
          <w:sz w:val="22"/>
          <w:szCs w:val="22"/>
        </w:rPr>
        <w:t>’</w:t>
      </w:r>
      <w:r>
        <w:rPr>
          <w:rFonts w:ascii="Arial" w:hAnsi="Arial" w:cs="Arial"/>
          <w:sz w:val="22"/>
          <w:szCs w:val="22"/>
        </w:rPr>
        <w:t>exigence du respect mutuel entre communautés, groupes et individus. Le carnaval d</w:t>
      </w:r>
      <w:r w:rsidR="009C104E">
        <w:rPr>
          <w:rFonts w:ascii="Arial" w:hAnsi="Arial" w:cs="Arial"/>
          <w:sz w:val="22"/>
          <w:szCs w:val="22"/>
        </w:rPr>
        <w:t>’</w:t>
      </w:r>
      <w:r>
        <w:rPr>
          <w:rFonts w:ascii="Arial" w:hAnsi="Arial" w:cs="Arial"/>
          <w:sz w:val="22"/>
          <w:szCs w:val="22"/>
        </w:rPr>
        <w:t>Alost ne remplit plus le critère</w:t>
      </w:r>
      <w:r>
        <w:t> </w:t>
      </w:r>
      <w:r>
        <w:rPr>
          <w:rFonts w:ascii="Arial" w:hAnsi="Arial" w:cs="Arial"/>
          <w:sz w:val="22"/>
          <w:szCs w:val="22"/>
        </w:rPr>
        <w:t>R.1.</w:t>
      </w:r>
    </w:p>
    <w:p w14:paraId="56ACC485" w14:textId="07651F08" w:rsidR="006D11D2" w:rsidRDefault="006D11D2" w:rsidP="006D11D2">
      <w:pPr>
        <w:tabs>
          <w:tab w:val="left" w:pos="567"/>
          <w:tab w:val="left" w:pos="1134"/>
          <w:tab w:val="left" w:pos="2268"/>
        </w:tabs>
        <w:spacing w:before="120" w:after="120"/>
        <w:ind w:left="1134" w:hanging="567"/>
        <w:jc w:val="both"/>
        <w:rPr>
          <w:rFonts w:ascii="Arial" w:hAnsi="Arial" w:cs="Arial"/>
          <w:sz w:val="22"/>
          <w:szCs w:val="22"/>
        </w:rPr>
      </w:pPr>
      <w:r>
        <w:rPr>
          <w:rFonts w:ascii="Arial" w:hAnsi="Arial" w:cs="Arial"/>
          <w:sz w:val="22"/>
          <w:szCs w:val="22"/>
        </w:rPr>
        <w:t>R.2 :</w:t>
      </w:r>
      <w:r w:rsidR="002A7CCF" w:rsidRPr="00EE020D">
        <w:rPr>
          <w:rFonts w:ascii="Arial" w:hAnsi="Arial" w:cs="Arial"/>
          <w:sz w:val="22"/>
          <w:szCs w:val="22"/>
        </w:rPr>
        <w:tab/>
      </w:r>
      <w:r>
        <w:rPr>
          <w:rFonts w:ascii="Arial" w:hAnsi="Arial" w:cs="Arial"/>
          <w:sz w:val="22"/>
          <w:szCs w:val="22"/>
        </w:rPr>
        <w:t>Des représentations blessantes ont été utilisées, à plusieurs reprises, pendant le carnaval d</w:t>
      </w:r>
      <w:r w:rsidR="009C104E">
        <w:rPr>
          <w:rFonts w:ascii="Arial" w:hAnsi="Arial" w:cs="Arial"/>
          <w:sz w:val="22"/>
          <w:szCs w:val="22"/>
        </w:rPr>
        <w:t>’</w:t>
      </w:r>
      <w:r>
        <w:rPr>
          <w:rFonts w:ascii="Arial" w:hAnsi="Arial" w:cs="Arial"/>
          <w:sz w:val="22"/>
          <w:szCs w:val="22"/>
        </w:rPr>
        <w:t>Alost depuis son inscription sur la Liste représentative. L</w:t>
      </w:r>
      <w:r w:rsidR="009C104E">
        <w:rPr>
          <w:rFonts w:ascii="Arial" w:hAnsi="Arial" w:cs="Arial"/>
          <w:sz w:val="22"/>
          <w:szCs w:val="22"/>
        </w:rPr>
        <w:t>’</w:t>
      </w:r>
      <w:r>
        <w:rPr>
          <w:rFonts w:ascii="Arial" w:hAnsi="Arial" w:cs="Arial"/>
          <w:sz w:val="22"/>
          <w:szCs w:val="22"/>
        </w:rPr>
        <w:t>inscription ne semble pas avoir encouragé le dialogue entre les communautés, suscitant au contraire une méfiance au sein des communautés et entre elles. Le carnaval d</w:t>
      </w:r>
      <w:r w:rsidR="009C104E">
        <w:rPr>
          <w:rFonts w:ascii="Arial" w:hAnsi="Arial" w:cs="Arial"/>
          <w:sz w:val="22"/>
          <w:szCs w:val="22"/>
        </w:rPr>
        <w:t>’</w:t>
      </w:r>
      <w:r>
        <w:rPr>
          <w:rFonts w:ascii="Arial" w:hAnsi="Arial" w:cs="Arial"/>
          <w:sz w:val="22"/>
          <w:szCs w:val="22"/>
        </w:rPr>
        <w:t>Alost ne remplit plus le critère R.2.</w:t>
      </w:r>
    </w:p>
    <w:p w14:paraId="3CFC0E37" w14:textId="68284001" w:rsidR="006D11D2" w:rsidRDefault="006D11D2" w:rsidP="00771F30">
      <w:pPr>
        <w:pStyle w:val="COMParaDecision"/>
        <w:numPr>
          <w:ilvl w:val="0"/>
          <w:numId w:val="5"/>
        </w:numPr>
        <w:ind w:left="567" w:hanging="567"/>
        <w:rPr>
          <w:u w:val="none"/>
        </w:rPr>
      </w:pPr>
      <w:r>
        <w:t>Décide de retirer</w:t>
      </w:r>
      <w:r>
        <w:rPr>
          <w:u w:val="none"/>
        </w:rPr>
        <w:t xml:space="preserve"> « le carnaval d</w:t>
      </w:r>
      <w:r w:rsidR="009C104E">
        <w:rPr>
          <w:u w:val="none"/>
        </w:rPr>
        <w:t>’</w:t>
      </w:r>
      <w:r>
        <w:rPr>
          <w:u w:val="none"/>
        </w:rPr>
        <w:t>Alost » de la Liste représentative du patrimoine culturel immatériel de l</w:t>
      </w:r>
      <w:r w:rsidR="009C104E">
        <w:rPr>
          <w:u w:val="none"/>
        </w:rPr>
        <w:t>’</w:t>
      </w:r>
      <w:r>
        <w:rPr>
          <w:u w:val="none"/>
        </w:rPr>
        <w:t>humanité.</w:t>
      </w:r>
    </w:p>
    <w:p w14:paraId="2CBA1D09" w14:textId="77777777" w:rsidR="00400706" w:rsidRPr="00400706" w:rsidRDefault="00400706" w:rsidP="00814661">
      <w:pPr>
        <w:keepNext/>
        <w:spacing w:before="360" w:after="120"/>
        <w:jc w:val="both"/>
        <w:rPr>
          <w:rFonts w:ascii="Arial" w:eastAsia="SimSun" w:hAnsi="Arial" w:cs="Arial"/>
          <w:b/>
          <w:sz w:val="22"/>
          <w:szCs w:val="22"/>
        </w:rPr>
      </w:pPr>
      <w:r w:rsidRPr="00400706">
        <w:rPr>
          <w:rFonts w:ascii="Arial" w:hAnsi="Arial" w:cs="Arial"/>
          <w:b/>
          <w:sz w:val="22"/>
          <w:szCs w:val="22"/>
        </w:rPr>
        <w:t>DÉCISION 14.COM 13</w:t>
      </w:r>
    </w:p>
    <w:p w14:paraId="7AF8BFED" w14:textId="77777777" w:rsidR="00400706" w:rsidRPr="00400706" w:rsidRDefault="00400706" w:rsidP="00400706">
      <w:pPr>
        <w:keepNext/>
        <w:spacing w:after="120"/>
        <w:jc w:val="both"/>
        <w:rPr>
          <w:rFonts w:ascii="Arial" w:eastAsia="SimSun" w:hAnsi="Arial" w:cs="Arial"/>
          <w:sz w:val="22"/>
          <w:szCs w:val="22"/>
        </w:rPr>
      </w:pPr>
      <w:r w:rsidRPr="00400706">
        <w:rPr>
          <w:rFonts w:ascii="Arial" w:hAnsi="Arial" w:cs="Arial"/>
          <w:sz w:val="22"/>
          <w:szCs w:val="22"/>
        </w:rPr>
        <w:t>Le Comité,</w:t>
      </w:r>
    </w:p>
    <w:p w14:paraId="33E7E940" w14:textId="5CEEBAF5" w:rsidR="00400706" w:rsidRPr="00814661" w:rsidRDefault="00400706" w:rsidP="00F81092">
      <w:pPr>
        <w:pStyle w:val="ListParagraph"/>
        <w:numPr>
          <w:ilvl w:val="0"/>
          <w:numId w:val="53"/>
        </w:numPr>
        <w:tabs>
          <w:tab w:val="left" w:pos="567"/>
        </w:tabs>
        <w:autoSpaceDE w:val="0"/>
        <w:autoSpaceDN w:val="0"/>
        <w:adjustRightInd w:val="0"/>
        <w:spacing w:after="120"/>
        <w:ind w:left="567" w:hanging="567"/>
        <w:contextualSpacing w:val="0"/>
        <w:jc w:val="both"/>
        <w:rPr>
          <w:rFonts w:ascii="Arial" w:eastAsia="SimSun" w:hAnsi="Arial" w:cs="Arial"/>
          <w:sz w:val="22"/>
          <w:szCs w:val="22"/>
          <w:u w:val="single"/>
        </w:rPr>
      </w:pPr>
      <w:r w:rsidRPr="00814661">
        <w:rPr>
          <w:rFonts w:ascii="Arial" w:eastAsia="SimSun" w:hAnsi="Arial" w:cs="Arial"/>
          <w:sz w:val="22"/>
          <w:szCs w:val="22"/>
          <w:u w:val="single"/>
        </w:rPr>
        <w:t>Ayant examiné</w:t>
      </w:r>
      <w:r w:rsidRPr="00814661">
        <w:rPr>
          <w:rFonts w:ascii="Arial" w:eastAsia="SimSun" w:hAnsi="Arial" w:cs="Arial"/>
          <w:sz w:val="22"/>
          <w:szCs w:val="22"/>
        </w:rPr>
        <w:t xml:space="preserve"> le document </w:t>
      </w:r>
      <w:hyperlink r:id="rId71" w:history="1">
        <w:r w:rsidR="002A7CCF" w:rsidRPr="002A7CCF">
          <w:rPr>
            <w:rStyle w:val="Hyperlink"/>
            <w:rFonts w:ascii="Arial" w:eastAsia="SimSun" w:hAnsi="Arial" w:cs="Arial"/>
            <w:sz w:val="22"/>
            <w:szCs w:val="22"/>
          </w:rPr>
          <w:t>LHE/19/14.COM/13.Rev. et son annexe</w:t>
        </w:r>
      </w:hyperlink>
      <w:r w:rsidR="002A7CCF">
        <w:rPr>
          <w:rFonts w:ascii="Arial" w:eastAsia="SimSun" w:hAnsi="Arial" w:cs="Arial"/>
          <w:sz w:val="22"/>
          <w:szCs w:val="22"/>
        </w:rPr>
        <w:t>,</w:t>
      </w:r>
    </w:p>
    <w:p w14:paraId="62EC035B" w14:textId="54000DC3" w:rsidR="00400706" w:rsidRPr="00814661" w:rsidRDefault="00400706" w:rsidP="00771F30">
      <w:pPr>
        <w:pStyle w:val="ListParagraph"/>
        <w:numPr>
          <w:ilvl w:val="0"/>
          <w:numId w:val="53"/>
        </w:numPr>
        <w:tabs>
          <w:tab w:val="left" w:pos="567"/>
        </w:tabs>
        <w:autoSpaceDE w:val="0"/>
        <w:autoSpaceDN w:val="0"/>
        <w:adjustRightInd w:val="0"/>
        <w:spacing w:after="120"/>
        <w:ind w:left="567" w:hanging="567"/>
        <w:contextualSpacing w:val="0"/>
        <w:jc w:val="both"/>
        <w:rPr>
          <w:rFonts w:ascii="Arial" w:eastAsia="SimSun" w:hAnsi="Arial" w:cs="Arial"/>
          <w:sz w:val="22"/>
          <w:szCs w:val="22"/>
          <w:u w:val="single"/>
        </w:rPr>
      </w:pPr>
      <w:r w:rsidRPr="00814661">
        <w:rPr>
          <w:rFonts w:ascii="Arial" w:eastAsia="SimSun" w:hAnsi="Arial" w:cs="Arial"/>
          <w:sz w:val="22"/>
          <w:szCs w:val="22"/>
          <w:u w:val="single"/>
        </w:rPr>
        <w:t>Rappelant</w:t>
      </w:r>
      <w:r w:rsidRPr="00814661">
        <w:rPr>
          <w:rFonts w:ascii="Arial" w:eastAsia="SimSun" w:hAnsi="Arial" w:cs="Arial"/>
          <w:sz w:val="22"/>
          <w:szCs w:val="22"/>
        </w:rPr>
        <w:t xml:space="preserve"> l</w:t>
      </w:r>
      <w:r w:rsidR="009C104E">
        <w:rPr>
          <w:rFonts w:ascii="Arial" w:eastAsia="SimSun" w:hAnsi="Arial" w:cs="Arial"/>
          <w:sz w:val="22"/>
          <w:szCs w:val="22"/>
        </w:rPr>
        <w:t>’</w:t>
      </w:r>
      <w:r w:rsidRPr="00814661">
        <w:rPr>
          <w:rFonts w:ascii="Arial" w:eastAsia="SimSun" w:hAnsi="Arial" w:cs="Arial"/>
          <w:sz w:val="22"/>
          <w:szCs w:val="22"/>
        </w:rPr>
        <w:t>article 11 de la Convention, les chapitres VI.3 et VI.4 des Directives opérationnelles, le cinquième point des Principes éthiques pour la sauvegarde du patrimoine culturel immatériel</w:t>
      </w:r>
      <w:r w:rsidR="00605D06">
        <w:rPr>
          <w:rFonts w:ascii="Arial" w:eastAsia="SimSun" w:hAnsi="Arial" w:cs="Arial"/>
          <w:sz w:val="22"/>
          <w:szCs w:val="22"/>
        </w:rPr>
        <w:t>,</w:t>
      </w:r>
      <w:r w:rsidRPr="00814661">
        <w:rPr>
          <w:rFonts w:ascii="Arial" w:eastAsia="SimSun" w:hAnsi="Arial" w:cs="Arial"/>
          <w:sz w:val="22"/>
          <w:szCs w:val="22"/>
        </w:rPr>
        <w:t xml:space="preserve"> de même que les résolutions 38C/48 et 39C/35 de la Conférence générale sur la Stratégie pour le renforcement de l</w:t>
      </w:r>
      <w:r w:rsidR="009C104E">
        <w:rPr>
          <w:rFonts w:ascii="Arial" w:eastAsia="SimSun" w:hAnsi="Arial" w:cs="Arial"/>
          <w:sz w:val="22"/>
          <w:szCs w:val="22"/>
        </w:rPr>
        <w:t>’</w:t>
      </w:r>
      <w:r w:rsidRPr="00814661">
        <w:rPr>
          <w:rFonts w:ascii="Arial" w:eastAsia="SimSun" w:hAnsi="Arial" w:cs="Arial"/>
          <w:sz w:val="22"/>
          <w:szCs w:val="22"/>
        </w:rPr>
        <w:t>action de l</w:t>
      </w:r>
      <w:r w:rsidR="009C104E">
        <w:rPr>
          <w:rFonts w:ascii="Arial" w:eastAsia="SimSun" w:hAnsi="Arial" w:cs="Arial"/>
          <w:sz w:val="22"/>
          <w:szCs w:val="22"/>
        </w:rPr>
        <w:t>’</w:t>
      </w:r>
      <w:r w:rsidRPr="00814661">
        <w:rPr>
          <w:rFonts w:ascii="Arial" w:eastAsia="SimSun" w:hAnsi="Arial" w:cs="Arial"/>
          <w:sz w:val="22"/>
          <w:szCs w:val="22"/>
        </w:rPr>
        <w:t>UNESCO pour la protection de la culture et la promotion du pluralisme culturel en cas de conflit armé, son Plan d</w:t>
      </w:r>
      <w:r w:rsidR="009C104E">
        <w:rPr>
          <w:rFonts w:ascii="Arial" w:eastAsia="SimSun" w:hAnsi="Arial" w:cs="Arial"/>
          <w:sz w:val="22"/>
          <w:szCs w:val="22"/>
        </w:rPr>
        <w:t>’</w:t>
      </w:r>
      <w:r w:rsidRPr="00814661">
        <w:rPr>
          <w:rFonts w:ascii="Arial" w:eastAsia="SimSun" w:hAnsi="Arial" w:cs="Arial"/>
          <w:sz w:val="22"/>
          <w:szCs w:val="22"/>
        </w:rPr>
        <w:t xml:space="preserve">action et son </w:t>
      </w:r>
      <w:r w:rsidR="002A7CCF">
        <w:rPr>
          <w:rFonts w:ascii="Arial" w:eastAsia="SimSun" w:hAnsi="Arial" w:cs="Arial"/>
          <w:sz w:val="22"/>
          <w:szCs w:val="22"/>
        </w:rPr>
        <w:t>a</w:t>
      </w:r>
      <w:r w:rsidRPr="00814661">
        <w:rPr>
          <w:rFonts w:ascii="Arial" w:eastAsia="SimSun" w:hAnsi="Arial" w:cs="Arial"/>
          <w:sz w:val="22"/>
          <w:szCs w:val="22"/>
        </w:rPr>
        <w:t>ddendum relatif aux situations d</w:t>
      </w:r>
      <w:r w:rsidR="009C104E">
        <w:rPr>
          <w:rFonts w:ascii="Arial" w:eastAsia="SimSun" w:hAnsi="Arial" w:cs="Arial"/>
          <w:sz w:val="22"/>
          <w:szCs w:val="22"/>
        </w:rPr>
        <w:t>’</w:t>
      </w:r>
      <w:r w:rsidRPr="00814661">
        <w:rPr>
          <w:rFonts w:ascii="Arial" w:eastAsia="SimSun" w:hAnsi="Arial" w:cs="Arial"/>
          <w:sz w:val="22"/>
          <w:szCs w:val="22"/>
        </w:rPr>
        <w:t>urgence liées à des catastrophes dues à des risques naturels et d</w:t>
      </w:r>
      <w:r w:rsidR="009C104E">
        <w:rPr>
          <w:rFonts w:ascii="Arial" w:eastAsia="SimSun" w:hAnsi="Arial" w:cs="Arial"/>
          <w:sz w:val="22"/>
          <w:szCs w:val="22"/>
        </w:rPr>
        <w:t>’</w:t>
      </w:r>
      <w:r w:rsidRPr="00814661">
        <w:rPr>
          <w:rFonts w:ascii="Arial" w:eastAsia="SimSun" w:hAnsi="Arial" w:cs="Arial"/>
          <w:sz w:val="22"/>
          <w:szCs w:val="22"/>
        </w:rPr>
        <w:t>origine humaine, ainsi que la résolution 2347 du Conseil de sécurité des Nations unies (2017),</w:t>
      </w:r>
      <w:r w:rsidR="00B56B1B">
        <w:rPr>
          <w:rFonts w:ascii="Arial" w:eastAsia="SimSun" w:hAnsi="Arial" w:cs="Arial"/>
          <w:sz w:val="22"/>
          <w:szCs w:val="22"/>
        </w:rPr>
        <w:t xml:space="preserve"> </w:t>
      </w:r>
      <w:r w:rsidR="00605D06">
        <w:rPr>
          <w:rFonts w:ascii="Arial" w:eastAsia="SimSun" w:hAnsi="Arial" w:cs="Arial"/>
          <w:sz w:val="22"/>
          <w:szCs w:val="22"/>
        </w:rPr>
        <w:t>et</w:t>
      </w:r>
      <w:r w:rsidR="00CB11BB" w:rsidRPr="00CB11BB">
        <w:rPr>
          <w:rFonts w:ascii="Arial" w:eastAsia="SimSun" w:hAnsi="Arial" w:cs="Arial"/>
          <w:sz w:val="22"/>
          <w:szCs w:val="22"/>
        </w:rPr>
        <w:t xml:space="preserve"> </w:t>
      </w:r>
      <w:r w:rsidR="001058DD">
        <w:rPr>
          <w:rFonts w:ascii="Arial" w:eastAsia="SimSun" w:hAnsi="Arial" w:cs="Arial"/>
          <w:sz w:val="22"/>
          <w:szCs w:val="22"/>
        </w:rPr>
        <w:t xml:space="preserve">toutes </w:t>
      </w:r>
      <w:r w:rsidR="00CB11BB" w:rsidRPr="00CB11BB">
        <w:rPr>
          <w:rFonts w:ascii="Arial" w:eastAsia="SimSun" w:hAnsi="Arial" w:cs="Arial"/>
          <w:sz w:val="22"/>
          <w:szCs w:val="22"/>
        </w:rPr>
        <w:t>les normes pertinentes du droit international humanitaire et du droit international des droits de l’homme, à titre de</w:t>
      </w:r>
      <w:r w:rsidR="001058DD">
        <w:rPr>
          <w:rFonts w:ascii="Arial" w:eastAsia="SimSun" w:hAnsi="Arial" w:cs="Arial"/>
          <w:sz w:val="22"/>
          <w:szCs w:val="22"/>
        </w:rPr>
        <w:t xml:space="preserve"> traités et de</w:t>
      </w:r>
      <w:r w:rsidR="00CB11BB" w:rsidRPr="00CB11BB">
        <w:rPr>
          <w:rFonts w:ascii="Arial" w:eastAsia="SimSun" w:hAnsi="Arial" w:cs="Arial"/>
          <w:sz w:val="22"/>
          <w:szCs w:val="22"/>
        </w:rPr>
        <w:t xml:space="preserve"> règles coutumières,</w:t>
      </w:r>
    </w:p>
    <w:p w14:paraId="1349A25D" w14:textId="77777777" w:rsidR="00400706" w:rsidRPr="00814661" w:rsidRDefault="00400706" w:rsidP="00771F30">
      <w:pPr>
        <w:pStyle w:val="ListParagraph"/>
        <w:numPr>
          <w:ilvl w:val="0"/>
          <w:numId w:val="53"/>
        </w:numPr>
        <w:tabs>
          <w:tab w:val="left" w:pos="567"/>
        </w:tabs>
        <w:autoSpaceDE w:val="0"/>
        <w:autoSpaceDN w:val="0"/>
        <w:adjustRightInd w:val="0"/>
        <w:spacing w:after="120"/>
        <w:ind w:left="567" w:hanging="567"/>
        <w:contextualSpacing w:val="0"/>
        <w:jc w:val="both"/>
        <w:rPr>
          <w:rFonts w:ascii="Arial" w:eastAsia="SimSun" w:hAnsi="Arial" w:cs="Arial"/>
          <w:sz w:val="22"/>
          <w:szCs w:val="22"/>
          <w:u w:val="single"/>
        </w:rPr>
      </w:pPr>
      <w:r w:rsidRPr="00814661">
        <w:rPr>
          <w:rFonts w:ascii="Arial" w:eastAsia="SimSun" w:hAnsi="Arial" w:cs="Arial"/>
          <w:sz w:val="22"/>
          <w:szCs w:val="22"/>
          <w:u w:val="single"/>
        </w:rPr>
        <w:t>Rappelant en outre</w:t>
      </w:r>
      <w:r w:rsidRPr="00B932EA">
        <w:rPr>
          <w:rFonts w:ascii="Arial" w:eastAsia="SimSun" w:hAnsi="Arial" w:cs="Arial"/>
          <w:sz w:val="22"/>
          <w:szCs w:val="22"/>
        </w:rPr>
        <w:t xml:space="preserve"> </w:t>
      </w:r>
      <w:r w:rsidRPr="00814661">
        <w:rPr>
          <w:rFonts w:ascii="Arial" w:eastAsia="SimSun" w:hAnsi="Arial" w:cs="Arial"/>
          <w:sz w:val="22"/>
          <w:szCs w:val="22"/>
        </w:rPr>
        <w:t xml:space="preserve">les décisions </w:t>
      </w:r>
      <w:hyperlink r:id="rId72" w:history="1">
        <w:r w:rsidRPr="00814661">
          <w:rPr>
            <w:rFonts w:ascii="Arial" w:eastAsia="SimSun" w:hAnsi="Arial" w:cs="Arial"/>
            <w:color w:val="0000FF"/>
            <w:sz w:val="22"/>
            <w:szCs w:val="22"/>
            <w:u w:val="single"/>
          </w:rPr>
          <w:t>11.COM 15</w:t>
        </w:r>
      </w:hyperlink>
      <w:r w:rsidRPr="00814661">
        <w:rPr>
          <w:rFonts w:ascii="Arial" w:eastAsia="SimSun" w:hAnsi="Arial" w:cs="Arial"/>
          <w:sz w:val="22"/>
          <w:szCs w:val="22"/>
        </w:rPr>
        <w:t xml:space="preserve">, </w:t>
      </w:r>
      <w:hyperlink r:id="rId73" w:history="1">
        <w:r w:rsidRPr="00814661">
          <w:rPr>
            <w:rFonts w:ascii="Arial" w:eastAsia="SimSun" w:hAnsi="Arial" w:cs="Arial"/>
            <w:color w:val="0000FF"/>
            <w:sz w:val="22"/>
            <w:szCs w:val="22"/>
            <w:u w:val="single"/>
          </w:rPr>
          <w:t>12.COM 15</w:t>
        </w:r>
      </w:hyperlink>
      <w:r w:rsidRPr="00814661">
        <w:rPr>
          <w:rFonts w:ascii="Arial" w:eastAsia="SimSun" w:hAnsi="Arial" w:cs="Arial"/>
          <w:sz w:val="22"/>
          <w:szCs w:val="22"/>
        </w:rPr>
        <w:t xml:space="preserve"> et </w:t>
      </w:r>
      <w:hyperlink r:id="rId74" w:history="1">
        <w:r w:rsidRPr="00814661">
          <w:rPr>
            <w:rFonts w:ascii="Arial" w:eastAsia="SimSun" w:hAnsi="Arial" w:cs="Arial"/>
            <w:color w:val="0000FF"/>
            <w:sz w:val="22"/>
            <w:szCs w:val="22"/>
            <w:u w:val="single"/>
          </w:rPr>
          <w:t>13.COM</w:t>
        </w:r>
        <w:r w:rsidRPr="00814661">
          <w:rPr>
            <w:rFonts w:ascii="Arial" w:eastAsia="SimSun" w:hAnsi="Arial" w:cs="Arial"/>
            <w:sz w:val="22"/>
            <w:szCs w:val="22"/>
            <w:u w:val="single"/>
          </w:rPr>
          <w:t> </w:t>
        </w:r>
        <w:r w:rsidRPr="00814661">
          <w:rPr>
            <w:rFonts w:ascii="Arial" w:eastAsia="SimSun" w:hAnsi="Arial" w:cs="Arial"/>
            <w:color w:val="0000FF"/>
            <w:sz w:val="22"/>
            <w:szCs w:val="22"/>
            <w:u w:val="single"/>
          </w:rPr>
          <w:t>11</w:t>
        </w:r>
      </w:hyperlink>
      <w:r w:rsidRPr="00814661">
        <w:rPr>
          <w:rFonts w:ascii="Arial" w:eastAsia="SimSun" w:hAnsi="Arial" w:cs="Arial"/>
          <w:sz w:val="22"/>
          <w:szCs w:val="22"/>
        </w:rPr>
        <w:t>,</w:t>
      </w:r>
    </w:p>
    <w:p w14:paraId="0AE67745" w14:textId="5A13EF37" w:rsidR="00400706" w:rsidRPr="00814661" w:rsidRDefault="00400706" w:rsidP="00771F30">
      <w:pPr>
        <w:pStyle w:val="ListParagraph"/>
        <w:numPr>
          <w:ilvl w:val="0"/>
          <w:numId w:val="53"/>
        </w:numPr>
        <w:tabs>
          <w:tab w:val="left" w:pos="567"/>
        </w:tabs>
        <w:autoSpaceDE w:val="0"/>
        <w:autoSpaceDN w:val="0"/>
        <w:adjustRightInd w:val="0"/>
        <w:spacing w:after="120"/>
        <w:ind w:left="567" w:hanging="567"/>
        <w:contextualSpacing w:val="0"/>
        <w:jc w:val="both"/>
        <w:rPr>
          <w:rFonts w:ascii="Arial" w:eastAsia="SimSun" w:hAnsi="Arial" w:cs="Arial"/>
          <w:sz w:val="22"/>
          <w:szCs w:val="22"/>
        </w:rPr>
      </w:pPr>
      <w:r w:rsidRPr="00DF693C">
        <w:rPr>
          <w:rFonts w:ascii="Arial" w:eastAsia="SimSun" w:hAnsi="Arial" w:cs="Arial"/>
          <w:sz w:val="22"/>
          <w:szCs w:val="22"/>
          <w:u w:val="single"/>
        </w:rPr>
        <w:t>Exprime</w:t>
      </w:r>
      <w:r w:rsidRPr="00DF693C">
        <w:rPr>
          <w:rFonts w:ascii="Arial" w:eastAsia="SimSun" w:hAnsi="Arial" w:cs="Arial"/>
          <w:sz w:val="22"/>
          <w:szCs w:val="22"/>
        </w:rPr>
        <w:t xml:space="preserve"> son soutien</w:t>
      </w:r>
      <w:r w:rsidRPr="00605D06">
        <w:rPr>
          <w:rFonts w:ascii="Arial" w:eastAsia="SimSun" w:hAnsi="Arial" w:cs="Arial"/>
          <w:sz w:val="22"/>
          <w:szCs w:val="22"/>
        </w:rPr>
        <w:t xml:space="preserve"> </w:t>
      </w:r>
      <w:r w:rsidRPr="00814661">
        <w:rPr>
          <w:rFonts w:ascii="Arial" w:eastAsia="SimSun" w:hAnsi="Arial" w:cs="Arial"/>
          <w:sz w:val="22"/>
          <w:szCs w:val="22"/>
        </w:rPr>
        <w:t>plein et entier aux individus, groupes et communautés en situations d</w:t>
      </w:r>
      <w:r w:rsidR="009C104E">
        <w:rPr>
          <w:rFonts w:ascii="Arial" w:eastAsia="SimSun" w:hAnsi="Arial" w:cs="Arial"/>
          <w:sz w:val="22"/>
          <w:szCs w:val="22"/>
        </w:rPr>
        <w:t>’</w:t>
      </w:r>
      <w:r w:rsidRPr="00814661">
        <w:rPr>
          <w:rFonts w:ascii="Arial" w:eastAsia="SimSun" w:hAnsi="Arial" w:cs="Arial"/>
          <w:sz w:val="22"/>
          <w:szCs w:val="22"/>
        </w:rPr>
        <w:t xml:space="preserve">urgence et </w:t>
      </w:r>
      <w:r w:rsidRPr="00814661">
        <w:rPr>
          <w:rFonts w:ascii="Arial" w:eastAsia="SimSun" w:hAnsi="Arial" w:cs="Arial"/>
          <w:sz w:val="22"/>
          <w:szCs w:val="22"/>
          <w:u w:val="single"/>
        </w:rPr>
        <w:t>reconnaît</w:t>
      </w:r>
      <w:r w:rsidRPr="00814661">
        <w:rPr>
          <w:rFonts w:ascii="Arial" w:eastAsia="SimSun" w:hAnsi="Arial" w:cs="Arial"/>
          <w:sz w:val="22"/>
          <w:szCs w:val="22"/>
        </w:rPr>
        <w:t xml:space="preserve"> le courage et la bravoure extraordinaires dont ils font preuve en envisageant des solutions créatives pour maintenir la pratique et la transmission de leur patrimoine vivant en dépit des contextes difficiles auxquels ils font face ;</w:t>
      </w:r>
    </w:p>
    <w:p w14:paraId="467A4F5C" w14:textId="7E163200" w:rsidR="00400706" w:rsidRPr="00814661" w:rsidRDefault="00400706" w:rsidP="00771F30">
      <w:pPr>
        <w:pStyle w:val="ListParagraph"/>
        <w:numPr>
          <w:ilvl w:val="0"/>
          <w:numId w:val="53"/>
        </w:numPr>
        <w:tabs>
          <w:tab w:val="left" w:pos="567"/>
        </w:tabs>
        <w:autoSpaceDE w:val="0"/>
        <w:autoSpaceDN w:val="0"/>
        <w:adjustRightInd w:val="0"/>
        <w:spacing w:after="120"/>
        <w:ind w:left="567" w:hanging="567"/>
        <w:contextualSpacing w:val="0"/>
        <w:jc w:val="both"/>
        <w:rPr>
          <w:rFonts w:ascii="Arial" w:eastAsia="SimSun" w:hAnsi="Arial" w:cs="Arial"/>
          <w:sz w:val="22"/>
          <w:szCs w:val="22"/>
        </w:rPr>
      </w:pPr>
      <w:r w:rsidRPr="00814661">
        <w:rPr>
          <w:rFonts w:ascii="Arial" w:eastAsia="SimSun" w:hAnsi="Arial" w:cs="Arial"/>
          <w:sz w:val="22"/>
          <w:szCs w:val="22"/>
          <w:u w:val="single"/>
        </w:rPr>
        <w:t>Réaffirme</w:t>
      </w:r>
      <w:r w:rsidRPr="00B932EA">
        <w:rPr>
          <w:rFonts w:ascii="Arial" w:eastAsia="SimSun" w:hAnsi="Arial" w:cs="Arial"/>
          <w:sz w:val="22"/>
          <w:szCs w:val="22"/>
        </w:rPr>
        <w:t xml:space="preserve"> </w:t>
      </w:r>
      <w:r w:rsidRPr="00814661">
        <w:rPr>
          <w:rFonts w:ascii="Arial" w:eastAsia="SimSun" w:hAnsi="Arial" w:cs="Arial"/>
          <w:sz w:val="22"/>
          <w:szCs w:val="22"/>
        </w:rPr>
        <w:t>le double rôle que peut avoir la sauvegarde du patrimoine culturel immatériel dans les situations d</w:t>
      </w:r>
      <w:r w:rsidR="009C104E">
        <w:rPr>
          <w:rFonts w:ascii="Arial" w:eastAsia="SimSun" w:hAnsi="Arial" w:cs="Arial"/>
          <w:sz w:val="22"/>
          <w:szCs w:val="22"/>
        </w:rPr>
        <w:t>’</w:t>
      </w:r>
      <w:r w:rsidRPr="00814661">
        <w:rPr>
          <w:rFonts w:ascii="Arial" w:eastAsia="SimSun" w:hAnsi="Arial" w:cs="Arial"/>
          <w:sz w:val="22"/>
          <w:szCs w:val="22"/>
        </w:rPr>
        <w:t>urgence, à la fois pour atténuer les menaces qui pèsent sur le patrimoine culturel immatériel lui-même et servir comme instrument puissant pour aider les communautés à se préparer aux situations d</w:t>
      </w:r>
      <w:r w:rsidR="009C104E">
        <w:rPr>
          <w:rFonts w:ascii="Arial" w:eastAsia="SimSun" w:hAnsi="Arial" w:cs="Arial"/>
          <w:sz w:val="22"/>
          <w:szCs w:val="22"/>
        </w:rPr>
        <w:t>’</w:t>
      </w:r>
      <w:r w:rsidRPr="00814661">
        <w:rPr>
          <w:rFonts w:ascii="Arial" w:eastAsia="SimSun" w:hAnsi="Arial" w:cs="Arial"/>
          <w:sz w:val="22"/>
          <w:szCs w:val="22"/>
        </w:rPr>
        <w:t xml:space="preserve">urgence, </w:t>
      </w:r>
      <w:r w:rsidR="00CB11BB" w:rsidRPr="00CB11BB">
        <w:rPr>
          <w:rFonts w:ascii="Arial" w:eastAsia="SimSun" w:hAnsi="Arial" w:cs="Arial"/>
          <w:sz w:val="22"/>
          <w:szCs w:val="22"/>
        </w:rPr>
        <w:t xml:space="preserve">y compris </w:t>
      </w:r>
      <w:r w:rsidR="001058DD">
        <w:rPr>
          <w:rFonts w:ascii="Arial" w:eastAsia="SimSun" w:hAnsi="Arial" w:cs="Arial"/>
          <w:sz w:val="22"/>
          <w:szCs w:val="22"/>
        </w:rPr>
        <w:t>les effets</w:t>
      </w:r>
      <w:r w:rsidR="00CB11BB" w:rsidRPr="00CB11BB">
        <w:rPr>
          <w:rFonts w:ascii="Arial" w:eastAsia="SimSun" w:hAnsi="Arial" w:cs="Arial"/>
          <w:sz w:val="22"/>
          <w:szCs w:val="22"/>
        </w:rPr>
        <w:t xml:space="preserve"> du changement climatique,</w:t>
      </w:r>
      <w:r w:rsidR="00CB11BB">
        <w:rPr>
          <w:rFonts w:ascii="Arial" w:eastAsia="SimSun" w:hAnsi="Arial" w:cs="Arial"/>
          <w:sz w:val="22"/>
          <w:szCs w:val="22"/>
        </w:rPr>
        <w:t xml:space="preserve"> y </w:t>
      </w:r>
      <w:r w:rsidRPr="00814661">
        <w:rPr>
          <w:rFonts w:ascii="Arial" w:eastAsia="SimSun" w:hAnsi="Arial" w:cs="Arial"/>
          <w:sz w:val="22"/>
          <w:szCs w:val="22"/>
        </w:rPr>
        <w:t>faire face et s</w:t>
      </w:r>
      <w:r w:rsidR="009C104E">
        <w:rPr>
          <w:rFonts w:ascii="Arial" w:eastAsia="SimSun" w:hAnsi="Arial" w:cs="Arial"/>
          <w:sz w:val="22"/>
          <w:szCs w:val="22"/>
        </w:rPr>
        <w:t>’</w:t>
      </w:r>
      <w:r w:rsidRPr="00814661">
        <w:rPr>
          <w:rFonts w:ascii="Arial" w:eastAsia="SimSun" w:hAnsi="Arial" w:cs="Arial"/>
          <w:sz w:val="22"/>
          <w:szCs w:val="22"/>
        </w:rPr>
        <w:t>en relever ;</w:t>
      </w:r>
    </w:p>
    <w:p w14:paraId="5D43463A" w14:textId="0C5C752A" w:rsidR="00400706" w:rsidRPr="00814661" w:rsidRDefault="00400706" w:rsidP="00771F30">
      <w:pPr>
        <w:pStyle w:val="ListParagraph"/>
        <w:numPr>
          <w:ilvl w:val="0"/>
          <w:numId w:val="53"/>
        </w:numPr>
        <w:tabs>
          <w:tab w:val="left" w:pos="567"/>
        </w:tabs>
        <w:autoSpaceDE w:val="0"/>
        <w:autoSpaceDN w:val="0"/>
        <w:adjustRightInd w:val="0"/>
        <w:spacing w:after="120"/>
        <w:ind w:left="567" w:hanging="567"/>
        <w:contextualSpacing w:val="0"/>
        <w:jc w:val="both"/>
        <w:rPr>
          <w:rFonts w:ascii="Arial" w:eastAsia="SimSun" w:hAnsi="Arial" w:cs="Arial"/>
          <w:sz w:val="22"/>
          <w:szCs w:val="22"/>
          <w:u w:val="single"/>
        </w:rPr>
      </w:pPr>
      <w:r w:rsidRPr="00814661">
        <w:rPr>
          <w:rFonts w:ascii="Arial" w:eastAsia="SimSun" w:hAnsi="Arial" w:cs="Arial"/>
          <w:sz w:val="22"/>
          <w:szCs w:val="22"/>
          <w:u w:val="single"/>
        </w:rPr>
        <w:t>Salue</w:t>
      </w:r>
      <w:r w:rsidRPr="00814661">
        <w:rPr>
          <w:rFonts w:ascii="Arial" w:eastAsia="SimSun" w:hAnsi="Arial" w:cs="Arial"/>
          <w:sz w:val="22"/>
          <w:szCs w:val="22"/>
        </w:rPr>
        <w:t xml:space="preserve"> les résultats de la réunion d</w:t>
      </w:r>
      <w:r w:rsidR="009C104E">
        <w:rPr>
          <w:rFonts w:ascii="Arial" w:eastAsia="SimSun" w:hAnsi="Arial" w:cs="Arial"/>
          <w:sz w:val="22"/>
          <w:szCs w:val="22"/>
        </w:rPr>
        <w:t>’</w:t>
      </w:r>
      <w:r w:rsidRPr="00814661">
        <w:rPr>
          <w:rFonts w:ascii="Arial" w:eastAsia="SimSun" w:hAnsi="Arial" w:cs="Arial"/>
          <w:sz w:val="22"/>
          <w:szCs w:val="22"/>
        </w:rPr>
        <w:t>experts sur le patrimoine culturel immatériel dans les situations d</w:t>
      </w:r>
      <w:r w:rsidR="009C104E">
        <w:rPr>
          <w:rFonts w:ascii="Arial" w:eastAsia="SimSun" w:hAnsi="Arial" w:cs="Arial"/>
          <w:sz w:val="22"/>
          <w:szCs w:val="22"/>
        </w:rPr>
        <w:t>’</w:t>
      </w:r>
      <w:r w:rsidRPr="00814661">
        <w:rPr>
          <w:rFonts w:ascii="Arial" w:eastAsia="SimSun" w:hAnsi="Arial" w:cs="Arial"/>
          <w:sz w:val="22"/>
          <w:szCs w:val="22"/>
        </w:rPr>
        <w:t>urgence qui a eu lieu au siège de l</w:t>
      </w:r>
      <w:r w:rsidR="009C104E">
        <w:rPr>
          <w:rFonts w:ascii="Arial" w:eastAsia="SimSun" w:hAnsi="Arial" w:cs="Arial"/>
          <w:sz w:val="22"/>
          <w:szCs w:val="22"/>
        </w:rPr>
        <w:t>’</w:t>
      </w:r>
      <w:r w:rsidRPr="00814661">
        <w:rPr>
          <w:rFonts w:ascii="Arial" w:eastAsia="SimSun" w:hAnsi="Arial" w:cs="Arial"/>
          <w:sz w:val="22"/>
          <w:szCs w:val="22"/>
        </w:rPr>
        <w:t xml:space="preserve">UNESCO les 21 et 22 mai 2019, </w:t>
      </w:r>
      <w:r w:rsidRPr="00814661">
        <w:rPr>
          <w:rFonts w:ascii="Arial" w:eastAsia="SimSun" w:hAnsi="Arial" w:cs="Arial"/>
          <w:sz w:val="22"/>
          <w:szCs w:val="22"/>
          <w:u w:val="single"/>
        </w:rPr>
        <w:t>remercie</w:t>
      </w:r>
      <w:r w:rsidRPr="00814661">
        <w:rPr>
          <w:rFonts w:ascii="Arial" w:eastAsia="SimSun" w:hAnsi="Arial" w:cs="Arial"/>
          <w:sz w:val="22"/>
          <w:szCs w:val="22"/>
        </w:rPr>
        <w:t xml:space="preserve"> les experts pour leurs efforts et contributions et </w:t>
      </w:r>
      <w:r w:rsidRPr="00814661">
        <w:rPr>
          <w:rFonts w:ascii="Arial" w:eastAsia="SimSun" w:hAnsi="Arial" w:cs="Arial"/>
          <w:sz w:val="22"/>
          <w:szCs w:val="22"/>
          <w:u w:val="single"/>
        </w:rPr>
        <w:t>remercie en outre</w:t>
      </w:r>
      <w:r w:rsidRPr="00814661">
        <w:rPr>
          <w:rFonts w:ascii="Arial" w:eastAsia="SimSun" w:hAnsi="Arial" w:cs="Arial"/>
          <w:sz w:val="22"/>
          <w:szCs w:val="22"/>
        </w:rPr>
        <w:t xml:space="preserve"> la République populaire de Chine pour sa généreuse contribution à cette fin ;</w:t>
      </w:r>
    </w:p>
    <w:p w14:paraId="78E9F5AF" w14:textId="6D5652F8" w:rsidR="00400706" w:rsidRPr="00814661" w:rsidRDefault="00400706" w:rsidP="00771F30">
      <w:pPr>
        <w:pStyle w:val="ListParagraph"/>
        <w:numPr>
          <w:ilvl w:val="0"/>
          <w:numId w:val="53"/>
        </w:numPr>
        <w:tabs>
          <w:tab w:val="left" w:pos="567"/>
        </w:tabs>
        <w:autoSpaceDE w:val="0"/>
        <w:autoSpaceDN w:val="0"/>
        <w:adjustRightInd w:val="0"/>
        <w:spacing w:after="120"/>
        <w:ind w:left="567" w:hanging="567"/>
        <w:contextualSpacing w:val="0"/>
        <w:jc w:val="both"/>
        <w:rPr>
          <w:rFonts w:ascii="Arial" w:eastAsia="SimSun" w:hAnsi="Arial" w:cs="Arial"/>
          <w:sz w:val="22"/>
          <w:szCs w:val="22"/>
        </w:rPr>
      </w:pPr>
      <w:r w:rsidRPr="00814661">
        <w:rPr>
          <w:rFonts w:ascii="Arial" w:eastAsia="SimSun" w:hAnsi="Arial" w:cs="Arial"/>
          <w:sz w:val="22"/>
          <w:szCs w:val="22"/>
          <w:u w:val="single"/>
        </w:rPr>
        <w:t>Approuve</w:t>
      </w:r>
      <w:r w:rsidRPr="00814661">
        <w:rPr>
          <w:rFonts w:ascii="Arial" w:eastAsia="SimSun" w:hAnsi="Arial" w:cs="Arial"/>
          <w:sz w:val="22"/>
          <w:szCs w:val="22"/>
        </w:rPr>
        <w:t xml:space="preserve"> les principes et modalités opérationnels pour la sauvegarde du patrimoine culturel immatériel dans les situations d</w:t>
      </w:r>
      <w:r w:rsidR="009C104E">
        <w:rPr>
          <w:rFonts w:ascii="Arial" w:eastAsia="SimSun" w:hAnsi="Arial" w:cs="Arial"/>
          <w:sz w:val="22"/>
          <w:szCs w:val="22"/>
        </w:rPr>
        <w:t>’</w:t>
      </w:r>
      <w:r w:rsidRPr="00814661">
        <w:rPr>
          <w:rFonts w:ascii="Arial" w:eastAsia="SimSun" w:hAnsi="Arial" w:cs="Arial"/>
          <w:sz w:val="22"/>
          <w:szCs w:val="22"/>
        </w:rPr>
        <w:t xml:space="preserve">urgence annexés à la présente décision, et </w:t>
      </w:r>
      <w:r w:rsidRPr="00814661">
        <w:rPr>
          <w:rFonts w:ascii="Arial" w:eastAsia="SimSun" w:hAnsi="Arial" w:cs="Arial"/>
          <w:sz w:val="22"/>
          <w:szCs w:val="22"/>
          <w:u w:val="single"/>
        </w:rPr>
        <w:t>demande</w:t>
      </w:r>
      <w:r w:rsidRPr="00814661">
        <w:rPr>
          <w:rFonts w:ascii="Arial" w:eastAsia="SimSun" w:hAnsi="Arial" w:cs="Arial"/>
          <w:sz w:val="22"/>
          <w:szCs w:val="22"/>
        </w:rPr>
        <w:t xml:space="preserve"> au Secrétariat de les présenter pour examen par l</w:t>
      </w:r>
      <w:r w:rsidR="009C104E">
        <w:rPr>
          <w:rFonts w:ascii="Arial" w:eastAsia="SimSun" w:hAnsi="Arial" w:cs="Arial"/>
          <w:sz w:val="22"/>
          <w:szCs w:val="22"/>
        </w:rPr>
        <w:t>’</w:t>
      </w:r>
      <w:r w:rsidRPr="00814661">
        <w:rPr>
          <w:rFonts w:ascii="Arial" w:eastAsia="SimSun" w:hAnsi="Arial" w:cs="Arial"/>
          <w:sz w:val="22"/>
          <w:szCs w:val="22"/>
        </w:rPr>
        <w:t>Assemblée générale à sa huitième session en juin 2020 ;</w:t>
      </w:r>
    </w:p>
    <w:p w14:paraId="428339E1" w14:textId="77777777" w:rsidR="00400706" w:rsidRPr="00814661" w:rsidRDefault="00400706" w:rsidP="00771F30">
      <w:pPr>
        <w:pStyle w:val="ListParagraph"/>
        <w:numPr>
          <w:ilvl w:val="0"/>
          <w:numId w:val="53"/>
        </w:numPr>
        <w:tabs>
          <w:tab w:val="left" w:pos="567"/>
        </w:tabs>
        <w:autoSpaceDE w:val="0"/>
        <w:autoSpaceDN w:val="0"/>
        <w:adjustRightInd w:val="0"/>
        <w:spacing w:after="120"/>
        <w:ind w:left="567" w:hanging="567"/>
        <w:contextualSpacing w:val="0"/>
        <w:jc w:val="both"/>
        <w:rPr>
          <w:rFonts w:ascii="Arial" w:eastAsia="SimSun" w:hAnsi="Arial" w:cs="Arial"/>
          <w:sz w:val="22"/>
          <w:szCs w:val="22"/>
        </w:rPr>
      </w:pPr>
      <w:r w:rsidRPr="00814661">
        <w:rPr>
          <w:rFonts w:ascii="Arial" w:eastAsia="SimSun" w:hAnsi="Arial" w:cs="Arial"/>
          <w:sz w:val="22"/>
          <w:szCs w:val="22"/>
          <w:u w:val="single"/>
        </w:rPr>
        <w:t>Encourage</w:t>
      </w:r>
      <w:r w:rsidRPr="00814661">
        <w:rPr>
          <w:rFonts w:ascii="Arial" w:eastAsia="SimSun" w:hAnsi="Arial" w:cs="Arial"/>
          <w:sz w:val="22"/>
          <w:szCs w:val="22"/>
        </w:rPr>
        <w:t xml:space="preserve"> les États parties, et toute autre partie prenante nationale ou internationale pertinente, à prendre des mesures pour mettre en œuvre les principes et modalités opérationnels et les adapter à leurs contextes spécifiques ;</w:t>
      </w:r>
    </w:p>
    <w:p w14:paraId="3F503798" w14:textId="3489360B" w:rsidR="00400706" w:rsidRDefault="00400706" w:rsidP="00771F30">
      <w:pPr>
        <w:pStyle w:val="ListParagraph"/>
        <w:numPr>
          <w:ilvl w:val="0"/>
          <w:numId w:val="53"/>
        </w:numPr>
        <w:tabs>
          <w:tab w:val="left" w:pos="567"/>
        </w:tabs>
        <w:autoSpaceDE w:val="0"/>
        <w:autoSpaceDN w:val="0"/>
        <w:adjustRightInd w:val="0"/>
        <w:spacing w:after="120"/>
        <w:ind w:left="567" w:hanging="567"/>
        <w:contextualSpacing w:val="0"/>
        <w:jc w:val="both"/>
        <w:rPr>
          <w:rFonts w:ascii="Arial" w:eastAsia="SimSun" w:hAnsi="Arial" w:cs="Arial"/>
          <w:sz w:val="22"/>
          <w:szCs w:val="22"/>
        </w:rPr>
      </w:pPr>
      <w:r w:rsidRPr="00814661">
        <w:rPr>
          <w:rFonts w:ascii="Arial" w:eastAsia="SimSun" w:hAnsi="Arial" w:cs="Arial"/>
          <w:sz w:val="22"/>
          <w:szCs w:val="22"/>
          <w:u w:val="single"/>
        </w:rPr>
        <w:t>Demande</w:t>
      </w:r>
      <w:r w:rsidRPr="00814661">
        <w:rPr>
          <w:rFonts w:ascii="Arial" w:eastAsia="SimSun" w:hAnsi="Arial" w:cs="Arial"/>
          <w:sz w:val="22"/>
          <w:szCs w:val="22"/>
        </w:rPr>
        <w:t xml:space="preserve"> au Secrétariat de poursuivre ses efforts tendant à développer une approche de renforcement des capacités pour opérationnaliser les principes et modalités proposés et à sensibiliser les acteurs du domaine de la sauvegarde du patrimoine</w:t>
      </w:r>
      <w:r w:rsidR="00CB11BB">
        <w:rPr>
          <w:rFonts w:ascii="Arial" w:eastAsia="SimSun" w:hAnsi="Arial" w:cs="Arial"/>
          <w:sz w:val="22"/>
          <w:szCs w:val="22"/>
        </w:rPr>
        <w:t>,</w:t>
      </w:r>
      <w:r w:rsidR="00CB11BB" w:rsidRPr="00CB11BB">
        <w:t xml:space="preserve"> </w:t>
      </w:r>
      <w:r w:rsidR="00CB11BB" w:rsidRPr="00CB11BB">
        <w:rPr>
          <w:rFonts w:ascii="Arial" w:eastAsia="SimSun" w:hAnsi="Arial" w:cs="Arial"/>
          <w:sz w:val="22"/>
          <w:szCs w:val="22"/>
        </w:rPr>
        <w:t xml:space="preserve">y compris les organisations non gouvernementales accréditées </w:t>
      </w:r>
      <w:r w:rsidR="001058DD">
        <w:rPr>
          <w:rFonts w:ascii="Arial" w:eastAsia="SimSun" w:hAnsi="Arial" w:cs="Arial"/>
          <w:sz w:val="22"/>
          <w:szCs w:val="22"/>
        </w:rPr>
        <w:t>à</w:t>
      </w:r>
      <w:r w:rsidR="00CB11BB" w:rsidRPr="00CB11BB">
        <w:rPr>
          <w:rFonts w:ascii="Arial" w:eastAsia="SimSun" w:hAnsi="Arial" w:cs="Arial"/>
          <w:sz w:val="22"/>
          <w:szCs w:val="22"/>
        </w:rPr>
        <w:t xml:space="preserve"> la Convention de 2003,</w:t>
      </w:r>
      <w:r w:rsidRPr="00814661">
        <w:rPr>
          <w:rFonts w:ascii="Arial" w:eastAsia="SimSun" w:hAnsi="Arial" w:cs="Arial"/>
          <w:sz w:val="22"/>
          <w:szCs w:val="22"/>
        </w:rPr>
        <w:t xml:space="preserve"> et d</w:t>
      </w:r>
      <w:r w:rsidR="009C104E">
        <w:rPr>
          <w:rFonts w:ascii="Arial" w:eastAsia="SimSun" w:hAnsi="Arial" w:cs="Arial"/>
          <w:sz w:val="22"/>
          <w:szCs w:val="22"/>
        </w:rPr>
        <w:t>’</w:t>
      </w:r>
      <w:r w:rsidRPr="00814661">
        <w:rPr>
          <w:rFonts w:ascii="Arial" w:eastAsia="SimSun" w:hAnsi="Arial" w:cs="Arial"/>
          <w:sz w:val="22"/>
          <w:szCs w:val="22"/>
        </w:rPr>
        <w:t>autres domaines liés à la gestion des situations d</w:t>
      </w:r>
      <w:r w:rsidR="009C104E">
        <w:rPr>
          <w:rFonts w:ascii="Arial" w:eastAsia="SimSun" w:hAnsi="Arial" w:cs="Arial"/>
          <w:sz w:val="22"/>
          <w:szCs w:val="22"/>
        </w:rPr>
        <w:t>’</w:t>
      </w:r>
      <w:r w:rsidRPr="00814661">
        <w:rPr>
          <w:rFonts w:ascii="Arial" w:eastAsia="SimSun" w:hAnsi="Arial" w:cs="Arial"/>
          <w:sz w:val="22"/>
          <w:szCs w:val="22"/>
        </w:rPr>
        <w:t>urgence à leur importance ;</w:t>
      </w:r>
    </w:p>
    <w:p w14:paraId="3A920DD5" w14:textId="69F34E4C" w:rsidR="00CB11BB" w:rsidRDefault="00CB11BB" w:rsidP="00771F30">
      <w:pPr>
        <w:pStyle w:val="ListParagraph"/>
        <w:numPr>
          <w:ilvl w:val="0"/>
          <w:numId w:val="53"/>
        </w:numPr>
        <w:tabs>
          <w:tab w:val="left" w:pos="567"/>
        </w:tabs>
        <w:autoSpaceDE w:val="0"/>
        <w:autoSpaceDN w:val="0"/>
        <w:adjustRightInd w:val="0"/>
        <w:spacing w:after="120"/>
        <w:ind w:left="567" w:hanging="567"/>
        <w:contextualSpacing w:val="0"/>
        <w:jc w:val="both"/>
        <w:rPr>
          <w:rFonts w:ascii="Arial" w:eastAsia="SimSun" w:hAnsi="Arial" w:cs="Arial"/>
          <w:sz w:val="22"/>
          <w:szCs w:val="22"/>
        </w:rPr>
      </w:pPr>
      <w:r w:rsidRPr="00F81092">
        <w:rPr>
          <w:rFonts w:ascii="Arial" w:eastAsia="SimSun" w:hAnsi="Arial" w:cs="Arial"/>
          <w:sz w:val="22"/>
          <w:szCs w:val="22"/>
          <w:u w:val="single"/>
        </w:rPr>
        <w:t>Encourage</w:t>
      </w:r>
      <w:r w:rsidRPr="00CB11BB">
        <w:rPr>
          <w:rFonts w:ascii="Arial" w:eastAsia="SimSun" w:hAnsi="Arial" w:cs="Arial"/>
          <w:sz w:val="22"/>
          <w:szCs w:val="22"/>
        </w:rPr>
        <w:t xml:space="preserve"> le Secrétariat, en consultation avec le Secrétariat du </w:t>
      </w:r>
      <w:r w:rsidR="001058DD" w:rsidRPr="001058DD">
        <w:rPr>
          <w:rFonts w:ascii="Arial" w:eastAsia="SimSun" w:hAnsi="Arial" w:cs="Arial"/>
          <w:sz w:val="22"/>
          <w:szCs w:val="22"/>
        </w:rPr>
        <w:t>Deuxième Protocole (1999) relatif à la Convention de La Haye de 1954 pour la protection des biens culturels en cas de conflit armé</w:t>
      </w:r>
      <w:r w:rsidRPr="00CB11BB">
        <w:rPr>
          <w:rFonts w:ascii="Arial" w:eastAsia="SimSun" w:hAnsi="Arial" w:cs="Arial"/>
          <w:sz w:val="22"/>
          <w:szCs w:val="22"/>
        </w:rPr>
        <w:t xml:space="preserve">, à </w:t>
      </w:r>
      <w:r w:rsidR="001058DD">
        <w:rPr>
          <w:rFonts w:ascii="Arial" w:eastAsia="SimSun" w:hAnsi="Arial" w:cs="Arial"/>
          <w:sz w:val="22"/>
          <w:szCs w:val="22"/>
        </w:rPr>
        <w:t>explorer</w:t>
      </w:r>
      <w:r w:rsidRPr="00CB11BB">
        <w:rPr>
          <w:rFonts w:ascii="Arial" w:eastAsia="SimSun" w:hAnsi="Arial" w:cs="Arial"/>
          <w:sz w:val="22"/>
          <w:szCs w:val="22"/>
        </w:rPr>
        <w:t xml:space="preserve"> la possibilité d’une réunion conjointe entre le Bureau du Comité</w:t>
      </w:r>
      <w:r w:rsidR="001058DD">
        <w:rPr>
          <w:rFonts w:ascii="Arial" w:eastAsia="SimSun" w:hAnsi="Arial" w:cs="Arial"/>
          <w:sz w:val="22"/>
          <w:szCs w:val="22"/>
        </w:rPr>
        <w:t xml:space="preserve"> intergouvernemental</w:t>
      </w:r>
      <w:r w:rsidRPr="00CB11BB">
        <w:rPr>
          <w:rFonts w:ascii="Arial" w:eastAsia="SimSun" w:hAnsi="Arial" w:cs="Arial"/>
          <w:sz w:val="22"/>
          <w:szCs w:val="22"/>
        </w:rPr>
        <w:t xml:space="preserve"> </w:t>
      </w:r>
      <w:r w:rsidR="001058DD">
        <w:rPr>
          <w:rFonts w:ascii="Arial" w:eastAsia="SimSun" w:hAnsi="Arial" w:cs="Arial"/>
          <w:sz w:val="22"/>
          <w:szCs w:val="22"/>
        </w:rPr>
        <w:t xml:space="preserve">de sauvegarde du patrimoine culturel immatériel </w:t>
      </w:r>
      <w:r w:rsidRPr="00CB11BB">
        <w:rPr>
          <w:rFonts w:ascii="Arial" w:eastAsia="SimSun" w:hAnsi="Arial" w:cs="Arial"/>
          <w:sz w:val="22"/>
          <w:szCs w:val="22"/>
        </w:rPr>
        <w:t xml:space="preserve">et le Bureau du Comité du </w:t>
      </w:r>
      <w:r w:rsidR="001058DD">
        <w:rPr>
          <w:rFonts w:ascii="Arial" w:eastAsia="SimSun" w:hAnsi="Arial" w:cs="Arial"/>
          <w:sz w:val="22"/>
          <w:szCs w:val="22"/>
        </w:rPr>
        <w:t>Deuxième</w:t>
      </w:r>
      <w:r w:rsidRPr="00CB11BB">
        <w:rPr>
          <w:rFonts w:ascii="Arial" w:eastAsia="SimSun" w:hAnsi="Arial" w:cs="Arial"/>
          <w:sz w:val="22"/>
          <w:szCs w:val="22"/>
        </w:rPr>
        <w:t xml:space="preserve"> Protocole de 1999</w:t>
      </w:r>
      <w:r w:rsidR="001058DD">
        <w:rPr>
          <w:rFonts w:ascii="Arial" w:eastAsia="SimSun" w:hAnsi="Arial" w:cs="Arial"/>
          <w:sz w:val="22"/>
          <w:szCs w:val="22"/>
        </w:rPr>
        <w:t xml:space="preserve"> mentionné ci-dessus</w:t>
      </w:r>
      <w:r w:rsidRPr="00CB11BB">
        <w:rPr>
          <w:rFonts w:ascii="Arial" w:eastAsia="SimSun" w:hAnsi="Arial" w:cs="Arial"/>
          <w:sz w:val="22"/>
          <w:szCs w:val="22"/>
        </w:rPr>
        <w:t>, afin d’étudier des synergies possibles pour la sauvegarde du patrimoine culturel immatériel en cas de conflit armé</w:t>
      </w:r>
      <w:r>
        <w:rPr>
          <w:rFonts w:ascii="Arial" w:eastAsia="SimSun" w:hAnsi="Arial" w:cs="Arial"/>
          <w:sz w:val="22"/>
          <w:szCs w:val="22"/>
        </w:rPr>
        <w:t xml:space="preserve"> ; </w:t>
      </w:r>
    </w:p>
    <w:p w14:paraId="761986EC" w14:textId="2C61B19D" w:rsidR="00CB11BB" w:rsidRPr="00814661" w:rsidRDefault="00CB11BB" w:rsidP="00771F30">
      <w:pPr>
        <w:pStyle w:val="ListParagraph"/>
        <w:numPr>
          <w:ilvl w:val="0"/>
          <w:numId w:val="53"/>
        </w:numPr>
        <w:tabs>
          <w:tab w:val="left" w:pos="567"/>
        </w:tabs>
        <w:autoSpaceDE w:val="0"/>
        <w:autoSpaceDN w:val="0"/>
        <w:adjustRightInd w:val="0"/>
        <w:spacing w:after="120"/>
        <w:ind w:left="567" w:hanging="567"/>
        <w:contextualSpacing w:val="0"/>
        <w:jc w:val="both"/>
        <w:rPr>
          <w:rFonts w:ascii="Arial" w:eastAsia="SimSun" w:hAnsi="Arial" w:cs="Arial"/>
          <w:sz w:val="22"/>
          <w:szCs w:val="22"/>
        </w:rPr>
      </w:pPr>
      <w:r w:rsidRPr="00F81092">
        <w:rPr>
          <w:rFonts w:ascii="Arial" w:eastAsia="SimSun" w:hAnsi="Arial" w:cs="Arial"/>
          <w:sz w:val="22"/>
          <w:szCs w:val="22"/>
          <w:u w:val="single"/>
        </w:rPr>
        <w:t>Encourage en outre</w:t>
      </w:r>
      <w:r w:rsidRPr="00CB11BB">
        <w:rPr>
          <w:rFonts w:ascii="Arial" w:eastAsia="SimSun" w:hAnsi="Arial" w:cs="Arial"/>
          <w:sz w:val="22"/>
          <w:szCs w:val="22"/>
        </w:rPr>
        <w:t xml:space="preserve"> les États parties à </w:t>
      </w:r>
      <w:r w:rsidR="001058DD">
        <w:rPr>
          <w:rFonts w:ascii="Arial" w:eastAsia="SimSun" w:hAnsi="Arial" w:cs="Arial"/>
          <w:sz w:val="22"/>
          <w:szCs w:val="22"/>
        </w:rPr>
        <w:t>poursuivre</w:t>
      </w:r>
      <w:r w:rsidRPr="00CB11BB">
        <w:rPr>
          <w:rFonts w:ascii="Arial" w:eastAsia="SimSun" w:hAnsi="Arial" w:cs="Arial"/>
          <w:sz w:val="22"/>
          <w:szCs w:val="22"/>
        </w:rPr>
        <w:t xml:space="preserve"> le</w:t>
      </w:r>
      <w:r w:rsidR="001058DD">
        <w:rPr>
          <w:rFonts w:ascii="Arial" w:eastAsia="SimSun" w:hAnsi="Arial" w:cs="Arial"/>
          <w:sz w:val="22"/>
          <w:szCs w:val="22"/>
        </w:rPr>
        <w:t>ur</w:t>
      </w:r>
      <w:r w:rsidRPr="00CB11BB">
        <w:rPr>
          <w:rFonts w:ascii="Arial" w:eastAsia="SimSun" w:hAnsi="Arial" w:cs="Arial"/>
          <w:sz w:val="22"/>
          <w:szCs w:val="22"/>
        </w:rPr>
        <w:t xml:space="preserve">s efforts </w:t>
      </w:r>
      <w:r w:rsidR="001058DD">
        <w:rPr>
          <w:rFonts w:ascii="Arial" w:eastAsia="SimSun" w:hAnsi="Arial" w:cs="Arial"/>
          <w:sz w:val="22"/>
          <w:szCs w:val="22"/>
        </w:rPr>
        <w:t>pour</w:t>
      </w:r>
      <w:r w:rsidRPr="00CB11BB">
        <w:rPr>
          <w:rFonts w:ascii="Arial" w:eastAsia="SimSun" w:hAnsi="Arial" w:cs="Arial"/>
          <w:sz w:val="22"/>
          <w:szCs w:val="22"/>
        </w:rPr>
        <w:t xml:space="preserve"> la sauvegarde du patrimoine culturel immatériel dans des situations de conflit armé, y compris l’occupation</w:t>
      </w:r>
      <w:r w:rsidR="00A2355A">
        <w:rPr>
          <w:rFonts w:ascii="Arial" w:eastAsia="SimSun" w:hAnsi="Arial" w:cs="Arial"/>
          <w:sz w:val="22"/>
          <w:szCs w:val="22"/>
        </w:rPr>
        <w:t>,</w:t>
      </w:r>
      <w:r w:rsidRPr="00CB11BB">
        <w:rPr>
          <w:rFonts w:ascii="Arial" w:eastAsia="SimSun" w:hAnsi="Arial" w:cs="Arial"/>
          <w:sz w:val="22"/>
          <w:szCs w:val="22"/>
        </w:rPr>
        <w:t xml:space="preserve"> les situations de post-confli</w:t>
      </w:r>
      <w:r>
        <w:rPr>
          <w:rFonts w:ascii="Arial" w:eastAsia="SimSun" w:hAnsi="Arial" w:cs="Arial"/>
          <w:sz w:val="22"/>
          <w:szCs w:val="22"/>
        </w:rPr>
        <w:t>t</w:t>
      </w:r>
      <w:r w:rsidRPr="00CB11BB">
        <w:rPr>
          <w:rFonts w:ascii="Arial" w:eastAsia="SimSun" w:hAnsi="Arial" w:cs="Arial"/>
          <w:sz w:val="22"/>
          <w:szCs w:val="22"/>
        </w:rPr>
        <w:t xml:space="preserve">, ainsi que dans les catastrophes </w:t>
      </w:r>
      <w:r w:rsidR="001058DD">
        <w:rPr>
          <w:rFonts w:ascii="Arial" w:eastAsia="SimSun" w:hAnsi="Arial" w:cs="Arial"/>
          <w:sz w:val="22"/>
          <w:szCs w:val="22"/>
        </w:rPr>
        <w:t>dues à des risques naturels et d’origine humaine</w:t>
      </w:r>
      <w:r w:rsidRPr="00CB11BB">
        <w:rPr>
          <w:rFonts w:ascii="Arial" w:eastAsia="SimSun" w:hAnsi="Arial" w:cs="Arial"/>
          <w:sz w:val="22"/>
          <w:szCs w:val="22"/>
        </w:rPr>
        <w:t xml:space="preserve">, </w:t>
      </w:r>
      <w:r w:rsidR="00434DEC">
        <w:rPr>
          <w:rFonts w:ascii="Arial" w:eastAsia="SimSun" w:hAnsi="Arial" w:cs="Arial"/>
          <w:sz w:val="22"/>
          <w:szCs w:val="22"/>
        </w:rPr>
        <w:t>y compris</w:t>
      </w:r>
      <w:r w:rsidRPr="00CB11BB">
        <w:rPr>
          <w:rFonts w:ascii="Arial" w:eastAsia="SimSun" w:hAnsi="Arial" w:cs="Arial"/>
          <w:sz w:val="22"/>
          <w:szCs w:val="22"/>
        </w:rPr>
        <w:t xml:space="preserve"> celles </w:t>
      </w:r>
      <w:r w:rsidR="00A2355A">
        <w:rPr>
          <w:rFonts w:ascii="Arial" w:eastAsia="SimSun" w:hAnsi="Arial" w:cs="Arial"/>
          <w:sz w:val="22"/>
          <w:szCs w:val="22"/>
        </w:rPr>
        <w:t>résultant</w:t>
      </w:r>
      <w:r w:rsidRPr="00CB11BB">
        <w:rPr>
          <w:rFonts w:ascii="Arial" w:eastAsia="SimSun" w:hAnsi="Arial" w:cs="Arial"/>
          <w:sz w:val="22"/>
          <w:szCs w:val="22"/>
        </w:rPr>
        <w:t xml:space="preserve"> des effets du changement climatique</w:t>
      </w:r>
      <w:r>
        <w:rPr>
          <w:rFonts w:ascii="Arial" w:eastAsia="SimSun" w:hAnsi="Arial" w:cs="Arial"/>
          <w:sz w:val="22"/>
          <w:szCs w:val="22"/>
        </w:rPr>
        <w:t xml:space="preserve"> ; </w:t>
      </w:r>
    </w:p>
    <w:p w14:paraId="0371874F" w14:textId="74E40C62" w:rsidR="00400706" w:rsidRDefault="00400706" w:rsidP="00771F30">
      <w:pPr>
        <w:pStyle w:val="ListParagraph"/>
        <w:numPr>
          <w:ilvl w:val="0"/>
          <w:numId w:val="53"/>
        </w:numPr>
        <w:tabs>
          <w:tab w:val="left" w:pos="567"/>
        </w:tabs>
        <w:autoSpaceDE w:val="0"/>
        <w:autoSpaceDN w:val="0"/>
        <w:adjustRightInd w:val="0"/>
        <w:spacing w:after="120"/>
        <w:ind w:left="567" w:hanging="567"/>
        <w:contextualSpacing w:val="0"/>
        <w:jc w:val="both"/>
        <w:rPr>
          <w:rFonts w:ascii="Arial" w:eastAsia="SimSun" w:hAnsi="Arial" w:cs="Arial"/>
          <w:sz w:val="22"/>
          <w:szCs w:val="22"/>
        </w:rPr>
      </w:pPr>
      <w:r w:rsidRPr="00814661">
        <w:rPr>
          <w:rFonts w:ascii="Arial" w:eastAsia="SimSun" w:hAnsi="Arial" w:cs="Arial"/>
          <w:sz w:val="22"/>
          <w:szCs w:val="22"/>
          <w:u w:val="single"/>
        </w:rPr>
        <w:t>Sollicite</w:t>
      </w:r>
      <w:r w:rsidRPr="00814661">
        <w:rPr>
          <w:rFonts w:ascii="Arial" w:eastAsia="SimSun" w:hAnsi="Arial" w:cs="Arial"/>
          <w:sz w:val="22"/>
          <w:szCs w:val="22"/>
        </w:rPr>
        <w:t xml:space="preserve"> des contributions des États parties pour la mise en œuvre de divers projets pratiques qui vont contribuer à la sauvegarde continue du patrimoine culturel immatériel dans les situations d</w:t>
      </w:r>
      <w:r w:rsidR="009C104E">
        <w:rPr>
          <w:rFonts w:ascii="Arial" w:eastAsia="SimSun" w:hAnsi="Arial" w:cs="Arial"/>
          <w:sz w:val="22"/>
          <w:szCs w:val="22"/>
        </w:rPr>
        <w:t>’</w:t>
      </w:r>
      <w:r w:rsidRPr="00814661">
        <w:rPr>
          <w:rFonts w:ascii="Arial" w:eastAsia="SimSun" w:hAnsi="Arial" w:cs="Arial"/>
          <w:sz w:val="22"/>
          <w:szCs w:val="22"/>
        </w:rPr>
        <w:t>urgence au sens des modalités et principes opérationnels ;</w:t>
      </w:r>
    </w:p>
    <w:p w14:paraId="6BBBF88C" w14:textId="3AE7A061" w:rsidR="00CB11BB" w:rsidRPr="00814661" w:rsidRDefault="00CB11BB" w:rsidP="00771F30">
      <w:pPr>
        <w:pStyle w:val="ListParagraph"/>
        <w:numPr>
          <w:ilvl w:val="0"/>
          <w:numId w:val="53"/>
        </w:numPr>
        <w:tabs>
          <w:tab w:val="left" w:pos="567"/>
        </w:tabs>
        <w:autoSpaceDE w:val="0"/>
        <w:autoSpaceDN w:val="0"/>
        <w:adjustRightInd w:val="0"/>
        <w:spacing w:after="120"/>
        <w:ind w:left="567" w:hanging="567"/>
        <w:contextualSpacing w:val="0"/>
        <w:jc w:val="both"/>
        <w:rPr>
          <w:rFonts w:ascii="Arial" w:eastAsia="SimSun" w:hAnsi="Arial" w:cs="Arial"/>
          <w:sz w:val="22"/>
          <w:szCs w:val="22"/>
        </w:rPr>
      </w:pPr>
      <w:r w:rsidRPr="00F81092">
        <w:rPr>
          <w:rFonts w:ascii="Arial" w:eastAsia="SimSun" w:hAnsi="Arial" w:cs="Arial"/>
          <w:sz w:val="22"/>
          <w:szCs w:val="22"/>
          <w:u w:val="single"/>
        </w:rPr>
        <w:t>Remercie</w:t>
      </w:r>
      <w:r w:rsidRPr="00CB11BB">
        <w:rPr>
          <w:rFonts w:ascii="Arial" w:eastAsia="SimSun" w:hAnsi="Arial" w:cs="Arial"/>
          <w:sz w:val="22"/>
          <w:szCs w:val="22"/>
        </w:rPr>
        <w:t xml:space="preserve"> la Suisse pour sa contribution permettant de soutenir les activités de renforcement des capacités relatives au patrimoine culturel immatériel et aux catastrophes naturelles, </w:t>
      </w:r>
      <w:r w:rsidRPr="00DF693C">
        <w:rPr>
          <w:rFonts w:ascii="Arial" w:eastAsia="SimSun" w:hAnsi="Arial" w:cs="Arial"/>
          <w:sz w:val="22"/>
          <w:szCs w:val="22"/>
          <w:u w:val="single"/>
        </w:rPr>
        <w:t>remercie</w:t>
      </w:r>
      <w:r w:rsidRPr="00B932EA">
        <w:rPr>
          <w:rFonts w:ascii="Arial" w:eastAsia="SimSun" w:hAnsi="Arial" w:cs="Arial"/>
          <w:sz w:val="22"/>
          <w:szCs w:val="22"/>
          <w:u w:val="single"/>
        </w:rPr>
        <w:t xml:space="preserve"> également</w:t>
      </w:r>
      <w:r w:rsidRPr="00CB11BB">
        <w:rPr>
          <w:rFonts w:ascii="Arial" w:eastAsia="SimSun" w:hAnsi="Arial" w:cs="Arial"/>
          <w:sz w:val="22"/>
          <w:szCs w:val="22"/>
        </w:rPr>
        <w:t xml:space="preserve"> l'Azerbaïdjan pour avoir exprimé son intention de soutenir le renforcement des capacités dans les situations de conflit et </w:t>
      </w:r>
      <w:r w:rsidRPr="00F81092">
        <w:rPr>
          <w:rFonts w:ascii="Arial" w:eastAsia="SimSun" w:hAnsi="Arial" w:cs="Arial"/>
          <w:sz w:val="22"/>
          <w:szCs w:val="22"/>
          <w:u w:val="single"/>
        </w:rPr>
        <w:t>demande</w:t>
      </w:r>
      <w:r w:rsidRPr="00CB11BB">
        <w:rPr>
          <w:rFonts w:ascii="Arial" w:eastAsia="SimSun" w:hAnsi="Arial" w:cs="Arial"/>
          <w:sz w:val="22"/>
          <w:szCs w:val="22"/>
        </w:rPr>
        <w:t xml:space="preserve"> au Secrétariat d</w:t>
      </w:r>
      <w:r w:rsidR="00434DEC">
        <w:rPr>
          <w:rFonts w:ascii="Arial" w:eastAsia="SimSun" w:hAnsi="Arial" w:cs="Arial"/>
          <w:sz w:val="22"/>
          <w:szCs w:val="22"/>
        </w:rPr>
        <w:t>’</w:t>
      </w:r>
      <w:r w:rsidRPr="00CB11BB">
        <w:rPr>
          <w:rFonts w:ascii="Arial" w:eastAsia="SimSun" w:hAnsi="Arial" w:cs="Arial"/>
          <w:sz w:val="22"/>
          <w:szCs w:val="22"/>
        </w:rPr>
        <w:t>assurer une planification et une mise en œuvre appropriées des initiatives proposées</w:t>
      </w:r>
      <w:r>
        <w:rPr>
          <w:rFonts w:ascii="Arial" w:eastAsia="SimSun" w:hAnsi="Arial" w:cs="Arial"/>
          <w:sz w:val="22"/>
          <w:szCs w:val="22"/>
        </w:rPr>
        <w:t xml:space="preserve"> ; </w:t>
      </w:r>
    </w:p>
    <w:p w14:paraId="523F93F0" w14:textId="72C5669C" w:rsidR="00814661" w:rsidRDefault="00400706" w:rsidP="00771F30">
      <w:pPr>
        <w:pStyle w:val="ListParagraph"/>
        <w:numPr>
          <w:ilvl w:val="0"/>
          <w:numId w:val="53"/>
        </w:numPr>
        <w:tabs>
          <w:tab w:val="left" w:pos="567"/>
        </w:tabs>
        <w:autoSpaceDE w:val="0"/>
        <w:autoSpaceDN w:val="0"/>
        <w:adjustRightInd w:val="0"/>
        <w:spacing w:after="120"/>
        <w:ind w:left="567" w:hanging="567"/>
        <w:contextualSpacing w:val="0"/>
        <w:jc w:val="both"/>
        <w:rPr>
          <w:rFonts w:ascii="Arial" w:eastAsia="SimSun" w:hAnsi="Arial" w:cs="Arial"/>
          <w:sz w:val="22"/>
          <w:szCs w:val="22"/>
        </w:rPr>
      </w:pPr>
      <w:r w:rsidRPr="00814661">
        <w:rPr>
          <w:rFonts w:ascii="Arial" w:eastAsia="SimSun" w:hAnsi="Arial" w:cs="Arial"/>
          <w:sz w:val="22"/>
          <w:szCs w:val="22"/>
          <w:u w:val="single"/>
        </w:rPr>
        <w:t>Encourage en outre</w:t>
      </w:r>
      <w:r w:rsidRPr="00814661">
        <w:rPr>
          <w:rFonts w:ascii="Arial" w:eastAsia="SimSun" w:hAnsi="Arial" w:cs="Arial"/>
          <w:sz w:val="22"/>
          <w:szCs w:val="22"/>
        </w:rPr>
        <w:t xml:space="preserve"> les États à envisager la possibilité de soutenir financièrement de futurs travaux sur la sauvegarde du patrimoine culturel immatériel dans les situations d</w:t>
      </w:r>
      <w:r w:rsidR="009C104E">
        <w:rPr>
          <w:rFonts w:ascii="Arial" w:eastAsia="SimSun" w:hAnsi="Arial" w:cs="Arial"/>
          <w:sz w:val="22"/>
          <w:szCs w:val="22"/>
        </w:rPr>
        <w:t>’</w:t>
      </w:r>
      <w:r w:rsidRPr="00814661">
        <w:rPr>
          <w:rFonts w:ascii="Arial" w:eastAsia="SimSun" w:hAnsi="Arial" w:cs="Arial"/>
          <w:sz w:val="22"/>
          <w:szCs w:val="22"/>
        </w:rPr>
        <w:t>urgence selon les modalités de leur choix</w:t>
      </w:r>
      <w:r w:rsidR="00CB11BB">
        <w:rPr>
          <w:rFonts w:ascii="Arial" w:eastAsia="SimSun" w:hAnsi="Arial" w:cs="Arial"/>
          <w:sz w:val="22"/>
          <w:szCs w:val="22"/>
        </w:rPr>
        <w:t>.</w:t>
      </w:r>
    </w:p>
    <w:p w14:paraId="6C1B37B9" w14:textId="77777777" w:rsidR="00400706" w:rsidRPr="00814661" w:rsidRDefault="00400706" w:rsidP="00B932EA">
      <w:pPr>
        <w:autoSpaceDE w:val="0"/>
        <w:autoSpaceDN w:val="0"/>
        <w:adjustRightInd w:val="0"/>
        <w:spacing w:before="360" w:after="120"/>
        <w:jc w:val="center"/>
        <w:rPr>
          <w:rFonts w:ascii="Arial" w:eastAsia="SimSun" w:hAnsi="Arial" w:cs="Arial"/>
          <w:b/>
          <w:sz w:val="22"/>
          <w:szCs w:val="22"/>
        </w:rPr>
      </w:pPr>
      <w:r w:rsidRPr="00814661">
        <w:rPr>
          <w:rFonts w:ascii="Arial" w:hAnsi="Arial" w:cs="Arial"/>
          <w:b/>
          <w:sz w:val="22"/>
          <w:szCs w:val="22"/>
        </w:rPr>
        <w:t>ANNEXE</w:t>
      </w:r>
    </w:p>
    <w:p w14:paraId="6B35B6BB" w14:textId="1BA17C0B" w:rsidR="00400706" w:rsidRPr="00400706" w:rsidRDefault="00400706" w:rsidP="00B932EA">
      <w:pPr>
        <w:tabs>
          <w:tab w:val="left" w:pos="567"/>
        </w:tabs>
        <w:spacing w:after="240"/>
        <w:jc w:val="center"/>
        <w:rPr>
          <w:rFonts w:asciiTheme="minorBidi" w:hAnsiTheme="minorBidi" w:cstheme="minorBidi"/>
          <w:b/>
        </w:rPr>
      </w:pPr>
      <w:r w:rsidRPr="00400706">
        <w:rPr>
          <w:rFonts w:asciiTheme="minorBidi" w:hAnsiTheme="minorBidi" w:cstheme="minorBidi"/>
          <w:b/>
        </w:rPr>
        <w:t>Principes et modalités opérationnels pour la</w:t>
      </w:r>
      <w:r w:rsidRPr="00400706">
        <w:rPr>
          <w:rFonts w:asciiTheme="minorBidi" w:hAnsiTheme="minorBidi" w:cstheme="minorBidi"/>
          <w:b/>
        </w:rPr>
        <w:br/>
        <w:t xml:space="preserve"> sauvegarde du patrimoine culturel immatériel dans les situations d</w:t>
      </w:r>
      <w:r w:rsidR="009C104E">
        <w:rPr>
          <w:rFonts w:asciiTheme="minorBidi" w:hAnsiTheme="minorBidi" w:cstheme="minorBidi"/>
          <w:b/>
        </w:rPr>
        <w:t>’</w:t>
      </w:r>
      <w:r w:rsidRPr="00400706">
        <w:rPr>
          <w:rFonts w:asciiTheme="minorBidi" w:hAnsiTheme="minorBidi" w:cstheme="minorBidi"/>
          <w:b/>
        </w:rPr>
        <w:t>urgence</w:t>
      </w:r>
    </w:p>
    <w:p w14:paraId="06B00DF6" w14:textId="21B6ABB5" w:rsidR="00400706" w:rsidRPr="00400706" w:rsidRDefault="00400706" w:rsidP="00400706">
      <w:pPr>
        <w:spacing w:before="120" w:after="240"/>
        <w:jc w:val="both"/>
        <w:rPr>
          <w:rFonts w:ascii="Arial" w:hAnsi="Arial" w:cs="Arial"/>
          <w:sz w:val="22"/>
          <w:szCs w:val="22"/>
        </w:rPr>
      </w:pPr>
      <w:r w:rsidRPr="00400706">
        <w:rPr>
          <w:rFonts w:ascii="Arial" w:hAnsi="Arial" w:cs="Arial"/>
          <w:sz w:val="22"/>
          <w:szCs w:val="22"/>
        </w:rPr>
        <w:t>Partout dans le monde, le patrimoine culturel est de plus en plus touché par les situations d</w:t>
      </w:r>
      <w:r w:rsidR="009C104E">
        <w:rPr>
          <w:rFonts w:ascii="Arial" w:hAnsi="Arial" w:cs="Arial"/>
          <w:sz w:val="22"/>
          <w:szCs w:val="22"/>
        </w:rPr>
        <w:t>’</w:t>
      </w:r>
      <w:r w:rsidRPr="00400706">
        <w:rPr>
          <w:rFonts w:ascii="Arial" w:hAnsi="Arial" w:cs="Arial"/>
          <w:sz w:val="22"/>
          <w:szCs w:val="22"/>
        </w:rPr>
        <w:t>urgence, qu</w:t>
      </w:r>
      <w:r w:rsidR="009C104E">
        <w:rPr>
          <w:rFonts w:ascii="Arial" w:hAnsi="Arial" w:cs="Arial"/>
          <w:sz w:val="22"/>
          <w:szCs w:val="22"/>
        </w:rPr>
        <w:t>’</w:t>
      </w:r>
      <w:r w:rsidRPr="00400706">
        <w:rPr>
          <w:rFonts w:ascii="Arial" w:hAnsi="Arial" w:cs="Arial"/>
          <w:sz w:val="22"/>
          <w:szCs w:val="22"/>
        </w:rPr>
        <w:t>il s</w:t>
      </w:r>
      <w:r w:rsidR="009C104E">
        <w:rPr>
          <w:rFonts w:ascii="Arial" w:hAnsi="Arial" w:cs="Arial"/>
          <w:sz w:val="22"/>
          <w:szCs w:val="22"/>
        </w:rPr>
        <w:t>’</w:t>
      </w:r>
      <w:r w:rsidRPr="00400706">
        <w:rPr>
          <w:rFonts w:ascii="Arial" w:hAnsi="Arial" w:cs="Arial"/>
          <w:sz w:val="22"/>
          <w:szCs w:val="22"/>
        </w:rPr>
        <w:t>agisse de situations de conflits ou de catastrophes dues à des risques naturels et d</w:t>
      </w:r>
      <w:r w:rsidR="009C104E">
        <w:rPr>
          <w:rFonts w:ascii="Arial" w:hAnsi="Arial" w:cs="Arial"/>
          <w:sz w:val="22"/>
          <w:szCs w:val="22"/>
        </w:rPr>
        <w:t>’</w:t>
      </w:r>
      <w:r w:rsidRPr="00400706">
        <w:rPr>
          <w:rFonts w:ascii="Arial" w:hAnsi="Arial" w:cs="Arial"/>
          <w:sz w:val="22"/>
          <w:szCs w:val="22"/>
        </w:rPr>
        <w:t>origine humaine (« catastrophes naturelles »). Ces situations représentent des menaces sur la transmission et la viabilité du patrimoine culturel immatériel, qui constitue un fondement de l</w:t>
      </w:r>
      <w:r w:rsidR="009C104E">
        <w:rPr>
          <w:rFonts w:ascii="Arial" w:hAnsi="Arial" w:cs="Arial"/>
          <w:sz w:val="22"/>
          <w:szCs w:val="22"/>
        </w:rPr>
        <w:t>’</w:t>
      </w:r>
      <w:r w:rsidRPr="00400706">
        <w:rPr>
          <w:rFonts w:ascii="Arial" w:hAnsi="Arial" w:cs="Arial"/>
          <w:sz w:val="22"/>
          <w:szCs w:val="22"/>
        </w:rPr>
        <w:t>identité et du bien-être des communautés, groupes et individus [ci-après dénommés « communautés »]. La sauvegarde du patrimoine culturel immatériel a un double rôle à jouer dans les contextes d</w:t>
      </w:r>
      <w:r w:rsidR="009C104E">
        <w:rPr>
          <w:rFonts w:ascii="Arial" w:hAnsi="Arial" w:cs="Arial"/>
          <w:sz w:val="22"/>
          <w:szCs w:val="22"/>
        </w:rPr>
        <w:t>’</w:t>
      </w:r>
      <w:r w:rsidRPr="00400706">
        <w:rPr>
          <w:rFonts w:ascii="Arial" w:hAnsi="Arial" w:cs="Arial"/>
          <w:sz w:val="22"/>
          <w:szCs w:val="22"/>
        </w:rPr>
        <w:t>urgence : d</w:t>
      </w:r>
      <w:r w:rsidR="009C104E">
        <w:rPr>
          <w:rFonts w:ascii="Arial" w:hAnsi="Arial" w:cs="Arial"/>
          <w:sz w:val="22"/>
          <w:szCs w:val="22"/>
        </w:rPr>
        <w:t>’</w:t>
      </w:r>
      <w:r w:rsidRPr="00400706">
        <w:rPr>
          <w:rFonts w:ascii="Arial" w:hAnsi="Arial" w:cs="Arial"/>
          <w:sz w:val="22"/>
          <w:szCs w:val="22"/>
        </w:rPr>
        <w:t>une part, le patrimoine culturel immatériel peut être directement menacé par des situations d</w:t>
      </w:r>
      <w:r w:rsidR="009C104E">
        <w:rPr>
          <w:rFonts w:ascii="Arial" w:hAnsi="Arial" w:cs="Arial"/>
          <w:sz w:val="22"/>
          <w:szCs w:val="22"/>
        </w:rPr>
        <w:t>’</w:t>
      </w:r>
      <w:r w:rsidRPr="00400706">
        <w:rPr>
          <w:rFonts w:ascii="Arial" w:hAnsi="Arial" w:cs="Arial"/>
          <w:sz w:val="22"/>
          <w:szCs w:val="22"/>
        </w:rPr>
        <w:t>urgence et, d</w:t>
      </w:r>
      <w:r w:rsidR="009C104E">
        <w:rPr>
          <w:rFonts w:ascii="Arial" w:hAnsi="Arial" w:cs="Arial"/>
          <w:sz w:val="22"/>
          <w:szCs w:val="22"/>
        </w:rPr>
        <w:t>’</w:t>
      </w:r>
      <w:r w:rsidRPr="00400706">
        <w:rPr>
          <w:rFonts w:ascii="Arial" w:hAnsi="Arial" w:cs="Arial"/>
          <w:sz w:val="22"/>
          <w:szCs w:val="22"/>
        </w:rPr>
        <w:t>autre part, il peut être crucial pour aider les communautés à se préparer aux urgences, à y faire face et à s</w:t>
      </w:r>
      <w:r w:rsidR="009C104E">
        <w:rPr>
          <w:rFonts w:ascii="Arial" w:hAnsi="Arial" w:cs="Arial"/>
          <w:sz w:val="22"/>
          <w:szCs w:val="22"/>
        </w:rPr>
        <w:t>’</w:t>
      </w:r>
      <w:r w:rsidRPr="00400706">
        <w:rPr>
          <w:rFonts w:ascii="Arial" w:hAnsi="Arial" w:cs="Arial"/>
          <w:sz w:val="22"/>
          <w:szCs w:val="22"/>
        </w:rPr>
        <w:t>en relever.</w:t>
      </w:r>
    </w:p>
    <w:p w14:paraId="2B144ABE" w14:textId="03214EF7" w:rsidR="00400706" w:rsidRPr="00400706" w:rsidRDefault="00400706" w:rsidP="00400706">
      <w:pPr>
        <w:spacing w:before="120" w:after="240"/>
        <w:jc w:val="both"/>
        <w:rPr>
          <w:rFonts w:ascii="Arial" w:hAnsi="Arial" w:cs="Arial"/>
          <w:sz w:val="22"/>
          <w:szCs w:val="22"/>
        </w:rPr>
      </w:pPr>
      <w:r w:rsidRPr="00400706">
        <w:rPr>
          <w:rFonts w:ascii="Arial" w:hAnsi="Arial" w:cs="Arial"/>
          <w:sz w:val="22"/>
          <w:szCs w:val="22"/>
        </w:rPr>
        <w:t>Face à la nature diversifiée et à l</w:t>
      </w:r>
      <w:r w:rsidR="009C104E">
        <w:rPr>
          <w:rFonts w:ascii="Arial" w:hAnsi="Arial" w:cs="Arial"/>
          <w:sz w:val="22"/>
          <w:szCs w:val="22"/>
        </w:rPr>
        <w:t>’</w:t>
      </w:r>
      <w:r w:rsidRPr="00400706">
        <w:rPr>
          <w:rFonts w:ascii="Arial" w:hAnsi="Arial" w:cs="Arial"/>
          <w:sz w:val="22"/>
          <w:szCs w:val="22"/>
        </w:rPr>
        <w:t>ampleur variable des conflits armés et des catastrophes naturelles, les situations d</w:t>
      </w:r>
      <w:r w:rsidR="009C104E">
        <w:rPr>
          <w:rFonts w:ascii="Arial" w:hAnsi="Arial" w:cs="Arial"/>
          <w:sz w:val="22"/>
          <w:szCs w:val="22"/>
        </w:rPr>
        <w:t>’</w:t>
      </w:r>
      <w:r w:rsidRPr="00400706">
        <w:rPr>
          <w:rFonts w:ascii="Arial" w:hAnsi="Arial" w:cs="Arial"/>
          <w:sz w:val="22"/>
          <w:szCs w:val="22"/>
        </w:rPr>
        <w:t>urgence constituent un champ d</w:t>
      </w:r>
      <w:r w:rsidR="009C104E">
        <w:rPr>
          <w:rFonts w:ascii="Arial" w:hAnsi="Arial" w:cs="Arial"/>
          <w:sz w:val="22"/>
          <w:szCs w:val="22"/>
        </w:rPr>
        <w:t>’</w:t>
      </w:r>
      <w:r w:rsidRPr="00400706">
        <w:rPr>
          <w:rFonts w:ascii="Arial" w:hAnsi="Arial" w:cs="Arial"/>
          <w:sz w:val="22"/>
          <w:szCs w:val="22"/>
        </w:rPr>
        <w:t>opération complexe, marqué par la diversité des parties prenantes impliquées. Formulés à l</w:t>
      </w:r>
      <w:r w:rsidR="009C104E">
        <w:rPr>
          <w:rFonts w:ascii="Arial" w:hAnsi="Arial" w:cs="Arial"/>
          <w:sz w:val="22"/>
          <w:szCs w:val="22"/>
        </w:rPr>
        <w:t>’</w:t>
      </w:r>
      <w:r w:rsidRPr="00400706">
        <w:rPr>
          <w:rFonts w:ascii="Arial" w:hAnsi="Arial" w:cs="Arial"/>
          <w:sz w:val="22"/>
          <w:szCs w:val="22"/>
        </w:rPr>
        <w:t>intention des États parties et de toute autre partie prenante nationale ou internationale concernée, les principes et modalités opérationnels suivants indiquent la meilleure façon de mobiliser et sauvegarder efficacement le patrimoine culturel immatériel dans diverses situations d</w:t>
      </w:r>
      <w:r w:rsidR="009C104E">
        <w:rPr>
          <w:rFonts w:ascii="Arial" w:hAnsi="Arial" w:cs="Arial"/>
          <w:sz w:val="22"/>
          <w:szCs w:val="22"/>
        </w:rPr>
        <w:t>’</w:t>
      </w:r>
      <w:r w:rsidRPr="00400706">
        <w:rPr>
          <w:rFonts w:ascii="Arial" w:hAnsi="Arial" w:cs="Arial"/>
          <w:sz w:val="22"/>
          <w:szCs w:val="22"/>
        </w:rPr>
        <w:t>urgence.</w:t>
      </w:r>
    </w:p>
    <w:p w14:paraId="44843397" w14:textId="493798D0" w:rsidR="00400706" w:rsidRPr="00400706" w:rsidRDefault="00400706" w:rsidP="00400706">
      <w:pPr>
        <w:spacing w:after="240"/>
        <w:jc w:val="both"/>
        <w:rPr>
          <w:rFonts w:ascii="Arial" w:hAnsi="Arial" w:cs="Arial"/>
          <w:sz w:val="22"/>
          <w:szCs w:val="22"/>
        </w:rPr>
      </w:pPr>
      <w:r w:rsidRPr="00400706">
        <w:rPr>
          <w:rFonts w:ascii="Arial" w:hAnsi="Arial" w:cs="Arial"/>
          <w:sz w:val="22"/>
          <w:szCs w:val="22"/>
        </w:rPr>
        <w:t>Les principes et modalités opérationnels exposés ci-dessous s</w:t>
      </w:r>
      <w:r w:rsidR="009C104E">
        <w:rPr>
          <w:rFonts w:ascii="Arial" w:hAnsi="Arial" w:cs="Arial"/>
          <w:sz w:val="22"/>
          <w:szCs w:val="22"/>
        </w:rPr>
        <w:t>’</w:t>
      </w:r>
      <w:r w:rsidRPr="00400706">
        <w:rPr>
          <w:rFonts w:ascii="Arial" w:hAnsi="Arial" w:cs="Arial"/>
          <w:sz w:val="22"/>
          <w:szCs w:val="22"/>
        </w:rPr>
        <w:t xml:space="preserve">appuient sur la </w:t>
      </w:r>
      <w:hyperlink r:id="rId75" w:history="1">
        <w:r w:rsidRPr="00400706">
          <w:rPr>
            <w:rFonts w:ascii="Arial" w:hAnsi="Arial" w:cs="Arial"/>
            <w:sz w:val="22"/>
            <w:szCs w:val="22"/>
          </w:rPr>
          <w:t>Stratégie de renforcement de l</w:t>
        </w:r>
        <w:r w:rsidR="009C104E">
          <w:rPr>
            <w:rFonts w:ascii="Arial" w:hAnsi="Arial" w:cs="Arial"/>
            <w:sz w:val="22"/>
            <w:szCs w:val="22"/>
          </w:rPr>
          <w:t>’</w:t>
        </w:r>
        <w:r w:rsidRPr="00400706">
          <w:rPr>
            <w:rFonts w:ascii="Arial" w:hAnsi="Arial" w:cs="Arial"/>
            <w:sz w:val="22"/>
            <w:szCs w:val="22"/>
          </w:rPr>
          <w:t>action de l</w:t>
        </w:r>
        <w:r w:rsidR="009C104E">
          <w:rPr>
            <w:rFonts w:ascii="Arial" w:hAnsi="Arial" w:cs="Arial"/>
            <w:sz w:val="22"/>
            <w:szCs w:val="22"/>
          </w:rPr>
          <w:t>’</w:t>
        </w:r>
        <w:r w:rsidRPr="00400706">
          <w:rPr>
            <w:rFonts w:ascii="Arial" w:hAnsi="Arial" w:cs="Arial"/>
            <w:sz w:val="22"/>
            <w:szCs w:val="22"/>
          </w:rPr>
          <w:t>UNESCO pour la protection de la culture et la promotion du pluralisme culturel en cas de conflit armé</w:t>
        </w:r>
      </w:hyperlink>
      <w:r w:rsidRPr="00400706">
        <w:rPr>
          <w:rFonts w:ascii="Arial" w:eastAsia="MS Mincho" w:hAnsi="Arial" w:cs="Arial"/>
          <w:sz w:val="22"/>
          <w:szCs w:val="22"/>
          <w:vertAlign w:val="superscript"/>
          <w:lang w:val="en-GB"/>
        </w:rPr>
        <w:footnoteReference w:id="1"/>
      </w:r>
      <w:r w:rsidRPr="00400706">
        <w:rPr>
          <w:rFonts w:ascii="Arial" w:hAnsi="Arial" w:cs="Arial"/>
          <w:sz w:val="22"/>
          <w:szCs w:val="22"/>
        </w:rPr>
        <w:t xml:space="preserve"> et sur son </w:t>
      </w:r>
      <w:hyperlink r:id="rId76" w:history="1">
        <w:r w:rsidRPr="00400706">
          <w:rPr>
            <w:rFonts w:ascii="Arial" w:hAnsi="Arial" w:cs="Arial"/>
            <w:sz w:val="22"/>
            <w:szCs w:val="22"/>
          </w:rPr>
          <w:t>addendum relatif aux situations d</w:t>
        </w:r>
        <w:r w:rsidR="009C104E">
          <w:rPr>
            <w:rFonts w:ascii="Arial" w:hAnsi="Arial" w:cs="Arial"/>
            <w:sz w:val="22"/>
            <w:szCs w:val="22"/>
          </w:rPr>
          <w:t>’</w:t>
        </w:r>
        <w:r w:rsidRPr="00400706">
          <w:rPr>
            <w:rFonts w:ascii="Arial" w:hAnsi="Arial" w:cs="Arial"/>
            <w:sz w:val="22"/>
            <w:szCs w:val="22"/>
          </w:rPr>
          <w:t>urgence liées à des catastrophes dues à des risques naturels et d</w:t>
        </w:r>
        <w:r w:rsidR="009C104E">
          <w:rPr>
            <w:rFonts w:ascii="Arial" w:hAnsi="Arial" w:cs="Arial"/>
            <w:sz w:val="22"/>
            <w:szCs w:val="22"/>
          </w:rPr>
          <w:t>’</w:t>
        </w:r>
        <w:r w:rsidRPr="00400706">
          <w:rPr>
            <w:rFonts w:ascii="Arial" w:hAnsi="Arial" w:cs="Arial"/>
            <w:sz w:val="22"/>
            <w:szCs w:val="22"/>
          </w:rPr>
          <w:t>origine humaine</w:t>
        </w:r>
      </w:hyperlink>
      <w:r w:rsidRPr="00400706">
        <w:rPr>
          <w:rFonts w:ascii="Arial" w:eastAsia="MS Mincho" w:hAnsi="Arial" w:cs="Arial"/>
          <w:sz w:val="22"/>
          <w:szCs w:val="22"/>
          <w:vertAlign w:val="superscript"/>
          <w:lang w:val="en-GB"/>
        </w:rPr>
        <w:footnoteReference w:id="2"/>
      </w:r>
      <w:r w:rsidRPr="00400706">
        <w:rPr>
          <w:rFonts w:ascii="Arial" w:hAnsi="Arial" w:cs="Arial"/>
          <w:sz w:val="22"/>
          <w:szCs w:val="22"/>
        </w:rPr>
        <w:t xml:space="preserve">, ainsi que sur la résolution 2347 du Conseil de sécurité des Nations Unies (2017). Ils doivent en outre être examinés conjointement aux dispositions pertinentes de la Convention de 2003pour la sauvegarde du patrimoine culturel immatériel et de ses Directives opérationnelles, en particulier le </w:t>
      </w:r>
      <w:hyperlink r:id="rId77" w:history="1">
        <w:r w:rsidRPr="00400706">
          <w:rPr>
            <w:rFonts w:ascii="Arial" w:hAnsi="Arial" w:cs="Arial"/>
            <w:sz w:val="22"/>
            <w:szCs w:val="22"/>
          </w:rPr>
          <w:t>Chapitre VI</w:t>
        </w:r>
        <w:r w:rsidRPr="00400706">
          <w:rPr>
            <w:rFonts w:ascii="Arial" w:eastAsia="MS Mincho" w:hAnsi="Arial" w:cs="Arial"/>
            <w:sz w:val="22"/>
            <w:szCs w:val="22"/>
            <w:vertAlign w:val="superscript"/>
            <w:lang w:val="en-GB"/>
          </w:rPr>
          <w:footnoteReference w:id="3"/>
        </w:r>
        <w:r w:rsidRPr="00400706">
          <w:rPr>
            <w:rFonts w:ascii="Arial" w:hAnsi="Arial" w:cs="Arial"/>
            <w:sz w:val="22"/>
            <w:szCs w:val="22"/>
          </w:rPr>
          <w:t xml:space="preserve"> relatif à la sauvegarde du patrimoine culturel immatériel et au développement durable à l</w:t>
        </w:r>
        <w:r w:rsidR="009C104E">
          <w:rPr>
            <w:rFonts w:ascii="Arial" w:hAnsi="Arial" w:cs="Arial"/>
            <w:sz w:val="22"/>
            <w:szCs w:val="22"/>
          </w:rPr>
          <w:t>’</w:t>
        </w:r>
        <w:r w:rsidRPr="00400706">
          <w:rPr>
            <w:rFonts w:ascii="Arial" w:hAnsi="Arial" w:cs="Arial"/>
            <w:sz w:val="22"/>
            <w:szCs w:val="22"/>
          </w:rPr>
          <w:t>échelle nationale</w:t>
        </w:r>
      </w:hyperlink>
      <w:r w:rsidRPr="00400706">
        <w:rPr>
          <w:rFonts w:ascii="Arial" w:hAnsi="Arial" w:cs="Arial"/>
          <w:sz w:val="22"/>
          <w:szCs w:val="22"/>
        </w:rPr>
        <w:t>, ainsi qu</w:t>
      </w:r>
      <w:r w:rsidR="009C104E">
        <w:rPr>
          <w:rFonts w:ascii="Arial" w:hAnsi="Arial" w:cs="Arial"/>
          <w:sz w:val="22"/>
          <w:szCs w:val="22"/>
        </w:rPr>
        <w:t>’</w:t>
      </w:r>
      <w:r w:rsidRPr="00400706">
        <w:rPr>
          <w:rFonts w:ascii="Arial" w:hAnsi="Arial" w:cs="Arial"/>
          <w:sz w:val="22"/>
          <w:szCs w:val="22"/>
        </w:rPr>
        <w:t>aux principes éthiques pour la sauvegarde du patrimoine culturel immatériel.</w:t>
      </w:r>
    </w:p>
    <w:p w14:paraId="1EBBF628" w14:textId="77777777" w:rsidR="00400706" w:rsidRPr="00400706" w:rsidRDefault="00400706" w:rsidP="00400706">
      <w:pPr>
        <w:spacing w:before="240"/>
        <w:jc w:val="both"/>
        <w:rPr>
          <w:rFonts w:asciiTheme="minorBidi" w:hAnsiTheme="minorBidi" w:cstheme="minorBidi"/>
          <w:b/>
          <w:bCs/>
          <w:color w:val="000000"/>
          <w:sz w:val="22"/>
          <w:szCs w:val="22"/>
          <w:u w:val="single"/>
        </w:rPr>
      </w:pPr>
      <w:r w:rsidRPr="00400706">
        <w:rPr>
          <w:rFonts w:asciiTheme="minorBidi" w:hAnsiTheme="minorBidi" w:cstheme="minorBidi"/>
          <w:b/>
          <w:bCs/>
          <w:color w:val="000000"/>
          <w:sz w:val="22"/>
          <w:szCs w:val="22"/>
          <w:u w:val="single"/>
        </w:rPr>
        <w:t>Principes</w:t>
      </w:r>
    </w:p>
    <w:p w14:paraId="2BDF2F41" w14:textId="73544309" w:rsidR="00400706" w:rsidRPr="00400706" w:rsidRDefault="00400706" w:rsidP="00400706">
      <w:pPr>
        <w:spacing w:before="240" w:after="240"/>
        <w:jc w:val="both"/>
        <w:rPr>
          <w:rFonts w:asciiTheme="minorBidi" w:hAnsiTheme="minorBidi" w:cstheme="minorBidi"/>
          <w:sz w:val="22"/>
          <w:szCs w:val="22"/>
        </w:rPr>
      </w:pPr>
      <w:r w:rsidRPr="00400706">
        <w:rPr>
          <w:rFonts w:asciiTheme="minorBidi" w:hAnsiTheme="minorBidi" w:cstheme="minorBidi"/>
          <w:color w:val="000000"/>
          <w:sz w:val="22"/>
          <w:szCs w:val="22"/>
        </w:rPr>
        <w:t>Toutes les interventions visant à sauvegarder et/ou mobiliser le patrimoine culturel immatériel dans les situations d</w:t>
      </w:r>
      <w:r w:rsidR="009C104E">
        <w:rPr>
          <w:rFonts w:asciiTheme="minorBidi" w:hAnsiTheme="minorBidi" w:cstheme="minorBidi"/>
          <w:color w:val="000000"/>
          <w:sz w:val="22"/>
          <w:szCs w:val="22"/>
        </w:rPr>
        <w:t>’</w:t>
      </w:r>
      <w:r w:rsidRPr="00400706">
        <w:rPr>
          <w:rFonts w:asciiTheme="minorBidi" w:hAnsiTheme="minorBidi" w:cstheme="minorBidi"/>
          <w:color w:val="000000"/>
          <w:sz w:val="22"/>
          <w:szCs w:val="22"/>
        </w:rPr>
        <w:t>urgence doivent s</w:t>
      </w:r>
      <w:r w:rsidR="009C104E">
        <w:rPr>
          <w:rFonts w:asciiTheme="minorBidi" w:hAnsiTheme="minorBidi" w:cstheme="minorBidi"/>
          <w:color w:val="000000"/>
          <w:sz w:val="22"/>
          <w:szCs w:val="22"/>
        </w:rPr>
        <w:t>’</w:t>
      </w:r>
      <w:r w:rsidRPr="00400706">
        <w:rPr>
          <w:rFonts w:asciiTheme="minorBidi" w:hAnsiTheme="minorBidi" w:cstheme="minorBidi"/>
          <w:color w:val="000000"/>
          <w:sz w:val="22"/>
          <w:szCs w:val="22"/>
        </w:rPr>
        <w:t>appuyer sur les principes suivants.</w:t>
      </w:r>
    </w:p>
    <w:p w14:paraId="2C249879" w14:textId="77777777" w:rsidR="00400706" w:rsidRPr="00400706" w:rsidRDefault="00400706" w:rsidP="00771F30">
      <w:pPr>
        <w:numPr>
          <w:ilvl w:val="0"/>
          <w:numId w:val="49"/>
        </w:numPr>
        <w:spacing w:before="240" w:after="240"/>
        <w:ind w:left="567" w:hanging="567"/>
        <w:jc w:val="both"/>
        <w:rPr>
          <w:rFonts w:asciiTheme="minorBidi" w:hAnsiTheme="minorBidi" w:cstheme="minorBidi"/>
          <w:sz w:val="22"/>
          <w:szCs w:val="22"/>
        </w:rPr>
      </w:pPr>
      <w:r w:rsidRPr="00400706">
        <w:rPr>
          <w:rFonts w:asciiTheme="minorBidi" w:hAnsiTheme="minorBidi" w:cstheme="minorBidi"/>
          <w:sz w:val="22"/>
          <w:szCs w:val="22"/>
        </w:rPr>
        <w:t>Le patrimoine culturel immatériel existe uniquement dans le cadre de sa mise en œuvre par les communautés qui le pratiquent et le transmettent, et il est indissociable de leur vie sociale, culturelle et économique. Par conséquent, sa sauvegarde est intrinsèquement liée à la protection de la vie et du bien-être de ses détenteurs.</w:t>
      </w:r>
    </w:p>
    <w:p w14:paraId="12FA14DB" w14:textId="45019964" w:rsidR="00400706" w:rsidRPr="00400706" w:rsidRDefault="00400706" w:rsidP="00771F30">
      <w:pPr>
        <w:numPr>
          <w:ilvl w:val="0"/>
          <w:numId w:val="49"/>
        </w:numPr>
        <w:spacing w:before="240" w:after="240"/>
        <w:ind w:left="567" w:hanging="567"/>
        <w:jc w:val="both"/>
        <w:rPr>
          <w:rFonts w:asciiTheme="minorBidi" w:hAnsiTheme="minorBidi" w:cstheme="minorBidi"/>
          <w:color w:val="000000"/>
          <w:sz w:val="22"/>
          <w:szCs w:val="22"/>
        </w:rPr>
      </w:pPr>
      <w:r w:rsidRPr="00400706">
        <w:rPr>
          <w:rFonts w:asciiTheme="minorBidi" w:hAnsiTheme="minorBidi" w:cstheme="minorBidi"/>
          <w:color w:val="000000"/>
          <w:sz w:val="22"/>
          <w:szCs w:val="22"/>
        </w:rPr>
        <w:t>Les communautés dont le patrimoine culturel immatériel peut être touché par une situation d</w:t>
      </w:r>
      <w:r w:rsidR="009C104E">
        <w:rPr>
          <w:rFonts w:asciiTheme="minorBidi" w:hAnsiTheme="minorBidi" w:cstheme="minorBidi"/>
          <w:color w:val="000000"/>
          <w:sz w:val="22"/>
          <w:szCs w:val="22"/>
        </w:rPr>
        <w:t>’</w:t>
      </w:r>
      <w:r w:rsidRPr="00400706">
        <w:rPr>
          <w:rFonts w:asciiTheme="minorBidi" w:hAnsiTheme="minorBidi" w:cstheme="minorBidi"/>
          <w:color w:val="000000"/>
          <w:sz w:val="22"/>
          <w:szCs w:val="22"/>
        </w:rPr>
        <w:t>urgence comprennent les individus résidant dans la zone touchée par la catastrophe naturelle ou le conflit armé, les personnes déplacées et leurs communautés d</w:t>
      </w:r>
      <w:r w:rsidR="009C104E">
        <w:rPr>
          <w:rFonts w:asciiTheme="minorBidi" w:hAnsiTheme="minorBidi" w:cstheme="minorBidi"/>
          <w:color w:val="000000"/>
          <w:sz w:val="22"/>
          <w:szCs w:val="22"/>
        </w:rPr>
        <w:t>’</w:t>
      </w:r>
      <w:r w:rsidRPr="00400706">
        <w:rPr>
          <w:rFonts w:asciiTheme="minorBidi" w:hAnsiTheme="minorBidi" w:cstheme="minorBidi"/>
          <w:color w:val="000000"/>
          <w:sz w:val="22"/>
          <w:szCs w:val="22"/>
        </w:rPr>
        <w:t xml:space="preserve">accueil, ainsi que tout autre </w:t>
      </w:r>
      <w:r w:rsidRPr="00400706">
        <w:rPr>
          <w:rFonts w:asciiTheme="minorBidi" w:hAnsiTheme="minorBidi" w:cstheme="minorBidi"/>
          <w:sz w:val="22"/>
          <w:szCs w:val="22"/>
        </w:rPr>
        <w:t xml:space="preserve">individu ou groupe ayant un lien avec le </w:t>
      </w:r>
      <w:r w:rsidRPr="00400706">
        <w:rPr>
          <w:rFonts w:asciiTheme="minorBidi" w:hAnsiTheme="minorBidi" w:cstheme="minorBidi"/>
          <w:color w:val="000000"/>
          <w:sz w:val="22"/>
          <w:szCs w:val="22"/>
        </w:rPr>
        <w:t>patrimoine culturel immatériel en question.</w:t>
      </w:r>
    </w:p>
    <w:p w14:paraId="1EFEC032" w14:textId="5925FCA7" w:rsidR="00400706" w:rsidRPr="00400706" w:rsidRDefault="00400706" w:rsidP="00771F30">
      <w:pPr>
        <w:numPr>
          <w:ilvl w:val="0"/>
          <w:numId w:val="49"/>
        </w:numPr>
        <w:spacing w:before="240" w:after="240"/>
        <w:ind w:left="567" w:hanging="567"/>
        <w:jc w:val="both"/>
        <w:rPr>
          <w:rFonts w:asciiTheme="minorBidi" w:hAnsiTheme="minorBidi" w:cstheme="minorBidi"/>
          <w:sz w:val="22"/>
          <w:szCs w:val="22"/>
        </w:rPr>
      </w:pPr>
      <w:r w:rsidRPr="00400706">
        <w:rPr>
          <w:rFonts w:asciiTheme="minorBidi" w:hAnsiTheme="minorBidi" w:cstheme="minorBidi"/>
          <w:color w:val="000000"/>
          <w:sz w:val="22"/>
          <w:szCs w:val="22"/>
        </w:rPr>
        <w:t xml:space="preserve">Les </w:t>
      </w:r>
      <w:r w:rsidRPr="00400706">
        <w:rPr>
          <w:rFonts w:asciiTheme="minorBidi" w:hAnsiTheme="minorBidi" w:cstheme="minorBidi"/>
          <w:sz w:val="22"/>
          <w:szCs w:val="22"/>
        </w:rPr>
        <w:t xml:space="preserve">communautés </w:t>
      </w:r>
      <w:r w:rsidRPr="00400706">
        <w:rPr>
          <w:rFonts w:asciiTheme="minorBidi" w:hAnsiTheme="minorBidi" w:cstheme="minorBidi"/>
          <w:color w:val="000000"/>
          <w:sz w:val="22"/>
          <w:szCs w:val="22"/>
        </w:rPr>
        <w:t>doivent être prioritairement impliquées dans l</w:t>
      </w:r>
      <w:r w:rsidR="009C104E">
        <w:rPr>
          <w:rFonts w:asciiTheme="minorBidi" w:hAnsiTheme="minorBidi" w:cstheme="minorBidi"/>
          <w:color w:val="000000"/>
          <w:sz w:val="22"/>
          <w:szCs w:val="22"/>
        </w:rPr>
        <w:t>’</w:t>
      </w:r>
      <w:r w:rsidRPr="00400706">
        <w:rPr>
          <w:rFonts w:asciiTheme="minorBidi" w:hAnsiTheme="minorBidi" w:cstheme="minorBidi"/>
          <w:color w:val="000000"/>
          <w:sz w:val="22"/>
          <w:szCs w:val="22"/>
        </w:rPr>
        <w:t>identification de leur patrimoine culturel immatériel tout au long de chaque phase de la situation d</w:t>
      </w:r>
      <w:r w:rsidR="009C104E">
        <w:rPr>
          <w:rFonts w:asciiTheme="minorBidi" w:hAnsiTheme="minorBidi" w:cstheme="minorBidi"/>
          <w:color w:val="000000"/>
          <w:sz w:val="22"/>
          <w:szCs w:val="22"/>
        </w:rPr>
        <w:t>’</w:t>
      </w:r>
      <w:r w:rsidRPr="00400706">
        <w:rPr>
          <w:rFonts w:asciiTheme="minorBidi" w:hAnsiTheme="minorBidi" w:cstheme="minorBidi"/>
          <w:color w:val="000000"/>
          <w:sz w:val="22"/>
          <w:szCs w:val="22"/>
        </w:rPr>
        <w:t>urgence. Cela suppose que les communautés soient directement associées à l</w:t>
      </w:r>
      <w:r w:rsidR="009C104E">
        <w:rPr>
          <w:rFonts w:asciiTheme="minorBidi" w:hAnsiTheme="minorBidi" w:cstheme="minorBidi"/>
          <w:color w:val="000000"/>
          <w:sz w:val="22"/>
          <w:szCs w:val="22"/>
        </w:rPr>
        <w:t>’</w:t>
      </w:r>
      <w:r w:rsidRPr="00400706">
        <w:rPr>
          <w:rFonts w:asciiTheme="minorBidi" w:hAnsiTheme="minorBidi" w:cstheme="minorBidi"/>
          <w:color w:val="000000"/>
          <w:sz w:val="22"/>
          <w:szCs w:val="22"/>
        </w:rPr>
        <w:t>évaluation de l</w:t>
      </w:r>
      <w:r w:rsidR="009C104E">
        <w:rPr>
          <w:rFonts w:asciiTheme="minorBidi" w:hAnsiTheme="minorBidi" w:cstheme="minorBidi"/>
          <w:color w:val="000000"/>
          <w:sz w:val="22"/>
          <w:szCs w:val="22"/>
        </w:rPr>
        <w:t>’</w:t>
      </w:r>
      <w:r w:rsidRPr="00400706">
        <w:rPr>
          <w:rFonts w:asciiTheme="minorBidi" w:hAnsiTheme="minorBidi" w:cstheme="minorBidi"/>
          <w:color w:val="000000"/>
          <w:sz w:val="22"/>
          <w:szCs w:val="22"/>
        </w:rPr>
        <w:t>impact de la situation d</w:t>
      </w:r>
      <w:r w:rsidR="009C104E">
        <w:rPr>
          <w:rFonts w:asciiTheme="minorBidi" w:hAnsiTheme="minorBidi" w:cstheme="minorBidi"/>
          <w:color w:val="000000"/>
          <w:sz w:val="22"/>
          <w:szCs w:val="22"/>
        </w:rPr>
        <w:t>’</w:t>
      </w:r>
      <w:r w:rsidRPr="00400706">
        <w:rPr>
          <w:rFonts w:asciiTheme="minorBidi" w:hAnsiTheme="minorBidi" w:cstheme="minorBidi"/>
          <w:color w:val="000000"/>
          <w:sz w:val="22"/>
          <w:szCs w:val="22"/>
        </w:rPr>
        <w:t>urgence sur leur patrimoine culturel immatériel au choix des mesures à prendre pour le sauvegarder ainsi qu</w:t>
      </w:r>
      <w:r w:rsidR="009C104E">
        <w:rPr>
          <w:rFonts w:asciiTheme="minorBidi" w:hAnsiTheme="minorBidi" w:cstheme="minorBidi"/>
          <w:color w:val="000000"/>
          <w:sz w:val="22"/>
          <w:szCs w:val="22"/>
        </w:rPr>
        <w:t>’</w:t>
      </w:r>
      <w:r w:rsidRPr="00400706">
        <w:rPr>
          <w:rFonts w:asciiTheme="minorBidi" w:hAnsiTheme="minorBidi" w:cstheme="minorBidi"/>
          <w:color w:val="000000"/>
          <w:sz w:val="22"/>
          <w:szCs w:val="22"/>
        </w:rPr>
        <w:t>à l</w:t>
      </w:r>
      <w:r w:rsidR="009C104E">
        <w:rPr>
          <w:rFonts w:asciiTheme="minorBidi" w:hAnsiTheme="minorBidi" w:cstheme="minorBidi"/>
          <w:color w:val="000000"/>
          <w:sz w:val="22"/>
          <w:szCs w:val="22"/>
        </w:rPr>
        <w:t>’</w:t>
      </w:r>
      <w:r w:rsidRPr="00400706">
        <w:rPr>
          <w:rFonts w:asciiTheme="minorBidi" w:hAnsiTheme="minorBidi" w:cstheme="minorBidi"/>
          <w:color w:val="000000"/>
          <w:sz w:val="22"/>
          <w:szCs w:val="22"/>
        </w:rPr>
        <w:t>identification des moyens de l</w:t>
      </w:r>
      <w:r w:rsidR="009C104E">
        <w:rPr>
          <w:rFonts w:asciiTheme="minorBidi" w:hAnsiTheme="minorBidi" w:cstheme="minorBidi"/>
          <w:color w:val="000000"/>
          <w:sz w:val="22"/>
          <w:szCs w:val="22"/>
        </w:rPr>
        <w:t>’</w:t>
      </w:r>
      <w:r w:rsidRPr="00400706">
        <w:rPr>
          <w:rFonts w:asciiTheme="minorBidi" w:hAnsiTheme="minorBidi" w:cstheme="minorBidi"/>
          <w:color w:val="000000"/>
          <w:sz w:val="22"/>
          <w:szCs w:val="22"/>
        </w:rPr>
        <w:t xml:space="preserve">utiliser en tant que ressource pour renforcer leur </w:t>
      </w:r>
      <w:r w:rsidRPr="00400706">
        <w:rPr>
          <w:rFonts w:asciiTheme="minorBidi" w:hAnsiTheme="minorBidi" w:cstheme="minorBidi"/>
          <w:sz w:val="22"/>
          <w:szCs w:val="22"/>
        </w:rPr>
        <w:t>résilience, faciliter leur relèvement et rétablir la confiance et une coexistence harmonieuse au sein des communautés, et entre elles</w:t>
      </w:r>
      <w:r w:rsidRPr="00400706">
        <w:rPr>
          <w:rFonts w:asciiTheme="minorBidi" w:hAnsiTheme="minorBidi" w:cstheme="minorBidi"/>
          <w:color w:val="000000"/>
          <w:sz w:val="22"/>
          <w:szCs w:val="22"/>
        </w:rPr>
        <w:t>.</w:t>
      </w:r>
    </w:p>
    <w:p w14:paraId="2E1FFF34" w14:textId="1D985D99" w:rsidR="00400706" w:rsidRPr="00400706" w:rsidRDefault="00400706" w:rsidP="00771F30">
      <w:pPr>
        <w:numPr>
          <w:ilvl w:val="0"/>
          <w:numId w:val="49"/>
        </w:numPr>
        <w:spacing w:before="240" w:after="240"/>
        <w:ind w:left="567" w:hanging="567"/>
        <w:jc w:val="both"/>
        <w:rPr>
          <w:rFonts w:ascii="Arial" w:hAnsi="Arial" w:cs="Arial"/>
          <w:color w:val="000000"/>
          <w:sz w:val="22"/>
          <w:szCs w:val="22"/>
        </w:rPr>
      </w:pPr>
      <w:r w:rsidRPr="00400706">
        <w:rPr>
          <w:rFonts w:asciiTheme="minorBidi" w:hAnsiTheme="minorBidi" w:cstheme="minorBidi"/>
          <w:color w:val="000000"/>
          <w:sz w:val="22"/>
          <w:szCs w:val="22"/>
        </w:rPr>
        <w:t>Conformément à l</w:t>
      </w:r>
      <w:r w:rsidR="009C104E">
        <w:rPr>
          <w:rFonts w:asciiTheme="minorBidi" w:hAnsiTheme="minorBidi" w:cstheme="minorBidi"/>
          <w:color w:val="000000"/>
          <w:sz w:val="22"/>
          <w:szCs w:val="22"/>
        </w:rPr>
        <w:t>’</w:t>
      </w:r>
      <w:r w:rsidRPr="00400706">
        <w:rPr>
          <w:rFonts w:asciiTheme="minorBidi" w:hAnsiTheme="minorBidi" w:cstheme="minorBidi"/>
          <w:color w:val="000000"/>
          <w:sz w:val="22"/>
          <w:szCs w:val="22"/>
        </w:rPr>
        <w:t>article 11 de la Convention, les États parties doivent prendre toutes les mesures nécessaires pour assurer la sauvegarde du patrimoine culturel immatériel présent sur leur territoire. Cette disposition s</w:t>
      </w:r>
      <w:r w:rsidR="009C104E">
        <w:rPr>
          <w:rFonts w:asciiTheme="minorBidi" w:hAnsiTheme="minorBidi" w:cstheme="minorBidi"/>
          <w:color w:val="000000"/>
          <w:sz w:val="22"/>
          <w:szCs w:val="22"/>
        </w:rPr>
        <w:t>’</w:t>
      </w:r>
      <w:r w:rsidRPr="00400706">
        <w:rPr>
          <w:rFonts w:asciiTheme="minorBidi" w:hAnsiTheme="minorBidi" w:cstheme="minorBidi"/>
          <w:color w:val="000000"/>
          <w:sz w:val="22"/>
          <w:szCs w:val="22"/>
        </w:rPr>
        <w:t>applique dans tous les contextes, y compris lorsque le patrimoine culturel immatériel est touché par une situation d</w:t>
      </w:r>
      <w:r w:rsidR="009C104E">
        <w:rPr>
          <w:rFonts w:asciiTheme="minorBidi" w:hAnsiTheme="minorBidi" w:cstheme="minorBidi"/>
          <w:color w:val="000000"/>
          <w:sz w:val="22"/>
          <w:szCs w:val="22"/>
        </w:rPr>
        <w:t>’</w:t>
      </w:r>
      <w:r w:rsidRPr="00400706">
        <w:rPr>
          <w:rFonts w:asciiTheme="minorBidi" w:hAnsiTheme="minorBidi" w:cstheme="minorBidi"/>
          <w:color w:val="000000"/>
          <w:sz w:val="22"/>
          <w:szCs w:val="22"/>
        </w:rPr>
        <w:t xml:space="preserve">urgence. </w:t>
      </w:r>
      <w:r w:rsidRPr="00400706">
        <w:rPr>
          <w:rFonts w:ascii="Arial" w:hAnsi="Arial" w:cs="Arial"/>
          <w:sz w:val="22"/>
          <w:szCs w:val="22"/>
        </w:rPr>
        <w:t>Ce faisant, les États parties doivent s</w:t>
      </w:r>
      <w:r w:rsidR="009C104E">
        <w:rPr>
          <w:rFonts w:ascii="Arial" w:hAnsi="Arial" w:cs="Arial"/>
          <w:sz w:val="22"/>
          <w:szCs w:val="22"/>
        </w:rPr>
        <w:t>’</w:t>
      </w:r>
      <w:r w:rsidRPr="00400706">
        <w:rPr>
          <w:rFonts w:ascii="Arial" w:hAnsi="Arial" w:cs="Arial"/>
          <w:sz w:val="22"/>
          <w:szCs w:val="22"/>
        </w:rPr>
        <w:t>efforcer d</w:t>
      </w:r>
      <w:r w:rsidR="009C104E">
        <w:rPr>
          <w:rFonts w:ascii="Arial" w:hAnsi="Arial" w:cs="Arial"/>
          <w:sz w:val="22"/>
          <w:szCs w:val="22"/>
        </w:rPr>
        <w:t>’</w:t>
      </w:r>
      <w:r w:rsidRPr="00400706">
        <w:rPr>
          <w:rFonts w:ascii="Arial" w:hAnsi="Arial" w:cs="Arial"/>
          <w:sz w:val="22"/>
          <w:szCs w:val="22"/>
        </w:rPr>
        <w:t xml:space="preserve">assurer la plus large participation possible des communautés dans les actions de sauvegarde, y compris des </w:t>
      </w:r>
      <w:r w:rsidRPr="00400706">
        <w:rPr>
          <w:rFonts w:asciiTheme="minorBidi" w:hAnsiTheme="minorBidi" w:cstheme="minorBidi"/>
          <w:color w:val="000000"/>
          <w:sz w:val="22"/>
          <w:szCs w:val="22"/>
        </w:rPr>
        <w:t>réfugiés, des personnes déplacées dans leur propre pays et des migrants présents sur leur territoire</w:t>
      </w:r>
      <w:r w:rsidRPr="00400706">
        <w:rPr>
          <w:rFonts w:ascii="Arial" w:hAnsi="Arial" w:cs="Arial"/>
          <w:sz w:val="22"/>
          <w:szCs w:val="22"/>
        </w:rPr>
        <w:t>.</w:t>
      </w:r>
    </w:p>
    <w:p w14:paraId="1C8E3AD8" w14:textId="4702E686" w:rsidR="00400706" w:rsidRPr="00400706" w:rsidRDefault="00400706" w:rsidP="00771F30">
      <w:pPr>
        <w:numPr>
          <w:ilvl w:val="0"/>
          <w:numId w:val="49"/>
        </w:numPr>
        <w:spacing w:before="240" w:after="240"/>
        <w:ind w:left="567" w:hanging="567"/>
        <w:jc w:val="both"/>
        <w:rPr>
          <w:rFonts w:asciiTheme="minorBidi" w:hAnsiTheme="minorBidi" w:cstheme="minorBidi"/>
          <w:color w:val="000000"/>
          <w:sz w:val="22"/>
          <w:szCs w:val="22"/>
        </w:rPr>
      </w:pPr>
      <w:r w:rsidRPr="00400706">
        <w:rPr>
          <w:rFonts w:asciiTheme="minorBidi" w:hAnsiTheme="minorBidi" w:cstheme="minorBidi"/>
          <w:color w:val="000000"/>
          <w:sz w:val="22"/>
          <w:szCs w:val="22"/>
        </w:rPr>
        <w:t>Les parties prenantes nationales et internationales impliquées dans la gestion des situations d</w:t>
      </w:r>
      <w:r w:rsidR="009C104E">
        <w:rPr>
          <w:rFonts w:asciiTheme="minorBidi" w:hAnsiTheme="minorBidi" w:cstheme="minorBidi"/>
          <w:color w:val="000000"/>
          <w:sz w:val="22"/>
          <w:szCs w:val="22"/>
        </w:rPr>
        <w:t>’</w:t>
      </w:r>
      <w:r w:rsidRPr="00400706">
        <w:rPr>
          <w:rFonts w:asciiTheme="minorBidi" w:hAnsiTheme="minorBidi" w:cstheme="minorBidi"/>
          <w:color w:val="000000"/>
          <w:sz w:val="22"/>
          <w:szCs w:val="22"/>
        </w:rPr>
        <w:t>urgence (y compris les spécialistes de la préparation aux catastrophes et des interventions d</w:t>
      </w:r>
      <w:r w:rsidR="009C104E">
        <w:rPr>
          <w:rFonts w:asciiTheme="minorBidi" w:hAnsiTheme="minorBidi" w:cstheme="minorBidi"/>
          <w:color w:val="000000"/>
          <w:sz w:val="22"/>
          <w:szCs w:val="22"/>
        </w:rPr>
        <w:t>’</w:t>
      </w:r>
      <w:r w:rsidRPr="00400706">
        <w:rPr>
          <w:rFonts w:asciiTheme="minorBidi" w:hAnsiTheme="minorBidi" w:cstheme="minorBidi"/>
          <w:color w:val="000000"/>
          <w:sz w:val="22"/>
          <w:szCs w:val="22"/>
        </w:rPr>
        <w:t>urgence, les acteurs humanitaires, les organisations non gouvernementales et les forces armées) ont un rôle important à jouer dans la sauvegarde du patrimoine culturel immatériel touché et pour soutenir les communautés concernées afin qu</w:t>
      </w:r>
      <w:r w:rsidR="009C104E">
        <w:rPr>
          <w:rFonts w:asciiTheme="minorBidi" w:hAnsiTheme="minorBidi" w:cstheme="minorBidi"/>
          <w:color w:val="000000"/>
          <w:sz w:val="22"/>
          <w:szCs w:val="22"/>
        </w:rPr>
        <w:t>’</w:t>
      </w:r>
      <w:r w:rsidRPr="00400706">
        <w:rPr>
          <w:rFonts w:asciiTheme="minorBidi" w:hAnsiTheme="minorBidi" w:cstheme="minorBidi"/>
          <w:color w:val="000000"/>
          <w:sz w:val="22"/>
          <w:szCs w:val="22"/>
        </w:rPr>
        <w:t>elles s</w:t>
      </w:r>
      <w:r w:rsidR="009C104E">
        <w:rPr>
          <w:rFonts w:asciiTheme="minorBidi" w:hAnsiTheme="minorBidi" w:cstheme="minorBidi"/>
          <w:color w:val="000000"/>
          <w:sz w:val="22"/>
          <w:szCs w:val="22"/>
        </w:rPr>
        <w:t>’</w:t>
      </w:r>
      <w:r w:rsidRPr="00400706">
        <w:rPr>
          <w:rFonts w:asciiTheme="minorBidi" w:hAnsiTheme="minorBidi" w:cstheme="minorBidi"/>
          <w:color w:val="000000"/>
          <w:sz w:val="22"/>
          <w:szCs w:val="22"/>
        </w:rPr>
        <w:t>appuient sur ce patrimoine pour se préparer aux situations d</w:t>
      </w:r>
      <w:r w:rsidR="009C104E">
        <w:rPr>
          <w:rFonts w:asciiTheme="minorBidi" w:hAnsiTheme="minorBidi" w:cstheme="minorBidi"/>
          <w:color w:val="000000"/>
          <w:sz w:val="22"/>
          <w:szCs w:val="22"/>
        </w:rPr>
        <w:t>’</w:t>
      </w:r>
      <w:r w:rsidRPr="00400706">
        <w:rPr>
          <w:rFonts w:asciiTheme="minorBidi" w:hAnsiTheme="minorBidi" w:cstheme="minorBidi"/>
          <w:color w:val="000000"/>
          <w:sz w:val="22"/>
          <w:szCs w:val="22"/>
        </w:rPr>
        <w:t>urgence et y faire face.</w:t>
      </w:r>
    </w:p>
    <w:p w14:paraId="177438DA" w14:textId="5754D970" w:rsidR="00400706" w:rsidRPr="00400706" w:rsidRDefault="00400706" w:rsidP="00771F30">
      <w:pPr>
        <w:numPr>
          <w:ilvl w:val="0"/>
          <w:numId w:val="49"/>
        </w:numPr>
        <w:spacing w:before="240" w:after="240"/>
        <w:ind w:left="567" w:hanging="567"/>
        <w:jc w:val="both"/>
        <w:rPr>
          <w:rFonts w:asciiTheme="minorBidi" w:hAnsiTheme="minorBidi" w:cstheme="minorBidi"/>
          <w:sz w:val="22"/>
          <w:szCs w:val="22"/>
        </w:rPr>
      </w:pPr>
      <w:r w:rsidRPr="00400706">
        <w:rPr>
          <w:rFonts w:asciiTheme="minorBidi" w:hAnsiTheme="minorBidi" w:cstheme="minorBidi"/>
          <w:color w:val="000000"/>
          <w:sz w:val="22"/>
          <w:szCs w:val="22"/>
        </w:rPr>
        <w:t>Le patrimoine culturel immatériel est de nature dynamique et polyvalente, et est constamment recréé par ses communautés en réponse à leur environnement, leur interaction avec la nature et leur histoire, y compris les situations d</w:t>
      </w:r>
      <w:r w:rsidR="009C104E">
        <w:rPr>
          <w:rFonts w:asciiTheme="minorBidi" w:hAnsiTheme="minorBidi" w:cstheme="minorBidi"/>
          <w:color w:val="000000"/>
          <w:sz w:val="22"/>
          <w:szCs w:val="22"/>
        </w:rPr>
        <w:t>’</w:t>
      </w:r>
      <w:r w:rsidRPr="00400706">
        <w:rPr>
          <w:rFonts w:asciiTheme="minorBidi" w:hAnsiTheme="minorBidi" w:cstheme="minorBidi"/>
          <w:color w:val="000000"/>
          <w:sz w:val="22"/>
          <w:szCs w:val="22"/>
        </w:rPr>
        <w:t>urgence. Les efforts de sauvegarde ou de mobilisation du patrimoine culturel immatériel</w:t>
      </w:r>
      <w:r w:rsidRPr="00400706">
        <w:rPr>
          <w:rFonts w:asciiTheme="minorBidi" w:hAnsiTheme="minorBidi" w:cstheme="minorBidi"/>
          <w:sz w:val="22"/>
          <w:szCs w:val="22"/>
        </w:rPr>
        <w:t xml:space="preserve"> doivent toujours prendre en compte et respecter cette nature dynamique et polyvalente.</w:t>
      </w:r>
    </w:p>
    <w:p w14:paraId="60B5C881" w14:textId="77777777" w:rsidR="00400706" w:rsidRPr="00400706" w:rsidRDefault="00400706" w:rsidP="00400706">
      <w:pPr>
        <w:jc w:val="both"/>
        <w:rPr>
          <w:rFonts w:asciiTheme="minorBidi" w:hAnsiTheme="minorBidi" w:cstheme="minorBidi"/>
          <w:color w:val="000000"/>
          <w:sz w:val="22"/>
          <w:szCs w:val="22"/>
        </w:rPr>
      </w:pPr>
      <w:r w:rsidRPr="00400706">
        <w:rPr>
          <w:rFonts w:asciiTheme="minorBidi" w:hAnsiTheme="minorBidi" w:cstheme="minorBidi"/>
          <w:b/>
          <w:bCs/>
          <w:color w:val="000000"/>
          <w:sz w:val="22"/>
          <w:szCs w:val="22"/>
          <w:u w:val="single"/>
        </w:rPr>
        <w:t>Modalités</w:t>
      </w:r>
    </w:p>
    <w:p w14:paraId="38D9D761" w14:textId="6C05B9F0" w:rsidR="00400706" w:rsidRPr="00400706" w:rsidRDefault="00400706" w:rsidP="00400706">
      <w:pPr>
        <w:spacing w:before="240"/>
        <w:jc w:val="both"/>
        <w:rPr>
          <w:rFonts w:asciiTheme="minorBidi" w:hAnsiTheme="minorBidi" w:cstheme="minorBidi"/>
          <w:color w:val="000000"/>
          <w:sz w:val="22"/>
          <w:szCs w:val="22"/>
        </w:rPr>
      </w:pPr>
      <w:r w:rsidRPr="00400706">
        <w:rPr>
          <w:rFonts w:asciiTheme="minorBidi" w:hAnsiTheme="minorBidi" w:cstheme="minorBidi"/>
          <w:color w:val="000000"/>
          <w:sz w:val="22"/>
          <w:szCs w:val="22"/>
        </w:rPr>
        <w:t>Les modalités suivantes intègrent les principes énoncés ci-dessus et identifient les mesures adaptées à chacune des trois phases principales du cycle de gestion des situations d</w:t>
      </w:r>
      <w:r w:rsidR="009C104E">
        <w:rPr>
          <w:rFonts w:asciiTheme="minorBidi" w:hAnsiTheme="minorBidi" w:cstheme="minorBidi"/>
          <w:color w:val="000000"/>
          <w:sz w:val="22"/>
          <w:szCs w:val="22"/>
        </w:rPr>
        <w:t>’</w:t>
      </w:r>
      <w:r w:rsidRPr="00400706">
        <w:rPr>
          <w:rFonts w:asciiTheme="minorBidi" w:hAnsiTheme="minorBidi" w:cstheme="minorBidi"/>
          <w:color w:val="000000"/>
          <w:sz w:val="22"/>
          <w:szCs w:val="22"/>
        </w:rPr>
        <w:t>urgence, c</w:t>
      </w:r>
      <w:r w:rsidR="009C104E">
        <w:rPr>
          <w:rFonts w:asciiTheme="minorBidi" w:hAnsiTheme="minorBidi" w:cstheme="minorBidi"/>
          <w:color w:val="000000"/>
          <w:sz w:val="22"/>
          <w:szCs w:val="22"/>
        </w:rPr>
        <w:t>’</w:t>
      </w:r>
      <w:r w:rsidRPr="00400706">
        <w:rPr>
          <w:rFonts w:asciiTheme="minorBidi" w:hAnsiTheme="minorBidi" w:cstheme="minorBidi"/>
          <w:color w:val="000000"/>
          <w:sz w:val="22"/>
          <w:szCs w:val="22"/>
        </w:rPr>
        <w:t>est-à-dire la préparation, la réponse et le relèvement, tout en reconnaissant que la durée de chaque phase puisse varier et que les phases puissent se chevaucher. Les circonstances et conditions locales détermineront lesquelles de ces actions sont les plus pertinentes et appropriées pour un élément particulier du patrimoine culturel immatériel ou une situation spécifique.</w:t>
      </w:r>
    </w:p>
    <w:p w14:paraId="182867E7" w14:textId="77777777" w:rsidR="00400706" w:rsidRPr="00400706" w:rsidRDefault="00400706" w:rsidP="00400706">
      <w:pPr>
        <w:spacing w:before="240" w:after="120"/>
        <w:jc w:val="both"/>
        <w:rPr>
          <w:rFonts w:asciiTheme="minorBidi" w:hAnsiTheme="minorBidi" w:cstheme="minorBidi"/>
          <w:color w:val="000000"/>
          <w:sz w:val="22"/>
          <w:szCs w:val="22"/>
        </w:rPr>
      </w:pPr>
      <w:r w:rsidRPr="00400706">
        <w:rPr>
          <w:rFonts w:asciiTheme="minorBidi" w:hAnsiTheme="minorBidi" w:cstheme="minorBidi"/>
          <w:b/>
          <w:bCs/>
          <w:color w:val="000000"/>
          <w:sz w:val="22"/>
          <w:szCs w:val="22"/>
        </w:rPr>
        <w:t>PRÉPARATION</w:t>
      </w:r>
    </w:p>
    <w:p w14:paraId="6126BD37" w14:textId="7DADB352" w:rsidR="00400706" w:rsidRPr="00400706" w:rsidRDefault="00400706" w:rsidP="00771F30">
      <w:pPr>
        <w:numPr>
          <w:ilvl w:val="0"/>
          <w:numId w:val="50"/>
        </w:numPr>
        <w:spacing w:after="120"/>
        <w:ind w:left="567" w:hanging="567"/>
        <w:jc w:val="both"/>
        <w:rPr>
          <w:rFonts w:asciiTheme="minorBidi" w:hAnsiTheme="minorBidi" w:cstheme="minorBidi"/>
          <w:color w:val="000000"/>
          <w:sz w:val="22"/>
          <w:szCs w:val="22"/>
        </w:rPr>
      </w:pPr>
      <w:r w:rsidRPr="00400706">
        <w:rPr>
          <w:rFonts w:asciiTheme="minorBidi" w:hAnsiTheme="minorBidi" w:cstheme="minorBidi"/>
          <w:bCs/>
          <w:color w:val="000000" w:themeColor="text1"/>
          <w:sz w:val="22"/>
          <w:szCs w:val="22"/>
        </w:rPr>
        <w:t>Sensibiliser les parties prenantes à la dualité du patrimoine culturel immatériel dans les situations d</w:t>
      </w:r>
      <w:r w:rsidR="009C104E">
        <w:rPr>
          <w:rFonts w:asciiTheme="minorBidi" w:hAnsiTheme="minorBidi" w:cstheme="minorBidi"/>
          <w:bCs/>
          <w:color w:val="000000" w:themeColor="text1"/>
          <w:sz w:val="22"/>
          <w:szCs w:val="22"/>
        </w:rPr>
        <w:t>’</w:t>
      </w:r>
      <w:r w:rsidRPr="00400706">
        <w:rPr>
          <w:rFonts w:asciiTheme="minorBidi" w:hAnsiTheme="minorBidi" w:cstheme="minorBidi"/>
          <w:bCs/>
          <w:color w:val="000000" w:themeColor="text1"/>
          <w:sz w:val="22"/>
          <w:szCs w:val="22"/>
        </w:rPr>
        <w:t>urgence ainsi qu</w:t>
      </w:r>
      <w:r w:rsidR="009C104E">
        <w:rPr>
          <w:rFonts w:asciiTheme="minorBidi" w:hAnsiTheme="minorBidi" w:cstheme="minorBidi"/>
          <w:bCs/>
          <w:color w:val="000000" w:themeColor="text1"/>
          <w:sz w:val="22"/>
          <w:szCs w:val="22"/>
        </w:rPr>
        <w:t>’</w:t>
      </w:r>
      <w:r w:rsidRPr="00400706">
        <w:rPr>
          <w:rFonts w:asciiTheme="minorBidi" w:hAnsiTheme="minorBidi" w:cstheme="minorBidi"/>
          <w:bCs/>
          <w:color w:val="000000" w:themeColor="text1"/>
          <w:sz w:val="22"/>
          <w:szCs w:val="22"/>
        </w:rPr>
        <w:t>aux présents principes et modalités, et renforcer leurs capacités à cet égard.</w:t>
      </w:r>
    </w:p>
    <w:p w14:paraId="2635DEF1" w14:textId="769A0679" w:rsidR="00400706" w:rsidRPr="00400706" w:rsidRDefault="00400706" w:rsidP="00771F30">
      <w:pPr>
        <w:numPr>
          <w:ilvl w:val="0"/>
          <w:numId w:val="50"/>
        </w:numPr>
        <w:spacing w:after="120"/>
        <w:ind w:left="567" w:hanging="567"/>
        <w:jc w:val="both"/>
        <w:rPr>
          <w:rFonts w:asciiTheme="minorBidi" w:hAnsiTheme="minorBidi" w:cstheme="minorBidi"/>
          <w:color w:val="000000"/>
          <w:sz w:val="22"/>
          <w:szCs w:val="22"/>
        </w:rPr>
      </w:pPr>
      <w:r w:rsidRPr="00400706">
        <w:rPr>
          <w:rFonts w:asciiTheme="minorBidi" w:hAnsiTheme="minorBidi" w:cstheme="minorBidi"/>
          <w:color w:val="000000"/>
          <w:sz w:val="22"/>
          <w:szCs w:val="22"/>
        </w:rPr>
        <w:t>En consultation avec d</w:t>
      </w:r>
      <w:r w:rsidR="009C104E">
        <w:rPr>
          <w:rFonts w:asciiTheme="minorBidi" w:hAnsiTheme="minorBidi" w:cstheme="minorBidi"/>
          <w:color w:val="000000"/>
          <w:sz w:val="22"/>
          <w:szCs w:val="22"/>
        </w:rPr>
        <w:t>’</w:t>
      </w:r>
      <w:r w:rsidRPr="00400706">
        <w:rPr>
          <w:rFonts w:asciiTheme="minorBidi" w:hAnsiTheme="minorBidi" w:cstheme="minorBidi"/>
          <w:color w:val="000000"/>
          <w:sz w:val="22"/>
          <w:szCs w:val="22"/>
        </w:rPr>
        <w:t>autres parties prenantes, fournir les ressources et le soutien nécessaires pour renforcer la capacité des communautés à s</w:t>
      </w:r>
      <w:r w:rsidR="009C104E">
        <w:rPr>
          <w:rFonts w:asciiTheme="minorBidi" w:hAnsiTheme="minorBidi" w:cstheme="minorBidi"/>
          <w:color w:val="000000"/>
          <w:sz w:val="22"/>
          <w:szCs w:val="22"/>
        </w:rPr>
        <w:t>’</w:t>
      </w:r>
      <w:r w:rsidRPr="00400706">
        <w:rPr>
          <w:rFonts w:asciiTheme="minorBidi" w:hAnsiTheme="minorBidi" w:cstheme="minorBidi"/>
          <w:color w:val="000000"/>
          <w:sz w:val="22"/>
          <w:szCs w:val="22"/>
        </w:rPr>
        <w:t xml:space="preserve">impliquer dans tous les aspects </w:t>
      </w:r>
      <w:r w:rsidR="00373FB0">
        <w:rPr>
          <w:rFonts w:asciiTheme="minorBidi" w:hAnsiTheme="minorBidi" w:cstheme="minorBidi"/>
          <w:color w:val="000000"/>
          <w:sz w:val="22"/>
          <w:szCs w:val="22"/>
        </w:rPr>
        <w:t xml:space="preserve">de la réduction des risques et </w:t>
      </w:r>
      <w:r w:rsidRPr="00400706">
        <w:rPr>
          <w:rFonts w:asciiTheme="minorBidi" w:hAnsiTheme="minorBidi" w:cstheme="minorBidi"/>
          <w:color w:val="000000"/>
          <w:sz w:val="22"/>
          <w:szCs w:val="22"/>
        </w:rPr>
        <w:t>de la préparation aux situations d</w:t>
      </w:r>
      <w:r w:rsidR="009C104E">
        <w:rPr>
          <w:rFonts w:asciiTheme="minorBidi" w:hAnsiTheme="minorBidi" w:cstheme="minorBidi"/>
          <w:color w:val="000000"/>
          <w:sz w:val="22"/>
          <w:szCs w:val="22"/>
        </w:rPr>
        <w:t>’</w:t>
      </w:r>
      <w:r w:rsidRPr="00400706">
        <w:rPr>
          <w:rFonts w:asciiTheme="minorBidi" w:hAnsiTheme="minorBidi" w:cstheme="minorBidi"/>
          <w:color w:val="000000"/>
          <w:sz w:val="22"/>
          <w:szCs w:val="22"/>
        </w:rPr>
        <w:t>urgence, en particulier dans les régions et pays à risque.</w:t>
      </w:r>
    </w:p>
    <w:p w14:paraId="7BB695F8" w14:textId="5403923C" w:rsidR="00400706" w:rsidRPr="00400706" w:rsidRDefault="00400706" w:rsidP="00771F30">
      <w:pPr>
        <w:numPr>
          <w:ilvl w:val="0"/>
          <w:numId w:val="50"/>
        </w:numPr>
        <w:spacing w:after="120"/>
        <w:ind w:left="567" w:hanging="567"/>
        <w:jc w:val="both"/>
        <w:rPr>
          <w:rFonts w:asciiTheme="minorBidi" w:hAnsiTheme="minorBidi" w:cstheme="minorBidi"/>
          <w:color w:val="000000"/>
          <w:sz w:val="22"/>
          <w:szCs w:val="22"/>
        </w:rPr>
      </w:pPr>
      <w:r w:rsidRPr="00400706">
        <w:rPr>
          <w:rFonts w:asciiTheme="minorBidi" w:hAnsiTheme="minorBidi" w:cstheme="minorBidi"/>
          <w:color w:val="000000"/>
          <w:sz w:val="22"/>
          <w:szCs w:val="22"/>
        </w:rPr>
        <w:t>Inclure les informations relatives à la vulnérabilité des éléments aux situations d</w:t>
      </w:r>
      <w:r w:rsidR="009C104E">
        <w:rPr>
          <w:rFonts w:asciiTheme="minorBidi" w:hAnsiTheme="minorBidi" w:cstheme="minorBidi"/>
          <w:color w:val="000000"/>
          <w:sz w:val="22"/>
          <w:szCs w:val="22"/>
        </w:rPr>
        <w:t>’</w:t>
      </w:r>
      <w:r w:rsidRPr="00400706">
        <w:rPr>
          <w:rFonts w:asciiTheme="minorBidi" w:hAnsiTheme="minorBidi" w:cstheme="minorBidi"/>
          <w:color w:val="000000"/>
          <w:sz w:val="22"/>
          <w:szCs w:val="22"/>
        </w:rPr>
        <w:t>urgence potentielles dans les inventaires du patrimoine culturel immatériel, tel que prévu dans la Convention de 2003. Les inventaires doivent mentionner les capacités qu</w:t>
      </w:r>
      <w:r w:rsidR="009C104E">
        <w:rPr>
          <w:rFonts w:asciiTheme="minorBidi" w:hAnsiTheme="minorBidi" w:cstheme="minorBidi"/>
          <w:color w:val="000000"/>
          <w:sz w:val="22"/>
          <w:szCs w:val="22"/>
        </w:rPr>
        <w:t>’</w:t>
      </w:r>
      <w:r w:rsidRPr="00400706">
        <w:rPr>
          <w:rFonts w:asciiTheme="minorBidi" w:hAnsiTheme="minorBidi" w:cstheme="minorBidi"/>
          <w:color w:val="000000"/>
          <w:sz w:val="22"/>
          <w:szCs w:val="22"/>
        </w:rPr>
        <w:t>ont ces éléments d</w:t>
      </w:r>
      <w:r w:rsidR="009C104E">
        <w:rPr>
          <w:rFonts w:asciiTheme="minorBidi" w:hAnsiTheme="minorBidi" w:cstheme="minorBidi"/>
          <w:color w:val="000000"/>
          <w:sz w:val="22"/>
          <w:szCs w:val="22"/>
        </w:rPr>
        <w:t>’</w:t>
      </w:r>
      <w:r w:rsidRPr="00400706">
        <w:rPr>
          <w:rFonts w:asciiTheme="minorBidi" w:hAnsiTheme="minorBidi" w:cstheme="minorBidi"/>
          <w:color w:val="000000"/>
          <w:sz w:val="22"/>
          <w:szCs w:val="22"/>
        </w:rPr>
        <w:t>atténuer les effets des urgences et fournir des informations détaillées sur les lieux et les communautés concernés afin de permettre de les identifier et d</w:t>
      </w:r>
      <w:r w:rsidR="009C104E">
        <w:rPr>
          <w:rFonts w:asciiTheme="minorBidi" w:hAnsiTheme="minorBidi" w:cstheme="minorBidi"/>
          <w:color w:val="000000"/>
          <w:sz w:val="22"/>
          <w:szCs w:val="22"/>
        </w:rPr>
        <w:t>’</w:t>
      </w:r>
      <w:r w:rsidRPr="00400706">
        <w:rPr>
          <w:rFonts w:asciiTheme="minorBidi" w:hAnsiTheme="minorBidi" w:cstheme="minorBidi"/>
          <w:color w:val="000000"/>
          <w:sz w:val="22"/>
          <w:szCs w:val="22"/>
        </w:rPr>
        <w:t>y avoir accès lors de la phase de réponse à une urgence.</w:t>
      </w:r>
    </w:p>
    <w:p w14:paraId="26A443CE" w14:textId="1C2037EF" w:rsidR="00400706" w:rsidRPr="00400706" w:rsidRDefault="00400706" w:rsidP="00771F30">
      <w:pPr>
        <w:numPr>
          <w:ilvl w:val="0"/>
          <w:numId w:val="50"/>
        </w:numPr>
        <w:spacing w:after="120"/>
        <w:ind w:left="567" w:hanging="567"/>
        <w:jc w:val="both"/>
        <w:rPr>
          <w:rFonts w:asciiTheme="minorBidi" w:hAnsiTheme="minorBidi" w:cstheme="minorBidi"/>
          <w:color w:val="000000"/>
          <w:sz w:val="22"/>
          <w:szCs w:val="22"/>
        </w:rPr>
      </w:pPr>
      <w:r w:rsidRPr="00400706">
        <w:rPr>
          <w:rFonts w:asciiTheme="minorBidi" w:hAnsiTheme="minorBidi" w:cstheme="minorBidi"/>
          <w:color w:val="000000"/>
          <w:sz w:val="22"/>
          <w:szCs w:val="22"/>
        </w:rPr>
        <w:t>Inclure des mesures de préparation aux situations d</w:t>
      </w:r>
      <w:r w:rsidR="009C104E">
        <w:rPr>
          <w:rFonts w:asciiTheme="minorBidi" w:hAnsiTheme="minorBidi" w:cstheme="minorBidi"/>
          <w:color w:val="000000"/>
          <w:sz w:val="22"/>
          <w:szCs w:val="22"/>
        </w:rPr>
        <w:t>’</w:t>
      </w:r>
      <w:r w:rsidRPr="00400706">
        <w:rPr>
          <w:rFonts w:asciiTheme="minorBidi" w:hAnsiTheme="minorBidi" w:cstheme="minorBidi"/>
          <w:color w:val="000000"/>
          <w:sz w:val="22"/>
          <w:szCs w:val="22"/>
        </w:rPr>
        <w:t>urgence dans les plans de sauvegarde des éléments spécifiques, ce qui peut comprendre : des mesures préventives visant à remédier à leur vulnérabilité potentielle face aux urgences, des mesures préparatoires visant à renforcer et mobiliser leurs capacités d</w:t>
      </w:r>
      <w:r w:rsidR="009C104E">
        <w:rPr>
          <w:rFonts w:asciiTheme="minorBidi" w:hAnsiTheme="minorBidi" w:cstheme="minorBidi"/>
          <w:color w:val="000000"/>
          <w:sz w:val="22"/>
          <w:szCs w:val="22"/>
        </w:rPr>
        <w:t>’</w:t>
      </w:r>
      <w:r w:rsidRPr="00400706">
        <w:rPr>
          <w:rFonts w:asciiTheme="minorBidi" w:hAnsiTheme="minorBidi" w:cstheme="minorBidi"/>
          <w:color w:val="000000"/>
          <w:sz w:val="22"/>
          <w:szCs w:val="22"/>
        </w:rPr>
        <w:t>atténuation ou encore une méthodologie permettant d</w:t>
      </w:r>
      <w:r w:rsidR="009C104E">
        <w:rPr>
          <w:rFonts w:asciiTheme="minorBidi" w:hAnsiTheme="minorBidi" w:cstheme="minorBidi"/>
          <w:color w:val="000000"/>
          <w:sz w:val="22"/>
          <w:szCs w:val="22"/>
        </w:rPr>
        <w:t>’</w:t>
      </w:r>
      <w:r w:rsidRPr="00400706">
        <w:rPr>
          <w:rFonts w:asciiTheme="minorBidi" w:hAnsiTheme="minorBidi" w:cstheme="minorBidi"/>
          <w:color w:val="000000"/>
          <w:sz w:val="22"/>
          <w:szCs w:val="22"/>
        </w:rPr>
        <w:t>évaluer la situation de l</w:t>
      </w:r>
      <w:r w:rsidR="009C104E">
        <w:rPr>
          <w:rFonts w:asciiTheme="minorBidi" w:hAnsiTheme="minorBidi" w:cstheme="minorBidi"/>
          <w:color w:val="000000"/>
          <w:sz w:val="22"/>
          <w:szCs w:val="22"/>
        </w:rPr>
        <w:t>’</w:t>
      </w:r>
      <w:r w:rsidRPr="00400706">
        <w:rPr>
          <w:rFonts w:asciiTheme="minorBidi" w:hAnsiTheme="minorBidi" w:cstheme="minorBidi"/>
          <w:color w:val="000000"/>
          <w:sz w:val="22"/>
          <w:szCs w:val="22"/>
        </w:rPr>
        <w:t xml:space="preserve">élément </w:t>
      </w:r>
      <w:r w:rsidRPr="00400706">
        <w:rPr>
          <w:rFonts w:asciiTheme="minorBidi" w:eastAsiaTheme="minorHAnsi" w:hAnsiTheme="minorBidi" w:cstheme="minorBidi"/>
          <w:sz w:val="22"/>
          <w:szCs w:val="22"/>
          <w:lang w:eastAsia="en-US"/>
        </w:rPr>
        <w:t>lors de la phase de réponse à une urgence.</w:t>
      </w:r>
    </w:p>
    <w:p w14:paraId="06CA014B" w14:textId="50236301" w:rsidR="00400706" w:rsidRPr="00400706" w:rsidRDefault="00400706" w:rsidP="00771F30">
      <w:pPr>
        <w:numPr>
          <w:ilvl w:val="0"/>
          <w:numId w:val="50"/>
        </w:numPr>
        <w:spacing w:after="120"/>
        <w:ind w:left="567" w:hanging="567"/>
        <w:jc w:val="both"/>
        <w:rPr>
          <w:rFonts w:asciiTheme="minorBidi" w:eastAsiaTheme="minorHAnsi" w:hAnsiTheme="minorBidi" w:cstheme="minorBidi"/>
          <w:sz w:val="22"/>
          <w:szCs w:val="22"/>
          <w:lang w:eastAsia="en-US"/>
        </w:rPr>
      </w:pPr>
      <w:r w:rsidRPr="00400706">
        <w:rPr>
          <w:rFonts w:asciiTheme="minorBidi" w:hAnsiTheme="minorBidi" w:cstheme="minorBidi"/>
          <w:color w:val="000000"/>
          <w:sz w:val="22"/>
          <w:szCs w:val="22"/>
        </w:rPr>
        <w:t xml:space="preserve">Intégrer le patrimoine culturel immatériel concerné aux programmes locaux, nationaux, sous-régionaux et régionaux </w:t>
      </w:r>
      <w:r w:rsidR="00373FB0">
        <w:rPr>
          <w:rFonts w:asciiTheme="minorBidi" w:hAnsiTheme="minorBidi" w:cstheme="minorBidi"/>
          <w:color w:val="000000"/>
          <w:sz w:val="22"/>
          <w:szCs w:val="22"/>
        </w:rPr>
        <w:t xml:space="preserve">de la réduction des risques et </w:t>
      </w:r>
      <w:r w:rsidRPr="00400706">
        <w:rPr>
          <w:rFonts w:asciiTheme="minorBidi" w:hAnsiTheme="minorBidi" w:cstheme="minorBidi"/>
          <w:color w:val="000000"/>
          <w:sz w:val="22"/>
          <w:szCs w:val="22"/>
        </w:rPr>
        <w:t>de préparation aux situations d</w:t>
      </w:r>
      <w:r w:rsidR="009C104E">
        <w:rPr>
          <w:rFonts w:asciiTheme="minorBidi" w:hAnsiTheme="minorBidi" w:cstheme="minorBidi"/>
          <w:color w:val="000000"/>
          <w:sz w:val="22"/>
          <w:szCs w:val="22"/>
        </w:rPr>
        <w:t>’</w:t>
      </w:r>
      <w:r w:rsidRPr="00400706">
        <w:rPr>
          <w:rFonts w:asciiTheme="minorBidi" w:hAnsiTheme="minorBidi" w:cstheme="minorBidi"/>
          <w:color w:val="000000"/>
          <w:sz w:val="22"/>
          <w:szCs w:val="22"/>
        </w:rPr>
        <w:t>urgence.</w:t>
      </w:r>
    </w:p>
    <w:p w14:paraId="0EA04A5A" w14:textId="77777777" w:rsidR="00400706" w:rsidRPr="00400706" w:rsidRDefault="00400706" w:rsidP="00771F30">
      <w:pPr>
        <w:numPr>
          <w:ilvl w:val="0"/>
          <w:numId w:val="50"/>
        </w:numPr>
        <w:spacing w:after="120"/>
        <w:ind w:left="567" w:hanging="567"/>
        <w:jc w:val="both"/>
        <w:rPr>
          <w:rFonts w:asciiTheme="minorBidi" w:eastAsiaTheme="minorHAnsi" w:hAnsiTheme="minorBidi" w:cstheme="minorBidi"/>
          <w:sz w:val="22"/>
          <w:szCs w:val="22"/>
          <w:lang w:eastAsia="en-US"/>
        </w:rPr>
      </w:pPr>
      <w:r w:rsidRPr="00400706">
        <w:rPr>
          <w:rFonts w:asciiTheme="minorBidi" w:hAnsiTheme="minorBidi" w:cstheme="minorBidi"/>
          <w:color w:val="000000"/>
          <w:sz w:val="22"/>
          <w:szCs w:val="22"/>
        </w:rPr>
        <w:t>Mettre en relation les organismes de sauvegarde du patrimoine culturel immatériel et les intervenants responsables de la préparation aux urgences.</w:t>
      </w:r>
    </w:p>
    <w:p w14:paraId="365129B3" w14:textId="77777777" w:rsidR="00400706" w:rsidRPr="00400706" w:rsidRDefault="00400706" w:rsidP="00400706">
      <w:pPr>
        <w:spacing w:before="240" w:after="120"/>
        <w:jc w:val="both"/>
        <w:rPr>
          <w:rFonts w:asciiTheme="minorBidi" w:hAnsiTheme="minorBidi" w:cstheme="minorBidi"/>
          <w:b/>
          <w:bCs/>
          <w:color w:val="000000"/>
          <w:sz w:val="22"/>
          <w:szCs w:val="22"/>
        </w:rPr>
      </w:pPr>
      <w:r w:rsidRPr="00400706">
        <w:rPr>
          <w:rFonts w:asciiTheme="minorBidi" w:hAnsiTheme="minorBidi" w:cstheme="minorBidi"/>
          <w:b/>
          <w:bCs/>
          <w:color w:val="000000"/>
          <w:sz w:val="22"/>
          <w:szCs w:val="22"/>
        </w:rPr>
        <w:t xml:space="preserve">RÉPONSE </w:t>
      </w:r>
    </w:p>
    <w:p w14:paraId="62B98B0C" w14:textId="32F2C0D7" w:rsidR="00400706" w:rsidRPr="00400706" w:rsidRDefault="00400706" w:rsidP="00771F30">
      <w:pPr>
        <w:numPr>
          <w:ilvl w:val="0"/>
          <w:numId w:val="51"/>
        </w:numPr>
        <w:spacing w:after="120"/>
        <w:ind w:left="567" w:hanging="567"/>
        <w:jc w:val="both"/>
        <w:rPr>
          <w:rFonts w:asciiTheme="minorBidi" w:eastAsiaTheme="minorHAnsi" w:hAnsiTheme="minorBidi" w:cstheme="minorBidi"/>
          <w:sz w:val="22"/>
          <w:szCs w:val="22"/>
          <w:lang w:eastAsia="en-US"/>
        </w:rPr>
      </w:pPr>
      <w:r w:rsidRPr="00400706">
        <w:rPr>
          <w:rFonts w:asciiTheme="minorBidi" w:hAnsiTheme="minorBidi" w:cstheme="minorBidi"/>
          <w:color w:val="000000"/>
          <w:sz w:val="22"/>
          <w:szCs w:val="22"/>
        </w:rPr>
        <w:t xml:space="preserve">Identifier, localiser et contacter les communautés dont le patrimoine culturel immatériel est touché </w:t>
      </w:r>
      <w:r w:rsidRPr="00400706">
        <w:rPr>
          <w:rFonts w:asciiTheme="minorBidi" w:eastAsiaTheme="minorHAnsi" w:hAnsiTheme="minorBidi" w:cstheme="minorBidi"/>
          <w:sz w:val="22"/>
          <w:szCs w:val="22"/>
          <w:lang w:eastAsia="en-US"/>
        </w:rPr>
        <w:t>par la situation d</w:t>
      </w:r>
      <w:r w:rsidR="009C104E">
        <w:rPr>
          <w:rFonts w:asciiTheme="minorBidi" w:eastAsiaTheme="minorHAnsi" w:hAnsiTheme="minorBidi" w:cstheme="minorBidi"/>
          <w:sz w:val="22"/>
          <w:szCs w:val="22"/>
          <w:lang w:eastAsia="en-US"/>
        </w:rPr>
        <w:t>’</w:t>
      </w:r>
      <w:r w:rsidRPr="00400706">
        <w:rPr>
          <w:rFonts w:asciiTheme="minorBidi" w:eastAsiaTheme="minorHAnsi" w:hAnsiTheme="minorBidi" w:cstheme="minorBidi"/>
          <w:sz w:val="22"/>
          <w:szCs w:val="22"/>
          <w:lang w:eastAsia="en-US"/>
        </w:rPr>
        <w:t xml:space="preserve">urgence </w:t>
      </w:r>
      <w:r w:rsidRPr="00400706">
        <w:rPr>
          <w:rFonts w:asciiTheme="minorBidi" w:hAnsiTheme="minorBidi" w:cstheme="minorBidi"/>
          <w:color w:val="000000"/>
          <w:sz w:val="22"/>
          <w:szCs w:val="22"/>
        </w:rPr>
        <w:t xml:space="preserve">ou </w:t>
      </w:r>
      <w:r w:rsidRPr="00400706">
        <w:rPr>
          <w:rFonts w:asciiTheme="minorBidi" w:eastAsiaTheme="minorHAnsi" w:hAnsiTheme="minorBidi" w:cstheme="minorBidi"/>
          <w:sz w:val="22"/>
          <w:szCs w:val="22"/>
          <w:lang w:eastAsia="en-US"/>
        </w:rPr>
        <w:t>susceptible de l</w:t>
      </w:r>
      <w:r w:rsidR="009C104E">
        <w:rPr>
          <w:rFonts w:asciiTheme="minorBidi" w:eastAsiaTheme="minorHAnsi" w:hAnsiTheme="minorBidi" w:cstheme="minorBidi"/>
          <w:sz w:val="22"/>
          <w:szCs w:val="22"/>
          <w:lang w:eastAsia="en-US"/>
        </w:rPr>
        <w:t>’</w:t>
      </w:r>
      <w:r w:rsidRPr="00400706">
        <w:rPr>
          <w:rFonts w:asciiTheme="minorBidi" w:eastAsiaTheme="minorHAnsi" w:hAnsiTheme="minorBidi" w:cstheme="minorBidi"/>
          <w:sz w:val="22"/>
          <w:szCs w:val="22"/>
          <w:lang w:eastAsia="en-US"/>
        </w:rPr>
        <w:t>être.</w:t>
      </w:r>
    </w:p>
    <w:p w14:paraId="03182F18" w14:textId="27537A41" w:rsidR="00400706" w:rsidRPr="00400706" w:rsidRDefault="00400706" w:rsidP="00771F30">
      <w:pPr>
        <w:numPr>
          <w:ilvl w:val="0"/>
          <w:numId w:val="51"/>
        </w:numPr>
        <w:spacing w:after="120"/>
        <w:ind w:left="567" w:hanging="567"/>
        <w:jc w:val="both"/>
        <w:rPr>
          <w:rFonts w:asciiTheme="minorBidi" w:eastAsiaTheme="minorHAnsi" w:hAnsiTheme="minorBidi" w:cstheme="minorBidi"/>
          <w:sz w:val="22"/>
          <w:szCs w:val="22"/>
          <w:lang w:eastAsia="en-US"/>
        </w:rPr>
      </w:pPr>
      <w:r w:rsidRPr="00400706">
        <w:rPr>
          <w:rFonts w:asciiTheme="minorBidi" w:hAnsiTheme="minorBidi" w:cstheme="minorBidi"/>
          <w:color w:val="000000"/>
          <w:sz w:val="22"/>
          <w:szCs w:val="22"/>
        </w:rPr>
        <w:t>Privilégier l</w:t>
      </w:r>
      <w:r w:rsidR="009C104E">
        <w:rPr>
          <w:rFonts w:asciiTheme="minorBidi" w:hAnsiTheme="minorBidi" w:cstheme="minorBidi"/>
          <w:color w:val="000000"/>
          <w:sz w:val="22"/>
          <w:szCs w:val="22"/>
        </w:rPr>
        <w:t>’</w:t>
      </w:r>
      <w:r w:rsidRPr="00400706">
        <w:rPr>
          <w:rFonts w:asciiTheme="minorBidi" w:hAnsiTheme="minorBidi" w:cstheme="minorBidi"/>
          <w:color w:val="000000"/>
          <w:sz w:val="22"/>
          <w:szCs w:val="22"/>
        </w:rPr>
        <w:t>octroi de ressources et l</w:t>
      </w:r>
      <w:r w:rsidR="009C104E">
        <w:rPr>
          <w:rFonts w:asciiTheme="minorBidi" w:hAnsiTheme="minorBidi" w:cstheme="minorBidi"/>
          <w:color w:val="000000"/>
          <w:sz w:val="22"/>
          <w:szCs w:val="22"/>
        </w:rPr>
        <w:t>’</w:t>
      </w:r>
      <w:r w:rsidRPr="00400706">
        <w:rPr>
          <w:rFonts w:asciiTheme="minorBidi" w:hAnsiTheme="minorBidi" w:cstheme="minorBidi"/>
          <w:color w:val="000000"/>
          <w:sz w:val="22"/>
          <w:szCs w:val="22"/>
        </w:rPr>
        <w:t xml:space="preserve">appui aux capacités des </w:t>
      </w:r>
      <w:r w:rsidRPr="00400706">
        <w:rPr>
          <w:rFonts w:asciiTheme="minorBidi" w:hAnsiTheme="minorBidi" w:cstheme="minorBidi"/>
          <w:sz w:val="22"/>
          <w:szCs w:val="22"/>
        </w:rPr>
        <w:t xml:space="preserve">communautés concernées </w:t>
      </w:r>
      <w:r w:rsidRPr="00400706">
        <w:rPr>
          <w:rFonts w:asciiTheme="minorBidi" w:hAnsiTheme="minorBidi" w:cstheme="minorBidi"/>
          <w:color w:val="000000"/>
          <w:sz w:val="22"/>
          <w:szCs w:val="22"/>
        </w:rPr>
        <w:t>afin qu</w:t>
      </w:r>
      <w:r w:rsidR="009C104E">
        <w:rPr>
          <w:rFonts w:asciiTheme="minorBidi" w:hAnsiTheme="minorBidi" w:cstheme="minorBidi"/>
          <w:color w:val="000000"/>
          <w:sz w:val="22"/>
          <w:szCs w:val="22"/>
        </w:rPr>
        <w:t>’</w:t>
      </w:r>
      <w:r w:rsidRPr="00400706">
        <w:rPr>
          <w:rFonts w:asciiTheme="minorBidi" w:hAnsiTheme="minorBidi" w:cstheme="minorBidi"/>
          <w:color w:val="000000"/>
          <w:sz w:val="22"/>
          <w:szCs w:val="22"/>
        </w:rPr>
        <w:t>elles se chargent elles-mêmes d</w:t>
      </w:r>
      <w:r w:rsidR="009C104E">
        <w:rPr>
          <w:rFonts w:asciiTheme="minorBidi" w:hAnsiTheme="minorBidi" w:cstheme="minorBidi"/>
          <w:color w:val="000000"/>
          <w:sz w:val="22"/>
          <w:szCs w:val="22"/>
        </w:rPr>
        <w:t>’</w:t>
      </w:r>
      <w:r w:rsidRPr="00400706">
        <w:rPr>
          <w:rFonts w:asciiTheme="minorBidi" w:hAnsiTheme="minorBidi" w:cstheme="minorBidi"/>
          <w:color w:val="000000"/>
          <w:sz w:val="22"/>
          <w:szCs w:val="22"/>
        </w:rPr>
        <w:t>identifier leurs besoins de sauvegarde immédiats, d</w:t>
      </w:r>
      <w:r w:rsidR="009C104E">
        <w:rPr>
          <w:rFonts w:asciiTheme="minorBidi" w:hAnsiTheme="minorBidi" w:cstheme="minorBidi"/>
          <w:color w:val="000000"/>
          <w:sz w:val="22"/>
          <w:szCs w:val="22"/>
        </w:rPr>
        <w:t>’</w:t>
      </w:r>
      <w:r w:rsidRPr="00400706">
        <w:rPr>
          <w:rFonts w:asciiTheme="minorBidi" w:hAnsiTheme="minorBidi" w:cstheme="minorBidi"/>
          <w:color w:val="000000"/>
          <w:sz w:val="22"/>
          <w:szCs w:val="22"/>
        </w:rPr>
        <w:t>y répondre et de tirer parti de leur patrimoine culturel immatériel pour atténuer les effets immédiats de la situation d</w:t>
      </w:r>
      <w:r w:rsidR="009C104E">
        <w:rPr>
          <w:rFonts w:asciiTheme="minorBidi" w:hAnsiTheme="minorBidi" w:cstheme="minorBidi"/>
          <w:color w:val="000000"/>
          <w:sz w:val="22"/>
          <w:szCs w:val="22"/>
        </w:rPr>
        <w:t>’</w:t>
      </w:r>
      <w:r w:rsidRPr="00400706">
        <w:rPr>
          <w:rFonts w:asciiTheme="minorBidi" w:hAnsiTheme="minorBidi" w:cstheme="minorBidi"/>
          <w:color w:val="000000"/>
          <w:sz w:val="22"/>
          <w:szCs w:val="22"/>
        </w:rPr>
        <w:t>urgence (identification des besoins réalisée avec la participation des communautés). Dans certains cas, cette série de mesures ne pourra être mise en œuvre que lors de la phase de relèvement.</w:t>
      </w:r>
    </w:p>
    <w:p w14:paraId="51D35621" w14:textId="26CFAB2E" w:rsidR="00400706" w:rsidRPr="00400706" w:rsidRDefault="00400706" w:rsidP="00771F30">
      <w:pPr>
        <w:numPr>
          <w:ilvl w:val="0"/>
          <w:numId w:val="51"/>
        </w:numPr>
        <w:spacing w:after="120"/>
        <w:ind w:left="567" w:hanging="567"/>
        <w:jc w:val="both"/>
        <w:rPr>
          <w:rFonts w:asciiTheme="minorBidi" w:eastAsiaTheme="minorHAnsi" w:hAnsiTheme="minorBidi" w:cstheme="minorBidi"/>
          <w:sz w:val="22"/>
          <w:szCs w:val="22"/>
          <w:lang w:eastAsia="en-US"/>
        </w:rPr>
      </w:pPr>
      <w:r w:rsidRPr="00400706">
        <w:rPr>
          <w:rFonts w:asciiTheme="minorBidi" w:eastAsiaTheme="minorHAnsi" w:hAnsiTheme="minorBidi" w:cstheme="minorBidi"/>
          <w:sz w:val="22"/>
          <w:szCs w:val="22"/>
          <w:lang w:eastAsia="en-US"/>
        </w:rPr>
        <w:t>Partager des informations au sein des États parties touchés, entre eux et avec d</w:t>
      </w:r>
      <w:r w:rsidR="009C104E">
        <w:rPr>
          <w:rFonts w:asciiTheme="minorBidi" w:eastAsiaTheme="minorHAnsi" w:hAnsiTheme="minorBidi" w:cstheme="minorBidi"/>
          <w:sz w:val="22"/>
          <w:szCs w:val="22"/>
          <w:lang w:eastAsia="en-US"/>
        </w:rPr>
        <w:t>’</w:t>
      </w:r>
      <w:r w:rsidRPr="00400706">
        <w:rPr>
          <w:rFonts w:asciiTheme="minorBidi" w:eastAsiaTheme="minorHAnsi" w:hAnsiTheme="minorBidi" w:cstheme="minorBidi"/>
          <w:sz w:val="22"/>
          <w:szCs w:val="22"/>
          <w:lang w:eastAsia="en-US"/>
        </w:rPr>
        <w:t>autres parties prenantes, en particulier les acteurs humanitaires, les organisations non gouvernementales pertinentes et/ou les forces armées, et ce afin de déterminer la nature et l</w:t>
      </w:r>
      <w:r w:rsidR="009C104E">
        <w:rPr>
          <w:rFonts w:asciiTheme="minorBidi" w:eastAsiaTheme="minorHAnsi" w:hAnsiTheme="minorBidi" w:cstheme="minorBidi"/>
          <w:sz w:val="22"/>
          <w:szCs w:val="22"/>
          <w:lang w:eastAsia="en-US"/>
        </w:rPr>
        <w:t>’</w:t>
      </w:r>
      <w:r w:rsidRPr="00400706">
        <w:rPr>
          <w:rFonts w:asciiTheme="minorBidi" w:eastAsiaTheme="minorHAnsi" w:hAnsiTheme="minorBidi" w:cstheme="minorBidi"/>
          <w:sz w:val="22"/>
          <w:szCs w:val="22"/>
          <w:lang w:eastAsia="en-US"/>
        </w:rPr>
        <w:t xml:space="preserve">ampleur des perturbations subies par le patrimoine culturel immatériel et si ce dernier peut être </w:t>
      </w:r>
      <w:r w:rsidRPr="00400706">
        <w:rPr>
          <w:rFonts w:asciiTheme="minorBidi" w:eastAsiaTheme="minorHAnsi" w:hAnsiTheme="minorBidi" w:cstheme="minorBidi"/>
          <w:color w:val="000000" w:themeColor="text1"/>
          <w:sz w:val="22"/>
          <w:szCs w:val="22"/>
          <w:lang w:eastAsia="en-US"/>
        </w:rPr>
        <w:t>mobilisé pour atténuer les effets de la situation d</w:t>
      </w:r>
      <w:r w:rsidR="009C104E">
        <w:rPr>
          <w:rFonts w:asciiTheme="minorBidi" w:eastAsiaTheme="minorHAnsi" w:hAnsiTheme="minorBidi" w:cstheme="minorBidi"/>
          <w:color w:val="000000" w:themeColor="text1"/>
          <w:sz w:val="22"/>
          <w:szCs w:val="22"/>
          <w:lang w:eastAsia="en-US"/>
        </w:rPr>
        <w:t>’</w:t>
      </w:r>
      <w:r w:rsidRPr="00400706">
        <w:rPr>
          <w:rFonts w:asciiTheme="minorBidi" w:eastAsiaTheme="minorHAnsi" w:hAnsiTheme="minorBidi" w:cstheme="minorBidi"/>
          <w:color w:val="000000" w:themeColor="text1"/>
          <w:sz w:val="22"/>
          <w:szCs w:val="22"/>
          <w:lang w:eastAsia="en-US"/>
        </w:rPr>
        <w:t xml:space="preserve">urgence. </w:t>
      </w:r>
      <w:r w:rsidRPr="00400706">
        <w:rPr>
          <w:rFonts w:asciiTheme="minorBidi" w:eastAsiaTheme="minorHAnsi" w:hAnsiTheme="minorBidi" w:cstheme="minorBidi"/>
          <w:sz w:val="22"/>
          <w:szCs w:val="22"/>
          <w:lang w:eastAsia="en-US"/>
        </w:rPr>
        <w:t>Cela permettra également de veiller à ce que les opérations de secours prennent pleinement en considération le patrimoine culturel immatériel existant et contribuent à sa sauvegarde.</w:t>
      </w:r>
    </w:p>
    <w:p w14:paraId="339C027D" w14:textId="5F43947F" w:rsidR="00400706" w:rsidRPr="00400706" w:rsidRDefault="00400706" w:rsidP="00771F30">
      <w:pPr>
        <w:numPr>
          <w:ilvl w:val="0"/>
          <w:numId w:val="51"/>
        </w:numPr>
        <w:spacing w:after="120"/>
        <w:ind w:left="567" w:hanging="567"/>
        <w:jc w:val="both"/>
        <w:rPr>
          <w:rFonts w:asciiTheme="minorBidi" w:hAnsiTheme="minorBidi" w:cstheme="minorBidi"/>
          <w:color w:val="000000"/>
          <w:sz w:val="22"/>
          <w:szCs w:val="22"/>
        </w:rPr>
      </w:pPr>
      <w:r w:rsidRPr="00400706">
        <w:rPr>
          <w:rFonts w:asciiTheme="minorBidi" w:hAnsiTheme="minorBidi" w:cstheme="minorBidi"/>
          <w:color w:val="000000"/>
          <w:sz w:val="22"/>
          <w:szCs w:val="22"/>
        </w:rPr>
        <w:t>Chaque fois qu</w:t>
      </w:r>
      <w:r w:rsidR="009C104E">
        <w:rPr>
          <w:rFonts w:asciiTheme="minorBidi" w:hAnsiTheme="minorBidi" w:cstheme="minorBidi"/>
          <w:color w:val="000000"/>
          <w:sz w:val="22"/>
          <w:szCs w:val="22"/>
        </w:rPr>
        <w:t>’</w:t>
      </w:r>
      <w:r w:rsidRPr="00400706">
        <w:rPr>
          <w:rFonts w:asciiTheme="minorBidi" w:hAnsiTheme="minorBidi" w:cstheme="minorBidi"/>
          <w:color w:val="000000"/>
          <w:sz w:val="22"/>
          <w:szCs w:val="22"/>
        </w:rPr>
        <w:t>une évaluation des besoins après une catastrophe naturelle ou un conflit est entreprise, notamment dans le cadre des mécanismes multipartites de réponse aux crises internationales, veiller à ce que le patrimoine culturel immatériel soit intégré. Impliquer les communautés dans l</w:t>
      </w:r>
      <w:r w:rsidR="009C104E">
        <w:rPr>
          <w:rFonts w:asciiTheme="minorBidi" w:hAnsiTheme="minorBidi" w:cstheme="minorBidi"/>
          <w:color w:val="000000"/>
          <w:sz w:val="22"/>
          <w:szCs w:val="22"/>
        </w:rPr>
        <w:t>’</w:t>
      </w:r>
      <w:r w:rsidRPr="00400706">
        <w:rPr>
          <w:rFonts w:asciiTheme="minorBidi" w:hAnsiTheme="minorBidi" w:cstheme="minorBidi"/>
          <w:color w:val="000000"/>
          <w:sz w:val="22"/>
          <w:szCs w:val="22"/>
        </w:rPr>
        <w:t xml:space="preserve">évaluation des impacts de la </w:t>
      </w:r>
      <w:r w:rsidRPr="00400706">
        <w:rPr>
          <w:rFonts w:ascii="Arial" w:hAnsi="Arial" w:cs="Arial"/>
          <w:sz w:val="22"/>
          <w:szCs w:val="22"/>
        </w:rPr>
        <w:t xml:space="preserve">catastrophe naturelle et/ou du conflit armé </w:t>
      </w:r>
      <w:r w:rsidRPr="00400706">
        <w:rPr>
          <w:rFonts w:asciiTheme="minorBidi" w:hAnsiTheme="minorBidi" w:cstheme="minorBidi"/>
          <w:color w:val="000000"/>
          <w:sz w:val="22"/>
          <w:szCs w:val="22"/>
        </w:rPr>
        <w:t>sur leur patrimoine culturel immatériel, ainsi que des pertes et dommages économiques connexes et des impacts sur le développement humain.</w:t>
      </w:r>
    </w:p>
    <w:p w14:paraId="03183F5E" w14:textId="77777777" w:rsidR="00400706" w:rsidRPr="00400706" w:rsidRDefault="00400706" w:rsidP="00400706">
      <w:pPr>
        <w:spacing w:before="240" w:after="120"/>
        <w:jc w:val="both"/>
        <w:rPr>
          <w:rFonts w:asciiTheme="minorBidi" w:hAnsiTheme="minorBidi" w:cstheme="minorBidi"/>
          <w:color w:val="000000"/>
          <w:sz w:val="22"/>
          <w:szCs w:val="22"/>
        </w:rPr>
      </w:pPr>
      <w:r w:rsidRPr="00400706">
        <w:rPr>
          <w:rFonts w:asciiTheme="minorBidi" w:hAnsiTheme="minorBidi" w:cstheme="minorBidi"/>
          <w:b/>
          <w:bCs/>
          <w:color w:val="000000"/>
          <w:sz w:val="22"/>
          <w:szCs w:val="22"/>
        </w:rPr>
        <w:t>RELÈVEMENT</w:t>
      </w:r>
    </w:p>
    <w:p w14:paraId="5443B757" w14:textId="4E7D2E1C" w:rsidR="00400706" w:rsidRPr="00400706" w:rsidRDefault="00400706" w:rsidP="00771F30">
      <w:pPr>
        <w:numPr>
          <w:ilvl w:val="0"/>
          <w:numId w:val="52"/>
        </w:numPr>
        <w:spacing w:after="120"/>
        <w:ind w:left="567" w:hanging="567"/>
        <w:jc w:val="both"/>
        <w:rPr>
          <w:rFonts w:asciiTheme="minorBidi" w:eastAsiaTheme="minorHAnsi" w:hAnsiTheme="minorBidi" w:cstheme="minorBidi"/>
          <w:sz w:val="22"/>
          <w:szCs w:val="22"/>
          <w:lang w:eastAsia="en-US"/>
        </w:rPr>
      </w:pPr>
      <w:r w:rsidRPr="00400706">
        <w:rPr>
          <w:rFonts w:asciiTheme="minorBidi" w:hAnsiTheme="minorBidi" w:cstheme="minorBidi"/>
          <w:color w:val="000000"/>
          <w:sz w:val="22"/>
          <w:szCs w:val="22"/>
        </w:rPr>
        <w:t>Identifier les besoins avec la participation des communautés si cela n</w:t>
      </w:r>
      <w:r w:rsidR="009C104E">
        <w:rPr>
          <w:rFonts w:asciiTheme="minorBidi" w:hAnsiTheme="minorBidi" w:cstheme="minorBidi"/>
          <w:color w:val="000000"/>
          <w:sz w:val="22"/>
          <w:szCs w:val="22"/>
        </w:rPr>
        <w:t>’</w:t>
      </w:r>
      <w:r w:rsidRPr="00400706">
        <w:rPr>
          <w:rFonts w:asciiTheme="minorBidi" w:hAnsiTheme="minorBidi" w:cstheme="minorBidi"/>
          <w:color w:val="000000"/>
          <w:sz w:val="22"/>
          <w:szCs w:val="22"/>
        </w:rPr>
        <w:t>a pas été possible plus</w:t>
      </w:r>
      <w:r w:rsidRPr="00400706">
        <w:rPr>
          <w:rFonts w:ascii="Arial" w:hAnsi="Arial" w:cs="Arial"/>
          <w:sz w:val="22"/>
          <w:szCs w:val="22"/>
        </w:rPr>
        <w:t> </w:t>
      </w:r>
      <w:r w:rsidRPr="00400706">
        <w:rPr>
          <w:rFonts w:asciiTheme="minorBidi" w:hAnsiTheme="minorBidi" w:cstheme="minorBidi"/>
          <w:color w:val="000000"/>
          <w:sz w:val="22"/>
          <w:szCs w:val="22"/>
        </w:rPr>
        <w:t>tôt.</w:t>
      </w:r>
    </w:p>
    <w:p w14:paraId="44DD554E" w14:textId="2F5E1A1F" w:rsidR="00400706" w:rsidRPr="00400706" w:rsidRDefault="00400706" w:rsidP="00771F30">
      <w:pPr>
        <w:numPr>
          <w:ilvl w:val="0"/>
          <w:numId w:val="52"/>
        </w:numPr>
        <w:spacing w:after="120"/>
        <w:ind w:left="567" w:hanging="567"/>
        <w:jc w:val="both"/>
        <w:rPr>
          <w:rFonts w:asciiTheme="minorBidi" w:eastAsiaTheme="minorHAnsi" w:hAnsiTheme="minorBidi" w:cstheme="minorBidi"/>
          <w:sz w:val="22"/>
          <w:szCs w:val="22"/>
          <w:lang w:eastAsia="en-US"/>
        </w:rPr>
      </w:pPr>
      <w:r w:rsidRPr="00400706">
        <w:rPr>
          <w:rFonts w:asciiTheme="minorBidi" w:eastAsiaTheme="minorHAnsi" w:hAnsiTheme="minorBidi" w:cstheme="minorBidi"/>
          <w:color w:val="000000" w:themeColor="text1"/>
          <w:sz w:val="22"/>
          <w:szCs w:val="22"/>
          <w:lang w:eastAsia="en-US"/>
        </w:rPr>
        <w:t>En fonction des résultats du processus d</w:t>
      </w:r>
      <w:r w:rsidR="009C104E">
        <w:rPr>
          <w:rFonts w:asciiTheme="minorBidi" w:eastAsiaTheme="minorHAnsi" w:hAnsiTheme="minorBidi" w:cstheme="minorBidi"/>
          <w:color w:val="000000" w:themeColor="text1"/>
          <w:sz w:val="22"/>
          <w:szCs w:val="22"/>
          <w:lang w:eastAsia="en-US"/>
        </w:rPr>
        <w:t>’</w:t>
      </w:r>
      <w:r w:rsidRPr="00400706">
        <w:rPr>
          <w:rFonts w:asciiTheme="minorBidi" w:eastAsiaTheme="minorHAnsi" w:hAnsiTheme="minorBidi" w:cstheme="minorBidi"/>
          <w:color w:val="000000" w:themeColor="text1"/>
          <w:sz w:val="22"/>
          <w:szCs w:val="22"/>
          <w:lang w:eastAsia="en-US"/>
        </w:rPr>
        <w:t>identification des besoins, fournir ressources et appui aux communautés afin qu</w:t>
      </w:r>
      <w:r w:rsidR="009C104E">
        <w:rPr>
          <w:rFonts w:asciiTheme="minorBidi" w:eastAsiaTheme="minorHAnsi" w:hAnsiTheme="minorBidi" w:cstheme="minorBidi"/>
          <w:color w:val="000000" w:themeColor="text1"/>
          <w:sz w:val="22"/>
          <w:szCs w:val="22"/>
          <w:lang w:eastAsia="en-US"/>
        </w:rPr>
        <w:t>’</w:t>
      </w:r>
      <w:r w:rsidRPr="00400706">
        <w:rPr>
          <w:rFonts w:asciiTheme="minorBidi" w:eastAsiaTheme="minorHAnsi" w:hAnsiTheme="minorBidi" w:cstheme="minorBidi"/>
          <w:color w:val="000000" w:themeColor="text1"/>
          <w:sz w:val="22"/>
          <w:szCs w:val="22"/>
          <w:lang w:eastAsia="en-US"/>
        </w:rPr>
        <w:t>elles élaborent et mettent en œuvre des mesures ou des plans de sauvegarde renforçant la capacité qu</w:t>
      </w:r>
      <w:r w:rsidR="009C104E">
        <w:rPr>
          <w:rFonts w:asciiTheme="minorBidi" w:eastAsiaTheme="minorHAnsi" w:hAnsiTheme="minorBidi" w:cstheme="minorBidi"/>
          <w:color w:val="000000" w:themeColor="text1"/>
          <w:sz w:val="22"/>
          <w:szCs w:val="22"/>
          <w:lang w:eastAsia="en-US"/>
        </w:rPr>
        <w:t>’</w:t>
      </w:r>
      <w:r w:rsidRPr="00400706">
        <w:rPr>
          <w:rFonts w:asciiTheme="minorBidi" w:eastAsiaTheme="minorHAnsi" w:hAnsiTheme="minorBidi" w:cstheme="minorBidi"/>
          <w:color w:val="000000" w:themeColor="text1"/>
          <w:sz w:val="22"/>
          <w:szCs w:val="22"/>
          <w:lang w:eastAsia="en-US"/>
        </w:rPr>
        <w:t>a leur patrimoine culturel immatériel d</w:t>
      </w:r>
      <w:r w:rsidR="009C104E">
        <w:rPr>
          <w:rFonts w:asciiTheme="minorBidi" w:eastAsiaTheme="minorHAnsi" w:hAnsiTheme="minorBidi" w:cstheme="minorBidi"/>
          <w:color w:val="000000" w:themeColor="text1"/>
          <w:sz w:val="22"/>
          <w:szCs w:val="22"/>
          <w:lang w:eastAsia="en-US"/>
        </w:rPr>
        <w:t>’</w:t>
      </w:r>
      <w:r w:rsidRPr="00400706">
        <w:rPr>
          <w:rFonts w:asciiTheme="minorBidi" w:eastAsiaTheme="minorHAnsi" w:hAnsiTheme="minorBidi" w:cstheme="minorBidi"/>
          <w:color w:val="000000" w:themeColor="text1"/>
          <w:sz w:val="22"/>
          <w:szCs w:val="22"/>
          <w:lang w:eastAsia="en-US"/>
        </w:rPr>
        <w:t>atténuer les effets de l</w:t>
      </w:r>
      <w:r w:rsidR="009C104E">
        <w:rPr>
          <w:rFonts w:asciiTheme="minorBidi" w:eastAsiaTheme="minorHAnsi" w:hAnsiTheme="minorBidi" w:cstheme="minorBidi"/>
          <w:color w:val="000000" w:themeColor="text1"/>
          <w:sz w:val="22"/>
          <w:szCs w:val="22"/>
          <w:lang w:eastAsia="en-US"/>
        </w:rPr>
        <w:t>’</w:t>
      </w:r>
      <w:r w:rsidRPr="00400706">
        <w:rPr>
          <w:rFonts w:asciiTheme="minorBidi" w:eastAsiaTheme="minorHAnsi" w:hAnsiTheme="minorBidi" w:cstheme="minorBidi"/>
          <w:color w:val="000000" w:themeColor="text1"/>
          <w:sz w:val="22"/>
          <w:szCs w:val="22"/>
          <w:lang w:eastAsia="en-US"/>
        </w:rPr>
        <w:t>urgence. Ce soutien doit être assuré tout au long de la phase de relèvement et jusqu</w:t>
      </w:r>
      <w:r w:rsidR="009C104E">
        <w:rPr>
          <w:rFonts w:asciiTheme="minorBidi" w:eastAsiaTheme="minorHAnsi" w:hAnsiTheme="minorBidi" w:cstheme="minorBidi"/>
          <w:color w:val="000000" w:themeColor="text1"/>
          <w:sz w:val="22"/>
          <w:szCs w:val="22"/>
          <w:lang w:eastAsia="en-US"/>
        </w:rPr>
        <w:t>’</w:t>
      </w:r>
      <w:r w:rsidRPr="00400706">
        <w:rPr>
          <w:rFonts w:asciiTheme="minorBidi" w:eastAsiaTheme="minorHAnsi" w:hAnsiTheme="minorBidi" w:cstheme="minorBidi"/>
          <w:color w:val="000000" w:themeColor="text1"/>
          <w:sz w:val="22"/>
          <w:szCs w:val="22"/>
          <w:lang w:eastAsia="en-US"/>
        </w:rPr>
        <w:t>à la phase de préparation suivante, mais aussi lors de la transition entre un état de dépendance vis-à-vis de l</w:t>
      </w:r>
      <w:r w:rsidR="009C104E">
        <w:rPr>
          <w:rFonts w:asciiTheme="minorBidi" w:eastAsiaTheme="minorHAnsi" w:hAnsiTheme="minorBidi" w:cstheme="minorBidi"/>
          <w:color w:val="000000" w:themeColor="text1"/>
          <w:sz w:val="22"/>
          <w:szCs w:val="22"/>
          <w:lang w:eastAsia="en-US"/>
        </w:rPr>
        <w:t>’</w:t>
      </w:r>
      <w:r w:rsidRPr="00400706">
        <w:rPr>
          <w:rFonts w:asciiTheme="minorBidi" w:eastAsiaTheme="minorHAnsi" w:hAnsiTheme="minorBidi" w:cstheme="minorBidi"/>
          <w:color w:val="000000" w:themeColor="text1"/>
          <w:sz w:val="22"/>
          <w:szCs w:val="22"/>
          <w:lang w:eastAsia="en-US"/>
        </w:rPr>
        <w:t>assistance humanitaire et une situation de développement.</w:t>
      </w:r>
    </w:p>
    <w:p w14:paraId="7A1E73DD" w14:textId="14A01A91" w:rsidR="00400706" w:rsidRPr="00400706" w:rsidRDefault="00400706" w:rsidP="00771F30">
      <w:pPr>
        <w:numPr>
          <w:ilvl w:val="0"/>
          <w:numId w:val="52"/>
        </w:numPr>
        <w:spacing w:after="120"/>
        <w:ind w:left="567" w:hanging="567"/>
        <w:jc w:val="both"/>
        <w:rPr>
          <w:rFonts w:asciiTheme="minorBidi" w:eastAsiaTheme="minorHAnsi" w:hAnsiTheme="minorBidi" w:cstheme="minorBidi"/>
          <w:sz w:val="22"/>
          <w:szCs w:val="22"/>
          <w:lang w:eastAsia="en-US"/>
        </w:rPr>
      </w:pPr>
      <w:r w:rsidRPr="00400706">
        <w:rPr>
          <w:rFonts w:asciiTheme="minorBidi" w:eastAsiaTheme="minorHAnsi" w:hAnsiTheme="minorBidi" w:cstheme="minorBidi"/>
          <w:sz w:val="22"/>
          <w:szCs w:val="22"/>
          <w:lang w:eastAsia="en-US"/>
        </w:rPr>
        <w:t>Mobiliser le patrimoine culturel immatériel dans la promotion du dialogue, de la compréhension mutuelle et de la réconciliation au sein des communautés et entre elles, y compris entre les populations déplacées et les communautés d</w:t>
      </w:r>
      <w:r w:rsidR="009C104E">
        <w:rPr>
          <w:rFonts w:asciiTheme="minorBidi" w:eastAsiaTheme="minorHAnsi" w:hAnsiTheme="minorBidi" w:cstheme="minorBidi"/>
          <w:sz w:val="22"/>
          <w:szCs w:val="22"/>
          <w:lang w:eastAsia="en-US"/>
        </w:rPr>
        <w:t>’</w:t>
      </w:r>
      <w:r w:rsidRPr="00400706">
        <w:rPr>
          <w:rFonts w:asciiTheme="minorBidi" w:eastAsiaTheme="minorHAnsi" w:hAnsiTheme="minorBidi" w:cstheme="minorBidi"/>
          <w:sz w:val="22"/>
          <w:szCs w:val="22"/>
          <w:lang w:eastAsia="en-US"/>
        </w:rPr>
        <w:t>accueil.</w:t>
      </w:r>
    </w:p>
    <w:p w14:paraId="7D4FE004" w14:textId="314E8543" w:rsidR="00400706" w:rsidRPr="00400706" w:rsidRDefault="00400706" w:rsidP="00400706">
      <w:pPr>
        <w:spacing w:before="480" w:after="120"/>
        <w:jc w:val="both"/>
        <w:rPr>
          <w:rFonts w:ascii="Arial" w:hAnsi="Arial" w:cs="Arial"/>
          <w:b/>
          <w:bCs/>
          <w:color w:val="000000"/>
          <w:sz w:val="22"/>
          <w:szCs w:val="22"/>
        </w:rPr>
      </w:pPr>
      <w:r w:rsidRPr="00400706">
        <w:rPr>
          <w:rFonts w:asciiTheme="minorBidi" w:hAnsiTheme="minorBidi" w:cstheme="minorBidi"/>
          <w:b/>
          <w:bCs/>
          <w:color w:val="000000"/>
          <w:sz w:val="22"/>
          <w:szCs w:val="22"/>
        </w:rPr>
        <w:t>Remarque</w:t>
      </w:r>
      <w:r w:rsidRPr="00400706">
        <w:rPr>
          <w:rFonts w:ascii="Arial" w:hAnsi="Arial" w:cs="Arial"/>
          <w:sz w:val="22"/>
          <w:szCs w:val="22"/>
        </w:rPr>
        <w:t> : Les ressources et aides financières doivent être sollicitées auprès des divers fonds liés aux situations d</w:t>
      </w:r>
      <w:r w:rsidR="009C104E">
        <w:rPr>
          <w:rFonts w:ascii="Arial" w:hAnsi="Arial" w:cs="Arial"/>
          <w:sz w:val="22"/>
          <w:szCs w:val="22"/>
        </w:rPr>
        <w:t>’</w:t>
      </w:r>
      <w:r w:rsidRPr="00400706">
        <w:rPr>
          <w:rFonts w:ascii="Arial" w:hAnsi="Arial" w:cs="Arial"/>
          <w:sz w:val="22"/>
          <w:szCs w:val="22"/>
        </w:rPr>
        <w:t>urgence, comme le Fonds d</w:t>
      </w:r>
      <w:r w:rsidR="009C104E">
        <w:rPr>
          <w:rFonts w:ascii="Arial" w:hAnsi="Arial" w:cs="Arial"/>
          <w:sz w:val="22"/>
          <w:szCs w:val="22"/>
        </w:rPr>
        <w:t>’</w:t>
      </w:r>
      <w:r w:rsidRPr="00400706">
        <w:rPr>
          <w:rFonts w:ascii="Arial" w:hAnsi="Arial" w:cs="Arial"/>
          <w:sz w:val="22"/>
          <w:szCs w:val="22"/>
        </w:rPr>
        <w:t>urgence du patrimoine de l</w:t>
      </w:r>
      <w:r w:rsidR="009C104E">
        <w:rPr>
          <w:rFonts w:ascii="Arial" w:hAnsi="Arial" w:cs="Arial"/>
          <w:sz w:val="22"/>
          <w:szCs w:val="22"/>
        </w:rPr>
        <w:t>’</w:t>
      </w:r>
      <w:r w:rsidRPr="00400706">
        <w:rPr>
          <w:rFonts w:ascii="Arial" w:hAnsi="Arial" w:cs="Arial"/>
          <w:sz w:val="22"/>
          <w:szCs w:val="22"/>
        </w:rPr>
        <w:t>UNESCO et le Fonds du patrimoine culturel immatériel (l</w:t>
      </w:r>
      <w:r w:rsidR="009C104E">
        <w:rPr>
          <w:rFonts w:ascii="Arial" w:hAnsi="Arial" w:cs="Arial"/>
          <w:sz w:val="22"/>
          <w:szCs w:val="22"/>
        </w:rPr>
        <w:t>’</w:t>
      </w:r>
      <w:r w:rsidRPr="00400706">
        <w:rPr>
          <w:rFonts w:ascii="Arial" w:hAnsi="Arial" w:cs="Arial"/>
          <w:sz w:val="22"/>
          <w:szCs w:val="22"/>
        </w:rPr>
        <w:t>Assistance internationale d</w:t>
      </w:r>
      <w:r w:rsidR="009C104E">
        <w:rPr>
          <w:rFonts w:ascii="Arial" w:hAnsi="Arial" w:cs="Arial"/>
          <w:sz w:val="22"/>
          <w:szCs w:val="22"/>
        </w:rPr>
        <w:t>’</w:t>
      </w:r>
      <w:r w:rsidRPr="00400706">
        <w:rPr>
          <w:rFonts w:ascii="Arial" w:hAnsi="Arial" w:cs="Arial"/>
          <w:sz w:val="22"/>
          <w:szCs w:val="22"/>
        </w:rPr>
        <w:t>urgence). Les mécanismes d</w:t>
      </w:r>
      <w:r w:rsidR="009C104E">
        <w:rPr>
          <w:rFonts w:ascii="Arial" w:hAnsi="Arial" w:cs="Arial"/>
          <w:sz w:val="22"/>
          <w:szCs w:val="22"/>
        </w:rPr>
        <w:t>’</w:t>
      </w:r>
      <w:r w:rsidRPr="00400706">
        <w:rPr>
          <w:rFonts w:ascii="Arial" w:hAnsi="Arial" w:cs="Arial"/>
          <w:sz w:val="22"/>
          <w:szCs w:val="22"/>
        </w:rPr>
        <w:t>inscription sur les Listes de la Convention de 2003 peuvent être l</w:t>
      </w:r>
      <w:r w:rsidR="009C104E">
        <w:rPr>
          <w:rFonts w:ascii="Arial" w:hAnsi="Arial" w:cs="Arial"/>
          <w:sz w:val="22"/>
          <w:szCs w:val="22"/>
        </w:rPr>
        <w:t>’</w:t>
      </w:r>
      <w:r w:rsidRPr="00400706">
        <w:rPr>
          <w:rFonts w:ascii="Arial" w:hAnsi="Arial" w:cs="Arial"/>
          <w:sz w:val="22"/>
          <w:szCs w:val="22"/>
        </w:rPr>
        <w:t>occasion de promouvoir et de renforcer la visibilité des éléments qui contribuent à préparer les communautés aux catastrophes naturelles et/ou aux conflits armés, à y répondre et à s</w:t>
      </w:r>
      <w:r w:rsidR="009C104E">
        <w:rPr>
          <w:rFonts w:ascii="Arial" w:hAnsi="Arial" w:cs="Arial"/>
          <w:sz w:val="22"/>
          <w:szCs w:val="22"/>
        </w:rPr>
        <w:t>’</w:t>
      </w:r>
      <w:r w:rsidRPr="00400706">
        <w:rPr>
          <w:rFonts w:ascii="Arial" w:hAnsi="Arial" w:cs="Arial"/>
          <w:sz w:val="22"/>
          <w:szCs w:val="22"/>
        </w:rPr>
        <w:t>en relever (la Liste représentative du patrimoine culturel immatériel de l</w:t>
      </w:r>
      <w:r w:rsidR="009C104E">
        <w:rPr>
          <w:rFonts w:ascii="Arial" w:hAnsi="Arial" w:cs="Arial"/>
          <w:sz w:val="22"/>
          <w:szCs w:val="22"/>
        </w:rPr>
        <w:t>’</w:t>
      </w:r>
      <w:r w:rsidRPr="00400706">
        <w:rPr>
          <w:rFonts w:ascii="Arial" w:hAnsi="Arial" w:cs="Arial"/>
          <w:sz w:val="22"/>
          <w:szCs w:val="22"/>
        </w:rPr>
        <w:t>humanité, la Liste du patrimoine culturel immatériel nécessitant une sauvegarde urgente et le Registre des bonnes pratiques de sauvegarde). Ces mécanismes peuvent aussi attirer l</w:t>
      </w:r>
      <w:r w:rsidR="009C104E">
        <w:rPr>
          <w:rFonts w:ascii="Arial" w:hAnsi="Arial" w:cs="Arial"/>
          <w:sz w:val="22"/>
          <w:szCs w:val="22"/>
        </w:rPr>
        <w:t>’</w:t>
      </w:r>
      <w:r w:rsidRPr="00400706">
        <w:rPr>
          <w:rFonts w:ascii="Arial" w:hAnsi="Arial" w:cs="Arial"/>
          <w:sz w:val="22"/>
          <w:szCs w:val="22"/>
        </w:rPr>
        <w:t>attention de la communauté internationale sur les éléments particulièrement menacés par une catastrophe naturelle et/ou un conflit armé (voir le critère U.6 au Chapitre I.1 des Directives opérationnelles de la Convention de 2003 concernant les possibilités d</w:t>
      </w:r>
      <w:r w:rsidR="009C104E">
        <w:rPr>
          <w:rFonts w:ascii="Arial" w:hAnsi="Arial" w:cs="Arial"/>
          <w:sz w:val="22"/>
          <w:szCs w:val="22"/>
        </w:rPr>
        <w:t>’</w:t>
      </w:r>
      <w:r w:rsidRPr="00400706">
        <w:rPr>
          <w:rFonts w:ascii="Arial" w:hAnsi="Arial" w:cs="Arial"/>
          <w:sz w:val="22"/>
          <w:szCs w:val="22"/>
        </w:rPr>
        <w:t>une procédure accélérée d</w:t>
      </w:r>
      <w:r w:rsidR="009C104E">
        <w:rPr>
          <w:rFonts w:ascii="Arial" w:hAnsi="Arial" w:cs="Arial"/>
          <w:sz w:val="22"/>
          <w:szCs w:val="22"/>
        </w:rPr>
        <w:t>’</w:t>
      </w:r>
      <w:r w:rsidRPr="00400706">
        <w:rPr>
          <w:rFonts w:ascii="Arial" w:hAnsi="Arial" w:cs="Arial"/>
          <w:sz w:val="22"/>
          <w:szCs w:val="22"/>
        </w:rPr>
        <w:t>inscription sur la Liste du patrimoine culturel immatériel nécessitant une sauvegarde urgente).</w:t>
      </w:r>
    </w:p>
    <w:p w14:paraId="7C51E7AB" w14:textId="77777777" w:rsidR="00814661" w:rsidRPr="00814661" w:rsidRDefault="00814661" w:rsidP="00771F30">
      <w:pPr>
        <w:keepNext/>
        <w:spacing w:before="360" w:after="120"/>
        <w:jc w:val="both"/>
        <w:rPr>
          <w:rFonts w:ascii="Arial" w:eastAsia="SimSun" w:hAnsi="Arial" w:cs="Arial"/>
          <w:b/>
          <w:sz w:val="22"/>
          <w:szCs w:val="22"/>
        </w:rPr>
      </w:pPr>
      <w:r w:rsidRPr="00814661">
        <w:rPr>
          <w:rFonts w:ascii="Arial" w:hAnsi="Arial" w:cs="Arial"/>
          <w:b/>
          <w:sz w:val="22"/>
          <w:szCs w:val="22"/>
        </w:rPr>
        <w:t>DÉCISION 14.COM 14</w:t>
      </w:r>
    </w:p>
    <w:p w14:paraId="6D3192D0" w14:textId="77777777" w:rsidR="00814661" w:rsidRPr="00814661" w:rsidRDefault="00814661" w:rsidP="00814661">
      <w:pPr>
        <w:keepNext/>
        <w:spacing w:after="120"/>
        <w:jc w:val="both"/>
        <w:rPr>
          <w:rFonts w:ascii="Arial" w:eastAsia="SimSun" w:hAnsi="Arial" w:cs="Arial"/>
          <w:sz w:val="22"/>
          <w:szCs w:val="22"/>
        </w:rPr>
      </w:pPr>
      <w:r w:rsidRPr="00814661">
        <w:rPr>
          <w:rFonts w:ascii="Arial" w:hAnsi="Arial" w:cs="Arial"/>
          <w:sz w:val="22"/>
          <w:szCs w:val="22"/>
        </w:rPr>
        <w:t>Le Comité,</w:t>
      </w:r>
    </w:p>
    <w:p w14:paraId="21DA33F8" w14:textId="77777777" w:rsidR="00814661" w:rsidRPr="00814661" w:rsidRDefault="00814661" w:rsidP="00771F30">
      <w:pPr>
        <w:numPr>
          <w:ilvl w:val="0"/>
          <w:numId w:val="54"/>
        </w:numPr>
        <w:autoSpaceDE w:val="0"/>
        <w:autoSpaceDN w:val="0"/>
        <w:adjustRightInd w:val="0"/>
        <w:spacing w:after="120"/>
        <w:ind w:left="567" w:hanging="567"/>
        <w:jc w:val="both"/>
        <w:rPr>
          <w:rFonts w:ascii="Arial" w:eastAsia="SimSun" w:hAnsi="Arial" w:cs="Arial"/>
          <w:sz w:val="22"/>
          <w:szCs w:val="22"/>
          <w:u w:val="single"/>
        </w:rPr>
      </w:pPr>
      <w:r w:rsidRPr="00814661">
        <w:rPr>
          <w:rFonts w:ascii="Arial" w:eastAsia="SimSun" w:hAnsi="Arial" w:cs="Arial"/>
          <w:sz w:val="22"/>
          <w:szCs w:val="22"/>
          <w:u w:val="single"/>
        </w:rPr>
        <w:t>Ayant examiné</w:t>
      </w:r>
      <w:r w:rsidRPr="00814661">
        <w:rPr>
          <w:rFonts w:ascii="Arial" w:eastAsia="SimSun" w:hAnsi="Arial" w:cs="Arial"/>
          <w:sz w:val="22"/>
          <w:szCs w:val="22"/>
        </w:rPr>
        <w:t xml:space="preserve"> le document </w:t>
      </w:r>
      <w:hyperlink r:id="rId78" w:history="1">
        <w:r w:rsidRPr="00814661">
          <w:rPr>
            <w:rStyle w:val="Hyperlink"/>
            <w:rFonts w:ascii="Arial" w:eastAsia="SimSun" w:hAnsi="Arial" w:cs="Arial"/>
            <w:sz w:val="22"/>
            <w:szCs w:val="22"/>
          </w:rPr>
          <w:t>LHE/19/14.COM/14</w:t>
        </w:r>
      </w:hyperlink>
      <w:r w:rsidRPr="00814661">
        <w:rPr>
          <w:rFonts w:ascii="Arial" w:eastAsia="SimSun" w:hAnsi="Arial" w:cs="Arial"/>
          <w:sz w:val="22"/>
          <w:szCs w:val="22"/>
        </w:rPr>
        <w:t>,</w:t>
      </w:r>
    </w:p>
    <w:p w14:paraId="4B08750E" w14:textId="6F331D23" w:rsidR="00814661" w:rsidRPr="00814661" w:rsidRDefault="00814661" w:rsidP="00771F30">
      <w:pPr>
        <w:numPr>
          <w:ilvl w:val="0"/>
          <w:numId w:val="54"/>
        </w:numPr>
        <w:autoSpaceDE w:val="0"/>
        <w:autoSpaceDN w:val="0"/>
        <w:adjustRightInd w:val="0"/>
        <w:spacing w:after="120"/>
        <w:ind w:left="567" w:hanging="567"/>
        <w:jc w:val="both"/>
        <w:rPr>
          <w:rFonts w:ascii="Arial" w:eastAsia="SimSun" w:hAnsi="Arial" w:cs="Arial"/>
          <w:sz w:val="22"/>
          <w:szCs w:val="22"/>
          <w:u w:val="single"/>
        </w:rPr>
      </w:pPr>
      <w:r w:rsidRPr="00814661">
        <w:rPr>
          <w:rFonts w:ascii="Arial" w:eastAsia="SimSun" w:hAnsi="Arial" w:cs="Arial"/>
          <w:sz w:val="22"/>
          <w:szCs w:val="22"/>
          <w:u w:val="single"/>
        </w:rPr>
        <w:t>Rappelant</w:t>
      </w:r>
      <w:r w:rsidRPr="00814661">
        <w:rPr>
          <w:rFonts w:ascii="Arial" w:eastAsia="SimSun" w:hAnsi="Arial" w:cs="Arial"/>
          <w:sz w:val="22"/>
          <w:szCs w:val="22"/>
        </w:rPr>
        <w:t xml:space="preserve"> les </w:t>
      </w:r>
      <w:hyperlink r:id="rId79" w:history="1">
        <w:r w:rsidRPr="00814661">
          <w:rPr>
            <w:rFonts w:ascii="Arial" w:eastAsia="SimSun" w:hAnsi="Arial" w:cs="Arial"/>
            <w:color w:val="0000FF" w:themeColor="hyperlink"/>
            <w:sz w:val="22"/>
            <w:szCs w:val="22"/>
            <w:u w:val="single"/>
          </w:rPr>
          <w:t>décisions 12.COM 14</w:t>
        </w:r>
      </w:hyperlink>
      <w:r w:rsidRPr="00814661">
        <w:rPr>
          <w:rFonts w:ascii="Arial" w:eastAsia="SimSun" w:hAnsi="Arial" w:cs="Arial"/>
          <w:sz w:val="22"/>
          <w:szCs w:val="22"/>
        </w:rPr>
        <w:t xml:space="preserve">, </w:t>
      </w:r>
      <w:hyperlink r:id="rId80" w:history="1">
        <w:r w:rsidRPr="00814661">
          <w:rPr>
            <w:rFonts w:ascii="Arial" w:eastAsia="SimSun" w:hAnsi="Arial" w:cs="Arial"/>
            <w:color w:val="0000FF" w:themeColor="hyperlink"/>
            <w:sz w:val="22"/>
            <w:szCs w:val="22"/>
            <w:u w:val="single"/>
          </w:rPr>
          <w:t>13.COM 10</w:t>
        </w:r>
      </w:hyperlink>
      <w:r w:rsidR="00373FB0">
        <w:rPr>
          <w:rFonts w:ascii="Arial" w:eastAsia="SimSun" w:hAnsi="Arial" w:cs="Arial"/>
          <w:sz w:val="22"/>
          <w:szCs w:val="22"/>
        </w:rPr>
        <w:t>,</w:t>
      </w:r>
      <w:hyperlink r:id="rId81" w:history="1">
        <w:r w:rsidRPr="00814661">
          <w:rPr>
            <w:rFonts w:ascii="Arial" w:eastAsia="SimSun" w:hAnsi="Arial" w:cs="Arial"/>
            <w:color w:val="0000FF" w:themeColor="hyperlink"/>
            <w:sz w:val="22"/>
            <w:szCs w:val="22"/>
            <w:u w:val="single"/>
          </w:rPr>
          <w:t>13.COM 6</w:t>
        </w:r>
      </w:hyperlink>
      <w:r w:rsidR="00373FB0">
        <w:rPr>
          <w:rFonts w:ascii="Arial" w:eastAsia="SimSun" w:hAnsi="Arial" w:cs="Arial"/>
          <w:color w:val="0000FF" w:themeColor="hyperlink"/>
          <w:sz w:val="22"/>
          <w:szCs w:val="22"/>
          <w:u w:val="single"/>
        </w:rPr>
        <w:t xml:space="preserve"> </w:t>
      </w:r>
      <w:r w:rsidR="00373FB0" w:rsidRPr="00F81092">
        <w:rPr>
          <w:rFonts w:ascii="Arial" w:eastAsia="SimSun" w:hAnsi="Arial" w:cs="Arial"/>
          <w:sz w:val="22"/>
          <w:szCs w:val="22"/>
        </w:rPr>
        <w:t xml:space="preserve">et </w:t>
      </w:r>
      <w:hyperlink r:id="rId82" w:history="1">
        <w:r w:rsidR="00373FB0" w:rsidRPr="00F81092">
          <w:rPr>
            <w:rStyle w:val="Hyperlink"/>
            <w:rFonts w:ascii="Arial" w:eastAsia="SimSun" w:hAnsi="Arial" w:cs="Arial"/>
            <w:sz w:val="22"/>
            <w:szCs w:val="22"/>
          </w:rPr>
          <w:t>14.COM 12</w:t>
        </w:r>
      </w:hyperlink>
      <w:r w:rsidRPr="00814661">
        <w:rPr>
          <w:rFonts w:ascii="Arial" w:eastAsia="SimSun" w:hAnsi="Arial" w:cs="Arial"/>
          <w:sz w:val="22"/>
          <w:szCs w:val="22"/>
        </w:rPr>
        <w:t>,</w:t>
      </w:r>
    </w:p>
    <w:p w14:paraId="1E7F6A43" w14:textId="319DE14B" w:rsidR="00814661" w:rsidRPr="00814661" w:rsidRDefault="00814661" w:rsidP="00771F30">
      <w:pPr>
        <w:numPr>
          <w:ilvl w:val="0"/>
          <w:numId w:val="54"/>
        </w:numPr>
        <w:autoSpaceDE w:val="0"/>
        <w:autoSpaceDN w:val="0"/>
        <w:adjustRightInd w:val="0"/>
        <w:spacing w:after="120"/>
        <w:ind w:left="567" w:hanging="567"/>
        <w:jc w:val="both"/>
        <w:rPr>
          <w:rFonts w:ascii="Arial" w:eastAsia="SimSun" w:hAnsi="Arial" w:cs="Arial"/>
          <w:sz w:val="22"/>
          <w:szCs w:val="22"/>
          <w:u w:val="single"/>
        </w:rPr>
      </w:pPr>
      <w:r w:rsidRPr="00814661">
        <w:rPr>
          <w:rFonts w:ascii="Arial" w:eastAsia="SimSun" w:hAnsi="Arial" w:cs="Arial"/>
          <w:sz w:val="22"/>
          <w:szCs w:val="22"/>
          <w:u w:val="single"/>
        </w:rPr>
        <w:t>Rappelant en outre</w:t>
      </w:r>
      <w:r w:rsidRPr="00814661">
        <w:rPr>
          <w:rFonts w:ascii="Arial" w:eastAsia="SimSun" w:hAnsi="Arial" w:cs="Arial"/>
          <w:sz w:val="22"/>
          <w:szCs w:val="22"/>
        </w:rPr>
        <w:t xml:space="preserve"> les </w:t>
      </w:r>
      <w:hyperlink r:id="rId83" w:history="1">
        <w:r w:rsidRPr="00814661">
          <w:rPr>
            <w:rFonts w:ascii="Arial" w:eastAsia="SimSun" w:hAnsi="Arial" w:cs="Arial"/>
            <w:color w:val="0000FF" w:themeColor="hyperlink"/>
            <w:sz w:val="22"/>
            <w:szCs w:val="22"/>
            <w:u w:val="single"/>
          </w:rPr>
          <w:t>documents ITH/17/12.COM/14</w:t>
        </w:r>
      </w:hyperlink>
      <w:r w:rsidRPr="00814661">
        <w:rPr>
          <w:rFonts w:ascii="Arial" w:eastAsia="SimSun" w:hAnsi="Arial" w:cs="Arial"/>
          <w:sz w:val="22"/>
          <w:szCs w:val="22"/>
        </w:rPr>
        <w:t xml:space="preserve">, </w:t>
      </w:r>
      <w:hyperlink r:id="rId84" w:history="1">
        <w:r w:rsidRPr="00814661">
          <w:rPr>
            <w:rFonts w:ascii="Arial" w:eastAsia="SimSun" w:hAnsi="Arial" w:cs="Arial"/>
            <w:color w:val="0000FF" w:themeColor="hyperlink"/>
            <w:sz w:val="22"/>
            <w:szCs w:val="22"/>
            <w:u w:val="single"/>
          </w:rPr>
          <w:t>LHE/19/14.COM/5.b</w:t>
        </w:r>
      </w:hyperlink>
      <w:r w:rsidRPr="00814661">
        <w:rPr>
          <w:rFonts w:ascii="Arial" w:eastAsia="SimSun" w:hAnsi="Arial" w:cs="Arial"/>
          <w:sz w:val="22"/>
          <w:szCs w:val="22"/>
        </w:rPr>
        <w:t xml:space="preserve">, </w:t>
      </w:r>
      <w:hyperlink r:id="rId85" w:history="1">
        <w:r w:rsidRPr="00814661">
          <w:rPr>
            <w:rFonts w:ascii="Arial" w:eastAsia="SimSun" w:hAnsi="Arial" w:cs="Arial"/>
            <w:color w:val="0000FF" w:themeColor="hyperlink"/>
            <w:sz w:val="22"/>
            <w:szCs w:val="22"/>
            <w:u w:val="single"/>
          </w:rPr>
          <w:t>LHE/19/14.COM/10</w:t>
        </w:r>
      </w:hyperlink>
      <w:r w:rsidRPr="00814661">
        <w:rPr>
          <w:rFonts w:ascii="Arial" w:eastAsia="SimSun" w:hAnsi="Arial" w:cs="Arial"/>
          <w:sz w:val="22"/>
          <w:szCs w:val="22"/>
          <w:lang w:eastAsia="ja-JP"/>
        </w:rPr>
        <w:t xml:space="preserve"> et </w:t>
      </w:r>
      <w:hyperlink r:id="rId86" w:history="1">
        <w:r w:rsidR="00F7202F" w:rsidRPr="00F7202F">
          <w:rPr>
            <w:rStyle w:val="Hyperlink"/>
            <w:rFonts w:ascii="Arial" w:eastAsia="SimSun" w:hAnsi="Arial" w:cs="Arial"/>
            <w:sz w:val="22"/>
            <w:szCs w:val="22"/>
            <w:lang w:eastAsia="ja-JP"/>
          </w:rPr>
          <w:t>LHE/19/14.COM/12 Add.</w:t>
        </w:r>
      </w:hyperlink>
      <w:r w:rsidRPr="00814661">
        <w:rPr>
          <w:rFonts w:ascii="Arial" w:eastAsia="SimSun" w:hAnsi="Arial" w:cs="Arial"/>
          <w:sz w:val="22"/>
          <w:szCs w:val="22"/>
        </w:rPr>
        <w:t>,</w:t>
      </w:r>
    </w:p>
    <w:p w14:paraId="191C4D75" w14:textId="77777777" w:rsidR="00814661" w:rsidRPr="00814661" w:rsidRDefault="00814661" w:rsidP="00771F30">
      <w:pPr>
        <w:numPr>
          <w:ilvl w:val="0"/>
          <w:numId w:val="54"/>
        </w:numPr>
        <w:autoSpaceDE w:val="0"/>
        <w:autoSpaceDN w:val="0"/>
        <w:adjustRightInd w:val="0"/>
        <w:spacing w:after="120"/>
        <w:ind w:left="567" w:hanging="567"/>
        <w:jc w:val="both"/>
        <w:rPr>
          <w:rFonts w:ascii="Arial" w:eastAsia="SimSun" w:hAnsi="Arial" w:cs="Arial"/>
          <w:sz w:val="22"/>
          <w:szCs w:val="22"/>
          <w:u w:val="single"/>
        </w:rPr>
      </w:pPr>
      <w:r w:rsidRPr="00814661">
        <w:rPr>
          <w:rFonts w:ascii="Arial" w:eastAsia="SimSun" w:hAnsi="Arial" w:cs="Arial"/>
          <w:sz w:val="22"/>
          <w:szCs w:val="22"/>
          <w:u w:val="single"/>
        </w:rPr>
        <w:t>Rappelant également</w:t>
      </w:r>
      <w:r w:rsidRPr="00814661">
        <w:rPr>
          <w:rFonts w:ascii="Arial" w:eastAsia="SimSun" w:hAnsi="Arial" w:cs="Arial"/>
          <w:sz w:val="22"/>
          <w:szCs w:val="22"/>
        </w:rPr>
        <w:t> le chapitre I.15 des Directives opérationnelles,</w:t>
      </w:r>
    </w:p>
    <w:p w14:paraId="6DD42F0F" w14:textId="6ADA9BE3" w:rsidR="00814661" w:rsidRPr="00814661" w:rsidRDefault="00814661" w:rsidP="00771F30">
      <w:pPr>
        <w:numPr>
          <w:ilvl w:val="0"/>
          <w:numId w:val="54"/>
        </w:numPr>
        <w:autoSpaceDE w:val="0"/>
        <w:autoSpaceDN w:val="0"/>
        <w:adjustRightInd w:val="0"/>
        <w:spacing w:after="120"/>
        <w:ind w:left="567" w:hanging="567"/>
        <w:jc w:val="both"/>
        <w:rPr>
          <w:rFonts w:ascii="Arial" w:eastAsia="SimSun" w:hAnsi="Arial" w:cs="Arial"/>
          <w:sz w:val="22"/>
          <w:szCs w:val="22"/>
          <w:u w:val="single"/>
        </w:rPr>
      </w:pPr>
      <w:r w:rsidRPr="00814661">
        <w:rPr>
          <w:rFonts w:ascii="Arial" w:eastAsia="SimSun" w:hAnsi="Arial" w:cs="Arial"/>
          <w:sz w:val="22"/>
          <w:szCs w:val="22"/>
          <w:u w:val="single"/>
        </w:rPr>
        <w:t>Réaffirme</w:t>
      </w:r>
      <w:r w:rsidRPr="00814661">
        <w:rPr>
          <w:rFonts w:ascii="Arial" w:eastAsia="SimSun" w:hAnsi="Arial" w:cs="Arial"/>
          <w:sz w:val="22"/>
          <w:szCs w:val="22"/>
        </w:rPr>
        <w:t xml:space="preserve"> </w:t>
      </w:r>
      <w:r w:rsidR="00373FB0">
        <w:rPr>
          <w:rFonts w:ascii="Arial" w:eastAsia="SimSun" w:hAnsi="Arial" w:cs="Arial"/>
          <w:sz w:val="22"/>
          <w:szCs w:val="22"/>
        </w:rPr>
        <w:t xml:space="preserve">l’urgente </w:t>
      </w:r>
      <w:r w:rsidRPr="00814661">
        <w:rPr>
          <w:rFonts w:ascii="Arial" w:eastAsia="SimSun" w:hAnsi="Arial" w:cs="Arial"/>
          <w:sz w:val="22"/>
          <w:szCs w:val="22"/>
        </w:rPr>
        <w:t>nécessité</w:t>
      </w:r>
      <w:r w:rsidR="00373FB0">
        <w:rPr>
          <w:rFonts w:ascii="Arial" w:eastAsia="SimSun" w:hAnsi="Arial" w:cs="Arial"/>
          <w:sz w:val="22"/>
          <w:szCs w:val="22"/>
        </w:rPr>
        <w:t xml:space="preserve">, compte tenu des </w:t>
      </w:r>
      <w:r w:rsidR="00434DEC">
        <w:rPr>
          <w:rFonts w:ascii="Arial" w:eastAsia="SimSun" w:hAnsi="Arial" w:cs="Arial"/>
          <w:sz w:val="22"/>
          <w:szCs w:val="22"/>
        </w:rPr>
        <w:t>développements</w:t>
      </w:r>
      <w:r w:rsidR="00373FB0">
        <w:rPr>
          <w:rFonts w:ascii="Arial" w:eastAsia="SimSun" w:hAnsi="Arial" w:cs="Arial"/>
          <w:sz w:val="22"/>
          <w:szCs w:val="22"/>
        </w:rPr>
        <w:t xml:space="preserve"> récents et des décisions du Comité, </w:t>
      </w:r>
      <w:r w:rsidRPr="00814661">
        <w:rPr>
          <w:rFonts w:ascii="Arial" w:eastAsia="SimSun" w:hAnsi="Arial" w:cs="Arial"/>
          <w:sz w:val="22"/>
          <w:szCs w:val="22"/>
        </w:rPr>
        <w:t>de mener une réflexion globale sur les mécanismes d</w:t>
      </w:r>
      <w:r w:rsidR="009C104E">
        <w:rPr>
          <w:rFonts w:ascii="Arial" w:eastAsia="SimSun" w:hAnsi="Arial" w:cs="Arial"/>
          <w:sz w:val="22"/>
          <w:szCs w:val="22"/>
        </w:rPr>
        <w:t>’</w:t>
      </w:r>
      <w:r w:rsidRPr="00814661">
        <w:rPr>
          <w:rFonts w:ascii="Arial" w:eastAsia="SimSun" w:hAnsi="Arial" w:cs="Arial"/>
          <w:sz w:val="22"/>
          <w:szCs w:val="22"/>
        </w:rPr>
        <w:t>inscription sur les listes de la Convention ;</w:t>
      </w:r>
    </w:p>
    <w:p w14:paraId="001E3D14" w14:textId="0BDD634D" w:rsidR="00814661" w:rsidRPr="00814661" w:rsidRDefault="00814661" w:rsidP="00771F30">
      <w:pPr>
        <w:numPr>
          <w:ilvl w:val="0"/>
          <w:numId w:val="54"/>
        </w:numPr>
        <w:autoSpaceDE w:val="0"/>
        <w:autoSpaceDN w:val="0"/>
        <w:adjustRightInd w:val="0"/>
        <w:spacing w:after="120"/>
        <w:ind w:left="567" w:hanging="567"/>
        <w:jc w:val="both"/>
        <w:rPr>
          <w:rFonts w:ascii="Arial" w:eastAsia="SimSun" w:hAnsi="Arial" w:cs="Arial"/>
          <w:sz w:val="22"/>
          <w:szCs w:val="22"/>
          <w:u w:val="single"/>
        </w:rPr>
      </w:pPr>
      <w:r w:rsidRPr="00814661">
        <w:rPr>
          <w:rFonts w:ascii="Arial" w:eastAsia="SimSun" w:hAnsi="Arial" w:cs="Arial"/>
          <w:sz w:val="22"/>
          <w:szCs w:val="22"/>
          <w:u w:val="single"/>
        </w:rPr>
        <w:t>Renouvelle sa gratitude</w:t>
      </w:r>
      <w:r w:rsidRPr="00814661">
        <w:rPr>
          <w:rFonts w:ascii="Arial" w:eastAsia="SimSun" w:hAnsi="Arial" w:cs="Arial"/>
          <w:sz w:val="22"/>
          <w:szCs w:val="22"/>
        </w:rPr>
        <w:t xml:space="preserve"> envers le gouvernement du Japon pour sa contribution au soutien de la réflexion globale sur les mécanismes d</w:t>
      </w:r>
      <w:r w:rsidR="009C104E">
        <w:rPr>
          <w:rFonts w:ascii="Arial" w:eastAsia="SimSun" w:hAnsi="Arial" w:cs="Arial"/>
          <w:sz w:val="22"/>
          <w:szCs w:val="22"/>
        </w:rPr>
        <w:t>’</w:t>
      </w:r>
      <w:r w:rsidRPr="00814661">
        <w:rPr>
          <w:rFonts w:ascii="Arial" w:eastAsia="SimSun" w:hAnsi="Arial" w:cs="Arial"/>
          <w:sz w:val="22"/>
          <w:szCs w:val="22"/>
        </w:rPr>
        <w:t>inscription sur les listes de la Convention ;</w:t>
      </w:r>
    </w:p>
    <w:p w14:paraId="2319C7AA" w14:textId="1B9628C6" w:rsidR="00814661" w:rsidRDefault="00814661" w:rsidP="00771F30">
      <w:pPr>
        <w:numPr>
          <w:ilvl w:val="0"/>
          <w:numId w:val="54"/>
        </w:numPr>
        <w:autoSpaceDE w:val="0"/>
        <w:autoSpaceDN w:val="0"/>
        <w:adjustRightInd w:val="0"/>
        <w:spacing w:after="120"/>
        <w:ind w:left="567" w:hanging="567"/>
        <w:jc w:val="both"/>
        <w:rPr>
          <w:rFonts w:ascii="Arial" w:eastAsia="SimSun" w:hAnsi="Arial" w:cs="Arial"/>
          <w:sz w:val="22"/>
          <w:szCs w:val="22"/>
        </w:rPr>
      </w:pPr>
      <w:r w:rsidRPr="00814661">
        <w:rPr>
          <w:rFonts w:ascii="Arial" w:eastAsia="SimSun" w:hAnsi="Arial" w:cs="Arial"/>
          <w:sz w:val="22"/>
          <w:szCs w:val="22"/>
          <w:u w:val="single"/>
        </w:rPr>
        <w:t>Prend note</w:t>
      </w:r>
      <w:r w:rsidRPr="00814661">
        <w:rPr>
          <w:rFonts w:ascii="Arial" w:eastAsia="SimSun" w:hAnsi="Arial" w:cs="Arial"/>
          <w:sz w:val="22"/>
          <w:szCs w:val="22"/>
        </w:rPr>
        <w:t xml:space="preserve"> du calendrier provisoire pour la réflexion sur les mécanismes liés à l</w:t>
      </w:r>
      <w:r w:rsidR="009C104E">
        <w:rPr>
          <w:rFonts w:ascii="Arial" w:eastAsia="SimSun" w:hAnsi="Arial" w:cs="Arial"/>
          <w:sz w:val="22"/>
          <w:szCs w:val="22"/>
        </w:rPr>
        <w:t>’</w:t>
      </w:r>
      <w:r w:rsidRPr="00814661">
        <w:rPr>
          <w:rFonts w:ascii="Arial" w:eastAsia="SimSun" w:hAnsi="Arial" w:cs="Arial"/>
          <w:sz w:val="22"/>
          <w:szCs w:val="22"/>
        </w:rPr>
        <w:t>inscription sur les listes de la Convention de 2003, tel qu</w:t>
      </w:r>
      <w:r w:rsidR="009C104E">
        <w:rPr>
          <w:rFonts w:ascii="Arial" w:eastAsia="SimSun" w:hAnsi="Arial" w:cs="Arial"/>
          <w:sz w:val="22"/>
          <w:szCs w:val="22"/>
        </w:rPr>
        <w:t>’</w:t>
      </w:r>
      <w:r w:rsidRPr="00814661">
        <w:rPr>
          <w:rFonts w:ascii="Arial" w:eastAsia="SimSun" w:hAnsi="Arial" w:cs="Arial"/>
          <w:sz w:val="22"/>
          <w:szCs w:val="22"/>
        </w:rPr>
        <w:t>il figure à l</w:t>
      </w:r>
      <w:r w:rsidR="009C104E">
        <w:rPr>
          <w:rFonts w:ascii="Arial" w:eastAsia="SimSun" w:hAnsi="Arial" w:cs="Arial"/>
          <w:sz w:val="22"/>
          <w:szCs w:val="22"/>
        </w:rPr>
        <w:t>’</w:t>
      </w:r>
      <w:r w:rsidRPr="00814661">
        <w:rPr>
          <w:rFonts w:ascii="Arial" w:eastAsia="SimSun" w:hAnsi="Arial" w:cs="Arial"/>
          <w:sz w:val="22"/>
          <w:szCs w:val="22"/>
        </w:rPr>
        <w:t>annexe I du présent document ;</w:t>
      </w:r>
    </w:p>
    <w:p w14:paraId="6AA70513" w14:textId="6BAA588D" w:rsidR="00373FB0" w:rsidRPr="00F81092" w:rsidRDefault="00373FB0" w:rsidP="00771F30">
      <w:pPr>
        <w:numPr>
          <w:ilvl w:val="0"/>
          <w:numId w:val="54"/>
        </w:numPr>
        <w:autoSpaceDE w:val="0"/>
        <w:autoSpaceDN w:val="0"/>
        <w:adjustRightInd w:val="0"/>
        <w:spacing w:after="120"/>
        <w:ind w:left="567" w:hanging="567"/>
        <w:jc w:val="both"/>
        <w:rPr>
          <w:rFonts w:ascii="Arial" w:eastAsia="SimSun" w:hAnsi="Arial" w:cs="Arial"/>
          <w:sz w:val="22"/>
          <w:szCs w:val="22"/>
        </w:rPr>
      </w:pPr>
      <w:r w:rsidRPr="00B932EA">
        <w:rPr>
          <w:rFonts w:ascii="Arial" w:hAnsi="Arial" w:cs="Arial"/>
          <w:sz w:val="22"/>
          <w:szCs w:val="22"/>
          <w:u w:val="single"/>
        </w:rPr>
        <w:t>Demande</w:t>
      </w:r>
      <w:r w:rsidRPr="00F81092">
        <w:rPr>
          <w:rFonts w:ascii="Arial" w:hAnsi="Arial" w:cs="Arial"/>
          <w:sz w:val="22"/>
          <w:szCs w:val="22"/>
        </w:rPr>
        <w:t xml:space="preserve"> que, outre les experts qui seront invités en tant que participants principaux, le Secrétariat rende la réunion d’experts qui se tiendra en mars 2020 accessible à d’autres experts d’États parties en tant qu’observateurs, dans la limite de l’espace disponible ;</w:t>
      </w:r>
    </w:p>
    <w:p w14:paraId="0113FF21" w14:textId="3AFAF6B9" w:rsidR="00373FB0" w:rsidRPr="00373FB0" w:rsidRDefault="00373FB0" w:rsidP="00771F30">
      <w:pPr>
        <w:numPr>
          <w:ilvl w:val="0"/>
          <w:numId w:val="54"/>
        </w:numPr>
        <w:autoSpaceDE w:val="0"/>
        <w:autoSpaceDN w:val="0"/>
        <w:adjustRightInd w:val="0"/>
        <w:spacing w:after="120"/>
        <w:ind w:left="567" w:hanging="567"/>
        <w:jc w:val="both"/>
        <w:rPr>
          <w:rFonts w:ascii="Arial" w:eastAsia="SimSun" w:hAnsi="Arial" w:cs="Arial"/>
          <w:sz w:val="22"/>
          <w:szCs w:val="22"/>
        </w:rPr>
      </w:pPr>
      <w:r w:rsidRPr="00F81092">
        <w:rPr>
          <w:rStyle w:val="Hyperlink"/>
          <w:rFonts w:ascii="Arial" w:hAnsi="Arial" w:cs="Arial"/>
          <w:color w:val="auto"/>
          <w:sz w:val="22"/>
          <w:szCs w:val="22"/>
        </w:rPr>
        <w:t>Invite</w:t>
      </w:r>
      <w:r w:rsidRPr="00F81092">
        <w:rPr>
          <w:rStyle w:val="Hyperlink"/>
          <w:rFonts w:ascii="Arial" w:hAnsi="Arial" w:cs="Arial"/>
          <w:color w:val="auto"/>
          <w:sz w:val="22"/>
          <w:szCs w:val="22"/>
          <w:u w:val="none"/>
        </w:rPr>
        <w:t xml:space="preserve"> la réunion préliminaire d’experts à prendre en compte le débat du Comité sur ce point ; </w:t>
      </w:r>
    </w:p>
    <w:p w14:paraId="2F0D7C5C" w14:textId="48D7ECB3" w:rsidR="00814661" w:rsidRPr="00373FB0" w:rsidRDefault="00814661" w:rsidP="00771F30">
      <w:pPr>
        <w:numPr>
          <w:ilvl w:val="0"/>
          <w:numId w:val="54"/>
        </w:numPr>
        <w:autoSpaceDE w:val="0"/>
        <w:autoSpaceDN w:val="0"/>
        <w:adjustRightInd w:val="0"/>
        <w:spacing w:after="120"/>
        <w:ind w:left="567" w:hanging="567"/>
        <w:jc w:val="both"/>
        <w:rPr>
          <w:rFonts w:ascii="Arial" w:eastAsia="SimSun" w:hAnsi="Arial" w:cs="Arial"/>
          <w:sz w:val="22"/>
          <w:szCs w:val="22"/>
        </w:rPr>
      </w:pPr>
      <w:r w:rsidRPr="00373FB0">
        <w:rPr>
          <w:rFonts w:ascii="Arial" w:eastAsia="SimSun" w:hAnsi="Arial" w:cs="Arial"/>
          <w:sz w:val="22"/>
          <w:szCs w:val="22"/>
          <w:u w:val="single"/>
        </w:rPr>
        <w:t>Prie</w:t>
      </w:r>
      <w:r w:rsidRPr="00373FB0">
        <w:rPr>
          <w:rFonts w:ascii="Arial" w:eastAsia="SimSun" w:hAnsi="Arial" w:cs="Arial"/>
          <w:sz w:val="22"/>
          <w:szCs w:val="22"/>
        </w:rPr>
        <w:t xml:space="preserve"> le Secrétariat de rendre compte à la huitième session de l</w:t>
      </w:r>
      <w:r w:rsidR="009C104E" w:rsidRPr="00373FB0">
        <w:rPr>
          <w:rFonts w:ascii="Arial" w:eastAsia="SimSun" w:hAnsi="Arial" w:cs="Arial"/>
          <w:sz w:val="22"/>
          <w:szCs w:val="22"/>
        </w:rPr>
        <w:t>’</w:t>
      </w:r>
      <w:r w:rsidRPr="00373FB0">
        <w:rPr>
          <w:rFonts w:ascii="Arial" w:eastAsia="SimSun" w:hAnsi="Arial" w:cs="Arial"/>
          <w:sz w:val="22"/>
          <w:szCs w:val="22"/>
        </w:rPr>
        <w:t>Assemblée générale et à la quinzième session du Comité des résultats de la réunion d</w:t>
      </w:r>
      <w:r w:rsidR="009C104E" w:rsidRPr="00373FB0">
        <w:rPr>
          <w:rFonts w:ascii="Arial" w:eastAsia="SimSun" w:hAnsi="Arial" w:cs="Arial"/>
          <w:sz w:val="22"/>
          <w:szCs w:val="22"/>
        </w:rPr>
        <w:t>’</w:t>
      </w:r>
      <w:r w:rsidRPr="00373FB0">
        <w:rPr>
          <w:rFonts w:ascii="Arial" w:eastAsia="SimSun" w:hAnsi="Arial" w:cs="Arial"/>
          <w:sz w:val="22"/>
          <w:szCs w:val="22"/>
        </w:rPr>
        <w:t>experts préliminaire de catégorie VI qui sera organisée au cours du premier semestre 2020, ainsi que de la « récolte précoce » ;</w:t>
      </w:r>
    </w:p>
    <w:p w14:paraId="1EA07289" w14:textId="30A7BCE7" w:rsidR="00373FB0" w:rsidRPr="00F81092" w:rsidRDefault="00373FB0" w:rsidP="00771F30">
      <w:pPr>
        <w:numPr>
          <w:ilvl w:val="0"/>
          <w:numId w:val="54"/>
        </w:numPr>
        <w:autoSpaceDE w:val="0"/>
        <w:autoSpaceDN w:val="0"/>
        <w:adjustRightInd w:val="0"/>
        <w:spacing w:after="120"/>
        <w:ind w:left="567" w:hanging="567"/>
        <w:jc w:val="both"/>
        <w:rPr>
          <w:rStyle w:val="Hyperlink"/>
          <w:rFonts w:ascii="Arial" w:eastAsia="SimSun" w:hAnsi="Arial" w:cs="Arial"/>
          <w:color w:val="auto"/>
          <w:sz w:val="22"/>
          <w:szCs w:val="22"/>
          <w:u w:val="none"/>
        </w:rPr>
      </w:pPr>
      <w:r w:rsidRPr="00F81092">
        <w:rPr>
          <w:rStyle w:val="Hyperlink"/>
          <w:rFonts w:ascii="Arial" w:hAnsi="Arial" w:cs="Arial"/>
          <w:color w:val="auto"/>
          <w:sz w:val="22"/>
          <w:szCs w:val="22"/>
        </w:rPr>
        <w:t>Souligne</w:t>
      </w:r>
      <w:r w:rsidRPr="00F81092">
        <w:rPr>
          <w:rStyle w:val="Hyperlink"/>
          <w:rFonts w:ascii="Arial" w:hAnsi="Arial" w:cs="Arial"/>
          <w:color w:val="auto"/>
          <w:sz w:val="22"/>
          <w:szCs w:val="22"/>
          <w:u w:val="none"/>
        </w:rPr>
        <w:t xml:space="preserve"> qu’une révision des Directives opérationnelles est nécessaire afin d’établir des procédures et critères clairs et spécifiques pour le retrait d’un élément d’une liste et le transfert d’un élément d’une liste à une autre ;</w:t>
      </w:r>
    </w:p>
    <w:p w14:paraId="2E06AB55" w14:textId="13F0E564" w:rsidR="00373FB0" w:rsidRPr="00F81092" w:rsidRDefault="00373FB0" w:rsidP="00771F30">
      <w:pPr>
        <w:numPr>
          <w:ilvl w:val="0"/>
          <w:numId w:val="54"/>
        </w:numPr>
        <w:autoSpaceDE w:val="0"/>
        <w:autoSpaceDN w:val="0"/>
        <w:adjustRightInd w:val="0"/>
        <w:spacing w:after="120"/>
        <w:ind w:left="567" w:hanging="567"/>
        <w:jc w:val="both"/>
        <w:rPr>
          <w:rStyle w:val="Hyperlink"/>
          <w:rFonts w:ascii="Arial" w:eastAsia="SimSun" w:hAnsi="Arial" w:cs="Arial"/>
          <w:color w:val="auto"/>
          <w:sz w:val="22"/>
          <w:szCs w:val="22"/>
          <w:u w:val="none"/>
        </w:rPr>
      </w:pPr>
      <w:r w:rsidRPr="00DF693C">
        <w:rPr>
          <w:rStyle w:val="Hyperlink"/>
          <w:rFonts w:ascii="Arial" w:hAnsi="Arial" w:cs="Arial"/>
          <w:color w:val="auto"/>
          <w:sz w:val="22"/>
          <w:szCs w:val="22"/>
        </w:rPr>
        <w:t xml:space="preserve">Souligne </w:t>
      </w:r>
      <w:r w:rsidRPr="00B932EA">
        <w:rPr>
          <w:rStyle w:val="Hyperlink"/>
          <w:rFonts w:ascii="Arial" w:hAnsi="Arial" w:cs="Arial"/>
          <w:color w:val="auto"/>
          <w:sz w:val="22"/>
          <w:szCs w:val="22"/>
        </w:rPr>
        <w:t>également</w:t>
      </w:r>
      <w:r w:rsidRPr="00F81092">
        <w:rPr>
          <w:rStyle w:val="Hyperlink"/>
          <w:rFonts w:ascii="Arial" w:hAnsi="Arial" w:cs="Arial"/>
          <w:color w:val="auto"/>
          <w:sz w:val="22"/>
          <w:szCs w:val="22"/>
          <w:u w:val="none"/>
        </w:rPr>
        <w:t xml:space="preserve"> le besoin d’examiner de possibles révisions du critère R.2, prenant en compte les défis récurrents rencontrés par les communautés, les États parties et l’Organe d’évaluation avec ce critère ;</w:t>
      </w:r>
    </w:p>
    <w:p w14:paraId="1B9CEF58" w14:textId="48622F66" w:rsidR="00373FB0" w:rsidRPr="00373FB0" w:rsidRDefault="0074046D" w:rsidP="00771F30">
      <w:pPr>
        <w:numPr>
          <w:ilvl w:val="0"/>
          <w:numId w:val="54"/>
        </w:numPr>
        <w:autoSpaceDE w:val="0"/>
        <w:autoSpaceDN w:val="0"/>
        <w:adjustRightInd w:val="0"/>
        <w:spacing w:after="120"/>
        <w:ind w:left="567" w:hanging="567"/>
        <w:jc w:val="both"/>
        <w:rPr>
          <w:rFonts w:ascii="Arial" w:eastAsia="SimSun" w:hAnsi="Arial" w:cs="Arial"/>
          <w:sz w:val="22"/>
          <w:szCs w:val="22"/>
        </w:rPr>
      </w:pPr>
      <w:r w:rsidRPr="00F81092">
        <w:rPr>
          <w:rStyle w:val="Hyperlink"/>
          <w:rFonts w:ascii="Arial" w:hAnsi="Arial" w:cs="Arial"/>
          <w:color w:val="auto"/>
          <w:sz w:val="22"/>
          <w:szCs w:val="22"/>
        </w:rPr>
        <w:t>Reconna</w:t>
      </w:r>
      <w:r>
        <w:rPr>
          <w:rStyle w:val="Hyperlink"/>
          <w:rFonts w:ascii="Arial" w:hAnsi="Arial" w:cs="Arial"/>
          <w:color w:val="auto"/>
          <w:sz w:val="22"/>
          <w:szCs w:val="22"/>
        </w:rPr>
        <w:t>î</w:t>
      </w:r>
      <w:r w:rsidRPr="00F81092">
        <w:rPr>
          <w:rStyle w:val="Hyperlink"/>
          <w:rFonts w:ascii="Arial" w:hAnsi="Arial" w:cs="Arial"/>
          <w:color w:val="auto"/>
          <w:sz w:val="22"/>
          <w:szCs w:val="22"/>
        </w:rPr>
        <w:t>t</w:t>
      </w:r>
      <w:r w:rsidRPr="00F81092">
        <w:rPr>
          <w:rStyle w:val="Hyperlink"/>
          <w:rFonts w:ascii="Arial" w:hAnsi="Arial" w:cs="Arial"/>
          <w:color w:val="auto"/>
          <w:sz w:val="22"/>
          <w:szCs w:val="22"/>
          <w:u w:val="none"/>
        </w:rPr>
        <w:t xml:space="preserve"> </w:t>
      </w:r>
      <w:r w:rsidR="00373FB0" w:rsidRPr="00F81092">
        <w:rPr>
          <w:rStyle w:val="Hyperlink"/>
          <w:rFonts w:ascii="Arial" w:hAnsi="Arial" w:cs="Arial"/>
          <w:color w:val="auto"/>
          <w:sz w:val="22"/>
          <w:szCs w:val="22"/>
          <w:u w:val="none"/>
        </w:rPr>
        <w:t xml:space="preserve">le besoin d’entreprendre une réflexion sur les manières dont le processus d’extension des éléments multinationaux à de nouveaux États parties pourrait possiblement être simplifié et </w:t>
      </w:r>
      <w:r w:rsidR="00373FB0" w:rsidRPr="00F81092">
        <w:rPr>
          <w:rStyle w:val="Hyperlink"/>
          <w:rFonts w:ascii="Arial" w:hAnsi="Arial" w:cs="Arial"/>
          <w:color w:val="auto"/>
          <w:sz w:val="22"/>
          <w:szCs w:val="22"/>
        </w:rPr>
        <w:t>demande</w:t>
      </w:r>
      <w:r w:rsidR="00373FB0" w:rsidRPr="00F81092">
        <w:rPr>
          <w:rStyle w:val="Hyperlink"/>
          <w:rFonts w:ascii="Arial" w:hAnsi="Arial" w:cs="Arial"/>
          <w:color w:val="auto"/>
          <w:sz w:val="22"/>
          <w:szCs w:val="22"/>
          <w:u w:val="none"/>
        </w:rPr>
        <w:t xml:space="preserve"> au Secrétariat d’inclure ce point dans la réflexion globale sur les mécanismes d’inscription sur les listes ;</w:t>
      </w:r>
    </w:p>
    <w:p w14:paraId="33688EBE" w14:textId="4BB04C51" w:rsidR="00814661" w:rsidRPr="00373FB0" w:rsidRDefault="00814661" w:rsidP="00771F30">
      <w:pPr>
        <w:numPr>
          <w:ilvl w:val="0"/>
          <w:numId w:val="54"/>
        </w:numPr>
        <w:autoSpaceDE w:val="0"/>
        <w:autoSpaceDN w:val="0"/>
        <w:adjustRightInd w:val="0"/>
        <w:spacing w:after="120"/>
        <w:ind w:left="567" w:hanging="567"/>
        <w:jc w:val="both"/>
        <w:rPr>
          <w:rFonts w:ascii="Arial" w:eastAsia="SimSun" w:hAnsi="Arial" w:cs="Arial"/>
          <w:sz w:val="22"/>
          <w:szCs w:val="22"/>
        </w:rPr>
      </w:pPr>
      <w:r w:rsidRPr="00373FB0">
        <w:rPr>
          <w:rFonts w:ascii="Arial" w:eastAsia="SimSun" w:hAnsi="Arial" w:cs="Arial"/>
          <w:sz w:val="22"/>
          <w:szCs w:val="22"/>
          <w:u w:val="single"/>
        </w:rPr>
        <w:t>Prend note en outre</w:t>
      </w:r>
      <w:r w:rsidRPr="00373FB0">
        <w:rPr>
          <w:rFonts w:ascii="Arial" w:eastAsia="SimSun" w:hAnsi="Arial" w:cs="Arial"/>
          <w:sz w:val="22"/>
          <w:szCs w:val="22"/>
        </w:rPr>
        <w:t xml:space="preserve"> des quatre cas, tels qu</w:t>
      </w:r>
      <w:r w:rsidR="009C104E" w:rsidRPr="00373FB0">
        <w:rPr>
          <w:rFonts w:ascii="Arial" w:eastAsia="SimSun" w:hAnsi="Arial" w:cs="Arial"/>
          <w:sz w:val="22"/>
          <w:szCs w:val="22"/>
        </w:rPr>
        <w:t>’</w:t>
      </w:r>
      <w:r w:rsidRPr="00373FB0">
        <w:rPr>
          <w:rFonts w:ascii="Arial" w:eastAsia="SimSun" w:hAnsi="Arial" w:cs="Arial"/>
          <w:sz w:val="22"/>
          <w:szCs w:val="22"/>
        </w:rPr>
        <w:t>ils figurent à l</w:t>
      </w:r>
      <w:r w:rsidR="009C104E" w:rsidRPr="00373FB0">
        <w:rPr>
          <w:rFonts w:ascii="Arial" w:eastAsia="SimSun" w:hAnsi="Arial" w:cs="Arial"/>
          <w:sz w:val="22"/>
          <w:szCs w:val="22"/>
        </w:rPr>
        <w:t>’</w:t>
      </w:r>
      <w:r w:rsidRPr="00373FB0">
        <w:rPr>
          <w:rFonts w:ascii="Arial" w:eastAsia="SimSun" w:hAnsi="Arial" w:cs="Arial"/>
          <w:sz w:val="22"/>
          <w:szCs w:val="22"/>
        </w:rPr>
        <w:t>annexe II du présent document, qui ont fait l</w:t>
      </w:r>
      <w:r w:rsidR="009C104E" w:rsidRPr="00373FB0">
        <w:rPr>
          <w:rFonts w:ascii="Arial" w:eastAsia="SimSun" w:hAnsi="Arial" w:cs="Arial"/>
          <w:sz w:val="22"/>
          <w:szCs w:val="22"/>
        </w:rPr>
        <w:t>’</w:t>
      </w:r>
      <w:r w:rsidRPr="00373FB0">
        <w:rPr>
          <w:rFonts w:ascii="Arial" w:eastAsia="SimSun" w:hAnsi="Arial" w:cs="Arial"/>
          <w:sz w:val="22"/>
          <w:szCs w:val="22"/>
        </w:rPr>
        <w:t>objet de correspondance concernant des éléments déjà inscrits reçus par le Secrétariat pendant la période examinée ;</w:t>
      </w:r>
    </w:p>
    <w:p w14:paraId="7921A98A" w14:textId="5F9B529E" w:rsidR="00910A8E" w:rsidRDefault="00814661" w:rsidP="00910A8E">
      <w:pPr>
        <w:numPr>
          <w:ilvl w:val="0"/>
          <w:numId w:val="54"/>
        </w:numPr>
        <w:autoSpaceDE w:val="0"/>
        <w:autoSpaceDN w:val="0"/>
        <w:adjustRightInd w:val="0"/>
        <w:spacing w:after="120"/>
        <w:ind w:left="567" w:hanging="567"/>
        <w:jc w:val="both"/>
        <w:rPr>
          <w:rFonts w:ascii="Arial" w:eastAsia="SimSun" w:hAnsi="Arial" w:cs="Arial"/>
          <w:sz w:val="22"/>
          <w:szCs w:val="22"/>
        </w:rPr>
      </w:pPr>
      <w:r w:rsidRPr="00373FB0">
        <w:rPr>
          <w:rFonts w:ascii="Arial" w:eastAsia="SimSun" w:hAnsi="Arial" w:cs="Arial"/>
          <w:sz w:val="22"/>
          <w:szCs w:val="22"/>
          <w:u w:val="single"/>
        </w:rPr>
        <w:t>Demande en outre</w:t>
      </w:r>
      <w:r w:rsidRPr="00373FB0">
        <w:rPr>
          <w:rFonts w:ascii="Arial" w:eastAsia="SimSun" w:hAnsi="Arial" w:cs="Arial"/>
          <w:sz w:val="22"/>
          <w:szCs w:val="22"/>
        </w:rPr>
        <w:t xml:space="preserve"> au Secrétariat de continuer à porter à l</w:t>
      </w:r>
      <w:r w:rsidR="009C104E" w:rsidRPr="00373FB0">
        <w:rPr>
          <w:rFonts w:ascii="Arial" w:eastAsia="SimSun" w:hAnsi="Arial" w:cs="Arial"/>
          <w:sz w:val="22"/>
          <w:szCs w:val="22"/>
        </w:rPr>
        <w:t>’</w:t>
      </w:r>
      <w:r w:rsidRPr="00373FB0">
        <w:rPr>
          <w:rFonts w:ascii="Arial" w:eastAsia="SimSun" w:hAnsi="Arial" w:cs="Arial"/>
          <w:sz w:val="22"/>
          <w:szCs w:val="22"/>
        </w:rPr>
        <w:t>attention du Comité les informations reçues de tiers concernant des éléments déjà inscrits</w:t>
      </w:r>
      <w:r w:rsidR="00373FB0" w:rsidRPr="00373FB0">
        <w:rPr>
          <w:rFonts w:ascii="Arial" w:eastAsia="SimSun" w:hAnsi="Arial" w:cs="Arial"/>
          <w:sz w:val="22"/>
          <w:szCs w:val="22"/>
        </w:rPr>
        <w:t>,</w:t>
      </w:r>
      <w:r w:rsidR="00373FB0" w:rsidRPr="00F81092">
        <w:rPr>
          <w:rFonts w:ascii="Arial" w:hAnsi="Arial" w:cs="Arial"/>
          <w:sz w:val="22"/>
          <w:szCs w:val="22"/>
        </w:rPr>
        <w:t xml:space="preserve"> ainsi que les candidatures soumises pour une possible</w:t>
      </w:r>
      <w:r w:rsidR="00434DEC" w:rsidRPr="00434DEC">
        <w:rPr>
          <w:rFonts w:ascii="Arial" w:hAnsi="Arial" w:cs="Arial"/>
          <w:sz w:val="22"/>
          <w:szCs w:val="22"/>
        </w:rPr>
        <w:t xml:space="preserve"> </w:t>
      </w:r>
      <w:r w:rsidR="00434DEC" w:rsidRPr="00775817">
        <w:rPr>
          <w:rFonts w:ascii="Arial" w:hAnsi="Arial" w:cs="Arial"/>
          <w:sz w:val="22"/>
          <w:szCs w:val="22"/>
        </w:rPr>
        <w:t>inscription</w:t>
      </w:r>
      <w:r w:rsidR="00373FB0" w:rsidRPr="00F81092">
        <w:rPr>
          <w:rFonts w:ascii="Arial" w:hAnsi="Arial" w:cs="Arial"/>
          <w:sz w:val="22"/>
          <w:szCs w:val="22"/>
        </w:rPr>
        <w:t>,</w:t>
      </w:r>
      <w:r w:rsidRPr="00373FB0">
        <w:rPr>
          <w:rFonts w:ascii="Arial" w:eastAsia="SimSun" w:hAnsi="Arial" w:cs="Arial"/>
          <w:sz w:val="22"/>
          <w:szCs w:val="22"/>
        </w:rPr>
        <w:t xml:space="preserve"> et de le faire sous la forme d</w:t>
      </w:r>
      <w:r w:rsidR="009C104E" w:rsidRPr="00373FB0">
        <w:rPr>
          <w:rFonts w:ascii="Arial" w:eastAsia="SimSun" w:hAnsi="Arial" w:cs="Arial"/>
          <w:sz w:val="22"/>
          <w:szCs w:val="22"/>
        </w:rPr>
        <w:t>’</w:t>
      </w:r>
      <w:r w:rsidRPr="00373FB0">
        <w:rPr>
          <w:rFonts w:ascii="Arial" w:eastAsia="SimSun" w:hAnsi="Arial" w:cs="Arial"/>
          <w:sz w:val="22"/>
          <w:szCs w:val="22"/>
        </w:rPr>
        <w:t>un résumé à inclure dans un document de travail concernant le suivi des éléments déjà inscrits</w:t>
      </w:r>
      <w:r w:rsidR="00373FB0" w:rsidRPr="00373FB0">
        <w:rPr>
          <w:rFonts w:ascii="Arial" w:eastAsia="SimSun" w:hAnsi="Arial" w:cs="Arial"/>
          <w:sz w:val="22"/>
          <w:szCs w:val="22"/>
        </w:rPr>
        <w:t xml:space="preserve"> </w:t>
      </w:r>
      <w:r w:rsidR="00373FB0" w:rsidRPr="00F81092">
        <w:rPr>
          <w:rFonts w:ascii="Arial" w:hAnsi="Arial" w:cs="Arial"/>
          <w:sz w:val="22"/>
          <w:szCs w:val="22"/>
        </w:rPr>
        <w:t>et concernant les candidatures en cours</w:t>
      </w:r>
      <w:r w:rsidRPr="00373FB0">
        <w:rPr>
          <w:rFonts w:ascii="Arial" w:eastAsia="SimSun" w:hAnsi="Arial" w:cs="Arial"/>
          <w:sz w:val="22"/>
          <w:szCs w:val="22"/>
        </w:rPr>
        <w:t> ;</w:t>
      </w:r>
    </w:p>
    <w:p w14:paraId="5D2CDB1A" w14:textId="77777777" w:rsidR="00910A8E" w:rsidRPr="00910A8E" w:rsidRDefault="00814661" w:rsidP="00A2355A">
      <w:pPr>
        <w:numPr>
          <w:ilvl w:val="0"/>
          <w:numId w:val="54"/>
        </w:numPr>
        <w:autoSpaceDE w:val="0"/>
        <w:autoSpaceDN w:val="0"/>
        <w:adjustRightInd w:val="0"/>
        <w:spacing w:after="120"/>
        <w:ind w:left="567" w:hanging="567"/>
        <w:jc w:val="both"/>
        <w:rPr>
          <w:rFonts w:ascii="Arial" w:eastAsia="SimSun" w:hAnsi="Arial" w:cs="Arial"/>
          <w:sz w:val="22"/>
          <w:szCs w:val="22"/>
        </w:rPr>
      </w:pPr>
      <w:r w:rsidRPr="00910A8E">
        <w:rPr>
          <w:rFonts w:ascii="Arial" w:eastAsia="SimSun" w:hAnsi="Arial" w:cs="Arial"/>
          <w:sz w:val="22"/>
          <w:szCs w:val="22"/>
          <w:u w:val="single"/>
        </w:rPr>
        <w:t>Reconnaît</w:t>
      </w:r>
      <w:r w:rsidRPr="00910A8E">
        <w:rPr>
          <w:rFonts w:ascii="Arial" w:eastAsia="SimSun" w:hAnsi="Arial" w:cs="Arial"/>
          <w:sz w:val="22"/>
          <w:szCs w:val="22"/>
        </w:rPr>
        <w:t xml:space="preserve"> les résultats concluants du processus provisoire de dialogue en amont entrepris</w:t>
      </w:r>
      <w:r w:rsidR="00C166A5" w:rsidRPr="00910A8E">
        <w:rPr>
          <w:rFonts w:ascii="Arial" w:eastAsia="SimSun" w:hAnsi="Arial" w:cs="Arial"/>
          <w:sz w:val="22"/>
          <w:szCs w:val="22"/>
        </w:rPr>
        <w:t>,</w:t>
      </w:r>
      <w:r w:rsidR="00C07ED2" w:rsidRPr="00910A8E">
        <w:rPr>
          <w:rFonts w:ascii="Arial" w:eastAsia="SimSun" w:hAnsi="Arial" w:cs="Arial"/>
          <w:sz w:val="22"/>
          <w:szCs w:val="22"/>
        </w:rPr>
        <w:t xml:space="preserve"> </w:t>
      </w:r>
      <w:r w:rsidRPr="00910A8E">
        <w:rPr>
          <w:rFonts w:ascii="Arial" w:eastAsia="SimSun" w:hAnsi="Arial" w:cs="Arial"/>
          <w:sz w:val="22"/>
          <w:szCs w:val="22"/>
        </w:rPr>
        <w:t>pendant le cycle 2019 au regard du processus d</w:t>
      </w:r>
      <w:r w:rsidR="009C104E" w:rsidRPr="00910A8E">
        <w:rPr>
          <w:rFonts w:ascii="Arial" w:eastAsia="SimSun" w:hAnsi="Arial" w:cs="Arial"/>
          <w:sz w:val="22"/>
          <w:szCs w:val="22"/>
        </w:rPr>
        <w:t>’</w:t>
      </w:r>
      <w:r w:rsidRPr="00910A8E">
        <w:rPr>
          <w:rFonts w:ascii="Arial" w:eastAsia="SimSun" w:hAnsi="Arial" w:cs="Arial"/>
          <w:sz w:val="22"/>
          <w:szCs w:val="22"/>
        </w:rPr>
        <w:t>évaluation et d</w:t>
      </w:r>
      <w:r w:rsidR="009C104E" w:rsidRPr="00910A8E">
        <w:rPr>
          <w:rFonts w:ascii="Arial" w:eastAsia="SimSun" w:hAnsi="Arial" w:cs="Arial"/>
          <w:sz w:val="22"/>
          <w:szCs w:val="22"/>
        </w:rPr>
        <w:t>’</w:t>
      </w:r>
      <w:r w:rsidRPr="00910A8E">
        <w:rPr>
          <w:rFonts w:ascii="Arial" w:eastAsia="SimSun" w:hAnsi="Arial" w:cs="Arial"/>
          <w:sz w:val="22"/>
          <w:szCs w:val="22"/>
        </w:rPr>
        <w:t>inscription ;</w:t>
      </w:r>
    </w:p>
    <w:p w14:paraId="3B27FCA3" w14:textId="4BDD2CFE" w:rsidR="00BB775D" w:rsidRPr="00910A8E" w:rsidRDefault="00814661" w:rsidP="00A2355A">
      <w:pPr>
        <w:numPr>
          <w:ilvl w:val="0"/>
          <w:numId w:val="54"/>
        </w:numPr>
        <w:autoSpaceDE w:val="0"/>
        <w:autoSpaceDN w:val="0"/>
        <w:adjustRightInd w:val="0"/>
        <w:spacing w:after="120"/>
        <w:ind w:left="567" w:hanging="567"/>
        <w:jc w:val="both"/>
        <w:rPr>
          <w:rFonts w:ascii="Arial" w:eastAsia="SimSun" w:hAnsi="Arial" w:cs="Arial"/>
          <w:sz w:val="22"/>
          <w:szCs w:val="22"/>
        </w:rPr>
      </w:pPr>
      <w:r w:rsidRPr="00910A8E">
        <w:rPr>
          <w:rFonts w:ascii="Arial" w:eastAsia="SimSun" w:hAnsi="Arial" w:cs="Arial"/>
          <w:sz w:val="22"/>
          <w:szCs w:val="22"/>
          <w:u w:val="single"/>
        </w:rPr>
        <w:t xml:space="preserve">Recommande </w:t>
      </w:r>
      <w:r w:rsidRPr="00910A8E">
        <w:rPr>
          <w:rFonts w:ascii="Arial" w:eastAsia="SimSun" w:hAnsi="Arial" w:cs="Arial"/>
          <w:sz w:val="22"/>
          <w:szCs w:val="22"/>
        </w:rPr>
        <w:t>à l</w:t>
      </w:r>
      <w:r w:rsidR="009C104E" w:rsidRPr="00910A8E">
        <w:rPr>
          <w:rFonts w:ascii="Arial" w:eastAsia="SimSun" w:hAnsi="Arial" w:cs="Arial"/>
          <w:sz w:val="22"/>
          <w:szCs w:val="22"/>
        </w:rPr>
        <w:t>’</w:t>
      </w:r>
      <w:r w:rsidRPr="00910A8E">
        <w:rPr>
          <w:rFonts w:ascii="Arial" w:eastAsia="SimSun" w:hAnsi="Arial" w:cs="Arial"/>
          <w:sz w:val="22"/>
          <w:szCs w:val="22"/>
        </w:rPr>
        <w:t>Assemblée générale de réviser les Directives opérationnelles pour la mise en œuvre de la Convention, tel qu</w:t>
      </w:r>
      <w:r w:rsidR="009C104E" w:rsidRPr="00910A8E">
        <w:rPr>
          <w:rFonts w:ascii="Arial" w:eastAsia="SimSun" w:hAnsi="Arial" w:cs="Arial"/>
          <w:sz w:val="22"/>
          <w:szCs w:val="22"/>
        </w:rPr>
        <w:t>’</w:t>
      </w:r>
      <w:r w:rsidRPr="00910A8E">
        <w:rPr>
          <w:rFonts w:ascii="Arial" w:eastAsia="SimSun" w:hAnsi="Arial" w:cs="Arial"/>
          <w:sz w:val="22"/>
          <w:szCs w:val="22"/>
        </w:rPr>
        <w:t>indiqué en annexe III du présent document.</w:t>
      </w:r>
    </w:p>
    <w:p w14:paraId="0813D2C2" w14:textId="2C79F58B" w:rsidR="00BB775D" w:rsidRPr="00373FB0" w:rsidRDefault="00C166A5" w:rsidP="00B932EA">
      <w:pPr>
        <w:keepNext/>
        <w:autoSpaceDE w:val="0"/>
        <w:autoSpaceDN w:val="0"/>
        <w:adjustRightInd w:val="0"/>
        <w:spacing w:before="240" w:after="120"/>
        <w:jc w:val="center"/>
        <w:rPr>
          <w:rFonts w:ascii="Arial" w:hAnsi="Arial" w:cs="Arial"/>
          <w:b/>
          <w:sz w:val="22"/>
          <w:szCs w:val="22"/>
          <w:lang w:eastAsia="en-US"/>
        </w:rPr>
      </w:pPr>
      <w:r>
        <w:rPr>
          <w:rFonts w:ascii="Arial" w:hAnsi="Arial" w:cs="Arial"/>
          <w:b/>
          <w:sz w:val="22"/>
          <w:szCs w:val="22"/>
          <w:lang w:eastAsia="en-US"/>
        </w:rPr>
        <w:t>A</w:t>
      </w:r>
      <w:r w:rsidR="00373FB0" w:rsidRPr="00373FB0">
        <w:rPr>
          <w:rFonts w:ascii="Arial" w:hAnsi="Arial" w:cs="Arial"/>
          <w:b/>
          <w:sz w:val="22"/>
          <w:szCs w:val="22"/>
          <w:lang w:eastAsia="en-US"/>
        </w:rPr>
        <w:t>NNEXE</w:t>
      </w:r>
    </w:p>
    <w:tbl>
      <w:tblPr>
        <w:tblStyle w:val="TableGrid"/>
        <w:tblW w:w="4904" w:type="pct"/>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41"/>
        <w:gridCol w:w="2981"/>
        <w:gridCol w:w="5959"/>
      </w:tblGrid>
      <w:tr w:rsidR="00373FB0" w:rsidRPr="00554E8A" w14:paraId="2DEEC614" w14:textId="77777777" w:rsidTr="00C02497">
        <w:tc>
          <w:tcPr>
            <w:tcW w:w="430" w:type="pct"/>
          </w:tcPr>
          <w:p w14:paraId="0231A16A" w14:textId="77777777" w:rsidR="00373FB0" w:rsidRPr="00554E8A" w:rsidRDefault="00373FB0" w:rsidP="00A2355A">
            <w:pPr>
              <w:pStyle w:val="COMParaDecision"/>
              <w:spacing w:before="120"/>
              <w:jc w:val="right"/>
              <w:rPr>
                <w:b/>
                <w:u w:val="none"/>
              </w:rPr>
            </w:pPr>
            <w:r w:rsidRPr="00554E8A">
              <w:rPr>
                <w:b/>
                <w:u w:val="none"/>
              </w:rPr>
              <w:t>I.15</w:t>
            </w:r>
          </w:p>
        </w:tc>
        <w:tc>
          <w:tcPr>
            <w:tcW w:w="4570" w:type="pct"/>
            <w:gridSpan w:val="2"/>
          </w:tcPr>
          <w:p w14:paraId="450A0F03" w14:textId="77777777" w:rsidR="00373FB0" w:rsidRPr="00554E8A" w:rsidRDefault="00373FB0" w:rsidP="00A2355A">
            <w:pPr>
              <w:pStyle w:val="COMParaDecision"/>
              <w:spacing w:before="120"/>
              <w:jc w:val="left"/>
              <w:rPr>
                <w:b/>
              </w:rPr>
            </w:pPr>
            <w:r>
              <w:rPr>
                <w:u w:val="none"/>
              </w:rPr>
              <w:t>[Aucun changement.]</w:t>
            </w:r>
          </w:p>
        </w:tc>
      </w:tr>
      <w:tr w:rsidR="00373FB0" w:rsidRPr="00C97D62" w14:paraId="0840EC83" w14:textId="77777777" w:rsidTr="00C02497">
        <w:tc>
          <w:tcPr>
            <w:tcW w:w="430" w:type="pct"/>
          </w:tcPr>
          <w:p w14:paraId="3C31AB88" w14:textId="77777777" w:rsidR="00373FB0" w:rsidRDefault="00373FB0" w:rsidP="00A2355A">
            <w:pPr>
              <w:pStyle w:val="COMParaDecision"/>
              <w:spacing w:before="120"/>
              <w:jc w:val="right"/>
              <w:rPr>
                <w:u w:val="none"/>
              </w:rPr>
            </w:pPr>
            <w:r>
              <w:rPr>
                <w:u w:val="none"/>
              </w:rPr>
              <w:t>54.</w:t>
            </w:r>
          </w:p>
        </w:tc>
        <w:tc>
          <w:tcPr>
            <w:tcW w:w="1524" w:type="pct"/>
          </w:tcPr>
          <w:p w14:paraId="588E5812" w14:textId="77777777" w:rsidR="00373FB0" w:rsidRPr="00474AAE" w:rsidRDefault="00373FB0" w:rsidP="00A2355A">
            <w:pPr>
              <w:pStyle w:val="COMParaDecision"/>
              <w:spacing w:before="120"/>
              <w:jc w:val="left"/>
              <w:rPr>
                <w:u w:val="none"/>
              </w:rPr>
            </w:pPr>
            <w:r>
              <w:rPr>
                <w:u w:val="none"/>
              </w:rPr>
              <w:t>[Aucun changement.]</w:t>
            </w:r>
          </w:p>
        </w:tc>
        <w:tc>
          <w:tcPr>
            <w:tcW w:w="3046" w:type="pct"/>
          </w:tcPr>
          <w:p w14:paraId="67D5984F" w14:textId="77777777" w:rsidR="00373FB0" w:rsidRPr="00C97D62" w:rsidRDefault="00373FB0" w:rsidP="00A2355A">
            <w:pPr>
              <w:pStyle w:val="COMParaDecision"/>
              <w:spacing w:before="120"/>
              <w:jc w:val="left"/>
              <w:rPr>
                <w:u w:val="none"/>
              </w:rPr>
            </w:pPr>
          </w:p>
        </w:tc>
      </w:tr>
      <w:tr w:rsidR="00373FB0" w:rsidRPr="00C97D62" w14:paraId="206E43EC" w14:textId="77777777" w:rsidTr="00C02497">
        <w:tc>
          <w:tcPr>
            <w:tcW w:w="430" w:type="pct"/>
          </w:tcPr>
          <w:p w14:paraId="3DBE20F3" w14:textId="77777777" w:rsidR="00373FB0" w:rsidRPr="00474AAE" w:rsidRDefault="00373FB0" w:rsidP="00A2355A">
            <w:pPr>
              <w:pStyle w:val="COMParaDecision"/>
              <w:spacing w:before="120"/>
              <w:jc w:val="right"/>
              <w:rPr>
                <w:u w:val="none"/>
              </w:rPr>
            </w:pPr>
            <w:r>
              <w:rPr>
                <w:u w:val="none"/>
              </w:rPr>
              <w:t>55.</w:t>
            </w:r>
          </w:p>
        </w:tc>
        <w:tc>
          <w:tcPr>
            <w:tcW w:w="1524" w:type="pct"/>
          </w:tcPr>
          <w:p w14:paraId="4202EF6E" w14:textId="77777777" w:rsidR="00373FB0" w:rsidRPr="00474AAE" w:rsidRDefault="00373FB0" w:rsidP="00A2355A">
            <w:pPr>
              <w:pStyle w:val="COMParaDecision"/>
              <w:spacing w:before="120"/>
              <w:jc w:val="right"/>
              <w:rPr>
                <w:u w:val="none"/>
              </w:rPr>
            </w:pPr>
            <w:r w:rsidRPr="00474AAE">
              <w:rPr>
                <w:u w:val="none"/>
              </w:rPr>
              <w:t>Phase 2 :</w:t>
            </w:r>
          </w:p>
        </w:tc>
        <w:tc>
          <w:tcPr>
            <w:tcW w:w="3046" w:type="pct"/>
          </w:tcPr>
          <w:p w14:paraId="05A8310C" w14:textId="77777777" w:rsidR="00373FB0" w:rsidRPr="00C97D62" w:rsidRDefault="00373FB0" w:rsidP="00A2355A">
            <w:pPr>
              <w:pStyle w:val="COMParaDecision"/>
              <w:spacing w:before="120"/>
              <w:jc w:val="left"/>
              <w:rPr>
                <w:u w:val="none"/>
              </w:rPr>
            </w:pPr>
            <w:r w:rsidRPr="00C97D62">
              <w:rPr>
                <w:u w:val="none"/>
              </w:rPr>
              <w:t>Évaluation</w:t>
            </w:r>
          </w:p>
        </w:tc>
      </w:tr>
      <w:tr w:rsidR="00373FB0" w:rsidRPr="00194648" w14:paraId="7C470692" w14:textId="77777777" w:rsidTr="00C02497">
        <w:tc>
          <w:tcPr>
            <w:tcW w:w="430" w:type="pct"/>
          </w:tcPr>
          <w:p w14:paraId="41306ECE" w14:textId="77777777" w:rsidR="00373FB0" w:rsidRPr="00194648" w:rsidRDefault="00373FB0" w:rsidP="00A2355A">
            <w:pPr>
              <w:pStyle w:val="COMParaDecision"/>
              <w:spacing w:before="120"/>
              <w:jc w:val="right"/>
              <w:rPr>
                <w:u w:val="none"/>
              </w:rPr>
            </w:pPr>
          </w:p>
        </w:tc>
        <w:tc>
          <w:tcPr>
            <w:tcW w:w="1524" w:type="pct"/>
          </w:tcPr>
          <w:p w14:paraId="7A17A5E8" w14:textId="77777777" w:rsidR="00373FB0" w:rsidRPr="00194648" w:rsidRDefault="00373FB0" w:rsidP="00A2355A">
            <w:pPr>
              <w:pStyle w:val="COMParaDecision"/>
              <w:spacing w:before="120"/>
              <w:jc w:val="right"/>
              <w:rPr>
                <w:u w:val="none"/>
              </w:rPr>
            </w:pPr>
            <w:r>
              <w:rPr>
                <w:u w:val="none"/>
              </w:rPr>
              <w:t>Décembre année 1</w:t>
            </w:r>
            <w:r>
              <w:rPr>
                <w:u w:val="none"/>
              </w:rPr>
              <w:br/>
              <w:t xml:space="preserve"> à mai année 2</w:t>
            </w:r>
          </w:p>
        </w:tc>
        <w:tc>
          <w:tcPr>
            <w:tcW w:w="3046" w:type="pct"/>
          </w:tcPr>
          <w:p w14:paraId="7844A3A6" w14:textId="77777777" w:rsidR="00373FB0" w:rsidRPr="00194648" w:rsidRDefault="00373FB0" w:rsidP="00A2355A">
            <w:pPr>
              <w:pStyle w:val="COMParaDecision"/>
              <w:spacing w:before="120"/>
              <w:jc w:val="left"/>
              <w:rPr>
                <w:u w:val="none"/>
              </w:rPr>
            </w:pPr>
            <w:r>
              <w:rPr>
                <w:u w:val="none"/>
              </w:rPr>
              <w:t xml:space="preserve">Évaluation </w:t>
            </w:r>
            <w:r w:rsidRPr="00A27AF9">
              <w:rPr>
                <w:b/>
              </w:rPr>
              <w:t>individuelle</w:t>
            </w:r>
            <w:r>
              <w:rPr>
                <w:u w:val="none"/>
              </w:rPr>
              <w:t xml:space="preserve"> des dossiers par les </w:t>
            </w:r>
            <w:r w:rsidRPr="00F12738">
              <w:rPr>
                <w:b/>
              </w:rPr>
              <w:t>membres</w:t>
            </w:r>
            <w:r>
              <w:rPr>
                <w:u w:val="none"/>
              </w:rPr>
              <w:t xml:space="preserve"> de l’Organe d’évaluation.</w:t>
            </w:r>
          </w:p>
        </w:tc>
      </w:tr>
      <w:tr w:rsidR="00373FB0" w:rsidRPr="00194648" w14:paraId="3C724713" w14:textId="77777777" w:rsidTr="00C02497">
        <w:tc>
          <w:tcPr>
            <w:tcW w:w="430" w:type="pct"/>
          </w:tcPr>
          <w:p w14:paraId="4BD40533" w14:textId="77777777" w:rsidR="00373FB0" w:rsidRPr="00194648" w:rsidRDefault="00373FB0" w:rsidP="00A2355A">
            <w:pPr>
              <w:pStyle w:val="COMParaDecision"/>
              <w:spacing w:before="120"/>
              <w:jc w:val="right"/>
              <w:rPr>
                <w:u w:val="none"/>
              </w:rPr>
            </w:pPr>
          </w:p>
        </w:tc>
        <w:tc>
          <w:tcPr>
            <w:tcW w:w="1524" w:type="pct"/>
          </w:tcPr>
          <w:p w14:paraId="1FD8609A" w14:textId="77777777" w:rsidR="00373FB0" w:rsidRPr="00194648" w:rsidRDefault="00373FB0" w:rsidP="00A2355A">
            <w:pPr>
              <w:pStyle w:val="COMParaDecision"/>
              <w:spacing w:before="120"/>
              <w:jc w:val="right"/>
              <w:rPr>
                <w:u w:val="none"/>
              </w:rPr>
            </w:pPr>
            <w:r>
              <w:rPr>
                <w:u w:val="none"/>
              </w:rPr>
              <w:t xml:space="preserve">Juin </w:t>
            </w:r>
            <w:r>
              <w:rPr>
                <w:u w:val="none"/>
              </w:rPr>
              <w:br/>
              <w:t>année 2</w:t>
            </w:r>
          </w:p>
        </w:tc>
        <w:tc>
          <w:tcPr>
            <w:tcW w:w="3046" w:type="pct"/>
          </w:tcPr>
          <w:p w14:paraId="4AFEBD13" w14:textId="77777777" w:rsidR="00373FB0" w:rsidRDefault="00373FB0" w:rsidP="00A2355A">
            <w:pPr>
              <w:pStyle w:val="COMParaDecision"/>
              <w:spacing w:before="120"/>
              <w:jc w:val="left"/>
              <w:rPr>
                <w:b/>
              </w:rPr>
            </w:pPr>
            <w:r w:rsidRPr="00FD40EA">
              <w:rPr>
                <w:u w:val="none"/>
              </w:rPr>
              <w:t>Réunion</w:t>
            </w:r>
            <w:r w:rsidRPr="009C5CB0">
              <w:rPr>
                <w:b/>
                <w:u w:val="none"/>
              </w:rPr>
              <w:t xml:space="preserve"> </w:t>
            </w:r>
            <w:r>
              <w:rPr>
                <w:strike/>
                <w:u w:val="none"/>
              </w:rPr>
              <w:t>d’</w:t>
            </w:r>
            <w:r w:rsidRPr="00FD40EA">
              <w:rPr>
                <w:strike/>
                <w:u w:val="none"/>
              </w:rPr>
              <w:t>évaluation finale par l</w:t>
            </w:r>
            <w:r>
              <w:rPr>
                <w:strike/>
                <w:u w:val="none"/>
              </w:rPr>
              <w:t>’</w:t>
            </w:r>
            <w:r w:rsidRPr="00FD40EA">
              <w:rPr>
                <w:strike/>
                <w:u w:val="none"/>
              </w:rPr>
              <w:t>Organe d</w:t>
            </w:r>
            <w:r>
              <w:rPr>
                <w:strike/>
                <w:u w:val="none"/>
              </w:rPr>
              <w:t>’</w:t>
            </w:r>
            <w:r w:rsidRPr="00FD40EA">
              <w:rPr>
                <w:strike/>
                <w:u w:val="none"/>
              </w:rPr>
              <w:t>évaluation</w:t>
            </w:r>
            <w:r>
              <w:rPr>
                <w:b/>
              </w:rPr>
              <w:t xml:space="preserve"> au cours de laquelle l’Organe d’évaluation achève collectivement l’évaluation des dossiers et décide lesquels seront concernés par le processus de dialogue. Seule l’évaluation des dossiers inclus dans le processus de dialogue restera en attente de validation jusqu’à la réunion finale de l’Organe d’évaluation.</w:t>
            </w:r>
          </w:p>
          <w:p w14:paraId="29A86688" w14:textId="77777777" w:rsidR="00373FB0" w:rsidRPr="00194648" w:rsidRDefault="00373FB0" w:rsidP="00A2355A">
            <w:pPr>
              <w:pStyle w:val="COMParaDecision"/>
              <w:spacing w:before="120"/>
              <w:jc w:val="left"/>
              <w:rPr>
                <w:b/>
                <w:u w:val="none"/>
              </w:rPr>
            </w:pPr>
            <w:r>
              <w:rPr>
                <w:b/>
              </w:rPr>
              <w:t xml:space="preserve">Le processus de dialogue </w:t>
            </w:r>
            <w:r w:rsidRPr="00EE7BF0">
              <w:rPr>
                <w:b/>
              </w:rPr>
              <w:t>est engagé lorsque l</w:t>
            </w:r>
            <w:r>
              <w:rPr>
                <w:b/>
              </w:rPr>
              <w:t>’</w:t>
            </w:r>
            <w:r w:rsidRPr="00EE7BF0">
              <w:rPr>
                <w:b/>
              </w:rPr>
              <w:t>Organe d</w:t>
            </w:r>
            <w:r>
              <w:rPr>
                <w:b/>
              </w:rPr>
              <w:t>’</w:t>
            </w:r>
            <w:r w:rsidRPr="00EE7BF0">
              <w:rPr>
                <w:b/>
              </w:rPr>
              <w:t>évaluation estime qu</w:t>
            </w:r>
            <w:r>
              <w:rPr>
                <w:b/>
              </w:rPr>
              <w:t>’</w:t>
            </w:r>
            <w:r w:rsidRPr="00EE7BF0">
              <w:rPr>
                <w:b/>
              </w:rPr>
              <w:t>un court processus de que</w:t>
            </w:r>
            <w:r>
              <w:rPr>
                <w:b/>
              </w:rPr>
              <w:t>stions-réponses avec le ou les É</w:t>
            </w:r>
            <w:r w:rsidRPr="00EE7BF0">
              <w:rPr>
                <w:b/>
              </w:rPr>
              <w:t>tats soumissionnaires, mené par écrit par l</w:t>
            </w:r>
            <w:r>
              <w:rPr>
                <w:b/>
              </w:rPr>
              <w:t>’</w:t>
            </w:r>
            <w:r w:rsidRPr="00EE7BF0">
              <w:rPr>
                <w:b/>
              </w:rPr>
              <w:t>intermédiaire du Secrétariat, pourrait influencer le résultat de son évaluation.</w:t>
            </w:r>
          </w:p>
        </w:tc>
      </w:tr>
      <w:tr w:rsidR="00373FB0" w:rsidRPr="00194648" w14:paraId="64420E6E" w14:textId="77777777" w:rsidTr="00C02497">
        <w:tc>
          <w:tcPr>
            <w:tcW w:w="430" w:type="pct"/>
          </w:tcPr>
          <w:p w14:paraId="071D6B50" w14:textId="77777777" w:rsidR="00373FB0" w:rsidRPr="00194648" w:rsidRDefault="00373FB0" w:rsidP="00A2355A">
            <w:pPr>
              <w:pStyle w:val="COMParaDecision"/>
              <w:spacing w:before="120"/>
              <w:jc w:val="right"/>
              <w:rPr>
                <w:u w:val="none"/>
              </w:rPr>
            </w:pPr>
          </w:p>
        </w:tc>
        <w:tc>
          <w:tcPr>
            <w:tcW w:w="1524" w:type="pct"/>
          </w:tcPr>
          <w:p w14:paraId="0EAA9383" w14:textId="77777777" w:rsidR="00373FB0" w:rsidRPr="00194648" w:rsidRDefault="00373FB0" w:rsidP="00A2355A">
            <w:pPr>
              <w:pStyle w:val="COMParaDecision"/>
              <w:spacing w:before="120"/>
              <w:jc w:val="right"/>
              <w:rPr>
                <w:b/>
              </w:rPr>
            </w:pPr>
            <w:r>
              <w:rPr>
                <w:b/>
              </w:rPr>
              <w:t xml:space="preserve">Deux semaines après la réunion de juin </w:t>
            </w:r>
            <w:r>
              <w:rPr>
                <w:b/>
              </w:rPr>
              <w:br/>
              <w:t>Année 2</w:t>
            </w:r>
          </w:p>
        </w:tc>
        <w:tc>
          <w:tcPr>
            <w:tcW w:w="3046" w:type="pct"/>
          </w:tcPr>
          <w:p w14:paraId="40E9CBF3" w14:textId="77777777" w:rsidR="00373FB0" w:rsidRPr="00194648" w:rsidRDefault="00373FB0" w:rsidP="00A2355A">
            <w:pPr>
              <w:pStyle w:val="COMParaDecision"/>
              <w:spacing w:before="120"/>
              <w:jc w:val="left"/>
              <w:rPr>
                <w:b/>
              </w:rPr>
            </w:pPr>
            <w:r>
              <w:rPr>
                <w:b/>
              </w:rPr>
              <w:t>Date limite à laquelle l’Organe d’évaluation devra transmettre, par l’intermédiaire du Secrétariat, ses questions aux États parties concernés par le processus de dialogue, dans l’une des deux langues de travail de la Convention.</w:t>
            </w:r>
          </w:p>
        </w:tc>
      </w:tr>
      <w:tr w:rsidR="00373FB0" w:rsidRPr="00194648" w14:paraId="3518F4E9" w14:textId="77777777" w:rsidTr="00C02497">
        <w:tc>
          <w:tcPr>
            <w:tcW w:w="430" w:type="pct"/>
          </w:tcPr>
          <w:p w14:paraId="5530740B" w14:textId="77777777" w:rsidR="00373FB0" w:rsidRPr="00194648" w:rsidRDefault="00373FB0" w:rsidP="00A2355A">
            <w:pPr>
              <w:pStyle w:val="COMParaDecision"/>
              <w:spacing w:before="120"/>
              <w:jc w:val="right"/>
              <w:rPr>
                <w:u w:val="none"/>
              </w:rPr>
            </w:pPr>
          </w:p>
        </w:tc>
        <w:tc>
          <w:tcPr>
            <w:tcW w:w="1524" w:type="pct"/>
          </w:tcPr>
          <w:p w14:paraId="3EE09AEB" w14:textId="77777777" w:rsidR="00373FB0" w:rsidRPr="00194648" w:rsidRDefault="00373FB0" w:rsidP="00A2355A">
            <w:pPr>
              <w:pStyle w:val="COMParaDecision"/>
              <w:spacing w:before="120"/>
              <w:rPr>
                <w:b/>
              </w:rPr>
            </w:pPr>
          </w:p>
        </w:tc>
        <w:tc>
          <w:tcPr>
            <w:tcW w:w="3046" w:type="pct"/>
          </w:tcPr>
          <w:p w14:paraId="49A409CE" w14:textId="77777777" w:rsidR="00373FB0" w:rsidRPr="00194648" w:rsidRDefault="00373FB0" w:rsidP="00A2355A">
            <w:pPr>
              <w:pStyle w:val="COMParaDecision"/>
              <w:spacing w:before="120"/>
              <w:jc w:val="left"/>
              <w:rPr>
                <w:b/>
              </w:rPr>
            </w:pPr>
            <w:r>
              <w:rPr>
                <w:b/>
              </w:rPr>
              <w:t>Les États parties devront répondre aux demandes de l’Organe d’évaluation, par l’intermédiaire du Secrétariat, dans un délai de quatre semaines à compter de la réception de la lettre, dans les deux langues de travail de la Convention.</w:t>
            </w:r>
          </w:p>
        </w:tc>
      </w:tr>
      <w:tr w:rsidR="00373FB0" w:rsidRPr="00194648" w14:paraId="21A3461D" w14:textId="77777777" w:rsidTr="00C02497">
        <w:tc>
          <w:tcPr>
            <w:tcW w:w="430" w:type="pct"/>
          </w:tcPr>
          <w:p w14:paraId="197856A7" w14:textId="77777777" w:rsidR="00373FB0" w:rsidRPr="00194648" w:rsidRDefault="00373FB0" w:rsidP="00A2355A">
            <w:pPr>
              <w:pStyle w:val="COMParaDecision"/>
              <w:spacing w:before="120"/>
              <w:jc w:val="right"/>
              <w:rPr>
                <w:u w:val="none"/>
              </w:rPr>
            </w:pPr>
          </w:p>
        </w:tc>
        <w:tc>
          <w:tcPr>
            <w:tcW w:w="1524" w:type="pct"/>
          </w:tcPr>
          <w:p w14:paraId="38A10D80" w14:textId="77777777" w:rsidR="00373FB0" w:rsidRDefault="00373FB0" w:rsidP="00A2355A">
            <w:pPr>
              <w:pStyle w:val="COMParaDecision"/>
              <w:spacing w:before="120"/>
              <w:jc w:val="right"/>
              <w:rPr>
                <w:b/>
              </w:rPr>
            </w:pPr>
            <w:r>
              <w:rPr>
                <w:b/>
              </w:rPr>
              <w:t xml:space="preserve">Au plus tard en septembre </w:t>
            </w:r>
          </w:p>
          <w:p w14:paraId="158FB042" w14:textId="77777777" w:rsidR="00373FB0" w:rsidRPr="00194648" w:rsidRDefault="00373FB0" w:rsidP="00A2355A">
            <w:pPr>
              <w:pStyle w:val="COMParaDecision"/>
              <w:spacing w:before="120"/>
              <w:jc w:val="right"/>
              <w:rPr>
                <w:b/>
              </w:rPr>
            </w:pPr>
            <w:r>
              <w:rPr>
                <w:b/>
              </w:rPr>
              <w:t>Année 2</w:t>
            </w:r>
          </w:p>
        </w:tc>
        <w:tc>
          <w:tcPr>
            <w:tcW w:w="3046" w:type="pct"/>
          </w:tcPr>
          <w:p w14:paraId="446995C3" w14:textId="77777777" w:rsidR="00373FB0" w:rsidRPr="00194648" w:rsidRDefault="00373FB0" w:rsidP="00A2355A">
            <w:pPr>
              <w:pStyle w:val="COMParaDecision"/>
              <w:spacing w:before="120"/>
              <w:jc w:val="left"/>
              <w:rPr>
                <w:b/>
              </w:rPr>
            </w:pPr>
            <w:r>
              <w:rPr>
                <w:b/>
              </w:rPr>
              <w:t>Réunion au cours de laquelle l’Organe d’évaluation achève l’évaluation des dossiers concernés par le processus de dialogue et son rapport de l’examen de tous les dossiers.</w:t>
            </w:r>
          </w:p>
        </w:tc>
      </w:tr>
      <w:tr w:rsidR="00373FB0" w:rsidRPr="00194648" w14:paraId="3BAB7687" w14:textId="77777777" w:rsidTr="00C02497">
        <w:tc>
          <w:tcPr>
            <w:tcW w:w="430" w:type="pct"/>
          </w:tcPr>
          <w:p w14:paraId="0FC58C12" w14:textId="77777777" w:rsidR="00373FB0" w:rsidRPr="00194648" w:rsidRDefault="00373FB0" w:rsidP="00A2355A">
            <w:pPr>
              <w:pStyle w:val="COMParaDecision"/>
              <w:spacing w:before="120"/>
              <w:jc w:val="right"/>
              <w:rPr>
                <w:u w:val="none"/>
              </w:rPr>
            </w:pPr>
          </w:p>
        </w:tc>
        <w:tc>
          <w:tcPr>
            <w:tcW w:w="1524" w:type="pct"/>
          </w:tcPr>
          <w:p w14:paraId="289B5799" w14:textId="77777777" w:rsidR="00373FB0" w:rsidRPr="00194648" w:rsidRDefault="00373FB0" w:rsidP="00A2355A">
            <w:pPr>
              <w:pStyle w:val="COMParaDecision"/>
              <w:spacing w:before="120"/>
              <w:jc w:val="right"/>
              <w:rPr>
                <w:u w:val="none"/>
              </w:rPr>
            </w:pPr>
            <w:r>
              <w:rPr>
                <w:u w:val="none"/>
              </w:rPr>
              <w:t>Quatre semaines avant la session du Comité</w:t>
            </w:r>
          </w:p>
        </w:tc>
        <w:tc>
          <w:tcPr>
            <w:tcW w:w="3046" w:type="pct"/>
          </w:tcPr>
          <w:p w14:paraId="6A7C3FE0" w14:textId="77777777" w:rsidR="00373FB0" w:rsidRPr="00194648" w:rsidRDefault="00373FB0" w:rsidP="00A2355A">
            <w:pPr>
              <w:pStyle w:val="COMParaDecision"/>
              <w:spacing w:before="120"/>
              <w:jc w:val="left"/>
              <w:rPr>
                <w:u w:val="none"/>
              </w:rPr>
            </w:pPr>
            <w:r>
              <w:rPr>
                <w:u w:val="none"/>
              </w:rPr>
              <w:t>Le Secrétariat transmet aux membres du Comité les rapports d’évaluation et les rend disponibles en ligne à des fins de consultation.</w:t>
            </w:r>
          </w:p>
        </w:tc>
      </w:tr>
      <w:tr w:rsidR="00373FB0" w:rsidRPr="0009414C" w14:paraId="3C0BE71F" w14:textId="77777777" w:rsidTr="00C02497">
        <w:tc>
          <w:tcPr>
            <w:tcW w:w="430" w:type="pct"/>
          </w:tcPr>
          <w:p w14:paraId="3BEEE013" w14:textId="77777777" w:rsidR="00373FB0" w:rsidRDefault="00373FB0" w:rsidP="00A2355A">
            <w:pPr>
              <w:pStyle w:val="COMParaDecision"/>
              <w:spacing w:before="120"/>
              <w:jc w:val="right"/>
              <w:rPr>
                <w:u w:val="none"/>
              </w:rPr>
            </w:pPr>
            <w:r>
              <w:rPr>
                <w:u w:val="none"/>
              </w:rPr>
              <w:t>56.</w:t>
            </w:r>
          </w:p>
        </w:tc>
        <w:tc>
          <w:tcPr>
            <w:tcW w:w="1524" w:type="pct"/>
          </w:tcPr>
          <w:p w14:paraId="56171A3C" w14:textId="77777777" w:rsidR="00373FB0" w:rsidRPr="00474AAE" w:rsidRDefault="00373FB0" w:rsidP="00A2355A">
            <w:pPr>
              <w:pStyle w:val="COMParaDecision"/>
              <w:spacing w:before="120"/>
              <w:jc w:val="left"/>
              <w:rPr>
                <w:u w:val="none"/>
              </w:rPr>
            </w:pPr>
            <w:r>
              <w:rPr>
                <w:u w:val="none"/>
              </w:rPr>
              <w:t>[Aucun changement.]</w:t>
            </w:r>
          </w:p>
        </w:tc>
        <w:tc>
          <w:tcPr>
            <w:tcW w:w="3046" w:type="pct"/>
          </w:tcPr>
          <w:p w14:paraId="4F5647C3" w14:textId="77777777" w:rsidR="00373FB0" w:rsidRPr="0009414C" w:rsidRDefault="00373FB0" w:rsidP="00A2355A">
            <w:pPr>
              <w:pStyle w:val="COMParaDecision"/>
              <w:spacing w:before="120"/>
              <w:jc w:val="left"/>
            </w:pPr>
          </w:p>
        </w:tc>
      </w:tr>
    </w:tbl>
    <w:p w14:paraId="71B64718" w14:textId="55545783" w:rsidR="00771F30" w:rsidRPr="00771F30" w:rsidRDefault="003701B9" w:rsidP="001A4F02">
      <w:pPr>
        <w:keepNext/>
        <w:spacing w:before="360" w:after="120"/>
        <w:jc w:val="both"/>
        <w:rPr>
          <w:rFonts w:ascii="Arial" w:eastAsia="SimSun" w:hAnsi="Arial" w:cs="Arial"/>
          <w:b/>
          <w:sz w:val="22"/>
          <w:szCs w:val="22"/>
        </w:rPr>
      </w:pPr>
      <w:r w:rsidRPr="00814661">
        <w:rPr>
          <w:rFonts w:ascii="Arial" w:hAnsi="Arial" w:cs="Arial"/>
          <w:b/>
          <w:sz w:val="22"/>
          <w:szCs w:val="22"/>
        </w:rPr>
        <w:t xml:space="preserve">DÉCISION </w:t>
      </w:r>
      <w:r w:rsidR="00771F30" w:rsidRPr="00771F30">
        <w:rPr>
          <w:rFonts w:ascii="Arial" w:hAnsi="Arial" w:cs="Arial"/>
          <w:b/>
          <w:sz w:val="22"/>
          <w:szCs w:val="22"/>
        </w:rPr>
        <w:t>14.COM 15</w:t>
      </w:r>
    </w:p>
    <w:p w14:paraId="78D25E39" w14:textId="77777777" w:rsidR="00771F30" w:rsidRPr="00771F30" w:rsidRDefault="00771F30" w:rsidP="00771F30">
      <w:pPr>
        <w:keepNext/>
        <w:spacing w:after="120"/>
        <w:jc w:val="both"/>
        <w:rPr>
          <w:rFonts w:ascii="Arial" w:eastAsia="SimSun" w:hAnsi="Arial" w:cs="Arial"/>
          <w:sz w:val="22"/>
          <w:szCs w:val="22"/>
        </w:rPr>
      </w:pPr>
      <w:r w:rsidRPr="00771F30">
        <w:rPr>
          <w:rFonts w:ascii="Arial" w:hAnsi="Arial" w:cs="Arial"/>
          <w:sz w:val="22"/>
          <w:szCs w:val="22"/>
        </w:rPr>
        <w:t>Le Comité,</w:t>
      </w:r>
    </w:p>
    <w:p w14:paraId="3975B050" w14:textId="77777777" w:rsidR="00771F30" w:rsidRPr="00771F30" w:rsidRDefault="00771F30" w:rsidP="003701B9">
      <w:pPr>
        <w:pStyle w:val="ListParagraph"/>
        <w:numPr>
          <w:ilvl w:val="0"/>
          <w:numId w:val="56"/>
        </w:numPr>
        <w:tabs>
          <w:tab w:val="left" w:pos="567"/>
        </w:tabs>
        <w:autoSpaceDE w:val="0"/>
        <w:autoSpaceDN w:val="0"/>
        <w:adjustRightInd w:val="0"/>
        <w:spacing w:after="120"/>
        <w:ind w:left="567" w:hanging="567"/>
        <w:contextualSpacing w:val="0"/>
        <w:rPr>
          <w:rFonts w:ascii="Arial" w:eastAsia="SimSun" w:hAnsi="Arial" w:cs="Arial"/>
          <w:sz w:val="22"/>
          <w:szCs w:val="22"/>
          <w:u w:val="single"/>
        </w:rPr>
      </w:pPr>
      <w:r w:rsidRPr="00771F30">
        <w:rPr>
          <w:rFonts w:ascii="Arial" w:eastAsia="SimSun" w:hAnsi="Arial" w:cs="Arial"/>
          <w:sz w:val="22"/>
          <w:szCs w:val="22"/>
          <w:u w:val="single"/>
        </w:rPr>
        <w:t>Ayant examiné</w:t>
      </w:r>
      <w:r w:rsidRPr="00771F30">
        <w:rPr>
          <w:rFonts w:ascii="Arial" w:eastAsia="SimSun" w:hAnsi="Arial" w:cs="Arial"/>
          <w:sz w:val="22"/>
          <w:szCs w:val="22"/>
        </w:rPr>
        <w:t xml:space="preserve"> le document </w:t>
      </w:r>
      <w:hyperlink r:id="rId87" w:history="1">
        <w:r w:rsidRPr="00771F30">
          <w:rPr>
            <w:rStyle w:val="Hyperlink"/>
            <w:rFonts w:ascii="Arial" w:eastAsia="SimSun" w:hAnsi="Arial" w:cs="Arial"/>
            <w:sz w:val="22"/>
            <w:szCs w:val="22"/>
          </w:rPr>
          <w:t>LHE/19/14.COM/15</w:t>
        </w:r>
      </w:hyperlink>
      <w:r w:rsidRPr="00771F30">
        <w:rPr>
          <w:rFonts w:ascii="Arial" w:eastAsia="SimSun" w:hAnsi="Arial" w:cs="Arial"/>
          <w:sz w:val="22"/>
          <w:szCs w:val="22"/>
        </w:rPr>
        <w:t>,</w:t>
      </w:r>
    </w:p>
    <w:p w14:paraId="72F9AD6C" w14:textId="77777777" w:rsidR="00771F30" w:rsidRPr="00771F30" w:rsidRDefault="00771F30" w:rsidP="003701B9">
      <w:pPr>
        <w:pStyle w:val="ListParagraph"/>
        <w:numPr>
          <w:ilvl w:val="0"/>
          <w:numId w:val="56"/>
        </w:numPr>
        <w:tabs>
          <w:tab w:val="left" w:pos="567"/>
        </w:tabs>
        <w:autoSpaceDE w:val="0"/>
        <w:autoSpaceDN w:val="0"/>
        <w:adjustRightInd w:val="0"/>
        <w:spacing w:after="120"/>
        <w:ind w:left="567" w:hanging="567"/>
        <w:contextualSpacing w:val="0"/>
        <w:jc w:val="both"/>
        <w:rPr>
          <w:rFonts w:ascii="Arial" w:eastAsia="SimSun" w:hAnsi="Arial" w:cs="Arial"/>
          <w:sz w:val="22"/>
          <w:szCs w:val="22"/>
        </w:rPr>
      </w:pPr>
      <w:r w:rsidRPr="00771F30">
        <w:rPr>
          <w:rFonts w:ascii="Arial" w:eastAsia="SimSun" w:hAnsi="Arial" w:cs="Arial"/>
          <w:sz w:val="22"/>
          <w:szCs w:val="22"/>
          <w:u w:val="single"/>
        </w:rPr>
        <w:t>Rappelant</w:t>
      </w:r>
      <w:r w:rsidRPr="00771F30">
        <w:rPr>
          <w:rFonts w:ascii="Arial" w:eastAsia="SimSun" w:hAnsi="Arial" w:cs="Arial"/>
          <w:sz w:val="22"/>
          <w:szCs w:val="22"/>
        </w:rPr>
        <w:t xml:space="preserve"> la </w:t>
      </w:r>
      <w:hyperlink r:id="rId88" w:history="1">
        <w:r w:rsidRPr="00771F30">
          <w:rPr>
            <w:rFonts w:ascii="Arial" w:eastAsia="SimSun" w:hAnsi="Arial" w:cs="Arial"/>
            <w:color w:val="0000FF"/>
            <w:sz w:val="22"/>
            <w:szCs w:val="22"/>
            <w:u w:val="single"/>
          </w:rPr>
          <w:t>résolution 7.GA 11</w:t>
        </w:r>
      </w:hyperlink>
      <w:r w:rsidRPr="00771F30">
        <w:rPr>
          <w:rFonts w:ascii="Arial" w:eastAsia="SimSun" w:hAnsi="Arial" w:cs="Arial"/>
          <w:sz w:val="22"/>
          <w:szCs w:val="22"/>
        </w:rPr>
        <w:t xml:space="preserve">, ainsi que les décisions </w:t>
      </w:r>
      <w:hyperlink r:id="rId89" w:history="1">
        <w:r w:rsidRPr="00771F30">
          <w:rPr>
            <w:rFonts w:ascii="Arial" w:eastAsia="SimSun" w:hAnsi="Arial" w:cs="Arial"/>
            <w:color w:val="0000FF"/>
            <w:sz w:val="22"/>
            <w:szCs w:val="22"/>
            <w:u w:val="single"/>
          </w:rPr>
          <w:t>12.COM 17</w:t>
        </w:r>
      </w:hyperlink>
      <w:r w:rsidRPr="00771F30">
        <w:rPr>
          <w:rFonts w:ascii="Arial" w:eastAsia="SimSun" w:hAnsi="Arial" w:cs="Arial"/>
          <w:sz w:val="22"/>
          <w:szCs w:val="22"/>
        </w:rPr>
        <w:t xml:space="preserve"> et </w:t>
      </w:r>
      <w:hyperlink r:id="rId90" w:history="1">
        <w:r w:rsidRPr="00771F30">
          <w:rPr>
            <w:rFonts w:ascii="Arial" w:eastAsia="SimSun" w:hAnsi="Arial" w:cs="Arial"/>
            <w:color w:val="0000FF"/>
            <w:sz w:val="22"/>
            <w:szCs w:val="22"/>
            <w:u w:val="single"/>
          </w:rPr>
          <w:t>13.COM 13</w:t>
        </w:r>
      </w:hyperlink>
      <w:r w:rsidRPr="00771F30">
        <w:rPr>
          <w:rFonts w:ascii="Arial" w:eastAsia="SimSun" w:hAnsi="Arial" w:cs="Arial"/>
          <w:sz w:val="22"/>
          <w:szCs w:val="22"/>
        </w:rPr>
        <w:t>,</w:t>
      </w:r>
    </w:p>
    <w:p w14:paraId="6F7F098F" w14:textId="77777777" w:rsidR="00771F30" w:rsidRPr="00771F30" w:rsidRDefault="00771F30" w:rsidP="003701B9">
      <w:pPr>
        <w:pStyle w:val="ListParagraph"/>
        <w:numPr>
          <w:ilvl w:val="0"/>
          <w:numId w:val="56"/>
        </w:numPr>
        <w:tabs>
          <w:tab w:val="left" w:pos="567"/>
        </w:tabs>
        <w:autoSpaceDE w:val="0"/>
        <w:autoSpaceDN w:val="0"/>
        <w:adjustRightInd w:val="0"/>
        <w:spacing w:after="120"/>
        <w:ind w:left="567" w:hanging="567"/>
        <w:contextualSpacing w:val="0"/>
        <w:jc w:val="both"/>
        <w:rPr>
          <w:rFonts w:ascii="Arial" w:eastAsia="SimSun" w:hAnsi="Arial" w:cs="Arial"/>
          <w:sz w:val="22"/>
          <w:szCs w:val="22"/>
        </w:rPr>
      </w:pPr>
      <w:r w:rsidRPr="00771F30">
        <w:rPr>
          <w:rFonts w:ascii="Arial" w:eastAsia="SimSun" w:hAnsi="Arial" w:cs="Arial"/>
          <w:sz w:val="22"/>
          <w:szCs w:val="22"/>
          <w:u w:val="single"/>
        </w:rPr>
        <w:t>Rappelant en outre</w:t>
      </w:r>
      <w:r w:rsidRPr="00771F30">
        <w:rPr>
          <w:rFonts w:ascii="Arial" w:eastAsia="SimSun" w:hAnsi="Arial" w:cs="Arial"/>
          <w:sz w:val="22"/>
          <w:szCs w:val="22"/>
        </w:rPr>
        <w:t xml:space="preserve"> les documents </w:t>
      </w:r>
      <w:hyperlink r:id="rId91" w:history="1">
        <w:r w:rsidRPr="00771F30">
          <w:rPr>
            <w:rFonts w:ascii="Arial" w:eastAsia="SimSun" w:hAnsi="Arial" w:cs="Arial"/>
            <w:color w:val="0000FF"/>
            <w:sz w:val="22"/>
            <w:szCs w:val="22"/>
            <w:u w:val="single"/>
          </w:rPr>
          <w:t>ITH/17/12.COM/17</w:t>
        </w:r>
      </w:hyperlink>
      <w:r w:rsidRPr="00771F30">
        <w:rPr>
          <w:rFonts w:ascii="Arial" w:eastAsia="SimSun" w:hAnsi="Arial" w:cs="Arial"/>
          <w:sz w:val="22"/>
          <w:szCs w:val="22"/>
        </w:rPr>
        <w:t xml:space="preserve"> et </w:t>
      </w:r>
      <w:hyperlink r:id="rId92" w:history="1">
        <w:r w:rsidRPr="00771F30">
          <w:rPr>
            <w:rFonts w:ascii="Arial" w:eastAsia="SimSun" w:hAnsi="Arial" w:cs="Arial"/>
            <w:color w:val="0000FF"/>
            <w:sz w:val="22"/>
            <w:szCs w:val="22"/>
            <w:u w:val="single"/>
          </w:rPr>
          <w:t>ITH/18/13.COM/13</w:t>
        </w:r>
      </w:hyperlink>
      <w:r w:rsidRPr="00771F30">
        <w:rPr>
          <w:rFonts w:ascii="Arial" w:eastAsia="SimSun" w:hAnsi="Arial" w:cs="Arial"/>
          <w:sz w:val="22"/>
          <w:szCs w:val="22"/>
        </w:rPr>
        <w:t xml:space="preserve">, ainsi que les documents </w:t>
      </w:r>
      <w:hyperlink r:id="rId93" w:history="1">
        <w:r w:rsidRPr="00771F30">
          <w:rPr>
            <w:rFonts w:ascii="Arial" w:eastAsia="SimSun" w:hAnsi="Arial" w:cs="Arial"/>
            <w:color w:val="0000FF"/>
            <w:sz w:val="22"/>
            <w:szCs w:val="22"/>
            <w:u w:val="single"/>
          </w:rPr>
          <w:t>LHE/19/NGO/2</w:t>
        </w:r>
      </w:hyperlink>
      <w:r w:rsidRPr="00771F30">
        <w:rPr>
          <w:rFonts w:ascii="Arial" w:eastAsia="SimSun" w:hAnsi="Arial" w:cs="Arial"/>
          <w:sz w:val="22"/>
          <w:szCs w:val="22"/>
        </w:rPr>
        <w:t xml:space="preserve"> et </w:t>
      </w:r>
      <w:hyperlink r:id="rId94" w:history="1">
        <w:r w:rsidRPr="00771F30">
          <w:rPr>
            <w:rFonts w:ascii="Arial" w:eastAsia="SimSun" w:hAnsi="Arial" w:cs="Arial"/>
            <w:color w:val="0000FF"/>
            <w:sz w:val="22"/>
            <w:szCs w:val="22"/>
            <w:u w:val="single"/>
          </w:rPr>
          <w:t>LHE/19/NGO/3</w:t>
        </w:r>
      </w:hyperlink>
      <w:r w:rsidRPr="00771F30">
        <w:rPr>
          <w:rFonts w:ascii="Arial" w:eastAsia="SimSun" w:hAnsi="Arial" w:cs="Arial"/>
          <w:sz w:val="22"/>
          <w:szCs w:val="22"/>
        </w:rPr>
        <w:t xml:space="preserve"> élaborés durant le processus de réflexion sur les fonctions consultatives à exécuter par les organisations non-gouvernementales accréditées,</w:t>
      </w:r>
    </w:p>
    <w:p w14:paraId="779EA091" w14:textId="243CC0CA" w:rsidR="00771F30" w:rsidRDefault="00771F30" w:rsidP="003701B9">
      <w:pPr>
        <w:pStyle w:val="ListParagraph"/>
        <w:numPr>
          <w:ilvl w:val="0"/>
          <w:numId w:val="56"/>
        </w:numPr>
        <w:tabs>
          <w:tab w:val="left" w:pos="567"/>
        </w:tabs>
        <w:autoSpaceDE w:val="0"/>
        <w:autoSpaceDN w:val="0"/>
        <w:adjustRightInd w:val="0"/>
        <w:spacing w:after="120"/>
        <w:ind w:left="567" w:hanging="567"/>
        <w:contextualSpacing w:val="0"/>
        <w:jc w:val="both"/>
        <w:rPr>
          <w:rFonts w:ascii="Arial" w:eastAsia="SimSun" w:hAnsi="Arial" w:cs="Arial"/>
          <w:sz w:val="22"/>
          <w:szCs w:val="22"/>
        </w:rPr>
      </w:pPr>
      <w:r w:rsidRPr="00771F30">
        <w:rPr>
          <w:rFonts w:ascii="Arial" w:eastAsia="SimSun" w:hAnsi="Arial" w:cs="Arial"/>
          <w:sz w:val="22"/>
          <w:szCs w:val="22"/>
          <w:u w:val="single"/>
        </w:rPr>
        <w:t>Remercie</w:t>
      </w:r>
      <w:r w:rsidRPr="00771F30">
        <w:rPr>
          <w:rFonts w:ascii="Arial" w:eastAsia="SimSun" w:hAnsi="Arial" w:cs="Arial"/>
          <w:sz w:val="22"/>
          <w:szCs w:val="22"/>
        </w:rPr>
        <w:t xml:space="preserve"> le Secrétariat, les organisations non gouvernementales accréditées, le Forum des ONG-PCI, le groupe de travail informel ad hoc à composition non limitée et les États parties pour la réflexion qu</w:t>
      </w:r>
      <w:r w:rsidR="009C104E">
        <w:rPr>
          <w:rFonts w:ascii="Arial" w:eastAsia="SimSun" w:hAnsi="Arial" w:cs="Arial"/>
          <w:sz w:val="22"/>
          <w:szCs w:val="22"/>
        </w:rPr>
        <w:t>’</w:t>
      </w:r>
      <w:r w:rsidRPr="00771F30">
        <w:rPr>
          <w:rFonts w:ascii="Arial" w:eastAsia="SimSun" w:hAnsi="Arial" w:cs="Arial"/>
          <w:sz w:val="22"/>
          <w:szCs w:val="22"/>
        </w:rPr>
        <w:t>ils ont menée sur les fonctions consultatives à remplir par les organisations non gouvernementales ;</w:t>
      </w:r>
    </w:p>
    <w:p w14:paraId="49BCCE70" w14:textId="0379ECA9" w:rsidR="004B1736" w:rsidRPr="00A34F69" w:rsidRDefault="0074046D" w:rsidP="003701B9">
      <w:pPr>
        <w:pStyle w:val="ListParagraph"/>
        <w:numPr>
          <w:ilvl w:val="0"/>
          <w:numId w:val="56"/>
        </w:numPr>
        <w:tabs>
          <w:tab w:val="left" w:pos="567"/>
        </w:tabs>
        <w:autoSpaceDE w:val="0"/>
        <w:autoSpaceDN w:val="0"/>
        <w:adjustRightInd w:val="0"/>
        <w:spacing w:after="120"/>
        <w:ind w:left="567" w:hanging="567"/>
        <w:contextualSpacing w:val="0"/>
        <w:jc w:val="both"/>
        <w:rPr>
          <w:rFonts w:ascii="Arial" w:eastAsia="SimSun" w:hAnsi="Arial" w:cs="Arial"/>
          <w:sz w:val="22"/>
          <w:szCs w:val="22"/>
        </w:rPr>
      </w:pPr>
      <w:r w:rsidRPr="000A51CE">
        <w:rPr>
          <w:rFonts w:ascii="Arial" w:eastAsia="SimSun" w:hAnsi="Arial" w:cs="Arial"/>
          <w:sz w:val="22"/>
          <w:szCs w:val="22"/>
          <w:u w:val="single"/>
        </w:rPr>
        <w:t>Reconna</w:t>
      </w:r>
      <w:r>
        <w:rPr>
          <w:rFonts w:ascii="Arial" w:eastAsia="SimSun" w:hAnsi="Arial" w:cs="Arial"/>
          <w:sz w:val="22"/>
          <w:szCs w:val="22"/>
          <w:u w:val="single"/>
        </w:rPr>
        <w:t>î</w:t>
      </w:r>
      <w:r w:rsidRPr="000A51CE">
        <w:rPr>
          <w:rFonts w:ascii="Arial" w:eastAsia="SimSun" w:hAnsi="Arial" w:cs="Arial"/>
          <w:sz w:val="22"/>
          <w:szCs w:val="22"/>
          <w:u w:val="single"/>
        </w:rPr>
        <w:t>t</w:t>
      </w:r>
      <w:r w:rsidRPr="002D6108">
        <w:rPr>
          <w:rFonts w:ascii="Arial" w:eastAsia="SimSun" w:hAnsi="Arial" w:cs="Arial"/>
          <w:sz w:val="22"/>
          <w:szCs w:val="22"/>
        </w:rPr>
        <w:t xml:space="preserve"> </w:t>
      </w:r>
      <w:r w:rsidR="004B1736" w:rsidRPr="002D6108">
        <w:rPr>
          <w:rFonts w:ascii="Arial" w:eastAsia="SimSun" w:hAnsi="Arial" w:cs="Arial"/>
          <w:sz w:val="22"/>
          <w:szCs w:val="22"/>
        </w:rPr>
        <w:t xml:space="preserve">le rôle important et le potentiel inexploité du Forum des ONG-PCI et des organisations non gouvernementales accréditées dans l’appui à la mise en œuvre de la Convention ; </w:t>
      </w:r>
    </w:p>
    <w:p w14:paraId="1B82D0FD" w14:textId="77777777" w:rsidR="00771F30" w:rsidRPr="00771F30" w:rsidRDefault="00771F30" w:rsidP="003701B9">
      <w:pPr>
        <w:pStyle w:val="ListParagraph"/>
        <w:numPr>
          <w:ilvl w:val="0"/>
          <w:numId w:val="56"/>
        </w:numPr>
        <w:tabs>
          <w:tab w:val="left" w:pos="567"/>
        </w:tabs>
        <w:autoSpaceDE w:val="0"/>
        <w:autoSpaceDN w:val="0"/>
        <w:adjustRightInd w:val="0"/>
        <w:spacing w:after="120"/>
        <w:ind w:left="567" w:hanging="567"/>
        <w:contextualSpacing w:val="0"/>
        <w:jc w:val="both"/>
        <w:rPr>
          <w:rFonts w:ascii="Arial" w:eastAsia="SimSun" w:hAnsi="Arial" w:cs="Arial"/>
          <w:sz w:val="22"/>
          <w:szCs w:val="22"/>
        </w:rPr>
      </w:pPr>
      <w:r w:rsidRPr="00771F30">
        <w:rPr>
          <w:rFonts w:ascii="Arial" w:eastAsia="SimSun" w:hAnsi="Arial" w:cs="Arial"/>
          <w:sz w:val="22"/>
          <w:szCs w:val="22"/>
          <w:u w:val="single"/>
        </w:rPr>
        <w:t>Demande</w:t>
      </w:r>
      <w:r w:rsidRPr="00771F30">
        <w:rPr>
          <w:rFonts w:ascii="Arial" w:eastAsia="SimSun" w:hAnsi="Arial" w:cs="Arial"/>
          <w:sz w:val="22"/>
          <w:szCs w:val="22"/>
        </w:rPr>
        <w:t xml:space="preserve"> au Secrétariat de recueillir des informations pertinentes auprès des organisations non gouvernementales accréditées afin de réaliser une cartographie de leurs domaines de compétence, en tenant compte de leurs capacités ;</w:t>
      </w:r>
    </w:p>
    <w:p w14:paraId="04984C8F" w14:textId="77777777" w:rsidR="00771F30" w:rsidRPr="00771F30" w:rsidRDefault="00771F30" w:rsidP="003701B9">
      <w:pPr>
        <w:pStyle w:val="ListParagraph"/>
        <w:numPr>
          <w:ilvl w:val="0"/>
          <w:numId w:val="56"/>
        </w:numPr>
        <w:tabs>
          <w:tab w:val="left" w:pos="567"/>
        </w:tabs>
        <w:autoSpaceDE w:val="0"/>
        <w:autoSpaceDN w:val="0"/>
        <w:adjustRightInd w:val="0"/>
        <w:spacing w:after="120"/>
        <w:ind w:left="567" w:hanging="567"/>
        <w:contextualSpacing w:val="0"/>
        <w:jc w:val="both"/>
        <w:rPr>
          <w:rFonts w:ascii="Arial" w:eastAsia="SimSun" w:hAnsi="Arial" w:cs="Arial"/>
          <w:sz w:val="22"/>
          <w:szCs w:val="22"/>
        </w:rPr>
      </w:pPr>
      <w:r w:rsidRPr="00771F30">
        <w:rPr>
          <w:rFonts w:ascii="Arial" w:eastAsia="SimSun" w:hAnsi="Arial" w:cs="Arial"/>
          <w:sz w:val="22"/>
          <w:szCs w:val="22"/>
          <w:u w:val="single"/>
        </w:rPr>
        <w:t>Encourage</w:t>
      </w:r>
      <w:r w:rsidRPr="00771F30">
        <w:rPr>
          <w:rFonts w:ascii="Arial" w:eastAsia="SimSun" w:hAnsi="Arial" w:cs="Arial"/>
          <w:sz w:val="22"/>
          <w:szCs w:val="22"/>
        </w:rPr>
        <w:t xml:space="preserve"> les États parties, le Forum des ONG-PCI, les organisations non gouvernementales accréditées, les centres de catégorie 2 et les Chaires UNESCO à organiser des activités de renforcement des capacités pour les organisations non gouvernementales récemment accréditées et les organisations non gouvernementales intéressées par une future accréditation, en prêtant une attention particulière aux organisations non gouvernementales provenant de régions sous-représentées ;</w:t>
      </w:r>
    </w:p>
    <w:p w14:paraId="45829539" w14:textId="77777777" w:rsidR="004B1736" w:rsidRDefault="00771F30" w:rsidP="003701B9">
      <w:pPr>
        <w:pStyle w:val="ListParagraph"/>
        <w:numPr>
          <w:ilvl w:val="0"/>
          <w:numId w:val="56"/>
        </w:numPr>
        <w:tabs>
          <w:tab w:val="left" w:pos="567"/>
        </w:tabs>
        <w:autoSpaceDE w:val="0"/>
        <w:autoSpaceDN w:val="0"/>
        <w:adjustRightInd w:val="0"/>
        <w:spacing w:after="120"/>
        <w:ind w:left="567" w:hanging="567"/>
        <w:contextualSpacing w:val="0"/>
        <w:jc w:val="both"/>
        <w:rPr>
          <w:rFonts w:ascii="Arial" w:eastAsia="SimSun" w:hAnsi="Arial" w:cs="Arial"/>
          <w:sz w:val="22"/>
          <w:szCs w:val="22"/>
        </w:rPr>
      </w:pPr>
      <w:r w:rsidRPr="00771F30">
        <w:rPr>
          <w:rFonts w:ascii="Arial" w:eastAsia="SimSun" w:hAnsi="Arial" w:cs="Arial"/>
          <w:sz w:val="22"/>
          <w:szCs w:val="22"/>
          <w:u w:val="single"/>
        </w:rPr>
        <w:t>Demande en outre</w:t>
      </w:r>
      <w:r w:rsidRPr="00771F30">
        <w:rPr>
          <w:rFonts w:ascii="Arial" w:eastAsia="SimSun" w:hAnsi="Arial" w:cs="Arial"/>
          <w:sz w:val="22"/>
          <w:szCs w:val="22"/>
        </w:rPr>
        <w:t xml:space="preserve"> que le Secrétariat rende compte des conclusions du processus de consultation à la huitième session de l</w:t>
      </w:r>
      <w:r w:rsidR="009C104E">
        <w:rPr>
          <w:rFonts w:ascii="Arial" w:eastAsia="SimSun" w:hAnsi="Arial" w:cs="Arial"/>
          <w:sz w:val="22"/>
          <w:szCs w:val="22"/>
        </w:rPr>
        <w:t>’</w:t>
      </w:r>
      <w:r w:rsidRPr="00771F30">
        <w:rPr>
          <w:rFonts w:ascii="Arial" w:eastAsia="SimSun" w:hAnsi="Arial" w:cs="Arial"/>
          <w:sz w:val="22"/>
          <w:szCs w:val="22"/>
        </w:rPr>
        <w:t>Assemblée générale en 2020</w:t>
      </w:r>
      <w:r w:rsidR="004B1736">
        <w:rPr>
          <w:rFonts w:ascii="Arial" w:eastAsia="SimSun" w:hAnsi="Arial" w:cs="Arial"/>
          <w:sz w:val="22"/>
          <w:szCs w:val="22"/>
        </w:rPr>
        <w:t xml:space="preserve"> ; </w:t>
      </w:r>
    </w:p>
    <w:p w14:paraId="61BDCAD6" w14:textId="2B6CE588" w:rsidR="00771F30" w:rsidRPr="000A51CE" w:rsidRDefault="004B1736" w:rsidP="003701B9">
      <w:pPr>
        <w:pStyle w:val="ListParagraph"/>
        <w:numPr>
          <w:ilvl w:val="0"/>
          <w:numId w:val="56"/>
        </w:numPr>
        <w:tabs>
          <w:tab w:val="left" w:pos="567"/>
        </w:tabs>
        <w:autoSpaceDE w:val="0"/>
        <w:autoSpaceDN w:val="0"/>
        <w:adjustRightInd w:val="0"/>
        <w:spacing w:after="120"/>
        <w:ind w:left="567" w:hanging="567"/>
        <w:contextualSpacing w:val="0"/>
        <w:jc w:val="both"/>
        <w:rPr>
          <w:rFonts w:ascii="Arial" w:eastAsia="SimSun" w:hAnsi="Arial" w:cs="Arial"/>
          <w:sz w:val="22"/>
          <w:szCs w:val="22"/>
        </w:rPr>
      </w:pPr>
      <w:r w:rsidRPr="002D6108">
        <w:rPr>
          <w:rFonts w:ascii="Arial" w:eastAsia="SimSun" w:hAnsi="Arial" w:cs="Arial"/>
          <w:sz w:val="22"/>
          <w:szCs w:val="22"/>
          <w:u w:val="single"/>
        </w:rPr>
        <w:t>Décide d’inscrire</w:t>
      </w:r>
      <w:r w:rsidR="00F7202F" w:rsidRPr="00F7202F">
        <w:rPr>
          <w:rFonts w:ascii="Arial" w:eastAsia="SimSun" w:hAnsi="Arial" w:cs="Arial"/>
          <w:sz w:val="22"/>
          <w:szCs w:val="22"/>
        </w:rPr>
        <w:t xml:space="preserve"> </w:t>
      </w:r>
      <w:r w:rsidR="00F7202F" w:rsidRPr="002D6108">
        <w:rPr>
          <w:rFonts w:ascii="Arial" w:eastAsia="SimSun" w:hAnsi="Arial" w:cs="Arial"/>
          <w:sz w:val="22"/>
          <w:szCs w:val="22"/>
        </w:rPr>
        <w:t xml:space="preserve">un point </w:t>
      </w:r>
      <w:r w:rsidR="00F7202F">
        <w:rPr>
          <w:rFonts w:ascii="Arial" w:eastAsia="SimSun" w:hAnsi="Arial" w:cs="Arial"/>
          <w:sz w:val="22"/>
          <w:szCs w:val="22"/>
        </w:rPr>
        <w:t>sépar</w:t>
      </w:r>
      <w:r w:rsidR="00F7202F" w:rsidRPr="00FF4F49">
        <w:rPr>
          <w:rFonts w:ascii="Arial" w:eastAsia="SimSun" w:hAnsi="Arial" w:cs="Arial"/>
          <w:sz w:val="22"/>
          <w:szCs w:val="22"/>
        </w:rPr>
        <w:t>é</w:t>
      </w:r>
      <w:r w:rsidR="00F7202F">
        <w:rPr>
          <w:rFonts w:ascii="Arial" w:eastAsia="SimSun" w:hAnsi="Arial" w:cs="Arial"/>
          <w:sz w:val="22"/>
          <w:szCs w:val="22"/>
        </w:rPr>
        <w:t xml:space="preserve"> </w:t>
      </w:r>
      <w:r w:rsidR="00F7202F" w:rsidRPr="002D6108">
        <w:rPr>
          <w:rFonts w:ascii="Arial" w:eastAsia="SimSun" w:hAnsi="Arial" w:cs="Arial"/>
          <w:sz w:val="22"/>
          <w:szCs w:val="22"/>
        </w:rPr>
        <w:t>sur le « Rapport du Forum des organisations non gouvernementales »</w:t>
      </w:r>
      <w:r w:rsidR="003701B9">
        <w:rPr>
          <w:rFonts w:ascii="Arial" w:eastAsia="SimSun" w:hAnsi="Arial" w:cs="Arial"/>
          <w:sz w:val="22"/>
          <w:szCs w:val="22"/>
        </w:rPr>
        <w:t xml:space="preserve">, </w:t>
      </w:r>
      <w:r w:rsidR="003701B9" w:rsidRPr="00FF4F49">
        <w:rPr>
          <w:rFonts w:ascii="Arial" w:eastAsia="SimSun" w:hAnsi="Arial" w:cs="Arial"/>
          <w:sz w:val="22"/>
          <w:szCs w:val="22"/>
        </w:rPr>
        <w:t xml:space="preserve">sur une base expérimentale, </w:t>
      </w:r>
      <w:r w:rsidR="00F7202F">
        <w:rPr>
          <w:rFonts w:ascii="Arial" w:hAnsi="Arial" w:cs="Arial"/>
          <w:sz w:val="22"/>
          <w:szCs w:val="22"/>
        </w:rPr>
        <w:t>pour</w:t>
      </w:r>
      <w:r w:rsidRPr="002D6108">
        <w:rPr>
          <w:rFonts w:ascii="Arial" w:eastAsia="SimSun" w:hAnsi="Arial" w:cs="Arial"/>
          <w:sz w:val="22"/>
          <w:szCs w:val="22"/>
        </w:rPr>
        <w:t xml:space="preserve"> sa quinzième session. </w:t>
      </w:r>
    </w:p>
    <w:p w14:paraId="491B591F" w14:textId="77777777" w:rsidR="00771F30" w:rsidRDefault="00771F30" w:rsidP="00771F30">
      <w:pPr>
        <w:pStyle w:val="COMTitleDecision"/>
        <w:spacing w:before="360"/>
        <w:ind w:left="0"/>
      </w:pPr>
      <w:r>
        <w:t>DÉCISION 14.COM 16</w:t>
      </w:r>
    </w:p>
    <w:p w14:paraId="3936CAE3" w14:textId="77777777" w:rsidR="00771F30" w:rsidRDefault="00771F30" w:rsidP="00771F30">
      <w:pPr>
        <w:pStyle w:val="COMPreambulaDecisions"/>
        <w:ind w:left="0"/>
        <w:rPr>
          <w:rFonts w:eastAsia="SimSun"/>
        </w:rPr>
      </w:pPr>
      <w:r>
        <w:t>Le Comité,</w:t>
      </w:r>
    </w:p>
    <w:p w14:paraId="06122B07" w14:textId="77777777" w:rsidR="00771F30" w:rsidRDefault="00771F30" w:rsidP="003701B9">
      <w:pPr>
        <w:pStyle w:val="ListParagraph"/>
        <w:numPr>
          <w:ilvl w:val="0"/>
          <w:numId w:val="57"/>
        </w:numPr>
        <w:spacing w:after="120"/>
        <w:ind w:left="567" w:hanging="567"/>
        <w:contextualSpacing w:val="0"/>
        <w:jc w:val="both"/>
        <w:rPr>
          <w:rFonts w:ascii="Arial" w:hAnsi="Arial" w:cs="Arial"/>
          <w:sz w:val="22"/>
        </w:rPr>
      </w:pPr>
      <w:r>
        <w:rPr>
          <w:rFonts w:ascii="Arial" w:hAnsi="Arial" w:cs="Arial"/>
          <w:sz w:val="22"/>
          <w:u w:val="single"/>
        </w:rPr>
        <w:t>Ayant examiné</w:t>
      </w:r>
      <w:r w:rsidRPr="00B932EA">
        <w:rPr>
          <w:rFonts w:ascii="Arial" w:hAnsi="Arial" w:cs="Arial"/>
          <w:sz w:val="22"/>
        </w:rPr>
        <w:t xml:space="preserve"> </w:t>
      </w:r>
      <w:r>
        <w:rPr>
          <w:rFonts w:ascii="Arial" w:hAnsi="Arial" w:cs="Arial"/>
          <w:sz w:val="22"/>
        </w:rPr>
        <w:t xml:space="preserve">le document </w:t>
      </w:r>
      <w:hyperlink r:id="rId95" w:history="1">
        <w:r w:rsidRPr="00771F30">
          <w:rPr>
            <w:rStyle w:val="Hyperlink"/>
            <w:rFonts w:ascii="Arial" w:hAnsi="Arial" w:cs="Arial"/>
            <w:sz w:val="22"/>
          </w:rPr>
          <w:t>LHE/19/14.COM/16</w:t>
        </w:r>
      </w:hyperlink>
      <w:r>
        <w:rPr>
          <w:rFonts w:ascii="Arial" w:hAnsi="Arial" w:cs="Arial"/>
          <w:sz w:val="22"/>
        </w:rPr>
        <w:t>,</w:t>
      </w:r>
    </w:p>
    <w:p w14:paraId="020966BE" w14:textId="77777777" w:rsidR="00771F30" w:rsidRDefault="00771F30" w:rsidP="003701B9">
      <w:pPr>
        <w:pStyle w:val="ListParagraph"/>
        <w:numPr>
          <w:ilvl w:val="0"/>
          <w:numId w:val="57"/>
        </w:numPr>
        <w:spacing w:after="120"/>
        <w:ind w:left="567" w:hanging="567"/>
        <w:contextualSpacing w:val="0"/>
        <w:jc w:val="both"/>
        <w:rPr>
          <w:rFonts w:ascii="Arial" w:hAnsi="Arial" w:cs="Arial"/>
          <w:sz w:val="22"/>
        </w:rPr>
      </w:pPr>
      <w:r>
        <w:rPr>
          <w:rFonts w:ascii="Arial" w:hAnsi="Arial" w:cs="Arial"/>
          <w:sz w:val="22"/>
          <w:u w:val="single"/>
        </w:rPr>
        <w:t>Rappelant</w:t>
      </w:r>
      <w:r>
        <w:rPr>
          <w:rFonts w:ascii="Arial" w:hAnsi="Arial" w:cs="Arial"/>
          <w:sz w:val="22"/>
        </w:rPr>
        <w:t xml:space="preserve"> la </w:t>
      </w:r>
      <w:hyperlink r:id="rId96" w:history="1">
        <w:r>
          <w:rPr>
            <w:rStyle w:val="Hyperlink"/>
            <w:rFonts w:ascii="Arial" w:hAnsi="Arial" w:cs="Arial"/>
            <w:sz w:val="22"/>
          </w:rPr>
          <w:t>décision 11.COM 10</w:t>
        </w:r>
      </w:hyperlink>
      <w:r>
        <w:t xml:space="preserve">, </w:t>
      </w:r>
      <w:r>
        <w:rPr>
          <w:rFonts w:ascii="Arial" w:hAnsi="Arial" w:cs="Arial"/>
          <w:sz w:val="22"/>
          <w:szCs w:val="22"/>
        </w:rPr>
        <w:t>la</w:t>
      </w:r>
      <w:r>
        <w:t xml:space="preserve"> </w:t>
      </w:r>
      <w:r>
        <w:rPr>
          <w:rFonts w:ascii="Arial" w:hAnsi="Arial" w:cs="Arial"/>
          <w:sz w:val="22"/>
        </w:rPr>
        <w:t xml:space="preserve"> </w:t>
      </w:r>
      <w:hyperlink r:id="rId97" w:history="1">
        <w:r>
          <w:rPr>
            <w:rStyle w:val="Hyperlink"/>
            <w:rFonts w:ascii="Arial" w:hAnsi="Arial" w:cs="Arial"/>
            <w:sz w:val="22"/>
          </w:rPr>
          <w:t>décision 12.COM 13</w:t>
        </w:r>
      </w:hyperlink>
      <w:r>
        <w:t xml:space="preserve"> </w:t>
      </w:r>
      <w:r>
        <w:rPr>
          <w:rFonts w:ascii="Arial" w:hAnsi="Arial" w:cs="Arial"/>
          <w:sz w:val="22"/>
        </w:rPr>
        <w:t xml:space="preserve">et la </w:t>
      </w:r>
      <w:hyperlink r:id="rId98" w:history="1">
        <w:r>
          <w:rPr>
            <w:rStyle w:val="Hyperlink"/>
            <w:rFonts w:ascii="Arial" w:hAnsi="Arial" w:cs="Arial"/>
            <w:sz w:val="22"/>
          </w:rPr>
          <w:t>décision 13.COM 16</w:t>
        </w:r>
      </w:hyperlink>
      <w:r>
        <w:rPr>
          <w:rFonts w:ascii="Arial" w:hAnsi="Arial" w:cs="Arial"/>
          <w:sz w:val="22"/>
        </w:rPr>
        <w:t xml:space="preserve"> ainsi que la </w:t>
      </w:r>
      <w:hyperlink r:id="rId99" w:history="1">
        <w:r>
          <w:rPr>
            <w:rStyle w:val="Hyperlink"/>
            <w:rFonts w:ascii="Arial" w:hAnsi="Arial" w:cs="Arial"/>
            <w:sz w:val="22"/>
          </w:rPr>
          <w:t>résolution 7.GA 6</w:t>
        </w:r>
      </w:hyperlink>
      <w:r>
        <w:rPr>
          <w:rFonts w:ascii="Arial" w:hAnsi="Arial" w:cs="Arial"/>
          <w:sz w:val="22"/>
        </w:rPr>
        <w:t>,</w:t>
      </w:r>
    </w:p>
    <w:p w14:paraId="3DB7272B" w14:textId="77777777" w:rsidR="00771F30" w:rsidRDefault="00771F30" w:rsidP="003701B9">
      <w:pPr>
        <w:pStyle w:val="ListParagraph"/>
        <w:numPr>
          <w:ilvl w:val="0"/>
          <w:numId w:val="57"/>
        </w:numPr>
        <w:spacing w:after="120"/>
        <w:ind w:left="567" w:hanging="567"/>
        <w:contextualSpacing w:val="0"/>
        <w:jc w:val="both"/>
        <w:rPr>
          <w:rFonts w:ascii="Arial" w:hAnsi="Arial" w:cs="Arial"/>
          <w:sz w:val="22"/>
        </w:rPr>
      </w:pPr>
      <w:r>
        <w:rPr>
          <w:rFonts w:ascii="Arial" w:hAnsi="Arial" w:cs="Arial"/>
          <w:sz w:val="22"/>
          <w:u w:val="single"/>
        </w:rPr>
        <w:t>Félicite</w:t>
      </w:r>
      <w:r>
        <w:rPr>
          <w:rFonts w:ascii="Arial" w:hAnsi="Arial" w:cs="Arial"/>
          <w:sz w:val="22"/>
        </w:rPr>
        <w:t xml:space="preserve"> le groupe de travail informel ad hoc à composition non limitée présidé par la Colombie pour son travail et </w:t>
      </w:r>
      <w:r>
        <w:rPr>
          <w:rFonts w:ascii="Arial" w:hAnsi="Arial" w:cs="Arial"/>
          <w:sz w:val="22"/>
          <w:u w:val="single"/>
        </w:rPr>
        <w:t>accueille favorablement</w:t>
      </w:r>
      <w:r>
        <w:rPr>
          <w:rFonts w:ascii="Arial" w:hAnsi="Arial" w:cs="Arial"/>
          <w:sz w:val="22"/>
        </w:rPr>
        <w:t xml:space="preserve"> son rapport ;</w:t>
      </w:r>
    </w:p>
    <w:p w14:paraId="3666738B" w14:textId="775B86C8" w:rsidR="00771F30" w:rsidRDefault="00771F30" w:rsidP="003701B9">
      <w:pPr>
        <w:pStyle w:val="ListParagraph"/>
        <w:numPr>
          <w:ilvl w:val="0"/>
          <w:numId w:val="57"/>
        </w:numPr>
        <w:spacing w:after="120"/>
        <w:ind w:left="567" w:hanging="567"/>
        <w:contextualSpacing w:val="0"/>
        <w:jc w:val="both"/>
        <w:rPr>
          <w:rFonts w:ascii="Arial" w:hAnsi="Arial" w:cs="Arial"/>
          <w:sz w:val="22"/>
        </w:rPr>
      </w:pPr>
      <w:r>
        <w:rPr>
          <w:rFonts w:ascii="Arial" w:hAnsi="Arial" w:cs="Arial"/>
          <w:sz w:val="22"/>
          <w:u w:val="single"/>
        </w:rPr>
        <w:t>Approuve</w:t>
      </w:r>
      <w:r>
        <w:rPr>
          <w:rFonts w:ascii="Arial" w:hAnsi="Arial" w:cs="Arial"/>
          <w:sz w:val="22"/>
        </w:rPr>
        <w:t xml:space="preserve"> les recommandations du groupe de travail informel ad hoc tels qu</w:t>
      </w:r>
      <w:r w:rsidR="009C104E">
        <w:rPr>
          <w:rFonts w:ascii="Arial" w:hAnsi="Arial" w:cs="Arial"/>
          <w:sz w:val="22"/>
        </w:rPr>
        <w:t>’</w:t>
      </w:r>
      <w:r>
        <w:rPr>
          <w:rFonts w:ascii="Arial" w:hAnsi="Arial" w:cs="Arial"/>
          <w:sz w:val="22"/>
        </w:rPr>
        <w:t xml:space="preserve">exposées en annexe du document </w:t>
      </w:r>
      <w:hyperlink r:id="rId100" w:history="1">
        <w:r w:rsidRPr="00F7202F">
          <w:rPr>
            <w:rStyle w:val="Hyperlink"/>
            <w:rFonts w:ascii="Arial" w:hAnsi="Arial" w:cs="Arial"/>
            <w:sz w:val="22"/>
          </w:rPr>
          <w:t>LHE/19/14.COM/16</w:t>
        </w:r>
      </w:hyperlink>
      <w:r>
        <w:rPr>
          <w:rFonts w:ascii="Arial" w:hAnsi="Arial" w:cs="Arial"/>
          <w:sz w:val="22"/>
        </w:rPr>
        <w:t> ;</w:t>
      </w:r>
    </w:p>
    <w:p w14:paraId="136B5A97" w14:textId="77777777" w:rsidR="00771F30" w:rsidRDefault="00771F30" w:rsidP="003701B9">
      <w:pPr>
        <w:pStyle w:val="ListParagraph"/>
        <w:numPr>
          <w:ilvl w:val="0"/>
          <w:numId w:val="57"/>
        </w:numPr>
        <w:spacing w:after="120"/>
        <w:ind w:left="567" w:hanging="567"/>
        <w:contextualSpacing w:val="0"/>
        <w:jc w:val="both"/>
        <w:rPr>
          <w:rFonts w:ascii="Arial" w:hAnsi="Arial" w:cs="Arial"/>
          <w:sz w:val="22"/>
        </w:rPr>
      </w:pPr>
      <w:r>
        <w:rPr>
          <w:rFonts w:ascii="Arial" w:hAnsi="Arial" w:cs="Arial"/>
          <w:sz w:val="22"/>
          <w:u w:val="single"/>
        </w:rPr>
        <w:t>Demande</w:t>
      </w:r>
      <w:r>
        <w:rPr>
          <w:rFonts w:ascii="Arial" w:hAnsi="Arial" w:cs="Arial"/>
          <w:sz w:val="22"/>
        </w:rPr>
        <w:t xml:space="preserve"> au Secrétariat de mettre en œuvre comme il se doit les recommandations pertinentes du groupe de travail informel ad hoc à composition non limitée.</w:t>
      </w:r>
    </w:p>
    <w:p w14:paraId="1595A3A7" w14:textId="77777777" w:rsidR="00841197" w:rsidRPr="00841197" w:rsidRDefault="00841197" w:rsidP="009C4BA3">
      <w:pPr>
        <w:keepNext/>
        <w:tabs>
          <w:tab w:val="left" w:pos="0"/>
        </w:tabs>
        <w:snapToGrid w:val="0"/>
        <w:spacing w:before="360" w:after="120"/>
        <w:jc w:val="both"/>
        <w:rPr>
          <w:rFonts w:ascii="Arial" w:eastAsia="SimSun" w:hAnsi="Arial" w:cs="Arial"/>
          <w:b/>
          <w:caps/>
          <w:snapToGrid w:val="0"/>
          <w:sz w:val="22"/>
          <w:szCs w:val="22"/>
          <w:lang w:eastAsia="en-US"/>
        </w:rPr>
      </w:pPr>
      <w:r w:rsidRPr="00841197">
        <w:rPr>
          <w:rFonts w:ascii="Arial" w:eastAsia="SimSun" w:hAnsi="Arial" w:cs="Arial"/>
          <w:b/>
          <w:caps/>
          <w:snapToGrid w:val="0"/>
          <w:sz w:val="22"/>
          <w:szCs w:val="22"/>
          <w:lang w:eastAsia="en-US"/>
        </w:rPr>
        <w:t>DÉCISION 14.COM 17</w:t>
      </w:r>
    </w:p>
    <w:p w14:paraId="28B3EFF2" w14:textId="77777777" w:rsidR="00841197" w:rsidRPr="00841197" w:rsidRDefault="00841197" w:rsidP="00841197">
      <w:pPr>
        <w:keepNext/>
        <w:tabs>
          <w:tab w:val="left" w:pos="0"/>
        </w:tabs>
        <w:snapToGrid w:val="0"/>
        <w:spacing w:after="120"/>
        <w:jc w:val="both"/>
        <w:rPr>
          <w:rFonts w:ascii="Arial" w:eastAsia="SimSun" w:hAnsi="Arial" w:cs="Arial"/>
          <w:snapToGrid w:val="0"/>
          <w:sz w:val="22"/>
          <w:szCs w:val="22"/>
          <w:lang w:eastAsia="en-US"/>
        </w:rPr>
      </w:pPr>
      <w:r w:rsidRPr="00841197">
        <w:rPr>
          <w:rFonts w:ascii="Arial" w:eastAsia="SimSun" w:hAnsi="Arial" w:cs="Arial"/>
          <w:snapToGrid w:val="0"/>
          <w:sz w:val="22"/>
          <w:szCs w:val="22"/>
          <w:lang w:eastAsia="en-US"/>
        </w:rPr>
        <w:t>Le Comité,</w:t>
      </w:r>
    </w:p>
    <w:p w14:paraId="1A08EC2F" w14:textId="4564F80F" w:rsidR="00841197" w:rsidRPr="00841197" w:rsidRDefault="00841197" w:rsidP="00841197">
      <w:pPr>
        <w:pStyle w:val="ListParagraph"/>
        <w:numPr>
          <w:ilvl w:val="0"/>
          <w:numId w:val="62"/>
        </w:numPr>
        <w:autoSpaceDE w:val="0"/>
        <w:autoSpaceDN w:val="0"/>
        <w:adjustRightInd w:val="0"/>
        <w:spacing w:after="120"/>
        <w:ind w:left="567" w:hanging="567"/>
        <w:contextualSpacing w:val="0"/>
        <w:jc w:val="both"/>
        <w:rPr>
          <w:rFonts w:ascii="Arial" w:hAnsi="Arial" w:cs="Arial"/>
          <w:sz w:val="22"/>
          <w:szCs w:val="22"/>
          <w:u w:val="single"/>
        </w:rPr>
      </w:pPr>
      <w:r w:rsidRPr="00841197">
        <w:rPr>
          <w:rFonts w:ascii="Arial" w:hAnsi="Arial" w:cs="Arial"/>
          <w:sz w:val="22"/>
          <w:szCs w:val="22"/>
          <w:u w:val="single"/>
        </w:rPr>
        <w:t>Ayant examiné</w:t>
      </w:r>
      <w:r w:rsidRPr="00841197">
        <w:rPr>
          <w:rFonts w:ascii="Arial" w:hAnsi="Arial" w:cs="Arial"/>
          <w:sz w:val="22"/>
          <w:szCs w:val="22"/>
        </w:rPr>
        <w:t xml:space="preserve"> le document </w:t>
      </w:r>
      <w:hyperlink r:id="rId101" w:history="1">
        <w:r w:rsidRPr="009C4BA3">
          <w:rPr>
            <w:rStyle w:val="Hyperlink"/>
            <w:rFonts w:ascii="Arial" w:hAnsi="Arial" w:cs="Arial"/>
            <w:sz w:val="22"/>
            <w:szCs w:val="22"/>
          </w:rPr>
          <w:t>LHE/19/14.COM/17</w:t>
        </w:r>
      </w:hyperlink>
      <w:r w:rsidRPr="00841197">
        <w:rPr>
          <w:rFonts w:ascii="Arial" w:hAnsi="Arial" w:cs="Arial"/>
          <w:sz w:val="22"/>
          <w:szCs w:val="22"/>
        </w:rPr>
        <w:t>, les demandes d</w:t>
      </w:r>
      <w:r w:rsidR="009C104E">
        <w:rPr>
          <w:rFonts w:ascii="Arial" w:hAnsi="Arial" w:cs="Arial"/>
          <w:sz w:val="22"/>
          <w:szCs w:val="22"/>
        </w:rPr>
        <w:t>’</w:t>
      </w:r>
      <w:r w:rsidRPr="00841197">
        <w:rPr>
          <w:rFonts w:ascii="Arial" w:hAnsi="Arial" w:cs="Arial"/>
          <w:sz w:val="22"/>
          <w:szCs w:val="22"/>
        </w:rPr>
        <w:t>accréditations, ainsi que les rapports quadriennaux soumis par les organisations accréditées par l</w:t>
      </w:r>
      <w:r w:rsidR="009C104E">
        <w:rPr>
          <w:rFonts w:ascii="Arial" w:hAnsi="Arial" w:cs="Arial"/>
          <w:sz w:val="22"/>
          <w:szCs w:val="22"/>
        </w:rPr>
        <w:t>’</w:t>
      </w:r>
      <w:r w:rsidRPr="00841197">
        <w:rPr>
          <w:rFonts w:ascii="Arial" w:hAnsi="Arial" w:cs="Arial"/>
          <w:sz w:val="22"/>
          <w:szCs w:val="22"/>
        </w:rPr>
        <w:t>Assemblée générale à sa troisième et sa cinquième session en 2010 et 2014 respectivement,</w:t>
      </w:r>
    </w:p>
    <w:p w14:paraId="635995AC" w14:textId="3F661600" w:rsidR="00841197" w:rsidRPr="00841197" w:rsidRDefault="00841197" w:rsidP="00841197">
      <w:pPr>
        <w:pStyle w:val="ListParagraph"/>
        <w:numPr>
          <w:ilvl w:val="0"/>
          <w:numId w:val="62"/>
        </w:numPr>
        <w:autoSpaceDE w:val="0"/>
        <w:autoSpaceDN w:val="0"/>
        <w:adjustRightInd w:val="0"/>
        <w:spacing w:after="120"/>
        <w:ind w:left="567" w:hanging="567"/>
        <w:contextualSpacing w:val="0"/>
        <w:jc w:val="both"/>
        <w:rPr>
          <w:rFonts w:ascii="Arial" w:hAnsi="Arial" w:cs="Arial"/>
          <w:sz w:val="22"/>
          <w:szCs w:val="22"/>
          <w:u w:val="single"/>
        </w:rPr>
      </w:pPr>
      <w:r w:rsidRPr="00841197">
        <w:rPr>
          <w:rFonts w:ascii="Arial" w:hAnsi="Arial" w:cs="Arial"/>
          <w:sz w:val="22"/>
          <w:szCs w:val="22"/>
          <w:u w:val="single"/>
        </w:rPr>
        <w:t>Rappelant</w:t>
      </w:r>
      <w:r w:rsidRPr="00841197">
        <w:rPr>
          <w:rFonts w:ascii="Arial" w:hAnsi="Arial" w:cs="Arial"/>
          <w:sz w:val="22"/>
          <w:szCs w:val="22"/>
        </w:rPr>
        <w:t xml:space="preserve"> l</w:t>
      </w:r>
      <w:r w:rsidR="009C104E">
        <w:rPr>
          <w:rFonts w:ascii="Arial" w:hAnsi="Arial" w:cs="Arial"/>
          <w:sz w:val="22"/>
          <w:szCs w:val="22"/>
        </w:rPr>
        <w:t>’</w:t>
      </w:r>
      <w:r w:rsidRPr="00841197">
        <w:rPr>
          <w:rFonts w:ascii="Arial" w:hAnsi="Arial" w:cs="Arial"/>
          <w:sz w:val="22"/>
          <w:szCs w:val="22"/>
        </w:rPr>
        <w:t>article 9 de la Convention, le chapitre III.2.2 des Directives opérationnelles,</w:t>
      </w:r>
    </w:p>
    <w:p w14:paraId="7ECFD613" w14:textId="0BAE5672" w:rsidR="00841197" w:rsidRPr="00841197" w:rsidRDefault="00841197" w:rsidP="00841197">
      <w:pPr>
        <w:pStyle w:val="ListParagraph"/>
        <w:numPr>
          <w:ilvl w:val="0"/>
          <w:numId w:val="62"/>
        </w:numPr>
        <w:autoSpaceDE w:val="0"/>
        <w:autoSpaceDN w:val="0"/>
        <w:adjustRightInd w:val="0"/>
        <w:spacing w:after="120"/>
        <w:ind w:left="567" w:hanging="567"/>
        <w:contextualSpacing w:val="0"/>
        <w:jc w:val="both"/>
        <w:rPr>
          <w:rFonts w:ascii="Arial" w:hAnsi="Arial" w:cs="Arial"/>
          <w:sz w:val="22"/>
          <w:szCs w:val="22"/>
          <w:u w:val="single"/>
        </w:rPr>
      </w:pPr>
      <w:r w:rsidRPr="00841197">
        <w:rPr>
          <w:rFonts w:ascii="Arial" w:hAnsi="Arial" w:cs="Arial"/>
          <w:sz w:val="22"/>
          <w:szCs w:val="22"/>
          <w:u w:val="single"/>
        </w:rPr>
        <w:t xml:space="preserve">Rappelant </w:t>
      </w:r>
      <w:r w:rsidR="00F7202F">
        <w:rPr>
          <w:rFonts w:ascii="Arial" w:hAnsi="Arial" w:cs="Arial"/>
          <w:sz w:val="22"/>
          <w:szCs w:val="22"/>
          <w:u w:val="single"/>
        </w:rPr>
        <w:t>e</w:t>
      </w:r>
      <w:r w:rsidRPr="00841197">
        <w:rPr>
          <w:rFonts w:ascii="Arial" w:hAnsi="Arial" w:cs="Arial"/>
          <w:sz w:val="22"/>
          <w:szCs w:val="22"/>
          <w:u w:val="single"/>
        </w:rPr>
        <w:t>n</w:t>
      </w:r>
      <w:r w:rsidR="00F7202F">
        <w:rPr>
          <w:rFonts w:ascii="Arial" w:hAnsi="Arial" w:cs="Arial"/>
          <w:sz w:val="22"/>
          <w:szCs w:val="22"/>
          <w:u w:val="single"/>
        </w:rPr>
        <w:t xml:space="preserve"> ou</w:t>
      </w:r>
      <w:r w:rsidRPr="00841197">
        <w:rPr>
          <w:rFonts w:ascii="Arial" w:hAnsi="Arial" w:cs="Arial"/>
          <w:sz w:val="22"/>
          <w:szCs w:val="22"/>
          <w:u w:val="single"/>
        </w:rPr>
        <w:t>t</w:t>
      </w:r>
      <w:r w:rsidR="00F7202F">
        <w:rPr>
          <w:rFonts w:ascii="Arial" w:hAnsi="Arial" w:cs="Arial"/>
          <w:sz w:val="22"/>
          <w:szCs w:val="22"/>
          <w:u w:val="single"/>
        </w:rPr>
        <w:t>re</w:t>
      </w:r>
      <w:r w:rsidRPr="00841197">
        <w:rPr>
          <w:rFonts w:ascii="Arial" w:hAnsi="Arial" w:cs="Arial"/>
          <w:sz w:val="22"/>
          <w:szCs w:val="22"/>
        </w:rPr>
        <w:t xml:space="preserve"> la </w:t>
      </w:r>
      <w:hyperlink r:id="rId102" w:history="1">
        <w:r w:rsidRPr="00841197">
          <w:rPr>
            <w:rFonts w:ascii="Arial" w:hAnsi="Arial" w:cs="Arial"/>
            <w:color w:val="0000FF" w:themeColor="hyperlink"/>
            <w:sz w:val="22"/>
            <w:szCs w:val="22"/>
            <w:u w:val="single"/>
          </w:rPr>
          <w:t>résolution 3.GA.7</w:t>
        </w:r>
      </w:hyperlink>
      <w:r w:rsidRPr="00841197">
        <w:rPr>
          <w:rFonts w:ascii="Arial" w:hAnsi="Arial" w:cs="Arial"/>
          <w:sz w:val="22"/>
          <w:szCs w:val="22"/>
        </w:rPr>
        <w:t xml:space="preserve">, la </w:t>
      </w:r>
      <w:hyperlink r:id="rId103" w:history="1">
        <w:r w:rsidRPr="00841197">
          <w:rPr>
            <w:rFonts w:ascii="Arial" w:hAnsi="Arial" w:cs="Arial"/>
            <w:color w:val="0000FF" w:themeColor="hyperlink"/>
            <w:sz w:val="22"/>
            <w:szCs w:val="22"/>
            <w:u w:val="single"/>
          </w:rPr>
          <w:t>résolution 5.GA.6</w:t>
        </w:r>
      </w:hyperlink>
      <w:r w:rsidRPr="00841197">
        <w:rPr>
          <w:rFonts w:ascii="Arial" w:hAnsi="Arial" w:cs="Arial"/>
          <w:sz w:val="22"/>
          <w:szCs w:val="22"/>
        </w:rPr>
        <w:t xml:space="preserve"> et aussi la </w:t>
      </w:r>
      <w:hyperlink r:id="rId104" w:history="1">
        <w:r w:rsidRPr="00841197">
          <w:rPr>
            <w:rFonts w:ascii="Arial" w:hAnsi="Arial" w:cs="Arial"/>
            <w:color w:val="0000FF" w:themeColor="hyperlink"/>
            <w:sz w:val="22"/>
            <w:szCs w:val="22"/>
            <w:u w:val="single"/>
          </w:rPr>
          <w:t>décision 10.COM 16</w:t>
        </w:r>
      </w:hyperlink>
      <w:r w:rsidRPr="00841197">
        <w:rPr>
          <w:rFonts w:ascii="Arial" w:hAnsi="Arial" w:cs="Arial"/>
          <w:color w:val="0000FF" w:themeColor="hyperlink"/>
          <w:sz w:val="22"/>
          <w:szCs w:val="22"/>
        </w:rPr>
        <w:t>,</w:t>
      </w:r>
    </w:p>
    <w:p w14:paraId="06549B01" w14:textId="652B7385" w:rsidR="00841197" w:rsidRPr="00841197" w:rsidRDefault="00841197" w:rsidP="00841197">
      <w:pPr>
        <w:pStyle w:val="ListParagraph"/>
        <w:numPr>
          <w:ilvl w:val="0"/>
          <w:numId w:val="62"/>
        </w:numPr>
        <w:autoSpaceDE w:val="0"/>
        <w:autoSpaceDN w:val="0"/>
        <w:adjustRightInd w:val="0"/>
        <w:spacing w:after="120"/>
        <w:ind w:left="567" w:hanging="567"/>
        <w:contextualSpacing w:val="0"/>
        <w:jc w:val="both"/>
        <w:rPr>
          <w:rFonts w:ascii="Arial" w:hAnsi="Arial" w:cs="Arial"/>
          <w:sz w:val="22"/>
          <w:szCs w:val="22"/>
          <w:u w:val="single"/>
        </w:rPr>
      </w:pPr>
      <w:r w:rsidRPr="00841197">
        <w:rPr>
          <w:rFonts w:ascii="Arial" w:hAnsi="Arial" w:cs="Arial"/>
          <w:sz w:val="22"/>
          <w:szCs w:val="22"/>
          <w:u w:val="single"/>
        </w:rPr>
        <w:t>Considère</w:t>
      </w:r>
      <w:r w:rsidRPr="00841197">
        <w:rPr>
          <w:rFonts w:ascii="Arial" w:hAnsi="Arial" w:cs="Arial"/>
          <w:sz w:val="22"/>
          <w:szCs w:val="22"/>
        </w:rPr>
        <w:t xml:space="preserve"> que les 35 organisations énumérées au paragraphe 4 du présent document répondent aux critères énoncés dans les Directives opérationnelles et </w:t>
      </w:r>
      <w:r w:rsidRPr="00841197">
        <w:rPr>
          <w:rFonts w:ascii="Arial" w:hAnsi="Arial" w:cs="Arial"/>
          <w:sz w:val="22"/>
          <w:szCs w:val="22"/>
          <w:u w:val="single"/>
        </w:rPr>
        <w:t>recommande</w:t>
      </w:r>
      <w:r w:rsidRPr="00841197">
        <w:rPr>
          <w:rFonts w:ascii="Arial" w:hAnsi="Arial" w:cs="Arial"/>
          <w:sz w:val="22"/>
          <w:szCs w:val="22"/>
        </w:rPr>
        <w:t xml:space="preserve"> à l</w:t>
      </w:r>
      <w:r w:rsidR="009C104E">
        <w:rPr>
          <w:rFonts w:ascii="Arial" w:hAnsi="Arial" w:cs="Arial"/>
          <w:sz w:val="22"/>
          <w:szCs w:val="22"/>
        </w:rPr>
        <w:t>’</w:t>
      </w:r>
      <w:r w:rsidRPr="00841197">
        <w:rPr>
          <w:rFonts w:ascii="Arial" w:hAnsi="Arial" w:cs="Arial"/>
          <w:sz w:val="22"/>
          <w:szCs w:val="22"/>
        </w:rPr>
        <w:t>Assemblée générale de les accréditer pour exercer des fonctions consultatives auprès du Comité ;</w:t>
      </w:r>
    </w:p>
    <w:p w14:paraId="76CB31D4" w14:textId="77777777" w:rsidR="00841197" w:rsidRPr="00841197" w:rsidRDefault="00841197" w:rsidP="00841197">
      <w:pPr>
        <w:pStyle w:val="ListParagraph"/>
        <w:numPr>
          <w:ilvl w:val="0"/>
          <w:numId w:val="62"/>
        </w:numPr>
        <w:autoSpaceDE w:val="0"/>
        <w:autoSpaceDN w:val="0"/>
        <w:adjustRightInd w:val="0"/>
        <w:spacing w:after="120"/>
        <w:ind w:left="567" w:hanging="567"/>
        <w:contextualSpacing w:val="0"/>
        <w:jc w:val="both"/>
        <w:rPr>
          <w:rFonts w:ascii="Arial" w:hAnsi="Arial" w:cs="Arial"/>
          <w:sz w:val="22"/>
          <w:szCs w:val="22"/>
          <w:u w:val="single"/>
        </w:rPr>
      </w:pPr>
      <w:r w:rsidRPr="00DF693C">
        <w:rPr>
          <w:rFonts w:ascii="Arial" w:hAnsi="Arial" w:cs="Arial"/>
          <w:sz w:val="22"/>
          <w:szCs w:val="22"/>
          <w:u w:val="single"/>
        </w:rPr>
        <w:t xml:space="preserve">Considère </w:t>
      </w:r>
      <w:r w:rsidRPr="00B932EA">
        <w:rPr>
          <w:rFonts w:ascii="Arial" w:hAnsi="Arial" w:cs="Arial"/>
          <w:sz w:val="22"/>
          <w:szCs w:val="22"/>
          <w:u w:val="single"/>
        </w:rPr>
        <w:t>en outre</w:t>
      </w:r>
      <w:r w:rsidRPr="00841197">
        <w:rPr>
          <w:rFonts w:ascii="Arial" w:hAnsi="Arial" w:cs="Arial"/>
          <w:sz w:val="22"/>
          <w:szCs w:val="22"/>
        </w:rPr>
        <w:t xml:space="preserve"> que 62 organisations énumérées au paragraphe 11 du présent document répondent aux critères énoncés dans les Directives opérationnelles et </w:t>
      </w:r>
      <w:r w:rsidRPr="00841197">
        <w:rPr>
          <w:rFonts w:ascii="Arial" w:hAnsi="Arial" w:cs="Arial"/>
          <w:sz w:val="22"/>
          <w:szCs w:val="22"/>
          <w:u w:val="single"/>
        </w:rPr>
        <w:t>décide</w:t>
      </w:r>
      <w:r w:rsidRPr="00841197">
        <w:rPr>
          <w:rFonts w:ascii="Arial" w:hAnsi="Arial" w:cs="Arial"/>
          <w:sz w:val="22"/>
          <w:szCs w:val="22"/>
        </w:rPr>
        <w:t xml:space="preserve"> de maintenir leur accréditation pour exercer des fonctions consultatives auprès du Comité ;</w:t>
      </w:r>
    </w:p>
    <w:p w14:paraId="6C438241" w14:textId="21195276" w:rsidR="00841197" w:rsidRPr="00841197" w:rsidRDefault="00841197" w:rsidP="00841197">
      <w:pPr>
        <w:pStyle w:val="ListParagraph"/>
        <w:numPr>
          <w:ilvl w:val="0"/>
          <w:numId w:val="62"/>
        </w:numPr>
        <w:autoSpaceDE w:val="0"/>
        <w:autoSpaceDN w:val="0"/>
        <w:adjustRightInd w:val="0"/>
        <w:spacing w:after="120"/>
        <w:ind w:left="567" w:hanging="567"/>
        <w:contextualSpacing w:val="0"/>
        <w:jc w:val="both"/>
        <w:rPr>
          <w:rFonts w:ascii="Arial" w:hAnsi="Arial" w:cs="Arial"/>
          <w:sz w:val="22"/>
          <w:szCs w:val="22"/>
          <w:u w:val="single"/>
        </w:rPr>
      </w:pPr>
      <w:r w:rsidRPr="00841197">
        <w:rPr>
          <w:rFonts w:ascii="Arial" w:hAnsi="Arial" w:cs="Arial"/>
          <w:sz w:val="22"/>
          <w:szCs w:val="22"/>
          <w:u w:val="single"/>
        </w:rPr>
        <w:t>Décide en outre</w:t>
      </w:r>
      <w:r w:rsidRPr="00841197">
        <w:rPr>
          <w:rFonts w:ascii="Arial" w:hAnsi="Arial" w:cs="Arial"/>
          <w:sz w:val="22"/>
          <w:szCs w:val="22"/>
        </w:rPr>
        <w:t xml:space="preserve"> de mettre fin à l</w:t>
      </w:r>
      <w:r w:rsidR="009C104E">
        <w:rPr>
          <w:rFonts w:ascii="Arial" w:hAnsi="Arial" w:cs="Arial"/>
          <w:sz w:val="22"/>
          <w:szCs w:val="22"/>
        </w:rPr>
        <w:t>’</w:t>
      </w:r>
      <w:r w:rsidRPr="00841197">
        <w:rPr>
          <w:rFonts w:ascii="Arial" w:hAnsi="Arial" w:cs="Arial"/>
          <w:sz w:val="22"/>
          <w:szCs w:val="22"/>
        </w:rPr>
        <w:t>accréditation des 19 organisations énumérées aux paragraphes 12 et 13 du présent document, en raison d</w:t>
      </w:r>
      <w:r w:rsidR="009C104E">
        <w:rPr>
          <w:rFonts w:ascii="Arial" w:hAnsi="Arial" w:cs="Arial"/>
          <w:sz w:val="22"/>
          <w:szCs w:val="22"/>
        </w:rPr>
        <w:t>’</w:t>
      </w:r>
      <w:r w:rsidRPr="00841197">
        <w:rPr>
          <w:rFonts w:ascii="Arial" w:hAnsi="Arial" w:cs="Arial"/>
          <w:sz w:val="22"/>
          <w:szCs w:val="22"/>
        </w:rPr>
        <w:t>une contribution et d</w:t>
      </w:r>
      <w:r w:rsidR="009C104E">
        <w:rPr>
          <w:rFonts w:ascii="Arial" w:hAnsi="Arial" w:cs="Arial"/>
          <w:sz w:val="22"/>
          <w:szCs w:val="22"/>
        </w:rPr>
        <w:t>’</w:t>
      </w:r>
      <w:r w:rsidRPr="00841197">
        <w:rPr>
          <w:rFonts w:ascii="Arial" w:hAnsi="Arial" w:cs="Arial"/>
          <w:sz w:val="22"/>
          <w:szCs w:val="22"/>
        </w:rPr>
        <w:t>un engagement jugés insuffisants au travail du Comité, conformément aux paragraphes 94 et 95 des Directives opérationnelles, ou compte tenu de l</w:t>
      </w:r>
      <w:r w:rsidR="009C104E">
        <w:rPr>
          <w:rFonts w:ascii="Arial" w:hAnsi="Arial" w:cs="Arial"/>
          <w:sz w:val="22"/>
          <w:szCs w:val="22"/>
        </w:rPr>
        <w:t>’</w:t>
      </w:r>
      <w:r w:rsidRPr="00841197">
        <w:rPr>
          <w:rFonts w:ascii="Arial" w:hAnsi="Arial" w:cs="Arial"/>
          <w:sz w:val="22"/>
          <w:szCs w:val="22"/>
        </w:rPr>
        <w:t>absence de soumission du rapport quadriennal permettant au Comité de juger de leur contribution ou de leur engagement à son travail ;</w:t>
      </w:r>
    </w:p>
    <w:p w14:paraId="74E8FBB5" w14:textId="415465D3" w:rsidR="00841197" w:rsidRPr="00841197" w:rsidRDefault="00841197" w:rsidP="00841197">
      <w:pPr>
        <w:pStyle w:val="ListParagraph"/>
        <w:numPr>
          <w:ilvl w:val="0"/>
          <w:numId w:val="62"/>
        </w:numPr>
        <w:autoSpaceDE w:val="0"/>
        <w:autoSpaceDN w:val="0"/>
        <w:adjustRightInd w:val="0"/>
        <w:spacing w:after="120"/>
        <w:ind w:left="567" w:hanging="567"/>
        <w:contextualSpacing w:val="0"/>
        <w:jc w:val="both"/>
        <w:rPr>
          <w:rFonts w:ascii="Arial" w:hAnsi="Arial" w:cs="Arial"/>
          <w:snapToGrid w:val="0"/>
          <w:sz w:val="22"/>
          <w:szCs w:val="22"/>
          <w:u w:val="single"/>
          <w:lang w:eastAsia="en-US"/>
        </w:rPr>
      </w:pPr>
      <w:r w:rsidRPr="00841197">
        <w:rPr>
          <w:rFonts w:ascii="Arial" w:hAnsi="Arial" w:cs="Arial"/>
          <w:sz w:val="22"/>
          <w:szCs w:val="22"/>
          <w:u w:val="single"/>
        </w:rPr>
        <w:t>Encourage</w:t>
      </w:r>
      <w:r w:rsidRPr="00841197">
        <w:rPr>
          <w:rFonts w:ascii="Arial" w:hAnsi="Arial" w:cs="Arial"/>
          <w:sz w:val="22"/>
          <w:szCs w:val="22"/>
        </w:rPr>
        <w:t xml:space="preserve"> les organisations non gouvernementales des Groupes électoraux sous-représentés qui répondent aux critères d</w:t>
      </w:r>
      <w:r w:rsidR="009C104E">
        <w:rPr>
          <w:rFonts w:ascii="Arial" w:hAnsi="Arial" w:cs="Arial"/>
          <w:sz w:val="22"/>
          <w:szCs w:val="22"/>
        </w:rPr>
        <w:t>’</w:t>
      </w:r>
      <w:r w:rsidRPr="00841197">
        <w:rPr>
          <w:rFonts w:ascii="Arial" w:hAnsi="Arial" w:cs="Arial"/>
          <w:sz w:val="22"/>
          <w:szCs w:val="22"/>
        </w:rPr>
        <w:t>accréditation à soumettre leurs demandes d</w:t>
      </w:r>
      <w:r w:rsidR="009C104E">
        <w:rPr>
          <w:rFonts w:ascii="Arial" w:hAnsi="Arial" w:cs="Arial"/>
          <w:sz w:val="22"/>
          <w:szCs w:val="22"/>
        </w:rPr>
        <w:t>’</w:t>
      </w:r>
      <w:r w:rsidRPr="00841197">
        <w:rPr>
          <w:rFonts w:ascii="Arial" w:hAnsi="Arial" w:cs="Arial"/>
          <w:sz w:val="22"/>
          <w:szCs w:val="22"/>
        </w:rPr>
        <w:t>accréditation dans les meilleurs délais afin d</w:t>
      </w:r>
      <w:r w:rsidR="009C104E">
        <w:rPr>
          <w:rFonts w:ascii="Arial" w:hAnsi="Arial" w:cs="Arial"/>
          <w:sz w:val="22"/>
          <w:szCs w:val="22"/>
        </w:rPr>
        <w:t>’</w:t>
      </w:r>
      <w:r w:rsidRPr="00841197">
        <w:rPr>
          <w:rFonts w:ascii="Arial" w:hAnsi="Arial" w:cs="Arial"/>
          <w:sz w:val="22"/>
          <w:szCs w:val="22"/>
        </w:rPr>
        <w:t xml:space="preserve">améliorer la répartition géographique des </w:t>
      </w:r>
      <w:r w:rsidR="00F7202F">
        <w:rPr>
          <w:rFonts w:ascii="Arial" w:hAnsi="Arial" w:cs="Arial"/>
          <w:sz w:val="22"/>
          <w:szCs w:val="22"/>
        </w:rPr>
        <w:t>organisations non gouvernementales</w:t>
      </w:r>
      <w:r w:rsidR="00F7202F" w:rsidRPr="00841197">
        <w:rPr>
          <w:rFonts w:ascii="Arial" w:hAnsi="Arial" w:cs="Arial"/>
          <w:sz w:val="22"/>
          <w:szCs w:val="22"/>
        </w:rPr>
        <w:t xml:space="preserve"> </w:t>
      </w:r>
      <w:r w:rsidRPr="00841197">
        <w:rPr>
          <w:rFonts w:ascii="Arial" w:hAnsi="Arial" w:cs="Arial"/>
          <w:sz w:val="22"/>
          <w:szCs w:val="22"/>
        </w:rPr>
        <w:t xml:space="preserve">accréditées et </w:t>
      </w:r>
      <w:r w:rsidRPr="00841197">
        <w:rPr>
          <w:rFonts w:ascii="Arial" w:hAnsi="Arial" w:cs="Arial"/>
          <w:sz w:val="22"/>
          <w:szCs w:val="22"/>
          <w:u w:val="single"/>
        </w:rPr>
        <w:t>invite</w:t>
      </w:r>
      <w:r w:rsidRPr="00841197">
        <w:rPr>
          <w:rFonts w:ascii="Arial" w:hAnsi="Arial" w:cs="Arial"/>
          <w:sz w:val="22"/>
          <w:szCs w:val="22"/>
        </w:rPr>
        <w:t xml:space="preserve"> les États parties de ces groupes électoraux à transmettre largement cet appel aux </w:t>
      </w:r>
      <w:r w:rsidR="00F7202F">
        <w:rPr>
          <w:rFonts w:ascii="Arial" w:hAnsi="Arial" w:cs="Arial"/>
          <w:sz w:val="22"/>
          <w:szCs w:val="22"/>
        </w:rPr>
        <w:t>organisations non gouvernementales</w:t>
      </w:r>
      <w:r w:rsidRPr="00841197">
        <w:rPr>
          <w:rFonts w:ascii="Arial" w:hAnsi="Arial" w:cs="Arial"/>
          <w:sz w:val="22"/>
          <w:szCs w:val="22"/>
        </w:rPr>
        <w:t xml:space="preserve"> opérant sur leur territoire.</w:t>
      </w:r>
    </w:p>
    <w:p w14:paraId="290D57F3" w14:textId="77777777" w:rsidR="00F41F15" w:rsidRPr="00FD624F" w:rsidRDefault="00F41F15" w:rsidP="00F41F15">
      <w:pPr>
        <w:pStyle w:val="COMTitleDecision"/>
        <w:spacing w:before="360"/>
        <w:ind w:left="0"/>
        <w:rPr>
          <w:rFonts w:eastAsia="SimSun"/>
        </w:rPr>
      </w:pPr>
      <w:r>
        <w:t>DÉCISION 14.COM 18</w:t>
      </w:r>
    </w:p>
    <w:p w14:paraId="7FF3CF3A" w14:textId="77777777" w:rsidR="00F41F15" w:rsidRPr="00285BB4" w:rsidRDefault="00F41F15" w:rsidP="00F41F15">
      <w:pPr>
        <w:pStyle w:val="COMPreambulaDecisions"/>
        <w:ind w:left="0"/>
        <w:rPr>
          <w:rFonts w:eastAsia="SimSun"/>
        </w:rPr>
      </w:pPr>
      <w:r>
        <w:t>Le Comité,</w:t>
      </w:r>
    </w:p>
    <w:p w14:paraId="4761EEFD" w14:textId="6909FEFF" w:rsidR="00F41F15" w:rsidRPr="00345CB4" w:rsidRDefault="00F41F15" w:rsidP="00967CA2">
      <w:pPr>
        <w:pStyle w:val="COMParaDecision"/>
        <w:numPr>
          <w:ilvl w:val="0"/>
          <w:numId w:val="63"/>
        </w:numPr>
        <w:ind w:left="567" w:hanging="567"/>
      </w:pPr>
      <w:r>
        <w:t>Ayant examiné</w:t>
      </w:r>
      <w:r>
        <w:rPr>
          <w:u w:val="none"/>
        </w:rPr>
        <w:t xml:space="preserve"> le document </w:t>
      </w:r>
      <w:hyperlink r:id="rId105" w:history="1">
        <w:r w:rsidRPr="00F7202F">
          <w:rPr>
            <w:rStyle w:val="Hyperlink"/>
          </w:rPr>
          <w:t>LHE/19/14.COM/18</w:t>
        </w:r>
      </w:hyperlink>
      <w:r>
        <w:rPr>
          <w:u w:val="none"/>
        </w:rPr>
        <w:t>,</w:t>
      </w:r>
    </w:p>
    <w:p w14:paraId="131A30C3" w14:textId="79EFFC52" w:rsidR="00F41F15" w:rsidRPr="00695C68" w:rsidRDefault="00F41F15" w:rsidP="00967CA2">
      <w:pPr>
        <w:pStyle w:val="COMParaDecision"/>
        <w:numPr>
          <w:ilvl w:val="0"/>
          <w:numId w:val="63"/>
        </w:numPr>
        <w:ind w:left="567" w:hanging="567"/>
      </w:pPr>
      <w:r>
        <w:t>Rappelant</w:t>
      </w:r>
      <w:r>
        <w:rPr>
          <w:u w:val="none"/>
        </w:rPr>
        <w:t xml:space="preserve"> l</w:t>
      </w:r>
      <w:r w:rsidR="009C104E">
        <w:rPr>
          <w:u w:val="none"/>
        </w:rPr>
        <w:t>’</w:t>
      </w:r>
      <w:r>
        <w:rPr>
          <w:u w:val="none"/>
        </w:rPr>
        <w:t>article 8.3 de la Convention, les paragraphes 27 et 28 des Directives opérationnelles et les articles 20 et 39 de son Règlement intérieur,</w:t>
      </w:r>
    </w:p>
    <w:p w14:paraId="6ECD5BF0" w14:textId="77777777" w:rsidR="00F41F15" w:rsidRPr="00904E22" w:rsidRDefault="00F41F15" w:rsidP="00967CA2">
      <w:pPr>
        <w:pStyle w:val="COMParaDecision"/>
        <w:numPr>
          <w:ilvl w:val="0"/>
          <w:numId w:val="63"/>
        </w:numPr>
        <w:ind w:left="567" w:hanging="567"/>
      </w:pPr>
      <w:r>
        <w:t>Rappelant en outre</w:t>
      </w:r>
      <w:r>
        <w:rPr>
          <w:u w:val="none"/>
        </w:rPr>
        <w:t xml:space="preserve"> ses décisions </w:t>
      </w:r>
      <w:hyperlink r:id="rId106" w:history="1">
        <w:r>
          <w:rPr>
            <w:rStyle w:val="Hyperlink"/>
          </w:rPr>
          <w:t>9.COM 11</w:t>
        </w:r>
      </w:hyperlink>
      <w:r w:rsidRPr="00DB0658">
        <w:rPr>
          <w:rStyle w:val="Hyperlink"/>
          <w:u w:val="none"/>
        </w:rPr>
        <w:t>,</w:t>
      </w:r>
      <w:r>
        <w:rPr>
          <w:rStyle w:val="Hyperlink"/>
          <w:u w:val="none"/>
        </w:rPr>
        <w:t xml:space="preserve"> </w:t>
      </w:r>
      <w:hyperlink r:id="rId107" w:history="1">
        <w:r w:rsidRPr="004A3EAB">
          <w:rPr>
            <w:rStyle w:val="Hyperlink"/>
            <w:snapToGrid w:val="0"/>
          </w:rPr>
          <w:t>13.COM 10</w:t>
        </w:r>
      </w:hyperlink>
      <w:r>
        <w:rPr>
          <w:rStyle w:val="Hyperlink"/>
          <w:snapToGrid w:val="0"/>
          <w:u w:val="none"/>
        </w:rPr>
        <w:t xml:space="preserve"> et</w:t>
      </w:r>
      <w:r w:rsidRPr="0046248B">
        <w:rPr>
          <w:rStyle w:val="Hyperlink"/>
          <w:snapToGrid w:val="0"/>
          <w:u w:val="none"/>
        </w:rPr>
        <w:t xml:space="preserve"> </w:t>
      </w:r>
      <w:hyperlink r:id="rId108" w:history="1">
        <w:r w:rsidRPr="00E81EBC">
          <w:rPr>
            <w:rStyle w:val="Hyperlink"/>
          </w:rPr>
          <w:t>13.COM 14</w:t>
        </w:r>
      </w:hyperlink>
      <w:r w:rsidRPr="00B932EA">
        <w:rPr>
          <w:rStyle w:val="Hyperlink"/>
          <w:color w:val="auto"/>
          <w:u w:val="none"/>
        </w:rPr>
        <w:t>,</w:t>
      </w:r>
    </w:p>
    <w:p w14:paraId="574D01BE" w14:textId="1ACCB6FA" w:rsidR="00F41F15" w:rsidRPr="006608E5" w:rsidRDefault="00F41F15" w:rsidP="00967CA2">
      <w:pPr>
        <w:pStyle w:val="COMParaDecision"/>
        <w:numPr>
          <w:ilvl w:val="0"/>
          <w:numId w:val="63"/>
        </w:numPr>
        <w:ind w:left="567" w:hanging="567"/>
      </w:pPr>
      <w:r w:rsidRPr="00DB0658">
        <w:t>Établit</w:t>
      </w:r>
      <w:r w:rsidRPr="00B932EA">
        <w:rPr>
          <w:u w:val="none"/>
        </w:rPr>
        <w:t xml:space="preserve"> </w:t>
      </w:r>
      <w:r>
        <w:rPr>
          <w:u w:val="none"/>
        </w:rPr>
        <w:t>un organe consultatif appelé « Organe d</w:t>
      </w:r>
      <w:r w:rsidR="009C104E">
        <w:rPr>
          <w:u w:val="none"/>
        </w:rPr>
        <w:t>’</w:t>
      </w:r>
      <w:r>
        <w:rPr>
          <w:u w:val="none"/>
        </w:rPr>
        <w:t>évaluation » chargé d</w:t>
      </w:r>
      <w:r w:rsidR="009C104E">
        <w:rPr>
          <w:u w:val="none"/>
        </w:rPr>
        <w:t>’</w:t>
      </w:r>
      <w:r>
        <w:rPr>
          <w:u w:val="none"/>
        </w:rPr>
        <w:t>évaluer en 2020 des candidatures à l</w:t>
      </w:r>
      <w:r w:rsidR="009C104E">
        <w:rPr>
          <w:u w:val="none"/>
        </w:rPr>
        <w:t>’</w:t>
      </w:r>
      <w:r>
        <w:rPr>
          <w:u w:val="none"/>
        </w:rPr>
        <w:t>inscription sur la Liste du patrimoine culturel immatériel nécessitant une sauvegarde urgente et sur la Liste représentative du patrimoine culturel immatériel de l</w:t>
      </w:r>
      <w:r w:rsidR="009C104E">
        <w:rPr>
          <w:u w:val="none"/>
        </w:rPr>
        <w:t>’</w:t>
      </w:r>
      <w:r>
        <w:rPr>
          <w:u w:val="none"/>
        </w:rPr>
        <w:t>humanité, des propositions de programmes, projets et activités reflétant le mieux les principes et objectifs de la Convention et des demandes d</w:t>
      </w:r>
      <w:r w:rsidR="009C104E">
        <w:rPr>
          <w:u w:val="none"/>
        </w:rPr>
        <w:t>’</w:t>
      </w:r>
      <w:r>
        <w:rPr>
          <w:u w:val="none"/>
        </w:rPr>
        <w:t xml:space="preserve">assistance internationale supérieures à 100 000 dollars des États-Unis, et </w:t>
      </w:r>
      <w:r w:rsidRPr="00DB0658">
        <w:t>adopte</w:t>
      </w:r>
      <w:r>
        <w:rPr>
          <w:u w:val="none"/>
        </w:rPr>
        <w:t xml:space="preserve"> ses termes de référence, tels que présentés en annexe de la présente décision ;</w:t>
      </w:r>
    </w:p>
    <w:p w14:paraId="4048C418" w14:textId="1707A796" w:rsidR="00F41F15" w:rsidRPr="00DA5523" w:rsidRDefault="00F41F15" w:rsidP="00967CA2">
      <w:pPr>
        <w:pStyle w:val="COMParaDecision"/>
        <w:numPr>
          <w:ilvl w:val="0"/>
          <w:numId w:val="63"/>
        </w:numPr>
        <w:ind w:left="567" w:hanging="567"/>
        <w:rPr>
          <w:u w:val="none"/>
        </w:rPr>
      </w:pPr>
      <w:r>
        <w:t>Nomme</w:t>
      </w:r>
      <w:r>
        <w:rPr>
          <w:u w:val="none"/>
        </w:rPr>
        <w:t xml:space="preserve"> membres de l</w:t>
      </w:r>
      <w:r w:rsidR="009C104E">
        <w:rPr>
          <w:u w:val="none"/>
        </w:rPr>
        <w:t>’</w:t>
      </w:r>
      <w:r>
        <w:rPr>
          <w:u w:val="none"/>
        </w:rPr>
        <w:t>Organe d</w:t>
      </w:r>
      <w:r w:rsidR="009C104E">
        <w:rPr>
          <w:u w:val="none"/>
        </w:rPr>
        <w:t>’</w:t>
      </w:r>
      <w:r>
        <w:rPr>
          <w:u w:val="none"/>
        </w:rPr>
        <w:t>évaluation pour 2020 les experts et organisations non gouvernementales accréditées suivants :</w:t>
      </w:r>
    </w:p>
    <w:p w14:paraId="4297A00A" w14:textId="04B22B3C" w:rsidR="00F41F15" w:rsidRPr="00F41F15" w:rsidRDefault="00F41F15" w:rsidP="00F41F15">
      <w:pPr>
        <w:keepNext/>
        <w:keepLines/>
        <w:spacing w:before="240" w:after="60"/>
        <w:ind w:left="567"/>
        <w:jc w:val="both"/>
        <w:rPr>
          <w:rFonts w:ascii="Arial" w:hAnsi="Arial" w:cs="Arial"/>
          <w:b/>
          <w:sz w:val="22"/>
          <w:szCs w:val="22"/>
        </w:rPr>
      </w:pPr>
      <w:r w:rsidRPr="00F41F15">
        <w:rPr>
          <w:rFonts w:ascii="Arial" w:hAnsi="Arial"/>
          <w:b/>
          <w:sz w:val="22"/>
          <w:szCs w:val="22"/>
        </w:rPr>
        <w:t>Experts représentants d</w:t>
      </w:r>
      <w:r w:rsidR="009C104E">
        <w:rPr>
          <w:rFonts w:ascii="Arial" w:hAnsi="Arial"/>
          <w:b/>
          <w:sz w:val="22"/>
          <w:szCs w:val="22"/>
        </w:rPr>
        <w:t>’</w:t>
      </w:r>
      <w:r w:rsidRPr="00F41F15">
        <w:rPr>
          <w:rFonts w:ascii="Arial" w:hAnsi="Arial"/>
          <w:b/>
          <w:sz w:val="22"/>
          <w:szCs w:val="22"/>
        </w:rPr>
        <w:t>États parties non membres du Comité</w:t>
      </w:r>
    </w:p>
    <w:p w14:paraId="4DE378DF" w14:textId="77777777" w:rsidR="00F41F15" w:rsidRPr="00F41F15" w:rsidRDefault="00F41F15" w:rsidP="00967CA2">
      <w:pPr>
        <w:numPr>
          <w:ilvl w:val="0"/>
          <w:numId w:val="64"/>
        </w:numPr>
        <w:tabs>
          <w:tab w:val="left" w:pos="1134"/>
        </w:tabs>
        <w:spacing w:after="60"/>
        <w:ind w:left="567" w:firstLine="0"/>
        <w:rPr>
          <w:rFonts w:ascii="Arial" w:hAnsi="Arial" w:cs="Arial"/>
          <w:sz w:val="22"/>
          <w:szCs w:val="22"/>
        </w:rPr>
      </w:pPr>
      <w:r w:rsidRPr="00F41F15">
        <w:rPr>
          <w:rFonts w:ascii="Arial" w:hAnsi="Arial"/>
          <w:sz w:val="22"/>
          <w:szCs w:val="22"/>
        </w:rPr>
        <w:t>GE I : M. Pier Luigi Petrillo (Italie)</w:t>
      </w:r>
    </w:p>
    <w:p w14:paraId="2AA0E9AA" w14:textId="77777777" w:rsidR="00F41F15" w:rsidRPr="00743B60" w:rsidRDefault="00F41F15" w:rsidP="00967CA2">
      <w:pPr>
        <w:numPr>
          <w:ilvl w:val="0"/>
          <w:numId w:val="64"/>
        </w:numPr>
        <w:tabs>
          <w:tab w:val="left" w:pos="1134"/>
        </w:tabs>
        <w:spacing w:after="60"/>
        <w:ind w:left="567" w:firstLine="0"/>
        <w:rPr>
          <w:rFonts w:ascii="Arial" w:hAnsi="Arial" w:cs="Arial"/>
          <w:sz w:val="22"/>
          <w:szCs w:val="22"/>
        </w:rPr>
      </w:pPr>
      <w:r w:rsidRPr="00F41F15">
        <w:rPr>
          <w:rFonts w:ascii="Arial" w:hAnsi="Arial"/>
          <w:sz w:val="22"/>
          <w:szCs w:val="22"/>
        </w:rPr>
        <w:t xml:space="preserve">GE </w:t>
      </w:r>
      <w:r w:rsidRPr="00743B60">
        <w:rPr>
          <w:rFonts w:ascii="Arial" w:hAnsi="Arial"/>
          <w:sz w:val="22"/>
          <w:szCs w:val="22"/>
        </w:rPr>
        <w:t xml:space="preserve">II : Mme </w:t>
      </w:r>
      <w:r w:rsidRPr="00743B60">
        <w:rPr>
          <w:rFonts w:ascii="Arial" w:hAnsi="Arial" w:cs="Arial"/>
          <w:sz w:val="22"/>
          <w:szCs w:val="22"/>
        </w:rPr>
        <w:t>Ľ</w:t>
      </w:r>
      <w:r w:rsidRPr="00743B60">
        <w:rPr>
          <w:rFonts w:ascii="Arial" w:hAnsi="Arial"/>
          <w:sz w:val="22"/>
          <w:szCs w:val="22"/>
        </w:rPr>
        <w:t>ubica Vo</w:t>
      </w:r>
      <w:r w:rsidRPr="00743B60">
        <w:rPr>
          <w:rFonts w:ascii="Arial" w:hAnsi="Arial" w:cs="Arial"/>
          <w:sz w:val="22"/>
          <w:szCs w:val="22"/>
        </w:rPr>
        <w:t>ľ</w:t>
      </w:r>
      <w:r w:rsidRPr="00743B60">
        <w:rPr>
          <w:rFonts w:ascii="Arial" w:hAnsi="Arial"/>
          <w:sz w:val="22"/>
          <w:szCs w:val="22"/>
        </w:rPr>
        <w:t>ansk</w:t>
      </w:r>
      <w:r w:rsidRPr="00743B60">
        <w:rPr>
          <w:rFonts w:ascii="Arial" w:hAnsi="Arial" w:cs="Arial"/>
          <w:sz w:val="22"/>
          <w:szCs w:val="22"/>
        </w:rPr>
        <w:t>á (Slovaquie)</w:t>
      </w:r>
    </w:p>
    <w:p w14:paraId="7A30F2C0" w14:textId="77777777" w:rsidR="00F41F15" w:rsidRPr="00743B60" w:rsidRDefault="00F41F15" w:rsidP="00967CA2">
      <w:pPr>
        <w:numPr>
          <w:ilvl w:val="0"/>
          <w:numId w:val="64"/>
        </w:numPr>
        <w:tabs>
          <w:tab w:val="left" w:pos="1134"/>
        </w:tabs>
        <w:spacing w:after="60"/>
        <w:ind w:left="567" w:firstLine="0"/>
        <w:rPr>
          <w:rFonts w:ascii="Arial" w:hAnsi="Arial" w:cs="Arial"/>
          <w:sz w:val="22"/>
          <w:szCs w:val="22"/>
        </w:rPr>
      </w:pPr>
      <w:r w:rsidRPr="00743B60">
        <w:rPr>
          <w:rFonts w:ascii="Arial" w:hAnsi="Arial"/>
          <w:sz w:val="22"/>
          <w:szCs w:val="22"/>
        </w:rPr>
        <w:t>GE III : Mme Sonia Montecino Aguirre (Chili)</w:t>
      </w:r>
    </w:p>
    <w:p w14:paraId="42DDA157" w14:textId="77777777" w:rsidR="00F41F15" w:rsidRPr="00743B60" w:rsidRDefault="00F41F15" w:rsidP="00967CA2">
      <w:pPr>
        <w:numPr>
          <w:ilvl w:val="0"/>
          <w:numId w:val="64"/>
        </w:numPr>
        <w:tabs>
          <w:tab w:val="left" w:pos="1134"/>
        </w:tabs>
        <w:spacing w:after="60"/>
        <w:ind w:left="567" w:firstLine="0"/>
        <w:rPr>
          <w:rFonts w:ascii="Arial" w:hAnsi="Arial" w:cs="Arial"/>
          <w:sz w:val="22"/>
          <w:szCs w:val="22"/>
        </w:rPr>
      </w:pPr>
      <w:r w:rsidRPr="00743B60">
        <w:rPr>
          <w:rFonts w:ascii="Arial" w:hAnsi="Arial"/>
          <w:sz w:val="22"/>
          <w:szCs w:val="22"/>
        </w:rPr>
        <w:t>GE IV : Mme Hien Thi Nguyen (Viet Nam)</w:t>
      </w:r>
    </w:p>
    <w:p w14:paraId="4B836E88" w14:textId="7FBB33C2" w:rsidR="00F41F15" w:rsidRPr="00743B60" w:rsidRDefault="00F41F15" w:rsidP="00967CA2">
      <w:pPr>
        <w:numPr>
          <w:ilvl w:val="0"/>
          <w:numId w:val="64"/>
        </w:numPr>
        <w:tabs>
          <w:tab w:val="left" w:pos="1134"/>
        </w:tabs>
        <w:spacing w:after="60"/>
        <w:ind w:left="567" w:firstLine="0"/>
        <w:jc w:val="both"/>
        <w:rPr>
          <w:rFonts w:ascii="Arial" w:hAnsi="Arial" w:cs="Arial"/>
          <w:sz w:val="22"/>
          <w:szCs w:val="22"/>
          <w:lang w:val="en-US"/>
        </w:rPr>
      </w:pPr>
      <w:r w:rsidRPr="00743B60">
        <w:rPr>
          <w:rFonts w:ascii="Arial" w:hAnsi="Arial"/>
          <w:sz w:val="22"/>
          <w:szCs w:val="22"/>
          <w:lang w:val="en-US"/>
        </w:rPr>
        <w:t xml:space="preserve">GE V(a) : </w:t>
      </w:r>
      <w:r w:rsidR="00AC7B83" w:rsidRPr="00743B60">
        <w:rPr>
          <w:rFonts w:ascii="Arial" w:hAnsi="Arial"/>
          <w:sz w:val="22"/>
          <w:szCs w:val="22"/>
          <w:lang w:val="en-US"/>
        </w:rPr>
        <w:t>M. Lemeneh Getachew Senishaw (Éthiopie)</w:t>
      </w:r>
    </w:p>
    <w:p w14:paraId="0C342EC7" w14:textId="77777777" w:rsidR="00F41F15" w:rsidRPr="00743B60" w:rsidRDefault="00F41F15" w:rsidP="00967CA2">
      <w:pPr>
        <w:numPr>
          <w:ilvl w:val="0"/>
          <w:numId w:val="64"/>
        </w:numPr>
        <w:tabs>
          <w:tab w:val="left" w:pos="1134"/>
        </w:tabs>
        <w:spacing w:after="60"/>
        <w:ind w:left="567" w:firstLine="0"/>
        <w:rPr>
          <w:rFonts w:ascii="Arial" w:hAnsi="Arial" w:cs="Arial"/>
          <w:sz w:val="22"/>
          <w:szCs w:val="22"/>
          <w:lang w:val="en-US"/>
        </w:rPr>
      </w:pPr>
      <w:r w:rsidRPr="00743B60">
        <w:rPr>
          <w:rFonts w:ascii="Arial" w:hAnsi="Arial"/>
          <w:sz w:val="22"/>
          <w:szCs w:val="22"/>
          <w:lang w:val="en-US"/>
        </w:rPr>
        <w:t>GE V(b) : M. Saeed Al Busaidi (Oman)</w:t>
      </w:r>
    </w:p>
    <w:p w14:paraId="48F333D3" w14:textId="77777777" w:rsidR="00F41F15" w:rsidRPr="00743B60" w:rsidRDefault="00F41F15" w:rsidP="00F41F15">
      <w:pPr>
        <w:keepNext/>
        <w:tabs>
          <w:tab w:val="left" w:pos="1134"/>
        </w:tabs>
        <w:spacing w:before="240" w:after="60"/>
        <w:ind w:left="567"/>
        <w:jc w:val="both"/>
        <w:rPr>
          <w:rFonts w:ascii="Arial" w:hAnsi="Arial" w:cs="Arial"/>
          <w:b/>
          <w:sz w:val="22"/>
          <w:szCs w:val="22"/>
        </w:rPr>
      </w:pPr>
      <w:r w:rsidRPr="00743B60">
        <w:rPr>
          <w:rFonts w:ascii="Arial" w:hAnsi="Arial"/>
          <w:b/>
          <w:sz w:val="22"/>
          <w:szCs w:val="22"/>
        </w:rPr>
        <w:t>Organisations non gouvernementales accréditées</w:t>
      </w:r>
    </w:p>
    <w:p w14:paraId="351813F3" w14:textId="36FD0A60" w:rsidR="00F41F15" w:rsidRPr="00743B60" w:rsidRDefault="00F41F15" w:rsidP="00967CA2">
      <w:pPr>
        <w:numPr>
          <w:ilvl w:val="0"/>
          <w:numId w:val="65"/>
        </w:numPr>
        <w:tabs>
          <w:tab w:val="left" w:pos="1134"/>
        </w:tabs>
        <w:spacing w:after="60"/>
        <w:ind w:left="567" w:firstLine="0"/>
        <w:jc w:val="both"/>
        <w:rPr>
          <w:rFonts w:ascii="Arial" w:hAnsi="Arial" w:cs="Arial"/>
          <w:sz w:val="22"/>
          <w:szCs w:val="22"/>
          <w:lang w:val="en-US"/>
        </w:rPr>
      </w:pPr>
      <w:r w:rsidRPr="00743B60">
        <w:rPr>
          <w:rFonts w:ascii="Arial" w:hAnsi="Arial"/>
          <w:bCs/>
          <w:sz w:val="22"/>
          <w:szCs w:val="22"/>
          <w:lang w:val="en-US"/>
        </w:rPr>
        <w:t xml:space="preserve">GE I : </w:t>
      </w:r>
      <w:r w:rsidR="00AC7B83" w:rsidRPr="00743B60">
        <w:rPr>
          <w:rFonts w:ascii="Arial" w:hAnsi="Arial"/>
          <w:sz w:val="22"/>
          <w:szCs w:val="22"/>
          <w:lang w:val="en-US"/>
        </w:rPr>
        <w:t>Workshop intangible heritage Flanders</w:t>
      </w:r>
    </w:p>
    <w:p w14:paraId="77C21323" w14:textId="63334100" w:rsidR="00F41F15" w:rsidRPr="00743B60" w:rsidRDefault="00F41F15" w:rsidP="00967CA2">
      <w:pPr>
        <w:numPr>
          <w:ilvl w:val="0"/>
          <w:numId w:val="65"/>
        </w:numPr>
        <w:tabs>
          <w:tab w:val="left" w:pos="1134"/>
        </w:tabs>
        <w:spacing w:after="60"/>
        <w:ind w:left="567" w:firstLine="0"/>
        <w:jc w:val="both"/>
        <w:rPr>
          <w:rFonts w:ascii="Arial" w:hAnsi="Arial" w:cs="Arial"/>
          <w:sz w:val="22"/>
          <w:szCs w:val="22"/>
        </w:rPr>
      </w:pPr>
      <w:r w:rsidRPr="00743B60">
        <w:rPr>
          <w:rFonts w:ascii="Arial" w:hAnsi="Arial"/>
          <w:sz w:val="22"/>
          <w:szCs w:val="22"/>
        </w:rPr>
        <w:t xml:space="preserve">GE II : </w:t>
      </w:r>
      <w:r w:rsidR="00AC7B83" w:rsidRPr="00743B60">
        <w:rPr>
          <w:rFonts w:ascii="Arial" w:hAnsi="Arial"/>
          <w:bCs/>
          <w:sz w:val="22"/>
          <w:szCs w:val="22"/>
        </w:rPr>
        <w:t>European Association of Folklore Festivals</w:t>
      </w:r>
    </w:p>
    <w:p w14:paraId="6B6518F4" w14:textId="77777777" w:rsidR="00F41F15" w:rsidRPr="00743B60" w:rsidRDefault="00F41F15" w:rsidP="00967CA2">
      <w:pPr>
        <w:numPr>
          <w:ilvl w:val="0"/>
          <w:numId w:val="65"/>
        </w:numPr>
        <w:tabs>
          <w:tab w:val="left" w:pos="1134"/>
        </w:tabs>
        <w:spacing w:after="60"/>
        <w:ind w:left="567" w:firstLine="0"/>
        <w:jc w:val="both"/>
        <w:rPr>
          <w:rFonts w:ascii="Arial" w:hAnsi="Arial" w:cs="Arial"/>
          <w:sz w:val="22"/>
          <w:szCs w:val="22"/>
        </w:rPr>
      </w:pPr>
      <w:r w:rsidRPr="00743B60">
        <w:rPr>
          <w:rFonts w:ascii="Arial" w:hAnsi="Arial"/>
          <w:bCs/>
          <w:sz w:val="22"/>
          <w:szCs w:val="22"/>
        </w:rPr>
        <w:t>GE III : Erigaie Foundation</w:t>
      </w:r>
    </w:p>
    <w:p w14:paraId="207B3092" w14:textId="77777777" w:rsidR="00F41F15" w:rsidRPr="00743B60" w:rsidRDefault="00F41F15" w:rsidP="00967CA2">
      <w:pPr>
        <w:numPr>
          <w:ilvl w:val="0"/>
          <w:numId w:val="65"/>
        </w:numPr>
        <w:tabs>
          <w:tab w:val="left" w:pos="1134"/>
        </w:tabs>
        <w:spacing w:after="60"/>
        <w:ind w:left="567" w:firstLine="0"/>
        <w:rPr>
          <w:rFonts w:ascii="Arial" w:hAnsi="Arial" w:cs="Arial"/>
          <w:sz w:val="22"/>
          <w:szCs w:val="22"/>
          <w:lang w:val="en-US"/>
        </w:rPr>
      </w:pPr>
      <w:r w:rsidRPr="00743B60">
        <w:rPr>
          <w:rFonts w:ascii="Arial" w:hAnsi="Arial"/>
          <w:sz w:val="22"/>
          <w:szCs w:val="22"/>
          <w:lang w:val="en-US"/>
        </w:rPr>
        <w:t>GE IV : Korea Cultural Heritage Foundation (CHF)</w:t>
      </w:r>
    </w:p>
    <w:p w14:paraId="3103021E" w14:textId="77777777" w:rsidR="00F41F15" w:rsidRPr="00F41F15" w:rsidRDefault="00F41F15" w:rsidP="00967CA2">
      <w:pPr>
        <w:numPr>
          <w:ilvl w:val="0"/>
          <w:numId w:val="65"/>
        </w:numPr>
        <w:tabs>
          <w:tab w:val="left" w:pos="1134"/>
        </w:tabs>
        <w:spacing w:after="60"/>
        <w:ind w:left="567" w:firstLine="0"/>
        <w:jc w:val="both"/>
        <w:rPr>
          <w:rFonts w:ascii="Arial" w:hAnsi="Arial" w:cs="Arial"/>
          <w:sz w:val="22"/>
          <w:szCs w:val="22"/>
        </w:rPr>
      </w:pPr>
      <w:r w:rsidRPr="00F41F15">
        <w:rPr>
          <w:rFonts w:ascii="Arial" w:hAnsi="Arial"/>
          <w:sz w:val="22"/>
          <w:szCs w:val="22"/>
        </w:rPr>
        <w:t>GE V(a) : Association pour la sauvegarde des masques (ASAMA)</w:t>
      </w:r>
    </w:p>
    <w:p w14:paraId="5B7511C3" w14:textId="77777777" w:rsidR="00F41F15" w:rsidRPr="00F41F15" w:rsidRDefault="00F41F15" w:rsidP="00967CA2">
      <w:pPr>
        <w:numPr>
          <w:ilvl w:val="0"/>
          <w:numId w:val="65"/>
        </w:numPr>
        <w:tabs>
          <w:tab w:val="left" w:pos="1134"/>
        </w:tabs>
        <w:autoSpaceDE w:val="0"/>
        <w:autoSpaceDN w:val="0"/>
        <w:adjustRightInd w:val="0"/>
        <w:spacing w:after="120"/>
        <w:ind w:left="567" w:firstLine="0"/>
        <w:rPr>
          <w:rFonts w:ascii="Arial" w:eastAsia="SimSun" w:hAnsi="Arial" w:cs="Arial"/>
          <w:sz w:val="22"/>
          <w:szCs w:val="22"/>
          <w:u w:val="single"/>
          <w:lang w:val="en-US"/>
        </w:rPr>
      </w:pPr>
      <w:r w:rsidRPr="00F41F15">
        <w:rPr>
          <w:rFonts w:ascii="Arial" w:eastAsia="SimSun" w:hAnsi="Arial" w:cs="Arial"/>
          <w:sz w:val="22"/>
          <w:szCs w:val="22"/>
          <w:lang w:val="en-US"/>
        </w:rPr>
        <w:t>GE V(b) : Egyptian Society for Folk Tradition</w:t>
      </w:r>
    </w:p>
    <w:p w14:paraId="35375004" w14:textId="6B0B8090" w:rsidR="00F41F15" w:rsidRPr="009150EE" w:rsidRDefault="00F41F15" w:rsidP="00B932EA">
      <w:pPr>
        <w:pStyle w:val="COMParaDecision"/>
        <w:numPr>
          <w:ilvl w:val="0"/>
          <w:numId w:val="66"/>
        </w:numPr>
        <w:spacing w:before="240"/>
        <w:ind w:left="567" w:hanging="567"/>
      </w:pPr>
      <w:r>
        <w:t>Note</w:t>
      </w:r>
      <w:r w:rsidRPr="00BA0975">
        <w:rPr>
          <w:u w:val="none"/>
        </w:rPr>
        <w:t xml:space="preserve"> que</w:t>
      </w:r>
      <w:r>
        <w:rPr>
          <w:u w:val="none"/>
        </w:rPr>
        <w:t>, dans le cadre de l</w:t>
      </w:r>
      <w:r w:rsidR="009C104E">
        <w:rPr>
          <w:u w:val="none"/>
        </w:rPr>
        <w:t>’</w:t>
      </w:r>
      <w:r>
        <w:rPr>
          <w:u w:val="none"/>
        </w:rPr>
        <w:t>élection, lors des sessions futures, les douze sièges de l</w:t>
      </w:r>
      <w:r w:rsidR="009C104E">
        <w:rPr>
          <w:u w:val="none"/>
        </w:rPr>
        <w:t>’</w:t>
      </w:r>
      <w:r>
        <w:rPr>
          <w:u w:val="none"/>
        </w:rPr>
        <w:t>Organe d</w:t>
      </w:r>
      <w:r w:rsidR="009C104E">
        <w:rPr>
          <w:u w:val="none"/>
        </w:rPr>
        <w:t>’</w:t>
      </w:r>
      <w:r>
        <w:rPr>
          <w:u w:val="none"/>
        </w:rPr>
        <w:t>évaluation seront pourvus comme suit :</w:t>
      </w:r>
    </w:p>
    <w:p w14:paraId="26056BB1" w14:textId="77777777" w:rsidR="00F41F15" w:rsidRPr="00FC6616" w:rsidRDefault="00F41F15" w:rsidP="00F41F15">
      <w:pPr>
        <w:pStyle w:val="Marge"/>
        <w:tabs>
          <w:tab w:val="clear" w:pos="567"/>
        </w:tabs>
        <w:spacing w:after="120"/>
        <w:ind w:left="567"/>
        <w:rPr>
          <w:rFonts w:cs="Arial"/>
        </w:rPr>
      </w:pPr>
      <w:r>
        <w:t>Les sièges à renouveler pour les cycles 2021 – 2024 :</w:t>
      </w:r>
    </w:p>
    <w:p w14:paraId="39012EA8" w14:textId="77777777" w:rsidR="00F41F15" w:rsidRPr="00080F62" w:rsidRDefault="00F41F15" w:rsidP="00F41F15">
      <w:pPr>
        <w:pStyle w:val="Marge"/>
        <w:tabs>
          <w:tab w:val="clear" w:pos="567"/>
        </w:tabs>
        <w:spacing w:after="120"/>
        <w:ind w:left="1134"/>
        <w:rPr>
          <w:rFonts w:cs="Arial"/>
          <w:lang w:val="en-US"/>
        </w:rPr>
      </w:pPr>
      <w:r w:rsidRPr="00080F62">
        <w:rPr>
          <w:lang w:val="en-US"/>
        </w:rPr>
        <w:t>GE III Expert</w:t>
      </w:r>
    </w:p>
    <w:p w14:paraId="7D67B633" w14:textId="77777777" w:rsidR="00F41F15" w:rsidRPr="00080F62" w:rsidRDefault="00F41F15" w:rsidP="00F41F15">
      <w:pPr>
        <w:pStyle w:val="Marge"/>
        <w:tabs>
          <w:tab w:val="clear" w:pos="567"/>
        </w:tabs>
        <w:spacing w:after="120"/>
        <w:ind w:left="1134"/>
        <w:rPr>
          <w:rFonts w:cs="Arial"/>
          <w:lang w:val="en-US"/>
        </w:rPr>
      </w:pPr>
      <w:r w:rsidRPr="00080F62">
        <w:rPr>
          <w:lang w:val="en-US"/>
        </w:rPr>
        <w:t>GE IV Expert</w:t>
      </w:r>
    </w:p>
    <w:p w14:paraId="0EC5B432" w14:textId="77777777" w:rsidR="00F41F15" w:rsidRPr="00B932EA" w:rsidRDefault="00F41F15" w:rsidP="00F41F15">
      <w:pPr>
        <w:pStyle w:val="Marge"/>
        <w:tabs>
          <w:tab w:val="clear" w:pos="567"/>
        </w:tabs>
        <w:spacing w:after="120"/>
        <w:ind w:left="1134"/>
        <w:rPr>
          <w:rFonts w:cs="Arial"/>
          <w:lang w:val="en-GB"/>
        </w:rPr>
      </w:pPr>
      <w:r w:rsidRPr="00B932EA">
        <w:rPr>
          <w:lang w:val="en-GB"/>
        </w:rPr>
        <w:t>GE V(b) ONG</w:t>
      </w:r>
    </w:p>
    <w:p w14:paraId="519EAAC5" w14:textId="77777777" w:rsidR="00F41F15" w:rsidRPr="00FC6616" w:rsidRDefault="00F41F15" w:rsidP="00F41F15">
      <w:pPr>
        <w:pStyle w:val="Marge"/>
        <w:tabs>
          <w:tab w:val="clear" w:pos="567"/>
        </w:tabs>
        <w:spacing w:after="120"/>
        <w:ind w:left="567"/>
        <w:rPr>
          <w:rFonts w:cs="Arial"/>
        </w:rPr>
      </w:pPr>
      <w:r>
        <w:t>Les sièges à renouveler pour les cycles 2022 – 2025 :</w:t>
      </w:r>
    </w:p>
    <w:p w14:paraId="4F0A21C8" w14:textId="77777777" w:rsidR="00F41F15" w:rsidRPr="00DB0658" w:rsidRDefault="00F41F15" w:rsidP="00F41F15">
      <w:pPr>
        <w:pStyle w:val="Marge"/>
        <w:tabs>
          <w:tab w:val="clear" w:pos="567"/>
        </w:tabs>
        <w:spacing w:after="120"/>
        <w:ind w:left="1134"/>
        <w:rPr>
          <w:rFonts w:cs="Arial"/>
          <w:lang w:val="en-US"/>
        </w:rPr>
      </w:pPr>
      <w:r w:rsidRPr="00DB0658">
        <w:rPr>
          <w:lang w:val="en-US"/>
        </w:rPr>
        <w:t>GE III ONG</w:t>
      </w:r>
    </w:p>
    <w:p w14:paraId="52BEC3CE" w14:textId="77777777" w:rsidR="00F41F15" w:rsidRPr="00DB0658" w:rsidRDefault="00F41F15" w:rsidP="00F41F15">
      <w:pPr>
        <w:pStyle w:val="Marge"/>
        <w:tabs>
          <w:tab w:val="clear" w:pos="567"/>
        </w:tabs>
        <w:spacing w:after="120"/>
        <w:ind w:left="1134"/>
        <w:rPr>
          <w:rFonts w:cs="Arial"/>
          <w:lang w:val="en-US"/>
        </w:rPr>
      </w:pPr>
      <w:r w:rsidRPr="00DB0658">
        <w:rPr>
          <w:lang w:val="en-US"/>
        </w:rPr>
        <w:t>GE IV ONG</w:t>
      </w:r>
    </w:p>
    <w:p w14:paraId="7B6AA0FB" w14:textId="77777777" w:rsidR="00F41F15" w:rsidRPr="0099142D" w:rsidRDefault="00F41F15" w:rsidP="00F41F15">
      <w:pPr>
        <w:pStyle w:val="Marge"/>
        <w:tabs>
          <w:tab w:val="clear" w:pos="567"/>
        </w:tabs>
        <w:spacing w:after="120"/>
        <w:ind w:left="1134"/>
        <w:rPr>
          <w:rFonts w:cs="Arial"/>
        </w:rPr>
      </w:pPr>
      <w:r>
        <w:t>GE V(b) Expert</w:t>
      </w:r>
    </w:p>
    <w:p w14:paraId="44AEB3A5" w14:textId="77777777" w:rsidR="00F41F15" w:rsidRPr="0099142D" w:rsidRDefault="00F41F15" w:rsidP="00F41F15">
      <w:pPr>
        <w:pStyle w:val="Marge"/>
        <w:spacing w:after="120"/>
        <w:ind w:left="567"/>
        <w:rPr>
          <w:rFonts w:cs="Arial"/>
        </w:rPr>
      </w:pPr>
      <w:r>
        <w:t>Les sièges à renouveler pour les cycles 2023 – 2026 :</w:t>
      </w:r>
    </w:p>
    <w:p w14:paraId="7D2EA185" w14:textId="77777777" w:rsidR="00F41F15" w:rsidRPr="00DB0658" w:rsidRDefault="00F41F15" w:rsidP="00F41F15">
      <w:pPr>
        <w:pStyle w:val="Marge"/>
        <w:tabs>
          <w:tab w:val="clear" w:pos="567"/>
        </w:tabs>
        <w:spacing w:after="120"/>
        <w:ind w:left="1134"/>
        <w:rPr>
          <w:rFonts w:cs="Arial"/>
          <w:lang w:val="en-US"/>
        </w:rPr>
      </w:pPr>
      <w:r w:rsidRPr="00DB0658">
        <w:rPr>
          <w:lang w:val="en-US"/>
        </w:rPr>
        <w:t>GE I Expert</w:t>
      </w:r>
    </w:p>
    <w:p w14:paraId="00F770B1" w14:textId="77777777" w:rsidR="00F41F15" w:rsidRPr="00DB0658" w:rsidRDefault="00F41F15" w:rsidP="00F41F15">
      <w:pPr>
        <w:pStyle w:val="Marge"/>
        <w:tabs>
          <w:tab w:val="clear" w:pos="567"/>
        </w:tabs>
        <w:spacing w:after="120"/>
        <w:ind w:left="1134"/>
        <w:rPr>
          <w:rFonts w:cs="Arial"/>
          <w:lang w:val="en-US"/>
        </w:rPr>
      </w:pPr>
      <w:r w:rsidRPr="00DB0658">
        <w:rPr>
          <w:lang w:val="en-US"/>
        </w:rPr>
        <w:t>GE II Expert</w:t>
      </w:r>
    </w:p>
    <w:p w14:paraId="2FAAF611" w14:textId="77777777" w:rsidR="00F41F15" w:rsidRDefault="00F41F15" w:rsidP="00F41F15">
      <w:pPr>
        <w:pStyle w:val="Marge"/>
        <w:tabs>
          <w:tab w:val="clear" w:pos="567"/>
        </w:tabs>
        <w:spacing w:after="120"/>
        <w:ind w:left="1134"/>
      </w:pPr>
      <w:r>
        <w:t>GE V(a) ONG</w:t>
      </w:r>
    </w:p>
    <w:p w14:paraId="4CAEB3C2" w14:textId="77777777" w:rsidR="00F41F15" w:rsidRPr="0099142D" w:rsidRDefault="00F41F15" w:rsidP="00F41F15">
      <w:pPr>
        <w:pStyle w:val="Marge"/>
        <w:tabs>
          <w:tab w:val="clear" w:pos="567"/>
        </w:tabs>
        <w:spacing w:after="120"/>
        <w:ind w:left="567"/>
        <w:rPr>
          <w:rFonts w:cs="Arial"/>
        </w:rPr>
      </w:pPr>
      <w:r>
        <w:t>Les sièges à renouveler pour les cycles 2024 – 2027 :</w:t>
      </w:r>
    </w:p>
    <w:p w14:paraId="6532E6B0" w14:textId="77777777" w:rsidR="00F41F15" w:rsidRPr="00DB0658" w:rsidRDefault="00F41F15" w:rsidP="00F41F15">
      <w:pPr>
        <w:pStyle w:val="Marge"/>
        <w:tabs>
          <w:tab w:val="clear" w:pos="567"/>
        </w:tabs>
        <w:spacing w:after="120"/>
        <w:ind w:left="1134"/>
        <w:rPr>
          <w:rFonts w:cs="Arial"/>
          <w:lang w:val="en-US"/>
        </w:rPr>
      </w:pPr>
      <w:r w:rsidRPr="00DB0658">
        <w:rPr>
          <w:lang w:val="en-US"/>
        </w:rPr>
        <w:t xml:space="preserve">GE I </w:t>
      </w:r>
      <w:r>
        <w:rPr>
          <w:lang w:val="en-US"/>
        </w:rPr>
        <w:t>ONG</w:t>
      </w:r>
    </w:p>
    <w:p w14:paraId="6CC8E1ED" w14:textId="77777777" w:rsidR="00F41F15" w:rsidRPr="00DB0658" w:rsidRDefault="00F41F15" w:rsidP="00F41F15">
      <w:pPr>
        <w:pStyle w:val="Marge"/>
        <w:tabs>
          <w:tab w:val="clear" w:pos="567"/>
        </w:tabs>
        <w:spacing w:after="120"/>
        <w:ind w:left="1134"/>
        <w:rPr>
          <w:rFonts w:cs="Arial"/>
          <w:lang w:val="en-US"/>
        </w:rPr>
      </w:pPr>
      <w:r w:rsidRPr="00DB0658">
        <w:rPr>
          <w:lang w:val="en-US"/>
        </w:rPr>
        <w:t xml:space="preserve">GE II </w:t>
      </w:r>
      <w:r>
        <w:rPr>
          <w:lang w:val="en-US"/>
        </w:rPr>
        <w:t>ONG</w:t>
      </w:r>
    </w:p>
    <w:p w14:paraId="719021D4" w14:textId="77777777" w:rsidR="00F41F15" w:rsidRPr="00B907E5" w:rsidRDefault="00F41F15" w:rsidP="00F41F15">
      <w:pPr>
        <w:pStyle w:val="Marge"/>
        <w:tabs>
          <w:tab w:val="clear" w:pos="567"/>
        </w:tabs>
        <w:spacing w:after="120"/>
        <w:ind w:left="1134"/>
        <w:rPr>
          <w:rFonts w:cs="Arial"/>
        </w:rPr>
      </w:pPr>
      <w:r w:rsidRPr="00B907E5">
        <w:t>GE V(a) E</w:t>
      </w:r>
      <w:r w:rsidRPr="002C75B0">
        <w:t>xpert</w:t>
      </w:r>
    </w:p>
    <w:p w14:paraId="416EAF09" w14:textId="04AC21DE" w:rsidR="00F41F15" w:rsidRDefault="00F41F15" w:rsidP="00B932EA">
      <w:pPr>
        <w:pStyle w:val="COMParaDecision"/>
        <w:numPr>
          <w:ilvl w:val="0"/>
          <w:numId w:val="66"/>
        </w:numPr>
        <w:spacing w:before="240"/>
        <w:ind w:left="567" w:hanging="567"/>
        <w:rPr>
          <w:u w:val="none"/>
        </w:rPr>
      </w:pPr>
      <w:r w:rsidRPr="002C75B0">
        <w:t>Décide</w:t>
      </w:r>
      <w:r w:rsidRPr="002C75B0">
        <w:rPr>
          <w:u w:val="none"/>
        </w:rPr>
        <w:t xml:space="preserve"> d</w:t>
      </w:r>
      <w:r w:rsidR="009C104E">
        <w:rPr>
          <w:u w:val="none"/>
        </w:rPr>
        <w:t>’</w:t>
      </w:r>
      <w:r w:rsidRPr="002C75B0">
        <w:rPr>
          <w:u w:val="none"/>
        </w:rPr>
        <w:t xml:space="preserve">évaluer les dossiers du cycle 2020 </w:t>
      </w:r>
      <w:r w:rsidRPr="00743B60">
        <w:rPr>
          <w:u w:val="none"/>
        </w:rPr>
        <w:t>dans l</w:t>
      </w:r>
      <w:r w:rsidR="009C104E" w:rsidRPr="00743B60">
        <w:rPr>
          <w:u w:val="none"/>
        </w:rPr>
        <w:t>’</w:t>
      </w:r>
      <w:r w:rsidRPr="00743B60">
        <w:rPr>
          <w:u w:val="none"/>
        </w:rPr>
        <w:t xml:space="preserve">ordre alphabétique en anglais, en commençant par les dossiers des États dont le nom commence par la lettre </w:t>
      </w:r>
      <w:r w:rsidR="00AC7B83" w:rsidRPr="00743B60">
        <w:rPr>
          <w:u w:val="none"/>
        </w:rPr>
        <w:t>Q</w:t>
      </w:r>
      <w:r w:rsidRPr="00743B60">
        <w:rPr>
          <w:u w:val="none"/>
        </w:rPr>
        <w:t xml:space="preserve"> et </w:t>
      </w:r>
      <w:r w:rsidRPr="00743B60">
        <w:t>demande</w:t>
      </w:r>
      <w:r w:rsidRPr="00743B60">
        <w:rPr>
          <w:u w:val="none"/>
        </w:rPr>
        <w:t xml:space="preserve"> à ce que l</w:t>
      </w:r>
      <w:r w:rsidR="009C104E" w:rsidRPr="00743B60">
        <w:rPr>
          <w:u w:val="none"/>
        </w:rPr>
        <w:t>’</w:t>
      </w:r>
      <w:r w:rsidRPr="00743B60">
        <w:rPr>
          <w:u w:val="none"/>
        </w:rPr>
        <w:t>Organe d</w:t>
      </w:r>
      <w:r w:rsidR="009C104E" w:rsidRPr="00743B60">
        <w:rPr>
          <w:u w:val="none"/>
        </w:rPr>
        <w:t>’</w:t>
      </w:r>
      <w:r w:rsidRPr="00743B60">
        <w:rPr>
          <w:u w:val="none"/>
        </w:rPr>
        <w:t>évaluation présente son rapport suivant cet ordre.</w:t>
      </w:r>
    </w:p>
    <w:p w14:paraId="5031198D" w14:textId="77777777" w:rsidR="00F7202F" w:rsidRDefault="00F41F15" w:rsidP="00B932EA">
      <w:pPr>
        <w:keepNext/>
        <w:widowControl w:val="0"/>
        <w:spacing w:before="360" w:after="120"/>
        <w:jc w:val="center"/>
        <w:rPr>
          <w:rFonts w:ascii="Arial" w:hAnsi="Arial"/>
          <w:b/>
          <w:sz w:val="22"/>
          <w:szCs w:val="22"/>
        </w:rPr>
      </w:pPr>
      <w:r>
        <w:rPr>
          <w:rFonts w:ascii="Arial" w:hAnsi="Arial"/>
          <w:b/>
          <w:sz w:val="22"/>
          <w:szCs w:val="22"/>
        </w:rPr>
        <w:t>A</w:t>
      </w:r>
      <w:r w:rsidR="00F7202F">
        <w:rPr>
          <w:rFonts w:ascii="Arial" w:hAnsi="Arial"/>
          <w:b/>
          <w:sz w:val="22"/>
          <w:szCs w:val="22"/>
        </w:rPr>
        <w:t>NNEXE</w:t>
      </w:r>
    </w:p>
    <w:p w14:paraId="348F5EB4" w14:textId="0AEB416E" w:rsidR="00F41F15" w:rsidRDefault="00F41F15" w:rsidP="00B932EA">
      <w:pPr>
        <w:keepNext/>
        <w:spacing w:after="120"/>
        <w:ind w:left="567"/>
        <w:jc w:val="center"/>
        <w:rPr>
          <w:rFonts w:ascii="Arial" w:hAnsi="Arial" w:cs="Arial"/>
          <w:b/>
          <w:sz w:val="22"/>
          <w:szCs w:val="22"/>
        </w:rPr>
      </w:pPr>
      <w:r>
        <w:rPr>
          <w:rFonts w:ascii="Arial" w:hAnsi="Arial"/>
          <w:b/>
          <w:sz w:val="22"/>
          <w:szCs w:val="22"/>
        </w:rPr>
        <w:t>Termes de référence de l</w:t>
      </w:r>
      <w:r w:rsidR="009C104E">
        <w:rPr>
          <w:rFonts w:ascii="Arial" w:hAnsi="Arial"/>
          <w:b/>
          <w:sz w:val="22"/>
          <w:szCs w:val="22"/>
        </w:rPr>
        <w:t>’</w:t>
      </w:r>
      <w:r>
        <w:rPr>
          <w:rFonts w:ascii="Arial" w:hAnsi="Arial"/>
          <w:b/>
          <w:sz w:val="22"/>
          <w:szCs w:val="22"/>
        </w:rPr>
        <w:t>Organe d</w:t>
      </w:r>
      <w:r w:rsidR="009C104E">
        <w:rPr>
          <w:rFonts w:ascii="Arial" w:hAnsi="Arial"/>
          <w:b/>
          <w:sz w:val="22"/>
          <w:szCs w:val="22"/>
        </w:rPr>
        <w:t>’</w:t>
      </w:r>
      <w:r>
        <w:rPr>
          <w:rFonts w:ascii="Arial" w:hAnsi="Arial"/>
          <w:b/>
          <w:sz w:val="22"/>
          <w:szCs w:val="22"/>
        </w:rPr>
        <w:t>évaluation pour le cycle 2020</w:t>
      </w:r>
    </w:p>
    <w:tbl>
      <w:tblPr>
        <w:tblpPr w:leftFromText="141" w:rightFromText="141" w:vertAnchor="text" w:tblpX="704" w:tblpY="1"/>
        <w:tblOverlap w:val="never"/>
        <w:tblW w:w="9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6"/>
        <w:gridCol w:w="454"/>
        <w:gridCol w:w="8084"/>
      </w:tblGrid>
      <w:tr w:rsidR="00F41F15" w:rsidRPr="005B7516" w14:paraId="215A5829" w14:textId="77777777" w:rsidTr="00B932EA">
        <w:tc>
          <w:tcPr>
            <w:tcW w:w="9214" w:type="dxa"/>
            <w:gridSpan w:val="3"/>
          </w:tcPr>
          <w:p w14:paraId="7B30FCAC" w14:textId="61FA4F56" w:rsidR="00F41F15" w:rsidRPr="005B7516" w:rsidRDefault="00F41F15" w:rsidP="004321B7">
            <w:pPr>
              <w:spacing w:before="100" w:after="120"/>
              <w:ind w:left="113" w:right="113"/>
              <w:jc w:val="both"/>
              <w:rPr>
                <w:rFonts w:ascii="Arial" w:hAnsi="Arial" w:cs="Arial"/>
              </w:rPr>
            </w:pPr>
            <w:r>
              <w:rPr>
                <w:rFonts w:ascii="Arial" w:hAnsi="Arial"/>
                <w:sz w:val="22"/>
                <w:szCs w:val="22"/>
              </w:rPr>
              <w:t>L</w:t>
            </w:r>
            <w:r w:rsidR="009C104E">
              <w:rPr>
                <w:rFonts w:ascii="Arial" w:hAnsi="Arial"/>
                <w:sz w:val="22"/>
                <w:szCs w:val="22"/>
              </w:rPr>
              <w:t>’</w:t>
            </w:r>
            <w:r>
              <w:rPr>
                <w:rFonts w:ascii="Arial" w:hAnsi="Arial"/>
                <w:sz w:val="22"/>
                <w:szCs w:val="22"/>
              </w:rPr>
              <w:t>Organe d</w:t>
            </w:r>
            <w:r w:rsidR="009C104E">
              <w:rPr>
                <w:rFonts w:ascii="Arial" w:hAnsi="Arial"/>
                <w:sz w:val="22"/>
                <w:szCs w:val="22"/>
              </w:rPr>
              <w:t>’</w:t>
            </w:r>
            <w:r>
              <w:rPr>
                <w:rFonts w:ascii="Arial" w:hAnsi="Arial"/>
                <w:sz w:val="22"/>
                <w:szCs w:val="22"/>
              </w:rPr>
              <w:t>évaluation</w:t>
            </w:r>
          </w:p>
        </w:tc>
      </w:tr>
      <w:tr w:rsidR="00F41F15" w:rsidRPr="00BE1468" w14:paraId="655D37D6" w14:textId="77777777" w:rsidTr="00B932EA">
        <w:tc>
          <w:tcPr>
            <w:tcW w:w="676" w:type="dxa"/>
          </w:tcPr>
          <w:p w14:paraId="21F4D22C" w14:textId="77777777" w:rsidR="00F41F15" w:rsidRPr="005B7516" w:rsidRDefault="00F41F15" w:rsidP="004321B7">
            <w:pPr>
              <w:spacing w:before="100" w:after="120"/>
              <w:ind w:left="113" w:right="113"/>
              <w:jc w:val="both"/>
              <w:rPr>
                <w:rFonts w:ascii="Arial" w:hAnsi="Arial" w:cs="Arial"/>
              </w:rPr>
            </w:pPr>
            <w:r>
              <w:rPr>
                <w:rFonts w:ascii="Arial" w:hAnsi="Arial"/>
                <w:sz w:val="22"/>
                <w:szCs w:val="22"/>
              </w:rPr>
              <w:t>1.</w:t>
            </w:r>
          </w:p>
        </w:tc>
        <w:tc>
          <w:tcPr>
            <w:tcW w:w="8538" w:type="dxa"/>
            <w:gridSpan w:val="2"/>
          </w:tcPr>
          <w:p w14:paraId="482F9B14" w14:textId="304A1F76" w:rsidR="00F41F15" w:rsidRPr="005B7516" w:rsidRDefault="00F41F15" w:rsidP="004321B7">
            <w:pPr>
              <w:spacing w:before="100" w:after="120"/>
              <w:ind w:left="113" w:right="113"/>
              <w:jc w:val="both"/>
              <w:rPr>
                <w:rFonts w:ascii="Arial" w:hAnsi="Arial" w:cs="Arial"/>
              </w:rPr>
            </w:pPr>
            <w:r>
              <w:rPr>
                <w:rFonts w:ascii="Arial" w:hAnsi="Arial"/>
                <w:sz w:val="22"/>
                <w:szCs w:val="22"/>
              </w:rPr>
              <w:t>est composé de douze membres nommés par le Comité : six experts qualifiés dans les divers domaines du patrimoine culturel immatériel représentants d</w:t>
            </w:r>
            <w:r w:rsidR="009C104E">
              <w:rPr>
                <w:rFonts w:ascii="Arial" w:hAnsi="Arial"/>
                <w:sz w:val="22"/>
                <w:szCs w:val="22"/>
              </w:rPr>
              <w:t>’</w:t>
            </w:r>
            <w:r>
              <w:rPr>
                <w:rFonts w:ascii="Arial" w:hAnsi="Arial"/>
                <w:sz w:val="22"/>
                <w:szCs w:val="22"/>
              </w:rPr>
              <w:t>États parties non membres du Comité et six organisations non gouvernementales accréditées, en tenant compte d</w:t>
            </w:r>
            <w:r w:rsidR="009C104E">
              <w:rPr>
                <w:rFonts w:ascii="Arial" w:hAnsi="Arial"/>
                <w:sz w:val="22"/>
                <w:szCs w:val="22"/>
              </w:rPr>
              <w:t>’</w:t>
            </w:r>
            <w:r>
              <w:rPr>
                <w:rFonts w:ascii="Arial" w:hAnsi="Arial"/>
                <w:sz w:val="22"/>
                <w:szCs w:val="22"/>
              </w:rPr>
              <w:t>une répartition géographique équitable et des différents domaines du patrimoine culturel immatériel ;</w:t>
            </w:r>
          </w:p>
        </w:tc>
      </w:tr>
      <w:tr w:rsidR="00F41F15" w:rsidRPr="00BE1468" w14:paraId="1F2EE6B6" w14:textId="77777777" w:rsidTr="00B932EA">
        <w:tc>
          <w:tcPr>
            <w:tcW w:w="676" w:type="dxa"/>
          </w:tcPr>
          <w:p w14:paraId="44340A52" w14:textId="77777777" w:rsidR="00F41F15" w:rsidRPr="005B7516" w:rsidRDefault="00F41F15" w:rsidP="004321B7">
            <w:pPr>
              <w:spacing w:before="100" w:after="120"/>
              <w:ind w:left="113" w:right="113"/>
              <w:jc w:val="both"/>
              <w:rPr>
                <w:rFonts w:ascii="Arial" w:hAnsi="Arial" w:cs="Arial"/>
              </w:rPr>
            </w:pPr>
            <w:r>
              <w:rPr>
                <w:rFonts w:ascii="Arial" w:hAnsi="Arial"/>
                <w:sz w:val="22"/>
                <w:szCs w:val="22"/>
              </w:rPr>
              <w:t>2.</w:t>
            </w:r>
          </w:p>
        </w:tc>
        <w:tc>
          <w:tcPr>
            <w:tcW w:w="8538" w:type="dxa"/>
            <w:gridSpan w:val="2"/>
          </w:tcPr>
          <w:p w14:paraId="1B7CD61D" w14:textId="77777777" w:rsidR="00F41F15" w:rsidRPr="005B7516" w:rsidRDefault="00F41F15" w:rsidP="004321B7">
            <w:pPr>
              <w:spacing w:before="100" w:after="120"/>
              <w:ind w:left="113" w:right="113"/>
              <w:jc w:val="both"/>
              <w:rPr>
                <w:rFonts w:ascii="Arial" w:hAnsi="Arial" w:cs="Arial"/>
              </w:rPr>
            </w:pPr>
            <w:r>
              <w:rPr>
                <w:rFonts w:ascii="Arial" w:hAnsi="Arial"/>
                <w:sz w:val="22"/>
                <w:szCs w:val="22"/>
              </w:rPr>
              <w:t>élit son président, son vice-président et son rapporteur ;</w:t>
            </w:r>
          </w:p>
        </w:tc>
      </w:tr>
      <w:tr w:rsidR="00F41F15" w:rsidRPr="00BE1468" w14:paraId="138E8352" w14:textId="77777777" w:rsidTr="00B932EA">
        <w:tc>
          <w:tcPr>
            <w:tcW w:w="676" w:type="dxa"/>
          </w:tcPr>
          <w:p w14:paraId="6555953A" w14:textId="77777777" w:rsidR="00F41F15" w:rsidRPr="005B7516" w:rsidRDefault="00F41F15" w:rsidP="004321B7">
            <w:pPr>
              <w:spacing w:before="100" w:after="120"/>
              <w:ind w:left="113" w:right="113"/>
              <w:jc w:val="both"/>
              <w:rPr>
                <w:rFonts w:ascii="Arial" w:hAnsi="Arial" w:cs="Arial"/>
              </w:rPr>
            </w:pPr>
            <w:r>
              <w:rPr>
                <w:rFonts w:ascii="Arial" w:hAnsi="Arial"/>
                <w:sz w:val="22"/>
                <w:szCs w:val="22"/>
              </w:rPr>
              <w:t>3.</w:t>
            </w:r>
          </w:p>
        </w:tc>
        <w:tc>
          <w:tcPr>
            <w:tcW w:w="8538" w:type="dxa"/>
            <w:gridSpan w:val="2"/>
          </w:tcPr>
          <w:p w14:paraId="1F4ACC5B" w14:textId="3D1DE31F" w:rsidR="00F41F15" w:rsidRPr="005B7516" w:rsidRDefault="00F41F15" w:rsidP="004321B7">
            <w:pPr>
              <w:spacing w:before="100" w:after="120"/>
              <w:ind w:left="113" w:right="113"/>
              <w:jc w:val="both"/>
              <w:rPr>
                <w:rFonts w:ascii="Arial" w:hAnsi="Arial" w:cs="Arial"/>
              </w:rPr>
            </w:pPr>
            <w:r>
              <w:rPr>
                <w:rFonts w:ascii="Arial" w:hAnsi="Arial"/>
                <w:sz w:val="22"/>
                <w:szCs w:val="22"/>
              </w:rPr>
              <w:t>se réunit en séances privées conformément à l</w:t>
            </w:r>
            <w:r w:rsidR="009C104E">
              <w:rPr>
                <w:rFonts w:ascii="Arial" w:hAnsi="Arial"/>
                <w:sz w:val="22"/>
                <w:szCs w:val="22"/>
              </w:rPr>
              <w:t>’</w:t>
            </w:r>
            <w:r>
              <w:rPr>
                <w:rFonts w:ascii="Arial" w:hAnsi="Arial"/>
                <w:sz w:val="22"/>
                <w:szCs w:val="22"/>
              </w:rPr>
              <w:t>article 19 du Règlement intérieur du Comité ;</w:t>
            </w:r>
          </w:p>
        </w:tc>
      </w:tr>
      <w:tr w:rsidR="00F41F15" w:rsidRPr="00EA11D3" w14:paraId="3721ADB2" w14:textId="77777777" w:rsidTr="00B932EA">
        <w:tc>
          <w:tcPr>
            <w:tcW w:w="676" w:type="dxa"/>
          </w:tcPr>
          <w:p w14:paraId="5D50A679" w14:textId="77777777" w:rsidR="00F41F15" w:rsidRPr="005B7516" w:rsidRDefault="00F41F15" w:rsidP="004321B7">
            <w:pPr>
              <w:spacing w:before="100" w:after="120"/>
              <w:ind w:left="113" w:right="113"/>
              <w:jc w:val="both"/>
              <w:rPr>
                <w:rFonts w:ascii="Arial" w:hAnsi="Arial" w:cs="Arial"/>
              </w:rPr>
            </w:pPr>
            <w:r>
              <w:rPr>
                <w:rFonts w:ascii="Arial" w:hAnsi="Arial"/>
                <w:sz w:val="22"/>
                <w:szCs w:val="22"/>
              </w:rPr>
              <w:t>4.</w:t>
            </w:r>
          </w:p>
        </w:tc>
        <w:tc>
          <w:tcPr>
            <w:tcW w:w="8538" w:type="dxa"/>
            <w:gridSpan w:val="2"/>
          </w:tcPr>
          <w:p w14:paraId="7A0F46F2" w14:textId="4E29D4D8" w:rsidR="00F41F15" w:rsidRPr="005B7516" w:rsidRDefault="00F41F15" w:rsidP="004321B7">
            <w:pPr>
              <w:spacing w:before="100" w:after="120"/>
              <w:ind w:left="113" w:right="113"/>
              <w:jc w:val="both"/>
              <w:rPr>
                <w:rFonts w:ascii="Arial" w:hAnsi="Arial" w:cs="Arial"/>
              </w:rPr>
            </w:pPr>
            <w:r>
              <w:rPr>
                <w:rFonts w:ascii="Arial" w:hAnsi="Arial"/>
                <w:sz w:val="22"/>
                <w:szCs w:val="22"/>
              </w:rPr>
              <w:t>est responsable de l</w:t>
            </w:r>
            <w:r w:rsidR="009C104E">
              <w:rPr>
                <w:rFonts w:ascii="Arial" w:hAnsi="Arial"/>
                <w:sz w:val="22"/>
                <w:szCs w:val="22"/>
              </w:rPr>
              <w:t>’</w:t>
            </w:r>
            <w:r>
              <w:rPr>
                <w:rFonts w:ascii="Arial" w:hAnsi="Arial"/>
                <w:sz w:val="22"/>
                <w:szCs w:val="22"/>
              </w:rPr>
              <w:t>évaluation des candidatures à l</w:t>
            </w:r>
            <w:r w:rsidR="009C104E">
              <w:rPr>
                <w:rFonts w:ascii="Arial" w:hAnsi="Arial"/>
                <w:sz w:val="22"/>
                <w:szCs w:val="22"/>
              </w:rPr>
              <w:t>’</w:t>
            </w:r>
            <w:r>
              <w:rPr>
                <w:rFonts w:ascii="Arial" w:hAnsi="Arial"/>
                <w:sz w:val="22"/>
                <w:szCs w:val="22"/>
              </w:rPr>
              <w:t>inscription sur la Liste du patrimoine culturel immatériel nécessitant une sauvegarde urgente et sur la Liste représentative du patrimoine culturel immatériel de l</w:t>
            </w:r>
            <w:r w:rsidR="009C104E">
              <w:rPr>
                <w:rFonts w:ascii="Arial" w:hAnsi="Arial"/>
                <w:sz w:val="22"/>
                <w:szCs w:val="22"/>
              </w:rPr>
              <w:t>’</w:t>
            </w:r>
            <w:r>
              <w:rPr>
                <w:rFonts w:ascii="Arial" w:hAnsi="Arial"/>
                <w:sz w:val="22"/>
                <w:szCs w:val="22"/>
              </w:rPr>
              <w:t>humanité, des propositions de programmes, projets et activités reflétant le mieux les principes et les objectifs de la Convention et des demandes d</w:t>
            </w:r>
            <w:r w:rsidR="009C104E">
              <w:rPr>
                <w:rFonts w:ascii="Arial" w:hAnsi="Arial"/>
                <w:sz w:val="22"/>
                <w:szCs w:val="22"/>
              </w:rPr>
              <w:t>’</w:t>
            </w:r>
            <w:r>
              <w:rPr>
                <w:rFonts w:ascii="Arial" w:hAnsi="Arial"/>
                <w:sz w:val="22"/>
                <w:szCs w:val="22"/>
              </w:rPr>
              <w:t>assistance internationale supérieures à 100 000 dollars des États-Unis, conformément aux Directives opérationnelles pour la mise en œuvre de la Convention. Il doit notamment inclure dans son évaluation :</w:t>
            </w:r>
          </w:p>
        </w:tc>
      </w:tr>
      <w:tr w:rsidR="00F41F15" w:rsidRPr="00BE1468" w14:paraId="4D2F286B" w14:textId="77777777" w:rsidTr="00B932EA">
        <w:tc>
          <w:tcPr>
            <w:tcW w:w="676" w:type="dxa"/>
          </w:tcPr>
          <w:p w14:paraId="22116234" w14:textId="77777777" w:rsidR="00F41F15" w:rsidRPr="00CC166E" w:rsidRDefault="00F41F15" w:rsidP="004321B7">
            <w:pPr>
              <w:spacing w:before="100" w:after="120"/>
              <w:ind w:left="113" w:right="113"/>
              <w:jc w:val="both"/>
              <w:rPr>
                <w:rFonts w:ascii="Arial" w:hAnsi="Arial" w:cs="Arial"/>
              </w:rPr>
            </w:pPr>
          </w:p>
        </w:tc>
        <w:tc>
          <w:tcPr>
            <w:tcW w:w="454" w:type="dxa"/>
            <w:tcMar>
              <w:left w:w="0" w:type="dxa"/>
              <w:right w:w="0" w:type="dxa"/>
            </w:tcMar>
          </w:tcPr>
          <w:p w14:paraId="0FF124E2" w14:textId="77777777" w:rsidR="00F41F15" w:rsidRPr="005B7516" w:rsidRDefault="00F41F15" w:rsidP="004321B7">
            <w:pPr>
              <w:spacing w:before="100" w:after="120"/>
              <w:ind w:left="113" w:right="113"/>
              <w:jc w:val="both"/>
              <w:rPr>
                <w:rFonts w:ascii="Arial" w:hAnsi="Arial" w:cs="Arial"/>
              </w:rPr>
            </w:pPr>
            <w:r>
              <w:rPr>
                <w:rFonts w:ascii="Arial" w:hAnsi="Arial"/>
                <w:sz w:val="22"/>
                <w:szCs w:val="22"/>
              </w:rPr>
              <w:t>a.</w:t>
            </w:r>
          </w:p>
        </w:tc>
        <w:tc>
          <w:tcPr>
            <w:tcW w:w="8084" w:type="dxa"/>
          </w:tcPr>
          <w:p w14:paraId="3120AA39" w14:textId="2E2D9C8F" w:rsidR="00F41F15" w:rsidRPr="005B7516" w:rsidRDefault="00F41F15" w:rsidP="004321B7">
            <w:pPr>
              <w:spacing w:before="100" w:after="120"/>
              <w:ind w:left="113" w:right="113"/>
              <w:jc w:val="both"/>
              <w:rPr>
                <w:rFonts w:ascii="Arial" w:hAnsi="Arial" w:cs="Arial"/>
              </w:rPr>
            </w:pPr>
            <w:r>
              <w:rPr>
                <w:rFonts w:ascii="Arial" w:hAnsi="Arial"/>
                <w:sz w:val="22"/>
                <w:szCs w:val="22"/>
              </w:rPr>
              <w:t>une analyse de la conformité des candidatures à la Liste du patrimoine culturel immatériel nécessitant une sauvegarde urgente avec les critères d</w:t>
            </w:r>
            <w:r w:rsidR="009C104E">
              <w:rPr>
                <w:rFonts w:ascii="Arial" w:hAnsi="Arial"/>
                <w:sz w:val="22"/>
                <w:szCs w:val="22"/>
              </w:rPr>
              <w:t>’</w:t>
            </w:r>
            <w:r>
              <w:rPr>
                <w:rFonts w:ascii="Arial" w:hAnsi="Arial"/>
                <w:sz w:val="22"/>
                <w:szCs w:val="22"/>
              </w:rPr>
              <w:t>inscription énoncés au chapitre I.1 des Directives opérationnelles, y compris une analyse de la viabilité de l</w:t>
            </w:r>
            <w:r w:rsidR="009C104E">
              <w:rPr>
                <w:rFonts w:ascii="Arial" w:hAnsi="Arial"/>
                <w:sz w:val="22"/>
                <w:szCs w:val="22"/>
              </w:rPr>
              <w:t>’</w:t>
            </w:r>
            <w:r>
              <w:rPr>
                <w:rFonts w:ascii="Arial" w:hAnsi="Arial"/>
                <w:sz w:val="22"/>
                <w:szCs w:val="22"/>
              </w:rPr>
              <w:t>élément ainsi que celle de la faisabilité et de l</w:t>
            </w:r>
            <w:r w:rsidR="009C104E">
              <w:rPr>
                <w:rFonts w:ascii="Arial" w:hAnsi="Arial"/>
                <w:sz w:val="22"/>
                <w:szCs w:val="22"/>
              </w:rPr>
              <w:t>’</w:t>
            </w:r>
            <w:r>
              <w:rPr>
                <w:rFonts w:ascii="Arial" w:hAnsi="Arial"/>
                <w:sz w:val="22"/>
                <w:szCs w:val="22"/>
              </w:rPr>
              <w:t>adéquation du plan de sauvegarde, et une analyse du risque de disparition, comme indiqué au paragraphe 29 des Directives opérationnelles ;</w:t>
            </w:r>
          </w:p>
        </w:tc>
      </w:tr>
      <w:tr w:rsidR="00F41F15" w:rsidRPr="00BE1468" w14:paraId="798A2338" w14:textId="77777777" w:rsidTr="00B932EA">
        <w:tc>
          <w:tcPr>
            <w:tcW w:w="676" w:type="dxa"/>
          </w:tcPr>
          <w:p w14:paraId="252E774D" w14:textId="77777777" w:rsidR="00F41F15" w:rsidRPr="00DB0658" w:rsidRDefault="00F41F15" w:rsidP="004321B7">
            <w:pPr>
              <w:spacing w:before="100" w:after="120"/>
              <w:ind w:left="113" w:right="113"/>
              <w:jc w:val="both"/>
              <w:rPr>
                <w:rFonts w:ascii="Arial" w:hAnsi="Arial" w:cs="Arial"/>
              </w:rPr>
            </w:pPr>
          </w:p>
        </w:tc>
        <w:tc>
          <w:tcPr>
            <w:tcW w:w="454" w:type="dxa"/>
            <w:tcMar>
              <w:left w:w="0" w:type="dxa"/>
              <w:right w:w="0" w:type="dxa"/>
            </w:tcMar>
          </w:tcPr>
          <w:p w14:paraId="02A38411" w14:textId="77777777" w:rsidR="00F41F15" w:rsidRPr="005B7516" w:rsidRDefault="00F41F15" w:rsidP="004321B7">
            <w:pPr>
              <w:spacing w:before="100" w:after="120"/>
              <w:ind w:left="113" w:right="113"/>
              <w:jc w:val="both"/>
              <w:rPr>
                <w:rFonts w:ascii="Arial" w:hAnsi="Arial" w:cs="Arial"/>
              </w:rPr>
            </w:pPr>
            <w:r>
              <w:rPr>
                <w:rFonts w:ascii="Arial" w:hAnsi="Arial"/>
                <w:sz w:val="22"/>
                <w:szCs w:val="22"/>
              </w:rPr>
              <w:t>b.</w:t>
            </w:r>
          </w:p>
        </w:tc>
        <w:tc>
          <w:tcPr>
            <w:tcW w:w="8084" w:type="dxa"/>
          </w:tcPr>
          <w:p w14:paraId="560E3167" w14:textId="0ABCD28C" w:rsidR="00F41F15" w:rsidRPr="005B7516" w:rsidRDefault="00F41F15" w:rsidP="004321B7">
            <w:pPr>
              <w:spacing w:before="100" w:after="120"/>
              <w:ind w:left="113" w:right="113"/>
              <w:jc w:val="both"/>
              <w:rPr>
                <w:rFonts w:ascii="Arial" w:hAnsi="Arial" w:cs="Arial"/>
              </w:rPr>
            </w:pPr>
            <w:r>
              <w:rPr>
                <w:rFonts w:ascii="Arial" w:hAnsi="Arial"/>
                <w:sz w:val="22"/>
                <w:szCs w:val="22"/>
              </w:rPr>
              <w:t>une analyse de la conformité des candidatures à la Liste représentative du patrimoine culturel immatériel de l</w:t>
            </w:r>
            <w:r w:rsidR="009C104E">
              <w:rPr>
                <w:rFonts w:ascii="Arial" w:hAnsi="Arial"/>
                <w:sz w:val="22"/>
                <w:szCs w:val="22"/>
              </w:rPr>
              <w:t>’</w:t>
            </w:r>
            <w:r>
              <w:rPr>
                <w:rFonts w:ascii="Arial" w:hAnsi="Arial"/>
                <w:sz w:val="22"/>
                <w:szCs w:val="22"/>
              </w:rPr>
              <w:t>humanité avec les critères d</w:t>
            </w:r>
            <w:r w:rsidR="009C104E">
              <w:rPr>
                <w:rFonts w:ascii="Arial" w:hAnsi="Arial"/>
                <w:sz w:val="22"/>
                <w:szCs w:val="22"/>
              </w:rPr>
              <w:t>’</w:t>
            </w:r>
            <w:r>
              <w:rPr>
                <w:rFonts w:ascii="Arial" w:hAnsi="Arial"/>
                <w:sz w:val="22"/>
                <w:szCs w:val="22"/>
              </w:rPr>
              <w:t>inscription énoncés au chapitre I.2 des Directives opérationnelles ;</w:t>
            </w:r>
          </w:p>
        </w:tc>
      </w:tr>
      <w:tr w:rsidR="00F41F15" w:rsidRPr="00BE1468" w14:paraId="4E079572" w14:textId="77777777" w:rsidTr="00B932EA">
        <w:tc>
          <w:tcPr>
            <w:tcW w:w="676" w:type="dxa"/>
          </w:tcPr>
          <w:p w14:paraId="43761447" w14:textId="77777777" w:rsidR="00F41F15" w:rsidRPr="00DB0658" w:rsidRDefault="00F41F15" w:rsidP="004321B7">
            <w:pPr>
              <w:spacing w:before="100" w:after="120"/>
              <w:ind w:left="113" w:right="113"/>
              <w:jc w:val="both"/>
              <w:rPr>
                <w:rFonts w:ascii="Arial" w:hAnsi="Arial" w:cs="Arial"/>
              </w:rPr>
            </w:pPr>
          </w:p>
        </w:tc>
        <w:tc>
          <w:tcPr>
            <w:tcW w:w="454" w:type="dxa"/>
            <w:tcMar>
              <w:left w:w="0" w:type="dxa"/>
              <w:right w:w="0" w:type="dxa"/>
            </w:tcMar>
          </w:tcPr>
          <w:p w14:paraId="23F4C83A" w14:textId="77777777" w:rsidR="00F41F15" w:rsidRPr="005B7516" w:rsidRDefault="00F41F15" w:rsidP="004321B7">
            <w:pPr>
              <w:spacing w:before="100" w:after="120"/>
              <w:ind w:left="113" w:right="113"/>
              <w:jc w:val="both"/>
              <w:rPr>
                <w:rFonts w:ascii="Arial" w:hAnsi="Arial" w:cs="Arial"/>
              </w:rPr>
            </w:pPr>
            <w:r>
              <w:rPr>
                <w:rFonts w:ascii="Arial" w:hAnsi="Arial"/>
                <w:sz w:val="22"/>
                <w:szCs w:val="22"/>
              </w:rPr>
              <w:t>c.</w:t>
            </w:r>
          </w:p>
        </w:tc>
        <w:tc>
          <w:tcPr>
            <w:tcW w:w="8084" w:type="dxa"/>
          </w:tcPr>
          <w:p w14:paraId="00B22A26" w14:textId="77777777" w:rsidR="00F41F15" w:rsidRPr="005B7516" w:rsidRDefault="00F41F15" w:rsidP="004321B7">
            <w:pPr>
              <w:spacing w:before="100" w:after="120"/>
              <w:ind w:left="113" w:right="113"/>
              <w:jc w:val="both"/>
              <w:rPr>
                <w:rFonts w:ascii="Arial" w:hAnsi="Arial" w:cs="Arial"/>
              </w:rPr>
            </w:pPr>
            <w:r>
              <w:rPr>
                <w:rFonts w:ascii="Arial" w:hAnsi="Arial"/>
                <w:sz w:val="22"/>
                <w:szCs w:val="22"/>
              </w:rPr>
              <w:t>une analyse de la conformité des propositions de programmes, projets et activités reflétant le mieux les principes et objectifs de la Convention avec les critères de sélection énoncés au chapitre I.3 des Directives opérationnelles ;</w:t>
            </w:r>
          </w:p>
        </w:tc>
      </w:tr>
      <w:tr w:rsidR="00F41F15" w:rsidRPr="00BE1468" w14:paraId="746EE800" w14:textId="77777777" w:rsidTr="00B932EA">
        <w:tc>
          <w:tcPr>
            <w:tcW w:w="676" w:type="dxa"/>
          </w:tcPr>
          <w:p w14:paraId="13FD259D" w14:textId="77777777" w:rsidR="00F41F15" w:rsidRPr="00DB0658" w:rsidRDefault="00F41F15" w:rsidP="004321B7">
            <w:pPr>
              <w:spacing w:before="100" w:after="120"/>
              <w:ind w:left="113" w:right="113"/>
              <w:jc w:val="both"/>
              <w:rPr>
                <w:rFonts w:ascii="Arial" w:hAnsi="Arial" w:cs="Arial"/>
              </w:rPr>
            </w:pPr>
          </w:p>
        </w:tc>
        <w:tc>
          <w:tcPr>
            <w:tcW w:w="454" w:type="dxa"/>
            <w:tcMar>
              <w:left w:w="0" w:type="dxa"/>
              <w:right w:w="0" w:type="dxa"/>
            </w:tcMar>
          </w:tcPr>
          <w:p w14:paraId="7198A5E3" w14:textId="77777777" w:rsidR="00F41F15" w:rsidRPr="005B7516" w:rsidRDefault="00F41F15" w:rsidP="004321B7">
            <w:pPr>
              <w:spacing w:before="100" w:after="120"/>
              <w:ind w:left="113" w:right="113"/>
              <w:jc w:val="both"/>
              <w:rPr>
                <w:rFonts w:ascii="Arial" w:hAnsi="Arial" w:cs="Arial"/>
              </w:rPr>
            </w:pPr>
            <w:r>
              <w:rPr>
                <w:rFonts w:ascii="Arial" w:hAnsi="Arial"/>
                <w:sz w:val="22"/>
                <w:szCs w:val="22"/>
              </w:rPr>
              <w:t>d.</w:t>
            </w:r>
          </w:p>
        </w:tc>
        <w:tc>
          <w:tcPr>
            <w:tcW w:w="8084" w:type="dxa"/>
          </w:tcPr>
          <w:p w14:paraId="0820FBF7" w14:textId="7CA24850" w:rsidR="00F41F15" w:rsidRPr="005B7516" w:rsidRDefault="00F41F15" w:rsidP="004321B7">
            <w:pPr>
              <w:spacing w:before="100" w:after="120"/>
              <w:ind w:left="113" w:right="113"/>
              <w:jc w:val="both"/>
              <w:rPr>
                <w:rFonts w:ascii="Arial" w:hAnsi="Arial" w:cs="Arial"/>
              </w:rPr>
            </w:pPr>
            <w:r>
              <w:rPr>
                <w:rFonts w:ascii="Arial" w:hAnsi="Arial"/>
                <w:sz w:val="22"/>
                <w:szCs w:val="22"/>
              </w:rPr>
              <w:t>une analyse de la conformité des demandes d</w:t>
            </w:r>
            <w:r w:rsidR="009C104E">
              <w:rPr>
                <w:rFonts w:ascii="Arial" w:hAnsi="Arial"/>
                <w:sz w:val="22"/>
                <w:szCs w:val="22"/>
              </w:rPr>
              <w:t>’</w:t>
            </w:r>
            <w:r>
              <w:rPr>
                <w:rFonts w:ascii="Arial" w:hAnsi="Arial"/>
                <w:sz w:val="22"/>
                <w:szCs w:val="22"/>
              </w:rPr>
              <w:t>assistance internationale supérieures à 100 000 dollars des États-Unis avec les critères de sélection énoncés au chapitre I.4 des Directives opérationnelles ;</w:t>
            </w:r>
          </w:p>
        </w:tc>
      </w:tr>
      <w:tr w:rsidR="00F41F15" w:rsidRPr="00BE1468" w14:paraId="51D826B8" w14:textId="77777777" w:rsidTr="00B932EA">
        <w:tc>
          <w:tcPr>
            <w:tcW w:w="676" w:type="dxa"/>
          </w:tcPr>
          <w:p w14:paraId="5DC74DD2" w14:textId="77777777" w:rsidR="00F41F15" w:rsidRPr="00DB0658" w:rsidRDefault="00F41F15" w:rsidP="004321B7">
            <w:pPr>
              <w:spacing w:before="100" w:after="120"/>
              <w:ind w:left="113" w:right="113"/>
              <w:jc w:val="both"/>
              <w:rPr>
                <w:rFonts w:ascii="Arial" w:hAnsi="Arial" w:cs="Arial"/>
              </w:rPr>
            </w:pPr>
          </w:p>
        </w:tc>
        <w:tc>
          <w:tcPr>
            <w:tcW w:w="454" w:type="dxa"/>
            <w:tcMar>
              <w:left w:w="0" w:type="dxa"/>
              <w:right w:w="0" w:type="dxa"/>
            </w:tcMar>
          </w:tcPr>
          <w:p w14:paraId="42015B03" w14:textId="77777777" w:rsidR="00F41F15" w:rsidRPr="005B7516" w:rsidRDefault="00F41F15" w:rsidP="004321B7">
            <w:pPr>
              <w:spacing w:before="100" w:after="120"/>
              <w:ind w:left="113" w:right="113"/>
              <w:jc w:val="both"/>
              <w:rPr>
                <w:rFonts w:ascii="Arial" w:hAnsi="Arial" w:cs="Arial"/>
              </w:rPr>
            </w:pPr>
            <w:r>
              <w:rPr>
                <w:rFonts w:ascii="Arial" w:hAnsi="Arial"/>
                <w:sz w:val="22"/>
                <w:szCs w:val="22"/>
              </w:rPr>
              <w:t>e.</w:t>
            </w:r>
          </w:p>
        </w:tc>
        <w:tc>
          <w:tcPr>
            <w:tcW w:w="8084" w:type="dxa"/>
          </w:tcPr>
          <w:p w14:paraId="490D673E" w14:textId="77777777" w:rsidR="00F41F15" w:rsidRDefault="00F41F15" w:rsidP="004321B7">
            <w:pPr>
              <w:spacing w:before="100" w:after="120"/>
              <w:ind w:left="113" w:right="113"/>
              <w:jc w:val="both"/>
              <w:rPr>
                <w:rFonts w:ascii="Arial" w:hAnsi="Arial" w:cs="Arial"/>
              </w:rPr>
            </w:pPr>
            <w:r>
              <w:rPr>
                <w:rFonts w:ascii="Arial" w:hAnsi="Arial"/>
                <w:sz w:val="22"/>
                <w:szCs w:val="22"/>
              </w:rPr>
              <w:t>des recommandations faites au Comité concernant :</w:t>
            </w:r>
          </w:p>
          <w:p w14:paraId="223E979B" w14:textId="106EF432" w:rsidR="00F41F15" w:rsidRDefault="00F41F15" w:rsidP="004321B7">
            <w:pPr>
              <w:spacing w:before="100" w:after="120"/>
              <w:ind w:left="113" w:right="113"/>
              <w:jc w:val="both"/>
              <w:rPr>
                <w:rFonts w:ascii="Arial" w:hAnsi="Arial" w:cs="Arial"/>
              </w:rPr>
            </w:pPr>
            <w:r>
              <w:rPr>
                <w:rFonts w:ascii="Arial" w:hAnsi="Arial"/>
                <w:sz w:val="22"/>
                <w:szCs w:val="22"/>
              </w:rPr>
              <w:t>- l</w:t>
            </w:r>
            <w:r w:rsidR="009C104E">
              <w:rPr>
                <w:rFonts w:ascii="Arial" w:hAnsi="Arial"/>
                <w:sz w:val="22"/>
                <w:szCs w:val="22"/>
              </w:rPr>
              <w:t>’</w:t>
            </w:r>
            <w:r>
              <w:rPr>
                <w:rFonts w:ascii="Arial" w:hAnsi="Arial"/>
                <w:sz w:val="22"/>
                <w:szCs w:val="22"/>
              </w:rPr>
              <w:t>inscription ou la non-inscription des éléments proposés sur la Liste du patrimoine culturel immatériel nécessitant une sauvegarde urgente ou la Liste représentative du patrimoine culturel immatériel de l</w:t>
            </w:r>
            <w:r w:rsidR="009C104E">
              <w:rPr>
                <w:rFonts w:ascii="Arial" w:hAnsi="Arial"/>
                <w:sz w:val="22"/>
                <w:szCs w:val="22"/>
              </w:rPr>
              <w:t>’</w:t>
            </w:r>
            <w:r>
              <w:rPr>
                <w:rFonts w:ascii="Arial" w:hAnsi="Arial"/>
                <w:sz w:val="22"/>
                <w:szCs w:val="22"/>
              </w:rPr>
              <w:t>humanité, ou le renvoi des candidatures à l</w:t>
            </w:r>
            <w:r w:rsidR="009C104E">
              <w:rPr>
                <w:rFonts w:ascii="Arial" w:hAnsi="Arial"/>
                <w:sz w:val="22"/>
                <w:szCs w:val="22"/>
              </w:rPr>
              <w:t>’</w:t>
            </w:r>
            <w:r>
              <w:rPr>
                <w:rFonts w:ascii="Arial" w:hAnsi="Arial"/>
                <w:sz w:val="22"/>
                <w:szCs w:val="22"/>
              </w:rPr>
              <w:t>(aux) État(s) soumissionnaire(s) pour complément d</w:t>
            </w:r>
            <w:r w:rsidR="009C104E">
              <w:rPr>
                <w:rFonts w:ascii="Arial" w:hAnsi="Arial"/>
                <w:sz w:val="22"/>
                <w:szCs w:val="22"/>
              </w:rPr>
              <w:t>’</w:t>
            </w:r>
            <w:r>
              <w:rPr>
                <w:rFonts w:ascii="Arial" w:hAnsi="Arial"/>
                <w:sz w:val="22"/>
                <w:szCs w:val="22"/>
              </w:rPr>
              <w:t>information ;</w:t>
            </w:r>
          </w:p>
          <w:p w14:paraId="564AE63B" w14:textId="4B66E014" w:rsidR="00F41F15" w:rsidRDefault="00F41F15" w:rsidP="004321B7">
            <w:pPr>
              <w:spacing w:before="100" w:after="120"/>
              <w:ind w:left="113" w:right="113"/>
              <w:jc w:val="both"/>
              <w:rPr>
                <w:rFonts w:ascii="Arial" w:hAnsi="Arial" w:cs="Arial"/>
              </w:rPr>
            </w:pPr>
            <w:r>
              <w:rPr>
                <w:rFonts w:ascii="Arial" w:hAnsi="Arial"/>
                <w:sz w:val="22"/>
                <w:szCs w:val="22"/>
              </w:rPr>
              <w:t>- la sélection ou la non-sélection des propositions de programmes, projets ou activités reflétant le mieux les principes et objectifs de la Convention ou le renvoi des propositions à l</w:t>
            </w:r>
            <w:r w:rsidR="009C104E">
              <w:rPr>
                <w:rFonts w:ascii="Arial" w:hAnsi="Arial"/>
                <w:sz w:val="22"/>
                <w:szCs w:val="22"/>
              </w:rPr>
              <w:t>’</w:t>
            </w:r>
            <w:r>
              <w:rPr>
                <w:rFonts w:ascii="Arial" w:hAnsi="Arial"/>
                <w:sz w:val="22"/>
                <w:szCs w:val="22"/>
              </w:rPr>
              <w:t>(aux) État(s) soumissionnaire(s) pour complément d</w:t>
            </w:r>
            <w:r w:rsidR="009C104E">
              <w:rPr>
                <w:rFonts w:ascii="Arial" w:hAnsi="Arial"/>
                <w:sz w:val="22"/>
                <w:szCs w:val="22"/>
              </w:rPr>
              <w:t>’</w:t>
            </w:r>
            <w:r>
              <w:rPr>
                <w:rFonts w:ascii="Arial" w:hAnsi="Arial"/>
                <w:sz w:val="22"/>
                <w:szCs w:val="22"/>
              </w:rPr>
              <w:t>information ;</w:t>
            </w:r>
          </w:p>
          <w:p w14:paraId="126F45DF" w14:textId="3B30E2DB" w:rsidR="00F41F15" w:rsidRPr="005B7516" w:rsidRDefault="00F41F15" w:rsidP="004321B7">
            <w:pPr>
              <w:spacing w:before="100" w:after="120"/>
              <w:ind w:left="113" w:right="113"/>
              <w:jc w:val="both"/>
              <w:rPr>
                <w:rFonts w:ascii="Arial" w:hAnsi="Arial" w:cs="Arial"/>
              </w:rPr>
            </w:pPr>
            <w:r>
              <w:rPr>
                <w:rFonts w:ascii="Arial" w:hAnsi="Arial"/>
                <w:sz w:val="22"/>
                <w:szCs w:val="22"/>
              </w:rPr>
              <w:t>- l</w:t>
            </w:r>
            <w:r w:rsidR="009C104E">
              <w:rPr>
                <w:rFonts w:ascii="Arial" w:hAnsi="Arial"/>
                <w:sz w:val="22"/>
                <w:szCs w:val="22"/>
              </w:rPr>
              <w:t>’</w:t>
            </w:r>
            <w:r>
              <w:rPr>
                <w:rFonts w:ascii="Arial" w:hAnsi="Arial"/>
                <w:sz w:val="22"/>
                <w:szCs w:val="22"/>
              </w:rPr>
              <w:t>approbation ou la non-approbation des demandes d</w:t>
            </w:r>
            <w:r w:rsidR="009C104E">
              <w:rPr>
                <w:rFonts w:ascii="Arial" w:hAnsi="Arial"/>
                <w:sz w:val="22"/>
                <w:szCs w:val="22"/>
              </w:rPr>
              <w:t>’</w:t>
            </w:r>
            <w:r>
              <w:rPr>
                <w:rFonts w:ascii="Arial" w:hAnsi="Arial"/>
                <w:sz w:val="22"/>
                <w:szCs w:val="22"/>
              </w:rPr>
              <w:t>assistance internationale supérieures à 100 000 dollars des États-Unis ou le renvoi des demandes à l</w:t>
            </w:r>
            <w:r w:rsidR="009C104E">
              <w:rPr>
                <w:rFonts w:ascii="Arial" w:hAnsi="Arial"/>
                <w:sz w:val="22"/>
                <w:szCs w:val="22"/>
              </w:rPr>
              <w:t>’</w:t>
            </w:r>
            <w:r>
              <w:rPr>
                <w:rFonts w:ascii="Arial" w:hAnsi="Arial"/>
                <w:sz w:val="22"/>
                <w:szCs w:val="22"/>
              </w:rPr>
              <w:t>(aux) État(s) soumissionnaire(s) pour complément d</w:t>
            </w:r>
            <w:r w:rsidR="009C104E">
              <w:rPr>
                <w:rFonts w:ascii="Arial" w:hAnsi="Arial"/>
                <w:sz w:val="22"/>
                <w:szCs w:val="22"/>
              </w:rPr>
              <w:t>’</w:t>
            </w:r>
            <w:r>
              <w:rPr>
                <w:rFonts w:ascii="Arial" w:hAnsi="Arial"/>
                <w:sz w:val="22"/>
                <w:szCs w:val="22"/>
              </w:rPr>
              <w:t>information ;</w:t>
            </w:r>
          </w:p>
        </w:tc>
      </w:tr>
      <w:tr w:rsidR="00F41F15" w:rsidRPr="00BE1468" w14:paraId="52A62951" w14:textId="77777777" w:rsidTr="00B932EA">
        <w:tc>
          <w:tcPr>
            <w:tcW w:w="676" w:type="dxa"/>
          </w:tcPr>
          <w:p w14:paraId="6C524F36" w14:textId="77777777" w:rsidR="00F41F15" w:rsidRPr="005B7516" w:rsidRDefault="00F41F15" w:rsidP="004321B7">
            <w:pPr>
              <w:spacing w:before="100" w:after="120"/>
              <w:ind w:left="113" w:right="113"/>
              <w:jc w:val="both"/>
              <w:rPr>
                <w:rFonts w:ascii="Arial" w:hAnsi="Arial" w:cs="Arial"/>
              </w:rPr>
            </w:pPr>
            <w:r>
              <w:rPr>
                <w:rFonts w:ascii="Arial" w:hAnsi="Arial"/>
                <w:sz w:val="22"/>
                <w:szCs w:val="22"/>
              </w:rPr>
              <w:t>5.</w:t>
            </w:r>
          </w:p>
        </w:tc>
        <w:tc>
          <w:tcPr>
            <w:tcW w:w="8538" w:type="dxa"/>
            <w:gridSpan w:val="2"/>
          </w:tcPr>
          <w:p w14:paraId="2CB5B9D0" w14:textId="176C623F" w:rsidR="00F41F15" w:rsidRPr="005B7516" w:rsidRDefault="00F41F15" w:rsidP="004321B7">
            <w:pPr>
              <w:spacing w:before="100" w:after="120"/>
              <w:ind w:left="113" w:right="113"/>
              <w:jc w:val="both"/>
              <w:rPr>
                <w:rFonts w:ascii="Arial" w:hAnsi="Arial" w:cs="Arial"/>
              </w:rPr>
            </w:pPr>
            <w:r>
              <w:rPr>
                <w:rFonts w:ascii="Arial" w:hAnsi="Arial"/>
                <w:sz w:val="22"/>
                <w:szCs w:val="22"/>
              </w:rPr>
              <w:t>fournit au Comité un aperçu général de tous les dossiers et un rapport sur l</w:t>
            </w:r>
            <w:r w:rsidR="009C104E">
              <w:rPr>
                <w:rFonts w:ascii="Arial" w:hAnsi="Arial"/>
                <w:sz w:val="22"/>
                <w:szCs w:val="22"/>
              </w:rPr>
              <w:t>’</w:t>
            </w:r>
            <w:r>
              <w:rPr>
                <w:rFonts w:ascii="Arial" w:hAnsi="Arial"/>
                <w:sz w:val="22"/>
                <w:szCs w:val="22"/>
              </w:rPr>
              <w:t>évaluation qu</w:t>
            </w:r>
            <w:r w:rsidR="009C104E">
              <w:rPr>
                <w:rFonts w:ascii="Arial" w:hAnsi="Arial"/>
                <w:sz w:val="22"/>
                <w:szCs w:val="22"/>
              </w:rPr>
              <w:t>’</w:t>
            </w:r>
            <w:r>
              <w:rPr>
                <w:rFonts w:ascii="Arial" w:hAnsi="Arial"/>
                <w:sz w:val="22"/>
                <w:szCs w:val="22"/>
              </w:rPr>
              <w:t>il a effectuée ;</w:t>
            </w:r>
          </w:p>
        </w:tc>
      </w:tr>
      <w:tr w:rsidR="00F41F15" w:rsidRPr="00BE1468" w14:paraId="57FA6961" w14:textId="77777777" w:rsidTr="00B932EA">
        <w:tc>
          <w:tcPr>
            <w:tcW w:w="676" w:type="dxa"/>
          </w:tcPr>
          <w:p w14:paraId="4B8BF093" w14:textId="77777777" w:rsidR="00F41F15" w:rsidRDefault="00F41F15" w:rsidP="004321B7">
            <w:pPr>
              <w:spacing w:before="100" w:after="120"/>
              <w:ind w:left="113" w:right="113"/>
              <w:jc w:val="both"/>
              <w:rPr>
                <w:rFonts w:ascii="Arial" w:hAnsi="Arial"/>
              </w:rPr>
            </w:pPr>
          </w:p>
        </w:tc>
        <w:tc>
          <w:tcPr>
            <w:tcW w:w="8538" w:type="dxa"/>
            <w:gridSpan w:val="2"/>
          </w:tcPr>
          <w:p w14:paraId="529923AC" w14:textId="2A42DDE3" w:rsidR="00F41F15" w:rsidRDefault="00F41F15" w:rsidP="004321B7">
            <w:pPr>
              <w:spacing w:before="100" w:after="120"/>
              <w:ind w:left="113" w:right="113"/>
              <w:jc w:val="both"/>
              <w:rPr>
                <w:rFonts w:ascii="Arial" w:hAnsi="Arial"/>
              </w:rPr>
            </w:pPr>
            <w:r>
              <w:rPr>
                <w:rFonts w:ascii="Arial" w:hAnsi="Arial"/>
                <w:sz w:val="22"/>
                <w:szCs w:val="22"/>
              </w:rPr>
              <w:t>mène un processus de dialogue avec les États parties soumissionnaires au cours du processus d</w:t>
            </w:r>
            <w:r w:rsidR="009C104E">
              <w:rPr>
                <w:rFonts w:ascii="Arial" w:hAnsi="Arial"/>
                <w:sz w:val="22"/>
                <w:szCs w:val="22"/>
              </w:rPr>
              <w:t>’</w:t>
            </w:r>
            <w:r>
              <w:rPr>
                <w:rFonts w:ascii="Arial" w:hAnsi="Arial"/>
                <w:sz w:val="22"/>
                <w:szCs w:val="22"/>
              </w:rPr>
              <w:t>évaluation (applicable uniquement dans le cas où l</w:t>
            </w:r>
            <w:r w:rsidR="009C104E">
              <w:rPr>
                <w:rFonts w:ascii="Arial" w:hAnsi="Arial"/>
                <w:sz w:val="22"/>
                <w:szCs w:val="22"/>
              </w:rPr>
              <w:t>’</w:t>
            </w:r>
            <w:r>
              <w:rPr>
                <w:rFonts w:ascii="Arial" w:hAnsi="Arial"/>
                <w:sz w:val="22"/>
                <w:szCs w:val="22"/>
              </w:rPr>
              <w:t>Assemblée générale adopte les amendements pertinents des Directives opérationnelles).</w:t>
            </w:r>
          </w:p>
        </w:tc>
      </w:tr>
      <w:tr w:rsidR="00F41F15" w:rsidRPr="00BE1468" w14:paraId="1A8A4917" w14:textId="77777777" w:rsidTr="00B932EA">
        <w:tc>
          <w:tcPr>
            <w:tcW w:w="676" w:type="dxa"/>
          </w:tcPr>
          <w:p w14:paraId="3CA99DA8" w14:textId="77777777" w:rsidR="00F41F15" w:rsidRPr="005B7516" w:rsidRDefault="00F41F15" w:rsidP="004321B7">
            <w:pPr>
              <w:spacing w:before="100" w:after="120"/>
              <w:ind w:left="113" w:right="113"/>
              <w:jc w:val="both"/>
              <w:rPr>
                <w:rFonts w:ascii="Arial" w:hAnsi="Arial" w:cs="Arial"/>
              </w:rPr>
            </w:pPr>
            <w:r>
              <w:rPr>
                <w:rFonts w:ascii="Arial" w:hAnsi="Arial"/>
                <w:sz w:val="22"/>
                <w:szCs w:val="22"/>
              </w:rPr>
              <w:t>6.</w:t>
            </w:r>
          </w:p>
        </w:tc>
        <w:tc>
          <w:tcPr>
            <w:tcW w:w="8538" w:type="dxa"/>
            <w:gridSpan w:val="2"/>
          </w:tcPr>
          <w:p w14:paraId="521213B1" w14:textId="5EE3EB32" w:rsidR="00F41F15" w:rsidRPr="005B7516" w:rsidRDefault="00F41F15" w:rsidP="004321B7">
            <w:pPr>
              <w:spacing w:before="100" w:after="120"/>
              <w:ind w:left="113" w:right="113"/>
              <w:jc w:val="both"/>
              <w:rPr>
                <w:rFonts w:ascii="Arial" w:hAnsi="Arial" w:cs="Arial"/>
              </w:rPr>
            </w:pPr>
            <w:r>
              <w:rPr>
                <w:rFonts w:ascii="Arial" w:hAnsi="Arial"/>
                <w:sz w:val="22"/>
                <w:szCs w:val="22"/>
              </w:rPr>
              <w:t>cesse d</w:t>
            </w:r>
            <w:r w:rsidR="009C104E">
              <w:rPr>
                <w:rFonts w:ascii="Arial" w:hAnsi="Arial"/>
                <w:sz w:val="22"/>
                <w:szCs w:val="22"/>
              </w:rPr>
              <w:t>’</w:t>
            </w:r>
            <w:r>
              <w:rPr>
                <w:rFonts w:ascii="Arial" w:hAnsi="Arial"/>
                <w:sz w:val="22"/>
                <w:szCs w:val="22"/>
              </w:rPr>
              <w:t>exister après soumission au Comité à sa quinzième session du rapport sur son évaluation des dossiers à examiner par le Comité en 2020.</w:t>
            </w:r>
          </w:p>
        </w:tc>
      </w:tr>
      <w:tr w:rsidR="00F41F15" w:rsidRPr="00BE1468" w14:paraId="3DEEBD4C" w14:textId="77777777" w:rsidTr="00B932EA">
        <w:tc>
          <w:tcPr>
            <w:tcW w:w="9214" w:type="dxa"/>
            <w:gridSpan w:val="3"/>
          </w:tcPr>
          <w:p w14:paraId="4622BE63" w14:textId="1EC2EDBB" w:rsidR="00F41F15" w:rsidRPr="005B7516" w:rsidRDefault="00F41F15" w:rsidP="004321B7">
            <w:pPr>
              <w:spacing w:before="100" w:after="120"/>
              <w:ind w:left="113" w:right="113"/>
              <w:jc w:val="both"/>
              <w:rPr>
                <w:rFonts w:ascii="Arial" w:hAnsi="Arial" w:cs="Arial"/>
              </w:rPr>
            </w:pPr>
            <w:r>
              <w:rPr>
                <w:rFonts w:ascii="Arial" w:hAnsi="Arial"/>
                <w:sz w:val="22"/>
                <w:szCs w:val="22"/>
              </w:rPr>
              <w:t>Une fois nommés par le Comité, les membres de l</w:t>
            </w:r>
            <w:r w:rsidR="009C104E">
              <w:rPr>
                <w:rFonts w:ascii="Arial" w:hAnsi="Arial"/>
                <w:sz w:val="22"/>
                <w:szCs w:val="22"/>
              </w:rPr>
              <w:t>’</w:t>
            </w:r>
            <w:r>
              <w:rPr>
                <w:rFonts w:ascii="Arial" w:hAnsi="Arial"/>
                <w:sz w:val="22"/>
                <w:szCs w:val="22"/>
              </w:rPr>
              <w:t>Organe d</w:t>
            </w:r>
            <w:r w:rsidR="009C104E">
              <w:rPr>
                <w:rFonts w:ascii="Arial" w:hAnsi="Arial"/>
                <w:sz w:val="22"/>
                <w:szCs w:val="22"/>
              </w:rPr>
              <w:t>’</w:t>
            </w:r>
            <w:r>
              <w:rPr>
                <w:rFonts w:ascii="Arial" w:hAnsi="Arial"/>
                <w:sz w:val="22"/>
                <w:szCs w:val="22"/>
              </w:rPr>
              <w:t>évaluation doivent agir de manière impartiale dans l</w:t>
            </w:r>
            <w:r w:rsidR="009C104E">
              <w:rPr>
                <w:rFonts w:ascii="Arial" w:hAnsi="Arial"/>
                <w:sz w:val="22"/>
                <w:szCs w:val="22"/>
              </w:rPr>
              <w:t>’</w:t>
            </w:r>
            <w:r>
              <w:rPr>
                <w:rFonts w:ascii="Arial" w:hAnsi="Arial"/>
                <w:sz w:val="22"/>
                <w:szCs w:val="22"/>
              </w:rPr>
              <w:t>intérêt de tous les États parties et de la Convention.</w:t>
            </w:r>
          </w:p>
        </w:tc>
      </w:tr>
    </w:tbl>
    <w:p w14:paraId="54790CE6" w14:textId="77777777" w:rsidR="00F300A9" w:rsidRPr="00F300A9" w:rsidRDefault="00F300A9" w:rsidP="00B932EA">
      <w:pPr>
        <w:pStyle w:val="COMParaDecision"/>
        <w:keepNext/>
        <w:spacing w:before="240"/>
        <w:rPr>
          <w:b/>
        </w:rPr>
      </w:pPr>
      <w:r w:rsidRPr="00DF693C">
        <w:rPr>
          <w:b/>
          <w:u w:val="none"/>
        </w:rPr>
        <w:t>DÉCISION 14.COM 19</w:t>
      </w:r>
    </w:p>
    <w:p w14:paraId="42F0BEC7" w14:textId="77777777" w:rsidR="00F300A9" w:rsidRPr="00F300A9" w:rsidRDefault="00F300A9">
      <w:pPr>
        <w:keepNext/>
        <w:spacing w:after="120"/>
        <w:jc w:val="both"/>
        <w:rPr>
          <w:rFonts w:ascii="Arial" w:eastAsia="SimSun" w:hAnsi="Arial" w:cs="Arial"/>
          <w:sz w:val="22"/>
          <w:szCs w:val="22"/>
        </w:rPr>
      </w:pPr>
      <w:r w:rsidRPr="00F300A9">
        <w:rPr>
          <w:rFonts w:ascii="Arial" w:hAnsi="Arial" w:cs="Arial"/>
          <w:sz w:val="22"/>
          <w:szCs w:val="22"/>
        </w:rPr>
        <w:t>Le Comité,</w:t>
      </w:r>
    </w:p>
    <w:p w14:paraId="28D3AF5D" w14:textId="0A00A066" w:rsidR="00F300A9" w:rsidRPr="00F300A9" w:rsidRDefault="00F300A9" w:rsidP="00B932EA">
      <w:pPr>
        <w:pStyle w:val="ListParagraph"/>
        <w:keepNext/>
        <w:numPr>
          <w:ilvl w:val="0"/>
          <w:numId w:val="67"/>
        </w:numPr>
        <w:autoSpaceDE w:val="0"/>
        <w:autoSpaceDN w:val="0"/>
        <w:adjustRightInd w:val="0"/>
        <w:spacing w:after="120"/>
        <w:ind w:left="567" w:hanging="567"/>
        <w:contextualSpacing w:val="0"/>
        <w:rPr>
          <w:rFonts w:ascii="Arial" w:eastAsia="SimSun" w:hAnsi="Arial" w:cs="Arial"/>
          <w:sz w:val="22"/>
          <w:szCs w:val="22"/>
          <w:u w:val="single"/>
        </w:rPr>
      </w:pPr>
      <w:r w:rsidRPr="00F300A9">
        <w:rPr>
          <w:rFonts w:ascii="Arial" w:eastAsia="SimSun" w:hAnsi="Arial" w:cs="Arial"/>
          <w:sz w:val="22"/>
          <w:szCs w:val="22"/>
          <w:u w:val="single"/>
        </w:rPr>
        <w:t>Ayant examiné</w:t>
      </w:r>
      <w:r w:rsidRPr="00F300A9">
        <w:rPr>
          <w:rFonts w:ascii="Arial" w:eastAsia="SimSun" w:hAnsi="Arial" w:cs="Arial"/>
          <w:sz w:val="22"/>
          <w:szCs w:val="22"/>
        </w:rPr>
        <w:t xml:space="preserve"> le document </w:t>
      </w:r>
      <w:hyperlink r:id="rId109" w:history="1">
        <w:r w:rsidRPr="00F300A9">
          <w:rPr>
            <w:rStyle w:val="Hyperlink"/>
            <w:rFonts w:ascii="Arial" w:eastAsia="SimSun" w:hAnsi="Arial" w:cs="Arial"/>
            <w:sz w:val="22"/>
            <w:szCs w:val="22"/>
          </w:rPr>
          <w:t>LHE/19/14.COM/19</w:t>
        </w:r>
      </w:hyperlink>
      <w:r w:rsidR="0064191D">
        <w:rPr>
          <w:rFonts w:ascii="Arial" w:eastAsia="SimSun" w:hAnsi="Arial" w:cs="Arial"/>
          <w:sz w:val="22"/>
          <w:szCs w:val="22"/>
        </w:rPr>
        <w:t xml:space="preserve">, y compris </w:t>
      </w:r>
      <w:r w:rsidRPr="00F300A9">
        <w:rPr>
          <w:rFonts w:ascii="Arial" w:eastAsia="SimSun" w:hAnsi="Arial" w:cs="Arial"/>
          <w:sz w:val="22"/>
          <w:szCs w:val="22"/>
        </w:rPr>
        <w:t>son annexe,</w:t>
      </w:r>
    </w:p>
    <w:p w14:paraId="5BFB38CF" w14:textId="0D764B12" w:rsidR="00F300A9" w:rsidRPr="00F300A9" w:rsidRDefault="00F300A9" w:rsidP="00967CA2">
      <w:pPr>
        <w:pStyle w:val="ListParagraph"/>
        <w:numPr>
          <w:ilvl w:val="0"/>
          <w:numId w:val="67"/>
        </w:numPr>
        <w:autoSpaceDE w:val="0"/>
        <w:autoSpaceDN w:val="0"/>
        <w:adjustRightInd w:val="0"/>
        <w:spacing w:after="120"/>
        <w:ind w:left="567" w:hanging="567"/>
        <w:contextualSpacing w:val="0"/>
        <w:jc w:val="both"/>
        <w:rPr>
          <w:rFonts w:ascii="Arial" w:eastAsia="SimSun" w:hAnsi="Arial" w:cs="Arial"/>
          <w:sz w:val="22"/>
          <w:szCs w:val="22"/>
          <w:u w:val="single"/>
        </w:rPr>
      </w:pPr>
      <w:r w:rsidRPr="00F300A9">
        <w:rPr>
          <w:rFonts w:ascii="Arial" w:eastAsia="SimSun" w:hAnsi="Arial" w:cs="Arial"/>
          <w:sz w:val="22"/>
          <w:szCs w:val="22"/>
          <w:u w:val="single"/>
        </w:rPr>
        <w:t>Rappelant</w:t>
      </w:r>
      <w:r w:rsidRPr="00F300A9">
        <w:rPr>
          <w:rFonts w:ascii="Arial" w:eastAsia="SimSun" w:hAnsi="Arial" w:cs="Arial"/>
          <w:sz w:val="22"/>
          <w:szCs w:val="22"/>
        </w:rPr>
        <w:t xml:space="preserve"> les documents </w:t>
      </w:r>
      <w:hyperlink r:id="rId110" w:history="1">
        <w:r w:rsidRPr="00F300A9">
          <w:rPr>
            <w:rFonts w:ascii="Arial" w:eastAsia="SimSun" w:hAnsi="Arial" w:cs="Arial"/>
            <w:color w:val="0000FF" w:themeColor="hyperlink"/>
            <w:sz w:val="22"/>
            <w:szCs w:val="22"/>
            <w:u w:val="single"/>
          </w:rPr>
          <w:t>ITH/18/13.COM/17</w:t>
        </w:r>
      </w:hyperlink>
      <w:r w:rsidRPr="00F300A9">
        <w:rPr>
          <w:rFonts w:ascii="Arial" w:eastAsia="SimSun" w:hAnsi="Arial" w:cs="Arial"/>
          <w:sz w:val="22"/>
          <w:szCs w:val="22"/>
        </w:rPr>
        <w:t xml:space="preserve">, </w:t>
      </w:r>
      <w:hyperlink r:id="rId111" w:history="1">
        <w:r w:rsidRPr="00F300A9">
          <w:rPr>
            <w:rFonts w:ascii="Arial" w:eastAsia="SimSun" w:hAnsi="Arial" w:cs="Arial"/>
            <w:color w:val="0000FF" w:themeColor="hyperlink"/>
            <w:sz w:val="22"/>
            <w:szCs w:val="22"/>
            <w:u w:val="single"/>
          </w:rPr>
          <w:t>ITH/18/7.GA/12</w:t>
        </w:r>
      </w:hyperlink>
      <w:r w:rsidRPr="00F300A9">
        <w:rPr>
          <w:rFonts w:ascii="Arial" w:eastAsia="SimSun" w:hAnsi="Arial" w:cs="Arial"/>
          <w:sz w:val="22"/>
          <w:szCs w:val="22"/>
        </w:rPr>
        <w:t xml:space="preserve"> et </w:t>
      </w:r>
      <w:hyperlink r:id="rId112" w:history="1">
        <w:r w:rsidRPr="00F300A9">
          <w:rPr>
            <w:rFonts w:ascii="Arial" w:eastAsia="SimSun" w:hAnsi="Arial" w:cs="Arial"/>
            <w:color w:val="0000FF" w:themeColor="hyperlink"/>
            <w:sz w:val="22"/>
            <w:szCs w:val="22"/>
            <w:u w:val="single"/>
          </w:rPr>
          <w:t>ITH/18/7.GA/13</w:t>
        </w:r>
      </w:hyperlink>
      <w:r w:rsidRPr="00F300A9">
        <w:rPr>
          <w:rFonts w:ascii="Arial" w:eastAsia="SimSun" w:hAnsi="Arial" w:cs="Arial"/>
          <w:sz w:val="22"/>
          <w:szCs w:val="22"/>
        </w:rPr>
        <w:t xml:space="preserve">, les décisions </w:t>
      </w:r>
      <w:hyperlink r:id="rId113" w:history="1">
        <w:r w:rsidRPr="00F300A9">
          <w:rPr>
            <w:rFonts w:ascii="Arial" w:eastAsia="SimSun" w:hAnsi="Arial" w:cs="Arial"/>
            <w:color w:val="0000FF" w:themeColor="hyperlink"/>
            <w:sz w:val="22"/>
            <w:szCs w:val="22"/>
            <w:u w:val="single"/>
          </w:rPr>
          <w:t>12.COM 13</w:t>
        </w:r>
      </w:hyperlink>
      <w:r w:rsidRPr="00B932EA">
        <w:rPr>
          <w:rFonts w:ascii="Arial" w:eastAsia="SimSun" w:hAnsi="Arial" w:cs="Arial"/>
          <w:sz w:val="22"/>
          <w:szCs w:val="22"/>
        </w:rPr>
        <w:t xml:space="preserve"> </w:t>
      </w:r>
      <w:r w:rsidRPr="00F300A9">
        <w:rPr>
          <w:rFonts w:ascii="Arial" w:eastAsia="SimSun" w:hAnsi="Arial" w:cs="Arial"/>
          <w:sz w:val="22"/>
          <w:szCs w:val="22"/>
        </w:rPr>
        <w:t xml:space="preserve">et </w:t>
      </w:r>
      <w:hyperlink r:id="rId114" w:history="1">
        <w:r w:rsidRPr="00F300A9">
          <w:rPr>
            <w:rFonts w:ascii="Arial" w:eastAsia="SimSun" w:hAnsi="Arial" w:cs="Arial"/>
            <w:color w:val="0000FF" w:themeColor="hyperlink"/>
            <w:sz w:val="22"/>
            <w:szCs w:val="22"/>
            <w:u w:val="single"/>
          </w:rPr>
          <w:t>12.COM 16</w:t>
        </w:r>
      </w:hyperlink>
      <w:r w:rsidR="0064191D" w:rsidRPr="00B932EA">
        <w:rPr>
          <w:rFonts w:ascii="Arial" w:eastAsia="SimSun" w:hAnsi="Arial" w:cs="Arial"/>
          <w:sz w:val="22"/>
          <w:szCs w:val="22"/>
        </w:rPr>
        <w:t>,</w:t>
      </w:r>
      <w:r w:rsidRPr="00F300A9">
        <w:rPr>
          <w:rFonts w:ascii="Arial" w:eastAsia="SimSun" w:hAnsi="Arial" w:cs="Arial"/>
          <w:sz w:val="22"/>
          <w:szCs w:val="22"/>
        </w:rPr>
        <w:t xml:space="preserve"> et les résolutions </w:t>
      </w:r>
      <w:hyperlink r:id="rId115" w:history="1">
        <w:r w:rsidRPr="00F300A9">
          <w:rPr>
            <w:rFonts w:ascii="Arial" w:eastAsia="SimSun" w:hAnsi="Arial" w:cs="Arial"/>
            <w:color w:val="0000FF" w:themeColor="hyperlink"/>
            <w:sz w:val="22"/>
            <w:szCs w:val="22"/>
            <w:u w:val="single"/>
          </w:rPr>
          <w:t>7.GA 12</w:t>
        </w:r>
      </w:hyperlink>
      <w:r w:rsidRPr="00F300A9">
        <w:rPr>
          <w:rFonts w:ascii="Arial" w:eastAsia="SimSun" w:hAnsi="Arial" w:cs="Arial"/>
          <w:sz w:val="22"/>
          <w:szCs w:val="22"/>
        </w:rPr>
        <w:t xml:space="preserve">, </w:t>
      </w:r>
      <w:hyperlink r:id="rId116" w:history="1">
        <w:r w:rsidRPr="00F300A9">
          <w:rPr>
            <w:rFonts w:ascii="Arial" w:eastAsia="SimSun" w:hAnsi="Arial" w:cs="Arial"/>
            <w:color w:val="0000FF" w:themeColor="hyperlink"/>
            <w:sz w:val="22"/>
            <w:szCs w:val="22"/>
            <w:u w:val="single"/>
          </w:rPr>
          <w:t>7.GA 13</w:t>
        </w:r>
      </w:hyperlink>
      <w:r w:rsidRPr="00F300A9">
        <w:rPr>
          <w:rFonts w:ascii="Arial" w:eastAsia="SimSun" w:hAnsi="Arial" w:cs="Arial"/>
          <w:sz w:val="22"/>
          <w:szCs w:val="22"/>
        </w:rPr>
        <w:t xml:space="preserve"> et </w:t>
      </w:r>
      <w:hyperlink r:id="rId117" w:history="1">
        <w:r w:rsidRPr="00F300A9">
          <w:rPr>
            <w:rFonts w:ascii="Arial" w:eastAsia="SimSun" w:hAnsi="Arial" w:cs="Arial"/>
            <w:color w:val="0000FF" w:themeColor="hyperlink"/>
            <w:sz w:val="22"/>
            <w:szCs w:val="22"/>
            <w:u w:val="single"/>
          </w:rPr>
          <w:t>6.GA 11</w:t>
        </w:r>
      </w:hyperlink>
      <w:r w:rsidRPr="00F300A9">
        <w:rPr>
          <w:rFonts w:ascii="Arial" w:eastAsia="SimSun" w:hAnsi="Arial" w:cs="Arial"/>
          <w:sz w:val="22"/>
          <w:szCs w:val="22"/>
        </w:rPr>
        <w:t>,</w:t>
      </w:r>
    </w:p>
    <w:p w14:paraId="4FBF359D" w14:textId="7A46F0E0" w:rsidR="00F300A9" w:rsidRPr="00F300A9" w:rsidRDefault="00F300A9" w:rsidP="00967CA2">
      <w:pPr>
        <w:pStyle w:val="ListParagraph"/>
        <w:numPr>
          <w:ilvl w:val="0"/>
          <w:numId w:val="67"/>
        </w:numPr>
        <w:autoSpaceDE w:val="0"/>
        <w:autoSpaceDN w:val="0"/>
        <w:adjustRightInd w:val="0"/>
        <w:spacing w:after="120"/>
        <w:ind w:left="567" w:hanging="567"/>
        <w:contextualSpacing w:val="0"/>
        <w:rPr>
          <w:rFonts w:ascii="Arial" w:eastAsia="SimSun" w:hAnsi="Arial" w:cs="Arial"/>
          <w:sz w:val="22"/>
          <w:szCs w:val="22"/>
          <w:u w:val="single"/>
        </w:rPr>
      </w:pPr>
      <w:r w:rsidRPr="00F300A9">
        <w:rPr>
          <w:rFonts w:ascii="Arial" w:eastAsia="SimSun" w:hAnsi="Arial" w:cs="Arial"/>
          <w:sz w:val="22"/>
          <w:szCs w:val="22"/>
          <w:u w:val="single"/>
        </w:rPr>
        <w:t>Rappelant également</w:t>
      </w:r>
      <w:r w:rsidRPr="00F300A9">
        <w:rPr>
          <w:rFonts w:ascii="Arial" w:eastAsia="SimSun" w:hAnsi="Arial" w:cs="Arial"/>
          <w:sz w:val="22"/>
          <w:szCs w:val="22"/>
        </w:rPr>
        <w:t xml:space="preserve"> la</w:t>
      </w:r>
      <w:r w:rsidR="00C97841">
        <w:rPr>
          <w:rFonts w:ascii="Arial" w:eastAsia="SimSun" w:hAnsi="Arial" w:cs="Arial"/>
          <w:sz w:val="22"/>
          <w:szCs w:val="22"/>
        </w:rPr>
        <w:t xml:space="preserve"> </w:t>
      </w:r>
      <w:hyperlink r:id="rId118" w:history="1">
        <w:r w:rsidR="00C97841" w:rsidRPr="0064191D">
          <w:rPr>
            <w:rStyle w:val="Hyperlink"/>
            <w:rFonts w:ascii="Arial" w:eastAsia="SimSun" w:hAnsi="Arial" w:cs="Arial"/>
            <w:sz w:val="22"/>
            <w:szCs w:val="22"/>
          </w:rPr>
          <w:t>résolution 38</w:t>
        </w:r>
        <w:r w:rsidR="0097346C" w:rsidRPr="0064191D">
          <w:rPr>
            <w:rStyle w:val="Hyperlink"/>
            <w:rFonts w:ascii="Arial" w:eastAsia="SimSun" w:hAnsi="Arial" w:cs="Arial"/>
            <w:sz w:val="22"/>
            <w:szCs w:val="22"/>
          </w:rPr>
          <w:t> </w:t>
        </w:r>
        <w:r w:rsidR="00C97841" w:rsidRPr="0064191D">
          <w:rPr>
            <w:rStyle w:val="Hyperlink"/>
            <w:rFonts w:ascii="Arial" w:eastAsia="SimSun" w:hAnsi="Arial" w:cs="Arial"/>
            <w:sz w:val="22"/>
            <w:szCs w:val="22"/>
          </w:rPr>
          <w:t>C/101</w:t>
        </w:r>
      </w:hyperlink>
      <w:r w:rsidR="00C97841">
        <w:rPr>
          <w:rFonts w:ascii="Arial" w:eastAsia="SimSun" w:hAnsi="Arial" w:cs="Arial"/>
          <w:sz w:val="22"/>
          <w:szCs w:val="22"/>
        </w:rPr>
        <w:t xml:space="preserve"> </w:t>
      </w:r>
      <w:r w:rsidR="00C97841" w:rsidRPr="00C97841">
        <w:rPr>
          <w:rFonts w:ascii="Arial" w:eastAsia="SimSun" w:hAnsi="Arial" w:cs="Arial"/>
          <w:sz w:val="22"/>
          <w:szCs w:val="22"/>
        </w:rPr>
        <w:t>et la</w:t>
      </w:r>
      <w:r w:rsidRPr="00F300A9">
        <w:rPr>
          <w:rFonts w:ascii="Arial" w:eastAsia="SimSun" w:hAnsi="Arial" w:cs="Arial"/>
          <w:sz w:val="22"/>
          <w:szCs w:val="22"/>
        </w:rPr>
        <w:t xml:space="preserve"> </w:t>
      </w:r>
      <w:hyperlink r:id="rId119" w:history="1">
        <w:r w:rsidRPr="00F300A9">
          <w:rPr>
            <w:rFonts w:ascii="Arial" w:eastAsia="SimSun" w:hAnsi="Arial" w:cs="Arial"/>
            <w:color w:val="0000FF" w:themeColor="hyperlink"/>
            <w:sz w:val="22"/>
            <w:szCs w:val="22"/>
            <w:u w:val="single"/>
          </w:rPr>
          <w:t>résolution 39 C/87</w:t>
        </w:r>
      </w:hyperlink>
      <w:r w:rsidRPr="00F300A9">
        <w:rPr>
          <w:rFonts w:ascii="Arial" w:eastAsia="SimSun" w:hAnsi="Arial" w:cs="Arial"/>
          <w:sz w:val="22"/>
          <w:szCs w:val="22"/>
        </w:rPr>
        <w:t>,</w:t>
      </w:r>
    </w:p>
    <w:p w14:paraId="7578AEC2" w14:textId="0720CFEC" w:rsidR="00F300A9" w:rsidRPr="00F300A9" w:rsidRDefault="00F300A9" w:rsidP="00967CA2">
      <w:pPr>
        <w:pStyle w:val="ListParagraph"/>
        <w:numPr>
          <w:ilvl w:val="0"/>
          <w:numId w:val="67"/>
        </w:numPr>
        <w:autoSpaceDE w:val="0"/>
        <w:autoSpaceDN w:val="0"/>
        <w:adjustRightInd w:val="0"/>
        <w:spacing w:after="120"/>
        <w:ind w:left="567" w:hanging="567"/>
        <w:contextualSpacing w:val="0"/>
        <w:jc w:val="both"/>
        <w:rPr>
          <w:rFonts w:ascii="Arial" w:eastAsia="SimSun" w:hAnsi="Arial" w:cs="Arial"/>
          <w:sz w:val="22"/>
          <w:szCs w:val="22"/>
          <w:u w:val="single"/>
        </w:rPr>
      </w:pPr>
      <w:r w:rsidRPr="00F300A9">
        <w:rPr>
          <w:rFonts w:ascii="Arial" w:eastAsia="SimSun" w:hAnsi="Arial" w:cs="Arial"/>
          <w:sz w:val="22"/>
          <w:szCs w:val="22"/>
          <w:u w:val="single"/>
        </w:rPr>
        <w:t>Prend note</w:t>
      </w:r>
      <w:r w:rsidRPr="00F300A9">
        <w:rPr>
          <w:rFonts w:ascii="Arial" w:eastAsia="SimSun" w:hAnsi="Arial" w:cs="Arial"/>
          <w:sz w:val="22"/>
          <w:szCs w:val="22"/>
        </w:rPr>
        <w:t xml:space="preserve"> de l</w:t>
      </w:r>
      <w:r w:rsidR="009C104E">
        <w:rPr>
          <w:rFonts w:ascii="Arial" w:eastAsia="SimSun" w:hAnsi="Arial" w:cs="Arial"/>
          <w:sz w:val="22"/>
          <w:szCs w:val="22"/>
        </w:rPr>
        <w:t>’</w:t>
      </w:r>
      <w:r w:rsidRPr="00F300A9">
        <w:rPr>
          <w:rFonts w:ascii="Arial" w:eastAsia="SimSun" w:hAnsi="Arial" w:cs="Arial"/>
          <w:sz w:val="22"/>
          <w:szCs w:val="22"/>
        </w:rPr>
        <w:t>état de la mise en œuvre des recommandations sur la gouvernance d</w:t>
      </w:r>
      <w:r w:rsidR="009C104E">
        <w:rPr>
          <w:rFonts w:ascii="Arial" w:eastAsia="SimSun" w:hAnsi="Arial" w:cs="Arial"/>
          <w:sz w:val="22"/>
          <w:szCs w:val="22"/>
        </w:rPr>
        <w:t>’</w:t>
      </w:r>
      <w:r w:rsidRPr="00F300A9">
        <w:rPr>
          <w:rFonts w:ascii="Arial" w:eastAsia="SimSun" w:hAnsi="Arial" w:cs="Arial"/>
          <w:sz w:val="22"/>
          <w:szCs w:val="22"/>
        </w:rPr>
        <w:t>après le travail du Groupe de travail à composition non limitée sur la gouvernance, les procédures et les méthodes de travail des organes directeurs de l</w:t>
      </w:r>
      <w:r w:rsidR="009C104E">
        <w:rPr>
          <w:rFonts w:ascii="Arial" w:eastAsia="SimSun" w:hAnsi="Arial" w:cs="Arial"/>
          <w:sz w:val="22"/>
          <w:szCs w:val="22"/>
        </w:rPr>
        <w:t>’</w:t>
      </w:r>
      <w:r w:rsidRPr="00F300A9">
        <w:rPr>
          <w:rFonts w:ascii="Arial" w:eastAsia="SimSun" w:hAnsi="Arial" w:cs="Arial"/>
          <w:sz w:val="22"/>
          <w:szCs w:val="22"/>
        </w:rPr>
        <w:t>UNESCO qui sont pertinentes pour les organes directeurs de la Convention de 2003 ;</w:t>
      </w:r>
    </w:p>
    <w:p w14:paraId="31D549CE" w14:textId="77777777" w:rsidR="00F300A9" w:rsidRPr="00F300A9" w:rsidRDefault="00F300A9" w:rsidP="00967CA2">
      <w:pPr>
        <w:pStyle w:val="ListParagraph"/>
        <w:numPr>
          <w:ilvl w:val="0"/>
          <w:numId w:val="67"/>
        </w:numPr>
        <w:autoSpaceDE w:val="0"/>
        <w:autoSpaceDN w:val="0"/>
        <w:adjustRightInd w:val="0"/>
        <w:spacing w:after="120"/>
        <w:ind w:left="567" w:hanging="567"/>
        <w:contextualSpacing w:val="0"/>
        <w:jc w:val="both"/>
        <w:rPr>
          <w:rFonts w:ascii="Arial" w:eastAsia="SimSun" w:hAnsi="Arial" w:cs="Arial"/>
          <w:sz w:val="22"/>
          <w:szCs w:val="22"/>
          <w:u w:val="single"/>
        </w:rPr>
      </w:pPr>
      <w:r w:rsidRPr="00F300A9">
        <w:rPr>
          <w:rFonts w:ascii="Arial" w:eastAsia="SimSun" w:hAnsi="Arial" w:cs="Arial"/>
          <w:sz w:val="22"/>
          <w:szCs w:val="22"/>
          <w:u w:val="single"/>
        </w:rPr>
        <w:t>Encourage</w:t>
      </w:r>
      <w:r w:rsidRPr="00F300A9">
        <w:rPr>
          <w:rFonts w:ascii="Arial" w:eastAsia="SimSun" w:hAnsi="Arial" w:cs="Arial"/>
          <w:sz w:val="22"/>
          <w:szCs w:val="22"/>
        </w:rPr>
        <w:t xml:space="preserve"> le Secteur de la culture à poursuivre ses efforts pour harmoniser les règlements intérieurs des organes directeurs des six conventions culturelles conformément à la </w:t>
      </w:r>
      <w:hyperlink r:id="rId120" w:history="1">
        <w:r w:rsidRPr="00F300A9">
          <w:rPr>
            <w:rFonts w:ascii="Arial" w:eastAsia="SimSun" w:hAnsi="Arial" w:cs="Arial"/>
            <w:color w:val="0000FF" w:themeColor="hyperlink"/>
            <w:sz w:val="22"/>
            <w:szCs w:val="22"/>
            <w:u w:val="single"/>
          </w:rPr>
          <w:t>résolution 7.GA 13</w:t>
        </w:r>
      </w:hyperlink>
      <w:r w:rsidRPr="00F300A9">
        <w:rPr>
          <w:rFonts w:ascii="Arial" w:eastAsia="SimSun" w:hAnsi="Arial" w:cs="Arial"/>
          <w:sz w:val="22"/>
          <w:szCs w:val="22"/>
        </w:rPr>
        <w:t> ;</w:t>
      </w:r>
    </w:p>
    <w:p w14:paraId="5E7D2B17" w14:textId="6255D564" w:rsidR="00F300A9" w:rsidRPr="00F300A9" w:rsidRDefault="00F300A9" w:rsidP="00967CA2">
      <w:pPr>
        <w:pStyle w:val="ListParagraph"/>
        <w:numPr>
          <w:ilvl w:val="0"/>
          <w:numId w:val="67"/>
        </w:numPr>
        <w:autoSpaceDE w:val="0"/>
        <w:autoSpaceDN w:val="0"/>
        <w:adjustRightInd w:val="0"/>
        <w:spacing w:after="120"/>
        <w:ind w:left="567" w:hanging="567"/>
        <w:contextualSpacing w:val="0"/>
        <w:jc w:val="both"/>
        <w:rPr>
          <w:rFonts w:ascii="Arial" w:eastAsia="SimSun" w:hAnsi="Arial" w:cs="Arial"/>
          <w:sz w:val="22"/>
          <w:szCs w:val="22"/>
          <w:u w:val="single"/>
        </w:rPr>
      </w:pPr>
      <w:r w:rsidRPr="00F300A9">
        <w:rPr>
          <w:rFonts w:ascii="Arial" w:eastAsia="SimSun" w:hAnsi="Arial" w:cs="Arial"/>
          <w:sz w:val="22"/>
          <w:szCs w:val="22"/>
          <w:u w:val="single"/>
        </w:rPr>
        <w:t>Prend également note</w:t>
      </w:r>
      <w:r w:rsidRPr="00F300A9">
        <w:rPr>
          <w:rFonts w:ascii="Arial" w:eastAsia="SimSun" w:hAnsi="Arial" w:cs="Arial"/>
          <w:sz w:val="22"/>
          <w:szCs w:val="22"/>
        </w:rPr>
        <w:t xml:space="preserve"> que l</w:t>
      </w:r>
      <w:r w:rsidR="009C104E">
        <w:rPr>
          <w:rFonts w:ascii="Arial" w:eastAsia="SimSun" w:hAnsi="Arial" w:cs="Arial"/>
          <w:sz w:val="22"/>
          <w:szCs w:val="22"/>
        </w:rPr>
        <w:t>’</w:t>
      </w:r>
      <w:r w:rsidRPr="00F300A9">
        <w:rPr>
          <w:rFonts w:ascii="Arial" w:eastAsia="SimSun" w:hAnsi="Arial" w:cs="Arial"/>
          <w:sz w:val="22"/>
          <w:szCs w:val="22"/>
        </w:rPr>
        <w:t xml:space="preserve">Assemblée générale </w:t>
      </w:r>
      <w:r w:rsidRPr="00F300A9">
        <w:rPr>
          <w:rFonts w:ascii="Arial" w:eastAsia="SimSun" w:hAnsi="Arial" w:cs="Arial"/>
          <w:snapToGrid w:val="0"/>
          <w:sz w:val="22"/>
          <w:szCs w:val="22"/>
        </w:rPr>
        <w:t>abordera à sa huitième session la préparation de la nouvelle Stratégie à moyen terme 2022-2029 (document 41 C/4) et le Projet de programme et de budget 2022-2025 (Document 41 C/5)</w:t>
      </w:r>
      <w:r w:rsidRPr="00F300A9">
        <w:rPr>
          <w:rFonts w:ascii="Arial" w:eastAsia="SimSun" w:hAnsi="Arial" w:cs="Arial"/>
          <w:sz w:val="22"/>
          <w:szCs w:val="22"/>
        </w:rPr>
        <w:t xml:space="preserve"> en tenant compte de la </w:t>
      </w:r>
      <w:r w:rsidRPr="00AC7B83">
        <w:rPr>
          <w:rFonts w:ascii="Arial" w:eastAsia="SimSun" w:hAnsi="Arial" w:cs="Arial"/>
          <w:snapToGrid w:val="0"/>
          <w:sz w:val="22"/>
          <w:szCs w:val="22"/>
        </w:rPr>
        <w:t>Recommandation</w:t>
      </w:r>
      <w:r w:rsidRPr="00F300A9">
        <w:rPr>
          <w:rFonts w:ascii="Arial" w:eastAsia="SimSun" w:hAnsi="Arial" w:cs="Arial"/>
          <w:snapToGrid w:val="0"/>
          <w:sz w:val="22"/>
          <w:szCs w:val="22"/>
        </w:rPr>
        <w:t xml:space="preserve"> 74 des recommandations en question ; </w:t>
      </w:r>
    </w:p>
    <w:p w14:paraId="63B0744D" w14:textId="6FAF5A5A" w:rsidR="00C97841" w:rsidRPr="00C97841" w:rsidRDefault="00F300A9" w:rsidP="00C97841">
      <w:pPr>
        <w:pStyle w:val="ListParagraph"/>
        <w:numPr>
          <w:ilvl w:val="0"/>
          <w:numId w:val="67"/>
        </w:numPr>
        <w:autoSpaceDE w:val="0"/>
        <w:autoSpaceDN w:val="0"/>
        <w:adjustRightInd w:val="0"/>
        <w:spacing w:after="120"/>
        <w:ind w:left="567" w:hanging="567"/>
        <w:contextualSpacing w:val="0"/>
        <w:jc w:val="both"/>
        <w:rPr>
          <w:rFonts w:ascii="Arial" w:eastAsia="SimSun" w:hAnsi="Arial" w:cs="Arial"/>
          <w:sz w:val="22"/>
          <w:szCs w:val="22"/>
          <w:u w:val="single"/>
        </w:rPr>
      </w:pPr>
      <w:r w:rsidRPr="00F300A9">
        <w:rPr>
          <w:rFonts w:ascii="Arial" w:eastAsia="SimSun" w:hAnsi="Arial" w:cs="Arial"/>
          <w:sz w:val="22"/>
          <w:szCs w:val="22"/>
          <w:u w:val="single"/>
        </w:rPr>
        <w:t>Considère</w:t>
      </w:r>
      <w:r w:rsidRPr="00F300A9">
        <w:rPr>
          <w:rFonts w:ascii="Arial" w:eastAsia="SimSun" w:hAnsi="Arial" w:cs="Arial"/>
          <w:sz w:val="22"/>
          <w:szCs w:val="22"/>
        </w:rPr>
        <w:t xml:space="preserve"> que des progrès suffisants ont été accomplis dans le suivi de la mise en œuvre des recommandations pertinentes du Groupe de travail à composition non limitée susmentionné nécessitant l</w:t>
      </w:r>
      <w:r w:rsidR="009C104E">
        <w:rPr>
          <w:rFonts w:ascii="Arial" w:eastAsia="SimSun" w:hAnsi="Arial" w:cs="Arial"/>
          <w:sz w:val="22"/>
          <w:szCs w:val="22"/>
        </w:rPr>
        <w:t>’</w:t>
      </w:r>
      <w:r w:rsidRPr="00F300A9">
        <w:rPr>
          <w:rFonts w:ascii="Arial" w:eastAsia="SimSun" w:hAnsi="Arial" w:cs="Arial"/>
          <w:sz w:val="22"/>
          <w:szCs w:val="22"/>
        </w:rPr>
        <w:t xml:space="preserve">attention du Comité, et </w:t>
      </w:r>
      <w:r w:rsidRPr="00F300A9">
        <w:rPr>
          <w:rFonts w:ascii="Arial" w:eastAsia="SimSun" w:hAnsi="Arial" w:cs="Arial"/>
          <w:sz w:val="22"/>
          <w:szCs w:val="22"/>
          <w:u w:val="single"/>
        </w:rPr>
        <w:t>demande</w:t>
      </w:r>
      <w:r w:rsidRPr="00F300A9">
        <w:rPr>
          <w:rFonts w:ascii="Arial" w:eastAsia="SimSun" w:hAnsi="Arial" w:cs="Arial"/>
          <w:sz w:val="22"/>
          <w:szCs w:val="22"/>
        </w:rPr>
        <w:t xml:space="preserve"> au Secrétariat de continuer à rendre compte, quand cela s</w:t>
      </w:r>
      <w:r w:rsidR="009C104E">
        <w:rPr>
          <w:rFonts w:ascii="Arial" w:eastAsia="SimSun" w:hAnsi="Arial" w:cs="Arial"/>
          <w:sz w:val="22"/>
          <w:szCs w:val="22"/>
        </w:rPr>
        <w:t>’</w:t>
      </w:r>
      <w:r w:rsidRPr="00F300A9">
        <w:rPr>
          <w:rFonts w:ascii="Arial" w:eastAsia="SimSun" w:hAnsi="Arial" w:cs="Arial"/>
          <w:sz w:val="22"/>
          <w:szCs w:val="22"/>
        </w:rPr>
        <w:t>avère nécessaire, des progrès quant à l</w:t>
      </w:r>
      <w:r w:rsidR="009C104E">
        <w:rPr>
          <w:rFonts w:ascii="Arial" w:eastAsia="SimSun" w:hAnsi="Arial" w:cs="Arial"/>
          <w:sz w:val="22"/>
          <w:szCs w:val="22"/>
        </w:rPr>
        <w:t>’</w:t>
      </w:r>
      <w:r w:rsidRPr="00F300A9">
        <w:rPr>
          <w:rFonts w:ascii="Arial" w:eastAsia="SimSun" w:hAnsi="Arial" w:cs="Arial"/>
          <w:sz w:val="22"/>
          <w:szCs w:val="22"/>
        </w:rPr>
        <w:t>état de la mise en œuvre des recommandations</w:t>
      </w:r>
      <w:r w:rsidR="00C97841">
        <w:rPr>
          <w:rFonts w:ascii="Arial" w:eastAsia="SimSun" w:hAnsi="Arial" w:cs="Arial"/>
          <w:sz w:val="22"/>
          <w:szCs w:val="22"/>
        </w:rPr>
        <w:t xml:space="preserve">, </w:t>
      </w:r>
      <w:r w:rsidR="00C97841" w:rsidRPr="00C97841">
        <w:rPr>
          <w:rFonts w:ascii="Arial" w:eastAsia="SimSun" w:hAnsi="Arial" w:cs="Arial"/>
          <w:sz w:val="22"/>
          <w:szCs w:val="22"/>
        </w:rPr>
        <w:t>prenant note que la Conférence générale doit examiner le rapport final sur la mise en œuvre des recommandations du Groupe de travail à composition non limitée sur la gouvernance, les procédures et les méthodes de travail des organes directeurs de l’UNESCO lors de sa 41ème session en 2021.</w:t>
      </w:r>
    </w:p>
    <w:p w14:paraId="0D8F1DD3" w14:textId="77777777" w:rsidR="003534EA" w:rsidRPr="00743B60" w:rsidRDefault="003534EA" w:rsidP="003534EA">
      <w:pPr>
        <w:pStyle w:val="GATitleResolution"/>
        <w:spacing w:before="360"/>
        <w:ind w:left="0"/>
      </w:pPr>
      <w:r w:rsidRPr="00743B60">
        <w:t>DÉCISION 1</w:t>
      </w:r>
      <w:r w:rsidRPr="00743B60">
        <w:rPr>
          <w:rFonts w:eastAsiaTheme="minorEastAsia"/>
          <w:lang w:eastAsia="ko-KR"/>
        </w:rPr>
        <w:t>4</w:t>
      </w:r>
      <w:r w:rsidRPr="00743B60">
        <w:t>.COM 20</w:t>
      </w:r>
    </w:p>
    <w:p w14:paraId="4677E5B2" w14:textId="77777777" w:rsidR="003534EA" w:rsidRPr="00743B60" w:rsidRDefault="003534EA" w:rsidP="003534EA">
      <w:pPr>
        <w:pStyle w:val="COMPreambulaDecision"/>
        <w:ind w:left="0"/>
      </w:pPr>
      <w:r w:rsidRPr="00743B60">
        <w:t>Le Comité,</w:t>
      </w:r>
    </w:p>
    <w:p w14:paraId="00B3B76F" w14:textId="104C6E75" w:rsidR="003534EA" w:rsidRPr="00743B60" w:rsidRDefault="003534EA" w:rsidP="00967CA2">
      <w:pPr>
        <w:pStyle w:val="COMPreambulaDecisions"/>
        <w:keepNext w:val="0"/>
        <w:numPr>
          <w:ilvl w:val="0"/>
          <w:numId w:val="68"/>
        </w:numPr>
        <w:ind w:left="567" w:hanging="567"/>
      </w:pPr>
      <w:r w:rsidRPr="00743B60">
        <w:rPr>
          <w:u w:val="single"/>
        </w:rPr>
        <w:t>Ayant examiné</w:t>
      </w:r>
      <w:r w:rsidRPr="00743B60">
        <w:t xml:space="preserve"> la proposition de </w:t>
      </w:r>
      <w:r w:rsidR="00AC7B83" w:rsidRPr="00743B60">
        <w:t>la Jamaïque</w:t>
      </w:r>
      <w:r w:rsidRPr="00743B60">
        <w:t xml:space="preserve"> d</w:t>
      </w:r>
      <w:r w:rsidR="009C104E" w:rsidRPr="00743B60">
        <w:t>’</w:t>
      </w:r>
      <w:r w:rsidRPr="00743B60">
        <w:t>accueillir</w:t>
      </w:r>
      <w:r w:rsidR="00141050" w:rsidRPr="00743B60">
        <w:t xml:space="preserve"> la</w:t>
      </w:r>
      <w:r w:rsidRPr="00743B60">
        <w:t xml:space="preserve"> quinzième session</w:t>
      </w:r>
      <w:r w:rsidR="00141050" w:rsidRPr="00743B60">
        <w:t xml:space="preserve"> du Comité</w:t>
      </w:r>
      <w:r w:rsidRPr="00743B60">
        <w:t>,</w:t>
      </w:r>
    </w:p>
    <w:p w14:paraId="0990C1AB" w14:textId="142A89F7" w:rsidR="003534EA" w:rsidRPr="00743B60" w:rsidRDefault="003534EA" w:rsidP="00967CA2">
      <w:pPr>
        <w:pStyle w:val="COMPreambulaDecisions"/>
        <w:keepNext w:val="0"/>
        <w:numPr>
          <w:ilvl w:val="0"/>
          <w:numId w:val="68"/>
        </w:numPr>
        <w:ind w:left="567" w:hanging="567"/>
      </w:pPr>
      <w:r w:rsidRPr="00743B60">
        <w:rPr>
          <w:u w:val="single"/>
        </w:rPr>
        <w:t>Décide</w:t>
      </w:r>
      <w:r w:rsidRPr="00743B60">
        <w:t xml:space="preserve"> de tenir sa quinzième session à </w:t>
      </w:r>
      <w:r w:rsidR="00AC7B83" w:rsidRPr="00743B60">
        <w:t>Kingston</w:t>
      </w:r>
      <w:r w:rsidRPr="00743B60">
        <w:t>,</w:t>
      </w:r>
      <w:r w:rsidR="00AC7B83" w:rsidRPr="00743B60">
        <w:t xml:space="preserve"> Jamaïque,</w:t>
      </w:r>
      <w:r w:rsidRPr="00743B60">
        <w:t xml:space="preserve"> du </w:t>
      </w:r>
      <w:r w:rsidR="00AC7B83" w:rsidRPr="00743B60">
        <w:t>30 novembre</w:t>
      </w:r>
      <w:r w:rsidRPr="00743B60">
        <w:t xml:space="preserve"> au </w:t>
      </w:r>
      <w:r w:rsidR="00AC7B83" w:rsidRPr="00743B60">
        <w:t>5 </w:t>
      </w:r>
      <w:r w:rsidRPr="00743B60">
        <w:t>décembre 2020.</w:t>
      </w:r>
    </w:p>
    <w:p w14:paraId="11627446" w14:textId="77777777" w:rsidR="00191DBA" w:rsidRPr="00743B60" w:rsidRDefault="00191DBA" w:rsidP="00191DBA">
      <w:pPr>
        <w:pStyle w:val="GATitleResolution"/>
        <w:spacing w:before="360"/>
        <w:ind w:left="0"/>
      </w:pPr>
      <w:r w:rsidRPr="00743B60">
        <w:t>DÉCISION 14.COM 21</w:t>
      </w:r>
    </w:p>
    <w:p w14:paraId="0913546C" w14:textId="55162BBD" w:rsidR="00191DBA" w:rsidRPr="00743B60" w:rsidRDefault="00191DBA" w:rsidP="00191DBA">
      <w:pPr>
        <w:pStyle w:val="COMPreambulaDecision"/>
        <w:ind w:left="0"/>
      </w:pPr>
      <w:r w:rsidRPr="00743B60">
        <w:t>Le Comité</w:t>
      </w:r>
    </w:p>
    <w:p w14:paraId="459A6ACB" w14:textId="7CA339C9" w:rsidR="00191DBA" w:rsidRPr="00743B60" w:rsidRDefault="00191DBA" w:rsidP="00967CA2">
      <w:pPr>
        <w:pStyle w:val="COMParaDecision"/>
        <w:numPr>
          <w:ilvl w:val="0"/>
          <w:numId w:val="69"/>
        </w:numPr>
        <w:ind w:left="567" w:hanging="567"/>
      </w:pPr>
      <w:r w:rsidRPr="00743B60">
        <w:t>Élit</w:t>
      </w:r>
      <w:r w:rsidRPr="00743B60">
        <w:rPr>
          <w:u w:val="none"/>
        </w:rPr>
        <w:t xml:space="preserve"> </w:t>
      </w:r>
      <w:r w:rsidR="00AC7B83" w:rsidRPr="00743B60">
        <w:rPr>
          <w:u w:val="none"/>
        </w:rPr>
        <w:t>S. Exc. Mme Olivia Grange (Jamaïque)</w:t>
      </w:r>
      <w:r w:rsidRPr="00743B60">
        <w:rPr>
          <w:u w:val="none"/>
        </w:rPr>
        <w:t xml:space="preserve"> en tant que Présidente du Comité ;</w:t>
      </w:r>
    </w:p>
    <w:p w14:paraId="4FFFCEBD" w14:textId="08427F91" w:rsidR="00191DBA" w:rsidRPr="00743B60" w:rsidRDefault="00191DBA" w:rsidP="00967CA2">
      <w:pPr>
        <w:pStyle w:val="COMParaDecision"/>
        <w:numPr>
          <w:ilvl w:val="0"/>
          <w:numId w:val="69"/>
        </w:numPr>
        <w:ind w:left="567" w:hanging="567"/>
        <w:rPr>
          <w:u w:val="none"/>
        </w:rPr>
      </w:pPr>
      <w:r w:rsidRPr="00743B60">
        <w:t>Élit</w:t>
      </w:r>
      <w:r w:rsidRPr="00743B60">
        <w:rPr>
          <w:u w:val="none"/>
        </w:rPr>
        <w:t xml:space="preserve"> </w:t>
      </w:r>
      <w:r w:rsidR="00AC7B83" w:rsidRPr="00743B60">
        <w:rPr>
          <w:u w:val="none"/>
        </w:rPr>
        <w:t>M. Askar Abdrakhmanov (Kazakhstan)</w:t>
      </w:r>
      <w:r w:rsidRPr="00743B60">
        <w:rPr>
          <w:u w:val="none"/>
        </w:rPr>
        <w:t xml:space="preserve"> en tant que Rapporteur du Comité ;</w:t>
      </w:r>
    </w:p>
    <w:p w14:paraId="23AB1ADA" w14:textId="18DA65DB" w:rsidR="00191DBA" w:rsidRPr="00743B60" w:rsidRDefault="00191DBA" w:rsidP="00967CA2">
      <w:pPr>
        <w:pStyle w:val="COMParaDecision"/>
        <w:numPr>
          <w:ilvl w:val="0"/>
          <w:numId w:val="69"/>
        </w:numPr>
        <w:ind w:left="567" w:hanging="567"/>
        <w:rPr>
          <w:u w:val="none"/>
        </w:rPr>
      </w:pPr>
      <w:r w:rsidRPr="00743B60">
        <w:t>Élit</w:t>
      </w:r>
      <w:r w:rsidRPr="00743B60">
        <w:rPr>
          <w:u w:val="none"/>
        </w:rPr>
        <w:t xml:space="preserve"> </w:t>
      </w:r>
      <w:r w:rsidR="00AC7B83" w:rsidRPr="00743B60">
        <w:rPr>
          <w:u w:val="none"/>
        </w:rPr>
        <w:t>les Pays-Bas, l’Azerbaïdjan, la Chine, Djibouti et le Koweït</w:t>
      </w:r>
      <w:r w:rsidRPr="00743B60">
        <w:rPr>
          <w:u w:val="none"/>
        </w:rPr>
        <w:t xml:space="preserve"> en tant que Vice-Présidents du Comité.</w:t>
      </w:r>
    </w:p>
    <w:sectPr w:rsidR="00191DBA" w:rsidRPr="00743B60" w:rsidSect="00C476A9">
      <w:headerReference w:type="even" r:id="rId121"/>
      <w:headerReference w:type="default" r:id="rId122"/>
      <w:headerReference w:type="first" r:id="rId123"/>
      <w:pgSz w:w="12240" w:h="15840" w:code="1"/>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6B118A" w14:textId="77777777" w:rsidR="00F35A99" w:rsidRDefault="00F35A99" w:rsidP="00655736">
      <w:r>
        <w:separator/>
      </w:r>
    </w:p>
    <w:p w14:paraId="2A8CB32D" w14:textId="77777777" w:rsidR="00F35A99" w:rsidRDefault="00F35A99"/>
    <w:p w14:paraId="72C2893B" w14:textId="77777777" w:rsidR="00F35A99" w:rsidRDefault="00F35A99" w:rsidP="002E58D4"/>
    <w:p w14:paraId="2C178C01" w14:textId="77777777" w:rsidR="00F35A99" w:rsidRDefault="00F35A99" w:rsidP="002E58D4"/>
    <w:p w14:paraId="1E62C7AD" w14:textId="77777777" w:rsidR="00F35A99" w:rsidRDefault="00F35A99" w:rsidP="002E58D4"/>
  </w:endnote>
  <w:endnote w:type="continuationSeparator" w:id="0">
    <w:p w14:paraId="75747FA8" w14:textId="77777777" w:rsidR="00F35A99" w:rsidRDefault="00F35A99" w:rsidP="00655736">
      <w:r>
        <w:continuationSeparator/>
      </w:r>
    </w:p>
    <w:p w14:paraId="11525110" w14:textId="77777777" w:rsidR="00F35A99" w:rsidRDefault="00F35A99"/>
    <w:p w14:paraId="1DFC7E33" w14:textId="77777777" w:rsidR="00F35A99" w:rsidRDefault="00F35A99" w:rsidP="002E58D4"/>
    <w:p w14:paraId="7A822485" w14:textId="77777777" w:rsidR="00F35A99" w:rsidRDefault="00F35A99" w:rsidP="002E58D4"/>
    <w:p w14:paraId="6DBFF2C8" w14:textId="77777777" w:rsidR="00F35A99" w:rsidRDefault="00F35A99" w:rsidP="002E58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62A45E" w14:textId="536719A2" w:rsidR="00F35A99" w:rsidRDefault="00F35A99" w:rsidP="00872A22">
      <w:r>
        <w:separator/>
      </w:r>
    </w:p>
  </w:footnote>
  <w:footnote w:type="continuationSeparator" w:id="0">
    <w:p w14:paraId="66BC3BE0" w14:textId="77777777" w:rsidR="00F35A99" w:rsidRDefault="00F35A99" w:rsidP="00655736">
      <w:r>
        <w:continuationSeparator/>
      </w:r>
    </w:p>
    <w:p w14:paraId="5E51EF58" w14:textId="77777777" w:rsidR="00F35A99" w:rsidRDefault="00F35A99"/>
    <w:p w14:paraId="0857DD30" w14:textId="77777777" w:rsidR="00F35A99" w:rsidRDefault="00F35A99" w:rsidP="002E58D4"/>
    <w:p w14:paraId="2DCD223A" w14:textId="77777777" w:rsidR="00F35A99" w:rsidRDefault="00F35A99" w:rsidP="002E58D4"/>
    <w:p w14:paraId="31A6CFDB" w14:textId="77777777" w:rsidR="00F35A99" w:rsidRDefault="00F35A99" w:rsidP="002E58D4"/>
  </w:footnote>
  <w:footnote w:id="1">
    <w:p w14:paraId="30938C4B" w14:textId="38FC9BF4" w:rsidR="00F35A99" w:rsidRPr="002F2447" w:rsidRDefault="00F35A99" w:rsidP="00400706">
      <w:pPr>
        <w:pStyle w:val="FootnoteText"/>
        <w:tabs>
          <w:tab w:val="left" w:pos="567"/>
        </w:tabs>
        <w:rPr>
          <w:rFonts w:ascii="Arial" w:hAnsi="Arial" w:cs="Arial"/>
          <w:sz w:val="18"/>
          <w:szCs w:val="18"/>
        </w:rPr>
      </w:pPr>
      <w:r w:rsidRPr="00BD0188">
        <w:rPr>
          <w:rStyle w:val="FootnoteReference"/>
          <w:rFonts w:ascii="Arial" w:eastAsia="MS Mincho" w:hAnsi="Arial" w:cs="Arial"/>
          <w:sz w:val="18"/>
          <w:szCs w:val="18"/>
        </w:rPr>
        <w:footnoteRef/>
      </w:r>
      <w:r w:rsidRPr="00BD0188">
        <w:rPr>
          <w:vertAlign w:val="superscript"/>
        </w:rPr>
        <w:t>.</w:t>
      </w:r>
      <w:r>
        <w:tab/>
      </w:r>
      <w:hyperlink r:id="rId1" w:history="1">
        <w:r w:rsidRPr="002F2447">
          <w:rPr>
            <w:rStyle w:val="Hyperlink"/>
            <w:rFonts w:ascii="Arial" w:hAnsi="Arial" w:cs="Arial"/>
            <w:sz w:val="18"/>
            <w:szCs w:val="18"/>
          </w:rPr>
          <w:t>https://unesdoc.unesco.org/ark:/48223/pf0000235186_fre</w:t>
        </w:r>
      </w:hyperlink>
    </w:p>
  </w:footnote>
  <w:footnote w:id="2">
    <w:p w14:paraId="2779DC15" w14:textId="77777777" w:rsidR="00F35A99" w:rsidRPr="002F2447" w:rsidRDefault="00F35A99" w:rsidP="00400706">
      <w:pPr>
        <w:pStyle w:val="FootnoteText"/>
        <w:tabs>
          <w:tab w:val="left" w:pos="567"/>
        </w:tabs>
      </w:pPr>
      <w:r w:rsidRPr="00BD0188">
        <w:rPr>
          <w:rStyle w:val="FootnoteReference"/>
          <w:rFonts w:ascii="Arial" w:eastAsia="MS Mincho" w:hAnsi="Arial" w:cs="Arial"/>
          <w:sz w:val="18"/>
          <w:szCs w:val="18"/>
        </w:rPr>
        <w:footnoteRef/>
      </w:r>
      <w:r w:rsidRPr="00BD0188">
        <w:rPr>
          <w:vertAlign w:val="superscript"/>
        </w:rPr>
        <w:t>.</w:t>
      </w:r>
      <w:r>
        <w:tab/>
      </w:r>
      <w:hyperlink r:id="rId2" w:history="1">
        <w:r w:rsidRPr="002F2447">
          <w:rPr>
            <w:rStyle w:val="Hyperlink"/>
            <w:rFonts w:ascii="Arial" w:hAnsi="Arial" w:cs="Arial"/>
            <w:sz w:val="18"/>
            <w:szCs w:val="18"/>
          </w:rPr>
          <w:t>https://unesdoc.unesco.org/ark:/48223/pf0000259805_fre</w:t>
        </w:r>
      </w:hyperlink>
    </w:p>
  </w:footnote>
  <w:footnote w:id="3">
    <w:p w14:paraId="08FCEC5F" w14:textId="77777777" w:rsidR="00F35A99" w:rsidRPr="002F2447" w:rsidRDefault="00F35A99" w:rsidP="00400706">
      <w:pPr>
        <w:pStyle w:val="FootnoteText"/>
        <w:tabs>
          <w:tab w:val="left" w:pos="567"/>
        </w:tabs>
        <w:rPr>
          <w:rFonts w:ascii="Arial" w:hAnsi="Arial" w:cs="Arial"/>
          <w:sz w:val="18"/>
          <w:szCs w:val="18"/>
        </w:rPr>
      </w:pPr>
      <w:r w:rsidRPr="00AC7B83">
        <w:rPr>
          <w:rStyle w:val="FootnoteReference"/>
          <w:rFonts w:ascii="Arial" w:eastAsia="MS Mincho" w:hAnsi="Arial" w:cs="Arial"/>
          <w:sz w:val="18"/>
          <w:szCs w:val="18"/>
        </w:rPr>
        <w:footnoteRef/>
      </w:r>
      <w:r w:rsidRPr="00AC7B83">
        <w:rPr>
          <w:rStyle w:val="Hyperlink"/>
          <w:rFonts w:ascii="Arial" w:hAnsi="Arial" w:cs="Arial"/>
          <w:sz w:val="18"/>
          <w:szCs w:val="18"/>
          <w:u w:val="none"/>
          <w:vertAlign w:val="superscript"/>
        </w:rPr>
        <w:t>.</w:t>
      </w:r>
      <w:r w:rsidRPr="00AC7B83">
        <w:rPr>
          <w:rStyle w:val="Hyperlink"/>
          <w:rFonts w:ascii="Arial" w:hAnsi="Arial" w:cs="Arial"/>
          <w:sz w:val="18"/>
          <w:szCs w:val="18"/>
          <w:u w:val="none"/>
        </w:rPr>
        <w:tab/>
      </w:r>
      <w:hyperlink r:id="rId3" w:history="1">
        <w:r w:rsidRPr="00BD0188">
          <w:rPr>
            <w:rStyle w:val="Hyperlink"/>
            <w:rFonts w:ascii="Arial" w:hAnsi="Arial" w:cs="Arial"/>
            <w:sz w:val="18"/>
            <w:szCs w:val="18"/>
          </w:rPr>
          <w:t>https://ich.unesco.org/doc/src/ICH-Operational_Directives-7.GA-PDF-FR.pdf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264C7" w14:textId="6BAD5153" w:rsidR="00F35A99" w:rsidRPr="00894098" w:rsidRDefault="00F35A99">
    <w:pPr>
      <w:pStyle w:val="Header"/>
      <w:rPr>
        <w:rFonts w:ascii="Arial" w:hAnsi="Arial" w:cs="Arial"/>
        <w:lang w:val="en-US"/>
      </w:rPr>
    </w:pPr>
    <w:r>
      <w:rPr>
        <w:rFonts w:ascii="Arial" w:hAnsi="Arial" w:cs="Arial"/>
        <w:sz w:val="20"/>
        <w:szCs w:val="20"/>
        <w:lang w:val="en-US"/>
      </w:rPr>
      <w:t>LHE/19/14.COM/</w:t>
    </w:r>
    <w:r w:rsidRPr="00F245A4">
      <w:rPr>
        <w:rFonts w:ascii="Arial" w:hAnsi="Arial" w:cs="Arial"/>
        <w:sz w:val="20"/>
        <w:szCs w:val="20"/>
        <w:lang w:val="en-US"/>
      </w:rPr>
      <w:t xml:space="preserve">Décisions </w:t>
    </w:r>
    <w:r w:rsidRPr="00EF563B">
      <w:rPr>
        <w:rFonts w:ascii="Arial" w:hAnsi="Arial" w:cs="Arial"/>
        <w:sz w:val="20"/>
        <w:szCs w:val="20"/>
        <w:lang w:val="en-US"/>
      </w:rPr>
      <w:t xml:space="preserve">– page </w:t>
    </w:r>
    <w:r w:rsidRPr="00EF563B">
      <w:rPr>
        <w:rStyle w:val="PageNumber"/>
        <w:rFonts w:ascii="Arial" w:hAnsi="Arial" w:cs="Arial"/>
        <w:sz w:val="20"/>
        <w:szCs w:val="20"/>
      </w:rPr>
      <w:fldChar w:fldCharType="begin"/>
    </w:r>
    <w:r w:rsidRPr="00EF563B">
      <w:rPr>
        <w:rStyle w:val="PageNumber"/>
        <w:rFonts w:ascii="Arial" w:hAnsi="Arial" w:cs="Arial"/>
        <w:sz w:val="20"/>
        <w:szCs w:val="20"/>
        <w:lang w:val="en-US"/>
      </w:rPr>
      <w:instrText xml:space="preserve"> </w:instrText>
    </w:r>
    <w:r>
      <w:rPr>
        <w:rStyle w:val="PageNumber"/>
        <w:rFonts w:ascii="Arial" w:hAnsi="Arial" w:cs="Arial"/>
        <w:sz w:val="20"/>
        <w:szCs w:val="20"/>
        <w:lang w:val="en-US"/>
      </w:rPr>
      <w:instrText>PAGE</w:instrText>
    </w:r>
    <w:r w:rsidRPr="00EF563B">
      <w:rPr>
        <w:rStyle w:val="PageNumber"/>
        <w:rFonts w:ascii="Arial" w:hAnsi="Arial" w:cs="Arial"/>
        <w:sz w:val="20"/>
        <w:szCs w:val="20"/>
        <w:lang w:val="en-US"/>
      </w:rPr>
      <w:instrText xml:space="preserve"> </w:instrText>
    </w:r>
    <w:r w:rsidRPr="00EF563B">
      <w:rPr>
        <w:rStyle w:val="PageNumber"/>
        <w:rFonts w:ascii="Arial" w:hAnsi="Arial" w:cs="Arial"/>
        <w:sz w:val="20"/>
        <w:szCs w:val="20"/>
      </w:rPr>
      <w:fldChar w:fldCharType="separate"/>
    </w:r>
    <w:r w:rsidR="00B932EA">
      <w:rPr>
        <w:rStyle w:val="PageNumber"/>
        <w:rFonts w:ascii="Arial" w:hAnsi="Arial" w:cs="Arial"/>
        <w:noProof/>
        <w:sz w:val="20"/>
        <w:szCs w:val="20"/>
        <w:lang w:val="en-US"/>
      </w:rPr>
      <w:t>102</w:t>
    </w:r>
    <w:r w:rsidRPr="00EF563B">
      <w:rPr>
        <w:rStyle w:val="PageNumber"/>
        <w:rFonts w:ascii="Arial" w:hAnsi="Arial" w:cs="Arial"/>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19F788" w14:textId="40F4B88B" w:rsidR="00F35A99" w:rsidRPr="00894098" w:rsidRDefault="00F35A99" w:rsidP="00894098">
    <w:pPr>
      <w:pStyle w:val="Header"/>
      <w:jc w:val="right"/>
      <w:rPr>
        <w:rFonts w:ascii="Arial" w:hAnsi="Arial" w:cs="Arial"/>
        <w:lang w:val="en-US"/>
      </w:rPr>
    </w:pPr>
    <w:r>
      <w:rPr>
        <w:rFonts w:ascii="Arial" w:hAnsi="Arial" w:cs="Arial"/>
        <w:sz w:val="20"/>
        <w:szCs w:val="20"/>
        <w:lang w:val="en-US"/>
      </w:rPr>
      <w:t>LHE/19/14.COM/</w:t>
    </w:r>
    <w:r w:rsidRPr="00F245A4">
      <w:rPr>
        <w:rFonts w:ascii="Arial" w:hAnsi="Arial" w:cs="Arial"/>
        <w:sz w:val="20"/>
        <w:szCs w:val="20"/>
        <w:lang w:val="en-US"/>
      </w:rPr>
      <w:t xml:space="preserve">Décisions </w:t>
    </w:r>
    <w:r w:rsidRPr="00EF563B">
      <w:rPr>
        <w:rFonts w:ascii="Arial" w:hAnsi="Arial" w:cs="Arial"/>
        <w:sz w:val="20"/>
        <w:szCs w:val="20"/>
        <w:lang w:val="en-US"/>
      </w:rPr>
      <w:t xml:space="preserve">– page </w:t>
    </w:r>
    <w:r w:rsidRPr="00EF563B">
      <w:rPr>
        <w:rStyle w:val="PageNumber"/>
        <w:rFonts w:ascii="Arial" w:hAnsi="Arial" w:cs="Arial"/>
        <w:sz w:val="20"/>
        <w:szCs w:val="20"/>
      </w:rPr>
      <w:fldChar w:fldCharType="begin"/>
    </w:r>
    <w:r w:rsidRPr="00EF563B">
      <w:rPr>
        <w:rStyle w:val="PageNumber"/>
        <w:rFonts w:ascii="Arial" w:hAnsi="Arial" w:cs="Arial"/>
        <w:sz w:val="20"/>
        <w:szCs w:val="20"/>
        <w:lang w:val="en-US"/>
      </w:rPr>
      <w:instrText xml:space="preserve"> </w:instrText>
    </w:r>
    <w:r>
      <w:rPr>
        <w:rStyle w:val="PageNumber"/>
        <w:rFonts w:ascii="Arial" w:hAnsi="Arial" w:cs="Arial"/>
        <w:sz w:val="20"/>
        <w:szCs w:val="20"/>
        <w:lang w:val="en-US"/>
      </w:rPr>
      <w:instrText>PAGE</w:instrText>
    </w:r>
    <w:r w:rsidRPr="00EF563B">
      <w:rPr>
        <w:rStyle w:val="PageNumber"/>
        <w:rFonts w:ascii="Arial" w:hAnsi="Arial" w:cs="Arial"/>
        <w:sz w:val="20"/>
        <w:szCs w:val="20"/>
        <w:lang w:val="en-US"/>
      </w:rPr>
      <w:instrText xml:space="preserve"> </w:instrText>
    </w:r>
    <w:r w:rsidRPr="00EF563B">
      <w:rPr>
        <w:rStyle w:val="PageNumber"/>
        <w:rFonts w:ascii="Arial" w:hAnsi="Arial" w:cs="Arial"/>
        <w:sz w:val="20"/>
        <w:szCs w:val="20"/>
      </w:rPr>
      <w:fldChar w:fldCharType="separate"/>
    </w:r>
    <w:r w:rsidR="00B932EA">
      <w:rPr>
        <w:rStyle w:val="PageNumber"/>
        <w:rFonts w:ascii="Arial" w:hAnsi="Arial" w:cs="Arial"/>
        <w:noProof/>
        <w:sz w:val="20"/>
        <w:szCs w:val="20"/>
        <w:lang w:val="en-US"/>
      </w:rPr>
      <w:t>101</w:t>
    </w:r>
    <w:r w:rsidRPr="00EF563B">
      <w:rPr>
        <w:rStyle w:val="PageNumber"/>
        <w:rFonts w:ascii="Arial" w:hAnsi="Arial" w:cs="Arial"/>
        <w:sz w:val="20"/>
        <w:szCs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4B13E" w14:textId="77777777" w:rsidR="00F35A99" w:rsidRPr="008B64DF" w:rsidRDefault="00F35A99" w:rsidP="00894098">
    <w:pPr>
      <w:pStyle w:val="Header"/>
      <w:rPr>
        <w:sz w:val="22"/>
        <w:szCs w:val="22"/>
      </w:rPr>
    </w:pPr>
    <w:r>
      <w:rPr>
        <w:noProof/>
        <w:lang w:eastAsia="ja-JP"/>
      </w:rPr>
      <w:drawing>
        <wp:anchor distT="0" distB="0" distL="114300" distR="114300" simplePos="0" relativeHeight="251657216" behindDoc="0" locked="0" layoutInCell="1" allowOverlap="1" wp14:anchorId="53FCEC08" wp14:editId="28F7DE8D">
          <wp:simplePos x="0" y="0"/>
          <wp:positionH relativeFrom="page">
            <wp:posOffset>342265</wp:posOffset>
          </wp:positionH>
          <wp:positionV relativeFrom="page">
            <wp:posOffset>255905</wp:posOffset>
          </wp:positionV>
          <wp:extent cx="2037600" cy="1530000"/>
          <wp:effectExtent l="0" t="0" r="1270" b="0"/>
          <wp:wrapNone/>
          <wp:docPr id="44" name="Picture 15" descr="unesco_logo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unesco_logo_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7600" cy="1530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D07E1B" w14:textId="77777777" w:rsidR="00F35A99" w:rsidRPr="008F09EC" w:rsidRDefault="00F35A99" w:rsidP="00894098">
    <w:pPr>
      <w:pStyle w:val="Header"/>
      <w:spacing w:after="520"/>
      <w:jc w:val="right"/>
      <w:rPr>
        <w:rFonts w:ascii="Arial" w:hAnsi="Arial" w:cs="Arial"/>
        <w:b/>
        <w:sz w:val="44"/>
        <w:szCs w:val="44"/>
      </w:rPr>
    </w:pPr>
    <w:r w:rsidRPr="008F09EC">
      <w:rPr>
        <w:rFonts w:ascii="Arial" w:hAnsi="Arial" w:cs="Arial"/>
        <w:b/>
        <w:sz w:val="44"/>
        <w:szCs w:val="44"/>
      </w:rPr>
      <w:t>1</w:t>
    </w:r>
    <w:r>
      <w:rPr>
        <w:rFonts w:ascii="Arial" w:hAnsi="Arial" w:cs="Arial"/>
        <w:b/>
        <w:sz w:val="44"/>
        <w:szCs w:val="44"/>
      </w:rPr>
      <w:t>4</w:t>
    </w:r>
    <w:r w:rsidRPr="008F09EC">
      <w:rPr>
        <w:rFonts w:ascii="Arial" w:hAnsi="Arial" w:cs="Arial"/>
        <w:b/>
        <w:sz w:val="44"/>
        <w:szCs w:val="44"/>
      </w:rPr>
      <w:t xml:space="preserve"> COM</w:t>
    </w:r>
  </w:p>
  <w:p w14:paraId="6F827878" w14:textId="279DDAB5" w:rsidR="00F35A99" w:rsidRPr="005158FF" w:rsidRDefault="00F35A99" w:rsidP="00894098">
    <w:pPr>
      <w:jc w:val="right"/>
      <w:rPr>
        <w:rFonts w:ascii="Arial" w:hAnsi="Arial" w:cs="Arial"/>
        <w:b/>
        <w:sz w:val="22"/>
        <w:szCs w:val="22"/>
      </w:rPr>
    </w:pPr>
    <w:r>
      <w:rPr>
        <w:rFonts w:ascii="Arial" w:hAnsi="Arial" w:cs="Arial"/>
        <w:b/>
        <w:sz w:val="22"/>
        <w:szCs w:val="22"/>
      </w:rPr>
      <w:t>LHE</w:t>
    </w:r>
    <w:r w:rsidRPr="005158FF">
      <w:rPr>
        <w:rFonts w:ascii="Arial" w:hAnsi="Arial" w:cs="Arial"/>
        <w:b/>
        <w:sz w:val="22"/>
        <w:szCs w:val="22"/>
      </w:rPr>
      <w:t>/1</w:t>
    </w:r>
    <w:r>
      <w:rPr>
        <w:rFonts w:ascii="Arial" w:hAnsi="Arial" w:cs="Arial"/>
        <w:b/>
        <w:sz w:val="22"/>
        <w:szCs w:val="22"/>
      </w:rPr>
      <w:t>9</w:t>
    </w:r>
    <w:r w:rsidRPr="005158FF">
      <w:rPr>
        <w:rFonts w:ascii="Arial" w:hAnsi="Arial" w:cs="Arial"/>
        <w:b/>
        <w:sz w:val="22"/>
        <w:szCs w:val="22"/>
      </w:rPr>
      <w:t>/1</w:t>
    </w:r>
    <w:r>
      <w:rPr>
        <w:rFonts w:ascii="Arial" w:hAnsi="Arial" w:cs="Arial"/>
        <w:b/>
        <w:sz w:val="22"/>
        <w:szCs w:val="22"/>
      </w:rPr>
      <w:t>4</w:t>
    </w:r>
    <w:r w:rsidRPr="005158FF">
      <w:rPr>
        <w:rFonts w:ascii="Arial" w:hAnsi="Arial" w:cs="Arial"/>
        <w:b/>
        <w:sz w:val="22"/>
        <w:szCs w:val="22"/>
      </w:rPr>
      <w:t>.COM/</w:t>
    </w:r>
    <w:r>
      <w:rPr>
        <w:rFonts w:ascii="Arial" w:hAnsi="Arial" w:cs="Arial"/>
        <w:b/>
        <w:sz w:val="22"/>
        <w:szCs w:val="22"/>
      </w:rPr>
      <w:t>Décisions</w:t>
    </w:r>
  </w:p>
  <w:p w14:paraId="7B54894E" w14:textId="3E46B0E2" w:rsidR="00F35A99" w:rsidRPr="005158FF" w:rsidRDefault="00F35A99" w:rsidP="00894098">
    <w:pPr>
      <w:jc w:val="right"/>
      <w:rPr>
        <w:rFonts w:ascii="Arial" w:eastAsiaTheme="minorEastAsia" w:hAnsi="Arial" w:cs="Arial"/>
        <w:b/>
        <w:sz w:val="22"/>
        <w:szCs w:val="22"/>
        <w:lang w:eastAsia="ko-KR"/>
      </w:rPr>
    </w:pPr>
    <w:r>
      <w:rPr>
        <w:rFonts w:ascii="Arial" w:hAnsi="Arial" w:cs="Arial"/>
        <w:b/>
        <w:sz w:val="22"/>
        <w:szCs w:val="22"/>
      </w:rPr>
      <w:t>Bogot</w:t>
    </w:r>
    <w:r w:rsidRPr="00B932EA">
      <w:rPr>
        <w:rFonts w:ascii="Arial" w:hAnsi="Arial" w:cs="Arial"/>
        <w:b/>
        <w:sz w:val="22"/>
        <w:szCs w:val="22"/>
      </w:rPr>
      <w:t xml:space="preserve">á, le </w:t>
    </w:r>
    <w:r w:rsidR="00B932EA" w:rsidRPr="00B932EA">
      <w:rPr>
        <w:rFonts w:ascii="Arial" w:hAnsi="Arial" w:cs="Arial"/>
        <w:b/>
        <w:sz w:val="22"/>
        <w:szCs w:val="22"/>
      </w:rPr>
      <w:t>29</w:t>
    </w:r>
    <w:r w:rsidR="00B932EA" w:rsidRPr="00B932EA">
      <w:rPr>
        <w:rFonts w:ascii="Arial" w:hAnsi="Arial" w:cs="Arial"/>
        <w:b/>
        <w:sz w:val="22"/>
        <w:szCs w:val="22"/>
      </w:rPr>
      <w:t xml:space="preserve"> </w:t>
    </w:r>
    <w:r w:rsidRPr="00B932EA">
      <w:rPr>
        <w:rFonts w:ascii="Arial" w:hAnsi="Arial" w:cs="Arial"/>
        <w:b/>
        <w:sz w:val="22"/>
        <w:szCs w:val="22"/>
      </w:rPr>
      <w:t>janvier 2020</w:t>
    </w:r>
  </w:p>
  <w:p w14:paraId="75245CF5" w14:textId="4A9C402A" w:rsidR="00F35A99" w:rsidRPr="0020150F" w:rsidRDefault="00F35A99" w:rsidP="00894098">
    <w:pPr>
      <w:jc w:val="right"/>
      <w:rPr>
        <w:rFonts w:ascii="Arial" w:hAnsi="Arial" w:cs="Arial"/>
        <w:b/>
        <w:sz w:val="22"/>
        <w:szCs w:val="22"/>
      </w:rPr>
    </w:pPr>
    <w:r w:rsidRPr="00022428">
      <w:rPr>
        <w:rFonts w:ascii="Arial" w:hAnsi="Arial" w:cs="Arial"/>
        <w:b/>
        <w:sz w:val="22"/>
        <w:szCs w:val="22"/>
      </w:rPr>
      <w:t xml:space="preserve">Original : </w:t>
    </w:r>
    <w:r>
      <w:rPr>
        <w:rFonts w:ascii="Arial" w:hAnsi="Arial" w:cs="Arial"/>
        <w:b/>
        <w:sz w:val="22"/>
        <w:szCs w:val="22"/>
      </w:rPr>
      <w:t>anglais/français</w:t>
    </w:r>
  </w:p>
  <w:p w14:paraId="0F0F2B4D" w14:textId="77777777" w:rsidR="00F35A99" w:rsidRPr="008B64DF" w:rsidRDefault="00F35A99" w:rsidP="00894098">
    <w:pPr>
      <w:pStyle w:val="Header"/>
      <w:rPr>
        <w:sz w:val="22"/>
        <w:szCs w:val="22"/>
      </w:rPr>
    </w:pPr>
  </w:p>
  <w:p w14:paraId="02986467" w14:textId="4F27BA1F" w:rsidR="00F35A99" w:rsidRPr="008B64DF" w:rsidRDefault="00F35A99">
    <w:pPr>
      <w:pStyle w:val="Head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45569"/>
    <w:multiLevelType w:val="hybridMultilevel"/>
    <w:tmpl w:val="2F6E0B82"/>
    <w:lvl w:ilvl="0" w:tplc="0409000F">
      <w:start w:val="1"/>
      <w:numFmt w:val="decimal"/>
      <w:lvlText w:val="%1."/>
      <w:lvlJc w:val="left"/>
      <w:pPr>
        <w:ind w:left="720" w:hanging="360"/>
      </w:pPr>
      <w:rPr>
        <w:rFonts w:ascii="Arial" w:hAnsi="Arial" w:cs="Aria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3DA6F1C"/>
    <w:multiLevelType w:val="multilevel"/>
    <w:tmpl w:val="7FC65B32"/>
    <w:lvl w:ilvl="0">
      <w:start w:val="1"/>
      <w:numFmt w:val="decimal"/>
      <w:lvlText w:val="%1"/>
      <w:lvlJc w:val="left"/>
      <w:pPr>
        <w:ind w:left="142" w:firstLine="0"/>
      </w:pPr>
      <w:rPr>
        <w:rFonts w:ascii="Arial" w:eastAsia="Arial" w:hAnsi="Arial" w:cs="Arial"/>
        <w:color w:val="000000"/>
        <w:sz w:val="22"/>
        <w:szCs w:val="22"/>
      </w:rPr>
    </w:lvl>
    <w:lvl w:ilvl="1">
      <w:start w:val="1"/>
      <w:numFmt w:val="decimal"/>
      <w:lvlText w:val="%2."/>
      <w:lvlJc w:val="left"/>
      <w:pPr>
        <w:ind w:left="576" w:hanging="576"/>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 w15:restartNumberingAfterBreak="0">
    <w:nsid w:val="03FB5ED8"/>
    <w:multiLevelType w:val="hybridMultilevel"/>
    <w:tmpl w:val="7A326C46"/>
    <w:lvl w:ilvl="0" w:tplc="040C000F">
      <w:start w:val="1"/>
      <w:numFmt w:val="decimal"/>
      <w:lvlText w:val="%1."/>
      <w:lvlJc w:val="left"/>
      <w:pPr>
        <w:ind w:left="720" w:hanging="360"/>
      </w:pPr>
      <w:rPr>
        <w:rFonts w:hint="default"/>
        <w:color w:val="000000"/>
      </w:rPr>
    </w:lvl>
    <w:lvl w:ilvl="1" w:tplc="107229BE" w:tentative="1">
      <w:start w:val="1"/>
      <w:numFmt w:val="bullet"/>
      <w:lvlText w:val="o"/>
      <w:lvlJc w:val="left"/>
      <w:pPr>
        <w:ind w:left="1800" w:hanging="360"/>
      </w:pPr>
      <w:rPr>
        <w:rFonts w:ascii="Courier New" w:hAnsi="Courier New" w:cs="Courier New" w:hint="default"/>
      </w:rPr>
    </w:lvl>
    <w:lvl w:ilvl="2" w:tplc="EA846A12" w:tentative="1">
      <w:start w:val="1"/>
      <w:numFmt w:val="bullet"/>
      <w:lvlText w:val=""/>
      <w:lvlJc w:val="left"/>
      <w:pPr>
        <w:ind w:left="2520" w:hanging="360"/>
      </w:pPr>
      <w:rPr>
        <w:rFonts w:ascii="Wingdings" w:hAnsi="Wingdings" w:hint="default"/>
      </w:rPr>
    </w:lvl>
    <w:lvl w:ilvl="3" w:tplc="94949448" w:tentative="1">
      <w:start w:val="1"/>
      <w:numFmt w:val="bullet"/>
      <w:lvlText w:val=""/>
      <w:lvlJc w:val="left"/>
      <w:pPr>
        <w:ind w:left="3240" w:hanging="360"/>
      </w:pPr>
      <w:rPr>
        <w:rFonts w:ascii="Symbol" w:hAnsi="Symbol" w:hint="default"/>
      </w:rPr>
    </w:lvl>
    <w:lvl w:ilvl="4" w:tplc="135C258A" w:tentative="1">
      <w:start w:val="1"/>
      <w:numFmt w:val="bullet"/>
      <w:lvlText w:val="o"/>
      <w:lvlJc w:val="left"/>
      <w:pPr>
        <w:ind w:left="3960" w:hanging="360"/>
      </w:pPr>
      <w:rPr>
        <w:rFonts w:ascii="Courier New" w:hAnsi="Courier New" w:cs="Courier New" w:hint="default"/>
      </w:rPr>
    </w:lvl>
    <w:lvl w:ilvl="5" w:tplc="67DA814A" w:tentative="1">
      <w:start w:val="1"/>
      <w:numFmt w:val="bullet"/>
      <w:lvlText w:val=""/>
      <w:lvlJc w:val="left"/>
      <w:pPr>
        <w:ind w:left="4680" w:hanging="360"/>
      </w:pPr>
      <w:rPr>
        <w:rFonts w:ascii="Wingdings" w:hAnsi="Wingdings" w:hint="default"/>
      </w:rPr>
    </w:lvl>
    <w:lvl w:ilvl="6" w:tplc="6D06F2EA" w:tentative="1">
      <w:start w:val="1"/>
      <w:numFmt w:val="bullet"/>
      <w:lvlText w:val=""/>
      <w:lvlJc w:val="left"/>
      <w:pPr>
        <w:ind w:left="5400" w:hanging="360"/>
      </w:pPr>
      <w:rPr>
        <w:rFonts w:ascii="Symbol" w:hAnsi="Symbol" w:hint="default"/>
      </w:rPr>
    </w:lvl>
    <w:lvl w:ilvl="7" w:tplc="B4548986" w:tentative="1">
      <w:start w:val="1"/>
      <w:numFmt w:val="bullet"/>
      <w:lvlText w:val="o"/>
      <w:lvlJc w:val="left"/>
      <w:pPr>
        <w:ind w:left="6120" w:hanging="360"/>
      </w:pPr>
      <w:rPr>
        <w:rFonts w:ascii="Courier New" w:hAnsi="Courier New" w:cs="Courier New" w:hint="default"/>
      </w:rPr>
    </w:lvl>
    <w:lvl w:ilvl="8" w:tplc="4CD4DD24" w:tentative="1">
      <w:start w:val="1"/>
      <w:numFmt w:val="bullet"/>
      <w:lvlText w:val=""/>
      <w:lvlJc w:val="left"/>
      <w:pPr>
        <w:ind w:left="6840" w:hanging="360"/>
      </w:pPr>
      <w:rPr>
        <w:rFonts w:ascii="Wingdings" w:hAnsi="Wingdings" w:hint="default"/>
      </w:rPr>
    </w:lvl>
  </w:abstractNum>
  <w:abstractNum w:abstractNumId="3" w15:restartNumberingAfterBreak="0">
    <w:nsid w:val="04B1290F"/>
    <w:multiLevelType w:val="hybridMultilevel"/>
    <w:tmpl w:val="9EA806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2203E5"/>
    <w:multiLevelType w:val="hybridMultilevel"/>
    <w:tmpl w:val="F60A80D2"/>
    <w:lvl w:ilvl="0" w:tplc="72F24964">
      <w:start w:val="1"/>
      <w:numFmt w:val="decimal"/>
      <w:lvlText w:val="%1."/>
      <w:lvlJc w:val="left"/>
      <w:pPr>
        <w:ind w:left="1287" w:hanging="360"/>
      </w:pPr>
    </w:lvl>
    <w:lvl w:ilvl="1" w:tplc="F9BADF88" w:tentative="1">
      <w:start w:val="1"/>
      <w:numFmt w:val="lowerLetter"/>
      <w:lvlText w:val="%2."/>
      <w:lvlJc w:val="left"/>
      <w:pPr>
        <w:ind w:left="2007" w:hanging="360"/>
      </w:pPr>
    </w:lvl>
    <w:lvl w:ilvl="2" w:tplc="E9B8D336" w:tentative="1">
      <w:start w:val="1"/>
      <w:numFmt w:val="lowerRoman"/>
      <w:lvlText w:val="%3."/>
      <w:lvlJc w:val="right"/>
      <w:pPr>
        <w:ind w:left="2727" w:hanging="180"/>
      </w:pPr>
    </w:lvl>
    <w:lvl w:ilvl="3" w:tplc="5234EA5A" w:tentative="1">
      <w:start w:val="1"/>
      <w:numFmt w:val="decimal"/>
      <w:lvlText w:val="%4."/>
      <w:lvlJc w:val="left"/>
      <w:pPr>
        <w:ind w:left="3447" w:hanging="360"/>
      </w:pPr>
    </w:lvl>
    <w:lvl w:ilvl="4" w:tplc="2000F72A" w:tentative="1">
      <w:start w:val="1"/>
      <w:numFmt w:val="lowerLetter"/>
      <w:lvlText w:val="%5."/>
      <w:lvlJc w:val="left"/>
      <w:pPr>
        <w:ind w:left="4167" w:hanging="360"/>
      </w:pPr>
    </w:lvl>
    <w:lvl w:ilvl="5" w:tplc="9D24F2B0" w:tentative="1">
      <w:start w:val="1"/>
      <w:numFmt w:val="lowerRoman"/>
      <w:lvlText w:val="%6."/>
      <w:lvlJc w:val="right"/>
      <w:pPr>
        <w:ind w:left="4887" w:hanging="180"/>
      </w:pPr>
    </w:lvl>
    <w:lvl w:ilvl="6" w:tplc="0D607128" w:tentative="1">
      <w:start w:val="1"/>
      <w:numFmt w:val="decimal"/>
      <w:lvlText w:val="%7."/>
      <w:lvlJc w:val="left"/>
      <w:pPr>
        <w:ind w:left="5607" w:hanging="360"/>
      </w:pPr>
    </w:lvl>
    <w:lvl w:ilvl="7" w:tplc="929E5494" w:tentative="1">
      <w:start w:val="1"/>
      <w:numFmt w:val="lowerLetter"/>
      <w:lvlText w:val="%8."/>
      <w:lvlJc w:val="left"/>
      <w:pPr>
        <w:ind w:left="6327" w:hanging="360"/>
      </w:pPr>
    </w:lvl>
    <w:lvl w:ilvl="8" w:tplc="47E2FF78" w:tentative="1">
      <w:start w:val="1"/>
      <w:numFmt w:val="lowerRoman"/>
      <w:lvlText w:val="%9."/>
      <w:lvlJc w:val="right"/>
      <w:pPr>
        <w:ind w:left="7047" w:hanging="180"/>
      </w:pPr>
    </w:lvl>
  </w:abstractNum>
  <w:abstractNum w:abstractNumId="5" w15:restartNumberingAfterBreak="0">
    <w:nsid w:val="0C857498"/>
    <w:multiLevelType w:val="hybridMultilevel"/>
    <w:tmpl w:val="85628A4A"/>
    <w:lvl w:ilvl="0" w:tplc="2BB8A730">
      <w:start w:val="4"/>
      <w:numFmt w:val="bullet"/>
      <w:lvlText w:val="-"/>
      <w:lvlJc w:val="left"/>
      <w:pPr>
        <w:ind w:left="720" w:hanging="360"/>
      </w:pPr>
      <w:rPr>
        <w:rFonts w:ascii="Arial" w:eastAsia="SimSun" w:hAnsi="Arial" w:cs="Arial" w:hint="default"/>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EDF25D9"/>
    <w:multiLevelType w:val="multilevel"/>
    <w:tmpl w:val="6B6C7576"/>
    <w:lvl w:ilvl="0">
      <w:start w:val="1"/>
      <w:numFmt w:val="decimal"/>
      <w:lvlText w:val="%1"/>
      <w:lvlJc w:val="left"/>
      <w:pPr>
        <w:ind w:left="142" w:firstLine="0"/>
      </w:pPr>
      <w:rPr>
        <w:rFonts w:ascii="Arial" w:eastAsia="Arial" w:hAnsi="Arial" w:cs="Arial" w:hint="default"/>
        <w:color w:val="000000"/>
        <w:sz w:val="22"/>
        <w:szCs w:val="22"/>
      </w:rPr>
    </w:lvl>
    <w:lvl w:ilvl="1">
      <w:start w:val="3"/>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7" w15:restartNumberingAfterBreak="0">
    <w:nsid w:val="0F6E1844"/>
    <w:multiLevelType w:val="hybridMultilevel"/>
    <w:tmpl w:val="53DA674E"/>
    <w:lvl w:ilvl="0" w:tplc="0C09000F">
      <w:start w:val="1"/>
      <w:numFmt w:val="decimal"/>
      <w:lvlText w:val="%1."/>
      <w:lvlJc w:val="left"/>
      <w:pPr>
        <w:ind w:left="6" w:hanging="360"/>
      </w:pPr>
    </w:lvl>
    <w:lvl w:ilvl="1" w:tplc="0C090019" w:tentative="1">
      <w:start w:val="1"/>
      <w:numFmt w:val="lowerLetter"/>
      <w:lvlText w:val="%2."/>
      <w:lvlJc w:val="left"/>
      <w:pPr>
        <w:ind w:left="726" w:hanging="360"/>
      </w:pPr>
    </w:lvl>
    <w:lvl w:ilvl="2" w:tplc="0C09001B" w:tentative="1">
      <w:start w:val="1"/>
      <w:numFmt w:val="lowerRoman"/>
      <w:lvlText w:val="%3."/>
      <w:lvlJc w:val="right"/>
      <w:pPr>
        <w:ind w:left="1446" w:hanging="180"/>
      </w:pPr>
    </w:lvl>
    <w:lvl w:ilvl="3" w:tplc="0C09000F" w:tentative="1">
      <w:start w:val="1"/>
      <w:numFmt w:val="decimal"/>
      <w:lvlText w:val="%4."/>
      <w:lvlJc w:val="left"/>
      <w:pPr>
        <w:ind w:left="2166" w:hanging="360"/>
      </w:pPr>
    </w:lvl>
    <w:lvl w:ilvl="4" w:tplc="0C090019" w:tentative="1">
      <w:start w:val="1"/>
      <w:numFmt w:val="lowerLetter"/>
      <w:lvlText w:val="%5."/>
      <w:lvlJc w:val="left"/>
      <w:pPr>
        <w:ind w:left="2886" w:hanging="360"/>
      </w:pPr>
    </w:lvl>
    <w:lvl w:ilvl="5" w:tplc="0C09001B" w:tentative="1">
      <w:start w:val="1"/>
      <w:numFmt w:val="lowerRoman"/>
      <w:lvlText w:val="%6."/>
      <w:lvlJc w:val="right"/>
      <w:pPr>
        <w:ind w:left="3606" w:hanging="180"/>
      </w:pPr>
    </w:lvl>
    <w:lvl w:ilvl="6" w:tplc="0C09000F" w:tentative="1">
      <w:start w:val="1"/>
      <w:numFmt w:val="decimal"/>
      <w:lvlText w:val="%7."/>
      <w:lvlJc w:val="left"/>
      <w:pPr>
        <w:ind w:left="4326" w:hanging="360"/>
      </w:pPr>
    </w:lvl>
    <w:lvl w:ilvl="7" w:tplc="0C090019" w:tentative="1">
      <w:start w:val="1"/>
      <w:numFmt w:val="lowerLetter"/>
      <w:lvlText w:val="%8."/>
      <w:lvlJc w:val="left"/>
      <w:pPr>
        <w:ind w:left="5046" w:hanging="360"/>
      </w:pPr>
    </w:lvl>
    <w:lvl w:ilvl="8" w:tplc="0C09001B" w:tentative="1">
      <w:start w:val="1"/>
      <w:numFmt w:val="lowerRoman"/>
      <w:lvlText w:val="%9."/>
      <w:lvlJc w:val="right"/>
      <w:pPr>
        <w:ind w:left="5766" w:hanging="180"/>
      </w:pPr>
    </w:lvl>
  </w:abstractNum>
  <w:abstractNum w:abstractNumId="8" w15:restartNumberingAfterBreak="0">
    <w:nsid w:val="100B1C9C"/>
    <w:multiLevelType w:val="hybridMultilevel"/>
    <w:tmpl w:val="F60E309C"/>
    <w:styleLink w:val="Headingsubdecision1"/>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9" w15:restartNumberingAfterBreak="0">
    <w:nsid w:val="17316AFB"/>
    <w:multiLevelType w:val="multilevel"/>
    <w:tmpl w:val="7FC65B32"/>
    <w:lvl w:ilvl="0">
      <w:start w:val="1"/>
      <w:numFmt w:val="decimal"/>
      <w:lvlText w:val="%1"/>
      <w:lvlJc w:val="left"/>
      <w:pPr>
        <w:ind w:left="0" w:firstLine="0"/>
      </w:pPr>
      <w:rPr>
        <w:rFonts w:ascii="Arial" w:eastAsia="Arial" w:hAnsi="Arial" w:cs="Arial"/>
        <w:color w:val="000000"/>
        <w:sz w:val="22"/>
        <w:szCs w:val="22"/>
      </w:rPr>
    </w:lvl>
    <w:lvl w:ilvl="1">
      <w:start w:val="1"/>
      <w:numFmt w:val="decimal"/>
      <w:lvlText w:val="%2."/>
      <w:lvlJc w:val="left"/>
      <w:pPr>
        <w:ind w:left="576" w:hanging="576"/>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0" w15:restartNumberingAfterBreak="0">
    <w:nsid w:val="173B78DB"/>
    <w:multiLevelType w:val="hybridMultilevel"/>
    <w:tmpl w:val="5B0417F0"/>
    <w:styleLink w:val="Headingsubdecision2"/>
    <w:lvl w:ilvl="0" w:tplc="0ECCF00C">
      <w:start w:val="1"/>
      <w:numFmt w:val="decimal"/>
      <w:lvlText w:val="%1."/>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A8468DC">
      <w:start w:val="1"/>
      <w:numFmt w:val="lowerLetter"/>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EB0874E">
      <w:start w:val="1"/>
      <w:numFmt w:val="lowerRoman"/>
      <w:lvlText w:val="%3."/>
      <w:lvlJc w:val="left"/>
      <w:pPr>
        <w:ind w:left="302"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2BC825F8">
      <w:start w:val="1"/>
      <w:numFmt w:val="decimal"/>
      <w:lvlText w:val="%4."/>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C4E47CE">
      <w:start w:val="1"/>
      <w:numFmt w:val="lowerLetter"/>
      <w:lvlText w:val="%5."/>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ECC7246">
      <w:start w:val="1"/>
      <w:numFmt w:val="lowerRoman"/>
      <w:lvlText w:val="%6."/>
      <w:lvlJc w:val="left"/>
      <w:pPr>
        <w:ind w:left="302"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75189898">
      <w:start w:val="1"/>
      <w:numFmt w:val="decimal"/>
      <w:lvlText w:val="%7."/>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D2C663A">
      <w:start w:val="1"/>
      <w:numFmt w:val="lowerLetter"/>
      <w:lvlText w:val="%8."/>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DDA92B4">
      <w:start w:val="1"/>
      <w:numFmt w:val="lowerRoman"/>
      <w:lvlText w:val="%9."/>
      <w:lvlJc w:val="left"/>
      <w:pPr>
        <w:ind w:left="46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18273CBE"/>
    <w:multiLevelType w:val="hybridMultilevel"/>
    <w:tmpl w:val="AC6671F0"/>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1A9F74D6"/>
    <w:multiLevelType w:val="hybridMultilevel"/>
    <w:tmpl w:val="FCFAD0CE"/>
    <w:lvl w:ilvl="0" w:tplc="040C000F">
      <w:start w:val="1"/>
      <w:numFmt w:val="decimal"/>
      <w:lvlText w:val="%1."/>
      <w:lvlJc w:val="left"/>
      <w:pPr>
        <w:ind w:left="1077" w:hanging="360"/>
      </w:pPr>
    </w:lvl>
    <w:lvl w:ilvl="1" w:tplc="040C0019" w:tentative="1">
      <w:start w:val="1"/>
      <w:numFmt w:val="lowerLetter"/>
      <w:lvlText w:val="%2."/>
      <w:lvlJc w:val="left"/>
      <w:pPr>
        <w:ind w:left="1797" w:hanging="360"/>
      </w:pPr>
    </w:lvl>
    <w:lvl w:ilvl="2" w:tplc="040C001B" w:tentative="1">
      <w:start w:val="1"/>
      <w:numFmt w:val="lowerRoman"/>
      <w:lvlText w:val="%3."/>
      <w:lvlJc w:val="right"/>
      <w:pPr>
        <w:ind w:left="2517" w:hanging="180"/>
      </w:pPr>
    </w:lvl>
    <w:lvl w:ilvl="3" w:tplc="040C000F" w:tentative="1">
      <w:start w:val="1"/>
      <w:numFmt w:val="decimal"/>
      <w:lvlText w:val="%4."/>
      <w:lvlJc w:val="left"/>
      <w:pPr>
        <w:ind w:left="3237" w:hanging="360"/>
      </w:pPr>
    </w:lvl>
    <w:lvl w:ilvl="4" w:tplc="040C0019" w:tentative="1">
      <w:start w:val="1"/>
      <w:numFmt w:val="lowerLetter"/>
      <w:lvlText w:val="%5."/>
      <w:lvlJc w:val="left"/>
      <w:pPr>
        <w:ind w:left="3957" w:hanging="360"/>
      </w:pPr>
    </w:lvl>
    <w:lvl w:ilvl="5" w:tplc="040C001B" w:tentative="1">
      <w:start w:val="1"/>
      <w:numFmt w:val="lowerRoman"/>
      <w:lvlText w:val="%6."/>
      <w:lvlJc w:val="right"/>
      <w:pPr>
        <w:ind w:left="4677" w:hanging="180"/>
      </w:pPr>
    </w:lvl>
    <w:lvl w:ilvl="6" w:tplc="040C000F" w:tentative="1">
      <w:start w:val="1"/>
      <w:numFmt w:val="decimal"/>
      <w:lvlText w:val="%7."/>
      <w:lvlJc w:val="left"/>
      <w:pPr>
        <w:ind w:left="5397" w:hanging="360"/>
      </w:pPr>
    </w:lvl>
    <w:lvl w:ilvl="7" w:tplc="040C0019" w:tentative="1">
      <w:start w:val="1"/>
      <w:numFmt w:val="lowerLetter"/>
      <w:lvlText w:val="%8."/>
      <w:lvlJc w:val="left"/>
      <w:pPr>
        <w:ind w:left="6117" w:hanging="360"/>
      </w:pPr>
    </w:lvl>
    <w:lvl w:ilvl="8" w:tplc="040C001B" w:tentative="1">
      <w:start w:val="1"/>
      <w:numFmt w:val="lowerRoman"/>
      <w:lvlText w:val="%9."/>
      <w:lvlJc w:val="right"/>
      <w:pPr>
        <w:ind w:left="6837" w:hanging="180"/>
      </w:pPr>
    </w:lvl>
  </w:abstractNum>
  <w:abstractNum w:abstractNumId="13" w15:restartNumberingAfterBreak="0">
    <w:nsid w:val="1C075DAB"/>
    <w:multiLevelType w:val="hybridMultilevel"/>
    <w:tmpl w:val="6EB69A00"/>
    <w:lvl w:ilvl="0" w:tplc="0409000F">
      <w:start w:val="1"/>
      <w:numFmt w:val="decimal"/>
      <w:lvlText w:val="%1."/>
      <w:lvlJc w:val="left"/>
      <w:pPr>
        <w:ind w:left="785" w:hanging="360"/>
      </w:pPr>
      <w:rPr>
        <w:rFonts w:hint="default"/>
      </w:rPr>
    </w:lvl>
    <w:lvl w:ilvl="1" w:tplc="040C0019" w:tentative="1">
      <w:start w:val="1"/>
      <w:numFmt w:val="lowerLetter"/>
      <w:lvlText w:val="%2."/>
      <w:lvlJc w:val="left"/>
      <w:pPr>
        <w:ind w:left="1505" w:hanging="360"/>
      </w:pPr>
    </w:lvl>
    <w:lvl w:ilvl="2" w:tplc="040C001B" w:tentative="1">
      <w:start w:val="1"/>
      <w:numFmt w:val="lowerRoman"/>
      <w:lvlText w:val="%3."/>
      <w:lvlJc w:val="right"/>
      <w:pPr>
        <w:ind w:left="2225" w:hanging="180"/>
      </w:pPr>
    </w:lvl>
    <w:lvl w:ilvl="3" w:tplc="040C000F" w:tentative="1">
      <w:start w:val="1"/>
      <w:numFmt w:val="decimal"/>
      <w:lvlText w:val="%4."/>
      <w:lvlJc w:val="left"/>
      <w:pPr>
        <w:ind w:left="2945" w:hanging="360"/>
      </w:pPr>
    </w:lvl>
    <w:lvl w:ilvl="4" w:tplc="040C0019" w:tentative="1">
      <w:start w:val="1"/>
      <w:numFmt w:val="lowerLetter"/>
      <w:lvlText w:val="%5."/>
      <w:lvlJc w:val="left"/>
      <w:pPr>
        <w:ind w:left="3665" w:hanging="360"/>
      </w:pPr>
    </w:lvl>
    <w:lvl w:ilvl="5" w:tplc="040C001B" w:tentative="1">
      <w:start w:val="1"/>
      <w:numFmt w:val="lowerRoman"/>
      <w:lvlText w:val="%6."/>
      <w:lvlJc w:val="right"/>
      <w:pPr>
        <w:ind w:left="4385" w:hanging="180"/>
      </w:pPr>
    </w:lvl>
    <w:lvl w:ilvl="6" w:tplc="040C000F" w:tentative="1">
      <w:start w:val="1"/>
      <w:numFmt w:val="decimal"/>
      <w:lvlText w:val="%7."/>
      <w:lvlJc w:val="left"/>
      <w:pPr>
        <w:ind w:left="5105" w:hanging="360"/>
      </w:pPr>
    </w:lvl>
    <w:lvl w:ilvl="7" w:tplc="040C0019" w:tentative="1">
      <w:start w:val="1"/>
      <w:numFmt w:val="lowerLetter"/>
      <w:lvlText w:val="%8."/>
      <w:lvlJc w:val="left"/>
      <w:pPr>
        <w:ind w:left="5825" w:hanging="360"/>
      </w:pPr>
    </w:lvl>
    <w:lvl w:ilvl="8" w:tplc="040C001B" w:tentative="1">
      <w:start w:val="1"/>
      <w:numFmt w:val="lowerRoman"/>
      <w:lvlText w:val="%9."/>
      <w:lvlJc w:val="right"/>
      <w:pPr>
        <w:ind w:left="6545" w:hanging="180"/>
      </w:pPr>
    </w:lvl>
  </w:abstractNum>
  <w:abstractNum w:abstractNumId="14" w15:restartNumberingAfterBreak="0">
    <w:nsid w:val="2034336E"/>
    <w:multiLevelType w:val="hybridMultilevel"/>
    <w:tmpl w:val="5B40FD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012006"/>
    <w:multiLevelType w:val="hybridMultilevel"/>
    <w:tmpl w:val="63FC1AF8"/>
    <w:lvl w:ilvl="0" w:tplc="DEC4B77E">
      <w:start w:val="1"/>
      <w:numFmt w:val="decimal"/>
      <w:lvlText w:val="%1."/>
      <w:lvlJc w:val="left"/>
      <w:pPr>
        <w:ind w:left="720" w:hanging="360"/>
      </w:pPr>
    </w:lvl>
    <w:lvl w:ilvl="1" w:tplc="01EE85EE">
      <w:start w:val="1"/>
      <w:numFmt w:val="lowerLetter"/>
      <w:lvlText w:val="%2."/>
      <w:lvlJc w:val="left"/>
      <w:pPr>
        <w:ind w:left="1440" w:hanging="360"/>
      </w:pPr>
    </w:lvl>
    <w:lvl w:ilvl="2" w:tplc="6824A592">
      <w:start w:val="1"/>
      <w:numFmt w:val="lowerRoman"/>
      <w:lvlText w:val="%3."/>
      <w:lvlJc w:val="right"/>
      <w:pPr>
        <w:ind w:left="2160" w:hanging="180"/>
      </w:pPr>
    </w:lvl>
    <w:lvl w:ilvl="3" w:tplc="4A2E2C4E">
      <w:start w:val="1"/>
      <w:numFmt w:val="decimal"/>
      <w:lvlText w:val="%4."/>
      <w:lvlJc w:val="left"/>
      <w:pPr>
        <w:ind w:left="2880" w:hanging="360"/>
      </w:pPr>
    </w:lvl>
    <w:lvl w:ilvl="4" w:tplc="FBD49A96">
      <w:start w:val="1"/>
      <w:numFmt w:val="lowerLetter"/>
      <w:lvlText w:val="%5."/>
      <w:lvlJc w:val="left"/>
      <w:pPr>
        <w:ind w:left="3600" w:hanging="360"/>
      </w:pPr>
    </w:lvl>
    <w:lvl w:ilvl="5" w:tplc="ED3C9A08">
      <w:start w:val="1"/>
      <w:numFmt w:val="lowerRoman"/>
      <w:lvlText w:val="%6."/>
      <w:lvlJc w:val="right"/>
      <w:pPr>
        <w:ind w:left="4320" w:hanging="180"/>
      </w:pPr>
    </w:lvl>
    <w:lvl w:ilvl="6" w:tplc="921E1EA8">
      <w:start w:val="1"/>
      <w:numFmt w:val="decimal"/>
      <w:lvlText w:val="%7."/>
      <w:lvlJc w:val="left"/>
      <w:pPr>
        <w:ind w:left="5040" w:hanging="360"/>
      </w:pPr>
    </w:lvl>
    <w:lvl w:ilvl="7" w:tplc="85BC1634">
      <w:start w:val="1"/>
      <w:numFmt w:val="lowerLetter"/>
      <w:lvlText w:val="%8."/>
      <w:lvlJc w:val="left"/>
      <w:pPr>
        <w:ind w:left="5760" w:hanging="360"/>
      </w:pPr>
    </w:lvl>
    <w:lvl w:ilvl="8" w:tplc="063EE166">
      <w:start w:val="1"/>
      <w:numFmt w:val="lowerRoman"/>
      <w:lvlText w:val="%9."/>
      <w:lvlJc w:val="right"/>
      <w:pPr>
        <w:ind w:left="6480" w:hanging="180"/>
      </w:pPr>
    </w:lvl>
  </w:abstractNum>
  <w:abstractNum w:abstractNumId="16" w15:restartNumberingAfterBreak="0">
    <w:nsid w:val="260369C7"/>
    <w:multiLevelType w:val="hybridMultilevel"/>
    <w:tmpl w:val="E6DE55E4"/>
    <w:lvl w:ilvl="0" w:tplc="8214B7A6">
      <w:start w:val="1"/>
      <w:numFmt w:val="decimal"/>
      <w:lvlText w:val="%1."/>
      <w:lvlJc w:val="left"/>
      <w:pPr>
        <w:ind w:left="720" w:hanging="360"/>
      </w:pPr>
      <w:rPr>
        <w:b w:val="0"/>
        <w:bCs/>
      </w:rPr>
    </w:lvl>
    <w:lvl w:ilvl="1" w:tplc="040C0019">
      <w:start w:val="1"/>
      <w:numFmt w:val="lowerLetter"/>
      <w:lvlText w:val="%2."/>
      <w:lvlJc w:val="left"/>
      <w:pPr>
        <w:ind w:left="1440" w:hanging="360"/>
      </w:pPr>
    </w:lvl>
    <w:lvl w:ilvl="2" w:tplc="2B68BA7C">
      <w:numFmt w:val="bullet"/>
      <w:lvlText w:val="•"/>
      <w:lvlJc w:val="left"/>
      <w:pPr>
        <w:ind w:left="2340" w:hanging="360"/>
      </w:pPr>
      <w:rPr>
        <w:rFonts w:ascii="Arial" w:eastAsiaTheme="minorHAnsi" w:hAnsi="Arial" w:cs="Arial" w:hint="default"/>
      </w:r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7" w15:restartNumberingAfterBreak="0">
    <w:nsid w:val="28DF1C0E"/>
    <w:multiLevelType w:val="hybridMultilevel"/>
    <w:tmpl w:val="2EBA0FEE"/>
    <w:lvl w:ilvl="0" w:tplc="DD14CB08">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A0B14A2"/>
    <w:multiLevelType w:val="hybridMultilevel"/>
    <w:tmpl w:val="613243CA"/>
    <w:lvl w:ilvl="0" w:tplc="040C000F">
      <w:start w:val="1"/>
      <w:numFmt w:val="decimal"/>
      <w:lvlText w:val="%1."/>
      <w:lvlJc w:val="left"/>
      <w:pPr>
        <w:ind w:left="720" w:hanging="360"/>
      </w:pPr>
      <w:rPr>
        <w:rFonts w:hint="default"/>
        <w:color w:val="000000"/>
      </w:rPr>
    </w:lvl>
    <w:lvl w:ilvl="1" w:tplc="107229BE" w:tentative="1">
      <w:start w:val="1"/>
      <w:numFmt w:val="bullet"/>
      <w:lvlText w:val="o"/>
      <w:lvlJc w:val="left"/>
      <w:pPr>
        <w:ind w:left="1800" w:hanging="360"/>
      </w:pPr>
      <w:rPr>
        <w:rFonts w:ascii="Courier New" w:hAnsi="Courier New" w:cs="Courier New" w:hint="default"/>
      </w:rPr>
    </w:lvl>
    <w:lvl w:ilvl="2" w:tplc="EA846A12" w:tentative="1">
      <w:start w:val="1"/>
      <w:numFmt w:val="bullet"/>
      <w:lvlText w:val=""/>
      <w:lvlJc w:val="left"/>
      <w:pPr>
        <w:ind w:left="2520" w:hanging="360"/>
      </w:pPr>
      <w:rPr>
        <w:rFonts w:ascii="Wingdings" w:hAnsi="Wingdings" w:hint="default"/>
      </w:rPr>
    </w:lvl>
    <w:lvl w:ilvl="3" w:tplc="94949448" w:tentative="1">
      <w:start w:val="1"/>
      <w:numFmt w:val="bullet"/>
      <w:lvlText w:val=""/>
      <w:lvlJc w:val="left"/>
      <w:pPr>
        <w:ind w:left="3240" w:hanging="360"/>
      </w:pPr>
      <w:rPr>
        <w:rFonts w:ascii="Symbol" w:hAnsi="Symbol" w:hint="default"/>
      </w:rPr>
    </w:lvl>
    <w:lvl w:ilvl="4" w:tplc="135C258A" w:tentative="1">
      <w:start w:val="1"/>
      <w:numFmt w:val="bullet"/>
      <w:lvlText w:val="o"/>
      <w:lvlJc w:val="left"/>
      <w:pPr>
        <w:ind w:left="3960" w:hanging="360"/>
      </w:pPr>
      <w:rPr>
        <w:rFonts w:ascii="Courier New" w:hAnsi="Courier New" w:cs="Courier New" w:hint="default"/>
      </w:rPr>
    </w:lvl>
    <w:lvl w:ilvl="5" w:tplc="67DA814A" w:tentative="1">
      <w:start w:val="1"/>
      <w:numFmt w:val="bullet"/>
      <w:lvlText w:val=""/>
      <w:lvlJc w:val="left"/>
      <w:pPr>
        <w:ind w:left="4680" w:hanging="360"/>
      </w:pPr>
      <w:rPr>
        <w:rFonts w:ascii="Wingdings" w:hAnsi="Wingdings" w:hint="default"/>
      </w:rPr>
    </w:lvl>
    <w:lvl w:ilvl="6" w:tplc="6D06F2EA" w:tentative="1">
      <w:start w:val="1"/>
      <w:numFmt w:val="bullet"/>
      <w:lvlText w:val=""/>
      <w:lvlJc w:val="left"/>
      <w:pPr>
        <w:ind w:left="5400" w:hanging="360"/>
      </w:pPr>
      <w:rPr>
        <w:rFonts w:ascii="Symbol" w:hAnsi="Symbol" w:hint="default"/>
      </w:rPr>
    </w:lvl>
    <w:lvl w:ilvl="7" w:tplc="B4548986" w:tentative="1">
      <w:start w:val="1"/>
      <w:numFmt w:val="bullet"/>
      <w:lvlText w:val="o"/>
      <w:lvlJc w:val="left"/>
      <w:pPr>
        <w:ind w:left="6120" w:hanging="360"/>
      </w:pPr>
      <w:rPr>
        <w:rFonts w:ascii="Courier New" w:hAnsi="Courier New" w:cs="Courier New" w:hint="default"/>
      </w:rPr>
    </w:lvl>
    <w:lvl w:ilvl="8" w:tplc="4CD4DD24" w:tentative="1">
      <w:start w:val="1"/>
      <w:numFmt w:val="bullet"/>
      <w:lvlText w:val=""/>
      <w:lvlJc w:val="left"/>
      <w:pPr>
        <w:ind w:left="6840" w:hanging="360"/>
      </w:pPr>
      <w:rPr>
        <w:rFonts w:ascii="Wingdings" w:hAnsi="Wingdings" w:hint="default"/>
      </w:rPr>
    </w:lvl>
  </w:abstractNum>
  <w:abstractNum w:abstractNumId="19" w15:restartNumberingAfterBreak="0">
    <w:nsid w:val="2B6443A0"/>
    <w:multiLevelType w:val="multilevel"/>
    <w:tmpl w:val="7FC65B32"/>
    <w:lvl w:ilvl="0">
      <w:start w:val="1"/>
      <w:numFmt w:val="decimal"/>
      <w:lvlText w:val="%1"/>
      <w:lvlJc w:val="left"/>
      <w:pPr>
        <w:ind w:left="0" w:firstLine="0"/>
      </w:pPr>
      <w:rPr>
        <w:rFonts w:ascii="Arial" w:eastAsia="Arial" w:hAnsi="Arial" w:cs="Arial"/>
        <w:color w:val="000000"/>
        <w:sz w:val="22"/>
        <w:szCs w:val="22"/>
      </w:rPr>
    </w:lvl>
    <w:lvl w:ilvl="1">
      <w:start w:val="1"/>
      <w:numFmt w:val="decimal"/>
      <w:lvlText w:val="%2."/>
      <w:lvlJc w:val="left"/>
      <w:pPr>
        <w:ind w:left="576" w:hanging="576"/>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0" w15:restartNumberingAfterBreak="0">
    <w:nsid w:val="344E47B5"/>
    <w:multiLevelType w:val="hybridMultilevel"/>
    <w:tmpl w:val="68FE4832"/>
    <w:lvl w:ilvl="0" w:tplc="1BC24516">
      <w:start w:val="1"/>
      <w:numFmt w:val="upperRoman"/>
      <w:pStyle w:val="Heading4"/>
      <w:lvlText w:val="%1."/>
      <w:lvlJc w:val="righ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35CA5522"/>
    <w:multiLevelType w:val="multilevel"/>
    <w:tmpl w:val="4A10BD5C"/>
    <w:lvl w:ilvl="0">
      <w:start w:val="1"/>
      <w:numFmt w:val="decimal"/>
      <w:lvlText w:val="%1"/>
      <w:lvlJc w:val="left"/>
      <w:pPr>
        <w:ind w:left="142" w:firstLine="0"/>
      </w:pPr>
      <w:rPr>
        <w:rFonts w:ascii="Arial" w:eastAsia="Arial" w:hAnsi="Arial" w:cs="Arial"/>
        <w:color w:val="000000"/>
        <w:sz w:val="22"/>
        <w:szCs w:val="22"/>
      </w:rPr>
    </w:lvl>
    <w:lvl w:ilvl="1">
      <w:start w:val="1"/>
      <w:numFmt w:val="decimal"/>
      <w:lvlText w:val="%2."/>
      <w:lvlJc w:val="left"/>
      <w:pPr>
        <w:ind w:left="576" w:hanging="576"/>
      </w:pPr>
      <w:rPr>
        <w:rFonts w:ascii="Arial" w:hAnsi="Arial" w:cs="Arial" w:hint="default"/>
        <w:sz w:val="22"/>
        <w:szCs w:val="22"/>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2" w15:restartNumberingAfterBreak="0">
    <w:nsid w:val="35F07BFE"/>
    <w:multiLevelType w:val="hybridMultilevel"/>
    <w:tmpl w:val="1A1C2972"/>
    <w:lvl w:ilvl="0" w:tplc="6FB8652A">
      <w:start w:val="1"/>
      <w:numFmt w:val="decimal"/>
      <w:pStyle w:val="COMParabodytext"/>
      <w:lvlText w:val="%1."/>
      <w:lvlJc w:val="left"/>
      <w:pPr>
        <w:ind w:left="915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36523271"/>
    <w:multiLevelType w:val="hybridMultilevel"/>
    <w:tmpl w:val="706A0242"/>
    <w:lvl w:ilvl="0" w:tplc="02DC2EF4">
      <w:start w:val="1"/>
      <w:numFmt w:val="decimal"/>
      <w:lvlText w:val="%1."/>
      <w:lvlJc w:val="left"/>
      <w:pPr>
        <w:ind w:left="1065" w:hanging="705"/>
      </w:pPr>
    </w:lvl>
    <w:lvl w:ilvl="1" w:tplc="B0C4F8D6">
      <w:start w:val="1"/>
      <w:numFmt w:val="lowerLetter"/>
      <w:lvlText w:val="%2."/>
      <w:lvlJc w:val="left"/>
      <w:pPr>
        <w:ind w:left="1440" w:hanging="360"/>
      </w:pPr>
    </w:lvl>
    <w:lvl w:ilvl="2" w:tplc="B886724C">
      <w:start w:val="1"/>
      <w:numFmt w:val="lowerRoman"/>
      <w:lvlText w:val="%3."/>
      <w:lvlJc w:val="right"/>
      <w:pPr>
        <w:ind w:left="2160" w:hanging="180"/>
      </w:pPr>
    </w:lvl>
    <w:lvl w:ilvl="3" w:tplc="4AC4B74A">
      <w:start w:val="1"/>
      <w:numFmt w:val="decimal"/>
      <w:lvlText w:val="%4."/>
      <w:lvlJc w:val="left"/>
      <w:pPr>
        <w:ind w:left="2880" w:hanging="360"/>
      </w:pPr>
    </w:lvl>
    <w:lvl w:ilvl="4" w:tplc="0ACE006E">
      <w:start w:val="1"/>
      <w:numFmt w:val="lowerLetter"/>
      <w:lvlText w:val="%5."/>
      <w:lvlJc w:val="left"/>
      <w:pPr>
        <w:ind w:left="3600" w:hanging="360"/>
      </w:pPr>
    </w:lvl>
    <w:lvl w:ilvl="5" w:tplc="F6D84912">
      <w:start w:val="1"/>
      <w:numFmt w:val="lowerRoman"/>
      <w:lvlText w:val="%6."/>
      <w:lvlJc w:val="right"/>
      <w:pPr>
        <w:ind w:left="4320" w:hanging="180"/>
      </w:pPr>
    </w:lvl>
    <w:lvl w:ilvl="6" w:tplc="C442D460">
      <w:start w:val="1"/>
      <w:numFmt w:val="decimal"/>
      <w:lvlText w:val="%7."/>
      <w:lvlJc w:val="left"/>
      <w:pPr>
        <w:ind w:left="5040" w:hanging="360"/>
      </w:pPr>
    </w:lvl>
    <w:lvl w:ilvl="7" w:tplc="FB7660E6">
      <w:start w:val="1"/>
      <w:numFmt w:val="lowerLetter"/>
      <w:lvlText w:val="%8."/>
      <w:lvlJc w:val="left"/>
      <w:pPr>
        <w:ind w:left="5760" w:hanging="360"/>
      </w:pPr>
    </w:lvl>
    <w:lvl w:ilvl="8" w:tplc="E950624C">
      <w:start w:val="1"/>
      <w:numFmt w:val="lowerRoman"/>
      <w:lvlText w:val="%9."/>
      <w:lvlJc w:val="right"/>
      <w:pPr>
        <w:ind w:left="6480" w:hanging="180"/>
      </w:pPr>
    </w:lvl>
  </w:abstractNum>
  <w:abstractNum w:abstractNumId="24" w15:restartNumberingAfterBreak="0">
    <w:nsid w:val="39774C09"/>
    <w:multiLevelType w:val="multilevel"/>
    <w:tmpl w:val="7FC65B32"/>
    <w:lvl w:ilvl="0">
      <w:start w:val="1"/>
      <w:numFmt w:val="decimal"/>
      <w:lvlText w:val="%1"/>
      <w:lvlJc w:val="left"/>
      <w:pPr>
        <w:ind w:left="0" w:firstLine="0"/>
      </w:pPr>
      <w:rPr>
        <w:rFonts w:ascii="Arial" w:eastAsia="Arial" w:hAnsi="Arial" w:cs="Arial"/>
        <w:color w:val="000000"/>
        <w:sz w:val="22"/>
        <w:szCs w:val="22"/>
      </w:rPr>
    </w:lvl>
    <w:lvl w:ilvl="1">
      <w:start w:val="1"/>
      <w:numFmt w:val="decimal"/>
      <w:lvlText w:val="%2."/>
      <w:lvlJc w:val="left"/>
      <w:pPr>
        <w:ind w:left="576" w:hanging="576"/>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5" w15:restartNumberingAfterBreak="0">
    <w:nsid w:val="397A4DB1"/>
    <w:multiLevelType w:val="hybridMultilevel"/>
    <w:tmpl w:val="2F6E0B82"/>
    <w:lvl w:ilvl="0" w:tplc="0409000F">
      <w:start w:val="1"/>
      <w:numFmt w:val="decimal"/>
      <w:lvlText w:val="%1."/>
      <w:lvlJc w:val="left"/>
      <w:pPr>
        <w:ind w:left="720" w:hanging="360"/>
      </w:pPr>
      <w:rPr>
        <w:rFonts w:ascii="Arial" w:hAnsi="Arial" w:cs="Aria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3C6C48CC"/>
    <w:multiLevelType w:val="multilevel"/>
    <w:tmpl w:val="7FC65B32"/>
    <w:lvl w:ilvl="0">
      <w:start w:val="1"/>
      <w:numFmt w:val="decimal"/>
      <w:lvlText w:val="%1"/>
      <w:lvlJc w:val="left"/>
      <w:pPr>
        <w:ind w:left="0" w:firstLine="0"/>
      </w:pPr>
      <w:rPr>
        <w:rFonts w:ascii="Arial" w:eastAsia="Arial" w:hAnsi="Arial" w:cs="Arial"/>
        <w:color w:val="000000"/>
        <w:sz w:val="22"/>
        <w:szCs w:val="22"/>
      </w:rPr>
    </w:lvl>
    <w:lvl w:ilvl="1">
      <w:start w:val="1"/>
      <w:numFmt w:val="decimal"/>
      <w:lvlText w:val="%2."/>
      <w:lvlJc w:val="left"/>
      <w:pPr>
        <w:ind w:left="576" w:hanging="576"/>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7" w15:restartNumberingAfterBreak="0">
    <w:nsid w:val="3E3B16A7"/>
    <w:multiLevelType w:val="multilevel"/>
    <w:tmpl w:val="BEE007D0"/>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ascii="Arial" w:eastAsia="SimSun" w:hAnsi="Arial" w:cs="Arial"/>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40CE7015"/>
    <w:multiLevelType w:val="hybridMultilevel"/>
    <w:tmpl w:val="6BD8D1FA"/>
    <w:lvl w:ilvl="0" w:tplc="06DC77A0">
      <w:start w:val="1"/>
      <w:numFmt w:val="decimal"/>
      <w:pStyle w:val="Para"/>
      <w:lvlText w:val="%1."/>
      <w:lvlJc w:val="left"/>
      <w:pPr>
        <w:ind w:left="502" w:hanging="360"/>
      </w:pPr>
      <w:rPr>
        <w:b w:val="0"/>
        <w:color w:val="auto"/>
        <w:sz w:val="22"/>
        <w:szCs w:val="22"/>
        <w:lang w:val="fr-FR"/>
      </w:rPr>
    </w:lvl>
    <w:lvl w:ilvl="1" w:tplc="04090019">
      <w:start w:val="1"/>
      <w:numFmt w:val="lowerLetter"/>
      <w:lvlText w:val="%2."/>
      <w:lvlJc w:val="left"/>
      <w:pPr>
        <w:ind w:left="1222" w:hanging="360"/>
      </w:pPr>
    </w:lvl>
    <w:lvl w:ilvl="2" w:tplc="0409001B">
      <w:start w:val="1"/>
      <w:numFmt w:val="lowerRoman"/>
      <w:lvlText w:val="%3."/>
      <w:lvlJc w:val="right"/>
      <w:pPr>
        <w:ind w:left="1942" w:hanging="180"/>
      </w:pPr>
    </w:lvl>
    <w:lvl w:ilvl="3" w:tplc="0409000F">
      <w:start w:val="1"/>
      <w:numFmt w:val="decimal"/>
      <w:lvlText w:val="%4."/>
      <w:lvlJc w:val="left"/>
      <w:pPr>
        <w:ind w:left="2662" w:hanging="360"/>
      </w:pPr>
    </w:lvl>
    <w:lvl w:ilvl="4" w:tplc="04090019">
      <w:start w:val="1"/>
      <w:numFmt w:val="lowerLetter"/>
      <w:lvlText w:val="%5."/>
      <w:lvlJc w:val="left"/>
      <w:pPr>
        <w:ind w:left="3382" w:hanging="360"/>
      </w:pPr>
    </w:lvl>
    <w:lvl w:ilvl="5" w:tplc="0409001B">
      <w:start w:val="1"/>
      <w:numFmt w:val="lowerRoman"/>
      <w:lvlText w:val="%6."/>
      <w:lvlJc w:val="right"/>
      <w:pPr>
        <w:ind w:left="4102" w:hanging="180"/>
      </w:pPr>
    </w:lvl>
    <w:lvl w:ilvl="6" w:tplc="0409000F">
      <w:start w:val="1"/>
      <w:numFmt w:val="decimal"/>
      <w:lvlText w:val="%7."/>
      <w:lvlJc w:val="left"/>
      <w:pPr>
        <w:ind w:left="4822" w:hanging="360"/>
      </w:pPr>
    </w:lvl>
    <w:lvl w:ilvl="7" w:tplc="04090019">
      <w:start w:val="1"/>
      <w:numFmt w:val="lowerLetter"/>
      <w:lvlText w:val="%8."/>
      <w:lvlJc w:val="left"/>
      <w:pPr>
        <w:ind w:left="5542" w:hanging="360"/>
      </w:pPr>
    </w:lvl>
    <w:lvl w:ilvl="8" w:tplc="0409001B">
      <w:start w:val="1"/>
      <w:numFmt w:val="lowerRoman"/>
      <w:lvlText w:val="%9."/>
      <w:lvlJc w:val="right"/>
      <w:pPr>
        <w:ind w:left="6262" w:hanging="180"/>
      </w:pPr>
    </w:lvl>
  </w:abstractNum>
  <w:abstractNum w:abstractNumId="29" w15:restartNumberingAfterBreak="0">
    <w:nsid w:val="42630362"/>
    <w:multiLevelType w:val="multilevel"/>
    <w:tmpl w:val="7FC65B32"/>
    <w:lvl w:ilvl="0">
      <w:start w:val="1"/>
      <w:numFmt w:val="decimal"/>
      <w:lvlText w:val="%1"/>
      <w:lvlJc w:val="left"/>
      <w:pPr>
        <w:ind w:left="142" w:firstLine="0"/>
      </w:pPr>
      <w:rPr>
        <w:rFonts w:ascii="Arial" w:eastAsia="Arial" w:hAnsi="Arial" w:cs="Arial"/>
        <w:color w:val="000000"/>
        <w:sz w:val="22"/>
        <w:szCs w:val="22"/>
      </w:rPr>
    </w:lvl>
    <w:lvl w:ilvl="1">
      <w:start w:val="1"/>
      <w:numFmt w:val="decimal"/>
      <w:lvlText w:val="%2."/>
      <w:lvlJc w:val="left"/>
      <w:pPr>
        <w:ind w:left="576" w:hanging="576"/>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0" w15:restartNumberingAfterBreak="0">
    <w:nsid w:val="464D3432"/>
    <w:multiLevelType w:val="multilevel"/>
    <w:tmpl w:val="0B3C3AE6"/>
    <w:lvl w:ilvl="0">
      <w:start w:val="1"/>
      <w:numFmt w:val="decimal"/>
      <w:lvlText w:val="%1"/>
      <w:lvlJc w:val="left"/>
      <w:pPr>
        <w:ind w:left="142" w:firstLine="0"/>
      </w:pPr>
      <w:rPr>
        <w:rFonts w:ascii="Arial" w:eastAsia="Arial" w:hAnsi="Arial" w:cs="Arial"/>
        <w:color w:val="000000"/>
        <w:sz w:val="22"/>
        <w:szCs w:val="22"/>
      </w:rPr>
    </w:lvl>
    <w:lvl w:ilvl="1">
      <w:start w:val="1"/>
      <w:numFmt w:val="decimal"/>
      <w:lvlText w:val="%2."/>
      <w:lvlJc w:val="left"/>
      <w:pPr>
        <w:ind w:left="576" w:hanging="576"/>
      </w:pPr>
      <w:rPr>
        <w:rFonts w:ascii="Arial" w:hAnsi="Arial" w:cs="Arial" w:hint="default"/>
        <w:sz w:val="22"/>
        <w:szCs w:val="22"/>
      </w:r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1" w15:restartNumberingAfterBreak="0">
    <w:nsid w:val="47F413D3"/>
    <w:multiLevelType w:val="hybridMultilevel"/>
    <w:tmpl w:val="F1A8736A"/>
    <w:lvl w:ilvl="0" w:tplc="0B7E61A0">
      <w:start w:val="1"/>
      <w:numFmt w:val="decimal"/>
      <w:lvlText w:val="%1."/>
      <w:lvlJc w:val="left"/>
      <w:pPr>
        <w:ind w:left="149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8AC241D"/>
    <w:multiLevelType w:val="multilevel"/>
    <w:tmpl w:val="7FC65B32"/>
    <w:lvl w:ilvl="0">
      <w:start w:val="1"/>
      <w:numFmt w:val="decimal"/>
      <w:lvlText w:val="%1"/>
      <w:lvlJc w:val="left"/>
      <w:pPr>
        <w:ind w:left="142" w:firstLine="0"/>
      </w:pPr>
      <w:rPr>
        <w:rFonts w:ascii="Arial" w:eastAsia="Arial" w:hAnsi="Arial" w:cs="Arial"/>
        <w:color w:val="000000"/>
        <w:sz w:val="22"/>
        <w:szCs w:val="22"/>
      </w:rPr>
    </w:lvl>
    <w:lvl w:ilvl="1">
      <w:start w:val="1"/>
      <w:numFmt w:val="decimal"/>
      <w:lvlText w:val="%2."/>
      <w:lvlJc w:val="left"/>
      <w:pPr>
        <w:ind w:left="576" w:hanging="576"/>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3" w15:restartNumberingAfterBreak="0">
    <w:nsid w:val="499779EE"/>
    <w:multiLevelType w:val="multilevel"/>
    <w:tmpl w:val="2DAC9618"/>
    <w:lvl w:ilvl="0">
      <w:start w:val="26"/>
      <w:numFmt w:val="none"/>
      <w:suff w:val="nothing"/>
      <w:lvlText w:val="%1"/>
      <w:lvlJc w:val="left"/>
      <w:pPr>
        <w:ind w:left="0" w:firstLine="0"/>
      </w:pPr>
      <w:rPr>
        <w:rFonts w:ascii="Arial" w:hAnsi="Arial" w:hint="default"/>
        <w:color w:val="auto"/>
        <w:sz w:val="22"/>
      </w:rPr>
    </w:lvl>
    <w:lvl w:ilvl="1">
      <w:start w:val="6"/>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4" w15:restartNumberingAfterBreak="0">
    <w:nsid w:val="4CAB7CDD"/>
    <w:multiLevelType w:val="multilevel"/>
    <w:tmpl w:val="BEE007D0"/>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ascii="Arial" w:eastAsia="SimSun" w:hAnsi="Arial" w:cs="Arial"/>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4D160152"/>
    <w:multiLevelType w:val="multilevel"/>
    <w:tmpl w:val="827AF1BA"/>
    <w:lvl w:ilvl="0">
      <w:start w:val="2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b w:val="0"/>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6" w15:restartNumberingAfterBreak="0">
    <w:nsid w:val="4E7117AC"/>
    <w:multiLevelType w:val="multilevel"/>
    <w:tmpl w:val="DCE0094E"/>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7" w15:restartNumberingAfterBreak="0">
    <w:nsid w:val="50214F78"/>
    <w:multiLevelType w:val="multilevel"/>
    <w:tmpl w:val="A7501688"/>
    <w:lvl w:ilvl="0">
      <w:start w:val="20"/>
      <w:numFmt w:val="none"/>
      <w:suff w:val="nothing"/>
      <w:lvlText w:val="%1"/>
      <w:lvlJc w:val="left"/>
      <w:pPr>
        <w:ind w:left="0" w:firstLine="0"/>
      </w:pPr>
      <w:rPr>
        <w:rFonts w:ascii="Arial" w:hAnsi="Arial" w:hint="default"/>
        <w:color w:val="auto"/>
        <w:sz w:val="22"/>
      </w:rPr>
    </w:lvl>
    <w:lvl w:ilvl="1">
      <w:start w:val="6"/>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8" w15:restartNumberingAfterBreak="0">
    <w:nsid w:val="53F53186"/>
    <w:multiLevelType w:val="multilevel"/>
    <w:tmpl w:val="CC847B68"/>
    <w:lvl w:ilvl="0">
      <w:start w:val="4"/>
      <w:numFmt w:val="none"/>
      <w:suff w:val="nothing"/>
      <w:lvlText w:val="%1"/>
      <w:lvlJc w:val="left"/>
      <w:pPr>
        <w:ind w:left="0" w:firstLine="0"/>
      </w:pPr>
      <w:rPr>
        <w:rFonts w:ascii="Arial" w:hAnsi="Arial" w:hint="default"/>
        <w:color w:val="auto"/>
        <w:sz w:val="22"/>
      </w:rPr>
    </w:lvl>
    <w:lvl w:ilvl="1">
      <w:start w:val="6"/>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9" w15:restartNumberingAfterBreak="0">
    <w:nsid w:val="584E5E8C"/>
    <w:multiLevelType w:val="hybridMultilevel"/>
    <w:tmpl w:val="F4BA16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A5E22B5"/>
    <w:multiLevelType w:val="hybridMultilevel"/>
    <w:tmpl w:val="2F6E0B82"/>
    <w:lvl w:ilvl="0" w:tplc="0409000F">
      <w:start w:val="1"/>
      <w:numFmt w:val="decimal"/>
      <w:lvlText w:val="%1."/>
      <w:lvlJc w:val="left"/>
      <w:pPr>
        <w:ind w:left="720" w:hanging="360"/>
      </w:pPr>
      <w:rPr>
        <w:rFonts w:ascii="Arial" w:hAnsi="Arial" w:cs="Aria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5A606986"/>
    <w:multiLevelType w:val="hybridMultilevel"/>
    <w:tmpl w:val="7D2681D6"/>
    <w:lvl w:ilvl="0" w:tplc="040C0001">
      <w:start w:val="1"/>
      <w:numFmt w:val="bullet"/>
      <w:lvlText w:val=""/>
      <w:lvlJc w:val="left"/>
      <w:pPr>
        <w:ind w:left="1287" w:hanging="360"/>
      </w:pPr>
      <w:rPr>
        <w:rFonts w:ascii="Symbol" w:hAnsi="Symbol" w:hint="default"/>
      </w:rPr>
    </w:lvl>
    <w:lvl w:ilvl="1" w:tplc="040C0003">
      <w:start w:val="1"/>
      <w:numFmt w:val="bullet"/>
      <w:lvlText w:val="o"/>
      <w:lvlJc w:val="left"/>
      <w:pPr>
        <w:ind w:left="2007" w:hanging="360"/>
      </w:pPr>
      <w:rPr>
        <w:rFonts w:ascii="Courier New" w:hAnsi="Courier New" w:cs="Courier New" w:hint="default"/>
      </w:rPr>
    </w:lvl>
    <w:lvl w:ilvl="2" w:tplc="040C0005">
      <w:start w:val="1"/>
      <w:numFmt w:val="bullet"/>
      <w:lvlText w:val=""/>
      <w:lvlJc w:val="left"/>
      <w:pPr>
        <w:ind w:left="2727" w:hanging="360"/>
      </w:pPr>
      <w:rPr>
        <w:rFonts w:ascii="Wingdings" w:hAnsi="Wingdings" w:hint="default"/>
      </w:rPr>
    </w:lvl>
    <w:lvl w:ilvl="3" w:tplc="040C0001">
      <w:start w:val="1"/>
      <w:numFmt w:val="bullet"/>
      <w:lvlText w:val=""/>
      <w:lvlJc w:val="left"/>
      <w:pPr>
        <w:ind w:left="3447" w:hanging="360"/>
      </w:pPr>
      <w:rPr>
        <w:rFonts w:ascii="Symbol" w:hAnsi="Symbol" w:hint="default"/>
      </w:rPr>
    </w:lvl>
    <w:lvl w:ilvl="4" w:tplc="040C0003">
      <w:start w:val="1"/>
      <w:numFmt w:val="bullet"/>
      <w:lvlText w:val="o"/>
      <w:lvlJc w:val="left"/>
      <w:pPr>
        <w:ind w:left="4167" w:hanging="360"/>
      </w:pPr>
      <w:rPr>
        <w:rFonts w:ascii="Courier New" w:hAnsi="Courier New" w:cs="Courier New" w:hint="default"/>
      </w:rPr>
    </w:lvl>
    <w:lvl w:ilvl="5" w:tplc="040C0005">
      <w:start w:val="1"/>
      <w:numFmt w:val="bullet"/>
      <w:lvlText w:val=""/>
      <w:lvlJc w:val="left"/>
      <w:pPr>
        <w:ind w:left="4887" w:hanging="360"/>
      </w:pPr>
      <w:rPr>
        <w:rFonts w:ascii="Wingdings" w:hAnsi="Wingdings" w:hint="default"/>
      </w:rPr>
    </w:lvl>
    <w:lvl w:ilvl="6" w:tplc="040C0001">
      <w:start w:val="1"/>
      <w:numFmt w:val="bullet"/>
      <w:lvlText w:val=""/>
      <w:lvlJc w:val="left"/>
      <w:pPr>
        <w:ind w:left="5607" w:hanging="360"/>
      </w:pPr>
      <w:rPr>
        <w:rFonts w:ascii="Symbol" w:hAnsi="Symbol" w:hint="default"/>
      </w:rPr>
    </w:lvl>
    <w:lvl w:ilvl="7" w:tplc="040C0003">
      <w:start w:val="1"/>
      <w:numFmt w:val="bullet"/>
      <w:lvlText w:val="o"/>
      <w:lvlJc w:val="left"/>
      <w:pPr>
        <w:ind w:left="6327" w:hanging="360"/>
      </w:pPr>
      <w:rPr>
        <w:rFonts w:ascii="Courier New" w:hAnsi="Courier New" w:cs="Courier New" w:hint="default"/>
      </w:rPr>
    </w:lvl>
    <w:lvl w:ilvl="8" w:tplc="040C0005">
      <w:start w:val="1"/>
      <w:numFmt w:val="bullet"/>
      <w:lvlText w:val=""/>
      <w:lvlJc w:val="left"/>
      <w:pPr>
        <w:ind w:left="7047" w:hanging="360"/>
      </w:pPr>
      <w:rPr>
        <w:rFonts w:ascii="Wingdings" w:hAnsi="Wingdings" w:hint="default"/>
      </w:rPr>
    </w:lvl>
  </w:abstractNum>
  <w:abstractNum w:abstractNumId="42" w15:restartNumberingAfterBreak="0">
    <w:nsid w:val="5ACB6F87"/>
    <w:multiLevelType w:val="multilevel"/>
    <w:tmpl w:val="E70EBFFC"/>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3" w15:restartNumberingAfterBreak="0">
    <w:nsid w:val="5B0357F1"/>
    <w:multiLevelType w:val="hybridMultilevel"/>
    <w:tmpl w:val="219E0D6C"/>
    <w:lvl w:ilvl="0" w:tplc="2BC8DF74">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44" w15:restartNumberingAfterBreak="0">
    <w:nsid w:val="5F057F6E"/>
    <w:multiLevelType w:val="multilevel"/>
    <w:tmpl w:val="69205FD4"/>
    <w:lvl w:ilvl="0">
      <w:start w:val="27"/>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5" w15:restartNumberingAfterBreak="0">
    <w:nsid w:val="627D1B3E"/>
    <w:multiLevelType w:val="hybridMultilevel"/>
    <w:tmpl w:val="A6FA641E"/>
    <w:lvl w:ilvl="0" w:tplc="040C0001">
      <w:start w:val="1"/>
      <w:numFmt w:val="bullet"/>
      <w:lvlText w:val=""/>
      <w:lvlJc w:val="left"/>
      <w:pPr>
        <w:ind w:left="144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46" w15:restartNumberingAfterBreak="0">
    <w:nsid w:val="65984F42"/>
    <w:multiLevelType w:val="multilevel"/>
    <w:tmpl w:val="E70EBFFC"/>
    <w:styleLink w:val="Headingsubdecision"/>
    <w:lvl w:ilvl="0">
      <w:start w:val="1"/>
      <w:numFmt w:val="none"/>
      <w:suff w:val="nothing"/>
      <w:lvlText w:val="%1"/>
      <w:lvlJc w:val="left"/>
      <w:pPr>
        <w:ind w:left="0" w:firstLine="0"/>
      </w:pPr>
      <w:rPr>
        <w:rFonts w:ascii="Arial" w:hAnsi="Arial" w:hint="default"/>
        <w:color w:val="auto"/>
        <w:sz w:val="22"/>
      </w:rPr>
    </w:lvl>
    <w:lvl w:ilvl="1">
      <w:start w:val="1"/>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47" w15:restartNumberingAfterBreak="0">
    <w:nsid w:val="677F3A2D"/>
    <w:multiLevelType w:val="hybridMultilevel"/>
    <w:tmpl w:val="12A49D32"/>
    <w:lvl w:ilvl="0" w:tplc="040C000F">
      <w:start w:val="1"/>
      <w:numFmt w:val="decimal"/>
      <w:lvlText w:val="%1."/>
      <w:lvlJc w:val="left"/>
      <w:pPr>
        <w:ind w:left="1495" w:hanging="360"/>
      </w:p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abstractNum w:abstractNumId="48" w15:restartNumberingAfterBreak="0">
    <w:nsid w:val="68B7730B"/>
    <w:multiLevelType w:val="hybridMultilevel"/>
    <w:tmpl w:val="947837CA"/>
    <w:lvl w:ilvl="0" w:tplc="1C461EB4">
      <w:start w:val="1"/>
      <w:numFmt w:val="bullet"/>
      <w:lvlText w:val=""/>
      <w:lvlJc w:val="left"/>
      <w:pPr>
        <w:ind w:left="720" w:hanging="360"/>
      </w:pPr>
      <w:rPr>
        <w:rFonts w:ascii="Symbol" w:hAnsi="Symbol" w:hint="default"/>
      </w:rPr>
    </w:lvl>
    <w:lvl w:ilvl="1" w:tplc="469A16CA" w:tentative="1">
      <w:start w:val="1"/>
      <w:numFmt w:val="bullet"/>
      <w:lvlText w:val="o"/>
      <w:lvlJc w:val="left"/>
      <w:pPr>
        <w:ind w:left="1440" w:hanging="360"/>
      </w:pPr>
      <w:rPr>
        <w:rFonts w:ascii="Courier New" w:hAnsi="Courier New" w:cs="Courier New" w:hint="default"/>
      </w:rPr>
    </w:lvl>
    <w:lvl w:ilvl="2" w:tplc="8312D618" w:tentative="1">
      <w:start w:val="1"/>
      <w:numFmt w:val="bullet"/>
      <w:lvlText w:val=""/>
      <w:lvlJc w:val="left"/>
      <w:pPr>
        <w:ind w:left="2160" w:hanging="360"/>
      </w:pPr>
      <w:rPr>
        <w:rFonts w:ascii="Wingdings" w:hAnsi="Wingdings" w:hint="default"/>
      </w:rPr>
    </w:lvl>
    <w:lvl w:ilvl="3" w:tplc="CFB25872" w:tentative="1">
      <w:start w:val="1"/>
      <w:numFmt w:val="bullet"/>
      <w:lvlText w:val=""/>
      <w:lvlJc w:val="left"/>
      <w:pPr>
        <w:ind w:left="2880" w:hanging="360"/>
      </w:pPr>
      <w:rPr>
        <w:rFonts w:ascii="Symbol" w:hAnsi="Symbol" w:hint="default"/>
      </w:rPr>
    </w:lvl>
    <w:lvl w:ilvl="4" w:tplc="AA8E99D0" w:tentative="1">
      <w:start w:val="1"/>
      <w:numFmt w:val="bullet"/>
      <w:lvlText w:val="o"/>
      <w:lvlJc w:val="left"/>
      <w:pPr>
        <w:ind w:left="3600" w:hanging="360"/>
      </w:pPr>
      <w:rPr>
        <w:rFonts w:ascii="Courier New" w:hAnsi="Courier New" w:cs="Courier New" w:hint="default"/>
      </w:rPr>
    </w:lvl>
    <w:lvl w:ilvl="5" w:tplc="5B04403E" w:tentative="1">
      <w:start w:val="1"/>
      <w:numFmt w:val="bullet"/>
      <w:lvlText w:val=""/>
      <w:lvlJc w:val="left"/>
      <w:pPr>
        <w:ind w:left="4320" w:hanging="360"/>
      </w:pPr>
      <w:rPr>
        <w:rFonts w:ascii="Wingdings" w:hAnsi="Wingdings" w:hint="default"/>
      </w:rPr>
    </w:lvl>
    <w:lvl w:ilvl="6" w:tplc="F0FC9750" w:tentative="1">
      <w:start w:val="1"/>
      <w:numFmt w:val="bullet"/>
      <w:lvlText w:val=""/>
      <w:lvlJc w:val="left"/>
      <w:pPr>
        <w:ind w:left="5040" w:hanging="360"/>
      </w:pPr>
      <w:rPr>
        <w:rFonts w:ascii="Symbol" w:hAnsi="Symbol" w:hint="default"/>
      </w:rPr>
    </w:lvl>
    <w:lvl w:ilvl="7" w:tplc="3CF4A704" w:tentative="1">
      <w:start w:val="1"/>
      <w:numFmt w:val="bullet"/>
      <w:lvlText w:val="o"/>
      <w:lvlJc w:val="left"/>
      <w:pPr>
        <w:ind w:left="5760" w:hanging="360"/>
      </w:pPr>
      <w:rPr>
        <w:rFonts w:ascii="Courier New" w:hAnsi="Courier New" w:cs="Courier New" w:hint="default"/>
      </w:rPr>
    </w:lvl>
    <w:lvl w:ilvl="8" w:tplc="D45EB0E0" w:tentative="1">
      <w:start w:val="1"/>
      <w:numFmt w:val="bullet"/>
      <w:lvlText w:val=""/>
      <w:lvlJc w:val="left"/>
      <w:pPr>
        <w:ind w:left="6480" w:hanging="360"/>
      </w:pPr>
      <w:rPr>
        <w:rFonts w:ascii="Wingdings" w:hAnsi="Wingdings" w:hint="default"/>
      </w:rPr>
    </w:lvl>
  </w:abstractNum>
  <w:abstractNum w:abstractNumId="49" w15:restartNumberingAfterBreak="0">
    <w:nsid w:val="698E4258"/>
    <w:multiLevelType w:val="hybridMultilevel"/>
    <w:tmpl w:val="2F6E0B82"/>
    <w:lvl w:ilvl="0" w:tplc="0409000F">
      <w:start w:val="1"/>
      <w:numFmt w:val="decimal"/>
      <w:lvlText w:val="%1."/>
      <w:lvlJc w:val="left"/>
      <w:pPr>
        <w:ind w:left="720" w:hanging="360"/>
      </w:pPr>
      <w:rPr>
        <w:rFonts w:ascii="Arial" w:hAnsi="Arial" w:cs="Aria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0" w15:restartNumberingAfterBreak="0">
    <w:nsid w:val="69C90BC9"/>
    <w:multiLevelType w:val="hybridMultilevel"/>
    <w:tmpl w:val="201E6D0C"/>
    <w:lvl w:ilvl="0" w:tplc="FB941CCA">
      <w:start w:val="1"/>
      <w:numFmt w:val="decimal"/>
      <w:pStyle w:val="BODYTEXT"/>
      <w:lvlText w:val="%1."/>
      <w:lvlJc w:val="left"/>
      <w:pPr>
        <w:ind w:left="6757" w:hanging="94"/>
      </w:pPr>
      <w:rPr>
        <w:rFonts w:hint="default"/>
        <w:b w:val="0"/>
        <w:i w:val="0"/>
        <w:color w:val="auto"/>
        <w:sz w:val="22"/>
        <w:szCs w:val="22"/>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1" w15:restartNumberingAfterBreak="0">
    <w:nsid w:val="69E658A6"/>
    <w:multiLevelType w:val="hybridMultilevel"/>
    <w:tmpl w:val="3F8ADCB2"/>
    <w:lvl w:ilvl="0" w:tplc="5D9A5E12">
      <w:start w:val="1"/>
      <w:numFmt w:val="decimal"/>
      <w:lvlText w:val="%1."/>
      <w:lvlJc w:val="left"/>
      <w:pPr>
        <w:ind w:left="1144" w:hanging="435"/>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52" w15:restartNumberingAfterBreak="0">
    <w:nsid w:val="6D145917"/>
    <w:multiLevelType w:val="multilevel"/>
    <w:tmpl w:val="7FC65B32"/>
    <w:lvl w:ilvl="0">
      <w:start w:val="1"/>
      <w:numFmt w:val="decimal"/>
      <w:lvlText w:val="%1"/>
      <w:lvlJc w:val="left"/>
      <w:pPr>
        <w:ind w:left="0" w:firstLine="0"/>
      </w:pPr>
      <w:rPr>
        <w:rFonts w:ascii="Arial" w:eastAsia="Arial" w:hAnsi="Arial" w:cs="Arial"/>
        <w:color w:val="000000"/>
        <w:sz w:val="22"/>
        <w:szCs w:val="22"/>
      </w:rPr>
    </w:lvl>
    <w:lvl w:ilvl="1">
      <w:start w:val="1"/>
      <w:numFmt w:val="decimal"/>
      <w:lvlText w:val="%2."/>
      <w:lvlJc w:val="left"/>
      <w:pPr>
        <w:ind w:left="576" w:hanging="576"/>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53" w15:restartNumberingAfterBreak="0">
    <w:nsid w:val="6FD50361"/>
    <w:multiLevelType w:val="hybridMultilevel"/>
    <w:tmpl w:val="7DD6FC7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4" w15:restartNumberingAfterBreak="0">
    <w:nsid w:val="72E75C15"/>
    <w:multiLevelType w:val="multilevel"/>
    <w:tmpl w:val="BB02F4F4"/>
    <w:lvl w:ilvl="0">
      <w:start w:val="4"/>
      <w:numFmt w:val="none"/>
      <w:suff w:val="nothing"/>
      <w:lvlText w:val="%1"/>
      <w:lvlJc w:val="left"/>
      <w:pPr>
        <w:ind w:left="0" w:firstLine="0"/>
      </w:pPr>
      <w:rPr>
        <w:rFonts w:ascii="Arial" w:hAnsi="Arial" w:hint="default"/>
        <w:color w:val="auto"/>
        <w:sz w:val="22"/>
      </w:rPr>
    </w:lvl>
    <w:lvl w:ilvl="1">
      <w:start w:val="7"/>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55" w15:restartNumberingAfterBreak="0">
    <w:nsid w:val="747745F4"/>
    <w:multiLevelType w:val="hybridMultilevel"/>
    <w:tmpl w:val="88801AA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6" w15:restartNumberingAfterBreak="0">
    <w:nsid w:val="76393A9F"/>
    <w:multiLevelType w:val="hybridMultilevel"/>
    <w:tmpl w:val="5B0417F0"/>
    <w:styleLink w:val="Style5import"/>
    <w:lvl w:ilvl="0" w:tplc="C090C6BC">
      <w:start w:val="1"/>
      <w:numFmt w:val="decimal"/>
      <w:lvlText w:val="%1."/>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654AAE2">
      <w:start w:val="1"/>
      <w:numFmt w:val="lowerLetter"/>
      <w:lvlText w:val="%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496375A">
      <w:start w:val="1"/>
      <w:numFmt w:val="lowerRoman"/>
      <w:lvlText w:val="%3."/>
      <w:lvlJc w:val="left"/>
      <w:pPr>
        <w:ind w:left="302" w:hanging="302"/>
      </w:pPr>
      <w:rPr>
        <w:rFonts w:hAnsi="Arial Unicode MS"/>
        <w:caps w:val="0"/>
        <w:smallCaps w:val="0"/>
        <w:strike w:val="0"/>
        <w:dstrike w:val="0"/>
        <w:outline w:val="0"/>
        <w:emboss w:val="0"/>
        <w:imprint w:val="0"/>
        <w:spacing w:val="0"/>
        <w:w w:val="100"/>
        <w:kern w:val="0"/>
        <w:position w:val="0"/>
        <w:highlight w:val="none"/>
        <w:vertAlign w:val="baseline"/>
      </w:rPr>
    </w:lvl>
    <w:lvl w:ilvl="3" w:tplc="D71A90F6">
      <w:start w:val="1"/>
      <w:numFmt w:val="decimal"/>
      <w:lvlText w:val="%4."/>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5E6590E">
      <w:start w:val="1"/>
      <w:numFmt w:val="lowerLetter"/>
      <w:lvlText w:val="%5."/>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06D44532">
      <w:start w:val="1"/>
      <w:numFmt w:val="lowerRoman"/>
      <w:lvlText w:val="%6."/>
      <w:lvlJc w:val="left"/>
      <w:pPr>
        <w:ind w:left="302" w:hanging="302"/>
      </w:pPr>
      <w:rPr>
        <w:rFonts w:hAnsi="Arial Unicode MS"/>
        <w:caps w:val="0"/>
        <w:smallCaps w:val="0"/>
        <w:strike w:val="0"/>
        <w:dstrike w:val="0"/>
        <w:outline w:val="0"/>
        <w:emboss w:val="0"/>
        <w:imprint w:val="0"/>
        <w:spacing w:val="0"/>
        <w:w w:val="100"/>
        <w:kern w:val="0"/>
        <w:position w:val="0"/>
        <w:highlight w:val="none"/>
        <w:vertAlign w:val="baseline"/>
      </w:rPr>
    </w:lvl>
    <w:lvl w:ilvl="6" w:tplc="16EA78CE">
      <w:start w:val="1"/>
      <w:numFmt w:val="decimal"/>
      <w:lvlText w:val="%7."/>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126C05E2">
      <w:start w:val="1"/>
      <w:numFmt w:val="lowerLetter"/>
      <w:lvlText w:val="%8."/>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05EC7A42">
      <w:start w:val="1"/>
      <w:numFmt w:val="lowerRoman"/>
      <w:lvlText w:val="%9."/>
      <w:lvlJc w:val="left"/>
      <w:pPr>
        <w:ind w:left="460" w:hanging="30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7" w15:restartNumberingAfterBreak="0">
    <w:nsid w:val="78203C3B"/>
    <w:multiLevelType w:val="multilevel"/>
    <w:tmpl w:val="08A041BA"/>
    <w:styleLink w:val="Style1"/>
    <w:lvl w:ilvl="0">
      <w:start w:val="1"/>
      <w:numFmt w:val="decimal"/>
      <w:lvlText w:val="%1."/>
      <w:lvlJc w:val="left"/>
      <w:pPr>
        <w:ind w:left="567" w:hanging="567"/>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57" w:hanging="357"/>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58" w15:restartNumberingAfterBreak="0">
    <w:nsid w:val="791912F8"/>
    <w:multiLevelType w:val="multilevel"/>
    <w:tmpl w:val="7FC65B32"/>
    <w:lvl w:ilvl="0">
      <w:start w:val="1"/>
      <w:numFmt w:val="decimal"/>
      <w:lvlText w:val="%1"/>
      <w:lvlJc w:val="left"/>
      <w:pPr>
        <w:ind w:left="142" w:firstLine="0"/>
      </w:pPr>
      <w:rPr>
        <w:rFonts w:ascii="Arial" w:eastAsia="Arial" w:hAnsi="Arial" w:cs="Arial"/>
        <w:color w:val="000000"/>
        <w:sz w:val="22"/>
        <w:szCs w:val="22"/>
      </w:rPr>
    </w:lvl>
    <w:lvl w:ilvl="1">
      <w:start w:val="1"/>
      <w:numFmt w:val="decimal"/>
      <w:lvlText w:val="%2."/>
      <w:lvlJc w:val="left"/>
      <w:pPr>
        <w:ind w:left="576" w:hanging="576"/>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59" w15:restartNumberingAfterBreak="0">
    <w:nsid w:val="7ADF070C"/>
    <w:multiLevelType w:val="multilevel"/>
    <w:tmpl w:val="4DBEE724"/>
    <w:lvl w:ilvl="0">
      <w:start w:val="1"/>
      <w:numFmt w:val="none"/>
      <w:suff w:val="nothing"/>
      <w:lvlText w:val="%1"/>
      <w:lvlJc w:val="left"/>
      <w:pPr>
        <w:ind w:left="0" w:firstLine="0"/>
      </w:pPr>
      <w:rPr>
        <w:rFonts w:ascii="Arial" w:hAnsi="Arial" w:hint="default"/>
        <w:color w:val="auto"/>
        <w:sz w:val="22"/>
      </w:rPr>
    </w:lvl>
    <w:lvl w:ilvl="1">
      <w:start w:val="6"/>
      <w:numFmt w:val="decimal"/>
      <w:lvlText w:val="%2."/>
      <w:lvlJc w:val="left"/>
      <w:pPr>
        <w:ind w:left="576" w:hanging="576"/>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60" w15:restartNumberingAfterBreak="0">
    <w:nsid w:val="7D090F4D"/>
    <w:multiLevelType w:val="hybridMultilevel"/>
    <w:tmpl w:val="97841BDE"/>
    <w:lvl w:ilvl="0" w:tplc="431261D0">
      <w:start w:val="6"/>
      <w:numFmt w:val="decimal"/>
      <w:lvlText w:val="%1."/>
      <w:lvlJc w:val="left"/>
      <w:pPr>
        <w:ind w:left="149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E7E7D26"/>
    <w:multiLevelType w:val="hybridMultilevel"/>
    <w:tmpl w:val="83549F48"/>
    <w:lvl w:ilvl="0" w:tplc="8BD622B0">
      <w:start w:val="1"/>
      <w:numFmt w:val="decimal"/>
      <w:lvlText w:val="%1."/>
      <w:lvlJc w:val="left"/>
      <w:pPr>
        <w:ind w:left="1495" w:hanging="360"/>
      </w:pPr>
      <w:rPr>
        <w:rFonts w:hint="default"/>
      </w:rPr>
    </w:lvl>
    <w:lvl w:ilvl="1" w:tplc="040C0019" w:tentative="1">
      <w:start w:val="1"/>
      <w:numFmt w:val="lowerLetter"/>
      <w:lvlText w:val="%2."/>
      <w:lvlJc w:val="left"/>
      <w:pPr>
        <w:ind w:left="2574" w:hanging="360"/>
      </w:pPr>
    </w:lvl>
    <w:lvl w:ilvl="2" w:tplc="040C001B" w:tentative="1">
      <w:start w:val="1"/>
      <w:numFmt w:val="lowerRoman"/>
      <w:lvlText w:val="%3."/>
      <w:lvlJc w:val="right"/>
      <w:pPr>
        <w:ind w:left="3294" w:hanging="180"/>
      </w:pPr>
    </w:lvl>
    <w:lvl w:ilvl="3" w:tplc="040C000F" w:tentative="1">
      <w:start w:val="1"/>
      <w:numFmt w:val="decimal"/>
      <w:lvlText w:val="%4."/>
      <w:lvlJc w:val="left"/>
      <w:pPr>
        <w:ind w:left="4014" w:hanging="360"/>
      </w:pPr>
    </w:lvl>
    <w:lvl w:ilvl="4" w:tplc="040C0019" w:tentative="1">
      <w:start w:val="1"/>
      <w:numFmt w:val="lowerLetter"/>
      <w:lvlText w:val="%5."/>
      <w:lvlJc w:val="left"/>
      <w:pPr>
        <w:ind w:left="4734" w:hanging="360"/>
      </w:pPr>
    </w:lvl>
    <w:lvl w:ilvl="5" w:tplc="040C001B" w:tentative="1">
      <w:start w:val="1"/>
      <w:numFmt w:val="lowerRoman"/>
      <w:lvlText w:val="%6."/>
      <w:lvlJc w:val="right"/>
      <w:pPr>
        <w:ind w:left="5454" w:hanging="180"/>
      </w:pPr>
    </w:lvl>
    <w:lvl w:ilvl="6" w:tplc="040C000F" w:tentative="1">
      <w:start w:val="1"/>
      <w:numFmt w:val="decimal"/>
      <w:lvlText w:val="%7."/>
      <w:lvlJc w:val="left"/>
      <w:pPr>
        <w:ind w:left="6174" w:hanging="360"/>
      </w:pPr>
    </w:lvl>
    <w:lvl w:ilvl="7" w:tplc="040C0019" w:tentative="1">
      <w:start w:val="1"/>
      <w:numFmt w:val="lowerLetter"/>
      <w:lvlText w:val="%8."/>
      <w:lvlJc w:val="left"/>
      <w:pPr>
        <w:ind w:left="6894" w:hanging="360"/>
      </w:pPr>
    </w:lvl>
    <w:lvl w:ilvl="8" w:tplc="040C001B" w:tentative="1">
      <w:start w:val="1"/>
      <w:numFmt w:val="lowerRoman"/>
      <w:lvlText w:val="%9."/>
      <w:lvlJc w:val="right"/>
      <w:pPr>
        <w:ind w:left="7614" w:hanging="180"/>
      </w:pPr>
    </w:lvl>
  </w:abstractNum>
  <w:num w:numId="1">
    <w:abstractNumId w:val="8"/>
  </w:num>
  <w:num w:numId="2">
    <w:abstractNumId w:val="22"/>
  </w:num>
  <w:num w:numId="3">
    <w:abstractNumId w:val="20"/>
  </w:num>
  <w:num w:numId="4">
    <w:abstractNumId w:val="50"/>
  </w:num>
  <w:num w:numId="5">
    <w:abstractNumId w:val="25"/>
  </w:num>
  <w:num w:numId="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7"/>
  </w:num>
  <w:num w:numId="9">
    <w:abstractNumId w:val="13"/>
  </w:num>
  <w:num w:numId="10">
    <w:abstractNumId w:val="5"/>
  </w:num>
  <w:num w:numId="1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lvlOverride w:ilvl="0">
      <w:startOverride w:val="1"/>
    </w:lvlOverride>
  </w:num>
  <w:num w:numId="13">
    <w:abstractNumId w:val="25"/>
    <w:lvlOverride w:ilvl="0">
      <w:startOverride w:val="1"/>
    </w:lvlOverride>
  </w:num>
  <w:num w:numId="14">
    <w:abstractNumId w:val="25"/>
    <w:lvlOverride w:ilvl="0">
      <w:startOverride w:val="1"/>
    </w:lvlOverride>
  </w:num>
  <w:num w:numId="15">
    <w:abstractNumId w:val="25"/>
    <w:lvlOverride w:ilvl="0">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lvlOverride w:ilvl="0">
      <w:startOverride w:val="1"/>
    </w:lvlOverride>
  </w:num>
  <w:num w:numId="18">
    <w:abstractNumId w:val="4"/>
  </w:num>
  <w:num w:numId="19">
    <w:abstractNumId w:val="3"/>
  </w:num>
  <w:num w:numId="20">
    <w:abstractNumId w:val="39"/>
  </w:num>
  <w:num w:numId="21">
    <w:abstractNumId w:val="56"/>
  </w:num>
  <w:num w:numId="22">
    <w:abstractNumId w:val="10"/>
  </w:num>
  <w:num w:numId="23">
    <w:abstractNumId w:val="46"/>
  </w:num>
  <w:num w:numId="24">
    <w:abstractNumId w:val="36"/>
    <w:lvlOverride w:ilvl="0">
      <w:lvl w:ilvl="0">
        <w:start w:val="1"/>
        <w:numFmt w:val="none"/>
        <w:suff w:val="nothing"/>
        <w:lvlText w:val="%1"/>
        <w:lvlJc w:val="left"/>
        <w:pPr>
          <w:ind w:left="0" w:firstLine="0"/>
        </w:pPr>
        <w:rPr>
          <w:rFonts w:ascii="Arial" w:hAnsi="Arial" w:hint="default"/>
          <w:color w:val="auto"/>
          <w:sz w:val="22"/>
        </w:rPr>
      </w:lvl>
    </w:lvlOverride>
    <w:lvlOverride w:ilvl="1">
      <w:lvl w:ilvl="1">
        <w:start w:val="1"/>
        <w:numFmt w:val="decimal"/>
        <w:lvlText w:val="%2."/>
        <w:lvlJc w:val="left"/>
        <w:pPr>
          <w:ind w:left="576" w:hanging="576"/>
        </w:pPr>
        <w:rPr>
          <w:rFonts w:hint="default"/>
          <w:b w:val="0"/>
          <w:sz w:val="22"/>
          <w:szCs w:val="22"/>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25">
    <w:abstractNumId w:val="36"/>
    <w:lvlOverride w:ilvl="0">
      <w:startOverride w:val="2"/>
      <w:lvl w:ilvl="0">
        <w:start w:val="2"/>
        <w:numFmt w:val="none"/>
        <w:suff w:val="nothing"/>
        <w:lvlText w:val="%1"/>
        <w:lvlJc w:val="left"/>
        <w:pPr>
          <w:ind w:left="0" w:firstLine="0"/>
        </w:pPr>
        <w:rPr>
          <w:rFonts w:ascii="Arial" w:hAnsi="Arial" w:hint="default"/>
          <w:color w:val="auto"/>
          <w:sz w:val="22"/>
        </w:rPr>
      </w:lvl>
    </w:lvlOverride>
    <w:lvlOverride w:ilvl="1">
      <w:startOverride w:val="6"/>
      <w:lvl w:ilvl="1">
        <w:start w:val="6"/>
        <w:numFmt w:val="decimal"/>
        <w:lvlText w:val="%2."/>
        <w:lvlJc w:val="left"/>
        <w:pPr>
          <w:ind w:left="576" w:hanging="576"/>
        </w:pPr>
        <w:rPr>
          <w:rFonts w:hint="default"/>
        </w:rPr>
      </w:lvl>
    </w:lvlOverride>
    <w:lvlOverride w:ilvl="2">
      <w:startOverride w:val="1"/>
      <w:lvl w:ilvl="2">
        <w:start w:val="1"/>
        <w:numFmt w:val="lowerRoman"/>
        <w:lvlText w:val="%3)"/>
        <w:lvlJc w:val="left"/>
        <w:pPr>
          <w:ind w:left="1440" w:hanging="360"/>
        </w:pPr>
        <w:rPr>
          <w:rFonts w:hint="default"/>
        </w:rPr>
      </w:lvl>
    </w:lvlOverride>
    <w:lvlOverride w:ilvl="3">
      <w:startOverride w:val="1"/>
      <w:lvl w:ilvl="3">
        <w:start w:val="1"/>
        <w:numFmt w:val="decimal"/>
        <w:lvlText w:val="(%4)"/>
        <w:lvlJc w:val="left"/>
        <w:pPr>
          <w:ind w:left="1800" w:hanging="360"/>
        </w:pPr>
        <w:rPr>
          <w:rFonts w:hint="default"/>
        </w:rPr>
      </w:lvl>
    </w:lvlOverride>
    <w:lvlOverride w:ilvl="4">
      <w:startOverride w:val="1"/>
      <w:lvl w:ilvl="4">
        <w:start w:val="1"/>
        <w:numFmt w:val="lowerLetter"/>
        <w:lvlText w:val="(%5)"/>
        <w:lvlJc w:val="left"/>
        <w:pPr>
          <w:ind w:left="2160" w:hanging="360"/>
        </w:pPr>
        <w:rPr>
          <w:rFonts w:hint="default"/>
        </w:rPr>
      </w:lvl>
    </w:lvlOverride>
    <w:lvlOverride w:ilvl="5">
      <w:startOverride w:val="1"/>
      <w:lvl w:ilvl="5">
        <w:start w:val="1"/>
        <w:numFmt w:val="lowerRoman"/>
        <w:lvlText w:val="(%6)"/>
        <w:lvlJc w:val="left"/>
        <w:pPr>
          <w:ind w:left="2520" w:hanging="360"/>
        </w:pPr>
        <w:rPr>
          <w:rFonts w:hint="default"/>
        </w:rPr>
      </w:lvl>
    </w:lvlOverride>
    <w:lvlOverride w:ilvl="6">
      <w:startOverride w:val="1"/>
      <w:lvl w:ilvl="6">
        <w:start w:val="1"/>
        <w:numFmt w:val="decimal"/>
        <w:lvlText w:val="%7."/>
        <w:lvlJc w:val="left"/>
        <w:pPr>
          <w:ind w:left="2880" w:hanging="360"/>
        </w:pPr>
        <w:rPr>
          <w:rFonts w:hint="default"/>
        </w:rPr>
      </w:lvl>
    </w:lvlOverride>
    <w:lvlOverride w:ilvl="7">
      <w:startOverride w:val="1"/>
      <w:lvl w:ilvl="7">
        <w:start w:val="1"/>
        <w:numFmt w:val="lowerLetter"/>
        <w:lvlText w:val="%8."/>
        <w:lvlJc w:val="left"/>
        <w:pPr>
          <w:ind w:left="3240" w:hanging="360"/>
        </w:pPr>
        <w:rPr>
          <w:rFonts w:hint="default"/>
        </w:rPr>
      </w:lvl>
    </w:lvlOverride>
    <w:lvlOverride w:ilvl="8">
      <w:startOverride w:val="1"/>
      <w:lvl w:ilvl="8">
        <w:start w:val="1"/>
        <w:numFmt w:val="lowerRoman"/>
        <w:lvlText w:val="%9."/>
        <w:lvlJc w:val="left"/>
        <w:pPr>
          <w:ind w:left="3600" w:hanging="360"/>
        </w:pPr>
        <w:rPr>
          <w:rFonts w:hint="default"/>
        </w:rPr>
      </w:lvl>
    </w:lvlOverride>
  </w:num>
  <w:num w:numId="26">
    <w:abstractNumId w:val="24"/>
  </w:num>
  <w:num w:numId="27">
    <w:abstractNumId w:val="36"/>
    <w:lvlOverride w:ilvl="0">
      <w:lvl w:ilvl="0">
        <w:start w:val="1"/>
        <w:numFmt w:val="none"/>
        <w:suff w:val="nothing"/>
        <w:lvlText w:val="%1"/>
        <w:lvlJc w:val="left"/>
        <w:pPr>
          <w:ind w:left="0" w:firstLine="0"/>
        </w:pPr>
        <w:rPr>
          <w:rFonts w:ascii="Arial" w:hAnsi="Arial" w:hint="default"/>
          <w:color w:val="auto"/>
          <w:sz w:val="22"/>
        </w:rPr>
      </w:lvl>
    </w:lvlOverride>
    <w:lvlOverride w:ilvl="1">
      <w:lvl w:ilvl="1">
        <w:start w:val="1"/>
        <w:numFmt w:val="decimal"/>
        <w:lvlText w:val="%2."/>
        <w:lvlJc w:val="left"/>
        <w:pPr>
          <w:ind w:left="567" w:hanging="567"/>
        </w:pPr>
        <w:rPr>
          <w:rFonts w:hint="default"/>
          <w:b w:val="0"/>
        </w:rPr>
      </w:lvl>
    </w:lvlOverride>
    <w:lvlOverride w:ilvl="2">
      <w:lvl w:ilvl="2">
        <w:start w:val="1"/>
        <w:numFmt w:val="lowerRoman"/>
        <w:lvlText w:val="%3)"/>
        <w:lvlJc w:val="left"/>
        <w:pPr>
          <w:ind w:left="1440" w:hanging="360"/>
        </w:pPr>
        <w:rPr>
          <w:rFonts w:hint="default"/>
        </w:rPr>
      </w:lvl>
    </w:lvlOverride>
    <w:lvlOverride w:ilvl="3">
      <w:lvl w:ilvl="3">
        <w:start w:val="1"/>
        <w:numFmt w:val="decimal"/>
        <w:lvlText w:val="(%4)"/>
        <w:lvlJc w:val="left"/>
        <w:pPr>
          <w:ind w:left="1800" w:hanging="360"/>
        </w:pPr>
        <w:rPr>
          <w:rFonts w:hint="default"/>
        </w:rPr>
      </w:lvl>
    </w:lvlOverride>
    <w:lvlOverride w:ilvl="4">
      <w:lvl w:ilvl="4">
        <w:start w:val="1"/>
        <w:numFmt w:val="lowerLetter"/>
        <w:lvlText w:val="(%5)"/>
        <w:lvlJc w:val="left"/>
        <w:pPr>
          <w:ind w:left="2160" w:hanging="360"/>
        </w:pPr>
        <w:rPr>
          <w:rFonts w:hint="default"/>
        </w:rPr>
      </w:lvl>
    </w:lvlOverride>
    <w:lvlOverride w:ilvl="5">
      <w:lvl w:ilvl="5">
        <w:start w:val="1"/>
        <w:numFmt w:val="lowerRoman"/>
        <w:lvlText w:val="(%6)"/>
        <w:lvlJc w:val="left"/>
        <w:pPr>
          <w:ind w:left="2520" w:hanging="360"/>
        </w:pPr>
        <w:rPr>
          <w:rFonts w:hint="default"/>
        </w:rPr>
      </w:lvl>
    </w:lvlOverride>
    <w:lvlOverride w:ilvl="6">
      <w:lvl w:ilvl="6">
        <w:start w:val="1"/>
        <w:numFmt w:val="decimal"/>
        <w:lvlText w:val="%7."/>
        <w:lvlJc w:val="left"/>
        <w:pPr>
          <w:ind w:left="2880" w:hanging="360"/>
        </w:pPr>
        <w:rPr>
          <w:rFonts w:hint="default"/>
        </w:rPr>
      </w:lvl>
    </w:lvlOverride>
    <w:lvlOverride w:ilvl="7">
      <w:lvl w:ilvl="7">
        <w:start w:val="1"/>
        <w:numFmt w:val="lowerLetter"/>
        <w:lvlText w:val="%8."/>
        <w:lvlJc w:val="left"/>
        <w:pPr>
          <w:ind w:left="3240" w:hanging="360"/>
        </w:pPr>
        <w:rPr>
          <w:rFonts w:hint="default"/>
        </w:rPr>
      </w:lvl>
    </w:lvlOverride>
    <w:lvlOverride w:ilvl="8">
      <w:lvl w:ilvl="8">
        <w:start w:val="1"/>
        <w:numFmt w:val="lowerRoman"/>
        <w:lvlText w:val="%9."/>
        <w:lvlJc w:val="left"/>
        <w:pPr>
          <w:ind w:left="3600" w:hanging="360"/>
        </w:pPr>
        <w:rPr>
          <w:rFonts w:hint="default"/>
        </w:rPr>
      </w:lvl>
    </w:lvlOverride>
  </w:num>
  <w:num w:numId="28">
    <w:abstractNumId w:val="52"/>
  </w:num>
  <w:num w:numId="29">
    <w:abstractNumId w:val="26"/>
  </w:num>
  <w:num w:numId="30">
    <w:abstractNumId w:val="19"/>
  </w:num>
  <w:num w:numId="31">
    <w:abstractNumId w:val="9"/>
  </w:num>
  <w:num w:numId="32">
    <w:abstractNumId w:val="58"/>
  </w:num>
  <w:num w:numId="33">
    <w:abstractNumId w:val="32"/>
  </w:num>
  <w:num w:numId="34">
    <w:abstractNumId w:val="21"/>
  </w:num>
  <w:num w:numId="35">
    <w:abstractNumId w:val="30"/>
  </w:num>
  <w:num w:numId="36">
    <w:abstractNumId w:val="1"/>
  </w:num>
  <w:num w:numId="37">
    <w:abstractNumId w:val="29"/>
  </w:num>
  <w:num w:numId="38">
    <w:abstractNumId w:val="36"/>
    <w:lvlOverride w:ilvl="1">
      <w:lvl w:ilvl="1">
        <w:start w:val="1"/>
        <w:numFmt w:val="decimal"/>
        <w:lvlText w:val="%2."/>
        <w:lvlJc w:val="left"/>
        <w:pPr>
          <w:ind w:left="576" w:hanging="576"/>
        </w:pPr>
        <w:rPr>
          <w:rFonts w:hint="default"/>
        </w:rPr>
      </w:lvl>
    </w:lvlOverride>
  </w:num>
  <w:num w:numId="39">
    <w:abstractNumId w:val="59"/>
  </w:num>
  <w:num w:numId="40">
    <w:abstractNumId w:val="37"/>
  </w:num>
  <w:num w:numId="41">
    <w:abstractNumId w:val="35"/>
  </w:num>
  <w:num w:numId="42">
    <w:abstractNumId w:val="33"/>
  </w:num>
  <w:num w:numId="43">
    <w:abstractNumId w:val="44"/>
  </w:num>
  <w:num w:numId="44">
    <w:abstractNumId w:val="17"/>
  </w:num>
  <w:num w:numId="45">
    <w:abstractNumId w:val="36"/>
  </w:num>
  <w:num w:numId="46">
    <w:abstractNumId w:val="42"/>
  </w:num>
  <w:num w:numId="47">
    <w:abstractNumId w:val="25"/>
    <w:lvlOverride w:ilvl="0">
      <w:startOverride w:val="1"/>
    </w:lvlOverride>
  </w:num>
  <w:num w:numId="48">
    <w:abstractNumId w:val="25"/>
    <w:lvlOverride w:ilvl="0">
      <w:startOverride w:val="1"/>
    </w:lvlOverride>
  </w:num>
  <w:num w:numId="49">
    <w:abstractNumId w:val="7"/>
  </w:num>
  <w:num w:numId="50">
    <w:abstractNumId w:val="12"/>
  </w:num>
  <w:num w:numId="51">
    <w:abstractNumId w:val="2"/>
  </w:num>
  <w:num w:numId="52">
    <w:abstractNumId w:val="18"/>
  </w:num>
  <w:num w:numId="53">
    <w:abstractNumId w:val="14"/>
  </w:num>
  <w:num w:numId="54">
    <w:abstractNumId w:val="49"/>
  </w:num>
  <w:num w:numId="55">
    <w:abstractNumId w:val="48"/>
  </w:num>
  <w:num w:numId="56">
    <w:abstractNumId w:val="11"/>
  </w:num>
  <w:num w:numId="5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1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1"/>
  </w:num>
  <w:num w:numId="60">
    <w:abstractNumId w:val="45"/>
  </w:num>
  <w:num w:numId="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55"/>
  </w:num>
  <w:num w:numId="63">
    <w:abstractNumId w:val="0"/>
  </w:num>
  <w:num w:numId="64">
    <w:abstractNumId w:val="47"/>
  </w:num>
  <w:num w:numId="65">
    <w:abstractNumId w:val="61"/>
  </w:num>
  <w:num w:numId="66">
    <w:abstractNumId w:val="60"/>
  </w:num>
  <w:num w:numId="67">
    <w:abstractNumId w:val="31"/>
  </w:num>
  <w:num w:numId="68">
    <w:abstractNumId w:val="43"/>
  </w:num>
  <w:num w:numId="69">
    <w:abstractNumId w:val="40"/>
  </w:num>
  <w:num w:numId="70">
    <w:abstractNumId w:val="38"/>
  </w:num>
  <w:num w:numId="71">
    <w:abstractNumId w:val="54"/>
  </w:num>
  <w:num w:numId="72">
    <w:abstractNumId w:val="36"/>
    <w:lvlOverride w:ilvl="0">
      <w:lvl w:ilvl="0">
        <w:start w:val="1"/>
        <w:numFmt w:val="none"/>
        <w:suff w:val="nothing"/>
        <w:lvlText w:val="%1"/>
        <w:lvlJc w:val="left"/>
        <w:pPr>
          <w:ind w:left="0" w:firstLine="0"/>
        </w:pPr>
        <w:rPr>
          <w:rFonts w:ascii="Arial" w:hAnsi="Arial" w:hint="default"/>
          <w:color w:val="auto"/>
          <w:sz w:val="22"/>
          <w:lang w:val="en-US"/>
        </w:rPr>
      </w:lvl>
    </w:lvlOverride>
  </w:num>
  <w:num w:numId="73">
    <w:abstractNumId w:val="6"/>
  </w:num>
  <w:num w:numId="74">
    <w:abstractNumId w:val="34"/>
  </w:num>
  <w:num w:numId="75">
    <w:abstractNumId w:val="27"/>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9"/>
  <w:hyphenationZone w:val="425"/>
  <w:evenAndOddHeaders/>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02C"/>
    <w:rsid w:val="00010F83"/>
    <w:rsid w:val="0001502D"/>
    <w:rsid w:val="00020BFC"/>
    <w:rsid w:val="00022428"/>
    <w:rsid w:val="00025236"/>
    <w:rsid w:val="000261F9"/>
    <w:rsid w:val="000263BA"/>
    <w:rsid w:val="00026BD9"/>
    <w:rsid w:val="00031A30"/>
    <w:rsid w:val="00034068"/>
    <w:rsid w:val="0003530D"/>
    <w:rsid w:val="00040AC4"/>
    <w:rsid w:val="00043D74"/>
    <w:rsid w:val="00045090"/>
    <w:rsid w:val="0005176E"/>
    <w:rsid w:val="0006066C"/>
    <w:rsid w:val="00077AB7"/>
    <w:rsid w:val="00081CD8"/>
    <w:rsid w:val="0008329C"/>
    <w:rsid w:val="000A1737"/>
    <w:rsid w:val="000A51CE"/>
    <w:rsid w:val="000A7F0E"/>
    <w:rsid w:val="000C130F"/>
    <w:rsid w:val="000C6D60"/>
    <w:rsid w:val="000E6898"/>
    <w:rsid w:val="000E69D4"/>
    <w:rsid w:val="000E6CD7"/>
    <w:rsid w:val="000F3A3F"/>
    <w:rsid w:val="000F3F93"/>
    <w:rsid w:val="001047B4"/>
    <w:rsid w:val="00104AE6"/>
    <w:rsid w:val="001058DD"/>
    <w:rsid w:val="00126CB8"/>
    <w:rsid w:val="00131C10"/>
    <w:rsid w:val="0013592C"/>
    <w:rsid w:val="00136F14"/>
    <w:rsid w:val="00141050"/>
    <w:rsid w:val="00162DC2"/>
    <w:rsid w:val="00164D56"/>
    <w:rsid w:val="00165170"/>
    <w:rsid w:val="00167B10"/>
    <w:rsid w:val="00171DD9"/>
    <w:rsid w:val="001757E2"/>
    <w:rsid w:val="00191DBA"/>
    <w:rsid w:val="00191F85"/>
    <w:rsid w:val="0019264E"/>
    <w:rsid w:val="00196C1B"/>
    <w:rsid w:val="001A2F48"/>
    <w:rsid w:val="001A4F02"/>
    <w:rsid w:val="001A766C"/>
    <w:rsid w:val="001B0F73"/>
    <w:rsid w:val="001B3562"/>
    <w:rsid w:val="001C22A3"/>
    <w:rsid w:val="001E1C02"/>
    <w:rsid w:val="0020150F"/>
    <w:rsid w:val="00202772"/>
    <w:rsid w:val="002213A1"/>
    <w:rsid w:val="00222A2D"/>
    <w:rsid w:val="002407AF"/>
    <w:rsid w:val="00241162"/>
    <w:rsid w:val="002471B9"/>
    <w:rsid w:val="002513A5"/>
    <w:rsid w:val="00260513"/>
    <w:rsid w:val="00280D62"/>
    <w:rsid w:val="00281C7D"/>
    <w:rsid w:val="0028634C"/>
    <w:rsid w:val="00293F82"/>
    <w:rsid w:val="002A0A5E"/>
    <w:rsid w:val="002A1DE0"/>
    <w:rsid w:val="002A6C11"/>
    <w:rsid w:val="002A6F73"/>
    <w:rsid w:val="002A7118"/>
    <w:rsid w:val="002A7CCF"/>
    <w:rsid w:val="002B59D3"/>
    <w:rsid w:val="002C0425"/>
    <w:rsid w:val="002C0D14"/>
    <w:rsid w:val="002C0FC9"/>
    <w:rsid w:val="002D2870"/>
    <w:rsid w:val="002D425D"/>
    <w:rsid w:val="002D6108"/>
    <w:rsid w:val="002E3D25"/>
    <w:rsid w:val="002E58D4"/>
    <w:rsid w:val="002F3F5E"/>
    <w:rsid w:val="003033EF"/>
    <w:rsid w:val="0032066B"/>
    <w:rsid w:val="00323DB8"/>
    <w:rsid w:val="003330C4"/>
    <w:rsid w:val="00336554"/>
    <w:rsid w:val="003375EE"/>
    <w:rsid w:val="003534EA"/>
    <w:rsid w:val="00364122"/>
    <w:rsid w:val="003701B9"/>
    <w:rsid w:val="00370297"/>
    <w:rsid w:val="0037142E"/>
    <w:rsid w:val="00373FB0"/>
    <w:rsid w:val="00381A38"/>
    <w:rsid w:val="00381A56"/>
    <w:rsid w:val="003845BE"/>
    <w:rsid w:val="00386A91"/>
    <w:rsid w:val="00393F12"/>
    <w:rsid w:val="003A2786"/>
    <w:rsid w:val="003A4587"/>
    <w:rsid w:val="003A580C"/>
    <w:rsid w:val="003B1B13"/>
    <w:rsid w:val="003B3E7F"/>
    <w:rsid w:val="003C1678"/>
    <w:rsid w:val="003D069C"/>
    <w:rsid w:val="003D4B52"/>
    <w:rsid w:val="003E07D8"/>
    <w:rsid w:val="003E13C4"/>
    <w:rsid w:val="003E2A08"/>
    <w:rsid w:val="003E77F5"/>
    <w:rsid w:val="003F113A"/>
    <w:rsid w:val="00400706"/>
    <w:rsid w:val="00412D37"/>
    <w:rsid w:val="00414691"/>
    <w:rsid w:val="00422A14"/>
    <w:rsid w:val="004239C7"/>
    <w:rsid w:val="00424661"/>
    <w:rsid w:val="00426470"/>
    <w:rsid w:val="004321B7"/>
    <w:rsid w:val="00432A81"/>
    <w:rsid w:val="00433E48"/>
    <w:rsid w:val="00434DEC"/>
    <w:rsid w:val="00440F9B"/>
    <w:rsid w:val="004421E5"/>
    <w:rsid w:val="0044222D"/>
    <w:rsid w:val="00443880"/>
    <w:rsid w:val="0044518A"/>
    <w:rsid w:val="00446BA0"/>
    <w:rsid w:val="00452284"/>
    <w:rsid w:val="0045364E"/>
    <w:rsid w:val="00455053"/>
    <w:rsid w:val="00461168"/>
    <w:rsid w:val="00486948"/>
    <w:rsid w:val="00492658"/>
    <w:rsid w:val="00495C25"/>
    <w:rsid w:val="0049705E"/>
    <w:rsid w:val="004B1736"/>
    <w:rsid w:val="004B76CD"/>
    <w:rsid w:val="004F3818"/>
    <w:rsid w:val="004F6C32"/>
    <w:rsid w:val="005158FF"/>
    <w:rsid w:val="00526069"/>
    <w:rsid w:val="00526B7B"/>
    <w:rsid w:val="005308CE"/>
    <w:rsid w:val="00554EA7"/>
    <w:rsid w:val="00561007"/>
    <w:rsid w:val="0057439C"/>
    <w:rsid w:val="00597C70"/>
    <w:rsid w:val="005A4520"/>
    <w:rsid w:val="005A6DC7"/>
    <w:rsid w:val="005B0127"/>
    <w:rsid w:val="005B05EB"/>
    <w:rsid w:val="005B7D05"/>
    <w:rsid w:val="005C094D"/>
    <w:rsid w:val="005C4B73"/>
    <w:rsid w:val="005C7814"/>
    <w:rsid w:val="005D1804"/>
    <w:rsid w:val="005D2E05"/>
    <w:rsid w:val="005D6A6C"/>
    <w:rsid w:val="00600D93"/>
    <w:rsid w:val="00601A8D"/>
    <w:rsid w:val="006046E3"/>
    <w:rsid w:val="00605D06"/>
    <w:rsid w:val="006061B9"/>
    <w:rsid w:val="0061519D"/>
    <w:rsid w:val="00617179"/>
    <w:rsid w:val="00621280"/>
    <w:rsid w:val="006244CE"/>
    <w:rsid w:val="00627C5C"/>
    <w:rsid w:val="0064191D"/>
    <w:rsid w:val="006471DB"/>
    <w:rsid w:val="00655736"/>
    <w:rsid w:val="00662C20"/>
    <w:rsid w:val="00663B8D"/>
    <w:rsid w:val="00666038"/>
    <w:rsid w:val="00673934"/>
    <w:rsid w:val="006923BD"/>
    <w:rsid w:val="00696C8D"/>
    <w:rsid w:val="006A2AC2"/>
    <w:rsid w:val="006A3263"/>
    <w:rsid w:val="006A3617"/>
    <w:rsid w:val="006B1917"/>
    <w:rsid w:val="006B5001"/>
    <w:rsid w:val="006B64B6"/>
    <w:rsid w:val="006C2656"/>
    <w:rsid w:val="006D11D2"/>
    <w:rsid w:val="006D14E5"/>
    <w:rsid w:val="006D21D9"/>
    <w:rsid w:val="006D2536"/>
    <w:rsid w:val="006E2D5D"/>
    <w:rsid w:val="006E37B7"/>
    <w:rsid w:val="006E46E4"/>
    <w:rsid w:val="006F0771"/>
    <w:rsid w:val="0071252D"/>
    <w:rsid w:val="00717AAB"/>
    <w:rsid w:val="00717DBD"/>
    <w:rsid w:val="00721095"/>
    <w:rsid w:val="0074046D"/>
    <w:rsid w:val="00741016"/>
    <w:rsid w:val="00742941"/>
    <w:rsid w:val="00743B60"/>
    <w:rsid w:val="0074605C"/>
    <w:rsid w:val="0075722D"/>
    <w:rsid w:val="00762046"/>
    <w:rsid w:val="00762657"/>
    <w:rsid w:val="00764CF9"/>
    <w:rsid w:val="00771F30"/>
    <w:rsid w:val="00784B8C"/>
    <w:rsid w:val="007A488E"/>
    <w:rsid w:val="007A601E"/>
    <w:rsid w:val="007B23DE"/>
    <w:rsid w:val="007B2F7D"/>
    <w:rsid w:val="007F1D8B"/>
    <w:rsid w:val="007F5B19"/>
    <w:rsid w:val="007F7C11"/>
    <w:rsid w:val="008064F0"/>
    <w:rsid w:val="00807619"/>
    <w:rsid w:val="00807795"/>
    <w:rsid w:val="008136B6"/>
    <w:rsid w:val="00814661"/>
    <w:rsid w:val="00823A11"/>
    <w:rsid w:val="00824EF7"/>
    <w:rsid w:val="00841197"/>
    <w:rsid w:val="00851C83"/>
    <w:rsid w:val="008539DC"/>
    <w:rsid w:val="0085414A"/>
    <w:rsid w:val="0086269D"/>
    <w:rsid w:val="00863302"/>
    <w:rsid w:val="008712A2"/>
    <w:rsid w:val="00871C8F"/>
    <w:rsid w:val="008724E5"/>
    <w:rsid w:val="00872A22"/>
    <w:rsid w:val="00877EB6"/>
    <w:rsid w:val="008822B4"/>
    <w:rsid w:val="00884A9D"/>
    <w:rsid w:val="008856FB"/>
    <w:rsid w:val="00885EA5"/>
    <w:rsid w:val="0088680B"/>
    <w:rsid w:val="00893FDC"/>
    <w:rsid w:val="00894098"/>
    <w:rsid w:val="008A0AF7"/>
    <w:rsid w:val="008A4E1E"/>
    <w:rsid w:val="008B64DF"/>
    <w:rsid w:val="008B7A4D"/>
    <w:rsid w:val="008C0E44"/>
    <w:rsid w:val="008C296C"/>
    <w:rsid w:val="008C7B9C"/>
    <w:rsid w:val="008D4305"/>
    <w:rsid w:val="008E7D08"/>
    <w:rsid w:val="008F7934"/>
    <w:rsid w:val="009013FE"/>
    <w:rsid w:val="00902DED"/>
    <w:rsid w:val="00904C0F"/>
    <w:rsid w:val="00910A8E"/>
    <w:rsid w:val="00913D86"/>
    <w:rsid w:val="009163A7"/>
    <w:rsid w:val="00922E3E"/>
    <w:rsid w:val="00925271"/>
    <w:rsid w:val="00925D87"/>
    <w:rsid w:val="00933C6B"/>
    <w:rsid w:val="00950F68"/>
    <w:rsid w:val="00955D6B"/>
    <w:rsid w:val="00956F09"/>
    <w:rsid w:val="00962119"/>
    <w:rsid w:val="00964D53"/>
    <w:rsid w:val="00967CA2"/>
    <w:rsid w:val="009712DA"/>
    <w:rsid w:val="00972AAF"/>
    <w:rsid w:val="0097346C"/>
    <w:rsid w:val="00974249"/>
    <w:rsid w:val="00974E75"/>
    <w:rsid w:val="00981A9B"/>
    <w:rsid w:val="00982EE7"/>
    <w:rsid w:val="009872CF"/>
    <w:rsid w:val="00990C21"/>
    <w:rsid w:val="009931D9"/>
    <w:rsid w:val="00995262"/>
    <w:rsid w:val="009A18CD"/>
    <w:rsid w:val="009A46EE"/>
    <w:rsid w:val="009B5302"/>
    <w:rsid w:val="009B690B"/>
    <w:rsid w:val="009C104E"/>
    <w:rsid w:val="009C4BA3"/>
    <w:rsid w:val="009D2234"/>
    <w:rsid w:val="009E1B50"/>
    <w:rsid w:val="009E71D7"/>
    <w:rsid w:val="009F2E92"/>
    <w:rsid w:val="009F5482"/>
    <w:rsid w:val="00A036F1"/>
    <w:rsid w:val="00A12558"/>
    <w:rsid w:val="00A13678"/>
    <w:rsid w:val="00A13903"/>
    <w:rsid w:val="00A14531"/>
    <w:rsid w:val="00A166EE"/>
    <w:rsid w:val="00A2355A"/>
    <w:rsid w:val="00A237F8"/>
    <w:rsid w:val="00A26563"/>
    <w:rsid w:val="00A27C05"/>
    <w:rsid w:val="00A34ED5"/>
    <w:rsid w:val="00A34F69"/>
    <w:rsid w:val="00A378A6"/>
    <w:rsid w:val="00A400B1"/>
    <w:rsid w:val="00A45DBF"/>
    <w:rsid w:val="00A528C2"/>
    <w:rsid w:val="00A55D46"/>
    <w:rsid w:val="00A61C6E"/>
    <w:rsid w:val="00A67B7A"/>
    <w:rsid w:val="00A755A2"/>
    <w:rsid w:val="00A82774"/>
    <w:rsid w:val="00A8592F"/>
    <w:rsid w:val="00A87370"/>
    <w:rsid w:val="00A90761"/>
    <w:rsid w:val="00AB2C36"/>
    <w:rsid w:val="00AB5715"/>
    <w:rsid w:val="00AC7B83"/>
    <w:rsid w:val="00AD1A86"/>
    <w:rsid w:val="00AE0F3D"/>
    <w:rsid w:val="00AE103E"/>
    <w:rsid w:val="00AF0A07"/>
    <w:rsid w:val="00AF0DB4"/>
    <w:rsid w:val="00AF5AE5"/>
    <w:rsid w:val="00AF625E"/>
    <w:rsid w:val="00AF721B"/>
    <w:rsid w:val="00B0204B"/>
    <w:rsid w:val="00B07C34"/>
    <w:rsid w:val="00B152B1"/>
    <w:rsid w:val="00B152E2"/>
    <w:rsid w:val="00B310C2"/>
    <w:rsid w:val="00B33732"/>
    <w:rsid w:val="00B3407C"/>
    <w:rsid w:val="00B43682"/>
    <w:rsid w:val="00B43974"/>
    <w:rsid w:val="00B46DD6"/>
    <w:rsid w:val="00B56B1B"/>
    <w:rsid w:val="00B616EC"/>
    <w:rsid w:val="00B6527F"/>
    <w:rsid w:val="00B668BC"/>
    <w:rsid w:val="00B732FB"/>
    <w:rsid w:val="00B74EF1"/>
    <w:rsid w:val="00B90701"/>
    <w:rsid w:val="00B932EA"/>
    <w:rsid w:val="00BB1487"/>
    <w:rsid w:val="00BB775D"/>
    <w:rsid w:val="00BC3420"/>
    <w:rsid w:val="00BC5A23"/>
    <w:rsid w:val="00BD112F"/>
    <w:rsid w:val="00BD14C1"/>
    <w:rsid w:val="00BD3FF4"/>
    <w:rsid w:val="00BD52C9"/>
    <w:rsid w:val="00BD77A3"/>
    <w:rsid w:val="00BE6354"/>
    <w:rsid w:val="00C02497"/>
    <w:rsid w:val="00C07ED2"/>
    <w:rsid w:val="00C166A5"/>
    <w:rsid w:val="00C237F4"/>
    <w:rsid w:val="00C23BC9"/>
    <w:rsid w:val="00C254CB"/>
    <w:rsid w:val="00C26A13"/>
    <w:rsid w:val="00C27207"/>
    <w:rsid w:val="00C32102"/>
    <w:rsid w:val="00C358C4"/>
    <w:rsid w:val="00C377F5"/>
    <w:rsid w:val="00C37862"/>
    <w:rsid w:val="00C44FEE"/>
    <w:rsid w:val="00C476A9"/>
    <w:rsid w:val="00C51EBB"/>
    <w:rsid w:val="00C5775C"/>
    <w:rsid w:val="00C64629"/>
    <w:rsid w:val="00C70EA7"/>
    <w:rsid w:val="00C7516E"/>
    <w:rsid w:val="00C97841"/>
    <w:rsid w:val="00CB11BB"/>
    <w:rsid w:val="00CC49DA"/>
    <w:rsid w:val="00CC4CB5"/>
    <w:rsid w:val="00CC6111"/>
    <w:rsid w:val="00CC6739"/>
    <w:rsid w:val="00CD23FE"/>
    <w:rsid w:val="00CD5E43"/>
    <w:rsid w:val="00CF1BF2"/>
    <w:rsid w:val="00D12E5F"/>
    <w:rsid w:val="00D24877"/>
    <w:rsid w:val="00D36093"/>
    <w:rsid w:val="00D55D0C"/>
    <w:rsid w:val="00D645C1"/>
    <w:rsid w:val="00D66B82"/>
    <w:rsid w:val="00D75D42"/>
    <w:rsid w:val="00D84C0E"/>
    <w:rsid w:val="00D9548E"/>
    <w:rsid w:val="00DA1116"/>
    <w:rsid w:val="00DA36ED"/>
    <w:rsid w:val="00DB06C1"/>
    <w:rsid w:val="00DB4A84"/>
    <w:rsid w:val="00DB6735"/>
    <w:rsid w:val="00DC0F3C"/>
    <w:rsid w:val="00DE34F1"/>
    <w:rsid w:val="00DF0177"/>
    <w:rsid w:val="00DF070B"/>
    <w:rsid w:val="00DF4942"/>
    <w:rsid w:val="00DF693C"/>
    <w:rsid w:val="00E039A7"/>
    <w:rsid w:val="00E10266"/>
    <w:rsid w:val="00E22288"/>
    <w:rsid w:val="00E25AA1"/>
    <w:rsid w:val="00E27400"/>
    <w:rsid w:val="00E418D9"/>
    <w:rsid w:val="00E45446"/>
    <w:rsid w:val="00E60B9D"/>
    <w:rsid w:val="00E627B1"/>
    <w:rsid w:val="00E62B4C"/>
    <w:rsid w:val="00E67131"/>
    <w:rsid w:val="00E82A79"/>
    <w:rsid w:val="00E9376C"/>
    <w:rsid w:val="00E976D2"/>
    <w:rsid w:val="00EA3B40"/>
    <w:rsid w:val="00EA5234"/>
    <w:rsid w:val="00EA602C"/>
    <w:rsid w:val="00EA61FD"/>
    <w:rsid w:val="00EA6233"/>
    <w:rsid w:val="00ED3691"/>
    <w:rsid w:val="00EE020D"/>
    <w:rsid w:val="00EE718A"/>
    <w:rsid w:val="00EF5371"/>
    <w:rsid w:val="00F134B7"/>
    <w:rsid w:val="00F21F8F"/>
    <w:rsid w:val="00F23B9E"/>
    <w:rsid w:val="00F245A4"/>
    <w:rsid w:val="00F277D3"/>
    <w:rsid w:val="00F300A9"/>
    <w:rsid w:val="00F35A99"/>
    <w:rsid w:val="00F37426"/>
    <w:rsid w:val="00F41F15"/>
    <w:rsid w:val="00F43657"/>
    <w:rsid w:val="00F576CB"/>
    <w:rsid w:val="00F604A8"/>
    <w:rsid w:val="00F679E8"/>
    <w:rsid w:val="00F7202F"/>
    <w:rsid w:val="00F81092"/>
    <w:rsid w:val="00F85090"/>
    <w:rsid w:val="00FA49D6"/>
    <w:rsid w:val="00FA65A5"/>
    <w:rsid w:val="00FC2940"/>
    <w:rsid w:val="00FC4605"/>
    <w:rsid w:val="00FC4715"/>
    <w:rsid w:val="00FD1226"/>
    <w:rsid w:val="00FE473C"/>
    <w:rsid w:val="00FE4BB5"/>
    <w:rsid w:val="00FF6A7E"/>
  </w:rsids>
  <m:mathPr>
    <m:mathFont m:val="Cambria Math"/>
    <m:brkBin m:val="before"/>
    <m:brkBinSub m:val="--"/>
    <m:smallFrac m:val="0"/>
    <m:dispDef/>
    <m:lMargin m:val="0"/>
    <m:rMargin m:val="0"/>
    <m:defJc m:val="centerGroup"/>
    <m:wrapIndent m:val="1440"/>
    <m:intLim m:val="subSup"/>
    <m:naryLim m:val="undOvr"/>
  </m:mathPr>
  <w:themeFontLang w:val="fr-FR"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68F5760"/>
  <w15:docId w15:val="{2FF0263D-516F-47B5-AAAF-68E7F0CE7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uiPriority="9"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C3420"/>
    <w:rPr>
      <w:rFonts w:ascii="Times New Roman" w:eastAsia="Times New Roman" w:hAnsi="Times New Roman"/>
      <w:sz w:val="24"/>
      <w:szCs w:val="24"/>
    </w:rPr>
  </w:style>
  <w:style w:type="paragraph" w:styleId="Heading1">
    <w:name w:val="heading 1"/>
    <w:basedOn w:val="Normal"/>
    <w:next w:val="Normal"/>
    <w:link w:val="Heading1Char"/>
    <w:uiPriority w:val="9"/>
    <w:qFormat/>
    <w:rsid w:val="004F381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564DDB"/>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4F3818"/>
    <w:pPr>
      <w:keepNext/>
      <w:keepLines/>
      <w:spacing w:before="40"/>
      <w:outlineLvl w:val="2"/>
    </w:pPr>
    <w:rPr>
      <w:rFonts w:ascii="Arial" w:eastAsia="SimSun" w:hAnsi="Arial" w:cs="Angsana New"/>
      <w:sz w:val="22"/>
    </w:rPr>
  </w:style>
  <w:style w:type="paragraph" w:styleId="Heading4">
    <w:name w:val="heading 4"/>
    <w:aliases w:val="COM Heading"/>
    <w:basedOn w:val="Normal"/>
    <w:next w:val="Normal"/>
    <w:link w:val="Heading4Char"/>
    <w:qFormat/>
    <w:rsid w:val="002E58D4"/>
    <w:pPr>
      <w:keepNext/>
      <w:numPr>
        <w:numId w:val="3"/>
      </w:numPr>
      <w:spacing w:before="360" w:after="240"/>
      <w:ind w:hanging="720"/>
      <w:contextualSpacing/>
      <w:outlineLvl w:val="3"/>
    </w:pPr>
    <w:rPr>
      <w:rFonts w:ascii="Arial" w:hAnsi="Arial" w:cs="Arial"/>
      <w:b/>
      <w:sz w:val="22"/>
      <w:szCs w:val="22"/>
    </w:rPr>
  </w:style>
  <w:style w:type="paragraph" w:styleId="Heading5">
    <w:name w:val="heading 5"/>
    <w:basedOn w:val="Normal"/>
    <w:next w:val="Normal"/>
    <w:link w:val="Heading5Char"/>
    <w:uiPriority w:val="9"/>
    <w:semiHidden/>
    <w:unhideWhenUsed/>
    <w:qFormat/>
    <w:rsid w:val="004F3818"/>
    <w:pPr>
      <w:keepNext/>
      <w:keepLines/>
      <w:spacing w:before="40"/>
      <w:outlineLvl w:val="4"/>
    </w:pPr>
    <w:rPr>
      <w:rFonts w:ascii="Cambria" w:eastAsia="SimSun" w:hAnsi="Cambria" w:cs="Angsana New"/>
      <w:color w:val="365F91"/>
    </w:rPr>
  </w:style>
  <w:style w:type="paragraph" w:styleId="Heading6">
    <w:name w:val="heading 6"/>
    <w:basedOn w:val="Normal"/>
    <w:next w:val="Normal"/>
    <w:link w:val="Heading6Char"/>
    <w:uiPriority w:val="9"/>
    <w:semiHidden/>
    <w:unhideWhenUsed/>
    <w:qFormat/>
    <w:rsid w:val="004F3818"/>
    <w:pPr>
      <w:keepNext/>
      <w:keepLines/>
      <w:spacing w:before="40"/>
      <w:outlineLvl w:val="5"/>
    </w:pPr>
    <w:rPr>
      <w:rFonts w:ascii="Cambria" w:eastAsia="SimSun" w:hAnsi="Cambria" w:cs="Angsana New"/>
      <w:color w:val="243F60"/>
    </w:rPr>
  </w:style>
  <w:style w:type="paragraph" w:styleId="Heading7">
    <w:name w:val="heading 7"/>
    <w:basedOn w:val="Normal"/>
    <w:next w:val="Normal"/>
    <w:link w:val="Heading7Char"/>
    <w:uiPriority w:val="9"/>
    <w:semiHidden/>
    <w:unhideWhenUsed/>
    <w:qFormat/>
    <w:rsid w:val="004F3818"/>
    <w:pPr>
      <w:keepNext/>
      <w:keepLines/>
      <w:spacing w:before="40"/>
      <w:outlineLvl w:val="6"/>
    </w:pPr>
    <w:rPr>
      <w:rFonts w:ascii="Cambria" w:eastAsia="SimSun" w:hAnsi="Cambria" w:cs="Angsana New"/>
      <w:i/>
      <w:iCs/>
      <w:color w:val="243F60"/>
    </w:rPr>
  </w:style>
  <w:style w:type="paragraph" w:styleId="Heading8">
    <w:name w:val="heading 8"/>
    <w:basedOn w:val="Normal"/>
    <w:next w:val="Normal"/>
    <w:link w:val="Heading8Char"/>
    <w:uiPriority w:val="9"/>
    <w:semiHidden/>
    <w:unhideWhenUsed/>
    <w:qFormat/>
    <w:rsid w:val="004F3818"/>
    <w:pPr>
      <w:keepNext/>
      <w:keepLines/>
      <w:spacing w:before="40"/>
      <w:outlineLvl w:val="7"/>
    </w:pPr>
    <w:rPr>
      <w:rFonts w:ascii="Cambria" w:eastAsia="SimSun" w:hAnsi="Cambria" w:cs="Angsana New"/>
      <w:color w:val="272727"/>
      <w:sz w:val="21"/>
      <w:szCs w:val="21"/>
    </w:rPr>
  </w:style>
  <w:style w:type="paragraph" w:styleId="Heading9">
    <w:name w:val="heading 9"/>
    <w:basedOn w:val="Normal"/>
    <w:next w:val="Normal"/>
    <w:link w:val="Heading9Char"/>
    <w:uiPriority w:val="9"/>
    <w:semiHidden/>
    <w:unhideWhenUsed/>
    <w:qFormat/>
    <w:rsid w:val="004F3818"/>
    <w:pPr>
      <w:keepNext/>
      <w:keepLines/>
      <w:spacing w:before="40"/>
      <w:outlineLvl w:val="8"/>
    </w:pPr>
    <w:rPr>
      <w:rFonts w:ascii="Cambria" w:eastAsia="SimSun" w:hAnsi="Cambria" w:cs="Angsana New"/>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qFormat/>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rsid w:val="00EF563B"/>
  </w:style>
  <w:style w:type="character" w:customStyle="1" w:styleId="Heading4Char">
    <w:name w:val="Heading 4 Char"/>
    <w:aliases w:val="COM Heading Char"/>
    <w:link w:val="Heading4"/>
    <w:rsid w:val="002E58D4"/>
    <w:rPr>
      <w:rFonts w:ascii="Arial" w:eastAsia="Times New Roman" w:hAnsi="Arial" w:cs="Arial"/>
      <w:b/>
      <w:sz w:val="22"/>
      <w:szCs w:val="22"/>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1"/>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qFormat/>
    <w:rsid w:val="0057439C"/>
    <w:rPr>
      <w:rFonts w:ascii="Times New Roman" w:eastAsia="Times New Roman" w:hAnsi="Times New Roman"/>
      <w:sz w:val="24"/>
      <w:szCs w:val="24"/>
    </w:rPr>
  </w:style>
  <w:style w:type="paragraph" w:customStyle="1" w:styleId="COMParabodytext">
    <w:name w:val="COM Para body text"/>
    <w:basedOn w:val="Marge"/>
    <w:qFormat/>
    <w:rsid w:val="001A766C"/>
    <w:pPr>
      <w:numPr>
        <w:numId w:val="2"/>
      </w:numPr>
      <w:spacing w:after="120"/>
      <w:ind w:left="567" w:hanging="567"/>
    </w:pPr>
    <w:rPr>
      <w:rFonts w:cs="Arial"/>
      <w:szCs w:val="22"/>
      <w:lang w:val="en-US"/>
    </w:rPr>
  </w:style>
  <w:style w:type="paragraph" w:customStyle="1" w:styleId="GATitleResolution">
    <w:name w:val="GA Title Resolution"/>
    <w:basedOn w:val="Marge"/>
    <w:qFormat/>
    <w:rsid w:val="009E1B50"/>
    <w:pPr>
      <w:keepNext/>
      <w:spacing w:before="240" w:after="120"/>
      <w:ind w:left="567"/>
    </w:pPr>
    <w:rPr>
      <w:rFonts w:eastAsia="SimSun" w:cs="Arial"/>
      <w:b/>
      <w:caps/>
      <w:szCs w:val="22"/>
    </w:rPr>
  </w:style>
  <w:style w:type="paragraph" w:customStyle="1" w:styleId="COMPreambulaDecision">
    <w:name w:val="COM Preambula Decision"/>
    <w:basedOn w:val="Marge"/>
    <w:qFormat/>
    <w:rsid w:val="001A766C"/>
    <w:pPr>
      <w:keepNext/>
      <w:spacing w:after="120"/>
      <w:ind w:left="567"/>
    </w:pPr>
    <w:rPr>
      <w:rFonts w:eastAsia="SimSun" w:cs="Arial"/>
      <w:szCs w:val="22"/>
    </w:rPr>
  </w:style>
  <w:style w:type="paragraph" w:customStyle="1" w:styleId="COMParaDecision">
    <w:name w:val="COM Para Decision"/>
    <w:basedOn w:val="Normal"/>
    <w:qFormat/>
    <w:rsid w:val="001A766C"/>
    <w:pPr>
      <w:autoSpaceDE w:val="0"/>
      <w:autoSpaceDN w:val="0"/>
      <w:adjustRightInd w:val="0"/>
      <w:spacing w:after="120"/>
      <w:jc w:val="both"/>
    </w:pPr>
    <w:rPr>
      <w:rFonts w:ascii="Arial" w:hAnsi="Arial" w:cs="Arial"/>
      <w:sz w:val="22"/>
      <w:szCs w:val="22"/>
      <w:u w:val="single"/>
    </w:rPr>
  </w:style>
  <w:style w:type="paragraph" w:styleId="NoSpacing">
    <w:name w:val="No Spacing"/>
    <w:uiPriority w:val="1"/>
    <w:qFormat/>
    <w:rsid w:val="00BC3420"/>
    <w:rPr>
      <w:rFonts w:ascii="Times New Roman" w:eastAsia="Times New Roman" w:hAnsi="Times New Roman"/>
      <w:sz w:val="24"/>
      <w:szCs w:val="24"/>
    </w:rPr>
  </w:style>
  <w:style w:type="table" w:customStyle="1" w:styleId="TableGrid1">
    <w:name w:val="Table Grid1"/>
    <w:basedOn w:val="TableNormal"/>
    <w:next w:val="TableGrid"/>
    <w:uiPriority w:val="59"/>
    <w:rsid w:val="008B64DF"/>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MTitleDecision">
    <w:name w:val="COM Title Decision"/>
    <w:basedOn w:val="Normal"/>
    <w:qFormat/>
    <w:rsid w:val="005158FF"/>
    <w:pPr>
      <w:keepNext/>
      <w:spacing w:before="240" w:after="120"/>
      <w:ind w:left="567"/>
      <w:jc w:val="both"/>
    </w:pPr>
    <w:rPr>
      <w:rFonts w:ascii="Arial" w:hAnsi="Arial" w:cs="Arial"/>
      <w:b/>
      <w:sz w:val="22"/>
      <w:szCs w:val="22"/>
    </w:rPr>
  </w:style>
  <w:style w:type="paragraph" w:customStyle="1" w:styleId="COMPreambulaDecisions">
    <w:name w:val="COM Preambula Decisions"/>
    <w:basedOn w:val="Normal"/>
    <w:qFormat/>
    <w:rsid w:val="005158FF"/>
    <w:pPr>
      <w:keepNext/>
      <w:spacing w:after="120"/>
      <w:ind w:left="567"/>
      <w:jc w:val="both"/>
    </w:pPr>
    <w:rPr>
      <w:rFonts w:ascii="Arial" w:hAnsi="Arial" w:cs="Arial"/>
      <w:sz w:val="22"/>
      <w:szCs w:val="22"/>
    </w:rPr>
  </w:style>
  <w:style w:type="paragraph" w:styleId="ListParagraph">
    <w:name w:val="List Paragraph"/>
    <w:aliases w:val="List Paragraph (numbered (a)),Lapis Bulleted List,Dot pt,F5 List Paragraph,List Paragraph Char Char Char,Indicator Text,Numbered Para 1,Bullet 1,List Paragraph12,Bullet Points,MAIN CONTENT,List Paragraph1"/>
    <w:basedOn w:val="Normal"/>
    <w:link w:val="ListParagraphChar"/>
    <w:uiPriority w:val="34"/>
    <w:qFormat/>
    <w:rsid w:val="005158FF"/>
    <w:pPr>
      <w:ind w:left="720"/>
      <w:contextualSpacing/>
    </w:pPr>
  </w:style>
  <w:style w:type="character" w:styleId="Hyperlink">
    <w:name w:val="Hyperlink"/>
    <w:basedOn w:val="DefaultParagraphFont"/>
    <w:uiPriority w:val="99"/>
    <w:unhideWhenUsed/>
    <w:rsid w:val="009B5302"/>
    <w:rPr>
      <w:color w:val="0000FF" w:themeColor="hyperlink"/>
      <w:u w:val="single"/>
    </w:rPr>
  </w:style>
  <w:style w:type="paragraph" w:customStyle="1" w:styleId="BODYTEXT">
    <w:name w:val="¬BODY TEXT"/>
    <w:basedOn w:val="Normal"/>
    <w:link w:val="BODYTEXTChar"/>
    <w:qFormat/>
    <w:rsid w:val="00BD77A3"/>
    <w:pPr>
      <w:numPr>
        <w:numId w:val="4"/>
      </w:numPr>
      <w:tabs>
        <w:tab w:val="left" w:pos="709"/>
        <w:tab w:val="left" w:pos="1418"/>
        <w:tab w:val="left" w:pos="2126"/>
        <w:tab w:val="left" w:pos="2835"/>
      </w:tabs>
      <w:snapToGrid w:val="0"/>
      <w:spacing w:before="240" w:after="120"/>
      <w:jc w:val="both"/>
    </w:pPr>
    <w:rPr>
      <w:rFonts w:ascii="Arial" w:eastAsia="Calibri" w:hAnsi="Arial" w:cs="Arial"/>
      <w:color w:val="000000"/>
      <w:sz w:val="22"/>
      <w:szCs w:val="22"/>
    </w:rPr>
  </w:style>
  <w:style w:type="character" w:customStyle="1" w:styleId="BODYTEXTChar">
    <w:name w:val="¬BODY TEXT Char"/>
    <w:link w:val="BODYTEXT"/>
    <w:rsid w:val="00BD77A3"/>
    <w:rPr>
      <w:rFonts w:ascii="Arial" w:eastAsia="Calibri" w:hAnsi="Arial" w:cs="Arial"/>
      <w:color w:val="000000"/>
      <w:sz w:val="22"/>
      <w:szCs w:val="22"/>
    </w:rPr>
  </w:style>
  <w:style w:type="paragraph" w:customStyle="1" w:styleId="COMPara">
    <w:name w:val="COM Para"/>
    <w:qFormat/>
    <w:rsid w:val="006E2D5D"/>
    <w:pPr>
      <w:spacing w:after="120"/>
      <w:ind w:left="720" w:hanging="360"/>
    </w:pPr>
    <w:rPr>
      <w:rFonts w:ascii="Arial" w:eastAsia="Times New Roman" w:hAnsi="Arial" w:cs="Arial"/>
      <w:snapToGrid w:val="0"/>
      <w:sz w:val="22"/>
      <w:szCs w:val="22"/>
      <w:lang w:val="en-GB" w:eastAsia="en-US"/>
    </w:rPr>
  </w:style>
  <w:style w:type="paragraph" w:customStyle="1" w:styleId="Para">
    <w:name w:val="Para"/>
    <w:basedOn w:val="Normal"/>
    <w:link w:val="ParaChar"/>
    <w:qFormat/>
    <w:rsid w:val="007F1D8B"/>
    <w:pPr>
      <w:numPr>
        <w:numId w:val="6"/>
      </w:numPr>
      <w:spacing w:after="120" w:line="240" w:lineRule="exact"/>
      <w:jc w:val="both"/>
    </w:pPr>
    <w:rPr>
      <w:rFonts w:ascii="Arial" w:eastAsia="SimSun" w:hAnsi="Arial"/>
      <w:sz w:val="20"/>
      <w:szCs w:val="20"/>
    </w:rPr>
  </w:style>
  <w:style w:type="character" w:customStyle="1" w:styleId="ParaChar">
    <w:name w:val="Para Char"/>
    <w:link w:val="Para"/>
    <w:locked/>
    <w:rsid w:val="007F1D8B"/>
    <w:rPr>
      <w:rFonts w:ascii="Arial" w:hAnsi="Arial"/>
    </w:rPr>
  </w:style>
  <w:style w:type="character" w:styleId="CommentReference">
    <w:name w:val="annotation reference"/>
    <w:basedOn w:val="DefaultParagraphFont"/>
    <w:uiPriority w:val="99"/>
    <w:semiHidden/>
    <w:unhideWhenUsed/>
    <w:rsid w:val="0061519D"/>
    <w:rPr>
      <w:sz w:val="16"/>
      <w:szCs w:val="16"/>
    </w:rPr>
  </w:style>
  <w:style w:type="character" w:customStyle="1" w:styleId="Heading1Char">
    <w:name w:val="Heading 1 Char"/>
    <w:basedOn w:val="DefaultParagraphFont"/>
    <w:link w:val="Heading1"/>
    <w:uiPriority w:val="9"/>
    <w:rsid w:val="004F381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4F3818"/>
    <w:rPr>
      <w:rFonts w:ascii="Arial" w:hAnsi="Arial" w:cs="Angsana New"/>
      <w:sz w:val="22"/>
      <w:szCs w:val="24"/>
    </w:rPr>
  </w:style>
  <w:style w:type="character" w:customStyle="1" w:styleId="Heading5Char">
    <w:name w:val="Heading 5 Char"/>
    <w:basedOn w:val="DefaultParagraphFont"/>
    <w:link w:val="Heading5"/>
    <w:uiPriority w:val="9"/>
    <w:semiHidden/>
    <w:rsid w:val="004F3818"/>
    <w:rPr>
      <w:rFonts w:ascii="Cambria" w:hAnsi="Cambria" w:cs="Angsana New"/>
      <w:color w:val="365F91"/>
      <w:sz w:val="24"/>
      <w:szCs w:val="24"/>
    </w:rPr>
  </w:style>
  <w:style w:type="character" w:customStyle="1" w:styleId="Heading6Char">
    <w:name w:val="Heading 6 Char"/>
    <w:basedOn w:val="DefaultParagraphFont"/>
    <w:link w:val="Heading6"/>
    <w:uiPriority w:val="9"/>
    <w:semiHidden/>
    <w:rsid w:val="004F3818"/>
    <w:rPr>
      <w:rFonts w:ascii="Cambria" w:hAnsi="Cambria" w:cs="Angsana New"/>
      <w:color w:val="243F60"/>
      <w:sz w:val="24"/>
      <w:szCs w:val="24"/>
    </w:rPr>
  </w:style>
  <w:style w:type="character" w:customStyle="1" w:styleId="Heading7Char">
    <w:name w:val="Heading 7 Char"/>
    <w:basedOn w:val="DefaultParagraphFont"/>
    <w:link w:val="Heading7"/>
    <w:uiPriority w:val="9"/>
    <w:semiHidden/>
    <w:rsid w:val="004F3818"/>
    <w:rPr>
      <w:rFonts w:ascii="Cambria" w:hAnsi="Cambria" w:cs="Angsana New"/>
      <w:i/>
      <w:iCs/>
      <w:color w:val="243F60"/>
      <w:sz w:val="24"/>
      <w:szCs w:val="24"/>
    </w:rPr>
  </w:style>
  <w:style w:type="character" w:customStyle="1" w:styleId="Heading8Char">
    <w:name w:val="Heading 8 Char"/>
    <w:basedOn w:val="DefaultParagraphFont"/>
    <w:link w:val="Heading8"/>
    <w:uiPriority w:val="9"/>
    <w:semiHidden/>
    <w:rsid w:val="004F3818"/>
    <w:rPr>
      <w:rFonts w:ascii="Cambria" w:hAnsi="Cambria" w:cs="Angsana New"/>
      <w:color w:val="272727"/>
      <w:sz w:val="21"/>
      <w:szCs w:val="21"/>
    </w:rPr>
  </w:style>
  <w:style w:type="character" w:customStyle="1" w:styleId="Heading9Char">
    <w:name w:val="Heading 9 Char"/>
    <w:basedOn w:val="DefaultParagraphFont"/>
    <w:link w:val="Heading9"/>
    <w:uiPriority w:val="9"/>
    <w:semiHidden/>
    <w:rsid w:val="004F3818"/>
    <w:rPr>
      <w:rFonts w:ascii="Cambria" w:hAnsi="Cambria" w:cs="Angsana New"/>
      <w:i/>
      <w:iCs/>
      <w:color w:val="272727"/>
      <w:sz w:val="21"/>
      <w:szCs w:val="21"/>
    </w:rPr>
  </w:style>
  <w:style w:type="paragraph" w:styleId="CommentText">
    <w:name w:val="annotation text"/>
    <w:basedOn w:val="Normal"/>
    <w:link w:val="CommentTextChar"/>
    <w:uiPriority w:val="99"/>
    <w:unhideWhenUsed/>
    <w:rsid w:val="004F3818"/>
    <w:rPr>
      <w:rFonts w:ascii="Arial" w:hAnsi="Arial"/>
      <w:sz w:val="20"/>
      <w:szCs w:val="20"/>
    </w:rPr>
  </w:style>
  <w:style w:type="character" w:customStyle="1" w:styleId="CommentTextChar">
    <w:name w:val="Comment Text Char"/>
    <w:basedOn w:val="DefaultParagraphFont"/>
    <w:link w:val="CommentText"/>
    <w:uiPriority w:val="99"/>
    <w:rsid w:val="004F3818"/>
    <w:rPr>
      <w:rFonts w:ascii="Arial" w:eastAsia="Times New Roman" w:hAnsi="Arial"/>
    </w:rPr>
  </w:style>
  <w:style w:type="paragraph" w:customStyle="1" w:styleId="DocMain">
    <w:name w:val="Doc_Main"/>
    <w:basedOn w:val="Normal"/>
    <w:rsid w:val="004F3818"/>
    <w:pPr>
      <w:spacing w:before="240" w:after="240"/>
      <w:ind w:left="720" w:hanging="360"/>
      <w:jc w:val="both"/>
    </w:pPr>
    <w:rPr>
      <w:rFonts w:ascii="Arial" w:eastAsia="SimSun" w:hAnsi="Arial" w:cs="Arial"/>
      <w:sz w:val="22"/>
      <w:szCs w:val="22"/>
      <w:lang w:eastAsia="zh-CN" w:bidi="en-US"/>
    </w:rPr>
  </w:style>
  <w:style w:type="paragraph" w:customStyle="1" w:styleId="NoSpacing1">
    <w:name w:val="No Spacing1"/>
    <w:rsid w:val="004F3818"/>
    <w:rPr>
      <w:sz w:val="22"/>
      <w:szCs w:val="22"/>
      <w:lang w:eastAsia="zh-CN" w:bidi="en-US"/>
    </w:rPr>
  </w:style>
  <w:style w:type="paragraph" w:styleId="FootnoteText">
    <w:name w:val="footnote text"/>
    <w:basedOn w:val="Normal"/>
    <w:link w:val="FootnoteTextChar"/>
    <w:uiPriority w:val="99"/>
    <w:unhideWhenUsed/>
    <w:rsid w:val="004F3818"/>
    <w:rPr>
      <w:sz w:val="20"/>
      <w:szCs w:val="20"/>
    </w:rPr>
  </w:style>
  <w:style w:type="character" w:customStyle="1" w:styleId="FootnoteTextChar">
    <w:name w:val="Footnote Text Char"/>
    <w:basedOn w:val="DefaultParagraphFont"/>
    <w:link w:val="FootnoteText"/>
    <w:uiPriority w:val="99"/>
    <w:rsid w:val="004F3818"/>
    <w:rPr>
      <w:rFonts w:ascii="Times New Roman" w:eastAsia="Times New Roman" w:hAnsi="Times New Roman"/>
    </w:rPr>
  </w:style>
  <w:style w:type="character" w:styleId="FootnoteReference">
    <w:name w:val="footnote reference"/>
    <w:basedOn w:val="DefaultParagraphFont"/>
    <w:uiPriority w:val="99"/>
    <w:unhideWhenUsed/>
    <w:rsid w:val="004F3818"/>
    <w:rPr>
      <w:vertAlign w:val="superscript"/>
    </w:rPr>
  </w:style>
  <w:style w:type="paragraph" w:customStyle="1" w:styleId="Heading31">
    <w:name w:val="Heading 31"/>
    <w:basedOn w:val="Normal"/>
    <w:next w:val="Normal"/>
    <w:uiPriority w:val="9"/>
    <w:semiHidden/>
    <w:unhideWhenUsed/>
    <w:qFormat/>
    <w:rsid w:val="004F3818"/>
    <w:pPr>
      <w:keepNext/>
      <w:keepLines/>
      <w:spacing w:before="40"/>
      <w:jc w:val="both"/>
      <w:outlineLvl w:val="2"/>
    </w:pPr>
    <w:rPr>
      <w:rFonts w:ascii="Arial" w:eastAsia="SimSun" w:hAnsi="Arial" w:cs="Angsana New"/>
      <w:sz w:val="22"/>
    </w:rPr>
  </w:style>
  <w:style w:type="paragraph" w:customStyle="1" w:styleId="Heading51">
    <w:name w:val="Heading 51"/>
    <w:basedOn w:val="Normal"/>
    <w:next w:val="Normal"/>
    <w:uiPriority w:val="9"/>
    <w:semiHidden/>
    <w:unhideWhenUsed/>
    <w:qFormat/>
    <w:rsid w:val="004F3818"/>
    <w:pPr>
      <w:keepNext/>
      <w:keepLines/>
      <w:spacing w:before="40"/>
      <w:ind w:left="3600" w:hanging="360"/>
      <w:outlineLvl w:val="4"/>
    </w:pPr>
    <w:rPr>
      <w:rFonts w:ascii="Cambria" w:eastAsia="SimSun" w:hAnsi="Cambria" w:cs="Angsana New"/>
      <w:color w:val="365F91"/>
    </w:rPr>
  </w:style>
  <w:style w:type="paragraph" w:customStyle="1" w:styleId="Heading61">
    <w:name w:val="Heading 61"/>
    <w:basedOn w:val="Normal"/>
    <w:next w:val="Normal"/>
    <w:uiPriority w:val="9"/>
    <w:semiHidden/>
    <w:unhideWhenUsed/>
    <w:qFormat/>
    <w:rsid w:val="004F3818"/>
    <w:pPr>
      <w:keepNext/>
      <w:keepLines/>
      <w:spacing w:before="40"/>
      <w:ind w:left="4320" w:hanging="180"/>
      <w:outlineLvl w:val="5"/>
    </w:pPr>
    <w:rPr>
      <w:rFonts w:ascii="Cambria" w:eastAsia="SimSun" w:hAnsi="Cambria" w:cs="Angsana New"/>
      <w:color w:val="243F60"/>
    </w:rPr>
  </w:style>
  <w:style w:type="paragraph" w:customStyle="1" w:styleId="Heading71">
    <w:name w:val="Heading 71"/>
    <w:basedOn w:val="Normal"/>
    <w:next w:val="Normal"/>
    <w:uiPriority w:val="9"/>
    <w:semiHidden/>
    <w:unhideWhenUsed/>
    <w:qFormat/>
    <w:rsid w:val="004F3818"/>
    <w:pPr>
      <w:keepNext/>
      <w:keepLines/>
      <w:spacing w:before="40"/>
      <w:ind w:left="5040" w:hanging="360"/>
      <w:outlineLvl w:val="6"/>
    </w:pPr>
    <w:rPr>
      <w:rFonts w:ascii="Cambria" w:eastAsia="SimSun" w:hAnsi="Cambria" w:cs="Angsana New"/>
      <w:i/>
      <w:iCs/>
      <w:color w:val="243F60"/>
    </w:rPr>
  </w:style>
  <w:style w:type="paragraph" w:customStyle="1" w:styleId="Heading81">
    <w:name w:val="Heading 81"/>
    <w:basedOn w:val="Normal"/>
    <w:next w:val="Normal"/>
    <w:uiPriority w:val="9"/>
    <w:semiHidden/>
    <w:unhideWhenUsed/>
    <w:qFormat/>
    <w:rsid w:val="004F3818"/>
    <w:pPr>
      <w:keepNext/>
      <w:keepLines/>
      <w:spacing w:before="40"/>
      <w:ind w:left="5760" w:hanging="360"/>
      <w:outlineLvl w:val="7"/>
    </w:pPr>
    <w:rPr>
      <w:rFonts w:ascii="Cambria" w:eastAsia="SimSun" w:hAnsi="Cambria" w:cs="Angsana New"/>
      <w:color w:val="272727"/>
      <w:sz w:val="21"/>
      <w:szCs w:val="21"/>
    </w:rPr>
  </w:style>
  <w:style w:type="paragraph" w:customStyle="1" w:styleId="Heading91">
    <w:name w:val="Heading 91"/>
    <w:basedOn w:val="Normal"/>
    <w:next w:val="Normal"/>
    <w:uiPriority w:val="9"/>
    <w:semiHidden/>
    <w:unhideWhenUsed/>
    <w:qFormat/>
    <w:rsid w:val="004F3818"/>
    <w:pPr>
      <w:keepNext/>
      <w:keepLines/>
      <w:spacing w:before="40"/>
      <w:ind w:left="6480" w:hanging="180"/>
      <w:outlineLvl w:val="8"/>
    </w:pPr>
    <w:rPr>
      <w:rFonts w:ascii="Cambria" w:eastAsia="SimSun" w:hAnsi="Cambria" w:cs="Angsana New"/>
      <w:i/>
      <w:iCs/>
      <w:color w:val="272727"/>
      <w:sz w:val="21"/>
      <w:szCs w:val="21"/>
    </w:rPr>
  </w:style>
  <w:style w:type="numbering" w:customStyle="1" w:styleId="NoList1">
    <w:name w:val="No List1"/>
    <w:next w:val="NoList"/>
    <w:uiPriority w:val="99"/>
    <w:semiHidden/>
    <w:unhideWhenUsed/>
    <w:rsid w:val="004F3818"/>
  </w:style>
  <w:style w:type="paragraph" w:customStyle="1" w:styleId="Default">
    <w:name w:val="Default"/>
    <w:rsid w:val="004F3818"/>
    <w:pPr>
      <w:autoSpaceDE w:val="0"/>
      <w:autoSpaceDN w:val="0"/>
      <w:adjustRightInd w:val="0"/>
    </w:pPr>
    <w:rPr>
      <w:rFonts w:ascii="Arial" w:hAnsi="Arial" w:cs="Arial"/>
      <w:color w:val="000000"/>
      <w:sz w:val="24"/>
      <w:szCs w:val="24"/>
      <w:lang w:eastAsia="zh-CN"/>
    </w:rPr>
  </w:style>
  <w:style w:type="paragraph" w:styleId="NormalWeb">
    <w:name w:val="Normal (Web)"/>
    <w:basedOn w:val="Normal"/>
    <w:uiPriority w:val="99"/>
    <w:unhideWhenUsed/>
    <w:rsid w:val="004F3818"/>
    <w:pPr>
      <w:spacing w:before="100" w:beforeAutospacing="1" w:after="100" w:afterAutospacing="1"/>
    </w:pPr>
  </w:style>
  <w:style w:type="paragraph" w:styleId="CommentSubject">
    <w:name w:val="annotation subject"/>
    <w:basedOn w:val="CommentText"/>
    <w:next w:val="CommentText"/>
    <w:link w:val="CommentSubjectChar"/>
    <w:uiPriority w:val="99"/>
    <w:semiHidden/>
    <w:unhideWhenUsed/>
    <w:rsid w:val="004F3818"/>
    <w:rPr>
      <w:b/>
      <w:bCs/>
    </w:rPr>
  </w:style>
  <w:style w:type="character" w:customStyle="1" w:styleId="CommentSubjectChar">
    <w:name w:val="Comment Subject Char"/>
    <w:basedOn w:val="CommentTextChar"/>
    <w:link w:val="CommentSubject"/>
    <w:uiPriority w:val="99"/>
    <w:semiHidden/>
    <w:rsid w:val="004F3818"/>
    <w:rPr>
      <w:rFonts w:ascii="Arial" w:eastAsia="Times New Roman" w:hAnsi="Arial"/>
      <w:b/>
      <w:bCs/>
    </w:rPr>
  </w:style>
  <w:style w:type="table" w:customStyle="1" w:styleId="TableGrid2">
    <w:name w:val="Table Grid2"/>
    <w:basedOn w:val="TableNormal"/>
    <w:next w:val="TableGrid"/>
    <w:uiPriority w:val="59"/>
    <w:rsid w:val="004F38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1">
    <w:name w:val="Style1"/>
    <w:uiPriority w:val="99"/>
    <w:rsid w:val="004F3818"/>
    <w:pPr>
      <w:numPr>
        <w:numId w:val="8"/>
      </w:numPr>
    </w:pPr>
  </w:style>
  <w:style w:type="paragraph" w:styleId="Revision">
    <w:name w:val="Revision"/>
    <w:hidden/>
    <w:uiPriority w:val="99"/>
    <w:semiHidden/>
    <w:rsid w:val="004F3818"/>
    <w:rPr>
      <w:rFonts w:ascii="Arial" w:eastAsia="Times New Roman" w:hAnsi="Arial"/>
      <w:sz w:val="24"/>
      <w:szCs w:val="24"/>
    </w:rPr>
  </w:style>
  <w:style w:type="character" w:customStyle="1" w:styleId="Heading3Char1">
    <w:name w:val="Heading 3 Char1"/>
    <w:basedOn w:val="DefaultParagraphFont"/>
    <w:uiPriority w:val="9"/>
    <w:semiHidden/>
    <w:rsid w:val="004F3818"/>
    <w:rPr>
      <w:rFonts w:asciiTheme="majorHAnsi" w:eastAsiaTheme="majorEastAsia" w:hAnsiTheme="majorHAnsi" w:cstheme="majorBidi"/>
      <w:color w:val="243F60" w:themeColor="accent1" w:themeShade="7F"/>
      <w:sz w:val="24"/>
      <w:szCs w:val="24"/>
    </w:rPr>
  </w:style>
  <w:style w:type="character" w:customStyle="1" w:styleId="Heading5Char1">
    <w:name w:val="Heading 5 Char1"/>
    <w:basedOn w:val="DefaultParagraphFont"/>
    <w:uiPriority w:val="9"/>
    <w:semiHidden/>
    <w:rsid w:val="004F3818"/>
    <w:rPr>
      <w:rFonts w:asciiTheme="majorHAnsi" w:eastAsiaTheme="majorEastAsia" w:hAnsiTheme="majorHAnsi" w:cstheme="majorBidi"/>
      <w:color w:val="365F91" w:themeColor="accent1" w:themeShade="BF"/>
      <w:sz w:val="24"/>
      <w:szCs w:val="24"/>
    </w:rPr>
  </w:style>
  <w:style w:type="character" w:customStyle="1" w:styleId="Heading6Char1">
    <w:name w:val="Heading 6 Char1"/>
    <w:basedOn w:val="DefaultParagraphFont"/>
    <w:uiPriority w:val="9"/>
    <w:semiHidden/>
    <w:rsid w:val="004F3818"/>
    <w:rPr>
      <w:rFonts w:asciiTheme="majorHAnsi" w:eastAsiaTheme="majorEastAsia" w:hAnsiTheme="majorHAnsi" w:cstheme="majorBidi"/>
      <w:color w:val="243F60" w:themeColor="accent1" w:themeShade="7F"/>
      <w:sz w:val="24"/>
      <w:szCs w:val="24"/>
    </w:rPr>
  </w:style>
  <w:style w:type="character" w:customStyle="1" w:styleId="Heading7Char1">
    <w:name w:val="Heading 7 Char1"/>
    <w:basedOn w:val="DefaultParagraphFont"/>
    <w:uiPriority w:val="9"/>
    <w:semiHidden/>
    <w:rsid w:val="004F3818"/>
    <w:rPr>
      <w:rFonts w:asciiTheme="majorHAnsi" w:eastAsiaTheme="majorEastAsia" w:hAnsiTheme="majorHAnsi" w:cstheme="majorBidi"/>
      <w:i/>
      <w:iCs/>
      <w:color w:val="243F60" w:themeColor="accent1" w:themeShade="7F"/>
      <w:sz w:val="24"/>
      <w:szCs w:val="24"/>
    </w:rPr>
  </w:style>
  <w:style w:type="character" w:customStyle="1" w:styleId="Heading8Char1">
    <w:name w:val="Heading 8 Char1"/>
    <w:basedOn w:val="DefaultParagraphFont"/>
    <w:uiPriority w:val="9"/>
    <w:semiHidden/>
    <w:rsid w:val="004F3818"/>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4F3818"/>
    <w:rPr>
      <w:rFonts w:asciiTheme="majorHAnsi" w:eastAsiaTheme="majorEastAsia" w:hAnsiTheme="majorHAnsi" w:cstheme="majorBidi"/>
      <w:i/>
      <w:iCs/>
      <w:color w:val="272727" w:themeColor="text1" w:themeTint="D8"/>
      <w:sz w:val="21"/>
      <w:szCs w:val="21"/>
    </w:rPr>
  </w:style>
  <w:style w:type="numbering" w:customStyle="1" w:styleId="NoList2">
    <w:name w:val="No List2"/>
    <w:next w:val="NoList"/>
    <w:uiPriority w:val="99"/>
    <w:semiHidden/>
    <w:unhideWhenUsed/>
    <w:rsid w:val="004F3818"/>
  </w:style>
  <w:style w:type="table" w:customStyle="1" w:styleId="TableGrid3">
    <w:name w:val="Table Grid3"/>
    <w:basedOn w:val="TableNormal"/>
    <w:next w:val="TableGrid"/>
    <w:uiPriority w:val="59"/>
    <w:rsid w:val="004F38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11">
    <w:name w:val="Style11"/>
    <w:uiPriority w:val="99"/>
    <w:rsid w:val="004F3818"/>
  </w:style>
  <w:style w:type="numbering" w:customStyle="1" w:styleId="NoList3">
    <w:name w:val="No List3"/>
    <w:next w:val="NoList"/>
    <w:uiPriority w:val="99"/>
    <w:semiHidden/>
    <w:unhideWhenUsed/>
    <w:rsid w:val="004F3818"/>
  </w:style>
  <w:style w:type="table" w:customStyle="1" w:styleId="TableGrid4">
    <w:name w:val="Table Grid4"/>
    <w:basedOn w:val="TableNormal"/>
    <w:next w:val="TableGrid"/>
    <w:uiPriority w:val="59"/>
    <w:rsid w:val="004F38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4F3818"/>
    <w:rPr>
      <w:color w:val="800080" w:themeColor="followedHyperlink"/>
      <w:u w:val="single"/>
    </w:rPr>
  </w:style>
  <w:style w:type="paragraph" w:customStyle="1" w:styleId="GAPreambulaResolution">
    <w:name w:val="GA Preambula Resolution"/>
    <w:basedOn w:val="Normal"/>
    <w:qFormat/>
    <w:rsid w:val="001B3562"/>
    <w:pPr>
      <w:keepNext/>
      <w:spacing w:after="120"/>
      <w:ind w:left="567"/>
      <w:jc w:val="both"/>
    </w:pPr>
    <w:rPr>
      <w:rFonts w:ascii="Arial" w:hAnsi="Arial" w:cs="Arial"/>
      <w:sz w:val="22"/>
      <w:szCs w:val="22"/>
    </w:rPr>
  </w:style>
  <w:style w:type="character" w:customStyle="1" w:styleId="UnresolvedMention">
    <w:name w:val="Unresolved Mention"/>
    <w:basedOn w:val="DefaultParagraphFont"/>
    <w:uiPriority w:val="99"/>
    <w:semiHidden/>
    <w:unhideWhenUsed/>
    <w:rsid w:val="00CC6111"/>
    <w:rPr>
      <w:color w:val="605E5C"/>
      <w:shd w:val="clear" w:color="auto" w:fill="E1DFDD"/>
    </w:rPr>
  </w:style>
  <w:style w:type="character" w:customStyle="1" w:styleId="hps">
    <w:name w:val="hps"/>
    <w:rsid w:val="00BD112F"/>
  </w:style>
  <w:style w:type="character" w:customStyle="1" w:styleId="Aucun">
    <w:name w:val="Aucun"/>
    <w:rsid w:val="00E418D9"/>
    <w:rPr>
      <w:lang w:val="fr-FR"/>
    </w:rPr>
  </w:style>
  <w:style w:type="numbering" w:customStyle="1" w:styleId="Style5import">
    <w:name w:val="Style 5 importé"/>
    <w:rsid w:val="00E418D9"/>
    <w:pPr>
      <w:numPr>
        <w:numId w:val="21"/>
      </w:numPr>
    </w:pPr>
  </w:style>
  <w:style w:type="numbering" w:customStyle="1" w:styleId="Headingsubdecision">
    <w:name w:val="Heading sub decision"/>
    <w:uiPriority w:val="99"/>
    <w:rsid w:val="00A14531"/>
    <w:pPr>
      <w:numPr>
        <w:numId w:val="23"/>
      </w:numPr>
    </w:pPr>
  </w:style>
  <w:style w:type="character" w:customStyle="1" w:styleId="Style1Char">
    <w:name w:val="Style1 Char"/>
    <w:basedOn w:val="DefaultParagraphFont"/>
    <w:rsid w:val="00A14531"/>
    <w:rPr>
      <w:rFonts w:ascii="Arial" w:eastAsia="Times New Roman" w:hAnsi="Arial" w:cs="Arial"/>
      <w:sz w:val="22"/>
      <w:szCs w:val="22"/>
    </w:rPr>
  </w:style>
  <w:style w:type="numbering" w:customStyle="1" w:styleId="Headingsubdecision1">
    <w:name w:val="Heading sub decision1"/>
    <w:uiPriority w:val="99"/>
    <w:rsid w:val="008F7934"/>
    <w:pPr>
      <w:numPr>
        <w:numId w:val="1"/>
      </w:numPr>
    </w:pPr>
  </w:style>
  <w:style w:type="paragraph" w:customStyle="1" w:styleId="p1">
    <w:name w:val="p1"/>
    <w:basedOn w:val="Normal"/>
    <w:rsid w:val="00191F85"/>
    <w:rPr>
      <w:rFonts w:ascii="Helvetica" w:eastAsia="SimSun" w:hAnsi="Helvetica"/>
      <w:sz w:val="17"/>
      <w:szCs w:val="17"/>
      <w:lang w:eastAsia="es-ES_tradnl"/>
    </w:rPr>
  </w:style>
  <w:style w:type="numbering" w:customStyle="1" w:styleId="NoList4">
    <w:name w:val="No List4"/>
    <w:next w:val="NoList"/>
    <w:uiPriority w:val="99"/>
    <w:semiHidden/>
    <w:unhideWhenUsed/>
    <w:rsid w:val="0001502D"/>
  </w:style>
  <w:style w:type="table" w:customStyle="1" w:styleId="TableGrid5">
    <w:name w:val="Table Grid5"/>
    <w:basedOn w:val="TableNormal"/>
    <w:next w:val="TableGrid"/>
    <w:uiPriority w:val="59"/>
    <w:rsid w:val="0001502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59"/>
    <w:rsid w:val="0001502D"/>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Headingsubdecision2">
    <w:name w:val="Heading sub decision2"/>
    <w:uiPriority w:val="99"/>
    <w:rsid w:val="0001502D"/>
    <w:pPr>
      <w:numPr>
        <w:numId w:val="22"/>
      </w:numPr>
    </w:pPr>
  </w:style>
  <w:style w:type="paragraph" w:customStyle="1" w:styleId="formtext">
    <w:name w:val="formtext"/>
    <w:basedOn w:val="Normal"/>
    <w:rsid w:val="0001502D"/>
    <w:pPr>
      <w:spacing w:before="80" w:after="80" w:line="240" w:lineRule="exact"/>
    </w:pPr>
    <w:rPr>
      <w:rFonts w:ascii="Arial" w:eastAsia="SimSun" w:hAnsi="Arial"/>
      <w:sz w:val="22"/>
      <w:szCs w:val="22"/>
    </w:rPr>
  </w:style>
  <w:style w:type="paragraph" w:customStyle="1" w:styleId="Style">
    <w:name w:val="Style"/>
    <w:rsid w:val="0001502D"/>
    <w:pPr>
      <w:widowControl w:val="0"/>
      <w:autoSpaceDE w:val="0"/>
      <w:autoSpaceDN w:val="0"/>
      <w:adjustRightInd w:val="0"/>
    </w:pPr>
    <w:rPr>
      <w:rFonts w:ascii="Times New Roman" w:eastAsia="Times New Roman" w:hAnsi="Times New Roman"/>
      <w:sz w:val="24"/>
      <w:szCs w:val="24"/>
    </w:rPr>
  </w:style>
  <w:style w:type="paragraph" w:customStyle="1" w:styleId="Rponse">
    <w:name w:val="Réponse"/>
    <w:basedOn w:val="Normal"/>
    <w:rsid w:val="0001502D"/>
    <w:pPr>
      <w:spacing w:before="80" w:after="80" w:line="240" w:lineRule="exact"/>
      <w:jc w:val="both"/>
    </w:pPr>
    <w:rPr>
      <w:rFonts w:ascii="Arial" w:hAnsi="Arial" w:cs="Arial"/>
      <w:sz w:val="22"/>
      <w:szCs w:val="22"/>
    </w:rPr>
  </w:style>
  <w:style w:type="numbering" w:customStyle="1" w:styleId="Headingsubdecision11">
    <w:name w:val="Heading sub decision11"/>
    <w:uiPriority w:val="99"/>
    <w:rsid w:val="0001502D"/>
  </w:style>
  <w:style w:type="character" w:styleId="Emphasis">
    <w:name w:val="Emphasis"/>
    <w:basedOn w:val="DefaultParagraphFont"/>
    <w:uiPriority w:val="20"/>
    <w:qFormat/>
    <w:rsid w:val="0001502D"/>
    <w:rPr>
      <w:i/>
      <w:iCs/>
    </w:rPr>
  </w:style>
  <w:style w:type="paragraph" w:customStyle="1" w:styleId="Style2">
    <w:name w:val="Style2"/>
    <w:basedOn w:val="Normal"/>
    <w:link w:val="Style2Char"/>
    <w:qFormat/>
    <w:rsid w:val="00814661"/>
    <w:pPr>
      <w:pageBreakBefore/>
      <w:autoSpaceDE w:val="0"/>
      <w:autoSpaceDN w:val="0"/>
      <w:adjustRightInd w:val="0"/>
      <w:spacing w:before="120" w:after="120"/>
      <w:ind w:left="360"/>
      <w:jc w:val="both"/>
    </w:pPr>
    <w:rPr>
      <w:rFonts w:ascii="Arial" w:hAnsi="Arial" w:cs="Arial"/>
      <w:b/>
      <w:bCs/>
      <w:color w:val="000000" w:themeColor="text1"/>
      <w:sz w:val="22"/>
      <w:szCs w:val="22"/>
      <w:u w:val="single"/>
    </w:rPr>
  </w:style>
  <w:style w:type="table" w:customStyle="1" w:styleId="TableauGrille4-Accentuation11">
    <w:name w:val="Tableau Grille 4 - Accentuation 11"/>
    <w:basedOn w:val="TableNormal"/>
    <w:uiPriority w:val="49"/>
    <w:rsid w:val="00BB775D"/>
    <w:rPr>
      <w:rFonts w:asciiTheme="minorHAnsi" w:eastAsiaTheme="minorHAnsi" w:hAnsiTheme="minorHAnsi" w:cstheme="minorBidi"/>
      <w:sz w:val="22"/>
      <w:szCs w:val="22"/>
      <w:lang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Style2Char">
    <w:name w:val="Style2 Char"/>
    <w:basedOn w:val="DefaultParagraphFont"/>
    <w:link w:val="Style2"/>
    <w:rsid w:val="00814661"/>
    <w:rPr>
      <w:rFonts w:ascii="Arial" w:eastAsia="Times New Roman" w:hAnsi="Arial" w:cs="Arial"/>
      <w:b/>
      <w:bCs/>
      <w:color w:val="000000" w:themeColor="text1"/>
      <w:sz w:val="22"/>
      <w:szCs w:val="22"/>
      <w:u w:val="single"/>
    </w:rPr>
  </w:style>
  <w:style w:type="paragraph" w:customStyle="1" w:styleId="Annex">
    <w:name w:val="Annex"/>
    <w:basedOn w:val="Default"/>
    <w:next w:val="Normal"/>
    <w:rsid w:val="00955D6B"/>
    <w:pPr>
      <w:pageBreakBefore/>
      <w:spacing w:before="360" w:after="240"/>
      <w:jc w:val="center"/>
      <w:outlineLvl w:val="0"/>
    </w:pPr>
    <w:rPr>
      <w:b/>
      <w:bCs/>
      <w:color w:val="auto"/>
      <w:sz w:val="22"/>
      <w:szCs w:val="22"/>
    </w:rPr>
  </w:style>
  <w:style w:type="character" w:customStyle="1" w:styleId="ListParagraphChar">
    <w:name w:val="List Paragraph Char"/>
    <w:aliases w:val="List Paragraph (numbered (a)) Char,Lapis Bulleted List Char,Dot pt Char,F5 List Paragraph Char,List Paragraph Char Char Char Char,Indicator Text Char,Numbered Para 1 Char,Bullet 1 Char,List Paragraph12 Char,Bullet Points Char"/>
    <w:link w:val="ListParagraph"/>
    <w:uiPriority w:val="34"/>
    <w:locked/>
    <w:rsid w:val="00F7202F"/>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419263">
      <w:bodyDiv w:val="1"/>
      <w:marLeft w:val="0"/>
      <w:marRight w:val="0"/>
      <w:marTop w:val="0"/>
      <w:marBottom w:val="0"/>
      <w:divBdr>
        <w:top w:val="none" w:sz="0" w:space="0" w:color="auto"/>
        <w:left w:val="none" w:sz="0" w:space="0" w:color="auto"/>
        <w:bottom w:val="none" w:sz="0" w:space="0" w:color="auto"/>
        <w:right w:val="none" w:sz="0" w:space="0" w:color="auto"/>
      </w:divBdr>
    </w:div>
    <w:div w:id="144399528">
      <w:bodyDiv w:val="1"/>
      <w:marLeft w:val="0"/>
      <w:marRight w:val="0"/>
      <w:marTop w:val="0"/>
      <w:marBottom w:val="0"/>
      <w:divBdr>
        <w:top w:val="none" w:sz="0" w:space="0" w:color="auto"/>
        <w:left w:val="none" w:sz="0" w:space="0" w:color="auto"/>
        <w:bottom w:val="none" w:sz="0" w:space="0" w:color="auto"/>
        <w:right w:val="none" w:sz="0" w:space="0" w:color="auto"/>
      </w:divBdr>
    </w:div>
    <w:div w:id="369498233">
      <w:bodyDiv w:val="1"/>
      <w:marLeft w:val="0"/>
      <w:marRight w:val="0"/>
      <w:marTop w:val="0"/>
      <w:marBottom w:val="0"/>
      <w:divBdr>
        <w:top w:val="none" w:sz="0" w:space="0" w:color="auto"/>
        <w:left w:val="none" w:sz="0" w:space="0" w:color="auto"/>
        <w:bottom w:val="none" w:sz="0" w:space="0" w:color="auto"/>
        <w:right w:val="none" w:sz="0" w:space="0" w:color="auto"/>
      </w:divBdr>
    </w:div>
    <w:div w:id="446774773">
      <w:bodyDiv w:val="1"/>
      <w:marLeft w:val="0"/>
      <w:marRight w:val="0"/>
      <w:marTop w:val="0"/>
      <w:marBottom w:val="0"/>
      <w:divBdr>
        <w:top w:val="none" w:sz="0" w:space="0" w:color="auto"/>
        <w:left w:val="none" w:sz="0" w:space="0" w:color="auto"/>
        <w:bottom w:val="none" w:sz="0" w:space="0" w:color="auto"/>
        <w:right w:val="none" w:sz="0" w:space="0" w:color="auto"/>
      </w:divBdr>
    </w:div>
    <w:div w:id="594479333">
      <w:bodyDiv w:val="1"/>
      <w:marLeft w:val="0"/>
      <w:marRight w:val="0"/>
      <w:marTop w:val="0"/>
      <w:marBottom w:val="0"/>
      <w:divBdr>
        <w:top w:val="none" w:sz="0" w:space="0" w:color="auto"/>
        <w:left w:val="none" w:sz="0" w:space="0" w:color="auto"/>
        <w:bottom w:val="none" w:sz="0" w:space="0" w:color="auto"/>
        <w:right w:val="none" w:sz="0" w:space="0" w:color="auto"/>
      </w:divBdr>
    </w:div>
    <w:div w:id="894052384">
      <w:bodyDiv w:val="1"/>
      <w:marLeft w:val="0"/>
      <w:marRight w:val="0"/>
      <w:marTop w:val="0"/>
      <w:marBottom w:val="0"/>
      <w:divBdr>
        <w:top w:val="none" w:sz="0" w:space="0" w:color="auto"/>
        <w:left w:val="none" w:sz="0" w:space="0" w:color="auto"/>
        <w:bottom w:val="none" w:sz="0" w:space="0" w:color="auto"/>
        <w:right w:val="none" w:sz="0" w:space="0" w:color="auto"/>
      </w:divBdr>
    </w:div>
    <w:div w:id="921721908">
      <w:bodyDiv w:val="1"/>
      <w:marLeft w:val="0"/>
      <w:marRight w:val="0"/>
      <w:marTop w:val="0"/>
      <w:marBottom w:val="0"/>
      <w:divBdr>
        <w:top w:val="none" w:sz="0" w:space="0" w:color="auto"/>
        <w:left w:val="none" w:sz="0" w:space="0" w:color="auto"/>
        <w:bottom w:val="none" w:sz="0" w:space="0" w:color="auto"/>
        <w:right w:val="none" w:sz="0" w:space="0" w:color="auto"/>
      </w:divBdr>
    </w:div>
    <w:div w:id="1244291462">
      <w:bodyDiv w:val="1"/>
      <w:marLeft w:val="0"/>
      <w:marRight w:val="0"/>
      <w:marTop w:val="0"/>
      <w:marBottom w:val="0"/>
      <w:divBdr>
        <w:top w:val="none" w:sz="0" w:space="0" w:color="auto"/>
        <w:left w:val="none" w:sz="0" w:space="0" w:color="auto"/>
        <w:bottom w:val="none" w:sz="0" w:space="0" w:color="auto"/>
        <w:right w:val="none" w:sz="0" w:space="0" w:color="auto"/>
      </w:divBdr>
    </w:div>
    <w:div w:id="1283457451">
      <w:bodyDiv w:val="1"/>
      <w:marLeft w:val="0"/>
      <w:marRight w:val="0"/>
      <w:marTop w:val="0"/>
      <w:marBottom w:val="0"/>
      <w:divBdr>
        <w:top w:val="none" w:sz="0" w:space="0" w:color="auto"/>
        <w:left w:val="none" w:sz="0" w:space="0" w:color="auto"/>
        <w:bottom w:val="none" w:sz="0" w:space="0" w:color="auto"/>
        <w:right w:val="none" w:sz="0" w:space="0" w:color="auto"/>
      </w:divBdr>
    </w:div>
    <w:div w:id="1336615014">
      <w:bodyDiv w:val="1"/>
      <w:marLeft w:val="0"/>
      <w:marRight w:val="0"/>
      <w:marTop w:val="0"/>
      <w:marBottom w:val="0"/>
      <w:divBdr>
        <w:top w:val="none" w:sz="0" w:space="0" w:color="auto"/>
        <w:left w:val="none" w:sz="0" w:space="0" w:color="auto"/>
        <w:bottom w:val="none" w:sz="0" w:space="0" w:color="auto"/>
        <w:right w:val="none" w:sz="0" w:space="0" w:color="auto"/>
      </w:divBdr>
    </w:div>
    <w:div w:id="1395276024">
      <w:bodyDiv w:val="1"/>
      <w:marLeft w:val="0"/>
      <w:marRight w:val="0"/>
      <w:marTop w:val="0"/>
      <w:marBottom w:val="0"/>
      <w:divBdr>
        <w:top w:val="none" w:sz="0" w:space="0" w:color="auto"/>
        <w:left w:val="none" w:sz="0" w:space="0" w:color="auto"/>
        <w:bottom w:val="none" w:sz="0" w:space="0" w:color="auto"/>
        <w:right w:val="none" w:sz="0" w:space="0" w:color="auto"/>
      </w:divBdr>
    </w:div>
    <w:div w:id="1436097688">
      <w:bodyDiv w:val="1"/>
      <w:marLeft w:val="0"/>
      <w:marRight w:val="0"/>
      <w:marTop w:val="0"/>
      <w:marBottom w:val="0"/>
      <w:divBdr>
        <w:top w:val="none" w:sz="0" w:space="0" w:color="auto"/>
        <w:left w:val="none" w:sz="0" w:space="0" w:color="auto"/>
        <w:bottom w:val="none" w:sz="0" w:space="0" w:color="auto"/>
        <w:right w:val="none" w:sz="0" w:space="0" w:color="auto"/>
      </w:divBdr>
    </w:div>
    <w:div w:id="1469978719">
      <w:bodyDiv w:val="1"/>
      <w:marLeft w:val="0"/>
      <w:marRight w:val="0"/>
      <w:marTop w:val="0"/>
      <w:marBottom w:val="0"/>
      <w:divBdr>
        <w:top w:val="none" w:sz="0" w:space="0" w:color="auto"/>
        <w:left w:val="none" w:sz="0" w:space="0" w:color="auto"/>
        <w:bottom w:val="none" w:sz="0" w:space="0" w:color="auto"/>
        <w:right w:val="none" w:sz="0" w:space="0" w:color="auto"/>
      </w:divBdr>
    </w:div>
    <w:div w:id="1554077941">
      <w:bodyDiv w:val="1"/>
      <w:marLeft w:val="0"/>
      <w:marRight w:val="0"/>
      <w:marTop w:val="0"/>
      <w:marBottom w:val="0"/>
      <w:divBdr>
        <w:top w:val="none" w:sz="0" w:space="0" w:color="auto"/>
        <w:left w:val="none" w:sz="0" w:space="0" w:color="auto"/>
        <w:bottom w:val="none" w:sz="0" w:space="0" w:color="auto"/>
        <w:right w:val="none" w:sz="0" w:space="0" w:color="auto"/>
      </w:divBdr>
    </w:div>
    <w:div w:id="1728458348">
      <w:bodyDiv w:val="1"/>
      <w:marLeft w:val="0"/>
      <w:marRight w:val="0"/>
      <w:marTop w:val="0"/>
      <w:marBottom w:val="0"/>
      <w:divBdr>
        <w:top w:val="none" w:sz="0" w:space="0" w:color="auto"/>
        <w:left w:val="none" w:sz="0" w:space="0" w:color="auto"/>
        <w:bottom w:val="none" w:sz="0" w:space="0" w:color="auto"/>
        <w:right w:val="none" w:sz="0" w:space="0" w:color="auto"/>
      </w:divBdr>
    </w:div>
    <w:div w:id="1759209422">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895851766">
      <w:bodyDiv w:val="1"/>
      <w:marLeft w:val="0"/>
      <w:marRight w:val="0"/>
      <w:marTop w:val="0"/>
      <w:marBottom w:val="0"/>
      <w:divBdr>
        <w:top w:val="none" w:sz="0" w:space="0" w:color="auto"/>
        <w:left w:val="none" w:sz="0" w:space="0" w:color="auto"/>
        <w:bottom w:val="none" w:sz="0" w:space="0" w:color="auto"/>
        <w:right w:val="none" w:sz="0" w:space="0" w:color="auto"/>
      </w:divBdr>
    </w:div>
    <w:div w:id="2013872082">
      <w:bodyDiv w:val="1"/>
      <w:marLeft w:val="0"/>
      <w:marRight w:val="0"/>
      <w:marTop w:val="0"/>
      <w:marBottom w:val="0"/>
      <w:divBdr>
        <w:top w:val="none" w:sz="0" w:space="0" w:color="auto"/>
        <w:left w:val="none" w:sz="0" w:space="0" w:color="auto"/>
        <w:bottom w:val="none" w:sz="0" w:space="0" w:color="auto"/>
        <w:right w:val="none" w:sz="0" w:space="0" w:color="auto"/>
      </w:divBdr>
    </w:div>
    <w:div w:id="2019841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ch.unesco.org/doc/src/LHE-19-14.COM-7-FR_Rev.2.docx" TargetMode="External"/><Relationship Id="rId117" Type="http://schemas.openxmlformats.org/officeDocument/2006/relationships/hyperlink" Target="https://ich.unesco.org/fr/Resolutions/6.GA/11" TargetMode="External"/><Relationship Id="rId21" Type="http://schemas.openxmlformats.org/officeDocument/2006/relationships/hyperlink" Target="https://ich.unesco.org/fr/decisions/13.COM/6" TargetMode="External"/><Relationship Id="rId42" Type="http://schemas.openxmlformats.org/officeDocument/2006/relationships/hyperlink" Target="https://ich.unesco.org/doc/src/LHE-19-14.COM-10-FR.docx" TargetMode="External"/><Relationship Id="rId47" Type="http://schemas.openxmlformats.org/officeDocument/2006/relationships/hyperlink" Target="https://ich.unesco.org/doc/src/LHE-19-14.COM-INF.10-FR.docx" TargetMode="External"/><Relationship Id="rId63" Type="http://schemas.openxmlformats.org/officeDocument/2006/relationships/hyperlink" Target="https://ich.unesco.org/doc/src/LHE-19-14.COM-10.d-FR.docx" TargetMode="External"/><Relationship Id="rId68" Type="http://schemas.openxmlformats.org/officeDocument/2006/relationships/hyperlink" Target="https://ich.unesco.org/fr/D%C3%A9cisions/7.COM/15" TargetMode="External"/><Relationship Id="rId84" Type="http://schemas.openxmlformats.org/officeDocument/2006/relationships/hyperlink" Target="https://ich.unesco.org/doc/src/LHE-19-14.COM-5.b-FR.docx" TargetMode="External"/><Relationship Id="rId89" Type="http://schemas.openxmlformats.org/officeDocument/2006/relationships/hyperlink" Target="https://ich.unesco.org/fr/decisions/12.COM/17?dec=decisions&amp;ref_decision=12.COM" TargetMode="External"/><Relationship Id="rId112" Type="http://schemas.openxmlformats.org/officeDocument/2006/relationships/hyperlink" Target="https://ich.unesco.org/doc/src/ITH-18-7.GA-13-FR.docx" TargetMode="External"/><Relationship Id="rId16" Type="http://schemas.openxmlformats.org/officeDocument/2006/relationships/hyperlink" Target="https://ich.unesco.org/doc/src/LHE-19-14.COM-5.b-FR.docx" TargetMode="External"/><Relationship Id="rId107" Type="http://schemas.openxmlformats.org/officeDocument/2006/relationships/hyperlink" Target="https://ich.unesco.org/fr/decisions/13.COM/10?dec=decisions&amp;ref_decision=13.COM" TargetMode="External"/><Relationship Id="rId11" Type="http://schemas.openxmlformats.org/officeDocument/2006/relationships/hyperlink" Target="https://ich.unesco.org/fr/Decisions/11.COM/3" TargetMode="External"/><Relationship Id="rId32" Type="http://schemas.openxmlformats.org/officeDocument/2006/relationships/hyperlink" Target="https://ich.unesco.org/doc/src/LHE-19-14.COM-9.a_Rev.-FR.docx" TargetMode="External"/><Relationship Id="rId37" Type="http://schemas.openxmlformats.org/officeDocument/2006/relationships/hyperlink" Target="https://ich.unesco.org/doc/src/LHE-19-14.COM-9.a_Rev.-FR.docx" TargetMode="External"/><Relationship Id="rId53" Type="http://schemas.openxmlformats.org/officeDocument/2006/relationships/hyperlink" Target="https://ich.unesco.org/doc/src/LHE-19-14.COM-INF.10-FR.docx" TargetMode="External"/><Relationship Id="rId58" Type="http://schemas.openxmlformats.org/officeDocument/2006/relationships/hyperlink" Target="https://ich.unesco.org/doc/src/LHE-19-14.COM-INF.10-FR.docx" TargetMode="External"/><Relationship Id="rId74" Type="http://schemas.openxmlformats.org/officeDocument/2006/relationships/hyperlink" Target="https://ich.unesco.org/fr/decisions/13.COM/11?dec=decisions&amp;ref_decision=13.COM" TargetMode="External"/><Relationship Id="rId79" Type="http://schemas.openxmlformats.org/officeDocument/2006/relationships/hyperlink" Target="https://ich.unesco.org/fr/Decisions/12.COM/14" TargetMode="External"/><Relationship Id="rId102" Type="http://schemas.openxmlformats.org/officeDocument/2006/relationships/hyperlink" Target="https://ich.unesco.org/fr/Resolutions/3.GA/7" TargetMode="External"/><Relationship Id="rId123" Type="http://schemas.openxmlformats.org/officeDocument/2006/relationships/header" Target="header3.xml"/><Relationship Id="rId5" Type="http://schemas.openxmlformats.org/officeDocument/2006/relationships/webSettings" Target="webSettings.xml"/><Relationship Id="rId61" Type="http://schemas.openxmlformats.org/officeDocument/2006/relationships/hyperlink" Target="https://ich.unesco.org/fr/decisions/13.COM/10?dec=decisions&amp;ref_decision=13.COM" TargetMode="External"/><Relationship Id="rId82" Type="http://schemas.openxmlformats.org/officeDocument/2006/relationships/hyperlink" Target="https://ich.unesco.org/fr/Decisions/14.COM/12" TargetMode="External"/><Relationship Id="rId90" Type="http://schemas.openxmlformats.org/officeDocument/2006/relationships/hyperlink" Target="https://ich.unesco.org/fr/decisions/13.COM/13?dec=decisions&amp;ref_decision=13.COM" TargetMode="External"/><Relationship Id="rId95" Type="http://schemas.openxmlformats.org/officeDocument/2006/relationships/hyperlink" Target="https://ich.unesco.org/doc/src/LHE-19-14.COM-16-FR.docx" TargetMode="External"/><Relationship Id="rId19" Type="http://schemas.openxmlformats.org/officeDocument/2006/relationships/hyperlink" Target="https://ich.unesco.org/fr/decisions/13.COM/5" TargetMode="External"/><Relationship Id="rId14" Type="http://schemas.openxmlformats.org/officeDocument/2006/relationships/hyperlink" Target="https://ich.unesco.org/doc/src/LHE-19-14.COM-4-FR.docx" TargetMode="External"/><Relationship Id="rId22" Type="http://schemas.openxmlformats.org/officeDocument/2006/relationships/hyperlink" Target="http://unesdoc.unesco.org/images/0026/002615/261576f.pdf" TargetMode="External"/><Relationship Id="rId27" Type="http://schemas.openxmlformats.org/officeDocument/2006/relationships/hyperlink" Target="https://ich.unesco.org/doc/src/LHE-19-14.COM-8-FR.docx" TargetMode="External"/><Relationship Id="rId30" Type="http://schemas.openxmlformats.org/officeDocument/2006/relationships/hyperlink" Target="https://ich.unesco.org/fr/Resolutions/7.GA/10" TargetMode="External"/><Relationship Id="rId35" Type="http://schemas.openxmlformats.org/officeDocument/2006/relationships/hyperlink" Target="https://ich.unesco.org/doc/src/LHE-19-14.COM-9.a_Rev.-FR.docx" TargetMode="External"/><Relationship Id="rId43" Type="http://schemas.openxmlformats.org/officeDocument/2006/relationships/hyperlink" Target="https://ich.unesco.org/doc/src/LHE-19-14.COM-10.a_Add-FR.docx" TargetMode="External"/><Relationship Id="rId48" Type="http://schemas.openxmlformats.org/officeDocument/2006/relationships/hyperlink" Target="https://ich.unesco.org/doc/src/LHE-19-14.COM-INF.10-FR.docx" TargetMode="External"/><Relationship Id="rId56" Type="http://schemas.openxmlformats.org/officeDocument/2006/relationships/image" Target="media/image1.png"/><Relationship Id="rId64" Type="http://schemas.openxmlformats.org/officeDocument/2006/relationships/hyperlink" Target="https://ich.unesco.org/doc/src/LHE-19-14.COM-11-FR.docx" TargetMode="External"/><Relationship Id="rId69" Type="http://schemas.openxmlformats.org/officeDocument/2006/relationships/hyperlink" Target="https://ich.unesco.org/fr/decisions-bureau/14.COM%201.BUR/4" TargetMode="External"/><Relationship Id="rId77" Type="http://schemas.openxmlformats.org/officeDocument/2006/relationships/hyperlink" Target="https://ich.unesco.org/doc/src/ICH-Operational_Directives-7.GA-PDF-EN.pdf" TargetMode="External"/><Relationship Id="rId100" Type="http://schemas.openxmlformats.org/officeDocument/2006/relationships/hyperlink" Target="https://ich.unesco.org/doc/src/LHE-19-14.COM-16-FR.docx" TargetMode="External"/><Relationship Id="rId105" Type="http://schemas.openxmlformats.org/officeDocument/2006/relationships/hyperlink" Target="https://ich.unesco.org/doc/src/LHE-19-14.COM-18-FR.docx" TargetMode="External"/><Relationship Id="rId113" Type="http://schemas.openxmlformats.org/officeDocument/2006/relationships/hyperlink" Target="https://ich.unesco.org/fr/Decisions/12.COM/13" TargetMode="External"/><Relationship Id="rId118" Type="http://schemas.openxmlformats.org/officeDocument/2006/relationships/hyperlink" Target="https://unesdoc.unesco.org/ark:/48223/pf0000243325_fre" TargetMode="External"/><Relationship Id="rId8" Type="http://schemas.openxmlformats.org/officeDocument/2006/relationships/hyperlink" Target="https://ich.unesco.org/doc/src/LHE-19-14.COM-2_Rev.-FR.docx" TargetMode="External"/><Relationship Id="rId51" Type="http://schemas.openxmlformats.org/officeDocument/2006/relationships/hyperlink" Target="https://ich.unesco.org/doc/src/LHE-19-14.COM-INF.10-FR.docx" TargetMode="External"/><Relationship Id="rId72" Type="http://schemas.openxmlformats.org/officeDocument/2006/relationships/hyperlink" Target="https://ich.unesco.org/fr/decisions/11.COM/15?dec=decisions&amp;ref_decision=11.COM" TargetMode="External"/><Relationship Id="rId80" Type="http://schemas.openxmlformats.org/officeDocument/2006/relationships/hyperlink" Target="https://ich.unesco.org/fr/Decisions/13.COM/10" TargetMode="External"/><Relationship Id="rId85" Type="http://schemas.openxmlformats.org/officeDocument/2006/relationships/hyperlink" Target="https://ich.unesco.org/doc/src/LHE-19-14.COM-10-FR.docx" TargetMode="External"/><Relationship Id="rId93" Type="http://schemas.openxmlformats.org/officeDocument/2006/relationships/hyperlink" Target="https://ich.unesco.org/doc/src/LHE-19-NGO-2-FR.docx" TargetMode="External"/><Relationship Id="rId98" Type="http://schemas.openxmlformats.org/officeDocument/2006/relationships/hyperlink" Target="https://ich.unesco.org/fr/decisions/13.COM/16?dec=decisions&amp;ref_decision=13.COM" TargetMode="External"/><Relationship Id="rId121"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ich.unesco.org/fr/Decisions/12.COM/3" TargetMode="External"/><Relationship Id="rId17" Type="http://schemas.openxmlformats.org/officeDocument/2006/relationships/hyperlink" Target="https://ich.unesco.org/fr/Decisions/8.COM/5.c.1" TargetMode="External"/><Relationship Id="rId25" Type="http://schemas.openxmlformats.org/officeDocument/2006/relationships/hyperlink" Target="https://ich.unesco.org/fr/decisions/7.GA/8" TargetMode="External"/><Relationship Id="rId33" Type="http://schemas.openxmlformats.org/officeDocument/2006/relationships/hyperlink" Target="https://ich.unesco.org/fr/decisions/5.COM/5.4?dec=decisions&amp;ref_decision=5.COM" TargetMode="External"/><Relationship Id="rId38" Type="http://schemas.openxmlformats.org/officeDocument/2006/relationships/hyperlink" Target="https://ich.unesco.org/fr/decisions/9.COM/9.A.7?dec=decisions&amp;ref_decision=9.COM" TargetMode="External"/><Relationship Id="rId46" Type="http://schemas.openxmlformats.org/officeDocument/2006/relationships/hyperlink" Target="https://ich.unesco.org/doc/src/LHE-19-14.COM-10.d-FR.docx" TargetMode="External"/><Relationship Id="rId59" Type="http://schemas.openxmlformats.org/officeDocument/2006/relationships/hyperlink" Target="https://ich.unesco.org/fr/decisions/13.COM/10?dec=decisions&amp;ref_decision=13.COM" TargetMode="External"/><Relationship Id="rId67" Type="http://schemas.openxmlformats.org/officeDocument/2006/relationships/hyperlink" Target="https://ich.unesco.org/fr/D%C3%A9cisions/7.COM/11" TargetMode="External"/><Relationship Id="rId103" Type="http://schemas.openxmlformats.org/officeDocument/2006/relationships/hyperlink" Target="https://ich.unesco.org/fr/D&#233;cisions/5.GA/6" TargetMode="External"/><Relationship Id="rId108" Type="http://schemas.openxmlformats.org/officeDocument/2006/relationships/hyperlink" Target="https://ich.unesco.org/fr/decisions/13.COM/14?dec=decisions&amp;ref_decision=13.COM" TargetMode="External"/><Relationship Id="rId116" Type="http://schemas.openxmlformats.org/officeDocument/2006/relationships/hyperlink" Target="https://ich.unesco.org/fr/Resolutions/7.GA/13" TargetMode="External"/><Relationship Id="rId124" Type="http://schemas.openxmlformats.org/officeDocument/2006/relationships/fontTable" Target="fontTable.xml"/><Relationship Id="rId20" Type="http://schemas.openxmlformats.org/officeDocument/2006/relationships/hyperlink" Target="https://ich.unesco.org/doc/src/LHE-19-14.COM-6-FR.docx" TargetMode="External"/><Relationship Id="rId41" Type="http://schemas.openxmlformats.org/officeDocument/2006/relationships/hyperlink" Target="https://ich.unesco.org/doc/src/LHE-19-14.COM-9.a_Rev.-FR.docx" TargetMode="External"/><Relationship Id="rId54" Type="http://schemas.openxmlformats.org/officeDocument/2006/relationships/hyperlink" Target="https://ich.unesco.org/fr/assistances/etablissement-de-linventaire-national-du-patrimoine-culturel-immateriel-au-belarus-00332" TargetMode="External"/><Relationship Id="rId62" Type="http://schemas.openxmlformats.org/officeDocument/2006/relationships/hyperlink" Target="https://ich.unesco.org/doc/src/LHE-19-14.COM-INF.10-FR.docx" TargetMode="External"/><Relationship Id="rId70" Type="http://schemas.openxmlformats.org/officeDocument/2006/relationships/hyperlink" Target="https://ich.unesco.org/fr/D%C3%A9cisions/5.COM/6.3" TargetMode="External"/><Relationship Id="rId75" Type="http://schemas.openxmlformats.org/officeDocument/2006/relationships/hyperlink" Target="https://unesdoc.unesco.org/ark:/48223/pf0000235186" TargetMode="External"/><Relationship Id="rId83" Type="http://schemas.openxmlformats.org/officeDocument/2006/relationships/hyperlink" Target="https://ich.unesco.org/doc/src/ITH-17-12.COM-14-FR.docx" TargetMode="External"/><Relationship Id="rId88" Type="http://schemas.openxmlformats.org/officeDocument/2006/relationships/hyperlink" Target="https://ich.unesco.org/fr/resolutions/7.GA/11?dec=resolutions&amp;ref_decision=7.GA" TargetMode="External"/><Relationship Id="rId91" Type="http://schemas.openxmlformats.org/officeDocument/2006/relationships/hyperlink" Target="https://ich.unesco.org/doc/src/ITH-17-12.COM-17-FR.docx" TargetMode="External"/><Relationship Id="rId96" Type="http://schemas.openxmlformats.org/officeDocument/2006/relationships/hyperlink" Target="https://ich.unesco.org/fr/decisions/11.COM/10?dec=decisions&amp;ref_decision=11.COM" TargetMode="External"/><Relationship Id="rId111" Type="http://schemas.openxmlformats.org/officeDocument/2006/relationships/hyperlink" Target="https://ich.unesco.org/doc/src/ITH-18-7.GA-12-FR.docx"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ich.unesco.org/doc/src/LHE-19-14.COM-5.a_Rev-FR.docx" TargetMode="External"/><Relationship Id="rId23" Type="http://schemas.openxmlformats.org/officeDocument/2006/relationships/hyperlink" Target="https://ich.unesco.org/doc/src/LHE-19-14.COM-7-FR_Rev.2.docx" TargetMode="External"/><Relationship Id="rId28" Type="http://schemas.openxmlformats.org/officeDocument/2006/relationships/hyperlink" Target="https://ich.unesco.org/fr/Decisions/12.COM/10" TargetMode="External"/><Relationship Id="rId36" Type="http://schemas.openxmlformats.org/officeDocument/2006/relationships/hyperlink" Target="https://ich.unesco.org/fr/decisions/9.COM/9.A.5?dec=decisions&amp;ref_decision=9.COM" TargetMode="External"/><Relationship Id="rId49" Type="http://schemas.openxmlformats.org/officeDocument/2006/relationships/hyperlink" Target="https://ich.unesco.org/doc/src/LHE-19-14.COM-14-FR.docx" TargetMode="External"/><Relationship Id="rId57" Type="http://schemas.openxmlformats.org/officeDocument/2006/relationships/hyperlink" Target="https://ich.unesco.org/fr/decisions/13.COM/10?dec=decisions&amp;ref_decision=13.COM" TargetMode="External"/><Relationship Id="rId106" Type="http://schemas.openxmlformats.org/officeDocument/2006/relationships/hyperlink" Target="https://ich.unesco.org/fr/Decisions/9.COM/11" TargetMode="External"/><Relationship Id="rId114" Type="http://schemas.openxmlformats.org/officeDocument/2006/relationships/hyperlink" Target="https://ich.unesco.org/fr/Decisions/12.COM/16" TargetMode="External"/><Relationship Id="rId119" Type="http://schemas.openxmlformats.org/officeDocument/2006/relationships/hyperlink" Target="https://en.unesco.org/sites/default/files/39c-res87-governance-fre.pdf" TargetMode="External"/><Relationship Id="rId10" Type="http://schemas.openxmlformats.org/officeDocument/2006/relationships/hyperlink" Target="https://ich.unesco.org/fr/decisions/10.COM/3" TargetMode="External"/><Relationship Id="rId31" Type="http://schemas.openxmlformats.org/officeDocument/2006/relationships/hyperlink" Target="https://ich.unesco.org/doc/src/LHE-19-14.COM-9.a_Rev.-FR.docx" TargetMode="External"/><Relationship Id="rId44" Type="http://schemas.openxmlformats.org/officeDocument/2006/relationships/hyperlink" Target="https://ich.unesco.org/doc/src/LHE-19-14.COM-10.b_Add.2-FR.docx" TargetMode="External"/><Relationship Id="rId52" Type="http://schemas.openxmlformats.org/officeDocument/2006/relationships/hyperlink" Target="https://ich.unesco.org/fr/decisions/13.COM/10?dec=decisions&amp;ref_decision=13.COM" TargetMode="External"/><Relationship Id="rId60" Type="http://schemas.openxmlformats.org/officeDocument/2006/relationships/hyperlink" Target="https://ich.unesco.org/doc/src/LHE-19-14.COM-INF.10-FR.docx" TargetMode="External"/><Relationship Id="rId65" Type="http://schemas.openxmlformats.org/officeDocument/2006/relationships/hyperlink" Target="https://ich.unesco.org/fr/decisions/13.COM/10.C.2?dec=decisions&amp;ref_decision=13.COM" TargetMode="External"/><Relationship Id="rId73" Type="http://schemas.openxmlformats.org/officeDocument/2006/relationships/hyperlink" Target="https://ich.unesco.org/fr/decisions/12.COM/15?dec=decisions&amp;ref_decision=12.COM" TargetMode="External"/><Relationship Id="rId78" Type="http://schemas.openxmlformats.org/officeDocument/2006/relationships/hyperlink" Target="https://ich.unesco.org/doc/src/LHE-19-14.COM-14-FR.docx" TargetMode="External"/><Relationship Id="rId81" Type="http://schemas.openxmlformats.org/officeDocument/2006/relationships/hyperlink" Target="https://ich.unesco.org/fr/Decisions/13.COM/6" TargetMode="External"/><Relationship Id="rId86" Type="http://schemas.openxmlformats.org/officeDocument/2006/relationships/hyperlink" Target="https://ich.unesco.org/doc/src/LHE-19-14.COM-12_Add-FR.docx" TargetMode="External"/><Relationship Id="rId94" Type="http://schemas.openxmlformats.org/officeDocument/2006/relationships/hyperlink" Target="https://ich.unesco.org/doc/src/45581-FR.docx" TargetMode="External"/><Relationship Id="rId99" Type="http://schemas.openxmlformats.org/officeDocument/2006/relationships/hyperlink" Target="https://ich.unesco.org/fr/resolutions/7.GA/6?dec=resolutions&amp;ref_decision=7.GA" TargetMode="External"/><Relationship Id="rId101" Type="http://schemas.openxmlformats.org/officeDocument/2006/relationships/hyperlink" Target="https://ich.unesco.org/doc/src/LHE-19-14.COM-17-FR.docx" TargetMode="External"/><Relationship Id="rId122"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ich.unesco.org/doc/src/LHE-19-14.COM-3_Rev.-FR.docx" TargetMode="External"/><Relationship Id="rId13" Type="http://schemas.openxmlformats.org/officeDocument/2006/relationships/hyperlink" Target="https://ich.unesco.org/fr/Decisions/13.COM/3" TargetMode="External"/><Relationship Id="rId18" Type="http://schemas.openxmlformats.org/officeDocument/2006/relationships/hyperlink" Target="https://ich.unesco.org/fr/Decisions/10.COM/10" TargetMode="External"/><Relationship Id="rId39" Type="http://schemas.openxmlformats.org/officeDocument/2006/relationships/hyperlink" Target="https://ich.unesco.org/doc/src/LHE-19-14.COM-9.a_Rev.-FR.docx" TargetMode="External"/><Relationship Id="rId109" Type="http://schemas.openxmlformats.org/officeDocument/2006/relationships/hyperlink" Target="https://ich.unesco.org/doc/src/LHE-19-14.COM-19-FR.docx" TargetMode="External"/><Relationship Id="rId34" Type="http://schemas.openxmlformats.org/officeDocument/2006/relationships/hyperlink" Target="https://ich.unesco.org/fr/decisions/10.COM/6.B.1?dec=decisions&amp;ref_decision=10.COM" TargetMode="External"/><Relationship Id="rId50" Type="http://schemas.openxmlformats.org/officeDocument/2006/relationships/hyperlink" Target="https://ich.unesco.org/fr/decisions/13.COM/10?dec=decisions&amp;ref_decision=13.COM" TargetMode="External"/><Relationship Id="rId55" Type="http://schemas.openxmlformats.org/officeDocument/2006/relationships/hyperlink" Target="#Recommendations"/><Relationship Id="rId76" Type="http://schemas.openxmlformats.org/officeDocument/2006/relationships/hyperlink" Target="https://unesdoc.unesco.org/ark:/48223/pf0000259805?posInSet=2&amp;queryId=df3a8b4d-303b-4a77-a734-dbb85f794eb7" TargetMode="External"/><Relationship Id="rId97" Type="http://schemas.openxmlformats.org/officeDocument/2006/relationships/hyperlink" Target="https://ich.unesco.org/fr/decisions/12.COM/13?dec=decisions&amp;ref_decision=12.COM" TargetMode="External"/><Relationship Id="rId104" Type="http://schemas.openxmlformats.org/officeDocument/2006/relationships/hyperlink" Target="https://ich.unesco.org/fr/D&#233;cisions/10.COM/16" TargetMode="External"/><Relationship Id="rId120" Type="http://schemas.openxmlformats.org/officeDocument/2006/relationships/hyperlink" Target="https://ich.unesco.org/fr/Resolutions/7.GA/13" TargetMode="External"/><Relationship Id="rId125"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ich.unesco.org/doc/src/LHE-19-14.COM-13_REV-FR.docx" TargetMode="External"/><Relationship Id="rId92" Type="http://schemas.openxmlformats.org/officeDocument/2006/relationships/hyperlink" Target="https://ich.unesco.org/doc/src/ITH-18-13.COM-13-FR.docx" TargetMode="External"/><Relationship Id="rId2" Type="http://schemas.openxmlformats.org/officeDocument/2006/relationships/numbering" Target="numbering.xml"/><Relationship Id="rId29" Type="http://schemas.openxmlformats.org/officeDocument/2006/relationships/hyperlink" Target="https://ich.unesco.org/fr/Decisions/13.COM/8" TargetMode="External"/><Relationship Id="rId24" Type="http://schemas.openxmlformats.org/officeDocument/2006/relationships/hyperlink" Target="https://ich.unesco.org/doc/src/LHE-19-14.COM-INF.7-FR.docx" TargetMode="External"/><Relationship Id="rId40" Type="http://schemas.openxmlformats.org/officeDocument/2006/relationships/hyperlink" Target="https://ich.unesco.org/fr/decisions/9.COM/9.A.8?dec=decisions&amp;ref_decision=9.COM" TargetMode="External"/><Relationship Id="rId45" Type="http://schemas.openxmlformats.org/officeDocument/2006/relationships/hyperlink" Target="https://ich.unesco.org/doc/src/LHE-19-14.COM-10.c-Add_FR.docx" TargetMode="External"/><Relationship Id="rId66" Type="http://schemas.openxmlformats.org/officeDocument/2006/relationships/hyperlink" Target="https://ich.unesco.org/doc/src/LHE-19-14.COM-12_Add-FR.docx" TargetMode="External"/><Relationship Id="rId87" Type="http://schemas.openxmlformats.org/officeDocument/2006/relationships/hyperlink" Target="https://ich.unesco.org/doc/src/LHE-19-14.COM-15-FR.docx" TargetMode="External"/><Relationship Id="rId110" Type="http://schemas.openxmlformats.org/officeDocument/2006/relationships/hyperlink" Target="https://ich.unesco.org/doc/src/ITH-18-13.COM-17-FR.docx" TargetMode="External"/><Relationship Id="rId115" Type="http://schemas.openxmlformats.org/officeDocument/2006/relationships/hyperlink" Target="https://ich.unesco.org/fr/Resolutions/7.GA/12"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ich.unesco.org/doc/src/ICH-Operational_Directives-7.GA-PDF-FR.pdf" TargetMode="External"/><Relationship Id="rId2" Type="http://schemas.openxmlformats.org/officeDocument/2006/relationships/hyperlink" Target="https://unesdoc.unesco.org/ark:/48223/pf0000259805_fre" TargetMode="External"/><Relationship Id="rId1" Type="http://schemas.openxmlformats.org/officeDocument/2006/relationships/hyperlink" Target="https://unesdoc.unesco.org/ark:/48223/pf0000235186_fr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CRE\02-ITH\Convention-Statutory%20Meetings\2015_STATUTORY%20MEETINGS\2015-11_10COM-Windhoek\Documents\0_Templates\10%20COM_Working%20document_F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CC84C6-6B86-4731-8360-D78932335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 COM_Working document_FR</Template>
  <TotalTime>350</TotalTime>
  <Pages>102</Pages>
  <Words>58458</Words>
  <Characters>321519</Characters>
  <Application>Microsoft Office Word</Application>
  <DocSecurity>0</DocSecurity>
  <Lines>2679</Lines>
  <Paragraphs>758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379219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Shin, Eunkyung</dc:creator>
  <cp:lastModifiedBy>Thibault, Alice</cp:lastModifiedBy>
  <cp:revision>11</cp:revision>
  <cp:lastPrinted>2020-01-14T17:45:00Z</cp:lastPrinted>
  <dcterms:created xsi:type="dcterms:W3CDTF">2020-01-23T14:20:00Z</dcterms:created>
  <dcterms:modified xsi:type="dcterms:W3CDTF">2020-01-29T14:12:00Z</dcterms:modified>
</cp:coreProperties>
</file>