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941F" w14:textId="4B36F0F8" w:rsidR="00655870" w:rsidRPr="00D23C0B" w:rsidRDefault="007F342B" w:rsidP="00655870">
      <w:pPr>
        <w:spacing w:before="1440"/>
        <w:jc w:val="center"/>
        <w:rPr>
          <w:rFonts w:ascii="Arial" w:hAnsi="Arial" w:cs="Arial"/>
          <w:b/>
          <w:sz w:val="22"/>
          <w:szCs w:val="22"/>
        </w:rPr>
      </w:pPr>
      <w:bookmarkStart w:id="0" w:name="_GoBack"/>
      <w:bookmarkEnd w:id="0"/>
      <w:r w:rsidRPr="00293C60">
        <w:rPr>
          <w:rFonts w:ascii="Arial" w:hAnsi="Arial" w:cs="Arial"/>
          <w:b/>
          <w:sz w:val="22"/>
          <w:szCs w:val="22"/>
        </w:rPr>
        <w:t>CONVENTION POUR LA SAUVEGARDE</w:t>
      </w:r>
      <w:r w:rsidR="003646FE">
        <w:rPr>
          <w:rFonts w:ascii="Arial" w:hAnsi="Arial" w:cs="Arial"/>
          <w:b/>
          <w:sz w:val="22"/>
          <w:szCs w:val="22"/>
        </w:rPr>
        <w:br/>
      </w:r>
      <w:r w:rsidRPr="00293C60">
        <w:rPr>
          <w:rFonts w:ascii="Arial" w:hAnsi="Arial" w:cs="Arial"/>
          <w:b/>
          <w:sz w:val="22"/>
          <w:szCs w:val="22"/>
        </w:rPr>
        <w:t>DU</w:t>
      </w:r>
      <w:r w:rsidR="003646FE">
        <w:rPr>
          <w:rFonts w:ascii="Arial" w:hAnsi="Arial" w:cs="Arial"/>
          <w:b/>
          <w:sz w:val="22"/>
          <w:szCs w:val="22"/>
        </w:rPr>
        <w:t xml:space="preserve"> </w:t>
      </w:r>
      <w:r w:rsidRPr="00293C60">
        <w:rPr>
          <w:rFonts w:ascii="Arial" w:hAnsi="Arial" w:cs="Arial"/>
          <w:b/>
          <w:sz w:val="22"/>
          <w:szCs w:val="22"/>
        </w:rPr>
        <w:t>PATRIMOINE CULTUREL IMMATÉRIEL</w:t>
      </w:r>
    </w:p>
    <w:p w14:paraId="6D6A3097" w14:textId="55A876A7" w:rsidR="00655870" w:rsidRPr="00D23C0B" w:rsidRDefault="007F342B" w:rsidP="00655870">
      <w:pPr>
        <w:spacing w:before="1200"/>
        <w:jc w:val="center"/>
        <w:rPr>
          <w:rFonts w:ascii="Arial" w:hAnsi="Arial" w:cs="Arial"/>
          <w:b/>
          <w:sz w:val="22"/>
          <w:szCs w:val="22"/>
        </w:rPr>
      </w:pPr>
      <w:r w:rsidRPr="00293C60">
        <w:rPr>
          <w:rFonts w:ascii="Arial" w:hAnsi="Arial" w:cs="Arial"/>
          <w:b/>
          <w:sz w:val="22"/>
          <w:szCs w:val="22"/>
        </w:rPr>
        <w:t>COMITÉ INTERGOUVERNEMENTAL DE SAUVEGARDE</w:t>
      </w:r>
      <w:r w:rsidR="003646FE">
        <w:rPr>
          <w:rFonts w:ascii="Arial" w:hAnsi="Arial" w:cs="Arial"/>
          <w:b/>
          <w:sz w:val="22"/>
          <w:szCs w:val="22"/>
        </w:rPr>
        <w:br/>
      </w:r>
      <w:r w:rsidRPr="00293C60">
        <w:rPr>
          <w:rFonts w:ascii="Arial" w:hAnsi="Arial" w:cs="Arial"/>
          <w:b/>
          <w:sz w:val="22"/>
          <w:szCs w:val="22"/>
        </w:rPr>
        <w:t>DU PATRIMOINE CULTUREL IMMATÉRIEL</w:t>
      </w:r>
    </w:p>
    <w:p w14:paraId="1DD70E10" w14:textId="77777777" w:rsidR="00655870" w:rsidRPr="00D23C0B" w:rsidRDefault="007F342B" w:rsidP="00655870">
      <w:pPr>
        <w:spacing w:before="840"/>
        <w:jc w:val="center"/>
        <w:rPr>
          <w:rFonts w:ascii="Arial" w:hAnsi="Arial" w:cs="Arial"/>
          <w:b/>
          <w:sz w:val="22"/>
          <w:szCs w:val="22"/>
        </w:rPr>
      </w:pPr>
      <w:r>
        <w:rPr>
          <w:rFonts w:ascii="Arial" w:eastAsiaTheme="minorEastAsia" w:hAnsi="Arial" w:cs="Arial"/>
          <w:b/>
          <w:sz w:val="22"/>
          <w:szCs w:val="22"/>
          <w:lang w:eastAsia="ko-KR"/>
        </w:rPr>
        <w:t>Quatorzième session</w:t>
      </w:r>
    </w:p>
    <w:p w14:paraId="5E43435E" w14:textId="77777777" w:rsidR="00655870" w:rsidRPr="00D23C0B" w:rsidRDefault="007F342B" w:rsidP="00655870">
      <w:pPr>
        <w:jc w:val="center"/>
        <w:rPr>
          <w:rFonts w:ascii="Arial" w:eastAsia="Malgun Gothic" w:hAnsi="Arial" w:cs="Arial"/>
          <w:b/>
          <w:sz w:val="22"/>
          <w:szCs w:val="22"/>
          <w:lang w:eastAsia="ko-KR"/>
        </w:rPr>
      </w:pPr>
      <w:r>
        <w:rPr>
          <w:rFonts w:ascii="Arial" w:eastAsia="Malgun Gothic" w:hAnsi="Arial" w:cs="Arial"/>
          <w:b/>
          <w:sz w:val="22"/>
          <w:szCs w:val="22"/>
          <w:lang w:eastAsia="ko-KR"/>
        </w:rPr>
        <w:t>Bogota, République de Colombie</w:t>
      </w:r>
    </w:p>
    <w:p w14:paraId="557C58E5" w14:textId="1A8E7983" w:rsidR="00655870" w:rsidRPr="00D23C0B" w:rsidRDefault="007F342B" w:rsidP="00655870">
      <w:pPr>
        <w:jc w:val="center"/>
        <w:rPr>
          <w:rFonts w:ascii="Arial" w:eastAsiaTheme="minorEastAsia" w:hAnsi="Arial" w:cs="Arial"/>
          <w:b/>
          <w:sz w:val="22"/>
          <w:szCs w:val="22"/>
          <w:lang w:eastAsia="ko-KR"/>
        </w:rPr>
      </w:pPr>
      <w:r>
        <w:rPr>
          <w:rFonts w:ascii="Arial" w:hAnsi="Arial" w:cs="Arial"/>
          <w:b/>
          <w:sz w:val="22"/>
          <w:szCs w:val="22"/>
        </w:rPr>
        <w:t xml:space="preserve">9 </w:t>
      </w:r>
      <w:r w:rsidR="00495CAF">
        <w:rPr>
          <w:rFonts w:ascii="Arial" w:hAnsi="Arial"/>
          <w:b/>
          <w:sz w:val="22"/>
          <w:szCs w:val="22"/>
        </w:rPr>
        <w:t>–</w:t>
      </w:r>
      <w:r w:rsidR="00B21CFE">
        <w:rPr>
          <w:rFonts w:ascii="Arial" w:hAnsi="Arial"/>
          <w:b/>
          <w:sz w:val="22"/>
          <w:szCs w:val="22"/>
        </w:rPr>
        <w:t xml:space="preserve"> </w:t>
      </w:r>
      <w:r>
        <w:rPr>
          <w:rFonts w:ascii="Arial" w:hAnsi="Arial" w:cs="Arial"/>
          <w:b/>
          <w:sz w:val="22"/>
          <w:szCs w:val="22"/>
        </w:rPr>
        <w:t>14 décembre 2019</w:t>
      </w:r>
    </w:p>
    <w:p w14:paraId="1E6B2AAD" w14:textId="66D84784" w:rsidR="00655870" w:rsidRPr="00D23C0B" w:rsidRDefault="007F342B" w:rsidP="00B722AA">
      <w:pPr>
        <w:pStyle w:val="Sansinterligne2"/>
        <w:spacing w:before="1080"/>
        <w:jc w:val="center"/>
        <w:rPr>
          <w:rFonts w:ascii="Arial" w:hAnsi="Arial" w:cs="Arial"/>
          <w:b/>
          <w:sz w:val="22"/>
          <w:szCs w:val="22"/>
        </w:rPr>
      </w:pPr>
      <w:r w:rsidRPr="00293C60">
        <w:rPr>
          <w:rFonts w:ascii="Arial" w:hAnsi="Arial" w:cs="Arial"/>
          <w:b/>
          <w:sz w:val="22"/>
          <w:szCs w:val="22"/>
          <w:u w:val="single"/>
        </w:rPr>
        <w:t>Point 9.a de l</w:t>
      </w:r>
      <w:r w:rsidR="00655870">
        <w:rPr>
          <w:rFonts w:ascii="Arial" w:hAnsi="Arial" w:cs="Arial"/>
          <w:b/>
          <w:sz w:val="22"/>
          <w:szCs w:val="22"/>
          <w:u w:val="single"/>
        </w:rPr>
        <w:t>’</w:t>
      </w:r>
      <w:r w:rsidRPr="00293C60">
        <w:rPr>
          <w:rFonts w:ascii="Arial" w:hAnsi="Arial" w:cs="Arial"/>
          <w:b/>
          <w:sz w:val="22"/>
          <w:szCs w:val="22"/>
          <w:u w:val="single"/>
        </w:rPr>
        <w:t>ordre du jour provisoire </w:t>
      </w:r>
      <w:r w:rsidRPr="00293C60">
        <w:rPr>
          <w:rFonts w:ascii="Arial" w:hAnsi="Arial" w:cs="Arial"/>
          <w:b/>
          <w:sz w:val="22"/>
          <w:szCs w:val="22"/>
        </w:rPr>
        <w:t>:</w:t>
      </w:r>
    </w:p>
    <w:p w14:paraId="1050EE64" w14:textId="44CA8FC5" w:rsidR="00655870" w:rsidRPr="00D23C0B" w:rsidRDefault="007F342B" w:rsidP="00655870">
      <w:pPr>
        <w:pStyle w:val="Sansinterligne2"/>
        <w:spacing w:after="960"/>
        <w:jc w:val="center"/>
        <w:rPr>
          <w:rFonts w:ascii="Arial" w:hAnsi="Arial" w:cs="Arial"/>
          <w:b/>
          <w:sz w:val="22"/>
          <w:szCs w:val="22"/>
        </w:rPr>
      </w:pPr>
      <w:r w:rsidRPr="002E373B">
        <w:rPr>
          <w:rFonts w:ascii="Arial" w:hAnsi="Arial" w:cs="Arial"/>
          <w:b/>
          <w:sz w:val="22"/>
          <w:szCs w:val="22"/>
        </w:rPr>
        <w:t>Examen des rapports des États parties sur l</w:t>
      </w:r>
      <w:r w:rsidR="00655870">
        <w:rPr>
          <w:rFonts w:ascii="Arial" w:hAnsi="Arial" w:cs="Arial"/>
          <w:b/>
          <w:sz w:val="22"/>
          <w:szCs w:val="22"/>
        </w:rPr>
        <w:t>’</w:t>
      </w:r>
      <w:r w:rsidRPr="002E373B">
        <w:rPr>
          <w:rFonts w:ascii="Arial" w:hAnsi="Arial" w:cs="Arial"/>
          <w:b/>
          <w:sz w:val="22"/>
          <w:szCs w:val="22"/>
        </w:rPr>
        <w:t>état actuel d</w:t>
      </w:r>
      <w:r w:rsidR="00AE7333">
        <w:rPr>
          <w:rFonts w:ascii="Arial" w:hAnsi="Arial" w:cs="Arial"/>
          <w:b/>
          <w:sz w:val="22"/>
          <w:szCs w:val="22"/>
        </w:rPr>
        <w:t xml:space="preserve">es </w:t>
      </w:r>
      <w:r w:rsidRPr="002E373B">
        <w:rPr>
          <w:rFonts w:ascii="Arial" w:hAnsi="Arial" w:cs="Arial"/>
          <w:b/>
          <w:sz w:val="22"/>
          <w:szCs w:val="22"/>
        </w:rPr>
        <w:t>éléments</w:t>
      </w:r>
      <w:r w:rsidR="00B21CFE">
        <w:rPr>
          <w:rFonts w:ascii="Arial" w:hAnsi="Arial" w:cs="Arial"/>
          <w:b/>
          <w:sz w:val="22"/>
          <w:szCs w:val="22"/>
        </w:rPr>
        <w:t xml:space="preserve"> </w:t>
      </w:r>
      <w:r w:rsidRPr="002E373B">
        <w:rPr>
          <w:rFonts w:ascii="Arial" w:hAnsi="Arial" w:cs="Arial"/>
          <w:b/>
          <w:sz w:val="22"/>
          <w:szCs w:val="22"/>
        </w:rPr>
        <w:t>inscrits sur</w:t>
      </w:r>
      <w:r w:rsidR="00487888">
        <w:rPr>
          <w:rFonts w:ascii="Arial" w:hAnsi="Arial" w:cs="Arial"/>
          <w:b/>
          <w:sz w:val="22"/>
          <w:szCs w:val="22"/>
        </w:rPr>
        <w:br/>
      </w:r>
      <w:r w:rsidRPr="002E373B">
        <w:rPr>
          <w:rFonts w:ascii="Arial" w:hAnsi="Arial" w:cs="Arial"/>
          <w:b/>
          <w:sz w:val="22"/>
          <w:szCs w:val="22"/>
        </w:rPr>
        <w:t xml:space="preserve">la Liste du patrimoine culturel immatériel nécessitant une sauvegarde </w:t>
      </w:r>
      <w:r w:rsidR="00AE7333">
        <w:rPr>
          <w:rFonts w:ascii="Arial" w:hAnsi="Arial" w:cs="Arial"/>
          <w:b/>
          <w:sz w:val="22"/>
          <w:szCs w:val="22"/>
        </w:rPr>
        <w:t>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607A" w14:paraId="6473EBDE" w14:textId="77777777" w:rsidTr="00655870">
        <w:trPr>
          <w:jc w:val="center"/>
        </w:trPr>
        <w:tc>
          <w:tcPr>
            <w:tcW w:w="5670" w:type="dxa"/>
            <w:vAlign w:val="center"/>
          </w:tcPr>
          <w:p w14:paraId="0BD62702" w14:textId="77777777" w:rsidR="00655870" w:rsidRPr="00D23C0B" w:rsidRDefault="007F342B" w:rsidP="00655870">
            <w:pPr>
              <w:pStyle w:val="Sansinterligne1"/>
              <w:spacing w:before="200" w:after="200"/>
              <w:jc w:val="center"/>
              <w:rPr>
                <w:rFonts w:ascii="Arial" w:hAnsi="Arial" w:cs="Arial"/>
                <w:b/>
                <w:sz w:val="22"/>
                <w:szCs w:val="22"/>
              </w:rPr>
            </w:pPr>
            <w:r w:rsidRPr="00293C60">
              <w:rPr>
                <w:rFonts w:ascii="Arial" w:hAnsi="Arial" w:cs="Arial"/>
                <w:b/>
                <w:sz w:val="22"/>
                <w:szCs w:val="22"/>
              </w:rPr>
              <w:t>Résumé</w:t>
            </w:r>
          </w:p>
          <w:p w14:paraId="31A31F71" w14:textId="5ED0F2B9" w:rsidR="00655870" w:rsidRPr="00D23C0B" w:rsidRDefault="007F342B" w:rsidP="00655870">
            <w:pPr>
              <w:pStyle w:val="Sansinterligne2"/>
              <w:spacing w:before="200" w:after="200"/>
              <w:jc w:val="both"/>
              <w:rPr>
                <w:rFonts w:ascii="Arial" w:hAnsi="Arial" w:cs="Arial"/>
                <w:sz w:val="22"/>
                <w:szCs w:val="22"/>
              </w:rPr>
            </w:pPr>
            <w:r w:rsidRPr="002E373B">
              <w:rPr>
                <w:rFonts w:ascii="Arial" w:hAnsi="Arial" w:cs="Arial"/>
                <w:sz w:val="22"/>
                <w:szCs w:val="22"/>
              </w:rPr>
              <w:t>Le paragraphe 160 des Directives opérationnelles stipule que « </w:t>
            </w:r>
            <w:r w:rsidR="00AE7333">
              <w:rPr>
                <w:rFonts w:ascii="Arial" w:hAnsi="Arial" w:cs="Arial"/>
                <w:sz w:val="22"/>
                <w:szCs w:val="22"/>
              </w:rPr>
              <w:t>c</w:t>
            </w:r>
            <w:r w:rsidRPr="002E373B">
              <w:rPr>
                <w:rFonts w:ascii="Arial" w:hAnsi="Arial" w:cs="Arial"/>
                <w:sz w:val="22"/>
                <w:szCs w:val="22"/>
              </w:rPr>
              <w:t>haque État partie soumet au Comité des rapports sur l</w:t>
            </w:r>
            <w:r w:rsidR="00655870">
              <w:rPr>
                <w:rFonts w:ascii="Arial" w:hAnsi="Arial" w:cs="Arial"/>
                <w:sz w:val="22"/>
                <w:szCs w:val="22"/>
              </w:rPr>
              <w:t>’</w:t>
            </w:r>
            <w:r w:rsidRPr="002E373B">
              <w:rPr>
                <w:rFonts w:ascii="Arial" w:hAnsi="Arial" w:cs="Arial"/>
                <w:sz w:val="22"/>
                <w:szCs w:val="22"/>
              </w:rPr>
              <w:t>état des éléments du patrimoine culturel immatériel présents sur son territoire qui ont été inscrits sur la Liste du patrimoine culturel immatériel nécessitant une sauvegarde urgente ».</w:t>
            </w:r>
            <w:r w:rsidR="0080602D">
              <w:rPr>
                <w:rFonts w:ascii="Arial" w:hAnsi="Arial" w:cs="Arial"/>
                <w:sz w:val="22"/>
                <w:szCs w:val="22"/>
              </w:rPr>
              <w:t xml:space="preserve"> Le présent document s</w:t>
            </w:r>
            <w:r w:rsidR="00655870">
              <w:rPr>
                <w:rFonts w:ascii="Arial" w:hAnsi="Arial" w:cs="Arial"/>
                <w:sz w:val="22"/>
                <w:szCs w:val="22"/>
              </w:rPr>
              <w:t>’</w:t>
            </w:r>
            <w:r w:rsidR="0080602D">
              <w:rPr>
                <w:rFonts w:ascii="Arial" w:hAnsi="Arial" w:cs="Arial"/>
                <w:sz w:val="22"/>
                <w:szCs w:val="22"/>
              </w:rPr>
              <w:t xml:space="preserve">intéresse aux </w:t>
            </w:r>
            <w:r w:rsidR="0080602D" w:rsidRPr="002E373B">
              <w:rPr>
                <w:rFonts w:ascii="Arial" w:hAnsi="Arial" w:cs="Arial"/>
                <w:sz w:val="22"/>
                <w:szCs w:val="22"/>
              </w:rPr>
              <w:t xml:space="preserve">rapports </w:t>
            </w:r>
            <w:r w:rsidR="0080602D">
              <w:rPr>
                <w:rFonts w:ascii="Arial" w:hAnsi="Arial" w:cs="Arial"/>
                <w:sz w:val="22"/>
                <w:szCs w:val="22"/>
              </w:rPr>
              <w:t xml:space="preserve">concernant </w:t>
            </w:r>
            <w:r w:rsidR="0080602D" w:rsidRPr="002E373B">
              <w:rPr>
                <w:rFonts w:ascii="Arial" w:hAnsi="Arial" w:cs="Arial"/>
                <w:sz w:val="22"/>
                <w:szCs w:val="22"/>
              </w:rPr>
              <w:t xml:space="preserve">quatre éléments inscrits, dont </w:t>
            </w:r>
            <w:r w:rsidR="0080602D">
              <w:rPr>
                <w:rFonts w:ascii="Arial" w:hAnsi="Arial" w:cs="Arial"/>
                <w:sz w:val="22"/>
                <w:szCs w:val="22"/>
              </w:rPr>
              <w:t>l</w:t>
            </w:r>
            <w:r w:rsidR="00655870">
              <w:rPr>
                <w:rFonts w:ascii="Arial" w:hAnsi="Arial" w:cs="Arial"/>
                <w:sz w:val="22"/>
                <w:szCs w:val="22"/>
              </w:rPr>
              <w:t>’</w:t>
            </w:r>
            <w:r w:rsidR="0080602D" w:rsidRPr="002E373B">
              <w:rPr>
                <w:rFonts w:ascii="Arial" w:hAnsi="Arial" w:cs="Arial"/>
                <w:sz w:val="22"/>
                <w:szCs w:val="22"/>
              </w:rPr>
              <w:t xml:space="preserve">un </w:t>
            </w:r>
            <w:r w:rsidR="0080602D">
              <w:rPr>
                <w:rFonts w:ascii="Arial" w:hAnsi="Arial" w:cs="Arial"/>
                <w:sz w:val="22"/>
                <w:szCs w:val="22"/>
              </w:rPr>
              <w:t xml:space="preserve">a été inscrit </w:t>
            </w:r>
            <w:r w:rsidR="0080602D" w:rsidRPr="002E373B">
              <w:rPr>
                <w:rFonts w:ascii="Arial" w:hAnsi="Arial" w:cs="Arial"/>
                <w:sz w:val="22"/>
                <w:szCs w:val="22"/>
              </w:rPr>
              <w:t xml:space="preserve">en 2010 et trois en 2014. Les quatre rapports soumis par les États sont disponibles en ligne. Le présent document comprend des informations sur le contexte (Partie A) </w:t>
            </w:r>
            <w:r w:rsidR="0080602D">
              <w:rPr>
                <w:rFonts w:ascii="Arial" w:hAnsi="Arial" w:cs="Arial"/>
                <w:sz w:val="22"/>
                <w:szCs w:val="22"/>
              </w:rPr>
              <w:t>ainsi qu</w:t>
            </w:r>
            <w:r w:rsidR="00655870">
              <w:rPr>
                <w:rFonts w:ascii="Arial" w:hAnsi="Arial" w:cs="Arial"/>
                <w:sz w:val="22"/>
                <w:szCs w:val="22"/>
              </w:rPr>
              <w:t>’</w:t>
            </w:r>
            <w:r w:rsidR="0080602D" w:rsidRPr="002E373B">
              <w:rPr>
                <w:rFonts w:ascii="Arial" w:hAnsi="Arial" w:cs="Arial"/>
                <w:sz w:val="22"/>
                <w:szCs w:val="22"/>
              </w:rPr>
              <w:t>un ensemble d</w:t>
            </w:r>
            <w:r w:rsidR="00655870">
              <w:rPr>
                <w:rFonts w:ascii="Arial" w:hAnsi="Arial" w:cs="Arial"/>
                <w:sz w:val="22"/>
                <w:szCs w:val="22"/>
              </w:rPr>
              <w:t>’</w:t>
            </w:r>
            <w:r w:rsidR="0080602D" w:rsidRPr="002E373B">
              <w:rPr>
                <w:rFonts w:ascii="Arial" w:hAnsi="Arial" w:cs="Arial"/>
                <w:sz w:val="22"/>
                <w:szCs w:val="22"/>
              </w:rPr>
              <w:t xml:space="preserve">évaluations et </w:t>
            </w:r>
            <w:r w:rsidR="0080602D">
              <w:rPr>
                <w:rFonts w:ascii="Arial" w:hAnsi="Arial" w:cs="Arial"/>
                <w:sz w:val="22"/>
                <w:szCs w:val="22"/>
              </w:rPr>
              <w:t>un</w:t>
            </w:r>
            <w:r w:rsidR="0080602D" w:rsidRPr="002E373B">
              <w:rPr>
                <w:rFonts w:ascii="Arial" w:hAnsi="Arial" w:cs="Arial"/>
                <w:sz w:val="22"/>
                <w:szCs w:val="22"/>
              </w:rPr>
              <w:t xml:space="preserve"> projet de décision pour </w:t>
            </w:r>
            <w:r w:rsidR="0080602D">
              <w:rPr>
                <w:rFonts w:ascii="Arial" w:hAnsi="Arial" w:cs="Arial"/>
                <w:sz w:val="22"/>
                <w:szCs w:val="22"/>
              </w:rPr>
              <w:t>chacun des</w:t>
            </w:r>
            <w:r w:rsidR="0080602D" w:rsidRPr="002E373B">
              <w:rPr>
                <w:rFonts w:ascii="Arial" w:hAnsi="Arial" w:cs="Arial"/>
                <w:sz w:val="22"/>
                <w:szCs w:val="22"/>
              </w:rPr>
              <w:t xml:space="preserve"> rapport</w:t>
            </w:r>
            <w:r w:rsidR="0080602D">
              <w:rPr>
                <w:rFonts w:ascii="Arial" w:hAnsi="Arial" w:cs="Arial"/>
                <w:sz w:val="22"/>
                <w:szCs w:val="22"/>
              </w:rPr>
              <w:t>s</w:t>
            </w:r>
            <w:r w:rsidR="0080602D" w:rsidRPr="002E373B">
              <w:rPr>
                <w:rFonts w:ascii="Arial" w:hAnsi="Arial" w:cs="Arial"/>
                <w:sz w:val="22"/>
                <w:szCs w:val="22"/>
              </w:rPr>
              <w:t xml:space="preserve"> soumis à l</w:t>
            </w:r>
            <w:r w:rsidR="00655870">
              <w:rPr>
                <w:rFonts w:ascii="Arial" w:hAnsi="Arial" w:cs="Arial"/>
                <w:sz w:val="22"/>
                <w:szCs w:val="22"/>
              </w:rPr>
              <w:t>’</w:t>
            </w:r>
            <w:r w:rsidR="0080602D" w:rsidRPr="002E373B">
              <w:rPr>
                <w:rFonts w:ascii="Arial" w:hAnsi="Arial" w:cs="Arial"/>
                <w:sz w:val="22"/>
                <w:szCs w:val="22"/>
              </w:rPr>
              <w:t>examen du Comité (Partie B).</w:t>
            </w:r>
          </w:p>
          <w:p w14:paraId="59F9EFDE" w14:textId="51E53AB7" w:rsidR="00655870" w:rsidRPr="00293C60" w:rsidRDefault="007F342B" w:rsidP="00191457">
            <w:pPr>
              <w:pStyle w:val="Sansinterligne2"/>
              <w:spacing w:before="200" w:after="200"/>
              <w:jc w:val="both"/>
              <w:rPr>
                <w:rFonts w:ascii="Arial" w:hAnsi="Arial" w:cs="Arial"/>
                <w:b/>
                <w:sz w:val="22"/>
                <w:szCs w:val="22"/>
                <w:lang w:val="en-GB"/>
              </w:rPr>
            </w:pPr>
            <w:r w:rsidRPr="00293C60">
              <w:rPr>
                <w:rFonts w:ascii="Arial" w:hAnsi="Arial" w:cs="Arial"/>
                <w:b/>
                <w:sz w:val="22"/>
                <w:szCs w:val="22"/>
              </w:rPr>
              <w:t xml:space="preserve">Décisions requises : </w:t>
            </w:r>
            <w:r w:rsidRPr="00293C60">
              <w:rPr>
                <w:rFonts w:ascii="Arial" w:hAnsi="Arial" w:cs="Arial"/>
                <w:bCs/>
                <w:sz w:val="22"/>
                <w:szCs w:val="22"/>
              </w:rPr>
              <w:t xml:space="preserve">paragraphes </w:t>
            </w:r>
            <w:r w:rsidR="00655870" w:rsidRPr="00426B43">
              <w:rPr>
                <w:rFonts w:ascii="Arial" w:hAnsi="Arial" w:cs="Arial"/>
                <w:bCs/>
                <w:sz w:val="22"/>
                <w:szCs w:val="22"/>
              </w:rPr>
              <w:t>9</w:t>
            </w:r>
            <w:r w:rsidRPr="00426B43">
              <w:rPr>
                <w:rFonts w:ascii="Arial" w:hAnsi="Arial" w:cs="Arial"/>
                <w:bCs/>
                <w:sz w:val="22"/>
                <w:szCs w:val="22"/>
              </w:rPr>
              <w:t>, 1</w:t>
            </w:r>
            <w:r w:rsidR="00655870" w:rsidRPr="00426B43">
              <w:rPr>
                <w:rFonts w:ascii="Arial" w:hAnsi="Arial" w:cs="Arial"/>
                <w:bCs/>
                <w:sz w:val="22"/>
                <w:szCs w:val="22"/>
              </w:rPr>
              <w:t>5</w:t>
            </w:r>
            <w:r w:rsidRPr="00426B43">
              <w:rPr>
                <w:rFonts w:ascii="Arial" w:hAnsi="Arial" w:cs="Arial"/>
                <w:bCs/>
                <w:sz w:val="22"/>
                <w:szCs w:val="22"/>
              </w:rPr>
              <w:t xml:space="preserve">, </w:t>
            </w:r>
            <w:r w:rsidR="00655870" w:rsidRPr="00426B43">
              <w:rPr>
                <w:rFonts w:ascii="Arial" w:hAnsi="Arial" w:cs="Arial"/>
                <w:bCs/>
                <w:sz w:val="22"/>
                <w:szCs w:val="22"/>
              </w:rPr>
              <w:t>21</w:t>
            </w:r>
            <w:r w:rsidRPr="00426B43">
              <w:rPr>
                <w:rFonts w:ascii="Arial" w:hAnsi="Arial" w:cs="Arial"/>
                <w:bCs/>
                <w:sz w:val="22"/>
                <w:szCs w:val="22"/>
              </w:rPr>
              <w:t>, 2</w:t>
            </w:r>
            <w:r w:rsidR="00655870" w:rsidRPr="00426B43">
              <w:rPr>
                <w:rFonts w:ascii="Arial" w:hAnsi="Arial" w:cs="Arial"/>
                <w:bCs/>
                <w:sz w:val="22"/>
                <w:szCs w:val="22"/>
              </w:rPr>
              <w:t>7</w:t>
            </w:r>
            <w:r w:rsidR="00191457">
              <w:rPr>
                <w:rFonts w:ascii="Arial" w:hAnsi="Arial" w:cs="Arial"/>
                <w:bCs/>
                <w:sz w:val="22"/>
                <w:szCs w:val="22"/>
              </w:rPr>
              <w:t xml:space="preserve"> et</w:t>
            </w:r>
            <w:r w:rsidRPr="00426B43">
              <w:rPr>
                <w:rFonts w:ascii="Arial" w:hAnsi="Arial" w:cs="Arial"/>
                <w:bCs/>
                <w:sz w:val="22"/>
                <w:szCs w:val="22"/>
              </w:rPr>
              <w:t xml:space="preserve"> 3</w:t>
            </w:r>
            <w:r w:rsidR="00655870" w:rsidRPr="00426B43">
              <w:rPr>
                <w:rFonts w:ascii="Arial" w:hAnsi="Arial" w:cs="Arial"/>
                <w:bCs/>
                <w:sz w:val="22"/>
                <w:szCs w:val="22"/>
              </w:rPr>
              <w:t>3</w:t>
            </w:r>
          </w:p>
        </w:tc>
      </w:tr>
    </w:tbl>
    <w:p w14:paraId="4E2C83C8" w14:textId="77777777" w:rsidR="00655870" w:rsidRPr="009B4638" w:rsidRDefault="007F342B" w:rsidP="00655870">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Pr>
          <w:rFonts w:ascii="Arial" w:hAnsi="Arial" w:cs="Arial"/>
          <w:b/>
          <w:snapToGrid w:val="0"/>
          <w:sz w:val="22"/>
          <w:szCs w:val="22"/>
          <w:lang w:eastAsia="en-US"/>
        </w:rPr>
        <w:br w:type="page"/>
      </w:r>
      <w:r>
        <w:rPr>
          <w:rFonts w:ascii="Arial" w:hAnsi="Arial" w:cs="Arial"/>
          <w:b/>
          <w:snapToGrid w:val="0"/>
          <w:sz w:val="22"/>
          <w:szCs w:val="22"/>
          <w:lang w:eastAsia="en-US"/>
        </w:rPr>
        <w:lastRenderedPageBreak/>
        <w:t>Contexte</w:t>
      </w:r>
    </w:p>
    <w:p w14:paraId="1CC86B39" w14:textId="01065C57" w:rsidR="00655870" w:rsidRPr="00D23C0B" w:rsidRDefault="007F342B" w:rsidP="00655870">
      <w:pPr>
        <w:pStyle w:val="COMPara"/>
        <w:numPr>
          <w:ilvl w:val="0"/>
          <w:numId w:val="14"/>
        </w:numPr>
        <w:ind w:left="567" w:hanging="567"/>
        <w:jc w:val="both"/>
        <w:rPr>
          <w:lang w:val="fr-FR"/>
        </w:rPr>
      </w:pPr>
      <w:r>
        <w:rPr>
          <w:lang w:val="fr-FR"/>
        </w:rPr>
        <w:t xml:space="preserve">Conformément aux paragraphes 160 à 164 des Directives opérationnelles, chaque État partie ayant un élément inscrit sur la Liste du patrimoine culturel immatériel nécessitant une sauvegarde urgente (ci-après, </w:t>
      </w:r>
      <w:r w:rsidR="0080602D">
        <w:rPr>
          <w:lang w:val="fr-FR"/>
        </w:rPr>
        <w:t>« </w:t>
      </w:r>
      <w:r>
        <w:rPr>
          <w:lang w:val="fr-FR"/>
        </w:rPr>
        <w:t>Liste de sauvegarde urgente</w:t>
      </w:r>
      <w:r w:rsidR="0080602D">
        <w:rPr>
          <w:lang w:val="fr-FR"/>
        </w:rPr>
        <w:t> »</w:t>
      </w:r>
      <w:r>
        <w:rPr>
          <w:lang w:val="fr-FR"/>
        </w:rPr>
        <w:t xml:space="preserve">) devra soumettre des rapports réguliers au Comité sur </w:t>
      </w:r>
      <w:r w:rsidR="00CA64BA">
        <w:rPr>
          <w:lang w:val="fr-FR"/>
        </w:rPr>
        <w:t>l’</w:t>
      </w:r>
      <w:r>
        <w:rPr>
          <w:lang w:val="fr-FR"/>
        </w:rPr>
        <w:t>état</w:t>
      </w:r>
      <w:r w:rsidR="00CA64BA">
        <w:rPr>
          <w:lang w:val="fr-FR"/>
        </w:rPr>
        <w:t xml:space="preserve"> de l’élément concerné</w:t>
      </w:r>
      <w:r>
        <w:rPr>
          <w:lang w:val="fr-FR"/>
        </w:rPr>
        <w:t>. Ces rapports sont normalement soumis avant le 15 décembre de la quatrième année suivant l</w:t>
      </w:r>
      <w:r w:rsidR="00655870">
        <w:rPr>
          <w:lang w:val="fr-FR"/>
        </w:rPr>
        <w:t>’</w:t>
      </w:r>
      <w:r>
        <w:rPr>
          <w:lang w:val="fr-FR"/>
        </w:rPr>
        <w:t>inscription de l</w:t>
      </w:r>
      <w:r w:rsidR="00655870">
        <w:rPr>
          <w:lang w:val="fr-FR"/>
        </w:rPr>
        <w:t>’</w:t>
      </w:r>
      <w:r>
        <w:rPr>
          <w:lang w:val="fr-FR"/>
        </w:rPr>
        <w:t xml:space="preserve">élément, puis tous les quatre ans. Une fois soumis, les rapports sont reçus et traités par le Secrétariat, comme prévu dans les paragraphes 165 </w:t>
      </w:r>
      <w:r w:rsidR="00AE7333">
        <w:rPr>
          <w:lang w:val="fr-FR"/>
        </w:rPr>
        <w:t>et</w:t>
      </w:r>
      <w:r>
        <w:rPr>
          <w:lang w:val="fr-FR"/>
        </w:rPr>
        <w:t xml:space="preserve"> 16</w:t>
      </w:r>
      <w:r w:rsidR="00AE7333">
        <w:rPr>
          <w:lang w:val="fr-FR"/>
        </w:rPr>
        <w:t>6</w:t>
      </w:r>
      <w:r>
        <w:rPr>
          <w:lang w:val="fr-FR"/>
        </w:rPr>
        <w:t xml:space="preserve"> des Directives opérationnelles.</w:t>
      </w:r>
    </w:p>
    <w:p w14:paraId="4FC61BD5" w14:textId="24213F4D" w:rsidR="00655870" w:rsidRPr="00D23C0B" w:rsidRDefault="007F342B" w:rsidP="00655870">
      <w:pPr>
        <w:pStyle w:val="COMPara"/>
        <w:numPr>
          <w:ilvl w:val="0"/>
          <w:numId w:val="14"/>
        </w:numPr>
        <w:ind w:left="567" w:hanging="567"/>
        <w:jc w:val="both"/>
        <w:rPr>
          <w:lang w:val="fr-FR"/>
        </w:rPr>
      </w:pPr>
      <w:r>
        <w:rPr>
          <w:lang w:val="fr-FR"/>
        </w:rPr>
        <w:t>L</w:t>
      </w:r>
      <w:r w:rsidR="00655870">
        <w:rPr>
          <w:lang w:val="fr-FR"/>
        </w:rPr>
        <w:t>’</w:t>
      </w:r>
      <w:r>
        <w:rPr>
          <w:lang w:val="fr-FR"/>
        </w:rPr>
        <w:t>article 7(f) de la Convention stipule que l</w:t>
      </w:r>
      <w:r w:rsidR="00655870">
        <w:rPr>
          <w:lang w:val="fr-FR"/>
        </w:rPr>
        <w:t>’</w:t>
      </w:r>
      <w:r>
        <w:rPr>
          <w:lang w:val="fr-FR"/>
        </w:rPr>
        <w:t>une des fonctions du Comité est d</w:t>
      </w:r>
      <w:proofErr w:type="gramStart"/>
      <w:r w:rsidR="00655870">
        <w:rPr>
          <w:lang w:val="fr-FR"/>
        </w:rPr>
        <w:t>’</w:t>
      </w:r>
      <w:r>
        <w:rPr>
          <w:lang w:val="fr-FR"/>
        </w:rPr>
        <w:t>«</w:t>
      </w:r>
      <w:proofErr w:type="gramEnd"/>
      <w:r>
        <w:rPr>
          <w:lang w:val="fr-FR"/>
        </w:rPr>
        <w:t> examiner, conformément à l</w:t>
      </w:r>
      <w:r w:rsidR="00655870">
        <w:rPr>
          <w:lang w:val="fr-FR"/>
        </w:rPr>
        <w:t>’</w:t>
      </w:r>
      <w:r>
        <w:rPr>
          <w:lang w:val="fr-FR"/>
        </w:rPr>
        <w:t>article 29, les rapports des États parties, et en faire un résumé à l</w:t>
      </w:r>
      <w:r w:rsidR="00655870">
        <w:rPr>
          <w:lang w:val="fr-FR"/>
        </w:rPr>
        <w:t>’</w:t>
      </w:r>
      <w:r>
        <w:rPr>
          <w:lang w:val="fr-FR"/>
        </w:rPr>
        <w:t>intention de l</w:t>
      </w:r>
      <w:r w:rsidR="00655870">
        <w:rPr>
          <w:lang w:val="fr-FR"/>
        </w:rPr>
        <w:t>’</w:t>
      </w:r>
      <w:r>
        <w:rPr>
          <w:lang w:val="fr-FR"/>
        </w:rPr>
        <w:t>Assemblée générale ». L</w:t>
      </w:r>
      <w:r w:rsidR="00655870">
        <w:rPr>
          <w:lang w:val="fr-FR"/>
        </w:rPr>
        <w:t>’</w:t>
      </w:r>
      <w:r>
        <w:rPr>
          <w:lang w:val="fr-FR"/>
        </w:rPr>
        <w:t>article 29 dispose par ailleurs que « les États parties présentent au Comité […] des rapports sur les dispositions législatives, règlementaires ou autres prises pour la mise en œuvre de la présente Convention ». En s</w:t>
      </w:r>
      <w:r w:rsidR="00655870">
        <w:rPr>
          <w:lang w:val="fr-FR"/>
        </w:rPr>
        <w:t>’</w:t>
      </w:r>
      <w:r>
        <w:rPr>
          <w:lang w:val="fr-FR"/>
        </w:rPr>
        <w:t>appuyant en partie sur ces rapports, le Comité soumet ensuite son propre rapport à l</w:t>
      </w:r>
      <w:r w:rsidR="00655870">
        <w:rPr>
          <w:lang w:val="fr-FR"/>
        </w:rPr>
        <w:t>’</w:t>
      </w:r>
      <w:r>
        <w:rPr>
          <w:lang w:val="fr-FR"/>
        </w:rPr>
        <w:t>Assemblée générale, conformément à l</w:t>
      </w:r>
      <w:r w:rsidR="00655870">
        <w:rPr>
          <w:lang w:val="fr-FR"/>
        </w:rPr>
        <w:t>’</w:t>
      </w:r>
      <w:r>
        <w:rPr>
          <w:lang w:val="fr-FR"/>
        </w:rPr>
        <w:t>article 30.</w:t>
      </w:r>
    </w:p>
    <w:p w14:paraId="7E26A812" w14:textId="0DD12F3F" w:rsidR="00655870" w:rsidRPr="00D23C0B" w:rsidRDefault="007F342B" w:rsidP="00655870">
      <w:pPr>
        <w:pStyle w:val="COMPara"/>
        <w:numPr>
          <w:ilvl w:val="0"/>
          <w:numId w:val="14"/>
        </w:numPr>
        <w:ind w:left="567" w:hanging="567"/>
        <w:jc w:val="both"/>
        <w:rPr>
          <w:lang w:val="fr-FR"/>
        </w:rPr>
      </w:pPr>
      <w:r>
        <w:rPr>
          <w:lang w:val="fr-FR"/>
        </w:rPr>
        <w:t>Le présent document concerne le sixième cycle ordinaire de soumission des rapports, pour la période allant de la date d</w:t>
      </w:r>
      <w:r w:rsidR="00655870">
        <w:rPr>
          <w:lang w:val="fr-FR"/>
        </w:rPr>
        <w:t>’</w:t>
      </w:r>
      <w:r>
        <w:rPr>
          <w:lang w:val="fr-FR"/>
        </w:rPr>
        <w:t>inscription ou de la date du précédent rapport jusqu</w:t>
      </w:r>
      <w:r w:rsidR="00655870">
        <w:rPr>
          <w:lang w:val="fr-FR"/>
        </w:rPr>
        <w:t>’</w:t>
      </w:r>
      <w:r>
        <w:rPr>
          <w:lang w:val="fr-FR"/>
        </w:rPr>
        <w:t>en décembre 2018. Dix rapports devaient être examinés par le Comité lors de la présente session : quatre rapports sur des éléments inscrits en 2010 (deuxième cycle ordinaire), trois sur des éléments inscrits en 2014 (premier cycle ordinaire) et trois rapports en retard sur des éléments inscrits en 2009, qui devaient être examinés lors du cinquième cycle ordinaire de présentation des rapports en 2018, mais n</w:t>
      </w:r>
      <w:r w:rsidR="00655870">
        <w:rPr>
          <w:lang w:val="fr-FR"/>
        </w:rPr>
        <w:t>’</w:t>
      </w:r>
      <w:r>
        <w:rPr>
          <w:lang w:val="fr-FR"/>
        </w:rPr>
        <w:t>avaient pas été soumis.</w:t>
      </w:r>
    </w:p>
    <w:p w14:paraId="2C0AB7BF" w14:textId="1901E80E" w:rsidR="00655870" w:rsidRPr="00D23C0B" w:rsidRDefault="007F342B" w:rsidP="003646FE">
      <w:pPr>
        <w:pStyle w:val="COMPara"/>
        <w:keepLines/>
        <w:numPr>
          <w:ilvl w:val="0"/>
          <w:numId w:val="14"/>
        </w:numPr>
        <w:ind w:left="567" w:hanging="567"/>
        <w:jc w:val="both"/>
        <w:rPr>
          <w:lang w:val="fr-FR"/>
        </w:rPr>
      </w:pPr>
      <w:r>
        <w:rPr>
          <w:lang w:val="fr-FR"/>
        </w:rPr>
        <w:t>Les rapports attendus sur les trois éléments inscrits en 2014 (</w:t>
      </w:r>
      <w:r w:rsidR="00AE7333">
        <w:rPr>
          <w:lang w:val="fr-FR"/>
        </w:rPr>
        <w:t xml:space="preserve">tout </w:t>
      </w:r>
      <w:r>
        <w:rPr>
          <w:lang w:val="fr-FR"/>
        </w:rPr>
        <w:t xml:space="preserve">premier rapport) ont été soumis dans les délais </w:t>
      </w:r>
      <w:r w:rsidR="00655870">
        <w:rPr>
          <w:lang w:val="fr-FR"/>
        </w:rPr>
        <w:t>prescrit</w:t>
      </w:r>
      <w:r w:rsidR="0010342A">
        <w:rPr>
          <w:lang w:val="fr-FR"/>
        </w:rPr>
        <w:t>s</w:t>
      </w:r>
      <w:r w:rsidR="00655870">
        <w:rPr>
          <w:lang w:val="fr-FR"/>
        </w:rPr>
        <w:t xml:space="preserve"> </w:t>
      </w:r>
      <w:r>
        <w:rPr>
          <w:lang w:val="fr-FR"/>
        </w:rPr>
        <w:t>par le Kenya, l</w:t>
      </w:r>
      <w:r w:rsidR="00655870">
        <w:rPr>
          <w:lang w:val="fr-FR"/>
        </w:rPr>
        <w:t>’</w:t>
      </w:r>
      <w:r>
        <w:rPr>
          <w:lang w:val="fr-FR"/>
        </w:rPr>
        <w:t>Ouganda et la République bolivarienne du Venezuela. Parmi les quatre rapports attendus sur les éléments inscrits en 2010, seule la Croatie a soumis son deuxième rapport dans les délais. Les trois autres rapports, ainsi que les trois rapports en retard qui étaient attendus l</w:t>
      </w:r>
      <w:r w:rsidR="00655870">
        <w:rPr>
          <w:lang w:val="fr-FR"/>
        </w:rPr>
        <w:t>’</w:t>
      </w:r>
      <w:r>
        <w:rPr>
          <w:lang w:val="fr-FR"/>
        </w:rPr>
        <w:t>année dernière, devaient être soumis par la Chine. Il convient de noter que le Comité avait examiné le premier rapport sur chacun des six éléments inscrits par la Chine lors de sa douzième session en 2017. Le deuxième rapport sur les six éléments indiqués dans le tableau ci-dessous est attendu en décembre 2019 au plus tard pour examen par le Comité lors de sa quinzième session en 2020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704"/>
        <w:gridCol w:w="5206"/>
        <w:gridCol w:w="1314"/>
        <w:gridCol w:w="848"/>
      </w:tblGrid>
      <w:tr w:rsidR="0065607A" w14:paraId="6638C203" w14:textId="77777777" w:rsidTr="00655870">
        <w:trPr>
          <w:cantSplit/>
          <w:tblHeader/>
        </w:trPr>
        <w:tc>
          <w:tcPr>
            <w:tcW w:w="639" w:type="pct"/>
            <w:shd w:val="clear" w:color="auto" w:fill="BFBFBF"/>
            <w:vAlign w:val="center"/>
            <w:hideMark/>
          </w:tcPr>
          <w:p w14:paraId="3237E1F2"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eastAsia="en-GB"/>
              </w:rPr>
              <w:t>État soumissionnaire</w:t>
            </w:r>
          </w:p>
        </w:tc>
        <w:tc>
          <w:tcPr>
            <w:tcW w:w="3086" w:type="pct"/>
            <w:shd w:val="clear" w:color="auto" w:fill="BFBFBF"/>
            <w:vAlign w:val="center"/>
            <w:hideMark/>
          </w:tcPr>
          <w:p w14:paraId="24E3C64D"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eastAsia="en-GB"/>
              </w:rPr>
              <w:t>Élément</w:t>
            </w:r>
          </w:p>
        </w:tc>
        <w:tc>
          <w:tcPr>
            <w:tcW w:w="627" w:type="pct"/>
            <w:shd w:val="clear" w:color="auto" w:fill="BFBFBF"/>
          </w:tcPr>
          <w:p w14:paraId="513B3317" w14:textId="79302AAA" w:rsidR="00655870" w:rsidRPr="002A7211" w:rsidRDefault="007F342B" w:rsidP="00655870">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eastAsia="en-GB"/>
              </w:rPr>
              <w:t>Année d</w:t>
            </w:r>
            <w:r w:rsidR="00655870">
              <w:rPr>
                <w:rFonts w:ascii="Arial" w:hAnsi="Arial" w:cs="Arial"/>
                <w:b/>
                <w:bCs/>
                <w:color w:val="000000"/>
                <w:sz w:val="20"/>
                <w:szCs w:val="20"/>
                <w:lang w:eastAsia="en-GB"/>
              </w:rPr>
              <w:t>’</w:t>
            </w:r>
            <w:r w:rsidRPr="002A7211">
              <w:rPr>
                <w:rFonts w:ascii="Arial" w:hAnsi="Arial" w:cs="Arial"/>
                <w:b/>
                <w:bCs/>
                <w:color w:val="000000"/>
                <w:sz w:val="20"/>
                <w:szCs w:val="20"/>
                <w:lang w:eastAsia="en-GB"/>
              </w:rPr>
              <w:t xml:space="preserve">inscription </w:t>
            </w:r>
          </w:p>
        </w:tc>
        <w:tc>
          <w:tcPr>
            <w:tcW w:w="648" w:type="pct"/>
            <w:shd w:val="clear" w:color="auto" w:fill="BFBFBF"/>
            <w:vAlign w:val="center"/>
            <w:hideMark/>
          </w:tcPr>
          <w:p w14:paraId="6723DF42"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eastAsia="en-GB"/>
              </w:rPr>
              <w:t>Dossier n°</w:t>
            </w:r>
          </w:p>
        </w:tc>
      </w:tr>
      <w:tr w:rsidR="0065607A" w14:paraId="52F220FF" w14:textId="77777777" w:rsidTr="00655870">
        <w:trPr>
          <w:cantSplit/>
        </w:trPr>
        <w:tc>
          <w:tcPr>
            <w:tcW w:w="639" w:type="pct"/>
          </w:tcPr>
          <w:p w14:paraId="2A77E188" w14:textId="77777777" w:rsidR="00655870" w:rsidRPr="002A7211" w:rsidRDefault="007F342B" w:rsidP="00655870">
            <w:pPr>
              <w:spacing w:before="120" w:after="120"/>
              <w:rPr>
                <w:rFonts w:ascii="Arial" w:hAnsi="Arial" w:cs="Arial"/>
                <w:color w:val="000000"/>
                <w:sz w:val="20"/>
                <w:szCs w:val="20"/>
                <w:lang w:val="en-GB"/>
              </w:rPr>
            </w:pPr>
            <w:r w:rsidRPr="002A7211">
              <w:rPr>
                <w:rFonts w:ascii="Arial" w:hAnsi="Arial" w:cs="Arial"/>
                <w:color w:val="000000"/>
                <w:sz w:val="20"/>
                <w:szCs w:val="20"/>
              </w:rPr>
              <w:t>Chine</w:t>
            </w:r>
          </w:p>
        </w:tc>
        <w:tc>
          <w:tcPr>
            <w:tcW w:w="3086" w:type="pct"/>
          </w:tcPr>
          <w:p w14:paraId="5413DC39" w14:textId="77777777" w:rsidR="00655870" w:rsidRPr="00D23C0B" w:rsidRDefault="007F342B" w:rsidP="00655870">
            <w:pPr>
              <w:spacing w:before="120" w:after="120"/>
              <w:rPr>
                <w:rFonts w:ascii="Arial" w:hAnsi="Arial" w:cs="Arial"/>
                <w:color w:val="000000"/>
                <w:sz w:val="20"/>
                <w:szCs w:val="20"/>
              </w:rPr>
            </w:pPr>
            <w:r w:rsidRPr="002A7211">
              <w:rPr>
                <w:rFonts w:ascii="Arial" w:hAnsi="Arial" w:cs="Arial"/>
                <w:color w:val="000000"/>
                <w:sz w:val="20"/>
                <w:szCs w:val="20"/>
              </w:rPr>
              <w:t>Les techniques textiles traditionnelles des Li : filage, teinture, tissage et broderie</w:t>
            </w:r>
          </w:p>
        </w:tc>
        <w:tc>
          <w:tcPr>
            <w:tcW w:w="627" w:type="pct"/>
          </w:tcPr>
          <w:p w14:paraId="18F44AEE"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color w:val="000000"/>
                <w:sz w:val="20"/>
                <w:szCs w:val="20"/>
              </w:rPr>
              <w:t>2009</w:t>
            </w:r>
          </w:p>
        </w:tc>
        <w:tc>
          <w:tcPr>
            <w:tcW w:w="648" w:type="pct"/>
          </w:tcPr>
          <w:p w14:paraId="6EEB463A" w14:textId="47E1A3D5" w:rsidR="00655870" w:rsidRPr="002A7211" w:rsidRDefault="00AB0D66" w:rsidP="00655870">
            <w:pPr>
              <w:spacing w:before="120" w:after="120"/>
              <w:jc w:val="center"/>
              <w:rPr>
                <w:rFonts w:ascii="Arial" w:hAnsi="Arial" w:cs="Arial"/>
                <w:sz w:val="20"/>
                <w:szCs w:val="20"/>
                <w:lang w:val="en-GB"/>
              </w:rPr>
            </w:pPr>
            <w:hyperlink r:id="rId8" w:history="1">
              <w:r w:rsidR="007F342B" w:rsidRPr="002A7211">
                <w:rPr>
                  <w:rStyle w:val="Hyperlink"/>
                  <w:rFonts w:ascii="Arial" w:hAnsi="Arial" w:cs="Arial"/>
                  <w:sz w:val="20"/>
                  <w:szCs w:val="20"/>
                </w:rPr>
                <w:t>00302</w:t>
              </w:r>
            </w:hyperlink>
          </w:p>
        </w:tc>
      </w:tr>
      <w:tr w:rsidR="0065607A" w14:paraId="0C800266" w14:textId="77777777" w:rsidTr="00655870">
        <w:trPr>
          <w:cantSplit/>
        </w:trPr>
        <w:tc>
          <w:tcPr>
            <w:tcW w:w="639" w:type="pct"/>
          </w:tcPr>
          <w:p w14:paraId="2DE8AF47" w14:textId="77777777" w:rsidR="00655870" w:rsidRPr="002A7211" w:rsidRDefault="007F342B" w:rsidP="00655870">
            <w:pPr>
              <w:spacing w:before="120" w:after="120"/>
              <w:rPr>
                <w:rFonts w:ascii="Arial" w:hAnsi="Arial" w:cs="Arial"/>
                <w:color w:val="000000"/>
                <w:sz w:val="20"/>
                <w:szCs w:val="20"/>
                <w:lang w:val="en-GB"/>
              </w:rPr>
            </w:pPr>
            <w:r w:rsidRPr="002A7211">
              <w:rPr>
                <w:rFonts w:ascii="Arial" w:hAnsi="Arial" w:cs="Arial"/>
                <w:color w:val="000000"/>
                <w:sz w:val="20"/>
                <w:szCs w:val="20"/>
              </w:rPr>
              <w:t>Chine</w:t>
            </w:r>
          </w:p>
        </w:tc>
        <w:tc>
          <w:tcPr>
            <w:tcW w:w="3086" w:type="pct"/>
          </w:tcPr>
          <w:p w14:paraId="52990C10" w14:textId="77777777" w:rsidR="00655870" w:rsidRPr="00D23C0B" w:rsidRDefault="007F342B" w:rsidP="00655870">
            <w:pPr>
              <w:spacing w:before="120" w:after="120"/>
              <w:rPr>
                <w:rFonts w:ascii="Arial" w:hAnsi="Arial" w:cs="Arial"/>
                <w:color w:val="000000"/>
                <w:sz w:val="20"/>
                <w:szCs w:val="20"/>
              </w:rPr>
            </w:pPr>
            <w:r w:rsidRPr="002A7211">
              <w:rPr>
                <w:rFonts w:ascii="Arial" w:hAnsi="Arial" w:cs="Arial"/>
                <w:color w:val="000000"/>
                <w:sz w:val="20"/>
                <w:szCs w:val="20"/>
              </w:rPr>
              <w:t>La conception et les pratiques traditionnelles de construction des ponts chinois de bois en arc</w:t>
            </w:r>
          </w:p>
        </w:tc>
        <w:tc>
          <w:tcPr>
            <w:tcW w:w="627" w:type="pct"/>
          </w:tcPr>
          <w:p w14:paraId="54709069"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color w:val="000000"/>
                <w:sz w:val="20"/>
                <w:szCs w:val="20"/>
              </w:rPr>
              <w:t>2009</w:t>
            </w:r>
          </w:p>
        </w:tc>
        <w:tc>
          <w:tcPr>
            <w:tcW w:w="648" w:type="pct"/>
          </w:tcPr>
          <w:p w14:paraId="7D60FABC" w14:textId="365707C2" w:rsidR="00655870" w:rsidRPr="002A7211" w:rsidRDefault="00AB0D66" w:rsidP="00655870">
            <w:pPr>
              <w:spacing w:before="120" w:after="120"/>
              <w:jc w:val="center"/>
              <w:rPr>
                <w:rFonts w:ascii="Arial" w:hAnsi="Arial" w:cs="Arial"/>
                <w:sz w:val="20"/>
                <w:szCs w:val="20"/>
                <w:lang w:val="en-GB"/>
              </w:rPr>
            </w:pPr>
            <w:hyperlink r:id="rId9" w:history="1">
              <w:r w:rsidR="007F342B" w:rsidRPr="002A7211">
                <w:rPr>
                  <w:rStyle w:val="Hyperlink"/>
                  <w:rFonts w:ascii="Arial" w:hAnsi="Arial" w:cs="Arial"/>
                  <w:sz w:val="20"/>
                  <w:szCs w:val="20"/>
                </w:rPr>
                <w:t>00303</w:t>
              </w:r>
            </w:hyperlink>
          </w:p>
        </w:tc>
      </w:tr>
      <w:tr w:rsidR="0065607A" w14:paraId="2529DFF5" w14:textId="77777777" w:rsidTr="00655870">
        <w:trPr>
          <w:cantSplit/>
        </w:trPr>
        <w:tc>
          <w:tcPr>
            <w:tcW w:w="639" w:type="pct"/>
          </w:tcPr>
          <w:p w14:paraId="25E8BF86" w14:textId="77777777" w:rsidR="00655870" w:rsidRPr="002A7211" w:rsidRDefault="007F342B" w:rsidP="00655870">
            <w:pPr>
              <w:spacing w:before="120" w:after="120"/>
              <w:rPr>
                <w:rFonts w:ascii="Arial" w:hAnsi="Arial" w:cs="Arial"/>
                <w:color w:val="000000"/>
                <w:sz w:val="20"/>
                <w:szCs w:val="20"/>
                <w:lang w:val="en-GB"/>
              </w:rPr>
            </w:pPr>
            <w:r w:rsidRPr="002A7211">
              <w:rPr>
                <w:rFonts w:ascii="Arial" w:hAnsi="Arial" w:cs="Arial"/>
                <w:color w:val="000000"/>
                <w:sz w:val="20"/>
                <w:szCs w:val="20"/>
              </w:rPr>
              <w:t>Chine</w:t>
            </w:r>
          </w:p>
        </w:tc>
        <w:tc>
          <w:tcPr>
            <w:tcW w:w="3086" w:type="pct"/>
          </w:tcPr>
          <w:p w14:paraId="6D08418E" w14:textId="77777777" w:rsidR="00655870" w:rsidRPr="00D23C0B" w:rsidRDefault="007F342B" w:rsidP="00655870">
            <w:pPr>
              <w:spacing w:before="120" w:after="120"/>
              <w:rPr>
                <w:rFonts w:ascii="Arial" w:hAnsi="Arial" w:cs="Arial"/>
                <w:color w:val="000000"/>
                <w:sz w:val="20"/>
                <w:szCs w:val="20"/>
              </w:rPr>
            </w:pPr>
            <w:r w:rsidRPr="002A7211">
              <w:rPr>
                <w:rFonts w:ascii="Arial" w:hAnsi="Arial" w:cs="Arial"/>
                <w:color w:val="000000"/>
                <w:sz w:val="20"/>
                <w:szCs w:val="20"/>
              </w:rPr>
              <w:t>Le festival du Nouvel An des Qiang</w:t>
            </w:r>
          </w:p>
        </w:tc>
        <w:tc>
          <w:tcPr>
            <w:tcW w:w="627" w:type="pct"/>
          </w:tcPr>
          <w:p w14:paraId="70C7E888"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color w:val="000000"/>
                <w:sz w:val="20"/>
                <w:szCs w:val="20"/>
              </w:rPr>
              <w:t>2009</w:t>
            </w:r>
          </w:p>
        </w:tc>
        <w:tc>
          <w:tcPr>
            <w:tcW w:w="648" w:type="pct"/>
          </w:tcPr>
          <w:p w14:paraId="4030A4AA" w14:textId="43D16E19" w:rsidR="00655870" w:rsidRPr="002A7211" w:rsidRDefault="00AB0D66" w:rsidP="00655870">
            <w:pPr>
              <w:spacing w:before="120" w:after="120"/>
              <w:jc w:val="center"/>
              <w:rPr>
                <w:rFonts w:ascii="Arial" w:hAnsi="Arial" w:cs="Arial"/>
                <w:sz w:val="20"/>
                <w:szCs w:val="20"/>
                <w:lang w:val="en-GB"/>
              </w:rPr>
            </w:pPr>
            <w:hyperlink r:id="rId10" w:history="1">
              <w:r w:rsidR="007F342B" w:rsidRPr="002A7211">
                <w:rPr>
                  <w:rStyle w:val="Hyperlink"/>
                  <w:rFonts w:ascii="Arial" w:hAnsi="Arial" w:cs="Arial"/>
                  <w:sz w:val="20"/>
                  <w:szCs w:val="20"/>
                </w:rPr>
                <w:t>00305</w:t>
              </w:r>
            </w:hyperlink>
          </w:p>
        </w:tc>
      </w:tr>
      <w:tr w:rsidR="0065607A" w14:paraId="757B1130" w14:textId="77777777" w:rsidTr="00655870">
        <w:trPr>
          <w:cantSplit/>
        </w:trPr>
        <w:tc>
          <w:tcPr>
            <w:tcW w:w="639" w:type="pct"/>
          </w:tcPr>
          <w:p w14:paraId="52817772" w14:textId="77777777" w:rsidR="00655870" w:rsidRPr="002E373B" w:rsidRDefault="007F342B" w:rsidP="00655870">
            <w:pPr>
              <w:spacing w:before="120" w:after="120"/>
              <w:rPr>
                <w:rFonts w:ascii="Arial" w:hAnsi="Arial" w:cs="Arial"/>
                <w:color w:val="000000"/>
                <w:sz w:val="20"/>
                <w:szCs w:val="20"/>
                <w:lang w:val="en-GB"/>
              </w:rPr>
            </w:pPr>
            <w:r w:rsidRPr="002E373B">
              <w:rPr>
                <w:rFonts w:ascii="Arial" w:hAnsi="Arial" w:cs="Arial"/>
                <w:color w:val="000000"/>
                <w:sz w:val="20"/>
                <w:szCs w:val="20"/>
              </w:rPr>
              <w:t>Chine</w:t>
            </w:r>
          </w:p>
        </w:tc>
        <w:tc>
          <w:tcPr>
            <w:tcW w:w="3086" w:type="pct"/>
          </w:tcPr>
          <w:p w14:paraId="4BD02828" w14:textId="77777777" w:rsidR="00655870" w:rsidRPr="002E373B" w:rsidRDefault="0080602D" w:rsidP="00655870">
            <w:pPr>
              <w:spacing w:before="120" w:after="120"/>
              <w:rPr>
                <w:rFonts w:ascii="Arial" w:hAnsi="Arial" w:cs="Arial"/>
                <w:color w:val="000000"/>
                <w:sz w:val="20"/>
                <w:szCs w:val="20"/>
                <w:lang w:val="en-GB"/>
              </w:rPr>
            </w:pPr>
            <w:r>
              <w:rPr>
                <w:rFonts w:ascii="Arial" w:hAnsi="Arial" w:cs="Arial"/>
                <w:color w:val="000000"/>
                <w:sz w:val="20"/>
                <w:szCs w:val="20"/>
              </w:rPr>
              <w:t xml:space="preserve">Le </w:t>
            </w:r>
            <w:proofErr w:type="spellStart"/>
            <w:r w:rsidR="007F342B" w:rsidRPr="002E373B">
              <w:rPr>
                <w:rFonts w:ascii="Arial" w:hAnsi="Arial" w:cs="Arial"/>
                <w:color w:val="000000"/>
                <w:sz w:val="20"/>
                <w:szCs w:val="20"/>
              </w:rPr>
              <w:t>Meshrep</w:t>
            </w:r>
            <w:proofErr w:type="spellEnd"/>
          </w:p>
        </w:tc>
        <w:tc>
          <w:tcPr>
            <w:tcW w:w="627" w:type="pct"/>
          </w:tcPr>
          <w:p w14:paraId="0BA154E9" w14:textId="77777777" w:rsidR="00655870" w:rsidRPr="002E373B" w:rsidRDefault="007F342B" w:rsidP="00655870">
            <w:pPr>
              <w:spacing w:before="120" w:after="120"/>
              <w:jc w:val="center"/>
              <w:rPr>
                <w:rFonts w:ascii="Arial" w:hAnsi="Arial" w:cs="Arial"/>
                <w:color w:val="000000"/>
                <w:sz w:val="20"/>
                <w:szCs w:val="20"/>
                <w:lang w:val="en-GB"/>
              </w:rPr>
            </w:pPr>
            <w:r w:rsidRPr="002E373B">
              <w:rPr>
                <w:rFonts w:ascii="Arial" w:hAnsi="Arial" w:cs="Arial"/>
                <w:color w:val="000000"/>
                <w:sz w:val="20"/>
                <w:szCs w:val="20"/>
              </w:rPr>
              <w:t>2010</w:t>
            </w:r>
          </w:p>
        </w:tc>
        <w:tc>
          <w:tcPr>
            <w:tcW w:w="648" w:type="pct"/>
          </w:tcPr>
          <w:p w14:paraId="474321F8" w14:textId="5479A001" w:rsidR="00655870" w:rsidRPr="002E373B" w:rsidRDefault="00AB0D66" w:rsidP="00655870">
            <w:pPr>
              <w:spacing w:before="120" w:after="120"/>
              <w:jc w:val="center"/>
              <w:rPr>
                <w:rFonts w:ascii="Arial" w:hAnsi="Arial" w:cs="Arial"/>
                <w:color w:val="000000"/>
                <w:sz w:val="20"/>
                <w:szCs w:val="20"/>
                <w:lang w:val="en-GB"/>
              </w:rPr>
            </w:pPr>
            <w:hyperlink r:id="rId11" w:history="1">
              <w:r w:rsidR="007F342B" w:rsidRPr="002E373B">
                <w:rPr>
                  <w:rStyle w:val="Hyperlink"/>
                  <w:rFonts w:ascii="Arial" w:hAnsi="Arial" w:cs="Arial"/>
                  <w:sz w:val="20"/>
                  <w:szCs w:val="20"/>
                </w:rPr>
                <w:t>00304</w:t>
              </w:r>
            </w:hyperlink>
          </w:p>
        </w:tc>
      </w:tr>
      <w:tr w:rsidR="0065607A" w14:paraId="28585D3E" w14:textId="77777777" w:rsidTr="00655870">
        <w:trPr>
          <w:cantSplit/>
        </w:trPr>
        <w:tc>
          <w:tcPr>
            <w:tcW w:w="639" w:type="pct"/>
          </w:tcPr>
          <w:p w14:paraId="0D4F6670" w14:textId="77777777" w:rsidR="00655870" w:rsidRPr="002E373B" w:rsidRDefault="007F342B" w:rsidP="00655870">
            <w:pPr>
              <w:spacing w:before="120" w:after="120"/>
              <w:rPr>
                <w:rFonts w:ascii="Arial" w:hAnsi="Arial" w:cs="Arial"/>
                <w:color w:val="000000"/>
                <w:sz w:val="20"/>
                <w:szCs w:val="20"/>
                <w:lang w:val="en-GB"/>
              </w:rPr>
            </w:pPr>
            <w:r w:rsidRPr="002E373B">
              <w:rPr>
                <w:rFonts w:ascii="Arial" w:hAnsi="Arial" w:cs="Arial"/>
                <w:color w:val="000000"/>
                <w:sz w:val="20"/>
                <w:szCs w:val="20"/>
              </w:rPr>
              <w:t>Chine</w:t>
            </w:r>
          </w:p>
        </w:tc>
        <w:tc>
          <w:tcPr>
            <w:tcW w:w="3086" w:type="pct"/>
          </w:tcPr>
          <w:p w14:paraId="3A197DE0" w14:textId="77777777" w:rsidR="00655870" w:rsidRPr="00D23C0B" w:rsidRDefault="007F342B" w:rsidP="00655870">
            <w:pPr>
              <w:spacing w:before="120" w:after="120"/>
              <w:rPr>
                <w:rFonts w:ascii="Arial" w:hAnsi="Arial" w:cs="Arial"/>
                <w:color w:val="000000"/>
                <w:sz w:val="20"/>
                <w:szCs w:val="20"/>
              </w:rPr>
            </w:pPr>
            <w:r w:rsidRPr="002E373B">
              <w:rPr>
                <w:rFonts w:ascii="Arial" w:hAnsi="Arial" w:cs="Arial"/>
                <w:color w:val="000000"/>
                <w:sz w:val="20"/>
                <w:szCs w:val="20"/>
              </w:rPr>
              <w:t>La technique des cloisons étanches des jonques chinoises</w:t>
            </w:r>
          </w:p>
        </w:tc>
        <w:tc>
          <w:tcPr>
            <w:tcW w:w="627" w:type="pct"/>
          </w:tcPr>
          <w:p w14:paraId="7EFED423" w14:textId="77777777" w:rsidR="00655870" w:rsidRPr="002E373B" w:rsidRDefault="007F342B" w:rsidP="00655870">
            <w:pPr>
              <w:spacing w:before="120" w:after="120"/>
              <w:jc w:val="center"/>
              <w:rPr>
                <w:rFonts w:ascii="Arial" w:hAnsi="Arial" w:cs="Arial"/>
                <w:color w:val="000000"/>
                <w:sz w:val="20"/>
                <w:szCs w:val="20"/>
                <w:lang w:val="en-GB"/>
              </w:rPr>
            </w:pPr>
            <w:r w:rsidRPr="002E373B">
              <w:rPr>
                <w:rFonts w:ascii="Arial" w:hAnsi="Arial" w:cs="Arial"/>
                <w:color w:val="000000"/>
                <w:sz w:val="20"/>
                <w:szCs w:val="20"/>
              </w:rPr>
              <w:t>2010</w:t>
            </w:r>
          </w:p>
        </w:tc>
        <w:tc>
          <w:tcPr>
            <w:tcW w:w="648" w:type="pct"/>
          </w:tcPr>
          <w:p w14:paraId="111D33C9" w14:textId="58FC27EB" w:rsidR="00655870" w:rsidRPr="002E373B" w:rsidRDefault="00AB0D66" w:rsidP="00655870">
            <w:pPr>
              <w:spacing w:before="120" w:after="120"/>
              <w:jc w:val="center"/>
              <w:rPr>
                <w:rFonts w:ascii="Arial" w:hAnsi="Arial" w:cs="Arial"/>
                <w:color w:val="000000"/>
                <w:sz w:val="20"/>
                <w:szCs w:val="20"/>
                <w:lang w:val="en-GB"/>
              </w:rPr>
            </w:pPr>
            <w:hyperlink r:id="rId12" w:history="1">
              <w:r w:rsidR="007F342B" w:rsidRPr="002E373B">
                <w:rPr>
                  <w:rStyle w:val="Hyperlink"/>
                  <w:rFonts w:ascii="Arial" w:hAnsi="Arial" w:cs="Arial"/>
                  <w:sz w:val="20"/>
                  <w:szCs w:val="20"/>
                </w:rPr>
                <w:t>00321</w:t>
              </w:r>
            </w:hyperlink>
          </w:p>
        </w:tc>
      </w:tr>
      <w:tr w:rsidR="0065607A" w14:paraId="502B24E7" w14:textId="77777777" w:rsidTr="00655870">
        <w:trPr>
          <w:cantSplit/>
        </w:trPr>
        <w:tc>
          <w:tcPr>
            <w:tcW w:w="639" w:type="pct"/>
          </w:tcPr>
          <w:p w14:paraId="60FDE857" w14:textId="77777777" w:rsidR="00655870" w:rsidRPr="002E373B" w:rsidRDefault="007F342B" w:rsidP="00655870">
            <w:pPr>
              <w:spacing w:before="120" w:after="120"/>
              <w:rPr>
                <w:rFonts w:ascii="Arial" w:hAnsi="Arial" w:cs="Arial"/>
                <w:color w:val="000000"/>
                <w:sz w:val="20"/>
                <w:szCs w:val="20"/>
                <w:lang w:val="en-GB"/>
              </w:rPr>
            </w:pPr>
            <w:r w:rsidRPr="002E373B">
              <w:rPr>
                <w:rFonts w:ascii="Arial" w:hAnsi="Arial" w:cs="Arial"/>
                <w:color w:val="000000"/>
                <w:sz w:val="20"/>
                <w:szCs w:val="20"/>
              </w:rPr>
              <w:t>Chine</w:t>
            </w:r>
          </w:p>
        </w:tc>
        <w:tc>
          <w:tcPr>
            <w:tcW w:w="3086" w:type="pct"/>
          </w:tcPr>
          <w:p w14:paraId="07C74320" w14:textId="5C944F3E" w:rsidR="00655870" w:rsidRPr="00D23C0B" w:rsidRDefault="007F342B" w:rsidP="00655870">
            <w:pPr>
              <w:spacing w:before="120" w:after="120"/>
              <w:rPr>
                <w:rFonts w:ascii="Arial" w:hAnsi="Arial" w:cs="Arial"/>
                <w:color w:val="000000"/>
                <w:sz w:val="20"/>
                <w:szCs w:val="20"/>
              </w:rPr>
            </w:pPr>
            <w:r w:rsidRPr="002E373B">
              <w:rPr>
                <w:rFonts w:ascii="Arial" w:hAnsi="Arial" w:cs="Arial"/>
                <w:color w:val="000000"/>
                <w:sz w:val="20"/>
                <w:szCs w:val="20"/>
              </w:rPr>
              <w:t>L</w:t>
            </w:r>
            <w:r w:rsidR="00655870">
              <w:rPr>
                <w:rFonts w:ascii="Arial" w:hAnsi="Arial" w:cs="Arial"/>
                <w:color w:val="000000"/>
                <w:sz w:val="20"/>
                <w:szCs w:val="20"/>
              </w:rPr>
              <w:t>’</w:t>
            </w:r>
            <w:r w:rsidRPr="002E373B">
              <w:rPr>
                <w:rFonts w:ascii="Arial" w:hAnsi="Arial" w:cs="Arial"/>
                <w:color w:val="000000"/>
                <w:sz w:val="20"/>
                <w:szCs w:val="20"/>
              </w:rPr>
              <w:t>imprimerie chinoise à caractères mobiles en bois</w:t>
            </w:r>
          </w:p>
        </w:tc>
        <w:tc>
          <w:tcPr>
            <w:tcW w:w="627" w:type="pct"/>
          </w:tcPr>
          <w:p w14:paraId="0266DD39" w14:textId="77777777" w:rsidR="00655870" w:rsidRPr="002E373B" w:rsidRDefault="007F342B" w:rsidP="00655870">
            <w:pPr>
              <w:spacing w:before="120" w:after="120"/>
              <w:jc w:val="center"/>
              <w:rPr>
                <w:rFonts w:ascii="Arial" w:hAnsi="Arial" w:cs="Arial"/>
                <w:color w:val="000000"/>
                <w:sz w:val="20"/>
                <w:szCs w:val="20"/>
                <w:lang w:val="en-GB"/>
              </w:rPr>
            </w:pPr>
            <w:r w:rsidRPr="002E373B">
              <w:rPr>
                <w:rFonts w:ascii="Arial" w:hAnsi="Arial" w:cs="Arial"/>
                <w:color w:val="000000"/>
                <w:sz w:val="20"/>
                <w:szCs w:val="20"/>
              </w:rPr>
              <w:t>2010</w:t>
            </w:r>
          </w:p>
        </w:tc>
        <w:tc>
          <w:tcPr>
            <w:tcW w:w="648" w:type="pct"/>
          </w:tcPr>
          <w:p w14:paraId="3F4188D5" w14:textId="5AD2C180" w:rsidR="00655870" w:rsidRPr="002E373B" w:rsidRDefault="00AB0D66" w:rsidP="00655870">
            <w:pPr>
              <w:spacing w:before="120" w:after="120"/>
              <w:jc w:val="center"/>
              <w:rPr>
                <w:rFonts w:ascii="Arial" w:hAnsi="Arial" w:cs="Arial"/>
                <w:color w:val="000000"/>
                <w:sz w:val="20"/>
                <w:szCs w:val="20"/>
                <w:lang w:val="en-GB"/>
              </w:rPr>
            </w:pPr>
            <w:hyperlink r:id="rId13" w:history="1">
              <w:r w:rsidR="007F342B" w:rsidRPr="002E373B">
                <w:rPr>
                  <w:rStyle w:val="Hyperlink"/>
                  <w:rFonts w:ascii="Arial" w:hAnsi="Arial" w:cs="Arial"/>
                  <w:sz w:val="20"/>
                  <w:szCs w:val="20"/>
                </w:rPr>
                <w:t>00322</w:t>
              </w:r>
            </w:hyperlink>
          </w:p>
        </w:tc>
      </w:tr>
    </w:tbl>
    <w:p w14:paraId="22339460" w14:textId="3CA065BA" w:rsidR="00655870" w:rsidRPr="00D23C0B" w:rsidRDefault="007F342B" w:rsidP="00B722AA">
      <w:pPr>
        <w:pStyle w:val="COMPara"/>
        <w:numPr>
          <w:ilvl w:val="0"/>
          <w:numId w:val="9"/>
        </w:numPr>
        <w:spacing w:before="120"/>
        <w:ind w:left="567" w:hanging="567"/>
        <w:jc w:val="both"/>
        <w:rPr>
          <w:lang w:val="fr-FR"/>
        </w:rPr>
      </w:pPr>
      <w:r>
        <w:rPr>
          <w:lang w:val="fr-FR"/>
        </w:rPr>
        <w:t>En ce qui concerne les quatre rapports dûment soumis au 15 décembre 2018, conformément au paragraphe 165 des Directives opérationnelles, le Secrétariat les a enregistrés et en a accusé réception. Les rapports finaux sont disponibles à l</w:t>
      </w:r>
      <w:r w:rsidR="00655870">
        <w:rPr>
          <w:lang w:val="fr-FR"/>
        </w:rPr>
        <w:t>’</w:t>
      </w:r>
      <w:r>
        <w:rPr>
          <w:lang w:val="fr-FR"/>
        </w:rPr>
        <w:t>adresse :</w:t>
      </w:r>
      <w:r w:rsidR="0080602D">
        <w:rPr>
          <w:lang w:val="fr-FR"/>
        </w:rPr>
        <w:t xml:space="preserve"> </w:t>
      </w:r>
      <w:hyperlink r:id="rId14" w:history="1">
        <w:r w:rsidR="00B722AA" w:rsidRPr="00AB58BD">
          <w:rPr>
            <w:rStyle w:val="Hyperlink"/>
            <w:lang w:val="fr-FR"/>
          </w:rPr>
          <w:t>https://ich.unesco.org/fr/9a-rapports-periodiques-lsu-01076</w:t>
        </w:r>
      </w:hyperlink>
      <w:r>
        <w:rPr>
          <w:lang w:val="fr-FR"/>
        </w:rPr>
        <w:t xml:space="preserve">. Le présent document </w:t>
      </w:r>
      <w:r w:rsidR="0080602D">
        <w:rPr>
          <w:lang w:val="fr-FR"/>
        </w:rPr>
        <w:t>comprend</w:t>
      </w:r>
      <w:r>
        <w:rPr>
          <w:lang w:val="fr-FR"/>
        </w:rPr>
        <w:t xml:space="preserve"> </w:t>
      </w:r>
      <w:r>
        <w:rPr>
          <w:lang w:val="fr-FR"/>
        </w:rPr>
        <w:lastRenderedPageBreak/>
        <w:t>un aperçu des rapports reçus et un ensemble de projets de décisions soumis à l</w:t>
      </w:r>
      <w:r w:rsidR="00655870">
        <w:rPr>
          <w:lang w:val="fr-FR"/>
        </w:rPr>
        <w:t>’</w:t>
      </w:r>
      <w:r>
        <w:rPr>
          <w:lang w:val="fr-FR"/>
        </w:rPr>
        <w:t>examen du Comité, un pour cha</w:t>
      </w:r>
      <w:r w:rsidR="00DB5E35">
        <w:rPr>
          <w:lang w:val="fr-FR"/>
        </w:rPr>
        <w:t>cun des</w:t>
      </w:r>
      <w:r>
        <w:rPr>
          <w:lang w:val="fr-FR"/>
        </w:rPr>
        <w:t xml:space="preserve"> rapport</w:t>
      </w:r>
      <w:r w:rsidR="00DB5E35">
        <w:rPr>
          <w:lang w:val="fr-FR"/>
        </w:rPr>
        <w:t>s suivants</w:t>
      </w:r>
      <w:r>
        <w:rPr>
          <w:lang w:val="fr-FR"/>
        </w:rPr>
        <w:t xml:space="preserve">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414"/>
        <w:gridCol w:w="1984"/>
        <w:gridCol w:w="3400"/>
        <w:gridCol w:w="1419"/>
        <w:gridCol w:w="855"/>
      </w:tblGrid>
      <w:tr w:rsidR="0065607A" w14:paraId="62859FF4" w14:textId="77777777" w:rsidTr="0080602D">
        <w:trPr>
          <w:cantSplit/>
          <w:tblHeader/>
        </w:trPr>
        <w:tc>
          <w:tcPr>
            <w:tcW w:w="779" w:type="pct"/>
            <w:tcBorders>
              <w:top w:val="single" w:sz="4" w:space="0" w:color="auto"/>
              <w:left w:val="single" w:sz="4" w:space="0" w:color="auto"/>
              <w:bottom w:val="single" w:sz="4" w:space="0" w:color="auto"/>
              <w:right w:val="nil"/>
            </w:tcBorders>
            <w:shd w:val="clear" w:color="auto" w:fill="BFBFBF"/>
            <w:vAlign w:val="center"/>
            <w:hideMark/>
          </w:tcPr>
          <w:p w14:paraId="2FCFF447" w14:textId="77777777" w:rsidR="00655870" w:rsidRPr="002A7211" w:rsidRDefault="007F342B" w:rsidP="00655870">
            <w:pPr>
              <w:spacing w:before="120" w:after="120"/>
              <w:jc w:val="center"/>
              <w:rPr>
                <w:rFonts w:ascii="Arial" w:hAnsi="Arial" w:cs="Arial"/>
                <w:color w:val="000000"/>
                <w:sz w:val="20"/>
                <w:szCs w:val="20"/>
                <w:lang w:val="en-GB"/>
              </w:rPr>
            </w:pPr>
            <w:bookmarkStart w:id="1" w:name="Draftdecision"/>
            <w:r w:rsidRPr="002A7211">
              <w:rPr>
                <w:rFonts w:ascii="Arial" w:hAnsi="Arial" w:cs="Arial"/>
                <w:b/>
                <w:bCs/>
                <w:color w:val="000000"/>
                <w:sz w:val="20"/>
                <w:szCs w:val="20"/>
                <w:lang w:eastAsia="en-GB"/>
              </w:rPr>
              <w:t>Projet de décision</w:t>
            </w:r>
            <w:bookmarkEnd w:id="1"/>
          </w:p>
        </w:tc>
        <w:tc>
          <w:tcPr>
            <w:tcW w:w="1093" w:type="pct"/>
            <w:tcBorders>
              <w:top w:val="single" w:sz="4" w:space="0" w:color="auto"/>
              <w:left w:val="nil"/>
              <w:bottom w:val="single" w:sz="4" w:space="0" w:color="auto"/>
              <w:right w:val="nil"/>
            </w:tcBorders>
            <w:shd w:val="clear" w:color="auto" w:fill="BFBFBF"/>
            <w:vAlign w:val="center"/>
            <w:hideMark/>
          </w:tcPr>
          <w:p w14:paraId="57DB139F"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eastAsia="en-GB"/>
              </w:rPr>
              <w:t>État soumissionnaire</w:t>
            </w:r>
          </w:p>
        </w:tc>
        <w:tc>
          <w:tcPr>
            <w:tcW w:w="1874" w:type="pct"/>
            <w:tcBorders>
              <w:top w:val="single" w:sz="4" w:space="0" w:color="auto"/>
              <w:left w:val="nil"/>
              <w:bottom w:val="single" w:sz="4" w:space="0" w:color="auto"/>
              <w:right w:val="nil"/>
            </w:tcBorders>
            <w:shd w:val="clear" w:color="auto" w:fill="BFBFBF"/>
            <w:vAlign w:val="center"/>
            <w:hideMark/>
          </w:tcPr>
          <w:p w14:paraId="0A8C8DB6"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eastAsia="en-GB"/>
              </w:rPr>
              <w:t>Élément</w:t>
            </w:r>
          </w:p>
        </w:tc>
        <w:tc>
          <w:tcPr>
            <w:tcW w:w="782" w:type="pct"/>
            <w:tcBorders>
              <w:top w:val="single" w:sz="4" w:space="0" w:color="auto"/>
              <w:left w:val="nil"/>
              <w:bottom w:val="single" w:sz="4" w:space="0" w:color="auto"/>
              <w:right w:val="nil"/>
            </w:tcBorders>
            <w:shd w:val="clear" w:color="auto" w:fill="BFBFBF"/>
          </w:tcPr>
          <w:p w14:paraId="4D253584" w14:textId="5F043308" w:rsidR="00655870" w:rsidRPr="002A7211" w:rsidRDefault="007F342B" w:rsidP="00655870">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eastAsia="en-GB"/>
              </w:rPr>
              <w:t>Année d</w:t>
            </w:r>
            <w:r w:rsidR="00655870">
              <w:rPr>
                <w:rFonts w:ascii="Arial" w:hAnsi="Arial" w:cs="Arial"/>
                <w:b/>
                <w:bCs/>
                <w:color w:val="000000"/>
                <w:sz w:val="20"/>
                <w:szCs w:val="20"/>
                <w:lang w:eastAsia="en-GB"/>
              </w:rPr>
              <w:t>’</w:t>
            </w:r>
            <w:r w:rsidRPr="002A7211">
              <w:rPr>
                <w:rFonts w:ascii="Arial" w:hAnsi="Arial" w:cs="Arial"/>
                <w:b/>
                <w:bCs/>
                <w:color w:val="000000"/>
                <w:sz w:val="20"/>
                <w:szCs w:val="20"/>
                <w:lang w:eastAsia="en-GB"/>
              </w:rPr>
              <w:t>inscription</w:t>
            </w:r>
          </w:p>
        </w:tc>
        <w:tc>
          <w:tcPr>
            <w:tcW w:w="471" w:type="pct"/>
            <w:tcBorders>
              <w:top w:val="single" w:sz="4" w:space="0" w:color="auto"/>
              <w:left w:val="nil"/>
              <w:bottom w:val="single" w:sz="4" w:space="0" w:color="auto"/>
              <w:right w:val="single" w:sz="4" w:space="0" w:color="auto"/>
            </w:tcBorders>
            <w:shd w:val="clear" w:color="auto" w:fill="BFBFBF"/>
            <w:vAlign w:val="center"/>
            <w:hideMark/>
          </w:tcPr>
          <w:p w14:paraId="2782DDD9" w14:textId="77777777" w:rsidR="00655870" w:rsidRPr="002A7211" w:rsidRDefault="007F342B" w:rsidP="00655870">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eastAsia="en-GB"/>
              </w:rPr>
              <w:t>Dossier n°</w:t>
            </w:r>
          </w:p>
        </w:tc>
      </w:tr>
      <w:tr w:rsidR="0065607A" w14:paraId="78654205" w14:textId="77777777" w:rsidTr="0080602D">
        <w:trPr>
          <w:cantSplit/>
        </w:trPr>
        <w:tc>
          <w:tcPr>
            <w:tcW w:w="779" w:type="pct"/>
            <w:tcBorders>
              <w:top w:val="single" w:sz="4" w:space="0" w:color="auto"/>
              <w:left w:val="single" w:sz="4" w:space="0" w:color="auto"/>
              <w:bottom w:val="single" w:sz="4" w:space="0" w:color="auto"/>
              <w:right w:val="nil"/>
            </w:tcBorders>
          </w:tcPr>
          <w:p w14:paraId="3B56307A" w14:textId="618F969C" w:rsidR="00655870" w:rsidRPr="00635386" w:rsidRDefault="00AB0D66" w:rsidP="00655870">
            <w:pPr>
              <w:spacing w:before="120" w:after="120"/>
              <w:rPr>
                <w:rFonts w:ascii="Arial" w:hAnsi="Arial" w:cs="Arial"/>
                <w:bCs/>
                <w:color w:val="000000"/>
                <w:sz w:val="20"/>
                <w:szCs w:val="20"/>
                <w:lang w:val="en-GB" w:eastAsia="en-GB"/>
              </w:rPr>
            </w:pPr>
            <w:hyperlink w:anchor="_PROJET_DE_DÉCISION" w:history="1">
              <w:r w:rsidR="007F342B" w:rsidRPr="00635386">
                <w:rPr>
                  <w:rStyle w:val="Hyperlink"/>
                  <w:rFonts w:ascii="Arial" w:hAnsi="Arial" w:cs="Arial"/>
                  <w:bCs/>
                  <w:sz w:val="20"/>
                  <w:szCs w:val="20"/>
                  <w:lang w:eastAsia="en-GB"/>
                </w:rPr>
                <w:t>14.COM 9.a.1</w:t>
              </w:r>
            </w:hyperlink>
          </w:p>
        </w:tc>
        <w:tc>
          <w:tcPr>
            <w:tcW w:w="1093" w:type="pct"/>
            <w:tcBorders>
              <w:top w:val="single" w:sz="4" w:space="0" w:color="auto"/>
              <w:left w:val="nil"/>
              <w:bottom w:val="single" w:sz="4" w:space="0" w:color="auto"/>
              <w:right w:val="nil"/>
            </w:tcBorders>
          </w:tcPr>
          <w:p w14:paraId="748E942E" w14:textId="77777777" w:rsidR="00655870" w:rsidRPr="00153C24" w:rsidRDefault="007F342B" w:rsidP="00655870">
            <w:pPr>
              <w:spacing w:before="120" w:after="120"/>
              <w:jc w:val="center"/>
              <w:rPr>
                <w:rFonts w:ascii="Arial" w:hAnsi="Arial" w:cs="Arial"/>
                <w:color w:val="000000"/>
                <w:sz w:val="20"/>
                <w:szCs w:val="20"/>
                <w:lang w:val="en-GB"/>
              </w:rPr>
            </w:pPr>
            <w:r>
              <w:rPr>
                <w:rFonts w:ascii="Arial" w:hAnsi="Arial" w:cs="Arial"/>
                <w:color w:val="000000"/>
                <w:sz w:val="20"/>
                <w:szCs w:val="20"/>
              </w:rPr>
              <w:t>Croatie</w:t>
            </w:r>
          </w:p>
        </w:tc>
        <w:tc>
          <w:tcPr>
            <w:tcW w:w="1874" w:type="pct"/>
            <w:tcBorders>
              <w:top w:val="single" w:sz="4" w:space="0" w:color="auto"/>
              <w:left w:val="nil"/>
              <w:bottom w:val="single" w:sz="4" w:space="0" w:color="auto"/>
              <w:right w:val="nil"/>
            </w:tcBorders>
          </w:tcPr>
          <w:p w14:paraId="1CD79D14" w14:textId="77777777" w:rsidR="00655870" w:rsidRPr="00153C24" w:rsidRDefault="007F342B" w:rsidP="00655870">
            <w:pPr>
              <w:spacing w:before="120" w:after="120"/>
              <w:rPr>
                <w:rFonts w:ascii="Arial" w:hAnsi="Arial" w:cs="Arial"/>
                <w:color w:val="000000"/>
                <w:sz w:val="20"/>
                <w:szCs w:val="20"/>
                <w:lang w:val="en-US"/>
              </w:rPr>
            </w:pPr>
            <w:r w:rsidRPr="00A82520">
              <w:rPr>
                <w:rFonts w:ascii="Arial" w:hAnsi="Arial" w:cs="Arial"/>
                <w:color w:val="000000"/>
                <w:sz w:val="20"/>
                <w:szCs w:val="20"/>
              </w:rPr>
              <w:t xml:space="preserve">Le chant </w:t>
            </w:r>
            <w:proofErr w:type="spellStart"/>
            <w:r w:rsidRPr="00A82520">
              <w:rPr>
                <w:rFonts w:ascii="Arial" w:hAnsi="Arial" w:cs="Arial"/>
                <w:color w:val="000000"/>
                <w:sz w:val="20"/>
                <w:szCs w:val="20"/>
              </w:rPr>
              <w:t>Okjanje</w:t>
            </w:r>
            <w:proofErr w:type="spellEnd"/>
          </w:p>
        </w:tc>
        <w:tc>
          <w:tcPr>
            <w:tcW w:w="782" w:type="pct"/>
            <w:tcBorders>
              <w:top w:val="single" w:sz="4" w:space="0" w:color="auto"/>
              <w:left w:val="nil"/>
              <w:bottom w:val="single" w:sz="4" w:space="0" w:color="auto"/>
              <w:right w:val="nil"/>
            </w:tcBorders>
          </w:tcPr>
          <w:p w14:paraId="16B1BF31" w14:textId="77777777" w:rsidR="00655870" w:rsidRPr="00153C24" w:rsidRDefault="007F342B" w:rsidP="00655870">
            <w:pPr>
              <w:spacing w:before="120" w:after="120"/>
              <w:jc w:val="center"/>
              <w:rPr>
                <w:rFonts w:ascii="Arial" w:hAnsi="Arial" w:cs="Arial"/>
                <w:color w:val="000000"/>
                <w:sz w:val="20"/>
                <w:szCs w:val="20"/>
                <w:lang w:val="en-GB"/>
              </w:rPr>
            </w:pPr>
            <w:r>
              <w:rPr>
                <w:rFonts w:ascii="Arial" w:hAnsi="Arial" w:cs="Arial"/>
                <w:color w:val="000000"/>
                <w:sz w:val="20"/>
                <w:szCs w:val="20"/>
              </w:rPr>
              <w:t>2010</w:t>
            </w:r>
          </w:p>
        </w:tc>
        <w:tc>
          <w:tcPr>
            <w:tcW w:w="471" w:type="pct"/>
            <w:tcBorders>
              <w:top w:val="single" w:sz="4" w:space="0" w:color="auto"/>
              <w:left w:val="nil"/>
              <w:bottom w:val="single" w:sz="4" w:space="0" w:color="auto"/>
              <w:right w:val="single" w:sz="4" w:space="0" w:color="auto"/>
            </w:tcBorders>
          </w:tcPr>
          <w:p w14:paraId="3C0073BF" w14:textId="3F26ABDF" w:rsidR="00655870" w:rsidRPr="00153C24" w:rsidRDefault="00AB0D66" w:rsidP="00655870">
            <w:pPr>
              <w:spacing w:before="120" w:after="120"/>
              <w:jc w:val="center"/>
              <w:rPr>
                <w:rFonts w:ascii="Arial" w:hAnsi="Arial" w:cs="Arial"/>
                <w:color w:val="000000"/>
                <w:sz w:val="20"/>
                <w:szCs w:val="20"/>
                <w:lang w:val="en-GB"/>
              </w:rPr>
            </w:pPr>
            <w:hyperlink r:id="rId15" w:history="1">
              <w:r w:rsidR="007F342B" w:rsidRPr="00A82520">
                <w:rPr>
                  <w:rStyle w:val="Hyperlink"/>
                  <w:rFonts w:ascii="Arial" w:hAnsi="Arial" w:cs="Arial"/>
                  <w:sz w:val="20"/>
                  <w:szCs w:val="20"/>
                </w:rPr>
                <w:t>00320</w:t>
              </w:r>
            </w:hyperlink>
          </w:p>
        </w:tc>
      </w:tr>
      <w:tr w:rsidR="0065607A" w14:paraId="60F2EC91" w14:textId="77777777" w:rsidTr="0080602D">
        <w:trPr>
          <w:cantSplit/>
        </w:trPr>
        <w:tc>
          <w:tcPr>
            <w:tcW w:w="779" w:type="pct"/>
            <w:tcBorders>
              <w:top w:val="single" w:sz="4" w:space="0" w:color="auto"/>
              <w:left w:val="single" w:sz="4" w:space="0" w:color="auto"/>
              <w:bottom w:val="single" w:sz="4" w:space="0" w:color="auto"/>
              <w:right w:val="nil"/>
            </w:tcBorders>
          </w:tcPr>
          <w:p w14:paraId="5FA2BFA3" w14:textId="05F11287" w:rsidR="00655870" w:rsidRPr="00635386" w:rsidRDefault="00AB0D66" w:rsidP="00655870">
            <w:pPr>
              <w:spacing w:before="120" w:after="120"/>
              <w:rPr>
                <w:rFonts w:ascii="Arial" w:hAnsi="Arial" w:cs="Arial"/>
                <w:bCs/>
                <w:color w:val="000000"/>
                <w:sz w:val="20"/>
                <w:szCs w:val="20"/>
                <w:lang w:val="en-GB" w:eastAsia="en-GB"/>
              </w:rPr>
            </w:pPr>
            <w:hyperlink w:anchor="_PROJET_DE_DÉCISION_1" w:history="1">
              <w:r w:rsidR="007F342B" w:rsidRPr="00635386">
                <w:rPr>
                  <w:rStyle w:val="Hyperlink"/>
                  <w:rFonts w:ascii="Arial" w:hAnsi="Arial" w:cs="Arial"/>
                  <w:bCs/>
                  <w:sz w:val="20"/>
                  <w:szCs w:val="20"/>
                  <w:lang w:eastAsia="en-GB"/>
                </w:rPr>
                <w:t>14.COM 9.a.2</w:t>
              </w:r>
            </w:hyperlink>
          </w:p>
        </w:tc>
        <w:tc>
          <w:tcPr>
            <w:tcW w:w="1093" w:type="pct"/>
            <w:tcBorders>
              <w:top w:val="single" w:sz="4" w:space="0" w:color="auto"/>
              <w:left w:val="nil"/>
              <w:bottom w:val="single" w:sz="4" w:space="0" w:color="auto"/>
              <w:right w:val="nil"/>
            </w:tcBorders>
          </w:tcPr>
          <w:p w14:paraId="019EB9F1" w14:textId="77777777" w:rsidR="00655870" w:rsidRPr="00153C24" w:rsidRDefault="007F342B" w:rsidP="00655870">
            <w:pPr>
              <w:spacing w:before="120" w:after="120"/>
              <w:jc w:val="center"/>
              <w:rPr>
                <w:rFonts w:ascii="Arial" w:hAnsi="Arial" w:cs="Arial"/>
                <w:color w:val="000000"/>
                <w:sz w:val="20"/>
                <w:szCs w:val="20"/>
                <w:lang w:val="en-GB"/>
              </w:rPr>
            </w:pPr>
            <w:r>
              <w:rPr>
                <w:rFonts w:ascii="Arial" w:hAnsi="Arial" w:cs="Arial"/>
                <w:color w:val="000000"/>
                <w:sz w:val="20"/>
                <w:szCs w:val="20"/>
              </w:rPr>
              <w:t>Kenya</w:t>
            </w:r>
          </w:p>
        </w:tc>
        <w:tc>
          <w:tcPr>
            <w:tcW w:w="1874" w:type="pct"/>
            <w:tcBorders>
              <w:top w:val="single" w:sz="4" w:space="0" w:color="auto"/>
              <w:left w:val="nil"/>
              <w:bottom w:val="single" w:sz="4" w:space="0" w:color="auto"/>
              <w:right w:val="nil"/>
            </w:tcBorders>
          </w:tcPr>
          <w:p w14:paraId="41501157" w14:textId="499C6E6A" w:rsidR="00655870" w:rsidRPr="00D23C0B" w:rsidRDefault="007F342B" w:rsidP="00655870">
            <w:pPr>
              <w:spacing w:before="120" w:after="120"/>
              <w:rPr>
                <w:rFonts w:ascii="Arial" w:hAnsi="Arial" w:cs="Arial"/>
                <w:color w:val="000000"/>
                <w:sz w:val="20"/>
                <w:szCs w:val="20"/>
              </w:rPr>
            </w:pPr>
            <w:r w:rsidRPr="00A82520">
              <w:rPr>
                <w:rFonts w:ascii="Arial" w:hAnsi="Arial" w:cs="Arial"/>
                <w:color w:val="000000"/>
                <w:sz w:val="20"/>
                <w:szCs w:val="20"/>
              </w:rPr>
              <w:t xml:space="preserve">La danse </w:t>
            </w:r>
            <w:proofErr w:type="spellStart"/>
            <w:r w:rsidRPr="00A82520">
              <w:rPr>
                <w:rFonts w:ascii="Arial" w:hAnsi="Arial" w:cs="Arial"/>
                <w:color w:val="000000"/>
                <w:sz w:val="20"/>
                <w:szCs w:val="20"/>
              </w:rPr>
              <w:t>Isukuti</w:t>
            </w:r>
            <w:proofErr w:type="spellEnd"/>
            <w:r w:rsidRPr="00A82520">
              <w:rPr>
                <w:rFonts w:ascii="Arial" w:hAnsi="Arial" w:cs="Arial"/>
                <w:color w:val="000000"/>
                <w:sz w:val="20"/>
                <w:szCs w:val="20"/>
              </w:rPr>
              <w:t xml:space="preserve"> des communautés </w:t>
            </w:r>
            <w:proofErr w:type="spellStart"/>
            <w:r w:rsidRPr="00A82520">
              <w:rPr>
                <w:rFonts w:ascii="Arial" w:hAnsi="Arial" w:cs="Arial"/>
                <w:color w:val="000000"/>
                <w:sz w:val="20"/>
                <w:szCs w:val="20"/>
              </w:rPr>
              <w:t>Isukha</w:t>
            </w:r>
            <w:proofErr w:type="spellEnd"/>
            <w:r w:rsidRPr="00A82520">
              <w:rPr>
                <w:rFonts w:ascii="Arial" w:hAnsi="Arial" w:cs="Arial"/>
                <w:color w:val="000000"/>
                <w:sz w:val="20"/>
                <w:szCs w:val="20"/>
              </w:rPr>
              <w:t xml:space="preserve"> et </w:t>
            </w:r>
            <w:proofErr w:type="spellStart"/>
            <w:r w:rsidRPr="00A82520">
              <w:rPr>
                <w:rFonts w:ascii="Arial" w:hAnsi="Arial" w:cs="Arial"/>
                <w:color w:val="000000"/>
                <w:sz w:val="20"/>
                <w:szCs w:val="20"/>
              </w:rPr>
              <w:t>Idakho</w:t>
            </w:r>
            <w:proofErr w:type="spellEnd"/>
            <w:r w:rsidRPr="00A82520">
              <w:rPr>
                <w:rFonts w:ascii="Arial" w:hAnsi="Arial" w:cs="Arial"/>
                <w:color w:val="000000"/>
                <w:sz w:val="20"/>
                <w:szCs w:val="20"/>
              </w:rPr>
              <w:t xml:space="preserve"> de l</w:t>
            </w:r>
            <w:r w:rsidR="00655870">
              <w:rPr>
                <w:rFonts w:ascii="Arial" w:hAnsi="Arial" w:cs="Arial"/>
                <w:color w:val="000000"/>
                <w:sz w:val="20"/>
                <w:szCs w:val="20"/>
              </w:rPr>
              <w:t>’</w:t>
            </w:r>
            <w:r w:rsidRPr="00A82520">
              <w:rPr>
                <w:rFonts w:ascii="Arial" w:hAnsi="Arial" w:cs="Arial"/>
                <w:color w:val="000000"/>
                <w:sz w:val="20"/>
                <w:szCs w:val="20"/>
              </w:rPr>
              <w:t>ouest du Kenya</w:t>
            </w:r>
          </w:p>
        </w:tc>
        <w:tc>
          <w:tcPr>
            <w:tcW w:w="782" w:type="pct"/>
            <w:tcBorders>
              <w:top w:val="single" w:sz="4" w:space="0" w:color="auto"/>
              <w:left w:val="nil"/>
              <w:bottom w:val="single" w:sz="4" w:space="0" w:color="auto"/>
              <w:right w:val="nil"/>
            </w:tcBorders>
          </w:tcPr>
          <w:p w14:paraId="37B618B0" w14:textId="77777777" w:rsidR="00655870" w:rsidRPr="00153C24" w:rsidRDefault="007F342B" w:rsidP="00655870">
            <w:pPr>
              <w:spacing w:before="120" w:after="120"/>
              <w:jc w:val="center"/>
              <w:rPr>
                <w:rFonts w:ascii="Arial" w:hAnsi="Arial" w:cs="Arial"/>
                <w:color w:val="000000"/>
                <w:sz w:val="20"/>
                <w:szCs w:val="20"/>
                <w:lang w:val="en-GB"/>
              </w:rPr>
            </w:pPr>
            <w:r>
              <w:rPr>
                <w:rFonts w:ascii="Arial" w:hAnsi="Arial" w:cs="Arial"/>
                <w:color w:val="000000"/>
                <w:sz w:val="20"/>
                <w:szCs w:val="20"/>
              </w:rPr>
              <w:t>2014</w:t>
            </w:r>
          </w:p>
        </w:tc>
        <w:tc>
          <w:tcPr>
            <w:tcW w:w="471" w:type="pct"/>
            <w:tcBorders>
              <w:top w:val="single" w:sz="4" w:space="0" w:color="auto"/>
              <w:left w:val="nil"/>
              <w:bottom w:val="single" w:sz="4" w:space="0" w:color="auto"/>
              <w:right w:val="single" w:sz="4" w:space="0" w:color="auto"/>
            </w:tcBorders>
          </w:tcPr>
          <w:p w14:paraId="5FDDF453" w14:textId="1144C1A3" w:rsidR="00655870" w:rsidRPr="00153C24" w:rsidRDefault="00AB0D66" w:rsidP="00655870">
            <w:pPr>
              <w:spacing w:before="120" w:after="120"/>
              <w:jc w:val="center"/>
              <w:rPr>
                <w:rFonts w:ascii="Arial" w:hAnsi="Arial" w:cs="Arial"/>
                <w:color w:val="000000"/>
                <w:sz w:val="20"/>
                <w:szCs w:val="20"/>
                <w:lang w:val="en-GB"/>
              </w:rPr>
            </w:pPr>
            <w:hyperlink r:id="rId16" w:history="1">
              <w:r w:rsidR="007F342B" w:rsidRPr="00A82520">
                <w:rPr>
                  <w:rStyle w:val="Hyperlink"/>
                  <w:rFonts w:ascii="Arial" w:hAnsi="Arial" w:cs="Arial"/>
                  <w:sz w:val="20"/>
                  <w:szCs w:val="20"/>
                </w:rPr>
                <w:t>00981</w:t>
              </w:r>
            </w:hyperlink>
          </w:p>
        </w:tc>
      </w:tr>
      <w:tr w:rsidR="0065607A" w14:paraId="6F56631D" w14:textId="77777777" w:rsidTr="0080602D">
        <w:trPr>
          <w:cantSplit/>
        </w:trPr>
        <w:tc>
          <w:tcPr>
            <w:tcW w:w="779" w:type="pct"/>
            <w:tcBorders>
              <w:top w:val="single" w:sz="4" w:space="0" w:color="auto"/>
              <w:left w:val="single" w:sz="4" w:space="0" w:color="auto"/>
              <w:bottom w:val="single" w:sz="4" w:space="0" w:color="auto"/>
              <w:right w:val="nil"/>
            </w:tcBorders>
          </w:tcPr>
          <w:p w14:paraId="626A5D67" w14:textId="7B107063" w:rsidR="00655870" w:rsidRPr="00635386" w:rsidRDefault="00AB0D66" w:rsidP="00655870">
            <w:pPr>
              <w:spacing w:before="120" w:after="120"/>
              <w:rPr>
                <w:rFonts w:ascii="Arial" w:hAnsi="Arial" w:cs="Arial"/>
                <w:bCs/>
                <w:color w:val="000000"/>
                <w:sz w:val="20"/>
                <w:szCs w:val="20"/>
                <w:lang w:val="en-GB" w:eastAsia="en-GB"/>
              </w:rPr>
            </w:pPr>
            <w:hyperlink w:anchor="_PROJET_DE_DÉCISION_2" w:history="1">
              <w:r w:rsidR="007F342B" w:rsidRPr="00635386">
                <w:rPr>
                  <w:rStyle w:val="Hyperlink"/>
                  <w:rFonts w:ascii="Arial" w:hAnsi="Arial" w:cs="Arial"/>
                  <w:bCs/>
                  <w:sz w:val="20"/>
                  <w:szCs w:val="20"/>
                  <w:lang w:eastAsia="en-GB"/>
                </w:rPr>
                <w:t>14.COM 9.a.3</w:t>
              </w:r>
            </w:hyperlink>
          </w:p>
        </w:tc>
        <w:tc>
          <w:tcPr>
            <w:tcW w:w="1093" w:type="pct"/>
            <w:tcBorders>
              <w:top w:val="single" w:sz="4" w:space="0" w:color="auto"/>
              <w:left w:val="nil"/>
              <w:bottom w:val="single" w:sz="4" w:space="0" w:color="auto"/>
              <w:right w:val="nil"/>
            </w:tcBorders>
          </w:tcPr>
          <w:p w14:paraId="258E1362" w14:textId="77777777" w:rsidR="00655870" w:rsidRPr="00153C24" w:rsidRDefault="007F342B" w:rsidP="00655870">
            <w:pPr>
              <w:spacing w:before="120" w:after="120"/>
              <w:jc w:val="center"/>
              <w:rPr>
                <w:rFonts w:ascii="Arial" w:hAnsi="Arial" w:cs="Arial"/>
                <w:color w:val="000000"/>
                <w:sz w:val="20"/>
                <w:szCs w:val="20"/>
                <w:lang w:val="en-GB"/>
              </w:rPr>
            </w:pPr>
            <w:r w:rsidRPr="00A82520">
              <w:rPr>
                <w:rFonts w:ascii="Arial" w:hAnsi="Arial" w:cs="Arial"/>
                <w:color w:val="000000"/>
                <w:sz w:val="20"/>
                <w:szCs w:val="20"/>
              </w:rPr>
              <w:t>Ouganda</w:t>
            </w:r>
          </w:p>
        </w:tc>
        <w:tc>
          <w:tcPr>
            <w:tcW w:w="1874" w:type="pct"/>
            <w:tcBorders>
              <w:top w:val="single" w:sz="4" w:space="0" w:color="auto"/>
              <w:left w:val="nil"/>
              <w:bottom w:val="single" w:sz="4" w:space="0" w:color="auto"/>
              <w:right w:val="nil"/>
            </w:tcBorders>
          </w:tcPr>
          <w:p w14:paraId="568A5DB5" w14:textId="15C537A0" w:rsidR="00655870" w:rsidRPr="00D23C0B" w:rsidRDefault="007F342B" w:rsidP="00655870">
            <w:pPr>
              <w:spacing w:before="120" w:after="120"/>
              <w:rPr>
                <w:rFonts w:ascii="Arial" w:hAnsi="Arial" w:cs="Arial"/>
                <w:color w:val="000000"/>
                <w:sz w:val="20"/>
                <w:szCs w:val="20"/>
              </w:rPr>
            </w:pPr>
            <w:r w:rsidRPr="00A82520">
              <w:rPr>
                <w:rFonts w:ascii="Arial" w:hAnsi="Arial" w:cs="Arial"/>
                <w:color w:val="000000"/>
                <w:sz w:val="20"/>
                <w:szCs w:val="20"/>
              </w:rPr>
              <w:t xml:space="preserve">La cérémonie de purification des garçons chez les </w:t>
            </w:r>
            <w:proofErr w:type="spellStart"/>
            <w:r w:rsidRPr="00A82520">
              <w:rPr>
                <w:rFonts w:ascii="Arial" w:hAnsi="Arial" w:cs="Arial"/>
                <w:color w:val="000000"/>
                <w:sz w:val="20"/>
                <w:szCs w:val="20"/>
              </w:rPr>
              <w:t>Lango</w:t>
            </w:r>
            <w:proofErr w:type="spellEnd"/>
            <w:r w:rsidRPr="00A82520">
              <w:rPr>
                <w:rFonts w:ascii="Arial" w:hAnsi="Arial" w:cs="Arial"/>
                <w:color w:val="000000"/>
                <w:sz w:val="20"/>
                <w:szCs w:val="20"/>
              </w:rPr>
              <w:t xml:space="preserve"> du centre-nord de l</w:t>
            </w:r>
            <w:r w:rsidR="00655870">
              <w:rPr>
                <w:rFonts w:ascii="Arial" w:hAnsi="Arial" w:cs="Arial"/>
                <w:color w:val="000000"/>
                <w:sz w:val="20"/>
                <w:szCs w:val="20"/>
              </w:rPr>
              <w:t>’</w:t>
            </w:r>
            <w:r w:rsidRPr="00A82520">
              <w:rPr>
                <w:rFonts w:ascii="Arial" w:hAnsi="Arial" w:cs="Arial"/>
                <w:color w:val="000000"/>
                <w:sz w:val="20"/>
                <w:szCs w:val="20"/>
              </w:rPr>
              <w:t>Ouganda</w:t>
            </w:r>
          </w:p>
        </w:tc>
        <w:tc>
          <w:tcPr>
            <w:tcW w:w="782" w:type="pct"/>
            <w:tcBorders>
              <w:top w:val="single" w:sz="4" w:space="0" w:color="auto"/>
              <w:left w:val="nil"/>
              <w:bottom w:val="single" w:sz="4" w:space="0" w:color="auto"/>
              <w:right w:val="nil"/>
            </w:tcBorders>
          </w:tcPr>
          <w:p w14:paraId="1539D10F" w14:textId="77777777" w:rsidR="00655870" w:rsidRPr="00153C24" w:rsidRDefault="007F342B" w:rsidP="00655870">
            <w:pPr>
              <w:spacing w:before="120" w:after="120"/>
              <w:jc w:val="center"/>
              <w:rPr>
                <w:rFonts w:ascii="Arial" w:hAnsi="Arial" w:cs="Arial"/>
                <w:color w:val="000000"/>
                <w:sz w:val="20"/>
                <w:szCs w:val="20"/>
                <w:lang w:val="en-GB"/>
              </w:rPr>
            </w:pPr>
            <w:r>
              <w:rPr>
                <w:rFonts w:ascii="Arial" w:hAnsi="Arial" w:cs="Arial"/>
                <w:color w:val="000000"/>
                <w:sz w:val="20"/>
                <w:szCs w:val="20"/>
              </w:rPr>
              <w:t>2014</w:t>
            </w:r>
          </w:p>
        </w:tc>
        <w:tc>
          <w:tcPr>
            <w:tcW w:w="471" w:type="pct"/>
            <w:tcBorders>
              <w:top w:val="single" w:sz="4" w:space="0" w:color="auto"/>
              <w:left w:val="nil"/>
              <w:bottom w:val="single" w:sz="4" w:space="0" w:color="auto"/>
              <w:right w:val="single" w:sz="4" w:space="0" w:color="auto"/>
            </w:tcBorders>
          </w:tcPr>
          <w:p w14:paraId="6615D9EE" w14:textId="49F3AB73" w:rsidR="00655870" w:rsidRPr="00153C24" w:rsidRDefault="00AB0D66" w:rsidP="00655870">
            <w:pPr>
              <w:spacing w:before="120" w:after="120"/>
              <w:jc w:val="center"/>
              <w:rPr>
                <w:rFonts w:ascii="Arial" w:hAnsi="Arial" w:cs="Arial"/>
                <w:color w:val="000000"/>
                <w:sz w:val="20"/>
                <w:szCs w:val="20"/>
                <w:lang w:val="en-GB"/>
              </w:rPr>
            </w:pPr>
            <w:hyperlink r:id="rId17" w:history="1">
              <w:r w:rsidR="007F342B" w:rsidRPr="00153C24">
                <w:rPr>
                  <w:rStyle w:val="Hyperlink"/>
                  <w:rFonts w:ascii="Arial" w:hAnsi="Arial" w:cs="Arial"/>
                  <w:sz w:val="20"/>
                  <w:szCs w:val="20"/>
                </w:rPr>
                <w:t>00982</w:t>
              </w:r>
            </w:hyperlink>
          </w:p>
        </w:tc>
      </w:tr>
      <w:tr w:rsidR="0065607A" w14:paraId="77107C5D" w14:textId="77777777" w:rsidTr="0080602D">
        <w:trPr>
          <w:cantSplit/>
        </w:trPr>
        <w:tc>
          <w:tcPr>
            <w:tcW w:w="779" w:type="pct"/>
            <w:tcBorders>
              <w:top w:val="single" w:sz="4" w:space="0" w:color="auto"/>
              <w:left w:val="single" w:sz="4" w:space="0" w:color="auto"/>
              <w:bottom w:val="single" w:sz="4" w:space="0" w:color="auto"/>
              <w:right w:val="nil"/>
            </w:tcBorders>
          </w:tcPr>
          <w:p w14:paraId="60253FB4" w14:textId="5109835B" w:rsidR="00655870" w:rsidRPr="00635386" w:rsidRDefault="00AB0D66" w:rsidP="00655870">
            <w:pPr>
              <w:spacing w:before="120" w:after="120"/>
              <w:rPr>
                <w:rFonts w:ascii="Arial" w:hAnsi="Arial" w:cs="Arial"/>
                <w:bCs/>
                <w:color w:val="000000"/>
                <w:sz w:val="20"/>
                <w:szCs w:val="20"/>
                <w:lang w:val="en-GB" w:eastAsia="en-GB"/>
              </w:rPr>
            </w:pPr>
            <w:hyperlink w:anchor="_PROJET_DE_DÉCISION_3" w:history="1">
              <w:r w:rsidR="007F342B" w:rsidRPr="00635386">
                <w:rPr>
                  <w:rStyle w:val="Hyperlink"/>
                  <w:rFonts w:ascii="Arial" w:hAnsi="Arial" w:cs="Arial"/>
                  <w:bCs/>
                  <w:sz w:val="20"/>
                  <w:szCs w:val="20"/>
                  <w:lang w:eastAsia="en-GB"/>
                </w:rPr>
                <w:t>14.COM 9.a.4</w:t>
              </w:r>
            </w:hyperlink>
          </w:p>
        </w:tc>
        <w:tc>
          <w:tcPr>
            <w:tcW w:w="1093" w:type="pct"/>
            <w:tcBorders>
              <w:top w:val="single" w:sz="4" w:space="0" w:color="auto"/>
              <w:left w:val="nil"/>
              <w:bottom w:val="single" w:sz="4" w:space="0" w:color="auto"/>
              <w:right w:val="nil"/>
            </w:tcBorders>
          </w:tcPr>
          <w:p w14:paraId="1009B316" w14:textId="77777777" w:rsidR="00655870" w:rsidRPr="00153C24" w:rsidRDefault="007F342B" w:rsidP="00655870">
            <w:pPr>
              <w:spacing w:before="120" w:after="120"/>
              <w:jc w:val="center"/>
              <w:rPr>
                <w:rFonts w:ascii="Arial" w:hAnsi="Arial" w:cs="Arial"/>
                <w:color w:val="000000"/>
                <w:sz w:val="20"/>
                <w:szCs w:val="20"/>
                <w:lang w:val="en-GB"/>
              </w:rPr>
            </w:pPr>
            <w:r w:rsidRPr="00A82520">
              <w:rPr>
                <w:rFonts w:ascii="Arial" w:hAnsi="Arial" w:cs="Arial"/>
                <w:color w:val="000000"/>
                <w:sz w:val="20"/>
                <w:szCs w:val="20"/>
              </w:rPr>
              <w:t>Venezuela (République bolivarienne du)</w:t>
            </w:r>
          </w:p>
        </w:tc>
        <w:tc>
          <w:tcPr>
            <w:tcW w:w="1874" w:type="pct"/>
            <w:tcBorders>
              <w:top w:val="single" w:sz="4" w:space="0" w:color="auto"/>
              <w:left w:val="nil"/>
              <w:bottom w:val="single" w:sz="4" w:space="0" w:color="auto"/>
              <w:right w:val="nil"/>
            </w:tcBorders>
          </w:tcPr>
          <w:p w14:paraId="5F280C89" w14:textId="77777777" w:rsidR="00655870" w:rsidRPr="00D23C0B" w:rsidRDefault="007F342B" w:rsidP="00655870">
            <w:pPr>
              <w:spacing w:before="120" w:after="120"/>
              <w:rPr>
                <w:rFonts w:ascii="Arial" w:hAnsi="Arial" w:cs="Arial"/>
                <w:color w:val="000000"/>
                <w:sz w:val="20"/>
                <w:szCs w:val="20"/>
              </w:rPr>
            </w:pPr>
            <w:r w:rsidRPr="00A82520">
              <w:rPr>
                <w:rFonts w:ascii="Arial" w:hAnsi="Arial" w:cs="Arial"/>
                <w:color w:val="000000"/>
                <w:sz w:val="20"/>
                <w:szCs w:val="20"/>
              </w:rPr>
              <w:t xml:space="preserve">La tradition orale </w:t>
            </w:r>
            <w:proofErr w:type="spellStart"/>
            <w:r w:rsidRPr="00A82520">
              <w:rPr>
                <w:rFonts w:ascii="Arial" w:hAnsi="Arial" w:cs="Arial"/>
                <w:color w:val="000000"/>
                <w:sz w:val="20"/>
                <w:szCs w:val="20"/>
              </w:rPr>
              <w:t>Mapoyo</w:t>
            </w:r>
            <w:proofErr w:type="spellEnd"/>
            <w:r w:rsidRPr="00A82520">
              <w:rPr>
                <w:rFonts w:ascii="Arial" w:hAnsi="Arial" w:cs="Arial"/>
                <w:color w:val="000000"/>
                <w:sz w:val="20"/>
                <w:szCs w:val="20"/>
              </w:rPr>
              <w:t xml:space="preserve"> et ses points de référence symboliques dans leur territoire ancestral</w:t>
            </w:r>
          </w:p>
        </w:tc>
        <w:tc>
          <w:tcPr>
            <w:tcW w:w="782" w:type="pct"/>
            <w:tcBorders>
              <w:top w:val="single" w:sz="4" w:space="0" w:color="auto"/>
              <w:left w:val="nil"/>
              <w:bottom w:val="single" w:sz="4" w:space="0" w:color="auto"/>
              <w:right w:val="nil"/>
            </w:tcBorders>
          </w:tcPr>
          <w:p w14:paraId="1E75D0CB" w14:textId="77777777" w:rsidR="00655870" w:rsidRPr="00153C24" w:rsidRDefault="007F342B" w:rsidP="00655870">
            <w:pPr>
              <w:spacing w:before="120" w:after="120"/>
              <w:jc w:val="center"/>
              <w:rPr>
                <w:rFonts w:ascii="Arial" w:hAnsi="Arial" w:cs="Arial"/>
                <w:color w:val="000000"/>
                <w:sz w:val="20"/>
                <w:szCs w:val="20"/>
                <w:lang w:val="en-GB"/>
              </w:rPr>
            </w:pPr>
            <w:r>
              <w:rPr>
                <w:rFonts w:ascii="Arial" w:hAnsi="Arial" w:cs="Arial"/>
                <w:color w:val="000000"/>
                <w:sz w:val="20"/>
                <w:szCs w:val="20"/>
              </w:rPr>
              <w:t>2014</w:t>
            </w:r>
          </w:p>
        </w:tc>
        <w:tc>
          <w:tcPr>
            <w:tcW w:w="471" w:type="pct"/>
            <w:tcBorders>
              <w:top w:val="single" w:sz="4" w:space="0" w:color="auto"/>
              <w:left w:val="nil"/>
              <w:bottom w:val="single" w:sz="4" w:space="0" w:color="auto"/>
              <w:right w:val="single" w:sz="4" w:space="0" w:color="auto"/>
            </w:tcBorders>
          </w:tcPr>
          <w:p w14:paraId="28D7BA3D" w14:textId="240528B4" w:rsidR="00655870" w:rsidRPr="00153C24" w:rsidRDefault="00AB0D66" w:rsidP="00655870">
            <w:pPr>
              <w:spacing w:before="120" w:after="120"/>
              <w:jc w:val="center"/>
              <w:rPr>
                <w:rFonts w:ascii="Arial" w:hAnsi="Arial" w:cs="Arial"/>
                <w:color w:val="000000"/>
                <w:sz w:val="20"/>
                <w:szCs w:val="20"/>
                <w:lang w:val="en-GB"/>
              </w:rPr>
            </w:pPr>
            <w:hyperlink r:id="rId18" w:history="1">
              <w:r w:rsidR="007F342B">
                <w:rPr>
                  <w:rStyle w:val="Hyperlink"/>
                  <w:rFonts w:ascii="Arial" w:hAnsi="Arial" w:cs="Arial"/>
                  <w:sz w:val="20"/>
                  <w:szCs w:val="20"/>
                </w:rPr>
                <w:t>00983</w:t>
              </w:r>
            </w:hyperlink>
          </w:p>
        </w:tc>
      </w:tr>
    </w:tbl>
    <w:p w14:paraId="4E80038E" w14:textId="5EA24D49" w:rsidR="00655870" w:rsidRDefault="007F342B" w:rsidP="00655870">
      <w:pPr>
        <w:pStyle w:val="COMPara"/>
        <w:numPr>
          <w:ilvl w:val="0"/>
          <w:numId w:val="9"/>
        </w:numPr>
        <w:spacing w:before="120"/>
        <w:ind w:left="567" w:hanging="567"/>
        <w:jc w:val="both"/>
        <w:rPr>
          <w:lang w:val="fr-FR"/>
        </w:rPr>
      </w:pPr>
      <w:r>
        <w:rPr>
          <w:lang w:val="fr-FR"/>
        </w:rPr>
        <w:t>Malgré la mise à disposition de l</w:t>
      </w:r>
      <w:r w:rsidR="00655870">
        <w:rPr>
          <w:lang w:val="fr-FR"/>
        </w:rPr>
        <w:t>’</w:t>
      </w:r>
      <w:r>
        <w:rPr>
          <w:lang w:val="fr-FR"/>
        </w:rPr>
        <w:t>outil en ligne de soumission des rapports sur l</w:t>
      </w:r>
      <w:r w:rsidR="00655870">
        <w:rPr>
          <w:lang w:val="fr-FR"/>
        </w:rPr>
        <w:t>’</w:t>
      </w:r>
      <w:r>
        <w:rPr>
          <w:lang w:val="fr-FR"/>
        </w:rPr>
        <w:t>état des éléments inscrits sur la Liste de sauvegarde urgente, aucun des quatre rapports du cycle actuel n</w:t>
      </w:r>
      <w:r w:rsidR="00655870">
        <w:rPr>
          <w:lang w:val="fr-FR"/>
        </w:rPr>
        <w:t>’</w:t>
      </w:r>
      <w:r>
        <w:rPr>
          <w:lang w:val="fr-FR"/>
        </w:rPr>
        <w:t xml:space="preserve">a été </w:t>
      </w:r>
      <w:r w:rsidR="007D1BAA">
        <w:rPr>
          <w:lang w:val="fr-FR"/>
        </w:rPr>
        <w:t>complété</w:t>
      </w:r>
      <w:r>
        <w:rPr>
          <w:lang w:val="fr-FR"/>
        </w:rPr>
        <w:t xml:space="preserve"> par ce biais. Le Secrétariat redoublera d</w:t>
      </w:r>
      <w:r w:rsidR="00655870">
        <w:rPr>
          <w:lang w:val="fr-FR"/>
        </w:rPr>
        <w:t>’</w:t>
      </w:r>
      <w:r>
        <w:rPr>
          <w:lang w:val="fr-FR"/>
        </w:rPr>
        <w:t>efforts pour accompagner les États concerné</w:t>
      </w:r>
      <w:r w:rsidR="0080602D">
        <w:rPr>
          <w:lang w:val="fr-FR"/>
        </w:rPr>
        <w:t>s</w:t>
      </w:r>
      <w:r>
        <w:rPr>
          <w:lang w:val="fr-FR"/>
        </w:rPr>
        <w:t xml:space="preserve"> dans cet exercice de </w:t>
      </w:r>
      <w:r w:rsidR="0080602D">
        <w:rPr>
          <w:lang w:val="fr-FR"/>
        </w:rPr>
        <w:t>soumission</w:t>
      </w:r>
      <w:r>
        <w:rPr>
          <w:lang w:val="fr-FR"/>
        </w:rPr>
        <w:t xml:space="preserve"> des rapports, </w:t>
      </w:r>
      <w:r w:rsidR="0080602D">
        <w:rPr>
          <w:lang w:val="fr-FR"/>
        </w:rPr>
        <w:t>notamment</w:t>
      </w:r>
      <w:r>
        <w:rPr>
          <w:lang w:val="fr-FR"/>
        </w:rPr>
        <w:t xml:space="preserve"> en améliorant la visibilité et les informations </w:t>
      </w:r>
      <w:r w:rsidR="003923BB">
        <w:rPr>
          <w:lang w:val="fr-FR"/>
        </w:rPr>
        <w:t>à propos de</w:t>
      </w:r>
      <w:r>
        <w:rPr>
          <w:lang w:val="fr-FR"/>
        </w:rPr>
        <w:t xml:space="preserve"> la disponibilité de ce nouvel outil ; </w:t>
      </w:r>
      <w:r w:rsidR="003923BB">
        <w:rPr>
          <w:lang w:val="fr-FR"/>
        </w:rPr>
        <w:t>cette mesure se traduira également par</w:t>
      </w:r>
      <w:r>
        <w:rPr>
          <w:lang w:val="fr-FR"/>
        </w:rPr>
        <w:t xml:space="preserve"> des actions de suivi </w:t>
      </w:r>
      <w:r w:rsidR="003923BB">
        <w:rPr>
          <w:lang w:val="fr-FR"/>
        </w:rPr>
        <w:t xml:space="preserve">menées </w:t>
      </w:r>
      <w:r>
        <w:rPr>
          <w:lang w:val="fr-FR"/>
        </w:rPr>
        <w:t>avec les États au cours du cycle de soumission des rapports. En outre, les activités de renforcement des capacités qui seront mise</w:t>
      </w:r>
      <w:r w:rsidR="003923BB">
        <w:rPr>
          <w:lang w:val="fr-FR"/>
        </w:rPr>
        <w:t>s</w:t>
      </w:r>
      <w:r>
        <w:rPr>
          <w:lang w:val="fr-FR"/>
        </w:rPr>
        <w:t xml:space="preserve"> en </w:t>
      </w:r>
      <w:r w:rsidR="003923BB">
        <w:rPr>
          <w:lang w:val="fr-FR"/>
        </w:rPr>
        <w:t>œuvre</w:t>
      </w:r>
      <w:r>
        <w:rPr>
          <w:lang w:val="fr-FR"/>
        </w:rPr>
        <w:t xml:space="preserve"> par le Secrétariat dans le cadre du premier cycle régional de soumission des rapports </w:t>
      </w:r>
      <w:r w:rsidR="003923BB">
        <w:rPr>
          <w:lang w:val="fr-FR"/>
        </w:rPr>
        <w:t>imminent</w:t>
      </w:r>
      <w:r>
        <w:rPr>
          <w:lang w:val="fr-FR"/>
        </w:rPr>
        <w:t xml:space="preserve"> (voir document </w:t>
      </w:r>
      <w:hyperlink r:id="rId19" w:history="1">
        <w:r w:rsidRPr="00635386">
          <w:rPr>
            <w:rStyle w:val="Hyperlink"/>
            <w:lang w:val="fr-FR"/>
          </w:rPr>
          <w:t>LHE/19/14.COM/8</w:t>
        </w:r>
      </w:hyperlink>
      <w:r>
        <w:rPr>
          <w:lang w:val="fr-FR"/>
        </w:rPr>
        <w:t>) aider</w:t>
      </w:r>
      <w:r w:rsidR="003923BB">
        <w:rPr>
          <w:lang w:val="fr-FR"/>
        </w:rPr>
        <w:t>ont</w:t>
      </w:r>
      <w:r>
        <w:rPr>
          <w:lang w:val="fr-FR"/>
        </w:rPr>
        <w:t xml:space="preserve"> aussi les États à maîtriser le nouve</w:t>
      </w:r>
      <w:r w:rsidR="007D1BAA">
        <w:rPr>
          <w:lang w:val="fr-FR"/>
        </w:rPr>
        <w:t>l</w:t>
      </w:r>
      <w:r>
        <w:rPr>
          <w:lang w:val="fr-FR"/>
        </w:rPr>
        <w:t xml:space="preserve"> outil de soumission des rapports</w:t>
      </w:r>
      <w:r w:rsidR="007D1BAA">
        <w:rPr>
          <w:lang w:val="fr-FR"/>
        </w:rPr>
        <w:t xml:space="preserve"> et, par conséquent,</w:t>
      </w:r>
      <w:r w:rsidR="003923BB">
        <w:rPr>
          <w:lang w:val="fr-FR"/>
        </w:rPr>
        <w:t xml:space="preserve"> </w:t>
      </w:r>
      <w:r>
        <w:rPr>
          <w:lang w:val="fr-FR"/>
        </w:rPr>
        <w:t>à l</w:t>
      </w:r>
      <w:r w:rsidR="00655870">
        <w:rPr>
          <w:lang w:val="fr-FR"/>
        </w:rPr>
        <w:t>’</w:t>
      </w:r>
      <w:r>
        <w:rPr>
          <w:lang w:val="fr-FR"/>
        </w:rPr>
        <w:t xml:space="preserve">utiliser non seulement pour les rapports périodiques </w:t>
      </w:r>
      <w:r w:rsidR="003923BB">
        <w:rPr>
          <w:lang w:val="fr-FR"/>
        </w:rPr>
        <w:t>sur</w:t>
      </w:r>
      <w:r>
        <w:rPr>
          <w:lang w:val="fr-FR"/>
        </w:rPr>
        <w:t xml:space="preserve"> la mise en </w:t>
      </w:r>
      <w:r w:rsidR="003923BB">
        <w:rPr>
          <w:lang w:val="fr-FR"/>
        </w:rPr>
        <w:t>œuvre</w:t>
      </w:r>
      <w:r>
        <w:rPr>
          <w:lang w:val="fr-FR"/>
        </w:rPr>
        <w:t xml:space="preserve"> de la Convention, mais aussi pour ceux </w:t>
      </w:r>
      <w:r w:rsidR="003923BB">
        <w:rPr>
          <w:lang w:val="fr-FR"/>
        </w:rPr>
        <w:t>relatifs à</w:t>
      </w:r>
      <w:r>
        <w:rPr>
          <w:lang w:val="fr-FR"/>
        </w:rPr>
        <w:t xml:space="preserve"> l</w:t>
      </w:r>
      <w:r w:rsidR="00655870">
        <w:rPr>
          <w:lang w:val="fr-FR"/>
        </w:rPr>
        <w:t>’</w:t>
      </w:r>
      <w:r>
        <w:rPr>
          <w:lang w:val="fr-FR"/>
        </w:rPr>
        <w:t>état des éléments inscrits sur la Liste de sauvegarde urgente.</w:t>
      </w:r>
    </w:p>
    <w:p w14:paraId="20153D86" w14:textId="751F8854" w:rsidR="009301F8" w:rsidRPr="00057C4F" w:rsidRDefault="009301F8" w:rsidP="00057C4F">
      <w:pPr>
        <w:pStyle w:val="COMPara"/>
        <w:numPr>
          <w:ilvl w:val="0"/>
          <w:numId w:val="9"/>
        </w:numPr>
        <w:spacing w:before="120"/>
        <w:ind w:left="567" w:hanging="567"/>
        <w:jc w:val="both"/>
        <w:rPr>
          <w:lang w:val="fr-FR"/>
        </w:rPr>
      </w:pPr>
      <w:r w:rsidRPr="00426B43">
        <w:rPr>
          <w:lang w:val="fr-FR"/>
        </w:rPr>
        <w:t>Contrairement à l’année dernière où l’UNESCO a reçu un n</w:t>
      </w:r>
      <w:r w:rsidRPr="00057C4F">
        <w:rPr>
          <w:lang w:val="fr-FR"/>
        </w:rPr>
        <w:t>ombre important de rapports (16 </w:t>
      </w:r>
      <w:r w:rsidRPr="00426B43">
        <w:rPr>
          <w:lang w:val="fr-FR"/>
        </w:rPr>
        <w:t>rapports au total), il a été difficile au cours du présent cycle de fournir des observations générales sur les questions transversales au vu des quatre rapports reçus d’État</w:t>
      </w:r>
      <w:r w:rsidR="00974567">
        <w:rPr>
          <w:lang w:val="fr-FR"/>
        </w:rPr>
        <w:t>s</w:t>
      </w:r>
      <w:r w:rsidRPr="00426B43">
        <w:rPr>
          <w:lang w:val="fr-FR"/>
        </w:rPr>
        <w:t xml:space="preserve"> de trois régions différentes, à savoir l’Europe orientale, l’Afrique (2) et l’Amérique latine. Cependant, il semble particulièrement important de souligner l’importance que revêt, pour les États, l’inclusion dans leurs rapports d’informations détaillées non seulement sur les activités mises en œuvre dans le cadre du plan de sauvegarde proposé, mais également sur les difficultés rencontrées pour les mettre en œuvre</w:t>
      </w:r>
      <w:r>
        <w:rPr>
          <w:lang w:val="fr-FR"/>
        </w:rPr>
        <w:t>,</w:t>
      </w:r>
      <w:r w:rsidRPr="00426B43">
        <w:rPr>
          <w:lang w:val="fr-FR"/>
        </w:rPr>
        <w:t xml:space="preserve"> et leurs conséquences sur la viabilité des éléments inscrits. Afin de fournir un rapport détaillé et de faciliter une mise en œuvre efficace des plans de sauvegarde, les États sont également invité</w:t>
      </w:r>
      <w:r>
        <w:rPr>
          <w:lang w:val="fr-FR"/>
        </w:rPr>
        <w:t>s</w:t>
      </w:r>
      <w:r w:rsidRPr="00426B43">
        <w:rPr>
          <w:lang w:val="fr-FR"/>
        </w:rPr>
        <w:t xml:space="preserve"> à nouer un dialogue avec les parties prenantes </w:t>
      </w:r>
      <w:r w:rsidR="005D61A2">
        <w:rPr>
          <w:lang w:val="fr-FR"/>
        </w:rPr>
        <w:t xml:space="preserve">œuvrant </w:t>
      </w:r>
      <w:r w:rsidR="006D4E54">
        <w:rPr>
          <w:lang w:val="fr-FR"/>
        </w:rPr>
        <w:t>au-delà du domaine de</w:t>
      </w:r>
      <w:r w:rsidR="005D61A2">
        <w:rPr>
          <w:lang w:val="fr-FR"/>
        </w:rPr>
        <w:t xml:space="preserve"> la</w:t>
      </w:r>
      <w:r w:rsidRPr="00426B43">
        <w:rPr>
          <w:lang w:val="fr-FR"/>
        </w:rPr>
        <w:t xml:space="preserve"> culture, qu</w:t>
      </w:r>
      <w:r w:rsidR="00B138DA" w:rsidRPr="00B138DA">
        <w:rPr>
          <w:lang w:val="fr-FR"/>
        </w:rPr>
        <w:t>’elle</w:t>
      </w:r>
      <w:r w:rsidRPr="00426B43">
        <w:rPr>
          <w:lang w:val="fr-FR"/>
        </w:rPr>
        <w:t xml:space="preserve">s soient </w:t>
      </w:r>
      <w:r w:rsidR="00B138DA" w:rsidRPr="00B138DA">
        <w:rPr>
          <w:lang w:val="fr-FR"/>
        </w:rPr>
        <w:t>publiques</w:t>
      </w:r>
      <w:r w:rsidRPr="00426B43">
        <w:rPr>
          <w:lang w:val="fr-FR"/>
        </w:rPr>
        <w:t xml:space="preserve"> ou privé</w:t>
      </w:r>
      <w:r w:rsidR="00B138DA">
        <w:rPr>
          <w:lang w:val="fr-FR"/>
        </w:rPr>
        <w:t>e</w:t>
      </w:r>
      <w:r w:rsidRPr="00426B43">
        <w:rPr>
          <w:lang w:val="fr-FR"/>
        </w:rPr>
        <w:t xml:space="preserve">s, pour s’assurer de leurs fermes engagements envers les efforts de sauvegarde et de leur soutien pour les activités prévues. Cela est particulièrement important pour les éléments du patrimoine culturel immatériel qui sont directement liés à un territoire en particulier et ses ressources environnementales. Un dialogue permanent avec et la participation d’organismes privés, tels que des sociétés minières par exemple dans le cas de « La tradition orale </w:t>
      </w:r>
      <w:proofErr w:type="spellStart"/>
      <w:r w:rsidRPr="00426B43">
        <w:rPr>
          <w:lang w:val="fr-FR"/>
        </w:rPr>
        <w:t>Mapoyo</w:t>
      </w:r>
      <w:proofErr w:type="spellEnd"/>
      <w:r w:rsidRPr="00426B43">
        <w:rPr>
          <w:lang w:val="fr-FR"/>
        </w:rPr>
        <w:t xml:space="preserve"> et ses points de référence symboliques dans leur territoire ancestral », pour traiter des questions d’environnement sont indispensables au renforcement de la viabilité de l’élément et ses pratiques par les communautés concernées.</w:t>
      </w:r>
    </w:p>
    <w:p w14:paraId="69E5F679" w14:textId="22809740" w:rsidR="00655870" w:rsidRPr="00D23C0B" w:rsidRDefault="007F342B" w:rsidP="00655870">
      <w:pPr>
        <w:pStyle w:val="COMPara"/>
        <w:numPr>
          <w:ilvl w:val="0"/>
          <w:numId w:val="9"/>
        </w:numPr>
        <w:spacing w:before="120"/>
        <w:ind w:left="567" w:hanging="567"/>
        <w:jc w:val="both"/>
        <w:rPr>
          <w:lang w:val="fr-FR"/>
        </w:rPr>
      </w:pPr>
      <w:r>
        <w:rPr>
          <w:lang w:val="fr-FR"/>
        </w:rPr>
        <w:t>Il convient de rappeler que la réforme du mécanisme de soumission des rapports périodique</w:t>
      </w:r>
      <w:r w:rsidR="003923BB">
        <w:rPr>
          <w:lang w:val="fr-FR"/>
        </w:rPr>
        <w:t>s</w:t>
      </w:r>
      <w:r>
        <w:rPr>
          <w:lang w:val="fr-FR"/>
        </w:rPr>
        <w:t xml:space="preserve"> exposée dans le document </w:t>
      </w:r>
      <w:hyperlink r:id="rId20" w:history="1">
        <w:r w:rsidR="00635386" w:rsidRPr="00635386">
          <w:rPr>
            <w:rStyle w:val="Hyperlink"/>
            <w:lang w:val="fr-FR"/>
          </w:rPr>
          <w:t>LHE/19/14.COM/8</w:t>
        </w:r>
      </w:hyperlink>
      <w:r>
        <w:rPr>
          <w:lang w:val="fr-FR"/>
        </w:rPr>
        <w:t xml:space="preserve"> ne concernait pas la procédure de soumission de</w:t>
      </w:r>
      <w:r w:rsidR="003923BB">
        <w:rPr>
          <w:lang w:val="fr-FR"/>
        </w:rPr>
        <w:t>s</w:t>
      </w:r>
      <w:r>
        <w:rPr>
          <w:lang w:val="fr-FR"/>
        </w:rPr>
        <w:t xml:space="preserve"> rapports sur l</w:t>
      </w:r>
      <w:r w:rsidR="00655870">
        <w:rPr>
          <w:lang w:val="fr-FR"/>
        </w:rPr>
        <w:t>’</w:t>
      </w:r>
      <w:r>
        <w:rPr>
          <w:lang w:val="fr-FR"/>
        </w:rPr>
        <w:t xml:space="preserve">état des éléments inscrits sur la Liste de sauvegarde urgente. La réflexion </w:t>
      </w:r>
      <w:r w:rsidR="003923BB">
        <w:rPr>
          <w:lang w:val="fr-FR"/>
        </w:rPr>
        <w:t xml:space="preserve">à venir </w:t>
      </w:r>
      <w:r>
        <w:rPr>
          <w:lang w:val="fr-FR"/>
        </w:rPr>
        <w:t>sur les mécanisme</w:t>
      </w:r>
      <w:r w:rsidR="003923BB">
        <w:rPr>
          <w:lang w:val="fr-FR"/>
        </w:rPr>
        <w:t>s</w:t>
      </w:r>
      <w:r>
        <w:rPr>
          <w:lang w:val="fr-FR"/>
        </w:rPr>
        <w:t xml:space="preserve"> </w:t>
      </w:r>
      <w:r w:rsidR="009301F8">
        <w:rPr>
          <w:lang w:val="fr-FR"/>
        </w:rPr>
        <w:t>liés à l</w:t>
      </w:r>
      <w:r w:rsidR="00655870">
        <w:rPr>
          <w:lang w:val="fr-FR"/>
        </w:rPr>
        <w:t>’</w:t>
      </w:r>
      <w:r>
        <w:rPr>
          <w:lang w:val="fr-FR"/>
        </w:rPr>
        <w:t>inscription et le</w:t>
      </w:r>
      <w:r w:rsidR="003923BB">
        <w:rPr>
          <w:lang w:val="fr-FR"/>
        </w:rPr>
        <w:t>ur</w:t>
      </w:r>
      <w:r>
        <w:rPr>
          <w:lang w:val="fr-FR"/>
        </w:rPr>
        <w:t xml:space="preserve">s procédures, telles que le transfert ou le retrait des éléments déjà inscrits, ainsi que les débats sur le suivi des éléments inscrits (voir </w:t>
      </w:r>
      <w:r w:rsidRPr="00635386">
        <w:rPr>
          <w:lang w:val="fr-FR"/>
        </w:rPr>
        <w:t xml:space="preserve">document </w:t>
      </w:r>
      <w:hyperlink r:id="rId21" w:history="1">
        <w:r w:rsidRPr="00635386">
          <w:rPr>
            <w:rStyle w:val="Hyperlink"/>
            <w:lang w:val="fr-FR"/>
          </w:rPr>
          <w:t>LHE/19/14.COM/12</w:t>
        </w:r>
      </w:hyperlink>
      <w:r w:rsidRPr="00635386">
        <w:rPr>
          <w:lang w:val="fr-FR"/>
        </w:rPr>
        <w:t>) mettront en lumière</w:t>
      </w:r>
      <w:r>
        <w:rPr>
          <w:lang w:val="fr-FR"/>
        </w:rPr>
        <w:t xml:space="preserve"> les meilleurs moyens d</w:t>
      </w:r>
      <w:r w:rsidR="00655870">
        <w:rPr>
          <w:lang w:val="fr-FR"/>
        </w:rPr>
        <w:t>’</w:t>
      </w:r>
      <w:r>
        <w:rPr>
          <w:lang w:val="fr-FR"/>
        </w:rPr>
        <w:t xml:space="preserve">assurer </w:t>
      </w:r>
      <w:r w:rsidR="003923BB">
        <w:rPr>
          <w:lang w:val="fr-FR"/>
        </w:rPr>
        <w:t xml:space="preserve">une </w:t>
      </w:r>
      <w:r w:rsidR="003923BB">
        <w:rPr>
          <w:lang w:val="fr-FR"/>
        </w:rPr>
        <w:lastRenderedPageBreak/>
        <w:t xml:space="preserve">utilisation </w:t>
      </w:r>
      <w:r>
        <w:rPr>
          <w:lang w:val="fr-FR"/>
        </w:rPr>
        <w:t xml:space="preserve">et </w:t>
      </w:r>
      <w:r w:rsidR="003923BB">
        <w:rPr>
          <w:lang w:val="fr-FR"/>
        </w:rPr>
        <w:t xml:space="preserve">un </w:t>
      </w:r>
      <w:r>
        <w:rPr>
          <w:lang w:val="fr-FR"/>
        </w:rPr>
        <w:t xml:space="preserve">examen </w:t>
      </w:r>
      <w:r w:rsidR="003923BB">
        <w:rPr>
          <w:lang w:val="fr-FR"/>
        </w:rPr>
        <w:t xml:space="preserve">efficaces </w:t>
      </w:r>
      <w:r>
        <w:rPr>
          <w:lang w:val="fr-FR"/>
        </w:rPr>
        <w:t xml:space="preserve">des rapports sur les éléments inscrits sur la Liste de sauvegarde urgente. Lors de ses futures sessions, et </w:t>
      </w:r>
      <w:r w:rsidR="003923BB">
        <w:rPr>
          <w:lang w:val="fr-FR"/>
        </w:rPr>
        <w:t xml:space="preserve">à la </w:t>
      </w:r>
      <w:r w:rsidR="007D1BAA">
        <w:rPr>
          <w:lang w:val="fr-FR"/>
        </w:rPr>
        <w:t>fin</w:t>
      </w:r>
      <w:r w:rsidR="003923BB">
        <w:rPr>
          <w:lang w:val="fr-FR"/>
        </w:rPr>
        <w:t xml:space="preserve"> </w:t>
      </w:r>
      <w:r>
        <w:rPr>
          <w:lang w:val="fr-FR"/>
        </w:rPr>
        <w:t>de ces réflexions, le Comité sera davantage en mesure de prendre une décision éclairée concernant ce mécanisme</w:t>
      </w:r>
      <w:r w:rsidR="003923BB">
        <w:rPr>
          <w:lang w:val="fr-FR"/>
        </w:rPr>
        <w:t xml:space="preserve"> spécifique</w:t>
      </w:r>
      <w:r>
        <w:rPr>
          <w:lang w:val="fr-FR"/>
        </w:rPr>
        <w:t xml:space="preserve"> de soumission des rapports</w:t>
      </w:r>
      <w:r w:rsidR="00F22264">
        <w:rPr>
          <w:lang w:val="fr-FR"/>
        </w:rPr>
        <w:t>.</w:t>
      </w:r>
      <w:r>
        <w:rPr>
          <w:lang w:val="fr-FR"/>
        </w:rPr>
        <w:t xml:space="preserve"> </w:t>
      </w:r>
      <w:r w:rsidR="00F22264">
        <w:rPr>
          <w:lang w:val="fr-FR"/>
        </w:rPr>
        <w:t xml:space="preserve">À </w:t>
      </w:r>
      <w:r>
        <w:rPr>
          <w:lang w:val="fr-FR"/>
        </w:rPr>
        <w:t xml:space="preserve">terme, </w:t>
      </w:r>
      <w:r w:rsidR="00F22264">
        <w:rPr>
          <w:lang w:val="fr-FR"/>
        </w:rPr>
        <w:t xml:space="preserve">il sera mieux à même de décider s’il faut </w:t>
      </w:r>
      <w:r>
        <w:rPr>
          <w:lang w:val="fr-FR"/>
        </w:rPr>
        <w:t>harmoniser</w:t>
      </w:r>
      <w:r w:rsidR="00F22264">
        <w:rPr>
          <w:lang w:val="fr-FR"/>
        </w:rPr>
        <w:t xml:space="preserve"> ce mécanisme</w:t>
      </w:r>
      <w:r>
        <w:rPr>
          <w:lang w:val="fr-FR"/>
        </w:rPr>
        <w:t xml:space="preserve"> avec le calendrier régional de soumission des rapports sur les éléments inscrits sur la Liste représentative,</w:t>
      </w:r>
      <w:r w:rsidR="007D1BAA">
        <w:rPr>
          <w:lang w:val="fr-FR"/>
        </w:rPr>
        <w:t xml:space="preserve"> le</w:t>
      </w:r>
      <w:r>
        <w:rPr>
          <w:lang w:val="fr-FR"/>
        </w:rPr>
        <w:t xml:space="preserve"> </w:t>
      </w:r>
      <w:r w:rsidR="007D1BAA" w:rsidRPr="007D1BAA">
        <w:rPr>
          <w:lang w:val="fr-FR"/>
        </w:rPr>
        <w:t xml:space="preserve">maintenir dans </w:t>
      </w:r>
      <w:r w:rsidR="007D1BAA">
        <w:rPr>
          <w:lang w:val="fr-FR"/>
        </w:rPr>
        <w:t>un</w:t>
      </w:r>
      <w:r w:rsidR="007D1BAA" w:rsidRPr="007D1BAA">
        <w:rPr>
          <w:lang w:val="fr-FR"/>
        </w:rPr>
        <w:t xml:space="preserve"> système distinct sur un rythme quadriennal commençant l</w:t>
      </w:r>
      <w:r w:rsidR="00655870">
        <w:rPr>
          <w:lang w:val="fr-FR"/>
        </w:rPr>
        <w:t>’</w:t>
      </w:r>
      <w:r w:rsidR="007D1BAA" w:rsidRPr="007D1BAA">
        <w:rPr>
          <w:lang w:val="fr-FR"/>
        </w:rPr>
        <w:t>année de l</w:t>
      </w:r>
      <w:r w:rsidR="00655870">
        <w:rPr>
          <w:lang w:val="fr-FR"/>
        </w:rPr>
        <w:t>’</w:t>
      </w:r>
      <w:r w:rsidR="007D1BAA" w:rsidRPr="007D1BAA">
        <w:rPr>
          <w:lang w:val="fr-FR"/>
        </w:rPr>
        <w:t>inscription</w:t>
      </w:r>
      <w:r>
        <w:rPr>
          <w:lang w:val="fr-FR"/>
        </w:rPr>
        <w:t xml:space="preserve">, ou intégrer </w:t>
      </w:r>
      <w:r w:rsidR="00271F4D">
        <w:rPr>
          <w:lang w:val="fr-FR"/>
        </w:rPr>
        <w:t>les</w:t>
      </w:r>
      <w:r>
        <w:rPr>
          <w:lang w:val="fr-FR"/>
        </w:rPr>
        <w:t xml:space="preserve"> rapports sur l</w:t>
      </w:r>
      <w:r w:rsidR="00655870">
        <w:rPr>
          <w:lang w:val="fr-FR"/>
        </w:rPr>
        <w:t>’</w:t>
      </w:r>
      <w:r>
        <w:rPr>
          <w:lang w:val="fr-FR"/>
        </w:rPr>
        <w:t xml:space="preserve">ensemble des éléments inscrits (tant sur la Liste de sauvegarde urgente que sur la Liste représentative) dans le contexte plus général des rapports sur la mise en œuvre de la Convention de 2003 </w:t>
      </w:r>
      <w:r w:rsidR="00271F4D">
        <w:rPr>
          <w:lang w:val="fr-FR"/>
        </w:rPr>
        <w:t>grâce au</w:t>
      </w:r>
      <w:r>
        <w:rPr>
          <w:lang w:val="fr-FR"/>
        </w:rPr>
        <w:t xml:space="preserve"> nouveau formulaire ICH-10.</w:t>
      </w:r>
    </w:p>
    <w:p w14:paraId="362D7406" w14:textId="77777777" w:rsidR="00655870" w:rsidRPr="00D23C0B" w:rsidRDefault="007F342B" w:rsidP="00655870">
      <w:pPr>
        <w:pStyle w:val="ListParagraph"/>
        <w:keepNext/>
        <w:numPr>
          <w:ilvl w:val="0"/>
          <w:numId w:val="13"/>
        </w:numPr>
        <w:spacing w:before="240" w:after="240"/>
        <w:ind w:left="567" w:hanging="567"/>
        <w:contextualSpacing w:val="0"/>
        <w:rPr>
          <w:rFonts w:ascii="Arial" w:hAnsi="Arial" w:cs="Arial"/>
          <w:b/>
          <w:sz w:val="22"/>
          <w:szCs w:val="22"/>
        </w:rPr>
      </w:pPr>
      <w:r w:rsidRPr="00DA5AE8">
        <w:rPr>
          <w:rFonts w:ascii="Arial" w:hAnsi="Arial" w:cs="Arial"/>
          <w:b/>
          <w:sz w:val="22"/>
          <w:szCs w:val="22"/>
        </w:rPr>
        <w:t>Évaluation des rapports et projets de décisions</w:t>
      </w:r>
    </w:p>
    <w:p w14:paraId="08C8CB85" w14:textId="77777777" w:rsidR="00655870" w:rsidRPr="00D23C0B" w:rsidRDefault="007F342B" w:rsidP="00655870">
      <w:pPr>
        <w:pStyle w:val="COMPara"/>
        <w:numPr>
          <w:ilvl w:val="0"/>
          <w:numId w:val="9"/>
        </w:numPr>
        <w:spacing w:before="120"/>
        <w:ind w:left="567" w:hanging="567"/>
        <w:jc w:val="both"/>
        <w:rPr>
          <w:lang w:val="fr-FR"/>
        </w:rPr>
      </w:pPr>
      <w:r w:rsidRPr="000B1C8F">
        <w:rPr>
          <w:lang w:val="fr-FR"/>
        </w:rPr>
        <w:t>Le Comité souhaitera peut-être adopter la décision suivante :</w:t>
      </w:r>
    </w:p>
    <w:p w14:paraId="1A346FC8" w14:textId="77777777" w:rsidR="00655870" w:rsidRPr="00D23C0B" w:rsidRDefault="007F342B" w:rsidP="00655870">
      <w:pPr>
        <w:pStyle w:val="COMTitleDecision"/>
        <w:rPr>
          <w:rFonts w:eastAsia="SimSun"/>
          <w:lang w:val="fr-FR"/>
        </w:rPr>
      </w:pPr>
      <w:r>
        <w:rPr>
          <w:lang w:val="fr-FR"/>
        </w:rPr>
        <w:t>PROJET DE DÉCISION 14.COM 9.a</w:t>
      </w:r>
    </w:p>
    <w:p w14:paraId="68B1038D" w14:textId="77777777" w:rsidR="00655870" w:rsidRPr="00D23C0B" w:rsidRDefault="007F342B" w:rsidP="00655870">
      <w:pPr>
        <w:pStyle w:val="COMPreambulaDecisions"/>
        <w:rPr>
          <w:rFonts w:eastAsia="SimSun"/>
          <w:lang w:val="fr-FR"/>
        </w:rPr>
      </w:pPr>
      <w:r w:rsidRPr="00285BB4">
        <w:rPr>
          <w:lang w:val="fr-FR"/>
        </w:rPr>
        <w:t>Le Comité,</w:t>
      </w:r>
    </w:p>
    <w:p w14:paraId="69E22564" w14:textId="41DE77AE" w:rsidR="00655870" w:rsidRPr="00D23C0B" w:rsidRDefault="007F342B" w:rsidP="00655870">
      <w:pPr>
        <w:pStyle w:val="COMParaDecision"/>
        <w:numPr>
          <w:ilvl w:val="0"/>
          <w:numId w:val="19"/>
        </w:numPr>
        <w:ind w:left="1134" w:hanging="567"/>
        <w:rPr>
          <w:lang w:val="fr-FR"/>
        </w:rPr>
      </w:pPr>
      <w:r w:rsidRPr="00345CB4">
        <w:rPr>
          <w:lang w:val="fr-FR"/>
        </w:rPr>
        <w:t>Ayant examiné</w:t>
      </w:r>
      <w:r w:rsidRPr="00F32C23">
        <w:rPr>
          <w:u w:val="none"/>
          <w:lang w:val="fr-FR"/>
        </w:rPr>
        <w:t xml:space="preserve"> le document LHE/19/14.COM/</w:t>
      </w:r>
      <w:proofErr w:type="gramStart"/>
      <w:r w:rsidRPr="00F32C23">
        <w:rPr>
          <w:u w:val="none"/>
          <w:lang w:val="fr-FR"/>
        </w:rPr>
        <w:t>9.a</w:t>
      </w:r>
      <w:proofErr w:type="gramEnd"/>
      <w:r w:rsidR="00CD4E9F">
        <w:rPr>
          <w:u w:val="none"/>
          <w:lang w:val="fr-FR"/>
        </w:rPr>
        <w:t> </w:t>
      </w:r>
      <w:proofErr w:type="spellStart"/>
      <w:r w:rsidR="00CD4E9F">
        <w:rPr>
          <w:u w:val="none"/>
          <w:lang w:val="fr-FR"/>
        </w:rPr>
        <w:t>Rev</w:t>
      </w:r>
      <w:proofErr w:type="spellEnd"/>
      <w:r w:rsidR="00CD4E9F">
        <w:rPr>
          <w:u w:val="none"/>
          <w:lang w:val="fr-FR"/>
        </w:rPr>
        <w:t>.</w:t>
      </w:r>
      <w:r w:rsidRPr="00F32C23">
        <w:rPr>
          <w:u w:val="none"/>
          <w:lang w:val="fr-FR"/>
        </w:rPr>
        <w:t>,</w:t>
      </w:r>
    </w:p>
    <w:p w14:paraId="23C1601F" w14:textId="77777777" w:rsidR="00655870" w:rsidRPr="00D23C0B" w:rsidRDefault="007F342B" w:rsidP="00655870">
      <w:pPr>
        <w:pStyle w:val="COMParaDecision"/>
        <w:numPr>
          <w:ilvl w:val="0"/>
          <w:numId w:val="19"/>
        </w:numPr>
        <w:ind w:left="1134" w:hanging="567"/>
        <w:rPr>
          <w:lang w:val="fr-FR"/>
        </w:rPr>
      </w:pPr>
      <w:r w:rsidRPr="00345CB4">
        <w:rPr>
          <w:lang w:val="fr-FR"/>
        </w:rPr>
        <w:t>Rappelant</w:t>
      </w:r>
      <w:r w:rsidRPr="00F32C23">
        <w:rPr>
          <w:u w:val="none"/>
          <w:lang w:val="fr-FR"/>
        </w:rPr>
        <w:t xml:space="preserve"> les articles 7, 29 et 30 de la Convention concernant les rapports des États parties et le chapitre V des Directives opérationnelles,</w:t>
      </w:r>
    </w:p>
    <w:p w14:paraId="4C91433A" w14:textId="7F7FF5CF" w:rsidR="00655870" w:rsidRPr="00D23C0B" w:rsidRDefault="007F342B" w:rsidP="00655870">
      <w:pPr>
        <w:pStyle w:val="COMParaDecision"/>
        <w:numPr>
          <w:ilvl w:val="0"/>
          <w:numId w:val="19"/>
        </w:numPr>
        <w:ind w:left="1134" w:hanging="567"/>
        <w:rPr>
          <w:lang w:val="fr-FR"/>
        </w:rPr>
      </w:pPr>
      <w:r w:rsidRPr="00C32A90">
        <w:rPr>
          <w:lang w:val="fr-FR"/>
        </w:rPr>
        <w:t>Remercie</w:t>
      </w:r>
      <w:r w:rsidRPr="00C32A90">
        <w:rPr>
          <w:u w:val="none"/>
          <w:lang w:val="fr-FR"/>
        </w:rPr>
        <w:t xml:space="preserve"> les États parties qui ont soumis leurs rapports dans les délais et </w:t>
      </w:r>
      <w:r w:rsidRPr="00C32A90">
        <w:rPr>
          <w:lang w:val="fr-FR"/>
        </w:rPr>
        <w:t>invite</w:t>
      </w:r>
      <w:r w:rsidRPr="00C32A90">
        <w:rPr>
          <w:u w:val="none"/>
          <w:lang w:val="fr-FR"/>
        </w:rPr>
        <w:t xml:space="preserve"> l</w:t>
      </w:r>
      <w:r w:rsidR="00655870">
        <w:rPr>
          <w:u w:val="none"/>
          <w:lang w:val="fr-FR"/>
        </w:rPr>
        <w:t>’</w:t>
      </w:r>
      <w:r w:rsidRPr="00C32A90">
        <w:rPr>
          <w:u w:val="none"/>
          <w:lang w:val="fr-FR"/>
        </w:rPr>
        <w:t>État partie qui n</w:t>
      </w:r>
      <w:r w:rsidR="00655870">
        <w:rPr>
          <w:u w:val="none"/>
          <w:lang w:val="fr-FR"/>
        </w:rPr>
        <w:t>’</w:t>
      </w:r>
      <w:r w:rsidRPr="00C32A90">
        <w:rPr>
          <w:u w:val="none"/>
          <w:lang w:val="fr-FR"/>
        </w:rPr>
        <w:t xml:space="preserve">a pas encore soumis </w:t>
      </w:r>
      <w:r w:rsidR="00F458C8">
        <w:rPr>
          <w:u w:val="none"/>
          <w:lang w:val="fr-FR"/>
        </w:rPr>
        <w:t>s</w:t>
      </w:r>
      <w:r w:rsidRPr="00C32A90">
        <w:rPr>
          <w:u w:val="none"/>
          <w:lang w:val="fr-FR"/>
        </w:rPr>
        <w:t xml:space="preserve">es rapports </w:t>
      </w:r>
      <w:r w:rsidR="00F458C8">
        <w:rPr>
          <w:u w:val="none"/>
          <w:lang w:val="fr-FR"/>
        </w:rPr>
        <w:t xml:space="preserve">attendus </w:t>
      </w:r>
      <w:r w:rsidRPr="00C32A90">
        <w:rPr>
          <w:u w:val="none"/>
          <w:lang w:val="fr-FR"/>
        </w:rPr>
        <w:t>à le faire dans les plus brefs délais en tenant compte de l</w:t>
      </w:r>
      <w:r w:rsidR="00655870">
        <w:rPr>
          <w:u w:val="none"/>
          <w:lang w:val="fr-FR"/>
        </w:rPr>
        <w:t>’</w:t>
      </w:r>
      <w:r w:rsidR="00271F4D">
        <w:rPr>
          <w:u w:val="none"/>
          <w:lang w:val="fr-FR"/>
        </w:rPr>
        <w:t xml:space="preserve">échéance </w:t>
      </w:r>
      <w:r w:rsidRPr="00C32A90">
        <w:rPr>
          <w:u w:val="none"/>
          <w:lang w:val="fr-FR"/>
        </w:rPr>
        <w:t>du 15</w:t>
      </w:r>
      <w:r w:rsidR="00F22264">
        <w:rPr>
          <w:u w:val="none"/>
          <w:lang w:val="fr-FR"/>
        </w:rPr>
        <w:t> </w:t>
      </w:r>
      <w:r w:rsidRPr="00C32A90">
        <w:rPr>
          <w:u w:val="none"/>
          <w:lang w:val="fr-FR"/>
        </w:rPr>
        <w:t>décembre 2019, afin que le Comité puisse les examiner à sa quinzième session en 2020</w:t>
      </w:r>
      <w:r w:rsidR="00115616">
        <w:rPr>
          <w:u w:val="none"/>
          <w:lang w:val="fr-FR"/>
        </w:rPr>
        <w:t> </w:t>
      </w:r>
      <w:r w:rsidRPr="00C32A90">
        <w:rPr>
          <w:u w:val="none"/>
          <w:lang w:val="fr-FR"/>
        </w:rPr>
        <w:t>;</w:t>
      </w:r>
    </w:p>
    <w:p w14:paraId="7BCCEA39" w14:textId="1633B153" w:rsidR="00655870" w:rsidRPr="00D23C0B" w:rsidRDefault="007F342B" w:rsidP="00426B43">
      <w:pPr>
        <w:pStyle w:val="COMParaDecision"/>
        <w:numPr>
          <w:ilvl w:val="0"/>
          <w:numId w:val="19"/>
        </w:numPr>
        <w:ind w:left="1134" w:hanging="567"/>
        <w:rPr>
          <w:lang w:val="fr-FR"/>
        </w:rPr>
      </w:pPr>
      <w:r w:rsidRPr="00C32A90">
        <w:rPr>
          <w:lang w:val="fr-FR"/>
        </w:rPr>
        <w:t>Rappelle</w:t>
      </w:r>
      <w:r w:rsidRPr="00C32A90">
        <w:rPr>
          <w:u w:val="none"/>
          <w:lang w:val="fr-FR"/>
        </w:rPr>
        <w:t xml:space="preserve"> aux États parties qu</w:t>
      </w:r>
      <w:r w:rsidR="00655870">
        <w:rPr>
          <w:u w:val="none"/>
          <w:lang w:val="fr-FR"/>
        </w:rPr>
        <w:t>’</w:t>
      </w:r>
      <w:r w:rsidRPr="00C32A90">
        <w:rPr>
          <w:u w:val="none"/>
          <w:lang w:val="fr-FR"/>
        </w:rPr>
        <w:t xml:space="preserve">ils ont la possibilité de soumettre en ligne leurs rapports </w:t>
      </w:r>
      <w:r w:rsidR="00F458C8" w:rsidRPr="00F458C8">
        <w:rPr>
          <w:u w:val="none"/>
          <w:lang w:val="fr-FR"/>
        </w:rPr>
        <w:t xml:space="preserve">afin de faciliter </w:t>
      </w:r>
      <w:r w:rsidR="00F458C8">
        <w:rPr>
          <w:u w:val="none"/>
          <w:lang w:val="fr-FR"/>
        </w:rPr>
        <w:t>la collecte d’informations et l’</w:t>
      </w:r>
      <w:r w:rsidR="00F458C8" w:rsidRPr="00F458C8">
        <w:rPr>
          <w:u w:val="none"/>
          <w:lang w:val="fr-FR"/>
        </w:rPr>
        <w:t xml:space="preserve">analyse </w:t>
      </w:r>
      <w:r w:rsidRPr="00C32A90">
        <w:rPr>
          <w:u w:val="none"/>
          <w:lang w:val="fr-FR"/>
        </w:rPr>
        <w:t>sur l</w:t>
      </w:r>
      <w:r w:rsidR="00655870">
        <w:rPr>
          <w:u w:val="none"/>
          <w:lang w:val="fr-FR"/>
        </w:rPr>
        <w:t>’</w:t>
      </w:r>
      <w:r w:rsidRPr="00C32A90">
        <w:rPr>
          <w:u w:val="none"/>
          <w:lang w:val="fr-FR"/>
        </w:rPr>
        <w:t>état d</w:t>
      </w:r>
      <w:r w:rsidR="00655870">
        <w:rPr>
          <w:u w:val="none"/>
          <w:lang w:val="fr-FR"/>
        </w:rPr>
        <w:t>’</w:t>
      </w:r>
      <w:r w:rsidRPr="00C32A90">
        <w:rPr>
          <w:u w:val="none"/>
          <w:lang w:val="fr-FR"/>
        </w:rPr>
        <w:t>éléments inscrits sur la Liste du patrimoine culturel immatériel nécessitant une sauvegarde urgente ;</w:t>
      </w:r>
    </w:p>
    <w:p w14:paraId="7F428AF5" w14:textId="3CAC1B29" w:rsidR="00655870" w:rsidRPr="00D23C0B" w:rsidRDefault="00271F4D" w:rsidP="00655870">
      <w:pPr>
        <w:pStyle w:val="COMParaDecision"/>
        <w:numPr>
          <w:ilvl w:val="0"/>
          <w:numId w:val="19"/>
        </w:numPr>
        <w:ind w:left="1134" w:hanging="567"/>
        <w:rPr>
          <w:u w:val="none"/>
          <w:lang w:val="fr-FR"/>
        </w:rPr>
      </w:pPr>
      <w:r>
        <w:rPr>
          <w:lang w:val="fr-FR"/>
        </w:rPr>
        <w:t>Salue</w:t>
      </w:r>
      <w:r w:rsidR="007F342B" w:rsidRPr="00685405">
        <w:rPr>
          <w:u w:val="none"/>
          <w:lang w:val="fr-FR"/>
        </w:rPr>
        <w:t xml:space="preserve"> les progrès </w:t>
      </w:r>
      <w:r w:rsidR="00F458C8">
        <w:rPr>
          <w:u w:val="none"/>
          <w:lang w:val="fr-FR"/>
        </w:rPr>
        <w:t>décrits</w:t>
      </w:r>
      <w:r w:rsidR="00F458C8" w:rsidRPr="00685405">
        <w:rPr>
          <w:u w:val="none"/>
          <w:lang w:val="fr-FR"/>
        </w:rPr>
        <w:t xml:space="preserve"> </w:t>
      </w:r>
      <w:r w:rsidR="007F342B" w:rsidRPr="00685405">
        <w:rPr>
          <w:u w:val="none"/>
          <w:lang w:val="fr-FR"/>
        </w:rPr>
        <w:t xml:space="preserve">par les États parties concernant la sauvegarde de leurs éléments inscrits sur la Liste du patrimoine culturel immatériel nécessitant une sauvegarde urgente et les </w:t>
      </w:r>
      <w:r w:rsidR="007F342B" w:rsidRPr="00685405">
        <w:rPr>
          <w:lang w:val="fr-FR"/>
        </w:rPr>
        <w:t>invite</w:t>
      </w:r>
      <w:r w:rsidR="007F342B" w:rsidRPr="00685405">
        <w:rPr>
          <w:u w:val="none"/>
          <w:lang w:val="fr-FR"/>
        </w:rPr>
        <w:t xml:space="preserve"> à poursuivre leurs efforts de sauvegarde et à continuer de donner la priorité à la transmission</w:t>
      </w:r>
      <w:r w:rsidR="001E529A">
        <w:rPr>
          <w:u w:val="none"/>
          <w:lang w:val="fr-FR"/>
        </w:rPr>
        <w:t xml:space="preserve"> de ces éléments</w:t>
      </w:r>
      <w:r w:rsidR="007F342B" w:rsidRPr="00685405">
        <w:rPr>
          <w:u w:val="none"/>
          <w:lang w:val="fr-FR"/>
        </w:rPr>
        <w:t xml:space="preserve"> dans </w:t>
      </w:r>
      <w:r w:rsidR="007F342B" w:rsidRPr="00E026A7">
        <w:rPr>
          <w:u w:val="none"/>
          <w:lang w:val="fr-FR"/>
        </w:rPr>
        <w:t xml:space="preserve">leur </w:t>
      </w:r>
      <w:r w:rsidR="00F87D23" w:rsidRPr="00E026A7">
        <w:rPr>
          <w:u w:val="none"/>
          <w:lang w:val="fr-FR"/>
        </w:rPr>
        <w:t>agenda</w:t>
      </w:r>
      <w:r w:rsidR="007F342B" w:rsidRPr="00685405">
        <w:rPr>
          <w:u w:val="none"/>
          <w:lang w:val="fr-FR"/>
        </w:rPr>
        <w:t>, ainsi qu</w:t>
      </w:r>
      <w:r w:rsidR="00655870">
        <w:rPr>
          <w:u w:val="none"/>
          <w:lang w:val="fr-FR"/>
        </w:rPr>
        <w:t>’</w:t>
      </w:r>
      <w:r w:rsidR="007F342B" w:rsidRPr="00685405">
        <w:rPr>
          <w:u w:val="none"/>
          <w:lang w:val="fr-FR"/>
        </w:rPr>
        <w:t xml:space="preserve">à impliquer les communautés et les institutions publiques et privées </w:t>
      </w:r>
      <w:r w:rsidR="001E529A" w:rsidRPr="00685405">
        <w:rPr>
          <w:u w:val="none"/>
          <w:lang w:val="fr-FR"/>
        </w:rPr>
        <w:t xml:space="preserve">concernées </w:t>
      </w:r>
      <w:r w:rsidR="007F342B" w:rsidRPr="00685405">
        <w:rPr>
          <w:u w:val="none"/>
          <w:lang w:val="fr-FR"/>
        </w:rPr>
        <w:t xml:space="preserve">dans la mise en œuvre et </w:t>
      </w:r>
      <w:r w:rsidR="00F458C8">
        <w:rPr>
          <w:u w:val="none"/>
          <w:lang w:val="fr-FR"/>
        </w:rPr>
        <w:t>la mise à jour</w:t>
      </w:r>
      <w:r w:rsidR="007F342B" w:rsidRPr="00685405">
        <w:rPr>
          <w:u w:val="none"/>
          <w:lang w:val="fr-FR"/>
        </w:rPr>
        <w:t xml:space="preserve"> des plans de sauvegarde ;</w:t>
      </w:r>
    </w:p>
    <w:p w14:paraId="36D9DBC1" w14:textId="7C4A59DF" w:rsidR="00655870" w:rsidRPr="00D23C0B" w:rsidRDefault="007F342B" w:rsidP="00655870">
      <w:pPr>
        <w:pStyle w:val="COMParaDecision"/>
        <w:numPr>
          <w:ilvl w:val="0"/>
          <w:numId w:val="19"/>
        </w:numPr>
        <w:ind w:left="1134" w:hanging="567"/>
        <w:rPr>
          <w:lang w:val="fr-FR"/>
        </w:rPr>
      </w:pPr>
      <w:r>
        <w:rPr>
          <w:lang w:val="fr-FR"/>
        </w:rPr>
        <w:t>Encourage</w:t>
      </w:r>
      <w:r w:rsidRPr="00C32A90">
        <w:rPr>
          <w:u w:val="none"/>
          <w:lang w:val="fr-FR"/>
        </w:rPr>
        <w:t xml:space="preserve"> les États soumissionnaires à inclure plus d</w:t>
      </w:r>
      <w:r w:rsidR="00655870">
        <w:rPr>
          <w:u w:val="none"/>
          <w:lang w:val="fr-FR"/>
        </w:rPr>
        <w:t>’</w:t>
      </w:r>
      <w:r w:rsidRPr="00C32A90">
        <w:rPr>
          <w:u w:val="none"/>
          <w:lang w:val="fr-FR"/>
        </w:rPr>
        <w:t xml:space="preserve">informations dans leurs futurs rapports sur les </w:t>
      </w:r>
      <w:r w:rsidR="00F87D23">
        <w:rPr>
          <w:u w:val="none"/>
          <w:lang w:val="fr-FR"/>
        </w:rPr>
        <w:t>défis</w:t>
      </w:r>
      <w:r w:rsidR="00F87D23" w:rsidRPr="00C32A90">
        <w:rPr>
          <w:u w:val="none"/>
          <w:lang w:val="fr-FR"/>
        </w:rPr>
        <w:t xml:space="preserve"> </w:t>
      </w:r>
      <w:r w:rsidRPr="00C32A90">
        <w:rPr>
          <w:u w:val="none"/>
          <w:lang w:val="fr-FR"/>
        </w:rPr>
        <w:t>rencontrées au cours de la mise en œuvre de</w:t>
      </w:r>
      <w:r w:rsidR="001E529A">
        <w:rPr>
          <w:u w:val="none"/>
          <w:lang w:val="fr-FR"/>
        </w:rPr>
        <w:t xml:space="preserve"> leurs</w:t>
      </w:r>
      <w:r w:rsidRPr="00C32A90">
        <w:rPr>
          <w:u w:val="none"/>
          <w:lang w:val="fr-FR"/>
        </w:rPr>
        <w:t xml:space="preserve"> plans de sauvegarde et sur leur impact sur la viabilité des éléments inscrits, ainsi qu</w:t>
      </w:r>
      <w:r w:rsidR="00655870">
        <w:rPr>
          <w:u w:val="none"/>
          <w:lang w:val="fr-FR"/>
        </w:rPr>
        <w:t>’</w:t>
      </w:r>
      <w:r w:rsidRPr="00C32A90">
        <w:rPr>
          <w:u w:val="none"/>
          <w:lang w:val="fr-FR"/>
        </w:rPr>
        <w:t xml:space="preserve">à impliquer des parties prenantes </w:t>
      </w:r>
      <w:r w:rsidR="00271F4D">
        <w:rPr>
          <w:u w:val="none"/>
          <w:lang w:val="fr-FR"/>
        </w:rPr>
        <w:t>issues</w:t>
      </w:r>
      <w:r w:rsidRPr="00C32A90">
        <w:rPr>
          <w:u w:val="none"/>
          <w:lang w:val="fr-FR"/>
        </w:rPr>
        <w:t xml:space="preserve"> de domaines autres que la culture pour </w:t>
      </w:r>
      <w:r w:rsidR="00F87D23">
        <w:rPr>
          <w:u w:val="none"/>
          <w:lang w:val="fr-FR"/>
        </w:rPr>
        <w:t>faire face aux</w:t>
      </w:r>
      <w:r w:rsidRPr="00C32A90">
        <w:rPr>
          <w:u w:val="none"/>
          <w:lang w:val="fr-FR"/>
        </w:rPr>
        <w:t xml:space="preserve"> menaces plus globales, notamment celles liées à l</w:t>
      </w:r>
      <w:r w:rsidR="00655870">
        <w:rPr>
          <w:u w:val="none"/>
          <w:lang w:val="fr-FR"/>
        </w:rPr>
        <w:t>’</w:t>
      </w:r>
      <w:r w:rsidRPr="00C32A90">
        <w:rPr>
          <w:u w:val="none"/>
          <w:lang w:val="fr-FR"/>
        </w:rPr>
        <w:t>environnement ;</w:t>
      </w:r>
    </w:p>
    <w:p w14:paraId="5ED0539A" w14:textId="68887523" w:rsidR="00655870" w:rsidRPr="00D23C0B" w:rsidRDefault="007D1BAA" w:rsidP="00655870">
      <w:pPr>
        <w:pStyle w:val="COMParaDecision"/>
        <w:numPr>
          <w:ilvl w:val="0"/>
          <w:numId w:val="19"/>
        </w:numPr>
        <w:ind w:left="1134" w:hanging="567"/>
        <w:rPr>
          <w:lang w:val="fr-FR"/>
        </w:rPr>
      </w:pPr>
      <w:r>
        <w:rPr>
          <w:lang w:val="fr-FR"/>
        </w:rPr>
        <w:t>Reconnaît</w:t>
      </w:r>
      <w:r w:rsidRPr="007D6A4E">
        <w:rPr>
          <w:u w:val="none"/>
          <w:lang w:val="fr-FR"/>
        </w:rPr>
        <w:t xml:space="preserve"> que la réflexion globale sur les mécanismes </w:t>
      </w:r>
      <w:r w:rsidR="0010342A">
        <w:rPr>
          <w:u w:val="none"/>
          <w:lang w:val="fr-FR"/>
        </w:rPr>
        <w:t>liés à l</w:t>
      </w:r>
      <w:r w:rsidR="00655870">
        <w:rPr>
          <w:u w:val="none"/>
          <w:lang w:val="fr-FR"/>
        </w:rPr>
        <w:t>’</w:t>
      </w:r>
      <w:r w:rsidRPr="007D6A4E">
        <w:rPr>
          <w:u w:val="none"/>
          <w:lang w:val="fr-FR"/>
        </w:rPr>
        <w:t>inscription</w:t>
      </w:r>
      <w:r w:rsidR="00A42132">
        <w:rPr>
          <w:u w:val="none"/>
          <w:lang w:val="fr-FR"/>
        </w:rPr>
        <w:t xml:space="preserve"> sur les listes</w:t>
      </w:r>
      <w:r w:rsidRPr="007D6A4E">
        <w:rPr>
          <w:u w:val="none"/>
          <w:lang w:val="fr-FR"/>
        </w:rPr>
        <w:t xml:space="preserve"> de la Convention de 2003 </w:t>
      </w:r>
      <w:r>
        <w:rPr>
          <w:u w:val="none"/>
          <w:lang w:val="fr-FR"/>
        </w:rPr>
        <w:t>est susceptible</w:t>
      </w:r>
      <w:r w:rsidRPr="007D6A4E">
        <w:rPr>
          <w:u w:val="none"/>
          <w:lang w:val="fr-FR"/>
        </w:rPr>
        <w:t xml:space="preserve"> </w:t>
      </w:r>
      <w:r>
        <w:rPr>
          <w:u w:val="none"/>
          <w:lang w:val="fr-FR"/>
        </w:rPr>
        <w:t>d</w:t>
      </w:r>
      <w:r w:rsidR="00655870">
        <w:rPr>
          <w:u w:val="none"/>
          <w:lang w:val="fr-FR"/>
        </w:rPr>
        <w:t>’</w:t>
      </w:r>
      <w:r w:rsidRPr="007D6A4E">
        <w:rPr>
          <w:u w:val="none"/>
          <w:lang w:val="fr-FR"/>
        </w:rPr>
        <w:t>affecter l</w:t>
      </w:r>
      <w:r w:rsidR="00655870">
        <w:rPr>
          <w:u w:val="none"/>
          <w:lang w:val="fr-FR"/>
        </w:rPr>
        <w:t>’</w:t>
      </w:r>
      <w:r w:rsidRPr="007D6A4E">
        <w:rPr>
          <w:u w:val="none"/>
          <w:lang w:val="fr-FR"/>
        </w:rPr>
        <w:t>exercice de soumission des rapports sur l</w:t>
      </w:r>
      <w:r w:rsidR="00655870">
        <w:rPr>
          <w:u w:val="none"/>
          <w:lang w:val="fr-FR"/>
        </w:rPr>
        <w:t>’</w:t>
      </w:r>
      <w:r>
        <w:rPr>
          <w:u w:val="none"/>
          <w:lang w:val="fr-FR"/>
        </w:rPr>
        <w:t xml:space="preserve">état </w:t>
      </w:r>
      <w:r w:rsidRPr="007D6A4E">
        <w:rPr>
          <w:u w:val="none"/>
          <w:lang w:val="fr-FR"/>
        </w:rPr>
        <w:t xml:space="preserve">des éléments inscrits sur la Liste du patrimoine culturel immatériel nécessitant une sauvegarde </w:t>
      </w:r>
      <w:r>
        <w:rPr>
          <w:u w:val="none"/>
          <w:lang w:val="fr-FR"/>
        </w:rPr>
        <w:t>urgente</w:t>
      </w:r>
      <w:r w:rsidRPr="007D6A4E">
        <w:rPr>
          <w:u w:val="none"/>
          <w:lang w:val="fr-FR"/>
        </w:rPr>
        <w:t xml:space="preserve"> et que ce mécanisme spécifique de soumission des rapports </w:t>
      </w:r>
      <w:r>
        <w:rPr>
          <w:u w:val="none"/>
          <w:lang w:val="fr-FR"/>
        </w:rPr>
        <w:t>demeurera</w:t>
      </w:r>
      <w:r w:rsidRPr="007D6A4E">
        <w:rPr>
          <w:u w:val="none"/>
          <w:lang w:val="fr-FR"/>
        </w:rPr>
        <w:t xml:space="preserve"> </w:t>
      </w:r>
      <w:r>
        <w:rPr>
          <w:u w:val="none"/>
          <w:lang w:val="fr-FR"/>
        </w:rPr>
        <w:t xml:space="preserve">inchangé </w:t>
      </w:r>
      <w:r w:rsidRPr="007D6A4E">
        <w:rPr>
          <w:u w:val="none"/>
          <w:lang w:val="fr-FR"/>
        </w:rPr>
        <w:t>pour le moment, jusqu</w:t>
      </w:r>
      <w:r w:rsidR="00655870">
        <w:rPr>
          <w:u w:val="none"/>
          <w:lang w:val="fr-FR"/>
        </w:rPr>
        <w:t>’</w:t>
      </w:r>
      <w:r w:rsidRPr="007D6A4E">
        <w:rPr>
          <w:u w:val="none"/>
          <w:lang w:val="fr-FR"/>
        </w:rPr>
        <w:t>à ce que la réflexion globale ait progressé ;</w:t>
      </w:r>
    </w:p>
    <w:p w14:paraId="792428A3" w14:textId="3F369253" w:rsidR="00655870" w:rsidRPr="00D23C0B" w:rsidRDefault="007F342B" w:rsidP="00655870">
      <w:pPr>
        <w:pStyle w:val="COMParaDecision"/>
        <w:numPr>
          <w:ilvl w:val="0"/>
          <w:numId w:val="19"/>
        </w:numPr>
        <w:ind w:left="1134" w:hanging="567"/>
        <w:rPr>
          <w:lang w:val="fr-FR"/>
        </w:rPr>
      </w:pPr>
      <w:r w:rsidRPr="0046364A">
        <w:rPr>
          <w:lang w:val="fr-FR"/>
        </w:rPr>
        <w:t>Décide</w:t>
      </w:r>
      <w:r w:rsidRPr="0046364A">
        <w:rPr>
          <w:u w:val="none"/>
          <w:lang w:val="fr-FR"/>
        </w:rPr>
        <w:t xml:space="preserve"> de soumettre à l</w:t>
      </w:r>
      <w:r w:rsidR="00655870">
        <w:rPr>
          <w:u w:val="none"/>
          <w:lang w:val="fr-FR"/>
        </w:rPr>
        <w:t>’</w:t>
      </w:r>
      <w:r w:rsidRPr="0046364A">
        <w:rPr>
          <w:u w:val="none"/>
          <w:lang w:val="fr-FR"/>
        </w:rPr>
        <w:t>Assemblée générale un résumé des rapports des États parties sur l</w:t>
      </w:r>
      <w:r w:rsidR="00655870">
        <w:rPr>
          <w:u w:val="none"/>
          <w:lang w:val="fr-FR"/>
        </w:rPr>
        <w:t>’</w:t>
      </w:r>
      <w:r w:rsidRPr="0046364A">
        <w:rPr>
          <w:u w:val="none"/>
          <w:lang w:val="fr-FR"/>
        </w:rPr>
        <w:t>état actuel des éléments inscrits sur la Liste du patrimoine culturel immatériel nécessitant une sauvegarde urgente qui ont été examinés au cours de la présente session.</w:t>
      </w:r>
    </w:p>
    <w:p w14:paraId="7B37F26B" w14:textId="77777777" w:rsidR="00655870" w:rsidRPr="00D23C0B" w:rsidRDefault="007F342B" w:rsidP="00655870">
      <w:pPr>
        <w:pStyle w:val="COMParaDecision"/>
        <w:rPr>
          <w:u w:val="none"/>
          <w:lang w:val="fr-FR"/>
        </w:rPr>
      </w:pPr>
      <w:r w:rsidRPr="00D23C0B">
        <w:rPr>
          <w:u w:val="none"/>
          <w:lang w:val="fr-FR"/>
        </w:rPr>
        <w:br w:type="page"/>
      </w:r>
    </w:p>
    <w:p w14:paraId="2C5BE0CB" w14:textId="321A5183" w:rsidR="00D23C0B" w:rsidRPr="00F90057" w:rsidRDefault="00D23C0B" w:rsidP="00D23C0B">
      <w:pPr>
        <w:pStyle w:val="COMParaDecision"/>
        <w:ind w:left="567"/>
        <w:rPr>
          <w:i/>
          <w:u w:val="none"/>
          <w:lang w:val="fr-FR"/>
        </w:rPr>
      </w:pPr>
      <w:r>
        <w:rPr>
          <w:b/>
          <w:u w:val="none"/>
          <w:lang w:val="fr-FR"/>
        </w:rPr>
        <w:lastRenderedPageBreak/>
        <w:t xml:space="preserve">Croatie : « Le chant </w:t>
      </w:r>
      <w:proofErr w:type="spellStart"/>
      <w:r>
        <w:rPr>
          <w:b/>
          <w:u w:val="none"/>
          <w:lang w:val="fr-FR"/>
        </w:rPr>
        <w:t>Ojkanje</w:t>
      </w:r>
      <w:proofErr w:type="spellEnd"/>
      <w:r>
        <w:rPr>
          <w:b/>
          <w:u w:val="none"/>
          <w:lang w:val="fr-FR"/>
        </w:rPr>
        <w:t> » </w:t>
      </w:r>
      <w:r w:rsidRPr="00635386">
        <w:rPr>
          <w:i/>
          <w:u w:val="none"/>
          <w:lang w:val="fr-FR"/>
        </w:rPr>
        <w:t xml:space="preserve">(consulter le </w:t>
      </w:r>
      <w:hyperlink r:id="rId22" w:history="1">
        <w:r w:rsidRPr="00635386">
          <w:rPr>
            <w:rStyle w:val="Hyperlink"/>
            <w:i/>
            <w:lang w:val="fr-FR"/>
          </w:rPr>
          <w:t>rapport</w:t>
        </w:r>
      </w:hyperlink>
      <w:r w:rsidRPr="00635386">
        <w:rPr>
          <w:i/>
          <w:u w:val="none"/>
          <w:lang w:val="fr-FR"/>
        </w:rPr>
        <w:t>)</w:t>
      </w:r>
    </w:p>
    <w:p w14:paraId="5BCB9134" w14:textId="771F8879" w:rsidR="00D23C0B" w:rsidRPr="00F90057" w:rsidRDefault="00D23C0B" w:rsidP="00D23C0B">
      <w:pPr>
        <w:pStyle w:val="COMPara"/>
        <w:numPr>
          <w:ilvl w:val="0"/>
          <w:numId w:val="9"/>
        </w:numPr>
        <w:spacing w:before="120"/>
        <w:ind w:left="567" w:hanging="567"/>
        <w:jc w:val="both"/>
        <w:rPr>
          <w:lang w:val="fr-FR"/>
        </w:rPr>
      </w:pPr>
      <w:r w:rsidRPr="003645B2">
        <w:rPr>
          <w:color w:val="000000"/>
          <w:shd w:val="clear" w:color="auto" w:fill="FFFFFF"/>
          <w:lang w:val="fr-FR"/>
        </w:rPr>
        <w:t xml:space="preserve">Le chant </w:t>
      </w:r>
      <w:proofErr w:type="spellStart"/>
      <w:r w:rsidRPr="003645B2">
        <w:rPr>
          <w:color w:val="000000"/>
          <w:shd w:val="clear" w:color="auto" w:fill="FFFFFF"/>
          <w:lang w:val="fr-FR"/>
        </w:rPr>
        <w:t>Ojkanje</w:t>
      </w:r>
      <w:proofErr w:type="spellEnd"/>
      <w:r w:rsidRPr="003645B2">
        <w:rPr>
          <w:color w:val="000000"/>
          <w:shd w:val="clear" w:color="auto" w:fill="FFFFFF"/>
          <w:lang w:val="fr-FR"/>
        </w:rPr>
        <w:t xml:space="preserve"> à deux voix est un type de musique vocale traditionnelle répandu dans la région </w:t>
      </w:r>
      <w:r>
        <w:rPr>
          <w:color w:val="000000"/>
          <w:shd w:val="clear" w:color="auto" w:fill="FFFFFF"/>
          <w:lang w:val="fr-FR"/>
        </w:rPr>
        <w:t>des Dinariques, dans</w:t>
      </w:r>
      <w:r w:rsidRPr="003645B2">
        <w:rPr>
          <w:color w:val="000000"/>
          <w:shd w:val="clear" w:color="auto" w:fill="FFFFFF"/>
          <w:lang w:val="fr-FR"/>
        </w:rPr>
        <w:t xml:space="preserve"> l</w:t>
      </w:r>
      <w:r w:rsidR="00655870">
        <w:rPr>
          <w:color w:val="000000"/>
          <w:shd w:val="clear" w:color="auto" w:fill="FFFFFF"/>
          <w:lang w:val="fr-FR"/>
        </w:rPr>
        <w:t>’</w:t>
      </w:r>
      <w:r w:rsidRPr="003645B2">
        <w:rPr>
          <w:color w:val="000000"/>
          <w:shd w:val="clear" w:color="auto" w:fill="FFFFFF"/>
          <w:lang w:val="fr-FR"/>
        </w:rPr>
        <w:t>arrière-pays dalmate. Ce chant archaïque se caractérise par une technique de trémolo particulière venant de la gorge. Couramment pratiqué par les communautés locales de la région, l</w:t>
      </w:r>
      <w:r w:rsidR="00655870">
        <w:rPr>
          <w:color w:val="000000"/>
          <w:shd w:val="clear" w:color="auto" w:fill="FFFFFF"/>
          <w:lang w:val="fr-FR"/>
        </w:rPr>
        <w:t>’</w:t>
      </w:r>
      <w:proofErr w:type="spellStart"/>
      <w:r w:rsidRPr="003645B2">
        <w:rPr>
          <w:color w:val="000000"/>
          <w:shd w:val="clear" w:color="auto" w:fill="FFFFFF"/>
          <w:lang w:val="fr-FR"/>
        </w:rPr>
        <w:t>Ojkanje</w:t>
      </w:r>
      <w:proofErr w:type="spellEnd"/>
      <w:r w:rsidRPr="003645B2">
        <w:rPr>
          <w:color w:val="000000"/>
          <w:shd w:val="clear" w:color="auto" w:fill="FFFFFF"/>
          <w:lang w:val="fr-FR"/>
        </w:rPr>
        <w:t xml:space="preserve"> est principalement </w:t>
      </w:r>
      <w:r>
        <w:rPr>
          <w:color w:val="000000"/>
          <w:shd w:val="clear" w:color="auto" w:fill="FFFFFF"/>
          <w:lang w:val="fr-FR"/>
        </w:rPr>
        <w:t>exécuté</w:t>
      </w:r>
      <w:r w:rsidRPr="003645B2">
        <w:rPr>
          <w:color w:val="000000"/>
          <w:shd w:val="clear" w:color="auto" w:fill="FFFFFF"/>
          <w:lang w:val="fr-FR"/>
        </w:rPr>
        <w:t xml:space="preserve"> par des </w:t>
      </w:r>
      <w:r>
        <w:rPr>
          <w:color w:val="000000"/>
          <w:shd w:val="clear" w:color="auto" w:fill="FFFFFF"/>
          <w:lang w:val="fr-FR"/>
        </w:rPr>
        <w:t xml:space="preserve">chanteurs </w:t>
      </w:r>
      <w:r w:rsidRPr="003645B2">
        <w:rPr>
          <w:color w:val="000000"/>
          <w:shd w:val="clear" w:color="auto" w:fill="FFFFFF"/>
          <w:lang w:val="fr-FR"/>
        </w:rPr>
        <w:t xml:space="preserve">âgés, qui se produisent seuls ou en petits groupes. Le chant </w:t>
      </w:r>
      <w:proofErr w:type="spellStart"/>
      <w:r w:rsidRPr="003645B2">
        <w:rPr>
          <w:color w:val="000000"/>
          <w:shd w:val="clear" w:color="auto" w:fill="FFFFFF"/>
          <w:lang w:val="fr-FR"/>
        </w:rPr>
        <w:t>Ojkanje</w:t>
      </w:r>
      <w:proofErr w:type="spellEnd"/>
      <w:r w:rsidRPr="003645B2">
        <w:rPr>
          <w:color w:val="000000"/>
          <w:shd w:val="clear" w:color="auto" w:fill="FFFFFF"/>
          <w:lang w:val="fr-FR"/>
        </w:rPr>
        <w:t xml:space="preserve"> doit sa survie aux groupes organisés de détenteurs locaux de la tradition qui continuent à transmettre leur savoir-faire et</w:t>
      </w:r>
      <w:r>
        <w:rPr>
          <w:color w:val="000000"/>
          <w:shd w:val="clear" w:color="auto" w:fill="FFFFFF"/>
          <w:lang w:val="fr-FR"/>
        </w:rPr>
        <w:t xml:space="preserve"> leurs</w:t>
      </w:r>
      <w:r w:rsidRPr="003645B2">
        <w:rPr>
          <w:color w:val="000000"/>
          <w:shd w:val="clear" w:color="auto" w:fill="FFFFFF"/>
          <w:lang w:val="fr-FR"/>
        </w:rPr>
        <w:t xml:space="preserve"> connaissances en donnant des </w:t>
      </w:r>
      <w:r>
        <w:rPr>
          <w:color w:val="000000"/>
          <w:shd w:val="clear" w:color="auto" w:fill="FFFFFF"/>
          <w:lang w:val="fr-FR"/>
        </w:rPr>
        <w:t>représentations</w:t>
      </w:r>
      <w:r w:rsidRPr="003645B2">
        <w:rPr>
          <w:color w:val="000000"/>
          <w:shd w:val="clear" w:color="auto" w:fill="FFFFFF"/>
          <w:lang w:val="fr-FR"/>
        </w:rPr>
        <w:t xml:space="preserve"> à l</w:t>
      </w:r>
      <w:r w:rsidR="00655870">
        <w:rPr>
          <w:color w:val="000000"/>
          <w:shd w:val="clear" w:color="auto" w:fill="FFFFFF"/>
          <w:lang w:val="fr-FR"/>
        </w:rPr>
        <w:t>’</w:t>
      </w:r>
      <w:r w:rsidRPr="003645B2">
        <w:rPr>
          <w:color w:val="000000"/>
          <w:shd w:val="clear" w:color="auto" w:fill="FFFFFF"/>
          <w:lang w:val="fr-FR"/>
        </w:rPr>
        <w:t>occasion de</w:t>
      </w:r>
      <w:r>
        <w:rPr>
          <w:color w:val="000000"/>
          <w:shd w:val="clear" w:color="auto" w:fill="FFFFFF"/>
          <w:lang w:val="fr-FR"/>
        </w:rPr>
        <w:t>s</w:t>
      </w:r>
      <w:r w:rsidRPr="003645B2">
        <w:rPr>
          <w:color w:val="000000"/>
          <w:shd w:val="clear" w:color="auto" w:fill="FFFFFF"/>
          <w:lang w:val="fr-FR"/>
        </w:rPr>
        <w:t xml:space="preserve"> festivals locaux et régionaux organisés dans toute la Croatie. Bien que les détenteurs individuels transmettent traditionnellement leur</w:t>
      </w:r>
      <w:r>
        <w:rPr>
          <w:color w:val="000000"/>
          <w:shd w:val="clear" w:color="auto" w:fill="FFFFFF"/>
          <w:lang w:val="fr-FR"/>
        </w:rPr>
        <w:t xml:space="preserve"> savoir </w:t>
      </w:r>
      <w:r w:rsidRPr="003645B2">
        <w:rPr>
          <w:color w:val="000000"/>
          <w:shd w:val="clear" w:color="auto" w:fill="FFFFFF"/>
          <w:lang w:val="fr-FR"/>
        </w:rPr>
        <w:t>aux nouvelles générations</w:t>
      </w:r>
      <w:r>
        <w:rPr>
          <w:color w:val="000000"/>
          <w:shd w:val="clear" w:color="auto" w:fill="FFFFFF"/>
          <w:lang w:val="fr-FR"/>
        </w:rPr>
        <w:t xml:space="preserve"> par oral</w:t>
      </w:r>
      <w:r w:rsidRPr="003645B2">
        <w:rPr>
          <w:color w:val="000000"/>
          <w:shd w:val="clear" w:color="auto" w:fill="FFFFFF"/>
          <w:lang w:val="fr-FR"/>
        </w:rPr>
        <w:t>, les enregistrements audiovisuels et l</w:t>
      </w:r>
      <w:r w:rsidR="00655870">
        <w:rPr>
          <w:color w:val="000000"/>
          <w:shd w:val="clear" w:color="auto" w:fill="FFFFFF"/>
          <w:lang w:val="fr-FR"/>
        </w:rPr>
        <w:t>’</w:t>
      </w:r>
      <w:r w:rsidRPr="003645B2">
        <w:rPr>
          <w:color w:val="000000"/>
          <w:shd w:val="clear" w:color="auto" w:fill="FFFFFF"/>
          <w:lang w:val="fr-FR"/>
        </w:rPr>
        <w:t xml:space="preserve">apprentissage organisé au sein de groupes locaux jouent un rôle de plus en plus important dans sa transmission et sa sauvegarde. Le chant </w:t>
      </w:r>
      <w:proofErr w:type="spellStart"/>
      <w:r w:rsidRPr="003645B2">
        <w:rPr>
          <w:color w:val="000000"/>
          <w:shd w:val="clear" w:color="auto" w:fill="FFFFFF"/>
          <w:lang w:val="fr-FR"/>
        </w:rPr>
        <w:t>Ojkanje</w:t>
      </w:r>
      <w:proofErr w:type="spellEnd"/>
      <w:r w:rsidRPr="003645B2">
        <w:rPr>
          <w:color w:val="000000"/>
          <w:shd w:val="clear" w:color="auto" w:fill="FFFFFF"/>
          <w:lang w:val="fr-FR"/>
        </w:rPr>
        <w:t xml:space="preserve"> </w:t>
      </w:r>
      <w:r>
        <w:rPr>
          <w:color w:val="000000"/>
          <w:shd w:val="clear" w:color="auto" w:fill="FFFFFF"/>
          <w:lang w:val="fr-FR"/>
        </w:rPr>
        <w:t xml:space="preserve">occupe toujours une place prépondérante dans </w:t>
      </w:r>
      <w:r w:rsidRPr="003645B2">
        <w:rPr>
          <w:color w:val="000000"/>
          <w:shd w:val="clear" w:color="auto" w:fill="FFFFFF"/>
          <w:lang w:val="fr-FR"/>
        </w:rPr>
        <w:t>l</w:t>
      </w:r>
      <w:r w:rsidR="00655870">
        <w:rPr>
          <w:color w:val="000000"/>
          <w:shd w:val="clear" w:color="auto" w:fill="FFFFFF"/>
          <w:lang w:val="fr-FR"/>
        </w:rPr>
        <w:t>’</w:t>
      </w:r>
      <w:r w:rsidRPr="003645B2">
        <w:rPr>
          <w:color w:val="000000"/>
          <w:shd w:val="clear" w:color="auto" w:fill="FFFFFF"/>
          <w:lang w:val="fr-FR"/>
        </w:rPr>
        <w:t>identité culturelle des communautés locales.</w:t>
      </w:r>
    </w:p>
    <w:p w14:paraId="2B8E6058" w14:textId="06729B65" w:rsidR="00D23C0B" w:rsidRPr="00F90057" w:rsidRDefault="00D23C0B" w:rsidP="00D23C0B">
      <w:pPr>
        <w:pStyle w:val="COMPara"/>
        <w:numPr>
          <w:ilvl w:val="0"/>
          <w:numId w:val="9"/>
        </w:numPr>
        <w:spacing w:before="120"/>
        <w:ind w:left="567" w:hanging="567"/>
        <w:jc w:val="both"/>
        <w:rPr>
          <w:lang w:val="fr-FR"/>
        </w:rPr>
      </w:pPr>
      <w:r w:rsidRPr="00131978">
        <w:rPr>
          <w:b/>
          <w:lang w:val="fr-FR"/>
        </w:rPr>
        <w:t>Efficacité du plan de sauvegarde</w:t>
      </w:r>
      <w:r>
        <w:rPr>
          <w:lang w:val="fr-FR"/>
        </w:rPr>
        <w:t>. L</w:t>
      </w:r>
      <w:r w:rsidR="00655870">
        <w:rPr>
          <w:lang w:val="fr-FR"/>
        </w:rPr>
        <w:t>’</w:t>
      </w:r>
      <w:r>
        <w:rPr>
          <w:lang w:val="fr-FR"/>
        </w:rPr>
        <w:t xml:space="preserve">inscription du chant </w:t>
      </w:r>
      <w:proofErr w:type="spellStart"/>
      <w:r>
        <w:rPr>
          <w:lang w:val="fr-FR"/>
        </w:rPr>
        <w:t>Ojkanje</w:t>
      </w:r>
      <w:proofErr w:type="spellEnd"/>
      <w:r>
        <w:rPr>
          <w:lang w:val="fr-FR"/>
        </w:rPr>
        <w:t xml:space="preserve"> sur la Liste </w:t>
      </w:r>
      <w:r w:rsidR="006244BB">
        <w:rPr>
          <w:lang w:val="fr-FR"/>
        </w:rPr>
        <w:t xml:space="preserve">de </w:t>
      </w:r>
      <w:r>
        <w:rPr>
          <w:lang w:val="fr-FR"/>
        </w:rPr>
        <w:t>sauvegarde urgente a considérablement amélioré la visibilité de l</w:t>
      </w:r>
      <w:r w:rsidR="00655870">
        <w:rPr>
          <w:lang w:val="fr-FR"/>
        </w:rPr>
        <w:t>’</w:t>
      </w:r>
      <w:r>
        <w:rPr>
          <w:lang w:val="fr-FR"/>
        </w:rPr>
        <w:t>élément et a permis à ses détenteurs de jouir d</w:t>
      </w:r>
      <w:r w:rsidR="00655870">
        <w:rPr>
          <w:lang w:val="fr-FR"/>
        </w:rPr>
        <w:t>’</w:t>
      </w:r>
      <w:r>
        <w:rPr>
          <w:lang w:val="fr-FR"/>
        </w:rPr>
        <w:t xml:space="preserve">une meilleure reconnaissance sociale. Pour assurer la viabilité et la transmission du chant </w:t>
      </w:r>
      <w:proofErr w:type="spellStart"/>
      <w:r>
        <w:rPr>
          <w:lang w:val="fr-FR"/>
        </w:rPr>
        <w:t>Ojkanje</w:t>
      </w:r>
      <w:proofErr w:type="spellEnd"/>
      <w:r>
        <w:rPr>
          <w:lang w:val="fr-FR"/>
        </w:rPr>
        <w:t>, le plan de sauvegarde s</w:t>
      </w:r>
      <w:r w:rsidR="00655870">
        <w:rPr>
          <w:lang w:val="fr-FR"/>
        </w:rPr>
        <w:t>’</w:t>
      </w:r>
      <w:r>
        <w:rPr>
          <w:lang w:val="fr-FR"/>
        </w:rPr>
        <w:t>est concentré sur la recherche, la documentation, l</w:t>
      </w:r>
      <w:r w:rsidR="00655870">
        <w:rPr>
          <w:lang w:val="fr-FR"/>
        </w:rPr>
        <w:t>’</w:t>
      </w:r>
      <w:r>
        <w:rPr>
          <w:lang w:val="fr-FR"/>
        </w:rPr>
        <w:t>évaluation d</w:t>
      </w:r>
      <w:r w:rsidR="00655870">
        <w:rPr>
          <w:lang w:val="fr-FR"/>
        </w:rPr>
        <w:t>’</w:t>
      </w:r>
      <w:r>
        <w:rPr>
          <w:lang w:val="fr-FR"/>
        </w:rPr>
        <w:t>experts et de scientifiques, et la formation du personnel professionnel et des détenteurs traditionnels en vue de transmettre les connaissances aux jeunes générations. Les principales mesures qui ont contribué au renforcement de la viabilité de l</w:t>
      </w:r>
      <w:r w:rsidR="00655870">
        <w:rPr>
          <w:lang w:val="fr-FR"/>
        </w:rPr>
        <w:t>’</w:t>
      </w:r>
      <w:r>
        <w:rPr>
          <w:lang w:val="fr-FR"/>
        </w:rPr>
        <w:t>élément ont été les suivantes : la reconnaissance des détenteurs continuant à exercer la pratique ; l</w:t>
      </w:r>
      <w:r w:rsidR="00655870">
        <w:rPr>
          <w:lang w:val="fr-FR"/>
        </w:rPr>
        <w:t>’</w:t>
      </w:r>
      <w:r>
        <w:rPr>
          <w:lang w:val="fr-FR"/>
        </w:rPr>
        <w:t>organisation d</w:t>
      </w:r>
      <w:r w:rsidR="00655870">
        <w:rPr>
          <w:lang w:val="fr-FR"/>
        </w:rPr>
        <w:t>’</w:t>
      </w:r>
      <w:r>
        <w:rPr>
          <w:lang w:val="fr-FR"/>
        </w:rPr>
        <w:t>ateliers suivant une méthode d</w:t>
      </w:r>
      <w:r w:rsidR="00655870">
        <w:rPr>
          <w:lang w:val="fr-FR"/>
        </w:rPr>
        <w:t>’</w:t>
      </w:r>
      <w:r>
        <w:rPr>
          <w:lang w:val="fr-FR"/>
        </w:rPr>
        <w:t>apprentissage classique ; un travail de documentation de la pratique à l</w:t>
      </w:r>
      <w:r w:rsidR="00655870">
        <w:rPr>
          <w:lang w:val="fr-FR"/>
        </w:rPr>
        <w:t>’</w:t>
      </w:r>
      <w:r>
        <w:rPr>
          <w:lang w:val="fr-FR"/>
        </w:rPr>
        <w:t>aide d</w:t>
      </w:r>
      <w:r w:rsidR="00655870">
        <w:rPr>
          <w:lang w:val="fr-FR"/>
        </w:rPr>
        <w:t>’</w:t>
      </w:r>
      <w:r>
        <w:rPr>
          <w:lang w:val="fr-FR"/>
        </w:rPr>
        <w:t>enregistrements audiovisuels ; l</w:t>
      </w:r>
      <w:r w:rsidR="00655870">
        <w:rPr>
          <w:lang w:val="fr-FR"/>
        </w:rPr>
        <w:t>’</w:t>
      </w:r>
      <w:r>
        <w:rPr>
          <w:lang w:val="fr-FR"/>
        </w:rPr>
        <w:t>examen de la documentation audiovisuelle existante pour en améliorer la qualité. L</w:t>
      </w:r>
      <w:r w:rsidR="00655870">
        <w:rPr>
          <w:lang w:val="fr-FR"/>
        </w:rPr>
        <w:t>’</w:t>
      </w:r>
      <w:r>
        <w:rPr>
          <w:lang w:val="fr-FR"/>
        </w:rPr>
        <w:t>organisation de festivals a servi aux détenteurs de plate-forme pour se produire devant les communautés locales et d</w:t>
      </w:r>
      <w:r w:rsidR="00655870">
        <w:rPr>
          <w:lang w:val="fr-FR"/>
        </w:rPr>
        <w:t>’</w:t>
      </w:r>
      <w:r>
        <w:rPr>
          <w:lang w:val="fr-FR"/>
        </w:rPr>
        <w:t xml:space="preserve">autres publics intéressés. Ces mesures de sauvegarde sont jugées efficaces grâce à la détermination et à la persévérance des individus impliqués, des associations culturelles locales et des sociétés </w:t>
      </w:r>
      <w:r w:rsidR="00487888">
        <w:rPr>
          <w:lang w:val="fr-FR"/>
        </w:rPr>
        <w:t>de folklore</w:t>
      </w:r>
      <w:r>
        <w:rPr>
          <w:lang w:val="fr-FR"/>
        </w:rPr>
        <w:t>, ainsi qu</w:t>
      </w:r>
      <w:r w:rsidR="00655870">
        <w:rPr>
          <w:lang w:val="fr-FR"/>
        </w:rPr>
        <w:t>’</w:t>
      </w:r>
      <w:r>
        <w:rPr>
          <w:lang w:val="fr-FR"/>
        </w:rPr>
        <w:t>au soutien du Ministère de la culture et de divers autres partenaires.</w:t>
      </w:r>
    </w:p>
    <w:p w14:paraId="1012CB64" w14:textId="72326293" w:rsidR="00D23C0B" w:rsidRPr="00057C4F" w:rsidRDefault="00D23C0B" w:rsidP="00D23C0B">
      <w:pPr>
        <w:pStyle w:val="COMPara"/>
        <w:numPr>
          <w:ilvl w:val="0"/>
          <w:numId w:val="9"/>
        </w:numPr>
        <w:spacing w:before="120"/>
        <w:ind w:left="567" w:hanging="567"/>
        <w:jc w:val="both"/>
        <w:rPr>
          <w:lang w:val="fr-FR"/>
        </w:rPr>
      </w:pPr>
      <w:r w:rsidRPr="00426B43">
        <w:rPr>
          <w:lang w:val="fr-FR"/>
        </w:rPr>
        <w:t xml:space="preserve">Concernant les décisions </w:t>
      </w:r>
      <w:hyperlink r:id="rId23" w:history="1">
        <w:r w:rsidRPr="00B70F79">
          <w:rPr>
            <w:rStyle w:val="Hyperlink"/>
            <w:color w:val="0070C0"/>
            <w:lang w:val="fr-FR"/>
          </w:rPr>
          <w:t>5.COM 5.4</w:t>
        </w:r>
      </w:hyperlink>
      <w:r w:rsidRPr="00426B43">
        <w:rPr>
          <w:lang w:val="fr-FR"/>
        </w:rPr>
        <w:t xml:space="preserve"> et </w:t>
      </w:r>
      <w:hyperlink r:id="rId24" w:history="1">
        <w:r w:rsidRPr="00B70F79">
          <w:rPr>
            <w:rStyle w:val="Hyperlink"/>
            <w:color w:val="0070C0"/>
            <w:lang w:val="fr-FR"/>
          </w:rPr>
          <w:t>10.COM 6.b.1</w:t>
        </w:r>
      </w:hyperlink>
      <w:r w:rsidRPr="00426B43">
        <w:rPr>
          <w:lang w:val="fr-FR"/>
        </w:rPr>
        <w:t xml:space="preserve"> précédemment prises par le Comité, qui encouragent les autres États et communautés ayant des formes de chant analogues à collaborer activement aux possibilités d</w:t>
      </w:r>
      <w:r w:rsidR="00655870" w:rsidRPr="00426B43">
        <w:rPr>
          <w:lang w:val="fr-FR"/>
        </w:rPr>
        <w:t>’</w:t>
      </w:r>
      <w:r w:rsidRPr="00426B43">
        <w:rPr>
          <w:lang w:val="fr-FR"/>
        </w:rPr>
        <w:t>échange international proposées par la Croatie, le rapport mentionne l</w:t>
      </w:r>
      <w:r w:rsidR="00655870" w:rsidRPr="00426B43">
        <w:rPr>
          <w:lang w:val="fr-FR"/>
        </w:rPr>
        <w:t>’</w:t>
      </w:r>
      <w:r w:rsidRPr="00426B43">
        <w:rPr>
          <w:lang w:val="fr-FR"/>
        </w:rPr>
        <w:t>organisation de l</w:t>
      </w:r>
      <w:r w:rsidR="00655870" w:rsidRPr="00426B43">
        <w:rPr>
          <w:lang w:val="fr-FR"/>
        </w:rPr>
        <w:t>’</w:t>
      </w:r>
      <w:r w:rsidRPr="00426B43">
        <w:rPr>
          <w:lang w:val="fr-FR"/>
        </w:rPr>
        <w:t xml:space="preserve">atelier </w:t>
      </w:r>
      <w:proofErr w:type="spellStart"/>
      <w:r w:rsidRPr="00426B43">
        <w:rPr>
          <w:lang w:val="fr-FR"/>
        </w:rPr>
        <w:t>Duga</w:t>
      </w:r>
      <w:proofErr w:type="spellEnd"/>
      <w:r w:rsidRPr="00426B43">
        <w:rPr>
          <w:lang w:val="fr-FR"/>
        </w:rPr>
        <w:t xml:space="preserve"> </w:t>
      </w:r>
      <w:proofErr w:type="spellStart"/>
      <w:r w:rsidRPr="00426B43">
        <w:rPr>
          <w:lang w:val="fr-FR"/>
        </w:rPr>
        <w:t>iznad</w:t>
      </w:r>
      <w:proofErr w:type="spellEnd"/>
      <w:r w:rsidRPr="00426B43">
        <w:rPr>
          <w:lang w:val="fr-FR"/>
        </w:rPr>
        <w:t xml:space="preserve"> </w:t>
      </w:r>
      <w:proofErr w:type="spellStart"/>
      <w:r w:rsidRPr="00426B43">
        <w:rPr>
          <w:lang w:val="fr-FR"/>
        </w:rPr>
        <w:t>kule</w:t>
      </w:r>
      <w:proofErr w:type="spellEnd"/>
      <w:r w:rsidRPr="00426B43">
        <w:rPr>
          <w:lang w:val="fr-FR"/>
        </w:rPr>
        <w:t xml:space="preserve"> (</w:t>
      </w:r>
      <w:proofErr w:type="spellStart"/>
      <w:r w:rsidRPr="00426B43">
        <w:rPr>
          <w:lang w:val="fr-FR"/>
        </w:rPr>
        <w:t>Krka</w:t>
      </w:r>
      <w:proofErr w:type="spellEnd"/>
      <w:r w:rsidRPr="00426B43">
        <w:rPr>
          <w:lang w:val="fr-FR"/>
        </w:rPr>
        <w:t xml:space="preserve">), au cours duquel des experts croates et serbes ont collaboré avec plusieurs chanteurs pour enseigner les variations des traditions </w:t>
      </w:r>
      <w:proofErr w:type="spellStart"/>
      <w:r w:rsidRPr="00426B43">
        <w:rPr>
          <w:lang w:val="fr-FR"/>
        </w:rPr>
        <w:t>Ojkanje</w:t>
      </w:r>
      <w:proofErr w:type="spellEnd"/>
      <w:r w:rsidRPr="00426B43">
        <w:rPr>
          <w:lang w:val="fr-FR"/>
        </w:rPr>
        <w:t xml:space="preserve"> à </w:t>
      </w:r>
      <w:proofErr w:type="spellStart"/>
      <w:r w:rsidRPr="00426B43">
        <w:rPr>
          <w:lang w:val="fr-FR"/>
        </w:rPr>
        <w:t>Bukovica</w:t>
      </w:r>
      <w:proofErr w:type="spellEnd"/>
      <w:r w:rsidRPr="00426B43">
        <w:rPr>
          <w:lang w:val="fr-FR"/>
        </w:rPr>
        <w:t xml:space="preserve"> et </w:t>
      </w:r>
      <w:proofErr w:type="spellStart"/>
      <w:r w:rsidRPr="00426B43">
        <w:rPr>
          <w:lang w:val="fr-FR"/>
        </w:rPr>
        <w:t>Ravni</w:t>
      </w:r>
      <w:proofErr w:type="spellEnd"/>
      <w:r w:rsidRPr="00426B43">
        <w:rPr>
          <w:lang w:val="fr-FR"/>
        </w:rPr>
        <w:t xml:space="preserve"> </w:t>
      </w:r>
      <w:proofErr w:type="spellStart"/>
      <w:r w:rsidRPr="00426B43">
        <w:rPr>
          <w:lang w:val="fr-FR"/>
        </w:rPr>
        <w:t>Kotari</w:t>
      </w:r>
      <w:proofErr w:type="spellEnd"/>
      <w:r w:rsidRPr="00426B43">
        <w:rPr>
          <w:lang w:val="fr-FR"/>
        </w:rPr>
        <w:t>, favorisant ainsi la collaboration et l</w:t>
      </w:r>
      <w:r w:rsidR="00655870" w:rsidRPr="00426B43">
        <w:rPr>
          <w:lang w:val="fr-FR"/>
        </w:rPr>
        <w:t>’</w:t>
      </w:r>
      <w:r w:rsidRPr="00426B43">
        <w:rPr>
          <w:lang w:val="fr-FR"/>
        </w:rPr>
        <w:t>échange.</w:t>
      </w:r>
    </w:p>
    <w:p w14:paraId="3C117061" w14:textId="25089C79" w:rsidR="00D23C0B" w:rsidRPr="00F90057" w:rsidRDefault="00D23C0B" w:rsidP="00D23C0B">
      <w:pPr>
        <w:pStyle w:val="COMPara"/>
        <w:numPr>
          <w:ilvl w:val="0"/>
          <w:numId w:val="9"/>
        </w:numPr>
        <w:spacing w:before="120"/>
        <w:ind w:left="567" w:hanging="567"/>
        <w:jc w:val="both"/>
        <w:rPr>
          <w:lang w:val="fr-FR"/>
        </w:rPr>
      </w:pPr>
      <w:r w:rsidRPr="001D3394">
        <w:rPr>
          <w:b/>
          <w:lang w:val="fr-FR"/>
        </w:rPr>
        <w:t>Participation des communautés</w:t>
      </w:r>
      <w:r w:rsidRPr="001D3394">
        <w:rPr>
          <w:lang w:val="fr-FR"/>
        </w:rPr>
        <w:t xml:space="preserve"> L</w:t>
      </w:r>
      <w:r w:rsidR="00655870">
        <w:rPr>
          <w:lang w:val="fr-FR"/>
        </w:rPr>
        <w:t>’</w:t>
      </w:r>
      <w:r w:rsidRPr="001D3394">
        <w:rPr>
          <w:lang w:val="fr-FR"/>
        </w:rPr>
        <w:t>implication de la communauté s</w:t>
      </w:r>
      <w:r w:rsidR="00655870">
        <w:rPr>
          <w:lang w:val="fr-FR"/>
        </w:rPr>
        <w:t>’</w:t>
      </w:r>
      <w:r w:rsidRPr="001D3394">
        <w:rPr>
          <w:lang w:val="fr-FR"/>
        </w:rPr>
        <w:t>est manifesté</w:t>
      </w:r>
      <w:r>
        <w:rPr>
          <w:lang w:val="fr-FR"/>
        </w:rPr>
        <w:t>e</w:t>
      </w:r>
      <w:r w:rsidRPr="001D3394">
        <w:rPr>
          <w:lang w:val="fr-FR"/>
        </w:rPr>
        <w:t xml:space="preserve"> par la participation des détenteurs, ainsi que des associations culturelles et sociétés </w:t>
      </w:r>
      <w:r w:rsidR="00487888">
        <w:rPr>
          <w:lang w:val="fr-FR"/>
        </w:rPr>
        <w:t>de folklore</w:t>
      </w:r>
      <w:r w:rsidRPr="001D3394">
        <w:rPr>
          <w:lang w:val="fr-FR"/>
        </w:rPr>
        <w:t xml:space="preserve">. </w:t>
      </w:r>
      <w:r>
        <w:rPr>
          <w:lang w:val="fr-FR"/>
        </w:rPr>
        <w:t xml:space="preserve">Face à </w:t>
      </w:r>
      <w:r w:rsidRPr="001D3394">
        <w:rPr>
          <w:lang w:val="fr-FR"/>
        </w:rPr>
        <w:t>l</w:t>
      </w:r>
      <w:r w:rsidR="00655870">
        <w:rPr>
          <w:lang w:val="fr-FR"/>
        </w:rPr>
        <w:t>’</w:t>
      </w:r>
      <w:r w:rsidRPr="001D3394">
        <w:rPr>
          <w:lang w:val="fr-FR"/>
        </w:rPr>
        <w:t xml:space="preserve">intérêt </w:t>
      </w:r>
      <w:r>
        <w:rPr>
          <w:lang w:val="fr-FR"/>
        </w:rPr>
        <w:t>grandissant</w:t>
      </w:r>
      <w:r w:rsidRPr="001D3394">
        <w:rPr>
          <w:lang w:val="fr-FR"/>
        </w:rPr>
        <w:t xml:space="preserve"> des communautés locales pour le chant </w:t>
      </w:r>
      <w:proofErr w:type="spellStart"/>
      <w:r w:rsidRPr="001D3394">
        <w:rPr>
          <w:lang w:val="fr-FR"/>
        </w:rPr>
        <w:t>Ojkanje</w:t>
      </w:r>
      <w:proofErr w:type="spellEnd"/>
      <w:r w:rsidRPr="001D3394">
        <w:rPr>
          <w:lang w:val="fr-FR"/>
        </w:rPr>
        <w:t xml:space="preserve">, les sociétés </w:t>
      </w:r>
      <w:r w:rsidR="00487888">
        <w:rPr>
          <w:lang w:val="fr-FR"/>
        </w:rPr>
        <w:t>de folklore</w:t>
      </w:r>
      <w:r w:rsidR="00487888" w:rsidRPr="001D3394">
        <w:rPr>
          <w:lang w:val="fr-FR"/>
        </w:rPr>
        <w:t xml:space="preserve"> </w:t>
      </w:r>
      <w:r w:rsidRPr="001D3394">
        <w:rPr>
          <w:lang w:val="fr-FR"/>
        </w:rPr>
        <w:t>organisent régulièrement des festivals locaux et régionaux où les détenteurs traditionnels viennent souvent se produire. En outre, les associations et détenteurs participent actuellement à l</w:t>
      </w:r>
      <w:r w:rsidR="00655870">
        <w:rPr>
          <w:lang w:val="fr-FR"/>
        </w:rPr>
        <w:t>’</w:t>
      </w:r>
      <w:r w:rsidRPr="001D3394">
        <w:rPr>
          <w:lang w:val="fr-FR"/>
        </w:rPr>
        <w:t xml:space="preserve">enregistrement de CD et de DVD pour </w:t>
      </w:r>
      <w:r>
        <w:rPr>
          <w:lang w:val="fr-FR"/>
        </w:rPr>
        <w:t>faciliter</w:t>
      </w:r>
      <w:r w:rsidRPr="001D3394">
        <w:rPr>
          <w:lang w:val="fr-FR"/>
        </w:rPr>
        <w:t xml:space="preserve"> la transmission de </w:t>
      </w:r>
      <w:r w:rsidR="001E529A">
        <w:rPr>
          <w:lang w:val="fr-FR"/>
        </w:rPr>
        <w:t>l’</w:t>
      </w:r>
      <w:r w:rsidRPr="001D3394">
        <w:rPr>
          <w:lang w:val="fr-FR"/>
        </w:rPr>
        <w:t xml:space="preserve">élément aux jeunes générations. Le rapport mentionne également la participation des communautés à plusieurs ateliers </w:t>
      </w:r>
      <w:proofErr w:type="spellStart"/>
      <w:r w:rsidRPr="001D3394">
        <w:rPr>
          <w:lang w:val="fr-FR"/>
        </w:rPr>
        <w:t>Ojkanje</w:t>
      </w:r>
      <w:proofErr w:type="spellEnd"/>
      <w:r w:rsidRPr="001D3394">
        <w:rPr>
          <w:lang w:val="fr-FR"/>
        </w:rPr>
        <w:t xml:space="preserve">, comme </w:t>
      </w:r>
      <w:proofErr w:type="spellStart"/>
      <w:r w:rsidRPr="001D3394">
        <w:rPr>
          <w:lang w:val="fr-FR"/>
        </w:rPr>
        <w:t>Duga</w:t>
      </w:r>
      <w:proofErr w:type="spellEnd"/>
      <w:r w:rsidRPr="001D3394">
        <w:rPr>
          <w:lang w:val="fr-FR"/>
        </w:rPr>
        <w:t xml:space="preserve"> </w:t>
      </w:r>
      <w:proofErr w:type="spellStart"/>
      <w:r w:rsidRPr="001D3394">
        <w:rPr>
          <w:lang w:val="fr-FR"/>
        </w:rPr>
        <w:t>iznad</w:t>
      </w:r>
      <w:proofErr w:type="spellEnd"/>
      <w:r w:rsidRPr="001D3394">
        <w:rPr>
          <w:lang w:val="fr-FR"/>
        </w:rPr>
        <w:t xml:space="preserve"> </w:t>
      </w:r>
      <w:proofErr w:type="spellStart"/>
      <w:r w:rsidRPr="001D3394">
        <w:rPr>
          <w:lang w:val="fr-FR"/>
        </w:rPr>
        <w:t>kule</w:t>
      </w:r>
      <w:proofErr w:type="spellEnd"/>
      <w:r w:rsidRPr="001D3394">
        <w:rPr>
          <w:lang w:val="fr-FR"/>
        </w:rPr>
        <w:t xml:space="preserve"> (</w:t>
      </w:r>
      <w:proofErr w:type="spellStart"/>
      <w:r w:rsidRPr="001D3394">
        <w:rPr>
          <w:lang w:val="fr-FR"/>
        </w:rPr>
        <w:t>Krka</w:t>
      </w:r>
      <w:proofErr w:type="spellEnd"/>
      <w:r w:rsidRPr="001D3394">
        <w:rPr>
          <w:lang w:val="fr-FR"/>
        </w:rPr>
        <w:t xml:space="preserve">), </w:t>
      </w:r>
      <w:proofErr w:type="spellStart"/>
      <w:r w:rsidRPr="001D3394">
        <w:rPr>
          <w:lang w:val="fr-FR"/>
        </w:rPr>
        <w:t>Smotra</w:t>
      </w:r>
      <w:proofErr w:type="spellEnd"/>
      <w:r w:rsidRPr="001D3394">
        <w:rPr>
          <w:lang w:val="fr-FR"/>
        </w:rPr>
        <w:t xml:space="preserve"> </w:t>
      </w:r>
      <w:proofErr w:type="spellStart"/>
      <w:r w:rsidRPr="001D3394">
        <w:rPr>
          <w:lang w:val="fr-FR"/>
        </w:rPr>
        <w:t>folklora</w:t>
      </w:r>
      <w:proofErr w:type="spellEnd"/>
      <w:r w:rsidRPr="001D3394">
        <w:rPr>
          <w:lang w:val="fr-FR"/>
        </w:rPr>
        <w:t xml:space="preserve"> à </w:t>
      </w:r>
      <w:proofErr w:type="spellStart"/>
      <w:r w:rsidRPr="001D3394">
        <w:rPr>
          <w:lang w:val="fr-FR"/>
        </w:rPr>
        <w:t>Polača</w:t>
      </w:r>
      <w:proofErr w:type="spellEnd"/>
      <w:r w:rsidRPr="001D3394">
        <w:rPr>
          <w:lang w:val="fr-FR"/>
        </w:rPr>
        <w:t xml:space="preserve">, et </w:t>
      </w:r>
      <w:proofErr w:type="spellStart"/>
      <w:r w:rsidRPr="001D3394">
        <w:rPr>
          <w:lang w:val="fr-FR"/>
        </w:rPr>
        <w:t>Smotra</w:t>
      </w:r>
      <w:proofErr w:type="spellEnd"/>
      <w:r w:rsidRPr="001D3394">
        <w:rPr>
          <w:lang w:val="fr-FR"/>
        </w:rPr>
        <w:t xml:space="preserve"> </w:t>
      </w:r>
      <w:proofErr w:type="spellStart"/>
      <w:r w:rsidRPr="001D3394">
        <w:rPr>
          <w:lang w:val="fr-FR"/>
        </w:rPr>
        <w:t>folklora</w:t>
      </w:r>
      <w:proofErr w:type="spellEnd"/>
      <w:r w:rsidRPr="001D3394">
        <w:rPr>
          <w:lang w:val="fr-FR"/>
        </w:rPr>
        <w:t xml:space="preserve"> </w:t>
      </w:r>
      <w:proofErr w:type="spellStart"/>
      <w:r w:rsidRPr="001D3394">
        <w:rPr>
          <w:lang w:val="fr-FR"/>
        </w:rPr>
        <w:t>Dalmacije</w:t>
      </w:r>
      <w:proofErr w:type="spellEnd"/>
      <w:r w:rsidRPr="001D3394">
        <w:rPr>
          <w:lang w:val="fr-FR"/>
        </w:rPr>
        <w:t xml:space="preserve"> à </w:t>
      </w:r>
      <w:proofErr w:type="spellStart"/>
      <w:r w:rsidRPr="001D3394">
        <w:rPr>
          <w:lang w:val="fr-FR"/>
        </w:rPr>
        <w:t>Metković</w:t>
      </w:r>
      <w:proofErr w:type="spellEnd"/>
      <w:r w:rsidRPr="001D3394">
        <w:rPr>
          <w:lang w:val="fr-FR"/>
        </w:rPr>
        <w:t>. Les détenteurs ont également participé de manière constante et active à l</w:t>
      </w:r>
      <w:r w:rsidR="00655870">
        <w:rPr>
          <w:lang w:val="fr-FR"/>
        </w:rPr>
        <w:t>’</w:t>
      </w:r>
      <w:r w:rsidRPr="001D3394">
        <w:rPr>
          <w:lang w:val="fr-FR"/>
        </w:rPr>
        <w:t>élaboration du rapport.</w:t>
      </w:r>
    </w:p>
    <w:p w14:paraId="041103CC" w14:textId="5D2988E1" w:rsidR="00D23C0B" w:rsidRPr="00F90057" w:rsidRDefault="00D23C0B" w:rsidP="00D23C0B">
      <w:pPr>
        <w:pStyle w:val="COMPara"/>
        <w:numPr>
          <w:ilvl w:val="0"/>
          <w:numId w:val="9"/>
        </w:numPr>
        <w:spacing w:before="120"/>
        <w:ind w:left="567" w:hanging="567"/>
        <w:jc w:val="both"/>
        <w:rPr>
          <w:lang w:val="fr-FR"/>
        </w:rPr>
      </w:pPr>
      <w:r w:rsidRPr="00B6338F">
        <w:rPr>
          <w:b/>
          <w:lang w:val="fr-FR"/>
        </w:rPr>
        <w:t>Viabilité et risques actuels</w:t>
      </w:r>
      <w:r w:rsidRPr="00B6338F">
        <w:rPr>
          <w:lang w:val="fr-FR"/>
        </w:rPr>
        <w:t xml:space="preserve">. </w:t>
      </w:r>
      <w:r>
        <w:rPr>
          <w:lang w:val="fr-FR"/>
        </w:rPr>
        <w:t>Les</w:t>
      </w:r>
      <w:r w:rsidRPr="00B6338F">
        <w:rPr>
          <w:lang w:val="fr-FR"/>
        </w:rPr>
        <w:t xml:space="preserve"> activités de sauvegarde actuelles</w:t>
      </w:r>
      <w:r>
        <w:rPr>
          <w:lang w:val="fr-FR"/>
        </w:rPr>
        <w:t xml:space="preserve"> ont renforcé</w:t>
      </w:r>
      <w:r w:rsidRPr="00B6338F">
        <w:rPr>
          <w:lang w:val="fr-FR"/>
        </w:rPr>
        <w:t xml:space="preserve"> la viabilité de l</w:t>
      </w:r>
      <w:r w:rsidR="00655870">
        <w:rPr>
          <w:lang w:val="fr-FR"/>
        </w:rPr>
        <w:t>’</w:t>
      </w:r>
      <w:r w:rsidRPr="00B6338F">
        <w:rPr>
          <w:lang w:val="fr-FR"/>
        </w:rPr>
        <w:t>élément</w:t>
      </w:r>
      <w:r>
        <w:rPr>
          <w:lang w:val="fr-FR"/>
        </w:rPr>
        <w:t xml:space="preserve">, qui est devenu plus connu </w:t>
      </w:r>
      <w:r w:rsidRPr="00B6338F">
        <w:rPr>
          <w:lang w:val="fr-FR"/>
        </w:rPr>
        <w:t>au niveau local et national. L</w:t>
      </w:r>
      <w:r w:rsidR="00655870">
        <w:rPr>
          <w:lang w:val="fr-FR"/>
        </w:rPr>
        <w:t>’</w:t>
      </w:r>
      <w:r w:rsidRPr="00B6338F">
        <w:rPr>
          <w:lang w:val="fr-FR"/>
        </w:rPr>
        <w:t>inscription a suscité une couverture médiatique</w:t>
      </w:r>
      <w:r>
        <w:rPr>
          <w:lang w:val="fr-FR"/>
        </w:rPr>
        <w:t xml:space="preserve"> plus forte</w:t>
      </w:r>
      <w:r w:rsidRPr="00B6338F">
        <w:rPr>
          <w:lang w:val="fr-FR"/>
        </w:rPr>
        <w:t xml:space="preserve">, </w:t>
      </w:r>
      <w:r>
        <w:rPr>
          <w:lang w:val="fr-FR"/>
        </w:rPr>
        <w:t xml:space="preserve">permettant ainsi </w:t>
      </w:r>
      <w:r w:rsidRPr="00B6338F">
        <w:rPr>
          <w:lang w:val="fr-FR"/>
        </w:rPr>
        <w:t xml:space="preserve">à des détenteurs anonymes de </w:t>
      </w:r>
      <w:r>
        <w:rPr>
          <w:lang w:val="fr-FR"/>
        </w:rPr>
        <w:t>poursuivre</w:t>
      </w:r>
      <w:r w:rsidRPr="00B6338F">
        <w:rPr>
          <w:lang w:val="fr-FR"/>
        </w:rPr>
        <w:t xml:space="preserve"> </w:t>
      </w:r>
      <w:r>
        <w:rPr>
          <w:lang w:val="fr-FR"/>
        </w:rPr>
        <w:t>sa</w:t>
      </w:r>
      <w:r w:rsidRPr="00B6338F">
        <w:rPr>
          <w:lang w:val="fr-FR"/>
        </w:rPr>
        <w:t xml:space="preserve"> pratique. De plus, l</w:t>
      </w:r>
      <w:r w:rsidR="00655870">
        <w:rPr>
          <w:lang w:val="fr-FR"/>
        </w:rPr>
        <w:t>’</w:t>
      </w:r>
      <w:r w:rsidRPr="00B6338F">
        <w:rPr>
          <w:lang w:val="fr-FR"/>
        </w:rPr>
        <w:t xml:space="preserve">intérêt </w:t>
      </w:r>
      <w:r>
        <w:rPr>
          <w:lang w:val="fr-FR"/>
        </w:rPr>
        <w:t xml:space="preserve">accru </w:t>
      </w:r>
      <w:r w:rsidRPr="00B6338F">
        <w:rPr>
          <w:lang w:val="fr-FR"/>
        </w:rPr>
        <w:t xml:space="preserve">des communautés, </w:t>
      </w:r>
      <w:r>
        <w:rPr>
          <w:lang w:val="fr-FR"/>
        </w:rPr>
        <w:t>en particulier</w:t>
      </w:r>
      <w:r w:rsidRPr="00B6338F">
        <w:rPr>
          <w:lang w:val="fr-FR"/>
        </w:rPr>
        <w:t xml:space="preserve"> </w:t>
      </w:r>
      <w:r>
        <w:rPr>
          <w:lang w:val="fr-FR"/>
        </w:rPr>
        <w:t>d</w:t>
      </w:r>
      <w:r w:rsidRPr="00B6338F">
        <w:rPr>
          <w:lang w:val="fr-FR"/>
        </w:rPr>
        <w:t xml:space="preserve">es jeunes et </w:t>
      </w:r>
      <w:r>
        <w:rPr>
          <w:lang w:val="fr-FR"/>
        </w:rPr>
        <w:t>d</w:t>
      </w:r>
      <w:r w:rsidRPr="00B6338F">
        <w:rPr>
          <w:lang w:val="fr-FR"/>
        </w:rPr>
        <w:t xml:space="preserve">es femmes, a </w:t>
      </w:r>
      <w:r>
        <w:rPr>
          <w:lang w:val="fr-FR"/>
        </w:rPr>
        <w:t xml:space="preserve">favorisé le </w:t>
      </w:r>
      <w:r w:rsidRPr="00B6338F">
        <w:rPr>
          <w:lang w:val="fr-FR"/>
        </w:rPr>
        <w:t xml:space="preserve">partage des connaissances entre elles et les sociétés </w:t>
      </w:r>
      <w:r w:rsidR="00487888">
        <w:rPr>
          <w:lang w:val="fr-FR"/>
        </w:rPr>
        <w:t>de folklore</w:t>
      </w:r>
      <w:r w:rsidR="00487888" w:rsidRPr="00B6338F">
        <w:rPr>
          <w:lang w:val="fr-FR"/>
        </w:rPr>
        <w:t xml:space="preserve"> </w:t>
      </w:r>
      <w:r w:rsidRPr="00B6338F">
        <w:rPr>
          <w:lang w:val="fr-FR"/>
        </w:rPr>
        <w:t xml:space="preserve">locales, qui organisent en retour des spectacles et des ateliers pour assurer la transmission des connaissances. De nombreux projets </w:t>
      </w:r>
      <w:r>
        <w:rPr>
          <w:lang w:val="fr-FR"/>
        </w:rPr>
        <w:t>d</w:t>
      </w:r>
      <w:r w:rsidR="00655870">
        <w:rPr>
          <w:lang w:val="fr-FR"/>
        </w:rPr>
        <w:t>’</w:t>
      </w:r>
      <w:r>
        <w:rPr>
          <w:lang w:val="fr-FR"/>
        </w:rPr>
        <w:t xml:space="preserve">enregistrement de cette tradition musicale </w:t>
      </w:r>
      <w:r w:rsidRPr="00B6338F">
        <w:rPr>
          <w:lang w:val="fr-FR"/>
        </w:rPr>
        <w:t xml:space="preserve">ont également été lancés par des professionnels ou des amateurs. Le rapport </w:t>
      </w:r>
      <w:r>
        <w:rPr>
          <w:lang w:val="fr-FR"/>
        </w:rPr>
        <w:t>mentionne</w:t>
      </w:r>
      <w:r w:rsidRPr="00B6338F">
        <w:rPr>
          <w:lang w:val="fr-FR"/>
        </w:rPr>
        <w:t xml:space="preserve"> deux principales difficultés : (i) la perte des styles et </w:t>
      </w:r>
      <w:r>
        <w:rPr>
          <w:lang w:val="fr-FR"/>
        </w:rPr>
        <w:t xml:space="preserve">des </w:t>
      </w:r>
      <w:r w:rsidRPr="00B6338F">
        <w:rPr>
          <w:lang w:val="fr-FR"/>
        </w:rPr>
        <w:t xml:space="preserve">genres </w:t>
      </w:r>
      <w:r>
        <w:rPr>
          <w:lang w:val="fr-FR"/>
        </w:rPr>
        <w:t>particuliers</w:t>
      </w:r>
      <w:r w:rsidRPr="00B6338F">
        <w:rPr>
          <w:lang w:val="fr-FR"/>
        </w:rPr>
        <w:t xml:space="preserve"> de la technique du vibrato en raison des modes de transmission modernes,</w:t>
      </w:r>
      <w:r>
        <w:rPr>
          <w:lang w:val="fr-FR"/>
        </w:rPr>
        <w:t xml:space="preserve"> qui s</w:t>
      </w:r>
      <w:r w:rsidR="00655870">
        <w:rPr>
          <w:lang w:val="fr-FR"/>
        </w:rPr>
        <w:t>’</w:t>
      </w:r>
      <w:r>
        <w:rPr>
          <w:lang w:val="fr-FR"/>
        </w:rPr>
        <w:t>effectuent</w:t>
      </w:r>
      <w:r w:rsidRPr="00B6338F">
        <w:rPr>
          <w:lang w:val="fr-FR"/>
        </w:rPr>
        <w:t xml:space="preserve"> principalement </w:t>
      </w:r>
      <w:r>
        <w:rPr>
          <w:lang w:val="fr-FR"/>
        </w:rPr>
        <w:t xml:space="preserve">par </w:t>
      </w:r>
      <w:r>
        <w:rPr>
          <w:lang w:val="fr-FR"/>
        </w:rPr>
        <w:lastRenderedPageBreak/>
        <w:t xml:space="preserve">des représentations </w:t>
      </w:r>
      <w:r w:rsidRPr="00B6338F">
        <w:rPr>
          <w:lang w:val="fr-FR"/>
        </w:rPr>
        <w:t>publi</w:t>
      </w:r>
      <w:r>
        <w:rPr>
          <w:lang w:val="fr-FR"/>
        </w:rPr>
        <w:t xml:space="preserve">ques </w:t>
      </w:r>
      <w:r w:rsidRPr="00B6338F">
        <w:rPr>
          <w:lang w:val="fr-FR"/>
        </w:rPr>
        <w:t xml:space="preserve">et non </w:t>
      </w:r>
      <w:r>
        <w:rPr>
          <w:lang w:val="fr-FR"/>
        </w:rPr>
        <w:t xml:space="preserve">par </w:t>
      </w:r>
      <w:r w:rsidRPr="00B6338F">
        <w:rPr>
          <w:lang w:val="fr-FR"/>
        </w:rPr>
        <w:t>« apprentissage direct », c</w:t>
      </w:r>
      <w:r w:rsidR="00655870">
        <w:rPr>
          <w:lang w:val="fr-FR"/>
        </w:rPr>
        <w:t>’</w:t>
      </w:r>
      <w:r w:rsidRPr="00B6338F">
        <w:rPr>
          <w:lang w:val="fr-FR"/>
        </w:rPr>
        <w:t>est-à-dire par imitation de</w:t>
      </w:r>
      <w:r>
        <w:rPr>
          <w:lang w:val="fr-FR"/>
        </w:rPr>
        <w:t xml:space="preserve">s </w:t>
      </w:r>
      <w:r w:rsidRPr="00B6338F">
        <w:rPr>
          <w:lang w:val="fr-FR"/>
        </w:rPr>
        <w:t xml:space="preserve">prédécesseurs ; (ii) le manque de ressources financières allouées aux associations culturelles et sociétés </w:t>
      </w:r>
      <w:r w:rsidR="00487888">
        <w:rPr>
          <w:lang w:val="fr-FR"/>
        </w:rPr>
        <w:t>de folklore</w:t>
      </w:r>
      <w:r w:rsidR="00487888" w:rsidRPr="00B6338F">
        <w:rPr>
          <w:lang w:val="fr-FR"/>
        </w:rPr>
        <w:t xml:space="preserve"> </w:t>
      </w:r>
      <w:r w:rsidRPr="00B6338F">
        <w:rPr>
          <w:lang w:val="fr-FR"/>
        </w:rPr>
        <w:t>pour élargir la portée de leurs ateliers et festivals. Selon l</w:t>
      </w:r>
      <w:r w:rsidR="00655870">
        <w:rPr>
          <w:lang w:val="fr-FR"/>
        </w:rPr>
        <w:t>’</w:t>
      </w:r>
      <w:r w:rsidRPr="00B6338F">
        <w:rPr>
          <w:lang w:val="fr-FR"/>
        </w:rPr>
        <w:t>État, ces difficultés pourraient être surmontées en encourageant les autres institutions gouvernementales à s</w:t>
      </w:r>
      <w:r w:rsidR="00655870">
        <w:rPr>
          <w:lang w:val="fr-FR"/>
        </w:rPr>
        <w:t>’</w:t>
      </w:r>
      <w:r w:rsidRPr="00B6338F">
        <w:rPr>
          <w:lang w:val="fr-FR"/>
        </w:rPr>
        <w:t>impliquer dans les programmes de sauvegarde, en particulier les organismes d</w:t>
      </w:r>
      <w:r w:rsidR="00655870">
        <w:rPr>
          <w:lang w:val="fr-FR"/>
        </w:rPr>
        <w:t>’</w:t>
      </w:r>
      <w:r w:rsidRPr="00B6338F">
        <w:rPr>
          <w:lang w:val="fr-FR"/>
        </w:rPr>
        <w:t xml:space="preserve">enseignement, en </w:t>
      </w:r>
      <w:r>
        <w:rPr>
          <w:lang w:val="fr-FR"/>
        </w:rPr>
        <w:t>intégrant</w:t>
      </w:r>
      <w:r w:rsidRPr="00B6338F">
        <w:rPr>
          <w:lang w:val="fr-FR"/>
        </w:rPr>
        <w:t xml:space="preserve"> l</w:t>
      </w:r>
      <w:r w:rsidR="00655870">
        <w:rPr>
          <w:lang w:val="fr-FR"/>
        </w:rPr>
        <w:t>’</w:t>
      </w:r>
      <w:r w:rsidRPr="00B6338F">
        <w:rPr>
          <w:lang w:val="fr-FR"/>
        </w:rPr>
        <w:t>enseignement de la musique aux programmes des établissements primaires et secondaires, en promouvant plusieurs campagnes ciblées pour sensibiliser les régions inaccessibles de l</w:t>
      </w:r>
      <w:r w:rsidR="00655870">
        <w:rPr>
          <w:lang w:val="fr-FR"/>
        </w:rPr>
        <w:t>’</w:t>
      </w:r>
      <w:r w:rsidRPr="00B6338F">
        <w:rPr>
          <w:lang w:val="fr-FR"/>
        </w:rPr>
        <w:t>État et enfin</w:t>
      </w:r>
      <w:r>
        <w:rPr>
          <w:lang w:val="fr-FR"/>
        </w:rPr>
        <w:t>,</w:t>
      </w:r>
      <w:r w:rsidRPr="00B6338F">
        <w:rPr>
          <w:lang w:val="fr-FR"/>
        </w:rPr>
        <w:t xml:space="preserve"> en </w:t>
      </w:r>
      <w:r w:rsidR="006244BB">
        <w:rPr>
          <w:lang w:val="fr-FR"/>
        </w:rPr>
        <w:t>créant</w:t>
      </w:r>
      <w:r w:rsidR="006244BB" w:rsidRPr="00B6338F">
        <w:rPr>
          <w:lang w:val="fr-FR"/>
        </w:rPr>
        <w:t xml:space="preserve"> </w:t>
      </w:r>
      <w:r w:rsidRPr="00B6338F">
        <w:rPr>
          <w:lang w:val="fr-FR"/>
        </w:rPr>
        <w:t>une équipe de coordination chargée d</w:t>
      </w:r>
      <w:r w:rsidR="00655870">
        <w:rPr>
          <w:lang w:val="fr-FR"/>
        </w:rPr>
        <w:t>’</w:t>
      </w:r>
      <w:r>
        <w:rPr>
          <w:lang w:val="fr-FR"/>
        </w:rPr>
        <w:t xml:space="preserve">orchestrer </w:t>
      </w:r>
      <w:r w:rsidRPr="00B6338F">
        <w:rPr>
          <w:lang w:val="fr-FR"/>
        </w:rPr>
        <w:t xml:space="preserve">toutes les activités de sauvegarde menées au sein du </w:t>
      </w:r>
      <w:r w:rsidR="008C70FA">
        <w:rPr>
          <w:lang w:val="fr-FR"/>
        </w:rPr>
        <w:t>M</w:t>
      </w:r>
      <w:r w:rsidRPr="00B6338F">
        <w:rPr>
          <w:lang w:val="fr-FR"/>
        </w:rPr>
        <w:t xml:space="preserve">inistère de la </w:t>
      </w:r>
      <w:r w:rsidR="008C70FA">
        <w:rPr>
          <w:lang w:val="fr-FR"/>
        </w:rPr>
        <w:t>c</w:t>
      </w:r>
      <w:r w:rsidRPr="00B6338F">
        <w:rPr>
          <w:lang w:val="fr-FR"/>
        </w:rPr>
        <w:t>ulture et de l</w:t>
      </w:r>
      <w:r w:rsidR="00655870">
        <w:rPr>
          <w:lang w:val="fr-FR"/>
        </w:rPr>
        <w:t>’</w:t>
      </w:r>
      <w:r w:rsidRPr="00B6338F">
        <w:rPr>
          <w:lang w:val="fr-FR"/>
        </w:rPr>
        <w:t>Institut d</w:t>
      </w:r>
      <w:r w:rsidR="00655870">
        <w:rPr>
          <w:lang w:val="fr-FR"/>
        </w:rPr>
        <w:t>’</w:t>
      </w:r>
      <w:r w:rsidRPr="00B6338F">
        <w:rPr>
          <w:lang w:val="fr-FR"/>
        </w:rPr>
        <w:t>ethnologie et du folklore.</w:t>
      </w:r>
    </w:p>
    <w:p w14:paraId="1BCB5253" w14:textId="77777777" w:rsidR="00D23C0B" w:rsidRPr="00F90057" w:rsidRDefault="00D23C0B" w:rsidP="00D23C0B">
      <w:pPr>
        <w:pStyle w:val="COMPara"/>
        <w:numPr>
          <w:ilvl w:val="0"/>
          <w:numId w:val="9"/>
        </w:numPr>
        <w:spacing w:before="120"/>
        <w:ind w:left="567" w:hanging="567"/>
        <w:jc w:val="both"/>
        <w:rPr>
          <w:lang w:val="fr-FR"/>
        </w:rPr>
      </w:pPr>
      <w:r>
        <w:rPr>
          <w:lang w:val="fr-FR"/>
        </w:rPr>
        <w:t>Le Comité souhaitera peut-être adopter la décision suivante :</w:t>
      </w:r>
    </w:p>
    <w:p w14:paraId="6221E9E1" w14:textId="115A4D22" w:rsidR="00D23C0B" w:rsidRPr="00F90057" w:rsidRDefault="00FF3CCD" w:rsidP="00D23C0B">
      <w:pPr>
        <w:pStyle w:val="Heading4"/>
        <w:numPr>
          <w:ilvl w:val="0"/>
          <w:numId w:val="0"/>
        </w:numPr>
        <w:spacing w:before="240"/>
        <w:ind w:left="567"/>
        <w:rPr>
          <w:rFonts w:eastAsia="SimSun"/>
          <w:lang w:val="fr-FR"/>
        </w:rPr>
      </w:pPr>
      <w:bookmarkStart w:id="2" w:name="_PROJET_DE_DÉCISION"/>
      <w:bookmarkEnd w:id="2"/>
      <w:r>
        <w:rPr>
          <w:rFonts w:eastAsia="SimSun"/>
          <w:lang w:val="fr-FR"/>
        </w:rPr>
        <w:t xml:space="preserve"> </w:t>
      </w:r>
      <w:r w:rsidR="00D23C0B">
        <w:rPr>
          <w:rFonts w:eastAsia="SimSun"/>
          <w:lang w:val="fr-FR"/>
        </w:rPr>
        <w:t>PROJET DE DÉCISION 14.COM 9.a.1</w:t>
      </w:r>
      <w:r w:rsidR="00D23C0B">
        <w:rPr>
          <w:rFonts w:eastAsia="SimSun"/>
          <w:lang w:val="fr-FR"/>
        </w:rPr>
        <w:tab/>
      </w:r>
      <w:r w:rsidR="00D23C0B" w:rsidRPr="002E373B">
        <w:rPr>
          <w:noProof/>
          <w:snapToGrid/>
          <w:szCs w:val="22"/>
          <w:lang w:val="fr-FR" w:eastAsia="ja-JP"/>
        </w:rPr>
        <w:drawing>
          <wp:inline distT="0" distB="0" distL="0" distR="0" wp14:anchorId="52DC637F" wp14:editId="6BE1E3B0">
            <wp:extent cx="103505" cy="103505"/>
            <wp:effectExtent l="0" t="0" r="0" b="0"/>
            <wp:docPr id="10" name="Picture 4"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3505" cy="103505"/>
                    </a:xfrm>
                    <a:prstGeom prst="rect">
                      <a:avLst/>
                    </a:prstGeom>
                    <a:noFill/>
                    <a:ln>
                      <a:noFill/>
                    </a:ln>
                  </pic:spPr>
                </pic:pic>
              </a:graphicData>
            </a:graphic>
          </wp:inline>
        </w:drawing>
      </w:r>
    </w:p>
    <w:p w14:paraId="4A1651A0" w14:textId="77777777" w:rsidR="00D23C0B" w:rsidRPr="00285BB4" w:rsidRDefault="00D23C0B" w:rsidP="00D23C0B">
      <w:pPr>
        <w:pStyle w:val="COMPreambulaDecisions"/>
        <w:rPr>
          <w:rFonts w:eastAsia="SimSun"/>
        </w:rPr>
      </w:pPr>
      <w:r w:rsidRPr="00285BB4">
        <w:rPr>
          <w:lang w:val="fr-FR"/>
        </w:rPr>
        <w:t>Le Comité,</w:t>
      </w:r>
    </w:p>
    <w:p w14:paraId="55464EC0" w14:textId="78D09913" w:rsidR="00D23C0B" w:rsidRPr="00F90057" w:rsidRDefault="00D23C0B" w:rsidP="00D23C0B">
      <w:pPr>
        <w:pStyle w:val="COMParaDecision"/>
        <w:numPr>
          <w:ilvl w:val="0"/>
          <w:numId w:val="10"/>
        </w:numPr>
        <w:tabs>
          <w:tab w:val="left" w:pos="1134"/>
        </w:tabs>
        <w:ind w:left="1134" w:hanging="567"/>
        <w:rPr>
          <w:u w:val="none"/>
          <w:lang w:val="fr-FR"/>
        </w:rPr>
      </w:pPr>
      <w:r w:rsidRPr="004C7D40">
        <w:rPr>
          <w:lang w:val="fr-FR"/>
        </w:rPr>
        <w:t>Ayant examiné</w:t>
      </w:r>
      <w:r w:rsidRPr="004C7D40">
        <w:rPr>
          <w:u w:val="none"/>
          <w:lang w:val="fr-FR"/>
        </w:rPr>
        <w:t xml:space="preserve"> le document LHE/19/14.COM/</w:t>
      </w:r>
      <w:proofErr w:type="gramStart"/>
      <w:r w:rsidRPr="004C7D40">
        <w:rPr>
          <w:u w:val="none"/>
          <w:lang w:val="fr-FR"/>
        </w:rPr>
        <w:t>9.a</w:t>
      </w:r>
      <w:proofErr w:type="gramEnd"/>
      <w:r w:rsidR="00CD4E9F">
        <w:rPr>
          <w:u w:val="none"/>
          <w:lang w:val="fr-FR"/>
        </w:rPr>
        <w:t> </w:t>
      </w:r>
      <w:proofErr w:type="spellStart"/>
      <w:r w:rsidR="00CD4E9F">
        <w:rPr>
          <w:u w:val="none"/>
          <w:lang w:val="fr-FR"/>
        </w:rPr>
        <w:t>Rev</w:t>
      </w:r>
      <w:proofErr w:type="spellEnd"/>
      <w:r w:rsidR="00CD4E9F">
        <w:rPr>
          <w:u w:val="none"/>
          <w:lang w:val="fr-FR"/>
        </w:rPr>
        <w:t>.</w:t>
      </w:r>
      <w:r w:rsidRPr="004C7D40">
        <w:rPr>
          <w:u w:val="none"/>
          <w:lang w:val="fr-FR"/>
        </w:rPr>
        <w:t>,</w:t>
      </w:r>
    </w:p>
    <w:p w14:paraId="0547FD9C" w14:textId="53FB0DA7" w:rsidR="00D23C0B" w:rsidRPr="00F90057" w:rsidRDefault="00D23C0B" w:rsidP="00D23C0B">
      <w:pPr>
        <w:pStyle w:val="COMParaDecision"/>
        <w:numPr>
          <w:ilvl w:val="0"/>
          <w:numId w:val="10"/>
        </w:numPr>
        <w:tabs>
          <w:tab w:val="left" w:pos="1134"/>
        </w:tabs>
        <w:ind w:left="1134" w:hanging="567"/>
        <w:rPr>
          <w:u w:val="none"/>
          <w:lang w:val="fr-FR"/>
        </w:rPr>
      </w:pPr>
      <w:r w:rsidRPr="004C7D40">
        <w:rPr>
          <w:lang w:val="fr-FR"/>
        </w:rPr>
        <w:t>Rappelant</w:t>
      </w:r>
      <w:r w:rsidRPr="004C7D40">
        <w:rPr>
          <w:u w:val="none"/>
          <w:lang w:val="fr-FR"/>
        </w:rPr>
        <w:t xml:space="preserve"> le chapitre V des Directives opérationnelles ainsi que ses décisions</w:t>
      </w:r>
      <w:r w:rsidR="00BB44ED">
        <w:rPr>
          <w:u w:val="none"/>
          <w:lang w:val="fr-FR"/>
        </w:rPr>
        <w:t> </w:t>
      </w:r>
      <w:hyperlink r:id="rId28" w:history="1">
        <w:r w:rsidRPr="009D22DD">
          <w:rPr>
            <w:rStyle w:val="Hyperlink"/>
            <w:lang w:val="fr-FR"/>
          </w:rPr>
          <w:t>5.COM 5.4</w:t>
        </w:r>
      </w:hyperlink>
      <w:r w:rsidRPr="004C7D40">
        <w:rPr>
          <w:u w:val="none"/>
          <w:lang w:val="fr-FR"/>
        </w:rPr>
        <w:t xml:space="preserve"> et </w:t>
      </w:r>
      <w:hyperlink r:id="rId29" w:history="1">
        <w:r w:rsidRPr="009D22DD">
          <w:rPr>
            <w:rStyle w:val="Hyperlink"/>
            <w:lang w:val="fr-FR"/>
          </w:rPr>
          <w:t>10.COM 6.b.1</w:t>
        </w:r>
      </w:hyperlink>
      <w:r w:rsidRPr="004C7D40">
        <w:rPr>
          <w:u w:val="none"/>
          <w:lang w:val="fr-FR"/>
        </w:rPr>
        <w:t>,</w:t>
      </w:r>
    </w:p>
    <w:p w14:paraId="35D905B1" w14:textId="5D50FC20" w:rsidR="00D23C0B" w:rsidRPr="00F90057" w:rsidRDefault="008C70FA" w:rsidP="00D23C0B">
      <w:pPr>
        <w:pStyle w:val="COMParaDecision"/>
        <w:numPr>
          <w:ilvl w:val="0"/>
          <w:numId w:val="10"/>
        </w:numPr>
        <w:tabs>
          <w:tab w:val="left" w:pos="1134"/>
        </w:tabs>
        <w:ind w:left="1134" w:hanging="567"/>
        <w:rPr>
          <w:u w:val="none"/>
          <w:lang w:val="fr-FR"/>
        </w:rPr>
      </w:pPr>
      <w:r>
        <w:rPr>
          <w:lang w:val="fr-FR"/>
        </w:rPr>
        <w:t>Remercie</w:t>
      </w:r>
      <w:r w:rsidR="00D23C0B" w:rsidRPr="004C7D40">
        <w:rPr>
          <w:u w:val="none"/>
          <w:lang w:val="fr-FR"/>
        </w:rPr>
        <w:t xml:space="preserve"> la Croatie </w:t>
      </w:r>
      <w:r>
        <w:rPr>
          <w:u w:val="none"/>
          <w:lang w:val="fr-FR"/>
        </w:rPr>
        <w:t>d’</w:t>
      </w:r>
      <w:r w:rsidR="00D23C0B">
        <w:rPr>
          <w:u w:val="none"/>
          <w:lang w:val="fr-FR"/>
        </w:rPr>
        <w:t>avoir soumis</w:t>
      </w:r>
      <w:r w:rsidR="00D23C0B" w:rsidRPr="004C7D40">
        <w:rPr>
          <w:u w:val="none"/>
          <w:lang w:val="fr-FR"/>
        </w:rPr>
        <w:t>, dans les délais, son deuxième rapport sur l</w:t>
      </w:r>
      <w:r w:rsidR="00655870">
        <w:rPr>
          <w:u w:val="none"/>
          <w:lang w:val="fr-FR"/>
        </w:rPr>
        <w:t>’</w:t>
      </w:r>
      <w:r w:rsidR="00D23C0B" w:rsidRPr="004C7D40">
        <w:rPr>
          <w:u w:val="none"/>
          <w:lang w:val="fr-FR"/>
        </w:rPr>
        <w:t>état de l</w:t>
      </w:r>
      <w:r w:rsidR="00655870">
        <w:rPr>
          <w:u w:val="none"/>
          <w:lang w:val="fr-FR"/>
        </w:rPr>
        <w:t>’</w:t>
      </w:r>
      <w:r w:rsidR="00D23C0B" w:rsidRPr="004C7D40">
        <w:rPr>
          <w:u w:val="none"/>
          <w:lang w:val="fr-FR"/>
        </w:rPr>
        <w:t xml:space="preserve">élément « Le chant </w:t>
      </w:r>
      <w:proofErr w:type="spellStart"/>
      <w:r w:rsidR="00D23C0B" w:rsidRPr="004C7D40">
        <w:rPr>
          <w:u w:val="none"/>
          <w:lang w:val="fr-FR"/>
        </w:rPr>
        <w:t>Ojkanje</w:t>
      </w:r>
      <w:proofErr w:type="spellEnd"/>
      <w:r w:rsidR="00D23C0B" w:rsidRPr="004C7D40">
        <w:rPr>
          <w:u w:val="none"/>
          <w:lang w:val="fr-FR"/>
        </w:rPr>
        <w:t xml:space="preserve"> », inscrit en 2010 sur la Liste du patrimoine culturel immatériel nécessitant une sauvegarde urgente</w:t>
      </w:r>
      <w:r w:rsidR="00115616">
        <w:rPr>
          <w:u w:val="none"/>
          <w:lang w:val="fr-FR"/>
        </w:rPr>
        <w:t> </w:t>
      </w:r>
      <w:r w:rsidR="00D23C0B" w:rsidRPr="004C7D40">
        <w:rPr>
          <w:u w:val="none"/>
          <w:lang w:val="fr-FR"/>
        </w:rPr>
        <w:t>;</w:t>
      </w:r>
    </w:p>
    <w:p w14:paraId="61BC1DBB" w14:textId="57A403B4" w:rsidR="00D23C0B" w:rsidRPr="00F90057" w:rsidRDefault="00D23C0B" w:rsidP="00D23C0B">
      <w:pPr>
        <w:pStyle w:val="COMParaDecision"/>
        <w:numPr>
          <w:ilvl w:val="0"/>
          <w:numId w:val="10"/>
        </w:numPr>
        <w:tabs>
          <w:tab w:val="left" w:pos="1134"/>
        </w:tabs>
        <w:ind w:left="1134" w:hanging="567"/>
        <w:rPr>
          <w:lang w:val="fr-FR"/>
        </w:rPr>
      </w:pPr>
      <w:r w:rsidRPr="00131978">
        <w:rPr>
          <w:lang w:val="fr-FR"/>
        </w:rPr>
        <w:t>Prend note</w:t>
      </w:r>
      <w:r>
        <w:rPr>
          <w:u w:val="none"/>
          <w:lang w:val="fr-FR"/>
        </w:rPr>
        <w:t xml:space="preserve"> des efforts </w:t>
      </w:r>
      <w:r w:rsidR="008C70FA">
        <w:rPr>
          <w:u w:val="none"/>
          <w:lang w:val="fr-FR"/>
        </w:rPr>
        <w:t xml:space="preserve">constants </w:t>
      </w:r>
      <w:r>
        <w:rPr>
          <w:u w:val="none"/>
          <w:lang w:val="fr-FR"/>
        </w:rPr>
        <w:t>déployés par la Croatie pour sauvegarder l</w:t>
      </w:r>
      <w:r w:rsidR="00655870">
        <w:rPr>
          <w:u w:val="none"/>
          <w:lang w:val="fr-FR"/>
        </w:rPr>
        <w:t>’</w:t>
      </w:r>
      <w:r>
        <w:rPr>
          <w:u w:val="none"/>
          <w:lang w:val="fr-FR"/>
        </w:rPr>
        <w:t xml:space="preserve">élément, en particulier le renforcement des processus de transmission et la création de conditions favorables à cet égard, la sensibilisation des communautés, la participation des associations culturelles et sociétés </w:t>
      </w:r>
      <w:r w:rsidR="008C70FA">
        <w:rPr>
          <w:u w:val="none"/>
          <w:lang w:val="fr-FR"/>
        </w:rPr>
        <w:t xml:space="preserve">de folklore </w:t>
      </w:r>
      <w:r>
        <w:rPr>
          <w:u w:val="none"/>
          <w:lang w:val="fr-FR"/>
        </w:rPr>
        <w:t>aux ateliers de renforcement des capacités, le soutien accordé à l</w:t>
      </w:r>
      <w:r w:rsidR="00655870">
        <w:rPr>
          <w:u w:val="none"/>
          <w:lang w:val="fr-FR"/>
        </w:rPr>
        <w:t>’</w:t>
      </w:r>
      <w:r>
        <w:rPr>
          <w:u w:val="none"/>
          <w:lang w:val="fr-FR"/>
        </w:rPr>
        <w:t xml:space="preserve">organisation des festivals, </w:t>
      </w:r>
      <w:r w:rsidRPr="00426B43">
        <w:rPr>
          <w:u w:val="none"/>
          <w:lang w:val="fr-FR"/>
        </w:rPr>
        <w:t>la coopération entre les détenteurs</w:t>
      </w:r>
      <w:r>
        <w:rPr>
          <w:u w:val="none"/>
          <w:lang w:val="fr-FR"/>
        </w:rPr>
        <w:t xml:space="preserve"> et les efforts visant à susciter l</w:t>
      </w:r>
      <w:r w:rsidR="00655870">
        <w:rPr>
          <w:u w:val="none"/>
          <w:lang w:val="fr-FR"/>
        </w:rPr>
        <w:t>’</w:t>
      </w:r>
      <w:r>
        <w:rPr>
          <w:u w:val="none"/>
          <w:lang w:val="fr-FR"/>
        </w:rPr>
        <w:t xml:space="preserve">intérêt des jeunes praticiens pour le chant </w:t>
      </w:r>
      <w:proofErr w:type="spellStart"/>
      <w:r>
        <w:rPr>
          <w:u w:val="none"/>
          <w:lang w:val="fr-FR"/>
        </w:rPr>
        <w:t>Ojkanje</w:t>
      </w:r>
      <w:proofErr w:type="spellEnd"/>
      <w:r>
        <w:rPr>
          <w:u w:val="none"/>
          <w:lang w:val="fr-FR"/>
        </w:rPr>
        <w:t> ;</w:t>
      </w:r>
    </w:p>
    <w:p w14:paraId="08CD8540" w14:textId="5720FFE0" w:rsidR="00D23C0B" w:rsidRPr="00F90057" w:rsidRDefault="00D23C0B" w:rsidP="00D23C0B">
      <w:pPr>
        <w:pStyle w:val="COMParaDecision"/>
        <w:numPr>
          <w:ilvl w:val="0"/>
          <w:numId w:val="10"/>
        </w:numPr>
        <w:tabs>
          <w:tab w:val="left" w:pos="1134"/>
        </w:tabs>
        <w:ind w:left="1134" w:hanging="567"/>
        <w:rPr>
          <w:lang w:val="fr-FR"/>
        </w:rPr>
      </w:pPr>
      <w:r>
        <w:rPr>
          <w:lang w:val="fr-FR"/>
        </w:rPr>
        <w:t>Invite</w:t>
      </w:r>
      <w:r>
        <w:rPr>
          <w:u w:val="none"/>
          <w:lang w:val="fr-FR"/>
        </w:rPr>
        <w:t xml:space="preserve"> l</w:t>
      </w:r>
      <w:r w:rsidR="00655870">
        <w:rPr>
          <w:u w:val="none"/>
          <w:lang w:val="fr-FR"/>
        </w:rPr>
        <w:t>’</w:t>
      </w:r>
      <w:r>
        <w:rPr>
          <w:u w:val="none"/>
          <w:lang w:val="fr-FR"/>
        </w:rPr>
        <w:t>État partie à poursuivre ses efforts pour assurer la pertinence de la pratique dans le contexte local en assurant une meilleure participation des communautés et des praticiens, qu</w:t>
      </w:r>
      <w:r w:rsidR="00655870">
        <w:rPr>
          <w:u w:val="none"/>
          <w:lang w:val="fr-FR"/>
        </w:rPr>
        <w:t>’</w:t>
      </w:r>
      <w:r>
        <w:rPr>
          <w:u w:val="none"/>
          <w:lang w:val="fr-FR"/>
        </w:rPr>
        <w:t xml:space="preserve">ils soient homme ou femme, aux ateliers et festivals organisés par les associations culturelles, </w:t>
      </w:r>
      <w:r w:rsidRPr="00426B43">
        <w:rPr>
          <w:u w:val="none"/>
          <w:lang w:val="fr-FR"/>
        </w:rPr>
        <w:t>en encourageant la coopération entre les praticiens</w:t>
      </w:r>
      <w:r>
        <w:rPr>
          <w:u w:val="none"/>
          <w:lang w:val="fr-FR"/>
        </w:rPr>
        <w:t xml:space="preserve"> et en trouvant les méthodes et les moyens appropriés pour promouvoir l</w:t>
      </w:r>
      <w:r w:rsidR="00655870">
        <w:rPr>
          <w:u w:val="none"/>
          <w:lang w:val="fr-FR"/>
        </w:rPr>
        <w:t>’</w:t>
      </w:r>
      <w:r>
        <w:rPr>
          <w:u w:val="none"/>
          <w:lang w:val="fr-FR"/>
        </w:rPr>
        <w:t>apprentissage direct traditionnel ;</w:t>
      </w:r>
    </w:p>
    <w:p w14:paraId="4F7D9475" w14:textId="2805217A" w:rsidR="00D23C0B" w:rsidRPr="00F90057" w:rsidRDefault="00D23C0B" w:rsidP="00D23C0B">
      <w:pPr>
        <w:pStyle w:val="COMParaDecision"/>
        <w:numPr>
          <w:ilvl w:val="0"/>
          <w:numId w:val="10"/>
        </w:numPr>
        <w:tabs>
          <w:tab w:val="left" w:pos="1134"/>
        </w:tabs>
        <w:ind w:left="1134" w:hanging="567"/>
        <w:rPr>
          <w:lang w:val="fr-FR"/>
        </w:rPr>
      </w:pPr>
      <w:r>
        <w:rPr>
          <w:lang w:val="fr-FR"/>
        </w:rPr>
        <w:t>Invite en outre</w:t>
      </w:r>
      <w:r>
        <w:rPr>
          <w:u w:val="none"/>
          <w:lang w:val="fr-FR"/>
        </w:rPr>
        <w:t xml:space="preserve"> l</w:t>
      </w:r>
      <w:r w:rsidR="00655870">
        <w:rPr>
          <w:u w:val="none"/>
          <w:lang w:val="fr-FR"/>
        </w:rPr>
        <w:t>’</w:t>
      </w:r>
      <w:r>
        <w:rPr>
          <w:u w:val="none"/>
          <w:lang w:val="fr-FR"/>
        </w:rPr>
        <w:t xml:space="preserve">État partie à poursuivre ses efforts pour créer un centre de chant </w:t>
      </w:r>
      <w:proofErr w:type="spellStart"/>
      <w:r>
        <w:rPr>
          <w:u w:val="none"/>
          <w:lang w:val="fr-FR"/>
        </w:rPr>
        <w:t>Ojkanje</w:t>
      </w:r>
      <w:proofErr w:type="spellEnd"/>
      <w:r>
        <w:rPr>
          <w:u w:val="none"/>
          <w:lang w:val="fr-FR"/>
        </w:rPr>
        <w:t xml:space="preserve"> et à en rendre compte dans son prochain rapport ;</w:t>
      </w:r>
    </w:p>
    <w:p w14:paraId="1FB52CCA" w14:textId="753A723A" w:rsidR="00D23C0B" w:rsidRPr="00F90057" w:rsidRDefault="00D23C0B" w:rsidP="00D23C0B">
      <w:pPr>
        <w:pStyle w:val="COMParaDecision"/>
        <w:numPr>
          <w:ilvl w:val="0"/>
          <w:numId w:val="10"/>
        </w:numPr>
        <w:tabs>
          <w:tab w:val="left" w:pos="1134"/>
        </w:tabs>
        <w:ind w:left="1134" w:hanging="567"/>
        <w:rPr>
          <w:lang w:val="fr-FR"/>
        </w:rPr>
      </w:pPr>
      <w:r>
        <w:rPr>
          <w:lang w:val="fr-FR"/>
        </w:rPr>
        <w:t>Encourage</w:t>
      </w:r>
      <w:r>
        <w:rPr>
          <w:u w:val="none"/>
          <w:lang w:val="fr-FR"/>
        </w:rPr>
        <w:t xml:space="preserve"> l</w:t>
      </w:r>
      <w:r w:rsidR="00655870">
        <w:rPr>
          <w:u w:val="none"/>
          <w:lang w:val="fr-FR"/>
        </w:rPr>
        <w:t>’</w:t>
      </w:r>
      <w:r>
        <w:rPr>
          <w:u w:val="none"/>
          <w:lang w:val="fr-FR"/>
        </w:rPr>
        <w:t>État partie à continuer d</w:t>
      </w:r>
      <w:r w:rsidR="00655870">
        <w:rPr>
          <w:u w:val="none"/>
          <w:lang w:val="fr-FR"/>
        </w:rPr>
        <w:t>’</w:t>
      </w:r>
      <w:r>
        <w:rPr>
          <w:u w:val="none"/>
          <w:lang w:val="fr-FR"/>
        </w:rPr>
        <w:t>assurer un suivi régulier de l</w:t>
      </w:r>
      <w:r w:rsidR="00655870">
        <w:rPr>
          <w:u w:val="none"/>
          <w:lang w:val="fr-FR"/>
        </w:rPr>
        <w:t>’</w:t>
      </w:r>
      <w:r>
        <w:rPr>
          <w:u w:val="none"/>
          <w:lang w:val="fr-FR"/>
        </w:rPr>
        <w:t xml:space="preserve">élément, et à prêter une attention particulière au maintien de la participation des détenteurs aux activités de transmission entreprises par les associations culturelles et les sociétés </w:t>
      </w:r>
      <w:r w:rsidR="008C70FA">
        <w:rPr>
          <w:u w:val="none"/>
          <w:lang w:val="fr-FR"/>
        </w:rPr>
        <w:t>de folklore </w:t>
      </w:r>
      <w:r>
        <w:rPr>
          <w:u w:val="none"/>
          <w:lang w:val="fr-FR"/>
        </w:rPr>
        <w:t>;</w:t>
      </w:r>
    </w:p>
    <w:p w14:paraId="04840486" w14:textId="1245E583" w:rsidR="00D23C0B" w:rsidRPr="00F90057" w:rsidRDefault="00D23C0B" w:rsidP="00D23C0B">
      <w:pPr>
        <w:pStyle w:val="COMParaDecision"/>
        <w:numPr>
          <w:ilvl w:val="0"/>
          <w:numId w:val="10"/>
        </w:numPr>
        <w:tabs>
          <w:tab w:val="left" w:pos="1134"/>
        </w:tabs>
        <w:ind w:left="1134" w:hanging="567"/>
        <w:rPr>
          <w:lang w:val="fr-FR"/>
        </w:rPr>
      </w:pPr>
      <w:r>
        <w:rPr>
          <w:lang w:val="fr-FR"/>
        </w:rPr>
        <w:t>Rappelle</w:t>
      </w:r>
      <w:r w:rsidRPr="003645B2">
        <w:rPr>
          <w:u w:val="none"/>
          <w:lang w:val="fr-FR"/>
        </w:rPr>
        <w:t xml:space="preserve"> l</w:t>
      </w:r>
      <w:r w:rsidR="00655870">
        <w:rPr>
          <w:u w:val="none"/>
          <w:lang w:val="fr-FR"/>
        </w:rPr>
        <w:t>’</w:t>
      </w:r>
      <w:r w:rsidRPr="003645B2">
        <w:rPr>
          <w:u w:val="none"/>
          <w:lang w:val="fr-FR"/>
        </w:rPr>
        <w:t xml:space="preserve">importance </w:t>
      </w:r>
      <w:r>
        <w:rPr>
          <w:u w:val="none"/>
          <w:lang w:val="fr-FR"/>
        </w:rPr>
        <w:t>de l</w:t>
      </w:r>
      <w:r w:rsidR="00655870">
        <w:rPr>
          <w:u w:val="none"/>
          <w:lang w:val="fr-FR"/>
        </w:rPr>
        <w:t>’</w:t>
      </w:r>
      <w:r>
        <w:rPr>
          <w:u w:val="none"/>
          <w:lang w:val="fr-FR"/>
        </w:rPr>
        <w:t>évaluation du</w:t>
      </w:r>
      <w:r w:rsidRPr="003645B2">
        <w:rPr>
          <w:u w:val="none"/>
          <w:lang w:val="fr-FR"/>
        </w:rPr>
        <w:t xml:space="preserve"> rôle des </w:t>
      </w:r>
      <w:r>
        <w:rPr>
          <w:u w:val="none"/>
          <w:lang w:val="fr-FR"/>
        </w:rPr>
        <w:t>organismes</w:t>
      </w:r>
      <w:r w:rsidRPr="003645B2">
        <w:rPr>
          <w:u w:val="none"/>
          <w:lang w:val="fr-FR"/>
        </w:rPr>
        <w:t xml:space="preserve"> touristiques dans la promotion de l</w:t>
      </w:r>
      <w:r w:rsidR="00655870">
        <w:rPr>
          <w:u w:val="none"/>
          <w:lang w:val="fr-FR"/>
        </w:rPr>
        <w:t>’</w:t>
      </w:r>
      <w:r w:rsidRPr="003645B2">
        <w:rPr>
          <w:u w:val="none"/>
          <w:lang w:val="fr-FR"/>
        </w:rPr>
        <w:t>élément et les représentations du cha</w:t>
      </w:r>
      <w:r>
        <w:rPr>
          <w:u w:val="none"/>
          <w:lang w:val="fr-FR"/>
        </w:rPr>
        <w:t>n</w:t>
      </w:r>
      <w:r w:rsidRPr="003645B2">
        <w:rPr>
          <w:u w:val="none"/>
          <w:lang w:val="fr-FR"/>
        </w:rPr>
        <w:t xml:space="preserve">t </w:t>
      </w:r>
      <w:proofErr w:type="spellStart"/>
      <w:r w:rsidRPr="003645B2">
        <w:rPr>
          <w:u w:val="none"/>
          <w:lang w:val="fr-FR"/>
        </w:rPr>
        <w:t>Ojkanje</w:t>
      </w:r>
      <w:proofErr w:type="spellEnd"/>
      <w:r w:rsidRPr="003645B2">
        <w:rPr>
          <w:u w:val="none"/>
          <w:lang w:val="fr-FR"/>
        </w:rPr>
        <w:t xml:space="preserve"> afin d</w:t>
      </w:r>
      <w:r w:rsidR="00655870">
        <w:rPr>
          <w:u w:val="none"/>
          <w:lang w:val="fr-FR"/>
        </w:rPr>
        <w:t>’</w:t>
      </w:r>
      <w:r w:rsidRPr="003645B2">
        <w:rPr>
          <w:u w:val="none"/>
          <w:lang w:val="fr-FR"/>
        </w:rPr>
        <w:t xml:space="preserve">éviter </w:t>
      </w:r>
      <w:r w:rsidR="006244BB">
        <w:rPr>
          <w:u w:val="none"/>
          <w:lang w:val="fr-FR"/>
        </w:rPr>
        <w:t>une possible</w:t>
      </w:r>
      <w:r w:rsidR="006244BB" w:rsidRPr="003645B2">
        <w:rPr>
          <w:u w:val="none"/>
          <w:lang w:val="fr-FR"/>
        </w:rPr>
        <w:t xml:space="preserve"> </w:t>
      </w:r>
      <w:r w:rsidRPr="003645B2">
        <w:rPr>
          <w:u w:val="none"/>
          <w:lang w:val="fr-FR"/>
        </w:rPr>
        <w:t>marchandisation ou dénaturation de l</w:t>
      </w:r>
      <w:r w:rsidR="00655870">
        <w:rPr>
          <w:u w:val="none"/>
          <w:lang w:val="fr-FR"/>
        </w:rPr>
        <w:t>’</w:t>
      </w:r>
      <w:r w:rsidRPr="003645B2">
        <w:rPr>
          <w:u w:val="none"/>
          <w:lang w:val="fr-FR"/>
        </w:rPr>
        <w:t>élément ;</w:t>
      </w:r>
    </w:p>
    <w:p w14:paraId="57AE3290" w14:textId="18B22B83" w:rsidR="00D23C0B" w:rsidRPr="00F90057" w:rsidRDefault="00D23C0B" w:rsidP="00D23C0B">
      <w:pPr>
        <w:pStyle w:val="COMParaDecision"/>
        <w:numPr>
          <w:ilvl w:val="0"/>
          <w:numId w:val="10"/>
        </w:numPr>
        <w:tabs>
          <w:tab w:val="left" w:pos="1134"/>
        </w:tabs>
        <w:ind w:left="1134" w:hanging="567"/>
        <w:rPr>
          <w:lang w:val="fr-FR"/>
        </w:rPr>
      </w:pPr>
      <w:r>
        <w:rPr>
          <w:lang w:val="fr-FR"/>
        </w:rPr>
        <w:t>Prie</w:t>
      </w:r>
      <w:r>
        <w:rPr>
          <w:u w:val="none"/>
          <w:lang w:val="fr-FR"/>
        </w:rPr>
        <w:t xml:space="preserve"> le Secrétariat d</w:t>
      </w:r>
      <w:r w:rsidR="00655870">
        <w:rPr>
          <w:u w:val="none"/>
          <w:lang w:val="fr-FR"/>
        </w:rPr>
        <w:t>’</w:t>
      </w:r>
      <w:r>
        <w:rPr>
          <w:u w:val="none"/>
          <w:lang w:val="fr-FR"/>
        </w:rPr>
        <w:t>informer l</w:t>
      </w:r>
      <w:r w:rsidR="00655870">
        <w:rPr>
          <w:u w:val="none"/>
          <w:lang w:val="fr-FR"/>
        </w:rPr>
        <w:t>’</w:t>
      </w:r>
      <w:r>
        <w:rPr>
          <w:u w:val="none"/>
          <w:lang w:val="fr-FR"/>
        </w:rPr>
        <w:t>État partie, au moins neuf mois avant l</w:t>
      </w:r>
      <w:r w:rsidR="00655870">
        <w:rPr>
          <w:u w:val="none"/>
          <w:lang w:val="fr-FR"/>
        </w:rPr>
        <w:t>’</w:t>
      </w:r>
      <w:r>
        <w:rPr>
          <w:u w:val="none"/>
          <w:lang w:val="fr-FR"/>
        </w:rPr>
        <w:t>échéance du 15 décembre 2022, qu</w:t>
      </w:r>
      <w:r w:rsidR="00655870">
        <w:rPr>
          <w:u w:val="none"/>
          <w:lang w:val="fr-FR"/>
        </w:rPr>
        <w:t>’</w:t>
      </w:r>
      <w:r>
        <w:rPr>
          <w:u w:val="none"/>
          <w:lang w:val="fr-FR"/>
        </w:rPr>
        <w:t>il doit soumettre son prochain rapport sur l</w:t>
      </w:r>
      <w:r w:rsidR="00655870">
        <w:rPr>
          <w:u w:val="none"/>
          <w:lang w:val="fr-FR"/>
        </w:rPr>
        <w:t>’</w:t>
      </w:r>
      <w:r>
        <w:rPr>
          <w:u w:val="none"/>
          <w:lang w:val="fr-FR"/>
        </w:rPr>
        <w:t>état de cet élément.</w:t>
      </w:r>
    </w:p>
    <w:p w14:paraId="50D6ACC2" w14:textId="77777777" w:rsidR="00D23C0B" w:rsidRPr="00F90057" w:rsidRDefault="00D23C0B" w:rsidP="00D23C0B">
      <w:pPr>
        <w:rPr>
          <w:rFonts w:ascii="Arial" w:eastAsia="SimSun" w:hAnsi="Arial" w:cs="Arial"/>
          <w:sz w:val="22"/>
          <w:szCs w:val="22"/>
          <w:u w:val="single"/>
        </w:rPr>
      </w:pPr>
      <w:r w:rsidRPr="00F90057">
        <w:br w:type="page"/>
      </w:r>
    </w:p>
    <w:p w14:paraId="56AE5E46" w14:textId="29F56A46" w:rsidR="00D23C0B" w:rsidRPr="00F90057" w:rsidRDefault="00D23C0B" w:rsidP="00D23C0B">
      <w:pPr>
        <w:pStyle w:val="COMParaDecision"/>
        <w:ind w:left="567"/>
        <w:rPr>
          <w:u w:val="none"/>
          <w:lang w:val="fr-FR"/>
        </w:rPr>
      </w:pPr>
      <w:r w:rsidRPr="00B24F44">
        <w:rPr>
          <w:b/>
          <w:u w:val="none"/>
          <w:lang w:val="fr-FR"/>
        </w:rPr>
        <w:lastRenderedPageBreak/>
        <w:t xml:space="preserve">Kenya : « La danse </w:t>
      </w:r>
      <w:proofErr w:type="spellStart"/>
      <w:r w:rsidRPr="00B24F44">
        <w:rPr>
          <w:b/>
          <w:u w:val="none"/>
          <w:lang w:val="fr-FR"/>
        </w:rPr>
        <w:t>Isukuti</w:t>
      </w:r>
      <w:proofErr w:type="spellEnd"/>
      <w:r w:rsidRPr="00B24F44">
        <w:rPr>
          <w:b/>
          <w:u w:val="none"/>
          <w:lang w:val="fr-FR"/>
        </w:rPr>
        <w:t xml:space="preserve"> des communautés </w:t>
      </w:r>
      <w:proofErr w:type="spellStart"/>
      <w:r w:rsidRPr="00B24F44">
        <w:rPr>
          <w:b/>
          <w:u w:val="none"/>
          <w:lang w:val="fr-FR"/>
        </w:rPr>
        <w:t>Isukha</w:t>
      </w:r>
      <w:proofErr w:type="spellEnd"/>
      <w:r w:rsidRPr="00B24F44">
        <w:rPr>
          <w:b/>
          <w:u w:val="none"/>
          <w:lang w:val="fr-FR"/>
        </w:rPr>
        <w:t xml:space="preserve"> et </w:t>
      </w:r>
      <w:proofErr w:type="spellStart"/>
      <w:r w:rsidRPr="00B24F44">
        <w:rPr>
          <w:b/>
          <w:u w:val="none"/>
          <w:lang w:val="fr-FR"/>
        </w:rPr>
        <w:t>Idakho</w:t>
      </w:r>
      <w:proofErr w:type="spellEnd"/>
      <w:r w:rsidRPr="00B24F44">
        <w:rPr>
          <w:b/>
          <w:u w:val="none"/>
          <w:lang w:val="fr-FR"/>
        </w:rPr>
        <w:t xml:space="preserve"> de l</w:t>
      </w:r>
      <w:r w:rsidR="00655870">
        <w:rPr>
          <w:b/>
          <w:u w:val="none"/>
          <w:lang w:val="fr-FR"/>
        </w:rPr>
        <w:t>’</w:t>
      </w:r>
      <w:r w:rsidRPr="00B24F44">
        <w:rPr>
          <w:b/>
          <w:u w:val="none"/>
          <w:lang w:val="fr-FR"/>
        </w:rPr>
        <w:t>ouest du Kenya</w:t>
      </w:r>
      <w:r>
        <w:rPr>
          <w:b/>
          <w:u w:val="none"/>
          <w:lang w:val="fr-FR"/>
        </w:rPr>
        <w:t> »</w:t>
      </w:r>
      <w:r w:rsidRPr="00B24F44">
        <w:rPr>
          <w:b/>
          <w:u w:val="none"/>
          <w:lang w:val="fr-FR"/>
        </w:rPr>
        <w:t xml:space="preserve"> </w:t>
      </w:r>
      <w:r w:rsidRPr="00131978">
        <w:rPr>
          <w:i/>
          <w:u w:val="none"/>
          <w:lang w:val="fr-FR"/>
        </w:rPr>
        <w:t>(</w:t>
      </w:r>
      <w:r w:rsidRPr="00635386">
        <w:rPr>
          <w:i/>
          <w:u w:val="none"/>
          <w:lang w:val="fr-FR"/>
        </w:rPr>
        <w:t xml:space="preserve">consulter le </w:t>
      </w:r>
      <w:hyperlink r:id="rId30" w:history="1">
        <w:r w:rsidRPr="00635386">
          <w:rPr>
            <w:rStyle w:val="Hyperlink"/>
            <w:i/>
            <w:lang w:val="fr-FR"/>
          </w:rPr>
          <w:t>rapport</w:t>
        </w:r>
      </w:hyperlink>
      <w:r w:rsidRPr="00635386">
        <w:rPr>
          <w:i/>
          <w:u w:val="none"/>
          <w:lang w:val="fr-FR"/>
        </w:rPr>
        <w:t>)</w:t>
      </w:r>
    </w:p>
    <w:p w14:paraId="7A638E6D" w14:textId="0B5F95BC" w:rsidR="00D23C0B" w:rsidRPr="00F90057" w:rsidRDefault="00D23C0B" w:rsidP="00D23C0B">
      <w:pPr>
        <w:pStyle w:val="COMPara"/>
        <w:numPr>
          <w:ilvl w:val="0"/>
          <w:numId w:val="9"/>
        </w:numPr>
        <w:spacing w:before="120"/>
        <w:ind w:left="567" w:hanging="567"/>
        <w:jc w:val="both"/>
        <w:rPr>
          <w:lang w:val="fr-FR"/>
        </w:rPr>
      </w:pPr>
      <w:r w:rsidRPr="000958E8">
        <w:rPr>
          <w:lang w:val="fr-FR"/>
        </w:rPr>
        <w:t xml:space="preserve">La danse </w:t>
      </w:r>
      <w:proofErr w:type="spellStart"/>
      <w:r w:rsidRPr="000958E8">
        <w:rPr>
          <w:lang w:val="fr-FR"/>
        </w:rPr>
        <w:t>Isukuti</w:t>
      </w:r>
      <w:proofErr w:type="spellEnd"/>
      <w:r w:rsidRPr="000958E8">
        <w:rPr>
          <w:lang w:val="fr-FR"/>
        </w:rPr>
        <w:t xml:space="preserve"> est une danse traditionnelle pratiquée par les communautés </w:t>
      </w:r>
      <w:proofErr w:type="spellStart"/>
      <w:r w:rsidRPr="000958E8">
        <w:rPr>
          <w:lang w:val="fr-FR"/>
        </w:rPr>
        <w:t>Isukha</w:t>
      </w:r>
      <w:proofErr w:type="spellEnd"/>
      <w:r w:rsidRPr="000958E8">
        <w:rPr>
          <w:lang w:val="fr-FR"/>
        </w:rPr>
        <w:t xml:space="preserve"> et </w:t>
      </w:r>
      <w:proofErr w:type="spellStart"/>
      <w:r w:rsidRPr="000958E8">
        <w:rPr>
          <w:lang w:val="fr-FR"/>
        </w:rPr>
        <w:t>Idakho</w:t>
      </w:r>
      <w:proofErr w:type="spellEnd"/>
      <w:r w:rsidRPr="000958E8">
        <w:rPr>
          <w:lang w:val="fr-FR"/>
        </w:rPr>
        <w:t xml:space="preserve"> de l</w:t>
      </w:r>
      <w:r w:rsidR="00655870">
        <w:rPr>
          <w:lang w:val="fr-FR"/>
        </w:rPr>
        <w:t>’</w:t>
      </w:r>
      <w:r w:rsidRPr="000958E8">
        <w:rPr>
          <w:lang w:val="fr-FR"/>
        </w:rPr>
        <w:t xml:space="preserve">ouest du Kenya. </w:t>
      </w:r>
      <w:r>
        <w:rPr>
          <w:lang w:val="fr-FR"/>
        </w:rPr>
        <w:t>C</w:t>
      </w:r>
      <w:r w:rsidRPr="000958E8">
        <w:rPr>
          <w:lang w:val="fr-FR"/>
        </w:rPr>
        <w:t>aractérisée par des mouvements rythmiques</w:t>
      </w:r>
      <w:r>
        <w:rPr>
          <w:lang w:val="fr-FR"/>
        </w:rPr>
        <w:t>, cette danse</w:t>
      </w:r>
      <w:r w:rsidRPr="000958E8">
        <w:rPr>
          <w:lang w:val="fr-FR"/>
        </w:rPr>
        <w:t xml:space="preserve"> est généralement accompagnée par des tambours et des chants rapides et énergiques. Vecteur essentiel de transmission culturelle et de coexistence harmonieuse entre familles et communautés, elle accompagne la plupart des occasions et des étapes de la vie comme les naissances, les initiations, les mariages, les funérailles, les commémorations, les inaugurations, les festivités religieuses, les événements sportifs et autres rassemblements publics. Les tambours utilisés lors de son exécution sont au nombre de trois : un grand, un moyen et un petit, qui symbolisent l</w:t>
      </w:r>
      <w:r w:rsidR="00655870">
        <w:rPr>
          <w:lang w:val="fr-FR"/>
        </w:rPr>
        <w:t>’</w:t>
      </w:r>
      <w:r w:rsidRPr="000958E8">
        <w:rPr>
          <w:lang w:val="fr-FR"/>
        </w:rPr>
        <w:t>harmonie dans la diversité et l</w:t>
      </w:r>
      <w:r w:rsidR="00655870">
        <w:rPr>
          <w:lang w:val="fr-FR"/>
        </w:rPr>
        <w:t>’</w:t>
      </w:r>
      <w:r w:rsidRPr="000958E8">
        <w:rPr>
          <w:lang w:val="fr-FR"/>
        </w:rPr>
        <w:t>indispensable contribution de chacun des éléments. Les tambours sont traditionnellement accompagnés par un anneau métallique, une corne d</w:t>
      </w:r>
      <w:r w:rsidR="00655870">
        <w:rPr>
          <w:lang w:val="fr-FR"/>
        </w:rPr>
        <w:t>’</w:t>
      </w:r>
      <w:r w:rsidRPr="000958E8">
        <w:rPr>
          <w:lang w:val="fr-FR"/>
        </w:rPr>
        <w:t>antilope et des hochets en métal. Les danseurs sont menés par un soliste qui chante des couplets thématiques liés à des problèmes sociaux, à la nature et à la vie en suivant le rythme harmonieux des tambours et des pas des danseurs, disposés en rangs sépar</w:t>
      </w:r>
      <w:r>
        <w:rPr>
          <w:lang w:val="fr-FR"/>
        </w:rPr>
        <w:t xml:space="preserve">ant </w:t>
      </w:r>
      <w:r w:rsidRPr="000958E8">
        <w:rPr>
          <w:lang w:val="fr-FR"/>
        </w:rPr>
        <w:t xml:space="preserve">les hommes </w:t>
      </w:r>
      <w:r>
        <w:rPr>
          <w:lang w:val="fr-FR"/>
        </w:rPr>
        <w:t>d</w:t>
      </w:r>
      <w:r w:rsidR="00655870">
        <w:rPr>
          <w:lang w:val="fr-FR"/>
        </w:rPr>
        <w:t>’</w:t>
      </w:r>
      <w:r>
        <w:rPr>
          <w:lang w:val="fr-FR"/>
        </w:rPr>
        <w:t xml:space="preserve">un côté </w:t>
      </w:r>
      <w:r w:rsidRPr="000958E8">
        <w:rPr>
          <w:lang w:val="fr-FR"/>
        </w:rPr>
        <w:t>et les femmes</w:t>
      </w:r>
      <w:r>
        <w:rPr>
          <w:lang w:val="fr-FR"/>
        </w:rPr>
        <w:t xml:space="preserve"> de l</w:t>
      </w:r>
      <w:r w:rsidR="00655870">
        <w:rPr>
          <w:lang w:val="fr-FR"/>
        </w:rPr>
        <w:t>’</w:t>
      </w:r>
      <w:r>
        <w:rPr>
          <w:lang w:val="fr-FR"/>
        </w:rPr>
        <w:t>autre</w:t>
      </w:r>
      <w:r w:rsidRPr="000958E8">
        <w:rPr>
          <w:lang w:val="fr-FR"/>
        </w:rPr>
        <w:t xml:space="preserve">. La danse </w:t>
      </w:r>
      <w:proofErr w:type="spellStart"/>
      <w:r w:rsidRPr="000958E8">
        <w:rPr>
          <w:lang w:val="fr-FR"/>
        </w:rPr>
        <w:t>Isukuti</w:t>
      </w:r>
      <w:proofErr w:type="spellEnd"/>
      <w:r w:rsidRPr="000958E8">
        <w:rPr>
          <w:lang w:val="fr-FR"/>
        </w:rPr>
        <w:t xml:space="preserve"> </w:t>
      </w:r>
      <w:r>
        <w:rPr>
          <w:lang w:val="fr-FR"/>
        </w:rPr>
        <w:t xml:space="preserve">joue un rôle </w:t>
      </w:r>
      <w:r w:rsidR="00587EE7">
        <w:rPr>
          <w:lang w:val="fr-FR"/>
        </w:rPr>
        <w:t xml:space="preserve">très important </w:t>
      </w:r>
      <w:r>
        <w:rPr>
          <w:lang w:val="fr-FR"/>
        </w:rPr>
        <w:t>dans</w:t>
      </w:r>
      <w:r w:rsidRPr="000958E8">
        <w:rPr>
          <w:lang w:val="fr-FR"/>
        </w:rPr>
        <w:t xml:space="preserve"> l</w:t>
      </w:r>
      <w:r w:rsidR="00655870">
        <w:rPr>
          <w:lang w:val="fr-FR"/>
        </w:rPr>
        <w:t>’</w:t>
      </w:r>
      <w:r w:rsidRPr="000958E8">
        <w:rPr>
          <w:lang w:val="fr-FR"/>
        </w:rPr>
        <w:t>identité des deux communautés, auxquelles elle apporte un sentiment d</w:t>
      </w:r>
      <w:r w:rsidR="00655870">
        <w:rPr>
          <w:lang w:val="fr-FR"/>
        </w:rPr>
        <w:t>’</w:t>
      </w:r>
      <w:r w:rsidRPr="000958E8">
        <w:rPr>
          <w:lang w:val="fr-FR"/>
        </w:rPr>
        <w:t>unité et un esprit de continuité.</w:t>
      </w:r>
    </w:p>
    <w:p w14:paraId="585BD41F" w14:textId="798952A8" w:rsidR="00D23C0B" w:rsidRPr="00F90057" w:rsidRDefault="00D23C0B" w:rsidP="00D23C0B">
      <w:pPr>
        <w:pStyle w:val="COMPara"/>
        <w:numPr>
          <w:ilvl w:val="0"/>
          <w:numId w:val="9"/>
        </w:numPr>
        <w:spacing w:before="120"/>
        <w:ind w:left="567" w:hanging="567"/>
        <w:jc w:val="both"/>
        <w:rPr>
          <w:lang w:val="fr-FR"/>
        </w:rPr>
      </w:pPr>
      <w:r w:rsidRPr="00050D5D">
        <w:rPr>
          <w:b/>
          <w:lang w:val="fr-FR"/>
        </w:rPr>
        <w:t>Efficacité du plan de sauvegarde</w:t>
      </w:r>
      <w:r w:rsidRPr="00F304BB">
        <w:rPr>
          <w:lang w:val="fr-FR"/>
        </w:rPr>
        <w:t xml:space="preserve">. Le plan de sauvegarde de la danse </w:t>
      </w:r>
      <w:proofErr w:type="spellStart"/>
      <w:r w:rsidRPr="00F304BB">
        <w:rPr>
          <w:lang w:val="fr-FR"/>
        </w:rPr>
        <w:t>Isukuti</w:t>
      </w:r>
      <w:proofErr w:type="spellEnd"/>
      <w:r w:rsidRPr="00F304BB">
        <w:rPr>
          <w:lang w:val="fr-FR"/>
        </w:rPr>
        <w:t xml:space="preserve"> des communautés </w:t>
      </w:r>
      <w:proofErr w:type="spellStart"/>
      <w:r w:rsidRPr="00F304BB">
        <w:rPr>
          <w:lang w:val="fr-FR"/>
        </w:rPr>
        <w:t>Isukha</w:t>
      </w:r>
      <w:proofErr w:type="spellEnd"/>
      <w:r w:rsidRPr="00F304BB">
        <w:rPr>
          <w:lang w:val="fr-FR"/>
        </w:rPr>
        <w:t xml:space="preserve"> et </w:t>
      </w:r>
      <w:proofErr w:type="spellStart"/>
      <w:r w:rsidRPr="00F304BB">
        <w:rPr>
          <w:lang w:val="fr-FR"/>
        </w:rPr>
        <w:t>Idakho</w:t>
      </w:r>
      <w:proofErr w:type="spellEnd"/>
      <w:r w:rsidRPr="00F304BB">
        <w:rPr>
          <w:lang w:val="fr-FR"/>
        </w:rPr>
        <w:t xml:space="preserve"> de l</w:t>
      </w:r>
      <w:r w:rsidR="00655870">
        <w:rPr>
          <w:lang w:val="fr-FR"/>
        </w:rPr>
        <w:t>’</w:t>
      </w:r>
      <w:r w:rsidRPr="00F304BB">
        <w:rPr>
          <w:lang w:val="fr-FR"/>
        </w:rPr>
        <w:t>ouest du Kenya s</w:t>
      </w:r>
      <w:r w:rsidR="00655870">
        <w:rPr>
          <w:lang w:val="fr-FR"/>
        </w:rPr>
        <w:t>’</w:t>
      </w:r>
      <w:r w:rsidRPr="00F304BB">
        <w:rPr>
          <w:lang w:val="fr-FR"/>
        </w:rPr>
        <w:t>est concentré sur la recherche, la documentation, la transmission, le renforcement des capacités, la promotion de l</w:t>
      </w:r>
      <w:r w:rsidR="00655870">
        <w:rPr>
          <w:lang w:val="fr-FR"/>
        </w:rPr>
        <w:t>’</w:t>
      </w:r>
      <w:r w:rsidRPr="00F304BB">
        <w:rPr>
          <w:lang w:val="fr-FR"/>
        </w:rPr>
        <w:t>élément et la protection de l</w:t>
      </w:r>
      <w:r w:rsidR="00655870">
        <w:rPr>
          <w:lang w:val="fr-FR"/>
        </w:rPr>
        <w:t>’</w:t>
      </w:r>
      <w:r w:rsidRPr="00F304BB">
        <w:rPr>
          <w:lang w:val="fr-FR"/>
        </w:rPr>
        <w:t>environnement. Plusieurs mesures ont été mises en œuvre pour renforcer la viabilité de l</w:t>
      </w:r>
      <w:r w:rsidR="00655870">
        <w:rPr>
          <w:lang w:val="fr-FR"/>
        </w:rPr>
        <w:t>’</w:t>
      </w:r>
      <w:r w:rsidRPr="00F304BB">
        <w:rPr>
          <w:lang w:val="fr-FR"/>
        </w:rPr>
        <w:t xml:space="preserve">élément, </w:t>
      </w:r>
      <w:r>
        <w:rPr>
          <w:lang w:val="fr-FR"/>
        </w:rPr>
        <w:t>dont</w:t>
      </w:r>
      <w:r w:rsidRPr="00F304BB">
        <w:rPr>
          <w:lang w:val="fr-FR"/>
        </w:rPr>
        <w:t> : l</w:t>
      </w:r>
      <w:r w:rsidR="00655870">
        <w:rPr>
          <w:lang w:val="fr-FR"/>
        </w:rPr>
        <w:t>’</w:t>
      </w:r>
      <w:r w:rsidRPr="00F304BB">
        <w:rPr>
          <w:lang w:val="fr-FR"/>
        </w:rPr>
        <w:t xml:space="preserve">organisation de séminaires et de sessions de formation pour les formateurs </w:t>
      </w:r>
      <w:r>
        <w:rPr>
          <w:lang w:val="fr-FR"/>
        </w:rPr>
        <w:t>d</w:t>
      </w:r>
      <w:r w:rsidR="00655870">
        <w:rPr>
          <w:lang w:val="fr-FR"/>
        </w:rPr>
        <w:t>’</w:t>
      </w:r>
      <w:proofErr w:type="spellStart"/>
      <w:r w:rsidRPr="00F304BB">
        <w:rPr>
          <w:lang w:val="fr-FR"/>
        </w:rPr>
        <w:t>Isukuti</w:t>
      </w:r>
      <w:proofErr w:type="spellEnd"/>
      <w:r w:rsidRPr="00F304BB">
        <w:rPr>
          <w:lang w:val="fr-FR"/>
        </w:rPr>
        <w:t xml:space="preserve"> ; la production et la diffusion de </w:t>
      </w:r>
      <w:r>
        <w:rPr>
          <w:lang w:val="fr-FR"/>
        </w:rPr>
        <w:t>documents</w:t>
      </w:r>
      <w:r w:rsidRPr="00F304BB">
        <w:rPr>
          <w:lang w:val="fr-FR"/>
        </w:rPr>
        <w:t xml:space="preserve"> audiovisuels sur l</w:t>
      </w:r>
      <w:r w:rsidR="00655870">
        <w:rPr>
          <w:lang w:val="fr-FR"/>
        </w:rPr>
        <w:t>’</w:t>
      </w:r>
      <w:r w:rsidRPr="00F304BB">
        <w:rPr>
          <w:lang w:val="fr-FR"/>
        </w:rPr>
        <w:t>élément ; des ateliers permettant aux jeunes générations d</w:t>
      </w:r>
      <w:r w:rsidR="00655870">
        <w:rPr>
          <w:lang w:val="fr-FR"/>
        </w:rPr>
        <w:t>’</w:t>
      </w:r>
      <w:r w:rsidRPr="00F304BB">
        <w:rPr>
          <w:lang w:val="fr-FR"/>
        </w:rPr>
        <w:t>assimiler l</w:t>
      </w:r>
      <w:r w:rsidR="00655870">
        <w:rPr>
          <w:lang w:val="fr-FR"/>
        </w:rPr>
        <w:t>’</w:t>
      </w:r>
      <w:r>
        <w:rPr>
          <w:lang w:val="fr-FR"/>
        </w:rPr>
        <w:t xml:space="preserve">art des </w:t>
      </w:r>
      <w:r w:rsidRPr="00F304BB">
        <w:rPr>
          <w:lang w:val="fr-FR"/>
        </w:rPr>
        <w:t xml:space="preserve">tambours </w:t>
      </w:r>
      <w:proofErr w:type="spellStart"/>
      <w:r w:rsidRPr="00F304BB">
        <w:rPr>
          <w:lang w:val="fr-FR"/>
        </w:rPr>
        <w:t>Isukuti</w:t>
      </w:r>
      <w:proofErr w:type="spellEnd"/>
      <w:r w:rsidRPr="00F304BB">
        <w:rPr>
          <w:lang w:val="fr-FR"/>
        </w:rPr>
        <w:t> ; l</w:t>
      </w:r>
      <w:r w:rsidR="00655870">
        <w:rPr>
          <w:lang w:val="fr-FR"/>
        </w:rPr>
        <w:t>’</w:t>
      </w:r>
      <w:r w:rsidRPr="00F304BB">
        <w:rPr>
          <w:lang w:val="fr-FR"/>
        </w:rPr>
        <w:t xml:space="preserve">intégration de la danse </w:t>
      </w:r>
      <w:proofErr w:type="spellStart"/>
      <w:r w:rsidRPr="00F304BB">
        <w:rPr>
          <w:lang w:val="fr-FR"/>
        </w:rPr>
        <w:t>Isukuti</w:t>
      </w:r>
      <w:proofErr w:type="spellEnd"/>
      <w:r w:rsidRPr="00F304BB">
        <w:rPr>
          <w:lang w:val="fr-FR"/>
        </w:rPr>
        <w:t xml:space="preserve"> aux activités extra-scolaires des programmes des écoles ; et la collaboration avec les départements forestiers et les comtés pour replant</w:t>
      </w:r>
      <w:r>
        <w:rPr>
          <w:lang w:val="fr-FR"/>
        </w:rPr>
        <w:t>er</w:t>
      </w:r>
      <w:r w:rsidRPr="00F304BB">
        <w:rPr>
          <w:lang w:val="fr-FR"/>
        </w:rPr>
        <w:t xml:space="preserve"> </w:t>
      </w:r>
      <w:r>
        <w:rPr>
          <w:lang w:val="fr-FR"/>
        </w:rPr>
        <w:t>l</w:t>
      </w:r>
      <w:r w:rsidRPr="00F304BB">
        <w:rPr>
          <w:lang w:val="fr-FR"/>
        </w:rPr>
        <w:t>es espèces d</w:t>
      </w:r>
      <w:r w:rsidR="00655870">
        <w:rPr>
          <w:lang w:val="fr-FR"/>
        </w:rPr>
        <w:t>’</w:t>
      </w:r>
      <w:r w:rsidRPr="00F304BB">
        <w:rPr>
          <w:lang w:val="fr-FR"/>
        </w:rPr>
        <w:t xml:space="preserve">arbres indigènes utilisées </w:t>
      </w:r>
      <w:r>
        <w:rPr>
          <w:lang w:val="fr-FR"/>
        </w:rPr>
        <w:t>pour</w:t>
      </w:r>
      <w:r w:rsidRPr="00F304BB">
        <w:rPr>
          <w:lang w:val="fr-FR"/>
        </w:rPr>
        <w:t xml:space="preserve"> la fabrication des tambours. </w:t>
      </w:r>
      <w:r>
        <w:rPr>
          <w:lang w:val="fr-FR"/>
        </w:rPr>
        <w:t>Selon</w:t>
      </w:r>
      <w:r w:rsidRPr="00F304BB">
        <w:rPr>
          <w:lang w:val="fr-FR"/>
        </w:rPr>
        <w:t xml:space="preserve"> le rapport, le </w:t>
      </w:r>
      <w:r>
        <w:rPr>
          <w:lang w:val="fr-FR"/>
        </w:rPr>
        <w:t>d</w:t>
      </w:r>
      <w:r w:rsidRPr="00F304BB">
        <w:rPr>
          <w:lang w:val="fr-FR"/>
        </w:rPr>
        <w:t xml:space="preserve">épartement de la </w:t>
      </w:r>
      <w:r>
        <w:rPr>
          <w:lang w:val="fr-FR"/>
        </w:rPr>
        <w:t>C</w:t>
      </w:r>
      <w:r w:rsidRPr="00F304BB">
        <w:rPr>
          <w:lang w:val="fr-FR"/>
        </w:rPr>
        <w:t xml:space="preserve">ulture a également organisé son festival culturel annuel </w:t>
      </w:r>
      <w:r>
        <w:rPr>
          <w:lang w:val="fr-FR"/>
        </w:rPr>
        <w:t>« </w:t>
      </w:r>
      <w:r w:rsidRPr="00F304BB">
        <w:rPr>
          <w:lang w:val="fr-FR"/>
        </w:rPr>
        <w:t>Kenya Music and Cultural Festival</w:t>
      </w:r>
      <w:r>
        <w:rPr>
          <w:lang w:val="fr-FR"/>
        </w:rPr>
        <w:t> »</w:t>
      </w:r>
      <w:r w:rsidRPr="00F304BB">
        <w:rPr>
          <w:lang w:val="fr-FR"/>
        </w:rPr>
        <w:t xml:space="preserve"> à l</w:t>
      </w:r>
      <w:r w:rsidR="00655870">
        <w:rPr>
          <w:lang w:val="fr-FR"/>
        </w:rPr>
        <w:t>’</w:t>
      </w:r>
      <w:r w:rsidR="00587EE7">
        <w:rPr>
          <w:lang w:val="fr-FR"/>
        </w:rPr>
        <w:t>U</w:t>
      </w:r>
      <w:r w:rsidRPr="00F304BB">
        <w:rPr>
          <w:lang w:val="fr-FR"/>
        </w:rPr>
        <w:t xml:space="preserve">niversité </w:t>
      </w:r>
      <w:proofErr w:type="spellStart"/>
      <w:r w:rsidRPr="00F304BB">
        <w:rPr>
          <w:lang w:val="fr-FR"/>
        </w:rPr>
        <w:t>Masinde</w:t>
      </w:r>
      <w:proofErr w:type="spellEnd"/>
      <w:r w:rsidRPr="00F304BB">
        <w:rPr>
          <w:lang w:val="fr-FR"/>
        </w:rPr>
        <w:t xml:space="preserve"> </w:t>
      </w:r>
      <w:proofErr w:type="spellStart"/>
      <w:r w:rsidRPr="00F304BB">
        <w:rPr>
          <w:lang w:val="fr-FR"/>
        </w:rPr>
        <w:t>Muliro</w:t>
      </w:r>
      <w:proofErr w:type="spellEnd"/>
      <w:r w:rsidRPr="00F304BB">
        <w:rPr>
          <w:lang w:val="fr-FR"/>
        </w:rPr>
        <w:t xml:space="preserve"> dans le comté de </w:t>
      </w:r>
      <w:proofErr w:type="spellStart"/>
      <w:r w:rsidRPr="00F304BB">
        <w:rPr>
          <w:lang w:val="fr-FR"/>
        </w:rPr>
        <w:t>Kakamega</w:t>
      </w:r>
      <w:proofErr w:type="spellEnd"/>
      <w:r w:rsidRPr="00F304BB">
        <w:rPr>
          <w:lang w:val="fr-FR"/>
        </w:rPr>
        <w:t>, dans l</w:t>
      </w:r>
      <w:r w:rsidR="00655870">
        <w:rPr>
          <w:lang w:val="fr-FR"/>
        </w:rPr>
        <w:t>’</w:t>
      </w:r>
      <w:r w:rsidRPr="00F304BB">
        <w:rPr>
          <w:lang w:val="fr-FR"/>
        </w:rPr>
        <w:t xml:space="preserve">objectif </w:t>
      </w:r>
      <w:r>
        <w:rPr>
          <w:lang w:val="fr-FR"/>
        </w:rPr>
        <w:t xml:space="preserve">de sensibiliser plus largement les </w:t>
      </w:r>
      <w:r w:rsidRPr="00F304BB">
        <w:rPr>
          <w:lang w:val="fr-FR"/>
        </w:rPr>
        <w:t>communautés</w:t>
      </w:r>
      <w:r>
        <w:rPr>
          <w:lang w:val="fr-FR"/>
        </w:rPr>
        <w:t xml:space="preserve"> à la danse </w:t>
      </w:r>
      <w:proofErr w:type="spellStart"/>
      <w:r>
        <w:rPr>
          <w:lang w:val="fr-FR"/>
        </w:rPr>
        <w:t>Isukuti</w:t>
      </w:r>
      <w:proofErr w:type="spellEnd"/>
      <w:r w:rsidRPr="00F304BB">
        <w:rPr>
          <w:lang w:val="fr-FR"/>
        </w:rPr>
        <w:t>.</w:t>
      </w:r>
    </w:p>
    <w:p w14:paraId="55E59216" w14:textId="20867FB3" w:rsidR="00D23C0B" w:rsidRPr="00F90057" w:rsidRDefault="00D23C0B" w:rsidP="00D23C0B">
      <w:pPr>
        <w:pStyle w:val="COMPara"/>
        <w:numPr>
          <w:ilvl w:val="0"/>
          <w:numId w:val="9"/>
        </w:numPr>
        <w:spacing w:before="120"/>
        <w:ind w:left="567" w:hanging="567"/>
        <w:jc w:val="both"/>
        <w:rPr>
          <w:lang w:val="fr-FR"/>
        </w:rPr>
      </w:pPr>
      <w:r w:rsidRPr="00050D5D">
        <w:rPr>
          <w:lang w:val="fr-FR"/>
        </w:rPr>
        <w:t>L</w:t>
      </w:r>
      <w:r w:rsidR="00655870">
        <w:rPr>
          <w:lang w:val="fr-FR"/>
        </w:rPr>
        <w:t>’</w:t>
      </w:r>
      <w:r w:rsidRPr="00050D5D">
        <w:rPr>
          <w:lang w:val="fr-FR"/>
        </w:rPr>
        <w:t xml:space="preserve">inscription </w:t>
      </w:r>
      <w:r w:rsidR="001E529A">
        <w:rPr>
          <w:lang w:val="fr-FR"/>
        </w:rPr>
        <w:t xml:space="preserve">de l’élément </w:t>
      </w:r>
      <w:r w:rsidRPr="00050D5D">
        <w:rPr>
          <w:lang w:val="fr-FR"/>
        </w:rPr>
        <w:t>sur la Liste</w:t>
      </w:r>
      <w:r w:rsidR="001E529A">
        <w:rPr>
          <w:lang w:val="fr-FR"/>
        </w:rPr>
        <w:t xml:space="preserve"> de sauvegarde urgente</w:t>
      </w:r>
      <w:r w:rsidRPr="00050D5D">
        <w:rPr>
          <w:lang w:val="fr-FR"/>
        </w:rPr>
        <w:t xml:space="preserve"> et la mise en œuvre du plan de sauvegarde </w:t>
      </w:r>
      <w:r>
        <w:rPr>
          <w:lang w:val="fr-FR"/>
        </w:rPr>
        <w:t xml:space="preserve">ont </w:t>
      </w:r>
      <w:r w:rsidRPr="00050D5D">
        <w:rPr>
          <w:lang w:val="fr-FR"/>
        </w:rPr>
        <w:t xml:space="preserve">permis </w:t>
      </w:r>
      <w:r>
        <w:rPr>
          <w:lang w:val="fr-FR"/>
        </w:rPr>
        <w:t>de renforcer</w:t>
      </w:r>
      <w:r w:rsidRPr="00050D5D">
        <w:rPr>
          <w:lang w:val="fr-FR"/>
        </w:rPr>
        <w:t xml:space="preserve"> considérablement la </w:t>
      </w:r>
      <w:r>
        <w:rPr>
          <w:lang w:val="fr-FR"/>
        </w:rPr>
        <w:t xml:space="preserve">prise de conscience sur la nécessité </w:t>
      </w:r>
      <w:r w:rsidRPr="00050D5D">
        <w:rPr>
          <w:lang w:val="fr-FR"/>
        </w:rPr>
        <w:t>de sauvegarde</w:t>
      </w:r>
      <w:r>
        <w:rPr>
          <w:lang w:val="fr-FR"/>
        </w:rPr>
        <w:t>r</w:t>
      </w:r>
      <w:r w:rsidRPr="00050D5D">
        <w:rPr>
          <w:lang w:val="fr-FR"/>
        </w:rPr>
        <w:t xml:space="preserve"> non seulement </w:t>
      </w:r>
      <w:r>
        <w:rPr>
          <w:lang w:val="fr-FR"/>
        </w:rPr>
        <w:t>l</w:t>
      </w:r>
      <w:r w:rsidRPr="00050D5D">
        <w:rPr>
          <w:lang w:val="fr-FR"/>
        </w:rPr>
        <w:t>es valeurs associées à l</w:t>
      </w:r>
      <w:r w:rsidR="00655870">
        <w:rPr>
          <w:lang w:val="fr-FR"/>
        </w:rPr>
        <w:t>’</w:t>
      </w:r>
      <w:r w:rsidRPr="00050D5D">
        <w:rPr>
          <w:lang w:val="fr-FR"/>
        </w:rPr>
        <w:t>élément, mais aussi son importance en tant que symbole de l</w:t>
      </w:r>
      <w:r w:rsidR="00655870">
        <w:rPr>
          <w:lang w:val="fr-FR"/>
        </w:rPr>
        <w:t>’</w:t>
      </w:r>
      <w:r w:rsidRPr="00050D5D">
        <w:rPr>
          <w:lang w:val="fr-FR"/>
        </w:rPr>
        <w:t>identité des deux communautés. Toutefois, certains aspects associés à l</w:t>
      </w:r>
      <w:r w:rsidR="00655870">
        <w:rPr>
          <w:lang w:val="fr-FR"/>
        </w:rPr>
        <w:t>’</w:t>
      </w:r>
      <w:r w:rsidRPr="00050D5D">
        <w:rPr>
          <w:lang w:val="fr-FR"/>
        </w:rPr>
        <w:t xml:space="preserve">élément nécessitent encore une sauvegarde urgente pour assurer la transmission de la pratique. La nouvelle génération de praticiens a appris la danse </w:t>
      </w:r>
      <w:proofErr w:type="spellStart"/>
      <w:r w:rsidRPr="00050D5D">
        <w:rPr>
          <w:lang w:val="fr-FR"/>
        </w:rPr>
        <w:t>Isukuti</w:t>
      </w:r>
      <w:proofErr w:type="spellEnd"/>
      <w:r w:rsidRPr="00050D5D">
        <w:rPr>
          <w:lang w:val="fr-FR"/>
        </w:rPr>
        <w:t xml:space="preserve"> par </w:t>
      </w:r>
      <w:r>
        <w:rPr>
          <w:lang w:val="fr-FR"/>
        </w:rPr>
        <w:t>l</w:t>
      </w:r>
      <w:r w:rsidR="00655870">
        <w:rPr>
          <w:lang w:val="fr-FR"/>
        </w:rPr>
        <w:t>’</w:t>
      </w:r>
      <w:r w:rsidRPr="00050D5D">
        <w:rPr>
          <w:lang w:val="fr-FR"/>
        </w:rPr>
        <w:t xml:space="preserve">observation, sans </w:t>
      </w:r>
      <w:r>
        <w:rPr>
          <w:lang w:val="fr-FR"/>
        </w:rPr>
        <w:t>avoir suivi le moindre</w:t>
      </w:r>
      <w:r w:rsidRPr="00050D5D">
        <w:rPr>
          <w:lang w:val="fr-FR"/>
        </w:rPr>
        <w:t xml:space="preserve"> apprentissage auprès des détenteurs. En conséquence, les caractéristiques traditionnelles telles que le rôle de chaque tambour ou les valeurs porteuses de sens dans les chansons </w:t>
      </w:r>
      <w:r>
        <w:rPr>
          <w:lang w:val="fr-FR"/>
        </w:rPr>
        <w:t>se perdent peu à peu</w:t>
      </w:r>
      <w:r w:rsidRPr="00050D5D">
        <w:rPr>
          <w:lang w:val="fr-FR"/>
        </w:rPr>
        <w:t>. Pour la plupart des membres les plus âgés de la communauté, cette expression culturelle a perdu toute véritable signification symbolique. Néanmoins,</w:t>
      </w:r>
      <w:r>
        <w:rPr>
          <w:lang w:val="fr-FR"/>
        </w:rPr>
        <w:t xml:space="preserve"> en participant </w:t>
      </w:r>
      <w:r w:rsidRPr="00050D5D">
        <w:rPr>
          <w:lang w:val="fr-FR"/>
        </w:rPr>
        <w:t>à la mise en œuvre du plan de sauvegarde</w:t>
      </w:r>
      <w:r>
        <w:rPr>
          <w:lang w:val="fr-FR"/>
        </w:rPr>
        <w:t xml:space="preserve">, les communautés ont développé </w:t>
      </w:r>
      <w:r w:rsidRPr="00050D5D">
        <w:rPr>
          <w:lang w:val="fr-FR"/>
        </w:rPr>
        <w:t>un sentiment d</w:t>
      </w:r>
      <w:r w:rsidR="00655870">
        <w:rPr>
          <w:lang w:val="fr-FR"/>
        </w:rPr>
        <w:t>’</w:t>
      </w:r>
      <w:r w:rsidRPr="00050D5D">
        <w:rPr>
          <w:lang w:val="fr-FR"/>
        </w:rPr>
        <w:t xml:space="preserve">appropriation et de fierté. </w:t>
      </w:r>
      <w:r>
        <w:rPr>
          <w:lang w:val="fr-FR"/>
        </w:rPr>
        <w:t>L</w:t>
      </w:r>
      <w:r w:rsidR="00655870">
        <w:rPr>
          <w:lang w:val="fr-FR"/>
        </w:rPr>
        <w:t>’</w:t>
      </w:r>
      <w:r>
        <w:rPr>
          <w:lang w:val="fr-FR"/>
        </w:rPr>
        <w:t xml:space="preserve">étroite collaboration </w:t>
      </w:r>
      <w:r w:rsidRPr="00050D5D">
        <w:rPr>
          <w:lang w:val="fr-FR"/>
        </w:rPr>
        <w:t xml:space="preserve">entre le </w:t>
      </w:r>
      <w:r>
        <w:rPr>
          <w:lang w:val="fr-FR"/>
        </w:rPr>
        <w:t>D</w:t>
      </w:r>
      <w:r w:rsidRPr="00050D5D">
        <w:rPr>
          <w:lang w:val="fr-FR"/>
        </w:rPr>
        <w:t xml:space="preserve">épartement de la </w:t>
      </w:r>
      <w:r>
        <w:rPr>
          <w:lang w:val="fr-FR"/>
        </w:rPr>
        <w:t>c</w:t>
      </w:r>
      <w:r w:rsidRPr="00050D5D">
        <w:rPr>
          <w:lang w:val="fr-FR"/>
        </w:rPr>
        <w:t xml:space="preserve">ulture et les communautés locales, les détenteurs et autres parties prenantes, y compris le Département des services forestiers, </w:t>
      </w:r>
      <w:r>
        <w:rPr>
          <w:lang w:val="fr-FR"/>
        </w:rPr>
        <w:t>a été</w:t>
      </w:r>
      <w:r w:rsidRPr="00050D5D">
        <w:rPr>
          <w:lang w:val="fr-FR"/>
        </w:rPr>
        <w:t xml:space="preserve"> particulièrement mis</w:t>
      </w:r>
      <w:r>
        <w:rPr>
          <w:lang w:val="fr-FR"/>
        </w:rPr>
        <w:t>e</w:t>
      </w:r>
      <w:r w:rsidRPr="00050D5D">
        <w:rPr>
          <w:lang w:val="fr-FR"/>
        </w:rPr>
        <w:t xml:space="preserve"> en </w:t>
      </w:r>
      <w:r>
        <w:rPr>
          <w:lang w:val="fr-FR"/>
        </w:rPr>
        <w:t xml:space="preserve">évidence par </w:t>
      </w:r>
      <w:r w:rsidRPr="00050D5D">
        <w:rPr>
          <w:lang w:val="fr-FR"/>
        </w:rPr>
        <w:t>l</w:t>
      </w:r>
      <w:r w:rsidR="00655870">
        <w:rPr>
          <w:lang w:val="fr-FR"/>
        </w:rPr>
        <w:t>’</w:t>
      </w:r>
      <w:r w:rsidRPr="00050D5D">
        <w:rPr>
          <w:lang w:val="fr-FR"/>
        </w:rPr>
        <w:t xml:space="preserve">organisation de programmes de replantation des arbres indigènes essentiels à la fabrication des tambours. En outre, les retours positifs de la part des écoles qui ont participé aux ateliers </w:t>
      </w:r>
      <w:r>
        <w:rPr>
          <w:lang w:val="fr-FR"/>
        </w:rPr>
        <w:t xml:space="preserve">de formation </w:t>
      </w:r>
      <w:r w:rsidRPr="00050D5D">
        <w:rPr>
          <w:lang w:val="fr-FR"/>
        </w:rPr>
        <w:t xml:space="preserve">sur la danse </w:t>
      </w:r>
      <w:proofErr w:type="spellStart"/>
      <w:r w:rsidRPr="00050D5D">
        <w:rPr>
          <w:lang w:val="fr-FR"/>
        </w:rPr>
        <w:t>Isukuti</w:t>
      </w:r>
      <w:proofErr w:type="spellEnd"/>
      <w:r w:rsidRPr="00050D5D">
        <w:rPr>
          <w:lang w:val="fr-FR"/>
        </w:rPr>
        <w:t xml:space="preserve"> </w:t>
      </w:r>
      <w:r>
        <w:rPr>
          <w:lang w:val="fr-FR"/>
        </w:rPr>
        <w:t xml:space="preserve">ont </w:t>
      </w:r>
      <w:r w:rsidRPr="00050D5D">
        <w:rPr>
          <w:lang w:val="fr-FR"/>
        </w:rPr>
        <w:t>réaffirm</w:t>
      </w:r>
      <w:r>
        <w:rPr>
          <w:lang w:val="fr-FR"/>
        </w:rPr>
        <w:t xml:space="preserve">é leur volonté </w:t>
      </w:r>
      <w:r w:rsidR="001E529A">
        <w:rPr>
          <w:lang w:val="fr-FR"/>
        </w:rPr>
        <w:t xml:space="preserve">de poursuivre l’intégration de </w:t>
      </w:r>
      <w:r w:rsidRPr="00050D5D">
        <w:rPr>
          <w:lang w:val="fr-FR"/>
        </w:rPr>
        <w:t>l</w:t>
      </w:r>
      <w:r w:rsidR="00655870">
        <w:rPr>
          <w:lang w:val="fr-FR"/>
        </w:rPr>
        <w:t>’</w:t>
      </w:r>
      <w:r w:rsidRPr="00050D5D">
        <w:rPr>
          <w:lang w:val="fr-FR"/>
        </w:rPr>
        <w:t>élément aux programmes scolaires au cours des années à venir et contribue</w:t>
      </w:r>
      <w:r>
        <w:rPr>
          <w:lang w:val="fr-FR"/>
        </w:rPr>
        <w:t xml:space="preserve">nt </w:t>
      </w:r>
      <w:r w:rsidRPr="00050D5D">
        <w:rPr>
          <w:lang w:val="fr-FR"/>
        </w:rPr>
        <w:t>à sa sauvegarde.</w:t>
      </w:r>
    </w:p>
    <w:p w14:paraId="63223440" w14:textId="62A9C3C6" w:rsidR="00D23C0B" w:rsidRPr="00F90057" w:rsidRDefault="00D23C0B" w:rsidP="00D23C0B">
      <w:pPr>
        <w:pStyle w:val="COMPara"/>
        <w:numPr>
          <w:ilvl w:val="0"/>
          <w:numId w:val="9"/>
        </w:numPr>
        <w:spacing w:before="120"/>
        <w:ind w:left="567" w:hanging="567"/>
        <w:jc w:val="both"/>
        <w:rPr>
          <w:lang w:val="fr-FR"/>
        </w:rPr>
      </w:pPr>
      <w:r w:rsidRPr="00F304BB">
        <w:rPr>
          <w:b/>
          <w:lang w:val="fr-FR"/>
        </w:rPr>
        <w:t>Participation des communautés</w:t>
      </w:r>
      <w:r w:rsidRPr="00F304BB">
        <w:rPr>
          <w:lang w:val="fr-FR"/>
        </w:rPr>
        <w:t xml:space="preserve"> Selon le rapport, les communautés, groupes et individus concernés par l</w:t>
      </w:r>
      <w:r w:rsidR="00655870">
        <w:rPr>
          <w:lang w:val="fr-FR"/>
        </w:rPr>
        <w:t>’</w:t>
      </w:r>
      <w:r w:rsidRPr="00F304BB">
        <w:rPr>
          <w:lang w:val="fr-FR"/>
        </w:rPr>
        <w:t xml:space="preserve">élément ont initié, organisé et participé activement à toutes les mesures de sauvegarde. Le Département de la culture a facilité </w:t>
      </w:r>
      <w:r>
        <w:rPr>
          <w:lang w:val="fr-FR"/>
        </w:rPr>
        <w:t>les</w:t>
      </w:r>
      <w:r w:rsidRPr="00F304BB">
        <w:rPr>
          <w:lang w:val="fr-FR"/>
        </w:rPr>
        <w:t xml:space="preserve"> réunions entre les organes administratifs, les praticiens culturels et les </w:t>
      </w:r>
      <w:r w:rsidRPr="00426B43">
        <w:rPr>
          <w:lang w:val="fr-FR"/>
        </w:rPr>
        <w:t>trésors humains vivants</w:t>
      </w:r>
      <w:r w:rsidRPr="00F304BB">
        <w:rPr>
          <w:lang w:val="fr-FR"/>
        </w:rPr>
        <w:t xml:space="preserve"> pour permettre aux </w:t>
      </w:r>
      <w:r w:rsidRPr="00F304BB">
        <w:rPr>
          <w:lang w:val="fr-FR"/>
        </w:rPr>
        <w:lastRenderedPageBreak/>
        <w:t xml:space="preserve">communautés concernées </w:t>
      </w:r>
      <w:r>
        <w:rPr>
          <w:lang w:val="fr-FR"/>
        </w:rPr>
        <w:t>d</w:t>
      </w:r>
      <w:r w:rsidR="00587EE7">
        <w:rPr>
          <w:lang w:val="fr-FR"/>
        </w:rPr>
        <w:t>’élaborer</w:t>
      </w:r>
      <w:r>
        <w:rPr>
          <w:lang w:val="fr-FR"/>
        </w:rPr>
        <w:t xml:space="preserve"> </w:t>
      </w:r>
      <w:r w:rsidRPr="00F304BB">
        <w:rPr>
          <w:lang w:val="fr-FR"/>
        </w:rPr>
        <w:t xml:space="preserve">leurs propres stratégies de mise en œuvre du plan de sauvegarde. De plus, les groupes communautaires ont également organisé des réunions consultatives pour </w:t>
      </w:r>
      <w:r>
        <w:rPr>
          <w:lang w:val="fr-FR"/>
        </w:rPr>
        <w:t>définir leurs propres</w:t>
      </w:r>
      <w:r w:rsidRPr="00F304BB">
        <w:rPr>
          <w:lang w:val="fr-FR"/>
        </w:rPr>
        <w:t xml:space="preserve"> rôles </w:t>
      </w:r>
      <w:r>
        <w:rPr>
          <w:lang w:val="fr-FR"/>
        </w:rPr>
        <w:t xml:space="preserve">et ceux des </w:t>
      </w:r>
      <w:r w:rsidRPr="00F304BB">
        <w:rPr>
          <w:lang w:val="fr-FR"/>
        </w:rPr>
        <w:t>individus dans la mise en œuvre du plan de sauvegarde. Les communautés sont au cœur de la mise en œuvre des activités de sauvegarde, comme le démontre leur participation à l</w:t>
      </w:r>
      <w:r w:rsidR="00655870">
        <w:rPr>
          <w:lang w:val="fr-FR"/>
        </w:rPr>
        <w:t>’</w:t>
      </w:r>
      <w:r w:rsidRPr="00F304BB">
        <w:rPr>
          <w:lang w:val="fr-FR"/>
        </w:rPr>
        <w:t xml:space="preserve">organisation du concours de danse </w:t>
      </w:r>
      <w:proofErr w:type="spellStart"/>
      <w:r w:rsidRPr="00F304BB">
        <w:rPr>
          <w:lang w:val="fr-FR"/>
        </w:rPr>
        <w:t>Isukuti</w:t>
      </w:r>
      <w:proofErr w:type="spellEnd"/>
      <w:r w:rsidRPr="00F304BB">
        <w:rPr>
          <w:lang w:val="fr-FR"/>
        </w:rPr>
        <w:t xml:space="preserve"> biannuel et du festival culturel des communautés </w:t>
      </w:r>
      <w:proofErr w:type="spellStart"/>
      <w:r w:rsidRPr="00F304BB">
        <w:rPr>
          <w:lang w:val="fr-FR"/>
        </w:rPr>
        <w:t>Isukha</w:t>
      </w:r>
      <w:proofErr w:type="spellEnd"/>
      <w:r w:rsidRPr="00F304BB">
        <w:rPr>
          <w:lang w:val="fr-FR"/>
        </w:rPr>
        <w:t xml:space="preserve"> et </w:t>
      </w:r>
      <w:proofErr w:type="spellStart"/>
      <w:r w:rsidRPr="00F304BB">
        <w:rPr>
          <w:lang w:val="fr-FR"/>
        </w:rPr>
        <w:t>Idakho</w:t>
      </w:r>
      <w:proofErr w:type="spellEnd"/>
      <w:r w:rsidRPr="00F304BB">
        <w:rPr>
          <w:lang w:val="fr-FR"/>
        </w:rPr>
        <w:t xml:space="preserve">. La participation des communautés est </w:t>
      </w:r>
      <w:r>
        <w:rPr>
          <w:lang w:val="fr-FR"/>
        </w:rPr>
        <w:t xml:space="preserve">également illustrée </w:t>
      </w:r>
      <w:r w:rsidRPr="00F304BB">
        <w:rPr>
          <w:lang w:val="fr-FR"/>
        </w:rPr>
        <w:t xml:space="preserve">par </w:t>
      </w:r>
      <w:r>
        <w:rPr>
          <w:lang w:val="fr-FR"/>
        </w:rPr>
        <w:t>leur</w:t>
      </w:r>
      <w:r w:rsidRPr="00F304BB">
        <w:rPr>
          <w:lang w:val="fr-FR"/>
        </w:rPr>
        <w:t xml:space="preserve"> implication dans les ateliers sur la transmission des connaissance</w:t>
      </w:r>
      <w:r>
        <w:rPr>
          <w:lang w:val="fr-FR"/>
        </w:rPr>
        <w:t>s</w:t>
      </w:r>
      <w:r w:rsidRPr="00F304BB">
        <w:rPr>
          <w:lang w:val="fr-FR"/>
        </w:rPr>
        <w:t xml:space="preserve"> et </w:t>
      </w:r>
      <w:r>
        <w:rPr>
          <w:lang w:val="fr-FR"/>
        </w:rPr>
        <w:t xml:space="preserve">du </w:t>
      </w:r>
      <w:r w:rsidRPr="00F304BB">
        <w:rPr>
          <w:lang w:val="fr-FR"/>
        </w:rPr>
        <w:t>savoir-faire, ainsi que par le rôle central qu</w:t>
      </w:r>
      <w:r w:rsidR="00655870">
        <w:rPr>
          <w:lang w:val="fr-FR"/>
        </w:rPr>
        <w:t>’</w:t>
      </w:r>
      <w:r w:rsidRPr="00F304BB">
        <w:rPr>
          <w:lang w:val="fr-FR"/>
        </w:rPr>
        <w:t>elles ont joué dans l</w:t>
      </w:r>
      <w:r w:rsidR="00655870">
        <w:rPr>
          <w:lang w:val="fr-FR"/>
        </w:rPr>
        <w:t>’</w:t>
      </w:r>
      <w:r w:rsidRPr="00F304BB">
        <w:rPr>
          <w:lang w:val="fr-FR"/>
        </w:rPr>
        <w:t xml:space="preserve">organisation et la </w:t>
      </w:r>
      <w:r>
        <w:rPr>
          <w:lang w:val="fr-FR"/>
        </w:rPr>
        <w:t>conduite</w:t>
      </w:r>
      <w:r w:rsidRPr="00F304BB">
        <w:rPr>
          <w:lang w:val="fr-FR"/>
        </w:rPr>
        <w:t xml:space="preserve"> de</w:t>
      </w:r>
      <w:r>
        <w:rPr>
          <w:lang w:val="fr-FR"/>
        </w:rPr>
        <w:t>s activités de</w:t>
      </w:r>
      <w:r w:rsidRPr="00F304BB">
        <w:rPr>
          <w:lang w:val="fr-FR"/>
        </w:rPr>
        <w:t xml:space="preserve"> replantation des arbres indigènes. Une approche participative </w:t>
      </w:r>
      <w:r>
        <w:rPr>
          <w:lang w:val="fr-FR"/>
        </w:rPr>
        <w:t>a</w:t>
      </w:r>
      <w:r w:rsidRPr="00F304BB">
        <w:rPr>
          <w:lang w:val="fr-FR"/>
        </w:rPr>
        <w:t xml:space="preserve"> également </w:t>
      </w:r>
      <w:r>
        <w:rPr>
          <w:lang w:val="fr-FR"/>
        </w:rPr>
        <w:t xml:space="preserve">été </w:t>
      </w:r>
      <w:r w:rsidRPr="00F304BB">
        <w:rPr>
          <w:lang w:val="fr-FR"/>
        </w:rPr>
        <w:t xml:space="preserve">adoptée </w:t>
      </w:r>
      <w:r>
        <w:rPr>
          <w:lang w:val="fr-FR"/>
        </w:rPr>
        <w:t>pour</w:t>
      </w:r>
      <w:r w:rsidRPr="00F304BB">
        <w:rPr>
          <w:lang w:val="fr-FR"/>
        </w:rPr>
        <w:t xml:space="preserve"> l</w:t>
      </w:r>
      <w:r w:rsidR="00655870">
        <w:rPr>
          <w:lang w:val="fr-FR"/>
        </w:rPr>
        <w:t>’</w:t>
      </w:r>
      <w:r>
        <w:rPr>
          <w:lang w:val="fr-FR"/>
        </w:rPr>
        <w:t xml:space="preserve">actualisation </w:t>
      </w:r>
      <w:r w:rsidRPr="00F304BB">
        <w:rPr>
          <w:lang w:val="fr-FR"/>
        </w:rPr>
        <w:t xml:space="preserve">du plan de sauvegarde </w:t>
      </w:r>
      <w:r>
        <w:rPr>
          <w:lang w:val="fr-FR"/>
        </w:rPr>
        <w:t xml:space="preserve">et </w:t>
      </w:r>
      <w:r w:rsidRPr="00F304BB">
        <w:rPr>
          <w:lang w:val="fr-FR"/>
        </w:rPr>
        <w:t>la préparation du rapport.</w:t>
      </w:r>
    </w:p>
    <w:p w14:paraId="323B686C" w14:textId="777F1B8B" w:rsidR="00D23C0B" w:rsidRPr="00F90057" w:rsidRDefault="00D23C0B" w:rsidP="00D23C0B">
      <w:pPr>
        <w:pStyle w:val="COMPara"/>
        <w:numPr>
          <w:ilvl w:val="0"/>
          <w:numId w:val="9"/>
        </w:numPr>
        <w:spacing w:before="120"/>
        <w:ind w:left="567" w:hanging="567"/>
        <w:jc w:val="both"/>
        <w:rPr>
          <w:lang w:val="fr-FR"/>
        </w:rPr>
      </w:pPr>
      <w:r w:rsidRPr="00F304BB">
        <w:rPr>
          <w:b/>
          <w:lang w:val="fr-FR"/>
        </w:rPr>
        <w:t>Viabilité et risques actuels</w:t>
      </w:r>
      <w:r w:rsidRPr="00F304BB">
        <w:rPr>
          <w:lang w:val="fr-FR"/>
        </w:rPr>
        <w:t xml:space="preserve">. </w:t>
      </w:r>
      <w:r>
        <w:rPr>
          <w:lang w:val="fr-FR"/>
        </w:rPr>
        <w:t>Suite aux</w:t>
      </w:r>
      <w:r w:rsidRPr="00F304BB">
        <w:rPr>
          <w:lang w:val="fr-FR"/>
        </w:rPr>
        <w:t xml:space="preserve"> activités de sauvegarde</w:t>
      </w:r>
      <w:r>
        <w:rPr>
          <w:lang w:val="fr-FR"/>
        </w:rPr>
        <w:t>,</w:t>
      </w:r>
      <w:r w:rsidRPr="00F304BB">
        <w:rPr>
          <w:lang w:val="fr-FR"/>
        </w:rPr>
        <w:t xml:space="preserve"> la viabilité de l</w:t>
      </w:r>
      <w:r w:rsidR="00655870">
        <w:rPr>
          <w:lang w:val="fr-FR"/>
        </w:rPr>
        <w:t>’</w:t>
      </w:r>
      <w:r w:rsidRPr="00F304BB">
        <w:rPr>
          <w:lang w:val="fr-FR"/>
        </w:rPr>
        <w:t xml:space="preserve">élément </w:t>
      </w:r>
      <w:r>
        <w:rPr>
          <w:lang w:val="fr-FR"/>
        </w:rPr>
        <w:t>a été renforcée quant à sa représentation ; t</w:t>
      </w:r>
      <w:r w:rsidRPr="00F304BB">
        <w:rPr>
          <w:lang w:val="fr-FR"/>
        </w:rPr>
        <w:t xml:space="preserve">outefois, certains </w:t>
      </w:r>
      <w:r>
        <w:rPr>
          <w:lang w:val="fr-FR"/>
        </w:rPr>
        <w:t xml:space="preserve">des </w:t>
      </w:r>
      <w:r w:rsidRPr="00F304BB">
        <w:rPr>
          <w:lang w:val="fr-FR"/>
        </w:rPr>
        <w:t xml:space="preserve">aspects </w:t>
      </w:r>
      <w:r>
        <w:rPr>
          <w:lang w:val="fr-FR"/>
        </w:rPr>
        <w:t xml:space="preserve">qui y sont </w:t>
      </w:r>
      <w:r w:rsidRPr="00F304BB">
        <w:rPr>
          <w:lang w:val="fr-FR"/>
        </w:rPr>
        <w:t xml:space="preserve">associés sont encore considérés comme nécessitant une sauvegarde </w:t>
      </w:r>
      <w:r w:rsidR="00587EE7">
        <w:rPr>
          <w:lang w:val="fr-FR"/>
        </w:rPr>
        <w:t>urgente</w:t>
      </w:r>
      <w:r w:rsidRPr="00F304BB">
        <w:rPr>
          <w:lang w:val="fr-FR"/>
        </w:rPr>
        <w:t>. Le rapport souligne plusieurs menaces et difficultés majeures, déjà mentionnées dans le dossier de candidature, telles que : la diminution du nombre de détenteur</w:t>
      </w:r>
      <w:r>
        <w:rPr>
          <w:lang w:val="fr-FR"/>
        </w:rPr>
        <w:t>s</w:t>
      </w:r>
      <w:r w:rsidRPr="00F304BB">
        <w:rPr>
          <w:lang w:val="fr-FR"/>
        </w:rPr>
        <w:t> ; le déclin du nombre de représentations en raison de l</w:t>
      </w:r>
      <w:r>
        <w:rPr>
          <w:lang w:val="fr-FR"/>
        </w:rPr>
        <w:t xml:space="preserve">a grande accessibilité </w:t>
      </w:r>
      <w:r w:rsidRPr="00F304BB">
        <w:rPr>
          <w:lang w:val="fr-FR"/>
        </w:rPr>
        <w:t>d</w:t>
      </w:r>
      <w:r w:rsidR="00655870">
        <w:rPr>
          <w:lang w:val="fr-FR"/>
        </w:rPr>
        <w:t>’</w:t>
      </w:r>
      <w:r w:rsidRPr="00F304BB">
        <w:rPr>
          <w:lang w:val="fr-FR"/>
        </w:rPr>
        <w:t>autres danses et musiques modernes ; l</w:t>
      </w:r>
      <w:r w:rsidR="00655870">
        <w:rPr>
          <w:lang w:val="fr-FR"/>
        </w:rPr>
        <w:t>’</w:t>
      </w:r>
      <w:r w:rsidRPr="00F304BB">
        <w:rPr>
          <w:lang w:val="fr-FR"/>
        </w:rPr>
        <w:t>émergence de</w:t>
      </w:r>
      <w:r>
        <w:rPr>
          <w:lang w:val="fr-FR"/>
        </w:rPr>
        <w:t>s</w:t>
      </w:r>
      <w:r w:rsidRPr="00F304BB">
        <w:rPr>
          <w:lang w:val="fr-FR"/>
        </w:rPr>
        <w:t xml:space="preserve"> modes de vie modernes ; les emplois du temps scolaires chargés qui empêchent les enfants d</w:t>
      </w:r>
      <w:r w:rsidR="00655870">
        <w:rPr>
          <w:lang w:val="fr-FR"/>
        </w:rPr>
        <w:t>’</w:t>
      </w:r>
      <w:r w:rsidRPr="00F304BB">
        <w:rPr>
          <w:lang w:val="fr-FR"/>
        </w:rPr>
        <w:t>apprendre la danse ; le manque de matières premières nécessaires à la fabrication des instruments de musique ; et la commercialisation rapide des instruments de musique. Selon l</w:t>
      </w:r>
      <w:r w:rsidR="00655870">
        <w:rPr>
          <w:lang w:val="fr-FR"/>
        </w:rPr>
        <w:t>’</w:t>
      </w:r>
      <w:r w:rsidRPr="00F304BB">
        <w:rPr>
          <w:lang w:val="fr-FR"/>
        </w:rPr>
        <w:t xml:space="preserve">État partie, ces risques pourraient être surmontés en renforçant les activités de sauvegarde et en </w:t>
      </w:r>
      <w:r>
        <w:rPr>
          <w:lang w:val="fr-FR"/>
        </w:rPr>
        <w:t>augmentant</w:t>
      </w:r>
      <w:r w:rsidRPr="00F304BB">
        <w:rPr>
          <w:lang w:val="fr-FR"/>
        </w:rPr>
        <w:t xml:space="preserve"> </w:t>
      </w:r>
      <w:r>
        <w:rPr>
          <w:lang w:val="fr-FR"/>
        </w:rPr>
        <w:t xml:space="preserve">les ressources </w:t>
      </w:r>
      <w:r w:rsidRPr="00F304BB">
        <w:rPr>
          <w:lang w:val="fr-FR"/>
        </w:rPr>
        <w:t>financi</w:t>
      </w:r>
      <w:r>
        <w:rPr>
          <w:lang w:val="fr-FR"/>
        </w:rPr>
        <w:t>ères</w:t>
      </w:r>
      <w:r w:rsidRPr="00F304BB">
        <w:rPr>
          <w:lang w:val="fr-FR"/>
        </w:rPr>
        <w:t xml:space="preserve"> à cet égard.</w:t>
      </w:r>
    </w:p>
    <w:p w14:paraId="2C21C3AA" w14:textId="77777777" w:rsidR="00D23C0B" w:rsidRPr="00F90057" w:rsidRDefault="00D23C0B" w:rsidP="00D23C0B">
      <w:pPr>
        <w:pStyle w:val="COMPara"/>
        <w:numPr>
          <w:ilvl w:val="0"/>
          <w:numId w:val="9"/>
        </w:numPr>
        <w:spacing w:before="120"/>
        <w:ind w:left="567" w:hanging="567"/>
        <w:jc w:val="both"/>
        <w:rPr>
          <w:lang w:val="fr-FR"/>
        </w:rPr>
      </w:pPr>
      <w:r w:rsidRPr="00F304BB">
        <w:rPr>
          <w:lang w:val="fr-FR"/>
        </w:rPr>
        <w:t>Le Comité souhaitera peut-être adopter la décision suivante :</w:t>
      </w:r>
    </w:p>
    <w:p w14:paraId="265C0EBA" w14:textId="7DF77DD0" w:rsidR="00D23C0B" w:rsidRPr="00F90057" w:rsidRDefault="00D23C0B" w:rsidP="00D23C0B">
      <w:pPr>
        <w:pStyle w:val="Heading4"/>
        <w:numPr>
          <w:ilvl w:val="0"/>
          <w:numId w:val="0"/>
        </w:numPr>
        <w:spacing w:before="240"/>
        <w:ind w:left="567"/>
        <w:rPr>
          <w:rFonts w:eastAsia="SimSun"/>
          <w:lang w:val="fr-FR"/>
        </w:rPr>
      </w:pPr>
      <w:bookmarkStart w:id="3" w:name="_PROJET_DE_DÉCISION_1"/>
      <w:bookmarkEnd w:id="3"/>
      <w:r w:rsidRPr="00F304BB">
        <w:rPr>
          <w:rFonts w:eastAsia="SimSun"/>
          <w:lang w:val="fr-FR"/>
        </w:rPr>
        <w:t xml:space="preserve">PROJET DE DÉCISION </w:t>
      </w:r>
      <w:r w:rsidR="00635386">
        <w:rPr>
          <w:rFonts w:eastAsia="SimSun"/>
          <w:lang w:val="fr-FR"/>
        </w:rPr>
        <w:t>1</w:t>
      </w:r>
      <w:r w:rsidR="00FF3CCD">
        <w:rPr>
          <w:rFonts w:eastAsia="SimSun"/>
          <w:lang w:val="fr-FR"/>
        </w:rPr>
        <w:t>4.COM 9.a.2</w:t>
      </w:r>
      <w:r w:rsidR="00FF3CCD">
        <w:rPr>
          <w:rFonts w:eastAsia="SimSun"/>
          <w:lang w:val="fr-FR"/>
        </w:rPr>
        <w:tab/>
      </w:r>
      <w:r w:rsidRPr="00F304BB">
        <w:rPr>
          <w:noProof/>
          <w:snapToGrid/>
          <w:szCs w:val="22"/>
          <w:lang w:val="fr-FR" w:eastAsia="ja-JP"/>
        </w:rPr>
        <w:drawing>
          <wp:inline distT="0" distB="0" distL="0" distR="0" wp14:anchorId="53E8CDFF" wp14:editId="2533A19B">
            <wp:extent cx="103505" cy="103505"/>
            <wp:effectExtent l="0" t="0" r="0" b="0"/>
            <wp:docPr id="11" name="Picture 1"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3505" cy="103505"/>
                    </a:xfrm>
                    <a:prstGeom prst="rect">
                      <a:avLst/>
                    </a:prstGeom>
                    <a:noFill/>
                    <a:ln>
                      <a:noFill/>
                    </a:ln>
                  </pic:spPr>
                </pic:pic>
              </a:graphicData>
            </a:graphic>
          </wp:inline>
        </w:drawing>
      </w:r>
    </w:p>
    <w:p w14:paraId="34ADB15D" w14:textId="77777777" w:rsidR="00D23C0B" w:rsidRPr="00F304BB" w:rsidRDefault="00D23C0B" w:rsidP="00D23C0B">
      <w:pPr>
        <w:pStyle w:val="COMPreambulaDecisions"/>
        <w:rPr>
          <w:rFonts w:eastAsia="SimSun"/>
        </w:rPr>
      </w:pPr>
      <w:r w:rsidRPr="00F304BB">
        <w:rPr>
          <w:lang w:val="fr-FR"/>
        </w:rPr>
        <w:t>Le Comité,</w:t>
      </w:r>
    </w:p>
    <w:p w14:paraId="067A14AE" w14:textId="0CAB3B60" w:rsidR="00D23C0B" w:rsidRPr="00F90057" w:rsidRDefault="00D23C0B" w:rsidP="00D23C0B">
      <w:pPr>
        <w:pStyle w:val="COMParaDecision"/>
        <w:numPr>
          <w:ilvl w:val="0"/>
          <w:numId w:val="20"/>
        </w:numPr>
        <w:tabs>
          <w:tab w:val="left" w:pos="1134"/>
        </w:tabs>
        <w:ind w:left="1134" w:hanging="567"/>
        <w:rPr>
          <w:u w:val="none"/>
          <w:lang w:val="fr-FR"/>
        </w:rPr>
      </w:pPr>
      <w:r w:rsidRPr="00F304BB">
        <w:rPr>
          <w:lang w:val="fr-FR"/>
        </w:rPr>
        <w:t>Ayant examiné</w:t>
      </w:r>
      <w:r w:rsidRPr="00F304BB">
        <w:rPr>
          <w:u w:val="none"/>
          <w:lang w:val="fr-FR"/>
        </w:rPr>
        <w:t xml:space="preserve"> le document LHE/19/14.COM/</w:t>
      </w:r>
      <w:proofErr w:type="gramStart"/>
      <w:r w:rsidRPr="00F304BB">
        <w:rPr>
          <w:u w:val="none"/>
          <w:lang w:val="fr-FR"/>
        </w:rPr>
        <w:t>9.a</w:t>
      </w:r>
      <w:proofErr w:type="gramEnd"/>
      <w:r w:rsidR="00CD4E9F">
        <w:rPr>
          <w:u w:val="none"/>
          <w:lang w:val="fr-FR"/>
        </w:rPr>
        <w:t> </w:t>
      </w:r>
      <w:proofErr w:type="spellStart"/>
      <w:r w:rsidR="00CD4E9F">
        <w:rPr>
          <w:u w:val="none"/>
          <w:lang w:val="fr-FR"/>
        </w:rPr>
        <w:t>Rev</w:t>
      </w:r>
      <w:proofErr w:type="spellEnd"/>
      <w:r w:rsidR="00CD4E9F">
        <w:rPr>
          <w:u w:val="none"/>
          <w:lang w:val="fr-FR"/>
        </w:rPr>
        <w:t>.</w:t>
      </w:r>
      <w:r w:rsidRPr="00F304BB">
        <w:rPr>
          <w:u w:val="none"/>
          <w:lang w:val="fr-FR"/>
        </w:rPr>
        <w:t>,</w:t>
      </w:r>
    </w:p>
    <w:p w14:paraId="14780D2A" w14:textId="69D9DA9C" w:rsidR="00D23C0B" w:rsidRPr="00F90057" w:rsidRDefault="00D23C0B" w:rsidP="00D23C0B">
      <w:pPr>
        <w:pStyle w:val="COMParaDecision"/>
        <w:numPr>
          <w:ilvl w:val="0"/>
          <w:numId w:val="20"/>
        </w:numPr>
        <w:tabs>
          <w:tab w:val="left" w:pos="1134"/>
        </w:tabs>
        <w:ind w:left="1134" w:hanging="567"/>
        <w:rPr>
          <w:u w:val="none"/>
          <w:lang w:val="fr-FR"/>
        </w:rPr>
      </w:pPr>
      <w:r w:rsidRPr="00F304BB">
        <w:rPr>
          <w:lang w:val="fr-FR"/>
        </w:rPr>
        <w:t>Rappelant</w:t>
      </w:r>
      <w:r w:rsidRPr="00F304BB">
        <w:rPr>
          <w:u w:val="none"/>
          <w:lang w:val="fr-FR"/>
        </w:rPr>
        <w:t xml:space="preserve"> le Chapitre V des Directives opérationnelles et sa </w:t>
      </w:r>
      <w:hyperlink r:id="rId31" w:history="1">
        <w:r w:rsidR="00FF3CCD">
          <w:rPr>
            <w:rStyle w:val="Hyperlink"/>
            <w:lang w:val="fr-FR"/>
          </w:rPr>
          <w:t>d</w:t>
        </w:r>
        <w:r w:rsidRPr="00C64CF7">
          <w:rPr>
            <w:rStyle w:val="Hyperlink"/>
            <w:lang w:val="fr-FR"/>
          </w:rPr>
          <w:t>écision 9.COM 9.a.5</w:t>
        </w:r>
      </w:hyperlink>
      <w:r w:rsidRPr="00F304BB">
        <w:rPr>
          <w:u w:val="none"/>
          <w:lang w:val="fr-FR"/>
        </w:rPr>
        <w:t>,</w:t>
      </w:r>
    </w:p>
    <w:p w14:paraId="5C9DAF57" w14:textId="7402EAE0" w:rsidR="00D23C0B" w:rsidRPr="00F90057" w:rsidRDefault="00FE7A0B" w:rsidP="00D23C0B">
      <w:pPr>
        <w:pStyle w:val="COMParaDecision"/>
        <w:numPr>
          <w:ilvl w:val="0"/>
          <w:numId w:val="20"/>
        </w:numPr>
        <w:tabs>
          <w:tab w:val="left" w:pos="1134"/>
        </w:tabs>
        <w:ind w:left="1134" w:hanging="567"/>
        <w:rPr>
          <w:u w:val="none"/>
          <w:lang w:val="fr-FR"/>
        </w:rPr>
      </w:pPr>
      <w:r>
        <w:rPr>
          <w:lang w:val="fr-FR"/>
        </w:rPr>
        <w:t>Remercie le</w:t>
      </w:r>
      <w:r w:rsidR="00D23C0B" w:rsidRPr="00F304BB">
        <w:rPr>
          <w:u w:val="none"/>
          <w:lang w:val="fr-FR"/>
        </w:rPr>
        <w:t xml:space="preserve"> Kenya </w:t>
      </w:r>
      <w:r>
        <w:rPr>
          <w:u w:val="none"/>
          <w:lang w:val="fr-FR"/>
        </w:rPr>
        <w:t>d’</w:t>
      </w:r>
      <w:r w:rsidR="00D23C0B">
        <w:rPr>
          <w:u w:val="none"/>
          <w:lang w:val="fr-FR"/>
        </w:rPr>
        <w:t>avoir soumis</w:t>
      </w:r>
      <w:r w:rsidR="00D23C0B" w:rsidRPr="004C7D40">
        <w:rPr>
          <w:u w:val="none"/>
          <w:lang w:val="fr-FR"/>
        </w:rPr>
        <w:t>, dans les délais</w:t>
      </w:r>
      <w:r w:rsidR="00D23C0B" w:rsidRPr="00F304BB">
        <w:rPr>
          <w:u w:val="none"/>
          <w:lang w:val="fr-FR"/>
        </w:rPr>
        <w:t>, son deuxième rapport sur l</w:t>
      </w:r>
      <w:r w:rsidR="00655870">
        <w:rPr>
          <w:u w:val="none"/>
          <w:lang w:val="fr-FR"/>
        </w:rPr>
        <w:t>’</w:t>
      </w:r>
      <w:r w:rsidR="00D23C0B" w:rsidRPr="00F304BB">
        <w:rPr>
          <w:u w:val="none"/>
          <w:lang w:val="fr-FR"/>
        </w:rPr>
        <w:t>état de l</w:t>
      </w:r>
      <w:r w:rsidR="00655870">
        <w:rPr>
          <w:u w:val="none"/>
          <w:lang w:val="fr-FR"/>
        </w:rPr>
        <w:t>’</w:t>
      </w:r>
      <w:r w:rsidR="00D23C0B" w:rsidRPr="00F304BB">
        <w:rPr>
          <w:u w:val="none"/>
          <w:lang w:val="fr-FR"/>
        </w:rPr>
        <w:t xml:space="preserve">élément « La danse </w:t>
      </w:r>
      <w:proofErr w:type="spellStart"/>
      <w:r w:rsidR="00D23C0B" w:rsidRPr="00F304BB">
        <w:rPr>
          <w:u w:val="none"/>
          <w:lang w:val="fr-FR"/>
        </w:rPr>
        <w:t>Isukuti</w:t>
      </w:r>
      <w:proofErr w:type="spellEnd"/>
      <w:r w:rsidR="00D23C0B" w:rsidRPr="00F304BB">
        <w:rPr>
          <w:u w:val="none"/>
          <w:lang w:val="fr-FR"/>
        </w:rPr>
        <w:t xml:space="preserve"> des communautés </w:t>
      </w:r>
      <w:proofErr w:type="spellStart"/>
      <w:r w:rsidR="00D23C0B" w:rsidRPr="00F304BB">
        <w:rPr>
          <w:u w:val="none"/>
          <w:lang w:val="fr-FR"/>
        </w:rPr>
        <w:t>Isukha</w:t>
      </w:r>
      <w:proofErr w:type="spellEnd"/>
      <w:r w:rsidR="00D23C0B" w:rsidRPr="00F304BB">
        <w:rPr>
          <w:u w:val="none"/>
          <w:lang w:val="fr-FR"/>
        </w:rPr>
        <w:t xml:space="preserve"> et </w:t>
      </w:r>
      <w:proofErr w:type="spellStart"/>
      <w:r w:rsidR="00D23C0B" w:rsidRPr="00F304BB">
        <w:rPr>
          <w:u w:val="none"/>
          <w:lang w:val="fr-FR"/>
        </w:rPr>
        <w:t>Idakho</w:t>
      </w:r>
      <w:proofErr w:type="spellEnd"/>
      <w:r w:rsidR="00D23C0B" w:rsidRPr="00F304BB">
        <w:rPr>
          <w:u w:val="none"/>
          <w:lang w:val="fr-FR"/>
        </w:rPr>
        <w:t xml:space="preserve"> de l</w:t>
      </w:r>
      <w:r w:rsidR="00655870">
        <w:rPr>
          <w:u w:val="none"/>
          <w:lang w:val="fr-FR"/>
        </w:rPr>
        <w:t>’</w:t>
      </w:r>
      <w:r w:rsidR="00D23C0B" w:rsidRPr="00F304BB">
        <w:rPr>
          <w:u w:val="none"/>
          <w:lang w:val="fr-FR"/>
        </w:rPr>
        <w:t>ouest du Kenya », inscrit en 2014 sur la Liste du patrimoine culturel immatériel nécessitant une sauvegarde urgente</w:t>
      </w:r>
      <w:r w:rsidR="00115616">
        <w:rPr>
          <w:u w:val="none"/>
          <w:lang w:val="fr-FR"/>
        </w:rPr>
        <w:t> </w:t>
      </w:r>
      <w:r w:rsidR="00D23C0B" w:rsidRPr="00F304BB">
        <w:rPr>
          <w:u w:val="none"/>
          <w:lang w:val="fr-FR"/>
        </w:rPr>
        <w:t>;</w:t>
      </w:r>
    </w:p>
    <w:p w14:paraId="285C8774" w14:textId="2B38415C" w:rsidR="00D23C0B" w:rsidRPr="00F90057" w:rsidRDefault="00D23C0B" w:rsidP="00D23C0B">
      <w:pPr>
        <w:pStyle w:val="COMParaDecision"/>
        <w:numPr>
          <w:ilvl w:val="0"/>
          <w:numId w:val="20"/>
        </w:numPr>
        <w:tabs>
          <w:tab w:val="left" w:pos="1134"/>
        </w:tabs>
        <w:ind w:left="1134" w:hanging="567"/>
        <w:rPr>
          <w:lang w:val="fr-FR"/>
        </w:rPr>
      </w:pPr>
      <w:r w:rsidRPr="00F304BB">
        <w:rPr>
          <w:lang w:val="fr-FR"/>
        </w:rPr>
        <w:t>Prend note</w:t>
      </w:r>
      <w:r>
        <w:rPr>
          <w:u w:val="none"/>
          <w:lang w:val="fr-FR"/>
        </w:rPr>
        <w:t xml:space="preserve"> des efforts </w:t>
      </w:r>
      <w:r w:rsidR="00FE7A0B">
        <w:rPr>
          <w:u w:val="none"/>
          <w:lang w:val="fr-FR"/>
        </w:rPr>
        <w:t xml:space="preserve">constants </w:t>
      </w:r>
      <w:r>
        <w:rPr>
          <w:u w:val="none"/>
          <w:lang w:val="fr-FR"/>
        </w:rPr>
        <w:t>déployés par le Kenya pour sauvegarder l</w:t>
      </w:r>
      <w:r w:rsidR="00655870">
        <w:rPr>
          <w:u w:val="none"/>
          <w:lang w:val="fr-FR"/>
        </w:rPr>
        <w:t>’</w:t>
      </w:r>
      <w:r>
        <w:rPr>
          <w:u w:val="none"/>
          <w:lang w:val="fr-FR"/>
        </w:rPr>
        <w:t>élément, en particulier en offrant aux détenteurs la possibilité de transmettre leurs connaissances aux jeunes générations à travers des ateliers et des activités de renforcement des capacités, en approfondissant les recherches et la documentation sur la pratique, en mettant en œuvre des programmes de sensibilisation à grande échelle ; et en permettant de fabriquer les instruments de musique grâce à une gestion durable des ressources naturelles et des matières premières nécessaires ;</w:t>
      </w:r>
    </w:p>
    <w:p w14:paraId="00C547BC" w14:textId="16C1BE75" w:rsidR="00D23C0B" w:rsidRPr="00F90057" w:rsidRDefault="00D23C0B" w:rsidP="00D23C0B">
      <w:pPr>
        <w:pStyle w:val="COMParaDecision"/>
        <w:numPr>
          <w:ilvl w:val="0"/>
          <w:numId w:val="20"/>
        </w:numPr>
        <w:tabs>
          <w:tab w:val="left" w:pos="1134"/>
        </w:tabs>
        <w:ind w:left="1134" w:hanging="567"/>
        <w:rPr>
          <w:lang w:val="fr-FR"/>
        </w:rPr>
      </w:pPr>
      <w:r w:rsidRPr="00F304BB">
        <w:rPr>
          <w:lang w:val="fr-FR"/>
        </w:rPr>
        <w:t>Invite</w:t>
      </w:r>
      <w:r>
        <w:rPr>
          <w:u w:val="none"/>
          <w:lang w:val="fr-FR"/>
        </w:rPr>
        <w:t xml:space="preserve"> l</w:t>
      </w:r>
      <w:r w:rsidR="00655870">
        <w:rPr>
          <w:u w:val="none"/>
          <w:lang w:val="fr-FR"/>
        </w:rPr>
        <w:t>’</w:t>
      </w:r>
      <w:r>
        <w:rPr>
          <w:u w:val="none"/>
          <w:lang w:val="fr-FR"/>
        </w:rPr>
        <w:t xml:space="preserve">État partie à </w:t>
      </w:r>
      <w:r w:rsidR="00FE7A0B">
        <w:rPr>
          <w:u w:val="none"/>
          <w:lang w:val="fr-FR"/>
        </w:rPr>
        <w:t>poursuivre la mise en</w:t>
      </w:r>
      <w:r>
        <w:rPr>
          <w:u w:val="none"/>
          <w:lang w:val="fr-FR"/>
        </w:rPr>
        <w:t xml:space="preserve"> œuvre</w:t>
      </w:r>
      <w:r w:rsidR="00FE7A0B">
        <w:rPr>
          <w:u w:val="none"/>
          <w:lang w:val="fr-FR"/>
        </w:rPr>
        <w:t xml:space="preserve"> efficace</w:t>
      </w:r>
      <w:r>
        <w:rPr>
          <w:u w:val="none"/>
          <w:lang w:val="fr-FR"/>
        </w:rPr>
        <w:t xml:space="preserve"> </w:t>
      </w:r>
      <w:r w:rsidR="00FE7A0B">
        <w:rPr>
          <w:u w:val="none"/>
          <w:lang w:val="fr-FR"/>
        </w:rPr>
        <w:t>du</w:t>
      </w:r>
      <w:r>
        <w:rPr>
          <w:u w:val="none"/>
          <w:lang w:val="fr-FR"/>
        </w:rPr>
        <w:t xml:space="preserve"> plan de sauvegarde, tout en prêtant une attention particulière à l</w:t>
      </w:r>
      <w:r w:rsidR="00655870">
        <w:rPr>
          <w:u w:val="none"/>
          <w:lang w:val="fr-FR"/>
        </w:rPr>
        <w:t>’</w:t>
      </w:r>
      <w:r>
        <w:rPr>
          <w:u w:val="none"/>
          <w:lang w:val="fr-FR"/>
        </w:rPr>
        <w:t>amélioration de la viabilité des aspects associés à l</w:t>
      </w:r>
      <w:r w:rsidR="00655870">
        <w:rPr>
          <w:u w:val="none"/>
          <w:lang w:val="fr-FR"/>
        </w:rPr>
        <w:t>’</w:t>
      </w:r>
      <w:r>
        <w:rPr>
          <w:u w:val="none"/>
          <w:lang w:val="fr-FR"/>
        </w:rPr>
        <w:t>élément, comme ses références traditionnelles et symboliques ; à renforcer ses efforts pour intégrer la pratique de l</w:t>
      </w:r>
      <w:r w:rsidR="00655870">
        <w:rPr>
          <w:u w:val="none"/>
          <w:lang w:val="fr-FR"/>
        </w:rPr>
        <w:t>’</w:t>
      </w:r>
      <w:r>
        <w:rPr>
          <w:u w:val="none"/>
          <w:lang w:val="fr-FR"/>
        </w:rPr>
        <w:t xml:space="preserve">élément aux programmes scolaires ; et à créer un centre culturel à </w:t>
      </w:r>
      <w:proofErr w:type="spellStart"/>
      <w:r>
        <w:rPr>
          <w:u w:val="none"/>
          <w:lang w:val="fr-FR"/>
        </w:rPr>
        <w:t>Kakamega</w:t>
      </w:r>
      <w:proofErr w:type="spellEnd"/>
      <w:r>
        <w:rPr>
          <w:u w:val="none"/>
          <w:lang w:val="fr-FR"/>
        </w:rPr>
        <w:t>, tel qu</w:t>
      </w:r>
      <w:r w:rsidR="00655870">
        <w:rPr>
          <w:u w:val="none"/>
          <w:lang w:val="fr-FR"/>
        </w:rPr>
        <w:t>’</w:t>
      </w:r>
      <w:r>
        <w:rPr>
          <w:u w:val="none"/>
          <w:lang w:val="fr-FR"/>
        </w:rPr>
        <w:t>initialement prévu dans le plan de sauvegarde ;</w:t>
      </w:r>
    </w:p>
    <w:p w14:paraId="2B5D9B90" w14:textId="5E321B20" w:rsidR="00D23C0B" w:rsidRPr="00F90057" w:rsidRDefault="00D23C0B" w:rsidP="00D23C0B">
      <w:pPr>
        <w:pStyle w:val="COMParaDecision"/>
        <w:numPr>
          <w:ilvl w:val="0"/>
          <w:numId w:val="20"/>
        </w:numPr>
        <w:tabs>
          <w:tab w:val="left" w:pos="1134"/>
        </w:tabs>
        <w:ind w:left="1134" w:hanging="567"/>
        <w:rPr>
          <w:lang w:val="fr-FR"/>
        </w:rPr>
      </w:pPr>
      <w:r w:rsidRPr="00F304BB">
        <w:rPr>
          <w:lang w:val="fr-FR"/>
        </w:rPr>
        <w:t>Encourage</w:t>
      </w:r>
      <w:r>
        <w:rPr>
          <w:u w:val="none"/>
          <w:lang w:val="fr-FR"/>
        </w:rPr>
        <w:t xml:space="preserve"> l</w:t>
      </w:r>
      <w:r w:rsidR="00655870">
        <w:rPr>
          <w:u w:val="none"/>
          <w:lang w:val="fr-FR"/>
        </w:rPr>
        <w:t>’</w:t>
      </w:r>
      <w:r>
        <w:rPr>
          <w:u w:val="none"/>
          <w:lang w:val="fr-FR"/>
        </w:rPr>
        <w:t xml:space="preserve">État partie à favoriser la formation et les activités éducatives, à </w:t>
      </w:r>
      <w:r w:rsidR="00FE7A0B">
        <w:rPr>
          <w:u w:val="none"/>
          <w:lang w:val="fr-FR"/>
        </w:rPr>
        <w:t>surveiller</w:t>
      </w:r>
      <w:r>
        <w:rPr>
          <w:u w:val="none"/>
          <w:lang w:val="fr-FR"/>
        </w:rPr>
        <w:t>, avec l</w:t>
      </w:r>
      <w:r w:rsidR="00655870">
        <w:rPr>
          <w:u w:val="none"/>
          <w:lang w:val="fr-FR"/>
        </w:rPr>
        <w:t>’</w:t>
      </w:r>
      <w:r>
        <w:rPr>
          <w:u w:val="none"/>
          <w:lang w:val="fr-FR"/>
        </w:rPr>
        <w:t xml:space="preserve">aide des organisations </w:t>
      </w:r>
      <w:r w:rsidR="00DA1F8F">
        <w:rPr>
          <w:u w:val="none"/>
          <w:lang w:val="fr-FR"/>
        </w:rPr>
        <w:t>des communautés</w:t>
      </w:r>
      <w:r>
        <w:rPr>
          <w:u w:val="none"/>
          <w:lang w:val="fr-FR"/>
        </w:rPr>
        <w:t>, les éventuels effets négatifs liés à la commercialisation et au déclin du mode de vie des détenteurs, et à</w:t>
      </w:r>
      <w:r w:rsidRPr="003F3BC6">
        <w:rPr>
          <w:u w:val="none"/>
          <w:lang w:val="fr-FR"/>
        </w:rPr>
        <w:t xml:space="preserve"> veiller à ce que les ressources nécessaires à un plan de sauvegarde à long terme soient identifiées</w:t>
      </w:r>
      <w:r>
        <w:rPr>
          <w:u w:val="none"/>
          <w:lang w:val="fr-FR"/>
        </w:rPr>
        <w:t> ;</w:t>
      </w:r>
    </w:p>
    <w:p w14:paraId="4125B9DB" w14:textId="7D9DDB28" w:rsidR="00D23C0B" w:rsidRPr="007663C2" w:rsidRDefault="00D23C0B" w:rsidP="00D23C0B">
      <w:pPr>
        <w:pStyle w:val="COMParaDecision"/>
        <w:numPr>
          <w:ilvl w:val="0"/>
          <w:numId w:val="10"/>
        </w:numPr>
        <w:tabs>
          <w:tab w:val="left" w:pos="1134"/>
        </w:tabs>
        <w:ind w:left="1134" w:hanging="567"/>
        <w:rPr>
          <w:lang w:val="fr-FR"/>
        </w:rPr>
      </w:pPr>
      <w:r>
        <w:rPr>
          <w:lang w:val="fr-FR"/>
        </w:rPr>
        <w:t>Prie</w:t>
      </w:r>
      <w:r>
        <w:rPr>
          <w:u w:val="none"/>
          <w:lang w:val="fr-FR"/>
        </w:rPr>
        <w:t xml:space="preserve"> le Secrétariat d</w:t>
      </w:r>
      <w:r w:rsidR="00655870">
        <w:rPr>
          <w:u w:val="none"/>
          <w:lang w:val="fr-FR"/>
        </w:rPr>
        <w:t>’</w:t>
      </w:r>
      <w:r>
        <w:rPr>
          <w:u w:val="none"/>
          <w:lang w:val="fr-FR"/>
        </w:rPr>
        <w:t>informer l</w:t>
      </w:r>
      <w:r w:rsidR="00655870">
        <w:rPr>
          <w:u w:val="none"/>
          <w:lang w:val="fr-FR"/>
        </w:rPr>
        <w:t>’</w:t>
      </w:r>
      <w:r>
        <w:rPr>
          <w:u w:val="none"/>
          <w:lang w:val="fr-FR"/>
        </w:rPr>
        <w:t>État partie, au moins neuf mois avant l</w:t>
      </w:r>
      <w:r w:rsidR="00655870">
        <w:rPr>
          <w:u w:val="none"/>
          <w:lang w:val="fr-FR"/>
        </w:rPr>
        <w:t>’</w:t>
      </w:r>
      <w:r>
        <w:rPr>
          <w:u w:val="none"/>
          <w:lang w:val="fr-FR"/>
        </w:rPr>
        <w:t>échéance du 15 décembre 2022, qu</w:t>
      </w:r>
      <w:r w:rsidR="00655870">
        <w:rPr>
          <w:u w:val="none"/>
          <w:lang w:val="fr-FR"/>
        </w:rPr>
        <w:t>’</w:t>
      </w:r>
      <w:r>
        <w:rPr>
          <w:u w:val="none"/>
          <w:lang w:val="fr-FR"/>
        </w:rPr>
        <w:t>il doit soumettre son prochain rapport sur l</w:t>
      </w:r>
      <w:r w:rsidR="00655870">
        <w:rPr>
          <w:u w:val="none"/>
          <w:lang w:val="fr-FR"/>
        </w:rPr>
        <w:t>’</w:t>
      </w:r>
      <w:r>
        <w:rPr>
          <w:u w:val="none"/>
          <w:lang w:val="fr-FR"/>
        </w:rPr>
        <w:t>état de cet élément.</w:t>
      </w:r>
      <w:r w:rsidRPr="00D42C53">
        <w:rPr>
          <w:b/>
          <w:lang w:val="fr-FR"/>
        </w:rPr>
        <w:br w:type="page"/>
      </w:r>
    </w:p>
    <w:p w14:paraId="5F57E408" w14:textId="1EF03CFD" w:rsidR="00D23C0B" w:rsidRPr="00F90057" w:rsidRDefault="00D23C0B" w:rsidP="00D23C0B">
      <w:pPr>
        <w:pStyle w:val="COMParaDecision"/>
        <w:ind w:left="567"/>
        <w:rPr>
          <w:u w:val="none"/>
          <w:lang w:val="fr-FR"/>
        </w:rPr>
      </w:pPr>
      <w:r>
        <w:rPr>
          <w:b/>
          <w:u w:val="none"/>
          <w:lang w:val="fr-FR"/>
        </w:rPr>
        <w:lastRenderedPageBreak/>
        <w:t xml:space="preserve">Ouganda : « La cérémonie de purification des garçons chez les </w:t>
      </w:r>
      <w:proofErr w:type="spellStart"/>
      <w:r>
        <w:rPr>
          <w:b/>
          <w:u w:val="none"/>
          <w:lang w:val="fr-FR"/>
        </w:rPr>
        <w:t>Lango</w:t>
      </w:r>
      <w:proofErr w:type="spellEnd"/>
      <w:r>
        <w:rPr>
          <w:b/>
          <w:u w:val="none"/>
          <w:lang w:val="fr-FR"/>
        </w:rPr>
        <w:t xml:space="preserve"> du centre-nord de l</w:t>
      </w:r>
      <w:r w:rsidR="00655870">
        <w:rPr>
          <w:b/>
          <w:u w:val="none"/>
          <w:lang w:val="fr-FR"/>
        </w:rPr>
        <w:t>’</w:t>
      </w:r>
      <w:r>
        <w:rPr>
          <w:b/>
          <w:u w:val="none"/>
          <w:lang w:val="fr-FR"/>
        </w:rPr>
        <w:t xml:space="preserve">Ouganda » </w:t>
      </w:r>
      <w:r w:rsidRPr="00131978">
        <w:rPr>
          <w:i/>
          <w:u w:val="none"/>
          <w:lang w:val="fr-FR"/>
        </w:rPr>
        <w:t>(</w:t>
      </w:r>
      <w:r w:rsidRPr="00635386">
        <w:rPr>
          <w:i/>
          <w:u w:val="none"/>
          <w:lang w:val="fr-FR"/>
        </w:rPr>
        <w:t xml:space="preserve">consulter le </w:t>
      </w:r>
      <w:hyperlink r:id="rId32" w:history="1">
        <w:r w:rsidRPr="00635386">
          <w:rPr>
            <w:rStyle w:val="Hyperlink"/>
            <w:i/>
            <w:lang w:val="fr-FR"/>
          </w:rPr>
          <w:t>rapport</w:t>
        </w:r>
      </w:hyperlink>
      <w:r w:rsidRPr="00635386">
        <w:rPr>
          <w:i/>
          <w:u w:val="none"/>
          <w:lang w:val="fr-FR"/>
        </w:rPr>
        <w:t>)</w:t>
      </w:r>
    </w:p>
    <w:p w14:paraId="49D3E46B" w14:textId="0A7449EA" w:rsidR="00D23C0B" w:rsidRPr="00F90057" w:rsidRDefault="00D23C0B" w:rsidP="00D23C0B">
      <w:pPr>
        <w:pStyle w:val="COMPara"/>
        <w:numPr>
          <w:ilvl w:val="0"/>
          <w:numId w:val="9"/>
        </w:numPr>
        <w:spacing w:before="120"/>
        <w:ind w:left="567" w:hanging="567"/>
        <w:jc w:val="both"/>
        <w:rPr>
          <w:lang w:val="fr-FR"/>
        </w:rPr>
      </w:pPr>
      <w:r>
        <w:rPr>
          <w:lang w:val="fr-FR"/>
        </w:rPr>
        <w:t xml:space="preserve">La cérémonie de purification des garçons, pratiquée chez les </w:t>
      </w:r>
      <w:proofErr w:type="spellStart"/>
      <w:r>
        <w:rPr>
          <w:lang w:val="fr-FR"/>
        </w:rPr>
        <w:t>Lango</w:t>
      </w:r>
      <w:proofErr w:type="spellEnd"/>
      <w:r>
        <w:rPr>
          <w:lang w:val="fr-FR"/>
        </w:rPr>
        <w:t xml:space="preserve"> du centre-nord de l</w:t>
      </w:r>
      <w:r w:rsidR="00655870">
        <w:rPr>
          <w:lang w:val="fr-FR"/>
        </w:rPr>
        <w:t>’</w:t>
      </w:r>
      <w:r>
        <w:rPr>
          <w:lang w:val="fr-FR"/>
        </w:rPr>
        <w:t>Ouganda, est un rituel de guérison des garçons supposés avoir perdu leur masculinité en raison du non-respect de certaines normes et procédures durant les trois premiers jours suivant sa naissance. Pendant la cérémonie, la mère et l</w:t>
      </w:r>
      <w:r w:rsidR="00655870">
        <w:rPr>
          <w:lang w:val="fr-FR"/>
        </w:rPr>
        <w:t>’</w:t>
      </w:r>
      <w:r>
        <w:rPr>
          <w:lang w:val="fr-FR"/>
        </w:rPr>
        <w:t>enfant restent à la maison pendant trois jours et mangent du porridge de millet sans sucre. Le troisième jour, la mère et l</w:t>
      </w:r>
      <w:r w:rsidR="00655870">
        <w:rPr>
          <w:lang w:val="fr-FR"/>
        </w:rPr>
        <w:t>’</w:t>
      </w:r>
      <w:r>
        <w:rPr>
          <w:lang w:val="fr-FR"/>
        </w:rPr>
        <w:t>enfant sortent de la maison et s</w:t>
      </w:r>
      <w:r w:rsidR="00655870">
        <w:rPr>
          <w:lang w:val="fr-FR"/>
        </w:rPr>
        <w:t>’</w:t>
      </w:r>
      <w:r>
        <w:rPr>
          <w:lang w:val="fr-FR"/>
        </w:rPr>
        <w:t>assoient à l</w:t>
      </w:r>
      <w:r w:rsidR="00655870">
        <w:rPr>
          <w:lang w:val="fr-FR"/>
        </w:rPr>
        <w:t>’</w:t>
      </w:r>
      <w:r>
        <w:rPr>
          <w:lang w:val="fr-FR"/>
        </w:rPr>
        <w:t>entrée, accompagnés d</w:t>
      </w:r>
      <w:r w:rsidR="00655870">
        <w:rPr>
          <w:lang w:val="fr-FR"/>
        </w:rPr>
        <w:t>’</w:t>
      </w:r>
      <w:r>
        <w:rPr>
          <w:lang w:val="fr-FR"/>
        </w:rPr>
        <w:t>un cousin paternel. Les cheveux de l</w:t>
      </w:r>
      <w:r w:rsidR="00655870">
        <w:rPr>
          <w:lang w:val="fr-FR"/>
        </w:rPr>
        <w:t>’</w:t>
      </w:r>
      <w:r>
        <w:rPr>
          <w:lang w:val="fr-FR"/>
        </w:rPr>
        <w:t>enfant sont coupés et tressés en cordelettes, mélangés à de l</w:t>
      </w:r>
      <w:r w:rsidR="00655870">
        <w:rPr>
          <w:lang w:val="fr-FR"/>
        </w:rPr>
        <w:t>’</w:t>
      </w:r>
      <w:r>
        <w:rPr>
          <w:lang w:val="fr-FR"/>
        </w:rPr>
        <w:t>écorce de ficus ramollie et du beurre de karité pour être noués au cou, aux poignets et à la taille de l</w:t>
      </w:r>
      <w:r w:rsidR="00655870">
        <w:rPr>
          <w:lang w:val="fr-FR"/>
        </w:rPr>
        <w:t>’</w:t>
      </w:r>
      <w:r>
        <w:rPr>
          <w:lang w:val="fr-FR"/>
        </w:rPr>
        <w:t>enfant. Le reste de cordelettes est roulé en boule et jeté trois fois sur la mère, le cousin et l</w:t>
      </w:r>
      <w:r w:rsidR="00655870">
        <w:rPr>
          <w:lang w:val="fr-FR"/>
        </w:rPr>
        <w:t>’</w:t>
      </w:r>
      <w:r>
        <w:rPr>
          <w:lang w:val="fr-FR"/>
        </w:rPr>
        <w:t>enfant. Les trois personnes sont badigeonnées de beurre de karité et se font servir de la purée de pois, du pain de millet et une boisson à base de millet et de levure. Les réjouissances commencent alors avec des hululements, des chants et des danses, confirmant que l</w:t>
      </w:r>
      <w:r w:rsidR="00655870">
        <w:rPr>
          <w:lang w:val="fr-FR"/>
        </w:rPr>
        <w:t>’</w:t>
      </w:r>
      <w:r>
        <w:rPr>
          <w:lang w:val="fr-FR"/>
        </w:rPr>
        <w:t>enfant a retrouvé sa masculinité. Cette cérémonie favorise la réconciliation, restaure le statut social de l</w:t>
      </w:r>
      <w:r w:rsidR="00655870">
        <w:rPr>
          <w:lang w:val="fr-FR"/>
        </w:rPr>
        <w:t>’</w:t>
      </w:r>
      <w:r>
        <w:rPr>
          <w:lang w:val="fr-FR"/>
        </w:rPr>
        <w:t>enfant et crée un sentiment d</w:t>
      </w:r>
      <w:r w:rsidR="00655870">
        <w:rPr>
          <w:lang w:val="fr-FR"/>
        </w:rPr>
        <w:t>’</w:t>
      </w:r>
      <w:r>
        <w:rPr>
          <w:lang w:val="fr-FR"/>
        </w:rPr>
        <w:t>identité ainsi que de prolongement de la vie, à la fois dans le temps et dans l</w:t>
      </w:r>
      <w:r w:rsidR="00655870">
        <w:rPr>
          <w:lang w:val="fr-FR"/>
        </w:rPr>
        <w:t>’</w:t>
      </w:r>
      <w:r>
        <w:rPr>
          <w:lang w:val="fr-FR"/>
        </w:rPr>
        <w:t>espace, en permettant la reproduction d</w:t>
      </w:r>
      <w:r w:rsidR="00655870">
        <w:rPr>
          <w:lang w:val="fr-FR"/>
        </w:rPr>
        <w:t>’</w:t>
      </w:r>
      <w:r>
        <w:rPr>
          <w:lang w:val="fr-FR"/>
        </w:rPr>
        <w:t>autres vies.</w:t>
      </w:r>
    </w:p>
    <w:p w14:paraId="60EEAAB8" w14:textId="68496F09" w:rsidR="00D23C0B" w:rsidRPr="00E026A7" w:rsidRDefault="00D23C0B" w:rsidP="00D23C0B">
      <w:pPr>
        <w:pStyle w:val="COMPara"/>
        <w:numPr>
          <w:ilvl w:val="0"/>
          <w:numId w:val="9"/>
        </w:numPr>
        <w:spacing w:before="120"/>
        <w:ind w:left="567" w:hanging="567"/>
        <w:jc w:val="both"/>
        <w:rPr>
          <w:lang w:val="fr-FR"/>
        </w:rPr>
      </w:pPr>
      <w:r w:rsidRPr="00131978">
        <w:rPr>
          <w:b/>
          <w:lang w:val="fr-FR"/>
        </w:rPr>
        <w:t>Efficacité du plan de sauvegarde</w:t>
      </w:r>
      <w:r>
        <w:rPr>
          <w:lang w:val="fr-FR"/>
        </w:rPr>
        <w:t>. Les mesures de sauvegarde de l</w:t>
      </w:r>
      <w:r w:rsidR="00655870">
        <w:rPr>
          <w:lang w:val="fr-FR"/>
        </w:rPr>
        <w:t>’</w:t>
      </w:r>
      <w:r>
        <w:rPr>
          <w:lang w:val="fr-FR"/>
        </w:rPr>
        <w:t>élément ont été conçues en réponse aux objectifs exposés dans la candidature, notamment : l</w:t>
      </w:r>
      <w:r w:rsidR="00655870">
        <w:rPr>
          <w:lang w:val="fr-FR"/>
        </w:rPr>
        <w:t>’</w:t>
      </w:r>
      <w:r>
        <w:rPr>
          <w:lang w:val="fr-FR"/>
        </w:rPr>
        <w:t xml:space="preserve">éducation et la sensibilisation des jeunes et des membres de la communauté ; la documentation et la diffusion de la cérémonie de purification des garçons ; et la préservation et la replantation des espèces indigènes de </w:t>
      </w:r>
      <w:r w:rsidRPr="00426B43">
        <w:rPr>
          <w:lang w:val="fr-FR"/>
        </w:rPr>
        <w:t>karités.</w:t>
      </w:r>
      <w:r w:rsidRPr="00DA1F8F">
        <w:rPr>
          <w:lang w:val="fr-FR"/>
        </w:rPr>
        <w:t xml:space="preserve"> Pour atteindre ces objectifs, l</w:t>
      </w:r>
      <w:r w:rsidR="00655870" w:rsidRPr="00E15C17">
        <w:rPr>
          <w:lang w:val="fr-FR"/>
        </w:rPr>
        <w:t>’</w:t>
      </w:r>
      <w:r w:rsidRPr="00EF3FAB">
        <w:rPr>
          <w:lang w:val="fr-FR"/>
        </w:rPr>
        <w:t>État a mené plusieurs activités en partenariat avec les gouvernements locau</w:t>
      </w:r>
      <w:r w:rsidRPr="00E026A7">
        <w:rPr>
          <w:lang w:val="fr-FR"/>
        </w:rPr>
        <w:t xml:space="preserve">x, les instituts de recherche, les organisations non-gouvernementales et les membres de la communauté. Elles consistaient notamment à sensibiliser le peuple </w:t>
      </w:r>
      <w:proofErr w:type="spellStart"/>
      <w:r w:rsidRPr="00E026A7">
        <w:rPr>
          <w:lang w:val="fr-FR"/>
        </w:rPr>
        <w:t>lango</w:t>
      </w:r>
      <w:proofErr w:type="spellEnd"/>
      <w:r w:rsidRPr="00E026A7">
        <w:rPr>
          <w:lang w:val="fr-FR"/>
        </w:rPr>
        <w:t xml:space="preserve"> et à lui fournir un enseignement général pour lui permettre de comprendre, d</w:t>
      </w:r>
      <w:r w:rsidR="00655870" w:rsidRPr="00E026A7">
        <w:rPr>
          <w:lang w:val="fr-FR"/>
        </w:rPr>
        <w:t>’</w:t>
      </w:r>
      <w:r w:rsidRPr="00E026A7">
        <w:rPr>
          <w:lang w:val="fr-FR"/>
        </w:rPr>
        <w:t>apprécier et de sauvegarder l</w:t>
      </w:r>
      <w:r w:rsidR="00655870" w:rsidRPr="00E026A7">
        <w:rPr>
          <w:lang w:val="fr-FR"/>
        </w:rPr>
        <w:t>’</w:t>
      </w:r>
      <w:r w:rsidRPr="00E026A7">
        <w:rPr>
          <w:lang w:val="fr-FR"/>
        </w:rPr>
        <w:t>élément culturel qui fait partie intégrante de son savoir autochtone ; à organiser des dialogues et des forums éducatifs avec les dirigeants culturels et religieux et les anciens ; à documenter et diffuser les informations relatives à la cérémonie via les chaînes de radio locales et les réseaux sociaux ; à mettre régulièrement à jour l</w:t>
      </w:r>
      <w:r w:rsidR="00655870" w:rsidRPr="00E026A7">
        <w:rPr>
          <w:lang w:val="fr-FR"/>
        </w:rPr>
        <w:t>’</w:t>
      </w:r>
      <w:r w:rsidRPr="00E026A7">
        <w:rPr>
          <w:lang w:val="fr-FR"/>
        </w:rPr>
        <w:t xml:space="preserve">inventaire ; à planter plus </w:t>
      </w:r>
      <w:r w:rsidRPr="00426B43">
        <w:rPr>
          <w:lang w:val="fr-FR"/>
        </w:rPr>
        <w:t>de karités</w:t>
      </w:r>
      <w:r w:rsidRPr="00DA1F8F">
        <w:rPr>
          <w:lang w:val="fr-FR"/>
        </w:rPr>
        <w:t> ; et à mener des recherches sur la période de fructification pour assurer un approvisionnement constant en huile de ka</w:t>
      </w:r>
      <w:r w:rsidRPr="00E026A7">
        <w:rPr>
          <w:lang w:val="fr-FR"/>
        </w:rPr>
        <w:t>rité pour réaliser la cérémonie.</w:t>
      </w:r>
    </w:p>
    <w:p w14:paraId="3F184A7B" w14:textId="6825A784" w:rsidR="00D23C0B" w:rsidRPr="00F90057" w:rsidRDefault="00D23C0B" w:rsidP="00D23C0B">
      <w:pPr>
        <w:pStyle w:val="COMPara"/>
        <w:numPr>
          <w:ilvl w:val="0"/>
          <w:numId w:val="9"/>
        </w:numPr>
        <w:spacing w:before="120"/>
        <w:ind w:left="567" w:hanging="567"/>
        <w:jc w:val="both"/>
        <w:rPr>
          <w:lang w:val="fr-FR"/>
        </w:rPr>
      </w:pPr>
      <w:r w:rsidRPr="00E026A7">
        <w:rPr>
          <w:lang w:val="fr-FR"/>
        </w:rPr>
        <w:t>L</w:t>
      </w:r>
      <w:r w:rsidR="00655870" w:rsidRPr="00E026A7">
        <w:rPr>
          <w:lang w:val="fr-FR"/>
        </w:rPr>
        <w:t>’</w:t>
      </w:r>
      <w:r w:rsidRPr="00E026A7">
        <w:rPr>
          <w:lang w:val="fr-FR"/>
        </w:rPr>
        <w:t xml:space="preserve">inscription et les mesures de sauvegarde mises en place ont suscité une mobilisation massive du peuple </w:t>
      </w:r>
      <w:proofErr w:type="spellStart"/>
      <w:r w:rsidRPr="00E026A7">
        <w:rPr>
          <w:lang w:val="fr-FR"/>
        </w:rPr>
        <w:t>lango</w:t>
      </w:r>
      <w:proofErr w:type="spellEnd"/>
      <w:r w:rsidRPr="00E026A7">
        <w:rPr>
          <w:lang w:val="fr-FR"/>
        </w:rPr>
        <w:t>, qui a accueilli favorablement la cérémonie de purification des garçons, avec notamment une participation active des jeunes filles qui ont appris et participé aux rituels, ainsi qu</w:t>
      </w:r>
      <w:r w:rsidR="00655870" w:rsidRPr="00E026A7">
        <w:rPr>
          <w:lang w:val="fr-FR"/>
        </w:rPr>
        <w:t>’</w:t>
      </w:r>
      <w:r w:rsidRPr="00E026A7">
        <w:rPr>
          <w:lang w:val="fr-FR"/>
        </w:rPr>
        <w:t>une sensibilisation accrue grâce à la formation des parties prenantes médiatiques sur le processus pour élargir la diffusion</w:t>
      </w:r>
      <w:r w:rsidR="002B3DBB" w:rsidRPr="00E026A7">
        <w:rPr>
          <w:lang w:val="fr-FR"/>
        </w:rPr>
        <w:t xml:space="preserve"> de l’élément</w:t>
      </w:r>
      <w:r w:rsidRPr="00E026A7">
        <w:rPr>
          <w:lang w:val="fr-FR"/>
        </w:rPr>
        <w:t>. Des dialogues ont aussi rassemblé les anciens et les dirigeants religieux afin de parvenir à un consensus sur la continuité de l</w:t>
      </w:r>
      <w:r w:rsidR="00655870" w:rsidRPr="00E026A7">
        <w:rPr>
          <w:lang w:val="fr-FR"/>
        </w:rPr>
        <w:t>’</w:t>
      </w:r>
      <w:r w:rsidRPr="00E026A7">
        <w:rPr>
          <w:lang w:val="fr-FR"/>
        </w:rPr>
        <w:t>exécution de l</w:t>
      </w:r>
      <w:r w:rsidR="00655870" w:rsidRPr="00E026A7">
        <w:rPr>
          <w:lang w:val="fr-FR"/>
        </w:rPr>
        <w:t>’</w:t>
      </w:r>
      <w:r w:rsidRPr="00E026A7">
        <w:rPr>
          <w:lang w:val="fr-FR"/>
        </w:rPr>
        <w:t>élément, malgré leurs différences en matière de croyances religieuses</w:t>
      </w:r>
      <w:r w:rsidRPr="00E026A7">
        <w:rPr>
          <w:rFonts w:ascii="Arial Narrow" w:hAnsi="Arial Narrow"/>
          <w:lang w:val="fr-FR"/>
        </w:rPr>
        <w:t>.</w:t>
      </w:r>
      <w:r w:rsidRPr="00E026A7">
        <w:rPr>
          <w:lang w:val="fr-FR"/>
        </w:rPr>
        <w:t xml:space="preserve"> </w:t>
      </w:r>
      <w:r w:rsidR="002B3DBB" w:rsidRPr="00E026A7">
        <w:rPr>
          <w:lang w:val="fr-FR"/>
        </w:rPr>
        <w:t>Cela a</w:t>
      </w:r>
      <w:r w:rsidRPr="00E026A7">
        <w:rPr>
          <w:lang w:val="fr-FR"/>
        </w:rPr>
        <w:t xml:space="preserve"> également entraîné la promulgation d</w:t>
      </w:r>
      <w:r w:rsidR="00655870" w:rsidRPr="00E026A7">
        <w:rPr>
          <w:lang w:val="fr-FR"/>
        </w:rPr>
        <w:t>’</w:t>
      </w:r>
      <w:r w:rsidRPr="00E026A7">
        <w:rPr>
          <w:lang w:val="fr-FR"/>
        </w:rPr>
        <w:t xml:space="preserve">un décret national qui a classé </w:t>
      </w:r>
      <w:r w:rsidR="00FF3CCD" w:rsidRPr="00E026A7">
        <w:rPr>
          <w:lang w:val="fr-FR"/>
        </w:rPr>
        <w:t xml:space="preserve">le </w:t>
      </w:r>
      <w:r w:rsidR="00FF3CCD" w:rsidRPr="00426B43">
        <w:rPr>
          <w:lang w:val="fr-FR"/>
        </w:rPr>
        <w:t>karité</w:t>
      </w:r>
      <w:r w:rsidRPr="00DA1F8F">
        <w:rPr>
          <w:lang w:val="fr-FR"/>
        </w:rPr>
        <w:t xml:space="preserve"> comme </w:t>
      </w:r>
      <w:r w:rsidRPr="00E15C17">
        <w:rPr>
          <w:lang w:val="fr-FR"/>
        </w:rPr>
        <w:t xml:space="preserve">espèce </w:t>
      </w:r>
      <w:r w:rsidRPr="00EF3FAB">
        <w:rPr>
          <w:lang w:val="fr-FR"/>
        </w:rPr>
        <w:t>de réserve dans la Loi nationale sur la foresterie et la plantation d</w:t>
      </w:r>
      <w:r w:rsidR="00655870" w:rsidRPr="00E026A7">
        <w:rPr>
          <w:lang w:val="fr-FR"/>
        </w:rPr>
        <w:t>’</w:t>
      </w:r>
      <w:r w:rsidRPr="00E026A7">
        <w:rPr>
          <w:lang w:val="fr-FR"/>
        </w:rPr>
        <w:t>arbres de 2016, décret n°57 de 2016, Annexe 8, limitant ainsi l</w:t>
      </w:r>
      <w:r w:rsidR="00655870" w:rsidRPr="00E026A7">
        <w:rPr>
          <w:lang w:val="fr-FR"/>
        </w:rPr>
        <w:t>’</w:t>
      </w:r>
      <w:r w:rsidRPr="00E026A7">
        <w:rPr>
          <w:lang w:val="fr-FR"/>
        </w:rPr>
        <w:t xml:space="preserve">abattage des </w:t>
      </w:r>
      <w:r w:rsidRPr="00426B43">
        <w:rPr>
          <w:lang w:val="fr-FR"/>
        </w:rPr>
        <w:t>karités</w:t>
      </w:r>
      <w:r w:rsidRPr="00DA1F8F">
        <w:rPr>
          <w:lang w:val="fr-FR"/>
        </w:rPr>
        <w:t xml:space="preserve"> pour en faire du charbon. Elles ont aussi augmenté l</w:t>
      </w:r>
      <w:r w:rsidRPr="00E15C17">
        <w:rPr>
          <w:lang w:val="fr-FR"/>
        </w:rPr>
        <w:t>e sentiment d</w:t>
      </w:r>
      <w:r w:rsidR="00655870" w:rsidRPr="00EF3FAB">
        <w:rPr>
          <w:lang w:val="fr-FR"/>
        </w:rPr>
        <w:t>’</w:t>
      </w:r>
      <w:r w:rsidRPr="00E026A7">
        <w:rPr>
          <w:lang w:val="fr-FR"/>
        </w:rPr>
        <w:t>appropriation en plantant des milliers d</w:t>
      </w:r>
      <w:r w:rsidR="00655870" w:rsidRPr="00E026A7">
        <w:rPr>
          <w:lang w:val="fr-FR"/>
        </w:rPr>
        <w:t>’</w:t>
      </w:r>
      <w:r w:rsidRPr="00426B43">
        <w:rPr>
          <w:lang w:val="fr-FR"/>
        </w:rPr>
        <w:t>arbres de karité</w:t>
      </w:r>
      <w:r w:rsidRPr="00DA1F8F">
        <w:rPr>
          <w:lang w:val="fr-FR"/>
        </w:rPr>
        <w:t xml:space="preserve">. Le plan de sauvegarde actualisé </w:t>
      </w:r>
      <w:r w:rsidRPr="00E15C17">
        <w:rPr>
          <w:lang w:val="fr-FR"/>
        </w:rPr>
        <w:t>poursuivra les</w:t>
      </w:r>
      <w:r w:rsidRPr="00E55439">
        <w:rPr>
          <w:lang w:val="fr-FR"/>
        </w:rPr>
        <w:t xml:space="preserve"> mêmes objectifs globaux que le précédent, en adoptant des mesures spécifiques sur la sensibilisation des dirigeants locaux et l</w:t>
      </w:r>
      <w:r w:rsidR="00655870">
        <w:rPr>
          <w:lang w:val="fr-FR"/>
        </w:rPr>
        <w:t>’</w:t>
      </w:r>
      <w:r w:rsidRPr="00E55439">
        <w:rPr>
          <w:lang w:val="fr-FR"/>
        </w:rPr>
        <w:t>amélioration de la transmission des éléments aux jeunes générations.</w:t>
      </w:r>
    </w:p>
    <w:p w14:paraId="21EE3145" w14:textId="0631CA96" w:rsidR="00D23C0B" w:rsidRPr="00F90057" w:rsidRDefault="00D23C0B" w:rsidP="00D23C0B">
      <w:pPr>
        <w:pStyle w:val="COMPara"/>
        <w:numPr>
          <w:ilvl w:val="0"/>
          <w:numId w:val="9"/>
        </w:numPr>
        <w:spacing w:before="120"/>
        <w:ind w:left="567" w:hanging="567"/>
        <w:jc w:val="both"/>
        <w:rPr>
          <w:rFonts w:eastAsia="SimSun"/>
          <w:snapToGrid/>
          <w:lang w:val="fr-FR" w:eastAsia="fr-FR"/>
        </w:rPr>
      </w:pPr>
      <w:r w:rsidRPr="007E496C">
        <w:rPr>
          <w:b/>
          <w:lang w:val="fr-FR"/>
        </w:rPr>
        <w:t>Participation des communautés</w:t>
      </w:r>
      <w:r>
        <w:rPr>
          <w:lang w:val="fr-FR"/>
        </w:rPr>
        <w:t xml:space="preserve"> Selon le rapport, toutes les catégories du peuple </w:t>
      </w:r>
      <w:proofErr w:type="spellStart"/>
      <w:r>
        <w:rPr>
          <w:lang w:val="fr-FR"/>
        </w:rPr>
        <w:t>lango</w:t>
      </w:r>
      <w:proofErr w:type="spellEnd"/>
      <w:r>
        <w:rPr>
          <w:lang w:val="fr-FR"/>
        </w:rPr>
        <w:t>, qu</w:t>
      </w:r>
      <w:r w:rsidR="00655870">
        <w:rPr>
          <w:lang w:val="fr-FR"/>
        </w:rPr>
        <w:t>’</w:t>
      </w:r>
      <w:r>
        <w:rPr>
          <w:lang w:val="fr-FR"/>
        </w:rPr>
        <w:t>ils soient jeunes ou vieux et hommes ou femmes, ont activement participé à la mise en œuvre des activités de sauvegarde. Les dirigeants culturels, ainsi que les responsables techniques au sein des gouvernements locaux et des institutions de recherche, se seraient aussi activement impliqués dans la mise en œuvre. En complément de la transmission orale, les membres de la communauté sont invités à participer aux émissions radiophoniques de sensibilisation en tant qu</w:t>
      </w:r>
      <w:r w:rsidR="00655870">
        <w:rPr>
          <w:lang w:val="fr-FR"/>
        </w:rPr>
        <w:t>’</w:t>
      </w:r>
      <w:r>
        <w:rPr>
          <w:lang w:val="fr-FR"/>
        </w:rPr>
        <w:t xml:space="preserve">invités et panélistes afin de discuter des informations relatives à la pratique et de les diffuser à plus grande échelle. En outre, les communautés ont entrepris, de </w:t>
      </w:r>
      <w:r>
        <w:rPr>
          <w:lang w:val="fr-FR"/>
        </w:rPr>
        <w:lastRenderedPageBreak/>
        <w:t>leur propre initiative, de mieux faire connaître la pratique en contribuant à des pièces de théâtre au niveau régional ainsi qu</w:t>
      </w:r>
      <w:r w:rsidR="00655870">
        <w:rPr>
          <w:lang w:val="fr-FR"/>
        </w:rPr>
        <w:t>’</w:t>
      </w:r>
      <w:r>
        <w:rPr>
          <w:lang w:val="fr-FR"/>
        </w:rPr>
        <w:t xml:space="preserve">en organisant des événements culturels, tels que des mariages traditionnels, des funérailles et des rassemblements communautaires généraux. Les fonctions sociales et culturelles associées à la préservation </w:t>
      </w:r>
      <w:r w:rsidRPr="00426B43">
        <w:rPr>
          <w:lang w:val="fr-FR"/>
        </w:rPr>
        <w:t>du karité</w:t>
      </w:r>
      <w:r w:rsidRPr="00E15C17">
        <w:rPr>
          <w:lang w:val="fr-FR"/>
        </w:rPr>
        <w:t xml:space="preserve"> ont en outre incité les communautés à pa</w:t>
      </w:r>
      <w:r w:rsidRPr="00E026A7">
        <w:rPr>
          <w:lang w:val="fr-FR"/>
        </w:rPr>
        <w:t>rticiper à la préservation des forêts communautaires. Elles travaillent en étroite collaboration avec l</w:t>
      </w:r>
      <w:r w:rsidR="00655870" w:rsidRPr="00E026A7">
        <w:rPr>
          <w:lang w:val="fr-FR"/>
        </w:rPr>
        <w:t>’</w:t>
      </w:r>
      <w:r w:rsidRPr="00E026A7">
        <w:rPr>
          <w:lang w:val="fr-FR"/>
        </w:rPr>
        <w:t xml:space="preserve">Autorité forestière nationale et le </w:t>
      </w:r>
      <w:proofErr w:type="spellStart"/>
      <w:r w:rsidRPr="00E026A7">
        <w:rPr>
          <w:lang w:val="fr-FR"/>
        </w:rPr>
        <w:t>Ngeta</w:t>
      </w:r>
      <w:proofErr w:type="spellEnd"/>
      <w:r w:rsidRPr="00E026A7">
        <w:rPr>
          <w:lang w:val="fr-FR"/>
        </w:rPr>
        <w:t xml:space="preserve"> Zonal Agricultural </w:t>
      </w:r>
      <w:proofErr w:type="spellStart"/>
      <w:r w:rsidRPr="00E026A7">
        <w:rPr>
          <w:lang w:val="fr-FR"/>
        </w:rPr>
        <w:t>Research</w:t>
      </w:r>
      <w:proofErr w:type="spellEnd"/>
      <w:r w:rsidRPr="00E026A7">
        <w:rPr>
          <w:lang w:val="fr-FR"/>
        </w:rPr>
        <w:t xml:space="preserve"> Institute pour semer des plants </w:t>
      </w:r>
      <w:r w:rsidRPr="00426B43">
        <w:rPr>
          <w:lang w:val="fr-FR"/>
        </w:rPr>
        <w:t>de karité</w:t>
      </w:r>
      <w:r w:rsidRPr="00E15C17">
        <w:rPr>
          <w:lang w:val="fr-FR"/>
        </w:rPr>
        <w:t>. Comme mentionné dans le rapport, les communautés ont activement participé à son élaboration, ainsi qu</w:t>
      </w:r>
      <w:r w:rsidR="00655870" w:rsidRPr="00E026A7">
        <w:rPr>
          <w:lang w:val="fr-FR"/>
        </w:rPr>
        <w:t>’</w:t>
      </w:r>
      <w:r w:rsidRPr="00E026A7">
        <w:rPr>
          <w:lang w:val="fr-FR"/>
        </w:rPr>
        <w:t>à la mise</w:t>
      </w:r>
      <w:r>
        <w:rPr>
          <w:lang w:val="fr-FR"/>
        </w:rPr>
        <w:t xml:space="preserve"> à jour du plan de sauvegarde.</w:t>
      </w:r>
    </w:p>
    <w:p w14:paraId="49E4DCB6" w14:textId="5755C28C" w:rsidR="00D23C0B" w:rsidRPr="00F90057" w:rsidRDefault="00D23C0B" w:rsidP="00D23C0B">
      <w:pPr>
        <w:pStyle w:val="COMPara"/>
        <w:numPr>
          <w:ilvl w:val="0"/>
          <w:numId w:val="9"/>
        </w:numPr>
        <w:spacing w:before="120"/>
        <w:ind w:left="567" w:hanging="567"/>
        <w:jc w:val="both"/>
        <w:rPr>
          <w:lang w:val="fr-FR"/>
        </w:rPr>
      </w:pPr>
      <w:r w:rsidRPr="000A4E91">
        <w:rPr>
          <w:b/>
          <w:lang w:val="fr-FR"/>
        </w:rPr>
        <w:t>Viabilité et risques actuels</w:t>
      </w:r>
      <w:r w:rsidRPr="00131978">
        <w:rPr>
          <w:lang w:val="fr-FR"/>
        </w:rPr>
        <w:t>. Au moment de l</w:t>
      </w:r>
      <w:r w:rsidR="00655870">
        <w:rPr>
          <w:lang w:val="fr-FR"/>
        </w:rPr>
        <w:t>’</w:t>
      </w:r>
      <w:r w:rsidRPr="00131978">
        <w:rPr>
          <w:lang w:val="fr-FR"/>
        </w:rPr>
        <w:t>inscription, l</w:t>
      </w:r>
      <w:r>
        <w:rPr>
          <w:lang w:val="fr-FR"/>
        </w:rPr>
        <w:t>e niveau de</w:t>
      </w:r>
      <w:r w:rsidRPr="00131978">
        <w:rPr>
          <w:lang w:val="fr-FR"/>
        </w:rPr>
        <w:t xml:space="preserve"> viabilité de l</w:t>
      </w:r>
      <w:r w:rsidR="00655870">
        <w:rPr>
          <w:lang w:val="fr-FR"/>
        </w:rPr>
        <w:t>’</w:t>
      </w:r>
      <w:r w:rsidRPr="00131978">
        <w:rPr>
          <w:lang w:val="fr-FR"/>
        </w:rPr>
        <w:t>élément était minime en raison de la stigmatisation, de l</w:t>
      </w:r>
      <w:r w:rsidR="00655870">
        <w:rPr>
          <w:lang w:val="fr-FR"/>
        </w:rPr>
        <w:t>’</w:t>
      </w:r>
      <w:r w:rsidRPr="00131978">
        <w:rPr>
          <w:lang w:val="fr-FR"/>
        </w:rPr>
        <w:t xml:space="preserve">absence de liberté pour </w:t>
      </w:r>
      <w:r>
        <w:rPr>
          <w:lang w:val="fr-FR"/>
        </w:rPr>
        <w:t>le</w:t>
      </w:r>
      <w:r w:rsidRPr="00131978">
        <w:rPr>
          <w:lang w:val="fr-FR"/>
        </w:rPr>
        <w:t xml:space="preserve"> pratique</w:t>
      </w:r>
      <w:r>
        <w:rPr>
          <w:lang w:val="fr-FR"/>
        </w:rPr>
        <w:t>r</w:t>
      </w:r>
      <w:r w:rsidRPr="00131978">
        <w:rPr>
          <w:lang w:val="fr-FR"/>
        </w:rPr>
        <w:t>, d</w:t>
      </w:r>
      <w:r w:rsidR="00655870">
        <w:rPr>
          <w:lang w:val="fr-FR"/>
        </w:rPr>
        <w:t>’</w:t>
      </w:r>
      <w:r w:rsidRPr="00131978">
        <w:rPr>
          <w:lang w:val="fr-FR"/>
        </w:rPr>
        <w:t xml:space="preserve">un </w:t>
      </w:r>
      <w:r>
        <w:rPr>
          <w:lang w:val="fr-FR"/>
        </w:rPr>
        <w:t xml:space="preserve">manque de </w:t>
      </w:r>
      <w:r w:rsidRPr="00131978">
        <w:rPr>
          <w:lang w:val="fr-FR"/>
        </w:rPr>
        <w:t>connaissance</w:t>
      </w:r>
      <w:r>
        <w:rPr>
          <w:lang w:val="fr-FR"/>
        </w:rPr>
        <w:t>s</w:t>
      </w:r>
      <w:r w:rsidRPr="00131978">
        <w:rPr>
          <w:lang w:val="fr-FR"/>
        </w:rPr>
        <w:t xml:space="preserve"> </w:t>
      </w:r>
      <w:r>
        <w:rPr>
          <w:lang w:val="fr-FR"/>
        </w:rPr>
        <w:t xml:space="preserve">au sujet </w:t>
      </w:r>
      <w:r w:rsidRPr="00131978">
        <w:rPr>
          <w:lang w:val="fr-FR"/>
        </w:rPr>
        <w:t xml:space="preserve">de la cérémonie, </w:t>
      </w:r>
      <w:r>
        <w:rPr>
          <w:lang w:val="fr-FR"/>
        </w:rPr>
        <w:t xml:space="preserve">du déclin des </w:t>
      </w:r>
      <w:r w:rsidRPr="00131978">
        <w:rPr>
          <w:lang w:val="fr-FR"/>
        </w:rPr>
        <w:t>modes de transmission orale, ainsi que de la disparition du figuier</w:t>
      </w:r>
      <w:r>
        <w:rPr>
          <w:lang w:val="fr-FR"/>
        </w:rPr>
        <w:t>, utilisé</w:t>
      </w:r>
      <w:r w:rsidRPr="00131978">
        <w:rPr>
          <w:lang w:val="fr-FR"/>
        </w:rPr>
        <w:t xml:space="preserve"> </w:t>
      </w:r>
      <w:r>
        <w:rPr>
          <w:lang w:val="fr-FR"/>
        </w:rPr>
        <w:t xml:space="preserve">pour créer du </w:t>
      </w:r>
      <w:r w:rsidRPr="00131978">
        <w:rPr>
          <w:lang w:val="fr-FR"/>
        </w:rPr>
        <w:t xml:space="preserve">charbon. Toutefois, grâce à son inscription sur la Liste, on constate </w:t>
      </w:r>
      <w:r>
        <w:rPr>
          <w:lang w:val="fr-FR"/>
        </w:rPr>
        <w:t>une meilleure connaissance de</w:t>
      </w:r>
      <w:r w:rsidRPr="00131978">
        <w:rPr>
          <w:lang w:val="fr-FR"/>
        </w:rPr>
        <w:t xml:space="preserve"> la pratique, </w:t>
      </w:r>
      <w:r>
        <w:rPr>
          <w:lang w:val="fr-FR"/>
        </w:rPr>
        <w:t>une diminution des</w:t>
      </w:r>
      <w:r w:rsidRPr="00131978">
        <w:rPr>
          <w:lang w:val="fr-FR"/>
        </w:rPr>
        <w:t xml:space="preserve"> stigmates associés à l</w:t>
      </w:r>
      <w:r w:rsidR="00655870">
        <w:rPr>
          <w:lang w:val="fr-FR"/>
        </w:rPr>
        <w:t>’</w:t>
      </w:r>
      <w:r w:rsidRPr="00131978">
        <w:rPr>
          <w:lang w:val="fr-FR"/>
        </w:rPr>
        <w:t>élément et une plus grande acceptation de la pratique au sein des communautés.</w:t>
      </w:r>
      <w:r>
        <w:rPr>
          <w:lang w:val="fr-FR"/>
        </w:rPr>
        <w:t xml:space="preserve"> </w:t>
      </w:r>
      <w:r w:rsidRPr="00131978">
        <w:rPr>
          <w:lang w:val="fr-FR"/>
        </w:rPr>
        <w:t xml:space="preserve">La pratique est exercée dans huit localités de la région de </w:t>
      </w:r>
      <w:proofErr w:type="spellStart"/>
      <w:r w:rsidRPr="00131978">
        <w:rPr>
          <w:lang w:val="fr-FR"/>
        </w:rPr>
        <w:t>Lango</w:t>
      </w:r>
      <w:proofErr w:type="spellEnd"/>
      <w:r w:rsidRPr="00131978">
        <w:rPr>
          <w:lang w:val="fr-FR"/>
        </w:rPr>
        <w:t>, où cinq cérémonies de purification ont déjà</w:t>
      </w:r>
      <w:r>
        <w:rPr>
          <w:lang w:val="fr-FR"/>
        </w:rPr>
        <w:t xml:space="preserve"> eu lieu</w:t>
      </w:r>
      <w:r w:rsidRPr="00131978">
        <w:rPr>
          <w:lang w:val="fr-FR"/>
        </w:rPr>
        <w:t xml:space="preserve">. Toutefois, </w:t>
      </w:r>
      <w:r>
        <w:rPr>
          <w:lang w:val="fr-FR"/>
        </w:rPr>
        <w:t>malgré cette amélioration de</w:t>
      </w:r>
      <w:r w:rsidRPr="00131978">
        <w:rPr>
          <w:lang w:val="fr-FR"/>
        </w:rPr>
        <w:t xml:space="preserve"> la viabilité de l</w:t>
      </w:r>
      <w:r w:rsidR="00655870">
        <w:rPr>
          <w:lang w:val="fr-FR"/>
        </w:rPr>
        <w:t>’</w:t>
      </w:r>
      <w:r w:rsidRPr="00131978">
        <w:rPr>
          <w:lang w:val="fr-FR"/>
        </w:rPr>
        <w:t>élément, l</w:t>
      </w:r>
      <w:r w:rsidR="00655870">
        <w:rPr>
          <w:lang w:val="fr-FR"/>
        </w:rPr>
        <w:t>’</w:t>
      </w:r>
      <w:r w:rsidRPr="00131978">
        <w:rPr>
          <w:lang w:val="fr-FR"/>
        </w:rPr>
        <w:t xml:space="preserve">une des principales menaces signalées reste </w:t>
      </w:r>
      <w:r>
        <w:rPr>
          <w:lang w:val="fr-FR"/>
        </w:rPr>
        <w:t xml:space="preserve">la limitation de sa </w:t>
      </w:r>
      <w:r w:rsidRPr="00131978">
        <w:rPr>
          <w:lang w:val="fr-FR"/>
        </w:rPr>
        <w:t>pratique, ainsi que le manque de ressources nécessaires à la mise en œuvre du plan de sauvegarde.</w:t>
      </w:r>
    </w:p>
    <w:p w14:paraId="6BF4183E" w14:textId="77777777" w:rsidR="00D23C0B" w:rsidRPr="00F90057" w:rsidRDefault="00D23C0B" w:rsidP="00D23C0B">
      <w:pPr>
        <w:pStyle w:val="COMPara"/>
        <w:numPr>
          <w:ilvl w:val="0"/>
          <w:numId w:val="9"/>
        </w:numPr>
        <w:spacing w:before="120"/>
        <w:ind w:left="567" w:hanging="567"/>
        <w:jc w:val="both"/>
        <w:rPr>
          <w:lang w:val="fr-FR"/>
        </w:rPr>
      </w:pPr>
      <w:r w:rsidRPr="009569B2">
        <w:rPr>
          <w:lang w:val="fr-FR"/>
        </w:rPr>
        <w:t>Le Comité souhaitera peut-être adopter la décision suivante :</w:t>
      </w:r>
    </w:p>
    <w:p w14:paraId="0E52F278" w14:textId="77777777" w:rsidR="00D23C0B" w:rsidRPr="00F90057" w:rsidRDefault="00D23C0B" w:rsidP="00D23C0B">
      <w:pPr>
        <w:pStyle w:val="Heading4"/>
        <w:numPr>
          <w:ilvl w:val="0"/>
          <w:numId w:val="0"/>
        </w:numPr>
        <w:spacing w:before="240"/>
        <w:ind w:left="567"/>
        <w:rPr>
          <w:rFonts w:eastAsia="SimSun"/>
          <w:lang w:val="fr-FR"/>
        </w:rPr>
      </w:pPr>
      <w:bookmarkStart w:id="4" w:name="_PROJET_DE_DÉCISION_2"/>
      <w:bookmarkEnd w:id="4"/>
      <w:r>
        <w:rPr>
          <w:rFonts w:eastAsia="SimSun"/>
          <w:lang w:val="fr-FR"/>
        </w:rPr>
        <w:t>PROJET DE DÉCISION 14.COM 9.a.3</w:t>
      </w:r>
      <w:r>
        <w:rPr>
          <w:rFonts w:eastAsia="SimSun"/>
          <w:lang w:val="fr-FR"/>
        </w:rPr>
        <w:tab/>
      </w:r>
      <w:r w:rsidRPr="002E373B">
        <w:rPr>
          <w:noProof/>
          <w:snapToGrid/>
          <w:szCs w:val="22"/>
          <w:lang w:val="fr-FR" w:eastAsia="ja-JP"/>
        </w:rPr>
        <w:drawing>
          <wp:inline distT="0" distB="0" distL="0" distR="0" wp14:anchorId="48CB7559" wp14:editId="4061C075">
            <wp:extent cx="103505" cy="103505"/>
            <wp:effectExtent l="0" t="0" r="0" b="0"/>
            <wp:docPr id="12" name="Picture 3"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3505" cy="103505"/>
                    </a:xfrm>
                    <a:prstGeom prst="rect">
                      <a:avLst/>
                    </a:prstGeom>
                    <a:noFill/>
                    <a:ln>
                      <a:noFill/>
                    </a:ln>
                  </pic:spPr>
                </pic:pic>
              </a:graphicData>
            </a:graphic>
          </wp:inline>
        </w:drawing>
      </w:r>
    </w:p>
    <w:p w14:paraId="1F2CA775" w14:textId="77777777" w:rsidR="00D23C0B" w:rsidRPr="00285BB4" w:rsidRDefault="00D23C0B" w:rsidP="00D23C0B">
      <w:pPr>
        <w:pStyle w:val="COMPreambulaDecisions"/>
        <w:rPr>
          <w:rFonts w:eastAsia="SimSun"/>
        </w:rPr>
      </w:pPr>
      <w:r w:rsidRPr="00285BB4">
        <w:rPr>
          <w:lang w:val="fr-FR"/>
        </w:rPr>
        <w:t>Le Comité,</w:t>
      </w:r>
    </w:p>
    <w:p w14:paraId="0F210062" w14:textId="63C1C8E0" w:rsidR="00D23C0B" w:rsidRPr="00F90057" w:rsidRDefault="00D23C0B" w:rsidP="00D23C0B">
      <w:pPr>
        <w:pStyle w:val="COMParaDecision"/>
        <w:numPr>
          <w:ilvl w:val="0"/>
          <w:numId w:val="22"/>
        </w:numPr>
        <w:ind w:left="1134" w:hanging="567"/>
        <w:rPr>
          <w:u w:val="none"/>
          <w:lang w:val="fr-FR"/>
        </w:rPr>
      </w:pPr>
      <w:r w:rsidRPr="004C7D40">
        <w:rPr>
          <w:lang w:val="fr-FR"/>
        </w:rPr>
        <w:t>Ayant examiné</w:t>
      </w:r>
      <w:r w:rsidRPr="004C7D40">
        <w:rPr>
          <w:u w:val="none"/>
          <w:lang w:val="fr-FR"/>
        </w:rPr>
        <w:t xml:space="preserve"> le document LHE/19/14.COM/</w:t>
      </w:r>
      <w:proofErr w:type="gramStart"/>
      <w:r w:rsidRPr="004C7D40">
        <w:rPr>
          <w:u w:val="none"/>
          <w:lang w:val="fr-FR"/>
        </w:rPr>
        <w:t>9.a</w:t>
      </w:r>
      <w:proofErr w:type="gramEnd"/>
      <w:r w:rsidR="00CD4E9F">
        <w:rPr>
          <w:u w:val="none"/>
          <w:lang w:val="fr-FR"/>
        </w:rPr>
        <w:t> </w:t>
      </w:r>
      <w:proofErr w:type="spellStart"/>
      <w:r w:rsidR="00CD4E9F">
        <w:rPr>
          <w:u w:val="none"/>
          <w:lang w:val="fr-FR"/>
        </w:rPr>
        <w:t>Rev</w:t>
      </w:r>
      <w:proofErr w:type="spellEnd"/>
      <w:r w:rsidR="00CD4E9F">
        <w:rPr>
          <w:u w:val="none"/>
          <w:lang w:val="fr-FR"/>
        </w:rPr>
        <w:t>.</w:t>
      </w:r>
      <w:r w:rsidRPr="004C7D40">
        <w:rPr>
          <w:u w:val="none"/>
          <w:lang w:val="fr-FR"/>
        </w:rPr>
        <w:t>,</w:t>
      </w:r>
    </w:p>
    <w:p w14:paraId="00187105" w14:textId="7E9D9618" w:rsidR="00D23C0B" w:rsidRPr="00F90057" w:rsidRDefault="00D23C0B" w:rsidP="00D23C0B">
      <w:pPr>
        <w:pStyle w:val="COMParaDecision"/>
        <w:numPr>
          <w:ilvl w:val="0"/>
          <w:numId w:val="22"/>
        </w:numPr>
        <w:tabs>
          <w:tab w:val="left" w:pos="1134"/>
        </w:tabs>
        <w:ind w:left="1134" w:hanging="567"/>
        <w:rPr>
          <w:u w:val="none"/>
          <w:lang w:val="fr-FR"/>
        </w:rPr>
      </w:pPr>
      <w:r w:rsidRPr="004C7D40">
        <w:rPr>
          <w:lang w:val="fr-FR"/>
        </w:rPr>
        <w:t>Rappelant</w:t>
      </w:r>
      <w:r w:rsidRPr="004C7D40">
        <w:rPr>
          <w:u w:val="none"/>
          <w:lang w:val="fr-FR"/>
        </w:rPr>
        <w:t xml:space="preserve"> le Chapitre V des Directives opérationnelles et sa </w:t>
      </w:r>
      <w:hyperlink r:id="rId33" w:history="1">
        <w:r w:rsidR="00FF3CCD">
          <w:rPr>
            <w:rStyle w:val="Hyperlink"/>
            <w:lang w:val="fr-FR"/>
          </w:rPr>
          <w:t>d</w:t>
        </w:r>
        <w:r w:rsidRPr="006F0545">
          <w:rPr>
            <w:rStyle w:val="Hyperlink"/>
            <w:lang w:val="fr-FR"/>
          </w:rPr>
          <w:t>écision 9.COM </w:t>
        </w:r>
        <w:proofErr w:type="gramStart"/>
        <w:r w:rsidRPr="006F0545">
          <w:rPr>
            <w:rStyle w:val="Hyperlink"/>
            <w:lang w:val="fr-FR"/>
          </w:rPr>
          <w:t>9.a.</w:t>
        </w:r>
        <w:proofErr w:type="gramEnd"/>
        <w:r w:rsidRPr="006F0545">
          <w:rPr>
            <w:rStyle w:val="Hyperlink"/>
            <w:lang w:val="fr-FR"/>
          </w:rPr>
          <w:t>7</w:t>
        </w:r>
      </w:hyperlink>
      <w:r w:rsidRPr="004C7D40">
        <w:rPr>
          <w:u w:val="none"/>
          <w:lang w:val="fr-FR"/>
        </w:rPr>
        <w:t>,</w:t>
      </w:r>
    </w:p>
    <w:p w14:paraId="44B46FE2" w14:textId="365CD0A4" w:rsidR="00D23C0B" w:rsidRPr="00F90057" w:rsidRDefault="00FE7A0B" w:rsidP="00D23C0B">
      <w:pPr>
        <w:pStyle w:val="COMParaDecision"/>
        <w:numPr>
          <w:ilvl w:val="0"/>
          <w:numId w:val="22"/>
        </w:numPr>
        <w:tabs>
          <w:tab w:val="left" w:pos="1134"/>
        </w:tabs>
        <w:ind w:left="1134" w:hanging="567"/>
        <w:rPr>
          <w:u w:val="none"/>
          <w:lang w:val="fr-FR"/>
        </w:rPr>
      </w:pPr>
      <w:r>
        <w:rPr>
          <w:lang w:val="fr-FR"/>
        </w:rPr>
        <w:t>Remercie</w:t>
      </w:r>
      <w:r w:rsidR="00D23C0B" w:rsidRPr="004C7D40">
        <w:rPr>
          <w:u w:val="none"/>
          <w:lang w:val="fr-FR"/>
        </w:rPr>
        <w:t xml:space="preserve"> l</w:t>
      </w:r>
      <w:r w:rsidR="00655870">
        <w:rPr>
          <w:u w:val="none"/>
          <w:lang w:val="fr-FR"/>
        </w:rPr>
        <w:t>’</w:t>
      </w:r>
      <w:r w:rsidR="00D23C0B" w:rsidRPr="004C7D40">
        <w:rPr>
          <w:u w:val="none"/>
          <w:lang w:val="fr-FR"/>
        </w:rPr>
        <w:t xml:space="preserve">Ouganda </w:t>
      </w:r>
      <w:r>
        <w:rPr>
          <w:u w:val="none"/>
          <w:lang w:val="fr-FR"/>
        </w:rPr>
        <w:t>d’</w:t>
      </w:r>
      <w:r w:rsidR="00D23C0B">
        <w:rPr>
          <w:u w:val="none"/>
          <w:lang w:val="fr-FR"/>
        </w:rPr>
        <w:t>avoir soumis</w:t>
      </w:r>
      <w:r w:rsidR="00D23C0B" w:rsidRPr="004C7D40">
        <w:rPr>
          <w:u w:val="none"/>
          <w:lang w:val="fr-FR"/>
        </w:rPr>
        <w:t>, dans les délais, son deuxième rapport sur l</w:t>
      </w:r>
      <w:r w:rsidR="00655870">
        <w:rPr>
          <w:u w:val="none"/>
          <w:lang w:val="fr-FR"/>
        </w:rPr>
        <w:t>’</w:t>
      </w:r>
      <w:r w:rsidR="00D23C0B" w:rsidRPr="004C7D40">
        <w:rPr>
          <w:u w:val="none"/>
          <w:lang w:val="fr-FR"/>
        </w:rPr>
        <w:t>état de l</w:t>
      </w:r>
      <w:r w:rsidR="00655870">
        <w:rPr>
          <w:u w:val="none"/>
          <w:lang w:val="fr-FR"/>
        </w:rPr>
        <w:t>’</w:t>
      </w:r>
      <w:r w:rsidR="00D23C0B" w:rsidRPr="004C7D40">
        <w:rPr>
          <w:u w:val="none"/>
          <w:lang w:val="fr-FR"/>
        </w:rPr>
        <w:t xml:space="preserve">élément « La cérémonie de purification des garçons chez les </w:t>
      </w:r>
      <w:proofErr w:type="spellStart"/>
      <w:r w:rsidR="00D23C0B" w:rsidRPr="004C7D40">
        <w:rPr>
          <w:u w:val="none"/>
          <w:lang w:val="fr-FR"/>
        </w:rPr>
        <w:t>Lango</w:t>
      </w:r>
      <w:proofErr w:type="spellEnd"/>
      <w:r w:rsidR="00D23C0B" w:rsidRPr="004C7D40">
        <w:rPr>
          <w:u w:val="none"/>
          <w:lang w:val="fr-FR"/>
        </w:rPr>
        <w:t xml:space="preserve"> du centre-nord de l</w:t>
      </w:r>
      <w:r w:rsidR="00655870">
        <w:rPr>
          <w:u w:val="none"/>
          <w:lang w:val="fr-FR"/>
        </w:rPr>
        <w:t>’</w:t>
      </w:r>
      <w:r w:rsidR="00D23C0B" w:rsidRPr="004C7D40">
        <w:rPr>
          <w:u w:val="none"/>
          <w:lang w:val="fr-FR"/>
        </w:rPr>
        <w:t>Ouganda », inscrit en 2014 sur la Liste du patrimoine culturel immatériel nécessitant une sauvegarde urgente</w:t>
      </w:r>
      <w:r w:rsidR="00115616">
        <w:rPr>
          <w:u w:val="none"/>
          <w:lang w:val="fr-FR"/>
        </w:rPr>
        <w:t> </w:t>
      </w:r>
      <w:r w:rsidR="00D23C0B" w:rsidRPr="004C7D40">
        <w:rPr>
          <w:u w:val="none"/>
          <w:lang w:val="fr-FR"/>
        </w:rPr>
        <w:t>;</w:t>
      </w:r>
    </w:p>
    <w:p w14:paraId="59350B3E" w14:textId="6FD56ABA" w:rsidR="00D23C0B" w:rsidRPr="00E15C17" w:rsidRDefault="00D23C0B" w:rsidP="00D23C0B">
      <w:pPr>
        <w:pStyle w:val="COMParaDecision"/>
        <w:numPr>
          <w:ilvl w:val="0"/>
          <w:numId w:val="22"/>
        </w:numPr>
        <w:tabs>
          <w:tab w:val="left" w:pos="1134"/>
        </w:tabs>
        <w:ind w:left="1134" w:hanging="567"/>
        <w:rPr>
          <w:lang w:val="fr-FR"/>
        </w:rPr>
      </w:pPr>
      <w:r w:rsidRPr="00131978">
        <w:rPr>
          <w:lang w:val="fr-FR"/>
        </w:rPr>
        <w:t>Prend note</w:t>
      </w:r>
      <w:r>
        <w:rPr>
          <w:u w:val="none"/>
          <w:lang w:val="fr-FR"/>
        </w:rPr>
        <w:t xml:space="preserve"> des efforts déployés par l</w:t>
      </w:r>
      <w:r w:rsidR="00655870">
        <w:rPr>
          <w:u w:val="none"/>
          <w:lang w:val="fr-FR"/>
        </w:rPr>
        <w:t>’</w:t>
      </w:r>
      <w:r>
        <w:rPr>
          <w:u w:val="none"/>
          <w:lang w:val="fr-FR"/>
        </w:rPr>
        <w:t>Ouganda pour sauvegarder l</w:t>
      </w:r>
      <w:r w:rsidR="00655870">
        <w:rPr>
          <w:u w:val="none"/>
          <w:lang w:val="fr-FR"/>
        </w:rPr>
        <w:t>’</w:t>
      </w:r>
      <w:r>
        <w:rPr>
          <w:u w:val="none"/>
          <w:lang w:val="fr-FR"/>
        </w:rPr>
        <w:t>élément, en particulier la documentation du processus et la diffusion de sa signification, l</w:t>
      </w:r>
      <w:r w:rsidR="00655870">
        <w:rPr>
          <w:u w:val="none"/>
          <w:lang w:val="fr-FR"/>
        </w:rPr>
        <w:t>’</w:t>
      </w:r>
      <w:r>
        <w:rPr>
          <w:u w:val="none"/>
          <w:lang w:val="fr-FR"/>
        </w:rPr>
        <w:t>amélioration de sa transmission par le biais des méthodes orales traditionnelles ainsi que des dispositifs de communication modernes, et l</w:t>
      </w:r>
      <w:r w:rsidR="00655870">
        <w:rPr>
          <w:u w:val="none"/>
          <w:lang w:val="fr-FR"/>
        </w:rPr>
        <w:t>’</w:t>
      </w:r>
      <w:r>
        <w:rPr>
          <w:u w:val="none"/>
          <w:lang w:val="fr-FR"/>
        </w:rPr>
        <w:t>adoption de cadres législatifs nationaux visant à limiter l</w:t>
      </w:r>
      <w:r w:rsidR="00655870">
        <w:rPr>
          <w:u w:val="none"/>
          <w:lang w:val="fr-FR"/>
        </w:rPr>
        <w:t>’</w:t>
      </w:r>
      <w:r>
        <w:rPr>
          <w:u w:val="none"/>
          <w:lang w:val="fr-FR"/>
        </w:rPr>
        <w:t xml:space="preserve">abattage </w:t>
      </w:r>
      <w:r w:rsidRPr="00E15C17">
        <w:rPr>
          <w:u w:val="none"/>
          <w:lang w:val="fr-FR"/>
        </w:rPr>
        <w:t xml:space="preserve">du </w:t>
      </w:r>
      <w:r w:rsidRPr="00426B43">
        <w:rPr>
          <w:u w:val="none"/>
          <w:lang w:val="fr-FR"/>
        </w:rPr>
        <w:t>karité</w:t>
      </w:r>
      <w:r w:rsidRPr="00E15C17">
        <w:rPr>
          <w:u w:val="none"/>
          <w:lang w:val="fr-FR"/>
        </w:rPr>
        <w:t> ;</w:t>
      </w:r>
    </w:p>
    <w:p w14:paraId="62FD1E57" w14:textId="47B044FF" w:rsidR="00D23C0B" w:rsidRPr="00F90057" w:rsidRDefault="00D23C0B" w:rsidP="00D23C0B">
      <w:pPr>
        <w:pStyle w:val="COMParaDecision"/>
        <w:numPr>
          <w:ilvl w:val="0"/>
          <w:numId w:val="22"/>
        </w:numPr>
        <w:tabs>
          <w:tab w:val="left" w:pos="1134"/>
        </w:tabs>
        <w:ind w:left="1134" w:hanging="567"/>
        <w:rPr>
          <w:lang w:val="fr-FR"/>
        </w:rPr>
      </w:pPr>
      <w:r w:rsidRPr="002C6A77">
        <w:rPr>
          <w:lang w:val="fr-FR"/>
        </w:rPr>
        <w:t>Invite</w:t>
      </w:r>
      <w:r>
        <w:rPr>
          <w:u w:val="none"/>
          <w:lang w:val="fr-FR"/>
        </w:rPr>
        <w:t xml:space="preserve"> l</w:t>
      </w:r>
      <w:r w:rsidR="00655870">
        <w:rPr>
          <w:u w:val="none"/>
          <w:lang w:val="fr-FR"/>
        </w:rPr>
        <w:t>’</w:t>
      </w:r>
      <w:r>
        <w:rPr>
          <w:u w:val="none"/>
          <w:lang w:val="fr-FR"/>
        </w:rPr>
        <w:t>État partie à poursuivre ses efforts de sauvegarde de l</w:t>
      </w:r>
      <w:r w:rsidR="00655870">
        <w:rPr>
          <w:u w:val="none"/>
          <w:lang w:val="fr-FR"/>
        </w:rPr>
        <w:t>’</w:t>
      </w:r>
      <w:r>
        <w:rPr>
          <w:u w:val="none"/>
          <w:lang w:val="fr-FR"/>
        </w:rPr>
        <w:t xml:space="preserve">élément en développant de nouveaux programmes et politiques </w:t>
      </w:r>
      <w:r w:rsidR="00057C4F">
        <w:rPr>
          <w:u w:val="none"/>
          <w:lang w:val="fr-FR"/>
        </w:rPr>
        <w:t xml:space="preserve">éducatifs </w:t>
      </w:r>
      <w:r>
        <w:rPr>
          <w:u w:val="none"/>
          <w:lang w:val="fr-FR"/>
        </w:rPr>
        <w:t>dans le domaine de la culture, en améliorant la planification et le financement associés aux activités de sauvegarde, en continuant à collaborer étroitement avec les organisations gouvernementales et non-gouvernementales, ainsi qu</w:t>
      </w:r>
      <w:r w:rsidR="00655870">
        <w:rPr>
          <w:u w:val="none"/>
          <w:lang w:val="fr-FR"/>
        </w:rPr>
        <w:t>’</w:t>
      </w:r>
      <w:r>
        <w:rPr>
          <w:u w:val="none"/>
          <w:lang w:val="fr-FR"/>
        </w:rPr>
        <w:t>avec les praticiens individuels ;</w:t>
      </w:r>
    </w:p>
    <w:p w14:paraId="2381E120" w14:textId="754C5914" w:rsidR="00D23C0B" w:rsidRPr="00B53679" w:rsidRDefault="00D23C0B" w:rsidP="00D23C0B">
      <w:pPr>
        <w:pStyle w:val="COMParaDecision"/>
        <w:numPr>
          <w:ilvl w:val="0"/>
          <w:numId w:val="22"/>
        </w:numPr>
        <w:tabs>
          <w:tab w:val="left" w:pos="1134"/>
        </w:tabs>
        <w:ind w:left="1134" w:hanging="567"/>
        <w:rPr>
          <w:lang w:val="fr-FR"/>
        </w:rPr>
      </w:pPr>
      <w:r>
        <w:rPr>
          <w:lang w:val="fr-FR"/>
        </w:rPr>
        <w:t>Encourage</w:t>
      </w:r>
      <w:r>
        <w:rPr>
          <w:u w:val="none"/>
          <w:lang w:val="fr-FR"/>
        </w:rPr>
        <w:t xml:space="preserve"> l</w:t>
      </w:r>
      <w:r w:rsidR="00655870">
        <w:rPr>
          <w:u w:val="none"/>
          <w:lang w:val="fr-FR"/>
        </w:rPr>
        <w:t>’</w:t>
      </w:r>
      <w:r>
        <w:rPr>
          <w:u w:val="none"/>
          <w:lang w:val="fr-FR"/>
        </w:rPr>
        <w:t>État partie à impliquer activement les membres de la communauté dans la mise en œuvre des activités de sauvegarde, ainsi qu</w:t>
      </w:r>
      <w:r w:rsidR="00655870">
        <w:rPr>
          <w:u w:val="none"/>
          <w:lang w:val="fr-FR"/>
        </w:rPr>
        <w:t>’</w:t>
      </w:r>
      <w:r>
        <w:rPr>
          <w:u w:val="none"/>
          <w:lang w:val="fr-FR"/>
        </w:rPr>
        <w:t xml:space="preserve">à </w:t>
      </w:r>
      <w:r w:rsidRPr="003F3BC6">
        <w:rPr>
          <w:u w:val="none"/>
          <w:lang w:val="fr-FR"/>
        </w:rPr>
        <w:t>veiller à ce que les ressources nécessaires à un plan de sauvegarde à long terme soient identifiées</w:t>
      </w:r>
      <w:r w:rsidR="00E15C17">
        <w:rPr>
          <w:u w:val="none"/>
          <w:lang w:val="fr-FR"/>
        </w:rPr>
        <w:t> ;</w:t>
      </w:r>
    </w:p>
    <w:p w14:paraId="48A64338" w14:textId="0EBA57A0" w:rsidR="00D23C0B" w:rsidRPr="00B53679" w:rsidRDefault="00D23C0B" w:rsidP="00D23C0B">
      <w:pPr>
        <w:pStyle w:val="COMParaDecision"/>
        <w:numPr>
          <w:ilvl w:val="0"/>
          <w:numId w:val="22"/>
        </w:numPr>
        <w:tabs>
          <w:tab w:val="left" w:pos="1134"/>
        </w:tabs>
        <w:ind w:left="1134" w:hanging="567"/>
        <w:rPr>
          <w:u w:val="none"/>
          <w:lang w:val="fr-FR"/>
        </w:rPr>
      </w:pPr>
      <w:r w:rsidRPr="00B53679">
        <w:rPr>
          <w:lang w:val="fr-FR"/>
        </w:rPr>
        <w:t>Prie</w:t>
      </w:r>
      <w:r w:rsidRPr="00B53679">
        <w:rPr>
          <w:u w:val="none"/>
          <w:lang w:val="fr-FR"/>
        </w:rPr>
        <w:t xml:space="preserve"> le Secrétariat d</w:t>
      </w:r>
      <w:r w:rsidR="00655870">
        <w:rPr>
          <w:u w:val="none"/>
          <w:lang w:val="fr-FR"/>
        </w:rPr>
        <w:t>’</w:t>
      </w:r>
      <w:r w:rsidRPr="00B53679">
        <w:rPr>
          <w:u w:val="none"/>
          <w:lang w:val="fr-FR"/>
        </w:rPr>
        <w:t>informer l</w:t>
      </w:r>
      <w:r w:rsidR="00655870">
        <w:rPr>
          <w:u w:val="none"/>
          <w:lang w:val="fr-FR"/>
        </w:rPr>
        <w:t>’</w:t>
      </w:r>
      <w:r w:rsidRPr="00B53679">
        <w:rPr>
          <w:u w:val="none"/>
          <w:lang w:val="fr-FR"/>
        </w:rPr>
        <w:t>État partie, au moins neuf mois avant l</w:t>
      </w:r>
      <w:r w:rsidR="00655870">
        <w:rPr>
          <w:u w:val="none"/>
          <w:lang w:val="fr-FR"/>
        </w:rPr>
        <w:t>’</w:t>
      </w:r>
      <w:r w:rsidRPr="00B53679">
        <w:rPr>
          <w:u w:val="none"/>
          <w:lang w:val="fr-FR"/>
        </w:rPr>
        <w:t>échéance du 15</w:t>
      </w:r>
      <w:r w:rsidR="00057C4F">
        <w:rPr>
          <w:u w:val="none"/>
          <w:lang w:val="fr-FR"/>
        </w:rPr>
        <w:t> </w:t>
      </w:r>
      <w:r w:rsidRPr="00B53679">
        <w:rPr>
          <w:u w:val="none"/>
          <w:lang w:val="fr-FR"/>
        </w:rPr>
        <w:t>décembre 2022, qu</w:t>
      </w:r>
      <w:r w:rsidR="00655870">
        <w:rPr>
          <w:u w:val="none"/>
          <w:lang w:val="fr-FR"/>
        </w:rPr>
        <w:t>’</w:t>
      </w:r>
      <w:r w:rsidRPr="00B53679">
        <w:rPr>
          <w:u w:val="none"/>
          <w:lang w:val="fr-FR"/>
        </w:rPr>
        <w:t>il doit soumettre son prochain rapport sur l</w:t>
      </w:r>
      <w:r w:rsidR="00655870">
        <w:rPr>
          <w:u w:val="none"/>
          <w:lang w:val="fr-FR"/>
        </w:rPr>
        <w:t>’</w:t>
      </w:r>
      <w:r w:rsidRPr="00B53679">
        <w:rPr>
          <w:u w:val="none"/>
          <w:lang w:val="fr-FR"/>
        </w:rPr>
        <w:t>état de cet élément.</w:t>
      </w:r>
      <w:r w:rsidRPr="00B53679">
        <w:rPr>
          <w:u w:val="none"/>
          <w:lang w:val="fr-FR"/>
        </w:rPr>
        <w:br w:type="page"/>
      </w:r>
    </w:p>
    <w:p w14:paraId="2D6D96D5" w14:textId="3A81777E" w:rsidR="00D23C0B" w:rsidRPr="00F90057" w:rsidRDefault="00D23C0B" w:rsidP="00D23C0B">
      <w:pPr>
        <w:pStyle w:val="COMParaDecision"/>
        <w:ind w:left="567"/>
        <w:rPr>
          <w:i/>
          <w:u w:val="none"/>
          <w:lang w:val="fr-FR"/>
        </w:rPr>
      </w:pPr>
      <w:r w:rsidRPr="00B24F44">
        <w:rPr>
          <w:b/>
          <w:u w:val="none"/>
          <w:lang w:val="fr-FR"/>
        </w:rPr>
        <w:lastRenderedPageBreak/>
        <w:t xml:space="preserve">Venezuela (République bolivarienne du) : </w:t>
      </w:r>
      <w:r>
        <w:rPr>
          <w:b/>
          <w:u w:val="none"/>
          <w:lang w:val="fr-FR"/>
        </w:rPr>
        <w:t>« </w:t>
      </w:r>
      <w:r w:rsidRPr="00B24F44">
        <w:rPr>
          <w:b/>
          <w:u w:val="none"/>
          <w:lang w:val="fr-FR"/>
        </w:rPr>
        <w:t xml:space="preserve">La tradition orale </w:t>
      </w:r>
      <w:proofErr w:type="spellStart"/>
      <w:r w:rsidRPr="00B24F44">
        <w:rPr>
          <w:b/>
          <w:u w:val="none"/>
          <w:lang w:val="fr-FR"/>
        </w:rPr>
        <w:t>Mapoyo</w:t>
      </w:r>
      <w:proofErr w:type="spellEnd"/>
      <w:r w:rsidRPr="00B24F44">
        <w:rPr>
          <w:b/>
          <w:u w:val="none"/>
          <w:lang w:val="fr-FR"/>
        </w:rPr>
        <w:t xml:space="preserve"> et ses points de référence symboliques dans leur territoire ancestral</w:t>
      </w:r>
      <w:r>
        <w:rPr>
          <w:b/>
          <w:u w:val="none"/>
          <w:lang w:val="fr-FR"/>
        </w:rPr>
        <w:t> »</w:t>
      </w:r>
      <w:r w:rsidRPr="00B24F44">
        <w:rPr>
          <w:b/>
          <w:u w:val="none"/>
          <w:lang w:val="fr-FR"/>
        </w:rPr>
        <w:t xml:space="preserve"> </w:t>
      </w:r>
      <w:r w:rsidR="00635386" w:rsidRPr="00131978">
        <w:rPr>
          <w:i/>
          <w:u w:val="none"/>
          <w:lang w:val="fr-FR"/>
        </w:rPr>
        <w:t>(</w:t>
      </w:r>
      <w:r w:rsidR="00635386" w:rsidRPr="00635386">
        <w:rPr>
          <w:i/>
          <w:u w:val="none"/>
          <w:lang w:val="fr-FR"/>
        </w:rPr>
        <w:t xml:space="preserve">consulter le </w:t>
      </w:r>
      <w:hyperlink r:id="rId34" w:history="1">
        <w:r w:rsidR="00635386" w:rsidRPr="00635386">
          <w:rPr>
            <w:rStyle w:val="Hyperlink"/>
            <w:i/>
            <w:lang w:val="fr-FR"/>
          </w:rPr>
          <w:t>rapport</w:t>
        </w:r>
      </w:hyperlink>
      <w:r w:rsidR="00635386" w:rsidRPr="00635386">
        <w:rPr>
          <w:i/>
          <w:u w:val="none"/>
          <w:lang w:val="fr-FR"/>
        </w:rPr>
        <w:t>)</w:t>
      </w:r>
    </w:p>
    <w:p w14:paraId="60403AE6" w14:textId="252B2E2F" w:rsidR="00D23C0B" w:rsidRPr="00F90057" w:rsidRDefault="00D23C0B" w:rsidP="00D23C0B">
      <w:pPr>
        <w:pStyle w:val="COMPara"/>
        <w:numPr>
          <w:ilvl w:val="0"/>
          <w:numId w:val="9"/>
        </w:numPr>
        <w:spacing w:before="120"/>
        <w:ind w:left="567" w:hanging="567"/>
        <w:jc w:val="both"/>
        <w:rPr>
          <w:lang w:val="fr-FR"/>
        </w:rPr>
      </w:pPr>
      <w:r w:rsidRPr="00F24160">
        <w:rPr>
          <w:lang w:val="fr-FR"/>
        </w:rPr>
        <w:t xml:space="preserve">La tradition orale </w:t>
      </w:r>
      <w:proofErr w:type="spellStart"/>
      <w:r w:rsidRPr="00F24160">
        <w:rPr>
          <w:lang w:val="fr-FR"/>
        </w:rPr>
        <w:t>Mapoyo</w:t>
      </w:r>
      <w:proofErr w:type="spellEnd"/>
      <w:r w:rsidRPr="00F24160">
        <w:rPr>
          <w:lang w:val="fr-FR"/>
        </w:rPr>
        <w:t xml:space="preserve"> et ses points de référence symboliques sur le territoire ancestral englobent un corpus narratif constituant la mémoire collective du peuple </w:t>
      </w:r>
      <w:proofErr w:type="spellStart"/>
      <w:r>
        <w:rPr>
          <w:lang w:val="fr-FR"/>
        </w:rPr>
        <w:t>M</w:t>
      </w:r>
      <w:r w:rsidRPr="00F24160">
        <w:rPr>
          <w:lang w:val="fr-FR"/>
        </w:rPr>
        <w:t>apoyo</w:t>
      </w:r>
      <w:proofErr w:type="spellEnd"/>
      <w:r>
        <w:rPr>
          <w:color w:val="000000"/>
          <w:shd w:val="clear" w:color="auto" w:fill="FFFFFF"/>
          <w:lang w:val="fr-FR"/>
        </w:rPr>
        <w:t xml:space="preserve">. Elle est symboliquement et indissolublement liée à un certain nombre de sites sur le </w:t>
      </w:r>
      <w:r w:rsidRPr="004C347F">
        <w:rPr>
          <w:lang w:val="fr-FR"/>
        </w:rPr>
        <w:t>territoire</w:t>
      </w:r>
      <w:r>
        <w:rPr>
          <w:color w:val="000000"/>
          <w:shd w:val="clear" w:color="auto" w:fill="FFFFFF"/>
          <w:lang w:val="fr-FR"/>
        </w:rPr>
        <w:t xml:space="preserve"> ancestral de la communauté, le long de l</w:t>
      </w:r>
      <w:r w:rsidR="00655870">
        <w:rPr>
          <w:color w:val="000000"/>
          <w:shd w:val="clear" w:color="auto" w:fill="FFFFFF"/>
          <w:lang w:val="fr-FR"/>
        </w:rPr>
        <w:t>’</w:t>
      </w:r>
      <w:r>
        <w:rPr>
          <w:color w:val="000000"/>
          <w:shd w:val="clear" w:color="auto" w:fill="FFFFFF"/>
          <w:lang w:val="fr-FR"/>
        </w:rPr>
        <w:t>Orénoque. Les détenteurs de la tradition racontent des récits touchant à la structure sociale, aux connaissances, à l</w:t>
      </w:r>
      <w:r w:rsidR="00655870">
        <w:rPr>
          <w:color w:val="000000"/>
          <w:shd w:val="clear" w:color="auto" w:fill="FFFFFF"/>
          <w:lang w:val="fr-FR"/>
        </w:rPr>
        <w:t>’</w:t>
      </w:r>
      <w:r>
        <w:rPr>
          <w:color w:val="000000"/>
          <w:shd w:val="clear" w:color="auto" w:fill="FFFFFF"/>
          <w:lang w:val="fr-FR"/>
        </w:rPr>
        <w:t>environnement et à la cosmogonie tout en s</w:t>
      </w:r>
      <w:r w:rsidR="00655870">
        <w:rPr>
          <w:color w:val="000000"/>
          <w:shd w:val="clear" w:color="auto" w:fill="FFFFFF"/>
          <w:lang w:val="fr-FR"/>
        </w:rPr>
        <w:t>’</w:t>
      </w:r>
      <w:r>
        <w:rPr>
          <w:color w:val="000000"/>
          <w:shd w:val="clear" w:color="auto" w:fill="FFFFFF"/>
          <w:lang w:val="fr-FR"/>
        </w:rPr>
        <w:t xml:space="preserve">acquittant de leurs activités et engagements quotidiens. Les anciens de la communauté sont désormais les principaux dépositaires des traditions orales </w:t>
      </w:r>
      <w:proofErr w:type="spellStart"/>
      <w:r>
        <w:rPr>
          <w:color w:val="000000"/>
          <w:shd w:val="clear" w:color="auto" w:fill="FFFFFF"/>
          <w:lang w:val="fr-FR"/>
        </w:rPr>
        <w:t>Mapoyo</w:t>
      </w:r>
      <w:proofErr w:type="spellEnd"/>
      <w:r>
        <w:rPr>
          <w:color w:val="000000"/>
          <w:shd w:val="clear" w:color="auto" w:fill="FFFFFF"/>
          <w:lang w:val="fr-FR"/>
        </w:rPr>
        <w:t xml:space="preserve"> et de leur symbolisme. L</w:t>
      </w:r>
      <w:r w:rsidR="00655870">
        <w:rPr>
          <w:color w:val="000000"/>
          <w:shd w:val="clear" w:color="auto" w:fill="FFFFFF"/>
          <w:lang w:val="fr-FR"/>
        </w:rPr>
        <w:t>’</w:t>
      </w:r>
      <w:r>
        <w:rPr>
          <w:color w:val="000000"/>
          <w:shd w:val="clear" w:color="auto" w:fill="FFFFFF"/>
          <w:lang w:val="fr-FR"/>
        </w:rPr>
        <w:t>élément favorise l</w:t>
      </w:r>
      <w:r w:rsidR="00655870">
        <w:rPr>
          <w:color w:val="000000"/>
          <w:shd w:val="clear" w:color="auto" w:fill="FFFFFF"/>
          <w:lang w:val="fr-FR"/>
        </w:rPr>
        <w:t>’</w:t>
      </w:r>
      <w:proofErr w:type="spellStart"/>
      <w:r>
        <w:rPr>
          <w:color w:val="000000"/>
          <w:shd w:val="clear" w:color="auto" w:fill="FFFFFF"/>
          <w:lang w:val="fr-FR"/>
        </w:rPr>
        <w:t>auto-sensibilisation</w:t>
      </w:r>
      <w:proofErr w:type="spellEnd"/>
      <w:r>
        <w:rPr>
          <w:color w:val="000000"/>
          <w:shd w:val="clear" w:color="auto" w:fill="FFFFFF"/>
          <w:lang w:val="fr-FR"/>
        </w:rPr>
        <w:t xml:space="preserve"> de la communauté et renforce le rôle de ses détenteurs.</w:t>
      </w:r>
    </w:p>
    <w:p w14:paraId="1B207B60" w14:textId="5AAF5021" w:rsidR="00D23C0B" w:rsidRPr="00F90057" w:rsidRDefault="00D23C0B" w:rsidP="00D23C0B">
      <w:pPr>
        <w:pStyle w:val="COMPara"/>
        <w:numPr>
          <w:ilvl w:val="0"/>
          <w:numId w:val="9"/>
        </w:numPr>
        <w:spacing w:before="120"/>
        <w:ind w:left="567" w:hanging="567"/>
        <w:jc w:val="both"/>
        <w:rPr>
          <w:lang w:val="fr-FR"/>
        </w:rPr>
      </w:pPr>
      <w:r w:rsidRPr="005A1859">
        <w:rPr>
          <w:b/>
          <w:lang w:val="fr-FR"/>
        </w:rPr>
        <w:t>Efficacité du plan de sauvegarde</w:t>
      </w:r>
      <w:r w:rsidRPr="005A1859">
        <w:rPr>
          <w:lang w:val="fr-FR"/>
        </w:rPr>
        <w:t xml:space="preserve">. Pour assurer la viabilité et la transmission des traditions </w:t>
      </w:r>
      <w:r>
        <w:rPr>
          <w:lang w:val="fr-FR"/>
        </w:rPr>
        <w:t xml:space="preserve">orales </w:t>
      </w:r>
      <w:proofErr w:type="spellStart"/>
      <w:r w:rsidRPr="005A1859">
        <w:rPr>
          <w:lang w:val="fr-FR"/>
        </w:rPr>
        <w:t>Mapoyo</w:t>
      </w:r>
      <w:proofErr w:type="spellEnd"/>
      <w:r w:rsidRPr="005A1859">
        <w:rPr>
          <w:lang w:val="fr-FR"/>
        </w:rPr>
        <w:t xml:space="preserve"> et des pratiques qui y sont associées, les objectifs globaux du plan de sauvegarde </w:t>
      </w:r>
      <w:r>
        <w:rPr>
          <w:lang w:val="fr-FR"/>
        </w:rPr>
        <w:t>étaient de</w:t>
      </w:r>
      <w:r w:rsidRPr="005A1859">
        <w:rPr>
          <w:lang w:val="fr-FR"/>
        </w:rPr>
        <w:t xml:space="preserve"> renforcer la transmission du savoir ancestral, </w:t>
      </w:r>
      <w:r>
        <w:rPr>
          <w:lang w:val="fr-FR"/>
        </w:rPr>
        <w:t>d</w:t>
      </w:r>
      <w:r w:rsidR="00655870">
        <w:rPr>
          <w:lang w:val="fr-FR"/>
        </w:rPr>
        <w:t>’</w:t>
      </w:r>
      <w:r w:rsidRPr="005A1859">
        <w:rPr>
          <w:lang w:val="fr-FR"/>
        </w:rPr>
        <w:t>améliorer les recherches associées à l</w:t>
      </w:r>
      <w:r w:rsidR="00655870">
        <w:rPr>
          <w:lang w:val="fr-FR"/>
        </w:rPr>
        <w:t>’</w:t>
      </w:r>
      <w:r w:rsidRPr="005A1859">
        <w:rPr>
          <w:lang w:val="fr-FR"/>
        </w:rPr>
        <w:t xml:space="preserve">élément, </w:t>
      </w:r>
      <w:r>
        <w:rPr>
          <w:lang w:val="fr-FR"/>
        </w:rPr>
        <w:t>d</w:t>
      </w:r>
      <w:r w:rsidR="00655870">
        <w:rPr>
          <w:lang w:val="fr-FR"/>
        </w:rPr>
        <w:t>’</w:t>
      </w:r>
      <w:r w:rsidRPr="005A1859">
        <w:rPr>
          <w:lang w:val="fr-FR"/>
        </w:rPr>
        <w:t xml:space="preserve">intégrer les </w:t>
      </w:r>
      <w:r w:rsidRPr="00426B43">
        <w:rPr>
          <w:lang w:val="fr-FR"/>
        </w:rPr>
        <w:t xml:space="preserve">enseignements </w:t>
      </w:r>
      <w:proofErr w:type="spellStart"/>
      <w:r w:rsidRPr="00426B43">
        <w:rPr>
          <w:lang w:val="fr-FR"/>
        </w:rPr>
        <w:t>Mapoyo</w:t>
      </w:r>
      <w:proofErr w:type="spellEnd"/>
      <w:r w:rsidRPr="005A1859">
        <w:rPr>
          <w:lang w:val="fr-FR"/>
        </w:rPr>
        <w:t xml:space="preserve"> aux programmes scolaires et </w:t>
      </w:r>
      <w:r>
        <w:rPr>
          <w:lang w:val="fr-FR"/>
        </w:rPr>
        <w:t>d</w:t>
      </w:r>
      <w:r w:rsidR="00655870">
        <w:rPr>
          <w:lang w:val="fr-FR"/>
        </w:rPr>
        <w:t>’</w:t>
      </w:r>
      <w:r w:rsidRPr="005A1859">
        <w:rPr>
          <w:lang w:val="fr-FR"/>
        </w:rPr>
        <w:t>accroître la sensibilisation et l</w:t>
      </w:r>
      <w:r w:rsidR="00655870">
        <w:rPr>
          <w:lang w:val="fr-FR"/>
        </w:rPr>
        <w:t>’</w:t>
      </w:r>
      <w:r w:rsidRPr="005A1859">
        <w:rPr>
          <w:lang w:val="fr-FR"/>
        </w:rPr>
        <w:t>inclusi</w:t>
      </w:r>
      <w:r>
        <w:rPr>
          <w:lang w:val="fr-FR"/>
        </w:rPr>
        <w:t>on</w:t>
      </w:r>
      <w:r w:rsidRPr="005A1859">
        <w:rPr>
          <w:lang w:val="fr-FR"/>
        </w:rPr>
        <w:t xml:space="preserve"> des communautés. </w:t>
      </w:r>
      <w:r>
        <w:rPr>
          <w:lang w:val="fr-FR"/>
        </w:rPr>
        <w:t>L</w:t>
      </w:r>
      <w:r w:rsidRPr="005A1859">
        <w:rPr>
          <w:lang w:val="fr-FR"/>
        </w:rPr>
        <w:t xml:space="preserve">es mesures de sauvegarde prises </w:t>
      </w:r>
      <w:r>
        <w:rPr>
          <w:lang w:val="fr-FR"/>
        </w:rPr>
        <w:t>incluent</w:t>
      </w:r>
      <w:r w:rsidRPr="005A1859">
        <w:rPr>
          <w:lang w:val="fr-FR"/>
        </w:rPr>
        <w:t xml:space="preserve"> : la conception et la mise en œuvre du </w:t>
      </w:r>
      <w:r>
        <w:rPr>
          <w:lang w:val="fr-FR"/>
        </w:rPr>
        <w:t>« </w:t>
      </w:r>
      <w:r w:rsidRPr="005A1859">
        <w:rPr>
          <w:lang w:val="fr-FR"/>
        </w:rPr>
        <w:t xml:space="preserve">Programme éducatif </w:t>
      </w:r>
      <w:proofErr w:type="spellStart"/>
      <w:r w:rsidRPr="005A1859">
        <w:rPr>
          <w:lang w:val="fr-FR"/>
        </w:rPr>
        <w:t>Mapoyo</w:t>
      </w:r>
      <w:proofErr w:type="spellEnd"/>
      <w:r>
        <w:rPr>
          <w:lang w:val="fr-FR"/>
        </w:rPr>
        <w:t> »</w:t>
      </w:r>
      <w:r w:rsidRPr="005A1859">
        <w:rPr>
          <w:lang w:val="fr-FR"/>
        </w:rPr>
        <w:t xml:space="preserve">, </w:t>
      </w:r>
      <w:r>
        <w:rPr>
          <w:lang w:val="fr-FR"/>
        </w:rPr>
        <w:t>qui permet</w:t>
      </w:r>
      <w:r w:rsidRPr="005A1859">
        <w:rPr>
          <w:lang w:val="fr-FR"/>
        </w:rPr>
        <w:t xml:space="preserve"> aux détenteurs de la tradition d</w:t>
      </w:r>
      <w:r w:rsidR="00655870">
        <w:rPr>
          <w:lang w:val="fr-FR"/>
        </w:rPr>
        <w:t>’</w:t>
      </w:r>
      <w:r w:rsidRPr="005A1859">
        <w:rPr>
          <w:lang w:val="fr-FR"/>
        </w:rPr>
        <w:t xml:space="preserve">intégrer les </w:t>
      </w:r>
      <w:r w:rsidRPr="005A1859">
        <w:rPr>
          <w:color w:val="000000"/>
          <w:shd w:val="clear" w:color="auto" w:fill="FFFFFF"/>
          <w:lang w:val="fr-FR"/>
        </w:rPr>
        <w:t xml:space="preserve">enseignements </w:t>
      </w:r>
      <w:proofErr w:type="spellStart"/>
      <w:r w:rsidRPr="005A1859">
        <w:rPr>
          <w:color w:val="000000"/>
          <w:shd w:val="clear" w:color="auto" w:fill="FFFFFF"/>
          <w:lang w:val="fr-FR"/>
        </w:rPr>
        <w:t>Mapoyo</w:t>
      </w:r>
      <w:proofErr w:type="spellEnd"/>
      <w:r w:rsidRPr="005A1859">
        <w:rPr>
          <w:color w:val="000000"/>
          <w:shd w:val="clear" w:color="auto" w:fill="FFFFFF"/>
          <w:lang w:val="fr-FR"/>
        </w:rPr>
        <w:t xml:space="preserve"> aux programmes scolaires incluant le renforcement de la langue </w:t>
      </w:r>
      <w:proofErr w:type="spellStart"/>
      <w:r w:rsidRPr="005A1859">
        <w:rPr>
          <w:color w:val="000000"/>
          <w:shd w:val="clear" w:color="auto" w:fill="FFFFFF"/>
          <w:lang w:val="fr-FR"/>
        </w:rPr>
        <w:t>Mapoyo</w:t>
      </w:r>
      <w:proofErr w:type="spellEnd"/>
      <w:r w:rsidRPr="005A1859">
        <w:rPr>
          <w:color w:val="000000"/>
          <w:shd w:val="clear" w:color="auto" w:fill="FFFFFF"/>
          <w:lang w:val="fr-FR"/>
        </w:rPr>
        <w:t xml:space="preserve"> dans les écoles locales ; </w:t>
      </w:r>
      <w:r>
        <w:rPr>
          <w:color w:val="000000"/>
          <w:shd w:val="clear" w:color="auto" w:fill="FFFFFF"/>
          <w:lang w:val="fr-FR"/>
        </w:rPr>
        <w:t>la création d</w:t>
      </w:r>
      <w:r w:rsidR="00655870">
        <w:rPr>
          <w:color w:val="000000"/>
          <w:shd w:val="clear" w:color="auto" w:fill="FFFFFF"/>
          <w:lang w:val="fr-FR"/>
        </w:rPr>
        <w:t>’</w:t>
      </w:r>
      <w:r w:rsidRPr="005A1859">
        <w:rPr>
          <w:color w:val="000000"/>
          <w:shd w:val="clear" w:color="auto" w:fill="FFFFFF"/>
          <w:lang w:val="fr-FR"/>
        </w:rPr>
        <w:t xml:space="preserve">un musée communautaire et </w:t>
      </w:r>
      <w:r>
        <w:rPr>
          <w:color w:val="000000"/>
          <w:shd w:val="clear" w:color="auto" w:fill="FFFFFF"/>
          <w:lang w:val="fr-FR"/>
        </w:rPr>
        <w:t>l</w:t>
      </w:r>
      <w:r w:rsidR="00655870">
        <w:rPr>
          <w:color w:val="000000"/>
          <w:shd w:val="clear" w:color="auto" w:fill="FFFFFF"/>
          <w:lang w:val="fr-FR"/>
        </w:rPr>
        <w:t>’</w:t>
      </w:r>
      <w:r>
        <w:rPr>
          <w:color w:val="000000"/>
          <w:shd w:val="clear" w:color="auto" w:fill="FFFFFF"/>
          <w:lang w:val="fr-FR"/>
        </w:rPr>
        <w:t>organisation d</w:t>
      </w:r>
      <w:r w:rsidR="00655870">
        <w:rPr>
          <w:color w:val="000000"/>
          <w:shd w:val="clear" w:color="auto" w:fill="FFFFFF"/>
          <w:lang w:val="fr-FR"/>
        </w:rPr>
        <w:t>’</w:t>
      </w:r>
      <w:r>
        <w:rPr>
          <w:color w:val="000000"/>
          <w:shd w:val="clear" w:color="auto" w:fill="FFFFFF"/>
          <w:lang w:val="fr-FR"/>
        </w:rPr>
        <w:t xml:space="preserve">une </w:t>
      </w:r>
      <w:r w:rsidRPr="005A1859">
        <w:rPr>
          <w:color w:val="000000"/>
          <w:shd w:val="clear" w:color="auto" w:fill="FFFFFF"/>
          <w:lang w:val="fr-FR"/>
        </w:rPr>
        <w:t xml:space="preserve">formation axée sur le renforcement des capacités pour les détenteurs </w:t>
      </w:r>
      <w:r>
        <w:rPr>
          <w:color w:val="000000"/>
          <w:shd w:val="clear" w:color="auto" w:fill="FFFFFF"/>
          <w:lang w:val="fr-FR"/>
        </w:rPr>
        <w:t xml:space="preserve">jeunes et </w:t>
      </w:r>
      <w:r w:rsidRPr="005A1859">
        <w:rPr>
          <w:color w:val="000000"/>
          <w:shd w:val="clear" w:color="auto" w:fill="FFFFFF"/>
          <w:lang w:val="fr-FR"/>
        </w:rPr>
        <w:t>âgés, qui serviront de guides culturels visitant</w:t>
      </w:r>
      <w:r w:rsidRPr="005A1859">
        <w:rPr>
          <w:lang w:val="fr-FR"/>
        </w:rPr>
        <w:t xml:space="preserve"> </w:t>
      </w:r>
      <w:r w:rsidRPr="009E78DD">
        <w:rPr>
          <w:color w:val="000000"/>
          <w:shd w:val="clear" w:color="auto" w:fill="FFFFFF"/>
          <w:lang w:val="fr-FR"/>
        </w:rPr>
        <w:t xml:space="preserve">les régions symboliques du territoire </w:t>
      </w:r>
      <w:proofErr w:type="spellStart"/>
      <w:r w:rsidRPr="009E78DD">
        <w:rPr>
          <w:color w:val="000000"/>
          <w:shd w:val="clear" w:color="auto" w:fill="FFFFFF"/>
          <w:lang w:val="fr-FR"/>
        </w:rPr>
        <w:t>Mapoyo</w:t>
      </w:r>
      <w:proofErr w:type="spellEnd"/>
      <w:r w:rsidRPr="005A1859">
        <w:rPr>
          <w:lang w:val="fr-FR"/>
        </w:rPr>
        <w:t> ; la création d</w:t>
      </w:r>
      <w:r w:rsidR="00655870">
        <w:rPr>
          <w:lang w:val="fr-FR"/>
        </w:rPr>
        <w:t>’</w:t>
      </w:r>
      <w:r w:rsidRPr="005A1859">
        <w:rPr>
          <w:lang w:val="fr-FR"/>
        </w:rPr>
        <w:t xml:space="preserve">une bibliographie </w:t>
      </w:r>
      <w:r>
        <w:rPr>
          <w:lang w:val="fr-FR"/>
        </w:rPr>
        <w:t>de</w:t>
      </w:r>
      <w:r w:rsidRPr="005A1859">
        <w:rPr>
          <w:lang w:val="fr-FR"/>
        </w:rPr>
        <w:t xml:space="preserve"> la culture </w:t>
      </w:r>
      <w:proofErr w:type="spellStart"/>
      <w:r w:rsidRPr="005A1859">
        <w:rPr>
          <w:lang w:val="fr-FR"/>
        </w:rPr>
        <w:t>Mapoyo</w:t>
      </w:r>
      <w:proofErr w:type="spellEnd"/>
      <w:r w:rsidRPr="005A1859">
        <w:rPr>
          <w:lang w:val="fr-FR"/>
        </w:rPr>
        <w:t xml:space="preserve"> pour améliorer le fonctionnement du centre de documentation de la communauté ; et l</w:t>
      </w:r>
      <w:r w:rsidR="00655870">
        <w:rPr>
          <w:lang w:val="fr-FR"/>
        </w:rPr>
        <w:t>’</w:t>
      </w:r>
      <w:r w:rsidRPr="005A1859">
        <w:rPr>
          <w:lang w:val="fr-FR"/>
        </w:rPr>
        <w:t xml:space="preserve">adoption de règles de coexistence au sein des communautés, </w:t>
      </w:r>
      <w:r>
        <w:rPr>
          <w:lang w:val="fr-FR"/>
        </w:rPr>
        <w:t>tant</w:t>
      </w:r>
      <w:r w:rsidRPr="005A1859">
        <w:rPr>
          <w:lang w:val="fr-FR"/>
        </w:rPr>
        <w:t xml:space="preserve"> </w:t>
      </w:r>
      <w:r>
        <w:rPr>
          <w:lang w:val="fr-FR"/>
        </w:rPr>
        <w:t>des peuples autochtones</w:t>
      </w:r>
      <w:r w:rsidRPr="005A1859">
        <w:rPr>
          <w:lang w:val="fr-FR"/>
        </w:rPr>
        <w:t xml:space="preserve"> </w:t>
      </w:r>
      <w:r>
        <w:rPr>
          <w:lang w:val="fr-FR"/>
        </w:rPr>
        <w:t>que</w:t>
      </w:r>
      <w:r w:rsidRPr="005A1859">
        <w:rPr>
          <w:lang w:val="fr-FR"/>
        </w:rPr>
        <w:t xml:space="preserve"> </w:t>
      </w:r>
      <w:r>
        <w:rPr>
          <w:lang w:val="fr-FR"/>
        </w:rPr>
        <w:t xml:space="preserve">des </w:t>
      </w:r>
      <w:r w:rsidRPr="005A1859">
        <w:rPr>
          <w:lang w:val="fr-FR"/>
        </w:rPr>
        <w:t xml:space="preserve">autres peuples qui </w:t>
      </w:r>
      <w:r>
        <w:rPr>
          <w:lang w:val="fr-FR"/>
        </w:rPr>
        <w:t xml:space="preserve">cohabitent </w:t>
      </w:r>
      <w:r w:rsidRPr="005A1859">
        <w:rPr>
          <w:lang w:val="fr-FR"/>
        </w:rPr>
        <w:t xml:space="preserve">sur les territoires </w:t>
      </w:r>
      <w:proofErr w:type="spellStart"/>
      <w:r w:rsidRPr="005A1859">
        <w:rPr>
          <w:lang w:val="fr-FR"/>
        </w:rPr>
        <w:t>Mapoyo</w:t>
      </w:r>
      <w:proofErr w:type="spellEnd"/>
      <w:r w:rsidRPr="005A1859">
        <w:rPr>
          <w:lang w:val="fr-FR"/>
        </w:rPr>
        <w:t xml:space="preserve">. En outre, le rapport </w:t>
      </w:r>
      <w:r>
        <w:rPr>
          <w:lang w:val="fr-FR"/>
        </w:rPr>
        <w:t>évoque</w:t>
      </w:r>
      <w:r w:rsidRPr="005A1859">
        <w:rPr>
          <w:lang w:val="fr-FR"/>
        </w:rPr>
        <w:t xml:space="preserve"> la création d</w:t>
      </w:r>
      <w:r w:rsidR="00655870">
        <w:rPr>
          <w:lang w:val="fr-FR"/>
        </w:rPr>
        <w:t>’</w:t>
      </w:r>
      <w:r w:rsidRPr="005A1859">
        <w:rPr>
          <w:lang w:val="fr-FR"/>
        </w:rPr>
        <w:t>un Conseil d</w:t>
      </w:r>
      <w:r w:rsidR="00655870">
        <w:rPr>
          <w:lang w:val="fr-FR"/>
        </w:rPr>
        <w:t>’</w:t>
      </w:r>
      <w:r>
        <w:rPr>
          <w:lang w:val="fr-FR"/>
        </w:rPr>
        <w:t xml:space="preserve">anciens </w:t>
      </w:r>
      <w:r w:rsidRPr="005A1859">
        <w:rPr>
          <w:lang w:val="fr-FR"/>
        </w:rPr>
        <w:t>et d</w:t>
      </w:r>
      <w:r w:rsidR="00655870">
        <w:rPr>
          <w:lang w:val="fr-FR"/>
        </w:rPr>
        <w:t>’</w:t>
      </w:r>
      <w:r w:rsidRPr="005A1859">
        <w:rPr>
          <w:lang w:val="fr-FR"/>
        </w:rPr>
        <w:t xml:space="preserve">un Conseil pour les peuples </w:t>
      </w:r>
      <w:r>
        <w:rPr>
          <w:lang w:val="fr-FR"/>
        </w:rPr>
        <w:t>autochtones</w:t>
      </w:r>
      <w:r w:rsidRPr="005A1859">
        <w:rPr>
          <w:lang w:val="fr-FR"/>
        </w:rPr>
        <w:t xml:space="preserve"> et les communautés du territoire ancestral </w:t>
      </w:r>
      <w:proofErr w:type="spellStart"/>
      <w:r w:rsidRPr="005A1859">
        <w:rPr>
          <w:lang w:val="fr-FR"/>
        </w:rPr>
        <w:t>Mapoyo</w:t>
      </w:r>
      <w:proofErr w:type="spellEnd"/>
      <w:r w:rsidRPr="005A1859">
        <w:rPr>
          <w:lang w:val="fr-FR"/>
        </w:rPr>
        <w:t xml:space="preserve"> (CPI-TAM), qui visent à renforcer les accords de coexistence et les relations culturelles </w:t>
      </w:r>
      <w:r>
        <w:rPr>
          <w:lang w:val="fr-FR"/>
        </w:rPr>
        <w:t xml:space="preserve">existant </w:t>
      </w:r>
      <w:r w:rsidRPr="005A1859">
        <w:rPr>
          <w:lang w:val="fr-FR"/>
        </w:rPr>
        <w:t xml:space="preserve">dans la région. De même, le renforcement </w:t>
      </w:r>
      <w:r w:rsidR="00635386" w:rsidRPr="005A1859">
        <w:rPr>
          <w:lang w:val="fr-FR"/>
        </w:rPr>
        <w:t>des organisations</w:t>
      </w:r>
      <w:r w:rsidRPr="005A1859">
        <w:rPr>
          <w:lang w:val="fr-FR"/>
        </w:rPr>
        <w:t xml:space="preserve"> sociales </w:t>
      </w:r>
      <w:r>
        <w:rPr>
          <w:lang w:val="fr-FR"/>
        </w:rPr>
        <w:t xml:space="preserve">se traduit </w:t>
      </w:r>
      <w:r w:rsidRPr="005A1859">
        <w:rPr>
          <w:lang w:val="fr-FR"/>
        </w:rPr>
        <w:t xml:space="preserve">par la création du comité Red Viva el </w:t>
      </w:r>
      <w:proofErr w:type="spellStart"/>
      <w:r w:rsidRPr="005A1859">
        <w:rPr>
          <w:lang w:val="fr-FR"/>
        </w:rPr>
        <w:t>Palomo</w:t>
      </w:r>
      <w:proofErr w:type="spellEnd"/>
      <w:r w:rsidRPr="005A1859">
        <w:rPr>
          <w:lang w:val="fr-FR"/>
        </w:rPr>
        <w:t>, qui a entrepris d</w:t>
      </w:r>
      <w:r w:rsidR="00655870">
        <w:rPr>
          <w:lang w:val="fr-FR"/>
        </w:rPr>
        <w:t>’</w:t>
      </w:r>
      <w:r w:rsidRPr="005A1859">
        <w:rPr>
          <w:lang w:val="fr-FR"/>
        </w:rPr>
        <w:t xml:space="preserve">organiser des réunions avec les </w:t>
      </w:r>
      <w:r w:rsidR="002B3DBB">
        <w:rPr>
          <w:lang w:val="fr-FR"/>
        </w:rPr>
        <w:t>sociétés</w:t>
      </w:r>
      <w:r w:rsidRPr="005A1859">
        <w:rPr>
          <w:lang w:val="fr-FR"/>
        </w:rPr>
        <w:t xml:space="preserve"> minières pour aborder les problèmes liés à la pollution et la contamination environnementale.</w:t>
      </w:r>
    </w:p>
    <w:p w14:paraId="4829C1FB" w14:textId="4FD0CD60" w:rsidR="00D23C0B" w:rsidRPr="00F90057" w:rsidRDefault="00D23C0B" w:rsidP="00D23C0B">
      <w:pPr>
        <w:pStyle w:val="COMPara"/>
        <w:numPr>
          <w:ilvl w:val="0"/>
          <w:numId w:val="9"/>
        </w:numPr>
        <w:spacing w:before="120"/>
        <w:ind w:left="567" w:hanging="567"/>
        <w:jc w:val="both"/>
        <w:rPr>
          <w:lang w:val="fr-FR"/>
        </w:rPr>
      </w:pPr>
      <w:r>
        <w:rPr>
          <w:lang w:val="fr-FR"/>
        </w:rPr>
        <w:t>La mise en œuvre du plan de sauvegarde a permis de renforcer la viabilité de l</w:t>
      </w:r>
      <w:r w:rsidR="00655870">
        <w:rPr>
          <w:lang w:val="fr-FR"/>
        </w:rPr>
        <w:t>’</w:t>
      </w:r>
      <w:r>
        <w:rPr>
          <w:lang w:val="fr-FR"/>
        </w:rPr>
        <w:t xml:space="preserve">élément au niveau national et local. Le rapport mentionne certains efforts visant à autonomiser les communautés </w:t>
      </w:r>
      <w:proofErr w:type="spellStart"/>
      <w:r>
        <w:rPr>
          <w:lang w:val="fr-FR"/>
        </w:rPr>
        <w:t>Mapoyo</w:t>
      </w:r>
      <w:proofErr w:type="spellEnd"/>
      <w:r>
        <w:rPr>
          <w:lang w:val="fr-FR"/>
        </w:rPr>
        <w:t xml:space="preserve">, tels que le </w:t>
      </w:r>
      <w:r w:rsidRPr="004C347F">
        <w:rPr>
          <w:color w:val="000000"/>
          <w:shd w:val="clear" w:color="auto" w:fill="FFFFFF"/>
          <w:lang w:val="fr-FR"/>
        </w:rPr>
        <w:t>renforcement</w:t>
      </w:r>
      <w:r>
        <w:rPr>
          <w:lang w:val="fr-FR"/>
        </w:rPr>
        <w:t xml:space="preserve"> des instruments légaux, notamment la Loi</w:t>
      </w:r>
      <w:r w:rsidR="00057C4F">
        <w:rPr>
          <w:lang w:val="fr-FR"/>
        </w:rPr>
        <w:t xml:space="preserve"> </w:t>
      </w:r>
      <w:r>
        <w:rPr>
          <w:lang w:val="fr-FR"/>
        </w:rPr>
        <w:t>de</w:t>
      </w:r>
      <w:r w:rsidR="00057C4F">
        <w:rPr>
          <w:lang w:val="fr-FR"/>
        </w:rPr>
        <w:t xml:space="preserve"> </w:t>
      </w:r>
      <w:r>
        <w:rPr>
          <w:lang w:val="fr-FR"/>
        </w:rPr>
        <w:t>démarcation</w:t>
      </w:r>
      <w:r w:rsidR="00057C4F">
        <w:rPr>
          <w:lang w:val="fr-FR"/>
        </w:rPr>
        <w:t xml:space="preserve"> </w:t>
      </w:r>
      <w:r>
        <w:rPr>
          <w:lang w:val="fr-FR"/>
        </w:rPr>
        <w:t>et</w:t>
      </w:r>
      <w:r w:rsidR="00057C4F">
        <w:rPr>
          <w:lang w:val="fr-FR"/>
        </w:rPr>
        <w:t xml:space="preserve"> </w:t>
      </w:r>
      <w:r>
        <w:rPr>
          <w:lang w:val="fr-FR"/>
        </w:rPr>
        <w:t>garantie</w:t>
      </w:r>
      <w:r w:rsidR="00057C4F">
        <w:rPr>
          <w:lang w:val="fr-FR"/>
        </w:rPr>
        <w:t xml:space="preserve"> </w:t>
      </w:r>
      <w:r>
        <w:rPr>
          <w:lang w:val="fr-FR"/>
        </w:rPr>
        <w:t>de</w:t>
      </w:r>
      <w:r w:rsidR="00057C4F">
        <w:rPr>
          <w:lang w:val="fr-FR"/>
        </w:rPr>
        <w:t xml:space="preserve"> </w:t>
      </w:r>
      <w:r>
        <w:rPr>
          <w:lang w:val="fr-FR"/>
        </w:rPr>
        <w:t>l</w:t>
      </w:r>
      <w:r w:rsidR="00655870">
        <w:rPr>
          <w:lang w:val="fr-FR"/>
        </w:rPr>
        <w:t>’</w:t>
      </w:r>
      <w:r>
        <w:rPr>
          <w:lang w:val="fr-FR"/>
        </w:rPr>
        <w:t>habitat</w:t>
      </w:r>
      <w:r w:rsidR="00057C4F">
        <w:rPr>
          <w:lang w:val="fr-FR"/>
        </w:rPr>
        <w:t xml:space="preserve"> </w:t>
      </w:r>
      <w:r>
        <w:rPr>
          <w:lang w:val="fr-FR"/>
        </w:rPr>
        <w:t>et</w:t>
      </w:r>
      <w:r w:rsidR="00057C4F">
        <w:rPr>
          <w:lang w:val="fr-FR"/>
        </w:rPr>
        <w:t xml:space="preserve"> </w:t>
      </w:r>
      <w:r>
        <w:rPr>
          <w:lang w:val="fr-FR"/>
        </w:rPr>
        <w:t>des</w:t>
      </w:r>
      <w:r w:rsidR="00057C4F">
        <w:rPr>
          <w:lang w:val="fr-FR"/>
        </w:rPr>
        <w:t xml:space="preserve"> </w:t>
      </w:r>
      <w:r>
        <w:rPr>
          <w:lang w:val="fr-FR"/>
        </w:rPr>
        <w:t>terres</w:t>
      </w:r>
      <w:r w:rsidR="00057C4F">
        <w:rPr>
          <w:lang w:val="fr-FR"/>
        </w:rPr>
        <w:t xml:space="preserve"> </w:t>
      </w:r>
      <w:r>
        <w:rPr>
          <w:lang w:val="fr-FR"/>
        </w:rPr>
        <w:t>des</w:t>
      </w:r>
      <w:r w:rsidR="00057C4F">
        <w:rPr>
          <w:lang w:val="fr-FR"/>
        </w:rPr>
        <w:t xml:space="preserve"> </w:t>
      </w:r>
      <w:r>
        <w:rPr>
          <w:lang w:val="fr-FR"/>
        </w:rPr>
        <w:t>peuples</w:t>
      </w:r>
      <w:r w:rsidR="00057C4F">
        <w:rPr>
          <w:lang w:val="fr-FR"/>
        </w:rPr>
        <w:t xml:space="preserve"> </w:t>
      </w:r>
      <w:r>
        <w:rPr>
          <w:lang w:val="fr-FR"/>
        </w:rPr>
        <w:t>autochtones (2001), la Loi organique sur les peuples et les communautés indigènes (2005) et la ratification de la Convention n°169 de l</w:t>
      </w:r>
      <w:r w:rsidR="00655870">
        <w:rPr>
          <w:lang w:val="fr-FR"/>
        </w:rPr>
        <w:t>’</w:t>
      </w:r>
      <w:r>
        <w:rPr>
          <w:lang w:val="fr-FR"/>
        </w:rPr>
        <w:t xml:space="preserve">Organisation internationale du travail en 2001, portant sur les peuples autochtones et tribaux au niveau national. Au niveau local, on remarque une </w:t>
      </w:r>
      <w:r>
        <w:rPr>
          <w:color w:val="000000"/>
          <w:shd w:val="clear" w:color="auto" w:fill="FFFFFF"/>
          <w:lang w:val="fr-FR"/>
        </w:rPr>
        <w:t>augmentation du nombre de détenteurs</w:t>
      </w:r>
      <w:r>
        <w:rPr>
          <w:lang w:val="fr-FR"/>
        </w:rPr>
        <w:t xml:space="preserve">. </w:t>
      </w:r>
      <w:r>
        <w:rPr>
          <w:color w:val="000000"/>
          <w:shd w:val="clear" w:color="auto" w:fill="FFFFFF"/>
          <w:lang w:val="fr-FR"/>
        </w:rPr>
        <w:t xml:space="preserve">Le plan de sauvegarde étant de nature inclusive, des efforts ont également été réalisés pour diffuser les informations sur les traditions orales </w:t>
      </w:r>
      <w:proofErr w:type="spellStart"/>
      <w:r>
        <w:rPr>
          <w:color w:val="000000"/>
          <w:shd w:val="clear" w:color="auto" w:fill="FFFFFF"/>
          <w:lang w:val="fr-FR"/>
        </w:rPr>
        <w:t>Mapoyo</w:t>
      </w:r>
      <w:proofErr w:type="spellEnd"/>
      <w:r>
        <w:rPr>
          <w:color w:val="000000"/>
          <w:shd w:val="clear" w:color="auto" w:fill="FFFFFF"/>
          <w:lang w:val="fr-FR"/>
        </w:rPr>
        <w:t xml:space="preserve"> auprès des personnes malvoyantes et malentendantes. Le plan de sauvegarde actualisé assure la continuité de la sauvegarde de l</w:t>
      </w:r>
      <w:r w:rsidR="00655870">
        <w:rPr>
          <w:color w:val="000000"/>
          <w:shd w:val="clear" w:color="auto" w:fill="FFFFFF"/>
          <w:lang w:val="fr-FR"/>
        </w:rPr>
        <w:t>’</w:t>
      </w:r>
      <w:r>
        <w:rPr>
          <w:color w:val="000000"/>
          <w:shd w:val="clear" w:color="auto" w:fill="FFFFFF"/>
          <w:lang w:val="fr-FR"/>
        </w:rPr>
        <w:t>élément dans l</w:t>
      </w:r>
      <w:r w:rsidR="00655870">
        <w:rPr>
          <w:color w:val="000000"/>
          <w:shd w:val="clear" w:color="auto" w:fill="FFFFFF"/>
          <w:lang w:val="fr-FR"/>
        </w:rPr>
        <w:t>’</w:t>
      </w:r>
      <w:r>
        <w:rPr>
          <w:color w:val="000000"/>
          <w:shd w:val="clear" w:color="auto" w:fill="FFFFFF"/>
          <w:lang w:val="fr-FR"/>
        </w:rPr>
        <w:t>objectif de renforcer sa viabilité et sa transmission, et de permettre un développement intégral et durable de la communauté.</w:t>
      </w:r>
    </w:p>
    <w:p w14:paraId="05038531" w14:textId="68245C32" w:rsidR="00D23C0B" w:rsidRPr="00F90057" w:rsidRDefault="00D23C0B" w:rsidP="00D23C0B">
      <w:pPr>
        <w:pStyle w:val="COMPara"/>
        <w:numPr>
          <w:ilvl w:val="0"/>
          <w:numId w:val="9"/>
        </w:numPr>
        <w:spacing w:before="120"/>
        <w:ind w:left="567" w:hanging="567"/>
        <w:jc w:val="both"/>
        <w:rPr>
          <w:lang w:val="fr-FR"/>
        </w:rPr>
      </w:pPr>
      <w:r w:rsidRPr="00AF36A8">
        <w:rPr>
          <w:b/>
          <w:lang w:val="fr-FR"/>
        </w:rPr>
        <w:t>Participation des communautés</w:t>
      </w:r>
      <w:r w:rsidRPr="00AF36A8">
        <w:rPr>
          <w:lang w:val="fr-FR"/>
        </w:rPr>
        <w:t xml:space="preserve"> Selon le rapport, les communautés et individus concernés par l</w:t>
      </w:r>
      <w:r w:rsidR="00655870">
        <w:rPr>
          <w:lang w:val="fr-FR"/>
        </w:rPr>
        <w:t>’</w:t>
      </w:r>
      <w:r w:rsidRPr="00AF36A8">
        <w:rPr>
          <w:lang w:val="fr-FR"/>
        </w:rPr>
        <w:t>élément ont activement participé à l</w:t>
      </w:r>
      <w:r w:rsidR="00655870">
        <w:rPr>
          <w:lang w:val="fr-FR"/>
        </w:rPr>
        <w:t>’</w:t>
      </w:r>
      <w:r w:rsidRPr="00AF36A8">
        <w:rPr>
          <w:lang w:val="fr-FR"/>
        </w:rPr>
        <w:t>identification de mesures appropriées, à la mise en œuvre du plan de sauvegarde et à l</w:t>
      </w:r>
      <w:r w:rsidR="00655870">
        <w:rPr>
          <w:lang w:val="fr-FR"/>
        </w:rPr>
        <w:t>’</w:t>
      </w:r>
      <w:r w:rsidRPr="00AF36A8">
        <w:rPr>
          <w:lang w:val="fr-FR"/>
        </w:rPr>
        <w:t xml:space="preserve">élaboration du rapport. La participation des enseignants </w:t>
      </w:r>
      <w:proofErr w:type="spellStart"/>
      <w:r w:rsidRPr="00AF36A8">
        <w:rPr>
          <w:lang w:val="fr-FR"/>
        </w:rPr>
        <w:t>Mapoyo</w:t>
      </w:r>
      <w:proofErr w:type="spellEnd"/>
      <w:r w:rsidRPr="00AF36A8">
        <w:rPr>
          <w:lang w:val="fr-FR"/>
        </w:rPr>
        <w:t xml:space="preserve"> a permis d</w:t>
      </w:r>
      <w:r w:rsidR="00655870">
        <w:rPr>
          <w:lang w:val="fr-FR"/>
        </w:rPr>
        <w:t>’</w:t>
      </w:r>
      <w:r w:rsidRPr="00AF36A8">
        <w:rPr>
          <w:lang w:val="fr-FR"/>
        </w:rPr>
        <w:t>intégrer les projet</w:t>
      </w:r>
      <w:r>
        <w:rPr>
          <w:lang w:val="fr-FR"/>
        </w:rPr>
        <w:t>s</w:t>
      </w:r>
      <w:r w:rsidRPr="00AF36A8">
        <w:rPr>
          <w:lang w:val="fr-FR"/>
        </w:rPr>
        <w:t xml:space="preserve"> </w:t>
      </w:r>
      <w:r>
        <w:rPr>
          <w:lang w:val="fr-FR"/>
        </w:rPr>
        <w:t>d</w:t>
      </w:r>
      <w:r w:rsidR="00655870">
        <w:rPr>
          <w:lang w:val="fr-FR"/>
        </w:rPr>
        <w:t>’</w:t>
      </w:r>
      <w:r>
        <w:rPr>
          <w:lang w:val="fr-FR"/>
        </w:rPr>
        <w:t>enseignement</w:t>
      </w:r>
      <w:r w:rsidRPr="00AF36A8">
        <w:rPr>
          <w:lang w:val="fr-FR"/>
        </w:rPr>
        <w:t xml:space="preserve"> basés sur les traditions orales et les espaces symboliques aux programmes scolaires. Le rapport souligne la participation des membres de la communauté aux activités liées au renforcement de la transmission des connaissances, telles que la fabrication de paniers, la construction de maisons traditionnelles, la poterie, la chasse, la pêche et l</w:t>
      </w:r>
      <w:r w:rsidR="00655870">
        <w:rPr>
          <w:lang w:val="fr-FR"/>
        </w:rPr>
        <w:t>’</w:t>
      </w:r>
      <w:r w:rsidRPr="00AF36A8">
        <w:rPr>
          <w:lang w:val="fr-FR"/>
        </w:rPr>
        <w:t xml:space="preserve">agriculture traditionnelle. En outre, les détenteurs ont organisé plusieurs réunions consultatives et activités </w:t>
      </w:r>
      <w:r>
        <w:rPr>
          <w:lang w:val="fr-FR"/>
        </w:rPr>
        <w:t>pour aborder</w:t>
      </w:r>
      <w:r w:rsidRPr="00AF36A8">
        <w:rPr>
          <w:lang w:val="fr-FR"/>
        </w:rPr>
        <w:t xml:space="preserve"> la protection de l</w:t>
      </w:r>
      <w:r w:rsidR="00655870">
        <w:rPr>
          <w:lang w:val="fr-FR"/>
        </w:rPr>
        <w:t>’</w:t>
      </w:r>
      <w:r w:rsidRPr="00AF36A8">
        <w:rPr>
          <w:lang w:val="fr-FR"/>
        </w:rPr>
        <w:t>environnement et l</w:t>
      </w:r>
      <w:r w:rsidR="00655870">
        <w:rPr>
          <w:lang w:val="fr-FR"/>
        </w:rPr>
        <w:t>’</w:t>
      </w:r>
      <w:r w:rsidRPr="00AF36A8">
        <w:rPr>
          <w:lang w:val="fr-FR"/>
        </w:rPr>
        <w:t xml:space="preserve">adoption de règles de coexistence entre eux et les autres communautés. </w:t>
      </w:r>
      <w:r w:rsidRPr="00AF36A8">
        <w:rPr>
          <w:lang w:val="fr-FR"/>
        </w:rPr>
        <w:lastRenderedPageBreak/>
        <w:t>Globalement, il a été rapporté qu</w:t>
      </w:r>
      <w:r w:rsidR="00655870">
        <w:rPr>
          <w:lang w:val="fr-FR"/>
        </w:rPr>
        <w:t>’</w:t>
      </w:r>
      <w:r w:rsidRPr="00AF36A8">
        <w:rPr>
          <w:lang w:val="fr-FR"/>
        </w:rPr>
        <w:t>une approche participative a été adoptée dans toutes les mesures de sauvegarde et leur mise à jour.</w:t>
      </w:r>
    </w:p>
    <w:p w14:paraId="73195575" w14:textId="01735466" w:rsidR="00D23C0B" w:rsidRPr="00F90057" w:rsidRDefault="00D23C0B" w:rsidP="00D23C0B">
      <w:pPr>
        <w:pStyle w:val="COMPara"/>
        <w:numPr>
          <w:ilvl w:val="0"/>
          <w:numId w:val="9"/>
        </w:numPr>
        <w:spacing w:before="120"/>
        <w:ind w:left="567" w:hanging="567"/>
        <w:jc w:val="both"/>
        <w:rPr>
          <w:color w:val="000000"/>
          <w:shd w:val="clear" w:color="auto" w:fill="FFFFFF"/>
          <w:lang w:val="fr-FR"/>
        </w:rPr>
      </w:pPr>
      <w:r w:rsidRPr="002F1353">
        <w:rPr>
          <w:b/>
          <w:lang w:val="fr-FR"/>
        </w:rPr>
        <w:t>Viabilité et risques actuels</w:t>
      </w:r>
      <w:r w:rsidRPr="002F1353">
        <w:rPr>
          <w:lang w:val="fr-FR"/>
        </w:rPr>
        <w:t xml:space="preserve">. Les activités de sauvegarde ont permis de renforcer la viabilité des traditions orales </w:t>
      </w:r>
      <w:proofErr w:type="spellStart"/>
      <w:r w:rsidRPr="002F1353">
        <w:rPr>
          <w:lang w:val="fr-FR"/>
        </w:rPr>
        <w:t>Mapoyo</w:t>
      </w:r>
      <w:proofErr w:type="spellEnd"/>
      <w:r w:rsidRPr="002F1353">
        <w:rPr>
          <w:lang w:val="fr-FR"/>
        </w:rPr>
        <w:t xml:space="preserve"> et d</w:t>
      </w:r>
      <w:r w:rsidR="00655870">
        <w:rPr>
          <w:lang w:val="fr-FR"/>
        </w:rPr>
        <w:t>’</w:t>
      </w:r>
      <w:r w:rsidRPr="002F1353">
        <w:rPr>
          <w:lang w:val="fr-FR"/>
        </w:rPr>
        <w:t xml:space="preserve">améliorer les conditions de transmission grâce à </w:t>
      </w:r>
      <w:r>
        <w:rPr>
          <w:lang w:val="fr-FR"/>
        </w:rPr>
        <w:t>la</w:t>
      </w:r>
      <w:r w:rsidRPr="002F1353">
        <w:rPr>
          <w:lang w:val="fr-FR"/>
        </w:rPr>
        <w:t xml:space="preserve"> </w:t>
      </w:r>
      <w:r>
        <w:rPr>
          <w:lang w:val="fr-FR"/>
        </w:rPr>
        <w:t xml:space="preserve">plus grande </w:t>
      </w:r>
      <w:r w:rsidRPr="002F1353">
        <w:rPr>
          <w:lang w:val="fr-FR"/>
        </w:rPr>
        <w:t xml:space="preserve">implication des détenteurs </w:t>
      </w:r>
      <w:proofErr w:type="spellStart"/>
      <w:r w:rsidRPr="002F1353">
        <w:rPr>
          <w:lang w:val="fr-FR"/>
        </w:rPr>
        <w:t>Mapoyo</w:t>
      </w:r>
      <w:proofErr w:type="spellEnd"/>
      <w:r w:rsidRPr="002F1353">
        <w:rPr>
          <w:lang w:val="fr-FR"/>
        </w:rPr>
        <w:t xml:space="preserve"> </w:t>
      </w:r>
      <w:r>
        <w:rPr>
          <w:lang w:val="fr-FR"/>
        </w:rPr>
        <w:t xml:space="preserve">dans la </w:t>
      </w:r>
      <w:r w:rsidRPr="002F1353">
        <w:rPr>
          <w:lang w:val="fr-FR"/>
        </w:rPr>
        <w:t>diffusion de leurs connaissances au grand public. La coopération des université</w:t>
      </w:r>
      <w:r>
        <w:rPr>
          <w:lang w:val="fr-FR"/>
        </w:rPr>
        <w:t>s</w:t>
      </w:r>
      <w:r w:rsidRPr="002F1353">
        <w:rPr>
          <w:lang w:val="fr-FR"/>
        </w:rPr>
        <w:t xml:space="preserve"> dans le renforcement du savoir-faire des détenteurs a davantage encouragé ceux-ci à créer de nouveaux enregistrements sur les traditions orales </w:t>
      </w:r>
      <w:proofErr w:type="spellStart"/>
      <w:r w:rsidRPr="002F1353">
        <w:rPr>
          <w:lang w:val="fr-FR"/>
        </w:rPr>
        <w:t>Mapoyo</w:t>
      </w:r>
      <w:proofErr w:type="spellEnd"/>
      <w:r w:rsidRPr="002F1353">
        <w:rPr>
          <w:lang w:val="fr-FR"/>
        </w:rPr>
        <w:t>. Bien que le rapport n</w:t>
      </w:r>
      <w:r w:rsidR="00655870">
        <w:rPr>
          <w:lang w:val="fr-FR"/>
        </w:rPr>
        <w:t>’</w:t>
      </w:r>
      <w:r w:rsidRPr="002F1353">
        <w:rPr>
          <w:lang w:val="fr-FR"/>
        </w:rPr>
        <w:t>indique pas explicitement les risques, les descriptions fournies dans différentes parties du rapport permettent d</w:t>
      </w:r>
      <w:r w:rsidR="00655870">
        <w:rPr>
          <w:lang w:val="fr-FR"/>
        </w:rPr>
        <w:t>’</w:t>
      </w:r>
      <w:r w:rsidRPr="002F1353">
        <w:rPr>
          <w:lang w:val="fr-FR"/>
        </w:rPr>
        <w:t xml:space="preserve">en </w:t>
      </w:r>
      <w:r>
        <w:rPr>
          <w:lang w:val="fr-FR"/>
        </w:rPr>
        <w:t>relever</w:t>
      </w:r>
      <w:r w:rsidRPr="002F1353">
        <w:rPr>
          <w:lang w:val="fr-FR"/>
        </w:rPr>
        <w:t xml:space="preserve"> quelques</w:t>
      </w:r>
      <w:r>
        <w:rPr>
          <w:lang w:val="fr-FR"/>
        </w:rPr>
        <w:t>-</w:t>
      </w:r>
      <w:r w:rsidRPr="002F1353">
        <w:rPr>
          <w:lang w:val="fr-FR"/>
        </w:rPr>
        <w:t>uns : (i) le manque d</w:t>
      </w:r>
      <w:r w:rsidR="00655870">
        <w:rPr>
          <w:lang w:val="fr-FR"/>
        </w:rPr>
        <w:t>’</w:t>
      </w:r>
      <w:r w:rsidRPr="002F1353">
        <w:rPr>
          <w:lang w:val="fr-FR"/>
        </w:rPr>
        <w:t>intérêt et de coopération de la part de plusieurs institutions</w:t>
      </w:r>
      <w:r w:rsidR="000A1E1C">
        <w:rPr>
          <w:lang w:val="fr-FR"/>
        </w:rPr>
        <w:t xml:space="preserve"> ainsi que des sociétés minières</w:t>
      </w:r>
      <w:r w:rsidRPr="002F1353">
        <w:rPr>
          <w:lang w:val="fr-FR"/>
        </w:rPr>
        <w:t xml:space="preserve"> </w:t>
      </w:r>
      <w:r w:rsidR="00057C4F">
        <w:rPr>
          <w:lang w:val="fr-FR"/>
        </w:rPr>
        <w:t>pour soutenir</w:t>
      </w:r>
      <w:r>
        <w:rPr>
          <w:lang w:val="fr-FR"/>
        </w:rPr>
        <w:t xml:space="preserve"> </w:t>
      </w:r>
      <w:r w:rsidRPr="002F1353">
        <w:rPr>
          <w:lang w:val="fr-FR"/>
        </w:rPr>
        <w:t>la mise en œuvre du plan de sauvegarde</w:t>
      </w:r>
      <w:r w:rsidR="00057C4F">
        <w:rPr>
          <w:lang w:val="fr-FR"/>
        </w:rPr>
        <w:t>, malgré un engagement initial dans ce sens</w:t>
      </w:r>
      <w:r w:rsidRPr="002F1353">
        <w:rPr>
          <w:lang w:val="fr-FR"/>
        </w:rPr>
        <w:t xml:space="preserve"> ; (ii) la dégradation environnementale </w:t>
      </w:r>
      <w:r w:rsidRPr="00151339">
        <w:rPr>
          <w:color w:val="000000"/>
          <w:shd w:val="clear" w:color="auto" w:fill="FFFFFF"/>
          <w:lang w:val="fr-FR"/>
        </w:rPr>
        <w:t>de l</w:t>
      </w:r>
      <w:r w:rsidR="00655870">
        <w:rPr>
          <w:color w:val="000000"/>
          <w:shd w:val="clear" w:color="auto" w:fill="FFFFFF"/>
          <w:lang w:val="fr-FR"/>
        </w:rPr>
        <w:t>’</w:t>
      </w:r>
      <w:r w:rsidRPr="00151339">
        <w:rPr>
          <w:color w:val="000000"/>
          <w:shd w:val="clear" w:color="auto" w:fill="FFFFFF"/>
          <w:lang w:val="fr-FR"/>
        </w:rPr>
        <w:t>habitat traditionnel des communautés et détenteurs</w:t>
      </w:r>
      <w:r>
        <w:rPr>
          <w:color w:val="000000"/>
          <w:shd w:val="clear" w:color="auto" w:fill="FFFFFF"/>
          <w:lang w:val="fr-FR"/>
        </w:rPr>
        <w:t xml:space="preserve"> </w:t>
      </w:r>
      <w:r w:rsidRPr="002F1353">
        <w:rPr>
          <w:lang w:val="fr-FR"/>
        </w:rPr>
        <w:t xml:space="preserve">causée par les </w:t>
      </w:r>
      <w:r w:rsidR="000A1E1C">
        <w:rPr>
          <w:lang w:val="fr-FR"/>
        </w:rPr>
        <w:t>activités</w:t>
      </w:r>
      <w:r w:rsidR="000A1E1C" w:rsidRPr="002F1353">
        <w:rPr>
          <w:lang w:val="fr-FR"/>
        </w:rPr>
        <w:t xml:space="preserve"> </w:t>
      </w:r>
      <w:r w:rsidRPr="002F1353">
        <w:rPr>
          <w:lang w:val="fr-FR"/>
        </w:rPr>
        <w:t>minières</w:t>
      </w:r>
      <w:r w:rsidR="000A1E1C">
        <w:rPr>
          <w:lang w:val="fr-FR"/>
        </w:rPr>
        <w:t xml:space="preserve"> sur le territoire </w:t>
      </w:r>
      <w:proofErr w:type="spellStart"/>
      <w:r w:rsidR="000A1E1C">
        <w:rPr>
          <w:lang w:val="fr-FR"/>
        </w:rPr>
        <w:t>Mapoyo</w:t>
      </w:r>
      <w:proofErr w:type="spellEnd"/>
      <w:r w:rsidRPr="00151339">
        <w:rPr>
          <w:color w:val="000000"/>
          <w:shd w:val="clear" w:color="auto" w:fill="FFFFFF"/>
          <w:lang w:val="fr-FR"/>
        </w:rPr>
        <w:t>, en particulier d</w:t>
      </w:r>
      <w:r w:rsidR="00655870">
        <w:rPr>
          <w:color w:val="000000"/>
          <w:shd w:val="clear" w:color="auto" w:fill="FFFFFF"/>
          <w:lang w:val="fr-FR"/>
        </w:rPr>
        <w:t>’</w:t>
      </w:r>
      <w:r w:rsidRPr="00151339">
        <w:rPr>
          <w:color w:val="000000"/>
          <w:shd w:val="clear" w:color="auto" w:fill="FFFFFF"/>
          <w:lang w:val="fr-FR"/>
        </w:rPr>
        <w:t>un bassin fluvial local,</w:t>
      </w:r>
      <w:r w:rsidRPr="002F1353">
        <w:rPr>
          <w:lang w:val="fr-FR"/>
        </w:rPr>
        <w:t xml:space="preserve"> qui peut </w:t>
      </w:r>
      <w:r w:rsidRPr="00151339">
        <w:rPr>
          <w:color w:val="000000"/>
          <w:shd w:val="clear" w:color="auto" w:fill="FFFFFF"/>
          <w:lang w:val="fr-FR"/>
        </w:rPr>
        <w:t xml:space="preserve">provoquer un changement de leur mode de vie </w:t>
      </w:r>
      <w:r w:rsidRPr="002F1353">
        <w:rPr>
          <w:lang w:val="fr-FR"/>
        </w:rPr>
        <w:t>; (iii) </w:t>
      </w:r>
      <w:r>
        <w:rPr>
          <w:color w:val="000000"/>
          <w:shd w:val="clear" w:color="auto" w:fill="FFFFFF"/>
          <w:lang w:val="fr-FR"/>
        </w:rPr>
        <w:t>l</w:t>
      </w:r>
      <w:r w:rsidR="00655870">
        <w:rPr>
          <w:color w:val="000000"/>
          <w:shd w:val="clear" w:color="auto" w:fill="FFFFFF"/>
          <w:lang w:val="fr-FR"/>
        </w:rPr>
        <w:t>’</w:t>
      </w:r>
      <w:r>
        <w:rPr>
          <w:color w:val="000000"/>
          <w:shd w:val="clear" w:color="auto" w:fill="FFFFFF"/>
          <w:lang w:val="fr-FR"/>
        </w:rPr>
        <w:t>émigration des jeunes vers les zones urbaines pour accéder à une éducation publique formelle, qui limite l</w:t>
      </w:r>
      <w:r w:rsidR="00655870">
        <w:rPr>
          <w:color w:val="000000"/>
          <w:shd w:val="clear" w:color="auto" w:fill="FFFFFF"/>
          <w:lang w:val="fr-FR"/>
        </w:rPr>
        <w:t>’</w:t>
      </w:r>
      <w:r>
        <w:rPr>
          <w:color w:val="000000"/>
          <w:shd w:val="clear" w:color="auto" w:fill="FFFFFF"/>
          <w:lang w:val="fr-FR"/>
        </w:rPr>
        <w:t xml:space="preserve">utilisation de la langue </w:t>
      </w:r>
      <w:proofErr w:type="spellStart"/>
      <w:r>
        <w:rPr>
          <w:color w:val="000000"/>
          <w:shd w:val="clear" w:color="auto" w:fill="FFFFFF"/>
          <w:lang w:val="fr-FR"/>
        </w:rPr>
        <w:t>Mapoyo</w:t>
      </w:r>
      <w:proofErr w:type="spellEnd"/>
      <w:r>
        <w:rPr>
          <w:color w:val="000000"/>
          <w:shd w:val="clear" w:color="auto" w:fill="FFFFFF"/>
          <w:lang w:val="fr-FR"/>
        </w:rPr>
        <w:t>, et affecte donc la viabilité de l</w:t>
      </w:r>
      <w:r w:rsidR="00655870">
        <w:rPr>
          <w:color w:val="000000"/>
          <w:shd w:val="clear" w:color="auto" w:fill="FFFFFF"/>
          <w:lang w:val="fr-FR"/>
        </w:rPr>
        <w:t>’</w:t>
      </w:r>
      <w:r w:rsidR="00616D03">
        <w:rPr>
          <w:color w:val="000000"/>
          <w:shd w:val="clear" w:color="auto" w:fill="FFFFFF"/>
          <w:lang w:val="fr-FR"/>
        </w:rPr>
        <w:t>élément à long terme ; et (iv)</w:t>
      </w:r>
      <w:r w:rsidR="00616D03" w:rsidRPr="00616D03">
        <w:rPr>
          <w:lang w:val="fr-FR"/>
        </w:rPr>
        <w:t> </w:t>
      </w:r>
      <w:r w:rsidR="00616D03">
        <w:rPr>
          <w:color w:val="000000"/>
          <w:shd w:val="clear" w:color="auto" w:fill="FFFFFF"/>
          <w:lang w:val="fr-FR"/>
        </w:rPr>
        <w:t>le</w:t>
      </w:r>
      <w:r w:rsidR="00616D03" w:rsidRPr="00616D03">
        <w:rPr>
          <w:lang w:val="fr-FR"/>
        </w:rPr>
        <w:t> </w:t>
      </w:r>
      <w:r>
        <w:rPr>
          <w:color w:val="000000"/>
          <w:shd w:val="clear" w:color="auto" w:fill="FFFFFF"/>
          <w:lang w:val="fr-FR"/>
        </w:rPr>
        <w:t>manque de ressources financières nécessaires à la mise en œuvre du plan de sauvegarde. Le rapport mentionne que l</w:t>
      </w:r>
      <w:r w:rsidR="00655870">
        <w:rPr>
          <w:color w:val="000000"/>
          <w:shd w:val="clear" w:color="auto" w:fill="FFFFFF"/>
          <w:lang w:val="fr-FR"/>
        </w:rPr>
        <w:t>’</w:t>
      </w:r>
      <w:r>
        <w:rPr>
          <w:color w:val="000000"/>
          <w:shd w:val="clear" w:color="auto" w:fill="FFFFFF"/>
          <w:lang w:val="fr-FR"/>
        </w:rPr>
        <w:t>État partie prévoie de résoudre ces problèmes lors de la mise à jour de son plan de sauvegarde.</w:t>
      </w:r>
    </w:p>
    <w:p w14:paraId="2DF04D3C" w14:textId="77777777" w:rsidR="00D23C0B" w:rsidRPr="00F90057" w:rsidRDefault="00D23C0B" w:rsidP="00D23C0B">
      <w:pPr>
        <w:pStyle w:val="COMPara"/>
        <w:numPr>
          <w:ilvl w:val="0"/>
          <w:numId w:val="9"/>
        </w:numPr>
        <w:spacing w:before="120"/>
        <w:ind w:left="567" w:hanging="567"/>
        <w:jc w:val="both"/>
        <w:rPr>
          <w:lang w:val="fr-FR"/>
        </w:rPr>
      </w:pPr>
      <w:r>
        <w:rPr>
          <w:lang w:val="fr-FR"/>
        </w:rPr>
        <w:t>Le Comité souhaitera peut-être adopter la décision suivante :</w:t>
      </w:r>
    </w:p>
    <w:p w14:paraId="76CFC7A4" w14:textId="77777777" w:rsidR="00D23C0B" w:rsidRPr="00F90057" w:rsidRDefault="00D23C0B" w:rsidP="00D23C0B">
      <w:pPr>
        <w:pStyle w:val="Heading4"/>
        <w:numPr>
          <w:ilvl w:val="0"/>
          <w:numId w:val="0"/>
        </w:numPr>
        <w:spacing w:before="240"/>
        <w:ind w:left="567"/>
        <w:rPr>
          <w:rFonts w:eastAsia="SimSun"/>
          <w:lang w:val="fr-FR"/>
        </w:rPr>
      </w:pPr>
      <w:bookmarkStart w:id="5" w:name="_PROJET_DE_DÉCISION_3"/>
      <w:bookmarkEnd w:id="5"/>
      <w:r>
        <w:rPr>
          <w:rFonts w:eastAsia="SimSun"/>
          <w:lang w:val="fr-FR"/>
        </w:rPr>
        <w:t>PROJET DE DÉCISION 14.COM 9.a.4</w:t>
      </w:r>
      <w:r>
        <w:rPr>
          <w:rFonts w:eastAsia="SimSun"/>
          <w:lang w:val="fr-FR"/>
        </w:rPr>
        <w:tab/>
      </w:r>
      <w:r w:rsidRPr="002E373B">
        <w:rPr>
          <w:noProof/>
          <w:snapToGrid/>
          <w:szCs w:val="22"/>
          <w:lang w:val="fr-FR" w:eastAsia="ja-JP"/>
        </w:rPr>
        <w:drawing>
          <wp:inline distT="0" distB="0" distL="0" distR="0" wp14:anchorId="01211C47" wp14:editId="6E46861D">
            <wp:extent cx="103505" cy="103505"/>
            <wp:effectExtent l="0" t="0" r="0" b="0"/>
            <wp:docPr id="13" name="Picture 5"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3505" cy="103505"/>
                    </a:xfrm>
                    <a:prstGeom prst="rect">
                      <a:avLst/>
                    </a:prstGeom>
                    <a:noFill/>
                    <a:ln>
                      <a:noFill/>
                    </a:ln>
                  </pic:spPr>
                </pic:pic>
              </a:graphicData>
            </a:graphic>
          </wp:inline>
        </w:drawing>
      </w:r>
    </w:p>
    <w:p w14:paraId="1C2ADE69" w14:textId="77777777" w:rsidR="00D23C0B" w:rsidRPr="00285BB4" w:rsidRDefault="00D23C0B" w:rsidP="00D23C0B">
      <w:pPr>
        <w:pStyle w:val="COMPreambulaDecisions"/>
        <w:rPr>
          <w:rFonts w:eastAsia="SimSun"/>
        </w:rPr>
      </w:pPr>
      <w:r w:rsidRPr="00285BB4">
        <w:rPr>
          <w:lang w:val="fr-FR"/>
        </w:rPr>
        <w:t>Le Comité,</w:t>
      </w:r>
    </w:p>
    <w:p w14:paraId="33A31120" w14:textId="61D357A7" w:rsidR="00D23C0B" w:rsidRPr="00F90057" w:rsidRDefault="00D23C0B" w:rsidP="00D23C0B">
      <w:pPr>
        <w:pStyle w:val="COMParaDecision"/>
        <w:numPr>
          <w:ilvl w:val="0"/>
          <w:numId w:val="23"/>
        </w:numPr>
        <w:tabs>
          <w:tab w:val="left" w:pos="1134"/>
        </w:tabs>
        <w:ind w:left="1134" w:hanging="567"/>
        <w:rPr>
          <w:u w:val="none"/>
          <w:lang w:val="fr-FR"/>
        </w:rPr>
      </w:pPr>
      <w:r w:rsidRPr="004C7D40">
        <w:rPr>
          <w:lang w:val="fr-FR"/>
        </w:rPr>
        <w:t>Ayant examiné</w:t>
      </w:r>
      <w:r w:rsidRPr="004C7D40">
        <w:rPr>
          <w:u w:val="none"/>
          <w:lang w:val="fr-FR"/>
        </w:rPr>
        <w:t xml:space="preserve"> le document LHE/19/14.COM/</w:t>
      </w:r>
      <w:proofErr w:type="gramStart"/>
      <w:r w:rsidRPr="004C7D40">
        <w:rPr>
          <w:u w:val="none"/>
          <w:lang w:val="fr-FR"/>
        </w:rPr>
        <w:t>9.a</w:t>
      </w:r>
      <w:proofErr w:type="gramEnd"/>
      <w:r w:rsidR="00CD4E9F">
        <w:rPr>
          <w:u w:val="none"/>
          <w:lang w:val="fr-FR"/>
        </w:rPr>
        <w:t> </w:t>
      </w:r>
      <w:proofErr w:type="spellStart"/>
      <w:r w:rsidR="00CD4E9F">
        <w:rPr>
          <w:u w:val="none"/>
          <w:lang w:val="fr-FR"/>
        </w:rPr>
        <w:t>Rev</w:t>
      </w:r>
      <w:proofErr w:type="spellEnd"/>
      <w:r w:rsidR="00CD4E9F">
        <w:rPr>
          <w:u w:val="none"/>
          <w:lang w:val="fr-FR"/>
        </w:rPr>
        <w:t>.</w:t>
      </w:r>
      <w:r w:rsidRPr="004C7D40">
        <w:rPr>
          <w:u w:val="none"/>
          <w:lang w:val="fr-FR"/>
        </w:rPr>
        <w:t>,</w:t>
      </w:r>
    </w:p>
    <w:p w14:paraId="11D4CE32" w14:textId="1A0A19BB" w:rsidR="00D23C0B" w:rsidRPr="00F90057" w:rsidRDefault="00D23C0B" w:rsidP="00D23C0B">
      <w:pPr>
        <w:pStyle w:val="COMParaDecision"/>
        <w:numPr>
          <w:ilvl w:val="0"/>
          <w:numId w:val="23"/>
        </w:numPr>
        <w:tabs>
          <w:tab w:val="left" w:pos="1134"/>
        </w:tabs>
        <w:ind w:left="1134" w:hanging="567"/>
        <w:rPr>
          <w:u w:val="none"/>
          <w:lang w:val="fr-FR"/>
        </w:rPr>
      </w:pPr>
      <w:r w:rsidRPr="004C7D40">
        <w:rPr>
          <w:lang w:val="fr-FR"/>
        </w:rPr>
        <w:t>Rappelant</w:t>
      </w:r>
      <w:r w:rsidRPr="004C7D40">
        <w:rPr>
          <w:u w:val="none"/>
          <w:lang w:val="fr-FR"/>
        </w:rPr>
        <w:t xml:space="preserve"> le Chapitre V des Directives opérationnelles et sa </w:t>
      </w:r>
      <w:hyperlink r:id="rId35" w:history="1">
        <w:r w:rsidR="00616D03">
          <w:rPr>
            <w:rStyle w:val="Hyperlink"/>
            <w:lang w:val="fr-FR"/>
          </w:rPr>
          <w:t>d</w:t>
        </w:r>
        <w:r w:rsidRPr="00CC4C7E">
          <w:rPr>
            <w:rStyle w:val="Hyperlink"/>
            <w:lang w:val="fr-FR"/>
          </w:rPr>
          <w:t>écision</w:t>
        </w:r>
        <w:r w:rsidR="00115616">
          <w:rPr>
            <w:rStyle w:val="Hyperlink"/>
            <w:lang w:val="fr-FR"/>
          </w:rPr>
          <w:t> </w:t>
        </w:r>
        <w:r w:rsidRPr="00CC4C7E">
          <w:rPr>
            <w:rStyle w:val="Hyperlink"/>
            <w:lang w:val="fr-FR"/>
          </w:rPr>
          <w:t>9.COM </w:t>
        </w:r>
        <w:proofErr w:type="gramStart"/>
        <w:r w:rsidRPr="00CC4C7E">
          <w:rPr>
            <w:rStyle w:val="Hyperlink"/>
            <w:lang w:val="fr-FR"/>
          </w:rPr>
          <w:t>9.a.</w:t>
        </w:r>
        <w:proofErr w:type="gramEnd"/>
        <w:r w:rsidRPr="00CC4C7E">
          <w:rPr>
            <w:rStyle w:val="Hyperlink"/>
            <w:lang w:val="fr-FR"/>
          </w:rPr>
          <w:t>8</w:t>
        </w:r>
      </w:hyperlink>
      <w:r w:rsidRPr="004C7D40">
        <w:rPr>
          <w:u w:val="none"/>
          <w:lang w:val="fr-FR"/>
        </w:rPr>
        <w:t>,</w:t>
      </w:r>
    </w:p>
    <w:p w14:paraId="2BF71847" w14:textId="6627328D" w:rsidR="00D23C0B" w:rsidRPr="00F90057" w:rsidRDefault="00057C4F" w:rsidP="00D23C0B">
      <w:pPr>
        <w:pStyle w:val="COMParaDecision"/>
        <w:numPr>
          <w:ilvl w:val="0"/>
          <w:numId w:val="23"/>
        </w:numPr>
        <w:tabs>
          <w:tab w:val="left" w:pos="1134"/>
        </w:tabs>
        <w:ind w:left="1134" w:hanging="567"/>
        <w:rPr>
          <w:u w:val="none"/>
          <w:lang w:val="fr-FR"/>
        </w:rPr>
      </w:pPr>
      <w:r>
        <w:rPr>
          <w:lang w:val="fr-FR"/>
        </w:rPr>
        <w:t>Remercie</w:t>
      </w:r>
      <w:r w:rsidR="00D23C0B" w:rsidRPr="004C7D40">
        <w:rPr>
          <w:u w:val="none"/>
          <w:lang w:val="fr-FR"/>
        </w:rPr>
        <w:t xml:space="preserve"> </w:t>
      </w:r>
      <w:r>
        <w:rPr>
          <w:u w:val="none"/>
          <w:lang w:val="fr-FR"/>
        </w:rPr>
        <w:t>le</w:t>
      </w:r>
      <w:r w:rsidRPr="004C7D40">
        <w:rPr>
          <w:u w:val="none"/>
          <w:lang w:val="fr-FR"/>
        </w:rPr>
        <w:t xml:space="preserve"> </w:t>
      </w:r>
      <w:r w:rsidR="00D23C0B" w:rsidRPr="004C7D40">
        <w:rPr>
          <w:u w:val="none"/>
          <w:lang w:val="fr-FR"/>
        </w:rPr>
        <w:t>V</w:t>
      </w:r>
      <w:r w:rsidR="00D23C0B">
        <w:rPr>
          <w:u w:val="none"/>
          <w:lang w:val="fr-FR"/>
        </w:rPr>
        <w:t>e</w:t>
      </w:r>
      <w:r w:rsidR="00D23C0B" w:rsidRPr="004C7D40">
        <w:rPr>
          <w:u w:val="none"/>
          <w:lang w:val="fr-FR"/>
        </w:rPr>
        <w:t>n</w:t>
      </w:r>
      <w:r w:rsidR="00D23C0B">
        <w:rPr>
          <w:u w:val="none"/>
          <w:lang w:val="fr-FR"/>
        </w:rPr>
        <w:t>e</w:t>
      </w:r>
      <w:r w:rsidR="00D23C0B" w:rsidRPr="004C7D40">
        <w:rPr>
          <w:u w:val="none"/>
          <w:lang w:val="fr-FR"/>
        </w:rPr>
        <w:t xml:space="preserve">zuela </w:t>
      </w:r>
      <w:r>
        <w:rPr>
          <w:u w:val="none"/>
          <w:lang w:val="fr-FR"/>
        </w:rPr>
        <w:t>d’</w:t>
      </w:r>
      <w:r w:rsidR="00D23C0B">
        <w:rPr>
          <w:u w:val="none"/>
          <w:lang w:val="fr-FR"/>
        </w:rPr>
        <w:t>avoir soumis</w:t>
      </w:r>
      <w:r w:rsidR="00D23C0B" w:rsidRPr="004C7D40">
        <w:rPr>
          <w:u w:val="none"/>
          <w:lang w:val="fr-FR"/>
        </w:rPr>
        <w:t>, dans les délais, son deuxième rapport sur l</w:t>
      </w:r>
      <w:r w:rsidR="00655870">
        <w:rPr>
          <w:u w:val="none"/>
          <w:lang w:val="fr-FR"/>
        </w:rPr>
        <w:t>’</w:t>
      </w:r>
      <w:r w:rsidR="00D23C0B" w:rsidRPr="004C7D40">
        <w:rPr>
          <w:u w:val="none"/>
          <w:lang w:val="fr-FR"/>
        </w:rPr>
        <w:t>état de l</w:t>
      </w:r>
      <w:r w:rsidR="00655870">
        <w:rPr>
          <w:u w:val="none"/>
          <w:lang w:val="fr-FR"/>
        </w:rPr>
        <w:t>’</w:t>
      </w:r>
      <w:r w:rsidR="00D23C0B" w:rsidRPr="004C7D40">
        <w:rPr>
          <w:u w:val="none"/>
          <w:lang w:val="fr-FR"/>
        </w:rPr>
        <w:t xml:space="preserve">élément « La tradition orale </w:t>
      </w:r>
      <w:proofErr w:type="spellStart"/>
      <w:r w:rsidR="00D23C0B" w:rsidRPr="004C7D40">
        <w:rPr>
          <w:u w:val="none"/>
          <w:lang w:val="fr-FR"/>
        </w:rPr>
        <w:t>Mapoyo</w:t>
      </w:r>
      <w:proofErr w:type="spellEnd"/>
      <w:r w:rsidR="00D23C0B" w:rsidRPr="004C7D40">
        <w:rPr>
          <w:u w:val="none"/>
          <w:lang w:val="fr-FR"/>
        </w:rPr>
        <w:t xml:space="preserve"> et ses points de référence symboliques dans leur territoire ancestral », inscrit en 2014 sur la Liste du patrimoine culturel immatériel nécessitant une sauvegarde urgente</w:t>
      </w:r>
      <w:r w:rsidR="00115616">
        <w:rPr>
          <w:u w:val="none"/>
          <w:lang w:val="fr-FR"/>
        </w:rPr>
        <w:t> </w:t>
      </w:r>
      <w:r w:rsidR="00D23C0B" w:rsidRPr="004C7D40">
        <w:rPr>
          <w:u w:val="none"/>
          <w:lang w:val="fr-FR"/>
        </w:rPr>
        <w:t>;</w:t>
      </w:r>
    </w:p>
    <w:p w14:paraId="416B138A" w14:textId="1800DA60" w:rsidR="00D23C0B" w:rsidRPr="00F90057" w:rsidRDefault="00D23C0B" w:rsidP="00D23C0B">
      <w:pPr>
        <w:pStyle w:val="COMParaDecision"/>
        <w:numPr>
          <w:ilvl w:val="0"/>
          <w:numId w:val="23"/>
        </w:numPr>
        <w:tabs>
          <w:tab w:val="left" w:pos="1134"/>
        </w:tabs>
        <w:ind w:left="1134" w:hanging="567"/>
        <w:rPr>
          <w:lang w:val="fr-FR"/>
        </w:rPr>
      </w:pPr>
      <w:r w:rsidRPr="00131978">
        <w:rPr>
          <w:lang w:val="fr-FR"/>
        </w:rPr>
        <w:t>Prend note</w:t>
      </w:r>
      <w:r>
        <w:rPr>
          <w:u w:val="none"/>
          <w:lang w:val="fr-FR"/>
        </w:rPr>
        <w:t xml:space="preserve"> des efforts de sauvegarde déployés par le Venezuela pour sauvegarder l</w:t>
      </w:r>
      <w:r w:rsidR="00655870">
        <w:rPr>
          <w:u w:val="none"/>
          <w:lang w:val="fr-FR"/>
        </w:rPr>
        <w:t>’</w:t>
      </w:r>
      <w:r>
        <w:rPr>
          <w:u w:val="none"/>
          <w:lang w:val="fr-FR"/>
        </w:rPr>
        <w:t xml:space="preserve">élément, en particulier l'intégration de </w:t>
      </w:r>
      <w:r w:rsidRPr="00E026A7">
        <w:rPr>
          <w:u w:val="none"/>
          <w:lang w:val="fr-FR"/>
        </w:rPr>
        <w:t>l</w:t>
      </w:r>
      <w:r w:rsidR="00E026A7">
        <w:rPr>
          <w:u w:val="none"/>
          <w:lang w:val="fr-FR"/>
        </w:rPr>
        <w:t>’</w:t>
      </w:r>
      <w:r w:rsidRPr="00426B43">
        <w:rPr>
          <w:u w:val="none"/>
          <w:lang w:val="fr-FR"/>
        </w:rPr>
        <w:t xml:space="preserve">enseignement </w:t>
      </w:r>
      <w:proofErr w:type="spellStart"/>
      <w:r w:rsidRPr="00426B43">
        <w:rPr>
          <w:u w:val="none"/>
          <w:lang w:val="fr-FR"/>
        </w:rPr>
        <w:t>Mapoyo</w:t>
      </w:r>
      <w:proofErr w:type="spellEnd"/>
      <w:r w:rsidRPr="00E15C17">
        <w:rPr>
          <w:u w:val="none"/>
          <w:lang w:val="fr-FR"/>
        </w:rPr>
        <w:t xml:space="preserve"> dans les programmes scolaires, l</w:t>
      </w:r>
      <w:r w:rsidR="00E026A7">
        <w:rPr>
          <w:u w:val="none"/>
          <w:lang w:val="fr-FR"/>
        </w:rPr>
        <w:t>’</w:t>
      </w:r>
      <w:r w:rsidRPr="00E15C17">
        <w:rPr>
          <w:u w:val="none"/>
          <w:lang w:val="fr-FR"/>
        </w:rPr>
        <w:t>amélioration de la transmission des connaissances</w:t>
      </w:r>
      <w:r>
        <w:rPr>
          <w:u w:val="none"/>
          <w:lang w:val="fr-FR"/>
        </w:rPr>
        <w:t xml:space="preserve"> traditionnelles liées à la culture et à la nature, et la large participation des communautés dans la mise en œuvre du plan de sauvegarde ;</w:t>
      </w:r>
    </w:p>
    <w:p w14:paraId="43D9745E" w14:textId="0563780D" w:rsidR="00D23C0B" w:rsidRPr="00F90057" w:rsidRDefault="00D23C0B" w:rsidP="00D23C0B">
      <w:pPr>
        <w:pStyle w:val="COMParaDecision"/>
        <w:numPr>
          <w:ilvl w:val="0"/>
          <w:numId w:val="23"/>
        </w:numPr>
        <w:tabs>
          <w:tab w:val="left" w:pos="1134"/>
        </w:tabs>
        <w:ind w:left="1134" w:hanging="567"/>
        <w:rPr>
          <w:lang w:val="fr-FR"/>
        </w:rPr>
      </w:pPr>
      <w:r>
        <w:rPr>
          <w:lang w:val="fr-FR"/>
        </w:rPr>
        <w:t>Invite</w:t>
      </w:r>
      <w:r>
        <w:rPr>
          <w:u w:val="none"/>
          <w:lang w:val="fr-FR"/>
        </w:rPr>
        <w:t xml:space="preserve"> l</w:t>
      </w:r>
      <w:r w:rsidR="00655870">
        <w:rPr>
          <w:u w:val="none"/>
          <w:lang w:val="fr-FR"/>
        </w:rPr>
        <w:t>’</w:t>
      </w:r>
      <w:r>
        <w:rPr>
          <w:u w:val="none"/>
          <w:lang w:val="fr-FR"/>
        </w:rPr>
        <w:t>État partie à poursuivre ses efforts de transmission des pratiques associées à l</w:t>
      </w:r>
      <w:r w:rsidR="00655870">
        <w:rPr>
          <w:u w:val="none"/>
          <w:lang w:val="fr-FR"/>
        </w:rPr>
        <w:t>’</w:t>
      </w:r>
      <w:r>
        <w:rPr>
          <w:u w:val="none"/>
          <w:lang w:val="fr-FR"/>
        </w:rPr>
        <w:t>élément, notamment grâce à l</w:t>
      </w:r>
      <w:r w:rsidR="00655870">
        <w:rPr>
          <w:u w:val="none"/>
          <w:lang w:val="fr-FR"/>
        </w:rPr>
        <w:t>’</w:t>
      </w:r>
      <w:r>
        <w:rPr>
          <w:u w:val="none"/>
          <w:lang w:val="fr-FR"/>
        </w:rPr>
        <w:t>éducation formelle et informelle, et à continuer à sensibiliser la société à la signification de l</w:t>
      </w:r>
      <w:r w:rsidR="00655870">
        <w:rPr>
          <w:u w:val="none"/>
          <w:lang w:val="fr-FR"/>
        </w:rPr>
        <w:t>’</w:t>
      </w:r>
      <w:r>
        <w:rPr>
          <w:u w:val="none"/>
          <w:lang w:val="fr-FR"/>
        </w:rPr>
        <w:t>élément ;</w:t>
      </w:r>
    </w:p>
    <w:p w14:paraId="08520ED2" w14:textId="2A17465E" w:rsidR="000A1E1C" w:rsidRPr="00426B43" w:rsidRDefault="00D23C0B" w:rsidP="00D23C0B">
      <w:pPr>
        <w:pStyle w:val="COMParaDecision"/>
        <w:numPr>
          <w:ilvl w:val="0"/>
          <w:numId w:val="23"/>
        </w:numPr>
        <w:tabs>
          <w:tab w:val="left" w:pos="1134"/>
        </w:tabs>
        <w:ind w:left="1134" w:hanging="567"/>
        <w:rPr>
          <w:lang w:val="fr-FR"/>
        </w:rPr>
      </w:pPr>
      <w:r w:rsidRPr="00C32EFA">
        <w:rPr>
          <w:lang w:val="fr-FR"/>
        </w:rPr>
        <w:t>Encourage</w:t>
      </w:r>
      <w:r w:rsidRPr="00C32EFA">
        <w:rPr>
          <w:u w:val="none"/>
          <w:lang w:val="fr-FR"/>
        </w:rPr>
        <w:t xml:space="preserve"> l</w:t>
      </w:r>
      <w:r w:rsidR="00655870">
        <w:rPr>
          <w:u w:val="none"/>
          <w:lang w:val="fr-FR"/>
        </w:rPr>
        <w:t>’</w:t>
      </w:r>
      <w:r w:rsidRPr="00C32EFA">
        <w:rPr>
          <w:u w:val="none"/>
          <w:lang w:val="fr-FR"/>
        </w:rPr>
        <w:t>État partie à renforcer la coopération avec les institutions publiques et non-gouvernementales afin de disposer d</w:t>
      </w:r>
      <w:r w:rsidR="00655870">
        <w:rPr>
          <w:u w:val="none"/>
          <w:lang w:val="fr-FR"/>
        </w:rPr>
        <w:t>’</w:t>
      </w:r>
      <w:r w:rsidRPr="00C32EFA">
        <w:rPr>
          <w:u w:val="none"/>
          <w:lang w:val="fr-FR"/>
        </w:rPr>
        <w:t>outils méthodologiques permettant aux détenteurs de mieux transmettre l</w:t>
      </w:r>
      <w:r w:rsidR="00655870">
        <w:rPr>
          <w:u w:val="none"/>
          <w:lang w:val="fr-FR"/>
        </w:rPr>
        <w:t>’</w:t>
      </w:r>
      <w:r w:rsidRPr="00C32EFA">
        <w:rPr>
          <w:u w:val="none"/>
          <w:lang w:val="fr-FR"/>
        </w:rPr>
        <w:t>élément</w:t>
      </w:r>
      <w:r w:rsidR="000A1E1C">
        <w:rPr>
          <w:u w:val="none"/>
          <w:lang w:val="fr-FR"/>
        </w:rPr>
        <w:t> ;</w:t>
      </w:r>
    </w:p>
    <w:p w14:paraId="4F0F4B81" w14:textId="7A698ABF" w:rsidR="00D23C0B" w:rsidRPr="00F90057" w:rsidRDefault="000A1E1C" w:rsidP="00D23C0B">
      <w:pPr>
        <w:pStyle w:val="COMParaDecision"/>
        <w:numPr>
          <w:ilvl w:val="0"/>
          <w:numId w:val="23"/>
        </w:numPr>
        <w:tabs>
          <w:tab w:val="left" w:pos="1134"/>
        </w:tabs>
        <w:ind w:left="1134" w:hanging="567"/>
        <w:rPr>
          <w:lang w:val="fr-FR"/>
        </w:rPr>
      </w:pPr>
      <w:r>
        <w:rPr>
          <w:lang w:val="fr-FR"/>
        </w:rPr>
        <w:t>E</w:t>
      </w:r>
      <w:r w:rsidR="00D23C0B" w:rsidRPr="00CC4C7E">
        <w:rPr>
          <w:lang w:val="fr-FR"/>
        </w:rPr>
        <w:t>ncourage en outre</w:t>
      </w:r>
      <w:r w:rsidR="00D23C0B" w:rsidRPr="00C32EFA">
        <w:rPr>
          <w:u w:val="none"/>
          <w:lang w:val="fr-FR"/>
        </w:rPr>
        <w:t xml:space="preserve"> l</w:t>
      </w:r>
      <w:r w:rsidR="00655870">
        <w:rPr>
          <w:u w:val="none"/>
          <w:lang w:val="fr-FR"/>
        </w:rPr>
        <w:t>’</w:t>
      </w:r>
      <w:r w:rsidR="00D23C0B" w:rsidRPr="00C32EFA">
        <w:rPr>
          <w:u w:val="none"/>
          <w:lang w:val="fr-FR"/>
        </w:rPr>
        <w:t xml:space="preserve">État partie à </w:t>
      </w:r>
      <w:r w:rsidR="00CD4E9F">
        <w:rPr>
          <w:u w:val="none"/>
          <w:lang w:val="fr-FR"/>
        </w:rPr>
        <w:t xml:space="preserve">continuer le </w:t>
      </w:r>
      <w:r w:rsidR="00D23C0B" w:rsidRPr="00C32EFA">
        <w:rPr>
          <w:u w:val="none"/>
          <w:lang w:val="fr-FR"/>
        </w:rPr>
        <w:t xml:space="preserve">dialogue avec les institutions privées, en particulier les </w:t>
      </w:r>
      <w:r>
        <w:rPr>
          <w:u w:val="none"/>
          <w:lang w:val="fr-FR"/>
        </w:rPr>
        <w:t>sociétés</w:t>
      </w:r>
      <w:r w:rsidRPr="00C32EFA">
        <w:rPr>
          <w:u w:val="none"/>
          <w:lang w:val="fr-FR"/>
        </w:rPr>
        <w:t xml:space="preserve"> </w:t>
      </w:r>
      <w:r w:rsidR="00D23C0B" w:rsidRPr="00C32EFA">
        <w:rPr>
          <w:u w:val="none"/>
          <w:lang w:val="fr-FR"/>
        </w:rPr>
        <w:t xml:space="preserve">minières, pour </w:t>
      </w:r>
      <w:r>
        <w:rPr>
          <w:u w:val="none"/>
          <w:lang w:val="fr-FR"/>
        </w:rPr>
        <w:t>s’</w:t>
      </w:r>
      <w:r w:rsidR="00D23C0B" w:rsidRPr="00C32EFA">
        <w:rPr>
          <w:u w:val="none"/>
          <w:lang w:val="fr-FR"/>
        </w:rPr>
        <w:t xml:space="preserve">assurer </w:t>
      </w:r>
      <w:r>
        <w:rPr>
          <w:u w:val="none"/>
          <w:lang w:val="fr-FR"/>
        </w:rPr>
        <w:t xml:space="preserve">de leur engagement dans </w:t>
      </w:r>
      <w:r w:rsidR="00D23C0B" w:rsidRPr="00C32EFA">
        <w:rPr>
          <w:u w:val="none"/>
          <w:lang w:val="fr-FR"/>
        </w:rPr>
        <w:t>la mise en œuvre efficace du plan de sauvegarde</w:t>
      </w:r>
      <w:r>
        <w:rPr>
          <w:u w:val="none"/>
          <w:lang w:val="fr-FR"/>
        </w:rPr>
        <w:t xml:space="preserve"> afin de remédier à la </w:t>
      </w:r>
      <w:r w:rsidR="00057AB6">
        <w:rPr>
          <w:u w:val="none"/>
          <w:lang w:val="fr-FR"/>
        </w:rPr>
        <w:t>dégradation</w:t>
      </w:r>
      <w:r>
        <w:rPr>
          <w:u w:val="none"/>
          <w:lang w:val="fr-FR"/>
        </w:rPr>
        <w:t xml:space="preserve"> de l’environnement et à la pollution</w:t>
      </w:r>
      <w:r w:rsidR="00713967">
        <w:rPr>
          <w:u w:val="none"/>
          <w:lang w:val="fr-FR"/>
        </w:rPr>
        <w:t>,</w:t>
      </w:r>
      <w:r>
        <w:rPr>
          <w:u w:val="none"/>
          <w:lang w:val="fr-FR"/>
        </w:rPr>
        <w:t xml:space="preserve"> et assurer une utilisation durable des ressources naturelles tout en respectant les pratiques culturelles des communautés sur le territoire </w:t>
      </w:r>
      <w:proofErr w:type="spellStart"/>
      <w:r>
        <w:rPr>
          <w:u w:val="none"/>
          <w:lang w:val="fr-FR"/>
        </w:rPr>
        <w:t>Mapoyo</w:t>
      </w:r>
      <w:proofErr w:type="spellEnd"/>
      <w:r w:rsidR="00D23C0B" w:rsidRPr="00C32EFA">
        <w:rPr>
          <w:u w:val="none"/>
          <w:lang w:val="fr-FR"/>
        </w:rPr>
        <w:t> ;</w:t>
      </w:r>
    </w:p>
    <w:p w14:paraId="115AA98E" w14:textId="1035629B" w:rsidR="00655870" w:rsidRPr="00E90252" w:rsidRDefault="00D23C0B" w:rsidP="00E90252">
      <w:pPr>
        <w:pStyle w:val="COMParaDecision"/>
        <w:numPr>
          <w:ilvl w:val="0"/>
          <w:numId w:val="23"/>
        </w:numPr>
        <w:tabs>
          <w:tab w:val="left" w:pos="1134"/>
        </w:tabs>
        <w:ind w:left="1134" w:hanging="567"/>
        <w:rPr>
          <w:lang w:val="fr-FR"/>
        </w:rPr>
      </w:pPr>
      <w:r w:rsidRPr="00B53679">
        <w:rPr>
          <w:lang w:val="fr-FR"/>
        </w:rPr>
        <w:t>Prie</w:t>
      </w:r>
      <w:r w:rsidRPr="00B53679">
        <w:rPr>
          <w:u w:val="none"/>
          <w:lang w:val="fr-FR"/>
        </w:rPr>
        <w:t xml:space="preserve"> le Secrétariat d</w:t>
      </w:r>
      <w:r w:rsidR="00655870">
        <w:rPr>
          <w:u w:val="none"/>
          <w:lang w:val="fr-FR"/>
        </w:rPr>
        <w:t>’</w:t>
      </w:r>
      <w:r w:rsidRPr="00B53679">
        <w:rPr>
          <w:u w:val="none"/>
          <w:lang w:val="fr-FR"/>
        </w:rPr>
        <w:t>informer l</w:t>
      </w:r>
      <w:r w:rsidR="00655870">
        <w:rPr>
          <w:u w:val="none"/>
          <w:lang w:val="fr-FR"/>
        </w:rPr>
        <w:t>’</w:t>
      </w:r>
      <w:r w:rsidRPr="00B53679">
        <w:rPr>
          <w:u w:val="none"/>
          <w:lang w:val="fr-FR"/>
        </w:rPr>
        <w:t>État partie, au moins neuf mois avant l</w:t>
      </w:r>
      <w:r w:rsidR="00655870">
        <w:rPr>
          <w:u w:val="none"/>
          <w:lang w:val="fr-FR"/>
        </w:rPr>
        <w:t>’</w:t>
      </w:r>
      <w:r w:rsidRPr="00B53679">
        <w:rPr>
          <w:u w:val="none"/>
          <w:lang w:val="fr-FR"/>
        </w:rPr>
        <w:t>échéance du 15</w:t>
      </w:r>
      <w:r w:rsidR="000A1E1C">
        <w:rPr>
          <w:u w:val="none"/>
          <w:lang w:val="fr-FR"/>
        </w:rPr>
        <w:t> </w:t>
      </w:r>
      <w:r w:rsidRPr="00B53679">
        <w:rPr>
          <w:u w:val="none"/>
          <w:lang w:val="fr-FR"/>
        </w:rPr>
        <w:t>décembre 2022, qu</w:t>
      </w:r>
      <w:r w:rsidR="00655870">
        <w:rPr>
          <w:u w:val="none"/>
          <w:lang w:val="fr-FR"/>
        </w:rPr>
        <w:t>’</w:t>
      </w:r>
      <w:r w:rsidRPr="00B53679">
        <w:rPr>
          <w:u w:val="none"/>
          <w:lang w:val="fr-FR"/>
        </w:rPr>
        <w:t>il doit soumettre son prochain rapport sur l</w:t>
      </w:r>
      <w:r w:rsidR="00655870">
        <w:rPr>
          <w:u w:val="none"/>
          <w:lang w:val="fr-FR"/>
        </w:rPr>
        <w:t>’</w:t>
      </w:r>
      <w:r w:rsidRPr="00B53679">
        <w:rPr>
          <w:u w:val="none"/>
          <w:lang w:val="fr-FR"/>
        </w:rPr>
        <w:t>état de cet élément.</w:t>
      </w:r>
    </w:p>
    <w:sectPr w:rsidR="00655870" w:rsidRPr="00E90252" w:rsidSect="00655870">
      <w:headerReference w:type="even" r:id="rId36"/>
      <w:headerReference w:type="default" r:id="rId37"/>
      <w:headerReference w:type="first" r:id="rId3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EB49D" w14:textId="77777777" w:rsidR="00655870" w:rsidRDefault="00655870">
      <w:r>
        <w:separator/>
      </w:r>
    </w:p>
  </w:endnote>
  <w:endnote w:type="continuationSeparator" w:id="0">
    <w:p w14:paraId="276A2B48" w14:textId="77777777" w:rsidR="00655870" w:rsidRDefault="0065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558E" w14:textId="77777777" w:rsidR="00655870" w:rsidRDefault="00655870">
      <w:r>
        <w:separator/>
      </w:r>
    </w:p>
  </w:footnote>
  <w:footnote w:type="continuationSeparator" w:id="0">
    <w:p w14:paraId="0B4AF3F4" w14:textId="77777777" w:rsidR="00655870" w:rsidRDefault="0065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966D" w14:textId="21D94CF8" w:rsidR="00655870" w:rsidRPr="00C23A97" w:rsidRDefault="00655870" w:rsidP="00655870">
    <w:pPr>
      <w:pStyle w:val="Header"/>
      <w:rPr>
        <w:rFonts w:ascii="Arial" w:hAnsi="Arial" w:cs="Arial"/>
        <w:lang w:val="en-GB"/>
      </w:rPr>
    </w:pPr>
    <w:r>
      <w:rPr>
        <w:rFonts w:ascii="Arial" w:hAnsi="Arial" w:cs="Arial"/>
        <w:sz w:val="20"/>
        <w:szCs w:val="20"/>
      </w:rPr>
      <w:t>LHE/19/14.COM/</w:t>
    </w:r>
    <w:proofErr w:type="gramStart"/>
    <w:r>
      <w:rPr>
        <w:rFonts w:ascii="Arial" w:hAnsi="Arial" w:cs="Arial"/>
        <w:sz w:val="20"/>
        <w:szCs w:val="20"/>
      </w:rPr>
      <w:t>9.a</w:t>
    </w:r>
    <w:proofErr w:type="gramEnd"/>
    <w:r w:rsidR="00CD4E9F">
      <w:rPr>
        <w:rFonts w:ascii="Arial" w:hAnsi="Arial" w:cs="Arial"/>
        <w:sz w:val="20"/>
        <w:szCs w:val="20"/>
      </w:rPr>
      <w:t> </w:t>
    </w:r>
    <w:proofErr w:type="spellStart"/>
    <w:r w:rsidR="00CD4E9F">
      <w:rPr>
        <w:rFonts w:ascii="Arial" w:hAnsi="Arial" w:cs="Arial"/>
        <w:sz w:val="20"/>
        <w:szCs w:val="20"/>
      </w:rPr>
      <w:t>Rev</w:t>
    </w:r>
    <w:proofErr w:type="spellEnd"/>
    <w:r w:rsidR="00CD4E9F">
      <w:rPr>
        <w:rFonts w:ascii="Arial" w:hAnsi="Arial" w:cs="Arial"/>
        <w:sz w:val="20"/>
        <w:szCs w:val="20"/>
      </w:rPr>
      <w:t>.</w:t>
    </w:r>
    <w:r>
      <w:rPr>
        <w:rFonts w:ascii="Arial" w:hAnsi="Arial" w:cs="Arial"/>
        <w:sz w:val="20"/>
        <w:szCs w:val="20"/>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191457">
      <w:rPr>
        <w:rStyle w:val="PageNumber"/>
        <w:rFonts w:ascii="Arial" w:hAnsi="Arial" w:cs="Arial"/>
        <w:noProof/>
        <w:sz w:val="20"/>
        <w:szCs w:val="20"/>
      </w:rPr>
      <w:t>12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80DF" w14:textId="5A453984" w:rsidR="00655870" w:rsidRPr="0063300C" w:rsidRDefault="00655870" w:rsidP="00655870">
    <w:pPr>
      <w:pStyle w:val="Header"/>
      <w:jc w:val="right"/>
      <w:rPr>
        <w:rFonts w:ascii="Arial" w:hAnsi="Arial" w:cs="Arial"/>
        <w:lang w:val="en-GB"/>
      </w:rPr>
    </w:pPr>
    <w:r>
      <w:rPr>
        <w:rFonts w:ascii="Arial" w:hAnsi="Arial" w:cs="Arial"/>
        <w:sz w:val="20"/>
        <w:szCs w:val="20"/>
      </w:rPr>
      <w:t>LHE/19/14.COM/</w:t>
    </w:r>
    <w:proofErr w:type="gramStart"/>
    <w:r>
      <w:rPr>
        <w:rFonts w:ascii="Arial" w:hAnsi="Arial" w:cs="Arial"/>
        <w:sz w:val="20"/>
        <w:szCs w:val="20"/>
      </w:rPr>
      <w:t>9.a</w:t>
    </w:r>
    <w:proofErr w:type="gramEnd"/>
    <w:r w:rsidR="00CD4E9F">
      <w:rPr>
        <w:rFonts w:ascii="Arial" w:hAnsi="Arial" w:cs="Arial"/>
        <w:sz w:val="20"/>
        <w:szCs w:val="20"/>
      </w:rPr>
      <w:t> </w:t>
    </w:r>
    <w:proofErr w:type="spellStart"/>
    <w:r w:rsidR="00CD4E9F">
      <w:rPr>
        <w:rFonts w:ascii="Arial" w:hAnsi="Arial" w:cs="Arial"/>
        <w:sz w:val="20"/>
        <w:szCs w:val="20"/>
      </w:rPr>
      <w:t>Rev</w:t>
    </w:r>
    <w:proofErr w:type="spellEnd"/>
    <w:r w:rsidR="00CD4E9F">
      <w:rPr>
        <w:rFonts w:ascii="Arial" w:hAnsi="Arial" w:cs="Arial"/>
        <w:sz w:val="20"/>
        <w:szCs w:val="20"/>
      </w:rPr>
      <w:t>.</w:t>
    </w:r>
    <w:r>
      <w:rPr>
        <w:rFonts w:ascii="Arial" w:hAnsi="Arial" w:cs="Arial"/>
        <w:sz w:val="20"/>
        <w:szCs w:val="20"/>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lang w:val="en-GB"/>
      </w:rPr>
      <w:fldChar w:fldCharType="separate"/>
    </w:r>
    <w:r w:rsidR="00191457">
      <w:rPr>
        <w:rStyle w:val="PageNumber"/>
        <w:rFonts w:ascii="Arial" w:hAnsi="Arial" w:cs="Arial"/>
        <w:noProof/>
        <w:sz w:val="20"/>
        <w:szCs w:val="20"/>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CBA6" w14:textId="15434506" w:rsidR="00655870" w:rsidRPr="00E95AE2" w:rsidRDefault="00B722AA" w:rsidP="00B722AA">
    <w:pPr>
      <w:pStyle w:val="Header"/>
      <w:rPr>
        <w:sz w:val="22"/>
        <w:szCs w:val="22"/>
        <w:lang w:val="en-GB"/>
      </w:rPr>
    </w:pPr>
    <w:r>
      <w:rPr>
        <w:noProof/>
        <w:lang w:eastAsia="ja-JP"/>
      </w:rPr>
      <w:drawing>
        <wp:anchor distT="0" distB="0" distL="114300" distR="114300" simplePos="0" relativeHeight="251659264" behindDoc="0" locked="0" layoutInCell="1" allowOverlap="1" wp14:anchorId="50BBB8E4" wp14:editId="191CD49B">
          <wp:simplePos x="0" y="0"/>
          <wp:positionH relativeFrom="page">
            <wp:posOffset>348615</wp:posOffset>
          </wp:positionH>
          <wp:positionV relativeFrom="page">
            <wp:posOffset>252200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2AECC" w14:textId="77777777" w:rsidR="00655870" w:rsidRPr="00D23C0B" w:rsidRDefault="00655870" w:rsidP="00655870">
    <w:pPr>
      <w:pStyle w:val="Header"/>
      <w:spacing w:after="520"/>
      <w:jc w:val="right"/>
      <w:rPr>
        <w:rFonts w:ascii="Arial" w:hAnsi="Arial" w:cs="Arial"/>
        <w:b/>
        <w:sz w:val="44"/>
        <w:szCs w:val="44"/>
      </w:rPr>
    </w:pPr>
    <w:r>
      <w:rPr>
        <w:rFonts w:ascii="Arial" w:hAnsi="Arial" w:cs="Arial"/>
        <w:b/>
        <w:sz w:val="44"/>
        <w:szCs w:val="44"/>
      </w:rPr>
      <w:t>14 COM</w:t>
    </w:r>
  </w:p>
  <w:p w14:paraId="5FA87597" w14:textId="18F2E819" w:rsidR="00655870" w:rsidRPr="00D23C0B" w:rsidRDefault="00655870" w:rsidP="00655870">
    <w:pPr>
      <w:jc w:val="right"/>
      <w:rPr>
        <w:rFonts w:ascii="Arial" w:hAnsi="Arial" w:cs="Arial"/>
        <w:b/>
        <w:sz w:val="22"/>
        <w:szCs w:val="22"/>
      </w:rPr>
    </w:pPr>
    <w:r>
      <w:rPr>
        <w:rFonts w:ascii="Arial" w:hAnsi="Arial" w:cs="Arial"/>
        <w:b/>
        <w:sz w:val="22"/>
        <w:szCs w:val="22"/>
      </w:rPr>
      <w:t>LHE/19/14.COM/</w:t>
    </w:r>
    <w:proofErr w:type="gramStart"/>
    <w:r>
      <w:rPr>
        <w:rFonts w:ascii="Arial" w:hAnsi="Arial" w:cs="Arial"/>
        <w:b/>
        <w:sz w:val="22"/>
        <w:szCs w:val="22"/>
      </w:rPr>
      <w:t>9.a</w:t>
    </w:r>
    <w:proofErr w:type="gramEnd"/>
    <w:r w:rsidR="00CD4E9F">
      <w:rPr>
        <w:rFonts w:ascii="Arial" w:hAnsi="Arial" w:cs="Arial"/>
        <w:b/>
        <w:sz w:val="22"/>
        <w:szCs w:val="22"/>
      </w:rPr>
      <w:t> </w:t>
    </w:r>
    <w:proofErr w:type="spellStart"/>
    <w:r w:rsidR="00CD4E9F">
      <w:rPr>
        <w:rFonts w:ascii="Arial" w:hAnsi="Arial" w:cs="Arial"/>
        <w:b/>
        <w:sz w:val="22"/>
        <w:szCs w:val="22"/>
      </w:rPr>
      <w:t>Rev</w:t>
    </w:r>
    <w:proofErr w:type="spellEnd"/>
    <w:r w:rsidR="00CD4E9F">
      <w:rPr>
        <w:rFonts w:ascii="Arial" w:hAnsi="Arial" w:cs="Arial"/>
        <w:b/>
        <w:sz w:val="22"/>
        <w:szCs w:val="22"/>
      </w:rPr>
      <w:t>.</w:t>
    </w:r>
  </w:p>
  <w:p w14:paraId="5CB40582" w14:textId="2214CCC7" w:rsidR="00655870" w:rsidRPr="00D23C0B" w:rsidRDefault="00655870" w:rsidP="00655870">
    <w:pPr>
      <w:jc w:val="right"/>
      <w:rPr>
        <w:rFonts w:ascii="Arial" w:eastAsiaTheme="minorEastAsia" w:hAnsi="Arial" w:cs="Arial"/>
        <w:b/>
        <w:sz w:val="22"/>
        <w:szCs w:val="22"/>
        <w:lang w:eastAsia="ko-KR"/>
      </w:rPr>
    </w:pPr>
    <w:r w:rsidRPr="009D5428">
      <w:rPr>
        <w:rFonts w:ascii="Arial" w:hAnsi="Arial" w:cs="Arial"/>
        <w:b/>
        <w:sz w:val="22"/>
        <w:szCs w:val="22"/>
      </w:rPr>
      <w:t xml:space="preserve">Paris, le </w:t>
    </w:r>
    <w:r w:rsidR="00CD4E9F">
      <w:rPr>
        <w:rFonts w:ascii="Arial" w:hAnsi="Arial" w:cs="Arial"/>
        <w:b/>
        <w:sz w:val="22"/>
        <w:szCs w:val="22"/>
      </w:rPr>
      <w:t>6 décembre</w:t>
    </w:r>
    <w:r w:rsidRPr="009D5428">
      <w:rPr>
        <w:rFonts w:ascii="Arial" w:hAnsi="Arial" w:cs="Arial"/>
        <w:b/>
        <w:sz w:val="22"/>
        <w:szCs w:val="22"/>
      </w:rPr>
      <w:t xml:space="preserve"> 2019</w:t>
    </w:r>
  </w:p>
  <w:p w14:paraId="01443C66" w14:textId="787529B6" w:rsidR="00655870" w:rsidRPr="00F32C23" w:rsidRDefault="00BB44ED" w:rsidP="00655870">
    <w:pPr>
      <w:jc w:val="right"/>
      <w:rPr>
        <w:rFonts w:ascii="Arial" w:hAnsi="Arial" w:cs="Arial"/>
        <w:b/>
        <w:sz w:val="22"/>
        <w:szCs w:val="22"/>
        <w:lang w:val="en-GB"/>
      </w:rPr>
    </w:pPr>
    <w:r>
      <w:rPr>
        <w:rFonts w:ascii="Arial" w:hAnsi="Arial" w:cs="Arial"/>
        <w:b/>
        <w:sz w:val="22"/>
        <w:szCs w:val="22"/>
      </w:rPr>
      <w:t>Original : a</w:t>
    </w:r>
    <w:r w:rsidR="00655870" w:rsidRPr="00F32C23">
      <w:rPr>
        <w:rFonts w:ascii="Arial" w:hAnsi="Arial" w:cs="Arial"/>
        <w:b/>
        <w:sz w:val="22"/>
        <w:szCs w:val="22"/>
      </w:rPr>
      <w:t>nglais</w:t>
    </w:r>
  </w:p>
  <w:p w14:paraId="31CDC54F" w14:textId="77777777" w:rsidR="00655870" w:rsidRPr="00E95AE2" w:rsidRDefault="00655870">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3E5"/>
    <w:multiLevelType w:val="hybridMultilevel"/>
    <w:tmpl w:val="F60A80D2"/>
    <w:lvl w:ilvl="0" w:tplc="72F24964">
      <w:start w:val="1"/>
      <w:numFmt w:val="decimal"/>
      <w:lvlText w:val="%1."/>
      <w:lvlJc w:val="left"/>
      <w:pPr>
        <w:ind w:left="1287" w:hanging="360"/>
      </w:pPr>
    </w:lvl>
    <w:lvl w:ilvl="1" w:tplc="F9BADF88" w:tentative="1">
      <w:start w:val="1"/>
      <w:numFmt w:val="lowerLetter"/>
      <w:lvlText w:val="%2."/>
      <w:lvlJc w:val="left"/>
      <w:pPr>
        <w:ind w:left="2007" w:hanging="360"/>
      </w:pPr>
    </w:lvl>
    <w:lvl w:ilvl="2" w:tplc="E9B8D336" w:tentative="1">
      <w:start w:val="1"/>
      <w:numFmt w:val="lowerRoman"/>
      <w:lvlText w:val="%3."/>
      <w:lvlJc w:val="right"/>
      <w:pPr>
        <w:ind w:left="2727" w:hanging="180"/>
      </w:pPr>
    </w:lvl>
    <w:lvl w:ilvl="3" w:tplc="5234EA5A" w:tentative="1">
      <w:start w:val="1"/>
      <w:numFmt w:val="decimal"/>
      <w:lvlText w:val="%4."/>
      <w:lvlJc w:val="left"/>
      <w:pPr>
        <w:ind w:left="3447" w:hanging="360"/>
      </w:pPr>
    </w:lvl>
    <w:lvl w:ilvl="4" w:tplc="2000F72A" w:tentative="1">
      <w:start w:val="1"/>
      <w:numFmt w:val="lowerLetter"/>
      <w:lvlText w:val="%5."/>
      <w:lvlJc w:val="left"/>
      <w:pPr>
        <w:ind w:left="4167" w:hanging="360"/>
      </w:pPr>
    </w:lvl>
    <w:lvl w:ilvl="5" w:tplc="9D24F2B0" w:tentative="1">
      <w:start w:val="1"/>
      <w:numFmt w:val="lowerRoman"/>
      <w:lvlText w:val="%6."/>
      <w:lvlJc w:val="right"/>
      <w:pPr>
        <w:ind w:left="4887" w:hanging="180"/>
      </w:pPr>
    </w:lvl>
    <w:lvl w:ilvl="6" w:tplc="0D607128" w:tentative="1">
      <w:start w:val="1"/>
      <w:numFmt w:val="decimal"/>
      <w:lvlText w:val="%7."/>
      <w:lvlJc w:val="left"/>
      <w:pPr>
        <w:ind w:left="5607" w:hanging="360"/>
      </w:pPr>
    </w:lvl>
    <w:lvl w:ilvl="7" w:tplc="929E5494" w:tentative="1">
      <w:start w:val="1"/>
      <w:numFmt w:val="lowerLetter"/>
      <w:lvlText w:val="%8."/>
      <w:lvlJc w:val="left"/>
      <w:pPr>
        <w:ind w:left="6327" w:hanging="360"/>
      </w:pPr>
    </w:lvl>
    <w:lvl w:ilvl="8" w:tplc="47E2FF78" w:tentative="1">
      <w:start w:val="1"/>
      <w:numFmt w:val="lowerRoman"/>
      <w:lvlText w:val="%9."/>
      <w:lvlJc w:val="right"/>
      <w:pPr>
        <w:ind w:left="7047" w:hanging="180"/>
      </w:pPr>
    </w:lvl>
  </w:abstractNum>
  <w:abstractNum w:abstractNumId="1" w15:restartNumberingAfterBreak="0">
    <w:nsid w:val="0E003674"/>
    <w:multiLevelType w:val="hybridMultilevel"/>
    <w:tmpl w:val="E12029B8"/>
    <w:lvl w:ilvl="0" w:tplc="B6DCC186">
      <w:start w:val="1"/>
      <w:numFmt w:val="decimal"/>
      <w:lvlText w:val="%1."/>
      <w:lvlJc w:val="left"/>
      <w:pPr>
        <w:ind w:left="720" w:hanging="360"/>
      </w:pPr>
      <w:rPr>
        <w:lang w:val="en-GB"/>
      </w:rPr>
    </w:lvl>
    <w:lvl w:ilvl="1" w:tplc="CC02F62C" w:tentative="1">
      <w:start w:val="1"/>
      <w:numFmt w:val="lowerLetter"/>
      <w:lvlText w:val="%2."/>
      <w:lvlJc w:val="left"/>
      <w:pPr>
        <w:ind w:left="1440" w:hanging="360"/>
      </w:pPr>
    </w:lvl>
    <w:lvl w:ilvl="2" w:tplc="8A5ED6E8" w:tentative="1">
      <w:start w:val="1"/>
      <w:numFmt w:val="lowerRoman"/>
      <w:lvlText w:val="%3."/>
      <w:lvlJc w:val="right"/>
      <w:pPr>
        <w:ind w:left="2160" w:hanging="180"/>
      </w:pPr>
    </w:lvl>
    <w:lvl w:ilvl="3" w:tplc="0AACB7C8" w:tentative="1">
      <w:start w:val="1"/>
      <w:numFmt w:val="decimal"/>
      <w:lvlText w:val="%4."/>
      <w:lvlJc w:val="left"/>
      <w:pPr>
        <w:ind w:left="2880" w:hanging="360"/>
      </w:pPr>
    </w:lvl>
    <w:lvl w:ilvl="4" w:tplc="E448445E" w:tentative="1">
      <w:start w:val="1"/>
      <w:numFmt w:val="lowerLetter"/>
      <w:lvlText w:val="%5."/>
      <w:lvlJc w:val="left"/>
      <w:pPr>
        <w:ind w:left="3600" w:hanging="360"/>
      </w:pPr>
    </w:lvl>
    <w:lvl w:ilvl="5" w:tplc="3C782230" w:tentative="1">
      <w:start w:val="1"/>
      <w:numFmt w:val="lowerRoman"/>
      <w:lvlText w:val="%6."/>
      <w:lvlJc w:val="right"/>
      <w:pPr>
        <w:ind w:left="4320" w:hanging="180"/>
      </w:pPr>
    </w:lvl>
    <w:lvl w:ilvl="6" w:tplc="ED42C350" w:tentative="1">
      <w:start w:val="1"/>
      <w:numFmt w:val="decimal"/>
      <w:lvlText w:val="%7."/>
      <w:lvlJc w:val="left"/>
      <w:pPr>
        <w:ind w:left="5040" w:hanging="360"/>
      </w:pPr>
    </w:lvl>
    <w:lvl w:ilvl="7" w:tplc="661843FE" w:tentative="1">
      <w:start w:val="1"/>
      <w:numFmt w:val="lowerLetter"/>
      <w:lvlText w:val="%8."/>
      <w:lvlJc w:val="left"/>
      <w:pPr>
        <w:ind w:left="5760" w:hanging="360"/>
      </w:pPr>
    </w:lvl>
    <w:lvl w:ilvl="8" w:tplc="C41E2BE8"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0B4A768E">
      <w:start w:val="1"/>
      <w:numFmt w:val="bullet"/>
      <w:pStyle w:val="TIRETbul1cm"/>
      <w:lvlText w:val=""/>
      <w:lvlJc w:val="left"/>
      <w:pPr>
        <w:tabs>
          <w:tab w:val="num" w:pos="360"/>
        </w:tabs>
        <w:ind w:left="284" w:hanging="284"/>
      </w:pPr>
      <w:rPr>
        <w:rFonts w:ascii="Symbol" w:hAnsi="Symbol" w:hint="default"/>
      </w:rPr>
    </w:lvl>
    <w:lvl w:ilvl="1" w:tplc="C930BF16">
      <w:start w:val="1"/>
      <w:numFmt w:val="decimal"/>
      <w:lvlText w:val="%2."/>
      <w:lvlJc w:val="left"/>
      <w:pPr>
        <w:tabs>
          <w:tab w:val="num" w:pos="1157"/>
        </w:tabs>
        <w:ind w:left="1157" w:hanging="360"/>
      </w:pPr>
      <w:rPr>
        <w:rFonts w:hint="default"/>
      </w:rPr>
    </w:lvl>
    <w:lvl w:ilvl="2" w:tplc="4194172E" w:tentative="1">
      <w:start w:val="1"/>
      <w:numFmt w:val="bullet"/>
      <w:lvlText w:val=""/>
      <w:lvlJc w:val="left"/>
      <w:pPr>
        <w:tabs>
          <w:tab w:val="num" w:pos="1877"/>
        </w:tabs>
        <w:ind w:left="1877" w:hanging="360"/>
      </w:pPr>
      <w:rPr>
        <w:rFonts w:ascii="Wingdings" w:hAnsi="Wingdings" w:hint="default"/>
      </w:rPr>
    </w:lvl>
    <w:lvl w:ilvl="3" w:tplc="9E58FCA8" w:tentative="1">
      <w:start w:val="1"/>
      <w:numFmt w:val="bullet"/>
      <w:lvlText w:val=""/>
      <w:lvlJc w:val="left"/>
      <w:pPr>
        <w:tabs>
          <w:tab w:val="num" w:pos="2597"/>
        </w:tabs>
        <w:ind w:left="2597" w:hanging="360"/>
      </w:pPr>
      <w:rPr>
        <w:rFonts w:ascii="Symbol" w:hAnsi="Symbol" w:hint="default"/>
      </w:rPr>
    </w:lvl>
    <w:lvl w:ilvl="4" w:tplc="668212C2" w:tentative="1">
      <w:start w:val="1"/>
      <w:numFmt w:val="bullet"/>
      <w:lvlText w:val="o"/>
      <w:lvlJc w:val="left"/>
      <w:pPr>
        <w:tabs>
          <w:tab w:val="num" w:pos="3317"/>
        </w:tabs>
        <w:ind w:left="3317" w:hanging="360"/>
      </w:pPr>
      <w:rPr>
        <w:rFonts w:ascii="Courier New" w:hAnsi="Courier New" w:hint="default"/>
      </w:rPr>
    </w:lvl>
    <w:lvl w:ilvl="5" w:tplc="0E423900" w:tentative="1">
      <w:start w:val="1"/>
      <w:numFmt w:val="bullet"/>
      <w:lvlText w:val=""/>
      <w:lvlJc w:val="left"/>
      <w:pPr>
        <w:tabs>
          <w:tab w:val="num" w:pos="4037"/>
        </w:tabs>
        <w:ind w:left="4037" w:hanging="360"/>
      </w:pPr>
      <w:rPr>
        <w:rFonts w:ascii="Wingdings" w:hAnsi="Wingdings" w:hint="default"/>
      </w:rPr>
    </w:lvl>
    <w:lvl w:ilvl="6" w:tplc="30D48E38" w:tentative="1">
      <w:start w:val="1"/>
      <w:numFmt w:val="bullet"/>
      <w:lvlText w:val=""/>
      <w:lvlJc w:val="left"/>
      <w:pPr>
        <w:tabs>
          <w:tab w:val="num" w:pos="4757"/>
        </w:tabs>
        <w:ind w:left="4757" w:hanging="360"/>
      </w:pPr>
      <w:rPr>
        <w:rFonts w:ascii="Symbol" w:hAnsi="Symbol" w:hint="default"/>
      </w:rPr>
    </w:lvl>
    <w:lvl w:ilvl="7" w:tplc="9EE8D1FE" w:tentative="1">
      <w:start w:val="1"/>
      <w:numFmt w:val="bullet"/>
      <w:lvlText w:val="o"/>
      <w:lvlJc w:val="left"/>
      <w:pPr>
        <w:tabs>
          <w:tab w:val="num" w:pos="5477"/>
        </w:tabs>
        <w:ind w:left="5477" w:hanging="360"/>
      </w:pPr>
      <w:rPr>
        <w:rFonts w:ascii="Courier New" w:hAnsi="Courier New" w:hint="default"/>
      </w:rPr>
    </w:lvl>
    <w:lvl w:ilvl="8" w:tplc="868E90C6"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2D0FCD8">
      <w:start w:val="1"/>
      <w:numFmt w:val="decimal"/>
      <w:lvlText w:val="%1."/>
      <w:lvlJc w:val="left"/>
      <w:pPr>
        <w:ind w:left="785" w:hanging="360"/>
      </w:pPr>
      <w:rPr>
        <w:rFonts w:hint="default"/>
      </w:rPr>
    </w:lvl>
    <w:lvl w:ilvl="1" w:tplc="8C02AA2E" w:tentative="1">
      <w:start w:val="1"/>
      <w:numFmt w:val="lowerLetter"/>
      <w:lvlText w:val="%2."/>
      <w:lvlJc w:val="left"/>
      <w:pPr>
        <w:ind w:left="1505" w:hanging="360"/>
      </w:pPr>
    </w:lvl>
    <w:lvl w:ilvl="2" w:tplc="224066B6" w:tentative="1">
      <w:start w:val="1"/>
      <w:numFmt w:val="lowerRoman"/>
      <w:lvlText w:val="%3."/>
      <w:lvlJc w:val="right"/>
      <w:pPr>
        <w:ind w:left="2225" w:hanging="180"/>
      </w:pPr>
    </w:lvl>
    <w:lvl w:ilvl="3" w:tplc="E3ACE8D6" w:tentative="1">
      <w:start w:val="1"/>
      <w:numFmt w:val="decimal"/>
      <w:lvlText w:val="%4."/>
      <w:lvlJc w:val="left"/>
      <w:pPr>
        <w:ind w:left="2945" w:hanging="360"/>
      </w:pPr>
    </w:lvl>
    <w:lvl w:ilvl="4" w:tplc="128E2910" w:tentative="1">
      <w:start w:val="1"/>
      <w:numFmt w:val="lowerLetter"/>
      <w:lvlText w:val="%5."/>
      <w:lvlJc w:val="left"/>
      <w:pPr>
        <w:ind w:left="3665" w:hanging="360"/>
      </w:pPr>
    </w:lvl>
    <w:lvl w:ilvl="5" w:tplc="92EAB174" w:tentative="1">
      <w:start w:val="1"/>
      <w:numFmt w:val="lowerRoman"/>
      <w:lvlText w:val="%6."/>
      <w:lvlJc w:val="right"/>
      <w:pPr>
        <w:ind w:left="4385" w:hanging="180"/>
      </w:pPr>
    </w:lvl>
    <w:lvl w:ilvl="6" w:tplc="288CD5B0" w:tentative="1">
      <w:start w:val="1"/>
      <w:numFmt w:val="decimal"/>
      <w:lvlText w:val="%7."/>
      <w:lvlJc w:val="left"/>
      <w:pPr>
        <w:ind w:left="5105" w:hanging="360"/>
      </w:pPr>
    </w:lvl>
    <w:lvl w:ilvl="7" w:tplc="61D22314" w:tentative="1">
      <w:start w:val="1"/>
      <w:numFmt w:val="lowerLetter"/>
      <w:lvlText w:val="%8."/>
      <w:lvlJc w:val="left"/>
      <w:pPr>
        <w:ind w:left="5825" w:hanging="360"/>
      </w:pPr>
    </w:lvl>
    <w:lvl w:ilvl="8" w:tplc="3F5AB0C0"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46162B4C">
      <w:start w:val="1"/>
      <w:numFmt w:val="decimal"/>
      <w:lvlText w:val="%1."/>
      <w:lvlJc w:val="left"/>
      <w:pPr>
        <w:tabs>
          <w:tab w:val="num" w:pos="360"/>
        </w:tabs>
        <w:ind w:left="360" w:hanging="360"/>
      </w:pPr>
    </w:lvl>
    <w:lvl w:ilvl="1" w:tplc="46B4C070" w:tentative="1">
      <w:start w:val="1"/>
      <w:numFmt w:val="lowerLetter"/>
      <w:lvlText w:val="%2."/>
      <w:lvlJc w:val="left"/>
      <w:pPr>
        <w:tabs>
          <w:tab w:val="num" w:pos="1080"/>
        </w:tabs>
        <w:ind w:left="1080" w:hanging="360"/>
      </w:pPr>
    </w:lvl>
    <w:lvl w:ilvl="2" w:tplc="07382D9C" w:tentative="1">
      <w:start w:val="1"/>
      <w:numFmt w:val="lowerRoman"/>
      <w:lvlText w:val="%3."/>
      <w:lvlJc w:val="right"/>
      <w:pPr>
        <w:tabs>
          <w:tab w:val="num" w:pos="1800"/>
        </w:tabs>
        <w:ind w:left="1800" w:hanging="180"/>
      </w:pPr>
    </w:lvl>
    <w:lvl w:ilvl="3" w:tplc="311A2068" w:tentative="1">
      <w:start w:val="1"/>
      <w:numFmt w:val="decimal"/>
      <w:lvlText w:val="%4."/>
      <w:lvlJc w:val="left"/>
      <w:pPr>
        <w:tabs>
          <w:tab w:val="num" w:pos="2520"/>
        </w:tabs>
        <w:ind w:left="2520" w:hanging="360"/>
      </w:pPr>
    </w:lvl>
    <w:lvl w:ilvl="4" w:tplc="8F0C3EBE" w:tentative="1">
      <w:start w:val="1"/>
      <w:numFmt w:val="lowerLetter"/>
      <w:lvlText w:val="%5."/>
      <w:lvlJc w:val="left"/>
      <w:pPr>
        <w:tabs>
          <w:tab w:val="num" w:pos="3240"/>
        </w:tabs>
        <w:ind w:left="3240" w:hanging="360"/>
      </w:pPr>
    </w:lvl>
    <w:lvl w:ilvl="5" w:tplc="78F844F4" w:tentative="1">
      <w:start w:val="1"/>
      <w:numFmt w:val="lowerRoman"/>
      <w:lvlText w:val="%6."/>
      <w:lvlJc w:val="right"/>
      <w:pPr>
        <w:tabs>
          <w:tab w:val="num" w:pos="3960"/>
        </w:tabs>
        <w:ind w:left="3960" w:hanging="180"/>
      </w:pPr>
    </w:lvl>
    <w:lvl w:ilvl="6" w:tplc="B1CEAC5C" w:tentative="1">
      <w:start w:val="1"/>
      <w:numFmt w:val="decimal"/>
      <w:lvlText w:val="%7."/>
      <w:lvlJc w:val="left"/>
      <w:pPr>
        <w:tabs>
          <w:tab w:val="num" w:pos="4680"/>
        </w:tabs>
        <w:ind w:left="4680" w:hanging="360"/>
      </w:pPr>
    </w:lvl>
    <w:lvl w:ilvl="7" w:tplc="DB50056A" w:tentative="1">
      <w:start w:val="1"/>
      <w:numFmt w:val="lowerLetter"/>
      <w:lvlText w:val="%8."/>
      <w:lvlJc w:val="left"/>
      <w:pPr>
        <w:tabs>
          <w:tab w:val="num" w:pos="5400"/>
        </w:tabs>
        <w:ind w:left="5400" w:hanging="360"/>
      </w:pPr>
    </w:lvl>
    <w:lvl w:ilvl="8" w:tplc="138895B4" w:tentative="1">
      <w:start w:val="1"/>
      <w:numFmt w:val="lowerRoman"/>
      <w:lvlText w:val="%9."/>
      <w:lvlJc w:val="right"/>
      <w:pPr>
        <w:tabs>
          <w:tab w:val="num" w:pos="6120"/>
        </w:tabs>
        <w:ind w:left="6120" w:hanging="180"/>
      </w:pPr>
    </w:lvl>
  </w:abstractNum>
  <w:abstractNum w:abstractNumId="5" w15:restartNumberingAfterBreak="0">
    <w:nsid w:val="26012006"/>
    <w:multiLevelType w:val="hybridMultilevel"/>
    <w:tmpl w:val="63FC1AF8"/>
    <w:lvl w:ilvl="0" w:tplc="DEC4B77E">
      <w:start w:val="1"/>
      <w:numFmt w:val="decimal"/>
      <w:lvlText w:val="%1."/>
      <w:lvlJc w:val="left"/>
      <w:pPr>
        <w:ind w:left="720" w:hanging="360"/>
      </w:pPr>
    </w:lvl>
    <w:lvl w:ilvl="1" w:tplc="01EE85EE" w:tentative="1">
      <w:start w:val="1"/>
      <w:numFmt w:val="lowerLetter"/>
      <w:lvlText w:val="%2."/>
      <w:lvlJc w:val="left"/>
      <w:pPr>
        <w:ind w:left="1440" w:hanging="360"/>
      </w:pPr>
    </w:lvl>
    <w:lvl w:ilvl="2" w:tplc="6824A592" w:tentative="1">
      <w:start w:val="1"/>
      <w:numFmt w:val="lowerRoman"/>
      <w:lvlText w:val="%3."/>
      <w:lvlJc w:val="right"/>
      <w:pPr>
        <w:ind w:left="2160" w:hanging="180"/>
      </w:pPr>
    </w:lvl>
    <w:lvl w:ilvl="3" w:tplc="4A2E2C4E" w:tentative="1">
      <w:start w:val="1"/>
      <w:numFmt w:val="decimal"/>
      <w:lvlText w:val="%4."/>
      <w:lvlJc w:val="left"/>
      <w:pPr>
        <w:ind w:left="2880" w:hanging="360"/>
      </w:pPr>
    </w:lvl>
    <w:lvl w:ilvl="4" w:tplc="FBD49A96" w:tentative="1">
      <w:start w:val="1"/>
      <w:numFmt w:val="lowerLetter"/>
      <w:lvlText w:val="%5."/>
      <w:lvlJc w:val="left"/>
      <w:pPr>
        <w:ind w:left="3600" w:hanging="360"/>
      </w:pPr>
    </w:lvl>
    <w:lvl w:ilvl="5" w:tplc="ED3C9A08" w:tentative="1">
      <w:start w:val="1"/>
      <w:numFmt w:val="lowerRoman"/>
      <w:lvlText w:val="%6."/>
      <w:lvlJc w:val="right"/>
      <w:pPr>
        <w:ind w:left="4320" w:hanging="180"/>
      </w:pPr>
    </w:lvl>
    <w:lvl w:ilvl="6" w:tplc="921E1EA8" w:tentative="1">
      <w:start w:val="1"/>
      <w:numFmt w:val="decimal"/>
      <w:lvlText w:val="%7."/>
      <w:lvlJc w:val="left"/>
      <w:pPr>
        <w:ind w:left="5040" w:hanging="360"/>
      </w:pPr>
    </w:lvl>
    <w:lvl w:ilvl="7" w:tplc="85BC1634" w:tentative="1">
      <w:start w:val="1"/>
      <w:numFmt w:val="lowerLetter"/>
      <w:lvlText w:val="%8."/>
      <w:lvlJc w:val="left"/>
      <w:pPr>
        <w:ind w:left="5760" w:hanging="360"/>
      </w:pPr>
    </w:lvl>
    <w:lvl w:ilvl="8" w:tplc="063EE166" w:tentative="1">
      <w:start w:val="1"/>
      <w:numFmt w:val="lowerRoman"/>
      <w:lvlText w:val="%9."/>
      <w:lvlJc w:val="right"/>
      <w:pPr>
        <w:ind w:left="6480" w:hanging="180"/>
      </w:pPr>
    </w:lvl>
  </w:abstractNum>
  <w:abstractNum w:abstractNumId="6" w15:restartNumberingAfterBreak="0">
    <w:nsid w:val="29BE2696"/>
    <w:multiLevelType w:val="hybridMultilevel"/>
    <w:tmpl w:val="584CBBC6"/>
    <w:lvl w:ilvl="0" w:tplc="9DDA4628">
      <w:start w:val="1"/>
      <w:numFmt w:val="decimal"/>
      <w:lvlText w:val="%1."/>
      <w:lvlJc w:val="left"/>
      <w:pPr>
        <w:ind w:left="720" w:hanging="360"/>
      </w:pPr>
    </w:lvl>
    <w:lvl w:ilvl="1" w:tplc="DBCA966A" w:tentative="1">
      <w:start w:val="1"/>
      <w:numFmt w:val="lowerLetter"/>
      <w:lvlText w:val="%2."/>
      <w:lvlJc w:val="left"/>
      <w:pPr>
        <w:ind w:left="1440" w:hanging="360"/>
      </w:pPr>
    </w:lvl>
    <w:lvl w:ilvl="2" w:tplc="067C0FBA" w:tentative="1">
      <w:start w:val="1"/>
      <w:numFmt w:val="lowerRoman"/>
      <w:lvlText w:val="%3."/>
      <w:lvlJc w:val="right"/>
      <w:pPr>
        <w:ind w:left="2160" w:hanging="180"/>
      </w:pPr>
    </w:lvl>
    <w:lvl w:ilvl="3" w:tplc="CA06FC2E" w:tentative="1">
      <w:start w:val="1"/>
      <w:numFmt w:val="decimal"/>
      <w:lvlText w:val="%4."/>
      <w:lvlJc w:val="left"/>
      <w:pPr>
        <w:ind w:left="2880" w:hanging="360"/>
      </w:pPr>
    </w:lvl>
    <w:lvl w:ilvl="4" w:tplc="26E6C51A" w:tentative="1">
      <w:start w:val="1"/>
      <w:numFmt w:val="lowerLetter"/>
      <w:lvlText w:val="%5."/>
      <w:lvlJc w:val="left"/>
      <w:pPr>
        <w:ind w:left="3600" w:hanging="360"/>
      </w:pPr>
    </w:lvl>
    <w:lvl w:ilvl="5" w:tplc="176A7D56" w:tentative="1">
      <w:start w:val="1"/>
      <w:numFmt w:val="lowerRoman"/>
      <w:lvlText w:val="%6."/>
      <w:lvlJc w:val="right"/>
      <w:pPr>
        <w:ind w:left="4320" w:hanging="180"/>
      </w:pPr>
    </w:lvl>
    <w:lvl w:ilvl="6" w:tplc="D8F4B5AC" w:tentative="1">
      <w:start w:val="1"/>
      <w:numFmt w:val="decimal"/>
      <w:lvlText w:val="%7."/>
      <w:lvlJc w:val="left"/>
      <w:pPr>
        <w:ind w:left="5040" w:hanging="360"/>
      </w:pPr>
    </w:lvl>
    <w:lvl w:ilvl="7" w:tplc="04CEBD6E" w:tentative="1">
      <w:start w:val="1"/>
      <w:numFmt w:val="lowerLetter"/>
      <w:lvlText w:val="%8."/>
      <w:lvlJc w:val="left"/>
      <w:pPr>
        <w:ind w:left="5760" w:hanging="360"/>
      </w:pPr>
    </w:lvl>
    <w:lvl w:ilvl="8" w:tplc="BB9E2722" w:tentative="1">
      <w:start w:val="1"/>
      <w:numFmt w:val="lowerRoman"/>
      <w:lvlText w:val="%9."/>
      <w:lvlJc w:val="right"/>
      <w:pPr>
        <w:ind w:left="6480" w:hanging="180"/>
      </w:pPr>
    </w:lvl>
  </w:abstractNum>
  <w:abstractNum w:abstractNumId="7" w15:restartNumberingAfterBreak="0">
    <w:nsid w:val="30EE4F9D"/>
    <w:multiLevelType w:val="hybridMultilevel"/>
    <w:tmpl w:val="F60A80D2"/>
    <w:lvl w:ilvl="0" w:tplc="3EB29734">
      <w:start w:val="1"/>
      <w:numFmt w:val="decimal"/>
      <w:lvlText w:val="%1."/>
      <w:lvlJc w:val="left"/>
      <w:pPr>
        <w:ind w:left="1287" w:hanging="360"/>
      </w:pPr>
    </w:lvl>
    <w:lvl w:ilvl="1" w:tplc="259A1290" w:tentative="1">
      <w:start w:val="1"/>
      <w:numFmt w:val="lowerLetter"/>
      <w:lvlText w:val="%2."/>
      <w:lvlJc w:val="left"/>
      <w:pPr>
        <w:ind w:left="2007" w:hanging="360"/>
      </w:pPr>
    </w:lvl>
    <w:lvl w:ilvl="2" w:tplc="76446B4C" w:tentative="1">
      <w:start w:val="1"/>
      <w:numFmt w:val="lowerRoman"/>
      <w:lvlText w:val="%3."/>
      <w:lvlJc w:val="right"/>
      <w:pPr>
        <w:ind w:left="2727" w:hanging="180"/>
      </w:pPr>
    </w:lvl>
    <w:lvl w:ilvl="3" w:tplc="BC8A853C" w:tentative="1">
      <w:start w:val="1"/>
      <w:numFmt w:val="decimal"/>
      <w:lvlText w:val="%4."/>
      <w:lvlJc w:val="left"/>
      <w:pPr>
        <w:ind w:left="3447" w:hanging="360"/>
      </w:pPr>
    </w:lvl>
    <w:lvl w:ilvl="4" w:tplc="E3969346" w:tentative="1">
      <w:start w:val="1"/>
      <w:numFmt w:val="lowerLetter"/>
      <w:lvlText w:val="%5."/>
      <w:lvlJc w:val="left"/>
      <w:pPr>
        <w:ind w:left="4167" w:hanging="360"/>
      </w:pPr>
    </w:lvl>
    <w:lvl w:ilvl="5" w:tplc="8DC67182" w:tentative="1">
      <w:start w:val="1"/>
      <w:numFmt w:val="lowerRoman"/>
      <w:lvlText w:val="%6."/>
      <w:lvlJc w:val="right"/>
      <w:pPr>
        <w:ind w:left="4887" w:hanging="180"/>
      </w:pPr>
    </w:lvl>
    <w:lvl w:ilvl="6" w:tplc="E57EADBA" w:tentative="1">
      <w:start w:val="1"/>
      <w:numFmt w:val="decimal"/>
      <w:lvlText w:val="%7."/>
      <w:lvlJc w:val="left"/>
      <w:pPr>
        <w:ind w:left="5607" w:hanging="360"/>
      </w:pPr>
    </w:lvl>
    <w:lvl w:ilvl="7" w:tplc="22CEB72A" w:tentative="1">
      <w:start w:val="1"/>
      <w:numFmt w:val="lowerLetter"/>
      <w:lvlText w:val="%8."/>
      <w:lvlJc w:val="left"/>
      <w:pPr>
        <w:ind w:left="6327" w:hanging="360"/>
      </w:pPr>
    </w:lvl>
    <w:lvl w:ilvl="8" w:tplc="430A2560" w:tentative="1">
      <w:start w:val="1"/>
      <w:numFmt w:val="lowerRoman"/>
      <w:lvlText w:val="%9."/>
      <w:lvlJc w:val="right"/>
      <w:pPr>
        <w:ind w:left="7047" w:hanging="180"/>
      </w:pPr>
    </w:lvl>
  </w:abstractNum>
  <w:abstractNum w:abstractNumId="8" w15:restartNumberingAfterBreak="0">
    <w:nsid w:val="35F07BFE"/>
    <w:multiLevelType w:val="hybridMultilevel"/>
    <w:tmpl w:val="E24AD55A"/>
    <w:lvl w:ilvl="0" w:tplc="B0BA4F16">
      <w:start w:val="1"/>
      <w:numFmt w:val="decimal"/>
      <w:lvlText w:val="%1."/>
      <w:lvlJc w:val="left"/>
      <w:pPr>
        <w:ind w:left="720" w:hanging="360"/>
      </w:pPr>
    </w:lvl>
    <w:lvl w:ilvl="1" w:tplc="883A9742">
      <w:start w:val="1"/>
      <w:numFmt w:val="lowerLetter"/>
      <w:lvlText w:val="%2."/>
      <w:lvlJc w:val="left"/>
      <w:pPr>
        <w:ind w:left="1440" w:hanging="360"/>
      </w:pPr>
    </w:lvl>
    <w:lvl w:ilvl="2" w:tplc="4F38966C">
      <w:start w:val="1"/>
      <w:numFmt w:val="lowerRoman"/>
      <w:lvlText w:val="%3."/>
      <w:lvlJc w:val="right"/>
      <w:pPr>
        <w:ind w:left="2160" w:hanging="180"/>
      </w:pPr>
    </w:lvl>
    <w:lvl w:ilvl="3" w:tplc="180E42FE">
      <w:start w:val="1"/>
      <w:numFmt w:val="decimal"/>
      <w:lvlText w:val="%4."/>
      <w:lvlJc w:val="left"/>
      <w:pPr>
        <w:ind w:left="2880" w:hanging="360"/>
      </w:pPr>
    </w:lvl>
    <w:lvl w:ilvl="4" w:tplc="A058FFA4" w:tentative="1">
      <w:start w:val="1"/>
      <w:numFmt w:val="lowerLetter"/>
      <w:lvlText w:val="%5."/>
      <w:lvlJc w:val="left"/>
      <w:pPr>
        <w:ind w:left="3600" w:hanging="360"/>
      </w:pPr>
    </w:lvl>
    <w:lvl w:ilvl="5" w:tplc="DFDED88A" w:tentative="1">
      <w:start w:val="1"/>
      <w:numFmt w:val="lowerRoman"/>
      <w:lvlText w:val="%6."/>
      <w:lvlJc w:val="right"/>
      <w:pPr>
        <w:ind w:left="4320" w:hanging="180"/>
      </w:pPr>
    </w:lvl>
    <w:lvl w:ilvl="6" w:tplc="A8A08CD8" w:tentative="1">
      <w:start w:val="1"/>
      <w:numFmt w:val="decimal"/>
      <w:lvlText w:val="%7."/>
      <w:lvlJc w:val="left"/>
      <w:pPr>
        <w:ind w:left="5040" w:hanging="360"/>
      </w:pPr>
    </w:lvl>
    <w:lvl w:ilvl="7" w:tplc="DE12D33E" w:tentative="1">
      <w:start w:val="1"/>
      <w:numFmt w:val="lowerLetter"/>
      <w:lvlText w:val="%8."/>
      <w:lvlJc w:val="left"/>
      <w:pPr>
        <w:ind w:left="5760" w:hanging="360"/>
      </w:pPr>
    </w:lvl>
    <w:lvl w:ilvl="8" w:tplc="7F660F60"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FB28EE0A">
      <w:start w:val="1"/>
      <w:numFmt w:val="decimal"/>
      <w:lvlText w:val="%1."/>
      <w:lvlJc w:val="left"/>
      <w:pPr>
        <w:ind w:left="1287" w:hanging="360"/>
      </w:pPr>
    </w:lvl>
    <w:lvl w:ilvl="1" w:tplc="A3D25C8E" w:tentative="1">
      <w:start w:val="1"/>
      <w:numFmt w:val="lowerLetter"/>
      <w:lvlText w:val="%2."/>
      <w:lvlJc w:val="left"/>
      <w:pPr>
        <w:ind w:left="2007" w:hanging="360"/>
      </w:pPr>
    </w:lvl>
    <w:lvl w:ilvl="2" w:tplc="428EC4F2" w:tentative="1">
      <w:start w:val="1"/>
      <w:numFmt w:val="lowerRoman"/>
      <w:lvlText w:val="%3."/>
      <w:lvlJc w:val="right"/>
      <w:pPr>
        <w:ind w:left="2727" w:hanging="180"/>
      </w:pPr>
    </w:lvl>
    <w:lvl w:ilvl="3" w:tplc="11FC5FE6" w:tentative="1">
      <w:start w:val="1"/>
      <w:numFmt w:val="decimal"/>
      <w:lvlText w:val="%4."/>
      <w:lvlJc w:val="left"/>
      <w:pPr>
        <w:ind w:left="3447" w:hanging="360"/>
      </w:pPr>
    </w:lvl>
    <w:lvl w:ilvl="4" w:tplc="72EE7316" w:tentative="1">
      <w:start w:val="1"/>
      <w:numFmt w:val="lowerLetter"/>
      <w:lvlText w:val="%5."/>
      <w:lvlJc w:val="left"/>
      <w:pPr>
        <w:ind w:left="4167" w:hanging="360"/>
      </w:pPr>
    </w:lvl>
    <w:lvl w:ilvl="5" w:tplc="A5C28968" w:tentative="1">
      <w:start w:val="1"/>
      <w:numFmt w:val="lowerRoman"/>
      <w:lvlText w:val="%6."/>
      <w:lvlJc w:val="right"/>
      <w:pPr>
        <w:ind w:left="4887" w:hanging="180"/>
      </w:pPr>
    </w:lvl>
    <w:lvl w:ilvl="6" w:tplc="C3A2B3EC" w:tentative="1">
      <w:start w:val="1"/>
      <w:numFmt w:val="decimal"/>
      <w:lvlText w:val="%7."/>
      <w:lvlJc w:val="left"/>
      <w:pPr>
        <w:ind w:left="5607" w:hanging="360"/>
      </w:pPr>
    </w:lvl>
    <w:lvl w:ilvl="7" w:tplc="E892D142" w:tentative="1">
      <w:start w:val="1"/>
      <w:numFmt w:val="lowerLetter"/>
      <w:lvlText w:val="%8."/>
      <w:lvlJc w:val="left"/>
      <w:pPr>
        <w:ind w:left="6327" w:hanging="360"/>
      </w:pPr>
    </w:lvl>
    <w:lvl w:ilvl="8" w:tplc="8EA61BA0" w:tentative="1">
      <w:start w:val="1"/>
      <w:numFmt w:val="lowerRoman"/>
      <w:lvlText w:val="%9."/>
      <w:lvlJc w:val="right"/>
      <w:pPr>
        <w:ind w:left="7047" w:hanging="180"/>
      </w:pPr>
    </w:lvl>
  </w:abstractNum>
  <w:abstractNum w:abstractNumId="10" w15:restartNumberingAfterBreak="0">
    <w:nsid w:val="397A4DB1"/>
    <w:multiLevelType w:val="hybridMultilevel"/>
    <w:tmpl w:val="F60A80D2"/>
    <w:lvl w:ilvl="0" w:tplc="883012F0">
      <w:start w:val="1"/>
      <w:numFmt w:val="decimal"/>
      <w:lvlText w:val="%1."/>
      <w:lvlJc w:val="left"/>
      <w:pPr>
        <w:ind w:left="1287" w:hanging="360"/>
      </w:pPr>
    </w:lvl>
    <w:lvl w:ilvl="1" w:tplc="08A29E34" w:tentative="1">
      <w:start w:val="1"/>
      <w:numFmt w:val="lowerLetter"/>
      <w:lvlText w:val="%2."/>
      <w:lvlJc w:val="left"/>
      <w:pPr>
        <w:ind w:left="2007" w:hanging="360"/>
      </w:pPr>
    </w:lvl>
    <w:lvl w:ilvl="2" w:tplc="DAF481B8" w:tentative="1">
      <w:start w:val="1"/>
      <w:numFmt w:val="lowerRoman"/>
      <w:lvlText w:val="%3."/>
      <w:lvlJc w:val="right"/>
      <w:pPr>
        <w:ind w:left="2727" w:hanging="180"/>
      </w:pPr>
    </w:lvl>
    <w:lvl w:ilvl="3" w:tplc="D2AA61EC" w:tentative="1">
      <w:start w:val="1"/>
      <w:numFmt w:val="decimal"/>
      <w:lvlText w:val="%4."/>
      <w:lvlJc w:val="left"/>
      <w:pPr>
        <w:ind w:left="3447" w:hanging="360"/>
      </w:pPr>
    </w:lvl>
    <w:lvl w:ilvl="4" w:tplc="2AF42B7E" w:tentative="1">
      <w:start w:val="1"/>
      <w:numFmt w:val="lowerLetter"/>
      <w:lvlText w:val="%5."/>
      <w:lvlJc w:val="left"/>
      <w:pPr>
        <w:ind w:left="4167" w:hanging="360"/>
      </w:pPr>
    </w:lvl>
    <w:lvl w:ilvl="5" w:tplc="EE802808" w:tentative="1">
      <w:start w:val="1"/>
      <w:numFmt w:val="lowerRoman"/>
      <w:lvlText w:val="%6."/>
      <w:lvlJc w:val="right"/>
      <w:pPr>
        <w:ind w:left="4887" w:hanging="180"/>
      </w:pPr>
    </w:lvl>
    <w:lvl w:ilvl="6" w:tplc="2D2E9DA2" w:tentative="1">
      <w:start w:val="1"/>
      <w:numFmt w:val="decimal"/>
      <w:lvlText w:val="%7."/>
      <w:lvlJc w:val="left"/>
      <w:pPr>
        <w:ind w:left="5607" w:hanging="360"/>
      </w:pPr>
    </w:lvl>
    <w:lvl w:ilvl="7" w:tplc="FD52F2F2" w:tentative="1">
      <w:start w:val="1"/>
      <w:numFmt w:val="lowerLetter"/>
      <w:lvlText w:val="%8."/>
      <w:lvlJc w:val="left"/>
      <w:pPr>
        <w:ind w:left="6327" w:hanging="360"/>
      </w:pPr>
    </w:lvl>
    <w:lvl w:ilvl="8" w:tplc="C5CE03E6"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3FB214B4">
      <w:start w:val="1"/>
      <w:numFmt w:val="upperRoman"/>
      <w:pStyle w:val="Heading4"/>
      <w:lvlText w:val="%1."/>
      <w:lvlJc w:val="right"/>
      <w:pPr>
        <w:ind w:left="720" w:hanging="360"/>
      </w:pPr>
      <w:rPr>
        <w:rFonts w:hint="default"/>
        <w:b/>
        <w:i w:val="0"/>
      </w:rPr>
    </w:lvl>
    <w:lvl w:ilvl="1" w:tplc="BE08EA14" w:tentative="1">
      <w:start w:val="1"/>
      <w:numFmt w:val="lowerLetter"/>
      <w:lvlText w:val="%2."/>
      <w:lvlJc w:val="left"/>
      <w:pPr>
        <w:ind w:left="1440" w:hanging="360"/>
      </w:pPr>
    </w:lvl>
    <w:lvl w:ilvl="2" w:tplc="A0B02A36" w:tentative="1">
      <w:start w:val="1"/>
      <w:numFmt w:val="lowerRoman"/>
      <w:lvlText w:val="%3."/>
      <w:lvlJc w:val="right"/>
      <w:pPr>
        <w:ind w:left="2160" w:hanging="180"/>
      </w:pPr>
    </w:lvl>
    <w:lvl w:ilvl="3" w:tplc="D174D860" w:tentative="1">
      <w:start w:val="1"/>
      <w:numFmt w:val="decimal"/>
      <w:lvlText w:val="%4."/>
      <w:lvlJc w:val="left"/>
      <w:pPr>
        <w:ind w:left="2880" w:hanging="360"/>
      </w:pPr>
    </w:lvl>
    <w:lvl w:ilvl="4" w:tplc="7802791A" w:tentative="1">
      <w:start w:val="1"/>
      <w:numFmt w:val="lowerLetter"/>
      <w:lvlText w:val="%5."/>
      <w:lvlJc w:val="left"/>
      <w:pPr>
        <w:ind w:left="3600" w:hanging="360"/>
      </w:pPr>
    </w:lvl>
    <w:lvl w:ilvl="5" w:tplc="58BA2CA2" w:tentative="1">
      <w:start w:val="1"/>
      <w:numFmt w:val="lowerRoman"/>
      <w:lvlText w:val="%6."/>
      <w:lvlJc w:val="right"/>
      <w:pPr>
        <w:ind w:left="4320" w:hanging="180"/>
      </w:pPr>
    </w:lvl>
    <w:lvl w:ilvl="6" w:tplc="CB145F74" w:tentative="1">
      <w:start w:val="1"/>
      <w:numFmt w:val="decimal"/>
      <w:lvlText w:val="%7."/>
      <w:lvlJc w:val="left"/>
      <w:pPr>
        <w:ind w:left="5040" w:hanging="360"/>
      </w:pPr>
    </w:lvl>
    <w:lvl w:ilvl="7" w:tplc="61849FDE" w:tentative="1">
      <w:start w:val="1"/>
      <w:numFmt w:val="lowerLetter"/>
      <w:lvlText w:val="%8."/>
      <w:lvlJc w:val="left"/>
      <w:pPr>
        <w:ind w:left="5760" w:hanging="360"/>
      </w:pPr>
    </w:lvl>
    <w:lvl w:ilvl="8" w:tplc="955E9EFA" w:tentative="1">
      <w:start w:val="1"/>
      <w:numFmt w:val="lowerRoman"/>
      <w:lvlText w:val="%9."/>
      <w:lvlJc w:val="right"/>
      <w:pPr>
        <w:ind w:left="6480" w:hanging="180"/>
      </w:pPr>
    </w:lvl>
  </w:abstractNum>
  <w:abstractNum w:abstractNumId="12" w15:restartNumberingAfterBreak="0">
    <w:nsid w:val="40CE7015"/>
    <w:multiLevelType w:val="hybridMultilevel"/>
    <w:tmpl w:val="2DF0C048"/>
    <w:lvl w:ilvl="0" w:tplc="468495C0">
      <w:start w:val="1"/>
      <w:numFmt w:val="decimal"/>
      <w:pStyle w:val="Para"/>
      <w:lvlText w:val="%1."/>
      <w:lvlJc w:val="left"/>
      <w:pPr>
        <w:ind w:left="502" w:hanging="360"/>
      </w:pPr>
      <w:rPr>
        <w:b w:val="0"/>
        <w:color w:val="auto"/>
        <w:sz w:val="22"/>
        <w:szCs w:val="22"/>
        <w:lang w:val="en-US"/>
      </w:rPr>
    </w:lvl>
    <w:lvl w:ilvl="1" w:tplc="8BEEAA84">
      <w:start w:val="1"/>
      <w:numFmt w:val="lowerLetter"/>
      <w:lvlText w:val="%2."/>
      <w:lvlJc w:val="left"/>
      <w:pPr>
        <w:ind w:left="1222" w:hanging="360"/>
      </w:pPr>
    </w:lvl>
    <w:lvl w:ilvl="2" w:tplc="014AB90A">
      <w:start w:val="1"/>
      <w:numFmt w:val="lowerRoman"/>
      <w:lvlText w:val="%3."/>
      <w:lvlJc w:val="right"/>
      <w:pPr>
        <w:ind w:left="1942" w:hanging="180"/>
      </w:pPr>
    </w:lvl>
    <w:lvl w:ilvl="3" w:tplc="3E38595A">
      <w:start w:val="1"/>
      <w:numFmt w:val="decimal"/>
      <w:lvlText w:val="%4."/>
      <w:lvlJc w:val="left"/>
      <w:pPr>
        <w:ind w:left="2662" w:hanging="360"/>
      </w:pPr>
    </w:lvl>
    <w:lvl w:ilvl="4" w:tplc="55C6295A">
      <w:start w:val="1"/>
      <w:numFmt w:val="lowerLetter"/>
      <w:lvlText w:val="%5."/>
      <w:lvlJc w:val="left"/>
      <w:pPr>
        <w:ind w:left="3382" w:hanging="360"/>
      </w:pPr>
    </w:lvl>
    <w:lvl w:ilvl="5" w:tplc="DCFAEB12">
      <w:start w:val="1"/>
      <w:numFmt w:val="lowerRoman"/>
      <w:lvlText w:val="%6."/>
      <w:lvlJc w:val="right"/>
      <w:pPr>
        <w:ind w:left="4102" w:hanging="180"/>
      </w:pPr>
    </w:lvl>
    <w:lvl w:ilvl="6" w:tplc="C090E4BC">
      <w:start w:val="1"/>
      <w:numFmt w:val="decimal"/>
      <w:lvlText w:val="%7."/>
      <w:lvlJc w:val="left"/>
      <w:pPr>
        <w:ind w:left="4822" w:hanging="360"/>
      </w:pPr>
    </w:lvl>
    <w:lvl w:ilvl="7" w:tplc="B31E0E80">
      <w:start w:val="1"/>
      <w:numFmt w:val="lowerLetter"/>
      <w:lvlText w:val="%8."/>
      <w:lvlJc w:val="left"/>
      <w:pPr>
        <w:ind w:left="5542" w:hanging="360"/>
      </w:pPr>
    </w:lvl>
    <w:lvl w:ilvl="8" w:tplc="81C26DCA">
      <w:start w:val="1"/>
      <w:numFmt w:val="lowerRoman"/>
      <w:lvlText w:val="%9."/>
      <w:lvlJc w:val="right"/>
      <w:pPr>
        <w:ind w:left="6262" w:hanging="180"/>
      </w:pPr>
    </w:lvl>
  </w:abstractNum>
  <w:abstractNum w:abstractNumId="13" w15:restartNumberingAfterBreak="0">
    <w:nsid w:val="41E410AE"/>
    <w:multiLevelType w:val="hybridMultilevel"/>
    <w:tmpl w:val="FC284EC2"/>
    <w:lvl w:ilvl="0" w:tplc="99DE8012">
      <w:start w:val="1"/>
      <w:numFmt w:val="decimal"/>
      <w:lvlText w:val="%1."/>
      <w:lvlJc w:val="left"/>
      <w:pPr>
        <w:ind w:left="1779" w:hanging="360"/>
      </w:pPr>
      <w:rPr>
        <w:rFonts w:hint="default"/>
        <w:u w:val="single"/>
      </w:rPr>
    </w:lvl>
    <w:lvl w:ilvl="1" w:tplc="AB24F258" w:tentative="1">
      <w:start w:val="1"/>
      <w:numFmt w:val="lowerLetter"/>
      <w:lvlText w:val="%2."/>
      <w:lvlJc w:val="left"/>
      <w:pPr>
        <w:ind w:left="2499" w:hanging="360"/>
      </w:pPr>
    </w:lvl>
    <w:lvl w:ilvl="2" w:tplc="C7246CBA" w:tentative="1">
      <w:start w:val="1"/>
      <w:numFmt w:val="lowerRoman"/>
      <w:lvlText w:val="%3."/>
      <w:lvlJc w:val="right"/>
      <w:pPr>
        <w:ind w:left="3219" w:hanging="180"/>
      </w:pPr>
    </w:lvl>
    <w:lvl w:ilvl="3" w:tplc="B6B6D3A4" w:tentative="1">
      <w:start w:val="1"/>
      <w:numFmt w:val="decimal"/>
      <w:lvlText w:val="%4."/>
      <w:lvlJc w:val="left"/>
      <w:pPr>
        <w:ind w:left="3939" w:hanging="360"/>
      </w:pPr>
    </w:lvl>
    <w:lvl w:ilvl="4" w:tplc="C8CCAEBA" w:tentative="1">
      <w:start w:val="1"/>
      <w:numFmt w:val="lowerLetter"/>
      <w:lvlText w:val="%5."/>
      <w:lvlJc w:val="left"/>
      <w:pPr>
        <w:ind w:left="4659" w:hanging="360"/>
      </w:pPr>
    </w:lvl>
    <w:lvl w:ilvl="5" w:tplc="C4E65286" w:tentative="1">
      <w:start w:val="1"/>
      <w:numFmt w:val="lowerRoman"/>
      <w:lvlText w:val="%6."/>
      <w:lvlJc w:val="right"/>
      <w:pPr>
        <w:ind w:left="5379" w:hanging="180"/>
      </w:pPr>
    </w:lvl>
    <w:lvl w:ilvl="6" w:tplc="35BAB038" w:tentative="1">
      <w:start w:val="1"/>
      <w:numFmt w:val="decimal"/>
      <w:lvlText w:val="%7."/>
      <w:lvlJc w:val="left"/>
      <w:pPr>
        <w:ind w:left="6099" w:hanging="360"/>
      </w:pPr>
    </w:lvl>
    <w:lvl w:ilvl="7" w:tplc="F9C46A38" w:tentative="1">
      <w:start w:val="1"/>
      <w:numFmt w:val="lowerLetter"/>
      <w:lvlText w:val="%8."/>
      <w:lvlJc w:val="left"/>
      <w:pPr>
        <w:ind w:left="6819" w:hanging="360"/>
      </w:pPr>
    </w:lvl>
    <w:lvl w:ilvl="8" w:tplc="5F68B38C"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D022C90">
      <w:start w:val="15"/>
      <w:numFmt w:val="bullet"/>
      <w:lvlText w:val="-"/>
      <w:lvlJc w:val="left"/>
      <w:pPr>
        <w:ind w:left="1494" w:hanging="360"/>
      </w:pPr>
      <w:rPr>
        <w:rFonts w:ascii="Arial" w:eastAsia="Times New Roman" w:hAnsi="Arial" w:cs="Arial" w:hint="default"/>
      </w:rPr>
    </w:lvl>
    <w:lvl w:ilvl="1" w:tplc="F8D829B4" w:tentative="1">
      <w:start w:val="1"/>
      <w:numFmt w:val="bullet"/>
      <w:lvlText w:val="o"/>
      <w:lvlJc w:val="left"/>
      <w:pPr>
        <w:ind w:left="2214" w:hanging="360"/>
      </w:pPr>
      <w:rPr>
        <w:rFonts w:ascii="Courier New" w:hAnsi="Courier New" w:cs="Courier New" w:hint="default"/>
      </w:rPr>
    </w:lvl>
    <w:lvl w:ilvl="2" w:tplc="57783374" w:tentative="1">
      <w:start w:val="1"/>
      <w:numFmt w:val="bullet"/>
      <w:lvlText w:val=""/>
      <w:lvlJc w:val="left"/>
      <w:pPr>
        <w:ind w:left="2934" w:hanging="360"/>
      </w:pPr>
      <w:rPr>
        <w:rFonts w:ascii="Wingdings" w:hAnsi="Wingdings" w:hint="default"/>
      </w:rPr>
    </w:lvl>
    <w:lvl w:ilvl="3" w:tplc="399695D4" w:tentative="1">
      <w:start w:val="1"/>
      <w:numFmt w:val="bullet"/>
      <w:lvlText w:val=""/>
      <w:lvlJc w:val="left"/>
      <w:pPr>
        <w:ind w:left="3654" w:hanging="360"/>
      </w:pPr>
      <w:rPr>
        <w:rFonts w:ascii="Symbol" w:hAnsi="Symbol" w:hint="default"/>
      </w:rPr>
    </w:lvl>
    <w:lvl w:ilvl="4" w:tplc="79D41CF8" w:tentative="1">
      <w:start w:val="1"/>
      <w:numFmt w:val="bullet"/>
      <w:lvlText w:val="o"/>
      <w:lvlJc w:val="left"/>
      <w:pPr>
        <w:ind w:left="4374" w:hanging="360"/>
      </w:pPr>
      <w:rPr>
        <w:rFonts w:ascii="Courier New" w:hAnsi="Courier New" w:cs="Courier New" w:hint="default"/>
      </w:rPr>
    </w:lvl>
    <w:lvl w:ilvl="5" w:tplc="C8CCDE52" w:tentative="1">
      <w:start w:val="1"/>
      <w:numFmt w:val="bullet"/>
      <w:lvlText w:val=""/>
      <w:lvlJc w:val="left"/>
      <w:pPr>
        <w:ind w:left="5094" w:hanging="360"/>
      </w:pPr>
      <w:rPr>
        <w:rFonts w:ascii="Wingdings" w:hAnsi="Wingdings" w:hint="default"/>
      </w:rPr>
    </w:lvl>
    <w:lvl w:ilvl="6" w:tplc="B30EAD32" w:tentative="1">
      <w:start w:val="1"/>
      <w:numFmt w:val="bullet"/>
      <w:lvlText w:val=""/>
      <w:lvlJc w:val="left"/>
      <w:pPr>
        <w:ind w:left="5814" w:hanging="360"/>
      </w:pPr>
      <w:rPr>
        <w:rFonts w:ascii="Symbol" w:hAnsi="Symbol" w:hint="default"/>
      </w:rPr>
    </w:lvl>
    <w:lvl w:ilvl="7" w:tplc="0B92583E" w:tentative="1">
      <w:start w:val="1"/>
      <w:numFmt w:val="bullet"/>
      <w:lvlText w:val="o"/>
      <w:lvlJc w:val="left"/>
      <w:pPr>
        <w:ind w:left="6534" w:hanging="360"/>
      </w:pPr>
      <w:rPr>
        <w:rFonts w:ascii="Courier New" w:hAnsi="Courier New" w:cs="Courier New" w:hint="default"/>
      </w:rPr>
    </w:lvl>
    <w:lvl w:ilvl="8" w:tplc="CBD2D490" w:tentative="1">
      <w:start w:val="1"/>
      <w:numFmt w:val="bullet"/>
      <w:lvlText w:val=""/>
      <w:lvlJc w:val="left"/>
      <w:pPr>
        <w:ind w:left="7254" w:hanging="360"/>
      </w:pPr>
      <w:rPr>
        <w:rFonts w:ascii="Wingdings" w:hAnsi="Wingdings" w:hint="default"/>
      </w:rPr>
    </w:lvl>
  </w:abstractNum>
  <w:abstractNum w:abstractNumId="15" w15:restartNumberingAfterBreak="0">
    <w:nsid w:val="5ECD35B7"/>
    <w:multiLevelType w:val="hybridMultilevel"/>
    <w:tmpl w:val="E40E8992"/>
    <w:lvl w:ilvl="0" w:tplc="03149664">
      <w:start w:val="1"/>
      <w:numFmt w:val="decimal"/>
      <w:lvlText w:val="%1."/>
      <w:lvlJc w:val="left"/>
      <w:pPr>
        <w:ind w:left="1353" w:hanging="360"/>
      </w:pPr>
      <w:rPr>
        <w:rFonts w:hint="default"/>
      </w:rPr>
    </w:lvl>
    <w:lvl w:ilvl="1" w:tplc="26109C9E">
      <w:start w:val="1"/>
      <w:numFmt w:val="lowerLetter"/>
      <w:lvlText w:val="%2."/>
      <w:lvlJc w:val="left"/>
      <w:pPr>
        <w:ind w:left="2073" w:hanging="360"/>
      </w:pPr>
    </w:lvl>
    <w:lvl w:ilvl="2" w:tplc="F590504E" w:tentative="1">
      <w:start w:val="1"/>
      <w:numFmt w:val="lowerRoman"/>
      <w:lvlText w:val="%3."/>
      <w:lvlJc w:val="right"/>
      <w:pPr>
        <w:ind w:left="2793" w:hanging="180"/>
      </w:pPr>
    </w:lvl>
    <w:lvl w:ilvl="3" w:tplc="1A8A7C3C" w:tentative="1">
      <w:start w:val="1"/>
      <w:numFmt w:val="decimal"/>
      <w:lvlText w:val="%4."/>
      <w:lvlJc w:val="left"/>
      <w:pPr>
        <w:ind w:left="3513" w:hanging="360"/>
      </w:pPr>
    </w:lvl>
    <w:lvl w:ilvl="4" w:tplc="87847358" w:tentative="1">
      <w:start w:val="1"/>
      <w:numFmt w:val="lowerLetter"/>
      <w:lvlText w:val="%5."/>
      <w:lvlJc w:val="left"/>
      <w:pPr>
        <w:ind w:left="4233" w:hanging="360"/>
      </w:pPr>
    </w:lvl>
    <w:lvl w:ilvl="5" w:tplc="685AA03A" w:tentative="1">
      <w:start w:val="1"/>
      <w:numFmt w:val="lowerRoman"/>
      <w:lvlText w:val="%6."/>
      <w:lvlJc w:val="right"/>
      <w:pPr>
        <w:ind w:left="4953" w:hanging="180"/>
      </w:pPr>
    </w:lvl>
    <w:lvl w:ilvl="6" w:tplc="73FAC436" w:tentative="1">
      <w:start w:val="1"/>
      <w:numFmt w:val="decimal"/>
      <w:lvlText w:val="%7."/>
      <w:lvlJc w:val="left"/>
      <w:pPr>
        <w:ind w:left="5673" w:hanging="360"/>
      </w:pPr>
    </w:lvl>
    <w:lvl w:ilvl="7" w:tplc="D7A0BE68" w:tentative="1">
      <w:start w:val="1"/>
      <w:numFmt w:val="lowerLetter"/>
      <w:lvlText w:val="%8."/>
      <w:lvlJc w:val="left"/>
      <w:pPr>
        <w:ind w:left="6393" w:hanging="360"/>
      </w:pPr>
    </w:lvl>
    <w:lvl w:ilvl="8" w:tplc="1CDC6994"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E8A0D5F2">
      <w:start w:val="1"/>
      <w:numFmt w:val="decimal"/>
      <w:lvlText w:val="%1."/>
      <w:lvlJc w:val="left"/>
      <w:pPr>
        <w:ind w:left="720" w:hanging="360"/>
      </w:pPr>
    </w:lvl>
    <w:lvl w:ilvl="1" w:tplc="3E4436E8" w:tentative="1">
      <w:start w:val="1"/>
      <w:numFmt w:val="lowerLetter"/>
      <w:lvlText w:val="%2."/>
      <w:lvlJc w:val="left"/>
      <w:pPr>
        <w:ind w:left="1440" w:hanging="360"/>
      </w:pPr>
    </w:lvl>
    <w:lvl w:ilvl="2" w:tplc="B73270C8" w:tentative="1">
      <w:start w:val="1"/>
      <w:numFmt w:val="lowerRoman"/>
      <w:lvlText w:val="%3."/>
      <w:lvlJc w:val="right"/>
      <w:pPr>
        <w:ind w:left="2160" w:hanging="180"/>
      </w:pPr>
    </w:lvl>
    <w:lvl w:ilvl="3" w:tplc="4D1C95B8" w:tentative="1">
      <w:start w:val="1"/>
      <w:numFmt w:val="decimal"/>
      <w:lvlText w:val="%4."/>
      <w:lvlJc w:val="left"/>
      <w:pPr>
        <w:ind w:left="2880" w:hanging="360"/>
      </w:pPr>
    </w:lvl>
    <w:lvl w:ilvl="4" w:tplc="4030D2F8" w:tentative="1">
      <w:start w:val="1"/>
      <w:numFmt w:val="lowerLetter"/>
      <w:lvlText w:val="%5."/>
      <w:lvlJc w:val="left"/>
      <w:pPr>
        <w:ind w:left="3600" w:hanging="360"/>
      </w:pPr>
    </w:lvl>
    <w:lvl w:ilvl="5" w:tplc="1D28E196" w:tentative="1">
      <w:start w:val="1"/>
      <w:numFmt w:val="lowerRoman"/>
      <w:lvlText w:val="%6."/>
      <w:lvlJc w:val="right"/>
      <w:pPr>
        <w:ind w:left="4320" w:hanging="180"/>
      </w:pPr>
    </w:lvl>
    <w:lvl w:ilvl="6" w:tplc="ECC62216" w:tentative="1">
      <w:start w:val="1"/>
      <w:numFmt w:val="decimal"/>
      <w:lvlText w:val="%7."/>
      <w:lvlJc w:val="left"/>
      <w:pPr>
        <w:ind w:left="5040" w:hanging="360"/>
      </w:pPr>
    </w:lvl>
    <w:lvl w:ilvl="7" w:tplc="18B4FABA" w:tentative="1">
      <w:start w:val="1"/>
      <w:numFmt w:val="lowerLetter"/>
      <w:lvlText w:val="%8."/>
      <w:lvlJc w:val="left"/>
      <w:pPr>
        <w:ind w:left="5760" w:hanging="360"/>
      </w:pPr>
    </w:lvl>
    <w:lvl w:ilvl="8" w:tplc="7A14B116"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AF26EB46">
      <w:start w:val="1"/>
      <w:numFmt w:val="decimal"/>
      <w:lvlText w:val="%1."/>
      <w:lvlJc w:val="left"/>
      <w:pPr>
        <w:ind w:left="785" w:hanging="360"/>
      </w:pPr>
      <w:rPr>
        <w:rFonts w:hint="default"/>
      </w:rPr>
    </w:lvl>
    <w:lvl w:ilvl="1" w:tplc="84E0E5AA" w:tentative="1">
      <w:start w:val="1"/>
      <w:numFmt w:val="lowerLetter"/>
      <w:lvlText w:val="%2."/>
      <w:lvlJc w:val="left"/>
      <w:pPr>
        <w:ind w:left="1440" w:hanging="360"/>
      </w:pPr>
    </w:lvl>
    <w:lvl w:ilvl="2" w:tplc="36EE95B8" w:tentative="1">
      <w:start w:val="1"/>
      <w:numFmt w:val="lowerRoman"/>
      <w:lvlText w:val="%3."/>
      <w:lvlJc w:val="right"/>
      <w:pPr>
        <w:ind w:left="2160" w:hanging="180"/>
      </w:pPr>
    </w:lvl>
    <w:lvl w:ilvl="3" w:tplc="576C3DB4" w:tentative="1">
      <w:start w:val="1"/>
      <w:numFmt w:val="decimal"/>
      <w:lvlText w:val="%4."/>
      <w:lvlJc w:val="left"/>
      <w:pPr>
        <w:ind w:left="2880" w:hanging="360"/>
      </w:pPr>
    </w:lvl>
    <w:lvl w:ilvl="4" w:tplc="A40C073A" w:tentative="1">
      <w:start w:val="1"/>
      <w:numFmt w:val="lowerLetter"/>
      <w:lvlText w:val="%5."/>
      <w:lvlJc w:val="left"/>
      <w:pPr>
        <w:ind w:left="3600" w:hanging="360"/>
      </w:pPr>
    </w:lvl>
    <w:lvl w:ilvl="5" w:tplc="B368297E" w:tentative="1">
      <w:start w:val="1"/>
      <w:numFmt w:val="lowerRoman"/>
      <w:lvlText w:val="%6."/>
      <w:lvlJc w:val="right"/>
      <w:pPr>
        <w:ind w:left="4320" w:hanging="180"/>
      </w:pPr>
    </w:lvl>
    <w:lvl w:ilvl="6" w:tplc="0E6A5B6C" w:tentative="1">
      <w:start w:val="1"/>
      <w:numFmt w:val="decimal"/>
      <w:lvlText w:val="%7."/>
      <w:lvlJc w:val="left"/>
      <w:pPr>
        <w:ind w:left="5040" w:hanging="360"/>
      </w:pPr>
    </w:lvl>
    <w:lvl w:ilvl="7" w:tplc="CA46584E" w:tentative="1">
      <w:start w:val="1"/>
      <w:numFmt w:val="lowerLetter"/>
      <w:lvlText w:val="%8."/>
      <w:lvlJc w:val="left"/>
      <w:pPr>
        <w:ind w:left="5760" w:hanging="360"/>
      </w:pPr>
    </w:lvl>
    <w:lvl w:ilvl="8" w:tplc="41302F74" w:tentative="1">
      <w:start w:val="1"/>
      <w:numFmt w:val="lowerRoman"/>
      <w:lvlText w:val="%9."/>
      <w:lvlJc w:val="right"/>
      <w:pPr>
        <w:ind w:left="6480" w:hanging="180"/>
      </w:pPr>
    </w:lvl>
  </w:abstractNum>
  <w:abstractNum w:abstractNumId="18" w15:restartNumberingAfterBreak="0">
    <w:nsid w:val="7C627CF4"/>
    <w:multiLevelType w:val="hybridMultilevel"/>
    <w:tmpl w:val="C5527DE8"/>
    <w:lvl w:ilvl="0" w:tplc="83A49906">
      <w:start w:val="1"/>
      <w:numFmt w:val="upperLetter"/>
      <w:lvlText w:val="%1."/>
      <w:lvlJc w:val="left"/>
      <w:pPr>
        <w:ind w:left="1287" w:hanging="360"/>
      </w:pPr>
    </w:lvl>
    <w:lvl w:ilvl="1" w:tplc="061E18CA" w:tentative="1">
      <w:start w:val="1"/>
      <w:numFmt w:val="lowerLetter"/>
      <w:lvlText w:val="%2."/>
      <w:lvlJc w:val="left"/>
      <w:pPr>
        <w:ind w:left="2007" w:hanging="360"/>
      </w:pPr>
    </w:lvl>
    <w:lvl w:ilvl="2" w:tplc="725CD0C0" w:tentative="1">
      <w:start w:val="1"/>
      <w:numFmt w:val="lowerRoman"/>
      <w:lvlText w:val="%3."/>
      <w:lvlJc w:val="right"/>
      <w:pPr>
        <w:ind w:left="2727" w:hanging="180"/>
      </w:pPr>
    </w:lvl>
    <w:lvl w:ilvl="3" w:tplc="F120FA0C" w:tentative="1">
      <w:start w:val="1"/>
      <w:numFmt w:val="decimal"/>
      <w:lvlText w:val="%4."/>
      <w:lvlJc w:val="left"/>
      <w:pPr>
        <w:ind w:left="3447" w:hanging="360"/>
      </w:pPr>
    </w:lvl>
    <w:lvl w:ilvl="4" w:tplc="34120378" w:tentative="1">
      <w:start w:val="1"/>
      <w:numFmt w:val="lowerLetter"/>
      <w:lvlText w:val="%5."/>
      <w:lvlJc w:val="left"/>
      <w:pPr>
        <w:ind w:left="4167" w:hanging="360"/>
      </w:pPr>
    </w:lvl>
    <w:lvl w:ilvl="5" w:tplc="674EA8D2" w:tentative="1">
      <w:start w:val="1"/>
      <w:numFmt w:val="lowerRoman"/>
      <w:lvlText w:val="%6."/>
      <w:lvlJc w:val="right"/>
      <w:pPr>
        <w:ind w:left="4887" w:hanging="180"/>
      </w:pPr>
    </w:lvl>
    <w:lvl w:ilvl="6" w:tplc="08AAC572" w:tentative="1">
      <w:start w:val="1"/>
      <w:numFmt w:val="decimal"/>
      <w:lvlText w:val="%7."/>
      <w:lvlJc w:val="left"/>
      <w:pPr>
        <w:ind w:left="5607" w:hanging="360"/>
      </w:pPr>
    </w:lvl>
    <w:lvl w:ilvl="7" w:tplc="466E66D6" w:tentative="1">
      <w:start w:val="1"/>
      <w:numFmt w:val="lowerLetter"/>
      <w:lvlText w:val="%8."/>
      <w:lvlJc w:val="left"/>
      <w:pPr>
        <w:ind w:left="6327" w:hanging="360"/>
      </w:pPr>
    </w:lvl>
    <w:lvl w:ilvl="8" w:tplc="8BB659EC" w:tentative="1">
      <w:start w:val="1"/>
      <w:numFmt w:val="lowerRoman"/>
      <w:lvlText w:val="%9."/>
      <w:lvlJc w:val="right"/>
      <w:pPr>
        <w:ind w:left="7047" w:hanging="180"/>
      </w:pPr>
    </w:lvl>
  </w:abstractNum>
  <w:num w:numId="1">
    <w:abstractNumId w:val="15"/>
  </w:num>
  <w:num w:numId="2">
    <w:abstractNumId w:val="9"/>
  </w:num>
  <w:num w:numId="3">
    <w:abstractNumId w:val="3"/>
  </w:num>
  <w:num w:numId="4">
    <w:abstractNumId w:val="17"/>
  </w:num>
  <w:num w:numId="5">
    <w:abstractNumId w:val="16"/>
  </w:num>
  <w:num w:numId="6">
    <w:abstractNumId w:val="2"/>
  </w:num>
  <w:num w:numId="7">
    <w:abstractNumId w:val="4"/>
  </w:num>
  <w:num w:numId="8">
    <w:abstractNumId w:val="14"/>
  </w:num>
  <w:num w:numId="9">
    <w:abstractNumId w:val="8"/>
  </w:num>
  <w:num w:numId="10">
    <w:abstractNumId w:val="10"/>
  </w:num>
  <w:num w:numId="11">
    <w:abstractNumId w:val="13"/>
  </w:num>
  <w:num w:numId="12">
    <w:abstractNumId w:val="11"/>
  </w:num>
  <w:num w:numId="13">
    <w:abstractNumId w:val="18"/>
  </w:num>
  <w:num w:numId="14">
    <w:abstractNumId w:val="8"/>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
  </w:num>
  <w:num w:numId="18">
    <w:abstractNumId w:val="10"/>
  </w:num>
  <w:num w:numId="19">
    <w:abstractNumId w:val="5"/>
  </w:num>
  <w:num w:numId="20">
    <w:abstractNumId w:val="10"/>
    <w:lvlOverride w:ilvl="0">
      <w:startOverride w:val="1"/>
    </w:lvlOverride>
  </w:num>
  <w:num w:numId="21">
    <w:abstractNumId w:val="6"/>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7A"/>
    <w:rsid w:val="00057AB6"/>
    <w:rsid w:val="00057C4F"/>
    <w:rsid w:val="000A1E1C"/>
    <w:rsid w:val="000E1723"/>
    <w:rsid w:val="0010342A"/>
    <w:rsid w:val="00115616"/>
    <w:rsid w:val="00145708"/>
    <w:rsid w:val="00191457"/>
    <w:rsid w:val="001E529A"/>
    <w:rsid w:val="00271F4D"/>
    <w:rsid w:val="002B3DBB"/>
    <w:rsid w:val="003646FE"/>
    <w:rsid w:val="003923BB"/>
    <w:rsid w:val="00422455"/>
    <w:rsid w:val="00426B43"/>
    <w:rsid w:val="00487888"/>
    <w:rsid w:val="00495CAF"/>
    <w:rsid w:val="004E64C3"/>
    <w:rsid w:val="00587EE7"/>
    <w:rsid w:val="00591C5F"/>
    <w:rsid w:val="005D61A2"/>
    <w:rsid w:val="00616D03"/>
    <w:rsid w:val="006244BB"/>
    <w:rsid w:val="00635386"/>
    <w:rsid w:val="00655870"/>
    <w:rsid w:val="0065607A"/>
    <w:rsid w:val="006D4E54"/>
    <w:rsid w:val="00713967"/>
    <w:rsid w:val="007D1BAA"/>
    <w:rsid w:val="007F342B"/>
    <w:rsid w:val="0080602D"/>
    <w:rsid w:val="008C70FA"/>
    <w:rsid w:val="008F032C"/>
    <w:rsid w:val="009301F8"/>
    <w:rsid w:val="00947739"/>
    <w:rsid w:val="00974567"/>
    <w:rsid w:val="00A42132"/>
    <w:rsid w:val="00A848F7"/>
    <w:rsid w:val="00A900DC"/>
    <w:rsid w:val="00AA2C99"/>
    <w:rsid w:val="00AB0D66"/>
    <w:rsid w:val="00AE7333"/>
    <w:rsid w:val="00B138DA"/>
    <w:rsid w:val="00B21CFE"/>
    <w:rsid w:val="00B70F79"/>
    <w:rsid w:val="00B722AA"/>
    <w:rsid w:val="00BB44ED"/>
    <w:rsid w:val="00CA082B"/>
    <w:rsid w:val="00CA64BA"/>
    <w:rsid w:val="00CD4E9F"/>
    <w:rsid w:val="00D23C0B"/>
    <w:rsid w:val="00DA1F8F"/>
    <w:rsid w:val="00DB5E35"/>
    <w:rsid w:val="00E026A7"/>
    <w:rsid w:val="00E15C17"/>
    <w:rsid w:val="00E90252"/>
    <w:rsid w:val="00EF3FAB"/>
    <w:rsid w:val="00F22264"/>
    <w:rsid w:val="00F458C8"/>
    <w:rsid w:val="00F87D23"/>
    <w:rsid w:val="00FD27CC"/>
    <w:rsid w:val="00FE7A0B"/>
    <w:rsid w:val="00FF3CC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0037"/>
  <w15:docId w15:val="{361C2C2B-4DF4-A648-AD28-80100AC6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uiPriority w:val="99"/>
    <w:unhideWhenUsed/>
    <w:rsid w:val="00F85447"/>
    <w:rPr>
      <w:color w:val="0000FF"/>
      <w:u w:val="single"/>
    </w:rPr>
  </w:style>
  <w:style w:type="character" w:styleId="FollowedHyperlink">
    <w:name w:val="FollowedHyperlink"/>
    <w:basedOn w:val="DefaultParagraphFont"/>
    <w:uiPriority w:val="99"/>
    <w:semiHidden/>
    <w:unhideWhenUsed/>
    <w:rsid w:val="00F85447"/>
    <w:rPr>
      <w:color w:val="800080" w:themeColor="followedHyperlink"/>
      <w:u w:val="single"/>
    </w:rPr>
  </w:style>
  <w:style w:type="paragraph" w:customStyle="1" w:styleId="Para">
    <w:name w:val="Para"/>
    <w:basedOn w:val="Normal"/>
    <w:qFormat/>
    <w:rsid w:val="00116F47"/>
    <w:pPr>
      <w:numPr>
        <w:numId w:val="15"/>
      </w:numPr>
      <w:spacing w:after="120" w:line="240" w:lineRule="exact"/>
      <w:jc w:val="both"/>
    </w:pPr>
    <w:rPr>
      <w:rFonts w:ascii="Arial" w:eastAsia="SimSun" w:hAnsi="Arial"/>
      <w:sz w:val="20"/>
      <w:szCs w:val="20"/>
    </w:rPr>
  </w:style>
  <w:style w:type="character" w:styleId="CommentReference">
    <w:name w:val="annotation reference"/>
    <w:basedOn w:val="DefaultParagraphFont"/>
    <w:uiPriority w:val="99"/>
    <w:semiHidden/>
    <w:unhideWhenUsed/>
    <w:rsid w:val="00551847"/>
    <w:rPr>
      <w:sz w:val="16"/>
      <w:szCs w:val="16"/>
    </w:rPr>
  </w:style>
  <w:style w:type="paragraph" w:styleId="CommentText">
    <w:name w:val="annotation text"/>
    <w:basedOn w:val="Normal"/>
    <w:link w:val="CommentTextChar"/>
    <w:uiPriority w:val="99"/>
    <w:semiHidden/>
    <w:unhideWhenUsed/>
    <w:rsid w:val="0055184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5184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476B3"/>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E476B3"/>
    <w:rPr>
      <w:rFonts w:ascii="Times New Roman" w:eastAsia="Times New Roman" w:hAnsi="Times New Roman" w:cstheme="minorBidi"/>
      <w:b/>
      <w:bCs/>
      <w:lang w:val="en-US" w:eastAsia="en-US"/>
    </w:rPr>
  </w:style>
  <w:style w:type="paragraph" w:styleId="Revision">
    <w:name w:val="Revision"/>
    <w:hidden/>
    <w:uiPriority w:val="99"/>
    <w:semiHidden/>
    <w:rsid w:val="00A908E7"/>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0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USL/limprimerie-chinoise-a-caracteres-mobiles-en-bois-00322?USL=00322" TargetMode="External"/><Relationship Id="rId18" Type="http://schemas.openxmlformats.org/officeDocument/2006/relationships/hyperlink" Target="https://ich.unesco.org/fr/USL/la-tradition-orale-mapoyo-et-ses-points-de-reference-symboliques-dans-leur-territoire-ancestral-00983?USL=00983" TargetMode="External"/><Relationship Id="rId26" Type="http://schemas.openxmlformats.org/officeDocument/2006/relationships/hyperlink" Target="http://www.unesco.org/culture/ich/index.php?lg=en&amp;pg=00407#top" TargetMode="External"/><Relationship Id="rId39" Type="http://schemas.openxmlformats.org/officeDocument/2006/relationships/fontTable" Target="fontTable.xml"/><Relationship Id="rId21" Type="http://schemas.openxmlformats.org/officeDocument/2006/relationships/hyperlink" Target="https://ich.unesco.org/doc/src/LHE-19-14.COM-12-FR.docx" TargetMode="External"/><Relationship Id="rId34" Type="http://schemas.openxmlformats.org/officeDocument/2006/relationships/hyperlink" Target="https://ich.unesco.org/doc/download.php?versionID=51328" TargetMode="External"/><Relationship Id="rId7" Type="http://schemas.openxmlformats.org/officeDocument/2006/relationships/endnotes" Target="endnotes.xml"/><Relationship Id="rId12" Type="http://schemas.openxmlformats.org/officeDocument/2006/relationships/hyperlink" Target="https://ich.unesco.org/fr/USL/la-technique-des-cloisons-etanches-des-jonques-chinoises-00321?USL=00321" TargetMode="External"/><Relationship Id="rId17" Type="http://schemas.openxmlformats.org/officeDocument/2006/relationships/hyperlink" Target="https://ich.unesco.org/fr/USL/la-ceremonie-de-purification-des-garcons-chez-les-lango-du-centre-nord-de-louganda-00982?USL=00982" TargetMode="External"/><Relationship Id="rId25" Type="http://schemas.openxmlformats.org/officeDocument/2006/relationships/hyperlink" Target="#Draftdecision"/><Relationship Id="rId33" Type="http://schemas.openxmlformats.org/officeDocument/2006/relationships/hyperlink" Target="https://ich.unesco.org/fr/decisions/9.COM/9.A.7?dec=decisions&amp;ref_decision=9.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fr/USL/la-danse-isukuti-des-communautes-isukha-et-idakho-de-louest-du-kenya-00981?USL=00981" TargetMode="External"/><Relationship Id="rId20" Type="http://schemas.openxmlformats.org/officeDocument/2006/relationships/hyperlink" Target="https://ich.unesco.org/doc/src/LHE-19-14.COM-8-FR.docx" TargetMode="External"/><Relationship Id="rId29" Type="http://schemas.openxmlformats.org/officeDocument/2006/relationships/hyperlink" Target="https://ich.unesco.org/fr/decisions/10.COM/6.B.1?dec=decisions&amp;ref_decision=10.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USL/le-meshrep-00304?USL=00304" TargetMode="External"/><Relationship Id="rId24" Type="http://schemas.openxmlformats.org/officeDocument/2006/relationships/hyperlink" Target="https://ich.unesco.org/fr/decisions/10.COM/6.B.1?dec=decisions&amp;ref_decision=10.COM" TargetMode="External"/><Relationship Id="rId32" Type="http://schemas.openxmlformats.org/officeDocument/2006/relationships/hyperlink" Target="https://ich.unesco.org/doc/download.php?versionID=51750"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fr/USL/le-chant-ojkanje-00320?USL=00320" TargetMode="External"/><Relationship Id="rId23" Type="http://schemas.openxmlformats.org/officeDocument/2006/relationships/hyperlink" Target="https://ich.unesco.org/fr/decisions/5.COM/5.4?dec=decisions&amp;ref_decision=5.COM" TargetMode="External"/><Relationship Id="rId28" Type="http://schemas.openxmlformats.org/officeDocument/2006/relationships/hyperlink" Target="https://ich.unesco.org/fr/decisions/5.COM/5.4?dec=decisions&amp;ref_decision=5.COM" TargetMode="External"/><Relationship Id="rId36" Type="http://schemas.openxmlformats.org/officeDocument/2006/relationships/header" Target="header1.xml"/><Relationship Id="rId10" Type="http://schemas.openxmlformats.org/officeDocument/2006/relationships/hyperlink" Target="https://ich.unesco.org/fr/USL/le-festival-du-nouvel-an-des-qiang-00305?USL=00305" TargetMode="External"/><Relationship Id="rId19" Type="http://schemas.openxmlformats.org/officeDocument/2006/relationships/hyperlink" Target="https://ich.unesco.org/doc/src/LHE-19-14.COM-8-FR.docx" TargetMode="External"/><Relationship Id="rId31" Type="http://schemas.openxmlformats.org/officeDocument/2006/relationships/hyperlink" Target="https://ich.unesco.org/fr/decisions/9.COM/9.A.5?dec=decisions&amp;ref_decision=9.COM" TargetMode="External"/><Relationship Id="rId4" Type="http://schemas.openxmlformats.org/officeDocument/2006/relationships/settings" Target="settings.xml"/><Relationship Id="rId9" Type="http://schemas.openxmlformats.org/officeDocument/2006/relationships/hyperlink" Target="https://ich.unesco.org/fr/USL/la-conception-et-les-pratiques-traditionnelles-de-construction-des-ponts-chinois-de-bois-en-arc-00303?USL=00303" TargetMode="External"/><Relationship Id="rId14" Type="http://schemas.openxmlformats.org/officeDocument/2006/relationships/hyperlink" Target="https://ich.unesco.org/fr/9a-rapports-periodiques-lsu-01076" TargetMode="External"/><Relationship Id="rId22" Type="http://schemas.openxmlformats.org/officeDocument/2006/relationships/hyperlink" Target="https://ich.unesco.org/doc/download.php?versionID=55161" TargetMode="External"/><Relationship Id="rId27" Type="http://schemas.openxmlformats.org/officeDocument/2006/relationships/image" Target="media/image1.png"/><Relationship Id="rId30" Type="http://schemas.openxmlformats.org/officeDocument/2006/relationships/hyperlink" Target="https://ich.unesco.org/doc/download.php?versionID=51324" TargetMode="External"/><Relationship Id="rId35" Type="http://schemas.openxmlformats.org/officeDocument/2006/relationships/hyperlink" Target="https://ich.unesco.org/fr/decisions/9.COM/9.A.8?dec=decisions&amp;ref_decision=9.COM" TargetMode="External"/><Relationship Id="rId8" Type="http://schemas.openxmlformats.org/officeDocument/2006/relationships/hyperlink" Target="https://ich.unesco.org/fr/USL/les-techniques-textiles-traditionnelles-des-li-filage-teinture-tissage-et-broderie-00302?USL=00302"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4CD4-70CC-46C3-8F1E-A6DA91C9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64</TotalTime>
  <Pages>12</Pages>
  <Words>7092</Words>
  <Characters>40429</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Ashley Cunnighan</cp:lastModifiedBy>
  <cp:revision>15</cp:revision>
  <cp:lastPrinted>2019-11-06T08:08:00Z</cp:lastPrinted>
  <dcterms:created xsi:type="dcterms:W3CDTF">2019-11-07T16:01:00Z</dcterms:created>
  <dcterms:modified xsi:type="dcterms:W3CDTF">2019-12-07T01:23:00Z</dcterms:modified>
</cp:coreProperties>
</file>