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C363B" w14:textId="0A309DF4" w:rsidR="00EC6F8D" w:rsidRPr="00293466" w:rsidRDefault="00A22812" w:rsidP="00EC6F8D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293C60">
        <w:rPr>
          <w:rFonts w:ascii="Arial" w:hAnsi="Arial" w:cs="Arial"/>
          <w:b/>
          <w:sz w:val="22"/>
          <w:szCs w:val="22"/>
        </w:rPr>
        <w:t>CONVENTION POUR LA SAUVEGARDE</w:t>
      </w:r>
      <w:r w:rsidR="00B13AF0">
        <w:rPr>
          <w:rFonts w:ascii="Arial" w:hAnsi="Arial" w:cs="Arial"/>
          <w:b/>
          <w:sz w:val="22"/>
          <w:szCs w:val="22"/>
        </w:rPr>
        <w:br/>
      </w:r>
      <w:r w:rsidRPr="00293C60">
        <w:rPr>
          <w:rFonts w:ascii="Arial" w:hAnsi="Arial" w:cs="Arial"/>
          <w:b/>
          <w:sz w:val="22"/>
          <w:szCs w:val="22"/>
        </w:rPr>
        <w:t xml:space="preserve"> DU</w:t>
      </w:r>
      <w:r w:rsidR="00B13AF0">
        <w:rPr>
          <w:rFonts w:ascii="Arial" w:hAnsi="Arial" w:cs="Arial"/>
          <w:b/>
          <w:sz w:val="22"/>
          <w:szCs w:val="22"/>
        </w:rPr>
        <w:t xml:space="preserve"> </w:t>
      </w:r>
      <w:r w:rsidRPr="00293C60">
        <w:rPr>
          <w:rFonts w:ascii="Arial" w:hAnsi="Arial" w:cs="Arial"/>
          <w:b/>
          <w:sz w:val="22"/>
          <w:szCs w:val="22"/>
        </w:rPr>
        <w:t>PATRIMOINE CULTUREL IMMATÉRIEL</w:t>
      </w:r>
    </w:p>
    <w:p w14:paraId="49A9690C" w14:textId="56AF9E9F" w:rsidR="00EC6F8D" w:rsidRPr="00293466" w:rsidRDefault="00A22812" w:rsidP="00EC6F8D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293C60">
        <w:rPr>
          <w:rFonts w:ascii="Arial" w:hAnsi="Arial" w:cs="Arial"/>
          <w:b/>
          <w:sz w:val="22"/>
          <w:szCs w:val="22"/>
        </w:rPr>
        <w:t>COMITÉ INTERGOUVERNEMENTAL DE SAUVEGARDE</w:t>
      </w:r>
      <w:r w:rsidR="00B13AF0">
        <w:rPr>
          <w:rFonts w:ascii="Arial" w:hAnsi="Arial" w:cs="Arial"/>
          <w:b/>
          <w:sz w:val="22"/>
          <w:szCs w:val="22"/>
        </w:rPr>
        <w:br/>
      </w:r>
      <w:r w:rsidRPr="00293C60">
        <w:rPr>
          <w:rFonts w:ascii="Arial" w:hAnsi="Arial" w:cs="Arial"/>
          <w:b/>
          <w:sz w:val="22"/>
          <w:szCs w:val="22"/>
        </w:rPr>
        <w:t>DU PATRIMOINE CULTUREL IMMATÉRIEL</w:t>
      </w:r>
    </w:p>
    <w:p w14:paraId="032FD59E" w14:textId="77777777" w:rsidR="00EC6F8D" w:rsidRPr="00293466" w:rsidRDefault="00A22812" w:rsidP="001D14FE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b/>
          <w:sz w:val="22"/>
          <w:szCs w:val="22"/>
          <w:lang w:eastAsia="ko-KR"/>
        </w:rPr>
        <w:t>Quatorzième session</w:t>
      </w:r>
    </w:p>
    <w:p w14:paraId="5D22C339" w14:textId="058B116E" w:rsidR="00C5776D" w:rsidRPr="00293466" w:rsidRDefault="00A22812" w:rsidP="00C5776D">
      <w:pPr>
        <w:jc w:val="center"/>
        <w:rPr>
          <w:rFonts w:ascii="Arial" w:eastAsia="Malgun Gothic" w:hAnsi="Arial" w:cs="Arial"/>
          <w:b/>
          <w:sz w:val="22"/>
          <w:szCs w:val="22"/>
          <w:lang w:eastAsia="ko-KR"/>
        </w:rPr>
      </w:pPr>
      <w:r>
        <w:rPr>
          <w:rFonts w:ascii="Arial" w:eastAsia="Malgun Gothic" w:hAnsi="Arial" w:cs="Arial"/>
          <w:b/>
          <w:sz w:val="22"/>
          <w:szCs w:val="22"/>
          <w:lang w:eastAsia="ko-KR"/>
        </w:rPr>
        <w:t>Bogot</w:t>
      </w:r>
      <w:r w:rsidR="00B13AF0">
        <w:rPr>
          <w:rFonts w:ascii="Arial" w:hAnsi="Arial"/>
          <w:b/>
          <w:sz w:val="22"/>
          <w:szCs w:val="22"/>
        </w:rPr>
        <w:t>á</w:t>
      </w:r>
      <w:r>
        <w:rPr>
          <w:rFonts w:ascii="Arial" w:eastAsia="Malgun Gothic" w:hAnsi="Arial" w:cs="Arial"/>
          <w:b/>
          <w:sz w:val="22"/>
          <w:szCs w:val="22"/>
          <w:lang w:eastAsia="ko-KR"/>
        </w:rPr>
        <w:t>, République de Colombie</w:t>
      </w:r>
    </w:p>
    <w:p w14:paraId="19A83DB9" w14:textId="25F5ECE9" w:rsidR="00EC6F8D" w:rsidRPr="00293466" w:rsidRDefault="00A22812" w:rsidP="00C5776D">
      <w:pPr>
        <w:jc w:val="center"/>
        <w:rPr>
          <w:rFonts w:ascii="Arial" w:eastAsiaTheme="minorEastAsia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</w:rPr>
        <w:t xml:space="preserve">9 </w:t>
      </w:r>
      <w:r w:rsidR="00B13AF0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14 décembre 2019</w:t>
      </w:r>
    </w:p>
    <w:p w14:paraId="6654AEC8" w14:textId="262C2F3B" w:rsidR="00EC6F8D" w:rsidRPr="00293466" w:rsidRDefault="00A22812" w:rsidP="00EC6F8D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293C60">
        <w:rPr>
          <w:rFonts w:ascii="Arial" w:hAnsi="Arial" w:cs="Arial"/>
          <w:b/>
          <w:sz w:val="22"/>
          <w:szCs w:val="22"/>
          <w:u w:val="single"/>
        </w:rPr>
        <w:t>Point 8 de l</w:t>
      </w:r>
      <w:r w:rsidR="004C2331">
        <w:rPr>
          <w:rFonts w:ascii="Arial" w:hAnsi="Arial" w:cs="Arial"/>
          <w:b/>
          <w:sz w:val="22"/>
          <w:szCs w:val="22"/>
          <w:u w:val="single"/>
        </w:rPr>
        <w:t>’</w:t>
      </w:r>
      <w:r w:rsidRPr="00293C60">
        <w:rPr>
          <w:rFonts w:ascii="Arial" w:hAnsi="Arial" w:cs="Arial"/>
          <w:b/>
          <w:sz w:val="22"/>
          <w:szCs w:val="22"/>
          <w:u w:val="single"/>
        </w:rPr>
        <w:t>ordre du jour provisoire </w:t>
      </w:r>
      <w:r w:rsidRPr="00293C60">
        <w:rPr>
          <w:rFonts w:ascii="Arial" w:hAnsi="Arial" w:cs="Arial"/>
          <w:b/>
          <w:sz w:val="22"/>
          <w:szCs w:val="22"/>
        </w:rPr>
        <w:t>:</w:t>
      </w:r>
    </w:p>
    <w:p w14:paraId="59C220EC" w14:textId="4D13A31E" w:rsidR="00EC6F8D" w:rsidRPr="00293466" w:rsidRDefault="00A22812" w:rsidP="00EC6F8D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</w:rPr>
      </w:pPr>
      <w:r w:rsidRPr="001016E7">
        <w:rPr>
          <w:rFonts w:ascii="Arial" w:hAnsi="Arial" w:cs="Arial"/>
          <w:b/>
          <w:sz w:val="22"/>
          <w:szCs w:val="22"/>
        </w:rPr>
        <w:t xml:space="preserve">Réforme du mécanisme </w:t>
      </w:r>
      <w:r w:rsidR="00345DBE">
        <w:rPr>
          <w:rFonts w:ascii="Arial" w:hAnsi="Arial" w:cs="Arial"/>
          <w:b/>
          <w:sz w:val="22"/>
          <w:szCs w:val="22"/>
        </w:rPr>
        <w:t>des</w:t>
      </w:r>
      <w:r w:rsidRPr="001016E7">
        <w:rPr>
          <w:rFonts w:ascii="Arial" w:hAnsi="Arial" w:cs="Arial"/>
          <w:b/>
          <w:sz w:val="22"/>
          <w:szCs w:val="22"/>
        </w:rPr>
        <w:t xml:space="preserve"> rapport</w:t>
      </w:r>
      <w:r w:rsidR="00293466">
        <w:rPr>
          <w:rFonts w:ascii="Arial" w:hAnsi="Arial" w:cs="Arial"/>
          <w:b/>
          <w:sz w:val="22"/>
          <w:szCs w:val="22"/>
        </w:rPr>
        <w:t>s</w:t>
      </w:r>
      <w:r w:rsidRPr="001016E7">
        <w:rPr>
          <w:rFonts w:ascii="Arial" w:hAnsi="Arial" w:cs="Arial"/>
          <w:b/>
          <w:sz w:val="22"/>
          <w:szCs w:val="22"/>
        </w:rPr>
        <w:t xml:space="preserve"> périodique</w:t>
      </w:r>
      <w:r w:rsidR="00293466">
        <w:rPr>
          <w:rFonts w:ascii="Arial" w:hAnsi="Arial" w:cs="Arial"/>
          <w:b/>
          <w:sz w:val="22"/>
          <w:szCs w:val="22"/>
        </w:rPr>
        <w:t>s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F11B98" w14:paraId="215A99AD" w14:textId="77777777" w:rsidTr="00EC6F8D">
        <w:trPr>
          <w:jc w:val="center"/>
        </w:trPr>
        <w:tc>
          <w:tcPr>
            <w:tcW w:w="5670" w:type="dxa"/>
            <w:vAlign w:val="center"/>
          </w:tcPr>
          <w:p w14:paraId="0775D7A7" w14:textId="77777777" w:rsidR="00EC6F8D" w:rsidRPr="00293466" w:rsidRDefault="00A22812" w:rsidP="00CA56BB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3C60">
              <w:rPr>
                <w:rFonts w:ascii="Arial" w:hAnsi="Arial" w:cs="Arial"/>
                <w:b/>
                <w:sz w:val="22"/>
                <w:szCs w:val="22"/>
              </w:rPr>
              <w:t>Résumé</w:t>
            </w:r>
          </w:p>
          <w:p w14:paraId="4EDED3F2" w14:textId="239981DE" w:rsidR="00EC6F8D" w:rsidRPr="00293466" w:rsidRDefault="006B6668" w:rsidP="00CA56BB">
            <w:pPr>
              <w:pStyle w:val="Sansinterligne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Depuis</w:t>
            </w:r>
            <w:r w:rsidRPr="00F53D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2812" w:rsidRPr="00F53D5C">
              <w:rPr>
                <w:rFonts w:ascii="Arial" w:hAnsi="Arial" w:cs="Arial"/>
                <w:sz w:val="22"/>
                <w:szCs w:val="22"/>
              </w:rPr>
              <w:t xml:space="preserve">2017, une </w:t>
            </w:r>
            <w:r w:rsidR="00293466">
              <w:rPr>
                <w:rFonts w:ascii="Arial" w:hAnsi="Arial" w:cs="Arial"/>
                <w:sz w:val="22"/>
                <w:szCs w:val="22"/>
              </w:rPr>
              <w:t xml:space="preserve">profonde </w:t>
            </w:r>
            <w:r w:rsidR="00A22812" w:rsidRPr="00F53D5C">
              <w:rPr>
                <w:rFonts w:ascii="Arial" w:hAnsi="Arial" w:cs="Arial"/>
                <w:sz w:val="22"/>
                <w:szCs w:val="22"/>
              </w:rPr>
              <w:t>réforme du mécanisme de</w:t>
            </w:r>
            <w:r w:rsidR="00345DBE">
              <w:rPr>
                <w:rFonts w:ascii="Arial" w:hAnsi="Arial" w:cs="Arial"/>
                <w:sz w:val="22"/>
                <w:szCs w:val="22"/>
              </w:rPr>
              <w:t xml:space="preserve"> soumission des</w:t>
            </w:r>
            <w:r w:rsidR="00A22812" w:rsidRPr="00F53D5C">
              <w:rPr>
                <w:rFonts w:ascii="Arial" w:hAnsi="Arial" w:cs="Arial"/>
                <w:sz w:val="22"/>
                <w:szCs w:val="22"/>
              </w:rPr>
              <w:t xml:space="preserve"> rapport</w:t>
            </w:r>
            <w:r w:rsidR="00293466">
              <w:rPr>
                <w:rFonts w:ascii="Arial" w:hAnsi="Arial" w:cs="Arial"/>
                <w:sz w:val="22"/>
                <w:szCs w:val="22"/>
              </w:rPr>
              <w:t>s</w:t>
            </w:r>
            <w:r w:rsidR="00A22812" w:rsidRPr="00F53D5C">
              <w:rPr>
                <w:rFonts w:ascii="Arial" w:hAnsi="Arial" w:cs="Arial"/>
                <w:sz w:val="22"/>
                <w:szCs w:val="22"/>
              </w:rPr>
              <w:t xml:space="preserve"> périodique</w:t>
            </w:r>
            <w:r w:rsidR="00293466">
              <w:rPr>
                <w:rFonts w:ascii="Arial" w:hAnsi="Arial" w:cs="Arial"/>
                <w:sz w:val="22"/>
                <w:szCs w:val="22"/>
              </w:rPr>
              <w:t>s</w:t>
            </w:r>
            <w:r w:rsidR="00A22812" w:rsidRPr="00F53D5C">
              <w:rPr>
                <w:rFonts w:ascii="Arial" w:hAnsi="Arial" w:cs="Arial"/>
                <w:sz w:val="22"/>
                <w:szCs w:val="22"/>
              </w:rPr>
              <w:t xml:space="preserve"> a été </w:t>
            </w:r>
            <w:r w:rsidR="00293466">
              <w:rPr>
                <w:rFonts w:ascii="Arial" w:hAnsi="Arial" w:cs="Arial"/>
                <w:sz w:val="22"/>
                <w:szCs w:val="22"/>
              </w:rPr>
              <w:t>lancée</w:t>
            </w:r>
            <w:r w:rsidR="00A22812" w:rsidRPr="00F53D5C">
              <w:rPr>
                <w:rFonts w:ascii="Arial" w:hAnsi="Arial" w:cs="Arial"/>
                <w:sz w:val="22"/>
                <w:szCs w:val="22"/>
              </w:rPr>
              <w:t xml:space="preserve"> afin d</w:t>
            </w:r>
            <w:r w:rsidR="004C2331">
              <w:rPr>
                <w:rFonts w:ascii="Arial" w:hAnsi="Arial" w:cs="Arial"/>
                <w:sz w:val="22"/>
                <w:szCs w:val="22"/>
              </w:rPr>
              <w:t>’</w:t>
            </w:r>
            <w:r w:rsidR="00A22812" w:rsidRPr="00F53D5C">
              <w:rPr>
                <w:rFonts w:ascii="Arial" w:hAnsi="Arial" w:cs="Arial"/>
                <w:sz w:val="22"/>
                <w:szCs w:val="22"/>
              </w:rPr>
              <w:t xml:space="preserve">améliorer </w:t>
            </w:r>
            <w:r w:rsidR="00293466">
              <w:rPr>
                <w:rFonts w:ascii="Arial" w:hAnsi="Arial" w:cs="Arial"/>
                <w:sz w:val="22"/>
                <w:szCs w:val="22"/>
              </w:rPr>
              <w:t>sa</w:t>
            </w:r>
            <w:r w:rsidR="00A22812" w:rsidRPr="00F53D5C">
              <w:rPr>
                <w:rFonts w:ascii="Arial" w:hAnsi="Arial" w:cs="Arial"/>
                <w:sz w:val="22"/>
                <w:szCs w:val="22"/>
              </w:rPr>
              <w:t xml:space="preserve"> qualité, de l</w:t>
            </w:r>
            <w:r w:rsidR="004C2331">
              <w:rPr>
                <w:rFonts w:ascii="Arial" w:hAnsi="Arial" w:cs="Arial"/>
                <w:sz w:val="22"/>
                <w:szCs w:val="22"/>
              </w:rPr>
              <w:t>’</w:t>
            </w:r>
            <w:r w:rsidR="00A22812" w:rsidRPr="00F53D5C">
              <w:rPr>
                <w:rFonts w:ascii="Arial" w:hAnsi="Arial" w:cs="Arial"/>
                <w:sz w:val="22"/>
                <w:szCs w:val="22"/>
              </w:rPr>
              <w:t xml:space="preserve">aligner sur le cadre global de résultats de la Convention de 2003 et </w:t>
            </w:r>
            <w:r w:rsidR="00293466">
              <w:rPr>
                <w:rFonts w:ascii="Arial" w:hAnsi="Arial" w:cs="Arial"/>
                <w:sz w:val="22"/>
                <w:szCs w:val="22"/>
              </w:rPr>
              <w:t>d</w:t>
            </w:r>
            <w:r w:rsidR="004C2331">
              <w:rPr>
                <w:rFonts w:ascii="Arial" w:hAnsi="Arial" w:cs="Arial"/>
                <w:sz w:val="22"/>
                <w:szCs w:val="22"/>
              </w:rPr>
              <w:t>’</w:t>
            </w:r>
            <w:r w:rsidR="00DE68EC">
              <w:rPr>
                <w:rFonts w:ascii="Arial" w:hAnsi="Arial" w:cs="Arial"/>
                <w:sz w:val="22"/>
                <w:szCs w:val="22"/>
              </w:rPr>
              <w:t>améliorer</w:t>
            </w:r>
            <w:r w:rsidR="004C23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2812" w:rsidRPr="00F53D5C">
              <w:rPr>
                <w:rFonts w:ascii="Arial" w:hAnsi="Arial" w:cs="Arial"/>
                <w:sz w:val="22"/>
                <w:szCs w:val="22"/>
              </w:rPr>
              <w:t>l</w:t>
            </w:r>
            <w:r w:rsidR="004C2331">
              <w:rPr>
                <w:rFonts w:ascii="Arial" w:hAnsi="Arial" w:cs="Arial"/>
                <w:sz w:val="22"/>
                <w:szCs w:val="22"/>
              </w:rPr>
              <w:t>’</w:t>
            </w:r>
            <w:r w:rsidR="00A22812" w:rsidRPr="00F53D5C">
              <w:rPr>
                <w:rFonts w:ascii="Arial" w:hAnsi="Arial" w:cs="Arial"/>
                <w:sz w:val="22"/>
                <w:szCs w:val="22"/>
              </w:rPr>
              <w:t xml:space="preserve">efficacité du suivi de la mise en œuvre de la Convention. </w:t>
            </w:r>
            <w:r w:rsidR="00293466">
              <w:rPr>
                <w:rFonts w:ascii="Arial" w:hAnsi="Arial" w:cs="Arial"/>
                <w:sz w:val="22"/>
                <w:szCs w:val="22"/>
              </w:rPr>
              <w:t xml:space="preserve">Ce </w:t>
            </w:r>
            <w:r w:rsidR="00A22812" w:rsidRPr="00F53D5C">
              <w:rPr>
                <w:rFonts w:ascii="Arial" w:hAnsi="Arial" w:cs="Arial"/>
                <w:sz w:val="22"/>
                <w:szCs w:val="22"/>
              </w:rPr>
              <w:t>document présente les informations les plus récentes</w:t>
            </w:r>
            <w:r w:rsidR="00293466">
              <w:rPr>
                <w:rFonts w:ascii="Arial" w:hAnsi="Arial" w:cs="Arial"/>
                <w:sz w:val="22"/>
                <w:szCs w:val="22"/>
              </w:rPr>
              <w:t xml:space="preserve"> au sujet de</w:t>
            </w:r>
            <w:r w:rsidR="00A22812" w:rsidRPr="00F53D5C">
              <w:rPr>
                <w:rFonts w:ascii="Arial" w:hAnsi="Arial" w:cs="Arial"/>
                <w:sz w:val="22"/>
                <w:szCs w:val="22"/>
              </w:rPr>
              <w:t xml:space="preserve"> la réforme, </w:t>
            </w:r>
            <w:r w:rsidR="00293466">
              <w:rPr>
                <w:rFonts w:ascii="Arial" w:hAnsi="Arial" w:cs="Arial"/>
                <w:sz w:val="22"/>
                <w:szCs w:val="22"/>
              </w:rPr>
              <w:t>et notamment de</w:t>
            </w:r>
            <w:r w:rsidR="00A22812" w:rsidRPr="00F53D5C">
              <w:rPr>
                <w:rFonts w:ascii="Arial" w:hAnsi="Arial" w:cs="Arial"/>
                <w:sz w:val="22"/>
                <w:szCs w:val="22"/>
              </w:rPr>
              <w:t xml:space="preserve"> la période de transition qui touche bientôt à </w:t>
            </w:r>
            <w:r w:rsidR="00293466">
              <w:rPr>
                <w:rFonts w:ascii="Arial" w:hAnsi="Arial" w:cs="Arial"/>
                <w:sz w:val="22"/>
                <w:szCs w:val="22"/>
              </w:rPr>
              <w:t>son terme</w:t>
            </w:r>
            <w:r w:rsidR="00A22812" w:rsidRPr="00F53D5C">
              <w:rPr>
                <w:rFonts w:ascii="Arial" w:hAnsi="Arial" w:cs="Arial"/>
                <w:sz w:val="22"/>
                <w:szCs w:val="22"/>
              </w:rPr>
              <w:t>,</w:t>
            </w:r>
            <w:r w:rsidR="00293466">
              <w:rPr>
                <w:rFonts w:ascii="Arial" w:hAnsi="Arial" w:cs="Arial"/>
                <w:sz w:val="22"/>
                <w:szCs w:val="22"/>
              </w:rPr>
              <w:t xml:space="preserve"> en vue</w:t>
            </w:r>
            <w:r w:rsidR="00A22812" w:rsidRPr="00F53D5C">
              <w:rPr>
                <w:rFonts w:ascii="Arial" w:hAnsi="Arial" w:cs="Arial"/>
                <w:sz w:val="22"/>
                <w:szCs w:val="22"/>
              </w:rPr>
              <w:t xml:space="preserve"> du premier cycle de</w:t>
            </w:r>
            <w:r w:rsidR="00345DBE">
              <w:rPr>
                <w:rFonts w:ascii="Arial" w:hAnsi="Arial" w:cs="Arial"/>
                <w:sz w:val="22"/>
                <w:szCs w:val="22"/>
              </w:rPr>
              <w:t xml:space="preserve"> soumission de</w:t>
            </w:r>
            <w:r w:rsidR="00A22812" w:rsidRPr="00F53D5C">
              <w:rPr>
                <w:rFonts w:ascii="Arial" w:hAnsi="Arial" w:cs="Arial"/>
                <w:sz w:val="22"/>
                <w:szCs w:val="22"/>
              </w:rPr>
              <w:t xml:space="preserve"> rapport</w:t>
            </w:r>
            <w:r w:rsidR="00345DBE">
              <w:rPr>
                <w:rFonts w:ascii="Arial" w:hAnsi="Arial" w:cs="Arial"/>
                <w:sz w:val="22"/>
                <w:szCs w:val="22"/>
              </w:rPr>
              <w:t>s</w:t>
            </w:r>
            <w:r w:rsidR="00A22812" w:rsidRPr="00F53D5C">
              <w:rPr>
                <w:rFonts w:ascii="Arial" w:hAnsi="Arial" w:cs="Arial"/>
                <w:sz w:val="22"/>
                <w:szCs w:val="22"/>
              </w:rPr>
              <w:t xml:space="preserve"> régiona</w:t>
            </w:r>
            <w:r w:rsidR="00345DBE">
              <w:rPr>
                <w:rFonts w:ascii="Arial" w:hAnsi="Arial" w:cs="Arial"/>
                <w:sz w:val="22"/>
                <w:szCs w:val="22"/>
              </w:rPr>
              <w:t>ux</w:t>
            </w:r>
            <w:r w:rsidR="00A22812" w:rsidRPr="00F53D5C">
              <w:rPr>
                <w:rFonts w:ascii="Arial" w:hAnsi="Arial" w:cs="Arial"/>
                <w:sz w:val="22"/>
                <w:szCs w:val="22"/>
              </w:rPr>
              <w:t xml:space="preserve"> qui </w:t>
            </w:r>
            <w:r w:rsidR="00293466">
              <w:rPr>
                <w:rFonts w:ascii="Arial" w:hAnsi="Arial" w:cs="Arial"/>
                <w:sz w:val="22"/>
                <w:szCs w:val="22"/>
              </w:rPr>
              <w:t xml:space="preserve">se tiendra </w:t>
            </w:r>
            <w:r w:rsidR="00A22812" w:rsidRPr="00F53D5C">
              <w:rPr>
                <w:rFonts w:ascii="Arial" w:hAnsi="Arial" w:cs="Arial"/>
                <w:sz w:val="22"/>
                <w:szCs w:val="22"/>
              </w:rPr>
              <w:t xml:space="preserve">en 2020 </w:t>
            </w:r>
            <w:r w:rsidR="00293466">
              <w:rPr>
                <w:rFonts w:ascii="Arial" w:hAnsi="Arial" w:cs="Arial"/>
                <w:sz w:val="22"/>
                <w:szCs w:val="22"/>
              </w:rPr>
              <w:t>pour l</w:t>
            </w:r>
            <w:r w:rsidR="004C2331">
              <w:rPr>
                <w:rFonts w:ascii="Arial" w:hAnsi="Arial" w:cs="Arial"/>
                <w:sz w:val="22"/>
                <w:szCs w:val="22"/>
              </w:rPr>
              <w:t>’</w:t>
            </w:r>
            <w:r w:rsidR="00A22812" w:rsidRPr="00F53D5C">
              <w:rPr>
                <w:rFonts w:ascii="Arial" w:hAnsi="Arial" w:cs="Arial"/>
                <w:sz w:val="22"/>
                <w:szCs w:val="22"/>
              </w:rPr>
              <w:t xml:space="preserve">Amérique latine et </w:t>
            </w:r>
            <w:r w:rsidR="00DE68EC">
              <w:rPr>
                <w:rFonts w:ascii="Arial" w:hAnsi="Arial" w:cs="Arial"/>
                <w:sz w:val="22"/>
                <w:szCs w:val="22"/>
              </w:rPr>
              <w:t>l</w:t>
            </w:r>
            <w:r w:rsidR="00A22812" w:rsidRPr="00F53D5C">
              <w:rPr>
                <w:rFonts w:ascii="Arial" w:hAnsi="Arial" w:cs="Arial"/>
                <w:sz w:val="22"/>
                <w:szCs w:val="22"/>
              </w:rPr>
              <w:t>es Caraïbes.</w:t>
            </w:r>
          </w:p>
          <w:p w14:paraId="5575C02E" w14:textId="77777777" w:rsidR="00EC6F8D" w:rsidRPr="00293C60" w:rsidRDefault="00A22812" w:rsidP="00F53D5C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93C60">
              <w:rPr>
                <w:rFonts w:ascii="Arial" w:hAnsi="Arial" w:cs="Arial"/>
                <w:b/>
                <w:sz w:val="22"/>
                <w:szCs w:val="22"/>
              </w:rPr>
              <w:t xml:space="preserve">Décision requise : </w:t>
            </w:r>
            <w:r w:rsidRPr="00293C60">
              <w:rPr>
                <w:rFonts w:ascii="Arial" w:hAnsi="Arial" w:cs="Arial"/>
                <w:bCs/>
                <w:sz w:val="22"/>
                <w:szCs w:val="22"/>
              </w:rPr>
              <w:t xml:space="preserve">paragraphe </w:t>
            </w:r>
            <w:r w:rsidRPr="00B13AF0"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</w:tr>
    </w:tbl>
    <w:p w14:paraId="2BC64A15" w14:textId="77777777" w:rsidR="001016E7" w:rsidRDefault="00A22812" w:rsidP="007525C0">
      <w:pPr>
        <w:pStyle w:val="COMPara"/>
        <w:jc w:val="both"/>
      </w:pPr>
      <w:r w:rsidRPr="00414643">
        <w:br w:type="page"/>
      </w:r>
    </w:p>
    <w:p w14:paraId="7114BF00" w14:textId="77777777" w:rsidR="008829EB" w:rsidRPr="0092668E" w:rsidRDefault="00A22812" w:rsidP="0092668E">
      <w:pPr>
        <w:pStyle w:val="COMPara"/>
        <w:keepNext/>
        <w:numPr>
          <w:ilvl w:val="4"/>
          <w:numId w:val="13"/>
        </w:numPr>
        <w:spacing w:before="240"/>
        <w:ind w:left="567" w:hanging="567"/>
        <w:jc w:val="both"/>
        <w:rPr>
          <w:b/>
        </w:rPr>
      </w:pPr>
      <w:r w:rsidRPr="0092668E">
        <w:rPr>
          <w:b/>
          <w:lang w:val="fr-FR"/>
        </w:rPr>
        <w:lastRenderedPageBreak/>
        <w:t>Contexte</w:t>
      </w:r>
    </w:p>
    <w:p w14:paraId="43F045C1" w14:textId="4993103C" w:rsidR="000A7002" w:rsidRPr="00B13AF0" w:rsidRDefault="00A22812" w:rsidP="00B13AF0">
      <w:pPr>
        <w:pStyle w:val="COMPara"/>
        <w:numPr>
          <w:ilvl w:val="0"/>
          <w:numId w:val="39"/>
        </w:numPr>
        <w:ind w:left="567" w:hanging="567"/>
        <w:jc w:val="both"/>
        <w:rPr>
          <w:lang w:val="fr-FR"/>
        </w:rPr>
      </w:pPr>
      <w:r w:rsidRPr="00B13AF0">
        <w:rPr>
          <w:lang w:val="fr-FR"/>
        </w:rPr>
        <w:t xml:space="preserve">Lors de sa douzième session en décembre 2017, le Comité a décidé de réformer le mécanisme de </w:t>
      </w:r>
      <w:r w:rsidR="00345DBE" w:rsidRPr="00B13AF0">
        <w:rPr>
          <w:lang w:val="fr-FR"/>
        </w:rPr>
        <w:t xml:space="preserve">soumission des </w:t>
      </w:r>
      <w:r w:rsidRPr="00B13AF0">
        <w:rPr>
          <w:lang w:val="fr-FR"/>
        </w:rPr>
        <w:t>rapport</w:t>
      </w:r>
      <w:r w:rsidR="00345DBE" w:rsidRPr="00B13AF0">
        <w:rPr>
          <w:lang w:val="fr-FR"/>
        </w:rPr>
        <w:t>s</w:t>
      </w:r>
      <w:r w:rsidRPr="00B13AF0">
        <w:rPr>
          <w:lang w:val="fr-FR"/>
        </w:rPr>
        <w:t xml:space="preserve"> périodique</w:t>
      </w:r>
      <w:r w:rsidR="00345DBE" w:rsidRPr="00B13AF0">
        <w:rPr>
          <w:lang w:val="fr-FR"/>
        </w:rPr>
        <w:t>s afin d</w:t>
      </w:r>
      <w:r w:rsidR="004C2331">
        <w:rPr>
          <w:lang w:val="fr-FR"/>
        </w:rPr>
        <w:t>’</w:t>
      </w:r>
      <w:r w:rsidR="00345DBE" w:rsidRPr="00B13AF0">
        <w:rPr>
          <w:lang w:val="fr-FR"/>
        </w:rPr>
        <w:t>en</w:t>
      </w:r>
      <w:r w:rsidRPr="00B13AF0">
        <w:rPr>
          <w:lang w:val="fr-FR"/>
        </w:rPr>
        <w:t xml:space="preserve"> améliorer la qualité, l</w:t>
      </w:r>
      <w:r w:rsidR="004C2331">
        <w:rPr>
          <w:lang w:val="fr-FR"/>
        </w:rPr>
        <w:t>’</w:t>
      </w:r>
      <w:r w:rsidRPr="00B13AF0">
        <w:rPr>
          <w:lang w:val="fr-FR"/>
        </w:rPr>
        <w:t xml:space="preserve">utilité et la </w:t>
      </w:r>
      <w:r w:rsidR="0042183C">
        <w:rPr>
          <w:lang w:val="fr-FR"/>
        </w:rPr>
        <w:t>rapidité</w:t>
      </w:r>
      <w:r w:rsidR="002A287B" w:rsidRPr="00B13AF0">
        <w:rPr>
          <w:lang w:val="fr-FR"/>
        </w:rPr>
        <w:t xml:space="preserve">, ainsi que pour remédier au faible taux de </w:t>
      </w:r>
      <w:r w:rsidR="00B82C10">
        <w:rPr>
          <w:lang w:val="fr-FR"/>
        </w:rPr>
        <w:t>soumission de rapports</w:t>
      </w:r>
      <w:r w:rsidR="002A287B" w:rsidRPr="00B13AF0">
        <w:rPr>
          <w:lang w:val="fr-FR"/>
        </w:rPr>
        <w:t xml:space="preserve"> au cours des premiers cycles</w:t>
      </w:r>
      <w:r w:rsidRPr="00B13AF0">
        <w:rPr>
          <w:lang w:val="fr-FR"/>
        </w:rPr>
        <w:t xml:space="preserve">. La réforme visait également à assurer que le processus soit clairement </w:t>
      </w:r>
      <w:r w:rsidRPr="00502875">
        <w:rPr>
          <w:lang w:val="fr-FR"/>
        </w:rPr>
        <w:t xml:space="preserve">conforme </w:t>
      </w:r>
      <w:r w:rsidRPr="00B13AF0">
        <w:rPr>
          <w:lang w:val="fr-FR"/>
        </w:rPr>
        <w:t>aux principaux objectifs de la mise en œuvre de la Convention de 2003 et à permettre un suivi plus efficace en vue de la réalisation de ces objectifs (</w:t>
      </w:r>
      <w:hyperlink r:id="rId8" w:history="1">
        <w:r w:rsidR="006C5FC6">
          <w:rPr>
            <w:rStyle w:val="Hyperlink"/>
            <w:lang w:val="fr-FR"/>
          </w:rPr>
          <w:t>d</w:t>
        </w:r>
        <w:r w:rsidRPr="002E2A92">
          <w:rPr>
            <w:rStyle w:val="Hyperlink"/>
            <w:lang w:val="fr-FR"/>
          </w:rPr>
          <w:t>écision 12.COM 10</w:t>
        </w:r>
      </w:hyperlink>
      <w:r w:rsidRPr="00B13AF0">
        <w:rPr>
          <w:lang w:val="fr-FR"/>
        </w:rPr>
        <w:t xml:space="preserve">). À cette même occasion, le Comité a </w:t>
      </w:r>
      <w:r w:rsidR="00345DBE" w:rsidRPr="00B13AF0">
        <w:rPr>
          <w:lang w:val="fr-FR"/>
        </w:rPr>
        <w:t xml:space="preserve">également </w:t>
      </w:r>
      <w:r w:rsidRPr="00B13AF0">
        <w:rPr>
          <w:lang w:val="fr-FR"/>
        </w:rPr>
        <w:t>décidé</w:t>
      </w:r>
      <w:r w:rsidR="00345DBE" w:rsidRPr="00B13AF0">
        <w:rPr>
          <w:lang w:val="fr-FR"/>
        </w:rPr>
        <w:t>, sur la base de l</w:t>
      </w:r>
      <w:r w:rsidR="004C2331">
        <w:rPr>
          <w:lang w:val="fr-FR"/>
        </w:rPr>
        <w:t>’</w:t>
      </w:r>
      <w:r w:rsidR="00345DBE" w:rsidRPr="00B13AF0">
        <w:rPr>
          <w:lang w:val="fr-FR"/>
        </w:rPr>
        <w:t>article 29,</w:t>
      </w:r>
      <w:r w:rsidRPr="00B13AF0">
        <w:rPr>
          <w:lang w:val="fr-FR"/>
        </w:rPr>
        <w:t xml:space="preserve"> de modifier </w:t>
      </w:r>
      <w:r w:rsidR="00345DBE" w:rsidRPr="00B13AF0">
        <w:rPr>
          <w:lang w:val="fr-FR"/>
        </w:rPr>
        <w:t>la périodicité</w:t>
      </w:r>
      <w:r w:rsidRPr="00B13AF0">
        <w:rPr>
          <w:lang w:val="fr-FR"/>
        </w:rPr>
        <w:t xml:space="preserve"> de soumission des rapports sur la mise en œuvre de la Convention</w:t>
      </w:r>
      <w:r w:rsidR="00A24E5D" w:rsidRPr="00B13AF0">
        <w:rPr>
          <w:lang w:val="fr-FR"/>
        </w:rPr>
        <w:t xml:space="preserve">, de sorte que les </w:t>
      </w:r>
      <w:r w:rsidRPr="00B13AF0">
        <w:rPr>
          <w:lang w:val="fr-FR"/>
        </w:rPr>
        <w:t>États parties soumettr</w:t>
      </w:r>
      <w:r w:rsidR="00A24E5D" w:rsidRPr="00B13AF0">
        <w:rPr>
          <w:lang w:val="fr-FR"/>
        </w:rPr>
        <w:t>ont</w:t>
      </w:r>
      <w:r w:rsidRPr="00B13AF0">
        <w:rPr>
          <w:lang w:val="fr-FR"/>
        </w:rPr>
        <w:t xml:space="preserve"> leur rapport tous les six ans</w:t>
      </w:r>
      <w:r w:rsidR="00345DBE" w:rsidRPr="00B13AF0">
        <w:rPr>
          <w:lang w:val="fr-FR"/>
        </w:rPr>
        <w:t>,</w:t>
      </w:r>
      <w:r w:rsidRPr="00B13AF0">
        <w:rPr>
          <w:lang w:val="fr-FR"/>
        </w:rPr>
        <w:t xml:space="preserve"> selon un</w:t>
      </w:r>
      <w:r w:rsidR="00345DBE" w:rsidRPr="00B13AF0">
        <w:rPr>
          <w:lang w:val="fr-FR"/>
        </w:rPr>
        <w:t xml:space="preserve"> principe de</w:t>
      </w:r>
      <w:r w:rsidRPr="00B13AF0">
        <w:rPr>
          <w:lang w:val="fr-FR"/>
        </w:rPr>
        <w:t xml:space="preserve"> rotation régionale. Pour faciliter la réforme</w:t>
      </w:r>
      <w:r w:rsidR="00345DBE" w:rsidRPr="00B13AF0">
        <w:rPr>
          <w:lang w:val="fr-FR"/>
        </w:rPr>
        <w:t>,</w:t>
      </w:r>
      <w:r w:rsidRPr="00B13AF0">
        <w:rPr>
          <w:lang w:val="fr-FR"/>
        </w:rPr>
        <w:t xml:space="preserve"> le Comité a </w:t>
      </w:r>
      <w:r w:rsidR="00A24E5D" w:rsidRPr="00B13AF0">
        <w:rPr>
          <w:lang w:val="fr-FR"/>
        </w:rPr>
        <w:t xml:space="preserve">décidé </w:t>
      </w:r>
      <w:r w:rsidR="00345DBE" w:rsidRPr="00B13AF0">
        <w:rPr>
          <w:lang w:val="fr-FR"/>
        </w:rPr>
        <w:t>que</w:t>
      </w:r>
      <w:r w:rsidRPr="00B13AF0">
        <w:rPr>
          <w:lang w:val="fr-FR"/>
        </w:rPr>
        <w:t xml:space="preserve"> les rapports périodiques sur la mise en œuvre de la Convention et les éléments inscrits sur la Liste représentative du patrimoine culturel immatériel de l</w:t>
      </w:r>
      <w:r w:rsidR="004C2331">
        <w:rPr>
          <w:lang w:val="fr-FR"/>
        </w:rPr>
        <w:t>’</w:t>
      </w:r>
      <w:r w:rsidRPr="00B13AF0">
        <w:rPr>
          <w:lang w:val="fr-FR"/>
        </w:rPr>
        <w:t xml:space="preserve">humanité soumis au plus tard le 15 décembre 2017 </w:t>
      </w:r>
      <w:r w:rsidR="00345DBE" w:rsidRPr="00B13AF0">
        <w:rPr>
          <w:lang w:val="fr-FR"/>
        </w:rPr>
        <w:t xml:space="preserve">seraient le </w:t>
      </w:r>
      <w:r w:rsidRPr="00B13AF0">
        <w:rPr>
          <w:lang w:val="fr-FR"/>
        </w:rPr>
        <w:t xml:space="preserve">dernier </w:t>
      </w:r>
      <w:r w:rsidR="00345DBE" w:rsidRPr="00B13AF0">
        <w:rPr>
          <w:lang w:val="fr-FR"/>
        </w:rPr>
        <w:t>groupe</w:t>
      </w:r>
      <w:r w:rsidRPr="00B13AF0">
        <w:rPr>
          <w:lang w:val="fr-FR"/>
        </w:rPr>
        <w:t xml:space="preserve"> </w:t>
      </w:r>
      <w:r w:rsidR="00345DBE" w:rsidRPr="00B13AF0">
        <w:rPr>
          <w:lang w:val="fr-FR"/>
        </w:rPr>
        <w:t xml:space="preserve">à être examiné </w:t>
      </w:r>
      <w:r w:rsidRPr="00B13AF0">
        <w:rPr>
          <w:lang w:val="fr-FR"/>
        </w:rPr>
        <w:t>dans le cadre du système d</w:t>
      </w:r>
      <w:r w:rsidR="004C2331">
        <w:rPr>
          <w:lang w:val="fr-FR"/>
        </w:rPr>
        <w:t>’</w:t>
      </w:r>
      <w:r w:rsidRPr="00B13AF0">
        <w:rPr>
          <w:lang w:val="fr-FR"/>
        </w:rPr>
        <w:t>origine. Le Comité a également indiqu</w:t>
      </w:r>
      <w:r w:rsidR="008A41F9" w:rsidRPr="00B13AF0">
        <w:rPr>
          <w:lang w:val="fr-FR"/>
        </w:rPr>
        <w:t>é</w:t>
      </w:r>
      <w:r w:rsidRPr="00B13AF0">
        <w:rPr>
          <w:lang w:val="fr-FR"/>
        </w:rPr>
        <w:t xml:space="preserve"> que le mécanisme réform</w:t>
      </w:r>
      <w:r w:rsidR="008A41F9" w:rsidRPr="00B13AF0">
        <w:rPr>
          <w:lang w:val="fr-FR"/>
        </w:rPr>
        <w:t xml:space="preserve">é </w:t>
      </w:r>
      <w:r w:rsidRPr="00B13AF0">
        <w:rPr>
          <w:lang w:val="fr-FR"/>
        </w:rPr>
        <w:t xml:space="preserve">reprendrait </w:t>
      </w:r>
      <w:r w:rsidR="008A41F9" w:rsidRPr="00B13AF0">
        <w:rPr>
          <w:lang w:val="fr-FR"/>
        </w:rPr>
        <w:t>avec les</w:t>
      </w:r>
      <w:r w:rsidRPr="00B13AF0">
        <w:rPr>
          <w:lang w:val="fr-FR"/>
        </w:rPr>
        <w:t xml:space="preserve"> rapports </w:t>
      </w:r>
      <w:r w:rsidR="008A41F9" w:rsidRPr="00B13AF0">
        <w:rPr>
          <w:lang w:val="fr-FR"/>
        </w:rPr>
        <w:t xml:space="preserve">soumis par </w:t>
      </w:r>
      <w:r w:rsidRPr="00B13AF0">
        <w:rPr>
          <w:lang w:val="fr-FR"/>
        </w:rPr>
        <w:t xml:space="preserve">la première région </w:t>
      </w:r>
      <w:r w:rsidR="008A41F9" w:rsidRPr="00B13AF0">
        <w:rPr>
          <w:lang w:val="fr-FR"/>
        </w:rPr>
        <w:t>avant</w:t>
      </w:r>
      <w:r w:rsidRPr="00B13AF0">
        <w:rPr>
          <w:lang w:val="fr-FR"/>
        </w:rPr>
        <w:t xml:space="preserve"> le 15 décembre 2020, pour examen par le Comité lors de sa seizième session en 2021.</w:t>
      </w:r>
    </w:p>
    <w:p w14:paraId="73B0E689" w14:textId="24BA9A51" w:rsidR="00F26C9F" w:rsidRPr="00293466" w:rsidRDefault="00A22812" w:rsidP="000A7002">
      <w:pPr>
        <w:pStyle w:val="COMPara"/>
        <w:ind w:left="567" w:hanging="567"/>
        <w:jc w:val="both"/>
        <w:rPr>
          <w:lang w:val="fr-FR"/>
        </w:rPr>
      </w:pPr>
      <w:r>
        <w:rPr>
          <w:lang w:val="fr-FR"/>
        </w:rPr>
        <w:t>Lors de sa septième session en juin 2018, l</w:t>
      </w:r>
      <w:r w:rsidR="004C2331">
        <w:rPr>
          <w:lang w:val="fr-FR"/>
        </w:rPr>
        <w:t>’</w:t>
      </w:r>
      <w:r>
        <w:rPr>
          <w:lang w:val="fr-FR"/>
        </w:rPr>
        <w:t>Assemblée générale a pris plusieurs décisions importantes au sujet de cette réforme. D</w:t>
      </w:r>
      <w:r w:rsidR="004C2331">
        <w:rPr>
          <w:lang w:val="fr-FR"/>
        </w:rPr>
        <w:t>’</w:t>
      </w:r>
      <w:r>
        <w:rPr>
          <w:lang w:val="fr-FR"/>
        </w:rPr>
        <w:t>une part, elle a approuvé le cadre global de résultats pour la Convention de 2003 (</w:t>
      </w:r>
      <w:hyperlink r:id="rId9" w:history="1">
        <w:r w:rsidR="006C5FC6">
          <w:rPr>
            <w:rStyle w:val="Hyperlink"/>
            <w:lang w:val="fr-FR"/>
          </w:rPr>
          <w:t>r</w:t>
        </w:r>
        <w:r w:rsidRPr="001370A6">
          <w:rPr>
            <w:rStyle w:val="Hyperlink"/>
            <w:lang w:val="fr-FR"/>
          </w:rPr>
          <w:t>ésolution 7.GA 9</w:t>
        </w:r>
      </w:hyperlink>
      <w:r>
        <w:rPr>
          <w:lang w:val="fr-FR"/>
        </w:rPr>
        <w:t>) et a demandé au Secrétariat de réviser le formulaire ICH-10 de soumission des rapports périodiques afin de l</w:t>
      </w:r>
      <w:r w:rsidR="004C2331">
        <w:rPr>
          <w:lang w:val="fr-FR"/>
        </w:rPr>
        <w:t>’</w:t>
      </w:r>
      <w:r>
        <w:rPr>
          <w:lang w:val="fr-FR"/>
        </w:rPr>
        <w:t>harmoniser avec le cadre. D</w:t>
      </w:r>
      <w:r w:rsidR="004C2331">
        <w:rPr>
          <w:lang w:val="fr-FR"/>
        </w:rPr>
        <w:t>’</w:t>
      </w:r>
      <w:r>
        <w:rPr>
          <w:lang w:val="fr-FR"/>
        </w:rPr>
        <w:t>autre part, elle a apporté plusieurs modifications</w:t>
      </w:r>
      <w:r w:rsidR="00A24E5D">
        <w:rPr>
          <w:lang w:val="fr-FR"/>
        </w:rPr>
        <w:t xml:space="preserve"> aux</w:t>
      </w:r>
      <w:r>
        <w:rPr>
          <w:lang w:val="fr-FR"/>
        </w:rPr>
        <w:t xml:space="preserve"> </w:t>
      </w:r>
      <w:r w:rsidR="00A24E5D">
        <w:rPr>
          <w:lang w:val="fr-FR"/>
        </w:rPr>
        <w:t>Directives opérationnelles concernant les</w:t>
      </w:r>
      <w:r w:rsidR="008A41F9">
        <w:rPr>
          <w:lang w:val="fr-FR"/>
        </w:rPr>
        <w:t xml:space="preserve"> rapports périodiques</w:t>
      </w:r>
      <w:r>
        <w:rPr>
          <w:lang w:val="fr-FR"/>
        </w:rPr>
        <w:t xml:space="preserve">, en approuvant la décision du Comité de passer à un cycle régional de </w:t>
      </w:r>
      <w:r w:rsidR="002E2A92">
        <w:rPr>
          <w:lang w:val="fr-FR"/>
        </w:rPr>
        <w:t xml:space="preserve">soumission de </w:t>
      </w:r>
      <w:r>
        <w:rPr>
          <w:lang w:val="fr-FR"/>
        </w:rPr>
        <w:t>rapports (</w:t>
      </w:r>
      <w:hyperlink r:id="rId10" w:history="1">
        <w:r w:rsidR="006C5FC6">
          <w:rPr>
            <w:rStyle w:val="Hyperlink"/>
            <w:lang w:val="fr-FR"/>
          </w:rPr>
          <w:t>r</w:t>
        </w:r>
        <w:r w:rsidRPr="001370A6">
          <w:rPr>
            <w:rStyle w:val="Hyperlink"/>
            <w:lang w:val="fr-FR"/>
          </w:rPr>
          <w:t>ésolution 7.GA 10</w:t>
        </w:r>
      </w:hyperlink>
      <w:r>
        <w:rPr>
          <w:lang w:val="fr-FR"/>
        </w:rPr>
        <w:t>). L</w:t>
      </w:r>
      <w:r w:rsidR="004C2331">
        <w:rPr>
          <w:lang w:val="fr-FR"/>
        </w:rPr>
        <w:t>’</w:t>
      </w:r>
      <w:r>
        <w:rPr>
          <w:lang w:val="fr-FR"/>
        </w:rPr>
        <w:t xml:space="preserve">Assemblée générale a également </w:t>
      </w:r>
      <w:r w:rsidR="00A24E5D">
        <w:rPr>
          <w:lang w:val="fr-FR"/>
        </w:rPr>
        <w:t>fourni</w:t>
      </w:r>
      <w:r>
        <w:rPr>
          <w:lang w:val="fr-FR"/>
        </w:rPr>
        <w:t xml:space="preserve"> au Secrétariat des orientations détaillées </w:t>
      </w:r>
      <w:r w:rsidR="008A41F9">
        <w:rPr>
          <w:lang w:val="fr-FR"/>
        </w:rPr>
        <w:t>indiquant</w:t>
      </w:r>
      <w:r>
        <w:rPr>
          <w:lang w:val="fr-FR"/>
        </w:rPr>
        <w:t xml:space="preserve"> la façon de poursuivre la réforme du mécanisme de</w:t>
      </w:r>
      <w:r w:rsidR="008A41F9">
        <w:rPr>
          <w:lang w:val="fr-FR"/>
        </w:rPr>
        <w:t xml:space="preserve"> soumission des</w:t>
      </w:r>
      <w:r>
        <w:rPr>
          <w:lang w:val="fr-FR"/>
        </w:rPr>
        <w:t xml:space="preserve"> rapport</w:t>
      </w:r>
      <w:r w:rsidR="008A41F9">
        <w:rPr>
          <w:lang w:val="fr-FR"/>
        </w:rPr>
        <w:t>s</w:t>
      </w:r>
      <w:r>
        <w:rPr>
          <w:lang w:val="fr-FR"/>
        </w:rPr>
        <w:t xml:space="preserve"> périodique</w:t>
      </w:r>
      <w:r w:rsidR="008A41F9">
        <w:rPr>
          <w:lang w:val="fr-FR"/>
        </w:rPr>
        <w:t>s</w:t>
      </w:r>
      <w:r>
        <w:rPr>
          <w:lang w:val="fr-FR"/>
        </w:rPr>
        <w:t xml:space="preserve"> dans le cadre de la Convention de 2003. Les efforts devaient </w:t>
      </w:r>
      <w:r w:rsidR="008A41F9">
        <w:rPr>
          <w:lang w:val="fr-FR"/>
        </w:rPr>
        <w:t>se concentrer</w:t>
      </w:r>
      <w:r>
        <w:rPr>
          <w:lang w:val="fr-FR"/>
        </w:rPr>
        <w:t xml:space="preserve"> sur la révision du formulaire ICH-10, </w:t>
      </w:r>
      <w:r w:rsidR="008A41F9">
        <w:rPr>
          <w:lang w:val="fr-FR"/>
        </w:rPr>
        <w:t xml:space="preserve">la préparation </w:t>
      </w:r>
      <w:r>
        <w:rPr>
          <w:lang w:val="fr-FR"/>
        </w:rPr>
        <w:t>de notes d</w:t>
      </w:r>
      <w:r w:rsidR="004C2331">
        <w:rPr>
          <w:lang w:val="fr-FR"/>
        </w:rPr>
        <w:t>’</w:t>
      </w:r>
      <w:r>
        <w:rPr>
          <w:lang w:val="fr-FR"/>
        </w:rPr>
        <w:t>orientation pour chacun des indicateurs de base inclus dans le cadre global de résultat</w:t>
      </w:r>
      <w:r w:rsidR="008A41F9">
        <w:rPr>
          <w:lang w:val="fr-FR"/>
        </w:rPr>
        <w:t>s</w:t>
      </w:r>
      <w:r>
        <w:rPr>
          <w:lang w:val="fr-FR"/>
        </w:rPr>
        <w:t xml:space="preserve"> et </w:t>
      </w:r>
      <w:r w:rsidR="008A41F9">
        <w:rPr>
          <w:lang w:val="fr-FR"/>
        </w:rPr>
        <w:t>le développement</w:t>
      </w:r>
      <w:r>
        <w:rPr>
          <w:lang w:val="fr-FR"/>
        </w:rPr>
        <w:t xml:space="preserve"> d</w:t>
      </w:r>
      <w:r w:rsidR="004C2331">
        <w:rPr>
          <w:lang w:val="fr-FR"/>
        </w:rPr>
        <w:t>’</w:t>
      </w:r>
      <w:r>
        <w:rPr>
          <w:lang w:val="fr-FR"/>
        </w:rPr>
        <w:t xml:space="preserve">une </w:t>
      </w:r>
      <w:r w:rsidR="00C05712">
        <w:rPr>
          <w:lang w:val="fr-FR"/>
        </w:rPr>
        <w:t>démarche</w:t>
      </w:r>
      <w:r w:rsidR="008A41F9">
        <w:rPr>
          <w:lang w:val="fr-FR"/>
        </w:rPr>
        <w:t xml:space="preserve"> globale </w:t>
      </w:r>
      <w:r>
        <w:rPr>
          <w:lang w:val="fr-FR"/>
        </w:rPr>
        <w:t>de renforcement des capacités.</w:t>
      </w:r>
    </w:p>
    <w:p w14:paraId="64890569" w14:textId="48D0A727" w:rsidR="006B5E9B" w:rsidRPr="00293466" w:rsidRDefault="00A22812" w:rsidP="00BB0597">
      <w:pPr>
        <w:pStyle w:val="COMPara"/>
        <w:ind w:left="567" w:hanging="567"/>
        <w:jc w:val="both"/>
        <w:rPr>
          <w:lang w:val="fr-FR"/>
        </w:rPr>
      </w:pPr>
      <w:r>
        <w:rPr>
          <w:lang w:val="fr-FR"/>
        </w:rPr>
        <w:t>Au cours de sa treizième session en novembre 2018, le Comité s</w:t>
      </w:r>
      <w:r w:rsidR="004C2331">
        <w:rPr>
          <w:lang w:val="fr-FR"/>
        </w:rPr>
        <w:t>’</w:t>
      </w:r>
      <w:r>
        <w:rPr>
          <w:lang w:val="fr-FR"/>
        </w:rPr>
        <w:t>est félicité des progrès accomplis dans la réforme (</w:t>
      </w:r>
      <w:hyperlink r:id="rId11" w:history="1">
        <w:r w:rsidRPr="00CD139E">
          <w:rPr>
            <w:rStyle w:val="Hyperlink"/>
            <w:lang w:val="fr-FR"/>
          </w:rPr>
          <w:t>document 13.COM 8</w:t>
        </w:r>
      </w:hyperlink>
      <w:r>
        <w:rPr>
          <w:lang w:val="fr-FR"/>
        </w:rPr>
        <w:t xml:space="preserve">) et a demandé au Secrétariat de rendre compte de </w:t>
      </w:r>
      <w:r w:rsidR="00C05712">
        <w:rPr>
          <w:lang w:val="fr-FR"/>
        </w:rPr>
        <w:t>son état d</w:t>
      </w:r>
      <w:r w:rsidR="004C2331">
        <w:rPr>
          <w:lang w:val="fr-FR"/>
        </w:rPr>
        <w:t>’</w:t>
      </w:r>
      <w:r w:rsidR="00C05712">
        <w:rPr>
          <w:lang w:val="fr-FR"/>
        </w:rPr>
        <w:t xml:space="preserve">avancement </w:t>
      </w:r>
      <w:r>
        <w:rPr>
          <w:lang w:val="fr-FR"/>
        </w:rPr>
        <w:t>à l</w:t>
      </w:r>
      <w:r w:rsidR="004C2331">
        <w:rPr>
          <w:lang w:val="fr-FR"/>
        </w:rPr>
        <w:t>’</w:t>
      </w:r>
      <w:r>
        <w:rPr>
          <w:lang w:val="fr-FR"/>
        </w:rPr>
        <w:t>occasion de la présente session (</w:t>
      </w:r>
      <w:hyperlink r:id="rId12" w:history="1">
        <w:r w:rsidR="006C5FC6">
          <w:rPr>
            <w:rStyle w:val="Hyperlink"/>
            <w:lang w:val="fr-FR"/>
          </w:rPr>
          <w:t>d</w:t>
        </w:r>
        <w:r w:rsidRPr="00943084">
          <w:rPr>
            <w:rStyle w:val="Hyperlink"/>
            <w:lang w:val="fr-FR"/>
          </w:rPr>
          <w:t>écision 13.COM 8</w:t>
        </w:r>
      </w:hyperlink>
      <w:r>
        <w:rPr>
          <w:lang w:val="fr-FR"/>
        </w:rPr>
        <w:t xml:space="preserve">). En parallèle, le Comité a franchi une nouvelle étape dans le processus de réforme en adoptant le calendrier </w:t>
      </w:r>
      <w:r w:rsidR="00C05712">
        <w:rPr>
          <w:lang w:val="fr-FR"/>
        </w:rPr>
        <w:t xml:space="preserve">du </w:t>
      </w:r>
      <w:r>
        <w:rPr>
          <w:lang w:val="fr-FR"/>
        </w:rPr>
        <w:t xml:space="preserve">premier cycle régional de </w:t>
      </w:r>
      <w:r w:rsidR="00C05712">
        <w:rPr>
          <w:lang w:val="fr-FR"/>
        </w:rPr>
        <w:t xml:space="preserve">soumission des </w:t>
      </w:r>
      <w:r>
        <w:rPr>
          <w:lang w:val="fr-FR"/>
        </w:rPr>
        <w:t>rapport</w:t>
      </w:r>
      <w:r w:rsidR="00C05712">
        <w:rPr>
          <w:lang w:val="fr-FR"/>
        </w:rPr>
        <w:t>s</w:t>
      </w:r>
      <w:r>
        <w:rPr>
          <w:lang w:val="fr-FR"/>
        </w:rPr>
        <w:t xml:space="preserve"> </w:t>
      </w:r>
      <w:r w:rsidR="00A24E5D">
        <w:rPr>
          <w:lang w:val="fr-FR"/>
        </w:rPr>
        <w:t xml:space="preserve">au titre </w:t>
      </w:r>
      <w:r>
        <w:rPr>
          <w:lang w:val="fr-FR"/>
        </w:rPr>
        <w:t>de la Convention de 2003. Selon le calendrier, les États parties d</w:t>
      </w:r>
      <w:r w:rsidR="00C05712">
        <w:rPr>
          <w:lang w:val="fr-FR"/>
        </w:rPr>
        <w:t xml:space="preserve">e la région </w:t>
      </w:r>
      <w:r>
        <w:rPr>
          <w:lang w:val="fr-FR"/>
        </w:rPr>
        <w:t>Amérique latine et Caraïbes seront les premiers à soumettre leurs rapports périodiques avant le 15 décembre 2020</w:t>
      </w:r>
      <w:r w:rsidR="00C05712">
        <w:rPr>
          <w:lang w:val="fr-FR"/>
        </w:rPr>
        <w:t>,</w:t>
      </w:r>
      <w:r>
        <w:rPr>
          <w:lang w:val="fr-FR"/>
        </w:rPr>
        <w:t xml:space="preserve"> pour examen par le Comité </w:t>
      </w:r>
      <w:r w:rsidR="00A24E5D">
        <w:rPr>
          <w:lang w:val="fr-FR"/>
        </w:rPr>
        <w:t xml:space="preserve">lors </w:t>
      </w:r>
      <w:r>
        <w:rPr>
          <w:lang w:val="fr-FR"/>
        </w:rPr>
        <w:t>de sa seizième session en 2021. Puis, l</w:t>
      </w:r>
      <w:r w:rsidR="004C2331">
        <w:rPr>
          <w:lang w:val="fr-FR"/>
        </w:rPr>
        <w:t>’</w:t>
      </w:r>
      <w:r>
        <w:rPr>
          <w:lang w:val="fr-FR"/>
        </w:rPr>
        <w:t>ordre sera le suivant : Europe</w:t>
      </w:r>
      <w:r w:rsidR="00892D48">
        <w:rPr>
          <w:lang w:val="fr-FR"/>
        </w:rPr>
        <w:t> </w:t>
      </w:r>
      <w:r>
        <w:rPr>
          <w:lang w:val="fr-FR"/>
        </w:rPr>
        <w:t>(2021) ; États arabes (2022) ; Afrique (2023) et Asie-Pacifique (2024). Le premier cycle se conclura par une année de réflexion en 2025.</w:t>
      </w:r>
    </w:p>
    <w:p w14:paraId="77A17FDB" w14:textId="77777777" w:rsidR="001F0FFD" w:rsidRPr="00C05712" w:rsidRDefault="00C05712" w:rsidP="00C2734F">
      <w:pPr>
        <w:pStyle w:val="COMPara"/>
        <w:keepNext/>
        <w:numPr>
          <w:ilvl w:val="4"/>
          <w:numId w:val="33"/>
        </w:numPr>
        <w:spacing w:before="240"/>
        <w:ind w:left="567" w:hanging="567"/>
        <w:jc w:val="both"/>
        <w:rPr>
          <w:b/>
          <w:lang w:val="fr-FR"/>
        </w:rPr>
      </w:pPr>
      <w:r>
        <w:rPr>
          <w:b/>
          <w:lang w:val="fr-FR"/>
        </w:rPr>
        <w:t>P</w:t>
      </w:r>
      <w:r w:rsidR="00A22812" w:rsidRPr="00C2734F">
        <w:rPr>
          <w:b/>
          <w:lang w:val="fr-FR"/>
        </w:rPr>
        <w:t xml:space="preserve">rincipaux </w:t>
      </w:r>
      <w:r>
        <w:rPr>
          <w:b/>
          <w:lang w:val="fr-FR"/>
        </w:rPr>
        <w:t xml:space="preserve">points </w:t>
      </w:r>
      <w:r w:rsidR="00A22812" w:rsidRPr="00C2734F">
        <w:rPr>
          <w:b/>
          <w:lang w:val="fr-FR"/>
        </w:rPr>
        <w:t>de la réforme</w:t>
      </w:r>
    </w:p>
    <w:p w14:paraId="09B2F849" w14:textId="603CC610" w:rsidR="00856BB6" w:rsidRPr="00293466" w:rsidRDefault="004D374C">
      <w:pPr>
        <w:pStyle w:val="COMPara"/>
        <w:ind w:left="567" w:hanging="567"/>
        <w:jc w:val="both"/>
        <w:rPr>
          <w:lang w:val="fr-FR"/>
        </w:rPr>
      </w:pPr>
      <w:r>
        <w:rPr>
          <w:lang w:val="fr-FR"/>
        </w:rPr>
        <w:t>Pour permettre la mise en œuvre de la réforme du mécanisme de soumission des rapports périodiques, u</w:t>
      </w:r>
      <w:r w:rsidR="00A22812">
        <w:rPr>
          <w:lang w:val="fr-FR"/>
        </w:rPr>
        <w:t>ne période de transition a été initiée immédiatement après la septième session de l</w:t>
      </w:r>
      <w:r w:rsidR="004C2331">
        <w:rPr>
          <w:lang w:val="fr-FR"/>
        </w:rPr>
        <w:t>’</w:t>
      </w:r>
      <w:r w:rsidR="00A22812">
        <w:rPr>
          <w:lang w:val="fr-FR"/>
        </w:rPr>
        <w:t>Assemblée générale en juillet 2018</w:t>
      </w:r>
      <w:r>
        <w:rPr>
          <w:lang w:val="fr-FR"/>
        </w:rPr>
        <w:t xml:space="preserve">, et est sur le point de </w:t>
      </w:r>
      <w:r w:rsidR="00DB560D">
        <w:rPr>
          <w:lang w:val="fr-FR"/>
        </w:rPr>
        <w:t>prendre fin</w:t>
      </w:r>
      <w:r w:rsidR="00A22812">
        <w:rPr>
          <w:lang w:val="fr-FR"/>
        </w:rPr>
        <w:t xml:space="preserve">. </w:t>
      </w:r>
      <w:r>
        <w:rPr>
          <w:lang w:val="fr-FR"/>
        </w:rPr>
        <w:t xml:space="preserve">Suite </w:t>
      </w:r>
      <w:r w:rsidR="00A22812">
        <w:rPr>
          <w:lang w:val="fr-FR"/>
        </w:rPr>
        <w:t>aux orientations fournies par l</w:t>
      </w:r>
      <w:r w:rsidR="004C2331">
        <w:rPr>
          <w:lang w:val="fr-FR"/>
        </w:rPr>
        <w:t>’</w:t>
      </w:r>
      <w:r w:rsidR="00A22812">
        <w:rPr>
          <w:lang w:val="fr-FR"/>
        </w:rPr>
        <w:t xml:space="preserve">Assemblée générale et le Comité </w:t>
      </w:r>
      <w:r>
        <w:rPr>
          <w:lang w:val="fr-FR"/>
        </w:rPr>
        <w:t xml:space="preserve">dans </w:t>
      </w:r>
      <w:r w:rsidR="00A22812">
        <w:rPr>
          <w:lang w:val="fr-FR"/>
        </w:rPr>
        <w:t xml:space="preserve">leurs débats et décisions, le Secrétariat a pris des </w:t>
      </w:r>
      <w:r w:rsidR="00DB560D">
        <w:rPr>
          <w:lang w:val="fr-FR"/>
        </w:rPr>
        <w:t>actions</w:t>
      </w:r>
      <w:r w:rsidR="00A22812">
        <w:rPr>
          <w:lang w:val="fr-FR"/>
        </w:rPr>
        <w:t xml:space="preserve"> </w:t>
      </w:r>
      <w:r w:rsidR="00DB560D">
        <w:rPr>
          <w:lang w:val="fr-FR"/>
        </w:rPr>
        <w:t xml:space="preserve">basées sur les </w:t>
      </w:r>
      <w:r w:rsidR="00A22812">
        <w:rPr>
          <w:lang w:val="fr-FR"/>
        </w:rPr>
        <w:t>trois grands axes suivants :</w:t>
      </w:r>
    </w:p>
    <w:p w14:paraId="31EBC896" w14:textId="752F7F42" w:rsidR="00E5480C" w:rsidRPr="00293466" w:rsidRDefault="00A22812" w:rsidP="00856BB6">
      <w:pPr>
        <w:pStyle w:val="COMPara"/>
        <w:numPr>
          <w:ilvl w:val="4"/>
          <w:numId w:val="18"/>
        </w:numPr>
        <w:ind w:left="1418" w:hanging="567"/>
        <w:jc w:val="both"/>
        <w:rPr>
          <w:lang w:val="fr-FR"/>
        </w:rPr>
      </w:pPr>
      <w:r w:rsidRPr="00134D83">
        <w:rPr>
          <w:lang w:val="fr-FR"/>
        </w:rPr>
        <w:t xml:space="preserve">La </w:t>
      </w:r>
      <w:r w:rsidRPr="00134D83">
        <w:rPr>
          <w:b/>
          <w:lang w:val="fr-FR"/>
        </w:rPr>
        <w:t>révision du formulaire ICH-10</w:t>
      </w:r>
      <w:r w:rsidR="00027285" w:rsidRPr="002B3428">
        <w:rPr>
          <w:lang w:val="fr-FR"/>
        </w:rPr>
        <w:t xml:space="preserve">, </w:t>
      </w:r>
      <w:r w:rsidR="00027285" w:rsidRPr="00134D83">
        <w:rPr>
          <w:lang w:val="fr-FR"/>
        </w:rPr>
        <w:t xml:space="preserve">désormais </w:t>
      </w:r>
      <w:r w:rsidR="00DB560D">
        <w:rPr>
          <w:lang w:val="fr-FR"/>
        </w:rPr>
        <w:t>alignée sur le</w:t>
      </w:r>
      <w:r w:rsidR="00027285" w:rsidRPr="00134D83">
        <w:rPr>
          <w:lang w:val="fr-FR"/>
        </w:rPr>
        <w:t xml:space="preserve"> cadre global de résultats de la Convention de 2003</w:t>
      </w:r>
      <w:r w:rsidR="00027285">
        <w:rPr>
          <w:lang w:val="fr-FR"/>
        </w:rPr>
        <w:t>,</w:t>
      </w:r>
      <w:r w:rsidRPr="00134D83">
        <w:rPr>
          <w:lang w:val="fr-FR"/>
        </w:rPr>
        <w:t xml:space="preserve"> est terminée </w:t>
      </w:r>
      <w:r w:rsidRPr="00B13AF0">
        <w:rPr>
          <w:lang w:val="fr-FR"/>
        </w:rPr>
        <w:t xml:space="preserve">et </w:t>
      </w:r>
      <w:r w:rsidR="002B3428" w:rsidRPr="00B13AF0">
        <w:rPr>
          <w:lang w:val="fr-FR"/>
        </w:rPr>
        <w:t xml:space="preserve">le formulaire </w:t>
      </w:r>
      <w:r w:rsidRPr="00B13AF0">
        <w:rPr>
          <w:lang w:val="fr-FR"/>
        </w:rPr>
        <w:t xml:space="preserve">sera </w:t>
      </w:r>
      <w:r w:rsidR="008B455C">
        <w:rPr>
          <w:lang w:val="fr-FR"/>
        </w:rPr>
        <w:t xml:space="preserve">donc </w:t>
      </w:r>
      <w:r w:rsidRPr="00B13AF0">
        <w:rPr>
          <w:lang w:val="fr-FR"/>
        </w:rPr>
        <w:t xml:space="preserve">disponible en ligne </w:t>
      </w:r>
      <w:r w:rsidR="008B455C" w:rsidRPr="00B13AF0">
        <w:rPr>
          <w:lang w:val="fr-FR"/>
        </w:rPr>
        <w:t>à partir de début décembre</w:t>
      </w:r>
      <w:r w:rsidRPr="00134D83">
        <w:rPr>
          <w:lang w:val="fr-FR"/>
        </w:rPr>
        <w:t xml:space="preserve"> ; </w:t>
      </w:r>
      <w:r w:rsidR="008B455C">
        <w:rPr>
          <w:lang w:val="fr-FR"/>
        </w:rPr>
        <w:t>il</w:t>
      </w:r>
      <w:r w:rsidRPr="00134D83">
        <w:rPr>
          <w:lang w:val="fr-FR"/>
        </w:rPr>
        <w:t xml:space="preserve"> reflète la structure de ce cadre </w:t>
      </w:r>
      <w:r w:rsidR="00027285">
        <w:rPr>
          <w:lang w:val="fr-FR"/>
        </w:rPr>
        <w:t xml:space="preserve">à </w:t>
      </w:r>
      <w:r w:rsidR="00DB560D">
        <w:rPr>
          <w:lang w:val="fr-FR"/>
        </w:rPr>
        <w:t xml:space="preserve">travers </w:t>
      </w:r>
      <w:r w:rsidRPr="00134D83">
        <w:rPr>
          <w:lang w:val="fr-FR"/>
        </w:rPr>
        <w:t xml:space="preserve">des indicateurs de base, </w:t>
      </w:r>
      <w:r w:rsidR="00DB560D">
        <w:rPr>
          <w:lang w:val="fr-FR"/>
        </w:rPr>
        <w:t xml:space="preserve">et </w:t>
      </w:r>
      <w:r w:rsidRPr="00134D83">
        <w:rPr>
          <w:lang w:val="fr-FR"/>
        </w:rPr>
        <w:t>des facteurs d</w:t>
      </w:r>
      <w:r w:rsidR="004C2331">
        <w:rPr>
          <w:lang w:val="fr-FR"/>
        </w:rPr>
        <w:t>’</w:t>
      </w:r>
      <w:r w:rsidRPr="00134D83">
        <w:rPr>
          <w:lang w:val="fr-FR"/>
        </w:rPr>
        <w:t>appréciation ont servi à formuler des questions permettant d</w:t>
      </w:r>
      <w:r w:rsidR="004C2331">
        <w:rPr>
          <w:lang w:val="fr-FR"/>
        </w:rPr>
        <w:t>’</w:t>
      </w:r>
      <w:r w:rsidRPr="00134D83">
        <w:rPr>
          <w:lang w:val="fr-FR"/>
        </w:rPr>
        <w:t>établir des rapports axés sur les résultats. De même, la version en ligne du formulaire ICH-10 a été remaniée sur le modèle de l</w:t>
      </w:r>
      <w:r w:rsidR="004C2331">
        <w:rPr>
          <w:lang w:val="fr-FR"/>
        </w:rPr>
        <w:t>’</w:t>
      </w:r>
      <w:r w:rsidRPr="00134D83">
        <w:rPr>
          <w:lang w:val="fr-FR"/>
        </w:rPr>
        <w:t xml:space="preserve">outil en ligne qui a déjà été développé pour </w:t>
      </w:r>
      <w:r w:rsidR="00DB560D">
        <w:rPr>
          <w:lang w:val="fr-FR"/>
        </w:rPr>
        <w:t>soumettre les</w:t>
      </w:r>
      <w:r w:rsidRPr="00134D83">
        <w:rPr>
          <w:lang w:val="fr-FR"/>
        </w:rPr>
        <w:t xml:space="preserve"> rapports sur les éléments inscrits sur la Liste du patrimoine culturel immatériel nécessitant une</w:t>
      </w:r>
      <w:r w:rsidR="00565F52">
        <w:rPr>
          <w:lang w:val="fr-FR"/>
        </w:rPr>
        <w:t xml:space="preserve"> </w:t>
      </w:r>
      <w:r w:rsidRPr="00134D83">
        <w:rPr>
          <w:lang w:val="fr-FR"/>
        </w:rPr>
        <w:t>sauvegarde urgente</w:t>
      </w:r>
      <w:r w:rsidR="00AF1767">
        <w:rPr>
          <w:lang w:val="fr-FR"/>
        </w:rPr>
        <w:t>,</w:t>
      </w:r>
      <w:r w:rsidRPr="00134D83">
        <w:rPr>
          <w:lang w:val="fr-FR"/>
        </w:rPr>
        <w:t xml:space="preserve"> et présente désormais une interface plus </w:t>
      </w:r>
      <w:r w:rsidR="00B872A8">
        <w:rPr>
          <w:lang w:val="fr-FR"/>
        </w:rPr>
        <w:t>intuitive pour l</w:t>
      </w:r>
      <w:r w:rsidR="004C2331">
        <w:rPr>
          <w:lang w:val="fr-FR"/>
        </w:rPr>
        <w:t>’</w:t>
      </w:r>
      <w:r w:rsidR="00B872A8">
        <w:rPr>
          <w:lang w:val="fr-FR"/>
        </w:rPr>
        <w:t>utilisateur</w:t>
      </w:r>
      <w:r w:rsidRPr="00134D83">
        <w:rPr>
          <w:lang w:val="fr-FR"/>
        </w:rPr>
        <w:t>.</w:t>
      </w:r>
    </w:p>
    <w:p w14:paraId="3D7AE195" w14:textId="39C39658" w:rsidR="00E5480C" w:rsidRPr="00293466" w:rsidRDefault="00A22812" w:rsidP="002516CC">
      <w:pPr>
        <w:pStyle w:val="COMPara"/>
        <w:numPr>
          <w:ilvl w:val="4"/>
          <w:numId w:val="18"/>
        </w:numPr>
        <w:ind w:left="1418" w:hanging="567"/>
        <w:jc w:val="both"/>
        <w:rPr>
          <w:lang w:val="fr-FR"/>
        </w:rPr>
      </w:pPr>
      <w:r>
        <w:rPr>
          <w:lang w:val="fr-FR"/>
        </w:rPr>
        <w:lastRenderedPageBreak/>
        <w:t>Un</w:t>
      </w:r>
      <w:r w:rsidR="00AF1767">
        <w:rPr>
          <w:lang w:val="fr-FR"/>
        </w:rPr>
        <w:t>e</w:t>
      </w:r>
      <w:r>
        <w:rPr>
          <w:lang w:val="fr-FR"/>
        </w:rPr>
        <w:t xml:space="preserve"> </w:t>
      </w:r>
      <w:r w:rsidR="00AF1767" w:rsidRPr="00AF1767">
        <w:rPr>
          <w:b/>
          <w:bCs/>
          <w:lang w:val="fr-FR"/>
        </w:rPr>
        <w:t>série</w:t>
      </w:r>
      <w:r w:rsidR="00AF1767">
        <w:rPr>
          <w:lang w:val="fr-FR"/>
        </w:rPr>
        <w:t xml:space="preserve"> </w:t>
      </w:r>
      <w:r w:rsidRPr="00134D83">
        <w:rPr>
          <w:b/>
          <w:lang w:val="fr-FR"/>
        </w:rPr>
        <w:t>de notes d</w:t>
      </w:r>
      <w:r w:rsidR="004C2331">
        <w:rPr>
          <w:b/>
          <w:lang w:val="fr-FR"/>
        </w:rPr>
        <w:t>’</w:t>
      </w:r>
      <w:r w:rsidRPr="00134D83">
        <w:rPr>
          <w:b/>
          <w:lang w:val="fr-FR"/>
        </w:rPr>
        <w:t>orientation</w:t>
      </w:r>
      <w:r>
        <w:rPr>
          <w:lang w:val="fr-FR"/>
        </w:rPr>
        <w:t xml:space="preserve"> a été élaboré</w:t>
      </w:r>
      <w:r w:rsidR="00AF1767">
        <w:rPr>
          <w:lang w:val="fr-FR"/>
        </w:rPr>
        <w:t>e</w:t>
      </w:r>
      <w:r w:rsidR="00DB560D">
        <w:rPr>
          <w:lang w:val="fr-FR"/>
        </w:rPr>
        <w:t>,</w:t>
      </w:r>
      <w:r w:rsidR="00AF1767">
        <w:rPr>
          <w:lang w:val="fr-FR"/>
        </w:rPr>
        <w:t xml:space="preserve"> en associant </w:t>
      </w:r>
      <w:r>
        <w:rPr>
          <w:lang w:val="fr-FR"/>
        </w:rPr>
        <w:t xml:space="preserve">une note </w:t>
      </w:r>
      <w:r w:rsidR="00AF1767">
        <w:rPr>
          <w:lang w:val="fr-FR"/>
        </w:rPr>
        <w:t>à</w:t>
      </w:r>
      <w:r>
        <w:rPr>
          <w:lang w:val="fr-FR"/>
        </w:rPr>
        <w:t xml:space="preserve"> chacun des vingt-six indicateurs de base, dont deux feront l</w:t>
      </w:r>
      <w:r w:rsidR="004C2331">
        <w:rPr>
          <w:lang w:val="fr-FR"/>
        </w:rPr>
        <w:t>’</w:t>
      </w:r>
      <w:r>
        <w:rPr>
          <w:lang w:val="fr-FR"/>
        </w:rPr>
        <w:t>objet d</w:t>
      </w:r>
      <w:r w:rsidR="004C2331">
        <w:rPr>
          <w:lang w:val="fr-FR"/>
        </w:rPr>
        <w:t>’</w:t>
      </w:r>
      <w:r>
        <w:rPr>
          <w:lang w:val="fr-FR"/>
        </w:rPr>
        <w:t>un suivi et de rapports au niveau mondial de la part du Secrétariat. Ces notes d</w:t>
      </w:r>
      <w:r w:rsidR="004C2331">
        <w:rPr>
          <w:lang w:val="fr-FR"/>
        </w:rPr>
        <w:t>’</w:t>
      </w:r>
      <w:r>
        <w:rPr>
          <w:lang w:val="fr-FR"/>
        </w:rPr>
        <w:t xml:space="preserve">orientation visent à fournir une </w:t>
      </w:r>
      <w:r w:rsidR="00A25C77">
        <w:rPr>
          <w:lang w:val="fr-FR"/>
        </w:rPr>
        <w:t xml:space="preserve">interprétation </w:t>
      </w:r>
      <w:r>
        <w:rPr>
          <w:lang w:val="fr-FR"/>
        </w:rPr>
        <w:t xml:space="preserve">commune de la terminologie de base, en particulier des termes </w:t>
      </w:r>
      <w:r w:rsidR="0085356E">
        <w:rPr>
          <w:lang w:val="fr-FR"/>
        </w:rPr>
        <w:t>employés</w:t>
      </w:r>
      <w:r>
        <w:rPr>
          <w:lang w:val="fr-FR"/>
        </w:rPr>
        <w:t xml:space="preserve"> dans le cadre global des résultats. Elles permettront ainsi aux </w:t>
      </w:r>
      <w:r w:rsidR="00DB560D">
        <w:rPr>
          <w:lang w:val="fr-FR"/>
        </w:rPr>
        <w:t>différentes</w:t>
      </w:r>
      <w:r>
        <w:rPr>
          <w:lang w:val="fr-FR"/>
        </w:rPr>
        <w:t xml:space="preserve"> parties prenantes impliquées dans le suivi et l</w:t>
      </w:r>
      <w:r w:rsidR="004C2331">
        <w:rPr>
          <w:lang w:val="fr-FR"/>
        </w:rPr>
        <w:t>’</w:t>
      </w:r>
      <w:r>
        <w:rPr>
          <w:lang w:val="fr-FR"/>
        </w:rPr>
        <w:t>évaluation à long terme de la Convention de 2003 d</w:t>
      </w:r>
      <w:r w:rsidR="004C2331">
        <w:rPr>
          <w:lang w:val="fr-FR"/>
        </w:rPr>
        <w:t>’</w:t>
      </w:r>
      <w:r>
        <w:rPr>
          <w:lang w:val="fr-FR"/>
        </w:rPr>
        <w:t xml:space="preserve">interpréter les indicateurs, pour y répondre ensuite de </w:t>
      </w:r>
      <w:r w:rsidR="0085356E">
        <w:rPr>
          <w:lang w:val="fr-FR"/>
        </w:rPr>
        <w:t>façon</w:t>
      </w:r>
      <w:r>
        <w:rPr>
          <w:lang w:val="fr-FR"/>
        </w:rPr>
        <w:t xml:space="preserve"> comparable dans leur rapport. Les notes d</w:t>
      </w:r>
      <w:r w:rsidR="004C2331">
        <w:rPr>
          <w:lang w:val="fr-FR"/>
        </w:rPr>
        <w:t>’</w:t>
      </w:r>
      <w:r>
        <w:rPr>
          <w:lang w:val="fr-FR"/>
        </w:rPr>
        <w:t xml:space="preserve">orientation sont </w:t>
      </w:r>
      <w:r w:rsidR="0085356E">
        <w:rPr>
          <w:lang w:val="fr-FR"/>
        </w:rPr>
        <w:t>organisées</w:t>
      </w:r>
      <w:r>
        <w:rPr>
          <w:lang w:val="fr-FR"/>
        </w:rPr>
        <w:t xml:space="preserve"> en deux parties : </w:t>
      </w:r>
      <w:r w:rsidR="0085356E">
        <w:rPr>
          <w:lang w:val="fr-FR"/>
        </w:rPr>
        <w:t>l</w:t>
      </w:r>
      <w:r>
        <w:rPr>
          <w:lang w:val="fr-FR"/>
        </w:rPr>
        <w:t>a première expose le contexte général en incluant l</w:t>
      </w:r>
      <w:r w:rsidR="004C2331">
        <w:rPr>
          <w:lang w:val="fr-FR"/>
        </w:rPr>
        <w:t>’</w:t>
      </w:r>
      <w:r>
        <w:rPr>
          <w:lang w:val="fr-FR"/>
        </w:rPr>
        <w:t>énoncé officiel de l</w:t>
      </w:r>
      <w:r w:rsidR="004C2331">
        <w:rPr>
          <w:lang w:val="fr-FR"/>
        </w:rPr>
        <w:t>’</w:t>
      </w:r>
      <w:r>
        <w:rPr>
          <w:lang w:val="fr-FR"/>
        </w:rPr>
        <w:t>indicateur (et les facteurs d</w:t>
      </w:r>
      <w:r w:rsidR="004C2331">
        <w:rPr>
          <w:lang w:val="fr-FR"/>
        </w:rPr>
        <w:t>’</w:t>
      </w:r>
      <w:r>
        <w:rPr>
          <w:lang w:val="fr-FR"/>
        </w:rPr>
        <w:t xml:space="preserve">appréciation qui y sont </w:t>
      </w:r>
      <w:r w:rsidR="00DB560D">
        <w:rPr>
          <w:lang w:val="fr-FR"/>
        </w:rPr>
        <w:t>associés</w:t>
      </w:r>
      <w:r>
        <w:rPr>
          <w:lang w:val="fr-FR"/>
        </w:rPr>
        <w:t>), ainsi que s</w:t>
      </w:r>
      <w:r w:rsidR="0085356E">
        <w:rPr>
          <w:lang w:val="fr-FR"/>
        </w:rPr>
        <w:t>on rapport avec les</w:t>
      </w:r>
      <w:r>
        <w:rPr>
          <w:lang w:val="fr-FR"/>
        </w:rPr>
        <w:t xml:space="preserve"> </w:t>
      </w:r>
      <w:r w:rsidR="0085356E">
        <w:rPr>
          <w:lang w:val="fr-FR"/>
        </w:rPr>
        <w:t>o</w:t>
      </w:r>
      <w:r>
        <w:rPr>
          <w:lang w:val="fr-FR"/>
        </w:rPr>
        <w:t xml:space="preserve">bjectifs de développement durable et </w:t>
      </w:r>
      <w:r w:rsidR="0085356E">
        <w:rPr>
          <w:lang w:val="fr-FR"/>
        </w:rPr>
        <w:t>d</w:t>
      </w:r>
      <w:r w:rsidR="004C2331">
        <w:rPr>
          <w:lang w:val="fr-FR"/>
        </w:rPr>
        <w:t>’</w:t>
      </w:r>
      <w:r>
        <w:rPr>
          <w:lang w:val="fr-FR"/>
        </w:rPr>
        <w:t xml:space="preserve">autres indicateurs, la </w:t>
      </w:r>
      <w:r w:rsidR="0085356E">
        <w:rPr>
          <w:lang w:val="fr-FR"/>
        </w:rPr>
        <w:t>raison d</w:t>
      </w:r>
      <w:r w:rsidR="004C2331">
        <w:rPr>
          <w:lang w:val="fr-FR"/>
        </w:rPr>
        <w:t>’</w:t>
      </w:r>
      <w:r w:rsidR="0085356E">
        <w:rPr>
          <w:lang w:val="fr-FR"/>
        </w:rPr>
        <w:t>être</w:t>
      </w:r>
      <w:r>
        <w:rPr>
          <w:lang w:val="fr-FR"/>
        </w:rPr>
        <w:t xml:space="preserve"> </w:t>
      </w:r>
      <w:r w:rsidR="0085356E">
        <w:rPr>
          <w:lang w:val="fr-FR"/>
        </w:rPr>
        <w:t xml:space="preserve">de </w:t>
      </w:r>
      <w:r>
        <w:rPr>
          <w:lang w:val="fr-FR"/>
        </w:rPr>
        <w:t>l</w:t>
      </w:r>
      <w:r w:rsidR="004C2331">
        <w:rPr>
          <w:lang w:val="fr-FR"/>
        </w:rPr>
        <w:t>’</w:t>
      </w:r>
      <w:r>
        <w:rPr>
          <w:lang w:val="fr-FR"/>
        </w:rPr>
        <w:t xml:space="preserve">indicateur en lui-même et une référence aux termes clés pertinents. La deuxième partie </w:t>
      </w:r>
      <w:r w:rsidR="0085356E">
        <w:rPr>
          <w:lang w:val="fr-FR"/>
        </w:rPr>
        <w:t>contient</w:t>
      </w:r>
      <w:r>
        <w:rPr>
          <w:lang w:val="fr-FR"/>
        </w:rPr>
        <w:t xml:space="preserve"> des orientations </w:t>
      </w:r>
      <w:r w:rsidR="0085356E">
        <w:rPr>
          <w:lang w:val="fr-FR"/>
        </w:rPr>
        <w:t>précises</w:t>
      </w:r>
      <w:r>
        <w:rPr>
          <w:lang w:val="fr-FR"/>
        </w:rPr>
        <w:t xml:space="preserve"> sur le suivi, qui </w:t>
      </w:r>
      <w:r w:rsidR="0085356E">
        <w:rPr>
          <w:lang w:val="fr-FR"/>
        </w:rPr>
        <w:t xml:space="preserve">constitue </w:t>
      </w:r>
      <w:r w:rsidR="00DB560D">
        <w:rPr>
          <w:lang w:val="fr-FR"/>
        </w:rPr>
        <w:t>un aspect essentiel</w:t>
      </w:r>
      <w:r>
        <w:rPr>
          <w:lang w:val="fr-FR"/>
        </w:rPr>
        <w:t>, mais non exclusi</w:t>
      </w:r>
      <w:r w:rsidR="00DB560D">
        <w:rPr>
          <w:lang w:val="fr-FR"/>
        </w:rPr>
        <w:t>f</w:t>
      </w:r>
      <w:r w:rsidR="0085356E">
        <w:rPr>
          <w:lang w:val="fr-FR"/>
        </w:rPr>
        <w:t>,</w:t>
      </w:r>
      <w:r>
        <w:rPr>
          <w:lang w:val="fr-FR"/>
        </w:rPr>
        <w:t xml:space="preserve"> de l</w:t>
      </w:r>
      <w:r w:rsidR="004C2331">
        <w:rPr>
          <w:lang w:val="fr-FR"/>
        </w:rPr>
        <w:t>’</w:t>
      </w:r>
      <w:r>
        <w:rPr>
          <w:lang w:val="fr-FR"/>
        </w:rPr>
        <w:t>exercice d</w:t>
      </w:r>
      <w:r w:rsidR="004C2331">
        <w:rPr>
          <w:lang w:val="fr-FR"/>
        </w:rPr>
        <w:t>’</w:t>
      </w:r>
      <w:r w:rsidR="001B12C9">
        <w:rPr>
          <w:lang w:val="fr-FR"/>
        </w:rPr>
        <w:t>établissement de</w:t>
      </w:r>
      <w:r>
        <w:rPr>
          <w:lang w:val="fr-FR"/>
        </w:rPr>
        <w:t xml:space="preserve"> rapport</w:t>
      </w:r>
      <w:r w:rsidR="00DB560D">
        <w:rPr>
          <w:lang w:val="fr-FR"/>
        </w:rPr>
        <w:t>s</w:t>
      </w:r>
      <w:r>
        <w:rPr>
          <w:lang w:val="fr-FR"/>
        </w:rPr>
        <w:t xml:space="preserve">. </w:t>
      </w:r>
      <w:r w:rsidR="00DB560D">
        <w:rPr>
          <w:lang w:val="fr-FR"/>
        </w:rPr>
        <w:t>L</w:t>
      </w:r>
      <w:r>
        <w:rPr>
          <w:lang w:val="fr-FR"/>
        </w:rPr>
        <w:t xml:space="preserve">es États parties trouveront </w:t>
      </w:r>
      <w:r w:rsidR="00DB560D">
        <w:rPr>
          <w:lang w:val="fr-FR"/>
        </w:rPr>
        <w:t xml:space="preserve">notamment </w:t>
      </w:r>
      <w:r>
        <w:rPr>
          <w:lang w:val="fr-FR"/>
        </w:rPr>
        <w:t xml:space="preserve">dans cette section des informations sur les avantages </w:t>
      </w:r>
      <w:r w:rsidR="000129FA">
        <w:rPr>
          <w:lang w:val="fr-FR"/>
        </w:rPr>
        <w:t>apportés par le</w:t>
      </w:r>
      <w:r>
        <w:rPr>
          <w:lang w:val="fr-FR"/>
        </w:rPr>
        <w:t xml:space="preserve"> suivi d</w:t>
      </w:r>
      <w:r w:rsidR="004C2331">
        <w:rPr>
          <w:lang w:val="fr-FR"/>
        </w:rPr>
        <w:t>’</w:t>
      </w:r>
      <w:r>
        <w:rPr>
          <w:lang w:val="fr-FR"/>
        </w:rPr>
        <w:t>un indicateur spécifique, les sources potentielles d</w:t>
      </w:r>
      <w:r w:rsidR="004C2331">
        <w:rPr>
          <w:lang w:val="fr-FR"/>
        </w:rPr>
        <w:t>’</w:t>
      </w:r>
      <w:r>
        <w:rPr>
          <w:lang w:val="fr-FR"/>
        </w:rPr>
        <w:t xml:space="preserve">information et les méthodologies de collecte des données, ainsi que le </w:t>
      </w:r>
      <w:r w:rsidR="001B12C9">
        <w:rPr>
          <w:lang w:val="fr-FR"/>
        </w:rPr>
        <w:t xml:space="preserve">barème </w:t>
      </w:r>
      <w:r>
        <w:rPr>
          <w:lang w:val="fr-FR"/>
        </w:rPr>
        <w:t xml:space="preserve">permettant de déterminer le degré auquel un indicateur </w:t>
      </w:r>
      <w:r w:rsidR="001B12C9">
        <w:rPr>
          <w:lang w:val="fr-FR"/>
        </w:rPr>
        <w:t>spécifique a été satisfait par la réponse fournie</w:t>
      </w:r>
      <w:r>
        <w:rPr>
          <w:lang w:val="fr-FR"/>
        </w:rPr>
        <w:t>.</w:t>
      </w:r>
    </w:p>
    <w:p w14:paraId="2E2CE8B9" w14:textId="6AFC708A" w:rsidR="00943084" w:rsidRPr="00293466" w:rsidRDefault="00A22812" w:rsidP="00E362A1">
      <w:pPr>
        <w:pStyle w:val="COMPara"/>
        <w:numPr>
          <w:ilvl w:val="4"/>
          <w:numId w:val="18"/>
        </w:numPr>
        <w:ind w:left="1418" w:hanging="567"/>
        <w:jc w:val="both"/>
        <w:rPr>
          <w:lang w:val="fr-FR"/>
        </w:rPr>
      </w:pPr>
      <w:r>
        <w:rPr>
          <w:lang w:val="fr-FR"/>
        </w:rPr>
        <w:t xml:space="preserve">Une </w:t>
      </w:r>
      <w:r w:rsidR="001B12C9">
        <w:rPr>
          <w:b/>
          <w:lang w:val="fr-FR"/>
        </w:rPr>
        <w:t>démarche</w:t>
      </w:r>
      <w:r w:rsidRPr="00E362A1">
        <w:rPr>
          <w:b/>
          <w:lang w:val="fr-FR"/>
        </w:rPr>
        <w:t xml:space="preserve"> </w:t>
      </w:r>
      <w:r w:rsidR="001B12C9">
        <w:rPr>
          <w:b/>
          <w:lang w:val="fr-FR"/>
        </w:rPr>
        <w:t xml:space="preserve">de </w:t>
      </w:r>
      <w:r w:rsidRPr="00E362A1">
        <w:rPr>
          <w:b/>
          <w:lang w:val="fr-FR"/>
        </w:rPr>
        <w:t>renforcement des capacités</w:t>
      </w:r>
      <w:r>
        <w:rPr>
          <w:lang w:val="fr-FR"/>
        </w:rPr>
        <w:t xml:space="preserve"> </w:t>
      </w:r>
      <w:r w:rsidR="00DB560D">
        <w:rPr>
          <w:lang w:val="fr-FR"/>
        </w:rPr>
        <w:t>et les supports associés ont</w:t>
      </w:r>
      <w:r>
        <w:rPr>
          <w:lang w:val="fr-FR"/>
        </w:rPr>
        <w:t xml:space="preserve"> été élabor</w:t>
      </w:r>
      <w:r w:rsidR="00DB560D">
        <w:rPr>
          <w:lang w:val="fr-FR"/>
        </w:rPr>
        <w:t>és</w:t>
      </w:r>
      <w:r>
        <w:rPr>
          <w:lang w:val="fr-FR"/>
        </w:rPr>
        <w:t xml:space="preserve"> pour aider les États </w:t>
      </w:r>
      <w:r w:rsidR="001B12C9">
        <w:rPr>
          <w:lang w:val="fr-FR"/>
        </w:rPr>
        <w:t xml:space="preserve">dans </w:t>
      </w:r>
      <w:r>
        <w:rPr>
          <w:lang w:val="fr-FR"/>
        </w:rPr>
        <w:t>l</w:t>
      </w:r>
      <w:r w:rsidR="004C2331">
        <w:rPr>
          <w:lang w:val="fr-FR"/>
        </w:rPr>
        <w:t>’</w:t>
      </w:r>
      <w:r>
        <w:rPr>
          <w:lang w:val="fr-FR"/>
        </w:rPr>
        <w:t xml:space="preserve">exercice </w:t>
      </w:r>
      <w:r w:rsidR="00DB560D">
        <w:rPr>
          <w:lang w:val="fr-FR"/>
        </w:rPr>
        <w:t>d</w:t>
      </w:r>
      <w:r w:rsidR="004C2331">
        <w:rPr>
          <w:lang w:val="fr-FR"/>
        </w:rPr>
        <w:t>’</w:t>
      </w:r>
      <w:r w:rsidR="00DB560D">
        <w:rPr>
          <w:lang w:val="fr-FR"/>
        </w:rPr>
        <w:t>établissement</w:t>
      </w:r>
      <w:r w:rsidR="001B12C9">
        <w:rPr>
          <w:lang w:val="fr-FR"/>
        </w:rPr>
        <w:t xml:space="preserve"> des</w:t>
      </w:r>
      <w:r>
        <w:rPr>
          <w:lang w:val="fr-FR"/>
        </w:rPr>
        <w:t xml:space="preserve"> rapport</w:t>
      </w:r>
      <w:r w:rsidR="001B12C9">
        <w:rPr>
          <w:lang w:val="fr-FR"/>
        </w:rPr>
        <w:t>s</w:t>
      </w:r>
      <w:r>
        <w:rPr>
          <w:lang w:val="fr-FR"/>
        </w:rPr>
        <w:t>. L</w:t>
      </w:r>
      <w:r w:rsidR="004C2331">
        <w:rPr>
          <w:lang w:val="fr-FR"/>
        </w:rPr>
        <w:t>’</w:t>
      </w:r>
      <w:r>
        <w:rPr>
          <w:lang w:val="fr-FR"/>
        </w:rPr>
        <w:t xml:space="preserve">objectif est de développer les capacités institutionnelles et professionnelles pour la préparation des rapports périodiques et de renforcer les processus de suivi </w:t>
      </w:r>
      <w:r w:rsidR="001B12C9">
        <w:rPr>
          <w:lang w:val="fr-FR"/>
        </w:rPr>
        <w:t xml:space="preserve">dans le cadre </w:t>
      </w:r>
      <w:r>
        <w:rPr>
          <w:lang w:val="fr-FR"/>
        </w:rPr>
        <w:t xml:space="preserve">de la Convention de 2003, conformément au cadre global de résultats. Cette </w:t>
      </w:r>
      <w:r w:rsidR="001B12C9">
        <w:rPr>
          <w:lang w:val="fr-FR"/>
        </w:rPr>
        <w:t>démarche</w:t>
      </w:r>
      <w:r>
        <w:rPr>
          <w:lang w:val="fr-FR"/>
        </w:rPr>
        <w:t xml:space="preserve"> </w:t>
      </w:r>
      <w:r w:rsidR="001B12C9">
        <w:rPr>
          <w:lang w:val="fr-FR"/>
        </w:rPr>
        <w:t>consiste</w:t>
      </w:r>
      <w:r>
        <w:rPr>
          <w:lang w:val="fr-FR"/>
        </w:rPr>
        <w:t xml:space="preserve"> principalement </w:t>
      </w:r>
      <w:r w:rsidR="001B12C9">
        <w:rPr>
          <w:lang w:val="fr-FR"/>
        </w:rPr>
        <w:t xml:space="preserve">à organiser </w:t>
      </w:r>
      <w:r>
        <w:rPr>
          <w:lang w:val="fr-FR"/>
        </w:rPr>
        <w:t>un atelier de renforcement des capacités de trois jours adressé aux référents chargés d</w:t>
      </w:r>
      <w:r w:rsidR="004C2331">
        <w:rPr>
          <w:lang w:val="fr-FR"/>
        </w:rPr>
        <w:t>’</w:t>
      </w:r>
      <w:r w:rsidR="001B12C9">
        <w:rPr>
          <w:lang w:val="fr-FR"/>
        </w:rPr>
        <w:t xml:space="preserve">élaborer </w:t>
      </w:r>
      <w:r>
        <w:rPr>
          <w:lang w:val="fr-FR"/>
        </w:rPr>
        <w:t xml:space="preserve">les rapports pour leurs pays respectifs. </w:t>
      </w:r>
      <w:r w:rsidR="00DB560D">
        <w:rPr>
          <w:lang w:val="fr-FR"/>
        </w:rPr>
        <w:t>Il</w:t>
      </w:r>
      <w:r>
        <w:rPr>
          <w:lang w:val="fr-FR"/>
        </w:rPr>
        <w:t xml:space="preserve"> explique les notions </w:t>
      </w:r>
      <w:r w:rsidR="005B5552">
        <w:rPr>
          <w:lang w:val="fr-FR"/>
        </w:rPr>
        <w:t xml:space="preserve">fondamentales </w:t>
      </w:r>
      <w:r>
        <w:rPr>
          <w:lang w:val="fr-FR"/>
        </w:rPr>
        <w:t xml:space="preserve">du cadre global de résultats et du mécanisme de </w:t>
      </w:r>
      <w:r w:rsidR="005B5552">
        <w:rPr>
          <w:lang w:val="fr-FR"/>
        </w:rPr>
        <w:t xml:space="preserve">soumission des </w:t>
      </w:r>
      <w:r>
        <w:rPr>
          <w:lang w:val="fr-FR"/>
        </w:rPr>
        <w:t>rapport</w:t>
      </w:r>
      <w:r w:rsidR="005B5552">
        <w:rPr>
          <w:lang w:val="fr-FR"/>
        </w:rPr>
        <w:t>s</w:t>
      </w:r>
      <w:r>
        <w:rPr>
          <w:lang w:val="fr-FR"/>
        </w:rPr>
        <w:t xml:space="preserve"> périodique</w:t>
      </w:r>
      <w:r w:rsidR="005B5552">
        <w:rPr>
          <w:lang w:val="fr-FR"/>
        </w:rPr>
        <w:t>s</w:t>
      </w:r>
      <w:r>
        <w:rPr>
          <w:lang w:val="fr-FR"/>
        </w:rPr>
        <w:t xml:space="preserve">, et inclut une </w:t>
      </w:r>
      <w:r w:rsidR="005B5552">
        <w:rPr>
          <w:lang w:val="fr-FR"/>
        </w:rPr>
        <w:t>séance</w:t>
      </w:r>
      <w:r>
        <w:rPr>
          <w:lang w:val="fr-FR"/>
        </w:rPr>
        <w:t xml:space="preserve"> pratique sur les sources de données, les méthodologies participatives et </w:t>
      </w:r>
      <w:r w:rsidR="001910A8">
        <w:rPr>
          <w:lang w:val="fr-FR"/>
        </w:rPr>
        <w:t xml:space="preserve">des instructions pour </w:t>
      </w:r>
      <w:r>
        <w:rPr>
          <w:lang w:val="fr-FR"/>
        </w:rPr>
        <w:t>remplir la version en ligne du formulaire ICH-10.</w:t>
      </w:r>
    </w:p>
    <w:p w14:paraId="0BE8C1A6" w14:textId="43EC2CF4" w:rsidR="00E31A7A" w:rsidRPr="00293466" w:rsidRDefault="00A22812" w:rsidP="00E31A7A">
      <w:pPr>
        <w:pStyle w:val="COMPara"/>
        <w:ind w:left="567" w:hanging="567"/>
        <w:jc w:val="both"/>
        <w:rPr>
          <w:lang w:val="fr-FR"/>
        </w:rPr>
      </w:pPr>
      <w:r>
        <w:rPr>
          <w:lang w:val="fr-FR"/>
        </w:rPr>
        <w:t>La décision de ne pas réviser</w:t>
      </w:r>
      <w:r w:rsidR="00442DE7">
        <w:rPr>
          <w:lang w:val="fr-FR"/>
        </w:rPr>
        <w:t>, à l</w:t>
      </w:r>
      <w:r w:rsidR="004C2331">
        <w:rPr>
          <w:lang w:val="fr-FR"/>
        </w:rPr>
        <w:t>’</w:t>
      </w:r>
      <w:r w:rsidR="00442DE7">
        <w:rPr>
          <w:lang w:val="fr-FR"/>
        </w:rPr>
        <w:t xml:space="preserve">heure actuelle, </w:t>
      </w:r>
      <w:r>
        <w:rPr>
          <w:lang w:val="fr-FR"/>
        </w:rPr>
        <w:t xml:space="preserve">le mécanisme de </w:t>
      </w:r>
      <w:r w:rsidR="005B5552">
        <w:rPr>
          <w:lang w:val="fr-FR"/>
        </w:rPr>
        <w:t xml:space="preserve">soumission de </w:t>
      </w:r>
      <w:r>
        <w:rPr>
          <w:lang w:val="fr-FR"/>
        </w:rPr>
        <w:t>rapport</w:t>
      </w:r>
      <w:r w:rsidR="005B5552">
        <w:rPr>
          <w:lang w:val="fr-FR"/>
        </w:rPr>
        <w:t>s</w:t>
      </w:r>
      <w:r>
        <w:rPr>
          <w:lang w:val="fr-FR"/>
        </w:rPr>
        <w:t xml:space="preserve"> sur l</w:t>
      </w:r>
      <w:r w:rsidR="004C2331">
        <w:rPr>
          <w:lang w:val="fr-FR"/>
        </w:rPr>
        <w:t>’</w:t>
      </w:r>
      <w:r>
        <w:rPr>
          <w:lang w:val="fr-FR"/>
        </w:rPr>
        <w:t xml:space="preserve">état des éléments inscrits sur la Liste du patrimoine culturel immatériel nécessitant une sauvegarde urgente (voir document </w:t>
      </w:r>
      <w:hyperlink r:id="rId13" w:history="1">
        <w:r w:rsidRPr="007106B9">
          <w:rPr>
            <w:rStyle w:val="Hyperlink"/>
            <w:lang w:val="fr-FR"/>
          </w:rPr>
          <w:t>LHE/19/14.COM/9.a</w:t>
        </w:r>
      </w:hyperlink>
      <w:r w:rsidRPr="007106B9">
        <w:rPr>
          <w:lang w:val="fr-FR"/>
        </w:rPr>
        <w:t xml:space="preserve">) </w:t>
      </w:r>
      <w:r w:rsidR="005B5552" w:rsidRPr="007106B9">
        <w:rPr>
          <w:lang w:val="fr-FR"/>
        </w:rPr>
        <w:t>s</w:t>
      </w:r>
      <w:r w:rsidR="004C2331" w:rsidRPr="007106B9">
        <w:rPr>
          <w:lang w:val="fr-FR"/>
        </w:rPr>
        <w:t>’</w:t>
      </w:r>
      <w:r w:rsidR="005B5552">
        <w:rPr>
          <w:lang w:val="fr-FR"/>
        </w:rPr>
        <w:t xml:space="preserve">applique également </w:t>
      </w:r>
      <w:r w:rsidR="004A6DB3">
        <w:rPr>
          <w:lang w:val="fr-FR"/>
        </w:rPr>
        <w:t>à l</w:t>
      </w:r>
      <w:r w:rsidR="004C2331">
        <w:rPr>
          <w:lang w:val="fr-FR"/>
        </w:rPr>
        <w:t>’</w:t>
      </w:r>
      <w:r w:rsidR="004A6DB3">
        <w:rPr>
          <w:lang w:val="fr-FR"/>
        </w:rPr>
        <w:t xml:space="preserve">établissement des </w:t>
      </w:r>
      <w:r>
        <w:rPr>
          <w:lang w:val="fr-FR"/>
        </w:rPr>
        <w:t>rapport</w:t>
      </w:r>
      <w:r w:rsidR="005B5552">
        <w:rPr>
          <w:lang w:val="fr-FR"/>
        </w:rPr>
        <w:t>s</w:t>
      </w:r>
      <w:r>
        <w:rPr>
          <w:lang w:val="fr-FR"/>
        </w:rPr>
        <w:t xml:space="preserve"> sur les éléments inscrits sur la Liste représentative du patrimoine culturel immatériel de l</w:t>
      </w:r>
      <w:r w:rsidR="004C2331">
        <w:rPr>
          <w:lang w:val="fr-FR"/>
        </w:rPr>
        <w:t>’</w:t>
      </w:r>
      <w:r>
        <w:rPr>
          <w:lang w:val="fr-FR"/>
        </w:rPr>
        <w:t xml:space="preserve">humanité. La section C du nouveau formulaire ICH-10 demeure identique à la version précédente et </w:t>
      </w:r>
      <w:r w:rsidR="00442DE7">
        <w:rPr>
          <w:lang w:val="fr-FR"/>
        </w:rPr>
        <w:t xml:space="preserve">reste structurée autour des </w:t>
      </w:r>
      <w:r>
        <w:rPr>
          <w:lang w:val="fr-FR"/>
        </w:rPr>
        <w:t xml:space="preserve">paragraphes 162 et 163 des Directives opérationnelles. La réflexion </w:t>
      </w:r>
      <w:r w:rsidR="004A6DB3">
        <w:rPr>
          <w:lang w:val="fr-FR"/>
        </w:rPr>
        <w:t xml:space="preserve">en cours </w:t>
      </w:r>
      <w:r>
        <w:rPr>
          <w:lang w:val="fr-FR"/>
        </w:rPr>
        <w:t>sur les mécanismes d</w:t>
      </w:r>
      <w:r w:rsidR="004C2331">
        <w:rPr>
          <w:lang w:val="fr-FR"/>
        </w:rPr>
        <w:t>’</w:t>
      </w:r>
      <w:r>
        <w:rPr>
          <w:lang w:val="fr-FR"/>
        </w:rPr>
        <w:t xml:space="preserve">inscription et </w:t>
      </w:r>
      <w:r w:rsidR="00442DE7">
        <w:rPr>
          <w:lang w:val="fr-FR"/>
        </w:rPr>
        <w:t>les</w:t>
      </w:r>
      <w:r>
        <w:rPr>
          <w:lang w:val="fr-FR"/>
        </w:rPr>
        <w:t xml:space="preserve"> </w:t>
      </w:r>
      <w:bookmarkStart w:id="0" w:name="_GoBack"/>
      <w:bookmarkEnd w:id="0"/>
      <w:r w:rsidRPr="007106B9">
        <w:rPr>
          <w:lang w:val="fr-FR"/>
        </w:rPr>
        <w:t>procédures</w:t>
      </w:r>
      <w:r w:rsidR="00442DE7" w:rsidRPr="007106B9">
        <w:rPr>
          <w:lang w:val="fr-FR"/>
        </w:rPr>
        <w:t xml:space="preserve"> associées</w:t>
      </w:r>
      <w:r w:rsidRPr="007106B9">
        <w:rPr>
          <w:lang w:val="fr-FR"/>
        </w:rPr>
        <w:t xml:space="preserve">, ainsi que les débats sur le suivi des éléments inscrits (voir document </w:t>
      </w:r>
      <w:hyperlink r:id="rId14" w:history="1">
        <w:r w:rsidRPr="007106B9">
          <w:rPr>
            <w:rStyle w:val="Hyperlink"/>
            <w:lang w:val="fr-FR"/>
          </w:rPr>
          <w:t>LHE/19/14.COM/12</w:t>
        </w:r>
      </w:hyperlink>
      <w:r w:rsidRPr="007106B9">
        <w:rPr>
          <w:lang w:val="fr-FR"/>
        </w:rPr>
        <w:t>)</w:t>
      </w:r>
      <w:r>
        <w:rPr>
          <w:lang w:val="fr-FR"/>
        </w:rPr>
        <w:t xml:space="preserve"> pourront éventuellement guider la révision des mécanismes de </w:t>
      </w:r>
      <w:r w:rsidR="00442DE7">
        <w:rPr>
          <w:lang w:val="fr-FR"/>
        </w:rPr>
        <w:t xml:space="preserve">soumission des </w:t>
      </w:r>
      <w:r>
        <w:rPr>
          <w:lang w:val="fr-FR"/>
        </w:rPr>
        <w:t>rapport</w:t>
      </w:r>
      <w:r w:rsidR="00442DE7">
        <w:rPr>
          <w:lang w:val="fr-FR"/>
        </w:rPr>
        <w:t>s</w:t>
      </w:r>
      <w:r>
        <w:rPr>
          <w:lang w:val="fr-FR"/>
        </w:rPr>
        <w:t xml:space="preserve"> </w:t>
      </w:r>
      <w:r w:rsidR="00442DE7">
        <w:rPr>
          <w:lang w:val="fr-FR"/>
        </w:rPr>
        <w:t xml:space="preserve">pour </w:t>
      </w:r>
      <w:r>
        <w:rPr>
          <w:lang w:val="fr-FR"/>
        </w:rPr>
        <w:t>les éléments inscrits sur la Liste représentative</w:t>
      </w:r>
      <w:r w:rsidR="004A6DB3">
        <w:rPr>
          <w:lang w:val="fr-FR"/>
        </w:rPr>
        <w:t>.</w:t>
      </w:r>
    </w:p>
    <w:p w14:paraId="7B59B8DF" w14:textId="0B102576" w:rsidR="007525C0" w:rsidRPr="00293466" w:rsidRDefault="00055D44" w:rsidP="00E362A1">
      <w:pPr>
        <w:pStyle w:val="COMPara"/>
        <w:ind w:left="567" w:hanging="567"/>
        <w:jc w:val="both"/>
        <w:rPr>
          <w:lang w:val="fr-FR"/>
        </w:rPr>
      </w:pPr>
      <w:r>
        <w:rPr>
          <w:lang w:val="fr-FR"/>
        </w:rPr>
        <w:t>L</w:t>
      </w:r>
      <w:r w:rsidR="00A22812">
        <w:rPr>
          <w:lang w:val="fr-FR"/>
        </w:rPr>
        <w:t xml:space="preserve">a réforme de </w:t>
      </w:r>
      <w:r>
        <w:rPr>
          <w:lang w:val="fr-FR"/>
        </w:rPr>
        <w:t xml:space="preserve">la soumission des </w:t>
      </w:r>
      <w:r w:rsidR="00A22812">
        <w:rPr>
          <w:lang w:val="fr-FR"/>
        </w:rPr>
        <w:t>rapport</w:t>
      </w:r>
      <w:r>
        <w:rPr>
          <w:lang w:val="fr-FR"/>
        </w:rPr>
        <w:t>s</w:t>
      </w:r>
      <w:r w:rsidR="00A22812">
        <w:rPr>
          <w:lang w:val="fr-FR"/>
        </w:rPr>
        <w:t xml:space="preserve"> périodique</w:t>
      </w:r>
      <w:r>
        <w:rPr>
          <w:lang w:val="fr-FR"/>
        </w:rPr>
        <w:t>s</w:t>
      </w:r>
      <w:r w:rsidR="00A22812">
        <w:rPr>
          <w:lang w:val="fr-FR"/>
        </w:rPr>
        <w:t>, et notamment la révision du formulaire ICH</w:t>
      </w:r>
      <w:r w:rsidR="00A22812">
        <w:rPr>
          <w:lang w:val="fr-FR"/>
        </w:rPr>
        <w:noBreakHyphen/>
        <w:t xml:space="preserve">10, ont pu être </w:t>
      </w:r>
      <w:r>
        <w:rPr>
          <w:lang w:val="fr-FR"/>
        </w:rPr>
        <w:t>menées à bien</w:t>
      </w:r>
      <w:r w:rsidR="00A22812">
        <w:rPr>
          <w:lang w:val="fr-FR"/>
        </w:rPr>
        <w:t xml:space="preserve"> en grande partie grâce à la généreuse contribution financière de la République de Corée au Fonds du patrimoine culturel immatériel</w:t>
      </w:r>
      <w:r w:rsidR="004A6DB3">
        <w:rPr>
          <w:lang w:val="fr-FR"/>
        </w:rPr>
        <w:t xml:space="preserve"> </w:t>
      </w:r>
      <w:r w:rsidR="00A22812">
        <w:rPr>
          <w:lang w:val="fr-FR"/>
        </w:rPr>
        <w:t>(</w:t>
      </w:r>
      <w:hyperlink r:id="rId15" w:history="1">
        <w:r w:rsidR="006C5FC6">
          <w:rPr>
            <w:rStyle w:val="Hyperlink"/>
            <w:lang w:val="fr-FR"/>
          </w:rPr>
          <w:t>d</w:t>
        </w:r>
        <w:r w:rsidR="00A22812">
          <w:rPr>
            <w:rStyle w:val="Hyperlink"/>
            <w:lang w:val="fr-FR"/>
          </w:rPr>
          <w:t>écision 11.COM 6</w:t>
        </w:r>
      </w:hyperlink>
      <w:r w:rsidR="00A22812">
        <w:rPr>
          <w:lang w:val="fr-FR"/>
        </w:rPr>
        <w:t>).</w:t>
      </w:r>
    </w:p>
    <w:p w14:paraId="3C162C5D" w14:textId="781A68BD" w:rsidR="001F0FFD" w:rsidRPr="00293466" w:rsidRDefault="00A22812" w:rsidP="00EC6D0F">
      <w:pPr>
        <w:pStyle w:val="COMPara"/>
        <w:keepNext/>
        <w:numPr>
          <w:ilvl w:val="0"/>
          <w:numId w:val="36"/>
        </w:numPr>
        <w:spacing w:before="240"/>
        <w:ind w:left="567" w:hanging="567"/>
        <w:jc w:val="both"/>
        <w:rPr>
          <w:b/>
          <w:lang w:val="fr-FR"/>
        </w:rPr>
      </w:pPr>
      <w:r w:rsidRPr="00EC6D0F">
        <w:rPr>
          <w:b/>
          <w:lang w:val="fr-FR"/>
        </w:rPr>
        <w:t xml:space="preserve">Notes explicatives sur </w:t>
      </w:r>
      <w:r w:rsidR="004A6DB3">
        <w:rPr>
          <w:b/>
          <w:lang w:val="fr-FR"/>
        </w:rPr>
        <w:t>la raison d</w:t>
      </w:r>
      <w:r w:rsidR="004C2331">
        <w:rPr>
          <w:b/>
          <w:lang w:val="fr-FR"/>
        </w:rPr>
        <w:t>’</w:t>
      </w:r>
      <w:r w:rsidR="004A6DB3">
        <w:rPr>
          <w:b/>
          <w:lang w:val="fr-FR"/>
        </w:rPr>
        <w:t xml:space="preserve">être de la réforme et </w:t>
      </w:r>
      <w:r w:rsidRPr="00EC6D0F">
        <w:rPr>
          <w:b/>
          <w:lang w:val="fr-FR"/>
        </w:rPr>
        <w:t>les outils développés</w:t>
      </w:r>
    </w:p>
    <w:p w14:paraId="39B0AE3F" w14:textId="75D499C7" w:rsidR="00EF6442" w:rsidRPr="00293466" w:rsidRDefault="00A22812" w:rsidP="004560C2">
      <w:pPr>
        <w:pStyle w:val="COMPara"/>
        <w:ind w:left="567" w:hanging="567"/>
        <w:jc w:val="both"/>
        <w:rPr>
          <w:lang w:val="fr-FR"/>
        </w:rPr>
      </w:pPr>
      <w:r>
        <w:rPr>
          <w:lang w:val="fr-FR"/>
        </w:rPr>
        <w:t xml:space="preserve">Le nouveau système de </w:t>
      </w:r>
      <w:r w:rsidR="00A674C9">
        <w:rPr>
          <w:lang w:val="fr-FR"/>
        </w:rPr>
        <w:t xml:space="preserve">soumission des </w:t>
      </w:r>
      <w:r>
        <w:rPr>
          <w:lang w:val="fr-FR"/>
        </w:rPr>
        <w:t>rapport</w:t>
      </w:r>
      <w:r w:rsidR="00A674C9">
        <w:rPr>
          <w:lang w:val="fr-FR"/>
        </w:rPr>
        <w:t>s</w:t>
      </w:r>
      <w:r>
        <w:rPr>
          <w:lang w:val="fr-FR"/>
        </w:rPr>
        <w:t xml:space="preserve"> a été développé en réponse aux principales préoccupations soulevées par le Service d</w:t>
      </w:r>
      <w:r w:rsidR="004C2331">
        <w:rPr>
          <w:lang w:val="fr-FR"/>
        </w:rPr>
        <w:t>’</w:t>
      </w:r>
      <w:r>
        <w:rPr>
          <w:lang w:val="fr-FR"/>
        </w:rPr>
        <w:t>évaluation et d</w:t>
      </w:r>
      <w:r w:rsidR="004C2331">
        <w:rPr>
          <w:lang w:val="fr-FR"/>
        </w:rPr>
        <w:t>’</w:t>
      </w:r>
      <w:r>
        <w:rPr>
          <w:lang w:val="fr-FR"/>
        </w:rPr>
        <w:t>audit (IOS) de l</w:t>
      </w:r>
      <w:r w:rsidR="004C2331">
        <w:rPr>
          <w:lang w:val="fr-FR"/>
        </w:rPr>
        <w:t>’</w:t>
      </w:r>
      <w:r>
        <w:rPr>
          <w:lang w:val="fr-FR"/>
        </w:rPr>
        <w:t>UNESCO qui, dans son évaluation du travail normatif du Secteur de la culture de l</w:t>
      </w:r>
      <w:r w:rsidR="004C2331">
        <w:rPr>
          <w:lang w:val="fr-FR"/>
        </w:rPr>
        <w:t>’</w:t>
      </w:r>
      <w:r>
        <w:rPr>
          <w:lang w:val="fr-FR"/>
        </w:rPr>
        <w:t xml:space="preserve">UNESCO menée en 2013, a souligné que les informations fournies par les États dans leurs premiers rapports ne permettaient pas </w:t>
      </w:r>
      <w:r w:rsidR="00A674C9">
        <w:rPr>
          <w:lang w:val="fr-FR"/>
        </w:rPr>
        <w:t>d</w:t>
      </w:r>
      <w:r w:rsidR="004C2331">
        <w:rPr>
          <w:lang w:val="fr-FR"/>
        </w:rPr>
        <w:t>’</w:t>
      </w:r>
      <w:r w:rsidR="00A674C9">
        <w:rPr>
          <w:lang w:val="fr-FR"/>
        </w:rPr>
        <w:t>assurer</w:t>
      </w:r>
      <w:r>
        <w:rPr>
          <w:lang w:val="fr-FR"/>
        </w:rPr>
        <w:t xml:space="preserve"> un suivi assez efficace de la mise en œuvre de la Convention de 2003. La version révisée du formulaire ICH-10 </w:t>
      </w:r>
      <w:r w:rsidR="00A674C9">
        <w:rPr>
          <w:lang w:val="fr-FR"/>
        </w:rPr>
        <w:t>fournit</w:t>
      </w:r>
      <w:r>
        <w:rPr>
          <w:lang w:val="fr-FR"/>
        </w:rPr>
        <w:t xml:space="preserve"> aux États parties un outil utile pour déterminer la pertinence de certaines mesures et méthodes de mise en œuvre spécifiques, </w:t>
      </w:r>
      <w:r w:rsidR="00A674C9">
        <w:rPr>
          <w:lang w:val="fr-FR"/>
        </w:rPr>
        <w:t xml:space="preserve">et </w:t>
      </w:r>
      <w:r w:rsidR="00381B41">
        <w:rPr>
          <w:lang w:val="fr-FR"/>
        </w:rPr>
        <w:lastRenderedPageBreak/>
        <w:t xml:space="preserve">atteste </w:t>
      </w:r>
      <w:r>
        <w:rPr>
          <w:lang w:val="fr-FR"/>
        </w:rPr>
        <w:t>de</w:t>
      </w:r>
      <w:r w:rsidR="00381B41">
        <w:rPr>
          <w:lang w:val="fr-FR"/>
        </w:rPr>
        <w:t>s</w:t>
      </w:r>
      <w:r>
        <w:rPr>
          <w:lang w:val="fr-FR"/>
        </w:rPr>
        <w:t xml:space="preserve"> bonnes pratique</w:t>
      </w:r>
      <w:r w:rsidR="00381B41">
        <w:rPr>
          <w:lang w:val="fr-FR"/>
        </w:rPr>
        <w:t>s, le cas échéant</w:t>
      </w:r>
      <w:r>
        <w:rPr>
          <w:lang w:val="fr-FR"/>
        </w:rPr>
        <w:t xml:space="preserve">. Elle </w:t>
      </w:r>
      <w:r w:rsidR="00C4765E">
        <w:rPr>
          <w:lang w:val="fr-FR"/>
        </w:rPr>
        <w:t>offre</w:t>
      </w:r>
      <w:r>
        <w:rPr>
          <w:lang w:val="fr-FR"/>
        </w:rPr>
        <w:t xml:space="preserve"> également aux États parties une base utile pour développer leur</w:t>
      </w:r>
      <w:r w:rsidR="00381B41">
        <w:rPr>
          <w:lang w:val="fr-FR"/>
        </w:rPr>
        <w:t>s</w:t>
      </w:r>
      <w:r>
        <w:rPr>
          <w:lang w:val="fr-FR"/>
        </w:rPr>
        <w:t xml:space="preserve"> propre</w:t>
      </w:r>
      <w:r w:rsidR="00381B41">
        <w:rPr>
          <w:lang w:val="fr-FR"/>
        </w:rPr>
        <w:t>s</w:t>
      </w:r>
      <w:r>
        <w:rPr>
          <w:lang w:val="fr-FR"/>
        </w:rPr>
        <w:t xml:space="preserve"> système</w:t>
      </w:r>
      <w:r w:rsidR="00381B41">
        <w:rPr>
          <w:lang w:val="fr-FR"/>
        </w:rPr>
        <w:t>s</w:t>
      </w:r>
      <w:r>
        <w:rPr>
          <w:lang w:val="fr-FR"/>
        </w:rPr>
        <w:t xml:space="preserve"> de suivi.</w:t>
      </w:r>
    </w:p>
    <w:p w14:paraId="4A198525" w14:textId="18FCB449" w:rsidR="001F0FFD" w:rsidRPr="00293466" w:rsidRDefault="00A22812" w:rsidP="004560C2">
      <w:pPr>
        <w:pStyle w:val="COMPara"/>
        <w:ind w:left="567" w:hanging="567"/>
        <w:jc w:val="both"/>
        <w:rPr>
          <w:lang w:val="fr-FR"/>
        </w:rPr>
      </w:pPr>
      <w:r>
        <w:rPr>
          <w:lang w:val="fr-FR"/>
        </w:rPr>
        <w:t xml:space="preserve">Les indicateurs </w:t>
      </w:r>
      <w:r w:rsidR="00381B41">
        <w:rPr>
          <w:lang w:val="fr-FR"/>
        </w:rPr>
        <w:t>inclus</w:t>
      </w:r>
      <w:r>
        <w:rPr>
          <w:lang w:val="fr-FR"/>
        </w:rPr>
        <w:t xml:space="preserve"> dans le cadre et les questions </w:t>
      </w:r>
      <w:r w:rsidR="00381B41">
        <w:rPr>
          <w:lang w:val="fr-FR"/>
        </w:rPr>
        <w:t>posées dans les</w:t>
      </w:r>
      <w:r>
        <w:rPr>
          <w:lang w:val="fr-FR"/>
        </w:rPr>
        <w:t xml:space="preserve"> rapport</w:t>
      </w:r>
      <w:r w:rsidR="00381B41">
        <w:rPr>
          <w:lang w:val="fr-FR"/>
        </w:rPr>
        <w:t>s</w:t>
      </w:r>
      <w:r>
        <w:rPr>
          <w:lang w:val="fr-FR"/>
        </w:rPr>
        <w:t xml:space="preserve"> ne </w:t>
      </w:r>
      <w:r w:rsidR="00381B41">
        <w:rPr>
          <w:lang w:val="fr-FR"/>
        </w:rPr>
        <w:t>s</w:t>
      </w:r>
      <w:r w:rsidR="004C2331">
        <w:rPr>
          <w:lang w:val="fr-FR"/>
        </w:rPr>
        <w:t>’</w:t>
      </w:r>
      <w:r w:rsidR="00381B41">
        <w:rPr>
          <w:lang w:val="fr-FR"/>
        </w:rPr>
        <w:t>appliqueront</w:t>
      </w:r>
      <w:r>
        <w:rPr>
          <w:lang w:val="fr-FR"/>
        </w:rPr>
        <w:t xml:space="preserve"> pas </w:t>
      </w:r>
      <w:r w:rsidR="00381B41">
        <w:rPr>
          <w:lang w:val="fr-FR"/>
        </w:rPr>
        <w:t xml:space="preserve">tous de </w:t>
      </w:r>
      <w:r w:rsidR="00C4765E">
        <w:rPr>
          <w:lang w:val="fr-FR"/>
        </w:rPr>
        <w:t xml:space="preserve">la même </w:t>
      </w:r>
      <w:r w:rsidR="00381B41">
        <w:rPr>
          <w:lang w:val="fr-FR"/>
        </w:rPr>
        <w:t xml:space="preserve">manière </w:t>
      </w:r>
      <w:r>
        <w:rPr>
          <w:lang w:val="fr-FR"/>
        </w:rPr>
        <w:t xml:space="preserve">aux situations des différents États, et le </w:t>
      </w:r>
      <w:r w:rsidR="00381B41">
        <w:rPr>
          <w:lang w:val="fr-FR"/>
        </w:rPr>
        <w:t>degré</w:t>
      </w:r>
      <w:r>
        <w:rPr>
          <w:lang w:val="fr-FR"/>
        </w:rPr>
        <w:t xml:space="preserve"> de satisfaction variera en fonction des indicateurs et des États. </w:t>
      </w:r>
      <w:r w:rsidR="00381B41">
        <w:rPr>
          <w:lang w:val="fr-FR"/>
        </w:rPr>
        <w:t>Ce principe fondamental</w:t>
      </w:r>
      <w:r>
        <w:rPr>
          <w:lang w:val="fr-FR"/>
        </w:rPr>
        <w:t xml:space="preserve"> </w:t>
      </w:r>
      <w:r w:rsidR="00381B41">
        <w:rPr>
          <w:lang w:val="fr-FR"/>
        </w:rPr>
        <w:t>a toujours été</w:t>
      </w:r>
      <w:r>
        <w:rPr>
          <w:lang w:val="fr-FR"/>
        </w:rPr>
        <w:t xml:space="preserve"> </w:t>
      </w:r>
      <w:r w:rsidR="00381B41">
        <w:rPr>
          <w:lang w:val="fr-FR"/>
        </w:rPr>
        <w:t xml:space="preserve">au cœur </w:t>
      </w:r>
      <w:r>
        <w:rPr>
          <w:lang w:val="fr-FR"/>
        </w:rPr>
        <w:t xml:space="preserve">du cadre global de résultats, et par conséquent du nouveau mécanisme de </w:t>
      </w:r>
      <w:r w:rsidR="00381B41">
        <w:rPr>
          <w:lang w:val="fr-FR"/>
        </w:rPr>
        <w:t xml:space="preserve">soumission des </w:t>
      </w:r>
      <w:r>
        <w:rPr>
          <w:lang w:val="fr-FR"/>
        </w:rPr>
        <w:t>rapport</w:t>
      </w:r>
      <w:r w:rsidR="00381B41">
        <w:rPr>
          <w:lang w:val="fr-FR"/>
        </w:rPr>
        <w:t>s</w:t>
      </w:r>
      <w:r>
        <w:rPr>
          <w:lang w:val="fr-FR"/>
        </w:rPr>
        <w:t xml:space="preserve">. Pour chaque indicateur, le cadre </w:t>
      </w:r>
      <w:r w:rsidR="00C4765E">
        <w:rPr>
          <w:lang w:val="fr-FR"/>
        </w:rPr>
        <w:t>présente</w:t>
      </w:r>
      <w:r>
        <w:rPr>
          <w:lang w:val="fr-FR"/>
        </w:rPr>
        <w:t xml:space="preserve"> plusieurs facteurs qui serviront à </w:t>
      </w:r>
      <w:r w:rsidR="00381B41">
        <w:rPr>
          <w:lang w:val="fr-FR"/>
        </w:rPr>
        <w:t>l</w:t>
      </w:r>
      <w:r w:rsidR="004C2331">
        <w:rPr>
          <w:lang w:val="fr-FR"/>
        </w:rPr>
        <w:t>’</w:t>
      </w:r>
      <w:r w:rsidR="00381B41">
        <w:rPr>
          <w:lang w:val="fr-FR"/>
        </w:rPr>
        <w:t>évaluer </w:t>
      </w:r>
      <w:r>
        <w:rPr>
          <w:lang w:val="fr-FR"/>
        </w:rPr>
        <w:t xml:space="preserve">; la même structure est </w:t>
      </w:r>
      <w:r w:rsidR="00381B41">
        <w:rPr>
          <w:lang w:val="fr-FR"/>
        </w:rPr>
        <w:t>reprise</w:t>
      </w:r>
      <w:r>
        <w:rPr>
          <w:lang w:val="fr-FR"/>
        </w:rPr>
        <w:t xml:space="preserve"> dans le nouveau formulaire </w:t>
      </w:r>
      <w:r w:rsidR="00381B41">
        <w:rPr>
          <w:lang w:val="fr-FR"/>
        </w:rPr>
        <w:t xml:space="preserve">de </w:t>
      </w:r>
      <w:r>
        <w:rPr>
          <w:lang w:val="fr-FR"/>
        </w:rPr>
        <w:t xml:space="preserve">rapport, qui comporte plusieurs questions par indicateur. Chaque État </w:t>
      </w:r>
      <w:r w:rsidR="00C269B7">
        <w:rPr>
          <w:lang w:val="fr-FR"/>
        </w:rPr>
        <w:t xml:space="preserve">doit suivre ces facteurs </w:t>
      </w:r>
      <w:r>
        <w:rPr>
          <w:lang w:val="fr-FR"/>
        </w:rPr>
        <w:t>et établir un rapport sur l</w:t>
      </w:r>
      <w:r w:rsidR="00C269B7">
        <w:rPr>
          <w:lang w:val="fr-FR"/>
        </w:rPr>
        <w:t xml:space="preserve">eur </w:t>
      </w:r>
      <w:r>
        <w:rPr>
          <w:lang w:val="fr-FR"/>
        </w:rPr>
        <w:t>existence (ou l</w:t>
      </w:r>
      <w:r w:rsidR="00C269B7">
        <w:rPr>
          <w:lang w:val="fr-FR"/>
        </w:rPr>
        <w:t xml:space="preserve">eur </w:t>
      </w:r>
      <w:r>
        <w:rPr>
          <w:lang w:val="fr-FR"/>
        </w:rPr>
        <w:t>absence). Pour la plupart des indicateurs, les États devront répondre à deux questions ou plus</w:t>
      </w:r>
      <w:r w:rsidR="00C4765E">
        <w:rPr>
          <w:lang w:val="fr-FR"/>
        </w:rPr>
        <w:t xml:space="preserve">, inspirées </w:t>
      </w:r>
      <w:r>
        <w:rPr>
          <w:lang w:val="fr-FR"/>
        </w:rPr>
        <w:t>des facteurs d</w:t>
      </w:r>
      <w:r w:rsidR="004C2331">
        <w:rPr>
          <w:lang w:val="fr-FR"/>
        </w:rPr>
        <w:t>’</w:t>
      </w:r>
      <w:r>
        <w:rPr>
          <w:lang w:val="fr-FR"/>
        </w:rPr>
        <w:t xml:space="preserve">appréciation </w:t>
      </w:r>
      <w:r w:rsidR="00C269B7">
        <w:rPr>
          <w:lang w:val="fr-FR"/>
        </w:rPr>
        <w:t>associés</w:t>
      </w:r>
      <w:r>
        <w:rPr>
          <w:lang w:val="fr-FR"/>
        </w:rPr>
        <w:t> ; les réponses fournies serviront à évaluer l</w:t>
      </w:r>
      <w:r w:rsidR="004C2331">
        <w:rPr>
          <w:lang w:val="fr-FR"/>
        </w:rPr>
        <w:t>’</w:t>
      </w:r>
      <w:r>
        <w:rPr>
          <w:lang w:val="fr-FR"/>
        </w:rPr>
        <w:t>indicateur ; sur cette base, il sera possible de déterminer si un indicateur</w:t>
      </w:r>
      <w:r w:rsidR="00C269B7">
        <w:rPr>
          <w:lang w:val="fr-FR"/>
        </w:rPr>
        <w:t xml:space="preserve"> est satisfait totalement ou dans une moindre mesure</w:t>
      </w:r>
      <w:r w:rsidR="001910A8">
        <w:rPr>
          <w:lang w:val="fr-FR"/>
        </w:rPr>
        <w:t xml:space="preserve"> pour un État partie donné</w:t>
      </w:r>
      <w:r w:rsidR="00C269B7">
        <w:rPr>
          <w:lang w:val="fr-FR"/>
        </w:rPr>
        <w:t>.</w:t>
      </w:r>
    </w:p>
    <w:p w14:paraId="5015C99C" w14:textId="6F4E7E8F" w:rsidR="007777B6" w:rsidRPr="00293466" w:rsidRDefault="00A22812" w:rsidP="004560C2">
      <w:pPr>
        <w:pStyle w:val="COMPara"/>
        <w:ind w:left="567" w:hanging="567"/>
        <w:jc w:val="both"/>
        <w:rPr>
          <w:lang w:val="fr-FR"/>
        </w:rPr>
      </w:pPr>
      <w:r>
        <w:rPr>
          <w:lang w:val="fr-FR"/>
        </w:rPr>
        <w:t xml:space="preserve">Dans la plupart des cas, les facteurs et les questions </w:t>
      </w:r>
      <w:r w:rsidR="00C4765E">
        <w:rPr>
          <w:lang w:val="fr-FR"/>
        </w:rPr>
        <w:t>qui y sont associées</w:t>
      </w:r>
      <w:r>
        <w:rPr>
          <w:lang w:val="fr-FR"/>
        </w:rPr>
        <w:t xml:space="preserve"> </w:t>
      </w:r>
      <w:r w:rsidR="00C4765E">
        <w:rPr>
          <w:lang w:val="fr-FR"/>
        </w:rPr>
        <w:t>sont</w:t>
      </w:r>
      <w:r>
        <w:rPr>
          <w:lang w:val="fr-FR"/>
        </w:rPr>
        <w:t xml:space="preserve"> directement </w:t>
      </w:r>
      <w:r w:rsidR="00C4765E">
        <w:rPr>
          <w:lang w:val="fr-FR"/>
        </w:rPr>
        <w:t xml:space="preserve">issus </w:t>
      </w:r>
      <w:r>
        <w:rPr>
          <w:lang w:val="fr-FR"/>
        </w:rPr>
        <w:t xml:space="preserve">des </w:t>
      </w:r>
      <w:r w:rsidR="00C4765E">
        <w:rPr>
          <w:lang w:val="fr-FR"/>
        </w:rPr>
        <w:t>différentes</w:t>
      </w:r>
      <w:r>
        <w:rPr>
          <w:lang w:val="fr-FR"/>
        </w:rPr>
        <w:t xml:space="preserve"> dispositions de la Convention et de ses Directives opérationnelles, qui </w:t>
      </w:r>
      <w:r w:rsidR="00C4765E">
        <w:rPr>
          <w:lang w:val="fr-FR"/>
        </w:rPr>
        <w:t>obligent ou encouragent</w:t>
      </w:r>
      <w:r>
        <w:rPr>
          <w:lang w:val="fr-FR"/>
        </w:rPr>
        <w:t xml:space="preserve"> les États parties à veiller à ce que </w:t>
      </w:r>
      <w:r w:rsidR="00C4765E">
        <w:rPr>
          <w:lang w:val="fr-FR"/>
        </w:rPr>
        <w:t>certaines</w:t>
      </w:r>
      <w:r>
        <w:rPr>
          <w:lang w:val="fr-FR"/>
        </w:rPr>
        <w:t xml:space="preserve"> conditions soient </w:t>
      </w:r>
      <w:r w:rsidR="00C4765E">
        <w:rPr>
          <w:lang w:val="fr-FR"/>
        </w:rPr>
        <w:t>respectées</w:t>
      </w:r>
      <w:r>
        <w:rPr>
          <w:lang w:val="fr-FR"/>
        </w:rPr>
        <w:t xml:space="preserve">. Les questions </w:t>
      </w:r>
      <w:r w:rsidR="00C4765E">
        <w:rPr>
          <w:lang w:val="fr-FR"/>
        </w:rPr>
        <w:t>énoncées</w:t>
      </w:r>
      <w:r>
        <w:rPr>
          <w:lang w:val="fr-FR"/>
        </w:rPr>
        <w:t xml:space="preserve"> dans le nouveau formulaire de rapport ne prétendent en aucun cas inclure toutes les responsabilités d</w:t>
      </w:r>
      <w:r w:rsidR="004C2331">
        <w:rPr>
          <w:lang w:val="fr-FR"/>
        </w:rPr>
        <w:t>’</w:t>
      </w:r>
      <w:r>
        <w:rPr>
          <w:lang w:val="fr-FR"/>
        </w:rPr>
        <w:t>un État partie, d</w:t>
      </w:r>
      <w:r w:rsidR="004C2331">
        <w:rPr>
          <w:lang w:val="fr-FR"/>
        </w:rPr>
        <w:t>’</w:t>
      </w:r>
      <w:r>
        <w:rPr>
          <w:lang w:val="fr-FR"/>
        </w:rPr>
        <w:t xml:space="preserve">où </w:t>
      </w:r>
      <w:r w:rsidR="00C4765E">
        <w:rPr>
          <w:lang w:val="fr-FR"/>
        </w:rPr>
        <w:t>leur caractère souvent facultatif</w:t>
      </w:r>
      <w:r>
        <w:rPr>
          <w:lang w:val="fr-FR"/>
        </w:rPr>
        <w:t xml:space="preserve">, mais plutôt à sélectionner celles </w:t>
      </w:r>
      <w:r w:rsidR="00C4765E">
        <w:rPr>
          <w:lang w:val="fr-FR"/>
        </w:rPr>
        <w:t xml:space="preserve">considérées comme </w:t>
      </w:r>
      <w:r>
        <w:rPr>
          <w:lang w:val="fr-FR"/>
        </w:rPr>
        <w:t>une base solide pour évaluer si les indicateurs sont satisfaits et dans quelle mesure.</w:t>
      </w:r>
    </w:p>
    <w:p w14:paraId="6EE45876" w14:textId="44D3813D" w:rsidR="00E03020" w:rsidRPr="00293466" w:rsidRDefault="00A22812" w:rsidP="007777B6">
      <w:pPr>
        <w:pStyle w:val="COMPara"/>
        <w:ind w:left="567" w:hanging="567"/>
        <w:jc w:val="both"/>
        <w:rPr>
          <w:lang w:val="fr-FR"/>
        </w:rPr>
      </w:pPr>
      <w:r>
        <w:rPr>
          <w:lang w:val="fr-FR"/>
        </w:rPr>
        <w:t xml:space="preserve">Le barème et la possibilité </w:t>
      </w:r>
      <w:r w:rsidR="000129FA">
        <w:rPr>
          <w:lang w:val="fr-FR"/>
        </w:rPr>
        <w:t>de se fixer</w:t>
      </w:r>
      <w:r>
        <w:rPr>
          <w:lang w:val="fr-FR"/>
        </w:rPr>
        <w:t xml:space="preserve"> des cibles en fonction de bases de départ déterminées lors de l</w:t>
      </w:r>
      <w:r w:rsidR="004C2331">
        <w:rPr>
          <w:lang w:val="fr-FR"/>
        </w:rPr>
        <w:t>’</w:t>
      </w:r>
      <w:r>
        <w:rPr>
          <w:lang w:val="fr-FR"/>
        </w:rPr>
        <w:t>exercice d</w:t>
      </w:r>
      <w:r w:rsidR="004C2331">
        <w:rPr>
          <w:lang w:val="fr-FR"/>
        </w:rPr>
        <w:t>’</w:t>
      </w:r>
      <w:r w:rsidR="000129FA">
        <w:rPr>
          <w:lang w:val="fr-FR"/>
        </w:rPr>
        <w:t xml:space="preserve">établissement de </w:t>
      </w:r>
      <w:r>
        <w:rPr>
          <w:lang w:val="fr-FR"/>
        </w:rPr>
        <w:t>rapport</w:t>
      </w:r>
      <w:r w:rsidR="000129FA">
        <w:rPr>
          <w:lang w:val="fr-FR"/>
        </w:rPr>
        <w:t>s</w:t>
      </w:r>
      <w:r>
        <w:rPr>
          <w:lang w:val="fr-FR"/>
        </w:rPr>
        <w:t xml:space="preserve"> permettra également aux États parties de créer leurs propres points de référence pour mesurer leur progrès (ou dans certains cas</w:t>
      </w:r>
      <w:r w:rsidR="001910A8">
        <w:rPr>
          <w:lang w:val="fr-FR"/>
        </w:rPr>
        <w:t>,</w:t>
      </w:r>
      <w:r>
        <w:rPr>
          <w:lang w:val="fr-FR"/>
        </w:rPr>
        <w:t xml:space="preserve"> leur régression) dans les futurs rapports. Ils pourront aussi identifier clairement les </w:t>
      </w:r>
      <w:r w:rsidR="000129FA">
        <w:rPr>
          <w:lang w:val="fr-FR"/>
        </w:rPr>
        <w:t>effets</w:t>
      </w:r>
      <w:r>
        <w:rPr>
          <w:lang w:val="fr-FR"/>
        </w:rPr>
        <w:t xml:space="preserve"> positifs et négatifs de certaines mesures de sauvegarde et </w:t>
      </w:r>
      <w:r w:rsidR="000129FA">
        <w:rPr>
          <w:lang w:val="fr-FR"/>
        </w:rPr>
        <w:t>démarches</w:t>
      </w:r>
      <w:r>
        <w:rPr>
          <w:lang w:val="fr-FR"/>
        </w:rPr>
        <w:t xml:space="preserve"> de mise en œuvre au niveau national. Le nouveau mécanisme d</w:t>
      </w:r>
      <w:r w:rsidR="00755995">
        <w:rPr>
          <w:lang w:val="fr-FR"/>
        </w:rPr>
        <w:t xml:space="preserve">e soumission </w:t>
      </w:r>
      <w:r w:rsidR="00B82C10">
        <w:rPr>
          <w:lang w:val="fr-FR"/>
        </w:rPr>
        <w:t>des</w:t>
      </w:r>
      <w:r>
        <w:rPr>
          <w:lang w:val="fr-FR"/>
        </w:rPr>
        <w:t xml:space="preserve"> rapport</w:t>
      </w:r>
      <w:r w:rsidR="00B82C10">
        <w:rPr>
          <w:lang w:val="fr-FR"/>
        </w:rPr>
        <w:t>s</w:t>
      </w:r>
      <w:r>
        <w:rPr>
          <w:lang w:val="fr-FR"/>
        </w:rPr>
        <w:t xml:space="preserve"> permettra en outre au Comité et à l</w:t>
      </w:r>
      <w:r w:rsidR="004C2331">
        <w:rPr>
          <w:lang w:val="fr-FR"/>
        </w:rPr>
        <w:t>’</w:t>
      </w:r>
      <w:r>
        <w:rPr>
          <w:lang w:val="fr-FR"/>
        </w:rPr>
        <w:t>Assemblée générale d</w:t>
      </w:r>
      <w:r w:rsidR="004C2331">
        <w:rPr>
          <w:lang w:val="fr-FR"/>
        </w:rPr>
        <w:t>’</w:t>
      </w:r>
      <w:r>
        <w:rPr>
          <w:lang w:val="fr-FR"/>
        </w:rPr>
        <w:t xml:space="preserve">effectuer un suivi </w:t>
      </w:r>
      <w:r w:rsidR="000129FA">
        <w:rPr>
          <w:lang w:val="fr-FR"/>
        </w:rPr>
        <w:t>plus</w:t>
      </w:r>
      <w:r>
        <w:rPr>
          <w:lang w:val="fr-FR"/>
        </w:rPr>
        <w:t xml:space="preserve"> efficace et cohérent </w:t>
      </w:r>
      <w:r w:rsidR="000129FA">
        <w:rPr>
          <w:lang w:val="fr-FR"/>
        </w:rPr>
        <w:t xml:space="preserve">en utilisant </w:t>
      </w:r>
      <w:r>
        <w:rPr>
          <w:lang w:val="fr-FR"/>
        </w:rPr>
        <w:t xml:space="preserve">certaines normes </w:t>
      </w:r>
      <w:r w:rsidR="00F366C7">
        <w:rPr>
          <w:lang w:val="fr-FR"/>
        </w:rPr>
        <w:t xml:space="preserve">pour les </w:t>
      </w:r>
      <w:r w:rsidR="000129FA">
        <w:rPr>
          <w:lang w:val="fr-FR"/>
        </w:rPr>
        <w:t>i</w:t>
      </w:r>
      <w:r>
        <w:rPr>
          <w:lang w:val="fr-FR"/>
        </w:rPr>
        <w:t>nformation</w:t>
      </w:r>
      <w:r w:rsidR="00191D9B">
        <w:rPr>
          <w:lang w:val="fr-FR"/>
        </w:rPr>
        <w:t>s</w:t>
      </w:r>
      <w:r>
        <w:rPr>
          <w:lang w:val="fr-FR"/>
        </w:rPr>
        <w:t xml:space="preserve"> collectées au fil du temps grâce à des systèmes de suivi au niveau national et </w:t>
      </w:r>
      <w:r w:rsidR="000129FA">
        <w:rPr>
          <w:lang w:val="fr-FR"/>
        </w:rPr>
        <w:t>intégrées aux</w:t>
      </w:r>
      <w:r>
        <w:rPr>
          <w:lang w:val="fr-FR"/>
        </w:rPr>
        <w:t xml:space="preserve"> rapports périodiques.</w:t>
      </w:r>
      <w:r w:rsidR="00B82C10">
        <w:rPr>
          <w:lang w:val="fr-FR"/>
        </w:rPr>
        <w:t xml:space="preserve"> Le passage à un cycle régional des rapports devrait également contribuer à améliorer le faible taux de soumission de rapports enregistré lors des précédents cycles.</w:t>
      </w:r>
    </w:p>
    <w:p w14:paraId="49228B32" w14:textId="4C8A5F40" w:rsidR="005652E4" w:rsidRPr="00293466" w:rsidRDefault="00A22812" w:rsidP="00EF6442">
      <w:pPr>
        <w:pStyle w:val="COMPara"/>
        <w:ind w:left="567" w:hanging="567"/>
        <w:jc w:val="both"/>
        <w:rPr>
          <w:lang w:val="fr-FR"/>
        </w:rPr>
      </w:pPr>
      <w:r>
        <w:rPr>
          <w:lang w:val="fr-FR"/>
        </w:rPr>
        <w:t xml:space="preserve">Sans alourdir la tâche des États parties en matière de rapports, ce nouveau système de </w:t>
      </w:r>
      <w:r w:rsidR="00F366C7">
        <w:rPr>
          <w:lang w:val="fr-FR"/>
        </w:rPr>
        <w:t xml:space="preserve">soumission des </w:t>
      </w:r>
      <w:r>
        <w:rPr>
          <w:lang w:val="fr-FR"/>
        </w:rPr>
        <w:t>rapport</w:t>
      </w:r>
      <w:r w:rsidR="00F366C7">
        <w:rPr>
          <w:lang w:val="fr-FR"/>
        </w:rPr>
        <w:t>s</w:t>
      </w:r>
      <w:r>
        <w:rPr>
          <w:lang w:val="fr-FR"/>
        </w:rPr>
        <w:t xml:space="preserve"> est entièrement conforme aux dispositions des Directives opérationnelles </w:t>
      </w:r>
      <w:r w:rsidR="00F366C7">
        <w:rPr>
          <w:lang w:val="fr-FR"/>
        </w:rPr>
        <w:t>concernant la soumission des</w:t>
      </w:r>
      <w:r>
        <w:rPr>
          <w:lang w:val="fr-FR"/>
        </w:rPr>
        <w:t xml:space="preserve"> rapports périodiques. Il est à espérer que, </w:t>
      </w:r>
      <w:r w:rsidR="00F366C7">
        <w:rPr>
          <w:lang w:val="fr-FR"/>
        </w:rPr>
        <w:t>au fil des années et région par région</w:t>
      </w:r>
      <w:r>
        <w:rPr>
          <w:lang w:val="fr-FR"/>
        </w:rPr>
        <w:t xml:space="preserve">, il </w:t>
      </w:r>
      <w:r w:rsidR="00F366C7">
        <w:rPr>
          <w:lang w:val="fr-FR"/>
        </w:rPr>
        <w:t xml:space="preserve">améliorera la </w:t>
      </w:r>
      <w:r>
        <w:rPr>
          <w:lang w:val="fr-FR"/>
        </w:rPr>
        <w:t xml:space="preserve">visibilité </w:t>
      </w:r>
      <w:r w:rsidR="00F366C7">
        <w:rPr>
          <w:lang w:val="fr-FR"/>
        </w:rPr>
        <w:t xml:space="preserve">des </w:t>
      </w:r>
      <w:r>
        <w:rPr>
          <w:lang w:val="fr-FR"/>
        </w:rPr>
        <w:t xml:space="preserve">rapports périodiques et </w:t>
      </w:r>
      <w:r w:rsidR="00F366C7">
        <w:rPr>
          <w:lang w:val="fr-FR"/>
        </w:rPr>
        <w:t>transformera la</w:t>
      </w:r>
      <w:r>
        <w:rPr>
          <w:lang w:val="fr-FR"/>
        </w:rPr>
        <w:t xml:space="preserve"> </w:t>
      </w:r>
      <w:r w:rsidR="00F366C7">
        <w:rPr>
          <w:lang w:val="fr-FR"/>
        </w:rPr>
        <w:t>conception</w:t>
      </w:r>
      <w:r>
        <w:rPr>
          <w:lang w:val="fr-FR"/>
        </w:rPr>
        <w:t xml:space="preserve"> </w:t>
      </w:r>
      <w:r w:rsidR="001910A8">
        <w:rPr>
          <w:lang w:val="fr-FR"/>
        </w:rPr>
        <w:t>des</w:t>
      </w:r>
      <w:r>
        <w:rPr>
          <w:lang w:val="fr-FR"/>
        </w:rPr>
        <w:t xml:space="preserve"> États partie</w:t>
      </w:r>
      <w:r w:rsidR="00F366C7">
        <w:rPr>
          <w:lang w:val="fr-FR"/>
        </w:rPr>
        <w:t>s</w:t>
      </w:r>
      <w:r>
        <w:rPr>
          <w:lang w:val="fr-FR"/>
        </w:rPr>
        <w:t xml:space="preserve"> </w:t>
      </w:r>
      <w:r w:rsidR="00F366C7">
        <w:rPr>
          <w:lang w:val="fr-FR"/>
        </w:rPr>
        <w:t xml:space="preserve">de </w:t>
      </w:r>
      <w:r>
        <w:rPr>
          <w:lang w:val="fr-FR"/>
        </w:rPr>
        <w:t>l</w:t>
      </w:r>
      <w:r w:rsidR="004C2331">
        <w:rPr>
          <w:lang w:val="fr-FR"/>
        </w:rPr>
        <w:t>’</w:t>
      </w:r>
      <w:r>
        <w:rPr>
          <w:lang w:val="fr-FR"/>
        </w:rPr>
        <w:t>exercice d</w:t>
      </w:r>
      <w:r w:rsidR="004C2331">
        <w:rPr>
          <w:lang w:val="fr-FR"/>
        </w:rPr>
        <w:t>’</w:t>
      </w:r>
      <w:r w:rsidR="00F366C7">
        <w:rPr>
          <w:lang w:val="fr-FR"/>
        </w:rPr>
        <w:t xml:space="preserve">établissement de </w:t>
      </w:r>
      <w:r>
        <w:rPr>
          <w:lang w:val="fr-FR"/>
        </w:rPr>
        <w:t>rapport</w:t>
      </w:r>
      <w:r w:rsidR="00F366C7">
        <w:rPr>
          <w:lang w:val="fr-FR"/>
        </w:rPr>
        <w:t>s</w:t>
      </w:r>
      <w:r>
        <w:rPr>
          <w:lang w:val="fr-FR"/>
        </w:rPr>
        <w:t xml:space="preserve">, qui </w:t>
      </w:r>
      <w:r w:rsidR="00F366C7">
        <w:rPr>
          <w:lang w:val="fr-FR"/>
        </w:rPr>
        <w:t xml:space="preserve">leur </w:t>
      </w:r>
      <w:r>
        <w:rPr>
          <w:lang w:val="fr-FR"/>
        </w:rPr>
        <w:t>servira d</w:t>
      </w:r>
      <w:r w:rsidR="004C2331">
        <w:rPr>
          <w:lang w:val="fr-FR"/>
        </w:rPr>
        <w:t>’</w:t>
      </w:r>
      <w:r>
        <w:rPr>
          <w:lang w:val="fr-FR"/>
        </w:rPr>
        <w:t>outil et de méthodologie utile pour suiv</w:t>
      </w:r>
      <w:r w:rsidR="00F366C7">
        <w:rPr>
          <w:lang w:val="fr-FR"/>
        </w:rPr>
        <w:t xml:space="preserve">re </w:t>
      </w:r>
      <w:r>
        <w:rPr>
          <w:lang w:val="fr-FR"/>
        </w:rPr>
        <w:t>leurs propres accomplissement</w:t>
      </w:r>
      <w:r w:rsidR="00F366C7">
        <w:rPr>
          <w:lang w:val="fr-FR"/>
        </w:rPr>
        <w:t>s</w:t>
      </w:r>
      <w:r>
        <w:rPr>
          <w:lang w:val="fr-FR"/>
        </w:rPr>
        <w:t xml:space="preserve"> et, à terme, réviser leurs politiques et leurs approches </w:t>
      </w:r>
      <w:r w:rsidR="00F366C7">
        <w:rPr>
          <w:lang w:val="fr-FR"/>
        </w:rPr>
        <w:t xml:space="preserve">en matière </w:t>
      </w:r>
      <w:r>
        <w:rPr>
          <w:lang w:val="fr-FR"/>
        </w:rPr>
        <w:t>de sauvegarde, le cas échéant. De même, au terme du premier cycle régional, le système de</w:t>
      </w:r>
      <w:r w:rsidR="00F366C7">
        <w:rPr>
          <w:lang w:val="fr-FR"/>
        </w:rPr>
        <w:t xml:space="preserve"> soumission des</w:t>
      </w:r>
      <w:r>
        <w:rPr>
          <w:lang w:val="fr-FR"/>
        </w:rPr>
        <w:t xml:space="preserve"> rapport</w:t>
      </w:r>
      <w:r w:rsidR="00F366C7">
        <w:rPr>
          <w:lang w:val="fr-FR"/>
        </w:rPr>
        <w:t>s</w:t>
      </w:r>
      <w:r>
        <w:rPr>
          <w:lang w:val="fr-FR"/>
        </w:rPr>
        <w:t xml:space="preserve"> fera l</w:t>
      </w:r>
      <w:r w:rsidR="004C2331">
        <w:rPr>
          <w:lang w:val="fr-FR"/>
        </w:rPr>
        <w:t>’</w:t>
      </w:r>
      <w:r>
        <w:rPr>
          <w:lang w:val="fr-FR"/>
        </w:rPr>
        <w:t>objet d</w:t>
      </w:r>
      <w:r w:rsidR="004C2331">
        <w:rPr>
          <w:lang w:val="fr-FR"/>
        </w:rPr>
        <w:t>’</w:t>
      </w:r>
      <w:r>
        <w:rPr>
          <w:lang w:val="fr-FR"/>
        </w:rPr>
        <w:t xml:space="preserve">une année de réflexion en 2025. </w:t>
      </w:r>
      <w:r w:rsidR="00F366C7">
        <w:rPr>
          <w:lang w:val="fr-FR"/>
        </w:rPr>
        <w:t>Celle-ci</w:t>
      </w:r>
      <w:r>
        <w:rPr>
          <w:lang w:val="fr-FR"/>
        </w:rPr>
        <w:t xml:space="preserve"> </w:t>
      </w:r>
      <w:r w:rsidR="00F366C7">
        <w:rPr>
          <w:lang w:val="fr-FR"/>
        </w:rPr>
        <w:t>constituera</w:t>
      </w:r>
      <w:r>
        <w:rPr>
          <w:lang w:val="fr-FR"/>
        </w:rPr>
        <w:t xml:space="preserve"> une </w:t>
      </w:r>
      <w:r w:rsidR="00F366C7">
        <w:rPr>
          <w:lang w:val="fr-FR"/>
        </w:rPr>
        <w:t>occasion</w:t>
      </w:r>
      <w:r>
        <w:rPr>
          <w:lang w:val="fr-FR"/>
        </w:rPr>
        <w:t xml:space="preserve"> </w:t>
      </w:r>
      <w:r w:rsidR="00F366C7">
        <w:rPr>
          <w:lang w:val="fr-FR"/>
        </w:rPr>
        <w:t>importante</w:t>
      </w:r>
      <w:r>
        <w:rPr>
          <w:lang w:val="fr-FR"/>
        </w:rPr>
        <w:t xml:space="preserve"> d</w:t>
      </w:r>
      <w:r w:rsidR="004C2331">
        <w:rPr>
          <w:lang w:val="fr-FR"/>
        </w:rPr>
        <w:t>’</w:t>
      </w:r>
      <w:r>
        <w:rPr>
          <w:lang w:val="fr-FR"/>
        </w:rPr>
        <w:t xml:space="preserve">examiner </w:t>
      </w:r>
      <w:r w:rsidR="00F366C7">
        <w:rPr>
          <w:lang w:val="fr-FR"/>
        </w:rPr>
        <w:t>de manière approfondie</w:t>
      </w:r>
      <w:r>
        <w:rPr>
          <w:lang w:val="fr-FR"/>
        </w:rPr>
        <w:t xml:space="preserve"> </w:t>
      </w:r>
      <w:r w:rsidR="00F366C7">
        <w:rPr>
          <w:lang w:val="fr-FR"/>
        </w:rPr>
        <w:t>le</w:t>
      </w:r>
      <w:r>
        <w:rPr>
          <w:lang w:val="fr-FR"/>
        </w:rPr>
        <w:t xml:space="preserve"> fonctionnement </w:t>
      </w:r>
      <w:r w:rsidR="00F366C7">
        <w:rPr>
          <w:lang w:val="fr-FR"/>
        </w:rPr>
        <w:t xml:space="preserve">du système </w:t>
      </w:r>
      <w:r>
        <w:rPr>
          <w:lang w:val="fr-FR"/>
        </w:rPr>
        <w:t xml:space="preserve">et de résoudre </w:t>
      </w:r>
      <w:r w:rsidR="00191D9B">
        <w:rPr>
          <w:lang w:val="fr-FR"/>
        </w:rPr>
        <w:t>les éventuelles défaillances</w:t>
      </w:r>
      <w:r>
        <w:rPr>
          <w:lang w:val="fr-FR"/>
        </w:rPr>
        <w:t xml:space="preserve"> à partir des expériences concrètes des États ayant soumis des rapports et des sessions d</w:t>
      </w:r>
      <w:r w:rsidR="004C2331">
        <w:rPr>
          <w:lang w:val="fr-FR"/>
        </w:rPr>
        <w:t>’</w:t>
      </w:r>
      <w:r>
        <w:rPr>
          <w:lang w:val="fr-FR"/>
        </w:rPr>
        <w:t>évaluation du Comité et de l</w:t>
      </w:r>
      <w:r w:rsidR="004C2331">
        <w:rPr>
          <w:lang w:val="fr-FR"/>
        </w:rPr>
        <w:t>’</w:t>
      </w:r>
      <w:r>
        <w:rPr>
          <w:lang w:val="fr-FR"/>
        </w:rPr>
        <w:t>Assemblée générale.</w:t>
      </w:r>
    </w:p>
    <w:p w14:paraId="4D42DF65" w14:textId="77777777" w:rsidR="00D95C4C" w:rsidRPr="00293466" w:rsidRDefault="00A22812" w:rsidP="007777B6">
      <w:pPr>
        <w:pStyle w:val="COMPara"/>
        <w:ind w:left="567" w:hanging="567"/>
        <w:jc w:val="both"/>
        <w:rPr>
          <w:lang w:val="fr-FR"/>
        </w:rPr>
      </w:pPr>
      <w:r w:rsidRPr="000B1C8F">
        <w:rPr>
          <w:lang w:val="fr-FR"/>
        </w:rPr>
        <w:t>Le Comité souhaitera peut-être adopter la décision suivante :</w:t>
      </w:r>
    </w:p>
    <w:p w14:paraId="1981048E" w14:textId="1AEDFEA0" w:rsidR="00D95C4C" w:rsidRPr="00293466" w:rsidRDefault="00A22812" w:rsidP="001D14FE">
      <w:pPr>
        <w:pStyle w:val="COMTitleDecision"/>
        <w:rPr>
          <w:rFonts w:eastAsia="SimSun"/>
          <w:lang w:val="fr-FR"/>
        </w:rPr>
      </w:pPr>
      <w:r>
        <w:rPr>
          <w:lang w:val="fr-FR"/>
        </w:rPr>
        <w:t>PROJET DE DÉCISION 14.COM</w:t>
      </w:r>
      <w:r w:rsidR="0063612B">
        <w:rPr>
          <w:lang w:val="fr-FR"/>
        </w:rPr>
        <w:t> </w:t>
      </w:r>
      <w:r>
        <w:rPr>
          <w:lang w:val="fr-FR"/>
        </w:rPr>
        <w:t>8</w:t>
      </w:r>
    </w:p>
    <w:p w14:paraId="05986D6B" w14:textId="77777777" w:rsidR="00D95C4C" w:rsidRPr="00293466" w:rsidRDefault="00A22812" w:rsidP="00285BB4">
      <w:pPr>
        <w:pStyle w:val="COMPreambulaDecisions"/>
        <w:rPr>
          <w:rFonts w:eastAsia="SimSun"/>
          <w:lang w:val="fr-FR"/>
        </w:rPr>
      </w:pPr>
      <w:r w:rsidRPr="00E87D25">
        <w:rPr>
          <w:lang w:val="fr-FR"/>
        </w:rPr>
        <w:t>Le Comité,</w:t>
      </w:r>
    </w:p>
    <w:p w14:paraId="43AA4D54" w14:textId="77777777" w:rsidR="0057439C" w:rsidRPr="00293466" w:rsidRDefault="00A22812" w:rsidP="00322300">
      <w:pPr>
        <w:pStyle w:val="COMParaDecision"/>
        <w:ind w:left="1134" w:hanging="567"/>
        <w:jc w:val="left"/>
        <w:rPr>
          <w:lang w:val="fr-FR"/>
        </w:rPr>
      </w:pPr>
      <w:r w:rsidRPr="00E87D25">
        <w:rPr>
          <w:lang w:val="fr-FR"/>
        </w:rPr>
        <w:t>Ayant examiné</w:t>
      </w:r>
      <w:r w:rsidRPr="00E87D25">
        <w:rPr>
          <w:u w:val="none"/>
          <w:lang w:val="fr-FR"/>
        </w:rPr>
        <w:t xml:space="preserve"> le document LHE/19/14.COM/8,</w:t>
      </w:r>
    </w:p>
    <w:p w14:paraId="776576D7" w14:textId="77777777" w:rsidR="0057439C" w:rsidRPr="00293466" w:rsidRDefault="00A22812" w:rsidP="004E5AD0">
      <w:pPr>
        <w:pStyle w:val="COMParaDecision"/>
        <w:ind w:left="1134" w:hanging="567"/>
        <w:rPr>
          <w:lang w:val="fr-FR"/>
        </w:rPr>
      </w:pPr>
      <w:r w:rsidRPr="00345CB4">
        <w:rPr>
          <w:lang w:val="fr-FR"/>
        </w:rPr>
        <w:t>Rappelant</w:t>
      </w:r>
      <w:r w:rsidRPr="00F32C23">
        <w:rPr>
          <w:u w:val="none"/>
          <w:lang w:val="fr-FR"/>
        </w:rPr>
        <w:t xml:space="preserve"> les articles 7(f), 29 et 30 de la Convention, ainsi que le chapitre V des Directives opérationnelles,</w:t>
      </w:r>
    </w:p>
    <w:p w14:paraId="0A8D0275" w14:textId="6C9FD291" w:rsidR="00D95C4C" w:rsidRPr="00293466" w:rsidRDefault="00A22812" w:rsidP="00322300">
      <w:pPr>
        <w:pStyle w:val="COMParaDecision"/>
        <w:ind w:left="1134" w:hanging="567"/>
        <w:rPr>
          <w:lang w:val="fr-FR"/>
        </w:rPr>
      </w:pPr>
      <w:r w:rsidRPr="00345CB4">
        <w:rPr>
          <w:lang w:val="fr-FR"/>
        </w:rPr>
        <w:lastRenderedPageBreak/>
        <w:t>Rappelant en outre</w:t>
      </w:r>
      <w:r w:rsidRPr="00F32C23">
        <w:rPr>
          <w:u w:val="none"/>
          <w:lang w:val="fr-FR"/>
        </w:rPr>
        <w:t xml:space="preserve"> la</w:t>
      </w:r>
      <w:r w:rsidR="00F366C7">
        <w:rPr>
          <w:u w:val="none"/>
          <w:lang w:val="fr-FR"/>
        </w:rPr>
        <w:t xml:space="preserve"> </w:t>
      </w:r>
      <w:hyperlink r:id="rId16" w:history="1">
        <w:r w:rsidR="006C5FC6">
          <w:rPr>
            <w:rStyle w:val="Hyperlink"/>
            <w:lang w:val="fr-FR"/>
          </w:rPr>
          <w:t>d</w:t>
        </w:r>
        <w:r w:rsidRPr="007525C0">
          <w:rPr>
            <w:rStyle w:val="Hyperlink"/>
            <w:lang w:val="fr-FR"/>
          </w:rPr>
          <w:t>écision 12.COM 10</w:t>
        </w:r>
      </w:hyperlink>
      <w:r w:rsidRPr="00F32C23">
        <w:rPr>
          <w:u w:val="none"/>
          <w:lang w:val="fr-FR"/>
        </w:rPr>
        <w:t xml:space="preserve"> et la </w:t>
      </w:r>
      <w:hyperlink r:id="rId17" w:history="1">
        <w:r w:rsidR="006C5FC6">
          <w:rPr>
            <w:rStyle w:val="Hyperlink"/>
            <w:lang w:val="fr-FR"/>
          </w:rPr>
          <w:t>d</w:t>
        </w:r>
        <w:r w:rsidRPr="007525C0">
          <w:rPr>
            <w:rStyle w:val="Hyperlink"/>
            <w:lang w:val="fr-FR"/>
          </w:rPr>
          <w:t>écision</w:t>
        </w:r>
        <w:r w:rsidR="00E85196">
          <w:rPr>
            <w:rStyle w:val="Hyperlink"/>
            <w:lang w:val="fr-FR"/>
          </w:rPr>
          <w:t> </w:t>
        </w:r>
        <w:r w:rsidRPr="007525C0">
          <w:rPr>
            <w:rStyle w:val="Hyperlink"/>
            <w:lang w:val="fr-FR"/>
          </w:rPr>
          <w:t>13.COM 8</w:t>
        </w:r>
      </w:hyperlink>
      <w:r w:rsidRPr="00F32C23">
        <w:rPr>
          <w:u w:val="none"/>
          <w:lang w:val="fr-FR"/>
        </w:rPr>
        <w:t>, ainsi que la</w:t>
      </w:r>
      <w:r w:rsidR="00E85196">
        <w:rPr>
          <w:u w:val="none"/>
          <w:lang w:val="fr-FR"/>
        </w:rPr>
        <w:t xml:space="preserve"> </w:t>
      </w:r>
      <w:hyperlink r:id="rId18" w:history="1">
        <w:r w:rsidR="006C5FC6">
          <w:rPr>
            <w:rStyle w:val="Hyperlink"/>
            <w:lang w:val="fr-FR"/>
          </w:rPr>
          <w:t>r</w:t>
        </w:r>
        <w:r w:rsidRPr="007525C0">
          <w:rPr>
            <w:rStyle w:val="Hyperlink"/>
            <w:lang w:val="fr-FR"/>
          </w:rPr>
          <w:t>ésolution 7.GA 10</w:t>
        </w:r>
      </w:hyperlink>
      <w:r w:rsidRPr="00F32C23">
        <w:rPr>
          <w:u w:val="none"/>
          <w:lang w:val="fr-FR"/>
        </w:rPr>
        <w:t>,</w:t>
      </w:r>
    </w:p>
    <w:p w14:paraId="5EA3E8CA" w14:textId="732CDF73" w:rsidR="00E5453F" w:rsidRPr="00293466" w:rsidRDefault="00CD3F90" w:rsidP="00322300">
      <w:pPr>
        <w:pStyle w:val="COMParaDecision"/>
        <w:ind w:left="1134" w:hanging="567"/>
        <w:rPr>
          <w:u w:val="none"/>
          <w:lang w:val="fr-FR"/>
        </w:rPr>
      </w:pPr>
      <w:r>
        <w:rPr>
          <w:lang w:val="fr-FR"/>
        </w:rPr>
        <w:t>Accueille favorablement</w:t>
      </w:r>
      <w:r w:rsidR="00A22812" w:rsidRPr="007D2547">
        <w:rPr>
          <w:u w:val="none"/>
          <w:lang w:val="fr-FR"/>
        </w:rPr>
        <w:t xml:space="preserve"> la réforme du mécanisme de</w:t>
      </w:r>
      <w:r w:rsidR="00F366C7">
        <w:rPr>
          <w:u w:val="none"/>
          <w:lang w:val="fr-FR"/>
        </w:rPr>
        <w:t xml:space="preserve"> soumission de</w:t>
      </w:r>
      <w:r w:rsidR="00A22812" w:rsidRPr="007D2547">
        <w:rPr>
          <w:u w:val="none"/>
          <w:lang w:val="fr-FR"/>
        </w:rPr>
        <w:t xml:space="preserve"> rapport</w:t>
      </w:r>
      <w:r w:rsidR="00F366C7">
        <w:rPr>
          <w:u w:val="none"/>
          <w:lang w:val="fr-FR"/>
        </w:rPr>
        <w:t>s</w:t>
      </w:r>
      <w:r w:rsidR="00A22812" w:rsidRPr="007D2547">
        <w:rPr>
          <w:u w:val="none"/>
          <w:lang w:val="fr-FR"/>
        </w:rPr>
        <w:t xml:space="preserve"> périodique</w:t>
      </w:r>
      <w:r w:rsidR="00F366C7">
        <w:rPr>
          <w:u w:val="none"/>
          <w:lang w:val="fr-FR"/>
        </w:rPr>
        <w:t>s</w:t>
      </w:r>
      <w:r w:rsidR="00A22812" w:rsidRPr="007D2547">
        <w:rPr>
          <w:u w:val="none"/>
          <w:lang w:val="fr-FR"/>
        </w:rPr>
        <w:t xml:space="preserve">, qui </w:t>
      </w:r>
      <w:r w:rsidR="00F366C7">
        <w:rPr>
          <w:u w:val="none"/>
          <w:lang w:val="fr-FR"/>
        </w:rPr>
        <w:t>comprend</w:t>
      </w:r>
      <w:r w:rsidR="00A22812" w:rsidRPr="007D2547">
        <w:rPr>
          <w:u w:val="none"/>
          <w:lang w:val="fr-FR"/>
        </w:rPr>
        <w:t xml:space="preserve"> la révision du formulaire ICH-10 et les notes d</w:t>
      </w:r>
      <w:r w:rsidR="004C2331">
        <w:rPr>
          <w:u w:val="none"/>
          <w:lang w:val="fr-FR"/>
        </w:rPr>
        <w:t>’</w:t>
      </w:r>
      <w:r w:rsidR="00A22812" w:rsidRPr="007D2547">
        <w:rPr>
          <w:u w:val="none"/>
          <w:lang w:val="fr-FR"/>
        </w:rPr>
        <w:t xml:space="preserve">orientation, et </w:t>
      </w:r>
      <w:r w:rsidR="00A22812" w:rsidRPr="00CA4E3C">
        <w:rPr>
          <w:lang w:val="fr-FR"/>
        </w:rPr>
        <w:t>reconnaît</w:t>
      </w:r>
      <w:r w:rsidR="00A22812" w:rsidRPr="007D2547">
        <w:rPr>
          <w:u w:val="none"/>
          <w:lang w:val="fr-FR"/>
        </w:rPr>
        <w:t xml:space="preserve"> que le nouveau système de </w:t>
      </w:r>
      <w:r>
        <w:rPr>
          <w:u w:val="none"/>
          <w:lang w:val="fr-FR"/>
        </w:rPr>
        <w:t xml:space="preserve">soumission des </w:t>
      </w:r>
      <w:r w:rsidR="00A22812" w:rsidRPr="007D2547">
        <w:rPr>
          <w:u w:val="none"/>
          <w:lang w:val="fr-FR"/>
        </w:rPr>
        <w:t>rapport</w:t>
      </w:r>
      <w:r>
        <w:rPr>
          <w:u w:val="none"/>
          <w:lang w:val="fr-FR"/>
        </w:rPr>
        <w:t>s</w:t>
      </w:r>
      <w:r w:rsidR="00A22812" w:rsidRPr="007D2547">
        <w:rPr>
          <w:u w:val="none"/>
          <w:lang w:val="fr-FR"/>
        </w:rPr>
        <w:t xml:space="preserve"> sera mis en œuvre à compter du premier cycle de rapport régional en 2020 ;</w:t>
      </w:r>
    </w:p>
    <w:p w14:paraId="5126869E" w14:textId="77777777" w:rsidR="00322300" w:rsidRPr="00293466" w:rsidRDefault="00CD3F90" w:rsidP="0060105E">
      <w:pPr>
        <w:pStyle w:val="COMParaDecision"/>
        <w:ind w:left="1134" w:hanging="567"/>
        <w:rPr>
          <w:u w:val="none"/>
          <w:lang w:val="fr-FR"/>
        </w:rPr>
      </w:pPr>
      <w:r>
        <w:rPr>
          <w:lang w:val="fr-FR"/>
        </w:rPr>
        <w:t>Félicite</w:t>
      </w:r>
      <w:r w:rsidR="00A22812">
        <w:rPr>
          <w:u w:val="none"/>
          <w:lang w:val="fr-FR"/>
        </w:rPr>
        <w:t xml:space="preserve"> le gouvernement de la République de Corée pour sa </w:t>
      </w:r>
      <w:r>
        <w:rPr>
          <w:u w:val="none"/>
          <w:lang w:val="fr-FR"/>
        </w:rPr>
        <w:t xml:space="preserve">constante et généreuse </w:t>
      </w:r>
      <w:r w:rsidR="00A22812">
        <w:rPr>
          <w:u w:val="none"/>
          <w:lang w:val="fr-FR"/>
        </w:rPr>
        <w:t>contribution</w:t>
      </w:r>
      <w:r>
        <w:rPr>
          <w:u w:val="none"/>
          <w:lang w:val="fr-FR"/>
        </w:rPr>
        <w:t xml:space="preserve"> </w:t>
      </w:r>
      <w:r w:rsidR="00A22812">
        <w:rPr>
          <w:u w:val="none"/>
          <w:lang w:val="fr-FR"/>
        </w:rPr>
        <w:t>à la réforme du mécanisme de</w:t>
      </w:r>
      <w:r>
        <w:rPr>
          <w:u w:val="none"/>
          <w:lang w:val="fr-FR"/>
        </w:rPr>
        <w:t xml:space="preserve"> soumission des</w:t>
      </w:r>
      <w:r w:rsidR="00A22812">
        <w:rPr>
          <w:u w:val="none"/>
          <w:lang w:val="fr-FR"/>
        </w:rPr>
        <w:t xml:space="preserve"> rapport</w:t>
      </w:r>
      <w:r>
        <w:rPr>
          <w:u w:val="none"/>
          <w:lang w:val="fr-FR"/>
        </w:rPr>
        <w:t>s</w:t>
      </w:r>
      <w:r w:rsidR="00A22812">
        <w:rPr>
          <w:u w:val="none"/>
          <w:lang w:val="fr-FR"/>
        </w:rPr>
        <w:t xml:space="preserve"> périodique</w:t>
      </w:r>
      <w:r>
        <w:rPr>
          <w:u w:val="none"/>
          <w:lang w:val="fr-FR"/>
        </w:rPr>
        <w:t>s</w:t>
      </w:r>
      <w:r w:rsidR="00A22812">
        <w:rPr>
          <w:u w:val="none"/>
          <w:lang w:val="fr-FR"/>
        </w:rPr>
        <w:t> ;</w:t>
      </w:r>
    </w:p>
    <w:p w14:paraId="4E073131" w14:textId="356036C3" w:rsidR="00E5453F" w:rsidRPr="00293466" w:rsidRDefault="00A22812" w:rsidP="00322300">
      <w:pPr>
        <w:pStyle w:val="COMParaDecision"/>
        <w:ind w:left="1134" w:hanging="567"/>
        <w:rPr>
          <w:lang w:val="fr-FR"/>
        </w:rPr>
      </w:pPr>
      <w:r>
        <w:rPr>
          <w:lang w:val="fr-FR"/>
        </w:rPr>
        <w:t>Demande</w:t>
      </w:r>
      <w:r w:rsidRPr="00CA4E3C">
        <w:rPr>
          <w:u w:val="none"/>
          <w:lang w:val="fr-FR"/>
        </w:rPr>
        <w:t xml:space="preserve"> au Secrétariat d</w:t>
      </w:r>
      <w:r w:rsidR="004C2331">
        <w:rPr>
          <w:u w:val="none"/>
          <w:lang w:val="fr-FR"/>
        </w:rPr>
        <w:t>’</w:t>
      </w:r>
      <w:r w:rsidRPr="00CA4E3C">
        <w:rPr>
          <w:u w:val="none"/>
          <w:lang w:val="fr-FR"/>
        </w:rPr>
        <w:t>informer tous les États parties d</w:t>
      </w:r>
      <w:r w:rsidR="004C2331">
        <w:rPr>
          <w:u w:val="none"/>
          <w:lang w:val="fr-FR"/>
        </w:rPr>
        <w:t>’</w:t>
      </w:r>
      <w:r w:rsidRPr="00CA4E3C">
        <w:rPr>
          <w:u w:val="none"/>
          <w:lang w:val="fr-FR"/>
        </w:rPr>
        <w:t>Amérique latine et des Caraïbes qu</w:t>
      </w:r>
      <w:r w:rsidR="004C2331">
        <w:rPr>
          <w:u w:val="none"/>
          <w:lang w:val="fr-FR"/>
        </w:rPr>
        <w:t>’</w:t>
      </w:r>
      <w:r w:rsidRPr="00CA4E3C">
        <w:rPr>
          <w:u w:val="none"/>
          <w:lang w:val="fr-FR"/>
        </w:rPr>
        <w:t>ils doivent soumettre leurs rapports périodiques sur la mise en œuvre de la Convention de 2003 et l</w:t>
      </w:r>
      <w:r w:rsidR="004C2331">
        <w:rPr>
          <w:u w:val="none"/>
          <w:lang w:val="fr-FR"/>
        </w:rPr>
        <w:t>’</w:t>
      </w:r>
      <w:r w:rsidRPr="00CA4E3C">
        <w:rPr>
          <w:u w:val="none"/>
          <w:lang w:val="fr-FR"/>
        </w:rPr>
        <w:t>état des éléments inscrits sur la Liste représentative du patrimoine culturel immatériel de l</w:t>
      </w:r>
      <w:r w:rsidR="004C2331">
        <w:rPr>
          <w:u w:val="none"/>
          <w:lang w:val="fr-FR"/>
        </w:rPr>
        <w:t>’</w:t>
      </w:r>
      <w:r w:rsidRPr="00CA4E3C">
        <w:rPr>
          <w:u w:val="none"/>
          <w:lang w:val="fr-FR"/>
        </w:rPr>
        <w:t>humanité</w:t>
      </w:r>
      <w:r w:rsidR="00CD3F90">
        <w:rPr>
          <w:u w:val="none"/>
          <w:lang w:val="fr-FR"/>
        </w:rPr>
        <w:t xml:space="preserve"> </w:t>
      </w:r>
      <w:r w:rsidR="00CD3F90" w:rsidRPr="00CA4E3C">
        <w:rPr>
          <w:u w:val="none"/>
          <w:lang w:val="fr-FR"/>
        </w:rPr>
        <w:t>avant le 15 décembre 2020</w:t>
      </w:r>
      <w:r w:rsidR="00CD3F90">
        <w:rPr>
          <w:u w:val="none"/>
          <w:lang w:val="fr-FR"/>
        </w:rPr>
        <w:t>,</w:t>
      </w:r>
      <w:r w:rsidRPr="00CA4E3C">
        <w:rPr>
          <w:u w:val="none"/>
          <w:lang w:val="fr-FR"/>
        </w:rPr>
        <w:t xml:space="preserve"> pour examen par le Comité lors de sa seizième session en 2021 ;</w:t>
      </w:r>
    </w:p>
    <w:p w14:paraId="04F6FDD2" w14:textId="198618A1" w:rsidR="00D46BCF" w:rsidRPr="00293466" w:rsidRDefault="00A22812" w:rsidP="00322300">
      <w:pPr>
        <w:pStyle w:val="COMParaDecision"/>
        <w:ind w:left="1134" w:hanging="567"/>
        <w:rPr>
          <w:lang w:val="fr-FR"/>
        </w:rPr>
      </w:pPr>
      <w:r>
        <w:rPr>
          <w:lang w:val="fr-FR"/>
        </w:rPr>
        <w:t>Encourage</w:t>
      </w:r>
      <w:r w:rsidRPr="00E801E1">
        <w:rPr>
          <w:u w:val="none"/>
          <w:lang w:val="fr-FR"/>
        </w:rPr>
        <w:t xml:space="preserve"> les États parties à utiliser l</w:t>
      </w:r>
      <w:r w:rsidR="004C2331">
        <w:rPr>
          <w:u w:val="none"/>
          <w:lang w:val="fr-FR"/>
        </w:rPr>
        <w:t>’</w:t>
      </w:r>
      <w:r w:rsidRPr="00E801E1">
        <w:rPr>
          <w:u w:val="none"/>
          <w:lang w:val="fr-FR"/>
        </w:rPr>
        <w:t>outil en ligne pour soumettre leurs rapports afin de faciliter la collecte d</w:t>
      </w:r>
      <w:r w:rsidR="004C2331">
        <w:rPr>
          <w:u w:val="none"/>
          <w:lang w:val="fr-FR"/>
        </w:rPr>
        <w:t>’</w:t>
      </w:r>
      <w:r w:rsidRPr="00E801E1">
        <w:rPr>
          <w:u w:val="none"/>
          <w:lang w:val="fr-FR"/>
        </w:rPr>
        <w:t xml:space="preserve">informations et </w:t>
      </w:r>
      <w:r w:rsidR="003D57DA">
        <w:rPr>
          <w:u w:val="none"/>
          <w:lang w:val="fr-FR"/>
        </w:rPr>
        <w:t>d</w:t>
      </w:r>
      <w:r w:rsidR="004C2331">
        <w:rPr>
          <w:u w:val="none"/>
          <w:lang w:val="fr-FR"/>
        </w:rPr>
        <w:t>’</w:t>
      </w:r>
      <w:r w:rsidR="003D57DA">
        <w:rPr>
          <w:u w:val="none"/>
          <w:lang w:val="fr-FR"/>
        </w:rPr>
        <w:t>analyser plus facilement</w:t>
      </w:r>
      <w:r w:rsidRPr="00E801E1">
        <w:rPr>
          <w:u w:val="none"/>
          <w:lang w:val="fr-FR"/>
        </w:rPr>
        <w:t xml:space="preserve"> l</w:t>
      </w:r>
      <w:r w:rsidR="004C2331">
        <w:rPr>
          <w:u w:val="none"/>
          <w:lang w:val="fr-FR"/>
        </w:rPr>
        <w:t>’</w:t>
      </w:r>
      <w:r w:rsidRPr="00E801E1">
        <w:rPr>
          <w:u w:val="none"/>
          <w:lang w:val="fr-FR"/>
        </w:rPr>
        <w:t>état de la mise en œuvre de la Convention au niveau national</w:t>
      </w:r>
      <w:r w:rsidR="0063612B">
        <w:rPr>
          <w:u w:val="none"/>
          <w:lang w:val="fr-FR"/>
        </w:rPr>
        <w:t xml:space="preserve"> </w:t>
      </w:r>
      <w:r w:rsidR="004D4406">
        <w:rPr>
          <w:u w:val="none"/>
          <w:lang w:val="fr-FR"/>
        </w:rPr>
        <w:t xml:space="preserve">ainsi que des éléments inscrits sur la Liste </w:t>
      </w:r>
      <w:r w:rsidR="004D4406" w:rsidRPr="00CA4E3C">
        <w:rPr>
          <w:u w:val="none"/>
          <w:lang w:val="fr-FR"/>
        </w:rPr>
        <w:t>représentative du patrimoine culturel immatériel de l</w:t>
      </w:r>
      <w:r w:rsidR="004C2331">
        <w:rPr>
          <w:u w:val="none"/>
          <w:lang w:val="fr-FR"/>
        </w:rPr>
        <w:t>’</w:t>
      </w:r>
      <w:r w:rsidR="004D4406" w:rsidRPr="00CA4E3C">
        <w:rPr>
          <w:u w:val="none"/>
          <w:lang w:val="fr-FR"/>
        </w:rPr>
        <w:t>humanité</w:t>
      </w:r>
      <w:r w:rsidR="004D4406">
        <w:rPr>
          <w:u w:val="none"/>
          <w:lang w:val="fr-FR"/>
        </w:rPr>
        <w:t> ;</w:t>
      </w:r>
    </w:p>
    <w:p w14:paraId="12740CAD" w14:textId="4294B0A8" w:rsidR="00325BA2" w:rsidRPr="00293466" w:rsidRDefault="00A22812" w:rsidP="00322300">
      <w:pPr>
        <w:pStyle w:val="COMParaDecision"/>
        <w:ind w:left="1134" w:hanging="567"/>
        <w:rPr>
          <w:u w:val="none"/>
          <w:lang w:val="fr-FR"/>
        </w:rPr>
      </w:pPr>
      <w:r>
        <w:rPr>
          <w:lang w:val="fr-FR"/>
        </w:rPr>
        <w:t>Invite</w:t>
      </w:r>
      <w:r>
        <w:rPr>
          <w:u w:val="none"/>
          <w:lang w:val="fr-FR"/>
        </w:rPr>
        <w:t xml:space="preserve"> le Secrétariat à planifier et mettre en </w:t>
      </w:r>
      <w:r w:rsidR="003D57DA">
        <w:rPr>
          <w:u w:val="none"/>
          <w:lang w:val="fr-FR"/>
        </w:rPr>
        <w:t>œ</w:t>
      </w:r>
      <w:r>
        <w:rPr>
          <w:u w:val="none"/>
          <w:lang w:val="fr-FR"/>
        </w:rPr>
        <w:t xml:space="preserve">uvre des activités de renforcement des capacités adéquates en Amérique latine et </w:t>
      </w:r>
      <w:r w:rsidR="003D57DA">
        <w:rPr>
          <w:u w:val="none"/>
          <w:lang w:val="fr-FR"/>
        </w:rPr>
        <w:t>dans les</w:t>
      </w:r>
      <w:r>
        <w:rPr>
          <w:u w:val="none"/>
          <w:lang w:val="fr-FR"/>
        </w:rPr>
        <w:t xml:space="preserve"> Caraïbes pour faciliter l</w:t>
      </w:r>
      <w:r w:rsidR="004C2331">
        <w:rPr>
          <w:u w:val="none"/>
          <w:lang w:val="fr-FR"/>
        </w:rPr>
        <w:t>’</w:t>
      </w:r>
      <w:r>
        <w:rPr>
          <w:u w:val="none"/>
          <w:lang w:val="fr-FR"/>
        </w:rPr>
        <w:t xml:space="preserve">exercice de </w:t>
      </w:r>
      <w:r w:rsidR="003D57DA">
        <w:rPr>
          <w:u w:val="none"/>
          <w:lang w:val="fr-FR"/>
        </w:rPr>
        <w:t>d</w:t>
      </w:r>
      <w:r w:rsidR="004C2331">
        <w:rPr>
          <w:u w:val="none"/>
          <w:lang w:val="fr-FR"/>
        </w:rPr>
        <w:t>’</w:t>
      </w:r>
      <w:r w:rsidR="003D57DA">
        <w:rPr>
          <w:u w:val="none"/>
          <w:lang w:val="fr-FR"/>
        </w:rPr>
        <w:t xml:space="preserve">établissement de </w:t>
      </w:r>
      <w:r>
        <w:rPr>
          <w:u w:val="none"/>
          <w:lang w:val="fr-FR"/>
        </w:rPr>
        <w:t>rapport</w:t>
      </w:r>
      <w:r w:rsidR="003D57DA">
        <w:rPr>
          <w:u w:val="none"/>
          <w:lang w:val="fr-FR"/>
        </w:rPr>
        <w:t>s</w:t>
      </w:r>
      <w:r>
        <w:rPr>
          <w:u w:val="none"/>
          <w:lang w:val="fr-FR"/>
        </w:rPr>
        <w:t xml:space="preserve"> périodique</w:t>
      </w:r>
      <w:r w:rsidR="003D57DA">
        <w:rPr>
          <w:u w:val="none"/>
          <w:lang w:val="fr-FR"/>
        </w:rPr>
        <w:t>s</w:t>
      </w:r>
      <w:r>
        <w:rPr>
          <w:u w:val="none"/>
          <w:lang w:val="fr-FR"/>
        </w:rPr>
        <w:t xml:space="preserve"> </w:t>
      </w:r>
      <w:r w:rsidR="003D57DA">
        <w:rPr>
          <w:u w:val="none"/>
          <w:lang w:val="fr-FR"/>
        </w:rPr>
        <w:t>pour les</w:t>
      </w:r>
      <w:r>
        <w:rPr>
          <w:u w:val="none"/>
          <w:lang w:val="fr-FR"/>
        </w:rPr>
        <w:t xml:space="preserve"> États de cette région dans le contexte du programme </w:t>
      </w:r>
      <w:r w:rsidR="0063612B">
        <w:rPr>
          <w:u w:val="none"/>
          <w:lang w:val="fr-FR"/>
        </w:rPr>
        <w:t xml:space="preserve">global </w:t>
      </w:r>
      <w:r>
        <w:rPr>
          <w:u w:val="none"/>
          <w:lang w:val="fr-FR"/>
        </w:rPr>
        <w:t xml:space="preserve">de renforcement des capacités existant </w:t>
      </w:r>
      <w:r w:rsidR="0063612B">
        <w:rPr>
          <w:u w:val="none"/>
          <w:lang w:val="fr-FR"/>
        </w:rPr>
        <w:t>en fonction</w:t>
      </w:r>
      <w:r>
        <w:rPr>
          <w:u w:val="none"/>
          <w:lang w:val="fr-FR"/>
        </w:rPr>
        <w:t xml:space="preserve"> de la disponibilité de </w:t>
      </w:r>
      <w:r w:rsidR="004D4406" w:rsidRPr="00B13AF0">
        <w:rPr>
          <w:u w:val="none"/>
          <w:lang w:val="fr-FR"/>
        </w:rPr>
        <w:t>contributions volontaires supplémentaires</w:t>
      </w:r>
      <w:r>
        <w:rPr>
          <w:u w:val="none"/>
          <w:lang w:val="fr-FR"/>
        </w:rPr>
        <w:t>;</w:t>
      </w:r>
    </w:p>
    <w:p w14:paraId="091702D9" w14:textId="0C51290B" w:rsidR="007512AE" w:rsidRPr="00293466" w:rsidRDefault="00A22812" w:rsidP="00322300">
      <w:pPr>
        <w:pStyle w:val="COMParaDecision"/>
        <w:ind w:left="1134" w:hanging="567"/>
        <w:rPr>
          <w:u w:val="none"/>
          <w:lang w:val="fr-FR"/>
        </w:rPr>
      </w:pPr>
      <w:r>
        <w:rPr>
          <w:lang w:val="fr-FR"/>
        </w:rPr>
        <w:t>Encourage en outre</w:t>
      </w:r>
      <w:r w:rsidRPr="00CA4E3C">
        <w:rPr>
          <w:u w:val="none"/>
          <w:lang w:val="fr-FR"/>
        </w:rPr>
        <w:t xml:space="preserve"> les États parties à </w:t>
      </w:r>
      <w:r w:rsidR="003D57DA">
        <w:rPr>
          <w:u w:val="none"/>
          <w:lang w:val="fr-FR"/>
        </w:rPr>
        <w:t>verser</w:t>
      </w:r>
      <w:r w:rsidRPr="00CA4E3C">
        <w:rPr>
          <w:u w:val="none"/>
          <w:lang w:val="fr-FR"/>
        </w:rPr>
        <w:t xml:space="preserve"> des contributions </w:t>
      </w:r>
      <w:r w:rsidR="004D4406">
        <w:rPr>
          <w:u w:val="none"/>
          <w:lang w:val="fr-FR"/>
        </w:rPr>
        <w:t xml:space="preserve">volontaires </w:t>
      </w:r>
      <w:r w:rsidR="003D57DA">
        <w:rPr>
          <w:u w:val="none"/>
          <w:lang w:val="fr-FR"/>
        </w:rPr>
        <w:t>supplémentaires a</w:t>
      </w:r>
      <w:r w:rsidRPr="00CA4E3C">
        <w:rPr>
          <w:u w:val="none"/>
          <w:lang w:val="fr-FR"/>
        </w:rPr>
        <w:t>u Fond</w:t>
      </w:r>
      <w:r w:rsidR="004D4406">
        <w:rPr>
          <w:u w:val="none"/>
          <w:lang w:val="fr-FR"/>
        </w:rPr>
        <w:t>s</w:t>
      </w:r>
      <w:r w:rsidRPr="00CA4E3C">
        <w:rPr>
          <w:u w:val="none"/>
          <w:lang w:val="fr-FR"/>
        </w:rPr>
        <w:t xml:space="preserve"> du patrimoine culturel immatériel afin d</w:t>
      </w:r>
      <w:r w:rsidR="004C2331">
        <w:rPr>
          <w:u w:val="none"/>
          <w:lang w:val="fr-FR"/>
        </w:rPr>
        <w:t>’</w:t>
      </w:r>
      <w:r w:rsidRPr="00CA4E3C">
        <w:rPr>
          <w:u w:val="none"/>
          <w:lang w:val="fr-FR"/>
        </w:rPr>
        <w:t xml:space="preserve">appuyer la mise en œuvre des activités de renforcement des capacités susmentionnées ou à </w:t>
      </w:r>
      <w:r w:rsidR="003D57DA">
        <w:rPr>
          <w:u w:val="none"/>
          <w:lang w:val="fr-FR"/>
        </w:rPr>
        <w:t xml:space="preserve">exprimer leur intérêt pour </w:t>
      </w:r>
      <w:r w:rsidRPr="00CA4E3C">
        <w:rPr>
          <w:u w:val="none"/>
          <w:lang w:val="fr-FR"/>
        </w:rPr>
        <w:t>d</w:t>
      </w:r>
      <w:r w:rsidR="004C2331">
        <w:rPr>
          <w:u w:val="none"/>
          <w:lang w:val="fr-FR"/>
        </w:rPr>
        <w:t>’</w:t>
      </w:r>
      <w:r w:rsidRPr="00CA4E3C">
        <w:rPr>
          <w:u w:val="none"/>
          <w:lang w:val="fr-FR"/>
        </w:rPr>
        <w:t>autres modalités de financement</w:t>
      </w:r>
      <w:r w:rsidR="003D57DA">
        <w:rPr>
          <w:u w:val="none"/>
          <w:lang w:val="fr-FR"/>
        </w:rPr>
        <w:t xml:space="preserve"> afin de les </w:t>
      </w:r>
      <w:r w:rsidR="001910A8">
        <w:rPr>
          <w:u w:val="none"/>
          <w:lang w:val="fr-FR"/>
        </w:rPr>
        <w:t>subventionner</w:t>
      </w:r>
      <w:r w:rsidR="003D57DA">
        <w:rPr>
          <w:u w:val="none"/>
          <w:lang w:val="fr-FR"/>
        </w:rPr>
        <w:t xml:space="preserve"> et de les mettre en œuvre</w:t>
      </w:r>
      <w:r w:rsidRPr="00CA4E3C">
        <w:rPr>
          <w:u w:val="none"/>
          <w:lang w:val="fr-FR"/>
        </w:rPr>
        <w:t> ;</w:t>
      </w:r>
    </w:p>
    <w:p w14:paraId="52D4E292" w14:textId="7488B845" w:rsidR="0053318C" w:rsidRPr="00293466" w:rsidRDefault="00A22812" w:rsidP="00322300">
      <w:pPr>
        <w:pStyle w:val="COMParaDecision"/>
        <w:ind w:left="1134" w:hanging="567"/>
        <w:rPr>
          <w:u w:val="none"/>
          <w:lang w:val="fr-FR"/>
        </w:rPr>
      </w:pPr>
      <w:r w:rsidRPr="00B13AF0">
        <w:rPr>
          <w:lang w:val="fr-FR"/>
        </w:rPr>
        <w:t xml:space="preserve">Demande </w:t>
      </w:r>
      <w:r w:rsidRPr="00B13AF0">
        <w:rPr>
          <w:u w:val="none"/>
          <w:lang w:val="fr-FR"/>
        </w:rPr>
        <w:t xml:space="preserve">au Secrétariat de rendre compte au Comité du déploiement du mécanisme de </w:t>
      </w:r>
      <w:r w:rsidR="003D57DA" w:rsidRPr="00B13AF0">
        <w:rPr>
          <w:u w:val="none"/>
          <w:lang w:val="fr-FR"/>
        </w:rPr>
        <w:t xml:space="preserve">soumission de </w:t>
      </w:r>
      <w:r w:rsidRPr="00B13AF0">
        <w:rPr>
          <w:u w:val="none"/>
          <w:lang w:val="fr-FR"/>
        </w:rPr>
        <w:t>rapport</w:t>
      </w:r>
      <w:r w:rsidR="003D57DA" w:rsidRPr="00B13AF0">
        <w:rPr>
          <w:u w:val="none"/>
          <w:lang w:val="fr-FR"/>
        </w:rPr>
        <w:t>s</w:t>
      </w:r>
      <w:r w:rsidRPr="00B13AF0">
        <w:rPr>
          <w:u w:val="none"/>
          <w:lang w:val="fr-FR"/>
        </w:rPr>
        <w:t xml:space="preserve"> périodique</w:t>
      </w:r>
      <w:r w:rsidR="003D57DA" w:rsidRPr="00B13AF0">
        <w:rPr>
          <w:u w:val="none"/>
          <w:lang w:val="fr-FR"/>
        </w:rPr>
        <w:t>s</w:t>
      </w:r>
      <w:r w:rsidRPr="00B13AF0">
        <w:rPr>
          <w:u w:val="none"/>
          <w:lang w:val="fr-FR"/>
        </w:rPr>
        <w:t xml:space="preserve"> réformé, y compris des activités de renforcement des capacités menées en </w:t>
      </w:r>
      <w:r w:rsidRPr="00AC066E">
        <w:rPr>
          <w:u w:val="none"/>
          <w:lang w:val="fr-FR"/>
        </w:rPr>
        <w:t>Amérique latine et dans les Caraïbes</w:t>
      </w:r>
      <w:r w:rsidRPr="00B13AF0">
        <w:rPr>
          <w:u w:val="none"/>
          <w:lang w:val="fr-FR"/>
        </w:rPr>
        <w:t>, pour examen lors de sa quinzième session</w:t>
      </w:r>
      <w:r w:rsidR="004D4406" w:rsidRPr="00B13AF0">
        <w:rPr>
          <w:u w:val="none"/>
          <w:lang w:val="fr-FR"/>
        </w:rPr>
        <w:t xml:space="preserve"> en 2020</w:t>
      </w:r>
      <w:r w:rsidRPr="00AC066E">
        <w:rPr>
          <w:color w:val="414042"/>
          <w:sz w:val="21"/>
          <w:szCs w:val="21"/>
          <w:u w:val="none"/>
          <w:shd w:val="clear" w:color="auto" w:fill="FFFFFF"/>
          <w:lang w:val="fr-FR"/>
        </w:rPr>
        <w:t>.</w:t>
      </w:r>
    </w:p>
    <w:sectPr w:rsidR="0053318C" w:rsidRPr="00293466" w:rsidSect="00655736">
      <w:headerReference w:type="even" r:id="rId19"/>
      <w:headerReference w:type="default" r:id="rId20"/>
      <w:headerReference w:type="first" r:id="rId21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B194A" w14:textId="77777777" w:rsidR="00A22812" w:rsidRDefault="00A22812">
      <w:r>
        <w:separator/>
      </w:r>
    </w:p>
  </w:endnote>
  <w:endnote w:type="continuationSeparator" w:id="0">
    <w:p w14:paraId="43EFEE19" w14:textId="77777777" w:rsidR="00A22812" w:rsidRDefault="00A2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10EB1" w14:textId="77777777" w:rsidR="00A22812" w:rsidRDefault="00A22812">
      <w:r>
        <w:separator/>
      </w:r>
    </w:p>
  </w:footnote>
  <w:footnote w:type="continuationSeparator" w:id="0">
    <w:p w14:paraId="01DBB567" w14:textId="77777777" w:rsidR="00A22812" w:rsidRDefault="00A22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5C7FD" w14:textId="12CAE9B1" w:rsidR="00D95C4C" w:rsidRPr="00C23A97" w:rsidRDefault="00A22812" w:rsidP="00C5776D">
    <w:pPr>
      <w:pStyle w:val="Header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</w:rPr>
      <w:t xml:space="preserve">LHE/19/14.COM/8 – page 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Pr="00C23A97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7106B9">
      <w:rPr>
        <w:rStyle w:val="PageNumber"/>
        <w:rFonts w:ascii="Arial" w:hAnsi="Arial" w:cs="Arial"/>
        <w:noProof/>
        <w:sz w:val="20"/>
        <w:szCs w:val="20"/>
      </w:rPr>
      <w:t>4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9A23A" w14:textId="5408EE5E" w:rsidR="00D95C4C" w:rsidRPr="0063300C" w:rsidRDefault="00A22812" w:rsidP="00C5776D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</w:rPr>
      <w:t xml:space="preserve">LHE/19/14.COM/8 – page </w: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Pr="0063300C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7106B9">
      <w:rPr>
        <w:rStyle w:val="PageNumber"/>
        <w:rFonts w:ascii="Arial" w:hAnsi="Arial" w:cs="Arial"/>
        <w:noProof/>
        <w:sz w:val="20"/>
        <w:szCs w:val="20"/>
      </w:rPr>
      <w:t>3</w: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6453F" w14:textId="0EBCD0E0" w:rsidR="00D95C4C" w:rsidRPr="00E95AE2" w:rsidRDefault="006B6668">
    <w:pPr>
      <w:pStyle w:val="Header"/>
      <w:rPr>
        <w:sz w:val="22"/>
        <w:szCs w:val="22"/>
        <w:lang w:val="en-GB"/>
      </w:rPr>
    </w:pPr>
    <w:r w:rsidRPr="005E0065">
      <w:rPr>
        <w:noProof/>
        <w:sz w:val="22"/>
        <w:szCs w:val="22"/>
        <w:lang w:eastAsia="ja-JP"/>
      </w:rPr>
      <w:drawing>
        <wp:anchor distT="0" distB="0" distL="114300" distR="114300" simplePos="0" relativeHeight="251660288" behindDoc="0" locked="0" layoutInCell="1" allowOverlap="1" wp14:anchorId="1FC759D6" wp14:editId="7CA5D333">
          <wp:simplePos x="0" y="0"/>
          <wp:positionH relativeFrom="page">
            <wp:posOffset>341630</wp:posOffset>
          </wp:positionH>
          <wp:positionV relativeFrom="page">
            <wp:posOffset>255905</wp:posOffset>
          </wp:positionV>
          <wp:extent cx="2037600" cy="1530000"/>
          <wp:effectExtent l="0" t="0" r="1270" b="0"/>
          <wp:wrapNone/>
          <wp:docPr id="3" name="Picture 11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600" cy="15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B8A7B" w14:textId="77777777" w:rsidR="00D95C4C" w:rsidRPr="00293466" w:rsidRDefault="00A22812" w:rsidP="00C5776D">
    <w:pPr>
      <w:pStyle w:val="Header"/>
      <w:spacing w:after="520"/>
      <w:jc w:val="right"/>
      <w:rPr>
        <w:rFonts w:ascii="Arial" w:hAnsi="Arial" w:cs="Arial"/>
        <w:b/>
        <w:sz w:val="44"/>
        <w:szCs w:val="44"/>
      </w:rPr>
    </w:pPr>
    <w:r>
      <w:rPr>
        <w:rFonts w:ascii="Arial" w:hAnsi="Arial" w:cs="Arial"/>
        <w:b/>
        <w:sz w:val="44"/>
        <w:szCs w:val="44"/>
      </w:rPr>
      <w:t>14 COM</w:t>
    </w:r>
  </w:p>
  <w:p w14:paraId="059C6F9F" w14:textId="77777777" w:rsidR="00D95C4C" w:rsidRPr="00293466" w:rsidRDefault="00A22812" w:rsidP="00C5776D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LHE/19/14.COM/8</w:t>
    </w:r>
  </w:p>
  <w:p w14:paraId="5D72DF8E" w14:textId="5BE09F79" w:rsidR="00D95C4C" w:rsidRPr="00293466" w:rsidRDefault="00A22812" w:rsidP="00655736">
    <w:pPr>
      <w:jc w:val="right"/>
      <w:rPr>
        <w:rFonts w:ascii="Arial" w:eastAsiaTheme="minorEastAsia" w:hAnsi="Arial" w:cs="Arial"/>
        <w:b/>
        <w:sz w:val="22"/>
        <w:szCs w:val="22"/>
        <w:lang w:eastAsia="ko-KR"/>
      </w:rPr>
    </w:pPr>
    <w:r w:rsidRPr="009D5428">
      <w:rPr>
        <w:rFonts w:ascii="Arial" w:hAnsi="Arial" w:cs="Arial"/>
        <w:b/>
        <w:sz w:val="22"/>
        <w:szCs w:val="22"/>
      </w:rPr>
      <w:t xml:space="preserve">Paris, le </w:t>
    </w:r>
    <w:r w:rsidR="007106B9">
      <w:rPr>
        <w:rFonts w:ascii="Arial" w:hAnsi="Arial" w:cs="Arial"/>
        <w:b/>
        <w:sz w:val="22"/>
        <w:szCs w:val="22"/>
      </w:rPr>
      <w:t>6</w:t>
    </w:r>
    <w:r w:rsidRPr="00502875">
      <w:rPr>
        <w:rFonts w:ascii="Arial" w:hAnsi="Arial" w:cs="Arial"/>
        <w:b/>
        <w:sz w:val="22"/>
        <w:szCs w:val="22"/>
      </w:rPr>
      <w:t xml:space="preserve"> </w:t>
    </w:r>
    <w:r w:rsidR="00502875">
      <w:rPr>
        <w:rFonts w:ascii="Arial" w:hAnsi="Arial" w:cs="Arial"/>
        <w:b/>
        <w:sz w:val="22"/>
        <w:szCs w:val="22"/>
      </w:rPr>
      <w:t>novembre</w:t>
    </w:r>
    <w:r w:rsidRPr="009D5428">
      <w:rPr>
        <w:rFonts w:ascii="Arial" w:hAnsi="Arial" w:cs="Arial"/>
        <w:b/>
        <w:sz w:val="22"/>
        <w:szCs w:val="22"/>
      </w:rPr>
      <w:t xml:space="preserve"> 2019</w:t>
    </w:r>
  </w:p>
  <w:p w14:paraId="1AF73EA7" w14:textId="1B188ADA" w:rsidR="00D95C4C" w:rsidRPr="00B13AF0" w:rsidRDefault="00C20166" w:rsidP="000048ED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Original : a</w:t>
    </w:r>
    <w:r w:rsidR="00A22812" w:rsidRPr="00F32C23">
      <w:rPr>
        <w:rFonts w:ascii="Arial" w:hAnsi="Arial" w:cs="Arial"/>
        <w:b/>
        <w:sz w:val="22"/>
        <w:szCs w:val="22"/>
      </w:rPr>
      <w:t>nglais</w:t>
    </w:r>
  </w:p>
  <w:p w14:paraId="1A2B4E02" w14:textId="77777777" w:rsidR="00D95C4C" w:rsidRPr="00B13AF0" w:rsidRDefault="007106B9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C9C"/>
    <w:multiLevelType w:val="hybridMultilevel"/>
    <w:tmpl w:val="F60E309C"/>
    <w:lvl w:ilvl="0" w:tplc="08D63FA6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3CE44280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A9C8E61C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56BAA82A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DBC47A34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79E0163A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10887CDA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2F2CFAEA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7458C70C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931277D"/>
    <w:multiLevelType w:val="hybridMultilevel"/>
    <w:tmpl w:val="432C81A2"/>
    <w:lvl w:ilvl="0" w:tplc="EB443AC8">
      <w:start w:val="3"/>
      <w:numFmt w:val="upperLetter"/>
      <w:lvlText w:val="%1."/>
      <w:lvlJc w:val="left"/>
      <w:pPr>
        <w:ind w:left="3600" w:hanging="360"/>
      </w:pPr>
      <w:rPr>
        <w:rFonts w:hint="default"/>
        <w:b/>
      </w:rPr>
    </w:lvl>
    <w:lvl w:ilvl="1" w:tplc="59F0E33E" w:tentative="1">
      <w:start w:val="1"/>
      <w:numFmt w:val="lowerLetter"/>
      <w:lvlText w:val="%2."/>
      <w:lvlJc w:val="left"/>
      <w:pPr>
        <w:ind w:left="1440" w:hanging="360"/>
      </w:pPr>
    </w:lvl>
    <w:lvl w:ilvl="2" w:tplc="5B44CD98" w:tentative="1">
      <w:start w:val="1"/>
      <w:numFmt w:val="lowerRoman"/>
      <w:lvlText w:val="%3."/>
      <w:lvlJc w:val="right"/>
      <w:pPr>
        <w:ind w:left="2160" w:hanging="180"/>
      </w:pPr>
    </w:lvl>
    <w:lvl w:ilvl="3" w:tplc="FFF043F2" w:tentative="1">
      <w:start w:val="1"/>
      <w:numFmt w:val="decimal"/>
      <w:lvlText w:val="%4."/>
      <w:lvlJc w:val="left"/>
      <w:pPr>
        <w:ind w:left="2880" w:hanging="360"/>
      </w:pPr>
    </w:lvl>
    <w:lvl w:ilvl="4" w:tplc="2F44A876" w:tentative="1">
      <w:start w:val="1"/>
      <w:numFmt w:val="lowerLetter"/>
      <w:lvlText w:val="%5."/>
      <w:lvlJc w:val="left"/>
      <w:pPr>
        <w:ind w:left="3600" w:hanging="360"/>
      </w:pPr>
    </w:lvl>
    <w:lvl w:ilvl="5" w:tplc="58D079B6" w:tentative="1">
      <w:start w:val="1"/>
      <w:numFmt w:val="lowerRoman"/>
      <w:lvlText w:val="%6."/>
      <w:lvlJc w:val="right"/>
      <w:pPr>
        <w:ind w:left="4320" w:hanging="180"/>
      </w:pPr>
    </w:lvl>
    <w:lvl w:ilvl="6" w:tplc="D14E237E" w:tentative="1">
      <w:start w:val="1"/>
      <w:numFmt w:val="decimal"/>
      <w:lvlText w:val="%7."/>
      <w:lvlJc w:val="left"/>
      <w:pPr>
        <w:ind w:left="5040" w:hanging="360"/>
      </w:pPr>
    </w:lvl>
    <w:lvl w:ilvl="7" w:tplc="F8B868EC" w:tentative="1">
      <w:start w:val="1"/>
      <w:numFmt w:val="lowerLetter"/>
      <w:lvlText w:val="%8."/>
      <w:lvlJc w:val="left"/>
      <w:pPr>
        <w:ind w:left="5760" w:hanging="360"/>
      </w:pPr>
    </w:lvl>
    <w:lvl w:ilvl="8" w:tplc="8BA232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75DAB"/>
    <w:multiLevelType w:val="hybridMultilevel"/>
    <w:tmpl w:val="5804FE3C"/>
    <w:lvl w:ilvl="0" w:tplc="79CCE2C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495A577A" w:tentative="1">
      <w:start w:val="1"/>
      <w:numFmt w:val="lowerLetter"/>
      <w:lvlText w:val="%2."/>
      <w:lvlJc w:val="left"/>
      <w:pPr>
        <w:ind w:left="1505" w:hanging="360"/>
      </w:pPr>
    </w:lvl>
    <w:lvl w:ilvl="2" w:tplc="64349006" w:tentative="1">
      <w:start w:val="1"/>
      <w:numFmt w:val="lowerRoman"/>
      <w:lvlText w:val="%3."/>
      <w:lvlJc w:val="right"/>
      <w:pPr>
        <w:ind w:left="2225" w:hanging="180"/>
      </w:pPr>
    </w:lvl>
    <w:lvl w:ilvl="3" w:tplc="DA30E7C4" w:tentative="1">
      <w:start w:val="1"/>
      <w:numFmt w:val="decimal"/>
      <w:lvlText w:val="%4."/>
      <w:lvlJc w:val="left"/>
      <w:pPr>
        <w:ind w:left="2945" w:hanging="360"/>
      </w:pPr>
    </w:lvl>
    <w:lvl w:ilvl="4" w:tplc="00E0F3F2" w:tentative="1">
      <w:start w:val="1"/>
      <w:numFmt w:val="lowerLetter"/>
      <w:lvlText w:val="%5."/>
      <w:lvlJc w:val="left"/>
      <w:pPr>
        <w:ind w:left="3665" w:hanging="360"/>
      </w:pPr>
    </w:lvl>
    <w:lvl w:ilvl="5" w:tplc="40322518" w:tentative="1">
      <w:start w:val="1"/>
      <w:numFmt w:val="lowerRoman"/>
      <w:lvlText w:val="%6."/>
      <w:lvlJc w:val="right"/>
      <w:pPr>
        <w:ind w:left="4385" w:hanging="180"/>
      </w:pPr>
    </w:lvl>
    <w:lvl w:ilvl="6" w:tplc="893671EE" w:tentative="1">
      <w:start w:val="1"/>
      <w:numFmt w:val="decimal"/>
      <w:lvlText w:val="%7."/>
      <w:lvlJc w:val="left"/>
      <w:pPr>
        <w:ind w:left="5105" w:hanging="360"/>
      </w:pPr>
    </w:lvl>
    <w:lvl w:ilvl="7" w:tplc="2E76E3B0" w:tentative="1">
      <w:start w:val="1"/>
      <w:numFmt w:val="lowerLetter"/>
      <w:lvlText w:val="%8."/>
      <w:lvlJc w:val="left"/>
      <w:pPr>
        <w:ind w:left="5825" w:hanging="360"/>
      </w:pPr>
    </w:lvl>
    <w:lvl w:ilvl="8" w:tplc="6D9C8626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18F00F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1E56A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4A468F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F482A2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32869A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F647E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E34340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348463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3F0D2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872745"/>
    <w:multiLevelType w:val="multilevel"/>
    <w:tmpl w:val="62724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F07BFE"/>
    <w:multiLevelType w:val="hybridMultilevel"/>
    <w:tmpl w:val="52DC53EE"/>
    <w:lvl w:ilvl="0" w:tplc="1BDE7A18">
      <w:start w:val="1"/>
      <w:numFmt w:val="decimal"/>
      <w:pStyle w:val="COMPara"/>
      <w:lvlText w:val="%1."/>
      <w:lvlJc w:val="left"/>
      <w:pPr>
        <w:ind w:left="720" w:hanging="360"/>
      </w:pPr>
    </w:lvl>
    <w:lvl w:ilvl="1" w:tplc="6212A416">
      <w:start w:val="1"/>
      <w:numFmt w:val="lowerLetter"/>
      <w:lvlText w:val="%2."/>
      <w:lvlJc w:val="left"/>
      <w:pPr>
        <w:ind w:left="1440" w:hanging="360"/>
      </w:pPr>
    </w:lvl>
    <w:lvl w:ilvl="2" w:tplc="4D868748">
      <w:start w:val="1"/>
      <w:numFmt w:val="lowerRoman"/>
      <w:lvlText w:val="%3."/>
      <w:lvlJc w:val="right"/>
      <w:pPr>
        <w:ind w:left="2160" w:hanging="180"/>
      </w:pPr>
    </w:lvl>
    <w:lvl w:ilvl="3" w:tplc="6DA6FFF2">
      <w:start w:val="1"/>
      <w:numFmt w:val="decimal"/>
      <w:lvlText w:val="%4."/>
      <w:lvlJc w:val="left"/>
      <w:pPr>
        <w:ind w:left="2880" w:hanging="360"/>
      </w:pPr>
    </w:lvl>
    <w:lvl w:ilvl="4" w:tplc="8F66ABFE">
      <w:start w:val="1"/>
      <w:numFmt w:val="upperLetter"/>
      <w:lvlText w:val="%5."/>
      <w:lvlJc w:val="left"/>
      <w:pPr>
        <w:ind w:left="3600" w:hanging="360"/>
      </w:pPr>
      <w:rPr>
        <w:rFonts w:hint="default"/>
        <w:b/>
      </w:rPr>
    </w:lvl>
    <w:lvl w:ilvl="5" w:tplc="E32CCA88" w:tentative="1">
      <w:start w:val="1"/>
      <w:numFmt w:val="lowerRoman"/>
      <w:lvlText w:val="%6."/>
      <w:lvlJc w:val="right"/>
      <w:pPr>
        <w:ind w:left="4320" w:hanging="180"/>
      </w:pPr>
    </w:lvl>
    <w:lvl w:ilvl="6" w:tplc="8078062A" w:tentative="1">
      <w:start w:val="1"/>
      <w:numFmt w:val="decimal"/>
      <w:lvlText w:val="%7."/>
      <w:lvlJc w:val="left"/>
      <w:pPr>
        <w:ind w:left="5040" w:hanging="360"/>
      </w:pPr>
    </w:lvl>
    <w:lvl w:ilvl="7" w:tplc="F3E88CE6" w:tentative="1">
      <w:start w:val="1"/>
      <w:numFmt w:val="lowerLetter"/>
      <w:lvlText w:val="%8."/>
      <w:lvlJc w:val="left"/>
      <w:pPr>
        <w:ind w:left="5760" w:hanging="360"/>
      </w:pPr>
    </w:lvl>
    <w:lvl w:ilvl="8" w:tplc="FF1C8E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54BE1"/>
    <w:multiLevelType w:val="hybridMultilevel"/>
    <w:tmpl w:val="8766C2DA"/>
    <w:lvl w:ilvl="0" w:tplc="109C7318">
      <w:start w:val="1"/>
      <w:numFmt w:val="decimal"/>
      <w:lvlText w:val="%1."/>
      <w:lvlJc w:val="left"/>
      <w:pPr>
        <w:ind w:left="1287" w:hanging="360"/>
      </w:pPr>
    </w:lvl>
    <w:lvl w:ilvl="1" w:tplc="CA78FFC4" w:tentative="1">
      <w:start w:val="1"/>
      <w:numFmt w:val="lowerLetter"/>
      <w:lvlText w:val="%2."/>
      <w:lvlJc w:val="left"/>
      <w:pPr>
        <w:ind w:left="2007" w:hanging="360"/>
      </w:pPr>
    </w:lvl>
    <w:lvl w:ilvl="2" w:tplc="BAA870D0" w:tentative="1">
      <w:start w:val="1"/>
      <w:numFmt w:val="lowerRoman"/>
      <w:lvlText w:val="%3."/>
      <w:lvlJc w:val="right"/>
      <w:pPr>
        <w:ind w:left="2727" w:hanging="180"/>
      </w:pPr>
    </w:lvl>
    <w:lvl w:ilvl="3" w:tplc="792640DE" w:tentative="1">
      <w:start w:val="1"/>
      <w:numFmt w:val="decimal"/>
      <w:lvlText w:val="%4."/>
      <w:lvlJc w:val="left"/>
      <w:pPr>
        <w:ind w:left="3447" w:hanging="360"/>
      </w:pPr>
    </w:lvl>
    <w:lvl w:ilvl="4" w:tplc="F0D82738" w:tentative="1">
      <w:start w:val="1"/>
      <w:numFmt w:val="lowerLetter"/>
      <w:lvlText w:val="%5."/>
      <w:lvlJc w:val="left"/>
      <w:pPr>
        <w:ind w:left="4167" w:hanging="360"/>
      </w:pPr>
    </w:lvl>
    <w:lvl w:ilvl="5" w:tplc="D6DC784A" w:tentative="1">
      <w:start w:val="1"/>
      <w:numFmt w:val="lowerRoman"/>
      <w:lvlText w:val="%6."/>
      <w:lvlJc w:val="right"/>
      <w:pPr>
        <w:ind w:left="4887" w:hanging="180"/>
      </w:pPr>
    </w:lvl>
    <w:lvl w:ilvl="6" w:tplc="554A4FDC" w:tentative="1">
      <w:start w:val="1"/>
      <w:numFmt w:val="decimal"/>
      <w:lvlText w:val="%7."/>
      <w:lvlJc w:val="left"/>
      <w:pPr>
        <w:ind w:left="5607" w:hanging="360"/>
      </w:pPr>
    </w:lvl>
    <w:lvl w:ilvl="7" w:tplc="1448513A" w:tentative="1">
      <w:start w:val="1"/>
      <w:numFmt w:val="lowerLetter"/>
      <w:lvlText w:val="%8."/>
      <w:lvlJc w:val="left"/>
      <w:pPr>
        <w:ind w:left="6327" w:hanging="360"/>
      </w:pPr>
    </w:lvl>
    <w:lvl w:ilvl="8" w:tplc="92C0736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7A4DB1"/>
    <w:multiLevelType w:val="hybridMultilevel"/>
    <w:tmpl w:val="1F36D964"/>
    <w:lvl w:ilvl="0" w:tplc="31481912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2FD8F81C" w:tentative="1">
      <w:start w:val="1"/>
      <w:numFmt w:val="lowerLetter"/>
      <w:lvlText w:val="%2."/>
      <w:lvlJc w:val="left"/>
      <w:pPr>
        <w:ind w:left="2007" w:hanging="360"/>
      </w:pPr>
    </w:lvl>
    <w:lvl w:ilvl="2" w:tplc="E46475A8" w:tentative="1">
      <w:start w:val="1"/>
      <w:numFmt w:val="lowerRoman"/>
      <w:lvlText w:val="%3."/>
      <w:lvlJc w:val="right"/>
      <w:pPr>
        <w:ind w:left="2727" w:hanging="180"/>
      </w:pPr>
    </w:lvl>
    <w:lvl w:ilvl="3" w:tplc="2F648C60" w:tentative="1">
      <w:start w:val="1"/>
      <w:numFmt w:val="decimal"/>
      <w:lvlText w:val="%4."/>
      <w:lvlJc w:val="left"/>
      <w:pPr>
        <w:ind w:left="3447" w:hanging="360"/>
      </w:pPr>
    </w:lvl>
    <w:lvl w:ilvl="4" w:tplc="C1FEC2A4" w:tentative="1">
      <w:start w:val="1"/>
      <w:numFmt w:val="lowerLetter"/>
      <w:lvlText w:val="%5."/>
      <w:lvlJc w:val="left"/>
      <w:pPr>
        <w:ind w:left="4167" w:hanging="360"/>
      </w:pPr>
    </w:lvl>
    <w:lvl w:ilvl="5" w:tplc="857EC67E" w:tentative="1">
      <w:start w:val="1"/>
      <w:numFmt w:val="lowerRoman"/>
      <w:lvlText w:val="%6."/>
      <w:lvlJc w:val="right"/>
      <w:pPr>
        <w:ind w:left="4887" w:hanging="180"/>
      </w:pPr>
    </w:lvl>
    <w:lvl w:ilvl="6" w:tplc="8A008B04" w:tentative="1">
      <w:start w:val="1"/>
      <w:numFmt w:val="decimal"/>
      <w:lvlText w:val="%7."/>
      <w:lvlJc w:val="left"/>
      <w:pPr>
        <w:ind w:left="5607" w:hanging="360"/>
      </w:pPr>
    </w:lvl>
    <w:lvl w:ilvl="7" w:tplc="A96E9442" w:tentative="1">
      <w:start w:val="1"/>
      <w:numFmt w:val="lowerLetter"/>
      <w:lvlText w:val="%8."/>
      <w:lvlJc w:val="left"/>
      <w:pPr>
        <w:ind w:left="6327" w:hanging="360"/>
      </w:pPr>
    </w:lvl>
    <w:lvl w:ilvl="8" w:tplc="529A63F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AC30BD2"/>
    <w:multiLevelType w:val="hybridMultilevel"/>
    <w:tmpl w:val="2F02E984"/>
    <w:lvl w:ilvl="0" w:tplc="6A6C2936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4D90ECF2" w:tentative="1">
      <w:start w:val="1"/>
      <w:numFmt w:val="lowerLetter"/>
      <w:lvlText w:val="%2."/>
      <w:lvlJc w:val="left"/>
      <w:pPr>
        <w:ind w:left="1440" w:hanging="360"/>
      </w:pPr>
    </w:lvl>
    <w:lvl w:ilvl="2" w:tplc="A2144272" w:tentative="1">
      <w:start w:val="1"/>
      <w:numFmt w:val="lowerRoman"/>
      <w:lvlText w:val="%3."/>
      <w:lvlJc w:val="right"/>
      <w:pPr>
        <w:ind w:left="2160" w:hanging="180"/>
      </w:pPr>
    </w:lvl>
    <w:lvl w:ilvl="3" w:tplc="6BA2917E" w:tentative="1">
      <w:start w:val="1"/>
      <w:numFmt w:val="decimal"/>
      <w:lvlText w:val="%4."/>
      <w:lvlJc w:val="left"/>
      <w:pPr>
        <w:ind w:left="2880" w:hanging="360"/>
      </w:pPr>
    </w:lvl>
    <w:lvl w:ilvl="4" w:tplc="3074175A" w:tentative="1">
      <w:start w:val="1"/>
      <w:numFmt w:val="lowerLetter"/>
      <w:lvlText w:val="%5."/>
      <w:lvlJc w:val="left"/>
      <w:pPr>
        <w:ind w:left="3600" w:hanging="360"/>
      </w:pPr>
    </w:lvl>
    <w:lvl w:ilvl="5" w:tplc="1C900632" w:tentative="1">
      <w:start w:val="1"/>
      <w:numFmt w:val="lowerRoman"/>
      <w:lvlText w:val="%6."/>
      <w:lvlJc w:val="right"/>
      <w:pPr>
        <w:ind w:left="4320" w:hanging="180"/>
      </w:pPr>
    </w:lvl>
    <w:lvl w:ilvl="6" w:tplc="1BEEDA24" w:tentative="1">
      <w:start w:val="1"/>
      <w:numFmt w:val="decimal"/>
      <w:lvlText w:val="%7."/>
      <w:lvlJc w:val="left"/>
      <w:pPr>
        <w:ind w:left="5040" w:hanging="360"/>
      </w:pPr>
    </w:lvl>
    <w:lvl w:ilvl="7" w:tplc="3D125F36" w:tentative="1">
      <w:start w:val="1"/>
      <w:numFmt w:val="lowerLetter"/>
      <w:lvlText w:val="%8."/>
      <w:lvlJc w:val="left"/>
      <w:pPr>
        <w:ind w:left="5760" w:hanging="360"/>
      </w:pPr>
    </w:lvl>
    <w:lvl w:ilvl="8" w:tplc="16C62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410AE"/>
    <w:multiLevelType w:val="hybridMultilevel"/>
    <w:tmpl w:val="FC284EC2"/>
    <w:lvl w:ilvl="0" w:tplc="F3A81D7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860AD156" w:tentative="1">
      <w:start w:val="1"/>
      <w:numFmt w:val="lowerLetter"/>
      <w:lvlText w:val="%2."/>
      <w:lvlJc w:val="left"/>
      <w:pPr>
        <w:ind w:left="2499" w:hanging="360"/>
      </w:pPr>
    </w:lvl>
    <w:lvl w:ilvl="2" w:tplc="6E58A1E0" w:tentative="1">
      <w:start w:val="1"/>
      <w:numFmt w:val="lowerRoman"/>
      <w:lvlText w:val="%3."/>
      <w:lvlJc w:val="right"/>
      <w:pPr>
        <w:ind w:left="3219" w:hanging="180"/>
      </w:pPr>
    </w:lvl>
    <w:lvl w:ilvl="3" w:tplc="AB7E7C18" w:tentative="1">
      <w:start w:val="1"/>
      <w:numFmt w:val="decimal"/>
      <w:lvlText w:val="%4."/>
      <w:lvlJc w:val="left"/>
      <w:pPr>
        <w:ind w:left="3939" w:hanging="360"/>
      </w:pPr>
    </w:lvl>
    <w:lvl w:ilvl="4" w:tplc="076E5CF6" w:tentative="1">
      <w:start w:val="1"/>
      <w:numFmt w:val="lowerLetter"/>
      <w:lvlText w:val="%5."/>
      <w:lvlJc w:val="left"/>
      <w:pPr>
        <w:ind w:left="4659" w:hanging="360"/>
      </w:pPr>
    </w:lvl>
    <w:lvl w:ilvl="5" w:tplc="B616EE5C" w:tentative="1">
      <w:start w:val="1"/>
      <w:numFmt w:val="lowerRoman"/>
      <w:lvlText w:val="%6."/>
      <w:lvlJc w:val="right"/>
      <w:pPr>
        <w:ind w:left="5379" w:hanging="180"/>
      </w:pPr>
    </w:lvl>
    <w:lvl w:ilvl="6" w:tplc="E25EEDE4" w:tentative="1">
      <w:start w:val="1"/>
      <w:numFmt w:val="decimal"/>
      <w:lvlText w:val="%7."/>
      <w:lvlJc w:val="left"/>
      <w:pPr>
        <w:ind w:left="6099" w:hanging="360"/>
      </w:pPr>
    </w:lvl>
    <w:lvl w:ilvl="7" w:tplc="FFCCC134" w:tentative="1">
      <w:start w:val="1"/>
      <w:numFmt w:val="lowerLetter"/>
      <w:lvlText w:val="%8."/>
      <w:lvlJc w:val="left"/>
      <w:pPr>
        <w:ind w:left="6819" w:hanging="360"/>
      </w:pPr>
    </w:lvl>
    <w:lvl w:ilvl="8" w:tplc="90FA5C82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0" w15:restartNumberingAfterBreak="0">
    <w:nsid w:val="44EA799B"/>
    <w:multiLevelType w:val="hybridMultilevel"/>
    <w:tmpl w:val="E29C370C"/>
    <w:lvl w:ilvl="0" w:tplc="FA449B7E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B156B61E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B1877F8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DFB4C172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E6A288B0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DF8BAC0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EE861212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9E387586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56E4718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A38672C"/>
    <w:multiLevelType w:val="hybridMultilevel"/>
    <w:tmpl w:val="807C7EA4"/>
    <w:lvl w:ilvl="0" w:tplc="EE3024F2">
      <w:start w:val="1"/>
      <w:numFmt w:val="upperLetter"/>
      <w:lvlText w:val="%1."/>
      <w:lvlJc w:val="left"/>
      <w:pPr>
        <w:ind w:left="1440" w:hanging="360"/>
      </w:pPr>
    </w:lvl>
    <w:lvl w:ilvl="1" w:tplc="A246E878" w:tentative="1">
      <w:start w:val="1"/>
      <w:numFmt w:val="lowerLetter"/>
      <w:lvlText w:val="%2."/>
      <w:lvlJc w:val="left"/>
      <w:pPr>
        <w:ind w:left="2160" w:hanging="360"/>
      </w:pPr>
    </w:lvl>
    <w:lvl w:ilvl="2" w:tplc="F176E1D2" w:tentative="1">
      <w:start w:val="1"/>
      <w:numFmt w:val="lowerRoman"/>
      <w:lvlText w:val="%3."/>
      <w:lvlJc w:val="right"/>
      <w:pPr>
        <w:ind w:left="2880" w:hanging="180"/>
      </w:pPr>
    </w:lvl>
    <w:lvl w:ilvl="3" w:tplc="F872B90E" w:tentative="1">
      <w:start w:val="1"/>
      <w:numFmt w:val="decimal"/>
      <w:lvlText w:val="%4."/>
      <w:lvlJc w:val="left"/>
      <w:pPr>
        <w:ind w:left="3600" w:hanging="360"/>
      </w:pPr>
    </w:lvl>
    <w:lvl w:ilvl="4" w:tplc="D8108B18">
      <w:start w:val="1"/>
      <w:numFmt w:val="lowerLetter"/>
      <w:lvlText w:val="%5."/>
      <w:lvlJc w:val="left"/>
      <w:pPr>
        <w:ind w:left="4320" w:hanging="360"/>
      </w:pPr>
    </w:lvl>
    <w:lvl w:ilvl="5" w:tplc="92901824" w:tentative="1">
      <w:start w:val="1"/>
      <w:numFmt w:val="lowerRoman"/>
      <w:lvlText w:val="%6."/>
      <w:lvlJc w:val="right"/>
      <w:pPr>
        <w:ind w:left="5040" w:hanging="180"/>
      </w:pPr>
    </w:lvl>
    <w:lvl w:ilvl="6" w:tplc="A43AB590" w:tentative="1">
      <w:start w:val="1"/>
      <w:numFmt w:val="decimal"/>
      <w:lvlText w:val="%7."/>
      <w:lvlJc w:val="left"/>
      <w:pPr>
        <w:ind w:left="5760" w:hanging="360"/>
      </w:pPr>
    </w:lvl>
    <w:lvl w:ilvl="7" w:tplc="0428B6A4" w:tentative="1">
      <w:start w:val="1"/>
      <w:numFmt w:val="lowerLetter"/>
      <w:lvlText w:val="%8."/>
      <w:lvlJc w:val="left"/>
      <w:pPr>
        <w:ind w:left="6480" w:hanging="360"/>
      </w:pPr>
    </w:lvl>
    <w:lvl w:ilvl="8" w:tplc="5DD4E08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CB1958"/>
    <w:multiLevelType w:val="hybridMultilevel"/>
    <w:tmpl w:val="C83A03E2"/>
    <w:lvl w:ilvl="0" w:tplc="79F4E452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180AC4" w:tentative="1">
      <w:start w:val="1"/>
      <w:numFmt w:val="lowerLetter"/>
      <w:lvlText w:val="%2."/>
      <w:lvlJc w:val="left"/>
      <w:pPr>
        <w:ind w:left="1440" w:hanging="360"/>
      </w:pPr>
    </w:lvl>
    <w:lvl w:ilvl="2" w:tplc="60004818" w:tentative="1">
      <w:start w:val="1"/>
      <w:numFmt w:val="lowerRoman"/>
      <w:lvlText w:val="%3."/>
      <w:lvlJc w:val="right"/>
      <w:pPr>
        <w:ind w:left="2160" w:hanging="180"/>
      </w:pPr>
    </w:lvl>
    <w:lvl w:ilvl="3" w:tplc="3C2499C2" w:tentative="1">
      <w:start w:val="1"/>
      <w:numFmt w:val="decimal"/>
      <w:lvlText w:val="%4."/>
      <w:lvlJc w:val="left"/>
      <w:pPr>
        <w:ind w:left="2880" w:hanging="360"/>
      </w:pPr>
    </w:lvl>
    <w:lvl w:ilvl="4" w:tplc="57D4D11C" w:tentative="1">
      <w:start w:val="1"/>
      <w:numFmt w:val="lowerLetter"/>
      <w:lvlText w:val="%5."/>
      <w:lvlJc w:val="left"/>
      <w:pPr>
        <w:ind w:left="3600" w:hanging="360"/>
      </w:pPr>
    </w:lvl>
    <w:lvl w:ilvl="5" w:tplc="CB1A5E9E" w:tentative="1">
      <w:start w:val="1"/>
      <w:numFmt w:val="lowerRoman"/>
      <w:lvlText w:val="%6."/>
      <w:lvlJc w:val="right"/>
      <w:pPr>
        <w:ind w:left="4320" w:hanging="180"/>
      </w:pPr>
    </w:lvl>
    <w:lvl w:ilvl="6" w:tplc="341CA898" w:tentative="1">
      <w:start w:val="1"/>
      <w:numFmt w:val="decimal"/>
      <w:lvlText w:val="%7."/>
      <w:lvlJc w:val="left"/>
      <w:pPr>
        <w:ind w:left="5040" w:hanging="360"/>
      </w:pPr>
    </w:lvl>
    <w:lvl w:ilvl="7" w:tplc="585E89E8" w:tentative="1">
      <w:start w:val="1"/>
      <w:numFmt w:val="lowerLetter"/>
      <w:lvlText w:val="%8."/>
      <w:lvlJc w:val="left"/>
      <w:pPr>
        <w:ind w:left="5760" w:hanging="360"/>
      </w:pPr>
    </w:lvl>
    <w:lvl w:ilvl="8" w:tplc="ECB0C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D35B7"/>
    <w:multiLevelType w:val="hybridMultilevel"/>
    <w:tmpl w:val="E40E8992"/>
    <w:lvl w:ilvl="0" w:tplc="625267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E6DE9184">
      <w:start w:val="1"/>
      <w:numFmt w:val="lowerLetter"/>
      <w:lvlText w:val="%2."/>
      <w:lvlJc w:val="left"/>
      <w:pPr>
        <w:ind w:left="2073" w:hanging="360"/>
      </w:pPr>
    </w:lvl>
    <w:lvl w:ilvl="2" w:tplc="0AACC9C2" w:tentative="1">
      <w:start w:val="1"/>
      <w:numFmt w:val="lowerRoman"/>
      <w:lvlText w:val="%3."/>
      <w:lvlJc w:val="right"/>
      <w:pPr>
        <w:ind w:left="2793" w:hanging="180"/>
      </w:pPr>
    </w:lvl>
    <w:lvl w:ilvl="3" w:tplc="CED66906" w:tentative="1">
      <w:start w:val="1"/>
      <w:numFmt w:val="decimal"/>
      <w:lvlText w:val="%4."/>
      <w:lvlJc w:val="left"/>
      <w:pPr>
        <w:ind w:left="3513" w:hanging="360"/>
      </w:pPr>
    </w:lvl>
    <w:lvl w:ilvl="4" w:tplc="6DB42748" w:tentative="1">
      <w:start w:val="1"/>
      <w:numFmt w:val="lowerLetter"/>
      <w:lvlText w:val="%5."/>
      <w:lvlJc w:val="left"/>
      <w:pPr>
        <w:ind w:left="4233" w:hanging="360"/>
      </w:pPr>
    </w:lvl>
    <w:lvl w:ilvl="5" w:tplc="4F667902" w:tentative="1">
      <w:start w:val="1"/>
      <w:numFmt w:val="lowerRoman"/>
      <w:lvlText w:val="%6."/>
      <w:lvlJc w:val="right"/>
      <w:pPr>
        <w:ind w:left="4953" w:hanging="180"/>
      </w:pPr>
    </w:lvl>
    <w:lvl w:ilvl="6" w:tplc="DCAC6886" w:tentative="1">
      <w:start w:val="1"/>
      <w:numFmt w:val="decimal"/>
      <w:lvlText w:val="%7."/>
      <w:lvlJc w:val="left"/>
      <w:pPr>
        <w:ind w:left="5673" w:hanging="360"/>
      </w:pPr>
    </w:lvl>
    <w:lvl w:ilvl="7" w:tplc="6630BF66" w:tentative="1">
      <w:start w:val="1"/>
      <w:numFmt w:val="lowerLetter"/>
      <w:lvlText w:val="%8."/>
      <w:lvlJc w:val="left"/>
      <w:pPr>
        <w:ind w:left="6393" w:hanging="360"/>
      </w:pPr>
    </w:lvl>
    <w:lvl w:ilvl="8" w:tplc="40289FDC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6D826C3"/>
    <w:multiLevelType w:val="hybridMultilevel"/>
    <w:tmpl w:val="68B8CC1E"/>
    <w:lvl w:ilvl="0" w:tplc="D51A0536">
      <w:start w:val="1"/>
      <w:numFmt w:val="decimal"/>
      <w:lvlText w:val="%1."/>
      <w:lvlJc w:val="left"/>
      <w:pPr>
        <w:ind w:left="720" w:hanging="360"/>
      </w:pPr>
    </w:lvl>
    <w:lvl w:ilvl="1" w:tplc="485EA180" w:tentative="1">
      <w:start w:val="1"/>
      <w:numFmt w:val="lowerLetter"/>
      <w:lvlText w:val="%2."/>
      <w:lvlJc w:val="left"/>
      <w:pPr>
        <w:ind w:left="1440" w:hanging="360"/>
      </w:pPr>
    </w:lvl>
    <w:lvl w:ilvl="2" w:tplc="167299FE" w:tentative="1">
      <w:start w:val="1"/>
      <w:numFmt w:val="lowerRoman"/>
      <w:lvlText w:val="%3."/>
      <w:lvlJc w:val="right"/>
      <w:pPr>
        <w:ind w:left="2160" w:hanging="180"/>
      </w:pPr>
    </w:lvl>
    <w:lvl w:ilvl="3" w:tplc="21F65736" w:tentative="1">
      <w:start w:val="1"/>
      <w:numFmt w:val="decimal"/>
      <w:lvlText w:val="%4."/>
      <w:lvlJc w:val="left"/>
      <w:pPr>
        <w:ind w:left="2880" w:hanging="360"/>
      </w:pPr>
    </w:lvl>
    <w:lvl w:ilvl="4" w:tplc="413AC614" w:tentative="1">
      <w:start w:val="1"/>
      <w:numFmt w:val="lowerLetter"/>
      <w:lvlText w:val="%5."/>
      <w:lvlJc w:val="left"/>
      <w:pPr>
        <w:ind w:left="3600" w:hanging="360"/>
      </w:pPr>
    </w:lvl>
    <w:lvl w:ilvl="5" w:tplc="9C840B2E" w:tentative="1">
      <w:start w:val="1"/>
      <w:numFmt w:val="lowerRoman"/>
      <w:lvlText w:val="%6."/>
      <w:lvlJc w:val="right"/>
      <w:pPr>
        <w:ind w:left="4320" w:hanging="180"/>
      </w:pPr>
    </w:lvl>
    <w:lvl w:ilvl="6" w:tplc="39EC9114" w:tentative="1">
      <w:start w:val="1"/>
      <w:numFmt w:val="decimal"/>
      <w:lvlText w:val="%7."/>
      <w:lvlJc w:val="left"/>
      <w:pPr>
        <w:ind w:left="5040" w:hanging="360"/>
      </w:pPr>
    </w:lvl>
    <w:lvl w:ilvl="7" w:tplc="272E522C" w:tentative="1">
      <w:start w:val="1"/>
      <w:numFmt w:val="lowerLetter"/>
      <w:lvlText w:val="%8."/>
      <w:lvlJc w:val="left"/>
      <w:pPr>
        <w:ind w:left="5760" w:hanging="360"/>
      </w:pPr>
    </w:lvl>
    <w:lvl w:ilvl="8" w:tplc="F95CC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63642"/>
    <w:multiLevelType w:val="hybridMultilevel"/>
    <w:tmpl w:val="751C119E"/>
    <w:lvl w:ilvl="0" w:tplc="B0BA73CE">
      <w:start w:val="1"/>
      <w:numFmt w:val="lowerLetter"/>
      <w:lvlText w:val="%1."/>
      <w:lvlJc w:val="left"/>
      <w:pPr>
        <w:ind w:left="4320" w:hanging="360"/>
      </w:pPr>
    </w:lvl>
    <w:lvl w:ilvl="1" w:tplc="3F7A7F8C" w:tentative="1">
      <w:start w:val="1"/>
      <w:numFmt w:val="lowerLetter"/>
      <w:lvlText w:val="%2."/>
      <w:lvlJc w:val="left"/>
      <w:pPr>
        <w:ind w:left="5040" w:hanging="360"/>
      </w:pPr>
    </w:lvl>
    <w:lvl w:ilvl="2" w:tplc="7C86C136" w:tentative="1">
      <w:start w:val="1"/>
      <w:numFmt w:val="lowerRoman"/>
      <w:lvlText w:val="%3."/>
      <w:lvlJc w:val="right"/>
      <w:pPr>
        <w:ind w:left="5760" w:hanging="180"/>
      </w:pPr>
    </w:lvl>
    <w:lvl w:ilvl="3" w:tplc="BF2C98F0" w:tentative="1">
      <w:start w:val="1"/>
      <w:numFmt w:val="decimal"/>
      <w:lvlText w:val="%4."/>
      <w:lvlJc w:val="left"/>
      <w:pPr>
        <w:ind w:left="6480" w:hanging="360"/>
      </w:pPr>
    </w:lvl>
    <w:lvl w:ilvl="4" w:tplc="C680BDA2" w:tentative="1">
      <w:start w:val="1"/>
      <w:numFmt w:val="lowerLetter"/>
      <w:lvlText w:val="%5."/>
      <w:lvlJc w:val="left"/>
      <w:pPr>
        <w:ind w:left="7200" w:hanging="360"/>
      </w:pPr>
    </w:lvl>
    <w:lvl w:ilvl="5" w:tplc="90FE0528" w:tentative="1">
      <w:start w:val="1"/>
      <w:numFmt w:val="lowerRoman"/>
      <w:lvlText w:val="%6."/>
      <w:lvlJc w:val="right"/>
      <w:pPr>
        <w:ind w:left="7920" w:hanging="180"/>
      </w:pPr>
    </w:lvl>
    <w:lvl w:ilvl="6" w:tplc="3FDA02CA" w:tentative="1">
      <w:start w:val="1"/>
      <w:numFmt w:val="decimal"/>
      <w:lvlText w:val="%7."/>
      <w:lvlJc w:val="left"/>
      <w:pPr>
        <w:ind w:left="8640" w:hanging="360"/>
      </w:pPr>
    </w:lvl>
    <w:lvl w:ilvl="7" w:tplc="4F90B74A" w:tentative="1">
      <w:start w:val="1"/>
      <w:numFmt w:val="lowerLetter"/>
      <w:lvlText w:val="%8."/>
      <w:lvlJc w:val="left"/>
      <w:pPr>
        <w:ind w:left="9360" w:hanging="360"/>
      </w:pPr>
    </w:lvl>
    <w:lvl w:ilvl="8" w:tplc="3FEEECB2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6" w15:restartNumberingAfterBreak="0">
    <w:nsid w:val="6F641E95"/>
    <w:multiLevelType w:val="hybridMultilevel"/>
    <w:tmpl w:val="032AC1BA"/>
    <w:lvl w:ilvl="0" w:tplc="4A727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08858A" w:tentative="1">
      <w:start w:val="1"/>
      <w:numFmt w:val="lowerLetter"/>
      <w:lvlText w:val="%2."/>
      <w:lvlJc w:val="left"/>
      <w:pPr>
        <w:ind w:left="1440" w:hanging="360"/>
      </w:pPr>
    </w:lvl>
    <w:lvl w:ilvl="2" w:tplc="72209BBE" w:tentative="1">
      <w:start w:val="1"/>
      <w:numFmt w:val="lowerRoman"/>
      <w:lvlText w:val="%3."/>
      <w:lvlJc w:val="right"/>
      <w:pPr>
        <w:ind w:left="2160" w:hanging="180"/>
      </w:pPr>
    </w:lvl>
    <w:lvl w:ilvl="3" w:tplc="5E08C7A2" w:tentative="1">
      <w:start w:val="1"/>
      <w:numFmt w:val="decimal"/>
      <w:lvlText w:val="%4."/>
      <w:lvlJc w:val="left"/>
      <w:pPr>
        <w:ind w:left="2880" w:hanging="360"/>
      </w:pPr>
    </w:lvl>
    <w:lvl w:ilvl="4" w:tplc="0CA8C336" w:tentative="1">
      <w:start w:val="1"/>
      <w:numFmt w:val="lowerLetter"/>
      <w:lvlText w:val="%5."/>
      <w:lvlJc w:val="left"/>
      <w:pPr>
        <w:ind w:left="3600" w:hanging="360"/>
      </w:pPr>
    </w:lvl>
    <w:lvl w:ilvl="5" w:tplc="AA7277C4" w:tentative="1">
      <w:start w:val="1"/>
      <w:numFmt w:val="lowerRoman"/>
      <w:lvlText w:val="%6."/>
      <w:lvlJc w:val="right"/>
      <w:pPr>
        <w:ind w:left="4320" w:hanging="180"/>
      </w:pPr>
    </w:lvl>
    <w:lvl w:ilvl="6" w:tplc="08C24818" w:tentative="1">
      <w:start w:val="1"/>
      <w:numFmt w:val="decimal"/>
      <w:lvlText w:val="%7."/>
      <w:lvlJc w:val="left"/>
      <w:pPr>
        <w:ind w:left="5040" w:hanging="360"/>
      </w:pPr>
    </w:lvl>
    <w:lvl w:ilvl="7" w:tplc="5052BE30" w:tentative="1">
      <w:start w:val="1"/>
      <w:numFmt w:val="lowerLetter"/>
      <w:lvlText w:val="%8."/>
      <w:lvlJc w:val="left"/>
      <w:pPr>
        <w:ind w:left="5760" w:hanging="360"/>
      </w:pPr>
    </w:lvl>
    <w:lvl w:ilvl="8" w:tplc="DC506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2713E"/>
    <w:multiLevelType w:val="hybridMultilevel"/>
    <w:tmpl w:val="35E27E5A"/>
    <w:lvl w:ilvl="0" w:tplc="4F56206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8DB256A6" w:tentative="1">
      <w:start w:val="1"/>
      <w:numFmt w:val="lowerLetter"/>
      <w:lvlText w:val="%2."/>
      <w:lvlJc w:val="left"/>
      <w:pPr>
        <w:ind w:left="1440" w:hanging="360"/>
      </w:pPr>
    </w:lvl>
    <w:lvl w:ilvl="2" w:tplc="9BC8F514" w:tentative="1">
      <w:start w:val="1"/>
      <w:numFmt w:val="lowerRoman"/>
      <w:lvlText w:val="%3."/>
      <w:lvlJc w:val="right"/>
      <w:pPr>
        <w:ind w:left="2160" w:hanging="180"/>
      </w:pPr>
    </w:lvl>
    <w:lvl w:ilvl="3" w:tplc="BB7E82E4" w:tentative="1">
      <w:start w:val="1"/>
      <w:numFmt w:val="decimal"/>
      <w:lvlText w:val="%4."/>
      <w:lvlJc w:val="left"/>
      <w:pPr>
        <w:ind w:left="2880" w:hanging="360"/>
      </w:pPr>
    </w:lvl>
    <w:lvl w:ilvl="4" w:tplc="F052FC02" w:tentative="1">
      <w:start w:val="1"/>
      <w:numFmt w:val="lowerLetter"/>
      <w:lvlText w:val="%5."/>
      <w:lvlJc w:val="left"/>
      <w:pPr>
        <w:ind w:left="3600" w:hanging="360"/>
      </w:pPr>
    </w:lvl>
    <w:lvl w:ilvl="5" w:tplc="66CC10A8" w:tentative="1">
      <w:start w:val="1"/>
      <w:numFmt w:val="lowerRoman"/>
      <w:lvlText w:val="%6."/>
      <w:lvlJc w:val="right"/>
      <w:pPr>
        <w:ind w:left="4320" w:hanging="180"/>
      </w:pPr>
    </w:lvl>
    <w:lvl w:ilvl="6" w:tplc="607AA522" w:tentative="1">
      <w:start w:val="1"/>
      <w:numFmt w:val="decimal"/>
      <w:lvlText w:val="%7."/>
      <w:lvlJc w:val="left"/>
      <w:pPr>
        <w:ind w:left="5040" w:hanging="360"/>
      </w:pPr>
    </w:lvl>
    <w:lvl w:ilvl="7" w:tplc="B03ED792" w:tentative="1">
      <w:start w:val="1"/>
      <w:numFmt w:val="lowerLetter"/>
      <w:lvlText w:val="%8."/>
      <w:lvlJc w:val="left"/>
      <w:pPr>
        <w:ind w:left="5760" w:hanging="360"/>
      </w:pPr>
    </w:lvl>
    <w:lvl w:ilvl="8" w:tplc="7D2229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27CF4"/>
    <w:multiLevelType w:val="hybridMultilevel"/>
    <w:tmpl w:val="C5527DE8"/>
    <w:lvl w:ilvl="0" w:tplc="DA2AF56A">
      <w:start w:val="1"/>
      <w:numFmt w:val="upperLetter"/>
      <w:lvlText w:val="%1."/>
      <w:lvlJc w:val="left"/>
      <w:pPr>
        <w:ind w:left="1287" w:hanging="360"/>
      </w:pPr>
    </w:lvl>
    <w:lvl w:ilvl="1" w:tplc="6A6C0E10" w:tentative="1">
      <w:start w:val="1"/>
      <w:numFmt w:val="lowerLetter"/>
      <w:lvlText w:val="%2."/>
      <w:lvlJc w:val="left"/>
      <w:pPr>
        <w:ind w:left="2007" w:hanging="360"/>
      </w:pPr>
    </w:lvl>
    <w:lvl w:ilvl="2" w:tplc="DBD4D002" w:tentative="1">
      <w:start w:val="1"/>
      <w:numFmt w:val="lowerRoman"/>
      <w:lvlText w:val="%3."/>
      <w:lvlJc w:val="right"/>
      <w:pPr>
        <w:ind w:left="2727" w:hanging="180"/>
      </w:pPr>
    </w:lvl>
    <w:lvl w:ilvl="3" w:tplc="954CEE6A" w:tentative="1">
      <w:start w:val="1"/>
      <w:numFmt w:val="decimal"/>
      <w:lvlText w:val="%4."/>
      <w:lvlJc w:val="left"/>
      <w:pPr>
        <w:ind w:left="3447" w:hanging="360"/>
      </w:pPr>
    </w:lvl>
    <w:lvl w:ilvl="4" w:tplc="07AA44A6" w:tentative="1">
      <w:start w:val="1"/>
      <w:numFmt w:val="lowerLetter"/>
      <w:lvlText w:val="%5."/>
      <w:lvlJc w:val="left"/>
      <w:pPr>
        <w:ind w:left="4167" w:hanging="360"/>
      </w:pPr>
    </w:lvl>
    <w:lvl w:ilvl="5" w:tplc="1E725BB8" w:tentative="1">
      <w:start w:val="1"/>
      <w:numFmt w:val="lowerRoman"/>
      <w:lvlText w:val="%6."/>
      <w:lvlJc w:val="right"/>
      <w:pPr>
        <w:ind w:left="4887" w:hanging="180"/>
      </w:pPr>
    </w:lvl>
    <w:lvl w:ilvl="6" w:tplc="385C9A0C" w:tentative="1">
      <w:start w:val="1"/>
      <w:numFmt w:val="decimal"/>
      <w:lvlText w:val="%7."/>
      <w:lvlJc w:val="left"/>
      <w:pPr>
        <w:ind w:left="5607" w:hanging="360"/>
      </w:pPr>
    </w:lvl>
    <w:lvl w:ilvl="7" w:tplc="663C9E34" w:tentative="1">
      <w:start w:val="1"/>
      <w:numFmt w:val="lowerLetter"/>
      <w:lvlText w:val="%8."/>
      <w:lvlJc w:val="left"/>
      <w:pPr>
        <w:ind w:left="6327" w:hanging="360"/>
      </w:pPr>
    </w:lvl>
    <w:lvl w:ilvl="8" w:tplc="D96A4626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17"/>
  </w:num>
  <w:num w:numId="5">
    <w:abstractNumId w:val="14"/>
  </w:num>
  <w:num w:numId="6">
    <w:abstractNumId w:val="0"/>
  </w:num>
  <w:num w:numId="7">
    <w:abstractNumId w:val="3"/>
  </w:num>
  <w:num w:numId="8">
    <w:abstractNumId w:val="10"/>
  </w:num>
  <w:num w:numId="9">
    <w:abstractNumId w:val="5"/>
  </w:num>
  <w:num w:numId="10">
    <w:abstractNumId w:val="7"/>
  </w:num>
  <w:num w:numId="11">
    <w:abstractNumId w:val="9"/>
  </w:num>
  <w:num w:numId="12">
    <w:abstractNumId w:val="8"/>
  </w:num>
  <w:num w:numId="13">
    <w:abstractNumId w:val="5"/>
  </w:num>
  <w:num w:numId="14">
    <w:abstractNumId w:val="5"/>
    <w:lvlOverride w:ilvl="0">
      <w:startOverride w:val="1"/>
    </w:lvlOverride>
  </w:num>
  <w:num w:numId="15">
    <w:abstractNumId w:val="4"/>
  </w:num>
  <w:num w:numId="16">
    <w:abstractNumId w:val="5"/>
  </w:num>
  <w:num w:numId="17">
    <w:abstractNumId w:val="5"/>
    <w:lvlOverride w:ilvl="0">
      <w:startOverride w:val="1"/>
    </w:lvlOverride>
  </w:num>
  <w:num w:numId="18">
    <w:abstractNumId w:val="11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15"/>
  </w:num>
  <w:num w:numId="26">
    <w:abstractNumId w:val="5"/>
  </w:num>
  <w:num w:numId="27">
    <w:abstractNumId w:val="16"/>
  </w:num>
  <w:num w:numId="28">
    <w:abstractNumId w:val="5"/>
  </w:num>
  <w:num w:numId="29">
    <w:abstractNumId w:val="5"/>
  </w:num>
  <w:num w:numId="30">
    <w:abstractNumId w:val="12"/>
  </w:num>
  <w:num w:numId="31">
    <w:abstractNumId w:val="5"/>
  </w:num>
  <w:num w:numId="32">
    <w:abstractNumId w:val="5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</w:num>
  <w:num w:numId="34">
    <w:abstractNumId w:val="5"/>
  </w:num>
  <w:num w:numId="35">
    <w:abstractNumId w:val="5"/>
  </w:num>
  <w:num w:numId="36">
    <w:abstractNumId w:val="1"/>
  </w:num>
  <w:num w:numId="37">
    <w:abstractNumId w:val="18"/>
  </w:num>
  <w:num w:numId="38">
    <w:abstractNumId w:val="7"/>
  </w:num>
  <w:num w:numId="39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98"/>
    <w:rsid w:val="000129FA"/>
    <w:rsid w:val="00027285"/>
    <w:rsid w:val="00055D44"/>
    <w:rsid w:val="000979A0"/>
    <w:rsid w:val="001910A8"/>
    <w:rsid w:val="00191D9B"/>
    <w:rsid w:val="001B12C9"/>
    <w:rsid w:val="00293466"/>
    <w:rsid w:val="002A287B"/>
    <w:rsid w:val="002B3428"/>
    <w:rsid w:val="002E2A92"/>
    <w:rsid w:val="00345DBE"/>
    <w:rsid w:val="00381B41"/>
    <w:rsid w:val="003D57DA"/>
    <w:rsid w:val="0042183C"/>
    <w:rsid w:val="00442DE7"/>
    <w:rsid w:val="004A6DB3"/>
    <w:rsid w:val="004C2331"/>
    <w:rsid w:val="004D374C"/>
    <w:rsid w:val="004D4406"/>
    <w:rsid w:val="004E5AD0"/>
    <w:rsid w:val="00502875"/>
    <w:rsid w:val="00565F52"/>
    <w:rsid w:val="005B5552"/>
    <w:rsid w:val="0063612B"/>
    <w:rsid w:val="006B6668"/>
    <w:rsid w:val="006C034B"/>
    <w:rsid w:val="006C5FC6"/>
    <w:rsid w:val="007106B9"/>
    <w:rsid w:val="00755995"/>
    <w:rsid w:val="007A0359"/>
    <w:rsid w:val="0085356E"/>
    <w:rsid w:val="00860DE8"/>
    <w:rsid w:val="008676A0"/>
    <w:rsid w:val="00892D48"/>
    <w:rsid w:val="008A41F9"/>
    <w:rsid w:val="008B455C"/>
    <w:rsid w:val="009561C1"/>
    <w:rsid w:val="00963128"/>
    <w:rsid w:val="009739BD"/>
    <w:rsid w:val="00A22812"/>
    <w:rsid w:val="00A24E5D"/>
    <w:rsid w:val="00A25C77"/>
    <w:rsid w:val="00A674C9"/>
    <w:rsid w:val="00A67CA2"/>
    <w:rsid w:val="00AF1767"/>
    <w:rsid w:val="00B13AF0"/>
    <w:rsid w:val="00B46240"/>
    <w:rsid w:val="00B82C10"/>
    <w:rsid w:val="00B872A8"/>
    <w:rsid w:val="00C05712"/>
    <w:rsid w:val="00C20166"/>
    <w:rsid w:val="00C269B7"/>
    <w:rsid w:val="00C4765E"/>
    <w:rsid w:val="00CD3F90"/>
    <w:rsid w:val="00D24EEF"/>
    <w:rsid w:val="00DB560D"/>
    <w:rsid w:val="00DE68EC"/>
    <w:rsid w:val="00E85196"/>
    <w:rsid w:val="00ED6B54"/>
    <w:rsid w:val="00F11B98"/>
    <w:rsid w:val="00F3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3570B27"/>
  <w15:docId w15:val="{C051C1D9-832E-4048-9953-03A0D49F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13"/>
      </w:numPr>
      <w:spacing w:after="120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7525C0"/>
    <w:rPr>
      <w:color w:val="0000FF" w:themeColor="hyperlink"/>
      <w:u w:val="single"/>
    </w:rPr>
  </w:style>
  <w:style w:type="character" w:customStyle="1" w:styleId="atenuated">
    <w:name w:val="atenuated"/>
    <w:basedOn w:val="DefaultParagraphFont"/>
    <w:rsid w:val="007525C0"/>
  </w:style>
  <w:style w:type="character" w:styleId="FollowedHyperlink">
    <w:name w:val="FollowedHyperlink"/>
    <w:basedOn w:val="DefaultParagraphFont"/>
    <w:uiPriority w:val="99"/>
    <w:semiHidden/>
    <w:unhideWhenUsed/>
    <w:rsid w:val="00F26C9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24CE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4CE8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semiHidden/>
    <w:unhideWhenUsed/>
    <w:rsid w:val="00B24CE8"/>
    <w:rPr>
      <w:vertAlign w:val="superscript"/>
    </w:rPr>
  </w:style>
  <w:style w:type="paragraph" w:customStyle="1" w:styleId="1GAPara">
    <w:name w:val="1. GA Para"/>
    <w:qFormat/>
    <w:rsid w:val="005652E4"/>
    <w:pPr>
      <w:spacing w:after="120"/>
      <w:ind w:left="720" w:hanging="360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16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6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6F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6F6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8A6BF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0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fr/Decisions/12.COM/10" TargetMode="External"/><Relationship Id="rId13" Type="http://schemas.openxmlformats.org/officeDocument/2006/relationships/hyperlink" Target="https://ich.unesco.org/doc/src/LHE-19-14.COM-9.a-FR.docx" TargetMode="External"/><Relationship Id="rId18" Type="http://schemas.openxmlformats.org/officeDocument/2006/relationships/hyperlink" Target="https://ich.unesco.org/fr/Resolutions/7.GA/10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ich.unesco.org/fr/Decisions/13.COM/8" TargetMode="External"/><Relationship Id="rId17" Type="http://schemas.openxmlformats.org/officeDocument/2006/relationships/hyperlink" Target="https://ich.unesco.org/fr/Decisions/13.COM/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ch.unesco.org/fr/Decisions/12.COM/1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h.unesco.org/doc/src/ITH-18-13.COM-8-FR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ch.unesco.org/fr/Decisions/11.COM/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ch.unesco.org/fr/Resolutions/7.GA/1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h.unesco.org/fr/Resolutions/7.GA/9" TargetMode="External"/><Relationship Id="rId14" Type="http://schemas.openxmlformats.org/officeDocument/2006/relationships/hyperlink" Target="https://ich.unesco.org/doc/src/LHE-19-14.COM-12-FR.docx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35E2-1749-4D37-9F49-40F26A65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</Template>
  <TotalTime>204</TotalTime>
  <Pages>5</Pages>
  <Words>2570</Words>
  <Characters>14140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Scepi, Giovanni</dc:creator>
  <cp:lastModifiedBy>Thibault, Alice</cp:lastModifiedBy>
  <cp:revision>23</cp:revision>
  <cp:lastPrinted>2019-10-15T10:08:00Z</cp:lastPrinted>
  <dcterms:created xsi:type="dcterms:W3CDTF">2019-10-28T14:52:00Z</dcterms:created>
  <dcterms:modified xsi:type="dcterms:W3CDTF">2019-11-06T16:16:00Z</dcterms:modified>
</cp:coreProperties>
</file>