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F4835" w14:textId="72E98AAA"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p>
    <w:p w14:paraId="3F11EEF9"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2E099881" w14:textId="77777777" w:rsidR="00EC6F8D" w:rsidRPr="00293C60" w:rsidRDefault="00C5776D" w:rsidP="001D14FE">
      <w:pPr>
        <w:spacing w:before="840"/>
        <w:jc w:val="center"/>
        <w:rPr>
          <w:rFonts w:ascii="Arial" w:hAnsi="Arial" w:cs="Arial"/>
          <w:b/>
          <w:sz w:val="22"/>
          <w:szCs w:val="22"/>
          <w:lang w:val="en-GB"/>
        </w:rPr>
      </w:pPr>
      <w:r>
        <w:rPr>
          <w:rFonts w:ascii="Arial" w:eastAsiaTheme="minorEastAsia" w:hAnsi="Arial" w:cs="Arial"/>
          <w:b/>
          <w:sz w:val="22"/>
          <w:szCs w:val="22"/>
          <w:lang w:val="en-GB" w:eastAsia="ko-KR"/>
        </w:rPr>
        <w:t>Fou</w:t>
      </w:r>
      <w:r w:rsidR="001D14FE">
        <w:rPr>
          <w:rFonts w:ascii="Arial" w:eastAsiaTheme="minorEastAsia" w:hAnsi="Arial" w:cs="Arial"/>
          <w:b/>
          <w:sz w:val="22"/>
          <w:szCs w:val="22"/>
          <w:lang w:val="en-GB" w:eastAsia="ko-KR"/>
        </w:rPr>
        <w:t>rteen</w:t>
      </w:r>
      <w:r w:rsidR="00CB0542">
        <w:rPr>
          <w:rFonts w:ascii="Arial" w:hAnsi="Arial" w:cs="Arial"/>
          <w:b/>
          <w:sz w:val="22"/>
          <w:szCs w:val="22"/>
          <w:lang w:val="en-GB"/>
        </w:rPr>
        <w:t>th</w:t>
      </w:r>
      <w:r w:rsidR="00EC6F8D">
        <w:rPr>
          <w:rFonts w:ascii="Arial" w:hAnsi="Arial" w:cs="Arial"/>
          <w:b/>
          <w:sz w:val="22"/>
          <w:szCs w:val="22"/>
          <w:lang w:val="en-GB"/>
        </w:rPr>
        <w:t xml:space="preserve"> </w:t>
      </w:r>
      <w:r w:rsidR="00EC6F8D" w:rsidRPr="00293C60">
        <w:rPr>
          <w:rFonts w:ascii="Arial" w:hAnsi="Arial" w:cs="Arial"/>
          <w:b/>
          <w:sz w:val="22"/>
          <w:szCs w:val="22"/>
          <w:lang w:val="en-GB"/>
        </w:rPr>
        <w:t>session</w:t>
      </w:r>
    </w:p>
    <w:p w14:paraId="412C62BB" w14:textId="77777777" w:rsidR="00C5776D" w:rsidRPr="00F83405" w:rsidRDefault="00C5776D" w:rsidP="00C5776D">
      <w:pPr>
        <w:jc w:val="center"/>
        <w:rPr>
          <w:rFonts w:ascii="Arial" w:eastAsia="Malgun Gothic" w:hAnsi="Arial" w:cs="Arial"/>
          <w:b/>
          <w:sz w:val="22"/>
          <w:szCs w:val="22"/>
          <w:lang w:val="en-GB" w:eastAsia="ko-KR"/>
        </w:rPr>
      </w:pPr>
      <w:r>
        <w:rPr>
          <w:rFonts w:ascii="Arial" w:eastAsia="Malgun Gothic" w:hAnsi="Arial" w:cs="Arial"/>
          <w:b/>
          <w:sz w:val="22"/>
          <w:szCs w:val="22"/>
          <w:lang w:val="en-GB" w:eastAsia="ko-KR"/>
        </w:rPr>
        <w:t>Bogot</w:t>
      </w:r>
      <w:r w:rsidRPr="0007013D">
        <w:rPr>
          <w:rFonts w:ascii="Arial" w:eastAsia="Malgun Gothic" w:hAnsi="Arial" w:cs="Arial"/>
          <w:b/>
          <w:sz w:val="22"/>
          <w:szCs w:val="22"/>
          <w:lang w:val="en-GB" w:eastAsia="ko-KR"/>
        </w:rPr>
        <w:t>á</w:t>
      </w:r>
      <w:r>
        <w:rPr>
          <w:rFonts w:ascii="Arial" w:eastAsia="Malgun Gothic" w:hAnsi="Arial" w:cs="Arial" w:hint="eastAsia"/>
          <w:b/>
          <w:sz w:val="22"/>
          <w:szCs w:val="22"/>
          <w:lang w:val="en-GB" w:eastAsia="ko-KR"/>
        </w:rPr>
        <w:t xml:space="preserve">, Republic of </w:t>
      </w:r>
      <w:r>
        <w:rPr>
          <w:rFonts w:ascii="Arial" w:eastAsia="Malgun Gothic" w:hAnsi="Arial" w:cs="Arial"/>
          <w:b/>
          <w:sz w:val="22"/>
          <w:szCs w:val="22"/>
          <w:lang w:val="en-GB" w:eastAsia="ko-KR"/>
        </w:rPr>
        <w:t>Colombia</w:t>
      </w:r>
    </w:p>
    <w:p w14:paraId="5ED47FEA" w14:textId="77777777" w:rsidR="00EC6F8D" w:rsidRPr="00337CEB" w:rsidRDefault="00C5776D" w:rsidP="00C5776D">
      <w:pPr>
        <w:jc w:val="center"/>
        <w:rPr>
          <w:rFonts w:ascii="Arial" w:eastAsiaTheme="minorEastAsia" w:hAnsi="Arial" w:cs="Arial"/>
          <w:b/>
          <w:sz w:val="22"/>
          <w:szCs w:val="22"/>
          <w:lang w:val="en-GB" w:eastAsia="ko-KR"/>
        </w:rPr>
      </w:pPr>
      <w:r>
        <w:rPr>
          <w:rFonts w:ascii="Arial" w:hAnsi="Arial" w:cs="Arial"/>
          <w:b/>
          <w:sz w:val="22"/>
          <w:szCs w:val="22"/>
          <w:lang w:val="en-GB"/>
        </w:rPr>
        <w:t xml:space="preserve">9 </w:t>
      </w:r>
      <w:r w:rsidRPr="00EC6F8D">
        <w:rPr>
          <w:rFonts w:ascii="Arial" w:hAnsi="Arial" w:cs="Arial"/>
          <w:b/>
          <w:sz w:val="22"/>
          <w:szCs w:val="22"/>
          <w:lang w:val="en-GB"/>
        </w:rPr>
        <w:t xml:space="preserve">to </w:t>
      </w:r>
      <w:r>
        <w:rPr>
          <w:rFonts w:ascii="Arial" w:hAnsi="Arial" w:cs="Arial"/>
          <w:b/>
          <w:sz w:val="22"/>
          <w:szCs w:val="22"/>
          <w:lang w:val="en-GB"/>
        </w:rPr>
        <w:t>14 December 201</w:t>
      </w:r>
      <w:r>
        <w:rPr>
          <w:rFonts w:ascii="Arial" w:eastAsia="Malgun Gothic" w:hAnsi="Arial" w:cs="Arial"/>
          <w:b/>
          <w:sz w:val="22"/>
          <w:szCs w:val="22"/>
          <w:lang w:val="en-GB" w:eastAsia="ko-KR"/>
        </w:rPr>
        <w:t>9</w:t>
      </w:r>
    </w:p>
    <w:p w14:paraId="193C2800" w14:textId="77777777"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5D099C" w:rsidRPr="003E3A41">
        <w:rPr>
          <w:rFonts w:ascii="Arial" w:hAnsi="Arial" w:cs="Arial"/>
          <w:b/>
          <w:sz w:val="22"/>
          <w:szCs w:val="22"/>
          <w:u w:val="single"/>
          <w:lang w:val="en-GB"/>
        </w:rPr>
        <w:t>8</w:t>
      </w:r>
      <w:r w:rsidRPr="00293C60">
        <w:rPr>
          <w:rFonts w:ascii="Arial" w:hAnsi="Arial" w:cs="Arial"/>
          <w:b/>
          <w:sz w:val="22"/>
          <w:szCs w:val="22"/>
          <w:u w:val="single"/>
          <w:lang w:val="en-GB"/>
        </w:rPr>
        <w:t xml:space="preserve"> of the Provisional Agenda</w:t>
      </w:r>
      <w:r w:rsidRPr="00293C60">
        <w:rPr>
          <w:rFonts w:ascii="Arial" w:hAnsi="Arial" w:cs="Arial"/>
          <w:b/>
          <w:sz w:val="22"/>
          <w:szCs w:val="22"/>
          <w:lang w:val="en-GB"/>
        </w:rPr>
        <w:t>:</w:t>
      </w:r>
    </w:p>
    <w:p w14:paraId="33D7425F" w14:textId="77777777" w:rsidR="00EC6F8D" w:rsidRPr="001016E7" w:rsidRDefault="001016E7" w:rsidP="00EC6F8D">
      <w:pPr>
        <w:pStyle w:val="Sansinterligne2"/>
        <w:spacing w:after="1200"/>
        <w:jc w:val="center"/>
        <w:rPr>
          <w:rFonts w:ascii="Arial" w:hAnsi="Arial" w:cs="Arial"/>
          <w:b/>
          <w:sz w:val="22"/>
          <w:szCs w:val="22"/>
          <w:lang w:val="en-GB"/>
        </w:rPr>
      </w:pPr>
      <w:r w:rsidRPr="001016E7">
        <w:rPr>
          <w:rFonts w:ascii="Arial" w:hAnsi="Arial" w:cs="Arial"/>
          <w:b/>
          <w:sz w:val="22"/>
          <w:szCs w:val="22"/>
          <w:lang w:val="en-GB"/>
        </w:rPr>
        <w:t>Reform of the periodic reporting mechanism</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F26C9F" w14:paraId="0A075940" w14:textId="77777777" w:rsidTr="00EC6F8D">
        <w:trPr>
          <w:jc w:val="center"/>
        </w:trPr>
        <w:tc>
          <w:tcPr>
            <w:tcW w:w="5670" w:type="dxa"/>
            <w:vAlign w:val="center"/>
          </w:tcPr>
          <w:p w14:paraId="6419FD18" w14:textId="77777777"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540F5F9A" w14:textId="767F9725" w:rsidR="00EC6F8D" w:rsidRPr="00293C60" w:rsidRDefault="00F53D5C" w:rsidP="00CA56BB">
            <w:pPr>
              <w:pStyle w:val="Sansinterligne1"/>
              <w:jc w:val="both"/>
              <w:rPr>
                <w:rFonts w:ascii="Arial" w:hAnsi="Arial" w:cs="Arial"/>
                <w:bCs/>
                <w:sz w:val="22"/>
                <w:szCs w:val="22"/>
                <w:lang w:val="en-GB"/>
              </w:rPr>
            </w:pPr>
            <w:r w:rsidRPr="00F53D5C">
              <w:rPr>
                <w:rFonts w:ascii="Arial" w:hAnsi="Arial" w:cs="Arial"/>
                <w:sz w:val="22"/>
                <w:szCs w:val="22"/>
                <w:lang w:val="en-GB"/>
              </w:rPr>
              <w:t xml:space="preserve">Since 2017, </w:t>
            </w:r>
            <w:r w:rsidR="00056754">
              <w:rPr>
                <w:rFonts w:ascii="Arial" w:hAnsi="Arial" w:cs="Arial"/>
                <w:sz w:val="22"/>
                <w:szCs w:val="22"/>
                <w:lang w:val="en-GB"/>
              </w:rPr>
              <w:t xml:space="preserve">a major reform of </w:t>
            </w:r>
            <w:r w:rsidRPr="00F53D5C">
              <w:rPr>
                <w:rFonts w:ascii="Arial" w:hAnsi="Arial" w:cs="Arial"/>
                <w:sz w:val="22"/>
                <w:szCs w:val="22"/>
                <w:lang w:val="en-GB"/>
              </w:rPr>
              <w:t>t</w:t>
            </w:r>
            <w:r w:rsidR="00316D2F" w:rsidRPr="00F53D5C">
              <w:rPr>
                <w:rFonts w:ascii="Arial" w:hAnsi="Arial" w:cs="Arial"/>
                <w:sz w:val="22"/>
                <w:szCs w:val="22"/>
                <w:lang w:val="en-GB"/>
              </w:rPr>
              <w:t>he periodic reporting mechanism</w:t>
            </w:r>
            <w:r w:rsidRPr="00F53D5C">
              <w:rPr>
                <w:rFonts w:ascii="Arial" w:hAnsi="Arial" w:cs="Arial"/>
                <w:sz w:val="22"/>
                <w:szCs w:val="22"/>
                <w:lang w:val="en-GB"/>
              </w:rPr>
              <w:t xml:space="preserve"> </w:t>
            </w:r>
            <w:r w:rsidR="008B73BF">
              <w:rPr>
                <w:rFonts w:ascii="Arial" w:hAnsi="Arial" w:cs="Arial"/>
                <w:sz w:val="22"/>
                <w:szCs w:val="22"/>
                <w:lang w:val="en-GB"/>
              </w:rPr>
              <w:t xml:space="preserve">has been </w:t>
            </w:r>
            <w:r w:rsidR="00056754">
              <w:rPr>
                <w:rFonts w:ascii="Arial" w:hAnsi="Arial" w:cs="Arial"/>
                <w:sz w:val="22"/>
                <w:szCs w:val="22"/>
                <w:lang w:val="en-GB"/>
              </w:rPr>
              <w:t>underway</w:t>
            </w:r>
            <w:r w:rsidR="00316D2F" w:rsidRPr="00F53D5C">
              <w:rPr>
                <w:rFonts w:ascii="Arial" w:hAnsi="Arial" w:cs="Arial"/>
                <w:sz w:val="22"/>
                <w:szCs w:val="22"/>
                <w:lang w:val="en-GB"/>
              </w:rPr>
              <w:t xml:space="preserve"> to enhance its quality</w:t>
            </w:r>
            <w:r w:rsidR="00123E05">
              <w:rPr>
                <w:rFonts w:ascii="Arial" w:hAnsi="Arial" w:cs="Arial"/>
                <w:sz w:val="22"/>
                <w:szCs w:val="22"/>
                <w:lang w:val="en-GB"/>
              </w:rPr>
              <w:t xml:space="preserve">, align </w:t>
            </w:r>
            <w:r w:rsidR="008B73BF">
              <w:rPr>
                <w:rFonts w:ascii="Arial" w:hAnsi="Arial" w:cs="Arial"/>
                <w:sz w:val="22"/>
                <w:szCs w:val="22"/>
                <w:lang w:val="en-GB"/>
              </w:rPr>
              <w:t>it</w:t>
            </w:r>
            <w:r w:rsidR="00123E05">
              <w:rPr>
                <w:rFonts w:ascii="Arial" w:hAnsi="Arial" w:cs="Arial"/>
                <w:sz w:val="22"/>
                <w:szCs w:val="22"/>
                <w:lang w:val="en-GB"/>
              </w:rPr>
              <w:t xml:space="preserve"> to the overall results framework for the 2003</w:t>
            </w:r>
            <w:r w:rsidR="00F84EF3">
              <w:rPr>
                <w:rFonts w:ascii="Arial" w:hAnsi="Arial" w:cs="Arial"/>
                <w:sz w:val="22"/>
                <w:szCs w:val="22"/>
                <w:lang w:val="en-GB"/>
              </w:rPr>
              <w:t> </w:t>
            </w:r>
            <w:r w:rsidR="00123E05">
              <w:rPr>
                <w:rFonts w:ascii="Arial" w:hAnsi="Arial" w:cs="Arial"/>
                <w:sz w:val="22"/>
                <w:szCs w:val="22"/>
                <w:lang w:val="en-GB"/>
              </w:rPr>
              <w:t>Convention</w:t>
            </w:r>
            <w:r w:rsidRPr="00F53D5C">
              <w:rPr>
                <w:rFonts w:ascii="Arial" w:hAnsi="Arial" w:cs="Arial"/>
                <w:sz w:val="22"/>
                <w:szCs w:val="22"/>
                <w:lang w:val="en-GB"/>
              </w:rPr>
              <w:t xml:space="preserve"> and </w:t>
            </w:r>
            <w:r w:rsidR="00123E05">
              <w:rPr>
                <w:rFonts w:ascii="Arial" w:hAnsi="Arial" w:cs="Arial"/>
                <w:sz w:val="22"/>
                <w:szCs w:val="22"/>
                <w:lang w:val="en-GB"/>
              </w:rPr>
              <w:t xml:space="preserve">improve </w:t>
            </w:r>
            <w:r w:rsidR="00487D96">
              <w:rPr>
                <w:rFonts w:ascii="Arial" w:hAnsi="Arial" w:cs="Arial"/>
                <w:sz w:val="22"/>
                <w:szCs w:val="22"/>
                <w:lang w:val="en-GB"/>
              </w:rPr>
              <w:t xml:space="preserve">the </w:t>
            </w:r>
            <w:r w:rsidR="00123E05">
              <w:rPr>
                <w:rFonts w:ascii="Arial" w:hAnsi="Arial" w:cs="Arial"/>
                <w:sz w:val="22"/>
                <w:szCs w:val="22"/>
                <w:lang w:val="en-GB"/>
              </w:rPr>
              <w:t xml:space="preserve">effectiveness of monitoring </w:t>
            </w:r>
            <w:r w:rsidRPr="00F53D5C">
              <w:rPr>
                <w:rFonts w:ascii="Arial" w:hAnsi="Arial" w:cs="Arial"/>
                <w:sz w:val="22"/>
                <w:szCs w:val="22"/>
                <w:lang w:val="en-GB"/>
              </w:rPr>
              <w:t xml:space="preserve">the implementation of the Convention. </w:t>
            </w:r>
            <w:r w:rsidR="00316D2F" w:rsidRPr="00F53D5C">
              <w:rPr>
                <w:rFonts w:ascii="Arial" w:hAnsi="Arial" w:cs="Arial"/>
                <w:sz w:val="22"/>
                <w:szCs w:val="22"/>
                <w:lang w:val="en-GB"/>
              </w:rPr>
              <w:t xml:space="preserve">The present document provides </w:t>
            </w:r>
            <w:r w:rsidRPr="00F53D5C">
              <w:rPr>
                <w:rFonts w:ascii="Arial" w:hAnsi="Arial" w:cs="Arial"/>
                <w:sz w:val="22"/>
                <w:szCs w:val="22"/>
                <w:lang w:val="en-GB"/>
              </w:rPr>
              <w:t xml:space="preserve">the latest </w:t>
            </w:r>
            <w:r w:rsidR="00316D2F" w:rsidRPr="00F53D5C">
              <w:rPr>
                <w:rFonts w:ascii="Arial" w:hAnsi="Arial" w:cs="Arial"/>
                <w:sz w:val="22"/>
                <w:szCs w:val="22"/>
                <w:lang w:val="en-GB"/>
              </w:rPr>
              <w:t>update</w:t>
            </w:r>
            <w:r w:rsidRPr="00F53D5C">
              <w:rPr>
                <w:rFonts w:ascii="Arial" w:hAnsi="Arial" w:cs="Arial"/>
                <w:sz w:val="22"/>
                <w:szCs w:val="22"/>
                <w:lang w:val="en-GB"/>
              </w:rPr>
              <w:t>s</w:t>
            </w:r>
            <w:r w:rsidR="00316D2F" w:rsidRPr="00F53D5C">
              <w:rPr>
                <w:rFonts w:ascii="Arial" w:hAnsi="Arial" w:cs="Arial"/>
                <w:sz w:val="22"/>
                <w:szCs w:val="22"/>
                <w:lang w:val="en-GB"/>
              </w:rPr>
              <w:t xml:space="preserve"> on </w:t>
            </w:r>
            <w:r w:rsidR="00316D2F" w:rsidRPr="00F53D5C">
              <w:rPr>
                <w:rFonts w:ascii="Arial" w:hAnsi="Arial" w:cs="Arial"/>
                <w:sz w:val="22"/>
                <w:szCs w:val="22"/>
                <w:lang w:val="en-US"/>
              </w:rPr>
              <w:t>the reform, in particular on</w:t>
            </w:r>
            <w:r w:rsidR="00316D2F" w:rsidRPr="00F53D5C" w:rsidDel="009E6093">
              <w:rPr>
                <w:rFonts w:ascii="Arial" w:hAnsi="Arial" w:cs="Arial"/>
                <w:sz w:val="22"/>
                <w:szCs w:val="22"/>
                <w:lang w:val="en-GB"/>
              </w:rPr>
              <w:t xml:space="preserve"> </w:t>
            </w:r>
            <w:r w:rsidR="00316D2F" w:rsidRPr="00F53D5C">
              <w:rPr>
                <w:rFonts w:ascii="Arial" w:hAnsi="Arial" w:cs="Arial"/>
                <w:sz w:val="22"/>
                <w:szCs w:val="22"/>
                <w:lang w:val="en-GB"/>
              </w:rPr>
              <w:t xml:space="preserve">the transition period that </w:t>
            </w:r>
            <w:r w:rsidRPr="00F53D5C">
              <w:rPr>
                <w:rFonts w:ascii="Arial" w:hAnsi="Arial" w:cs="Arial"/>
                <w:sz w:val="22"/>
                <w:szCs w:val="22"/>
                <w:lang w:val="en-GB"/>
              </w:rPr>
              <w:t xml:space="preserve">is </w:t>
            </w:r>
            <w:r w:rsidR="008B73BF">
              <w:rPr>
                <w:rFonts w:ascii="Arial" w:hAnsi="Arial" w:cs="Arial"/>
                <w:sz w:val="22"/>
                <w:szCs w:val="22"/>
                <w:lang w:val="en-GB"/>
              </w:rPr>
              <w:t xml:space="preserve">nearing completion, in view of the </w:t>
            </w:r>
            <w:r w:rsidRPr="00F53D5C">
              <w:rPr>
                <w:rFonts w:ascii="Arial" w:hAnsi="Arial" w:cs="Arial"/>
                <w:sz w:val="22"/>
                <w:szCs w:val="22"/>
                <w:lang w:val="en-GB"/>
              </w:rPr>
              <w:t xml:space="preserve">first </w:t>
            </w:r>
            <w:r w:rsidR="00316D2F" w:rsidRPr="00F53D5C">
              <w:rPr>
                <w:rFonts w:ascii="Arial" w:hAnsi="Arial" w:cs="Arial"/>
                <w:sz w:val="22"/>
                <w:szCs w:val="22"/>
                <w:lang w:val="en-GB"/>
              </w:rPr>
              <w:t xml:space="preserve">regional </w:t>
            </w:r>
            <w:r w:rsidR="00056754">
              <w:rPr>
                <w:rFonts w:ascii="Arial" w:hAnsi="Arial" w:cs="Arial"/>
                <w:sz w:val="22"/>
                <w:szCs w:val="22"/>
                <w:lang w:val="en-GB"/>
              </w:rPr>
              <w:t xml:space="preserve">reporting </w:t>
            </w:r>
            <w:r w:rsidR="00316D2F" w:rsidRPr="00F53D5C">
              <w:rPr>
                <w:rFonts w:ascii="Arial" w:hAnsi="Arial" w:cs="Arial"/>
                <w:sz w:val="22"/>
                <w:szCs w:val="22"/>
                <w:lang w:val="en-GB"/>
              </w:rPr>
              <w:t>cycle</w:t>
            </w:r>
            <w:r w:rsidR="00056754">
              <w:rPr>
                <w:rFonts w:ascii="Arial" w:hAnsi="Arial" w:cs="Arial"/>
                <w:sz w:val="22"/>
                <w:szCs w:val="22"/>
                <w:lang w:val="en-GB"/>
              </w:rPr>
              <w:t>,</w:t>
            </w:r>
            <w:r w:rsidR="00316D2F" w:rsidRPr="00F53D5C">
              <w:rPr>
                <w:rFonts w:ascii="Arial" w:hAnsi="Arial" w:cs="Arial"/>
                <w:sz w:val="22"/>
                <w:szCs w:val="22"/>
                <w:lang w:val="en-GB"/>
              </w:rPr>
              <w:t xml:space="preserve"> </w:t>
            </w:r>
            <w:r w:rsidR="00123E05">
              <w:rPr>
                <w:rFonts w:ascii="Arial" w:hAnsi="Arial" w:cs="Arial"/>
                <w:sz w:val="22"/>
                <w:szCs w:val="22"/>
                <w:lang w:val="en-GB"/>
              </w:rPr>
              <w:t xml:space="preserve">which </w:t>
            </w:r>
            <w:r w:rsidR="00056754">
              <w:rPr>
                <w:rFonts w:ascii="Arial" w:hAnsi="Arial" w:cs="Arial"/>
                <w:sz w:val="22"/>
                <w:szCs w:val="22"/>
                <w:lang w:val="en-GB"/>
              </w:rPr>
              <w:t xml:space="preserve">will </w:t>
            </w:r>
            <w:r w:rsidR="00D10C89">
              <w:rPr>
                <w:rFonts w:ascii="Arial" w:hAnsi="Arial" w:cs="Arial"/>
                <w:sz w:val="22"/>
                <w:szCs w:val="22"/>
                <w:lang w:val="en-GB"/>
              </w:rPr>
              <w:t>take place</w:t>
            </w:r>
            <w:r w:rsidRPr="00F53D5C">
              <w:rPr>
                <w:rFonts w:ascii="Arial" w:hAnsi="Arial" w:cs="Arial"/>
                <w:sz w:val="22"/>
                <w:szCs w:val="22"/>
                <w:lang w:val="en-GB"/>
              </w:rPr>
              <w:t xml:space="preserve"> in 2020</w:t>
            </w:r>
            <w:r w:rsidR="00123E05">
              <w:rPr>
                <w:rFonts w:ascii="Arial" w:hAnsi="Arial" w:cs="Arial"/>
                <w:sz w:val="22"/>
                <w:szCs w:val="22"/>
                <w:lang w:val="en-GB"/>
              </w:rPr>
              <w:t xml:space="preserve"> in Latin America and the Caribbean</w:t>
            </w:r>
            <w:r w:rsidR="00316D2F" w:rsidRPr="00F53D5C">
              <w:rPr>
                <w:rFonts w:ascii="Arial" w:hAnsi="Arial" w:cs="Arial"/>
                <w:sz w:val="22"/>
                <w:szCs w:val="22"/>
                <w:lang w:val="en-GB"/>
              </w:rPr>
              <w:t>.</w:t>
            </w:r>
          </w:p>
          <w:p w14:paraId="6CD387A3" w14:textId="77777777" w:rsidR="00EC6F8D" w:rsidRPr="00293C60" w:rsidRDefault="00EC6F8D" w:rsidP="00F53D5C">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 xml:space="preserve">paragraph </w:t>
            </w:r>
            <w:r w:rsidR="00F53D5C" w:rsidRPr="00A420D4">
              <w:rPr>
                <w:rFonts w:ascii="Arial" w:hAnsi="Arial" w:cs="Arial"/>
                <w:bCs/>
                <w:sz w:val="22"/>
                <w:szCs w:val="22"/>
                <w:lang w:val="en-GB"/>
              </w:rPr>
              <w:t>12</w:t>
            </w:r>
          </w:p>
        </w:tc>
      </w:tr>
    </w:tbl>
    <w:p w14:paraId="56F7A86B" w14:textId="77777777" w:rsidR="001016E7" w:rsidRDefault="00655736" w:rsidP="007525C0">
      <w:pPr>
        <w:pStyle w:val="COMPara"/>
        <w:jc w:val="both"/>
      </w:pPr>
      <w:r w:rsidRPr="00414643">
        <w:br w:type="page"/>
      </w:r>
    </w:p>
    <w:p w14:paraId="7604E53D" w14:textId="5791727B" w:rsidR="008829EB" w:rsidRPr="0092668E" w:rsidRDefault="008829EB" w:rsidP="0092668E">
      <w:pPr>
        <w:pStyle w:val="COMPara"/>
        <w:keepNext/>
        <w:numPr>
          <w:ilvl w:val="4"/>
          <w:numId w:val="13"/>
        </w:numPr>
        <w:spacing w:before="240"/>
        <w:ind w:left="567" w:hanging="567"/>
        <w:jc w:val="both"/>
        <w:rPr>
          <w:b/>
        </w:rPr>
      </w:pPr>
      <w:r w:rsidRPr="0092668E">
        <w:rPr>
          <w:b/>
        </w:rPr>
        <w:lastRenderedPageBreak/>
        <w:t>Background</w:t>
      </w:r>
    </w:p>
    <w:p w14:paraId="0F0DF22C" w14:textId="3401414C" w:rsidR="000A7002" w:rsidRDefault="00F26C9F" w:rsidP="002266C6">
      <w:pPr>
        <w:pStyle w:val="COMPara"/>
        <w:numPr>
          <w:ilvl w:val="0"/>
          <w:numId w:val="39"/>
        </w:numPr>
        <w:ind w:left="567" w:hanging="567"/>
        <w:jc w:val="both"/>
      </w:pPr>
      <w:r>
        <w:t>At its twelfth session</w:t>
      </w:r>
      <w:r w:rsidR="006C6C8F">
        <w:t xml:space="preserve"> in </w:t>
      </w:r>
      <w:r w:rsidR="00212429">
        <w:t>December </w:t>
      </w:r>
      <w:r w:rsidR="006C6C8F">
        <w:t>2017</w:t>
      </w:r>
      <w:r>
        <w:t xml:space="preserve">, the Committee decided </w:t>
      </w:r>
      <w:r w:rsidRPr="00F26C9F">
        <w:t xml:space="preserve">to reform the periodic reporting </w:t>
      </w:r>
      <w:r w:rsidR="008829EB">
        <w:t>mechanism</w:t>
      </w:r>
      <w:r w:rsidR="008829EB" w:rsidRPr="00F26C9F">
        <w:t xml:space="preserve"> </w:t>
      </w:r>
      <w:r w:rsidRPr="00F26C9F">
        <w:t>with the aim of enhancing its quality, usefulness and timeliness</w:t>
      </w:r>
      <w:r w:rsidR="002266C6">
        <w:t>, as well as to address the low submission rate experienced in the first reporting cycles</w:t>
      </w:r>
      <w:r w:rsidR="008829EB">
        <w:t xml:space="preserve">. The reform was also </w:t>
      </w:r>
      <w:r w:rsidR="00056754">
        <w:t>intended</w:t>
      </w:r>
      <w:r w:rsidR="008829EB">
        <w:t xml:space="preserve"> to ensure</w:t>
      </w:r>
      <w:r w:rsidRPr="00F26C9F">
        <w:t xml:space="preserve"> that </w:t>
      </w:r>
      <w:r w:rsidR="008829EB">
        <w:t>the process</w:t>
      </w:r>
      <w:r w:rsidRPr="00F26C9F">
        <w:t xml:space="preserve"> </w:t>
      </w:r>
      <w:r w:rsidR="00D10C89">
        <w:t>was</w:t>
      </w:r>
      <w:r w:rsidRPr="00F26C9F">
        <w:t xml:space="preserve"> clearly </w:t>
      </w:r>
      <w:r w:rsidR="00056754">
        <w:t>aligned</w:t>
      </w:r>
      <w:r w:rsidRPr="00F26C9F">
        <w:t xml:space="preserve"> with the overarching goals of implementing the 2003 Convention and </w:t>
      </w:r>
      <w:r w:rsidR="008A6BFC">
        <w:t xml:space="preserve">to </w:t>
      </w:r>
      <w:r w:rsidRPr="00F26C9F">
        <w:t>allow for more effective monitoring with a view to achieving these goals</w:t>
      </w:r>
      <w:r>
        <w:t xml:space="preserve"> </w:t>
      </w:r>
      <w:r w:rsidRPr="00605129">
        <w:t>(</w:t>
      </w:r>
      <w:hyperlink r:id="rId8" w:history="1">
        <w:r w:rsidRPr="006715C3">
          <w:rPr>
            <w:rStyle w:val="Hyperlink"/>
          </w:rPr>
          <w:t>Decision </w:t>
        </w:r>
        <w:r w:rsidRPr="00B35C65">
          <w:rPr>
            <w:rStyle w:val="Hyperlink"/>
          </w:rPr>
          <w:t>12.COM 10</w:t>
        </w:r>
      </w:hyperlink>
      <w:r w:rsidRPr="00605129">
        <w:t>)</w:t>
      </w:r>
      <w:r>
        <w:t xml:space="preserve">. On that same occasion, </w:t>
      </w:r>
      <w:r w:rsidR="008829EB">
        <w:t>the Committee</w:t>
      </w:r>
      <w:r>
        <w:t xml:space="preserve"> also decided </w:t>
      </w:r>
      <w:r w:rsidRPr="00F26C9F">
        <w:t>to amend the periodicity of the submission of reports</w:t>
      </w:r>
      <w:r w:rsidRPr="002266C6">
        <w:rPr>
          <w:lang w:val="en-US"/>
        </w:rPr>
        <w:t xml:space="preserve"> on the implementation of the Convention</w:t>
      </w:r>
      <w:r w:rsidRPr="00F26C9F">
        <w:t xml:space="preserve"> under Article 29</w:t>
      </w:r>
      <w:r w:rsidR="008A6BFC">
        <w:t>, s</w:t>
      </w:r>
      <w:r w:rsidR="00D10C89">
        <w:t>uch</w:t>
      </w:r>
      <w:r w:rsidR="008A6BFC">
        <w:t xml:space="preserve"> that </w:t>
      </w:r>
      <w:r w:rsidRPr="00F26C9F">
        <w:t xml:space="preserve">States Parties </w:t>
      </w:r>
      <w:r w:rsidR="008A6BFC">
        <w:t>would</w:t>
      </w:r>
      <w:r w:rsidR="008A6BFC" w:rsidRPr="00F26C9F">
        <w:t xml:space="preserve"> </w:t>
      </w:r>
      <w:r w:rsidRPr="00F26C9F">
        <w:t xml:space="preserve">submit </w:t>
      </w:r>
      <w:r>
        <w:t>the</w:t>
      </w:r>
      <w:r w:rsidR="008A6BFC">
        <w:t>ir reports</w:t>
      </w:r>
      <w:r>
        <w:t xml:space="preserve"> </w:t>
      </w:r>
      <w:r w:rsidRPr="00F26C9F">
        <w:t xml:space="preserve">every six years on the basis of a </w:t>
      </w:r>
      <w:r w:rsidR="00056754">
        <w:t xml:space="preserve">system of </w:t>
      </w:r>
      <w:r w:rsidRPr="00F26C9F">
        <w:t>regional rotation</w:t>
      </w:r>
      <w:r w:rsidRPr="00475044">
        <w:t>.</w:t>
      </w:r>
      <w:r w:rsidR="003A7B78" w:rsidRPr="0092668E">
        <w:t xml:space="preserve"> </w:t>
      </w:r>
      <w:r w:rsidR="00056754">
        <w:t>T</w:t>
      </w:r>
      <w:r w:rsidR="003A7B78" w:rsidRPr="0092668E">
        <w:t xml:space="preserve">o facilitate the reform, the Committee took </w:t>
      </w:r>
      <w:r w:rsidR="008A6BFC">
        <w:t>the</w:t>
      </w:r>
      <w:r w:rsidR="003A7B78" w:rsidRPr="0092668E">
        <w:t xml:space="preserve"> decision to</w:t>
      </w:r>
      <w:r w:rsidR="00272420" w:rsidRPr="0092668E">
        <w:t xml:space="preserve"> examine </w:t>
      </w:r>
      <w:r w:rsidR="003A7B78" w:rsidRPr="0092668E">
        <w:t xml:space="preserve">periodic reports on the implementation of the Convention and on elements inscribed on the Representative List </w:t>
      </w:r>
      <w:r w:rsidR="00056754">
        <w:t xml:space="preserve">of the Intangible Cultural Heritage of Humanity </w:t>
      </w:r>
      <w:r w:rsidR="00272420" w:rsidRPr="0092668E">
        <w:t xml:space="preserve">submitted by the deadline of 15 December 2017 as the </w:t>
      </w:r>
      <w:r w:rsidR="00344279" w:rsidRPr="00475044">
        <w:t>last batch under the original system</w:t>
      </w:r>
      <w:r w:rsidR="0092668E">
        <w:t>.</w:t>
      </w:r>
      <w:r w:rsidR="00344279" w:rsidRPr="00475044">
        <w:t xml:space="preserve"> </w:t>
      </w:r>
      <w:r w:rsidR="0092668E">
        <w:t>T</w:t>
      </w:r>
      <w:r w:rsidR="00344279" w:rsidRPr="00475044">
        <w:t xml:space="preserve">he Committee also </w:t>
      </w:r>
      <w:r w:rsidR="008A6BFC">
        <w:t>indicated</w:t>
      </w:r>
      <w:r w:rsidR="00344279" w:rsidRPr="00475044">
        <w:t xml:space="preserve"> that the reformed mechanism would resume with the submission of reports from the first region by 15 December 2020</w:t>
      </w:r>
      <w:r w:rsidR="00D10C89">
        <w:t>,</w:t>
      </w:r>
      <w:r w:rsidR="00344279" w:rsidRPr="00475044">
        <w:t xml:space="preserve"> for examination by the Committee at its sixteenth session in 2021.</w:t>
      </w:r>
    </w:p>
    <w:p w14:paraId="40F0273D" w14:textId="60CF62CB" w:rsidR="00F26C9F" w:rsidRDefault="00056754" w:rsidP="000A7002">
      <w:pPr>
        <w:pStyle w:val="COMPara"/>
        <w:ind w:left="567" w:hanging="567"/>
        <w:jc w:val="both"/>
      </w:pPr>
      <w:r>
        <w:t>At its seventh session in June 2018, t</w:t>
      </w:r>
      <w:r w:rsidR="006C6C8F" w:rsidRPr="001370A6">
        <w:t xml:space="preserve">he </w:t>
      </w:r>
      <w:r w:rsidR="006C6C8F" w:rsidRPr="00D06781">
        <w:t>General Assembly</w:t>
      </w:r>
      <w:r w:rsidR="008829EB" w:rsidRPr="003A7B78">
        <w:t xml:space="preserve"> made </w:t>
      </w:r>
      <w:r w:rsidR="004166F6">
        <w:t xml:space="preserve">some </w:t>
      </w:r>
      <w:r w:rsidR="008829EB" w:rsidRPr="003A7B78">
        <w:t xml:space="preserve">important decisions </w:t>
      </w:r>
      <w:r w:rsidR="004166F6">
        <w:t>regarding</w:t>
      </w:r>
      <w:r w:rsidR="008829EB" w:rsidRPr="003A7B78">
        <w:t xml:space="preserve"> th</w:t>
      </w:r>
      <w:r w:rsidR="008A6BFC">
        <w:t>is</w:t>
      </w:r>
      <w:r w:rsidR="008829EB" w:rsidRPr="003A7B78">
        <w:t xml:space="preserve"> reform</w:t>
      </w:r>
      <w:r w:rsidR="006C6C8F" w:rsidRPr="003A7B78">
        <w:t xml:space="preserve">. On </w:t>
      </w:r>
      <w:r w:rsidR="004166F6">
        <w:t xml:space="preserve">the </w:t>
      </w:r>
      <w:r w:rsidR="006C6C8F" w:rsidRPr="003A7B78">
        <w:t xml:space="preserve">one hand, </w:t>
      </w:r>
      <w:r w:rsidR="008829EB" w:rsidRPr="003A7B78">
        <w:t>it</w:t>
      </w:r>
      <w:r w:rsidR="006C6C8F" w:rsidRPr="003A7B78">
        <w:t xml:space="preserve"> approved the overall results framework for the 2003 Convention (</w:t>
      </w:r>
      <w:hyperlink r:id="rId9" w:history="1">
        <w:r w:rsidR="006C6C8F" w:rsidRPr="001370A6">
          <w:rPr>
            <w:rStyle w:val="Hyperlink"/>
          </w:rPr>
          <w:t>Resolution 7.GA</w:t>
        </w:r>
        <w:r w:rsidR="006C6C8F" w:rsidRPr="00D06781">
          <w:rPr>
            <w:rStyle w:val="Hyperlink"/>
          </w:rPr>
          <w:t> 9</w:t>
        </w:r>
      </w:hyperlink>
      <w:r w:rsidR="006C6C8F" w:rsidRPr="001370A6">
        <w:t xml:space="preserve">) and requested </w:t>
      </w:r>
      <w:r w:rsidR="004166F6">
        <w:t xml:space="preserve">that </w:t>
      </w:r>
      <w:r w:rsidR="006C6C8F" w:rsidRPr="001370A6">
        <w:t xml:space="preserve">the Secretariat revise </w:t>
      </w:r>
      <w:r w:rsidR="00943084" w:rsidRPr="001370A6">
        <w:t>p</w:t>
      </w:r>
      <w:r w:rsidR="006C6C8F" w:rsidRPr="001370A6">
        <w:t xml:space="preserve">eriodic </w:t>
      </w:r>
      <w:r w:rsidR="00943084" w:rsidRPr="003A7B78">
        <w:t>r</w:t>
      </w:r>
      <w:r w:rsidR="006C6C8F" w:rsidRPr="003A7B78">
        <w:t xml:space="preserve">eporting Form ICH-10 in order to align it to the framework. On the other hand, it adopted some amendments to the Operational Directives on periodic reporting, </w:t>
      </w:r>
      <w:r w:rsidR="006C6C8F" w:rsidRPr="003A7B78">
        <w:rPr>
          <w:lang w:val="en-US"/>
        </w:rPr>
        <w:t xml:space="preserve">endorsing </w:t>
      </w:r>
      <w:r w:rsidR="006B5E9B" w:rsidRPr="003A7B78">
        <w:rPr>
          <w:lang w:val="en-US"/>
        </w:rPr>
        <w:t xml:space="preserve">the Committee’s </w:t>
      </w:r>
      <w:r w:rsidR="006C6C8F" w:rsidRPr="003A7B78">
        <w:rPr>
          <w:lang w:val="en-US"/>
        </w:rPr>
        <w:t xml:space="preserve">decision to move towards a regional cycle of reporting </w:t>
      </w:r>
      <w:r w:rsidR="006C6C8F" w:rsidRPr="003A7B78">
        <w:t>(</w:t>
      </w:r>
      <w:hyperlink r:id="rId10" w:history="1">
        <w:r w:rsidR="006C6C8F" w:rsidRPr="001370A6">
          <w:rPr>
            <w:rStyle w:val="Hyperlink"/>
          </w:rPr>
          <w:t>Resolution 7.GA</w:t>
        </w:r>
        <w:r w:rsidR="006C6C8F" w:rsidRPr="00D06781">
          <w:rPr>
            <w:rStyle w:val="Hyperlink"/>
          </w:rPr>
          <w:t> 10</w:t>
        </w:r>
      </w:hyperlink>
      <w:r w:rsidR="006C6C8F" w:rsidRPr="001370A6">
        <w:t>)</w:t>
      </w:r>
      <w:r w:rsidR="006C6C8F" w:rsidRPr="001370A6">
        <w:rPr>
          <w:lang w:val="en-US"/>
        </w:rPr>
        <w:t>.</w:t>
      </w:r>
      <w:r w:rsidR="003A7B78" w:rsidRPr="001370A6">
        <w:t xml:space="preserve"> </w:t>
      </w:r>
      <w:r w:rsidR="006B5E9B">
        <w:t xml:space="preserve">The General Assembly also </w:t>
      </w:r>
      <w:r w:rsidR="004166F6">
        <w:t xml:space="preserve">provided the Secretariat with </w:t>
      </w:r>
      <w:r w:rsidR="006B5E9B">
        <w:t xml:space="preserve">detailed guidance on how to </w:t>
      </w:r>
      <w:r w:rsidR="00212429">
        <w:t xml:space="preserve">continue </w:t>
      </w:r>
      <w:r w:rsidR="004166F6">
        <w:t xml:space="preserve">with </w:t>
      </w:r>
      <w:r w:rsidR="00212429">
        <w:t xml:space="preserve">the </w:t>
      </w:r>
      <w:r w:rsidR="006B5E9B">
        <w:t xml:space="preserve">reform </w:t>
      </w:r>
      <w:r w:rsidR="00212429">
        <w:t xml:space="preserve">of </w:t>
      </w:r>
      <w:r w:rsidR="006B5E9B">
        <w:t xml:space="preserve">the periodic reporting mechanism under the 2003 Convention. </w:t>
      </w:r>
      <w:r w:rsidR="004166F6">
        <w:t>E</w:t>
      </w:r>
      <w:r w:rsidR="006B5E9B">
        <w:t xml:space="preserve">fforts </w:t>
      </w:r>
      <w:r w:rsidR="004166F6">
        <w:t xml:space="preserve">needed </w:t>
      </w:r>
      <w:r w:rsidR="006B5E9B">
        <w:t>to</w:t>
      </w:r>
      <w:r w:rsidR="008A6BFC">
        <w:t xml:space="preserve"> be</w:t>
      </w:r>
      <w:r w:rsidR="006B5E9B">
        <w:t xml:space="preserve"> focus</w:t>
      </w:r>
      <w:r w:rsidR="008A6BFC">
        <w:t>ed</w:t>
      </w:r>
      <w:r w:rsidR="006B5E9B">
        <w:t xml:space="preserve"> on the revision of F</w:t>
      </w:r>
      <w:r w:rsidR="006B5E9B" w:rsidRPr="002F1E28">
        <w:t xml:space="preserve">orm </w:t>
      </w:r>
      <w:r w:rsidR="006B5E9B">
        <w:t xml:space="preserve">ICH-10, the </w:t>
      </w:r>
      <w:r w:rsidR="00D10C89">
        <w:t xml:space="preserve">preparation </w:t>
      </w:r>
      <w:r w:rsidR="006B5E9B">
        <w:t xml:space="preserve">of </w:t>
      </w:r>
      <w:r w:rsidR="006B5E9B" w:rsidRPr="00C748F5">
        <w:t>guidance note</w:t>
      </w:r>
      <w:r w:rsidR="006B5E9B">
        <w:t>s</w:t>
      </w:r>
      <w:r w:rsidR="006B5E9B" w:rsidRPr="00C748F5">
        <w:t xml:space="preserve"> for each of the core indicators</w:t>
      </w:r>
      <w:r w:rsidR="006B5E9B">
        <w:t xml:space="preserve"> included in the overall results framework and the </w:t>
      </w:r>
      <w:r w:rsidR="006B5E9B" w:rsidRPr="00C748F5">
        <w:t>develop</w:t>
      </w:r>
      <w:r w:rsidR="006B5E9B">
        <w:t>ment of a comprehensive capacity-building approach.</w:t>
      </w:r>
    </w:p>
    <w:p w14:paraId="1745E01E" w14:textId="313EF0C2" w:rsidR="006B5E9B" w:rsidRPr="008A6BFC" w:rsidRDefault="00212429" w:rsidP="00BB0597">
      <w:pPr>
        <w:pStyle w:val="COMPara"/>
        <w:ind w:left="567" w:hanging="567"/>
        <w:jc w:val="both"/>
      </w:pPr>
      <w:r>
        <w:t>D</w:t>
      </w:r>
      <w:r w:rsidR="00BB0597">
        <w:t>uring its thirteenth session</w:t>
      </w:r>
      <w:r>
        <w:t xml:space="preserve"> in November 2018</w:t>
      </w:r>
      <w:r w:rsidR="00BB0597">
        <w:t xml:space="preserve">, the Committee </w:t>
      </w:r>
      <w:r w:rsidR="00AF33F2">
        <w:t xml:space="preserve">welcomed </w:t>
      </w:r>
      <w:r w:rsidR="00943084">
        <w:t xml:space="preserve">the progress made </w:t>
      </w:r>
      <w:r w:rsidR="004166F6">
        <w:t xml:space="preserve">with </w:t>
      </w:r>
      <w:r>
        <w:t xml:space="preserve">the reform </w:t>
      </w:r>
      <w:r w:rsidR="00CD139E">
        <w:t>(</w:t>
      </w:r>
      <w:hyperlink r:id="rId11" w:history="1">
        <w:r w:rsidR="00CD139E" w:rsidRPr="00CD139E">
          <w:rPr>
            <w:rStyle w:val="Hyperlink"/>
          </w:rPr>
          <w:t>document 13.COM 8</w:t>
        </w:r>
      </w:hyperlink>
      <w:r w:rsidR="00CD139E">
        <w:t>)</w:t>
      </w:r>
      <w:r w:rsidR="00AF33F2">
        <w:t xml:space="preserve"> and</w:t>
      </w:r>
      <w:r w:rsidR="00943084">
        <w:t xml:space="preserve"> requested </w:t>
      </w:r>
      <w:r w:rsidR="004166F6">
        <w:t xml:space="preserve">that </w:t>
      </w:r>
      <w:r w:rsidR="00943084">
        <w:t xml:space="preserve">the Secretariat provide an update on </w:t>
      </w:r>
      <w:r>
        <w:t xml:space="preserve">its </w:t>
      </w:r>
      <w:r w:rsidR="00943084">
        <w:t>status at its current session (</w:t>
      </w:r>
      <w:hyperlink r:id="rId12" w:history="1">
        <w:r w:rsidR="00943084" w:rsidRPr="00943084">
          <w:rPr>
            <w:rStyle w:val="Hyperlink"/>
          </w:rPr>
          <w:t>Decision 13.COM 8</w:t>
        </w:r>
      </w:hyperlink>
      <w:r w:rsidR="00943084">
        <w:t xml:space="preserve">). At the same </w:t>
      </w:r>
      <w:r w:rsidR="00AF33F2">
        <w:t>time</w:t>
      </w:r>
      <w:r w:rsidR="00943084">
        <w:t xml:space="preserve">, the Committee </w:t>
      </w:r>
      <w:r w:rsidR="00BB0597">
        <w:t>took</w:t>
      </w:r>
      <w:r w:rsidR="00BB0597" w:rsidRPr="00BB0597">
        <w:t xml:space="preserve"> a further step in the reform process </w:t>
      </w:r>
      <w:r w:rsidR="00BB0597">
        <w:t xml:space="preserve">by </w:t>
      </w:r>
      <w:r w:rsidR="00BB0597" w:rsidRPr="00BB0597">
        <w:t>adopt</w:t>
      </w:r>
      <w:r w:rsidR="00BB0597">
        <w:t>ing</w:t>
      </w:r>
      <w:r w:rsidR="00BB0597" w:rsidRPr="00BB0597">
        <w:t xml:space="preserve"> the calendar for the </w:t>
      </w:r>
      <w:r w:rsidR="00BB0597">
        <w:t xml:space="preserve">first </w:t>
      </w:r>
      <w:r w:rsidR="00BB0597" w:rsidRPr="00BB0597">
        <w:t>regional cycle of reporting under the 2003 Convention</w:t>
      </w:r>
      <w:r w:rsidR="004166F6">
        <w:t>. According to th</w:t>
      </w:r>
      <w:r w:rsidR="008A6BFC">
        <w:t>e</w:t>
      </w:r>
      <w:r w:rsidR="004166F6">
        <w:t xml:space="preserve"> calendar,</w:t>
      </w:r>
      <w:r w:rsidR="00943084">
        <w:t xml:space="preserve"> </w:t>
      </w:r>
      <w:r w:rsidR="00943084" w:rsidRPr="00943084">
        <w:t xml:space="preserve">States Parties from Latin America and the Caribbean will </w:t>
      </w:r>
      <w:r w:rsidR="00943084">
        <w:t xml:space="preserve">be the first </w:t>
      </w:r>
      <w:r w:rsidR="004166F6">
        <w:t>to</w:t>
      </w:r>
      <w:r w:rsidR="00943084">
        <w:t xml:space="preserve"> </w:t>
      </w:r>
      <w:r w:rsidR="00943084" w:rsidRPr="00943084">
        <w:t>submit their periodic reports by 15 December 2020 for examination by the Committee at its sixteenth session in 2021.</w:t>
      </w:r>
      <w:r>
        <w:t xml:space="preserve"> </w:t>
      </w:r>
      <w:r w:rsidR="008A6BFC">
        <w:t>After that, the</w:t>
      </w:r>
      <w:r w:rsidRPr="008A6BFC">
        <w:t xml:space="preserve"> order </w:t>
      </w:r>
      <w:r w:rsidR="008A6BFC">
        <w:t>will be as follows:</w:t>
      </w:r>
      <w:r w:rsidRPr="008A6BFC">
        <w:t xml:space="preserve"> Europe (2021)</w:t>
      </w:r>
      <w:r w:rsidR="008A6BFC">
        <w:t>;</w:t>
      </w:r>
      <w:r w:rsidRPr="008A6BFC">
        <w:t xml:space="preserve"> Arab States (2022)</w:t>
      </w:r>
      <w:r w:rsidR="008A6BFC">
        <w:t>;</w:t>
      </w:r>
      <w:r w:rsidRPr="008A6BFC">
        <w:t xml:space="preserve"> Africa (2023) and Asia and the Pacific (2024). The first cycle will end with a reflection year in 2025.</w:t>
      </w:r>
    </w:p>
    <w:p w14:paraId="6EB38BDA" w14:textId="31218C05" w:rsidR="001F0FFD" w:rsidRPr="00C2734F" w:rsidRDefault="001F0FFD" w:rsidP="00C2734F">
      <w:pPr>
        <w:pStyle w:val="COMPara"/>
        <w:keepNext/>
        <w:numPr>
          <w:ilvl w:val="4"/>
          <w:numId w:val="33"/>
        </w:numPr>
        <w:spacing w:before="240"/>
        <w:ind w:left="567" w:hanging="567"/>
        <w:jc w:val="both"/>
        <w:rPr>
          <w:b/>
        </w:rPr>
      </w:pPr>
      <w:r w:rsidRPr="00C2734F">
        <w:rPr>
          <w:b/>
        </w:rPr>
        <w:t>Main points of reform</w:t>
      </w:r>
    </w:p>
    <w:p w14:paraId="790929CC" w14:textId="47746CBB" w:rsidR="00856BB6" w:rsidRDefault="00272420">
      <w:pPr>
        <w:pStyle w:val="COMPara"/>
        <w:ind w:left="567" w:hanging="567"/>
        <w:jc w:val="both"/>
      </w:pPr>
      <w:r>
        <w:t>A transition period to allow the reform of the periodic reporting mechanism started immediately after the seventh session of the General Assembly in July 2018</w:t>
      </w:r>
      <w:r w:rsidR="00F9074B">
        <w:t xml:space="preserve">, </w:t>
      </w:r>
      <w:r w:rsidR="008A6BFC">
        <w:t>and</w:t>
      </w:r>
      <w:r w:rsidR="00F9074B">
        <w:t xml:space="preserve"> is </w:t>
      </w:r>
      <w:r w:rsidR="004166F6">
        <w:t xml:space="preserve">now </w:t>
      </w:r>
      <w:r w:rsidR="00F9074B">
        <w:t>nearing completion</w:t>
      </w:r>
      <w:r>
        <w:t xml:space="preserve">. </w:t>
      </w:r>
      <w:r w:rsidR="008A6BFC">
        <w:t>In response t</w:t>
      </w:r>
      <w:r w:rsidR="00F9074B">
        <w:t xml:space="preserve">o the guidance provided by </w:t>
      </w:r>
      <w:r w:rsidR="00F9074B" w:rsidRPr="00856BB6">
        <w:t>the General Assembly and the Committee</w:t>
      </w:r>
      <w:r w:rsidR="00F9074B">
        <w:t xml:space="preserve"> </w:t>
      </w:r>
      <w:r w:rsidR="00097449">
        <w:t xml:space="preserve">through their debates and decisions, </w:t>
      </w:r>
      <w:r w:rsidR="008A6BFC">
        <w:t xml:space="preserve">the Secretariat took actions </w:t>
      </w:r>
      <w:r w:rsidR="00F9074B">
        <w:t xml:space="preserve">along </w:t>
      </w:r>
      <w:r w:rsidR="00D10C89">
        <w:t xml:space="preserve">the following </w:t>
      </w:r>
      <w:r w:rsidR="00856BB6" w:rsidRPr="00856BB6">
        <w:t xml:space="preserve">three </w:t>
      </w:r>
      <w:r w:rsidR="00F9074B">
        <w:t xml:space="preserve">main </w:t>
      </w:r>
      <w:r w:rsidR="00856BB6" w:rsidRPr="00856BB6">
        <w:t>axes:</w:t>
      </w:r>
    </w:p>
    <w:p w14:paraId="6F955DD5" w14:textId="77AF5916" w:rsidR="00E5480C" w:rsidRDefault="00134D83" w:rsidP="00856BB6">
      <w:pPr>
        <w:pStyle w:val="COMPara"/>
        <w:numPr>
          <w:ilvl w:val="4"/>
          <w:numId w:val="18"/>
        </w:numPr>
        <w:ind w:left="1418" w:hanging="567"/>
        <w:jc w:val="both"/>
      </w:pPr>
      <w:r w:rsidRPr="00134D83">
        <w:t xml:space="preserve">The </w:t>
      </w:r>
      <w:r w:rsidR="00943084" w:rsidRPr="00134D83">
        <w:rPr>
          <w:b/>
        </w:rPr>
        <w:t>revision of Form ICH-10</w:t>
      </w:r>
      <w:r w:rsidR="00BD30BC">
        <w:t xml:space="preserve">, </w:t>
      </w:r>
      <w:r w:rsidR="00AA0E34">
        <w:t>which</w:t>
      </w:r>
      <w:r w:rsidR="00943084" w:rsidRPr="00134D83">
        <w:t xml:space="preserve"> </w:t>
      </w:r>
      <w:proofErr w:type="gramStart"/>
      <w:r w:rsidR="00943084" w:rsidRPr="00134D83">
        <w:t xml:space="preserve">is </w:t>
      </w:r>
      <w:r w:rsidR="00AA0E34">
        <w:t xml:space="preserve">now </w:t>
      </w:r>
      <w:r w:rsidR="00943084" w:rsidRPr="00134D83">
        <w:t>aligned</w:t>
      </w:r>
      <w:proofErr w:type="gramEnd"/>
      <w:r w:rsidR="00943084" w:rsidRPr="00134D83">
        <w:t xml:space="preserve"> to the overall results framework for the 2003 Convention</w:t>
      </w:r>
      <w:r w:rsidR="001926E2">
        <w:t xml:space="preserve">, </w:t>
      </w:r>
      <w:r w:rsidR="001926E2" w:rsidRPr="00134D83">
        <w:t xml:space="preserve">has been completed </w:t>
      </w:r>
      <w:r w:rsidR="001926E2" w:rsidRPr="00FA3F8C">
        <w:t xml:space="preserve">and </w:t>
      </w:r>
      <w:r w:rsidR="001926E2">
        <w:t xml:space="preserve">the form </w:t>
      </w:r>
      <w:r w:rsidR="001926E2" w:rsidRPr="00FA3F8C">
        <w:t xml:space="preserve">will be available online </w:t>
      </w:r>
      <w:r w:rsidR="00DC3900">
        <w:t>in</w:t>
      </w:r>
      <w:r w:rsidR="001926E2">
        <w:t xml:space="preserve"> </w:t>
      </w:r>
      <w:r w:rsidR="001926E2" w:rsidRPr="00FA3F8C">
        <w:t>early December</w:t>
      </w:r>
      <w:r w:rsidR="00943084" w:rsidRPr="00134D83">
        <w:t xml:space="preserve">; </w:t>
      </w:r>
      <w:r w:rsidR="001926E2">
        <w:t>it</w:t>
      </w:r>
      <w:r w:rsidR="003D732D" w:rsidRPr="00134D83">
        <w:t xml:space="preserve"> </w:t>
      </w:r>
      <w:r w:rsidR="00943084" w:rsidRPr="00134D83">
        <w:t xml:space="preserve">reflects </w:t>
      </w:r>
      <w:r w:rsidR="00DA7B37">
        <w:t>the</w:t>
      </w:r>
      <w:r w:rsidR="00DA7B37" w:rsidRPr="00134D83">
        <w:t xml:space="preserve"> </w:t>
      </w:r>
      <w:r w:rsidR="00943084" w:rsidRPr="00134D83">
        <w:t xml:space="preserve">structure </w:t>
      </w:r>
      <w:r w:rsidR="00DA7B37">
        <w:t xml:space="preserve">of this framework </w:t>
      </w:r>
      <w:r w:rsidR="004166F6">
        <w:t xml:space="preserve">through </w:t>
      </w:r>
      <w:r w:rsidR="00943084" w:rsidRPr="00134D83">
        <w:t>core indicators</w:t>
      </w:r>
      <w:r w:rsidR="00857788">
        <w:t>,</w:t>
      </w:r>
      <w:r w:rsidR="00943084" w:rsidRPr="00134D83">
        <w:t xml:space="preserve"> and the assessment factors </w:t>
      </w:r>
      <w:r w:rsidR="00D10C89">
        <w:t>were</w:t>
      </w:r>
      <w:r w:rsidR="00943084" w:rsidRPr="00134D83">
        <w:t xml:space="preserve"> used </w:t>
      </w:r>
      <w:r w:rsidR="003D732D" w:rsidRPr="00134D83">
        <w:t xml:space="preserve">as a basis </w:t>
      </w:r>
      <w:r w:rsidR="00857788">
        <w:t>for</w:t>
      </w:r>
      <w:r w:rsidR="00943084" w:rsidRPr="00134D83">
        <w:t xml:space="preserve"> </w:t>
      </w:r>
      <w:r w:rsidR="00D10C89">
        <w:t>formulating</w:t>
      </w:r>
      <w:r w:rsidR="00943084" w:rsidRPr="00134D83">
        <w:t xml:space="preserve"> questions</w:t>
      </w:r>
      <w:r w:rsidR="003D732D" w:rsidRPr="00134D83">
        <w:t xml:space="preserve"> that trigger results-based reporting</w:t>
      </w:r>
      <w:r w:rsidR="00943084" w:rsidRPr="00134D83">
        <w:t xml:space="preserve">. </w:t>
      </w:r>
      <w:r w:rsidR="00AA0E34">
        <w:t>Correspondingly, t</w:t>
      </w:r>
      <w:r w:rsidR="002516CC">
        <w:t xml:space="preserve">he online version of </w:t>
      </w:r>
      <w:r w:rsidR="006754C1">
        <w:t xml:space="preserve">Form ICH-10 has been redesigned </w:t>
      </w:r>
      <w:r w:rsidR="004166F6">
        <w:t>based on</w:t>
      </w:r>
      <w:r w:rsidR="006754C1">
        <w:t xml:space="preserve"> the online tool already developed for reporting on elements inscribed on the List of Intangible Cultural Heritage in Need of Urgent Safeguarding, </w:t>
      </w:r>
      <w:r w:rsidR="002516CC">
        <w:t xml:space="preserve">and </w:t>
      </w:r>
      <w:r w:rsidR="006754C1">
        <w:t xml:space="preserve">now </w:t>
      </w:r>
      <w:r w:rsidR="00857788">
        <w:t>features</w:t>
      </w:r>
      <w:r w:rsidR="004166F6">
        <w:t xml:space="preserve"> </w:t>
      </w:r>
      <w:r w:rsidR="002516CC">
        <w:t xml:space="preserve">a </w:t>
      </w:r>
      <w:r w:rsidR="006754C1">
        <w:t xml:space="preserve">more </w:t>
      </w:r>
      <w:r w:rsidR="002516CC">
        <w:t xml:space="preserve">user-friendly </w:t>
      </w:r>
      <w:r w:rsidR="006754C1">
        <w:t>interface.</w:t>
      </w:r>
    </w:p>
    <w:p w14:paraId="503DB5C8" w14:textId="3E847954" w:rsidR="00E5480C" w:rsidRDefault="00BD30BC" w:rsidP="002516CC">
      <w:pPr>
        <w:pStyle w:val="COMPara"/>
        <w:numPr>
          <w:ilvl w:val="4"/>
          <w:numId w:val="18"/>
        </w:numPr>
        <w:ind w:left="1418" w:hanging="567"/>
        <w:jc w:val="both"/>
      </w:pPr>
      <w:r>
        <w:t>A</w:t>
      </w:r>
      <w:r w:rsidR="00E5480C">
        <w:t xml:space="preserve"> </w:t>
      </w:r>
      <w:r w:rsidR="00E5480C" w:rsidRPr="00134D83">
        <w:rPr>
          <w:b/>
        </w:rPr>
        <w:t>set of G</w:t>
      </w:r>
      <w:r w:rsidR="00943084" w:rsidRPr="00134D83">
        <w:rPr>
          <w:b/>
        </w:rPr>
        <w:t xml:space="preserve">uidance </w:t>
      </w:r>
      <w:r w:rsidR="00E5480C" w:rsidRPr="00134D83">
        <w:rPr>
          <w:b/>
        </w:rPr>
        <w:t>Notes</w:t>
      </w:r>
      <w:r w:rsidR="00E5480C">
        <w:t xml:space="preserve"> has</w:t>
      </w:r>
      <w:r w:rsidR="00943084">
        <w:t xml:space="preserve"> been </w:t>
      </w:r>
      <w:r>
        <w:t>prepared</w:t>
      </w:r>
      <w:r w:rsidR="00E5480C">
        <w:t xml:space="preserve">, </w:t>
      </w:r>
      <w:r w:rsidR="004166F6">
        <w:t xml:space="preserve">with </w:t>
      </w:r>
      <w:r w:rsidR="00E5480C">
        <w:t xml:space="preserve">one </w:t>
      </w:r>
      <w:r w:rsidR="004166F6">
        <w:t xml:space="preserve">note </w:t>
      </w:r>
      <w:r w:rsidR="00E5480C">
        <w:t xml:space="preserve">for each of the </w:t>
      </w:r>
      <w:r w:rsidR="004166F6">
        <w:t xml:space="preserve">twenty-six </w:t>
      </w:r>
      <w:r w:rsidR="00E5480C">
        <w:t>core indicators</w:t>
      </w:r>
      <w:r>
        <w:t>,</w:t>
      </w:r>
      <w:r w:rsidR="00E5480C">
        <w:t xml:space="preserve"> two of </w:t>
      </w:r>
      <w:r w:rsidR="004166F6">
        <w:t>which</w:t>
      </w:r>
      <w:r w:rsidR="00E5480C">
        <w:t xml:space="preserve"> will be monitored and reported at the global level by </w:t>
      </w:r>
      <w:r w:rsidR="00E5480C">
        <w:lastRenderedPageBreak/>
        <w:t>the Secretariat</w:t>
      </w:r>
      <w:r w:rsidR="00943084">
        <w:t xml:space="preserve">. </w:t>
      </w:r>
      <w:r w:rsidR="00E5480C">
        <w:t xml:space="preserve">These Guidance Notes </w:t>
      </w:r>
      <w:r w:rsidR="004166F6">
        <w:t>are intended to</w:t>
      </w:r>
      <w:r w:rsidR="00E5480C">
        <w:t xml:space="preserve"> </w:t>
      </w:r>
      <w:r w:rsidR="004166F6">
        <w:t>provide</w:t>
      </w:r>
      <w:r w:rsidR="004166F6" w:rsidRPr="00156788">
        <w:t xml:space="preserve"> </w:t>
      </w:r>
      <w:r w:rsidR="00E5480C" w:rsidRPr="00156788">
        <w:t>a common understanding of essential terminology</w:t>
      </w:r>
      <w:r w:rsidR="00134D83">
        <w:t>, particular</w:t>
      </w:r>
      <w:r w:rsidR="004166F6">
        <w:t>ly</w:t>
      </w:r>
      <w:r w:rsidR="00134D83">
        <w:t xml:space="preserve"> the </w:t>
      </w:r>
      <w:r w:rsidR="004166F6">
        <w:t xml:space="preserve">terminology </w:t>
      </w:r>
      <w:r w:rsidR="00E5480C">
        <w:t>used in the overall results framework</w:t>
      </w:r>
      <w:r w:rsidR="004166F6">
        <w:t>.</w:t>
      </w:r>
      <w:r w:rsidR="00E5480C" w:rsidRPr="00156788">
        <w:t xml:space="preserve"> </w:t>
      </w:r>
      <w:r w:rsidR="004166F6">
        <w:t xml:space="preserve">This will allow </w:t>
      </w:r>
      <w:r w:rsidR="00E5480C" w:rsidRPr="00156788">
        <w:t xml:space="preserve">the diverse stakeholders involved in the long-term monitoring and evaluation of the </w:t>
      </w:r>
      <w:r w:rsidR="00E5480C">
        <w:t>2003 </w:t>
      </w:r>
      <w:r w:rsidR="00E5480C" w:rsidRPr="00156788">
        <w:t xml:space="preserve">Convention </w:t>
      </w:r>
      <w:r w:rsidR="004166F6">
        <w:t>to</w:t>
      </w:r>
      <w:r w:rsidR="004166F6" w:rsidRPr="00156788">
        <w:t xml:space="preserve"> </w:t>
      </w:r>
      <w:r w:rsidR="00E5480C">
        <w:t xml:space="preserve">interpret </w:t>
      </w:r>
      <w:r w:rsidR="00E5480C" w:rsidRPr="00156788">
        <w:t xml:space="preserve">the indicators </w:t>
      </w:r>
      <w:r w:rsidR="00E5480C">
        <w:t xml:space="preserve">and subsequently provide answers in their reports </w:t>
      </w:r>
      <w:r w:rsidR="00E5480C" w:rsidRPr="00156788">
        <w:t>in a comparable way.</w:t>
      </w:r>
      <w:r w:rsidR="00E5480C">
        <w:t xml:space="preserve"> The</w:t>
      </w:r>
      <w:r w:rsidR="004166F6">
        <w:t xml:space="preserve"> Guidance Notes</w:t>
      </w:r>
      <w:r w:rsidR="00E5480C">
        <w:t xml:space="preserve"> </w:t>
      </w:r>
      <w:r w:rsidR="00857788">
        <w:t>are</w:t>
      </w:r>
      <w:r w:rsidR="00E5480C">
        <w:t xml:space="preserve"> structured </w:t>
      </w:r>
      <w:r w:rsidR="004166F6">
        <w:t xml:space="preserve">around </w:t>
      </w:r>
      <w:r w:rsidR="00E5480C">
        <w:t xml:space="preserve">two main </w:t>
      </w:r>
      <w:r w:rsidR="00134D83">
        <w:t>parts.</w:t>
      </w:r>
      <w:r w:rsidR="00E5480C">
        <w:t xml:space="preserve"> </w:t>
      </w:r>
      <w:r w:rsidR="00134D83">
        <w:t>T</w:t>
      </w:r>
      <w:r w:rsidR="00E5480C">
        <w:t xml:space="preserve">he first </w:t>
      </w:r>
      <w:r>
        <w:t xml:space="preserve">part </w:t>
      </w:r>
      <w:r w:rsidR="00134D83">
        <w:t xml:space="preserve">sets </w:t>
      </w:r>
      <w:r w:rsidR="004166F6">
        <w:t xml:space="preserve">out </w:t>
      </w:r>
      <w:r w:rsidR="00134D83">
        <w:t>the larger context by</w:t>
      </w:r>
      <w:r w:rsidR="00E5480C">
        <w:t xml:space="preserve"> </w:t>
      </w:r>
      <w:r w:rsidR="00134D83">
        <w:t xml:space="preserve">including the formal statement </w:t>
      </w:r>
      <w:r w:rsidR="00134D83" w:rsidRPr="00156788">
        <w:t xml:space="preserve">of the indicator </w:t>
      </w:r>
      <w:r w:rsidR="006754C1">
        <w:t>(</w:t>
      </w:r>
      <w:r w:rsidR="00134D83" w:rsidRPr="00156788">
        <w:t xml:space="preserve">and its </w:t>
      </w:r>
      <w:r w:rsidR="00134D83">
        <w:t xml:space="preserve">related </w:t>
      </w:r>
      <w:r w:rsidR="00134D83" w:rsidRPr="00156788">
        <w:t>assessment factors</w:t>
      </w:r>
      <w:r w:rsidR="006754C1">
        <w:t>)</w:t>
      </w:r>
      <w:r w:rsidR="00134D83">
        <w:t xml:space="preserve">, together with its relation with the </w:t>
      </w:r>
      <w:r w:rsidR="00134D83" w:rsidRPr="00156788">
        <w:t>Sustainable Development Goals</w:t>
      </w:r>
      <w:r w:rsidR="00134D83">
        <w:t xml:space="preserve"> and other indicators, </w:t>
      </w:r>
      <w:r w:rsidR="00134D83" w:rsidRPr="00156788">
        <w:t>the rationale underlying the indicator</w:t>
      </w:r>
      <w:r w:rsidR="006754C1">
        <w:t xml:space="preserve"> itself</w:t>
      </w:r>
      <w:r w:rsidR="00134D83" w:rsidRPr="00156788">
        <w:t>,</w:t>
      </w:r>
      <w:r w:rsidR="00134D83">
        <w:t xml:space="preserve"> and </w:t>
      </w:r>
      <w:r w:rsidR="00857788">
        <w:t>a</w:t>
      </w:r>
      <w:r w:rsidR="00134D83">
        <w:t xml:space="preserve"> reference to relevant </w:t>
      </w:r>
      <w:r w:rsidR="00134D83" w:rsidRPr="00156788">
        <w:t>key terms</w:t>
      </w:r>
      <w:r w:rsidR="00856BB6">
        <w:t xml:space="preserve">. The second part </w:t>
      </w:r>
      <w:r w:rsidR="00856BB6" w:rsidRPr="00856BB6">
        <w:t>provide</w:t>
      </w:r>
      <w:r w:rsidR="00856BB6">
        <w:t>s</w:t>
      </w:r>
      <w:r w:rsidR="00856BB6" w:rsidRPr="00856BB6">
        <w:t xml:space="preserve"> specific </w:t>
      </w:r>
      <w:r w:rsidR="00856BB6">
        <w:t>guidance on monitoring</w:t>
      </w:r>
      <w:r w:rsidR="004166F6">
        <w:t xml:space="preserve">, </w:t>
      </w:r>
      <w:r w:rsidR="00134D83">
        <w:t>which is mainly</w:t>
      </w:r>
      <w:r w:rsidR="00856BB6">
        <w:t xml:space="preserve"> </w:t>
      </w:r>
      <w:r w:rsidR="006754C1">
        <w:t xml:space="preserve">but not exclusively </w:t>
      </w:r>
      <w:r w:rsidR="00856BB6">
        <w:t xml:space="preserve">relevant for the reporting exercise. In particular, </w:t>
      </w:r>
      <w:r w:rsidR="004166F6">
        <w:t xml:space="preserve">in this part </w:t>
      </w:r>
      <w:r w:rsidR="00856BB6">
        <w:t xml:space="preserve">States </w:t>
      </w:r>
      <w:r w:rsidR="00857788">
        <w:t xml:space="preserve">will </w:t>
      </w:r>
      <w:r w:rsidR="00856BB6">
        <w:t xml:space="preserve">find </w:t>
      </w:r>
      <w:r w:rsidR="006754C1">
        <w:t xml:space="preserve">information on </w:t>
      </w:r>
      <w:r w:rsidR="002516CC">
        <w:t xml:space="preserve">the benefits of monitoring a specific indicator, </w:t>
      </w:r>
      <w:r w:rsidR="002516CC" w:rsidRPr="00156788">
        <w:t xml:space="preserve">the </w:t>
      </w:r>
      <w:r w:rsidR="002516CC">
        <w:t xml:space="preserve">possible </w:t>
      </w:r>
      <w:r w:rsidR="002516CC" w:rsidRPr="00156788">
        <w:t>sources of information</w:t>
      </w:r>
      <w:r w:rsidR="002516CC">
        <w:t xml:space="preserve"> and</w:t>
      </w:r>
      <w:r w:rsidR="002516CC" w:rsidRPr="00156788">
        <w:t xml:space="preserve"> </w:t>
      </w:r>
      <w:r w:rsidR="006754C1">
        <w:t xml:space="preserve">methodologies </w:t>
      </w:r>
      <w:r w:rsidR="00857788">
        <w:t>for</w:t>
      </w:r>
      <w:r w:rsidR="002516CC">
        <w:t xml:space="preserve"> collect</w:t>
      </w:r>
      <w:r w:rsidR="00857788">
        <w:t>ing</w:t>
      </w:r>
      <w:r w:rsidR="002516CC">
        <w:t xml:space="preserve"> data, as well as the </w:t>
      </w:r>
      <w:r w:rsidR="006754C1">
        <w:t xml:space="preserve">scoring system </w:t>
      </w:r>
      <w:r w:rsidR="00856BB6" w:rsidRPr="00856BB6">
        <w:t>for determining</w:t>
      </w:r>
      <w:r w:rsidR="00856BB6">
        <w:t xml:space="preserve"> </w:t>
      </w:r>
      <w:r w:rsidR="00856BB6" w:rsidRPr="00156788">
        <w:t xml:space="preserve">the degree to which </w:t>
      </w:r>
      <w:r w:rsidR="002516CC">
        <w:t xml:space="preserve">the answers provided </w:t>
      </w:r>
      <w:r w:rsidR="004166F6">
        <w:t xml:space="preserve">satisfy </w:t>
      </w:r>
      <w:r w:rsidR="006754C1">
        <w:t>a</w:t>
      </w:r>
      <w:r w:rsidR="004166F6">
        <w:t xml:space="preserve"> particular</w:t>
      </w:r>
      <w:r w:rsidR="006754C1">
        <w:t xml:space="preserve"> indicator</w:t>
      </w:r>
      <w:r w:rsidR="002516CC">
        <w:t>.</w:t>
      </w:r>
    </w:p>
    <w:p w14:paraId="6A7387CE" w14:textId="4B8BC85F" w:rsidR="00943084" w:rsidRDefault="00943084" w:rsidP="00E362A1">
      <w:pPr>
        <w:pStyle w:val="COMPara"/>
        <w:numPr>
          <w:ilvl w:val="4"/>
          <w:numId w:val="18"/>
        </w:numPr>
        <w:ind w:left="1418" w:hanging="567"/>
        <w:jc w:val="both"/>
      </w:pPr>
      <w:r>
        <w:t xml:space="preserve">A </w:t>
      </w:r>
      <w:r w:rsidRPr="00E362A1">
        <w:rPr>
          <w:b/>
        </w:rPr>
        <w:t>capacity-building approach</w:t>
      </w:r>
      <w:r>
        <w:t xml:space="preserve"> </w:t>
      </w:r>
      <w:r w:rsidR="00FC5880">
        <w:t xml:space="preserve">and related materials have been developed </w:t>
      </w:r>
      <w:r>
        <w:t xml:space="preserve">to </w:t>
      </w:r>
      <w:r w:rsidR="001F729B">
        <w:t xml:space="preserve">assist </w:t>
      </w:r>
      <w:r>
        <w:t xml:space="preserve">States </w:t>
      </w:r>
      <w:r w:rsidR="001F729B">
        <w:t>with</w:t>
      </w:r>
      <w:r>
        <w:t xml:space="preserve"> the reporting exercise</w:t>
      </w:r>
      <w:r w:rsidR="00BD30BC">
        <w:t>. The aim is</w:t>
      </w:r>
      <w:r w:rsidR="00FC5880">
        <w:t xml:space="preserve"> </w:t>
      </w:r>
      <w:r w:rsidR="00E362A1" w:rsidRPr="00E362A1">
        <w:t>to build institutional and</w:t>
      </w:r>
      <w:r w:rsidR="00E362A1">
        <w:t xml:space="preserve"> professional capacities for the</w:t>
      </w:r>
      <w:r w:rsidR="00E362A1" w:rsidRPr="00E362A1">
        <w:t xml:space="preserve"> pr</w:t>
      </w:r>
      <w:r w:rsidR="00E362A1">
        <w:t>e</w:t>
      </w:r>
      <w:r w:rsidR="00E362A1" w:rsidRPr="00E362A1">
        <w:t>paration of</w:t>
      </w:r>
      <w:r w:rsidR="00E362A1">
        <w:t xml:space="preserve"> </w:t>
      </w:r>
      <w:r w:rsidR="00E362A1" w:rsidRPr="00E362A1">
        <w:t xml:space="preserve">periodic reports and </w:t>
      </w:r>
      <w:r w:rsidR="001F729B">
        <w:t xml:space="preserve">to </w:t>
      </w:r>
      <w:r w:rsidR="00E362A1" w:rsidRPr="00E362A1">
        <w:t>strengthe</w:t>
      </w:r>
      <w:r w:rsidR="00E362A1">
        <w:t xml:space="preserve">n monitoring processes under the 2003 Convention in line with </w:t>
      </w:r>
      <w:r w:rsidR="001F729B">
        <w:t>the</w:t>
      </w:r>
      <w:r w:rsidR="00E362A1">
        <w:t xml:space="preserve"> o</w:t>
      </w:r>
      <w:r w:rsidR="00E362A1" w:rsidRPr="00E362A1">
        <w:t xml:space="preserve">verall </w:t>
      </w:r>
      <w:r w:rsidR="00E362A1">
        <w:t>r</w:t>
      </w:r>
      <w:r w:rsidR="00E362A1" w:rsidRPr="00E362A1">
        <w:t xml:space="preserve">esults </w:t>
      </w:r>
      <w:r w:rsidR="00E362A1">
        <w:t>f</w:t>
      </w:r>
      <w:r w:rsidR="00E362A1" w:rsidRPr="00E362A1">
        <w:t>ramework</w:t>
      </w:r>
      <w:r w:rsidR="00FC5880">
        <w:t>.</w:t>
      </w:r>
      <w:r w:rsidR="00E362A1">
        <w:t xml:space="preserve"> This </w:t>
      </w:r>
      <w:r w:rsidR="00E03020">
        <w:t xml:space="preserve">approach mainly consists </w:t>
      </w:r>
      <w:r w:rsidR="00E362A1">
        <w:t xml:space="preserve">of a </w:t>
      </w:r>
      <w:r w:rsidR="00E362A1" w:rsidRPr="00E362A1">
        <w:t>three-day capacity-building workshop</w:t>
      </w:r>
      <w:r w:rsidR="00E03020">
        <w:t xml:space="preserve"> </w:t>
      </w:r>
      <w:r w:rsidR="001F729B">
        <w:t>directed at</w:t>
      </w:r>
      <w:r w:rsidR="00E03020">
        <w:t xml:space="preserve"> focal points responsible for </w:t>
      </w:r>
      <w:r w:rsidR="001F729B">
        <w:t>completing</w:t>
      </w:r>
      <w:r w:rsidR="00E03020">
        <w:t xml:space="preserve"> the reports for their respective countries. It</w:t>
      </w:r>
      <w:r w:rsidR="001F729B">
        <w:t xml:space="preserve"> </w:t>
      </w:r>
      <w:r w:rsidR="00857788">
        <w:t>explains</w:t>
      </w:r>
      <w:r w:rsidR="00E03020">
        <w:t xml:space="preserve"> the key concepts of the overall results framework and of the periodic reporting</w:t>
      </w:r>
      <w:r w:rsidR="001F729B">
        <w:t xml:space="preserve"> mechanism</w:t>
      </w:r>
      <w:r w:rsidR="00E03020">
        <w:t xml:space="preserve">, </w:t>
      </w:r>
      <w:r w:rsidR="006754C1">
        <w:t>and include</w:t>
      </w:r>
      <w:r w:rsidR="001F729B">
        <w:t>s</w:t>
      </w:r>
      <w:r w:rsidR="00E03020">
        <w:t xml:space="preserve"> </w:t>
      </w:r>
      <w:r w:rsidR="001F729B">
        <w:t xml:space="preserve">a </w:t>
      </w:r>
      <w:r w:rsidR="00E03020">
        <w:t xml:space="preserve">practical session on data sources, participatory methodologies and </w:t>
      </w:r>
      <w:r w:rsidR="006754C1">
        <w:t>how to fill</w:t>
      </w:r>
      <w:r w:rsidR="00E03020">
        <w:t xml:space="preserve"> out the online </w:t>
      </w:r>
      <w:r w:rsidR="00D10C89">
        <w:t xml:space="preserve">version of </w:t>
      </w:r>
      <w:r w:rsidR="00E03020">
        <w:t>Form ICH-10.</w:t>
      </w:r>
    </w:p>
    <w:p w14:paraId="21EA5669" w14:textId="02FF087F" w:rsidR="00E31A7A" w:rsidRDefault="00E31A7A" w:rsidP="00E31A7A">
      <w:pPr>
        <w:pStyle w:val="COMPara"/>
        <w:ind w:left="567" w:hanging="567"/>
        <w:jc w:val="both"/>
      </w:pPr>
      <w:r>
        <w:t xml:space="preserve">The decision not to revise at this stage the reporting mechanism on the status of elements inscribed on the List of Intangible Cultural Heritage in Need of Urgent Safeguarding </w:t>
      </w:r>
      <w:r w:rsidRPr="0005223A">
        <w:t xml:space="preserve">(see </w:t>
      </w:r>
      <w:r w:rsidRPr="00FF1D62">
        <w:t xml:space="preserve">document </w:t>
      </w:r>
      <w:hyperlink r:id="rId13" w:history="1">
        <w:r w:rsidRPr="00FF1D62">
          <w:rPr>
            <w:rStyle w:val="Hyperlink"/>
          </w:rPr>
          <w:t>LHE/19/14.COM/9.a</w:t>
        </w:r>
      </w:hyperlink>
      <w:r w:rsidRPr="00FF1D62">
        <w:t>),</w:t>
      </w:r>
      <w:r>
        <w:t xml:space="preserve"> has been applied also to the reporting on elements inscribed on the Representative List of the Intangible Cultural Heritage of Humanity. Section C in the revised Form ICH-10 remained the same as in its previous version and remains structured around paragraphs 162 and 163 of t</w:t>
      </w:r>
      <w:bookmarkStart w:id="0" w:name="_GoBack"/>
      <w:bookmarkEnd w:id="0"/>
      <w:r>
        <w:t xml:space="preserve">he Operational Directives. The </w:t>
      </w:r>
      <w:r w:rsidR="00A83458">
        <w:t>ongoing</w:t>
      </w:r>
      <w:r>
        <w:t xml:space="preserve"> reflection on the listing mechanisms and on related procedures, as well as the debates </w:t>
      </w:r>
      <w:r w:rsidRPr="0005223A">
        <w:t xml:space="preserve">on the follow-up of inscribed elements (see </w:t>
      </w:r>
      <w:r w:rsidRPr="00FF1D62">
        <w:t xml:space="preserve">document </w:t>
      </w:r>
      <w:hyperlink r:id="rId14" w:history="1">
        <w:r w:rsidRPr="00FF1D62">
          <w:rPr>
            <w:rStyle w:val="Hyperlink"/>
          </w:rPr>
          <w:t>LHE/19/14.COM/12</w:t>
        </w:r>
      </w:hyperlink>
      <w:r w:rsidRPr="00FF1D62">
        <w:t>), will</w:t>
      </w:r>
      <w:r>
        <w:t xml:space="preserve"> possibly guide the revision of the reporting mechanism for elements inscribed on the Representative List.</w:t>
      </w:r>
    </w:p>
    <w:p w14:paraId="6D2DD4FB" w14:textId="2334E1DD" w:rsidR="007525C0" w:rsidRDefault="007525C0" w:rsidP="00E362A1">
      <w:pPr>
        <w:pStyle w:val="COMPara"/>
        <w:ind w:left="567" w:hanging="567"/>
        <w:jc w:val="both"/>
      </w:pPr>
      <w:r>
        <w:t xml:space="preserve">The </w:t>
      </w:r>
      <w:r w:rsidR="00E03020">
        <w:t xml:space="preserve">completion of the </w:t>
      </w:r>
      <w:r>
        <w:t xml:space="preserve">periodic reporting </w:t>
      </w:r>
      <w:r w:rsidR="00E03020">
        <w:t>reform</w:t>
      </w:r>
      <w:r>
        <w:t>, in particular the revisions to Form ICH</w:t>
      </w:r>
      <w:r>
        <w:noBreakHyphen/>
        <w:t xml:space="preserve">10, </w:t>
      </w:r>
      <w:r w:rsidR="00E03020">
        <w:t xml:space="preserve">has been made possible </w:t>
      </w:r>
      <w:r w:rsidR="001F729B">
        <w:t xml:space="preserve">largely </w:t>
      </w:r>
      <w:r w:rsidR="00E03020">
        <w:t xml:space="preserve">thanks to the </w:t>
      </w:r>
      <w:r w:rsidR="002266C6">
        <w:t xml:space="preserve">generous </w:t>
      </w:r>
      <w:r w:rsidR="00E03020">
        <w:t xml:space="preserve">financial support </w:t>
      </w:r>
      <w:r w:rsidR="001F729B">
        <w:t>of</w:t>
      </w:r>
      <w:r w:rsidR="001F729B" w:rsidRPr="00053CFA">
        <w:t xml:space="preserve"> </w:t>
      </w:r>
      <w:r w:rsidRPr="00053CFA">
        <w:t>the Republic of Korea to the Intangible Cultural Heritage Fund (</w:t>
      </w:r>
      <w:hyperlink r:id="rId15" w:history="1">
        <w:r>
          <w:rPr>
            <w:rStyle w:val="Hyperlink"/>
          </w:rPr>
          <w:t>Decision </w:t>
        </w:r>
        <w:r w:rsidRPr="00053CFA">
          <w:rPr>
            <w:rStyle w:val="Hyperlink"/>
          </w:rPr>
          <w:t>11.COM</w:t>
        </w:r>
        <w:r>
          <w:rPr>
            <w:rStyle w:val="Hyperlink"/>
          </w:rPr>
          <w:t> </w:t>
        </w:r>
        <w:r w:rsidRPr="00053CFA">
          <w:rPr>
            <w:rStyle w:val="Hyperlink"/>
          </w:rPr>
          <w:t>6</w:t>
        </w:r>
      </w:hyperlink>
      <w:r>
        <w:t>).</w:t>
      </w:r>
    </w:p>
    <w:p w14:paraId="125097A6" w14:textId="29517EFB" w:rsidR="001F0FFD" w:rsidRPr="00EC6D0F" w:rsidRDefault="001F0FFD" w:rsidP="00EC6D0F">
      <w:pPr>
        <w:pStyle w:val="COMPara"/>
        <w:keepNext/>
        <w:numPr>
          <w:ilvl w:val="0"/>
          <w:numId w:val="36"/>
        </w:numPr>
        <w:spacing w:before="240"/>
        <w:ind w:left="567" w:hanging="567"/>
        <w:jc w:val="both"/>
        <w:rPr>
          <w:b/>
        </w:rPr>
      </w:pPr>
      <w:r w:rsidRPr="00EC6D0F">
        <w:rPr>
          <w:b/>
        </w:rPr>
        <w:t xml:space="preserve">Explanatory notes on </w:t>
      </w:r>
      <w:r w:rsidR="006637BD" w:rsidRPr="00EC6D0F">
        <w:rPr>
          <w:b/>
        </w:rPr>
        <w:t xml:space="preserve">the </w:t>
      </w:r>
      <w:r w:rsidR="00C9689B">
        <w:rPr>
          <w:b/>
        </w:rPr>
        <w:t>rationale for the reform</w:t>
      </w:r>
      <w:r w:rsidR="00C9689B" w:rsidRPr="00EC6D0F">
        <w:rPr>
          <w:b/>
        </w:rPr>
        <w:t xml:space="preserve"> </w:t>
      </w:r>
      <w:r w:rsidR="00C9689B">
        <w:rPr>
          <w:b/>
        </w:rPr>
        <w:t xml:space="preserve">and </w:t>
      </w:r>
      <w:r w:rsidR="006637BD" w:rsidRPr="00EC6D0F">
        <w:rPr>
          <w:b/>
        </w:rPr>
        <w:t>tools developed</w:t>
      </w:r>
    </w:p>
    <w:p w14:paraId="38D67586" w14:textId="60234AE4" w:rsidR="00EF6442" w:rsidRDefault="00E03020" w:rsidP="004560C2">
      <w:pPr>
        <w:pStyle w:val="COMPara"/>
        <w:ind w:left="567" w:hanging="567"/>
        <w:jc w:val="both"/>
      </w:pPr>
      <w:r>
        <w:t xml:space="preserve">The new reporting </w:t>
      </w:r>
      <w:r w:rsidR="00B24CE8">
        <w:t>system</w:t>
      </w:r>
      <w:r w:rsidR="001F0FFD">
        <w:t xml:space="preserve"> was devised in</w:t>
      </w:r>
      <w:r w:rsidR="00763638">
        <w:t xml:space="preserve"> response </w:t>
      </w:r>
      <w:r w:rsidR="00B24CE8">
        <w:t xml:space="preserve">to the main concerns raised by </w:t>
      </w:r>
      <w:r w:rsidR="00B24CE8" w:rsidRPr="002B7D2D">
        <w:t xml:space="preserve">the Internal Oversight Service (IOS) </w:t>
      </w:r>
      <w:r w:rsidR="00B24CE8">
        <w:t xml:space="preserve">of UNESCO which, in its 2013 </w:t>
      </w:r>
      <w:r w:rsidR="00B24CE8" w:rsidRPr="002B7D2D">
        <w:t>evaluation of the standard-setting work of UNESCO’s Culture Sector</w:t>
      </w:r>
      <w:r w:rsidR="00B24CE8">
        <w:t xml:space="preserve">, highlighted that </w:t>
      </w:r>
      <w:r w:rsidR="00B24CE8" w:rsidRPr="002B7D2D">
        <w:t xml:space="preserve">the information </w:t>
      </w:r>
      <w:r w:rsidR="00B24CE8">
        <w:t>provided by States in the</w:t>
      </w:r>
      <w:r w:rsidR="003C29C3">
        <w:t>ir</w:t>
      </w:r>
      <w:r w:rsidR="00B24CE8">
        <w:t xml:space="preserve"> first </w:t>
      </w:r>
      <w:r w:rsidR="003C29C3">
        <w:t>reports</w:t>
      </w:r>
      <w:r w:rsidR="00B24CE8">
        <w:t xml:space="preserve"> </w:t>
      </w:r>
      <w:r w:rsidR="00B24CE8" w:rsidRPr="002B7D2D">
        <w:t xml:space="preserve">did not support </w:t>
      </w:r>
      <w:r w:rsidR="00857788">
        <w:t xml:space="preserve">the </w:t>
      </w:r>
      <w:r w:rsidR="00B24CE8" w:rsidRPr="002B7D2D">
        <w:t xml:space="preserve">monitoring </w:t>
      </w:r>
      <w:r w:rsidR="00857788">
        <w:t xml:space="preserve">of </w:t>
      </w:r>
      <w:r w:rsidR="00B24CE8" w:rsidRPr="002B7D2D">
        <w:t xml:space="preserve">the implementation of the </w:t>
      </w:r>
      <w:r w:rsidR="00B24CE8">
        <w:t>2003 </w:t>
      </w:r>
      <w:r w:rsidR="00B24CE8" w:rsidRPr="002B7D2D">
        <w:t>Convention</w:t>
      </w:r>
      <w:r w:rsidR="00857788">
        <w:t xml:space="preserve"> effectively enough</w:t>
      </w:r>
      <w:r w:rsidR="007777B6">
        <w:t xml:space="preserve">. The revised Form ICH-10 </w:t>
      </w:r>
      <w:r w:rsidRPr="00E03020">
        <w:t>provide</w:t>
      </w:r>
      <w:r>
        <w:t xml:space="preserve">s States Parties with a </w:t>
      </w:r>
      <w:r w:rsidRPr="00E03020">
        <w:t xml:space="preserve">useful tool for </w:t>
      </w:r>
      <w:r w:rsidR="001F729B">
        <w:t>determining</w:t>
      </w:r>
      <w:r w:rsidR="001F729B" w:rsidRPr="00E03020">
        <w:t xml:space="preserve"> </w:t>
      </w:r>
      <w:r w:rsidRPr="00E03020">
        <w:t>the appropriateness of specific implementing measures and approaches</w:t>
      </w:r>
      <w:r w:rsidR="00271FB2">
        <w:t>,</w:t>
      </w:r>
      <w:r w:rsidRPr="00E03020">
        <w:t xml:space="preserve"> </w:t>
      </w:r>
      <w:r w:rsidR="003C29C3">
        <w:t xml:space="preserve">as well as </w:t>
      </w:r>
      <w:r w:rsidRPr="00E03020">
        <w:t>evidence of good practices where they exist</w:t>
      </w:r>
      <w:r w:rsidR="001F729B">
        <w:t>.</w:t>
      </w:r>
      <w:r w:rsidRPr="00E03020">
        <w:t xml:space="preserve"> </w:t>
      </w:r>
      <w:r w:rsidR="001F729B">
        <w:t>I</w:t>
      </w:r>
      <w:r w:rsidR="003C29C3">
        <w:t xml:space="preserve">t </w:t>
      </w:r>
      <w:r w:rsidR="001F729B">
        <w:t>also provides States Parties with</w:t>
      </w:r>
      <w:r w:rsidR="001F729B" w:rsidRPr="00E03020">
        <w:t xml:space="preserve"> </w:t>
      </w:r>
      <w:r w:rsidRPr="00E03020">
        <w:t>a useful basis for develop</w:t>
      </w:r>
      <w:r w:rsidR="001F729B">
        <w:t>ing</w:t>
      </w:r>
      <w:r w:rsidRPr="00E03020">
        <w:t xml:space="preserve"> their own monitoring systems.</w:t>
      </w:r>
    </w:p>
    <w:p w14:paraId="166774B1" w14:textId="502CA5F3" w:rsidR="001F0FFD" w:rsidRDefault="001F729B" w:rsidP="004560C2">
      <w:pPr>
        <w:pStyle w:val="COMPara"/>
        <w:ind w:left="567" w:hanging="567"/>
        <w:jc w:val="both"/>
      </w:pPr>
      <w:r>
        <w:t>The</w:t>
      </w:r>
      <w:r w:rsidR="003C29C3">
        <w:t xml:space="preserve"> indicators </w:t>
      </w:r>
      <w:r w:rsidR="00857788">
        <w:t>in</w:t>
      </w:r>
      <w:r w:rsidR="0076002B">
        <w:t>cluded in</w:t>
      </w:r>
      <w:r w:rsidR="00857788">
        <w:t xml:space="preserve"> </w:t>
      </w:r>
      <w:r w:rsidR="00EF6442">
        <w:t xml:space="preserve">the framework </w:t>
      </w:r>
      <w:r w:rsidR="003C29C3">
        <w:t xml:space="preserve">and </w:t>
      </w:r>
      <w:r w:rsidR="00857788">
        <w:t xml:space="preserve">the </w:t>
      </w:r>
      <w:r w:rsidR="003C29C3">
        <w:t>questions in the reports will</w:t>
      </w:r>
      <w:r>
        <w:t xml:space="preserve"> not all</w:t>
      </w:r>
      <w:r w:rsidR="003C29C3">
        <w:t xml:space="preserve"> be equally applicable to the situation</w:t>
      </w:r>
      <w:r w:rsidR="0076002B">
        <w:t>s</w:t>
      </w:r>
      <w:r w:rsidR="003C29C3">
        <w:t xml:space="preserve"> of different States, and the level of satisfaction </w:t>
      </w:r>
      <w:r>
        <w:t xml:space="preserve">is expected to </w:t>
      </w:r>
      <w:r w:rsidR="003C29C3">
        <w:t xml:space="preserve">vary from indicator to indicator </w:t>
      </w:r>
      <w:r>
        <w:t xml:space="preserve">and </w:t>
      </w:r>
      <w:r w:rsidR="003C29C3">
        <w:t xml:space="preserve">from </w:t>
      </w:r>
      <w:r w:rsidR="00EF6442">
        <w:t xml:space="preserve">one </w:t>
      </w:r>
      <w:r w:rsidR="003C29C3">
        <w:t xml:space="preserve">State to </w:t>
      </w:r>
      <w:r>
        <w:t>an</w:t>
      </w:r>
      <w:r w:rsidR="00EF6442">
        <w:t>other</w:t>
      </w:r>
      <w:r w:rsidR="003C29C3">
        <w:t>. Th</w:t>
      </w:r>
      <w:r w:rsidR="00857788">
        <w:t>is</w:t>
      </w:r>
      <w:r w:rsidR="003C29C3">
        <w:t xml:space="preserve"> </w:t>
      </w:r>
      <w:r>
        <w:t>was</w:t>
      </w:r>
      <w:r w:rsidR="003C29C3">
        <w:t xml:space="preserve"> the fundamental</w:t>
      </w:r>
      <w:r>
        <w:t>,</w:t>
      </w:r>
      <w:r w:rsidR="003C29C3">
        <w:t xml:space="preserve"> overarching principle of the overall results framework</w:t>
      </w:r>
      <w:r>
        <w:t xml:space="preserve"> from the outset</w:t>
      </w:r>
      <w:r w:rsidR="003C29C3">
        <w:t>, and subsequently of the new reporting mechanism.</w:t>
      </w:r>
      <w:r w:rsidR="00EF6442">
        <w:t xml:space="preserve"> </w:t>
      </w:r>
      <w:r w:rsidR="00EF6442" w:rsidRPr="00EF6442">
        <w:t xml:space="preserve">For each indicator, the framework presents several factors against which </w:t>
      </w:r>
      <w:r w:rsidR="00857788">
        <w:t>the</w:t>
      </w:r>
      <w:r w:rsidR="00EF6442" w:rsidRPr="00EF6442">
        <w:t xml:space="preserve"> indicator will be assessed</w:t>
      </w:r>
      <w:r w:rsidR="00EF6442">
        <w:t xml:space="preserve">; the same structure is used in the </w:t>
      </w:r>
      <w:r w:rsidR="00F70600">
        <w:t xml:space="preserve">new </w:t>
      </w:r>
      <w:r w:rsidR="00EF6442">
        <w:t>reporting form with several questions per indicator</w:t>
      </w:r>
      <w:r w:rsidR="00EF6442" w:rsidRPr="00EF6442">
        <w:t xml:space="preserve">. Each State monitors and reports on the existence (or absence) of these factors. </w:t>
      </w:r>
      <w:r w:rsidR="001F0FFD">
        <w:t>F</w:t>
      </w:r>
      <w:r w:rsidR="00F70600">
        <w:t xml:space="preserve">or </w:t>
      </w:r>
      <w:r w:rsidR="00EF6442" w:rsidRPr="00EF6442">
        <w:t>most indicators</w:t>
      </w:r>
      <w:r w:rsidR="001F0FFD">
        <w:t>,</w:t>
      </w:r>
      <w:r w:rsidR="00EF6442" w:rsidRPr="00EF6442">
        <w:t xml:space="preserve"> </w:t>
      </w:r>
      <w:r w:rsidR="00F70600">
        <w:t xml:space="preserve">States will </w:t>
      </w:r>
      <w:r>
        <w:t>need</w:t>
      </w:r>
      <w:r w:rsidRPr="00EF6442">
        <w:t xml:space="preserve"> </w:t>
      </w:r>
      <w:r w:rsidR="00F70600">
        <w:t xml:space="preserve">to respond to </w:t>
      </w:r>
      <w:r w:rsidR="00EF6442" w:rsidRPr="00EF6442">
        <w:t xml:space="preserve">two or more </w:t>
      </w:r>
      <w:r w:rsidR="00F70600">
        <w:t>questions inspired by the related assessment factors</w:t>
      </w:r>
      <w:r w:rsidR="001F0FFD">
        <w:t>;</w:t>
      </w:r>
      <w:r w:rsidR="00F70600">
        <w:t xml:space="preserve"> the responses provided </w:t>
      </w:r>
      <w:proofErr w:type="gramStart"/>
      <w:r w:rsidR="00F70600">
        <w:t xml:space="preserve">will be </w:t>
      </w:r>
      <w:r w:rsidR="00F30512">
        <w:t>used</w:t>
      </w:r>
      <w:proofErr w:type="gramEnd"/>
      <w:r w:rsidR="00F30512">
        <w:t xml:space="preserve"> to assess </w:t>
      </w:r>
      <w:r w:rsidR="00EF6442" w:rsidRPr="00EF6442">
        <w:t xml:space="preserve">the </w:t>
      </w:r>
      <w:r w:rsidR="00EF6442" w:rsidRPr="00EF6442">
        <w:lastRenderedPageBreak/>
        <w:t>indicator</w:t>
      </w:r>
      <w:r>
        <w:t>;</w:t>
      </w:r>
      <w:r w:rsidR="001F0FFD">
        <w:t xml:space="preserve"> on that basis</w:t>
      </w:r>
      <w:r>
        <w:t>,</w:t>
      </w:r>
      <w:r w:rsidR="00EF6442" w:rsidRPr="00EF6442">
        <w:t xml:space="preserve"> it </w:t>
      </w:r>
      <w:r w:rsidR="00F70600">
        <w:t xml:space="preserve">will be </w:t>
      </w:r>
      <w:r w:rsidR="00EF6442" w:rsidRPr="00EF6442">
        <w:t xml:space="preserve">possible to </w:t>
      </w:r>
      <w:r w:rsidR="00F70600">
        <w:t xml:space="preserve">see </w:t>
      </w:r>
      <w:r w:rsidR="0076002B">
        <w:t>whether</w:t>
      </w:r>
      <w:r>
        <w:t>,</w:t>
      </w:r>
      <w:r w:rsidR="00EF6442" w:rsidRPr="00EF6442">
        <w:t xml:space="preserve"> </w:t>
      </w:r>
      <w:r>
        <w:t>for</w:t>
      </w:r>
      <w:r w:rsidRPr="00EF6442">
        <w:t xml:space="preserve"> </w:t>
      </w:r>
      <w:r w:rsidR="00EF6442" w:rsidRPr="00EF6442">
        <w:t xml:space="preserve">a given State Party, an indicator is satisfied </w:t>
      </w:r>
      <w:r>
        <w:t xml:space="preserve">either fully or </w:t>
      </w:r>
      <w:r w:rsidR="00EF6442" w:rsidRPr="00EF6442">
        <w:t>to a le</w:t>
      </w:r>
      <w:r w:rsidR="00F70600">
        <w:t>sser degree.</w:t>
      </w:r>
    </w:p>
    <w:p w14:paraId="19F46A11" w14:textId="182A3337" w:rsidR="007777B6" w:rsidRDefault="00F70600" w:rsidP="004560C2">
      <w:pPr>
        <w:pStyle w:val="COMPara"/>
        <w:ind w:left="567" w:hanging="567"/>
        <w:jc w:val="both"/>
      </w:pPr>
      <w:r>
        <w:t>In most cases</w:t>
      </w:r>
      <w:r w:rsidR="001F0FFD">
        <w:t>,</w:t>
      </w:r>
      <w:r>
        <w:t xml:space="preserve"> the</w:t>
      </w:r>
      <w:r w:rsidR="00EF6442" w:rsidRPr="00EF6442">
        <w:t xml:space="preserve"> factors and </w:t>
      </w:r>
      <w:r w:rsidR="00EF6442">
        <w:t xml:space="preserve">related questions </w:t>
      </w:r>
      <w:proofErr w:type="gramStart"/>
      <w:r>
        <w:t>we</w:t>
      </w:r>
      <w:r w:rsidR="00EF6442" w:rsidRPr="00EF6442">
        <w:t>re drawn</w:t>
      </w:r>
      <w:proofErr w:type="gramEnd"/>
      <w:r w:rsidR="00EF6442" w:rsidRPr="00EF6442">
        <w:t xml:space="preserve"> directly from the various provisions of the Convention and its Operational Directives, </w:t>
      </w:r>
      <w:r w:rsidR="001F729B">
        <w:t>according to which</w:t>
      </w:r>
      <w:r w:rsidR="00EF6442" w:rsidRPr="00EF6442">
        <w:t xml:space="preserve"> States Parties are obliged or encouraged to ensure that specific conditions are met. The </w:t>
      </w:r>
      <w:r>
        <w:t xml:space="preserve">questions </w:t>
      </w:r>
      <w:r w:rsidR="001F729B">
        <w:t xml:space="preserve">set out </w:t>
      </w:r>
      <w:r>
        <w:t xml:space="preserve">in the new reporting form </w:t>
      </w:r>
      <w:r w:rsidR="00EF6442" w:rsidRPr="00EF6442">
        <w:t xml:space="preserve">are by no means intended to include </w:t>
      </w:r>
      <w:r w:rsidR="00EF6442" w:rsidRPr="00F70600">
        <w:t>all</w:t>
      </w:r>
      <w:r w:rsidR="00EF6442" w:rsidRPr="00EF6442">
        <w:t xml:space="preserve"> the responsibilities of a State Party, </w:t>
      </w:r>
      <w:r w:rsidR="001F729B">
        <w:t xml:space="preserve">which </w:t>
      </w:r>
      <w:r>
        <w:t xml:space="preserve">is why they are </w:t>
      </w:r>
      <w:r w:rsidR="001F729B">
        <w:t xml:space="preserve">often </w:t>
      </w:r>
      <w:r>
        <w:t xml:space="preserve">optional, </w:t>
      </w:r>
      <w:r w:rsidR="001F729B">
        <w:t xml:space="preserve">but </w:t>
      </w:r>
      <w:r w:rsidR="00794C09">
        <w:t>instead</w:t>
      </w:r>
      <w:r w:rsidR="00794C09" w:rsidRPr="00EF6442">
        <w:t xml:space="preserve"> </w:t>
      </w:r>
      <w:r w:rsidR="00EF6442" w:rsidRPr="00EF6442">
        <w:t>to select those that are deemed to provide a solid basis for assessing whether the indicators are satisfied</w:t>
      </w:r>
      <w:r>
        <w:t xml:space="preserve"> and to </w:t>
      </w:r>
      <w:r w:rsidR="001F729B">
        <w:t xml:space="preserve">what </w:t>
      </w:r>
      <w:r>
        <w:t>extent</w:t>
      </w:r>
      <w:r w:rsidR="00EF6442" w:rsidRPr="00EF6442">
        <w:t>.</w:t>
      </w:r>
    </w:p>
    <w:p w14:paraId="5095D7C1" w14:textId="115F77D5" w:rsidR="00E03020" w:rsidRPr="00E03020" w:rsidRDefault="007777B6" w:rsidP="007777B6">
      <w:pPr>
        <w:pStyle w:val="COMPara"/>
        <w:ind w:left="567" w:hanging="567"/>
        <w:jc w:val="both"/>
      </w:pPr>
      <w:r>
        <w:t xml:space="preserve">The scoring system and the possibility </w:t>
      </w:r>
      <w:r w:rsidR="001F729B">
        <w:t>of</w:t>
      </w:r>
      <w:r>
        <w:t xml:space="preserve"> establish</w:t>
      </w:r>
      <w:r w:rsidR="001F729B">
        <w:t xml:space="preserve">ing </w:t>
      </w:r>
      <w:r>
        <w:t xml:space="preserve">targets based on the baselines determined through the reporting exercise </w:t>
      </w:r>
      <w:r w:rsidR="003C29C3">
        <w:t xml:space="preserve">will </w:t>
      </w:r>
      <w:r w:rsidR="00F70600">
        <w:t xml:space="preserve">also </w:t>
      </w:r>
      <w:r w:rsidR="001F729B">
        <w:t>allow</w:t>
      </w:r>
      <w:r w:rsidR="003C29C3">
        <w:t xml:space="preserve"> State</w:t>
      </w:r>
      <w:r w:rsidR="00F70600">
        <w:t>s</w:t>
      </w:r>
      <w:r w:rsidR="003C29C3">
        <w:t xml:space="preserve"> </w:t>
      </w:r>
      <w:r w:rsidR="001F729B">
        <w:t xml:space="preserve">Parties </w:t>
      </w:r>
      <w:r w:rsidR="003C29C3">
        <w:t>to create</w:t>
      </w:r>
      <w:r>
        <w:t xml:space="preserve"> </w:t>
      </w:r>
      <w:r w:rsidR="00F70600">
        <w:t xml:space="preserve">their own </w:t>
      </w:r>
      <w:r w:rsidRPr="00E03020">
        <w:t xml:space="preserve">benchmarks against which progress (or </w:t>
      </w:r>
      <w:r w:rsidR="003C29C3">
        <w:t xml:space="preserve">in some cases </w:t>
      </w:r>
      <w:r w:rsidRPr="00E03020">
        <w:t>regress</w:t>
      </w:r>
      <w:r w:rsidR="001F729B">
        <w:t>ion</w:t>
      </w:r>
      <w:r w:rsidRPr="00E03020">
        <w:t xml:space="preserve">) can </w:t>
      </w:r>
      <w:r w:rsidR="002425C3">
        <w:t xml:space="preserve">be measured in future reporting. They will also have possibilities </w:t>
      </w:r>
      <w:r w:rsidRPr="00E03020">
        <w:t xml:space="preserve">to </w:t>
      </w:r>
      <w:r w:rsidR="00857788" w:rsidRPr="00E03020">
        <w:t xml:space="preserve">clearly </w:t>
      </w:r>
      <w:r w:rsidRPr="00E03020">
        <w:t>identify both the positive and negative impacts of certain safeguarding measures</w:t>
      </w:r>
      <w:r w:rsidR="00F70600">
        <w:t xml:space="preserve"> and implementation approaches</w:t>
      </w:r>
      <w:r w:rsidR="00F30512">
        <w:t xml:space="preserve"> at the national level</w:t>
      </w:r>
      <w:r w:rsidRPr="00E03020">
        <w:t>.</w:t>
      </w:r>
      <w:r>
        <w:t xml:space="preserve"> </w:t>
      </w:r>
      <w:r w:rsidR="00857788">
        <w:t>T</w:t>
      </w:r>
      <w:r>
        <w:t>he new reporting mechanism will</w:t>
      </w:r>
      <w:r w:rsidRPr="002B7D2D">
        <w:t xml:space="preserve"> </w:t>
      </w:r>
      <w:r w:rsidR="001F729B">
        <w:t>also allow for</w:t>
      </w:r>
      <w:r>
        <w:t xml:space="preserve"> </w:t>
      </w:r>
      <w:r w:rsidRPr="002B7D2D">
        <w:t xml:space="preserve">more effective </w:t>
      </w:r>
      <w:r w:rsidR="003C29C3">
        <w:t xml:space="preserve">and coherent </w:t>
      </w:r>
      <w:r w:rsidRPr="002B7D2D">
        <w:t>monitoring by the Committee</w:t>
      </w:r>
      <w:r>
        <w:t xml:space="preserve"> and </w:t>
      </w:r>
      <w:r w:rsidR="001F729B">
        <w:t xml:space="preserve">the </w:t>
      </w:r>
      <w:r>
        <w:t>General Assembly</w:t>
      </w:r>
      <w:r w:rsidRPr="002B7D2D">
        <w:t xml:space="preserve"> </w:t>
      </w:r>
      <w:r>
        <w:t xml:space="preserve">thanks to the </w:t>
      </w:r>
      <w:r w:rsidR="003C29C3">
        <w:t xml:space="preserve">use </w:t>
      </w:r>
      <w:r>
        <w:t>of</w:t>
      </w:r>
      <w:r w:rsidRPr="002B7D2D">
        <w:t xml:space="preserve"> </w:t>
      </w:r>
      <w:r w:rsidR="001F729B">
        <w:t xml:space="preserve">certain </w:t>
      </w:r>
      <w:r w:rsidRPr="002B7D2D">
        <w:t>standards for information</w:t>
      </w:r>
      <w:r w:rsidR="00857788">
        <w:t xml:space="preserve"> </w:t>
      </w:r>
      <w:r w:rsidR="00E47678">
        <w:t xml:space="preserve">which is </w:t>
      </w:r>
      <w:r w:rsidRPr="002B7D2D">
        <w:t xml:space="preserve">gathered </w:t>
      </w:r>
      <w:r w:rsidR="0076002B" w:rsidRPr="002B7D2D">
        <w:t>over time</w:t>
      </w:r>
      <w:r w:rsidR="0076002B">
        <w:t xml:space="preserve"> </w:t>
      </w:r>
      <w:r w:rsidR="001F729B">
        <w:t>through</w:t>
      </w:r>
      <w:r w:rsidR="001F729B" w:rsidRPr="002B7D2D">
        <w:t xml:space="preserve"> </w:t>
      </w:r>
      <w:r w:rsidRPr="002B7D2D">
        <w:t xml:space="preserve">monitoring systems </w:t>
      </w:r>
      <w:r>
        <w:t xml:space="preserve">at the national level </w:t>
      </w:r>
      <w:r w:rsidR="00857046">
        <w:t>and included in the periodic reports</w:t>
      </w:r>
      <w:r w:rsidRPr="002B7D2D">
        <w:t>.</w:t>
      </w:r>
      <w:r w:rsidR="00857788">
        <w:t xml:space="preserve"> </w:t>
      </w:r>
      <w:r w:rsidR="00C9689B">
        <w:t xml:space="preserve">The move to a regional cycle of reporting is also expected to help improving the low submission rate experienced in </w:t>
      </w:r>
      <w:r w:rsidR="001A775B">
        <w:t xml:space="preserve">the </w:t>
      </w:r>
      <w:r w:rsidR="00C9689B">
        <w:t xml:space="preserve">past </w:t>
      </w:r>
      <w:r w:rsidR="001A775B">
        <w:t xml:space="preserve">reporting </w:t>
      </w:r>
      <w:r w:rsidR="00C9689B">
        <w:t>cycles.</w:t>
      </w:r>
    </w:p>
    <w:p w14:paraId="1F82EF31" w14:textId="48118DA3" w:rsidR="005652E4" w:rsidRPr="00EF6442" w:rsidRDefault="00271FB2" w:rsidP="00EF6442">
      <w:pPr>
        <w:pStyle w:val="COMPara"/>
        <w:ind w:left="567" w:hanging="567"/>
        <w:jc w:val="both"/>
      </w:pPr>
      <w:r>
        <w:t>W</w:t>
      </w:r>
      <w:r w:rsidRPr="00156788">
        <w:t>ithout imposing additional reporting burdens on St</w:t>
      </w:r>
      <w:r w:rsidR="001F729B">
        <w:t>a</w:t>
      </w:r>
      <w:r w:rsidRPr="00156788">
        <w:t>tes Parties</w:t>
      </w:r>
      <w:r>
        <w:t xml:space="preserve">, this new reporting system is fully in line with the </w:t>
      </w:r>
      <w:r w:rsidR="00A57616">
        <w:t xml:space="preserve">provisions of the </w:t>
      </w:r>
      <w:r>
        <w:t xml:space="preserve">Operational Directives on </w:t>
      </w:r>
      <w:r w:rsidR="003C29C3">
        <w:t>periodic reporting</w:t>
      </w:r>
      <w:r w:rsidR="00E47678">
        <w:t>. I</w:t>
      </w:r>
      <w:r>
        <w:t xml:space="preserve">t </w:t>
      </w:r>
      <w:r w:rsidR="00514A8B">
        <w:t xml:space="preserve">is hoped that, </w:t>
      </w:r>
      <w:r>
        <w:t>year after year</w:t>
      </w:r>
      <w:r w:rsidR="00514A8B">
        <w:t xml:space="preserve"> and </w:t>
      </w:r>
      <w:r>
        <w:t xml:space="preserve">region after region, </w:t>
      </w:r>
      <w:r w:rsidR="00514A8B">
        <w:t xml:space="preserve">it will </w:t>
      </w:r>
      <w:r w:rsidR="00E47678">
        <w:t>result in</w:t>
      </w:r>
      <w:r w:rsidR="00514A8B">
        <w:t xml:space="preserve"> </w:t>
      </w:r>
      <w:r>
        <w:t xml:space="preserve">improved visibility </w:t>
      </w:r>
      <w:r w:rsidR="00E47678">
        <w:t>for</w:t>
      </w:r>
      <w:r>
        <w:t xml:space="preserve"> periodic reports and a different perception </w:t>
      </w:r>
      <w:r w:rsidR="00E47678">
        <w:t xml:space="preserve">by </w:t>
      </w:r>
      <w:r>
        <w:t xml:space="preserve">States Parties </w:t>
      </w:r>
      <w:r w:rsidR="003C29C3">
        <w:t>of the reporting exercise</w:t>
      </w:r>
      <w:r w:rsidR="00E47678">
        <w:t>,</w:t>
      </w:r>
      <w:r w:rsidR="003C29C3">
        <w:t xml:space="preserve"> </w:t>
      </w:r>
      <w:r w:rsidR="00E47678">
        <w:t xml:space="preserve">which </w:t>
      </w:r>
      <w:r>
        <w:t xml:space="preserve">will </w:t>
      </w:r>
      <w:r w:rsidR="00E47678">
        <w:t>serve</w:t>
      </w:r>
      <w:r>
        <w:t xml:space="preserve"> as a useful </w:t>
      </w:r>
      <w:r w:rsidR="003C29C3">
        <w:t xml:space="preserve">tool and methodology </w:t>
      </w:r>
      <w:r w:rsidR="00E47678">
        <w:t xml:space="preserve">for </w:t>
      </w:r>
      <w:r>
        <w:t>monitor</w:t>
      </w:r>
      <w:r w:rsidR="00E47678">
        <w:t>ing</w:t>
      </w:r>
      <w:r>
        <w:t xml:space="preserve"> their</w:t>
      </w:r>
      <w:r w:rsidR="00F30512">
        <w:t xml:space="preserve"> own</w:t>
      </w:r>
      <w:r>
        <w:t xml:space="preserve"> achievements and </w:t>
      </w:r>
      <w:r w:rsidR="00E47678">
        <w:t>ultimately</w:t>
      </w:r>
      <w:r w:rsidR="003C29C3">
        <w:t xml:space="preserve"> </w:t>
      </w:r>
      <w:r>
        <w:t>revis</w:t>
      </w:r>
      <w:r w:rsidR="00E47678">
        <w:t>ing</w:t>
      </w:r>
      <w:r>
        <w:t xml:space="preserve"> their policies</w:t>
      </w:r>
      <w:r w:rsidR="003C29C3">
        <w:t xml:space="preserve"> and safeguarding approach</w:t>
      </w:r>
      <w:r w:rsidR="00514A8B">
        <w:t>es</w:t>
      </w:r>
      <w:r>
        <w:t xml:space="preserve">, </w:t>
      </w:r>
      <w:r w:rsidR="003C29C3">
        <w:t xml:space="preserve">if </w:t>
      </w:r>
      <w:r>
        <w:t xml:space="preserve">necessary. Similarly, after the first </w:t>
      </w:r>
      <w:r w:rsidR="003C29C3">
        <w:t xml:space="preserve">regional </w:t>
      </w:r>
      <w:r>
        <w:t>cycle</w:t>
      </w:r>
      <w:r w:rsidR="003C29C3">
        <w:t>,</w:t>
      </w:r>
      <w:r>
        <w:t xml:space="preserve"> </w:t>
      </w:r>
      <w:r w:rsidR="00514A8B">
        <w:t xml:space="preserve">the reporting system </w:t>
      </w:r>
      <w:r>
        <w:t xml:space="preserve">will </w:t>
      </w:r>
      <w:r w:rsidR="00E47678">
        <w:t xml:space="preserve">be subject to </w:t>
      </w:r>
      <w:r>
        <w:t>a year of reflection in 2025. Th</w:t>
      </w:r>
      <w:r w:rsidR="00514A8B">
        <w:t>is</w:t>
      </w:r>
      <w:r>
        <w:t xml:space="preserve"> will </w:t>
      </w:r>
      <w:r w:rsidR="00794C09">
        <w:t>provide</w:t>
      </w:r>
      <w:r w:rsidR="00A57616">
        <w:t xml:space="preserve"> </w:t>
      </w:r>
      <w:r w:rsidR="003C29C3">
        <w:t xml:space="preserve">an important opportunity </w:t>
      </w:r>
      <w:r>
        <w:t xml:space="preserve">to fully review its functioning and address </w:t>
      </w:r>
      <w:r w:rsidR="0076002B">
        <w:t xml:space="preserve">potential </w:t>
      </w:r>
      <w:r>
        <w:t>shortcomings</w:t>
      </w:r>
      <w:r w:rsidR="003C29C3">
        <w:t xml:space="preserve"> based on the concrete experiences of reporting States and of </w:t>
      </w:r>
      <w:r w:rsidR="00514A8B">
        <w:t xml:space="preserve">the </w:t>
      </w:r>
      <w:r w:rsidR="003C29C3">
        <w:t>examination session</w:t>
      </w:r>
      <w:r w:rsidR="00F30512">
        <w:t>s</w:t>
      </w:r>
      <w:r w:rsidR="003C29C3">
        <w:t xml:space="preserve"> by the Committee and the General Assembly</w:t>
      </w:r>
      <w:r>
        <w:t>.</w:t>
      </w:r>
    </w:p>
    <w:p w14:paraId="7D1EE9BD" w14:textId="77777777" w:rsidR="00D95C4C" w:rsidRPr="00EA528C" w:rsidRDefault="000B1C8F" w:rsidP="007777B6">
      <w:pPr>
        <w:pStyle w:val="COMPara"/>
        <w:ind w:left="567" w:hanging="567"/>
        <w:jc w:val="both"/>
      </w:pPr>
      <w:r w:rsidRPr="000B1C8F">
        <w:t xml:space="preserve">The Committee may wish </w:t>
      </w:r>
      <w:r>
        <w:t>to adopt the following decision</w:t>
      </w:r>
      <w:r w:rsidR="00D95C4C" w:rsidRPr="00EA528C">
        <w:t>:</w:t>
      </w:r>
    </w:p>
    <w:p w14:paraId="25F9E7AE" w14:textId="77777777" w:rsidR="00D95C4C" w:rsidRPr="00E87D25" w:rsidRDefault="004A34A0" w:rsidP="001D14FE">
      <w:pPr>
        <w:pStyle w:val="COMTitleDecision"/>
        <w:rPr>
          <w:rFonts w:eastAsia="SimSun"/>
        </w:rPr>
      </w:pPr>
      <w:r>
        <w:t xml:space="preserve">DRAFT </w:t>
      </w:r>
      <w:r w:rsidR="00CB0542">
        <w:t>DECISION 1</w:t>
      </w:r>
      <w:r w:rsidR="00C5776D">
        <w:t>4</w:t>
      </w:r>
      <w:r w:rsidR="00EC6F8D">
        <w:t>.</w:t>
      </w:r>
      <w:r w:rsidR="00EC6F8D" w:rsidRPr="00E87D25">
        <w:t>COM</w:t>
      </w:r>
      <w:r w:rsidR="001016E7" w:rsidRPr="00E87D25">
        <w:t> 8</w:t>
      </w:r>
    </w:p>
    <w:p w14:paraId="7F39C6F6" w14:textId="77777777" w:rsidR="00D95C4C" w:rsidRPr="00E87D25" w:rsidRDefault="00285BB4" w:rsidP="00285BB4">
      <w:pPr>
        <w:pStyle w:val="COMPreambulaDecisions"/>
        <w:rPr>
          <w:rFonts w:eastAsia="SimSun"/>
        </w:rPr>
      </w:pPr>
      <w:r w:rsidRPr="00E87D25">
        <w:t>The Committee,</w:t>
      </w:r>
    </w:p>
    <w:p w14:paraId="6692D9E1" w14:textId="77777777" w:rsidR="0057439C" w:rsidRPr="00E87D25" w:rsidRDefault="00D95C4C" w:rsidP="00322300">
      <w:pPr>
        <w:pStyle w:val="COMParaDecision"/>
        <w:ind w:left="1134" w:hanging="567"/>
        <w:jc w:val="left"/>
      </w:pPr>
      <w:r w:rsidRPr="00E87D25">
        <w:t>Having examined</w:t>
      </w:r>
      <w:r w:rsidRPr="00E87D25">
        <w:rPr>
          <w:u w:val="none"/>
        </w:rPr>
        <w:t xml:space="preserve"> doc</w:t>
      </w:r>
      <w:r w:rsidR="00CB0542" w:rsidRPr="00E87D25">
        <w:rPr>
          <w:u w:val="none"/>
        </w:rPr>
        <w:t xml:space="preserve">ument </w:t>
      </w:r>
      <w:r w:rsidR="00C5776D" w:rsidRPr="00E87D25">
        <w:rPr>
          <w:u w:val="none"/>
        </w:rPr>
        <w:t>LHE</w:t>
      </w:r>
      <w:r w:rsidR="00CB0542" w:rsidRPr="00E87D25">
        <w:rPr>
          <w:u w:val="none"/>
        </w:rPr>
        <w:t>/1</w:t>
      </w:r>
      <w:r w:rsidR="00C5776D" w:rsidRPr="00E87D25">
        <w:rPr>
          <w:u w:val="none"/>
        </w:rPr>
        <w:t>9</w:t>
      </w:r>
      <w:r w:rsidR="00337CEB" w:rsidRPr="00E87D25">
        <w:rPr>
          <w:u w:val="none"/>
        </w:rPr>
        <w:t>/1</w:t>
      </w:r>
      <w:r w:rsidR="00C5776D" w:rsidRPr="00E87D25">
        <w:rPr>
          <w:u w:val="none"/>
        </w:rPr>
        <w:t>4</w:t>
      </w:r>
      <w:r w:rsidR="00EC6F8D" w:rsidRPr="00E87D25">
        <w:rPr>
          <w:u w:val="none"/>
        </w:rPr>
        <w:t>.COM</w:t>
      </w:r>
      <w:r w:rsidR="004A34A0" w:rsidRPr="00E87D25">
        <w:rPr>
          <w:u w:val="none"/>
        </w:rPr>
        <w:t>/</w:t>
      </w:r>
      <w:r w:rsidR="001016E7" w:rsidRPr="00E87D25">
        <w:rPr>
          <w:u w:val="none"/>
        </w:rPr>
        <w:t>8</w:t>
      </w:r>
      <w:r w:rsidRPr="00E87D25">
        <w:rPr>
          <w:u w:val="none"/>
        </w:rPr>
        <w:t>,</w:t>
      </w:r>
    </w:p>
    <w:p w14:paraId="2ABD7929" w14:textId="77777777" w:rsidR="0057439C" w:rsidRPr="00345CB4" w:rsidRDefault="0057439C" w:rsidP="005565FB">
      <w:pPr>
        <w:pStyle w:val="COMParaDecision"/>
        <w:ind w:left="1134" w:hanging="567"/>
      </w:pPr>
      <w:r w:rsidRPr="00345CB4">
        <w:t>Recalling</w:t>
      </w:r>
      <w:r w:rsidR="005B7A35" w:rsidRPr="00F32C23">
        <w:rPr>
          <w:u w:val="none"/>
        </w:rPr>
        <w:t xml:space="preserve"> </w:t>
      </w:r>
      <w:r w:rsidR="007525C0" w:rsidRPr="007525C0">
        <w:rPr>
          <w:u w:val="none"/>
        </w:rPr>
        <w:t>Articles 7(</w:t>
      </w:r>
      <w:r w:rsidR="00857046">
        <w:rPr>
          <w:u w:val="none"/>
        </w:rPr>
        <w:t>f), 29 and 30 of the Convention</w:t>
      </w:r>
      <w:r w:rsidRPr="00F32C23">
        <w:rPr>
          <w:u w:val="none"/>
        </w:rPr>
        <w:t>,</w:t>
      </w:r>
      <w:r w:rsidR="00857046">
        <w:rPr>
          <w:u w:val="none"/>
        </w:rPr>
        <w:t xml:space="preserve"> as well as Chapter V of the Operational </w:t>
      </w:r>
      <w:r w:rsidR="007D2547">
        <w:rPr>
          <w:u w:val="none"/>
        </w:rPr>
        <w:t>Directives,</w:t>
      </w:r>
    </w:p>
    <w:p w14:paraId="41DDED5D" w14:textId="4018FD2F" w:rsidR="00D95C4C" w:rsidRPr="00345CB4" w:rsidRDefault="00D95C4C" w:rsidP="00322300">
      <w:pPr>
        <w:pStyle w:val="COMParaDecision"/>
        <w:ind w:left="1134" w:hanging="567"/>
      </w:pPr>
      <w:r w:rsidRPr="00345CB4">
        <w:t>Further recalling</w:t>
      </w:r>
      <w:r w:rsidR="005B7A35" w:rsidRPr="00F32C23">
        <w:rPr>
          <w:u w:val="none"/>
        </w:rPr>
        <w:t xml:space="preserve"> </w:t>
      </w:r>
      <w:hyperlink r:id="rId16" w:history="1">
        <w:r w:rsidR="007525C0" w:rsidRPr="007525C0">
          <w:rPr>
            <w:rStyle w:val="Hyperlink"/>
          </w:rPr>
          <w:t>Decision 12.COM 10</w:t>
        </w:r>
      </w:hyperlink>
      <w:r w:rsidR="00E47678">
        <w:rPr>
          <w:u w:val="none"/>
        </w:rPr>
        <w:t xml:space="preserve"> and</w:t>
      </w:r>
      <w:r w:rsidR="007525C0">
        <w:rPr>
          <w:u w:val="none"/>
        </w:rPr>
        <w:t xml:space="preserve"> </w:t>
      </w:r>
      <w:hyperlink r:id="rId17" w:history="1">
        <w:r w:rsidR="007525C0" w:rsidRPr="007525C0">
          <w:rPr>
            <w:rStyle w:val="Hyperlink"/>
          </w:rPr>
          <w:t>Decision</w:t>
        </w:r>
        <w:r w:rsidR="00F42FF5">
          <w:rPr>
            <w:rStyle w:val="Hyperlink"/>
          </w:rPr>
          <w:t> </w:t>
        </w:r>
        <w:r w:rsidR="007525C0" w:rsidRPr="007525C0">
          <w:rPr>
            <w:rStyle w:val="Hyperlink"/>
          </w:rPr>
          <w:t>13.COM 8</w:t>
        </w:r>
      </w:hyperlink>
      <w:r w:rsidR="00E47678" w:rsidRPr="0060105E">
        <w:rPr>
          <w:rStyle w:val="Hyperlink"/>
          <w:color w:val="auto"/>
          <w:u w:val="none"/>
        </w:rPr>
        <w:t>,</w:t>
      </w:r>
      <w:r w:rsidR="007525C0">
        <w:rPr>
          <w:u w:val="none"/>
        </w:rPr>
        <w:t xml:space="preserve"> as well </w:t>
      </w:r>
      <w:r w:rsidR="007525C0" w:rsidRPr="007525C0">
        <w:rPr>
          <w:u w:val="none"/>
        </w:rPr>
        <w:t>as</w:t>
      </w:r>
      <w:r w:rsidR="00F42FF5">
        <w:rPr>
          <w:u w:val="none"/>
        </w:rPr>
        <w:t xml:space="preserve"> </w:t>
      </w:r>
      <w:hyperlink r:id="rId18" w:history="1">
        <w:r w:rsidR="007525C0" w:rsidRPr="007525C0">
          <w:rPr>
            <w:rStyle w:val="Hyperlink"/>
          </w:rPr>
          <w:t>Resolution 7.GA 10</w:t>
        </w:r>
      </w:hyperlink>
      <w:r w:rsidR="007525C0" w:rsidRPr="007525C0">
        <w:rPr>
          <w:u w:val="none"/>
        </w:rPr>
        <w:t>,</w:t>
      </w:r>
    </w:p>
    <w:p w14:paraId="51ED8EC7" w14:textId="7E34B5A5" w:rsidR="00E5453F" w:rsidRDefault="00E5453F" w:rsidP="00322300">
      <w:pPr>
        <w:pStyle w:val="COMParaDecision"/>
        <w:ind w:left="1134" w:hanging="567"/>
        <w:rPr>
          <w:u w:val="none"/>
        </w:rPr>
      </w:pPr>
      <w:r w:rsidRPr="007D2547">
        <w:t>Welcomes</w:t>
      </w:r>
      <w:r w:rsidRPr="007D2547">
        <w:rPr>
          <w:u w:val="none"/>
        </w:rPr>
        <w:t xml:space="preserve"> the reform of the periodic reporting mechanism</w:t>
      </w:r>
      <w:r w:rsidR="00DD2E75">
        <w:rPr>
          <w:u w:val="none"/>
        </w:rPr>
        <w:t xml:space="preserve"> which encompasses the revised Form ICH-10 and the Guidance Notes,</w:t>
      </w:r>
      <w:r w:rsidR="00CA4E3C">
        <w:rPr>
          <w:u w:val="none"/>
        </w:rPr>
        <w:t xml:space="preserve"> and </w:t>
      </w:r>
      <w:r w:rsidR="00CA4E3C" w:rsidRPr="00CA4E3C">
        <w:t>acknowledges</w:t>
      </w:r>
      <w:r w:rsidR="00CA4E3C">
        <w:rPr>
          <w:u w:val="none"/>
        </w:rPr>
        <w:t xml:space="preserve"> that the new reporting system will be </w:t>
      </w:r>
      <w:r w:rsidR="00F53D5C">
        <w:rPr>
          <w:u w:val="none"/>
        </w:rPr>
        <w:t>implemented starting from</w:t>
      </w:r>
      <w:r w:rsidR="00CA4E3C">
        <w:rPr>
          <w:u w:val="none"/>
        </w:rPr>
        <w:t xml:space="preserve"> the first regional cycle of reporting in 2020</w:t>
      </w:r>
      <w:r w:rsidRPr="007D2547">
        <w:rPr>
          <w:u w:val="none"/>
        </w:rPr>
        <w:t>;</w:t>
      </w:r>
    </w:p>
    <w:p w14:paraId="10E43021" w14:textId="0F06785D" w:rsidR="00322300" w:rsidRDefault="00322300" w:rsidP="0060105E">
      <w:pPr>
        <w:pStyle w:val="COMParaDecision"/>
        <w:ind w:left="1134" w:hanging="567"/>
        <w:rPr>
          <w:u w:val="none"/>
        </w:rPr>
      </w:pPr>
      <w:r w:rsidRPr="0060105E">
        <w:t>Commends</w:t>
      </w:r>
      <w:r>
        <w:rPr>
          <w:u w:val="none"/>
        </w:rPr>
        <w:t xml:space="preserve"> </w:t>
      </w:r>
      <w:r w:rsidRPr="0060105E">
        <w:rPr>
          <w:u w:val="none"/>
        </w:rPr>
        <w:t xml:space="preserve">the government of the Republic of Korea for its </w:t>
      </w:r>
      <w:r>
        <w:rPr>
          <w:u w:val="none"/>
        </w:rPr>
        <w:t>generous and continued support to</w:t>
      </w:r>
      <w:r w:rsidRPr="0060105E">
        <w:rPr>
          <w:u w:val="none"/>
        </w:rPr>
        <w:t xml:space="preserve"> the reform of the periodic reporting mechanism;</w:t>
      </w:r>
    </w:p>
    <w:p w14:paraId="218B3D0A" w14:textId="715E2BB4" w:rsidR="00E5453F" w:rsidRPr="0060105E" w:rsidRDefault="00CA4E3C" w:rsidP="00322300">
      <w:pPr>
        <w:pStyle w:val="COMParaDecision"/>
        <w:ind w:left="1134" w:hanging="567"/>
      </w:pPr>
      <w:r>
        <w:t>Requests</w:t>
      </w:r>
      <w:r w:rsidRPr="00CA4E3C">
        <w:rPr>
          <w:u w:val="none"/>
        </w:rPr>
        <w:t xml:space="preserve"> </w:t>
      </w:r>
      <w:r w:rsidR="00514A8B">
        <w:rPr>
          <w:u w:val="none"/>
        </w:rPr>
        <w:t xml:space="preserve">that </w:t>
      </w:r>
      <w:r>
        <w:rPr>
          <w:u w:val="none"/>
        </w:rPr>
        <w:t xml:space="preserve">the Secretariat inform all the States Parties from </w:t>
      </w:r>
      <w:r w:rsidRPr="00CA4E3C">
        <w:rPr>
          <w:u w:val="none"/>
        </w:rPr>
        <w:t xml:space="preserve">Latin America and the Caribbean </w:t>
      </w:r>
      <w:r w:rsidR="00514A8B">
        <w:rPr>
          <w:u w:val="none"/>
        </w:rPr>
        <w:t xml:space="preserve">of </w:t>
      </w:r>
      <w:r>
        <w:rPr>
          <w:u w:val="none"/>
        </w:rPr>
        <w:t xml:space="preserve">the deadline of 15 December 2020 </w:t>
      </w:r>
      <w:r w:rsidR="00514A8B">
        <w:rPr>
          <w:u w:val="none"/>
        </w:rPr>
        <w:t xml:space="preserve">for </w:t>
      </w:r>
      <w:r w:rsidR="0076002B">
        <w:rPr>
          <w:u w:val="none"/>
        </w:rPr>
        <w:t>the submission of</w:t>
      </w:r>
      <w:r w:rsidR="00514A8B" w:rsidRPr="00CA4E3C">
        <w:rPr>
          <w:u w:val="none"/>
        </w:rPr>
        <w:t xml:space="preserve"> </w:t>
      </w:r>
      <w:r w:rsidRPr="00CA4E3C">
        <w:rPr>
          <w:u w:val="none"/>
        </w:rPr>
        <w:t>their periodic reports</w:t>
      </w:r>
      <w:r w:rsidR="00A57616">
        <w:rPr>
          <w:u w:val="none"/>
        </w:rPr>
        <w:t xml:space="preserve"> </w:t>
      </w:r>
      <w:r w:rsidRPr="00CA4E3C">
        <w:rPr>
          <w:u w:val="none"/>
        </w:rPr>
        <w:t>on the implementation of the 2003 Convention and on the status of elements inscribed on the Representative List of the Intangible Cultural Heritage of Humanity for examination by the Committee at its sixteenth session in 2021</w:t>
      </w:r>
      <w:r>
        <w:rPr>
          <w:u w:val="none"/>
        </w:rPr>
        <w:t>;</w:t>
      </w:r>
    </w:p>
    <w:p w14:paraId="75B16CD1" w14:textId="171B340C" w:rsidR="00D46BCF" w:rsidRPr="00D46BCF" w:rsidRDefault="00D46BCF" w:rsidP="00322300">
      <w:pPr>
        <w:pStyle w:val="COMParaDecision"/>
        <w:ind w:left="1134" w:hanging="567"/>
      </w:pPr>
      <w:r>
        <w:t>Encourages</w:t>
      </w:r>
      <w:r w:rsidRPr="00E801E1">
        <w:rPr>
          <w:u w:val="none"/>
        </w:rPr>
        <w:t xml:space="preserve"> States Parties to use the online tool to submit their reports in order to facilitate the gathering of information and the analysis o</w:t>
      </w:r>
      <w:r w:rsidR="00514A8B">
        <w:rPr>
          <w:u w:val="none"/>
        </w:rPr>
        <w:t>f</w:t>
      </w:r>
      <w:r w:rsidRPr="00E801E1">
        <w:rPr>
          <w:u w:val="none"/>
        </w:rPr>
        <w:t xml:space="preserve"> the status of the implementation </w:t>
      </w:r>
      <w:r w:rsidRPr="00E801E1">
        <w:rPr>
          <w:u w:val="none"/>
        </w:rPr>
        <w:lastRenderedPageBreak/>
        <w:t>of the Convention at the national level</w:t>
      </w:r>
      <w:r w:rsidR="006D2EEC">
        <w:rPr>
          <w:u w:val="none"/>
        </w:rPr>
        <w:t xml:space="preserve"> and of elements inscribed on the Representative List of the Intangible Cultural Heritage of Humanity</w:t>
      </w:r>
      <w:r w:rsidRPr="00E801E1">
        <w:rPr>
          <w:u w:val="none"/>
        </w:rPr>
        <w:t>;</w:t>
      </w:r>
    </w:p>
    <w:p w14:paraId="32A87301" w14:textId="67D063EF" w:rsidR="00325BA2" w:rsidRDefault="00CA4E3C" w:rsidP="00322300">
      <w:pPr>
        <w:pStyle w:val="COMParaDecision"/>
        <w:ind w:left="1134" w:hanging="567"/>
        <w:rPr>
          <w:u w:val="none"/>
        </w:rPr>
      </w:pPr>
      <w:r>
        <w:t>Invites</w:t>
      </w:r>
      <w:r>
        <w:rPr>
          <w:u w:val="none"/>
        </w:rPr>
        <w:t xml:space="preserve"> the Secretariat</w:t>
      </w:r>
      <w:r w:rsidR="00F53D5C">
        <w:rPr>
          <w:u w:val="none"/>
        </w:rPr>
        <w:t xml:space="preserve"> </w:t>
      </w:r>
      <w:r>
        <w:rPr>
          <w:u w:val="none"/>
        </w:rPr>
        <w:t xml:space="preserve">to plan and implement appropriate capacity-building activities in </w:t>
      </w:r>
      <w:r w:rsidRPr="00CA4E3C">
        <w:rPr>
          <w:u w:val="none"/>
        </w:rPr>
        <w:t>Latin America and the Caribbean</w:t>
      </w:r>
      <w:r>
        <w:rPr>
          <w:u w:val="none"/>
        </w:rPr>
        <w:t xml:space="preserve"> to facilitate the </w:t>
      </w:r>
      <w:r w:rsidR="00325BA2">
        <w:rPr>
          <w:u w:val="none"/>
        </w:rPr>
        <w:t xml:space="preserve">periodic </w:t>
      </w:r>
      <w:r>
        <w:rPr>
          <w:u w:val="none"/>
        </w:rPr>
        <w:t xml:space="preserve">reporting exercise </w:t>
      </w:r>
      <w:r w:rsidR="00514A8B">
        <w:rPr>
          <w:u w:val="none"/>
        </w:rPr>
        <w:t>for</w:t>
      </w:r>
      <w:r>
        <w:rPr>
          <w:u w:val="none"/>
        </w:rPr>
        <w:t xml:space="preserve"> States from that region </w:t>
      </w:r>
      <w:r w:rsidR="00325BA2" w:rsidRPr="00CA4E3C">
        <w:rPr>
          <w:u w:val="none"/>
        </w:rPr>
        <w:t>in the context of the existing global capacity-building programme</w:t>
      </w:r>
      <w:r w:rsidR="00F53D5C">
        <w:rPr>
          <w:u w:val="none"/>
        </w:rPr>
        <w:t xml:space="preserve"> and </w:t>
      </w:r>
      <w:r w:rsidR="00F53D5C" w:rsidRPr="00CA4E3C">
        <w:rPr>
          <w:u w:val="none"/>
        </w:rPr>
        <w:t>subject to the avail</w:t>
      </w:r>
      <w:r w:rsidR="00F53D5C">
        <w:rPr>
          <w:u w:val="none"/>
        </w:rPr>
        <w:t xml:space="preserve">ability of </w:t>
      </w:r>
      <w:r w:rsidR="006D2EEC">
        <w:rPr>
          <w:u w:val="none"/>
        </w:rPr>
        <w:t>voluntary supplementary contributions</w:t>
      </w:r>
      <w:r w:rsidR="00325BA2">
        <w:rPr>
          <w:u w:val="none"/>
        </w:rPr>
        <w:t>;</w:t>
      </w:r>
    </w:p>
    <w:p w14:paraId="48CC9BCD" w14:textId="7A77E4DE" w:rsidR="007512AE" w:rsidRDefault="00475044" w:rsidP="00322300">
      <w:pPr>
        <w:pStyle w:val="COMParaDecision"/>
        <w:ind w:left="1134" w:hanging="567"/>
        <w:rPr>
          <w:u w:val="none"/>
        </w:rPr>
      </w:pPr>
      <w:r>
        <w:t>Further e</w:t>
      </w:r>
      <w:r w:rsidR="00CA4E3C" w:rsidRPr="00CA4E3C">
        <w:t>ncourages</w:t>
      </w:r>
      <w:r w:rsidR="00CA4E3C" w:rsidRPr="00CA4E3C">
        <w:rPr>
          <w:u w:val="none"/>
        </w:rPr>
        <w:t xml:space="preserve"> States Parties to provide voluntary supplementary contributions to the Intangible Cultural Heritage Fund to support the implementation of </w:t>
      </w:r>
      <w:r w:rsidR="00AC066E">
        <w:rPr>
          <w:u w:val="none"/>
        </w:rPr>
        <w:t>the above-mentioned</w:t>
      </w:r>
      <w:r w:rsidR="00AC066E" w:rsidRPr="00CA4E3C">
        <w:rPr>
          <w:u w:val="none"/>
        </w:rPr>
        <w:t xml:space="preserve"> </w:t>
      </w:r>
      <w:r w:rsidR="00CA4E3C" w:rsidRPr="00CA4E3C">
        <w:rPr>
          <w:u w:val="none"/>
        </w:rPr>
        <w:t>capacity-building activities</w:t>
      </w:r>
      <w:r w:rsidR="0064704A">
        <w:rPr>
          <w:u w:val="none"/>
        </w:rPr>
        <w:t xml:space="preserve"> or to express their interest in financing and implementing them</w:t>
      </w:r>
      <w:r w:rsidR="00BD646D">
        <w:rPr>
          <w:u w:val="none"/>
        </w:rPr>
        <w:t xml:space="preserve"> through other funding modalities</w:t>
      </w:r>
      <w:r w:rsidR="007512AE">
        <w:rPr>
          <w:u w:val="none"/>
        </w:rPr>
        <w:t>;</w:t>
      </w:r>
    </w:p>
    <w:p w14:paraId="0350C88E" w14:textId="34E1B0F4" w:rsidR="0053318C" w:rsidRPr="00F53D5C" w:rsidRDefault="007512AE" w:rsidP="00322300">
      <w:pPr>
        <w:pStyle w:val="COMParaDecision"/>
        <w:ind w:left="1134" w:hanging="567"/>
        <w:rPr>
          <w:u w:val="none"/>
        </w:rPr>
      </w:pPr>
      <w:r w:rsidRPr="00AC066E">
        <w:rPr>
          <w:sz w:val="21"/>
          <w:szCs w:val="21"/>
          <w:shd w:val="clear" w:color="auto" w:fill="FFFFFF"/>
        </w:rPr>
        <w:t>Requests</w:t>
      </w:r>
      <w:r w:rsidR="008665CA" w:rsidRPr="00377BD4">
        <w:rPr>
          <w:sz w:val="21"/>
          <w:szCs w:val="21"/>
          <w:u w:val="none"/>
          <w:shd w:val="clear" w:color="auto" w:fill="FFFFFF"/>
        </w:rPr>
        <w:t xml:space="preserve"> </w:t>
      </w:r>
      <w:r w:rsidRPr="00AC066E">
        <w:rPr>
          <w:sz w:val="21"/>
          <w:szCs w:val="21"/>
          <w:u w:val="none"/>
          <w:shd w:val="clear" w:color="auto" w:fill="FFFFFF"/>
        </w:rPr>
        <w:t xml:space="preserve">that the Secretariat </w:t>
      </w:r>
      <w:r w:rsidR="00AC066E">
        <w:rPr>
          <w:sz w:val="21"/>
          <w:szCs w:val="21"/>
          <w:u w:val="none"/>
          <w:shd w:val="clear" w:color="auto" w:fill="FFFFFF"/>
        </w:rPr>
        <w:t>report to</w:t>
      </w:r>
      <w:r w:rsidR="00AC066E" w:rsidRPr="00AC066E">
        <w:rPr>
          <w:sz w:val="21"/>
          <w:szCs w:val="21"/>
          <w:u w:val="none"/>
          <w:shd w:val="clear" w:color="auto" w:fill="FFFFFF"/>
        </w:rPr>
        <w:t xml:space="preserve"> </w:t>
      </w:r>
      <w:r w:rsidRPr="00AC066E">
        <w:rPr>
          <w:sz w:val="21"/>
          <w:szCs w:val="21"/>
          <w:u w:val="none"/>
          <w:shd w:val="clear" w:color="auto" w:fill="FFFFFF"/>
        </w:rPr>
        <w:t xml:space="preserve">the Committee on the </w:t>
      </w:r>
      <w:proofErr w:type="gramStart"/>
      <w:r w:rsidRPr="00AC066E">
        <w:rPr>
          <w:sz w:val="21"/>
          <w:szCs w:val="21"/>
          <w:u w:val="none"/>
          <w:shd w:val="clear" w:color="auto" w:fill="FFFFFF"/>
        </w:rPr>
        <w:t>roll-out</w:t>
      </w:r>
      <w:proofErr w:type="gramEnd"/>
      <w:r w:rsidRPr="00AC066E">
        <w:rPr>
          <w:sz w:val="21"/>
          <w:szCs w:val="21"/>
          <w:u w:val="none"/>
          <w:shd w:val="clear" w:color="auto" w:fill="FFFFFF"/>
        </w:rPr>
        <w:t xml:space="preserve"> of the reformed periodic reporting mechanism</w:t>
      </w:r>
      <w:r w:rsidR="00AC066E">
        <w:rPr>
          <w:sz w:val="21"/>
          <w:szCs w:val="21"/>
          <w:u w:val="none"/>
          <w:shd w:val="clear" w:color="auto" w:fill="FFFFFF"/>
        </w:rPr>
        <w:t>, including</w:t>
      </w:r>
      <w:r w:rsidRPr="00AC066E">
        <w:rPr>
          <w:sz w:val="21"/>
          <w:szCs w:val="21"/>
          <w:u w:val="none"/>
          <w:shd w:val="clear" w:color="auto" w:fill="FFFFFF"/>
        </w:rPr>
        <w:t xml:space="preserve"> the capacity-building activities conducted in </w:t>
      </w:r>
      <w:r w:rsidRPr="00AC066E">
        <w:rPr>
          <w:u w:val="none"/>
        </w:rPr>
        <w:t>Latin America and the Caribbean</w:t>
      </w:r>
      <w:r w:rsidR="00AC066E">
        <w:rPr>
          <w:u w:val="none"/>
        </w:rPr>
        <w:t>, for examination</w:t>
      </w:r>
      <w:r w:rsidRPr="00AC066E">
        <w:rPr>
          <w:u w:val="none"/>
        </w:rPr>
        <w:t xml:space="preserve"> </w:t>
      </w:r>
      <w:r w:rsidRPr="00AC066E">
        <w:rPr>
          <w:sz w:val="21"/>
          <w:szCs w:val="21"/>
          <w:u w:val="none"/>
          <w:shd w:val="clear" w:color="auto" w:fill="FFFFFF"/>
        </w:rPr>
        <w:t>at its fifteenth session</w:t>
      </w:r>
      <w:r w:rsidR="006D2EEC">
        <w:rPr>
          <w:sz w:val="21"/>
          <w:szCs w:val="21"/>
          <w:u w:val="none"/>
          <w:shd w:val="clear" w:color="auto" w:fill="FFFFFF"/>
        </w:rPr>
        <w:t xml:space="preserve"> in 2020</w:t>
      </w:r>
      <w:r w:rsidRPr="00AC066E">
        <w:rPr>
          <w:color w:val="414042"/>
          <w:sz w:val="21"/>
          <w:szCs w:val="21"/>
          <w:u w:val="none"/>
          <w:shd w:val="clear" w:color="auto" w:fill="FFFFFF"/>
        </w:rPr>
        <w:t>.</w:t>
      </w:r>
    </w:p>
    <w:sectPr w:rsidR="0053318C" w:rsidRPr="00F53D5C" w:rsidSect="00655736">
      <w:headerReference w:type="even" r:id="rId19"/>
      <w:headerReference w:type="default" r:id="rId20"/>
      <w:headerReference w:type="first" r:id="rId21"/>
      <w:pgSz w:w="11906" w:h="16838" w:code="9"/>
      <w:pgMar w:top="1418" w:right="1134" w:bottom="1134" w:left="1134" w:header="39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BB1440" w16cid:durableId="2154207E"/>
  <w16cid:commentId w16cid:paraId="64A6AC07" w16cid:durableId="215420EF"/>
  <w16cid:commentId w16cid:paraId="4C332594" w16cid:durableId="2154228C"/>
  <w16cid:commentId w16cid:paraId="4236ED6C" w16cid:durableId="215422BD"/>
  <w16cid:commentId w16cid:paraId="2FE8AD9E" w16cid:durableId="215422D8"/>
  <w16cid:commentId w16cid:paraId="07BAACAA" w16cid:durableId="21541B47"/>
  <w16cid:commentId w16cid:paraId="5585D35B" w16cid:durableId="21541C2F"/>
  <w16cid:commentId w16cid:paraId="2A68C6A0" w16cid:durableId="21542EFC"/>
  <w16cid:commentId w16cid:paraId="7E5E4164" w16cid:durableId="21542F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C0FF0" w14:textId="77777777" w:rsidR="00630AE6" w:rsidRDefault="00630AE6" w:rsidP="00655736">
      <w:r>
        <w:separator/>
      </w:r>
    </w:p>
  </w:endnote>
  <w:endnote w:type="continuationSeparator" w:id="0">
    <w:p w14:paraId="0BB4AD1E" w14:textId="77777777" w:rsidR="00630AE6" w:rsidRDefault="00630AE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81611" w14:textId="77777777" w:rsidR="00630AE6" w:rsidRDefault="00630AE6" w:rsidP="00655736">
      <w:r>
        <w:separator/>
      </w:r>
    </w:p>
  </w:footnote>
  <w:footnote w:type="continuationSeparator" w:id="0">
    <w:p w14:paraId="06C36916" w14:textId="77777777" w:rsidR="00630AE6" w:rsidRDefault="00630AE6"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F8BF3" w14:textId="5F9C786E" w:rsidR="00D95C4C" w:rsidRPr="00C23A97" w:rsidRDefault="00C5776D" w:rsidP="00C5776D">
    <w:pPr>
      <w:pStyle w:val="Header"/>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/1</w:t>
    </w:r>
    <w:r>
      <w:rPr>
        <w:rFonts w:ascii="Arial" w:hAnsi="Arial" w:cs="Arial"/>
        <w:sz w:val="20"/>
        <w:szCs w:val="20"/>
        <w:lang w:val="en-GB"/>
      </w:rPr>
      <w:t>9</w:t>
    </w:r>
    <w:r w:rsidR="00CB0542">
      <w:rPr>
        <w:rFonts w:ascii="Arial" w:hAnsi="Arial" w:cs="Arial"/>
        <w:sz w:val="20"/>
        <w:szCs w:val="20"/>
        <w:lang w:val="en-GB"/>
      </w:rPr>
      <w:t>/1</w:t>
    </w:r>
    <w:r>
      <w:rPr>
        <w:rFonts w:ascii="Arial" w:hAnsi="Arial" w:cs="Arial"/>
        <w:sz w:val="20"/>
        <w:szCs w:val="20"/>
        <w:lang w:val="en-GB"/>
      </w:rPr>
      <w:t>4</w:t>
    </w:r>
    <w:r w:rsidR="00EC6F8D">
      <w:rPr>
        <w:rFonts w:ascii="Arial" w:hAnsi="Arial" w:cs="Arial"/>
        <w:sz w:val="20"/>
        <w:szCs w:val="20"/>
        <w:lang w:val="en-GB"/>
      </w:rPr>
      <w:t>.COM</w:t>
    </w:r>
    <w:r w:rsidR="00D95C4C" w:rsidRPr="00F26C9F">
      <w:rPr>
        <w:rFonts w:ascii="Arial" w:hAnsi="Arial" w:cs="Arial"/>
        <w:sz w:val="20"/>
        <w:szCs w:val="20"/>
        <w:lang w:val="en-GB"/>
      </w:rPr>
      <w:t>/</w:t>
    </w:r>
    <w:r w:rsidR="001016E7" w:rsidRPr="00F26C9F">
      <w:rPr>
        <w:rFonts w:ascii="Arial" w:hAnsi="Arial" w:cs="Arial"/>
        <w:sz w:val="20"/>
        <w:szCs w:val="20"/>
        <w:lang w:val="en-GB"/>
      </w:rPr>
      <w:t>8</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FF1D62">
      <w:rPr>
        <w:rStyle w:val="PageNumber"/>
        <w:rFonts w:ascii="Arial" w:hAnsi="Arial" w:cs="Arial"/>
        <w:noProof/>
        <w:sz w:val="20"/>
        <w:szCs w:val="20"/>
        <w:lang w:val="en-GB"/>
      </w:rPr>
      <w:t>4</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0B26F" w14:textId="708FC45D"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53318C">
      <w:rPr>
        <w:rFonts w:ascii="Arial" w:hAnsi="Arial" w:cs="Arial"/>
        <w:sz w:val="20"/>
        <w:szCs w:val="20"/>
        <w:lang w:val="en-GB"/>
      </w:rPr>
      <w:t>/1</w:t>
    </w:r>
    <w:r>
      <w:rPr>
        <w:rFonts w:ascii="Arial" w:hAnsi="Arial" w:cs="Arial"/>
        <w:sz w:val="20"/>
        <w:szCs w:val="20"/>
        <w:lang w:val="en-GB"/>
      </w:rPr>
      <w:t>9</w:t>
    </w:r>
    <w:r w:rsidR="0053318C">
      <w:rPr>
        <w:rFonts w:ascii="Arial" w:hAnsi="Arial" w:cs="Arial"/>
        <w:sz w:val="20"/>
        <w:szCs w:val="20"/>
        <w:lang w:val="en-GB"/>
      </w:rPr>
      <w:t>/1</w:t>
    </w:r>
    <w:r>
      <w:rPr>
        <w:rFonts w:ascii="Arial" w:hAnsi="Arial" w:cs="Arial"/>
        <w:sz w:val="20"/>
        <w:szCs w:val="20"/>
        <w:lang w:val="en-GB"/>
      </w:rPr>
      <w:t>4</w:t>
    </w:r>
    <w:r w:rsidR="00EC6F8D">
      <w:rPr>
        <w:rFonts w:ascii="Arial" w:hAnsi="Arial" w:cs="Arial"/>
        <w:sz w:val="20"/>
        <w:szCs w:val="20"/>
        <w:lang w:val="en-GB"/>
      </w:rPr>
      <w:t>.COM</w:t>
    </w:r>
    <w:r w:rsidR="004A34A0" w:rsidRPr="0063300C">
      <w:rPr>
        <w:rFonts w:ascii="Arial" w:hAnsi="Arial" w:cs="Arial"/>
        <w:sz w:val="20"/>
        <w:szCs w:val="20"/>
        <w:lang w:val="en-GB"/>
      </w:rPr>
      <w:t>/</w:t>
    </w:r>
    <w:r w:rsidR="002516CC">
      <w:rPr>
        <w:rFonts w:ascii="Arial" w:hAnsi="Arial" w:cs="Arial"/>
        <w:sz w:val="20"/>
        <w:szCs w:val="20"/>
        <w:lang w:val="en-GB"/>
      </w:rPr>
      <w:t>8</w:t>
    </w:r>
    <w:r w:rsidR="004A34A0" w:rsidRPr="0063300C">
      <w:rPr>
        <w:rFonts w:ascii="Arial" w:hAnsi="Arial" w:cs="Arial"/>
        <w:sz w:val="20"/>
        <w:szCs w:val="20"/>
        <w:lang w:val="en-GB"/>
      </w:rPr>
      <w:t xml:space="preserve"> –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FF1D62">
      <w:rPr>
        <w:rStyle w:val="PageNumber"/>
        <w:rFonts w:ascii="Arial" w:hAnsi="Arial" w:cs="Arial"/>
        <w:noProof/>
        <w:sz w:val="20"/>
        <w:szCs w:val="20"/>
        <w:lang w:val="en-GB"/>
      </w:rPr>
      <w:t>5</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82A27" w14:textId="77777777" w:rsidR="00D95C4C" w:rsidRPr="00E95AE2" w:rsidRDefault="00955877">
    <w:pPr>
      <w:pStyle w:val="Header"/>
      <w:rPr>
        <w:sz w:val="22"/>
        <w:szCs w:val="22"/>
        <w:lang w:val="en-GB"/>
      </w:rPr>
    </w:pPr>
    <w:r>
      <w:rPr>
        <w:noProof/>
        <w:lang w:eastAsia="ja-JP"/>
      </w:rPr>
      <w:drawing>
        <wp:anchor distT="0" distB="0" distL="114300" distR="114300" simplePos="0" relativeHeight="251657728" behindDoc="0" locked="0" layoutInCell="1" allowOverlap="1" wp14:anchorId="7520B208" wp14:editId="025AE61B">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260132" w14:textId="77777777" w:rsidR="00D95C4C" w:rsidRPr="00F30DC6" w:rsidRDefault="00337CEB" w:rsidP="00C5776D">
    <w:pPr>
      <w:pStyle w:val="Header"/>
      <w:spacing w:after="520"/>
      <w:jc w:val="right"/>
      <w:rPr>
        <w:rFonts w:ascii="Arial" w:hAnsi="Arial" w:cs="Arial"/>
        <w:b/>
        <w:sz w:val="44"/>
        <w:szCs w:val="44"/>
        <w:lang w:val="en-GB"/>
      </w:rPr>
    </w:pPr>
    <w:r>
      <w:rPr>
        <w:rFonts w:ascii="Arial" w:hAnsi="Arial" w:cs="Arial"/>
        <w:b/>
        <w:sz w:val="44"/>
        <w:szCs w:val="44"/>
        <w:lang w:val="en-GB"/>
      </w:rPr>
      <w:t>1</w:t>
    </w:r>
    <w:r w:rsidR="00C5776D">
      <w:rPr>
        <w:rFonts w:ascii="Arial" w:hAnsi="Arial" w:cs="Arial"/>
        <w:b/>
        <w:sz w:val="44"/>
        <w:szCs w:val="44"/>
        <w:lang w:val="en-GB"/>
      </w:rPr>
      <w:t>4</w:t>
    </w:r>
    <w:r w:rsidR="00EC6F8D" w:rsidRPr="00F30DC6">
      <w:rPr>
        <w:rFonts w:ascii="Arial" w:hAnsi="Arial" w:cs="Arial"/>
        <w:b/>
        <w:sz w:val="44"/>
        <w:szCs w:val="44"/>
        <w:lang w:val="en-GB"/>
      </w:rPr>
      <w:t xml:space="preserve"> COM</w:t>
    </w:r>
  </w:p>
  <w:p w14:paraId="6108ABA3" w14:textId="77777777" w:rsidR="00D95C4C" w:rsidRPr="009D5428" w:rsidRDefault="00C5776D" w:rsidP="00C5776D">
    <w:pPr>
      <w:jc w:val="right"/>
      <w:rPr>
        <w:rFonts w:ascii="Arial" w:hAnsi="Arial" w:cs="Arial"/>
        <w:b/>
        <w:sz w:val="22"/>
        <w:szCs w:val="22"/>
        <w:lang w:val="en-GB"/>
      </w:rPr>
    </w:pPr>
    <w:r>
      <w:rPr>
        <w:rFonts w:ascii="Arial" w:hAnsi="Arial" w:cs="Arial"/>
        <w:b/>
        <w:sz w:val="22"/>
        <w:szCs w:val="22"/>
        <w:lang w:val="en-GB"/>
      </w:rPr>
      <w:t>LHE</w:t>
    </w:r>
    <w:r w:rsidR="00337CEB">
      <w:rPr>
        <w:rFonts w:ascii="Arial" w:hAnsi="Arial" w:cs="Arial"/>
        <w:b/>
        <w:sz w:val="22"/>
        <w:szCs w:val="22"/>
        <w:lang w:val="en-GB"/>
      </w:rPr>
      <w:t>/1</w:t>
    </w:r>
    <w:r>
      <w:rPr>
        <w:rFonts w:ascii="Arial" w:hAnsi="Arial" w:cs="Arial"/>
        <w:b/>
        <w:sz w:val="22"/>
        <w:szCs w:val="22"/>
        <w:lang w:val="en-GB"/>
      </w:rPr>
      <w:t>9</w:t>
    </w:r>
    <w:r w:rsidR="00D95C4C" w:rsidRPr="009D5428">
      <w:rPr>
        <w:rFonts w:ascii="Arial" w:hAnsi="Arial" w:cs="Arial"/>
        <w:b/>
        <w:sz w:val="22"/>
        <w:szCs w:val="22"/>
        <w:lang w:val="en-GB"/>
      </w:rPr>
      <w:t>/</w:t>
    </w:r>
    <w:r w:rsidR="00CB0542">
      <w:rPr>
        <w:rFonts w:ascii="Arial" w:hAnsi="Arial" w:cs="Arial"/>
        <w:b/>
        <w:sz w:val="22"/>
        <w:szCs w:val="22"/>
        <w:lang w:val="en-GB"/>
      </w:rPr>
      <w:t>1</w:t>
    </w:r>
    <w:r>
      <w:rPr>
        <w:rFonts w:ascii="Arial" w:hAnsi="Arial" w:cs="Arial"/>
        <w:b/>
        <w:sz w:val="22"/>
        <w:szCs w:val="22"/>
        <w:lang w:val="en-GB"/>
      </w:rPr>
      <w:t>4</w:t>
    </w:r>
    <w:r w:rsidR="00D95C4C" w:rsidRPr="009D5428">
      <w:rPr>
        <w:rFonts w:ascii="Arial" w:hAnsi="Arial" w:cs="Arial"/>
        <w:b/>
        <w:sz w:val="22"/>
        <w:szCs w:val="22"/>
        <w:lang w:val="en-GB"/>
      </w:rPr>
      <w:t>.</w:t>
    </w:r>
    <w:r w:rsidR="00EC6F8D" w:rsidRPr="009D5428">
      <w:rPr>
        <w:rFonts w:ascii="Arial" w:hAnsi="Arial" w:cs="Arial"/>
        <w:b/>
        <w:sz w:val="22"/>
        <w:szCs w:val="22"/>
        <w:lang w:val="en-GB"/>
      </w:rPr>
      <w:t>COM</w:t>
    </w:r>
    <w:r w:rsidR="00D95C4C" w:rsidRPr="009D5428">
      <w:rPr>
        <w:rFonts w:ascii="Arial" w:hAnsi="Arial" w:cs="Arial"/>
        <w:b/>
        <w:sz w:val="22"/>
        <w:szCs w:val="22"/>
        <w:lang w:val="en-GB"/>
      </w:rPr>
      <w:t>/</w:t>
    </w:r>
    <w:r w:rsidR="00CA663A">
      <w:rPr>
        <w:rFonts w:ascii="Arial" w:hAnsi="Arial" w:cs="Arial"/>
        <w:b/>
        <w:sz w:val="22"/>
        <w:szCs w:val="22"/>
        <w:lang w:val="en-GB"/>
      </w:rPr>
      <w:t>8</w:t>
    </w:r>
  </w:p>
  <w:p w14:paraId="24AD6934" w14:textId="0C1943EF" w:rsidR="00D95C4C" w:rsidRPr="00337CEB" w:rsidRDefault="00D95C4C" w:rsidP="00655736">
    <w:pPr>
      <w:jc w:val="right"/>
      <w:rPr>
        <w:rFonts w:ascii="Arial" w:eastAsiaTheme="minorEastAsia" w:hAnsi="Arial" w:cs="Arial"/>
        <w:b/>
        <w:sz w:val="22"/>
        <w:szCs w:val="22"/>
        <w:lang w:val="en-GB" w:eastAsia="ko-KR"/>
      </w:rPr>
    </w:pPr>
    <w:r w:rsidRPr="009D5428">
      <w:rPr>
        <w:rFonts w:ascii="Arial" w:hAnsi="Arial" w:cs="Arial"/>
        <w:b/>
        <w:sz w:val="22"/>
        <w:szCs w:val="22"/>
        <w:lang w:val="en-GB"/>
      </w:rPr>
      <w:t xml:space="preserve">Paris, </w:t>
    </w:r>
    <w:r w:rsidR="00FF1D62">
      <w:rPr>
        <w:rFonts w:ascii="Arial" w:hAnsi="Arial" w:cs="Arial"/>
        <w:b/>
        <w:sz w:val="22"/>
        <w:szCs w:val="22"/>
        <w:lang w:val="en-GB"/>
      </w:rPr>
      <w:t>6</w:t>
    </w:r>
    <w:r w:rsidR="006E11FA">
      <w:rPr>
        <w:rFonts w:ascii="Arial" w:hAnsi="Arial" w:cs="Arial"/>
        <w:b/>
        <w:sz w:val="22"/>
        <w:szCs w:val="22"/>
        <w:lang w:val="en-GB"/>
      </w:rPr>
      <w:t xml:space="preserve"> November</w:t>
    </w:r>
    <w:r w:rsidRPr="00F32C23">
      <w:rPr>
        <w:rFonts w:ascii="Arial" w:hAnsi="Arial" w:cs="Arial"/>
        <w:b/>
        <w:sz w:val="22"/>
        <w:szCs w:val="22"/>
        <w:lang w:val="en-GB"/>
      </w:rPr>
      <w:t xml:space="preserve"> </w:t>
    </w:r>
    <w:r w:rsidR="00337CEB">
      <w:rPr>
        <w:rFonts w:ascii="Arial" w:hAnsi="Arial" w:cs="Arial"/>
        <w:b/>
        <w:sz w:val="22"/>
        <w:szCs w:val="22"/>
        <w:lang w:val="en-GB"/>
      </w:rPr>
      <w:t>201</w:t>
    </w:r>
    <w:r w:rsidR="00C5776D">
      <w:rPr>
        <w:rFonts w:ascii="Arial" w:eastAsiaTheme="minorEastAsia" w:hAnsi="Arial" w:cs="Arial"/>
        <w:b/>
        <w:sz w:val="22"/>
        <w:szCs w:val="22"/>
        <w:lang w:val="en-GB" w:eastAsia="ko-KR"/>
      </w:rPr>
      <w:t>9</w:t>
    </w:r>
  </w:p>
  <w:p w14:paraId="2BA9B354" w14:textId="77777777" w:rsidR="00D95C4C" w:rsidRPr="00F32C23" w:rsidRDefault="00D95C4C"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sidR="00CA663A">
      <w:rPr>
        <w:rFonts w:ascii="Arial" w:hAnsi="Arial" w:cs="Arial"/>
        <w:b/>
        <w:sz w:val="22"/>
        <w:szCs w:val="22"/>
        <w:lang w:val="en-GB"/>
      </w:rPr>
      <w:t>English</w:t>
    </w:r>
  </w:p>
  <w:p w14:paraId="28516347" w14:textId="77777777" w:rsidR="00D95C4C" w:rsidRPr="00E95AE2" w:rsidRDefault="00D95C4C">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931277D"/>
    <w:multiLevelType w:val="hybridMultilevel"/>
    <w:tmpl w:val="432C81A2"/>
    <w:lvl w:ilvl="0" w:tplc="BD168470">
      <w:start w:val="3"/>
      <w:numFmt w:val="upperLetter"/>
      <w:lvlText w:val="%1."/>
      <w:lvlJc w:val="left"/>
      <w:pPr>
        <w:ind w:left="360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872745"/>
    <w:multiLevelType w:val="multilevel"/>
    <w:tmpl w:val="62724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F07BFE"/>
    <w:multiLevelType w:val="hybridMultilevel"/>
    <w:tmpl w:val="52DC53EE"/>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F82741C">
      <w:start w:val="1"/>
      <w:numFmt w:val="upperLetter"/>
      <w:lvlText w:val="%5."/>
      <w:lvlJc w:val="left"/>
      <w:pPr>
        <w:ind w:left="3600" w:hanging="360"/>
      </w:pPr>
      <w:rPr>
        <w:rFonts w:hint="default"/>
        <w:b/>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A38672C"/>
    <w:multiLevelType w:val="hybridMultilevel"/>
    <w:tmpl w:val="807C7EA4"/>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5CCB1958"/>
    <w:multiLevelType w:val="hybridMultilevel"/>
    <w:tmpl w:val="C83A03E2"/>
    <w:lvl w:ilvl="0" w:tplc="040C0015">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E963642"/>
    <w:multiLevelType w:val="hybridMultilevel"/>
    <w:tmpl w:val="751C119E"/>
    <w:lvl w:ilvl="0" w:tplc="040C0019">
      <w:start w:val="1"/>
      <w:numFmt w:val="lowerLetter"/>
      <w:lvlText w:val="%1."/>
      <w:lvlJc w:val="left"/>
      <w:pPr>
        <w:ind w:left="4320" w:hanging="360"/>
      </w:pPr>
    </w:lvl>
    <w:lvl w:ilvl="1" w:tplc="040C0019" w:tentative="1">
      <w:start w:val="1"/>
      <w:numFmt w:val="lowerLetter"/>
      <w:lvlText w:val="%2."/>
      <w:lvlJc w:val="left"/>
      <w:pPr>
        <w:ind w:left="5040" w:hanging="360"/>
      </w:pPr>
    </w:lvl>
    <w:lvl w:ilvl="2" w:tplc="040C001B" w:tentative="1">
      <w:start w:val="1"/>
      <w:numFmt w:val="lowerRoman"/>
      <w:lvlText w:val="%3."/>
      <w:lvlJc w:val="right"/>
      <w:pPr>
        <w:ind w:left="5760" w:hanging="180"/>
      </w:pPr>
    </w:lvl>
    <w:lvl w:ilvl="3" w:tplc="040C000F" w:tentative="1">
      <w:start w:val="1"/>
      <w:numFmt w:val="decimal"/>
      <w:lvlText w:val="%4."/>
      <w:lvlJc w:val="left"/>
      <w:pPr>
        <w:ind w:left="6480" w:hanging="360"/>
      </w:pPr>
    </w:lvl>
    <w:lvl w:ilvl="4" w:tplc="040C0019" w:tentative="1">
      <w:start w:val="1"/>
      <w:numFmt w:val="lowerLetter"/>
      <w:lvlText w:val="%5."/>
      <w:lvlJc w:val="left"/>
      <w:pPr>
        <w:ind w:left="7200" w:hanging="360"/>
      </w:pPr>
    </w:lvl>
    <w:lvl w:ilvl="5" w:tplc="040C001B" w:tentative="1">
      <w:start w:val="1"/>
      <w:numFmt w:val="lowerRoman"/>
      <w:lvlText w:val="%6."/>
      <w:lvlJc w:val="right"/>
      <w:pPr>
        <w:ind w:left="7920" w:hanging="180"/>
      </w:pPr>
    </w:lvl>
    <w:lvl w:ilvl="6" w:tplc="040C000F" w:tentative="1">
      <w:start w:val="1"/>
      <w:numFmt w:val="decimal"/>
      <w:lvlText w:val="%7."/>
      <w:lvlJc w:val="left"/>
      <w:pPr>
        <w:ind w:left="8640" w:hanging="360"/>
      </w:pPr>
    </w:lvl>
    <w:lvl w:ilvl="7" w:tplc="040C0019" w:tentative="1">
      <w:start w:val="1"/>
      <w:numFmt w:val="lowerLetter"/>
      <w:lvlText w:val="%8."/>
      <w:lvlJc w:val="left"/>
      <w:pPr>
        <w:ind w:left="9360" w:hanging="360"/>
      </w:pPr>
    </w:lvl>
    <w:lvl w:ilvl="8" w:tplc="040C001B" w:tentative="1">
      <w:start w:val="1"/>
      <w:numFmt w:val="lowerRoman"/>
      <w:lvlText w:val="%9."/>
      <w:lvlJc w:val="right"/>
      <w:pPr>
        <w:ind w:left="10080" w:hanging="180"/>
      </w:pPr>
    </w:lvl>
  </w:abstractNum>
  <w:abstractNum w:abstractNumId="16" w15:restartNumberingAfterBreak="0">
    <w:nsid w:val="6F641E95"/>
    <w:multiLevelType w:val="hybridMultilevel"/>
    <w:tmpl w:val="032AC1BA"/>
    <w:lvl w:ilvl="0" w:tplc="040C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C627CF4"/>
    <w:multiLevelType w:val="hybridMultilevel"/>
    <w:tmpl w:val="C5527DE8"/>
    <w:lvl w:ilvl="0" w:tplc="040C0015">
      <w:start w:val="1"/>
      <w:numFmt w:val="upp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13"/>
  </w:num>
  <w:num w:numId="2">
    <w:abstractNumId w:val="6"/>
  </w:num>
  <w:num w:numId="3">
    <w:abstractNumId w:val="2"/>
  </w:num>
  <w:num w:numId="4">
    <w:abstractNumId w:val="17"/>
  </w:num>
  <w:num w:numId="5">
    <w:abstractNumId w:val="14"/>
  </w:num>
  <w:num w:numId="6">
    <w:abstractNumId w:val="0"/>
  </w:num>
  <w:num w:numId="7">
    <w:abstractNumId w:val="3"/>
  </w:num>
  <w:num w:numId="8">
    <w:abstractNumId w:val="10"/>
  </w:num>
  <w:num w:numId="9">
    <w:abstractNumId w:val="5"/>
  </w:num>
  <w:num w:numId="10">
    <w:abstractNumId w:val="7"/>
  </w:num>
  <w:num w:numId="11">
    <w:abstractNumId w:val="9"/>
  </w:num>
  <w:num w:numId="12">
    <w:abstractNumId w:val="8"/>
  </w:num>
  <w:num w:numId="13">
    <w:abstractNumId w:val="5"/>
  </w:num>
  <w:num w:numId="14">
    <w:abstractNumId w:val="5"/>
    <w:lvlOverride w:ilvl="0">
      <w:startOverride w:val="1"/>
    </w:lvlOverride>
  </w:num>
  <w:num w:numId="15">
    <w:abstractNumId w:val="4"/>
  </w:num>
  <w:num w:numId="16">
    <w:abstractNumId w:val="5"/>
  </w:num>
  <w:num w:numId="17">
    <w:abstractNumId w:val="5"/>
    <w:lvlOverride w:ilvl="0">
      <w:startOverride w:val="1"/>
    </w:lvlOverride>
  </w:num>
  <w:num w:numId="18">
    <w:abstractNumId w:val="11"/>
  </w:num>
  <w:num w:numId="19">
    <w:abstractNumId w:val="5"/>
  </w:num>
  <w:num w:numId="20">
    <w:abstractNumId w:val="5"/>
  </w:num>
  <w:num w:numId="21">
    <w:abstractNumId w:val="5"/>
  </w:num>
  <w:num w:numId="22">
    <w:abstractNumId w:val="5"/>
  </w:num>
  <w:num w:numId="23">
    <w:abstractNumId w:val="5"/>
  </w:num>
  <w:num w:numId="24">
    <w:abstractNumId w:val="5"/>
  </w:num>
  <w:num w:numId="25">
    <w:abstractNumId w:val="15"/>
  </w:num>
  <w:num w:numId="26">
    <w:abstractNumId w:val="5"/>
  </w:num>
  <w:num w:numId="27">
    <w:abstractNumId w:val="16"/>
  </w:num>
  <w:num w:numId="28">
    <w:abstractNumId w:val="5"/>
  </w:num>
  <w:num w:numId="29">
    <w:abstractNumId w:val="5"/>
  </w:num>
  <w:num w:numId="30">
    <w:abstractNumId w:val="12"/>
  </w:num>
  <w:num w:numId="31">
    <w:abstractNumId w:val="5"/>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34">
    <w:abstractNumId w:val="5"/>
  </w:num>
  <w:num w:numId="35">
    <w:abstractNumId w:val="5"/>
  </w:num>
  <w:num w:numId="36">
    <w:abstractNumId w:val="1"/>
  </w:num>
  <w:num w:numId="37">
    <w:abstractNumId w:val="18"/>
  </w:num>
  <w:num w:numId="38">
    <w:abstractNumId w:val="7"/>
  </w:num>
  <w:num w:numId="3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8ED"/>
    <w:rsid w:val="00041A66"/>
    <w:rsid w:val="0005176E"/>
    <w:rsid w:val="00056754"/>
    <w:rsid w:val="00064D5E"/>
    <w:rsid w:val="000765F7"/>
    <w:rsid w:val="00077AB7"/>
    <w:rsid w:val="00081CD8"/>
    <w:rsid w:val="00097449"/>
    <w:rsid w:val="000A7002"/>
    <w:rsid w:val="000A7F0E"/>
    <w:rsid w:val="000B1C8F"/>
    <w:rsid w:val="000B5BC2"/>
    <w:rsid w:val="000C0D61"/>
    <w:rsid w:val="000F3A3F"/>
    <w:rsid w:val="001016E7"/>
    <w:rsid w:val="00102557"/>
    <w:rsid w:val="00106BD0"/>
    <w:rsid w:val="00123E05"/>
    <w:rsid w:val="00134D83"/>
    <w:rsid w:val="001370A6"/>
    <w:rsid w:val="00164D56"/>
    <w:rsid w:val="00167B10"/>
    <w:rsid w:val="0017402F"/>
    <w:rsid w:val="001926E2"/>
    <w:rsid w:val="00196C1B"/>
    <w:rsid w:val="001A775B"/>
    <w:rsid w:val="001B0F73"/>
    <w:rsid w:val="001C2DB7"/>
    <w:rsid w:val="001D14FE"/>
    <w:rsid w:val="001D5C04"/>
    <w:rsid w:val="001E1CD0"/>
    <w:rsid w:val="001F0FFD"/>
    <w:rsid w:val="001F26CF"/>
    <w:rsid w:val="001F729B"/>
    <w:rsid w:val="00212429"/>
    <w:rsid w:val="00222A2D"/>
    <w:rsid w:val="00223029"/>
    <w:rsid w:val="002266C6"/>
    <w:rsid w:val="0023268E"/>
    <w:rsid w:val="00234745"/>
    <w:rsid w:val="002351A6"/>
    <w:rsid w:val="002407AF"/>
    <w:rsid w:val="002425C3"/>
    <w:rsid w:val="002516CC"/>
    <w:rsid w:val="00270D7B"/>
    <w:rsid w:val="00271FB2"/>
    <w:rsid w:val="00272420"/>
    <w:rsid w:val="0027466B"/>
    <w:rsid w:val="002838A5"/>
    <w:rsid w:val="00285BB4"/>
    <w:rsid w:val="002A0951"/>
    <w:rsid w:val="002C09E3"/>
    <w:rsid w:val="002E74AF"/>
    <w:rsid w:val="00316D2F"/>
    <w:rsid w:val="00322300"/>
    <w:rsid w:val="00325BA2"/>
    <w:rsid w:val="00337CEB"/>
    <w:rsid w:val="0034230C"/>
    <w:rsid w:val="00344279"/>
    <w:rsid w:val="00344B58"/>
    <w:rsid w:val="0034539A"/>
    <w:rsid w:val="00345CB4"/>
    <w:rsid w:val="00355829"/>
    <w:rsid w:val="00375D42"/>
    <w:rsid w:val="00377BD4"/>
    <w:rsid w:val="003A7B78"/>
    <w:rsid w:val="003C29C3"/>
    <w:rsid w:val="003D069C"/>
    <w:rsid w:val="003D732D"/>
    <w:rsid w:val="003D7646"/>
    <w:rsid w:val="003E3A41"/>
    <w:rsid w:val="003F113A"/>
    <w:rsid w:val="003F3E63"/>
    <w:rsid w:val="00407480"/>
    <w:rsid w:val="00414643"/>
    <w:rsid w:val="004166F6"/>
    <w:rsid w:val="004421E5"/>
    <w:rsid w:val="00452284"/>
    <w:rsid w:val="00457C8E"/>
    <w:rsid w:val="00475044"/>
    <w:rsid w:val="004856CA"/>
    <w:rsid w:val="00487D96"/>
    <w:rsid w:val="00487E67"/>
    <w:rsid w:val="0049705E"/>
    <w:rsid w:val="004A34A0"/>
    <w:rsid w:val="005008A8"/>
    <w:rsid w:val="005043BB"/>
    <w:rsid w:val="00514A8B"/>
    <w:rsid w:val="00526B7B"/>
    <w:rsid w:val="005308CE"/>
    <w:rsid w:val="0053318C"/>
    <w:rsid w:val="005565FB"/>
    <w:rsid w:val="005652E4"/>
    <w:rsid w:val="0057439C"/>
    <w:rsid w:val="005B0127"/>
    <w:rsid w:val="005B778D"/>
    <w:rsid w:val="005B7A35"/>
    <w:rsid w:val="005C4B73"/>
    <w:rsid w:val="005D099C"/>
    <w:rsid w:val="005E1D2B"/>
    <w:rsid w:val="005E7074"/>
    <w:rsid w:val="005F2BAF"/>
    <w:rsid w:val="00600D93"/>
    <w:rsid w:val="0060105E"/>
    <w:rsid w:val="00630AE6"/>
    <w:rsid w:val="0063300C"/>
    <w:rsid w:val="0064704A"/>
    <w:rsid w:val="00655736"/>
    <w:rsid w:val="006637BD"/>
    <w:rsid w:val="00663B8D"/>
    <w:rsid w:val="006754C1"/>
    <w:rsid w:val="00686B18"/>
    <w:rsid w:val="00696C8D"/>
    <w:rsid w:val="006A2AC2"/>
    <w:rsid w:val="006A3617"/>
    <w:rsid w:val="006A76A9"/>
    <w:rsid w:val="006B5E9B"/>
    <w:rsid w:val="006C6C8F"/>
    <w:rsid w:val="006D2EEC"/>
    <w:rsid w:val="006E11FA"/>
    <w:rsid w:val="006E46E4"/>
    <w:rsid w:val="00717DA5"/>
    <w:rsid w:val="00744484"/>
    <w:rsid w:val="00747566"/>
    <w:rsid w:val="007512AE"/>
    <w:rsid w:val="007525C0"/>
    <w:rsid w:val="0076002B"/>
    <w:rsid w:val="00763638"/>
    <w:rsid w:val="00773188"/>
    <w:rsid w:val="007777B6"/>
    <w:rsid w:val="00783782"/>
    <w:rsid w:val="00784B8C"/>
    <w:rsid w:val="007879E1"/>
    <w:rsid w:val="00794C09"/>
    <w:rsid w:val="007D2547"/>
    <w:rsid w:val="00800C8D"/>
    <w:rsid w:val="00823A11"/>
    <w:rsid w:val="0085405E"/>
    <w:rsid w:val="0085414A"/>
    <w:rsid w:val="00856BB6"/>
    <w:rsid w:val="00857046"/>
    <w:rsid w:val="00857788"/>
    <w:rsid w:val="0086269D"/>
    <w:rsid w:val="0086543A"/>
    <w:rsid w:val="008665CA"/>
    <w:rsid w:val="008724E5"/>
    <w:rsid w:val="008829EB"/>
    <w:rsid w:val="00884A9D"/>
    <w:rsid w:val="0088512B"/>
    <w:rsid w:val="008A2B2D"/>
    <w:rsid w:val="008A4E1E"/>
    <w:rsid w:val="008A6BFC"/>
    <w:rsid w:val="008B73BF"/>
    <w:rsid w:val="008C296C"/>
    <w:rsid w:val="008D4305"/>
    <w:rsid w:val="008E1A85"/>
    <w:rsid w:val="009163A7"/>
    <w:rsid w:val="0092668E"/>
    <w:rsid w:val="00943084"/>
    <w:rsid w:val="00946D0B"/>
    <w:rsid w:val="00955877"/>
    <w:rsid w:val="009A18CD"/>
    <w:rsid w:val="009D5428"/>
    <w:rsid w:val="00A12558"/>
    <w:rsid w:val="00A13903"/>
    <w:rsid w:val="00A34ED5"/>
    <w:rsid w:val="00A420D4"/>
    <w:rsid w:val="00A45DBF"/>
    <w:rsid w:val="00A54FD5"/>
    <w:rsid w:val="00A57616"/>
    <w:rsid w:val="00A66E94"/>
    <w:rsid w:val="00A755A2"/>
    <w:rsid w:val="00A83458"/>
    <w:rsid w:val="00AA0E34"/>
    <w:rsid w:val="00AA6660"/>
    <w:rsid w:val="00AB2C36"/>
    <w:rsid w:val="00AB6DDE"/>
    <w:rsid w:val="00AB70B6"/>
    <w:rsid w:val="00AC066E"/>
    <w:rsid w:val="00AD1A86"/>
    <w:rsid w:val="00AD251E"/>
    <w:rsid w:val="00AE103E"/>
    <w:rsid w:val="00AF0A07"/>
    <w:rsid w:val="00AF33F2"/>
    <w:rsid w:val="00AF4AEC"/>
    <w:rsid w:val="00AF625E"/>
    <w:rsid w:val="00B139BE"/>
    <w:rsid w:val="00B24CE8"/>
    <w:rsid w:val="00B318A6"/>
    <w:rsid w:val="00B55F70"/>
    <w:rsid w:val="00BA241A"/>
    <w:rsid w:val="00BB04AF"/>
    <w:rsid w:val="00BB0597"/>
    <w:rsid w:val="00BB4BE8"/>
    <w:rsid w:val="00BD25F3"/>
    <w:rsid w:val="00BD30BC"/>
    <w:rsid w:val="00BD52C9"/>
    <w:rsid w:val="00BD646D"/>
    <w:rsid w:val="00BE6354"/>
    <w:rsid w:val="00BF5DE7"/>
    <w:rsid w:val="00C138D1"/>
    <w:rsid w:val="00C23A97"/>
    <w:rsid w:val="00C2734F"/>
    <w:rsid w:val="00C32F0B"/>
    <w:rsid w:val="00C54A46"/>
    <w:rsid w:val="00C5776D"/>
    <w:rsid w:val="00C64855"/>
    <w:rsid w:val="00C70EA7"/>
    <w:rsid w:val="00C7433F"/>
    <w:rsid w:val="00C7516E"/>
    <w:rsid w:val="00C75770"/>
    <w:rsid w:val="00C85C8F"/>
    <w:rsid w:val="00C9689B"/>
    <w:rsid w:val="00CA4E3C"/>
    <w:rsid w:val="00CA56BB"/>
    <w:rsid w:val="00CA663A"/>
    <w:rsid w:val="00CB0542"/>
    <w:rsid w:val="00CB3D8A"/>
    <w:rsid w:val="00CD139E"/>
    <w:rsid w:val="00D00B2B"/>
    <w:rsid w:val="00D06781"/>
    <w:rsid w:val="00D10C89"/>
    <w:rsid w:val="00D24877"/>
    <w:rsid w:val="00D46BCF"/>
    <w:rsid w:val="00D8250F"/>
    <w:rsid w:val="00D95C4C"/>
    <w:rsid w:val="00DA36ED"/>
    <w:rsid w:val="00DA7B37"/>
    <w:rsid w:val="00DB27D1"/>
    <w:rsid w:val="00DC3900"/>
    <w:rsid w:val="00DD2E75"/>
    <w:rsid w:val="00DE34F1"/>
    <w:rsid w:val="00DE6160"/>
    <w:rsid w:val="00DF32F6"/>
    <w:rsid w:val="00DF4942"/>
    <w:rsid w:val="00E03020"/>
    <w:rsid w:val="00E12381"/>
    <w:rsid w:val="00E23A58"/>
    <w:rsid w:val="00E244E1"/>
    <w:rsid w:val="00E31A7A"/>
    <w:rsid w:val="00E362A1"/>
    <w:rsid w:val="00E47678"/>
    <w:rsid w:val="00E5453F"/>
    <w:rsid w:val="00E5480C"/>
    <w:rsid w:val="00E627B1"/>
    <w:rsid w:val="00E70169"/>
    <w:rsid w:val="00E801E1"/>
    <w:rsid w:val="00E87D25"/>
    <w:rsid w:val="00E9376C"/>
    <w:rsid w:val="00E95AE2"/>
    <w:rsid w:val="00EA335E"/>
    <w:rsid w:val="00EA528C"/>
    <w:rsid w:val="00EA580C"/>
    <w:rsid w:val="00EC6D0F"/>
    <w:rsid w:val="00EC6F8D"/>
    <w:rsid w:val="00EE49F4"/>
    <w:rsid w:val="00EE7B10"/>
    <w:rsid w:val="00EF34E2"/>
    <w:rsid w:val="00EF6442"/>
    <w:rsid w:val="00F26C9F"/>
    <w:rsid w:val="00F30512"/>
    <w:rsid w:val="00F30DC6"/>
    <w:rsid w:val="00F32C23"/>
    <w:rsid w:val="00F42FF5"/>
    <w:rsid w:val="00F4615B"/>
    <w:rsid w:val="00F53D5C"/>
    <w:rsid w:val="00F53DE9"/>
    <w:rsid w:val="00F576CB"/>
    <w:rsid w:val="00F7035D"/>
    <w:rsid w:val="00F70600"/>
    <w:rsid w:val="00F71A02"/>
    <w:rsid w:val="00F84EF3"/>
    <w:rsid w:val="00F9074B"/>
    <w:rsid w:val="00FA0D63"/>
    <w:rsid w:val="00FA52A9"/>
    <w:rsid w:val="00FC5880"/>
    <w:rsid w:val="00FD1226"/>
    <w:rsid w:val="00FF1D62"/>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952569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13"/>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7525C0"/>
    <w:rPr>
      <w:color w:val="0000FF" w:themeColor="hyperlink"/>
      <w:u w:val="single"/>
    </w:rPr>
  </w:style>
  <w:style w:type="character" w:customStyle="1" w:styleId="atenuated">
    <w:name w:val="atenuated"/>
    <w:basedOn w:val="DefaultParagraphFont"/>
    <w:rsid w:val="007525C0"/>
  </w:style>
  <w:style w:type="character" w:styleId="FollowedHyperlink">
    <w:name w:val="FollowedHyperlink"/>
    <w:basedOn w:val="DefaultParagraphFont"/>
    <w:uiPriority w:val="99"/>
    <w:semiHidden/>
    <w:unhideWhenUsed/>
    <w:rsid w:val="00F26C9F"/>
    <w:rPr>
      <w:color w:val="800080" w:themeColor="followedHyperlink"/>
      <w:u w:val="single"/>
    </w:rPr>
  </w:style>
  <w:style w:type="paragraph" w:styleId="FootnoteText">
    <w:name w:val="footnote text"/>
    <w:basedOn w:val="Normal"/>
    <w:link w:val="FootnoteTextChar"/>
    <w:uiPriority w:val="99"/>
    <w:unhideWhenUsed/>
    <w:rsid w:val="00B24CE8"/>
    <w:rPr>
      <w:sz w:val="20"/>
      <w:szCs w:val="20"/>
    </w:rPr>
  </w:style>
  <w:style w:type="character" w:customStyle="1" w:styleId="FootnoteTextChar">
    <w:name w:val="Footnote Text Char"/>
    <w:basedOn w:val="DefaultParagraphFont"/>
    <w:link w:val="FootnoteText"/>
    <w:uiPriority w:val="99"/>
    <w:rsid w:val="00B24CE8"/>
    <w:rPr>
      <w:rFonts w:ascii="Times New Roman" w:eastAsia="Times New Roman" w:hAnsi="Times New Roman"/>
    </w:rPr>
  </w:style>
  <w:style w:type="character" w:styleId="FootnoteReference">
    <w:name w:val="footnote reference"/>
    <w:uiPriority w:val="99"/>
    <w:semiHidden/>
    <w:unhideWhenUsed/>
    <w:rsid w:val="00B24CE8"/>
    <w:rPr>
      <w:vertAlign w:val="superscript"/>
    </w:rPr>
  </w:style>
  <w:style w:type="paragraph" w:customStyle="1" w:styleId="1GAPara">
    <w:name w:val="1. GA Para"/>
    <w:qFormat/>
    <w:rsid w:val="005652E4"/>
    <w:pPr>
      <w:spacing w:after="120"/>
      <w:ind w:left="720" w:hanging="360"/>
    </w:pPr>
    <w:rPr>
      <w:rFonts w:ascii="Arial" w:eastAsia="Times New Roman" w:hAnsi="Arial" w:cs="Arial"/>
      <w:snapToGrid w:val="0"/>
      <w:sz w:val="22"/>
      <w:szCs w:val="22"/>
      <w:lang w:val="en-GB" w:eastAsia="en-US"/>
    </w:rPr>
  </w:style>
  <w:style w:type="character" w:styleId="CommentReference">
    <w:name w:val="annotation reference"/>
    <w:basedOn w:val="DefaultParagraphFont"/>
    <w:uiPriority w:val="99"/>
    <w:semiHidden/>
    <w:unhideWhenUsed/>
    <w:rsid w:val="004166F6"/>
    <w:rPr>
      <w:sz w:val="16"/>
      <w:szCs w:val="16"/>
    </w:rPr>
  </w:style>
  <w:style w:type="paragraph" w:styleId="CommentText">
    <w:name w:val="annotation text"/>
    <w:basedOn w:val="Normal"/>
    <w:link w:val="CommentTextChar"/>
    <w:uiPriority w:val="99"/>
    <w:semiHidden/>
    <w:unhideWhenUsed/>
    <w:rsid w:val="004166F6"/>
    <w:rPr>
      <w:sz w:val="20"/>
      <w:szCs w:val="20"/>
    </w:rPr>
  </w:style>
  <w:style w:type="character" w:customStyle="1" w:styleId="CommentTextChar">
    <w:name w:val="Comment Text Char"/>
    <w:basedOn w:val="DefaultParagraphFont"/>
    <w:link w:val="CommentText"/>
    <w:uiPriority w:val="99"/>
    <w:semiHidden/>
    <w:rsid w:val="004166F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166F6"/>
    <w:rPr>
      <w:b/>
      <w:bCs/>
    </w:rPr>
  </w:style>
  <w:style w:type="character" w:customStyle="1" w:styleId="CommentSubjectChar">
    <w:name w:val="Comment Subject Char"/>
    <w:basedOn w:val="CommentTextChar"/>
    <w:link w:val="CommentSubject"/>
    <w:uiPriority w:val="99"/>
    <w:semiHidden/>
    <w:rsid w:val="004166F6"/>
    <w:rPr>
      <w:rFonts w:ascii="Times New Roman" w:eastAsia="Times New Roman" w:hAnsi="Times New Roman"/>
      <w:b/>
      <w:bCs/>
    </w:rPr>
  </w:style>
  <w:style w:type="paragraph" w:styleId="Revision">
    <w:name w:val="Revision"/>
    <w:hidden/>
    <w:uiPriority w:val="99"/>
    <w:semiHidden/>
    <w:rsid w:val="008A6BF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12737690">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027436468">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2.COM/10" TargetMode="External"/><Relationship Id="rId13" Type="http://schemas.openxmlformats.org/officeDocument/2006/relationships/hyperlink" Target="https://ich.unesco.org/doc/src/LHE-19-14.COM-9.a-EN.docx" TargetMode="External"/><Relationship Id="rId18" Type="http://schemas.openxmlformats.org/officeDocument/2006/relationships/hyperlink" Target="https://ich.unesco.org/en/Resolutions/7.GA/10"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ch.unesco.org/en/Decisions/13.COM/8" TargetMode="External"/><Relationship Id="rId17" Type="http://schemas.openxmlformats.org/officeDocument/2006/relationships/hyperlink" Target="https://ich.unesco.org/en/Decisions/13.COM/8" TargetMode="External"/><Relationship Id="rId2" Type="http://schemas.openxmlformats.org/officeDocument/2006/relationships/numbering" Target="numbering.xml"/><Relationship Id="rId16" Type="http://schemas.openxmlformats.org/officeDocument/2006/relationships/hyperlink" Target="https://ich.unesco.org/en/Decisions/12.COM/1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ITH-18-13.COM-8-EN.docx"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ich.unesco.org/en/Decisions/11.COM/6" TargetMode="External"/><Relationship Id="rId23" Type="http://schemas.openxmlformats.org/officeDocument/2006/relationships/theme" Target="theme/theme1.xml"/><Relationship Id="rId10" Type="http://schemas.openxmlformats.org/officeDocument/2006/relationships/hyperlink" Target="https://ich.unesco.org/en/Resolutions/7.GA/1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en/Resolutions/7.GA/9" TargetMode="External"/><Relationship Id="rId14" Type="http://schemas.openxmlformats.org/officeDocument/2006/relationships/hyperlink" Target="https://ich.unesco.org/doc/src/LHE-19-14.COM-12-EN.docx"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04F04-2B93-49D1-9942-4129E322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135</TotalTime>
  <Pages>5</Pages>
  <Words>2343</Words>
  <Characters>12888</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Scepi, Giovanni</dc:creator>
  <cp:lastModifiedBy>Thibault, Alice</cp:lastModifiedBy>
  <cp:revision>40</cp:revision>
  <cp:lastPrinted>2019-10-15T10:08:00Z</cp:lastPrinted>
  <dcterms:created xsi:type="dcterms:W3CDTF">2019-10-18T17:14:00Z</dcterms:created>
  <dcterms:modified xsi:type="dcterms:W3CDTF">2019-11-06T16:16:00Z</dcterms:modified>
</cp:coreProperties>
</file>