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46955B" w14:textId="77777777" w:rsidR="00CD0C99" w:rsidRPr="00293C60" w:rsidRDefault="00CD0C99" w:rsidP="00CD0C99">
      <w:pPr>
        <w:spacing w:before="1440"/>
        <w:jc w:val="center"/>
        <w:rPr>
          <w:rFonts w:ascii="Arial" w:hAnsi="Arial" w:cs="Arial"/>
          <w:b/>
          <w:sz w:val="22"/>
          <w:szCs w:val="22"/>
        </w:rPr>
      </w:pPr>
      <w:r>
        <w:rPr>
          <w:rFonts w:ascii="Arial" w:hAnsi="Arial"/>
          <w:b/>
          <w:sz w:val="22"/>
          <w:szCs w:val="22"/>
        </w:rPr>
        <w:t>CONVENTION POUR LA SAUVEGARDE</w:t>
      </w:r>
      <w:r>
        <w:rPr>
          <w:rFonts w:ascii="Arial" w:hAnsi="Arial"/>
          <w:b/>
          <w:sz w:val="22"/>
          <w:szCs w:val="22"/>
        </w:rPr>
        <w:br/>
        <w:t>DU PATRIMOINE CULTUREL IMMATÉRIEL</w:t>
      </w:r>
    </w:p>
    <w:p w14:paraId="20DC7849" w14:textId="0FAD49D9" w:rsidR="00CD0C99" w:rsidRPr="00293C60" w:rsidRDefault="00CD0C99" w:rsidP="00CD0C99">
      <w:pPr>
        <w:spacing w:before="1200"/>
        <w:jc w:val="center"/>
        <w:rPr>
          <w:rFonts w:ascii="Arial" w:hAnsi="Arial" w:cs="Arial"/>
          <w:b/>
          <w:sz w:val="22"/>
          <w:szCs w:val="22"/>
        </w:rPr>
      </w:pPr>
      <w:r>
        <w:rPr>
          <w:rFonts w:ascii="Arial" w:hAnsi="Arial"/>
          <w:b/>
          <w:sz w:val="22"/>
          <w:szCs w:val="22"/>
        </w:rPr>
        <w:t>COMITÉ INTERGOUVERNEMENTAL DE SAUVEGARDE</w:t>
      </w:r>
      <w:r>
        <w:rPr>
          <w:rFonts w:ascii="Arial" w:hAnsi="Arial"/>
          <w:b/>
          <w:sz w:val="22"/>
          <w:szCs w:val="22"/>
        </w:rPr>
        <w:br/>
        <w:t>DU PATRIMOINE CULTUREL IMMATÉRIEL</w:t>
      </w:r>
    </w:p>
    <w:p w14:paraId="44FF5326" w14:textId="77777777" w:rsidR="00CD0C99" w:rsidRPr="00293C60" w:rsidRDefault="00CD0C99" w:rsidP="00CD0C99">
      <w:pPr>
        <w:spacing w:before="840"/>
        <w:jc w:val="center"/>
        <w:rPr>
          <w:rFonts w:ascii="Arial" w:hAnsi="Arial" w:cs="Arial"/>
          <w:b/>
          <w:sz w:val="22"/>
          <w:szCs w:val="22"/>
        </w:rPr>
      </w:pPr>
      <w:r>
        <w:rPr>
          <w:rFonts w:ascii="Arial" w:hAnsi="Arial"/>
          <w:b/>
          <w:sz w:val="22"/>
          <w:szCs w:val="22"/>
        </w:rPr>
        <w:t>Quatorzième session</w:t>
      </w:r>
    </w:p>
    <w:p w14:paraId="1225AF5A" w14:textId="77777777" w:rsidR="00CD0C99" w:rsidRPr="00F83405" w:rsidRDefault="00CD0C99" w:rsidP="00CD0C99">
      <w:pPr>
        <w:jc w:val="center"/>
        <w:rPr>
          <w:rFonts w:ascii="Arial" w:eastAsia="Malgun Gothic" w:hAnsi="Arial" w:cs="Arial"/>
          <w:b/>
          <w:sz w:val="22"/>
          <w:szCs w:val="22"/>
        </w:rPr>
      </w:pPr>
      <w:r>
        <w:rPr>
          <w:rFonts w:ascii="Arial" w:hAnsi="Arial"/>
          <w:b/>
          <w:sz w:val="22"/>
          <w:szCs w:val="22"/>
        </w:rPr>
        <w:t>Bogotá, République de Colombie</w:t>
      </w:r>
    </w:p>
    <w:p w14:paraId="4AC4BB4E" w14:textId="77777777" w:rsidR="00CD0C99" w:rsidRPr="00F83405" w:rsidRDefault="00CD0C99" w:rsidP="00CD0C99">
      <w:pPr>
        <w:jc w:val="center"/>
        <w:rPr>
          <w:rFonts w:ascii="Arial" w:eastAsia="Malgun Gothic" w:hAnsi="Arial" w:cs="Arial"/>
          <w:b/>
          <w:sz w:val="22"/>
          <w:szCs w:val="22"/>
        </w:rPr>
      </w:pPr>
      <w:r>
        <w:rPr>
          <w:rFonts w:ascii="Arial" w:hAnsi="Arial"/>
          <w:b/>
          <w:sz w:val="22"/>
          <w:szCs w:val="22"/>
        </w:rPr>
        <w:t>9 - 14 décembre 2019</w:t>
      </w:r>
    </w:p>
    <w:p w14:paraId="183C5874" w14:textId="38C28A76" w:rsidR="00EC6F8D" w:rsidRPr="00337CEB" w:rsidRDefault="00EC6F8D" w:rsidP="00C5776D">
      <w:pPr>
        <w:jc w:val="center"/>
        <w:rPr>
          <w:rFonts w:ascii="Arial" w:eastAsiaTheme="minorEastAsia" w:hAnsi="Arial" w:cs="Arial"/>
          <w:b/>
          <w:sz w:val="22"/>
          <w:szCs w:val="22"/>
        </w:rPr>
      </w:pPr>
    </w:p>
    <w:p w14:paraId="5E1A2704" w14:textId="29226559" w:rsidR="00EC6F8D" w:rsidRPr="00293C60" w:rsidRDefault="00EC6F8D" w:rsidP="00EC6F8D">
      <w:pPr>
        <w:pStyle w:val="Sansinterligne2"/>
        <w:spacing w:before="1200"/>
        <w:jc w:val="center"/>
        <w:rPr>
          <w:rFonts w:ascii="Arial" w:hAnsi="Arial" w:cs="Arial"/>
          <w:b/>
          <w:sz w:val="22"/>
          <w:szCs w:val="22"/>
        </w:rPr>
      </w:pPr>
      <w:r>
        <w:rPr>
          <w:rFonts w:ascii="Arial" w:hAnsi="Arial"/>
          <w:b/>
          <w:sz w:val="22"/>
          <w:szCs w:val="22"/>
          <w:u w:val="single"/>
        </w:rPr>
        <w:t>Point 6 de l</w:t>
      </w:r>
      <w:r w:rsidR="00480D38">
        <w:rPr>
          <w:rFonts w:ascii="Arial" w:hAnsi="Arial"/>
          <w:b/>
          <w:sz w:val="22"/>
          <w:szCs w:val="22"/>
          <w:u w:val="single"/>
        </w:rPr>
        <w:t>’</w:t>
      </w:r>
      <w:r>
        <w:rPr>
          <w:rFonts w:ascii="Arial" w:hAnsi="Arial"/>
          <w:b/>
          <w:sz w:val="22"/>
          <w:szCs w:val="22"/>
          <w:u w:val="single"/>
        </w:rPr>
        <w:t>ordre du jour provisoire</w:t>
      </w:r>
      <w:r>
        <w:rPr>
          <w:rFonts w:ascii="Arial" w:hAnsi="Arial"/>
          <w:b/>
          <w:sz w:val="22"/>
          <w:szCs w:val="22"/>
        </w:rPr>
        <w:t> :</w:t>
      </w:r>
    </w:p>
    <w:p w14:paraId="2C57AC3B" w14:textId="25EC1385" w:rsidR="00BF1B64" w:rsidRDefault="00BF1B64" w:rsidP="00EC6F8D">
      <w:pPr>
        <w:pStyle w:val="Sansinterligne2"/>
        <w:spacing w:after="1200"/>
        <w:contextualSpacing/>
        <w:jc w:val="center"/>
        <w:rPr>
          <w:rFonts w:ascii="Arial" w:hAnsi="Arial" w:cs="Arial"/>
          <w:b/>
          <w:sz w:val="22"/>
          <w:szCs w:val="22"/>
        </w:rPr>
      </w:pPr>
      <w:r>
        <w:rPr>
          <w:rFonts w:ascii="Arial" w:hAnsi="Arial"/>
          <w:b/>
          <w:sz w:val="22"/>
          <w:szCs w:val="22"/>
        </w:rPr>
        <w:t>Fonds du patrimoine culturel immatériel :</w:t>
      </w:r>
    </w:p>
    <w:p w14:paraId="3A771CDD" w14:textId="77777777" w:rsidR="00EC6F8D" w:rsidRPr="00293C60" w:rsidRDefault="00BF1B64" w:rsidP="002F6363">
      <w:pPr>
        <w:pStyle w:val="Sansinterligne2"/>
        <w:spacing w:after="960"/>
        <w:jc w:val="center"/>
        <w:rPr>
          <w:rFonts w:ascii="Arial" w:hAnsi="Arial" w:cs="Arial"/>
          <w:b/>
          <w:sz w:val="22"/>
          <w:szCs w:val="22"/>
        </w:rPr>
      </w:pPr>
      <w:proofErr w:type="gramStart"/>
      <w:r>
        <w:rPr>
          <w:rFonts w:ascii="Arial" w:hAnsi="Arial"/>
          <w:b/>
          <w:sz w:val="22"/>
          <w:szCs w:val="22"/>
        </w:rPr>
        <w:t>contributions</w:t>
      </w:r>
      <w:proofErr w:type="gramEnd"/>
      <w:r>
        <w:rPr>
          <w:rFonts w:ascii="Arial" w:hAnsi="Arial"/>
          <w:b/>
          <w:sz w:val="22"/>
          <w:szCs w:val="22"/>
        </w:rPr>
        <w:t xml:space="preserve"> volontaires supplémentaires et autres questions</w:t>
      </w:r>
    </w:p>
    <w:tbl>
      <w:tblPr>
        <w:tblW w:w="56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0"/>
      </w:tblGrid>
      <w:tr w:rsidR="00EC6F8D" w:rsidRPr="00BF1B64" w14:paraId="7EFF3108" w14:textId="77777777" w:rsidTr="00EC6F8D">
        <w:trPr>
          <w:jc w:val="center"/>
        </w:trPr>
        <w:tc>
          <w:tcPr>
            <w:tcW w:w="5670" w:type="dxa"/>
            <w:vAlign w:val="center"/>
          </w:tcPr>
          <w:p w14:paraId="069B246D" w14:textId="77777777" w:rsidR="00EC6F8D" w:rsidRPr="00293C60" w:rsidRDefault="00EC6F8D" w:rsidP="00CA56BB">
            <w:pPr>
              <w:pStyle w:val="Sansinterligne1"/>
              <w:spacing w:before="200" w:after="200"/>
              <w:jc w:val="center"/>
              <w:rPr>
                <w:rFonts w:ascii="Arial" w:hAnsi="Arial" w:cs="Arial"/>
                <w:b/>
                <w:sz w:val="22"/>
                <w:szCs w:val="22"/>
              </w:rPr>
            </w:pPr>
            <w:r>
              <w:rPr>
                <w:rFonts w:ascii="Arial" w:hAnsi="Arial"/>
                <w:b/>
                <w:sz w:val="22"/>
                <w:szCs w:val="22"/>
              </w:rPr>
              <w:t>Résumé</w:t>
            </w:r>
          </w:p>
          <w:p w14:paraId="08D130C9" w14:textId="6FD68F2C" w:rsidR="00BF1B64" w:rsidRDefault="00BF1B64" w:rsidP="00BF1B64">
            <w:pPr>
              <w:pStyle w:val="Sansinterligne2"/>
              <w:spacing w:before="200" w:after="200"/>
              <w:jc w:val="both"/>
              <w:rPr>
                <w:rFonts w:ascii="Arial" w:hAnsi="Arial" w:cs="Arial"/>
                <w:sz w:val="22"/>
                <w:szCs w:val="22"/>
              </w:rPr>
            </w:pPr>
            <w:r>
              <w:rPr>
                <w:rFonts w:ascii="Arial" w:hAnsi="Arial"/>
                <w:sz w:val="22"/>
                <w:szCs w:val="22"/>
              </w:rPr>
              <w:t>Conformément à l</w:t>
            </w:r>
            <w:r w:rsidR="00480D38">
              <w:rPr>
                <w:rFonts w:ascii="Arial" w:hAnsi="Arial"/>
                <w:sz w:val="22"/>
                <w:szCs w:val="22"/>
              </w:rPr>
              <w:t>’</w:t>
            </w:r>
            <w:r>
              <w:rPr>
                <w:rFonts w:ascii="Arial" w:hAnsi="Arial"/>
                <w:sz w:val="22"/>
                <w:szCs w:val="22"/>
              </w:rPr>
              <w:t>article 25.5 de la Convention, le Comité peut accepter des contributions au Fonds du patrimoine culturel immatériel à des fins spécifiques se rapportant à des projets déterminés, pourvu que ces projets soient approuvés par le Comité. Le présent document</w:t>
            </w:r>
            <w:r w:rsidR="002904D7">
              <w:rPr>
                <w:rFonts w:ascii="Arial" w:hAnsi="Arial"/>
                <w:sz w:val="22"/>
                <w:szCs w:val="22"/>
              </w:rPr>
              <w:t xml:space="preserve"> : </w:t>
            </w:r>
            <w:r>
              <w:rPr>
                <w:rFonts w:ascii="Arial" w:hAnsi="Arial"/>
                <w:sz w:val="22"/>
                <w:szCs w:val="22"/>
              </w:rPr>
              <w:t>1) rend compte de ces contributions et d</w:t>
            </w:r>
            <w:r w:rsidR="00480D38">
              <w:rPr>
                <w:rFonts w:ascii="Arial" w:hAnsi="Arial"/>
                <w:sz w:val="22"/>
                <w:szCs w:val="22"/>
              </w:rPr>
              <w:t>’</w:t>
            </w:r>
            <w:r>
              <w:rPr>
                <w:rFonts w:ascii="Arial" w:hAnsi="Arial"/>
                <w:sz w:val="22"/>
                <w:szCs w:val="22"/>
              </w:rPr>
              <w:t>autres types de contributions volontaires reçues entre la treizième session du Comité et le mois de septembre 2019</w:t>
            </w:r>
            <w:r w:rsidR="002904D7">
              <w:rPr>
                <w:rFonts w:ascii="Arial" w:hAnsi="Arial"/>
                <w:sz w:val="22"/>
                <w:szCs w:val="22"/>
              </w:rPr>
              <w:t xml:space="preserve"> ; </w:t>
            </w:r>
            <w:r>
              <w:rPr>
                <w:rFonts w:ascii="Arial" w:hAnsi="Arial"/>
                <w:sz w:val="22"/>
                <w:szCs w:val="22"/>
              </w:rPr>
              <w:t>et 2) porte à l</w:t>
            </w:r>
            <w:r w:rsidR="00480D38">
              <w:rPr>
                <w:rFonts w:ascii="Arial" w:hAnsi="Arial"/>
                <w:sz w:val="22"/>
                <w:szCs w:val="22"/>
              </w:rPr>
              <w:t>’</w:t>
            </w:r>
            <w:r>
              <w:rPr>
                <w:rFonts w:ascii="Arial" w:hAnsi="Arial"/>
                <w:sz w:val="22"/>
                <w:szCs w:val="22"/>
              </w:rPr>
              <w:t>attention du Comité une recommandation concernant le taux de gestion du Fonds du patrimoine culturel immatériel.</w:t>
            </w:r>
          </w:p>
          <w:p w14:paraId="5C49318F" w14:textId="153F7529" w:rsidR="00EC6F8D" w:rsidRPr="00293C60" w:rsidRDefault="00EC6F8D" w:rsidP="002904D7">
            <w:pPr>
              <w:pStyle w:val="Sansinterligne2"/>
              <w:spacing w:before="200" w:after="200"/>
              <w:jc w:val="both"/>
              <w:rPr>
                <w:rFonts w:ascii="Arial" w:hAnsi="Arial" w:cs="Arial"/>
                <w:b/>
                <w:sz w:val="22"/>
                <w:szCs w:val="22"/>
              </w:rPr>
            </w:pPr>
            <w:r>
              <w:rPr>
                <w:rFonts w:ascii="Arial" w:hAnsi="Arial"/>
                <w:b/>
                <w:sz w:val="22"/>
                <w:szCs w:val="22"/>
              </w:rPr>
              <w:t xml:space="preserve">Décision requise : </w:t>
            </w:r>
            <w:r>
              <w:rPr>
                <w:rFonts w:ascii="Arial" w:hAnsi="Arial"/>
                <w:bCs/>
                <w:sz w:val="22"/>
                <w:szCs w:val="22"/>
              </w:rPr>
              <w:t xml:space="preserve">paragraphe </w:t>
            </w:r>
            <w:r w:rsidR="002904D7" w:rsidRPr="00CD0C99">
              <w:rPr>
                <w:rFonts w:ascii="Arial" w:hAnsi="Arial"/>
                <w:bCs/>
                <w:sz w:val="22"/>
                <w:szCs w:val="22"/>
              </w:rPr>
              <w:t>18</w:t>
            </w:r>
          </w:p>
        </w:tc>
      </w:tr>
    </w:tbl>
    <w:p w14:paraId="1F090A4D" w14:textId="3E7E6835" w:rsidR="00BF1B64" w:rsidRPr="00BF1B64" w:rsidRDefault="00655736" w:rsidP="00BF1B64">
      <w:pPr>
        <w:pStyle w:val="COMPara"/>
        <w:numPr>
          <w:ilvl w:val="0"/>
          <w:numId w:val="13"/>
        </w:numPr>
        <w:ind w:left="567" w:hanging="567"/>
        <w:jc w:val="both"/>
      </w:pPr>
      <w:r>
        <w:br w:type="page"/>
      </w:r>
      <w:r>
        <w:lastRenderedPageBreak/>
        <w:t>Le chapitre VI de la Convention concernant le Fonds pour la sauvegarde du patrimoine culturel immatériel (ci-après dénommé « le Fonds ») stipule que les États parties peuvent souhaiter verser des contributions volontaires supplémentaires (article 27) en sus de leurs contributions obligatoires (article 26). Conformément à l</w:t>
      </w:r>
      <w:r w:rsidR="00480D38">
        <w:t>’</w:t>
      </w:r>
      <w:r>
        <w:t>article 25.5, ces contributions peuvent se rapporter à des projets déterminés, « pourvu que ces projets soient approuvés par le Comité ».</w:t>
      </w:r>
    </w:p>
    <w:p w14:paraId="38DCF255" w14:textId="187336BE" w:rsidR="00BF1B64" w:rsidRPr="00BF1B64" w:rsidRDefault="00BF1B64" w:rsidP="00BF1B64">
      <w:pPr>
        <w:numPr>
          <w:ilvl w:val="0"/>
          <w:numId w:val="9"/>
        </w:numPr>
        <w:spacing w:after="120"/>
        <w:ind w:left="567" w:hanging="567"/>
        <w:jc w:val="both"/>
        <w:rPr>
          <w:rFonts w:ascii="Arial" w:hAnsi="Arial" w:cs="Arial"/>
          <w:snapToGrid w:val="0"/>
          <w:sz w:val="22"/>
          <w:szCs w:val="22"/>
        </w:rPr>
      </w:pPr>
      <w:r>
        <w:rPr>
          <w:rFonts w:ascii="Arial" w:hAnsi="Arial"/>
          <w:snapToGrid w:val="0"/>
          <w:sz w:val="22"/>
          <w:szCs w:val="22"/>
        </w:rPr>
        <w:t>Lors de sa douzième session, le Comité a approuvé deux nouvelles priorités de financement pour la période 2018-2021 : (1) « le renforcement des capacités de sauvegarde du patrimoine culturel immatériel et de contribution au développement durable » pour poursuivre les efforts visant à étendre la portée et à améliorer l</w:t>
      </w:r>
      <w:r w:rsidR="00480D38">
        <w:rPr>
          <w:rFonts w:ascii="Arial" w:hAnsi="Arial"/>
          <w:snapToGrid w:val="0"/>
          <w:sz w:val="22"/>
          <w:szCs w:val="22"/>
        </w:rPr>
        <w:t>’</w:t>
      </w:r>
      <w:r>
        <w:rPr>
          <w:rFonts w:ascii="Arial" w:hAnsi="Arial"/>
          <w:snapToGrid w:val="0"/>
          <w:sz w:val="22"/>
          <w:szCs w:val="22"/>
        </w:rPr>
        <w:t>efficacité de la stratégie mondiale de renforcement des capacités, et (2) « la sauvegarde du patrimoine culturel immatériel dans l</w:t>
      </w:r>
      <w:r w:rsidR="00480D38">
        <w:rPr>
          <w:rFonts w:ascii="Arial" w:hAnsi="Arial"/>
          <w:snapToGrid w:val="0"/>
          <w:sz w:val="22"/>
          <w:szCs w:val="22"/>
        </w:rPr>
        <w:t>’</w:t>
      </w:r>
      <w:r>
        <w:rPr>
          <w:rFonts w:ascii="Arial" w:hAnsi="Arial"/>
          <w:snapToGrid w:val="0"/>
          <w:sz w:val="22"/>
          <w:szCs w:val="22"/>
        </w:rPr>
        <w:t>éducation formelle et non formelle », initiative établie en réponse à l</w:t>
      </w:r>
      <w:r w:rsidR="00480D38">
        <w:rPr>
          <w:rFonts w:ascii="Arial" w:hAnsi="Arial"/>
          <w:snapToGrid w:val="0"/>
          <w:sz w:val="22"/>
          <w:szCs w:val="22"/>
        </w:rPr>
        <w:t>’</w:t>
      </w:r>
      <w:r>
        <w:rPr>
          <w:rFonts w:ascii="Arial" w:hAnsi="Arial"/>
          <w:snapToGrid w:val="0"/>
          <w:sz w:val="22"/>
          <w:szCs w:val="22"/>
        </w:rPr>
        <w:t>article 2 de la Convention qui définit la transmission par l</w:t>
      </w:r>
      <w:r w:rsidR="00480D38">
        <w:rPr>
          <w:rFonts w:ascii="Arial" w:hAnsi="Arial"/>
          <w:snapToGrid w:val="0"/>
          <w:sz w:val="22"/>
          <w:szCs w:val="22"/>
        </w:rPr>
        <w:t>’</w:t>
      </w:r>
      <w:r>
        <w:rPr>
          <w:rFonts w:ascii="Arial" w:hAnsi="Arial"/>
          <w:snapToGrid w:val="0"/>
          <w:sz w:val="22"/>
          <w:szCs w:val="22"/>
        </w:rPr>
        <w:t>éducation formelle et non formelle comme mesure de sauvegarde (</w:t>
      </w:r>
      <w:hyperlink r:id="rId8" w:history="1">
        <w:r w:rsidR="00C74774">
          <w:rPr>
            <w:rFonts w:ascii="Arial" w:hAnsi="Arial"/>
            <w:snapToGrid w:val="0"/>
            <w:color w:val="0000FF" w:themeColor="hyperlink"/>
            <w:sz w:val="22"/>
            <w:szCs w:val="22"/>
            <w:u w:val="single"/>
          </w:rPr>
          <w:t>d</w:t>
        </w:r>
        <w:r>
          <w:rPr>
            <w:rFonts w:ascii="Arial" w:hAnsi="Arial"/>
            <w:snapToGrid w:val="0"/>
            <w:color w:val="0000FF" w:themeColor="hyperlink"/>
            <w:sz w:val="22"/>
            <w:szCs w:val="22"/>
            <w:u w:val="single"/>
          </w:rPr>
          <w:t>écision 12.COM 6</w:t>
        </w:r>
      </w:hyperlink>
      <w:r>
        <w:rPr>
          <w:rFonts w:ascii="Arial" w:hAnsi="Arial"/>
          <w:snapToGrid w:val="0"/>
          <w:sz w:val="22"/>
          <w:szCs w:val="22"/>
        </w:rPr>
        <w:t>). Les objectifs de mobilisation de ressources fixés pour les deux priorités de financement étaient respectivement de 5 millions de dollars des États-Unis et 2 millions de dollars des États-Unis pour la période 2018-2021.</w:t>
      </w:r>
    </w:p>
    <w:p w14:paraId="0F496FDD" w14:textId="02024C79" w:rsidR="00BF1B64" w:rsidRPr="00BF1B64" w:rsidRDefault="00BF1B64" w:rsidP="00BF1B64">
      <w:pPr>
        <w:numPr>
          <w:ilvl w:val="0"/>
          <w:numId w:val="9"/>
        </w:numPr>
        <w:spacing w:after="120"/>
        <w:ind w:left="567" w:hanging="567"/>
        <w:jc w:val="both"/>
        <w:rPr>
          <w:rFonts w:ascii="Arial" w:hAnsi="Arial" w:cs="Arial"/>
          <w:snapToGrid w:val="0"/>
          <w:sz w:val="22"/>
          <w:szCs w:val="22"/>
        </w:rPr>
      </w:pPr>
      <w:r>
        <w:rPr>
          <w:rFonts w:ascii="Arial" w:hAnsi="Arial"/>
          <w:snapToGrid w:val="0"/>
          <w:sz w:val="22"/>
          <w:szCs w:val="22"/>
        </w:rPr>
        <w:t>Au cours de la présente session, il est demandé au Secrétariat de rendre compte de l</w:t>
      </w:r>
      <w:r w:rsidR="00480D38">
        <w:rPr>
          <w:rFonts w:ascii="Arial" w:hAnsi="Arial"/>
          <w:snapToGrid w:val="0"/>
          <w:sz w:val="22"/>
          <w:szCs w:val="22"/>
        </w:rPr>
        <w:t>’</w:t>
      </w:r>
      <w:r>
        <w:rPr>
          <w:rFonts w:ascii="Arial" w:hAnsi="Arial"/>
          <w:snapToGrid w:val="0"/>
          <w:sz w:val="22"/>
          <w:szCs w:val="22"/>
        </w:rPr>
        <w:t>avancement de la mise en œuvre de toute contribution volontaire supplémentaire reçue depuis la treizième session (</w:t>
      </w:r>
      <w:hyperlink r:id="rId9" w:history="1">
        <w:r w:rsidR="00C74774">
          <w:rPr>
            <w:rStyle w:val="Hyperlink"/>
            <w:rFonts w:ascii="Arial" w:hAnsi="Arial"/>
            <w:snapToGrid w:val="0"/>
            <w:sz w:val="22"/>
            <w:szCs w:val="22"/>
          </w:rPr>
          <w:t>d</w:t>
        </w:r>
        <w:r>
          <w:rPr>
            <w:rStyle w:val="Hyperlink"/>
            <w:rFonts w:ascii="Arial" w:hAnsi="Arial"/>
            <w:snapToGrid w:val="0"/>
            <w:sz w:val="22"/>
            <w:szCs w:val="22"/>
          </w:rPr>
          <w:t>écision 13.COM 6</w:t>
        </w:r>
      </w:hyperlink>
      <w:r>
        <w:rPr>
          <w:rFonts w:ascii="Arial" w:hAnsi="Arial"/>
          <w:snapToGrid w:val="0"/>
          <w:sz w:val="22"/>
          <w:szCs w:val="22"/>
        </w:rPr>
        <w:t>).</w:t>
      </w:r>
      <w:r>
        <w:rPr>
          <w:rFonts w:ascii="Arial" w:hAnsi="Arial"/>
          <w:bCs/>
          <w:snapToGrid w:val="0"/>
          <w:sz w:val="22"/>
          <w:szCs w:val="22"/>
        </w:rPr>
        <w:t xml:space="preserve"> Le Comité</w:t>
      </w:r>
      <w:r>
        <w:rPr>
          <w:rFonts w:ascii="Arial" w:hAnsi="Arial"/>
          <w:snapToGrid w:val="0"/>
          <w:sz w:val="22"/>
          <w:szCs w:val="22"/>
        </w:rPr>
        <w:t xml:space="preserve"> a par ailleurs pris note que des États utilisent des formes différentes de soutien, financier ou en nature, à la Convention, et pas seulement les contributions volontaires supplémentaires au Fonds (</w:t>
      </w:r>
      <w:hyperlink r:id="rId10" w:history="1">
        <w:r w:rsidR="00C74774">
          <w:rPr>
            <w:rFonts w:ascii="Arial" w:hAnsi="Arial"/>
            <w:snapToGrid w:val="0"/>
            <w:color w:val="0000FF" w:themeColor="hyperlink"/>
            <w:sz w:val="22"/>
            <w:szCs w:val="22"/>
            <w:u w:val="single"/>
          </w:rPr>
          <w:t>d</w:t>
        </w:r>
        <w:r>
          <w:rPr>
            <w:rFonts w:ascii="Arial" w:hAnsi="Arial"/>
            <w:snapToGrid w:val="0"/>
            <w:color w:val="0000FF" w:themeColor="hyperlink"/>
            <w:sz w:val="22"/>
            <w:szCs w:val="22"/>
            <w:u w:val="single"/>
          </w:rPr>
          <w:t>écision 7.COM 20.1</w:t>
        </w:r>
      </w:hyperlink>
      <w:r>
        <w:rPr>
          <w:rFonts w:ascii="Arial" w:hAnsi="Arial"/>
          <w:snapToGrid w:val="0"/>
          <w:sz w:val="22"/>
          <w:szCs w:val="22"/>
        </w:rPr>
        <w:t xml:space="preserve">). Il a donc demandé au Secrétariat de faire rapport à chaque session du Comité sur toutes les formes de contributions reçues depuis sa session précédente. </w:t>
      </w:r>
      <w:r w:rsidR="00CF6292">
        <w:rPr>
          <w:rFonts w:ascii="Arial" w:hAnsi="Arial"/>
          <w:snapToGrid w:val="0"/>
          <w:sz w:val="22"/>
          <w:szCs w:val="22"/>
        </w:rPr>
        <w:t>Ainsi,</w:t>
      </w:r>
      <w:r w:rsidR="002904D7">
        <w:rPr>
          <w:rFonts w:ascii="Arial" w:hAnsi="Arial"/>
          <w:snapToGrid w:val="0"/>
          <w:sz w:val="22"/>
          <w:szCs w:val="22"/>
        </w:rPr>
        <w:t xml:space="preserve"> l</w:t>
      </w:r>
      <w:r w:rsidR="00480D38">
        <w:rPr>
          <w:rFonts w:ascii="Arial" w:hAnsi="Arial"/>
          <w:snapToGrid w:val="0"/>
          <w:sz w:val="22"/>
          <w:szCs w:val="22"/>
        </w:rPr>
        <w:t>’</w:t>
      </w:r>
      <w:r>
        <w:rPr>
          <w:rFonts w:ascii="Arial" w:hAnsi="Arial"/>
          <w:snapToGrid w:val="0"/>
          <w:sz w:val="22"/>
          <w:szCs w:val="22"/>
        </w:rPr>
        <w:t>annexe du présent document recense donc les contributions reçues entre la treizième session du Comité et septembre 2019 pour soutenir la Convention de 2003.</w:t>
      </w:r>
    </w:p>
    <w:p w14:paraId="0F55219E" w14:textId="27AF262B" w:rsidR="00BF1B64" w:rsidRPr="000D60A4" w:rsidRDefault="00BF1B64" w:rsidP="00636764">
      <w:pPr>
        <w:pStyle w:val="ListParagraph"/>
        <w:numPr>
          <w:ilvl w:val="0"/>
          <w:numId w:val="14"/>
        </w:numPr>
        <w:tabs>
          <w:tab w:val="left" w:pos="567"/>
        </w:tabs>
        <w:snapToGrid w:val="0"/>
        <w:spacing w:before="240" w:after="120"/>
        <w:ind w:left="567" w:hanging="567"/>
        <w:jc w:val="both"/>
        <w:rPr>
          <w:rFonts w:ascii="Arial" w:hAnsi="Arial" w:cs="Arial"/>
          <w:b/>
          <w:snapToGrid w:val="0"/>
          <w:sz w:val="22"/>
          <w:szCs w:val="22"/>
        </w:rPr>
      </w:pPr>
      <w:r>
        <w:rPr>
          <w:rFonts w:ascii="Arial" w:hAnsi="Arial"/>
          <w:b/>
          <w:snapToGrid w:val="0"/>
          <w:sz w:val="22"/>
          <w:szCs w:val="22"/>
        </w:rPr>
        <w:t>État des lieux</w:t>
      </w:r>
    </w:p>
    <w:p w14:paraId="1998C189" w14:textId="58EE58F7" w:rsidR="00B74458" w:rsidRPr="003E4583" w:rsidRDefault="00B74458" w:rsidP="00B74458">
      <w:pPr>
        <w:numPr>
          <w:ilvl w:val="0"/>
          <w:numId w:val="9"/>
        </w:numPr>
        <w:spacing w:after="120"/>
        <w:ind w:left="567" w:hanging="567"/>
        <w:jc w:val="both"/>
        <w:rPr>
          <w:rFonts w:ascii="Arial" w:hAnsi="Arial" w:cs="Arial"/>
          <w:snapToGrid w:val="0"/>
          <w:sz w:val="22"/>
          <w:szCs w:val="22"/>
        </w:rPr>
      </w:pPr>
      <w:r>
        <w:rPr>
          <w:rFonts w:ascii="Arial" w:hAnsi="Arial"/>
          <w:snapToGrid w:val="0"/>
          <w:sz w:val="22"/>
          <w:szCs w:val="22"/>
        </w:rPr>
        <w:t>Depuis décembre 2018, aucune nouvelle contribution volontaire supplémentaire au Fonds n</w:t>
      </w:r>
      <w:r w:rsidR="00480D38">
        <w:rPr>
          <w:rFonts w:ascii="Arial" w:hAnsi="Arial"/>
          <w:snapToGrid w:val="0"/>
          <w:sz w:val="22"/>
          <w:szCs w:val="22"/>
        </w:rPr>
        <w:t>’</w:t>
      </w:r>
      <w:r>
        <w:rPr>
          <w:rFonts w:ascii="Arial" w:hAnsi="Arial"/>
          <w:snapToGrid w:val="0"/>
          <w:sz w:val="22"/>
          <w:szCs w:val="22"/>
        </w:rPr>
        <w:t>a été reçue, pour la deuxième année consécutive, pour des activités spécifiques contribuant à l</w:t>
      </w:r>
      <w:r w:rsidR="00480D38">
        <w:rPr>
          <w:rFonts w:ascii="Arial" w:hAnsi="Arial"/>
          <w:snapToGrid w:val="0"/>
          <w:sz w:val="22"/>
          <w:szCs w:val="22"/>
        </w:rPr>
        <w:t>’</w:t>
      </w:r>
      <w:r>
        <w:rPr>
          <w:rFonts w:ascii="Arial" w:hAnsi="Arial"/>
          <w:snapToGrid w:val="0"/>
          <w:sz w:val="22"/>
          <w:szCs w:val="22"/>
        </w:rPr>
        <w:t xml:space="preserve">une des deux priorités de financement approuvées par le Comité pour la période 2018-2021. </w:t>
      </w:r>
      <w:r w:rsidR="002904D7">
        <w:rPr>
          <w:rFonts w:ascii="Arial" w:hAnsi="Arial"/>
          <w:snapToGrid w:val="0"/>
          <w:sz w:val="22"/>
          <w:szCs w:val="22"/>
        </w:rPr>
        <w:t xml:space="preserve">Cependant, une contribution a été reçue en 2019 pour appuyer </w:t>
      </w:r>
      <w:r w:rsidR="002904D7" w:rsidRPr="002904D7">
        <w:rPr>
          <w:rFonts w:ascii="Arial" w:hAnsi="Arial"/>
          <w:snapToGrid w:val="0"/>
          <w:sz w:val="22"/>
          <w:szCs w:val="22"/>
        </w:rPr>
        <w:t>d’une réflexion globale visant à examiner les mécanismes d’inscription</w:t>
      </w:r>
      <w:r w:rsidR="002D663B">
        <w:rPr>
          <w:rFonts w:ascii="Arial" w:hAnsi="Arial"/>
          <w:snapToGrid w:val="0"/>
          <w:sz w:val="22"/>
          <w:szCs w:val="22"/>
        </w:rPr>
        <w:t xml:space="preserve"> de la Convention, telle</w:t>
      </w:r>
      <w:r w:rsidR="002904D7">
        <w:rPr>
          <w:rFonts w:ascii="Arial" w:hAnsi="Arial"/>
          <w:snapToGrid w:val="0"/>
          <w:sz w:val="22"/>
          <w:szCs w:val="22"/>
        </w:rPr>
        <w:t xml:space="preserve"> qu’approuvé</w:t>
      </w:r>
      <w:r w:rsidR="002D663B">
        <w:rPr>
          <w:rFonts w:ascii="Arial" w:hAnsi="Arial"/>
          <w:snapToGrid w:val="0"/>
          <w:sz w:val="22"/>
          <w:szCs w:val="22"/>
        </w:rPr>
        <w:t>e</w:t>
      </w:r>
      <w:r w:rsidR="002904D7">
        <w:rPr>
          <w:rFonts w:ascii="Arial" w:hAnsi="Arial"/>
          <w:snapToGrid w:val="0"/>
          <w:sz w:val="22"/>
          <w:szCs w:val="22"/>
        </w:rPr>
        <w:t xml:space="preserve"> par le Comité lors de sa treizième </w:t>
      </w:r>
      <w:r w:rsidR="002904D7" w:rsidRPr="00C42EDF">
        <w:rPr>
          <w:rFonts w:ascii="Arial" w:hAnsi="Arial"/>
          <w:snapToGrid w:val="0"/>
          <w:sz w:val="22"/>
          <w:szCs w:val="22"/>
        </w:rPr>
        <w:t>session (</w:t>
      </w:r>
      <w:hyperlink r:id="rId11" w:history="1">
        <w:r w:rsidR="002904D7" w:rsidRPr="00C42EDF">
          <w:rPr>
            <w:rStyle w:val="Hyperlink"/>
            <w:rFonts w:ascii="Arial" w:hAnsi="Arial"/>
            <w:snapToGrid w:val="0"/>
            <w:sz w:val="22"/>
            <w:szCs w:val="22"/>
          </w:rPr>
          <w:t>décision 13.COM 6</w:t>
        </w:r>
      </w:hyperlink>
      <w:r w:rsidR="002904D7" w:rsidRPr="00C42EDF">
        <w:rPr>
          <w:rFonts w:ascii="Arial" w:hAnsi="Arial"/>
          <w:snapToGrid w:val="0"/>
          <w:sz w:val="22"/>
          <w:szCs w:val="22"/>
        </w:rPr>
        <w:t>).</w:t>
      </w:r>
      <w:r w:rsidRPr="00C42EDF">
        <w:rPr>
          <w:rFonts w:ascii="Arial" w:hAnsi="Arial"/>
          <w:snapToGrid w:val="0"/>
          <w:sz w:val="22"/>
          <w:szCs w:val="22"/>
        </w:rPr>
        <w:t xml:space="preserve"> Parallèlement</w:t>
      </w:r>
      <w:r>
        <w:rPr>
          <w:rFonts w:ascii="Arial" w:hAnsi="Arial"/>
          <w:snapToGrid w:val="0"/>
          <w:sz w:val="22"/>
          <w:szCs w:val="22"/>
        </w:rPr>
        <w:t>, en plus des contributions en nature de deux États parties, deux contributions ont été versées au sous-fonds dans le but d</w:t>
      </w:r>
      <w:r w:rsidR="00480D38">
        <w:rPr>
          <w:rFonts w:ascii="Arial" w:hAnsi="Arial"/>
          <w:snapToGrid w:val="0"/>
          <w:sz w:val="22"/>
          <w:szCs w:val="22"/>
        </w:rPr>
        <w:t>’</w:t>
      </w:r>
      <w:r>
        <w:rPr>
          <w:rFonts w:ascii="Arial" w:hAnsi="Arial"/>
          <w:snapToGrid w:val="0"/>
          <w:sz w:val="22"/>
          <w:szCs w:val="22"/>
        </w:rPr>
        <w:t>améliorer les ressources humaines du Secrétariat</w:t>
      </w:r>
      <w:r w:rsidR="00C42EDF">
        <w:rPr>
          <w:rFonts w:ascii="Arial" w:hAnsi="Arial"/>
          <w:snapToGrid w:val="0"/>
          <w:sz w:val="22"/>
          <w:szCs w:val="22"/>
        </w:rPr>
        <w:t xml:space="preserve"> (voir</w:t>
      </w:r>
      <w:r w:rsidR="002D663B">
        <w:rPr>
          <w:rFonts w:ascii="Arial" w:hAnsi="Arial"/>
          <w:snapToGrid w:val="0"/>
          <w:sz w:val="22"/>
          <w:szCs w:val="22"/>
        </w:rPr>
        <w:t xml:space="preserve"> annexe).</w:t>
      </w:r>
    </w:p>
    <w:p w14:paraId="0C156CC0" w14:textId="2778056A" w:rsidR="00F8216F" w:rsidRPr="00905CB2" w:rsidRDefault="00F8216F" w:rsidP="00CB68FC">
      <w:pPr>
        <w:numPr>
          <w:ilvl w:val="0"/>
          <w:numId w:val="9"/>
        </w:numPr>
        <w:spacing w:after="120"/>
        <w:ind w:left="567" w:hanging="567"/>
        <w:jc w:val="both"/>
      </w:pPr>
      <w:r>
        <w:rPr>
          <w:rFonts w:ascii="Arial" w:hAnsi="Arial"/>
          <w:snapToGrid w:val="0"/>
          <w:sz w:val="22"/>
          <w:szCs w:val="22"/>
        </w:rPr>
        <w:t>Ces dernières années, le montant croissant des fonds disponibles a été identifié comme l</w:t>
      </w:r>
      <w:r w:rsidR="00480D38">
        <w:rPr>
          <w:rFonts w:ascii="Arial" w:hAnsi="Arial"/>
          <w:snapToGrid w:val="0"/>
          <w:sz w:val="22"/>
          <w:szCs w:val="22"/>
        </w:rPr>
        <w:t>’</w:t>
      </w:r>
      <w:r>
        <w:rPr>
          <w:rFonts w:ascii="Arial" w:hAnsi="Arial"/>
          <w:snapToGrid w:val="0"/>
          <w:sz w:val="22"/>
          <w:szCs w:val="22"/>
        </w:rPr>
        <w:t xml:space="preserve">une des principales causes de la </w:t>
      </w:r>
      <w:r w:rsidR="002D663B">
        <w:rPr>
          <w:rFonts w:ascii="Arial" w:hAnsi="Arial"/>
          <w:snapToGrid w:val="0"/>
          <w:sz w:val="22"/>
          <w:szCs w:val="22"/>
        </w:rPr>
        <w:t xml:space="preserve">diminution </w:t>
      </w:r>
      <w:r>
        <w:rPr>
          <w:rFonts w:ascii="Arial" w:hAnsi="Arial"/>
          <w:snapToGrid w:val="0"/>
          <w:sz w:val="22"/>
          <w:szCs w:val="22"/>
        </w:rPr>
        <w:t xml:space="preserve">brutale des contributions volontaires.  </w:t>
      </w:r>
      <w:r w:rsidR="002D663B">
        <w:rPr>
          <w:rFonts w:ascii="Arial" w:hAnsi="Arial"/>
          <w:snapToGrid w:val="0"/>
          <w:sz w:val="22"/>
          <w:szCs w:val="22"/>
        </w:rPr>
        <w:t xml:space="preserve">L’accent </w:t>
      </w:r>
      <w:r>
        <w:rPr>
          <w:rFonts w:ascii="Arial" w:hAnsi="Arial"/>
          <w:snapToGrid w:val="0"/>
          <w:sz w:val="22"/>
          <w:szCs w:val="22"/>
        </w:rPr>
        <w:t xml:space="preserve">a été </w:t>
      </w:r>
      <w:r w:rsidR="002D663B">
        <w:rPr>
          <w:rFonts w:ascii="Arial" w:hAnsi="Arial"/>
          <w:snapToGrid w:val="0"/>
          <w:sz w:val="22"/>
          <w:szCs w:val="22"/>
        </w:rPr>
        <w:t>mis</w:t>
      </w:r>
      <w:r>
        <w:rPr>
          <w:rFonts w:ascii="Arial" w:hAnsi="Arial"/>
          <w:snapToGrid w:val="0"/>
          <w:sz w:val="22"/>
          <w:szCs w:val="22"/>
        </w:rPr>
        <w:t>, au cours de l</w:t>
      </w:r>
      <w:r w:rsidR="00480D38">
        <w:rPr>
          <w:rFonts w:ascii="Arial" w:hAnsi="Arial"/>
          <w:snapToGrid w:val="0"/>
          <w:sz w:val="22"/>
          <w:szCs w:val="22"/>
        </w:rPr>
        <w:t>’</w:t>
      </w:r>
      <w:r>
        <w:rPr>
          <w:rFonts w:ascii="Arial" w:hAnsi="Arial"/>
          <w:snapToGrid w:val="0"/>
          <w:sz w:val="22"/>
          <w:szCs w:val="22"/>
        </w:rPr>
        <w:t>exercice biennal actuel, sur l</w:t>
      </w:r>
      <w:r w:rsidR="00480D38">
        <w:rPr>
          <w:rFonts w:ascii="Arial" w:hAnsi="Arial"/>
          <w:snapToGrid w:val="0"/>
          <w:sz w:val="22"/>
          <w:szCs w:val="22"/>
        </w:rPr>
        <w:t>’</w:t>
      </w:r>
      <w:r>
        <w:rPr>
          <w:rFonts w:ascii="Arial" w:hAnsi="Arial"/>
          <w:snapToGrid w:val="0"/>
          <w:sz w:val="22"/>
          <w:szCs w:val="22"/>
        </w:rPr>
        <w:t>intensification de la mise en œuvre des mécanismes de l</w:t>
      </w:r>
      <w:r w:rsidR="00480D38">
        <w:rPr>
          <w:rFonts w:ascii="Arial" w:hAnsi="Arial"/>
          <w:snapToGrid w:val="0"/>
          <w:sz w:val="22"/>
          <w:szCs w:val="22"/>
        </w:rPr>
        <w:t>’</w:t>
      </w:r>
      <w:r>
        <w:rPr>
          <w:rFonts w:ascii="Arial" w:hAnsi="Arial"/>
          <w:snapToGrid w:val="0"/>
          <w:sz w:val="22"/>
          <w:szCs w:val="22"/>
        </w:rPr>
        <w:t xml:space="preserve">assistance internationale relevant du Fonds (voir les </w:t>
      </w:r>
      <w:r w:rsidRPr="005A3516">
        <w:rPr>
          <w:rFonts w:ascii="Arial" w:hAnsi="Arial"/>
          <w:snapToGrid w:val="0"/>
          <w:sz w:val="22"/>
          <w:szCs w:val="22"/>
        </w:rPr>
        <w:t>documents</w:t>
      </w:r>
      <w:r w:rsidR="001B1A7F">
        <w:rPr>
          <w:rFonts w:ascii="Arial" w:hAnsi="Arial"/>
          <w:snapToGrid w:val="0"/>
          <w:sz w:val="22"/>
          <w:szCs w:val="22"/>
        </w:rPr>
        <w:t> </w:t>
      </w:r>
      <w:hyperlink r:id="rId12" w:history="1">
        <w:r w:rsidRPr="005A3516">
          <w:rPr>
            <w:rStyle w:val="Hyperlink"/>
            <w:rFonts w:ascii="Arial" w:hAnsi="Arial"/>
            <w:snapToGrid w:val="0"/>
            <w:sz w:val="22"/>
            <w:szCs w:val="22"/>
          </w:rPr>
          <w:t>LHE/19/14.COM/7</w:t>
        </w:r>
      </w:hyperlink>
      <w:r w:rsidRPr="005A3516">
        <w:rPr>
          <w:rFonts w:ascii="Arial" w:hAnsi="Arial"/>
          <w:snapToGrid w:val="0"/>
          <w:sz w:val="22"/>
          <w:szCs w:val="22"/>
        </w:rPr>
        <w:t xml:space="preserve"> et </w:t>
      </w:r>
      <w:hyperlink r:id="rId13" w:history="1">
        <w:r w:rsidRPr="005A3516">
          <w:rPr>
            <w:rStyle w:val="Hyperlink"/>
            <w:rFonts w:ascii="Arial" w:hAnsi="Arial"/>
            <w:snapToGrid w:val="0"/>
            <w:sz w:val="22"/>
            <w:szCs w:val="22"/>
          </w:rPr>
          <w:t>LHE/19/14.COM/INF.7</w:t>
        </w:r>
      </w:hyperlink>
      <w:r w:rsidRPr="005A3516">
        <w:rPr>
          <w:rFonts w:ascii="Arial" w:hAnsi="Arial"/>
          <w:snapToGrid w:val="0"/>
          <w:sz w:val="22"/>
          <w:szCs w:val="22"/>
        </w:rPr>
        <w:t>)</w:t>
      </w:r>
      <w:r>
        <w:rPr>
          <w:rFonts w:ascii="Arial" w:hAnsi="Arial"/>
          <w:snapToGrid w:val="0"/>
          <w:sz w:val="22"/>
          <w:szCs w:val="22"/>
        </w:rPr>
        <w:t xml:space="preserve"> et sur le déploiement d</w:t>
      </w:r>
      <w:r w:rsidR="00480D38">
        <w:rPr>
          <w:rFonts w:ascii="Arial" w:hAnsi="Arial"/>
          <w:snapToGrid w:val="0"/>
          <w:sz w:val="22"/>
          <w:szCs w:val="22"/>
        </w:rPr>
        <w:t>’</w:t>
      </w:r>
      <w:r>
        <w:rPr>
          <w:rFonts w:ascii="Arial" w:hAnsi="Arial"/>
          <w:snapToGrid w:val="0"/>
          <w:sz w:val="22"/>
          <w:szCs w:val="22"/>
        </w:rPr>
        <w:t>initiatives de sensibilisation illustrant la diversité du patrimoine culturel immatériel et son rôle dans le contexte du Programme de développement durable à l</w:t>
      </w:r>
      <w:r w:rsidR="00480D38">
        <w:rPr>
          <w:rFonts w:ascii="Arial" w:hAnsi="Arial"/>
          <w:snapToGrid w:val="0"/>
          <w:sz w:val="22"/>
          <w:szCs w:val="22"/>
        </w:rPr>
        <w:t>’</w:t>
      </w:r>
      <w:r>
        <w:rPr>
          <w:rFonts w:ascii="Arial" w:hAnsi="Arial"/>
          <w:snapToGrid w:val="0"/>
          <w:sz w:val="22"/>
          <w:szCs w:val="22"/>
        </w:rPr>
        <w:t xml:space="preserve">horizon 2030 (voir </w:t>
      </w:r>
      <w:r w:rsidRPr="005A3516">
        <w:rPr>
          <w:rFonts w:ascii="Arial" w:hAnsi="Arial"/>
          <w:snapToGrid w:val="0"/>
          <w:sz w:val="22"/>
          <w:szCs w:val="22"/>
        </w:rPr>
        <w:t xml:space="preserve">le </w:t>
      </w:r>
      <w:hyperlink r:id="rId14" w:history="1">
        <w:r w:rsidRPr="005A3516">
          <w:rPr>
            <w:rStyle w:val="Hyperlink"/>
            <w:rFonts w:ascii="Arial" w:hAnsi="Arial"/>
            <w:snapToGrid w:val="0"/>
            <w:sz w:val="22"/>
            <w:szCs w:val="22"/>
          </w:rPr>
          <w:t>document</w:t>
        </w:r>
        <w:r w:rsidR="001B1A7F">
          <w:rPr>
            <w:rStyle w:val="Hyperlink"/>
            <w:rFonts w:ascii="Arial" w:hAnsi="Arial"/>
            <w:snapToGrid w:val="0"/>
            <w:sz w:val="22"/>
            <w:szCs w:val="22"/>
          </w:rPr>
          <w:t> </w:t>
        </w:r>
        <w:r w:rsidRPr="005A3516">
          <w:rPr>
            <w:rStyle w:val="Hyperlink"/>
            <w:rFonts w:ascii="Arial" w:hAnsi="Arial"/>
            <w:snapToGrid w:val="0"/>
            <w:sz w:val="22"/>
            <w:szCs w:val="22"/>
          </w:rPr>
          <w:t>LHE/19/14.COM/5.b</w:t>
        </w:r>
      </w:hyperlink>
      <w:r w:rsidRPr="005A3516">
        <w:rPr>
          <w:rFonts w:ascii="Arial" w:hAnsi="Arial"/>
          <w:snapToGrid w:val="0"/>
          <w:sz w:val="22"/>
          <w:szCs w:val="22"/>
        </w:rPr>
        <w:t>). Cela représente une tendance très positive qui a permis au</w:t>
      </w:r>
      <w:r>
        <w:rPr>
          <w:rFonts w:ascii="Arial" w:hAnsi="Arial"/>
          <w:snapToGrid w:val="0"/>
          <w:sz w:val="22"/>
          <w:szCs w:val="22"/>
        </w:rPr>
        <w:t xml:space="preserve"> Fonds de répondre au nombre croissant de besoins exprimés par les États parties et d</w:t>
      </w:r>
      <w:r w:rsidR="00480D38">
        <w:rPr>
          <w:rFonts w:ascii="Arial" w:hAnsi="Arial"/>
          <w:snapToGrid w:val="0"/>
          <w:sz w:val="22"/>
          <w:szCs w:val="22"/>
        </w:rPr>
        <w:t>’</w:t>
      </w:r>
      <w:r>
        <w:rPr>
          <w:rFonts w:ascii="Arial" w:hAnsi="Arial"/>
          <w:snapToGrid w:val="0"/>
          <w:sz w:val="22"/>
          <w:szCs w:val="22"/>
        </w:rPr>
        <w:t>améliorer la visibilité de la Convention. Toutefois, compte tenu des ressources humaines disponibles, l</w:t>
      </w:r>
      <w:r w:rsidR="00480D38">
        <w:rPr>
          <w:rFonts w:ascii="Arial" w:hAnsi="Arial"/>
          <w:snapToGrid w:val="0"/>
          <w:sz w:val="22"/>
          <w:szCs w:val="22"/>
        </w:rPr>
        <w:t>’</w:t>
      </w:r>
      <w:r>
        <w:rPr>
          <w:rFonts w:ascii="Arial" w:hAnsi="Arial"/>
          <w:snapToGrid w:val="0"/>
          <w:sz w:val="22"/>
          <w:szCs w:val="22"/>
        </w:rPr>
        <w:t>accent placé sur la mise en œuvre du Fonds signifie également que les efforts déployés dans le but de mobiliser des ressources financières supplémentaires n</w:t>
      </w:r>
      <w:r w:rsidR="00480D38">
        <w:rPr>
          <w:rFonts w:ascii="Arial" w:hAnsi="Arial"/>
          <w:snapToGrid w:val="0"/>
          <w:sz w:val="22"/>
          <w:szCs w:val="22"/>
        </w:rPr>
        <w:t>’</w:t>
      </w:r>
      <w:r>
        <w:rPr>
          <w:rFonts w:ascii="Arial" w:hAnsi="Arial"/>
          <w:snapToGrid w:val="0"/>
          <w:sz w:val="22"/>
          <w:szCs w:val="22"/>
        </w:rPr>
        <w:t xml:space="preserve">ont pas été aussi </w:t>
      </w:r>
      <w:r w:rsidR="002D663B">
        <w:rPr>
          <w:rFonts w:ascii="Arial" w:hAnsi="Arial"/>
          <w:snapToGrid w:val="0"/>
          <w:sz w:val="22"/>
          <w:szCs w:val="22"/>
        </w:rPr>
        <w:t xml:space="preserve">importants </w:t>
      </w:r>
      <w:r>
        <w:rPr>
          <w:rFonts w:ascii="Arial" w:hAnsi="Arial"/>
          <w:snapToGrid w:val="0"/>
          <w:sz w:val="22"/>
          <w:szCs w:val="22"/>
        </w:rPr>
        <w:t>que prévu.</w:t>
      </w:r>
    </w:p>
    <w:p w14:paraId="7C483D87" w14:textId="174EA69D" w:rsidR="00407CB8" w:rsidRPr="00905CB2" w:rsidRDefault="00B971CB" w:rsidP="00C412F0">
      <w:pPr>
        <w:numPr>
          <w:ilvl w:val="0"/>
          <w:numId w:val="9"/>
        </w:numPr>
        <w:spacing w:after="120"/>
        <w:ind w:left="567" w:hanging="567"/>
        <w:jc w:val="both"/>
        <w:rPr>
          <w:rFonts w:ascii="Arial" w:hAnsi="Arial" w:cs="Arial"/>
          <w:snapToGrid w:val="0"/>
          <w:sz w:val="22"/>
          <w:szCs w:val="22"/>
        </w:rPr>
      </w:pPr>
      <w:r>
        <w:rPr>
          <w:rFonts w:ascii="Arial" w:hAnsi="Arial"/>
          <w:snapToGrid w:val="0"/>
          <w:sz w:val="22"/>
          <w:szCs w:val="22"/>
        </w:rPr>
        <w:t>En outre, l</w:t>
      </w:r>
      <w:r w:rsidR="00480D38">
        <w:rPr>
          <w:rFonts w:ascii="Arial" w:hAnsi="Arial"/>
          <w:snapToGrid w:val="0"/>
          <w:sz w:val="22"/>
          <w:szCs w:val="22"/>
        </w:rPr>
        <w:t>’</w:t>
      </w:r>
      <w:r>
        <w:rPr>
          <w:rFonts w:ascii="Arial" w:hAnsi="Arial"/>
          <w:snapToGrid w:val="0"/>
          <w:sz w:val="22"/>
          <w:szCs w:val="22"/>
        </w:rPr>
        <w:t xml:space="preserve">intensification de la mise en œuvre du Fonds </w:t>
      </w:r>
      <w:r w:rsidR="002D663B">
        <w:rPr>
          <w:rFonts w:ascii="Arial" w:hAnsi="Arial"/>
          <w:snapToGrid w:val="0"/>
          <w:sz w:val="22"/>
          <w:szCs w:val="22"/>
        </w:rPr>
        <w:t>v</w:t>
      </w:r>
      <w:r>
        <w:rPr>
          <w:rFonts w:ascii="Arial" w:hAnsi="Arial"/>
          <w:snapToGrid w:val="0"/>
          <w:sz w:val="22"/>
          <w:szCs w:val="22"/>
        </w:rPr>
        <w:t>a entraîn</w:t>
      </w:r>
      <w:r w:rsidR="002D663B">
        <w:rPr>
          <w:rFonts w:ascii="Arial" w:hAnsi="Arial"/>
          <w:snapToGrid w:val="0"/>
          <w:sz w:val="22"/>
          <w:szCs w:val="22"/>
        </w:rPr>
        <w:t xml:space="preserve">er une </w:t>
      </w:r>
      <w:r>
        <w:rPr>
          <w:rFonts w:ascii="Arial" w:hAnsi="Arial"/>
          <w:snapToGrid w:val="0"/>
          <w:sz w:val="22"/>
          <w:szCs w:val="22"/>
        </w:rPr>
        <w:t>diminution du budget global du Fonds</w:t>
      </w:r>
      <w:r w:rsidR="002D663B">
        <w:rPr>
          <w:rFonts w:ascii="Arial" w:hAnsi="Arial"/>
          <w:snapToGrid w:val="0"/>
          <w:sz w:val="22"/>
          <w:szCs w:val="22"/>
        </w:rPr>
        <w:t xml:space="preserve"> pour le prochain exercice biennal, qui sera plus bas que le budget actuel approuvé. </w:t>
      </w:r>
      <w:r>
        <w:rPr>
          <w:rFonts w:ascii="Arial" w:hAnsi="Arial"/>
          <w:snapToGrid w:val="0"/>
          <w:sz w:val="22"/>
          <w:szCs w:val="22"/>
        </w:rPr>
        <w:t xml:space="preserve">Par conséquent, plusieurs lignes budgétaires seront réduites. Par exemple, le montant alloué aux « autres fonctions du Comité » diminuera, probablement de près de </w:t>
      </w:r>
      <w:r w:rsidR="00AE381B">
        <w:rPr>
          <w:rFonts w:ascii="Arial" w:hAnsi="Arial"/>
          <w:snapToGrid w:val="0"/>
          <w:sz w:val="22"/>
          <w:szCs w:val="22"/>
        </w:rPr>
        <w:t>19 </w:t>
      </w:r>
      <w:r>
        <w:rPr>
          <w:rFonts w:ascii="Arial" w:hAnsi="Arial"/>
          <w:snapToGrid w:val="0"/>
          <w:sz w:val="22"/>
          <w:szCs w:val="22"/>
        </w:rPr>
        <w:t>% en termes de montant nominal pour la période 2020-2021, si le projet de plan pour l</w:t>
      </w:r>
      <w:r w:rsidR="00480D38">
        <w:rPr>
          <w:rFonts w:ascii="Arial" w:hAnsi="Arial"/>
          <w:snapToGrid w:val="0"/>
          <w:sz w:val="22"/>
          <w:szCs w:val="22"/>
        </w:rPr>
        <w:t>’</w:t>
      </w:r>
      <w:r>
        <w:rPr>
          <w:rFonts w:ascii="Arial" w:hAnsi="Arial"/>
          <w:snapToGrid w:val="0"/>
          <w:sz w:val="22"/>
          <w:szCs w:val="22"/>
        </w:rPr>
        <w:t xml:space="preserve">utilisation des ressources du Fonds proposé </w:t>
      </w:r>
      <w:r w:rsidRPr="00561DD7">
        <w:rPr>
          <w:rFonts w:ascii="Arial" w:hAnsi="Arial"/>
          <w:snapToGrid w:val="0"/>
          <w:sz w:val="22"/>
          <w:szCs w:val="22"/>
        </w:rPr>
        <w:t xml:space="preserve">dans le </w:t>
      </w:r>
      <w:hyperlink r:id="rId15" w:history="1">
        <w:r w:rsidRPr="00561DD7">
          <w:rPr>
            <w:rStyle w:val="Hyperlink"/>
            <w:rFonts w:ascii="Arial" w:hAnsi="Arial"/>
            <w:snapToGrid w:val="0"/>
            <w:sz w:val="22"/>
            <w:szCs w:val="22"/>
          </w:rPr>
          <w:t>projet de décision 14.COM 7</w:t>
        </w:r>
      </w:hyperlink>
      <w:r w:rsidRPr="00561DD7">
        <w:rPr>
          <w:rFonts w:ascii="Arial" w:hAnsi="Arial"/>
          <w:snapToGrid w:val="0"/>
          <w:sz w:val="22"/>
          <w:szCs w:val="22"/>
        </w:rPr>
        <w:t xml:space="preserve"> est</w:t>
      </w:r>
      <w:r>
        <w:rPr>
          <w:rFonts w:ascii="Arial" w:hAnsi="Arial"/>
          <w:snapToGrid w:val="0"/>
          <w:sz w:val="22"/>
          <w:szCs w:val="22"/>
        </w:rPr>
        <w:t xml:space="preserve"> approuvé. Cela signifie que le Fonds ne sera peut-être pas en mesure, dans un avenir proche, de poursuivre </w:t>
      </w:r>
      <w:r>
        <w:rPr>
          <w:rFonts w:ascii="Arial" w:hAnsi="Arial"/>
          <w:snapToGrid w:val="0"/>
          <w:sz w:val="22"/>
          <w:szCs w:val="22"/>
        </w:rPr>
        <w:lastRenderedPageBreak/>
        <w:t>ses activités de financement actuelles, en dépit de nouveaux besoins émergents tels que la nécessité d</w:t>
      </w:r>
      <w:r w:rsidR="00480D38">
        <w:rPr>
          <w:rFonts w:ascii="Arial" w:hAnsi="Arial"/>
          <w:snapToGrid w:val="0"/>
          <w:sz w:val="22"/>
          <w:szCs w:val="22"/>
        </w:rPr>
        <w:t>’</w:t>
      </w:r>
      <w:r>
        <w:rPr>
          <w:rFonts w:ascii="Arial" w:hAnsi="Arial"/>
          <w:snapToGrid w:val="0"/>
          <w:sz w:val="22"/>
          <w:szCs w:val="22"/>
        </w:rPr>
        <w:t>activités spécialisées de renforcement des capacités dans un nombre croissant d</w:t>
      </w:r>
      <w:r w:rsidR="00480D38">
        <w:rPr>
          <w:rFonts w:ascii="Arial" w:hAnsi="Arial"/>
          <w:snapToGrid w:val="0"/>
          <w:sz w:val="22"/>
          <w:szCs w:val="22"/>
        </w:rPr>
        <w:t>’</w:t>
      </w:r>
      <w:r>
        <w:rPr>
          <w:rFonts w:ascii="Arial" w:hAnsi="Arial"/>
          <w:snapToGrid w:val="0"/>
          <w:sz w:val="22"/>
          <w:szCs w:val="22"/>
        </w:rPr>
        <w:t>États parties, d</w:t>
      </w:r>
      <w:r w:rsidR="00480D38">
        <w:rPr>
          <w:rFonts w:ascii="Arial" w:hAnsi="Arial"/>
          <w:snapToGrid w:val="0"/>
          <w:sz w:val="22"/>
          <w:szCs w:val="22"/>
        </w:rPr>
        <w:t>’</w:t>
      </w:r>
      <w:r>
        <w:rPr>
          <w:rFonts w:ascii="Arial" w:hAnsi="Arial"/>
          <w:snapToGrid w:val="0"/>
          <w:sz w:val="22"/>
          <w:szCs w:val="22"/>
        </w:rPr>
        <w:t>activités de formulation de politiques en amont ou de formation liées à la réforme du mécanisme de soumission de rapports périodiques.</w:t>
      </w:r>
    </w:p>
    <w:p w14:paraId="43730897" w14:textId="1873C45D" w:rsidR="00B74458" w:rsidRDefault="0079713B">
      <w:pPr>
        <w:numPr>
          <w:ilvl w:val="0"/>
          <w:numId w:val="9"/>
        </w:numPr>
        <w:spacing w:after="120"/>
        <w:ind w:left="567" w:hanging="567"/>
        <w:jc w:val="both"/>
        <w:rPr>
          <w:rFonts w:ascii="Arial" w:hAnsi="Arial" w:cs="Arial"/>
          <w:snapToGrid w:val="0"/>
          <w:sz w:val="22"/>
          <w:szCs w:val="22"/>
        </w:rPr>
      </w:pPr>
      <w:r>
        <w:rPr>
          <w:rFonts w:ascii="Arial" w:hAnsi="Arial"/>
          <w:snapToGrid w:val="0"/>
          <w:sz w:val="22"/>
          <w:szCs w:val="22"/>
        </w:rPr>
        <w:t>Compte tenu de cette perspective, le Secrétariat intensifiera ses efforts en matière de levée de fonds pour les deux priorités de financement, ainsi que dans le but d</w:t>
      </w:r>
      <w:r w:rsidR="00480D38">
        <w:rPr>
          <w:rFonts w:ascii="Arial" w:hAnsi="Arial"/>
          <w:snapToGrid w:val="0"/>
          <w:sz w:val="22"/>
          <w:szCs w:val="22"/>
        </w:rPr>
        <w:t>’</w:t>
      </w:r>
      <w:r>
        <w:rPr>
          <w:rFonts w:ascii="Arial" w:hAnsi="Arial"/>
          <w:snapToGrid w:val="0"/>
          <w:sz w:val="22"/>
          <w:szCs w:val="22"/>
        </w:rPr>
        <w:t>améliorer ses ressources humaines. Compte tenu de la diminution prévue du montant disponible pour l</w:t>
      </w:r>
      <w:r w:rsidR="00480D38">
        <w:rPr>
          <w:rFonts w:ascii="Arial" w:hAnsi="Arial"/>
          <w:snapToGrid w:val="0"/>
          <w:sz w:val="22"/>
          <w:szCs w:val="22"/>
        </w:rPr>
        <w:t>’</w:t>
      </w:r>
      <w:r>
        <w:rPr>
          <w:rFonts w:ascii="Arial" w:hAnsi="Arial"/>
          <w:snapToGrid w:val="0"/>
          <w:sz w:val="22"/>
          <w:szCs w:val="22"/>
        </w:rPr>
        <w:t>assistance internationale du Fonds, tous les États parties doivent être encouragés à soutenir la Convention</w:t>
      </w:r>
      <w:r w:rsidR="00B57B58">
        <w:rPr>
          <w:rFonts w:ascii="Arial" w:hAnsi="Arial"/>
          <w:snapToGrid w:val="0"/>
          <w:sz w:val="22"/>
          <w:szCs w:val="22"/>
        </w:rPr>
        <w:t xml:space="preserve"> suivant la modalité de leur choix</w:t>
      </w:r>
      <w:r>
        <w:rPr>
          <w:rFonts w:ascii="Arial" w:hAnsi="Arial"/>
          <w:snapToGrid w:val="0"/>
          <w:sz w:val="22"/>
          <w:szCs w:val="22"/>
        </w:rPr>
        <w:t>.</w:t>
      </w:r>
    </w:p>
    <w:p w14:paraId="562F75C1" w14:textId="607B8423" w:rsidR="00536CF1" w:rsidRPr="00536CF1" w:rsidRDefault="00536CF1" w:rsidP="00CB68FC">
      <w:pPr>
        <w:keepNext/>
        <w:keepLines/>
        <w:tabs>
          <w:tab w:val="left" w:pos="567"/>
        </w:tabs>
        <w:snapToGrid w:val="0"/>
        <w:spacing w:before="240" w:after="120"/>
        <w:ind w:left="567"/>
        <w:jc w:val="both"/>
        <w:rPr>
          <w:rFonts w:ascii="Arial" w:hAnsi="Arial" w:cs="Arial"/>
          <w:snapToGrid w:val="0"/>
          <w:color w:val="000000"/>
          <w:sz w:val="22"/>
          <w:szCs w:val="22"/>
        </w:rPr>
      </w:pPr>
      <w:r>
        <w:rPr>
          <w:rFonts w:ascii="Arial" w:hAnsi="Arial"/>
          <w:b/>
          <w:snapToGrid w:val="0"/>
          <w:sz w:val="22"/>
          <w:szCs w:val="22"/>
        </w:rPr>
        <w:t>Priorité 1 de financement : Programme de renforcement des capacités</w:t>
      </w:r>
    </w:p>
    <w:p w14:paraId="701D24C1" w14:textId="0138919A" w:rsidR="001F7482" w:rsidRPr="00CD0C99" w:rsidRDefault="00915BD9" w:rsidP="00D86B5B">
      <w:pPr>
        <w:numPr>
          <w:ilvl w:val="0"/>
          <w:numId w:val="9"/>
        </w:numPr>
        <w:spacing w:after="120"/>
        <w:ind w:left="567" w:hanging="567"/>
        <w:jc w:val="both"/>
      </w:pPr>
      <w:r>
        <w:rPr>
          <w:rFonts w:ascii="Arial" w:hAnsi="Arial"/>
          <w:snapToGrid w:val="0"/>
          <w:sz w:val="22"/>
          <w:szCs w:val="22"/>
        </w:rPr>
        <w:t>L’</w:t>
      </w:r>
      <w:r w:rsidR="00BF1B64">
        <w:rPr>
          <w:rFonts w:ascii="Arial" w:hAnsi="Arial"/>
          <w:snapToGrid w:val="0"/>
          <w:sz w:val="22"/>
          <w:szCs w:val="22"/>
        </w:rPr>
        <w:t xml:space="preserve">exercice biennal actuel (39 C/5) est marqué par une baisse prononcée des contributions affectées à des fins spécifiques et des accords de fonds-en-dépôt en faveur du programme global de renforcement des capacités. </w:t>
      </w:r>
      <w:r>
        <w:rPr>
          <w:rFonts w:ascii="Arial" w:hAnsi="Arial"/>
          <w:snapToGrid w:val="0"/>
          <w:sz w:val="22"/>
          <w:szCs w:val="22"/>
        </w:rPr>
        <w:t xml:space="preserve">Au cours de la période de donnée, aucune nouvelle contribution au Fonds n’a été apportée pour cette priorité. </w:t>
      </w:r>
      <w:r w:rsidR="00BF1B64">
        <w:rPr>
          <w:rFonts w:ascii="Arial" w:hAnsi="Arial"/>
          <w:snapToGrid w:val="0"/>
          <w:sz w:val="22"/>
          <w:szCs w:val="22"/>
        </w:rPr>
        <w:t xml:space="preserve">Outre les généreuses contributions de la Belgique (Flandre) </w:t>
      </w:r>
      <w:r w:rsidR="00BF1B64">
        <w:rPr>
          <w:rFonts w:ascii="Arial" w:hAnsi="Arial"/>
          <w:snapToGrid w:val="0"/>
          <w:color w:val="000000"/>
          <w:sz w:val="22"/>
          <w:szCs w:val="22"/>
        </w:rPr>
        <w:t xml:space="preserve">et du Japon pour un </w:t>
      </w:r>
      <w:r w:rsidR="001F7482">
        <w:rPr>
          <w:rFonts w:ascii="Arial" w:hAnsi="Arial"/>
          <w:snapToGrid w:val="0"/>
          <w:color w:val="000000"/>
          <w:sz w:val="22"/>
          <w:szCs w:val="22"/>
        </w:rPr>
        <w:t>budget</w:t>
      </w:r>
      <w:r>
        <w:rPr>
          <w:rFonts w:ascii="Arial" w:hAnsi="Arial"/>
          <w:snapToGrid w:val="0"/>
          <w:color w:val="000000"/>
          <w:sz w:val="22"/>
          <w:szCs w:val="22"/>
        </w:rPr>
        <w:t xml:space="preserve"> </w:t>
      </w:r>
      <w:r w:rsidR="00BF1B64">
        <w:rPr>
          <w:rFonts w:ascii="Arial" w:hAnsi="Arial"/>
          <w:snapToGrid w:val="0"/>
          <w:color w:val="000000"/>
          <w:sz w:val="22"/>
          <w:szCs w:val="22"/>
        </w:rPr>
        <w:t xml:space="preserve">total </w:t>
      </w:r>
      <w:r w:rsidR="00A01825">
        <w:rPr>
          <w:rFonts w:ascii="Arial" w:hAnsi="Arial"/>
          <w:snapToGrid w:val="0"/>
          <w:color w:val="000000"/>
          <w:sz w:val="22"/>
          <w:szCs w:val="22"/>
        </w:rPr>
        <w:t xml:space="preserve">approuvé </w:t>
      </w:r>
      <w:r w:rsidR="00BF1B64">
        <w:rPr>
          <w:rFonts w:ascii="Arial" w:hAnsi="Arial"/>
          <w:snapToGrid w:val="0"/>
          <w:color w:val="000000"/>
          <w:sz w:val="22"/>
          <w:szCs w:val="22"/>
        </w:rPr>
        <w:t xml:space="preserve">de </w:t>
      </w:r>
      <w:r w:rsidR="00BF1B64">
        <w:rPr>
          <w:rFonts w:ascii="Arial" w:hAnsi="Arial"/>
          <w:snapToGrid w:val="0"/>
          <w:sz w:val="22"/>
          <w:szCs w:val="22"/>
        </w:rPr>
        <w:t>377 467 dollars des États-Unis</w:t>
      </w:r>
      <w:r>
        <w:rPr>
          <w:rFonts w:ascii="Arial" w:hAnsi="Arial"/>
          <w:snapToGrid w:val="0"/>
          <w:sz w:val="22"/>
          <w:szCs w:val="22"/>
        </w:rPr>
        <w:t xml:space="preserve"> en 2018 ; il paraît difficile d’atteindre l’objectif </w:t>
      </w:r>
      <w:r w:rsidR="001F7482">
        <w:rPr>
          <w:rFonts w:ascii="Arial" w:hAnsi="Arial"/>
          <w:snapToGrid w:val="0"/>
          <w:sz w:val="22"/>
          <w:szCs w:val="22"/>
        </w:rPr>
        <w:t>fixé</w:t>
      </w:r>
      <w:r>
        <w:rPr>
          <w:rFonts w:ascii="Arial" w:hAnsi="Arial"/>
          <w:snapToGrid w:val="0"/>
          <w:sz w:val="22"/>
          <w:szCs w:val="22"/>
        </w:rPr>
        <w:t xml:space="preserve"> de 5 millions de dollar</w:t>
      </w:r>
      <w:r w:rsidR="00C86B99">
        <w:rPr>
          <w:rFonts w:ascii="Arial" w:hAnsi="Arial"/>
          <w:snapToGrid w:val="0"/>
          <w:sz w:val="22"/>
          <w:szCs w:val="22"/>
        </w:rPr>
        <w:t>s</w:t>
      </w:r>
      <w:r>
        <w:rPr>
          <w:rFonts w:ascii="Arial" w:hAnsi="Arial"/>
          <w:snapToGrid w:val="0"/>
          <w:sz w:val="22"/>
          <w:szCs w:val="22"/>
        </w:rPr>
        <w:t xml:space="preserve"> des </w:t>
      </w:r>
      <w:r w:rsidR="006165FE">
        <w:rPr>
          <w:rFonts w:ascii="Arial" w:hAnsi="Arial"/>
          <w:snapToGrid w:val="0"/>
          <w:sz w:val="22"/>
          <w:szCs w:val="22"/>
        </w:rPr>
        <w:t>É</w:t>
      </w:r>
      <w:r>
        <w:rPr>
          <w:rFonts w:ascii="Arial" w:hAnsi="Arial"/>
          <w:snapToGrid w:val="0"/>
          <w:sz w:val="22"/>
          <w:szCs w:val="22"/>
        </w:rPr>
        <w:t>tats-Unis</w:t>
      </w:r>
      <w:r w:rsidR="001F7482">
        <w:rPr>
          <w:rFonts w:ascii="Arial" w:hAnsi="Arial"/>
          <w:snapToGrid w:val="0"/>
          <w:sz w:val="22"/>
          <w:szCs w:val="22"/>
        </w:rPr>
        <w:t xml:space="preserve"> pour </w:t>
      </w:r>
      <w:r w:rsidR="00C86B99">
        <w:rPr>
          <w:rFonts w:ascii="Arial" w:hAnsi="Arial"/>
          <w:snapToGrid w:val="0"/>
          <w:sz w:val="22"/>
          <w:szCs w:val="22"/>
        </w:rPr>
        <w:t>la période quadriennale 2018–</w:t>
      </w:r>
      <w:r w:rsidR="001F7482">
        <w:rPr>
          <w:rFonts w:ascii="Arial" w:hAnsi="Arial"/>
          <w:snapToGrid w:val="0"/>
          <w:sz w:val="22"/>
          <w:szCs w:val="22"/>
        </w:rPr>
        <w:t>2021 (</w:t>
      </w:r>
      <w:hyperlink r:id="rId16" w:history="1">
        <w:r w:rsidR="001F7482" w:rsidRPr="00C86B99">
          <w:rPr>
            <w:rStyle w:val="Hyperlink"/>
            <w:rFonts w:ascii="Arial" w:hAnsi="Arial"/>
            <w:snapToGrid w:val="0"/>
            <w:sz w:val="22"/>
            <w:szCs w:val="22"/>
          </w:rPr>
          <w:t>décision</w:t>
        </w:r>
        <w:r w:rsidR="00F9327E">
          <w:rPr>
            <w:rStyle w:val="Hyperlink"/>
            <w:rFonts w:ascii="Arial" w:hAnsi="Arial"/>
            <w:snapToGrid w:val="0"/>
            <w:sz w:val="22"/>
            <w:szCs w:val="22"/>
          </w:rPr>
          <w:t> </w:t>
        </w:r>
        <w:r w:rsidR="001F7482" w:rsidRPr="00C86B99">
          <w:rPr>
            <w:rStyle w:val="Hyperlink"/>
            <w:rFonts w:ascii="Arial" w:hAnsi="Arial"/>
            <w:snapToGrid w:val="0"/>
            <w:sz w:val="22"/>
            <w:szCs w:val="22"/>
          </w:rPr>
          <w:t>12 COM 6</w:t>
        </w:r>
      </w:hyperlink>
      <w:r w:rsidR="001F7482">
        <w:rPr>
          <w:rFonts w:ascii="Arial" w:hAnsi="Arial"/>
          <w:snapToGrid w:val="0"/>
          <w:sz w:val="22"/>
          <w:szCs w:val="22"/>
        </w:rPr>
        <w:t>).</w:t>
      </w:r>
    </w:p>
    <w:p w14:paraId="6C9652FA" w14:textId="33892703" w:rsidR="00D86B5B" w:rsidRPr="00CB68FC" w:rsidRDefault="001F7482" w:rsidP="007D3BF6">
      <w:pPr>
        <w:numPr>
          <w:ilvl w:val="0"/>
          <w:numId w:val="9"/>
        </w:numPr>
        <w:spacing w:after="120"/>
        <w:ind w:left="567" w:hanging="567"/>
        <w:jc w:val="both"/>
      </w:pPr>
      <w:r w:rsidRPr="007D3BF6">
        <w:rPr>
          <w:rFonts w:ascii="Arial" w:hAnsi="Arial"/>
          <w:snapToGrid w:val="0"/>
          <w:sz w:val="22"/>
          <w:szCs w:val="22"/>
        </w:rPr>
        <w:t xml:space="preserve">En outre, il est à noter que le projet, en cours, intitulé « Patrimoine immatériel </w:t>
      </w:r>
      <w:r w:rsidR="007D3BF6" w:rsidRPr="007D3BF6">
        <w:rPr>
          <w:rFonts w:ascii="Arial" w:hAnsi="Arial"/>
          <w:snapToGrid w:val="0"/>
          <w:sz w:val="22"/>
          <w:szCs w:val="22"/>
        </w:rPr>
        <w:t>et créativité pour des villes durables »</w:t>
      </w:r>
      <w:r w:rsidR="007D3BF6" w:rsidRPr="007D3BF6">
        <w:rPr>
          <w:rFonts w:ascii="Arial" w:hAnsi="Arial"/>
          <w:snapToGrid w:val="0"/>
          <w:color w:val="000000"/>
          <w:sz w:val="22"/>
          <w:szCs w:val="22"/>
        </w:rPr>
        <w:t xml:space="preserve"> financé par </w:t>
      </w:r>
      <w:r w:rsidR="00BF1B64" w:rsidRPr="007D3BF6">
        <w:rPr>
          <w:rFonts w:ascii="Arial" w:hAnsi="Arial"/>
          <w:snapToGrid w:val="0"/>
          <w:color w:val="000000"/>
          <w:sz w:val="22"/>
          <w:szCs w:val="22"/>
        </w:rPr>
        <w:t>le secteur privé de la République populaire de Chine</w:t>
      </w:r>
      <w:r w:rsidR="007D3BF6">
        <w:rPr>
          <w:rFonts w:ascii="Arial" w:hAnsi="Arial"/>
          <w:snapToGrid w:val="0"/>
          <w:color w:val="000000"/>
          <w:sz w:val="22"/>
          <w:szCs w:val="22"/>
        </w:rPr>
        <w:t xml:space="preserve"> inclut une composante dédiée aux renforcements des capacités pour la sauvegarde du patrimoine culturel immatériel (2017–2020 ; allocation du budget de la composante : 639 580 dollar</w:t>
      </w:r>
      <w:r w:rsidR="00C86B99">
        <w:rPr>
          <w:rFonts w:ascii="Arial" w:hAnsi="Arial"/>
          <w:snapToGrid w:val="0"/>
          <w:color w:val="000000"/>
          <w:sz w:val="22"/>
          <w:szCs w:val="22"/>
        </w:rPr>
        <w:t>s</w:t>
      </w:r>
      <w:r w:rsidR="006165FE">
        <w:rPr>
          <w:rFonts w:ascii="Arial" w:hAnsi="Arial"/>
          <w:snapToGrid w:val="0"/>
          <w:color w:val="000000"/>
          <w:sz w:val="22"/>
          <w:szCs w:val="22"/>
        </w:rPr>
        <w:t xml:space="preserve"> des É</w:t>
      </w:r>
      <w:r w:rsidR="007D3BF6">
        <w:rPr>
          <w:rFonts w:ascii="Arial" w:hAnsi="Arial"/>
          <w:snapToGrid w:val="0"/>
          <w:color w:val="000000"/>
          <w:sz w:val="22"/>
          <w:szCs w:val="22"/>
        </w:rPr>
        <w:t>tats-Unis).</w:t>
      </w:r>
    </w:p>
    <w:p w14:paraId="1112A9EF" w14:textId="3624A24C" w:rsidR="00FC0F6B" w:rsidRPr="00CB68FC" w:rsidRDefault="00FC0F6B" w:rsidP="00CB68FC">
      <w:pPr>
        <w:keepLines/>
        <w:numPr>
          <w:ilvl w:val="0"/>
          <w:numId w:val="9"/>
        </w:numPr>
        <w:spacing w:after="120"/>
        <w:ind w:left="567" w:hanging="567"/>
        <w:jc w:val="both"/>
        <w:rPr>
          <w:color w:val="000000"/>
        </w:rPr>
      </w:pPr>
      <w:r>
        <w:rPr>
          <w:rFonts w:ascii="Arial" w:hAnsi="Arial"/>
          <w:snapToGrid w:val="0"/>
          <w:sz w:val="22"/>
          <w:szCs w:val="22"/>
        </w:rPr>
        <w:t>Compte tenu de l</w:t>
      </w:r>
      <w:r w:rsidR="00480D38">
        <w:rPr>
          <w:rFonts w:ascii="Arial" w:hAnsi="Arial"/>
          <w:snapToGrid w:val="0"/>
          <w:sz w:val="22"/>
          <w:szCs w:val="22"/>
        </w:rPr>
        <w:t>’</w:t>
      </w:r>
      <w:r>
        <w:rPr>
          <w:rFonts w:ascii="Arial" w:hAnsi="Arial"/>
          <w:snapToGrid w:val="0"/>
          <w:sz w:val="22"/>
          <w:szCs w:val="22"/>
        </w:rPr>
        <w:t>augmentation du nombre de demandes d</w:t>
      </w:r>
      <w:r w:rsidR="00480D38">
        <w:rPr>
          <w:rFonts w:ascii="Arial" w:hAnsi="Arial"/>
          <w:snapToGrid w:val="0"/>
          <w:sz w:val="22"/>
          <w:szCs w:val="22"/>
        </w:rPr>
        <w:t>’</w:t>
      </w:r>
      <w:r>
        <w:rPr>
          <w:rFonts w:ascii="Arial" w:hAnsi="Arial"/>
          <w:snapToGrid w:val="0"/>
          <w:sz w:val="22"/>
          <w:szCs w:val="22"/>
        </w:rPr>
        <w:t xml:space="preserve">assistance internationale présentées et approuvées (voir les documents </w:t>
      </w:r>
      <w:hyperlink r:id="rId17" w:history="1">
        <w:r w:rsidRPr="00C86B99">
          <w:rPr>
            <w:rStyle w:val="Hyperlink"/>
            <w:rFonts w:ascii="Arial" w:hAnsi="Arial"/>
            <w:snapToGrid w:val="0"/>
            <w:sz w:val="22"/>
            <w:szCs w:val="22"/>
          </w:rPr>
          <w:t>LHE/19/14.COM/7</w:t>
        </w:r>
      </w:hyperlink>
      <w:r w:rsidRPr="00C86B99">
        <w:rPr>
          <w:rFonts w:ascii="Arial" w:hAnsi="Arial"/>
          <w:snapToGrid w:val="0"/>
          <w:sz w:val="22"/>
          <w:szCs w:val="22"/>
        </w:rPr>
        <w:t xml:space="preserve"> et </w:t>
      </w:r>
      <w:hyperlink r:id="rId18" w:history="1">
        <w:r w:rsidRPr="00C86B99">
          <w:rPr>
            <w:rStyle w:val="Hyperlink"/>
            <w:rFonts w:ascii="Arial" w:hAnsi="Arial"/>
            <w:snapToGrid w:val="0"/>
            <w:sz w:val="22"/>
            <w:szCs w:val="22"/>
          </w:rPr>
          <w:t>LHE/19/14.COM/9.b</w:t>
        </w:r>
      </w:hyperlink>
      <w:r>
        <w:rPr>
          <w:rFonts w:ascii="Arial" w:hAnsi="Arial"/>
          <w:snapToGrid w:val="0"/>
          <w:sz w:val="22"/>
          <w:szCs w:val="22"/>
        </w:rPr>
        <w:t xml:space="preserve">), </w:t>
      </w:r>
      <w:r w:rsidR="001B47F7">
        <w:rPr>
          <w:rFonts w:ascii="Arial" w:hAnsi="Arial"/>
          <w:snapToGrid w:val="0"/>
          <w:sz w:val="22"/>
          <w:szCs w:val="22"/>
        </w:rPr>
        <w:t>il peut être déduit</w:t>
      </w:r>
      <w:r>
        <w:rPr>
          <w:rFonts w:ascii="Arial" w:hAnsi="Arial"/>
          <w:snapToGrid w:val="0"/>
          <w:sz w:val="22"/>
          <w:szCs w:val="22"/>
        </w:rPr>
        <w:t xml:space="preserve"> que les besoins en matière de renforcement des capacités </w:t>
      </w:r>
      <w:r w:rsidR="007D3BF6">
        <w:rPr>
          <w:rFonts w:ascii="Arial" w:hAnsi="Arial"/>
          <w:snapToGrid w:val="0"/>
          <w:sz w:val="22"/>
          <w:szCs w:val="22"/>
        </w:rPr>
        <w:t xml:space="preserve">soient </w:t>
      </w:r>
      <w:r>
        <w:rPr>
          <w:rFonts w:ascii="Arial" w:hAnsi="Arial"/>
          <w:snapToGrid w:val="0"/>
          <w:sz w:val="22"/>
          <w:szCs w:val="22"/>
        </w:rPr>
        <w:t>progressivement satisfaits grâce à l</w:t>
      </w:r>
      <w:r w:rsidR="00480D38">
        <w:rPr>
          <w:rFonts w:ascii="Arial" w:hAnsi="Arial"/>
          <w:snapToGrid w:val="0"/>
          <w:sz w:val="22"/>
          <w:szCs w:val="22"/>
        </w:rPr>
        <w:t>’</w:t>
      </w:r>
      <w:r>
        <w:rPr>
          <w:rFonts w:ascii="Arial" w:hAnsi="Arial"/>
          <w:snapToGrid w:val="0"/>
          <w:sz w:val="22"/>
          <w:szCs w:val="22"/>
        </w:rPr>
        <w:t>assistance internationale. Toutefois, le budget global du Fonds ainsi que le montant alloué à l</w:t>
      </w:r>
      <w:r w:rsidR="00480D38">
        <w:rPr>
          <w:rFonts w:ascii="Arial" w:hAnsi="Arial"/>
          <w:snapToGrid w:val="0"/>
          <w:sz w:val="22"/>
          <w:szCs w:val="22"/>
        </w:rPr>
        <w:t>’</w:t>
      </w:r>
      <w:r>
        <w:rPr>
          <w:rFonts w:ascii="Arial" w:hAnsi="Arial"/>
          <w:snapToGrid w:val="0"/>
          <w:sz w:val="22"/>
          <w:szCs w:val="22"/>
        </w:rPr>
        <w:t>assistance internationale étant amenés à diminuer à compter d</w:t>
      </w:r>
      <w:r w:rsidR="007D3BF6">
        <w:rPr>
          <w:rFonts w:ascii="Arial" w:hAnsi="Arial"/>
          <w:snapToGrid w:val="0"/>
          <w:sz w:val="22"/>
          <w:szCs w:val="22"/>
        </w:rPr>
        <w:t xml:space="preserve">u prochain </w:t>
      </w:r>
      <w:r w:rsidR="00480D38">
        <w:rPr>
          <w:rFonts w:ascii="Arial" w:hAnsi="Arial"/>
          <w:snapToGrid w:val="0"/>
          <w:sz w:val="22"/>
          <w:szCs w:val="22"/>
        </w:rPr>
        <w:t>’</w:t>
      </w:r>
      <w:r>
        <w:rPr>
          <w:rFonts w:ascii="Arial" w:hAnsi="Arial"/>
          <w:snapToGrid w:val="0"/>
          <w:sz w:val="22"/>
          <w:szCs w:val="22"/>
        </w:rPr>
        <w:t>exercice</w:t>
      </w:r>
      <w:r w:rsidR="007D3BF6">
        <w:rPr>
          <w:rFonts w:ascii="Arial" w:hAnsi="Arial"/>
          <w:snapToGrid w:val="0"/>
          <w:sz w:val="22"/>
          <w:szCs w:val="22"/>
        </w:rPr>
        <w:t xml:space="preserve">. </w:t>
      </w:r>
      <w:r>
        <w:rPr>
          <w:rFonts w:ascii="Arial" w:hAnsi="Arial"/>
          <w:snapToGrid w:val="0"/>
          <w:sz w:val="22"/>
          <w:szCs w:val="22"/>
        </w:rPr>
        <w:t>Dans ce contexte, les contributions volontaires n</w:t>
      </w:r>
      <w:r w:rsidR="00480D38">
        <w:rPr>
          <w:rFonts w:ascii="Arial" w:hAnsi="Arial"/>
          <w:snapToGrid w:val="0"/>
          <w:sz w:val="22"/>
          <w:szCs w:val="22"/>
        </w:rPr>
        <w:t>’</w:t>
      </w:r>
      <w:r>
        <w:rPr>
          <w:rFonts w:ascii="Arial" w:hAnsi="Arial"/>
          <w:snapToGrid w:val="0"/>
          <w:sz w:val="22"/>
          <w:szCs w:val="22"/>
        </w:rPr>
        <w:t>en seront que plus importantes, dans la mesure où le Fonds ne sera pas à même de soutenir toutes les demandes qui lui seront présentées.</w:t>
      </w:r>
    </w:p>
    <w:p w14:paraId="44A569DD" w14:textId="22F8A872" w:rsidR="00536CF1" w:rsidRDefault="00536CF1" w:rsidP="00C412F0">
      <w:pPr>
        <w:keepNext/>
        <w:tabs>
          <w:tab w:val="left" w:pos="567"/>
        </w:tabs>
        <w:snapToGrid w:val="0"/>
        <w:spacing w:before="240" w:after="120"/>
        <w:ind w:left="567"/>
        <w:jc w:val="both"/>
        <w:rPr>
          <w:rFonts w:ascii="Arial" w:hAnsi="Arial" w:cs="Arial"/>
          <w:snapToGrid w:val="0"/>
          <w:sz w:val="22"/>
          <w:szCs w:val="22"/>
        </w:rPr>
      </w:pPr>
      <w:r>
        <w:rPr>
          <w:rFonts w:ascii="Arial" w:hAnsi="Arial"/>
          <w:b/>
          <w:snapToGrid w:val="0"/>
          <w:sz w:val="22"/>
          <w:szCs w:val="22"/>
        </w:rPr>
        <w:t>Priorité 2 de financement : Le patrimoine culturel immatériel dans l</w:t>
      </w:r>
      <w:r w:rsidR="00480D38">
        <w:rPr>
          <w:rFonts w:ascii="Arial" w:hAnsi="Arial"/>
          <w:b/>
          <w:snapToGrid w:val="0"/>
          <w:sz w:val="22"/>
          <w:szCs w:val="22"/>
        </w:rPr>
        <w:t>’</w:t>
      </w:r>
      <w:r>
        <w:rPr>
          <w:rFonts w:ascii="Arial" w:hAnsi="Arial"/>
          <w:b/>
          <w:snapToGrid w:val="0"/>
          <w:sz w:val="22"/>
          <w:szCs w:val="22"/>
        </w:rPr>
        <w:t>éducation</w:t>
      </w:r>
    </w:p>
    <w:p w14:paraId="28E9E5CB" w14:textId="29BE997C" w:rsidR="007D3BF6" w:rsidRPr="00CD0C99" w:rsidRDefault="009A71BC" w:rsidP="002841CE">
      <w:pPr>
        <w:numPr>
          <w:ilvl w:val="0"/>
          <w:numId w:val="9"/>
        </w:numPr>
        <w:spacing w:after="120"/>
        <w:ind w:left="567" w:hanging="567"/>
        <w:jc w:val="both"/>
        <w:rPr>
          <w:rFonts w:ascii="Arial" w:hAnsi="Arial" w:cs="Arial"/>
          <w:snapToGrid w:val="0"/>
          <w:sz w:val="22"/>
          <w:szCs w:val="22"/>
        </w:rPr>
      </w:pPr>
      <w:r>
        <w:rPr>
          <w:rFonts w:ascii="Arial" w:hAnsi="Arial"/>
          <w:sz w:val="22"/>
          <w:szCs w:val="22"/>
        </w:rPr>
        <w:t>Dans le cadre de la priorité de financement « sauvegarde du patrimoine culturel immatériel dans l</w:t>
      </w:r>
      <w:r w:rsidR="00480D38">
        <w:rPr>
          <w:rFonts w:ascii="Arial" w:hAnsi="Arial"/>
          <w:sz w:val="22"/>
          <w:szCs w:val="22"/>
        </w:rPr>
        <w:t>’</w:t>
      </w:r>
      <w:r>
        <w:rPr>
          <w:rFonts w:ascii="Arial" w:hAnsi="Arial"/>
          <w:sz w:val="22"/>
          <w:szCs w:val="22"/>
        </w:rPr>
        <w:t>éducation formelle et non formelle » approuvée par le Comité en décembre 2017, le Secrétariat a intensifié ses efforts de sensibilisation, ainsi que ses efforts en amont aux niveaux mondial, régional et</w:t>
      </w:r>
      <w:r w:rsidRPr="00C86B99">
        <w:rPr>
          <w:rFonts w:ascii="Arial" w:hAnsi="Arial"/>
          <w:sz w:val="22"/>
          <w:szCs w:val="22"/>
        </w:rPr>
        <w:t xml:space="preserve"> national (voir le Rapport du Secrétariat dans le </w:t>
      </w:r>
      <w:hyperlink r:id="rId19" w:history="1">
        <w:r w:rsidRPr="00C86B99">
          <w:rPr>
            <w:rStyle w:val="Hyperlink"/>
            <w:rFonts w:ascii="Arial" w:hAnsi="Arial"/>
            <w:sz w:val="22"/>
            <w:szCs w:val="22"/>
          </w:rPr>
          <w:t>documen</w:t>
        </w:r>
        <w:r w:rsidRPr="00931886">
          <w:rPr>
            <w:rStyle w:val="Hyperlink"/>
            <w:rFonts w:ascii="Arial" w:hAnsi="Arial"/>
            <w:sz w:val="22"/>
            <w:szCs w:val="22"/>
          </w:rPr>
          <w:t>t</w:t>
        </w:r>
        <w:r w:rsidR="00931886" w:rsidRPr="00931886">
          <w:rPr>
            <w:rFonts w:ascii="Arial" w:hAnsi="Arial"/>
            <w:sz w:val="22"/>
            <w:szCs w:val="22"/>
            <w:u w:val="single"/>
          </w:rPr>
          <w:t> </w:t>
        </w:r>
        <w:r w:rsidRPr="00C86B99">
          <w:rPr>
            <w:rStyle w:val="Hyperlink"/>
            <w:rFonts w:ascii="Arial" w:hAnsi="Arial"/>
            <w:sz w:val="22"/>
            <w:szCs w:val="22"/>
          </w:rPr>
          <w:t>LHE/19/14.COM/5.b</w:t>
        </w:r>
      </w:hyperlink>
      <w:r>
        <w:rPr>
          <w:rFonts w:ascii="Arial" w:hAnsi="Arial"/>
          <w:sz w:val="22"/>
          <w:szCs w:val="22"/>
        </w:rPr>
        <w:t>)</w:t>
      </w:r>
      <w:r w:rsidR="007D3BF6">
        <w:rPr>
          <w:rFonts w:ascii="Arial" w:hAnsi="Arial"/>
          <w:sz w:val="22"/>
          <w:szCs w:val="22"/>
        </w:rPr>
        <w:t xml:space="preserve"> bien qu’aucune contribution volontaire n’ait été versée jusque-</w:t>
      </w:r>
      <w:r w:rsidR="00931886">
        <w:rPr>
          <w:rFonts w:ascii="Arial" w:hAnsi="Arial"/>
          <w:sz w:val="22"/>
          <w:szCs w:val="22"/>
        </w:rPr>
        <w:t> </w:t>
      </w:r>
      <w:r w:rsidR="007D3BF6">
        <w:rPr>
          <w:rFonts w:ascii="Arial" w:hAnsi="Arial"/>
          <w:sz w:val="22"/>
          <w:szCs w:val="22"/>
        </w:rPr>
        <w:t>là.</w:t>
      </w:r>
    </w:p>
    <w:p w14:paraId="486723D0" w14:textId="098DBCAC" w:rsidR="009B3634" w:rsidRDefault="00CE7D6C" w:rsidP="002841CE">
      <w:pPr>
        <w:numPr>
          <w:ilvl w:val="0"/>
          <w:numId w:val="9"/>
        </w:numPr>
        <w:spacing w:after="120"/>
        <w:ind w:left="567" w:hanging="567"/>
        <w:jc w:val="both"/>
        <w:rPr>
          <w:rFonts w:ascii="Arial" w:hAnsi="Arial"/>
          <w:snapToGrid w:val="0"/>
          <w:color w:val="000000"/>
          <w:sz w:val="22"/>
          <w:szCs w:val="22"/>
        </w:rPr>
      </w:pPr>
      <w:r>
        <w:rPr>
          <w:rFonts w:ascii="Arial" w:hAnsi="Arial"/>
          <w:sz w:val="22"/>
          <w:szCs w:val="22"/>
        </w:rPr>
        <w:t xml:space="preserve">Parallèlement le projet en cours « 2018 Année européenne du patrimoine culturel : Mobiliser les jeunes pour une Europe inclusive et durable », financé par la Commission </w:t>
      </w:r>
      <w:r w:rsidR="009B3634">
        <w:rPr>
          <w:rFonts w:ascii="Arial" w:hAnsi="Arial"/>
          <w:sz w:val="22"/>
          <w:szCs w:val="22"/>
        </w:rPr>
        <w:t>européenne, inclut</w:t>
      </w:r>
      <w:r>
        <w:rPr>
          <w:rFonts w:ascii="Arial" w:hAnsi="Arial"/>
          <w:sz w:val="22"/>
          <w:szCs w:val="22"/>
        </w:rPr>
        <w:t xml:space="preserve"> une composante (budget de 228 015 dollars des États-Unis) dédiée à la sensibilisation et à l’apprentissage avec le patrimoine culturel immatériel dans les écoles européennes (2018-2020 ; </w:t>
      </w:r>
      <w:r>
        <w:rPr>
          <w:rFonts w:ascii="Arial" w:hAnsi="Arial"/>
          <w:snapToGrid w:val="0"/>
          <w:color w:val="000000"/>
          <w:sz w:val="22"/>
          <w:szCs w:val="22"/>
        </w:rPr>
        <w:t>allocation du budget de la composante : 234 599 dollar</w:t>
      </w:r>
      <w:r w:rsidR="00DB58EA">
        <w:rPr>
          <w:rFonts w:ascii="Arial" w:hAnsi="Arial"/>
          <w:snapToGrid w:val="0"/>
          <w:color w:val="000000"/>
          <w:sz w:val="22"/>
          <w:szCs w:val="22"/>
        </w:rPr>
        <w:t>s</w:t>
      </w:r>
      <w:r w:rsidR="006165FE">
        <w:rPr>
          <w:rFonts w:ascii="Arial" w:hAnsi="Arial"/>
          <w:snapToGrid w:val="0"/>
          <w:color w:val="000000"/>
          <w:sz w:val="22"/>
          <w:szCs w:val="22"/>
        </w:rPr>
        <w:t xml:space="preserve"> des É</w:t>
      </w:r>
      <w:r>
        <w:rPr>
          <w:rFonts w:ascii="Arial" w:hAnsi="Arial"/>
          <w:snapToGrid w:val="0"/>
          <w:color w:val="000000"/>
          <w:sz w:val="22"/>
          <w:szCs w:val="22"/>
        </w:rPr>
        <w:t>tats-Unis). Il a été lancé en 2019.</w:t>
      </w:r>
    </w:p>
    <w:p w14:paraId="4F23E359" w14:textId="708AC9E8" w:rsidR="00536CF1" w:rsidRDefault="00BF1B64" w:rsidP="001B1A7F">
      <w:pPr>
        <w:pageBreakBefore/>
        <w:tabs>
          <w:tab w:val="left" w:pos="567"/>
        </w:tabs>
        <w:snapToGrid w:val="0"/>
        <w:spacing w:before="240" w:after="120"/>
        <w:ind w:left="567"/>
        <w:jc w:val="both"/>
        <w:rPr>
          <w:rFonts w:ascii="Arial" w:hAnsi="Arial" w:cs="Arial"/>
          <w:snapToGrid w:val="0"/>
          <w:sz w:val="22"/>
          <w:szCs w:val="22"/>
        </w:rPr>
      </w:pPr>
      <w:r>
        <w:rPr>
          <w:rFonts w:ascii="Arial" w:hAnsi="Arial"/>
          <w:b/>
          <w:snapToGrid w:val="0"/>
          <w:sz w:val="22"/>
          <w:szCs w:val="22"/>
        </w:rPr>
        <w:lastRenderedPageBreak/>
        <w:t>Renforcement des ressources humaines du Secrétariat</w:t>
      </w:r>
    </w:p>
    <w:p w14:paraId="5B0A8363" w14:textId="34F69689" w:rsidR="00646518" w:rsidRDefault="00BF1B64">
      <w:pPr>
        <w:keepLines/>
        <w:numPr>
          <w:ilvl w:val="0"/>
          <w:numId w:val="9"/>
        </w:numPr>
        <w:spacing w:after="120"/>
        <w:ind w:left="567" w:hanging="567"/>
        <w:jc w:val="both"/>
        <w:rPr>
          <w:rFonts w:ascii="Arial" w:hAnsi="Arial" w:cs="Arial"/>
          <w:snapToGrid w:val="0"/>
          <w:sz w:val="22"/>
          <w:szCs w:val="22"/>
        </w:rPr>
      </w:pPr>
      <w:r>
        <w:rPr>
          <w:rFonts w:ascii="Arial" w:hAnsi="Arial"/>
          <w:snapToGrid w:val="0"/>
          <w:sz w:val="22"/>
          <w:szCs w:val="22"/>
        </w:rPr>
        <w:t>Reconnaissant que la capacité du Secrétariat à fournir des services de qualité aux États membres dépend largement de ses ressources humaines, de nombreux</w:t>
      </w:r>
      <w:r w:rsidR="00CE7D6C">
        <w:rPr>
          <w:rFonts w:ascii="Arial" w:hAnsi="Arial"/>
          <w:snapToGrid w:val="0"/>
          <w:sz w:val="22"/>
          <w:szCs w:val="22"/>
        </w:rPr>
        <w:t xml:space="preserve"> et différents </w:t>
      </w:r>
      <w:r>
        <w:rPr>
          <w:rFonts w:ascii="Arial" w:hAnsi="Arial"/>
          <w:snapToGrid w:val="0"/>
          <w:sz w:val="22"/>
          <w:szCs w:val="22"/>
        </w:rPr>
        <w:t xml:space="preserve">donateurs ont apporté leur </w:t>
      </w:r>
      <w:r w:rsidR="00CE7D6C">
        <w:rPr>
          <w:rFonts w:ascii="Arial" w:hAnsi="Arial"/>
          <w:snapToGrid w:val="0"/>
          <w:sz w:val="22"/>
          <w:szCs w:val="22"/>
        </w:rPr>
        <w:t xml:space="preserve">appui </w:t>
      </w:r>
      <w:r>
        <w:rPr>
          <w:rFonts w:ascii="Arial" w:hAnsi="Arial"/>
          <w:snapToGrid w:val="0"/>
          <w:sz w:val="22"/>
          <w:szCs w:val="22"/>
        </w:rPr>
        <w:t>au fil des ans. Ce soutien s</w:t>
      </w:r>
      <w:r w:rsidR="00480D38">
        <w:rPr>
          <w:rFonts w:ascii="Arial" w:hAnsi="Arial"/>
          <w:snapToGrid w:val="0"/>
          <w:sz w:val="22"/>
          <w:szCs w:val="22"/>
        </w:rPr>
        <w:t>’</w:t>
      </w:r>
      <w:r>
        <w:rPr>
          <w:rFonts w:ascii="Arial" w:hAnsi="Arial"/>
          <w:snapToGrid w:val="0"/>
          <w:sz w:val="22"/>
          <w:szCs w:val="22"/>
        </w:rPr>
        <w:t xml:space="preserve">est reflété, plus récemment, dans la </w:t>
      </w:r>
      <w:hyperlink r:id="rId20" w:history="1">
        <w:r w:rsidR="003610B8">
          <w:rPr>
            <w:rStyle w:val="Hyperlink"/>
            <w:rFonts w:ascii="Arial" w:hAnsi="Arial"/>
            <w:snapToGrid w:val="0"/>
            <w:sz w:val="22"/>
            <w:szCs w:val="22"/>
          </w:rPr>
          <w:t>d</w:t>
        </w:r>
        <w:r>
          <w:rPr>
            <w:rStyle w:val="Hyperlink"/>
            <w:rFonts w:ascii="Arial" w:hAnsi="Arial"/>
            <w:snapToGrid w:val="0"/>
            <w:sz w:val="22"/>
            <w:szCs w:val="22"/>
          </w:rPr>
          <w:t>écision 7.GA 8</w:t>
        </w:r>
      </w:hyperlink>
      <w:r>
        <w:rPr>
          <w:rFonts w:ascii="Arial" w:hAnsi="Arial"/>
          <w:snapToGrid w:val="0"/>
          <w:sz w:val="22"/>
          <w:szCs w:val="22"/>
        </w:rPr>
        <w:t xml:space="preserve"> de l</w:t>
      </w:r>
      <w:r w:rsidR="00480D38">
        <w:rPr>
          <w:rFonts w:ascii="Arial" w:hAnsi="Arial"/>
          <w:snapToGrid w:val="0"/>
          <w:sz w:val="22"/>
          <w:szCs w:val="22"/>
        </w:rPr>
        <w:t>’</w:t>
      </w:r>
      <w:r>
        <w:rPr>
          <w:rFonts w:ascii="Arial" w:hAnsi="Arial"/>
          <w:snapToGrid w:val="0"/>
          <w:sz w:val="22"/>
          <w:szCs w:val="22"/>
        </w:rPr>
        <w:t>Assemblée générale. Trois nouveaux postes à durée déterminée ont été créés financés par les fonds extrabudgétaires afin d</w:t>
      </w:r>
      <w:r w:rsidR="00480D38">
        <w:rPr>
          <w:rFonts w:ascii="Arial" w:hAnsi="Arial"/>
          <w:snapToGrid w:val="0"/>
          <w:sz w:val="22"/>
          <w:szCs w:val="22"/>
        </w:rPr>
        <w:t>’</w:t>
      </w:r>
      <w:r>
        <w:rPr>
          <w:rFonts w:ascii="Arial" w:hAnsi="Arial"/>
          <w:snapToGrid w:val="0"/>
          <w:sz w:val="22"/>
          <w:szCs w:val="22"/>
        </w:rPr>
        <w:t>améliorer les ressources humaines du Secrétariat dédiées à la mise en œuvre des mécanismes de l</w:t>
      </w:r>
      <w:r w:rsidR="00480D38">
        <w:rPr>
          <w:rFonts w:ascii="Arial" w:hAnsi="Arial"/>
          <w:snapToGrid w:val="0"/>
          <w:sz w:val="22"/>
          <w:szCs w:val="22"/>
        </w:rPr>
        <w:t>’</w:t>
      </w:r>
      <w:r>
        <w:rPr>
          <w:rFonts w:ascii="Arial" w:hAnsi="Arial"/>
          <w:snapToGrid w:val="0"/>
          <w:sz w:val="22"/>
          <w:szCs w:val="22"/>
        </w:rPr>
        <w:t>assistance internationale du Fonds (v</w:t>
      </w:r>
      <w:r w:rsidRPr="00123C5E">
        <w:rPr>
          <w:rFonts w:ascii="Arial" w:hAnsi="Arial"/>
          <w:snapToGrid w:val="0"/>
          <w:sz w:val="22"/>
          <w:szCs w:val="22"/>
        </w:rPr>
        <w:t xml:space="preserve">oir le </w:t>
      </w:r>
      <w:hyperlink r:id="rId21" w:history="1">
        <w:r w:rsidRPr="00123C5E">
          <w:rPr>
            <w:rStyle w:val="Hyperlink"/>
            <w:rFonts w:ascii="Arial" w:hAnsi="Arial"/>
            <w:snapToGrid w:val="0"/>
            <w:sz w:val="22"/>
            <w:szCs w:val="22"/>
          </w:rPr>
          <w:t>document LHE/19/14.COM/INF.7</w:t>
        </w:r>
      </w:hyperlink>
      <w:r w:rsidRPr="00123C5E">
        <w:rPr>
          <w:rFonts w:ascii="Arial" w:hAnsi="Arial"/>
          <w:snapToGrid w:val="0"/>
          <w:sz w:val="22"/>
          <w:szCs w:val="22"/>
        </w:rPr>
        <w:t>). Au</w:t>
      </w:r>
      <w:r>
        <w:rPr>
          <w:rFonts w:ascii="Arial" w:hAnsi="Arial"/>
          <w:snapToGrid w:val="0"/>
          <w:sz w:val="22"/>
          <w:szCs w:val="22"/>
        </w:rPr>
        <w:t xml:space="preserve">-delà de ces trois postes, </w:t>
      </w:r>
      <w:r w:rsidR="00AB1C46">
        <w:rPr>
          <w:rFonts w:ascii="Arial" w:hAnsi="Arial"/>
          <w:snapToGrid w:val="0"/>
          <w:sz w:val="22"/>
          <w:szCs w:val="22"/>
        </w:rPr>
        <w:t>des contributions</w:t>
      </w:r>
      <w:r>
        <w:rPr>
          <w:rFonts w:ascii="Arial" w:hAnsi="Arial"/>
          <w:snapToGrid w:val="0"/>
          <w:sz w:val="22"/>
          <w:szCs w:val="22"/>
        </w:rPr>
        <w:t xml:space="preserve"> en nature des gouvernements de la Chine et de Singapour, ainsi que deux contributions volontaires d</w:t>
      </w:r>
      <w:r w:rsidR="00480D38">
        <w:rPr>
          <w:rFonts w:ascii="Arial" w:hAnsi="Arial"/>
          <w:snapToGrid w:val="0"/>
          <w:sz w:val="22"/>
          <w:szCs w:val="22"/>
        </w:rPr>
        <w:t>’</w:t>
      </w:r>
      <w:r>
        <w:rPr>
          <w:rFonts w:ascii="Arial" w:hAnsi="Arial"/>
          <w:snapToGrid w:val="0"/>
          <w:sz w:val="22"/>
          <w:szCs w:val="22"/>
        </w:rPr>
        <w:t>un montant total de 12 855,56 dollars des États-Unis des gouvernements de Monaco et du Monténégro,</w:t>
      </w:r>
      <w:r w:rsidR="00B15BA2">
        <w:rPr>
          <w:rFonts w:ascii="Arial" w:hAnsi="Arial"/>
          <w:snapToGrid w:val="0"/>
          <w:sz w:val="22"/>
          <w:szCs w:val="22"/>
        </w:rPr>
        <w:t xml:space="preserve"> ont été </w:t>
      </w:r>
      <w:r>
        <w:rPr>
          <w:rFonts w:ascii="Arial" w:hAnsi="Arial"/>
          <w:snapToGrid w:val="0"/>
          <w:sz w:val="22"/>
          <w:szCs w:val="22"/>
        </w:rPr>
        <w:t>reçues depuis la dernière session du Comité.</w:t>
      </w:r>
    </w:p>
    <w:p w14:paraId="5E19AF69" w14:textId="533F8C18" w:rsidR="00476800" w:rsidRPr="00B15BA2" w:rsidRDefault="00B15BA2" w:rsidP="00B15BA2">
      <w:pPr>
        <w:keepLines/>
        <w:numPr>
          <w:ilvl w:val="0"/>
          <w:numId w:val="9"/>
        </w:numPr>
        <w:spacing w:after="120"/>
        <w:ind w:left="567" w:hanging="567"/>
        <w:jc w:val="both"/>
        <w:rPr>
          <w:rFonts w:ascii="Arial" w:hAnsi="Arial" w:cs="Arial"/>
          <w:snapToGrid w:val="0"/>
          <w:sz w:val="22"/>
          <w:szCs w:val="22"/>
        </w:rPr>
      </w:pPr>
      <w:r>
        <w:rPr>
          <w:rFonts w:ascii="Arial" w:hAnsi="Arial"/>
          <w:snapToGrid w:val="0"/>
          <w:sz w:val="22"/>
          <w:szCs w:val="22"/>
        </w:rPr>
        <w:t xml:space="preserve">En plus des </w:t>
      </w:r>
      <w:r w:rsidR="009D1D07">
        <w:rPr>
          <w:rFonts w:ascii="Arial" w:hAnsi="Arial"/>
          <w:snapToGrid w:val="0"/>
          <w:sz w:val="22"/>
          <w:szCs w:val="22"/>
        </w:rPr>
        <w:t>contributions financières et en nature reçues pendant l</w:t>
      </w:r>
      <w:r w:rsidR="00480D38">
        <w:rPr>
          <w:rFonts w:ascii="Arial" w:hAnsi="Arial"/>
          <w:snapToGrid w:val="0"/>
          <w:sz w:val="22"/>
          <w:szCs w:val="22"/>
        </w:rPr>
        <w:t>’</w:t>
      </w:r>
      <w:r w:rsidR="009D1D07">
        <w:rPr>
          <w:rFonts w:ascii="Arial" w:hAnsi="Arial"/>
          <w:snapToGrid w:val="0"/>
          <w:sz w:val="22"/>
          <w:szCs w:val="22"/>
        </w:rPr>
        <w:t>exercice biennal en cours, les trois postes à durée déterminée financés à l</w:t>
      </w:r>
      <w:r w:rsidR="00480D38">
        <w:rPr>
          <w:rFonts w:ascii="Arial" w:hAnsi="Arial"/>
          <w:snapToGrid w:val="0"/>
          <w:sz w:val="22"/>
          <w:szCs w:val="22"/>
        </w:rPr>
        <w:t>’</w:t>
      </w:r>
      <w:r w:rsidR="009D1D07">
        <w:rPr>
          <w:rFonts w:ascii="Arial" w:hAnsi="Arial"/>
          <w:snapToGrid w:val="0"/>
          <w:sz w:val="22"/>
          <w:szCs w:val="22"/>
        </w:rPr>
        <w:t>aide de fonds extrabudgétaires contribuent à répondre aux besoins identifiés par le Secrétariat en termes de ressources humaines, bien que l</w:t>
      </w:r>
      <w:r w:rsidR="00480D38">
        <w:rPr>
          <w:rFonts w:ascii="Arial" w:hAnsi="Arial"/>
          <w:snapToGrid w:val="0"/>
          <w:sz w:val="22"/>
          <w:szCs w:val="22"/>
        </w:rPr>
        <w:t>’</w:t>
      </w:r>
      <w:r w:rsidR="009D1D07">
        <w:rPr>
          <w:rFonts w:ascii="Arial" w:hAnsi="Arial"/>
          <w:snapToGrid w:val="0"/>
          <w:sz w:val="22"/>
          <w:szCs w:val="22"/>
        </w:rPr>
        <w:t>objectif annuel du sous-fonds, fixé à 1,1 million de dollars des États-Unis par l</w:t>
      </w:r>
      <w:r w:rsidR="00480D38">
        <w:rPr>
          <w:rFonts w:ascii="Arial" w:hAnsi="Arial"/>
          <w:snapToGrid w:val="0"/>
          <w:sz w:val="22"/>
          <w:szCs w:val="22"/>
        </w:rPr>
        <w:t>’</w:t>
      </w:r>
      <w:r w:rsidR="009D1D07">
        <w:rPr>
          <w:rFonts w:ascii="Arial" w:hAnsi="Arial"/>
          <w:snapToGrid w:val="0"/>
          <w:sz w:val="22"/>
          <w:szCs w:val="22"/>
        </w:rPr>
        <w:t>Assemblée générale en 2010 (</w:t>
      </w:r>
      <w:hyperlink r:id="rId22" w:history="1">
        <w:r w:rsidR="003610B8">
          <w:rPr>
            <w:rFonts w:ascii="Arial" w:hAnsi="Arial"/>
            <w:snapToGrid w:val="0"/>
            <w:color w:val="0000FF" w:themeColor="hyperlink"/>
            <w:sz w:val="22"/>
            <w:szCs w:val="22"/>
            <w:u w:val="single"/>
          </w:rPr>
          <w:t>r</w:t>
        </w:r>
        <w:r w:rsidR="009D1D07">
          <w:rPr>
            <w:rFonts w:ascii="Arial" w:hAnsi="Arial"/>
            <w:snapToGrid w:val="0"/>
            <w:color w:val="0000FF" w:themeColor="hyperlink"/>
            <w:sz w:val="22"/>
            <w:szCs w:val="22"/>
            <w:u w:val="single"/>
          </w:rPr>
          <w:t>ésolution 3.GA 9</w:t>
        </w:r>
      </w:hyperlink>
      <w:r w:rsidR="009D1D07">
        <w:rPr>
          <w:rFonts w:ascii="Arial" w:hAnsi="Arial"/>
          <w:snapToGrid w:val="0"/>
          <w:sz w:val="22"/>
          <w:szCs w:val="22"/>
        </w:rPr>
        <w:t>), ne soit pas atteint</w:t>
      </w:r>
      <w:r>
        <w:rPr>
          <w:rFonts w:ascii="Arial" w:hAnsi="Arial"/>
          <w:snapToGrid w:val="0"/>
          <w:sz w:val="22"/>
          <w:szCs w:val="22"/>
        </w:rPr>
        <w:t xml:space="preserve">.. </w:t>
      </w:r>
      <w:r w:rsidR="009D1D07">
        <w:rPr>
          <w:rFonts w:ascii="Arial" w:hAnsi="Arial"/>
          <w:snapToGrid w:val="0"/>
          <w:sz w:val="22"/>
          <w:szCs w:val="22"/>
        </w:rPr>
        <w:t>Depuis la définition initiale de l</w:t>
      </w:r>
      <w:r w:rsidR="00480D38">
        <w:rPr>
          <w:rFonts w:ascii="Arial" w:hAnsi="Arial"/>
          <w:snapToGrid w:val="0"/>
          <w:sz w:val="22"/>
          <w:szCs w:val="22"/>
        </w:rPr>
        <w:t>’</w:t>
      </w:r>
      <w:r w:rsidR="009D1D07">
        <w:rPr>
          <w:rFonts w:ascii="Arial" w:hAnsi="Arial"/>
          <w:snapToGrid w:val="0"/>
          <w:sz w:val="22"/>
          <w:szCs w:val="22"/>
        </w:rPr>
        <w:t xml:space="preserve">objectif en 2010, la Convention a considérablement élargi sa portée géographique (de 113 États parties </w:t>
      </w:r>
      <w:r w:rsidR="001B47F7">
        <w:rPr>
          <w:rFonts w:ascii="Arial" w:hAnsi="Arial"/>
          <w:snapToGrid w:val="0"/>
          <w:sz w:val="22"/>
          <w:szCs w:val="22"/>
        </w:rPr>
        <w:t xml:space="preserve">en </w:t>
      </w:r>
      <w:r w:rsidR="009D1D07">
        <w:rPr>
          <w:rFonts w:ascii="Arial" w:hAnsi="Arial"/>
          <w:snapToGrid w:val="0"/>
          <w:sz w:val="22"/>
          <w:szCs w:val="22"/>
        </w:rPr>
        <w:t>2010 à 178 en septembre 2019) et son champ thématique, notamment avec l</w:t>
      </w:r>
      <w:r w:rsidR="00480D38">
        <w:rPr>
          <w:rFonts w:ascii="Arial" w:hAnsi="Arial"/>
          <w:snapToGrid w:val="0"/>
          <w:sz w:val="22"/>
          <w:szCs w:val="22"/>
        </w:rPr>
        <w:t>’</w:t>
      </w:r>
      <w:r w:rsidR="009D1D07">
        <w:rPr>
          <w:rFonts w:ascii="Arial" w:hAnsi="Arial"/>
          <w:snapToGrid w:val="0"/>
          <w:sz w:val="22"/>
          <w:szCs w:val="22"/>
        </w:rPr>
        <w:t>élaboration d</w:t>
      </w:r>
      <w:r w:rsidR="00480D38">
        <w:rPr>
          <w:rFonts w:ascii="Arial" w:hAnsi="Arial"/>
          <w:snapToGrid w:val="0"/>
          <w:sz w:val="22"/>
          <w:szCs w:val="22"/>
        </w:rPr>
        <w:t>’</w:t>
      </w:r>
      <w:r w:rsidR="009D1D07">
        <w:rPr>
          <w:rFonts w:ascii="Arial" w:hAnsi="Arial"/>
          <w:snapToGrid w:val="0"/>
          <w:sz w:val="22"/>
          <w:szCs w:val="22"/>
        </w:rPr>
        <w:t>un plan d</w:t>
      </w:r>
      <w:r w:rsidR="00480D38">
        <w:rPr>
          <w:rFonts w:ascii="Arial" w:hAnsi="Arial"/>
          <w:snapToGrid w:val="0"/>
          <w:sz w:val="22"/>
          <w:szCs w:val="22"/>
        </w:rPr>
        <w:t>’</w:t>
      </w:r>
      <w:r w:rsidR="009D1D07">
        <w:rPr>
          <w:rFonts w:ascii="Arial" w:hAnsi="Arial"/>
          <w:snapToGrid w:val="0"/>
          <w:sz w:val="22"/>
          <w:szCs w:val="22"/>
        </w:rPr>
        <w:t>information et de communication et des initiatives récentes sur la « sauvegarde du patrimoine culturel immatériel dans l</w:t>
      </w:r>
      <w:r w:rsidR="00480D38">
        <w:rPr>
          <w:rFonts w:ascii="Arial" w:hAnsi="Arial"/>
          <w:snapToGrid w:val="0"/>
          <w:sz w:val="22"/>
          <w:szCs w:val="22"/>
        </w:rPr>
        <w:t>’</w:t>
      </w:r>
      <w:r w:rsidR="009D1D07">
        <w:rPr>
          <w:rFonts w:ascii="Arial" w:hAnsi="Arial"/>
          <w:snapToGrid w:val="0"/>
          <w:sz w:val="22"/>
          <w:szCs w:val="22"/>
        </w:rPr>
        <w:t>éducation formelle et non formelle » et le « patrimoine culturel immatériel dans les situations d</w:t>
      </w:r>
      <w:r w:rsidR="00480D38">
        <w:rPr>
          <w:rFonts w:ascii="Arial" w:hAnsi="Arial"/>
          <w:snapToGrid w:val="0"/>
          <w:sz w:val="22"/>
          <w:szCs w:val="22"/>
        </w:rPr>
        <w:t>’</w:t>
      </w:r>
      <w:r w:rsidR="009D1D07">
        <w:rPr>
          <w:rFonts w:ascii="Arial" w:hAnsi="Arial"/>
          <w:snapToGrid w:val="0"/>
          <w:sz w:val="22"/>
          <w:szCs w:val="22"/>
        </w:rPr>
        <w:t>urgence ». De plus, la récente réforme du mécanisme de soumission de rapports périodiques et les réflexions engagées par le Comité concernant les mécanismes d</w:t>
      </w:r>
      <w:r w:rsidR="00480D38">
        <w:rPr>
          <w:rFonts w:ascii="Arial" w:hAnsi="Arial"/>
          <w:snapToGrid w:val="0"/>
          <w:sz w:val="22"/>
          <w:szCs w:val="22"/>
        </w:rPr>
        <w:t>’</w:t>
      </w:r>
      <w:r w:rsidR="009D1D07">
        <w:rPr>
          <w:rFonts w:ascii="Arial" w:hAnsi="Arial"/>
          <w:snapToGrid w:val="0"/>
          <w:sz w:val="22"/>
          <w:szCs w:val="22"/>
        </w:rPr>
        <w:t>inscription de la Convention et le rôle des organisations non gouvernementales accréditées démontrent que l</w:t>
      </w:r>
      <w:r w:rsidR="00480D38">
        <w:rPr>
          <w:rFonts w:ascii="Arial" w:hAnsi="Arial"/>
          <w:snapToGrid w:val="0"/>
          <w:sz w:val="22"/>
          <w:szCs w:val="22"/>
        </w:rPr>
        <w:t>’</w:t>
      </w:r>
      <w:r w:rsidR="009D1D07">
        <w:rPr>
          <w:rFonts w:ascii="Arial" w:hAnsi="Arial"/>
          <w:snapToGrid w:val="0"/>
          <w:sz w:val="22"/>
          <w:szCs w:val="22"/>
        </w:rPr>
        <w:t>élargissement du champ d</w:t>
      </w:r>
      <w:r w:rsidR="00480D38">
        <w:rPr>
          <w:rFonts w:ascii="Arial" w:hAnsi="Arial"/>
          <w:snapToGrid w:val="0"/>
          <w:sz w:val="22"/>
          <w:szCs w:val="22"/>
        </w:rPr>
        <w:t>’</w:t>
      </w:r>
      <w:r w:rsidR="009D1D07">
        <w:rPr>
          <w:rFonts w:ascii="Arial" w:hAnsi="Arial"/>
          <w:snapToGrid w:val="0"/>
          <w:sz w:val="22"/>
          <w:szCs w:val="22"/>
        </w:rPr>
        <w:t>application de la Convention s</w:t>
      </w:r>
      <w:r w:rsidR="00480D38">
        <w:rPr>
          <w:rFonts w:ascii="Arial" w:hAnsi="Arial"/>
          <w:snapToGrid w:val="0"/>
          <w:sz w:val="22"/>
          <w:szCs w:val="22"/>
        </w:rPr>
        <w:t>’</w:t>
      </w:r>
      <w:r w:rsidR="009D1D07">
        <w:rPr>
          <w:rFonts w:ascii="Arial" w:hAnsi="Arial"/>
          <w:snapToGrid w:val="0"/>
          <w:sz w:val="22"/>
          <w:szCs w:val="22"/>
        </w:rPr>
        <w:t xml:space="preserve">accompagne de nouveaux besoins et enjeux. </w:t>
      </w:r>
      <w:r w:rsidR="009535BA" w:rsidRPr="00B15BA2">
        <w:rPr>
          <w:rFonts w:ascii="Arial" w:hAnsi="Arial"/>
          <w:snapToGrid w:val="0"/>
          <w:sz w:val="22"/>
          <w:szCs w:val="22"/>
        </w:rPr>
        <w:t>Pour continuer à répondre de manière adéquate à ces besoins émergents et à améliorer la mise en œuvre de la Convention, des contributions au sous-fonds sont toujours nécessaires</w:t>
      </w:r>
      <w:r>
        <w:rPr>
          <w:rStyle w:val="FootnoteReference"/>
          <w:rFonts w:ascii="Arial" w:hAnsi="Arial"/>
          <w:snapToGrid w:val="0"/>
          <w:sz w:val="22"/>
          <w:szCs w:val="22"/>
        </w:rPr>
        <w:footnoteReference w:id="1"/>
      </w:r>
      <w:r>
        <w:rPr>
          <w:rFonts w:ascii="Arial" w:hAnsi="Arial"/>
          <w:snapToGrid w:val="0"/>
          <w:sz w:val="22"/>
          <w:szCs w:val="22"/>
        </w:rPr>
        <w:t>.</w:t>
      </w:r>
      <w:r w:rsidR="009535BA" w:rsidRPr="00B15BA2">
        <w:rPr>
          <w:rFonts w:ascii="Arial" w:hAnsi="Arial"/>
          <w:snapToGrid w:val="0"/>
          <w:sz w:val="22"/>
          <w:szCs w:val="22"/>
        </w:rPr>
        <w:t xml:space="preserve"> </w:t>
      </w:r>
      <w:r>
        <w:rPr>
          <w:rFonts w:ascii="Arial" w:hAnsi="Arial"/>
          <w:snapToGrid w:val="0"/>
          <w:sz w:val="22"/>
          <w:szCs w:val="22"/>
        </w:rPr>
        <w:t xml:space="preserve">Compte tenu du fait que cet objectif annuel du sous-fonds a été fixé en 2010, </w:t>
      </w:r>
      <w:r w:rsidR="009535BA" w:rsidRPr="00B15BA2">
        <w:rPr>
          <w:rFonts w:ascii="Arial" w:hAnsi="Arial"/>
          <w:snapToGrid w:val="0"/>
          <w:sz w:val="22"/>
          <w:szCs w:val="22"/>
        </w:rPr>
        <w:t xml:space="preserve">le Secrétariat pourrait </w:t>
      </w:r>
      <w:r w:rsidR="00510AE2">
        <w:rPr>
          <w:rFonts w:ascii="Arial" w:hAnsi="Arial"/>
          <w:snapToGrid w:val="0"/>
          <w:sz w:val="22"/>
          <w:szCs w:val="22"/>
        </w:rPr>
        <w:t xml:space="preserve">le </w:t>
      </w:r>
      <w:r w:rsidR="009535BA" w:rsidRPr="00B15BA2">
        <w:rPr>
          <w:rFonts w:ascii="Arial" w:hAnsi="Arial"/>
          <w:snapToGrid w:val="0"/>
          <w:sz w:val="22"/>
          <w:szCs w:val="22"/>
        </w:rPr>
        <w:t>et proposer un nouvel objectif à l</w:t>
      </w:r>
      <w:r w:rsidR="00480D38" w:rsidRPr="00B15BA2">
        <w:rPr>
          <w:rFonts w:ascii="Arial" w:hAnsi="Arial"/>
          <w:snapToGrid w:val="0"/>
          <w:sz w:val="22"/>
          <w:szCs w:val="22"/>
        </w:rPr>
        <w:t>’</w:t>
      </w:r>
      <w:r w:rsidR="009535BA" w:rsidRPr="00B15BA2">
        <w:rPr>
          <w:rFonts w:ascii="Arial" w:hAnsi="Arial"/>
          <w:snapToGrid w:val="0"/>
          <w:sz w:val="22"/>
          <w:szCs w:val="22"/>
        </w:rPr>
        <w:t>Assemblée générale lors de sa prochaine session en 2020.</w:t>
      </w:r>
    </w:p>
    <w:p w14:paraId="55B139CA" w14:textId="513DAA8E" w:rsidR="000449E6" w:rsidRPr="000449E6" w:rsidRDefault="00DD0E72" w:rsidP="00CA4740">
      <w:pPr>
        <w:keepLines/>
        <w:spacing w:before="240" w:after="120"/>
        <w:ind w:left="567"/>
        <w:jc w:val="both"/>
        <w:rPr>
          <w:rFonts w:ascii="Arial" w:hAnsi="Arial" w:cs="Arial"/>
          <w:snapToGrid w:val="0"/>
          <w:sz w:val="22"/>
          <w:szCs w:val="22"/>
        </w:rPr>
      </w:pPr>
      <w:r>
        <w:rPr>
          <w:rFonts w:ascii="Arial" w:hAnsi="Arial"/>
          <w:b/>
          <w:snapToGrid w:val="0"/>
          <w:sz w:val="22"/>
          <w:szCs w:val="22"/>
        </w:rPr>
        <w:t>Activités spécifiques en cours</w:t>
      </w:r>
    </w:p>
    <w:p w14:paraId="59A15B82" w14:textId="68B29D73" w:rsidR="00BF1B64" w:rsidRPr="00BF1B64" w:rsidRDefault="00BF1B64" w:rsidP="00BF1B64">
      <w:pPr>
        <w:numPr>
          <w:ilvl w:val="0"/>
          <w:numId w:val="9"/>
        </w:numPr>
        <w:spacing w:after="120"/>
        <w:ind w:left="567" w:hanging="567"/>
        <w:jc w:val="both"/>
        <w:rPr>
          <w:rFonts w:ascii="Arial" w:hAnsi="Arial" w:cs="Arial"/>
          <w:snapToGrid w:val="0"/>
          <w:sz w:val="22"/>
          <w:szCs w:val="22"/>
        </w:rPr>
      </w:pPr>
      <w:r>
        <w:rPr>
          <w:rFonts w:ascii="Arial" w:hAnsi="Arial"/>
          <w:snapToGrid w:val="0"/>
          <w:sz w:val="22"/>
          <w:szCs w:val="22"/>
        </w:rPr>
        <w:t>Enfin, la mise en œuvre des activités spécifiques suivantes, financées par des contributions volontaires supplémentaires, s</w:t>
      </w:r>
      <w:r w:rsidR="00480D38">
        <w:rPr>
          <w:rFonts w:ascii="Arial" w:hAnsi="Arial"/>
          <w:snapToGrid w:val="0"/>
          <w:sz w:val="22"/>
          <w:szCs w:val="22"/>
        </w:rPr>
        <w:t>’</w:t>
      </w:r>
      <w:r>
        <w:rPr>
          <w:rFonts w:ascii="Arial" w:hAnsi="Arial"/>
          <w:snapToGrid w:val="0"/>
          <w:sz w:val="22"/>
          <w:szCs w:val="22"/>
        </w:rPr>
        <w:t>est poursuivie pendant la période considérée :</w:t>
      </w:r>
    </w:p>
    <w:tbl>
      <w:tblPr>
        <w:tblStyle w:val="TableGrid"/>
        <w:tblW w:w="0" w:type="auto"/>
        <w:tblInd w:w="567" w:type="dxa"/>
        <w:tblLook w:val="04A0" w:firstRow="1" w:lastRow="0" w:firstColumn="1" w:lastColumn="0" w:noHBand="0" w:noVBand="1"/>
      </w:tblPr>
      <w:tblGrid>
        <w:gridCol w:w="4226"/>
        <w:gridCol w:w="2091"/>
        <w:gridCol w:w="2754"/>
      </w:tblGrid>
      <w:tr w:rsidR="00BF1B64" w:rsidRPr="00544C71" w14:paraId="6FB63E70" w14:textId="77777777" w:rsidTr="007E660D">
        <w:trPr>
          <w:cantSplit/>
          <w:trHeight w:val="293"/>
        </w:trPr>
        <w:tc>
          <w:tcPr>
            <w:tcW w:w="4226" w:type="dxa"/>
            <w:tcBorders>
              <w:left w:val="nil"/>
              <w:bottom w:val="single" w:sz="4" w:space="0" w:color="000000"/>
              <w:right w:val="nil"/>
            </w:tcBorders>
          </w:tcPr>
          <w:p w14:paraId="1E406C63" w14:textId="77777777" w:rsidR="00BF1B64" w:rsidRPr="00BF1B64" w:rsidRDefault="00BF1B64" w:rsidP="00BF1B64">
            <w:pPr>
              <w:spacing w:before="120" w:after="120"/>
              <w:jc w:val="center"/>
              <w:rPr>
                <w:rFonts w:ascii="Arial" w:hAnsi="Arial" w:cs="Arial"/>
                <w:b/>
                <w:snapToGrid w:val="0"/>
                <w:sz w:val="22"/>
                <w:szCs w:val="22"/>
              </w:rPr>
            </w:pPr>
            <w:r>
              <w:rPr>
                <w:rFonts w:ascii="Arial" w:hAnsi="Arial"/>
                <w:b/>
                <w:snapToGrid w:val="0"/>
                <w:sz w:val="22"/>
                <w:szCs w:val="22"/>
              </w:rPr>
              <w:t>Projet</w:t>
            </w:r>
          </w:p>
        </w:tc>
        <w:tc>
          <w:tcPr>
            <w:tcW w:w="2091" w:type="dxa"/>
            <w:tcBorders>
              <w:left w:val="nil"/>
              <w:bottom w:val="single" w:sz="4" w:space="0" w:color="000000"/>
              <w:right w:val="nil"/>
            </w:tcBorders>
          </w:tcPr>
          <w:p w14:paraId="288AC37F" w14:textId="77777777" w:rsidR="00BF1B64" w:rsidRPr="00BF1B64" w:rsidRDefault="00BF1B64" w:rsidP="00BF1B64">
            <w:pPr>
              <w:spacing w:before="120" w:after="120"/>
              <w:jc w:val="center"/>
              <w:rPr>
                <w:rFonts w:ascii="Arial" w:hAnsi="Arial" w:cs="Arial"/>
                <w:b/>
                <w:snapToGrid w:val="0"/>
                <w:sz w:val="22"/>
                <w:szCs w:val="22"/>
              </w:rPr>
            </w:pPr>
            <w:r>
              <w:rPr>
                <w:rFonts w:ascii="Arial" w:hAnsi="Arial"/>
                <w:b/>
                <w:snapToGrid w:val="0"/>
                <w:sz w:val="22"/>
                <w:szCs w:val="22"/>
              </w:rPr>
              <w:t>Contributeurs</w:t>
            </w:r>
          </w:p>
        </w:tc>
        <w:tc>
          <w:tcPr>
            <w:tcW w:w="2754" w:type="dxa"/>
            <w:tcBorders>
              <w:left w:val="nil"/>
              <w:bottom w:val="single" w:sz="4" w:space="0" w:color="000000"/>
              <w:right w:val="nil"/>
            </w:tcBorders>
          </w:tcPr>
          <w:p w14:paraId="6E7A9515" w14:textId="77777777" w:rsidR="00BF1B64" w:rsidRPr="00BF1B64" w:rsidRDefault="00BF1B64" w:rsidP="00BF1B64">
            <w:pPr>
              <w:spacing w:before="120" w:after="120"/>
              <w:jc w:val="center"/>
              <w:rPr>
                <w:rFonts w:ascii="Arial" w:hAnsi="Arial" w:cs="Arial"/>
                <w:b/>
                <w:snapToGrid w:val="0"/>
                <w:sz w:val="22"/>
                <w:szCs w:val="22"/>
              </w:rPr>
            </w:pPr>
            <w:r>
              <w:rPr>
                <w:rFonts w:ascii="Arial" w:hAnsi="Arial"/>
                <w:b/>
                <w:snapToGrid w:val="0"/>
                <w:sz w:val="22"/>
                <w:szCs w:val="22"/>
              </w:rPr>
              <w:t>Dernier rapport publié</w:t>
            </w:r>
          </w:p>
        </w:tc>
      </w:tr>
      <w:tr w:rsidR="00BF1B64" w:rsidRPr="00AC3F2B" w14:paraId="72F8565B" w14:textId="77777777" w:rsidTr="00544C71">
        <w:trPr>
          <w:cantSplit/>
        </w:trPr>
        <w:tc>
          <w:tcPr>
            <w:tcW w:w="4226" w:type="dxa"/>
            <w:tcBorders>
              <w:top w:val="nil"/>
              <w:left w:val="nil"/>
              <w:bottom w:val="nil"/>
              <w:right w:val="nil"/>
            </w:tcBorders>
          </w:tcPr>
          <w:p w14:paraId="3D86399C" w14:textId="77777777" w:rsidR="00BF1B64" w:rsidRPr="00AC3F2B" w:rsidRDefault="00BF1B64" w:rsidP="00D00C81">
            <w:pPr>
              <w:spacing w:after="120"/>
              <w:jc w:val="both"/>
              <w:rPr>
                <w:rFonts w:ascii="Arial" w:hAnsi="Arial" w:cs="Arial"/>
                <w:snapToGrid w:val="0"/>
                <w:sz w:val="22"/>
                <w:szCs w:val="22"/>
              </w:rPr>
            </w:pPr>
            <w:r w:rsidRPr="00AC3F2B">
              <w:rPr>
                <w:rFonts w:ascii="Arial" w:hAnsi="Arial"/>
                <w:snapToGrid w:val="0"/>
                <w:sz w:val="22"/>
                <w:szCs w:val="22"/>
              </w:rPr>
              <w:t>Amélioration des mécanismes de présentation des rapports périodiques dans le cadre de la Convention de 2003</w:t>
            </w:r>
          </w:p>
        </w:tc>
        <w:tc>
          <w:tcPr>
            <w:tcW w:w="2091" w:type="dxa"/>
            <w:tcBorders>
              <w:top w:val="nil"/>
              <w:left w:val="nil"/>
              <w:bottom w:val="nil"/>
              <w:right w:val="nil"/>
            </w:tcBorders>
          </w:tcPr>
          <w:p w14:paraId="615CF74D" w14:textId="77777777" w:rsidR="00BF1B64" w:rsidRPr="00AC3F2B" w:rsidRDefault="00BF1B64" w:rsidP="00BF1B64">
            <w:pPr>
              <w:spacing w:before="120" w:after="120"/>
              <w:jc w:val="both"/>
              <w:rPr>
                <w:rFonts w:ascii="Arial" w:hAnsi="Arial" w:cs="Arial"/>
                <w:snapToGrid w:val="0"/>
                <w:sz w:val="22"/>
                <w:szCs w:val="22"/>
              </w:rPr>
            </w:pPr>
            <w:r w:rsidRPr="00AC3F2B">
              <w:rPr>
                <w:rFonts w:ascii="Arial" w:hAnsi="Arial"/>
                <w:snapToGrid w:val="0"/>
                <w:sz w:val="22"/>
                <w:szCs w:val="22"/>
              </w:rPr>
              <w:t>République de Corée</w:t>
            </w:r>
          </w:p>
        </w:tc>
        <w:tc>
          <w:tcPr>
            <w:tcW w:w="2754" w:type="dxa"/>
            <w:tcBorders>
              <w:top w:val="nil"/>
              <w:left w:val="nil"/>
              <w:bottom w:val="nil"/>
              <w:right w:val="nil"/>
            </w:tcBorders>
          </w:tcPr>
          <w:p w14:paraId="468838D0" w14:textId="77777777" w:rsidR="00BF1B64" w:rsidRPr="00AC3F2B" w:rsidRDefault="00BF1B64" w:rsidP="00BF1B64">
            <w:pPr>
              <w:spacing w:before="120" w:after="120"/>
              <w:jc w:val="center"/>
              <w:rPr>
                <w:rFonts w:ascii="Arial" w:hAnsi="Arial" w:cs="Arial"/>
                <w:snapToGrid w:val="0"/>
                <w:sz w:val="22"/>
                <w:szCs w:val="22"/>
              </w:rPr>
            </w:pPr>
            <w:r w:rsidRPr="00AC3F2B">
              <w:rPr>
                <w:rFonts w:ascii="Arial" w:hAnsi="Arial"/>
                <w:snapToGrid w:val="0"/>
                <w:sz w:val="22"/>
                <w:szCs w:val="22"/>
              </w:rPr>
              <w:t>-</w:t>
            </w:r>
          </w:p>
        </w:tc>
      </w:tr>
      <w:tr w:rsidR="00544C71" w:rsidRPr="00AC3F2B" w14:paraId="3729D481" w14:textId="77777777" w:rsidTr="00544C71">
        <w:trPr>
          <w:cantSplit/>
        </w:trPr>
        <w:tc>
          <w:tcPr>
            <w:tcW w:w="4226" w:type="dxa"/>
            <w:tcBorders>
              <w:top w:val="nil"/>
              <w:left w:val="nil"/>
              <w:bottom w:val="nil"/>
              <w:right w:val="nil"/>
            </w:tcBorders>
          </w:tcPr>
          <w:p w14:paraId="210877D4" w14:textId="274F27D6" w:rsidR="00544C71" w:rsidRPr="00AC3F2B" w:rsidRDefault="00544C71" w:rsidP="00D366EC">
            <w:pPr>
              <w:spacing w:before="120" w:after="120"/>
              <w:jc w:val="both"/>
              <w:rPr>
                <w:rFonts w:ascii="Arial" w:hAnsi="Arial" w:cs="Arial"/>
                <w:snapToGrid w:val="0"/>
                <w:sz w:val="22"/>
                <w:szCs w:val="22"/>
              </w:rPr>
            </w:pPr>
            <w:r w:rsidRPr="00AC3F2B">
              <w:rPr>
                <w:rFonts w:ascii="Arial" w:hAnsi="Arial"/>
                <w:snapToGrid w:val="0"/>
                <w:sz w:val="22"/>
                <w:szCs w:val="22"/>
              </w:rPr>
              <w:t>Réflexion sur les mécanismes d</w:t>
            </w:r>
            <w:r w:rsidR="00480D38" w:rsidRPr="00AC3F2B">
              <w:rPr>
                <w:rFonts w:ascii="Arial" w:hAnsi="Arial"/>
                <w:snapToGrid w:val="0"/>
                <w:sz w:val="22"/>
                <w:szCs w:val="22"/>
              </w:rPr>
              <w:t>’</w:t>
            </w:r>
            <w:r w:rsidRPr="00AC3F2B">
              <w:rPr>
                <w:rFonts w:ascii="Arial" w:hAnsi="Arial"/>
                <w:snapToGrid w:val="0"/>
                <w:sz w:val="22"/>
                <w:szCs w:val="22"/>
              </w:rPr>
              <w:t>inscription de la Convention de 2003</w:t>
            </w:r>
          </w:p>
        </w:tc>
        <w:tc>
          <w:tcPr>
            <w:tcW w:w="2091" w:type="dxa"/>
            <w:tcBorders>
              <w:top w:val="nil"/>
              <w:left w:val="nil"/>
              <w:bottom w:val="nil"/>
              <w:right w:val="nil"/>
            </w:tcBorders>
          </w:tcPr>
          <w:p w14:paraId="5CE9CC5E" w14:textId="77777777" w:rsidR="00544C71" w:rsidRPr="00AC3F2B" w:rsidRDefault="00544C71" w:rsidP="00D366EC">
            <w:pPr>
              <w:spacing w:before="120" w:after="120"/>
              <w:jc w:val="both"/>
              <w:rPr>
                <w:rFonts w:ascii="Arial" w:hAnsi="Arial" w:cs="Arial"/>
                <w:snapToGrid w:val="0"/>
                <w:sz w:val="22"/>
                <w:szCs w:val="22"/>
              </w:rPr>
            </w:pPr>
            <w:r w:rsidRPr="00AC3F2B">
              <w:rPr>
                <w:rFonts w:ascii="Arial" w:hAnsi="Arial"/>
                <w:snapToGrid w:val="0"/>
                <w:sz w:val="22"/>
                <w:szCs w:val="22"/>
              </w:rPr>
              <w:t>Japon</w:t>
            </w:r>
          </w:p>
        </w:tc>
        <w:tc>
          <w:tcPr>
            <w:tcW w:w="2754" w:type="dxa"/>
            <w:tcBorders>
              <w:top w:val="nil"/>
              <w:left w:val="nil"/>
              <w:bottom w:val="nil"/>
              <w:right w:val="nil"/>
            </w:tcBorders>
          </w:tcPr>
          <w:p w14:paraId="10520F83" w14:textId="77777777" w:rsidR="00544C71" w:rsidRPr="00AC3F2B" w:rsidRDefault="00544C71" w:rsidP="00D366EC">
            <w:pPr>
              <w:spacing w:before="120" w:after="120"/>
              <w:jc w:val="center"/>
              <w:rPr>
                <w:rFonts w:ascii="Arial" w:hAnsi="Arial" w:cs="Arial"/>
                <w:snapToGrid w:val="0"/>
                <w:sz w:val="22"/>
                <w:szCs w:val="22"/>
              </w:rPr>
            </w:pPr>
            <w:r w:rsidRPr="00AC3F2B">
              <w:rPr>
                <w:rFonts w:ascii="Arial" w:hAnsi="Arial"/>
                <w:snapToGrid w:val="0"/>
                <w:sz w:val="22"/>
                <w:szCs w:val="22"/>
              </w:rPr>
              <w:t>-</w:t>
            </w:r>
          </w:p>
        </w:tc>
      </w:tr>
      <w:tr w:rsidR="00A82CA1" w:rsidRPr="00AC3F2B" w14:paraId="7C16ECCF" w14:textId="77777777" w:rsidTr="00544C71">
        <w:trPr>
          <w:cantSplit/>
        </w:trPr>
        <w:tc>
          <w:tcPr>
            <w:tcW w:w="4226" w:type="dxa"/>
            <w:tcBorders>
              <w:top w:val="nil"/>
              <w:left w:val="nil"/>
              <w:bottom w:val="nil"/>
              <w:right w:val="nil"/>
            </w:tcBorders>
          </w:tcPr>
          <w:p w14:paraId="3721C5E0" w14:textId="77777777" w:rsidR="00A82CA1" w:rsidRPr="00AC3F2B" w:rsidRDefault="00A82CA1" w:rsidP="00D366EC">
            <w:pPr>
              <w:spacing w:after="120"/>
              <w:jc w:val="both"/>
              <w:rPr>
                <w:rFonts w:ascii="Arial" w:hAnsi="Arial" w:cs="Arial"/>
                <w:snapToGrid w:val="0"/>
                <w:sz w:val="22"/>
                <w:szCs w:val="22"/>
              </w:rPr>
            </w:pPr>
            <w:r w:rsidRPr="00AC3F2B">
              <w:rPr>
                <w:rFonts w:ascii="Arial" w:hAnsi="Arial"/>
                <w:snapToGrid w:val="0"/>
                <w:sz w:val="22"/>
                <w:szCs w:val="22"/>
              </w:rPr>
              <w:t>Sauvegarde du patrimoine culturel immatériel à travers le renforcement des capacités nationales au Maroc, en Mauritanie et en Tunisie</w:t>
            </w:r>
          </w:p>
        </w:tc>
        <w:tc>
          <w:tcPr>
            <w:tcW w:w="2091" w:type="dxa"/>
            <w:tcBorders>
              <w:top w:val="nil"/>
              <w:left w:val="nil"/>
              <w:bottom w:val="nil"/>
              <w:right w:val="nil"/>
            </w:tcBorders>
          </w:tcPr>
          <w:p w14:paraId="25B0E3B7" w14:textId="77777777" w:rsidR="00A82CA1" w:rsidRPr="00AC3F2B" w:rsidRDefault="00A82CA1" w:rsidP="00D366EC">
            <w:pPr>
              <w:spacing w:after="120"/>
              <w:rPr>
                <w:rFonts w:ascii="Arial" w:hAnsi="Arial" w:cs="Arial"/>
                <w:snapToGrid w:val="0"/>
                <w:sz w:val="22"/>
                <w:szCs w:val="22"/>
              </w:rPr>
            </w:pPr>
            <w:r w:rsidRPr="00AC3F2B">
              <w:rPr>
                <w:rFonts w:ascii="Arial" w:hAnsi="Arial"/>
                <w:snapToGrid w:val="0"/>
                <w:sz w:val="22"/>
                <w:szCs w:val="22"/>
              </w:rPr>
              <w:t>Norvège et Espagne (</w:t>
            </w:r>
            <w:proofErr w:type="spellStart"/>
            <w:r w:rsidRPr="00AC3F2B">
              <w:rPr>
                <w:rFonts w:ascii="Arial" w:hAnsi="Arial"/>
                <w:snapToGrid w:val="0"/>
                <w:sz w:val="22"/>
                <w:szCs w:val="22"/>
              </w:rPr>
              <w:t>Generalitat</w:t>
            </w:r>
            <w:proofErr w:type="spellEnd"/>
            <w:r w:rsidRPr="00AC3F2B">
              <w:rPr>
                <w:rFonts w:ascii="Arial" w:hAnsi="Arial"/>
                <w:snapToGrid w:val="0"/>
                <w:sz w:val="22"/>
                <w:szCs w:val="22"/>
              </w:rPr>
              <w:t xml:space="preserve"> de </w:t>
            </w:r>
            <w:proofErr w:type="spellStart"/>
            <w:r w:rsidRPr="00AC3F2B">
              <w:rPr>
                <w:rFonts w:ascii="Arial" w:hAnsi="Arial"/>
                <w:snapToGrid w:val="0"/>
                <w:sz w:val="22"/>
                <w:szCs w:val="22"/>
              </w:rPr>
              <w:t>Catalunya</w:t>
            </w:r>
            <w:proofErr w:type="spellEnd"/>
            <w:r w:rsidRPr="00AC3F2B">
              <w:rPr>
                <w:rFonts w:ascii="Arial" w:hAnsi="Arial"/>
                <w:snapToGrid w:val="0"/>
                <w:sz w:val="22"/>
                <w:szCs w:val="22"/>
              </w:rPr>
              <w:t>)</w:t>
            </w:r>
          </w:p>
        </w:tc>
        <w:tc>
          <w:tcPr>
            <w:tcW w:w="2754" w:type="dxa"/>
            <w:tcBorders>
              <w:top w:val="nil"/>
              <w:left w:val="nil"/>
              <w:bottom w:val="nil"/>
              <w:right w:val="nil"/>
            </w:tcBorders>
          </w:tcPr>
          <w:p w14:paraId="0E1CA5F2" w14:textId="2F455A14" w:rsidR="00A82CA1" w:rsidRPr="00AC3F2B" w:rsidRDefault="00F915B7">
            <w:pPr>
              <w:spacing w:after="120"/>
              <w:jc w:val="both"/>
              <w:rPr>
                <w:rFonts w:ascii="Arial" w:hAnsi="Arial" w:cs="Arial"/>
                <w:snapToGrid w:val="0"/>
                <w:sz w:val="22"/>
                <w:szCs w:val="22"/>
              </w:rPr>
            </w:pPr>
            <w:hyperlink r:id="rId23" w:history="1">
              <w:r w:rsidR="00E3763C" w:rsidRPr="00AC3F2B">
                <w:rPr>
                  <w:rFonts w:ascii="Arial" w:hAnsi="Arial"/>
                  <w:snapToGrid w:val="0"/>
                  <w:color w:val="0000FF" w:themeColor="hyperlink"/>
                  <w:sz w:val="22"/>
                  <w:szCs w:val="22"/>
                  <w:u w:val="single"/>
                </w:rPr>
                <w:t>Rapport</w:t>
              </w:r>
              <w:r w:rsidR="001B47F7" w:rsidRPr="00AC3F2B">
                <w:rPr>
                  <w:rFonts w:ascii="Arial" w:hAnsi="Arial"/>
                  <w:snapToGrid w:val="0"/>
                  <w:color w:val="0000FF" w:themeColor="hyperlink"/>
                  <w:sz w:val="22"/>
                  <w:szCs w:val="22"/>
                  <w:u w:val="single"/>
                </w:rPr>
                <w:t xml:space="preserve"> d’étape</w:t>
              </w:r>
              <w:r w:rsidR="00E3763C" w:rsidRPr="00AC3F2B">
                <w:rPr>
                  <w:rFonts w:ascii="Arial" w:hAnsi="Arial"/>
                  <w:snapToGrid w:val="0"/>
                  <w:color w:val="0000FF" w:themeColor="hyperlink"/>
                  <w:sz w:val="22"/>
                  <w:szCs w:val="22"/>
                  <w:u w:val="single"/>
                </w:rPr>
                <w:t xml:space="preserve"> (201</w:t>
              </w:r>
              <w:r w:rsidR="001B47F7" w:rsidRPr="00AC3F2B">
                <w:rPr>
                  <w:rFonts w:ascii="Arial" w:hAnsi="Arial"/>
                  <w:snapToGrid w:val="0"/>
                  <w:color w:val="0000FF" w:themeColor="hyperlink"/>
                  <w:sz w:val="22"/>
                  <w:szCs w:val="22"/>
                  <w:u w:val="single"/>
                </w:rPr>
                <w:t>7</w:t>
              </w:r>
            </w:hyperlink>
            <w:r w:rsidR="00E3763C" w:rsidRPr="00AC3F2B">
              <w:rPr>
                <w:rFonts w:ascii="Arial" w:hAnsi="Arial"/>
                <w:snapToGrid w:val="0"/>
                <w:color w:val="0000FF" w:themeColor="hyperlink"/>
                <w:sz w:val="22"/>
                <w:szCs w:val="22"/>
                <w:u w:val="single"/>
              </w:rPr>
              <w:t>)</w:t>
            </w:r>
          </w:p>
        </w:tc>
      </w:tr>
      <w:tr w:rsidR="00544C71" w:rsidRPr="00BF1B64" w14:paraId="3FEFA372" w14:textId="77777777" w:rsidTr="00544C71">
        <w:trPr>
          <w:cantSplit/>
        </w:trPr>
        <w:tc>
          <w:tcPr>
            <w:tcW w:w="4226" w:type="dxa"/>
            <w:tcBorders>
              <w:top w:val="nil"/>
              <w:left w:val="nil"/>
              <w:bottom w:val="nil"/>
              <w:right w:val="nil"/>
            </w:tcBorders>
          </w:tcPr>
          <w:p w14:paraId="0C902E7D" w14:textId="77777777" w:rsidR="00544C71" w:rsidRPr="00BF1B64" w:rsidRDefault="00544C71" w:rsidP="00D366EC">
            <w:pPr>
              <w:spacing w:after="120"/>
              <w:jc w:val="both"/>
              <w:rPr>
                <w:rFonts w:ascii="Arial" w:hAnsi="Arial" w:cs="Arial"/>
                <w:snapToGrid w:val="0"/>
                <w:sz w:val="22"/>
                <w:szCs w:val="22"/>
              </w:rPr>
            </w:pPr>
            <w:r>
              <w:rPr>
                <w:rFonts w:ascii="Arial" w:hAnsi="Arial"/>
                <w:snapToGrid w:val="0"/>
                <w:sz w:val="22"/>
                <w:szCs w:val="22"/>
              </w:rPr>
              <w:t>Renforcement des capacités nationales pour la sauvegarde du patrimoine culturel immatériel du Guatemala</w:t>
            </w:r>
          </w:p>
        </w:tc>
        <w:tc>
          <w:tcPr>
            <w:tcW w:w="2091" w:type="dxa"/>
            <w:tcBorders>
              <w:top w:val="nil"/>
              <w:left w:val="nil"/>
              <w:bottom w:val="nil"/>
              <w:right w:val="nil"/>
            </w:tcBorders>
          </w:tcPr>
          <w:p w14:paraId="12541BBF" w14:textId="77777777" w:rsidR="00544C71" w:rsidRPr="00BF1B64" w:rsidRDefault="00544C71" w:rsidP="00D366EC">
            <w:pPr>
              <w:spacing w:after="120"/>
              <w:jc w:val="both"/>
              <w:rPr>
                <w:rFonts w:ascii="Arial" w:hAnsi="Arial" w:cs="Arial"/>
                <w:snapToGrid w:val="0"/>
                <w:sz w:val="22"/>
                <w:szCs w:val="22"/>
              </w:rPr>
            </w:pPr>
            <w:r>
              <w:rPr>
                <w:rFonts w:ascii="Arial" w:hAnsi="Arial"/>
                <w:snapToGrid w:val="0"/>
                <w:sz w:val="22"/>
                <w:szCs w:val="22"/>
              </w:rPr>
              <w:t>Azerbaïdjan</w:t>
            </w:r>
          </w:p>
        </w:tc>
        <w:tc>
          <w:tcPr>
            <w:tcW w:w="2754" w:type="dxa"/>
            <w:tcBorders>
              <w:top w:val="nil"/>
              <w:left w:val="nil"/>
              <w:bottom w:val="nil"/>
              <w:right w:val="nil"/>
            </w:tcBorders>
          </w:tcPr>
          <w:p w14:paraId="3FB939EA" w14:textId="5B71A1D3" w:rsidR="00544C71" w:rsidRPr="00114C55" w:rsidRDefault="00F915B7" w:rsidP="00D366EC">
            <w:pPr>
              <w:spacing w:after="120"/>
              <w:jc w:val="both"/>
              <w:rPr>
                <w:rFonts w:ascii="Arial" w:hAnsi="Arial" w:cs="Arial"/>
                <w:snapToGrid w:val="0"/>
                <w:sz w:val="22"/>
                <w:szCs w:val="22"/>
              </w:rPr>
            </w:pPr>
            <w:hyperlink r:id="rId24" w:history="1">
              <w:r w:rsidR="00E3763C">
                <w:rPr>
                  <w:rStyle w:val="Hyperlink"/>
                  <w:rFonts w:ascii="Arial" w:hAnsi="Arial"/>
                  <w:sz w:val="22"/>
                  <w:szCs w:val="22"/>
                </w:rPr>
                <w:t>Rapport</w:t>
              </w:r>
              <w:r w:rsidR="00E3763C">
                <w:rPr>
                  <w:rStyle w:val="Hyperlink"/>
                  <w:rFonts w:ascii="Arial" w:hAnsi="Arial"/>
                  <w:snapToGrid w:val="0"/>
                  <w:sz w:val="22"/>
                  <w:szCs w:val="22"/>
                </w:rPr>
                <w:t xml:space="preserve"> final (2018</w:t>
              </w:r>
            </w:hyperlink>
            <w:r w:rsidR="00E3763C">
              <w:rPr>
                <w:rFonts w:ascii="Arial" w:hAnsi="Arial"/>
                <w:snapToGrid w:val="0"/>
                <w:color w:val="0000FF" w:themeColor="hyperlink"/>
                <w:sz w:val="22"/>
                <w:szCs w:val="22"/>
                <w:u w:val="single"/>
              </w:rPr>
              <w:t>)</w:t>
            </w:r>
          </w:p>
        </w:tc>
      </w:tr>
      <w:tr w:rsidR="00544C71" w:rsidRPr="00BF1B64" w14:paraId="0694647D" w14:textId="77777777" w:rsidTr="00544C71">
        <w:trPr>
          <w:cantSplit/>
        </w:trPr>
        <w:tc>
          <w:tcPr>
            <w:tcW w:w="4226" w:type="dxa"/>
            <w:tcBorders>
              <w:top w:val="nil"/>
              <w:left w:val="nil"/>
              <w:bottom w:val="nil"/>
              <w:right w:val="nil"/>
            </w:tcBorders>
          </w:tcPr>
          <w:p w14:paraId="54FE84CB" w14:textId="77777777" w:rsidR="00544C71" w:rsidRPr="00BF1B64" w:rsidRDefault="00544C71" w:rsidP="00D366EC">
            <w:pPr>
              <w:spacing w:after="120"/>
              <w:jc w:val="both"/>
              <w:rPr>
                <w:rFonts w:ascii="Arial" w:hAnsi="Arial" w:cs="Arial"/>
                <w:snapToGrid w:val="0"/>
                <w:sz w:val="22"/>
                <w:szCs w:val="22"/>
              </w:rPr>
            </w:pPr>
            <w:r>
              <w:rPr>
                <w:rFonts w:ascii="Arial" w:hAnsi="Arial"/>
                <w:snapToGrid w:val="0"/>
                <w:sz w:val="22"/>
                <w:szCs w:val="22"/>
              </w:rPr>
              <w:lastRenderedPageBreak/>
              <w:t>Renforcement des capacités nationales en vue de sauvegarder le patrimoine culturel immatériel pour le développement durable au Bangladesh</w:t>
            </w:r>
          </w:p>
        </w:tc>
        <w:tc>
          <w:tcPr>
            <w:tcW w:w="2091" w:type="dxa"/>
            <w:tcBorders>
              <w:top w:val="nil"/>
              <w:left w:val="nil"/>
              <w:bottom w:val="nil"/>
              <w:right w:val="nil"/>
            </w:tcBorders>
          </w:tcPr>
          <w:p w14:paraId="43394EF1" w14:textId="77777777" w:rsidR="00544C71" w:rsidRPr="00BF1B64" w:rsidRDefault="00544C71" w:rsidP="00D366EC">
            <w:pPr>
              <w:spacing w:after="120"/>
              <w:jc w:val="both"/>
              <w:rPr>
                <w:rFonts w:ascii="Arial" w:hAnsi="Arial" w:cs="Arial"/>
                <w:snapToGrid w:val="0"/>
                <w:sz w:val="22"/>
                <w:szCs w:val="22"/>
              </w:rPr>
            </w:pPr>
            <w:r>
              <w:rPr>
                <w:rFonts w:ascii="Arial" w:hAnsi="Arial"/>
                <w:snapToGrid w:val="0"/>
                <w:sz w:val="22"/>
                <w:szCs w:val="22"/>
              </w:rPr>
              <w:t>Azerbaïdjan</w:t>
            </w:r>
          </w:p>
        </w:tc>
        <w:tc>
          <w:tcPr>
            <w:tcW w:w="2754" w:type="dxa"/>
            <w:tcBorders>
              <w:top w:val="nil"/>
              <w:left w:val="nil"/>
              <w:bottom w:val="nil"/>
              <w:right w:val="nil"/>
            </w:tcBorders>
          </w:tcPr>
          <w:p w14:paraId="08963C4F" w14:textId="6432BEEC" w:rsidR="00544C71" w:rsidRPr="004520F6" w:rsidRDefault="00F915B7">
            <w:pPr>
              <w:spacing w:after="120"/>
              <w:jc w:val="both"/>
              <w:rPr>
                <w:rFonts w:ascii="Arial" w:hAnsi="Arial" w:cs="Arial"/>
                <w:snapToGrid w:val="0"/>
                <w:sz w:val="22"/>
                <w:szCs w:val="22"/>
              </w:rPr>
            </w:pPr>
            <w:hyperlink r:id="rId25" w:history="1">
              <w:r w:rsidR="00E3763C" w:rsidRPr="004520F6">
                <w:rPr>
                  <w:rFonts w:ascii="Arial" w:hAnsi="Arial"/>
                  <w:snapToGrid w:val="0"/>
                  <w:color w:val="0000FF" w:themeColor="hyperlink"/>
                  <w:sz w:val="22"/>
                  <w:szCs w:val="22"/>
                  <w:u w:val="single"/>
                </w:rPr>
                <w:t xml:space="preserve">Rapport </w:t>
              </w:r>
              <w:r w:rsidR="00510AE2" w:rsidRPr="004520F6">
                <w:rPr>
                  <w:rFonts w:ascii="Arial" w:hAnsi="Arial"/>
                  <w:snapToGrid w:val="0"/>
                  <w:color w:val="0000FF" w:themeColor="hyperlink"/>
                  <w:sz w:val="22"/>
                  <w:szCs w:val="22"/>
                  <w:u w:val="single"/>
                </w:rPr>
                <w:t>final</w:t>
              </w:r>
              <w:r w:rsidR="001B47F7" w:rsidRPr="004520F6">
                <w:rPr>
                  <w:rFonts w:ascii="Arial" w:hAnsi="Arial"/>
                  <w:snapToGrid w:val="0"/>
                  <w:color w:val="0000FF" w:themeColor="hyperlink"/>
                  <w:sz w:val="22"/>
                  <w:szCs w:val="22"/>
                  <w:u w:val="single"/>
                </w:rPr>
                <w:t xml:space="preserve"> </w:t>
              </w:r>
              <w:r w:rsidR="00E3763C" w:rsidRPr="004520F6">
                <w:rPr>
                  <w:rFonts w:ascii="Arial" w:hAnsi="Arial"/>
                  <w:snapToGrid w:val="0"/>
                  <w:color w:val="0000FF" w:themeColor="hyperlink"/>
                  <w:sz w:val="22"/>
                  <w:szCs w:val="22"/>
                  <w:u w:val="single"/>
                </w:rPr>
                <w:t>(201</w:t>
              </w:r>
            </w:hyperlink>
            <w:r w:rsidR="00510AE2" w:rsidRPr="004520F6">
              <w:rPr>
                <w:rFonts w:ascii="Arial" w:hAnsi="Arial"/>
                <w:snapToGrid w:val="0"/>
                <w:color w:val="0000FF" w:themeColor="hyperlink"/>
                <w:sz w:val="22"/>
                <w:szCs w:val="22"/>
                <w:u w:val="single"/>
              </w:rPr>
              <w:t>9</w:t>
            </w:r>
            <w:r w:rsidR="00E3763C" w:rsidRPr="004520F6">
              <w:rPr>
                <w:rFonts w:ascii="Arial" w:hAnsi="Arial"/>
                <w:snapToGrid w:val="0"/>
                <w:color w:val="0000FF" w:themeColor="hyperlink"/>
                <w:sz w:val="22"/>
                <w:szCs w:val="22"/>
                <w:u w:val="single"/>
              </w:rPr>
              <w:t>)</w:t>
            </w:r>
          </w:p>
        </w:tc>
      </w:tr>
      <w:tr w:rsidR="00BF1B64" w:rsidRPr="00BF1B64" w14:paraId="03FDEC1B" w14:textId="77777777" w:rsidTr="00544C71">
        <w:trPr>
          <w:cantSplit/>
        </w:trPr>
        <w:tc>
          <w:tcPr>
            <w:tcW w:w="4226" w:type="dxa"/>
            <w:tcBorders>
              <w:top w:val="nil"/>
              <w:left w:val="nil"/>
              <w:bottom w:val="nil"/>
              <w:right w:val="nil"/>
            </w:tcBorders>
          </w:tcPr>
          <w:p w14:paraId="3C15D63F" w14:textId="09D3564E" w:rsidR="00BF1B64" w:rsidRPr="00BF1B64" w:rsidRDefault="00BF1B64" w:rsidP="00BF1B64">
            <w:pPr>
              <w:spacing w:after="120"/>
              <w:jc w:val="both"/>
              <w:rPr>
                <w:rFonts w:ascii="Arial" w:hAnsi="Arial" w:cs="Arial"/>
                <w:snapToGrid w:val="0"/>
                <w:sz w:val="22"/>
                <w:szCs w:val="22"/>
              </w:rPr>
            </w:pPr>
            <w:r>
              <w:rPr>
                <w:rFonts w:ascii="Arial" w:hAnsi="Arial"/>
                <w:snapToGrid w:val="0"/>
                <w:sz w:val="22"/>
                <w:szCs w:val="22"/>
              </w:rPr>
              <w:t>Renforcement des capacités de l</w:t>
            </w:r>
            <w:r w:rsidR="00480D38">
              <w:rPr>
                <w:rFonts w:ascii="Arial" w:hAnsi="Arial"/>
                <w:snapToGrid w:val="0"/>
                <w:sz w:val="22"/>
                <w:szCs w:val="22"/>
              </w:rPr>
              <w:t>’</w:t>
            </w:r>
            <w:r>
              <w:rPr>
                <w:rFonts w:ascii="Arial" w:hAnsi="Arial"/>
                <w:snapToGrid w:val="0"/>
                <w:sz w:val="22"/>
                <w:szCs w:val="22"/>
              </w:rPr>
              <w:t>Érythrée pour mettre en œuvre la Convention pour la sauvegarde du patrimoine culturel immatériel</w:t>
            </w:r>
          </w:p>
        </w:tc>
        <w:tc>
          <w:tcPr>
            <w:tcW w:w="2091" w:type="dxa"/>
            <w:tcBorders>
              <w:top w:val="nil"/>
              <w:left w:val="nil"/>
              <w:bottom w:val="nil"/>
              <w:right w:val="nil"/>
            </w:tcBorders>
          </w:tcPr>
          <w:p w14:paraId="2CC90C06" w14:textId="77777777" w:rsidR="00BF1B64" w:rsidRPr="00BF1B64" w:rsidRDefault="00BF1B64" w:rsidP="00BF1B64">
            <w:pPr>
              <w:spacing w:after="120"/>
              <w:jc w:val="both"/>
              <w:rPr>
                <w:rFonts w:ascii="Arial" w:hAnsi="Arial" w:cs="Arial"/>
                <w:snapToGrid w:val="0"/>
                <w:sz w:val="22"/>
                <w:szCs w:val="22"/>
              </w:rPr>
            </w:pPr>
            <w:r>
              <w:rPr>
                <w:rFonts w:ascii="Arial" w:hAnsi="Arial"/>
                <w:snapToGrid w:val="0"/>
                <w:sz w:val="22"/>
                <w:szCs w:val="22"/>
              </w:rPr>
              <w:t>Norvège</w:t>
            </w:r>
          </w:p>
        </w:tc>
        <w:tc>
          <w:tcPr>
            <w:tcW w:w="2754" w:type="dxa"/>
            <w:tcBorders>
              <w:top w:val="nil"/>
              <w:left w:val="nil"/>
              <w:bottom w:val="nil"/>
              <w:right w:val="nil"/>
            </w:tcBorders>
          </w:tcPr>
          <w:p w14:paraId="37DF138D" w14:textId="72C558A0" w:rsidR="00BF1B64" w:rsidRPr="004520F6" w:rsidRDefault="00F915B7">
            <w:pPr>
              <w:spacing w:after="120"/>
              <w:jc w:val="both"/>
              <w:rPr>
                <w:rFonts w:ascii="Arial" w:hAnsi="Arial" w:cs="Arial"/>
                <w:snapToGrid w:val="0"/>
                <w:sz w:val="22"/>
                <w:szCs w:val="22"/>
              </w:rPr>
            </w:pPr>
            <w:hyperlink r:id="rId26" w:history="1">
              <w:r w:rsidR="00E3763C" w:rsidRPr="004520F6">
                <w:rPr>
                  <w:rFonts w:ascii="Arial" w:hAnsi="Arial"/>
                  <w:snapToGrid w:val="0"/>
                  <w:color w:val="0000FF" w:themeColor="hyperlink"/>
                  <w:sz w:val="22"/>
                  <w:szCs w:val="22"/>
                  <w:u w:val="single"/>
                </w:rPr>
                <w:t>Rapport</w:t>
              </w:r>
              <w:r w:rsidR="001B47F7" w:rsidRPr="004520F6">
                <w:rPr>
                  <w:rFonts w:ascii="Arial" w:hAnsi="Arial"/>
                  <w:snapToGrid w:val="0"/>
                  <w:color w:val="0000FF" w:themeColor="hyperlink"/>
                  <w:sz w:val="22"/>
                  <w:szCs w:val="22"/>
                  <w:u w:val="single"/>
                </w:rPr>
                <w:t xml:space="preserve"> </w:t>
              </w:r>
              <w:r w:rsidR="00510AE2" w:rsidRPr="004520F6">
                <w:rPr>
                  <w:rFonts w:ascii="Arial" w:hAnsi="Arial"/>
                  <w:snapToGrid w:val="0"/>
                  <w:color w:val="0000FF" w:themeColor="hyperlink"/>
                  <w:sz w:val="22"/>
                  <w:szCs w:val="22"/>
                  <w:u w:val="single"/>
                </w:rPr>
                <w:t xml:space="preserve">final (2019) </w:t>
              </w:r>
            </w:hyperlink>
          </w:p>
        </w:tc>
      </w:tr>
      <w:tr w:rsidR="00BF1B64" w:rsidRPr="00BF1B64" w14:paraId="6FA3B98B" w14:textId="77777777" w:rsidTr="00544C71">
        <w:trPr>
          <w:cantSplit/>
        </w:trPr>
        <w:tc>
          <w:tcPr>
            <w:tcW w:w="4226" w:type="dxa"/>
            <w:tcBorders>
              <w:top w:val="nil"/>
              <w:left w:val="nil"/>
              <w:bottom w:val="single" w:sz="4" w:space="0" w:color="auto"/>
              <w:right w:val="nil"/>
            </w:tcBorders>
          </w:tcPr>
          <w:p w14:paraId="1DD10348" w14:textId="77777777" w:rsidR="00BF1B64" w:rsidRPr="00BF1B64" w:rsidRDefault="00BF1B64" w:rsidP="00BF1B64">
            <w:pPr>
              <w:spacing w:after="120"/>
              <w:jc w:val="both"/>
              <w:rPr>
                <w:rFonts w:ascii="Arial" w:hAnsi="Arial" w:cs="Arial"/>
                <w:snapToGrid w:val="0"/>
                <w:sz w:val="22"/>
                <w:szCs w:val="22"/>
              </w:rPr>
            </w:pPr>
            <w:r>
              <w:rPr>
                <w:rFonts w:ascii="Arial" w:hAnsi="Arial"/>
                <w:snapToGrid w:val="0"/>
                <w:sz w:val="22"/>
                <w:szCs w:val="22"/>
              </w:rPr>
              <w:t>Renforcement des capacités du Suriname et des îles néerlandaises des Caraïbes pour la mise en œuvre de la Convention pour la sauvegarde du patrimoine culturel immatériel</w:t>
            </w:r>
          </w:p>
        </w:tc>
        <w:tc>
          <w:tcPr>
            <w:tcW w:w="2091" w:type="dxa"/>
            <w:tcBorders>
              <w:top w:val="nil"/>
              <w:left w:val="nil"/>
              <w:bottom w:val="single" w:sz="4" w:space="0" w:color="auto"/>
              <w:right w:val="nil"/>
            </w:tcBorders>
          </w:tcPr>
          <w:p w14:paraId="7677B081" w14:textId="77777777" w:rsidR="00BF1B64" w:rsidRPr="00BF1B64" w:rsidRDefault="00BF1B64" w:rsidP="00BF1B64">
            <w:pPr>
              <w:spacing w:after="120"/>
              <w:jc w:val="both"/>
              <w:rPr>
                <w:rFonts w:ascii="Arial" w:hAnsi="Arial" w:cs="Arial"/>
                <w:snapToGrid w:val="0"/>
                <w:sz w:val="22"/>
                <w:szCs w:val="22"/>
              </w:rPr>
            </w:pPr>
            <w:r>
              <w:rPr>
                <w:rFonts w:ascii="Arial" w:hAnsi="Arial"/>
                <w:snapToGrid w:val="0"/>
                <w:sz w:val="22"/>
                <w:szCs w:val="22"/>
              </w:rPr>
              <w:t>Pays-Bas</w:t>
            </w:r>
          </w:p>
        </w:tc>
        <w:tc>
          <w:tcPr>
            <w:tcW w:w="2754" w:type="dxa"/>
            <w:tcBorders>
              <w:top w:val="nil"/>
              <w:left w:val="nil"/>
              <w:bottom w:val="single" w:sz="4" w:space="0" w:color="auto"/>
              <w:right w:val="nil"/>
            </w:tcBorders>
          </w:tcPr>
          <w:p w14:paraId="68BB2C69" w14:textId="6A29E24C" w:rsidR="00BF1B64" w:rsidRPr="004520F6" w:rsidRDefault="00F915B7">
            <w:pPr>
              <w:spacing w:after="120"/>
              <w:rPr>
                <w:rFonts w:ascii="Arial" w:hAnsi="Arial" w:cs="Arial"/>
                <w:snapToGrid w:val="0"/>
                <w:sz w:val="22"/>
                <w:szCs w:val="22"/>
              </w:rPr>
            </w:pPr>
            <w:hyperlink r:id="rId27" w:history="1">
              <w:r w:rsidR="00E3763C" w:rsidRPr="004520F6">
                <w:rPr>
                  <w:rFonts w:ascii="Arial" w:hAnsi="Arial"/>
                  <w:snapToGrid w:val="0"/>
                  <w:color w:val="0000FF" w:themeColor="hyperlink"/>
                  <w:sz w:val="22"/>
                  <w:szCs w:val="22"/>
                  <w:u w:val="single"/>
                </w:rPr>
                <w:t>Rapport final phase </w:t>
              </w:r>
              <w:r w:rsidR="00510AE2" w:rsidRPr="004520F6">
                <w:rPr>
                  <w:rFonts w:ascii="Arial" w:hAnsi="Arial"/>
                  <w:snapToGrid w:val="0"/>
                  <w:color w:val="0000FF" w:themeColor="hyperlink"/>
                  <w:sz w:val="22"/>
                  <w:szCs w:val="22"/>
                  <w:u w:val="single"/>
                </w:rPr>
                <w:t>I</w:t>
              </w:r>
              <w:r w:rsidR="00E3763C" w:rsidRPr="004520F6">
                <w:rPr>
                  <w:rFonts w:ascii="Arial" w:hAnsi="Arial"/>
                  <w:snapToGrid w:val="0"/>
                  <w:color w:val="0000FF" w:themeColor="hyperlink"/>
                  <w:sz w:val="22"/>
                  <w:szCs w:val="22"/>
                  <w:u w:val="single"/>
                </w:rPr>
                <w:t>II</w:t>
              </w:r>
              <w:r w:rsidR="00E3763C" w:rsidRPr="004520F6">
                <w:rPr>
                  <w:rFonts w:ascii="Arial" w:hAnsi="Arial"/>
                  <w:snapToGrid w:val="0"/>
                  <w:color w:val="0000FF" w:themeColor="hyperlink"/>
                  <w:sz w:val="22"/>
                  <w:szCs w:val="22"/>
                  <w:u w:val="single"/>
                </w:rPr>
                <w:br/>
                <w:t>(201</w:t>
              </w:r>
              <w:r w:rsidR="00510AE2" w:rsidRPr="004520F6">
                <w:rPr>
                  <w:rFonts w:ascii="Arial" w:hAnsi="Arial"/>
                  <w:snapToGrid w:val="0"/>
                  <w:color w:val="0000FF" w:themeColor="hyperlink"/>
                  <w:sz w:val="22"/>
                  <w:szCs w:val="22"/>
                  <w:u w:val="single"/>
                </w:rPr>
                <w:t>8</w:t>
              </w:r>
              <w:r w:rsidR="00E3763C" w:rsidRPr="004520F6">
                <w:rPr>
                  <w:rFonts w:ascii="Arial" w:hAnsi="Arial"/>
                  <w:snapToGrid w:val="0"/>
                  <w:color w:val="0000FF" w:themeColor="hyperlink"/>
                  <w:sz w:val="22"/>
                  <w:szCs w:val="22"/>
                  <w:u w:val="single"/>
                </w:rPr>
                <w:t>)</w:t>
              </w:r>
            </w:hyperlink>
          </w:p>
        </w:tc>
      </w:tr>
    </w:tbl>
    <w:p w14:paraId="385461F2" w14:textId="5324CB63" w:rsidR="00BF1B64" w:rsidRPr="000449E6" w:rsidRDefault="00557235" w:rsidP="00BB5A0E">
      <w:pPr>
        <w:pStyle w:val="ListParagraph"/>
        <w:numPr>
          <w:ilvl w:val="0"/>
          <w:numId w:val="14"/>
        </w:numPr>
        <w:tabs>
          <w:tab w:val="left" w:pos="567"/>
        </w:tabs>
        <w:snapToGrid w:val="0"/>
        <w:spacing w:before="360" w:after="120"/>
        <w:ind w:left="924" w:hanging="357"/>
        <w:jc w:val="both"/>
        <w:rPr>
          <w:rFonts w:ascii="Arial" w:hAnsi="Arial" w:cs="Arial"/>
          <w:b/>
          <w:snapToGrid w:val="0"/>
          <w:sz w:val="22"/>
          <w:szCs w:val="22"/>
        </w:rPr>
      </w:pPr>
      <w:r>
        <w:rPr>
          <w:rFonts w:ascii="Arial" w:hAnsi="Arial"/>
          <w:b/>
          <w:snapToGrid w:val="0"/>
          <w:sz w:val="22"/>
          <w:szCs w:val="22"/>
        </w:rPr>
        <w:t>Taux de gestion du Fonds</w:t>
      </w:r>
    </w:p>
    <w:p w14:paraId="44AB24D3" w14:textId="1EB22752" w:rsidR="000449E6" w:rsidRPr="000449E6" w:rsidRDefault="000449E6" w:rsidP="000449E6">
      <w:pPr>
        <w:numPr>
          <w:ilvl w:val="0"/>
          <w:numId w:val="9"/>
        </w:numPr>
        <w:spacing w:after="120"/>
        <w:ind w:left="567" w:hanging="567"/>
        <w:jc w:val="both"/>
        <w:rPr>
          <w:rFonts w:ascii="Arial" w:eastAsia="SimSun" w:hAnsi="Arial" w:cs="Arial"/>
          <w:snapToGrid w:val="0"/>
          <w:sz w:val="22"/>
          <w:szCs w:val="22"/>
        </w:rPr>
      </w:pPr>
      <w:r>
        <w:rPr>
          <w:rFonts w:ascii="Arial" w:hAnsi="Arial"/>
          <w:snapToGrid w:val="0"/>
          <w:sz w:val="22"/>
          <w:szCs w:val="22"/>
        </w:rPr>
        <w:t>Le Fonds, ainsi que d</w:t>
      </w:r>
      <w:r w:rsidR="00480D38">
        <w:rPr>
          <w:rFonts w:ascii="Arial" w:hAnsi="Arial"/>
          <w:snapToGrid w:val="0"/>
          <w:sz w:val="22"/>
          <w:szCs w:val="22"/>
        </w:rPr>
        <w:t>’</w:t>
      </w:r>
      <w:r>
        <w:rPr>
          <w:rFonts w:ascii="Arial" w:hAnsi="Arial"/>
          <w:snapToGrid w:val="0"/>
          <w:sz w:val="22"/>
          <w:szCs w:val="22"/>
        </w:rPr>
        <w:t>autres comptes spéciaux multi</w:t>
      </w:r>
      <w:r w:rsidR="00510AE2">
        <w:rPr>
          <w:rFonts w:ascii="Arial" w:hAnsi="Arial"/>
          <w:snapToGrid w:val="0"/>
          <w:sz w:val="22"/>
          <w:szCs w:val="22"/>
        </w:rPr>
        <w:t>-</w:t>
      </w:r>
      <w:r>
        <w:rPr>
          <w:rFonts w:ascii="Arial" w:hAnsi="Arial"/>
          <w:snapToGrid w:val="0"/>
          <w:sz w:val="22"/>
          <w:szCs w:val="22"/>
        </w:rPr>
        <w:t xml:space="preserve">donateurs comparables tels que le Fonds du patrimoine mondial, </w:t>
      </w:r>
      <w:proofErr w:type="gramStart"/>
      <w:r>
        <w:rPr>
          <w:rFonts w:ascii="Arial" w:hAnsi="Arial"/>
          <w:snapToGrid w:val="0"/>
          <w:sz w:val="22"/>
          <w:szCs w:val="22"/>
        </w:rPr>
        <w:t>ont</w:t>
      </w:r>
      <w:proofErr w:type="gramEnd"/>
      <w:r>
        <w:rPr>
          <w:rFonts w:ascii="Arial" w:hAnsi="Arial"/>
          <w:snapToGrid w:val="0"/>
          <w:sz w:val="22"/>
          <w:szCs w:val="22"/>
        </w:rPr>
        <w:t xml:space="preserve"> bénéficié d</w:t>
      </w:r>
      <w:r w:rsidR="00480D38">
        <w:rPr>
          <w:rFonts w:ascii="Arial" w:hAnsi="Arial"/>
          <w:snapToGrid w:val="0"/>
          <w:sz w:val="22"/>
          <w:szCs w:val="22"/>
        </w:rPr>
        <w:t>’</w:t>
      </w:r>
      <w:r>
        <w:rPr>
          <w:rFonts w:ascii="Arial" w:hAnsi="Arial"/>
          <w:snapToGrid w:val="0"/>
          <w:sz w:val="22"/>
          <w:szCs w:val="22"/>
        </w:rPr>
        <w:t>une dérogation spéciale du taux de gestion (0 %), accordée par la Directrice générale, concernant les contributions obligatoires, tandis qu</w:t>
      </w:r>
      <w:r w:rsidR="00480D38">
        <w:rPr>
          <w:rFonts w:ascii="Arial" w:hAnsi="Arial"/>
          <w:snapToGrid w:val="0"/>
          <w:sz w:val="22"/>
          <w:szCs w:val="22"/>
        </w:rPr>
        <w:t>’</w:t>
      </w:r>
      <w:r>
        <w:rPr>
          <w:rFonts w:ascii="Arial" w:hAnsi="Arial"/>
          <w:snapToGrid w:val="0"/>
          <w:sz w:val="22"/>
          <w:szCs w:val="22"/>
        </w:rPr>
        <w:t>un taux de 10 % était appliqué aux contributions volontaires supplémentaires.</w:t>
      </w:r>
    </w:p>
    <w:p w14:paraId="183E4254" w14:textId="4B975DDD" w:rsidR="00BF1B64" w:rsidRPr="000449E6" w:rsidRDefault="00536CF1" w:rsidP="00BF1B64">
      <w:pPr>
        <w:numPr>
          <w:ilvl w:val="0"/>
          <w:numId w:val="9"/>
        </w:numPr>
        <w:spacing w:after="120"/>
        <w:ind w:left="567" w:hanging="567"/>
        <w:jc w:val="both"/>
        <w:rPr>
          <w:rFonts w:ascii="Arial" w:eastAsia="SimSun" w:hAnsi="Arial" w:cs="Arial"/>
          <w:bCs/>
          <w:snapToGrid w:val="0"/>
          <w:sz w:val="22"/>
          <w:szCs w:val="22"/>
        </w:rPr>
      </w:pPr>
      <w:r>
        <w:rPr>
          <w:rFonts w:ascii="Arial" w:hAnsi="Arial"/>
          <w:sz w:val="22"/>
          <w:szCs w:val="22"/>
        </w:rPr>
        <w:t>Lors de sa treizième session (</w:t>
      </w:r>
      <w:hyperlink r:id="rId28" w:history="1">
        <w:r w:rsidR="00510AE2">
          <w:rPr>
            <w:rStyle w:val="Hyperlink"/>
            <w:rFonts w:ascii="Arial" w:hAnsi="Arial"/>
            <w:sz w:val="22"/>
            <w:szCs w:val="22"/>
          </w:rPr>
          <w:t>d</w:t>
        </w:r>
        <w:r>
          <w:rPr>
            <w:rStyle w:val="Hyperlink"/>
            <w:rFonts w:ascii="Arial" w:hAnsi="Arial"/>
            <w:sz w:val="22"/>
            <w:szCs w:val="22"/>
          </w:rPr>
          <w:t>écision</w:t>
        </w:r>
        <w:r w:rsidR="00F9327E">
          <w:rPr>
            <w:rStyle w:val="Hyperlink"/>
            <w:rFonts w:ascii="Arial" w:hAnsi="Arial"/>
            <w:sz w:val="22"/>
            <w:szCs w:val="22"/>
          </w:rPr>
          <w:t> </w:t>
        </w:r>
        <w:r>
          <w:rPr>
            <w:rStyle w:val="Hyperlink"/>
            <w:rFonts w:ascii="Arial" w:hAnsi="Arial"/>
            <w:sz w:val="22"/>
            <w:szCs w:val="22"/>
          </w:rPr>
          <w:t>13.COM 6</w:t>
        </w:r>
      </w:hyperlink>
      <w:r>
        <w:rPr>
          <w:rFonts w:ascii="Arial" w:hAnsi="Arial"/>
          <w:sz w:val="22"/>
          <w:szCs w:val="22"/>
        </w:rPr>
        <w:t xml:space="preserve">), le Comité a pris note du document du Conseil exécutif </w:t>
      </w:r>
      <w:hyperlink r:id="rId29" w:history="1">
        <w:r>
          <w:rPr>
            <w:rStyle w:val="Hyperlink"/>
            <w:rFonts w:ascii="Arial" w:hAnsi="Arial"/>
            <w:sz w:val="22"/>
            <w:szCs w:val="22"/>
          </w:rPr>
          <w:t>204 EX/5 Partie II.E</w:t>
        </w:r>
      </w:hyperlink>
      <w:r>
        <w:rPr>
          <w:rFonts w:ascii="Arial" w:hAnsi="Arial"/>
          <w:sz w:val="22"/>
          <w:szCs w:val="22"/>
        </w:rPr>
        <w:t xml:space="preserve"> sur la « Politique de recouvrement des coûts : proposition révisée de politique de taux différentiels concernant les taux de gestion » et de la décision associée</w:t>
      </w:r>
      <w:r>
        <w:rPr>
          <w:rFonts w:ascii="Arial" w:hAnsi="Arial"/>
          <w:snapToGrid w:val="0"/>
          <w:sz w:val="22"/>
          <w:szCs w:val="22"/>
        </w:rPr>
        <w:t>, selon laquelle le Comité a décidé que les comptes spéciaux multi</w:t>
      </w:r>
      <w:r w:rsidR="00510AE2">
        <w:rPr>
          <w:rFonts w:ascii="Arial" w:hAnsi="Arial"/>
          <w:snapToGrid w:val="0"/>
          <w:sz w:val="22"/>
          <w:szCs w:val="22"/>
        </w:rPr>
        <w:t>-</w:t>
      </w:r>
      <w:r>
        <w:rPr>
          <w:rFonts w:ascii="Arial" w:hAnsi="Arial"/>
          <w:snapToGrid w:val="0"/>
          <w:sz w:val="22"/>
          <w:szCs w:val="22"/>
        </w:rPr>
        <w:t>donateurs devaient désormais être soumis à un nouveau taux de 7 %, au lieu du précédent taux standard de 10 %. Le document présenté lors de la 204e session du Conseil exécutif indiquait que « les nécessaires consultations avec les organes directeurs des États parties à la Convention pour la sauvegarde du patrimoine culturel immatériel et à la Convention du patrimoine mondial se tiendront entre juin 2018 et novembre 2019 » (voir le document </w:t>
      </w:r>
      <w:hyperlink r:id="rId30" w:history="1">
        <w:r>
          <w:rPr>
            <w:rFonts w:ascii="Arial" w:hAnsi="Arial"/>
            <w:snapToGrid w:val="0"/>
            <w:color w:val="0000FF" w:themeColor="hyperlink"/>
            <w:sz w:val="22"/>
            <w:szCs w:val="22"/>
            <w:u w:val="single"/>
          </w:rPr>
          <w:t>204 EX/5 Partie II.E</w:t>
        </w:r>
      </w:hyperlink>
      <w:r>
        <w:rPr>
          <w:rFonts w:ascii="Arial" w:hAnsi="Arial"/>
          <w:snapToGrid w:val="0"/>
          <w:sz w:val="22"/>
          <w:szCs w:val="22"/>
        </w:rPr>
        <w:t>, paragraphe 14). Au cours de sa 42</w:t>
      </w:r>
      <w:r>
        <w:rPr>
          <w:rFonts w:ascii="Arial" w:hAnsi="Arial"/>
          <w:snapToGrid w:val="0"/>
          <w:sz w:val="22"/>
          <w:szCs w:val="22"/>
          <w:vertAlign w:val="superscript"/>
        </w:rPr>
        <w:t>e</w:t>
      </w:r>
      <w:r>
        <w:rPr>
          <w:rFonts w:ascii="Arial" w:hAnsi="Arial"/>
          <w:snapToGrid w:val="0"/>
          <w:sz w:val="22"/>
          <w:szCs w:val="22"/>
        </w:rPr>
        <w:t> session en 2018, le Comité du patrimoine mondial a « recommandé vivement que le taux de gestion actuel de 0 % continue de s</w:t>
      </w:r>
      <w:r w:rsidR="00480D38">
        <w:rPr>
          <w:rFonts w:ascii="Arial" w:hAnsi="Arial"/>
          <w:snapToGrid w:val="0"/>
          <w:sz w:val="22"/>
          <w:szCs w:val="22"/>
        </w:rPr>
        <w:t>’</w:t>
      </w:r>
      <w:r>
        <w:rPr>
          <w:rFonts w:ascii="Arial" w:hAnsi="Arial"/>
          <w:snapToGrid w:val="0"/>
          <w:sz w:val="22"/>
          <w:szCs w:val="22"/>
        </w:rPr>
        <w:t>appliquer au compte spécial du Fonds du patrimoine mondial » (</w:t>
      </w:r>
      <w:hyperlink r:id="rId31" w:history="1">
        <w:r w:rsidR="00510AE2">
          <w:rPr>
            <w:rStyle w:val="Hyperlink"/>
            <w:rFonts w:ascii="Arial" w:hAnsi="Arial"/>
            <w:snapToGrid w:val="0"/>
            <w:sz w:val="22"/>
            <w:szCs w:val="22"/>
          </w:rPr>
          <w:t>d</w:t>
        </w:r>
        <w:r>
          <w:rPr>
            <w:rStyle w:val="Hyperlink"/>
            <w:rFonts w:ascii="Arial" w:hAnsi="Arial"/>
            <w:snapToGrid w:val="0"/>
            <w:sz w:val="22"/>
            <w:szCs w:val="22"/>
          </w:rPr>
          <w:t>écision</w:t>
        </w:r>
        <w:r w:rsidR="00F9327E">
          <w:rPr>
            <w:rStyle w:val="Hyperlink"/>
            <w:rFonts w:ascii="Arial" w:hAnsi="Arial"/>
            <w:snapToGrid w:val="0"/>
            <w:sz w:val="22"/>
            <w:szCs w:val="22"/>
          </w:rPr>
          <w:t> </w:t>
        </w:r>
        <w:r>
          <w:rPr>
            <w:rStyle w:val="Hyperlink"/>
            <w:rFonts w:ascii="Arial" w:hAnsi="Arial"/>
            <w:snapToGrid w:val="0"/>
            <w:sz w:val="22"/>
            <w:szCs w:val="22"/>
          </w:rPr>
          <w:t>42 COM 14</w:t>
        </w:r>
      </w:hyperlink>
      <w:r>
        <w:rPr>
          <w:rFonts w:ascii="Arial" w:hAnsi="Arial"/>
          <w:snapToGrid w:val="0"/>
          <w:sz w:val="22"/>
          <w:szCs w:val="22"/>
        </w:rPr>
        <w:t>).</w:t>
      </w:r>
    </w:p>
    <w:p w14:paraId="751E730D" w14:textId="77777777" w:rsidR="00BF1B64" w:rsidRPr="00BF1B64" w:rsidRDefault="00BF1B64" w:rsidP="002F6363">
      <w:pPr>
        <w:keepNext/>
        <w:numPr>
          <w:ilvl w:val="0"/>
          <w:numId w:val="9"/>
        </w:numPr>
        <w:spacing w:after="120"/>
        <w:ind w:left="567" w:hanging="567"/>
        <w:jc w:val="both"/>
        <w:rPr>
          <w:rFonts w:ascii="Arial" w:hAnsi="Arial" w:cs="Arial"/>
          <w:snapToGrid w:val="0"/>
          <w:sz w:val="22"/>
          <w:szCs w:val="22"/>
        </w:rPr>
      </w:pPr>
      <w:r>
        <w:rPr>
          <w:rFonts w:ascii="Arial" w:hAnsi="Arial"/>
          <w:snapToGrid w:val="0"/>
          <w:sz w:val="22"/>
          <w:szCs w:val="22"/>
        </w:rPr>
        <w:t>Le Comité souhaitera peut-être adopter la décision suivante :</w:t>
      </w:r>
    </w:p>
    <w:p w14:paraId="2C30A745" w14:textId="52C79430" w:rsidR="00BF1B64" w:rsidRPr="00BF1B64" w:rsidRDefault="00BF1B64" w:rsidP="00BF1B64">
      <w:pPr>
        <w:keepNext/>
        <w:spacing w:before="240" w:after="120"/>
        <w:ind w:left="567"/>
        <w:jc w:val="both"/>
        <w:rPr>
          <w:rFonts w:ascii="Arial" w:eastAsia="SimSun" w:hAnsi="Arial" w:cs="Arial"/>
          <w:b/>
          <w:sz w:val="22"/>
          <w:szCs w:val="22"/>
        </w:rPr>
      </w:pPr>
      <w:r>
        <w:rPr>
          <w:rFonts w:ascii="Arial" w:hAnsi="Arial"/>
          <w:b/>
          <w:sz w:val="22"/>
          <w:szCs w:val="22"/>
        </w:rPr>
        <w:t xml:space="preserve">PROJET DE </w:t>
      </w:r>
      <w:r w:rsidR="007E3D4C">
        <w:rPr>
          <w:rFonts w:ascii="Arial" w:hAnsi="Arial"/>
          <w:b/>
          <w:sz w:val="22"/>
          <w:szCs w:val="22"/>
        </w:rPr>
        <w:t xml:space="preserve">DÉCISION </w:t>
      </w:r>
      <w:r>
        <w:rPr>
          <w:rFonts w:ascii="Arial" w:hAnsi="Arial"/>
          <w:b/>
          <w:sz w:val="22"/>
          <w:szCs w:val="22"/>
        </w:rPr>
        <w:t>14.COM 6</w:t>
      </w:r>
    </w:p>
    <w:p w14:paraId="618DCB1F" w14:textId="77777777" w:rsidR="00BF1B64" w:rsidRPr="00BF1B64" w:rsidRDefault="00BF1B64" w:rsidP="00BF1B64">
      <w:pPr>
        <w:keepNext/>
        <w:spacing w:after="120"/>
        <w:ind w:left="567"/>
        <w:jc w:val="both"/>
        <w:rPr>
          <w:rFonts w:ascii="Arial" w:eastAsia="SimSun" w:hAnsi="Arial" w:cs="Arial"/>
          <w:sz w:val="22"/>
          <w:szCs w:val="22"/>
        </w:rPr>
      </w:pPr>
      <w:r>
        <w:rPr>
          <w:rFonts w:ascii="Arial" w:hAnsi="Arial"/>
          <w:sz w:val="22"/>
          <w:szCs w:val="22"/>
        </w:rPr>
        <w:t>Le Comité,</w:t>
      </w:r>
    </w:p>
    <w:p w14:paraId="17B641ED" w14:textId="4FAB886C" w:rsidR="00BF1B64" w:rsidRPr="00BF1B64" w:rsidRDefault="00BF1B64" w:rsidP="00BF1B64">
      <w:pPr>
        <w:numPr>
          <w:ilvl w:val="0"/>
          <w:numId w:val="10"/>
        </w:numPr>
        <w:autoSpaceDE w:val="0"/>
        <w:autoSpaceDN w:val="0"/>
        <w:adjustRightInd w:val="0"/>
        <w:spacing w:after="120"/>
        <w:ind w:left="1134" w:hanging="567"/>
        <w:rPr>
          <w:rFonts w:ascii="Arial" w:eastAsia="SimSun" w:hAnsi="Arial" w:cs="Arial"/>
          <w:sz w:val="22"/>
          <w:szCs w:val="22"/>
          <w:u w:val="single"/>
        </w:rPr>
      </w:pPr>
      <w:r>
        <w:rPr>
          <w:rFonts w:ascii="Arial" w:hAnsi="Arial"/>
          <w:sz w:val="22"/>
          <w:szCs w:val="22"/>
          <w:u w:val="single"/>
        </w:rPr>
        <w:t>Ayant examiné</w:t>
      </w:r>
      <w:r>
        <w:rPr>
          <w:rFonts w:ascii="Arial" w:hAnsi="Arial"/>
          <w:sz w:val="22"/>
          <w:szCs w:val="22"/>
        </w:rPr>
        <w:t xml:space="preserve"> le document LHE/19/14.COM/6</w:t>
      </w:r>
      <w:r w:rsidR="00F915B7">
        <w:rPr>
          <w:rFonts w:ascii="Arial" w:hAnsi="Arial"/>
          <w:sz w:val="22"/>
          <w:szCs w:val="22"/>
        </w:rPr>
        <w:t xml:space="preserve"> Rev.</w:t>
      </w:r>
      <w:bookmarkStart w:id="0" w:name="_GoBack"/>
      <w:bookmarkEnd w:id="0"/>
      <w:r>
        <w:rPr>
          <w:rFonts w:ascii="Arial" w:hAnsi="Arial"/>
          <w:sz w:val="22"/>
          <w:szCs w:val="22"/>
        </w:rPr>
        <w:t>,</w:t>
      </w:r>
    </w:p>
    <w:p w14:paraId="460BD686" w14:textId="14C7E2DD" w:rsidR="00BF1B64" w:rsidRPr="00BF1B64" w:rsidRDefault="00BF1B64" w:rsidP="00CD0C99">
      <w:pPr>
        <w:numPr>
          <w:ilvl w:val="0"/>
          <w:numId w:val="10"/>
        </w:numPr>
        <w:autoSpaceDE w:val="0"/>
        <w:autoSpaceDN w:val="0"/>
        <w:adjustRightInd w:val="0"/>
        <w:spacing w:after="120"/>
        <w:ind w:left="1134" w:hanging="567"/>
        <w:jc w:val="both"/>
        <w:rPr>
          <w:rFonts w:ascii="Arial" w:eastAsia="SimSun" w:hAnsi="Arial" w:cs="Arial"/>
          <w:sz w:val="22"/>
          <w:szCs w:val="22"/>
          <w:u w:val="single"/>
        </w:rPr>
      </w:pPr>
      <w:r>
        <w:rPr>
          <w:rFonts w:ascii="Arial" w:hAnsi="Arial"/>
          <w:sz w:val="22"/>
          <w:szCs w:val="22"/>
          <w:u w:val="single"/>
        </w:rPr>
        <w:t>Rappelant</w:t>
      </w:r>
      <w:r>
        <w:rPr>
          <w:rFonts w:ascii="Arial" w:hAnsi="Arial"/>
          <w:sz w:val="22"/>
          <w:szCs w:val="22"/>
        </w:rPr>
        <w:t xml:space="preserve"> l</w:t>
      </w:r>
      <w:r w:rsidR="00480D38">
        <w:rPr>
          <w:rFonts w:ascii="Arial" w:hAnsi="Arial"/>
          <w:sz w:val="22"/>
          <w:szCs w:val="22"/>
        </w:rPr>
        <w:t>’</w:t>
      </w:r>
      <w:r>
        <w:rPr>
          <w:rFonts w:ascii="Arial" w:hAnsi="Arial"/>
          <w:sz w:val="22"/>
          <w:szCs w:val="22"/>
        </w:rPr>
        <w:t xml:space="preserve">article 25.5 de la Convention et le chapitre II des Directives </w:t>
      </w:r>
      <w:r w:rsidR="00510AE2">
        <w:rPr>
          <w:rFonts w:ascii="Arial" w:hAnsi="Arial"/>
          <w:sz w:val="22"/>
          <w:szCs w:val="22"/>
        </w:rPr>
        <w:t>o</w:t>
      </w:r>
      <w:r>
        <w:rPr>
          <w:rFonts w:ascii="Arial" w:hAnsi="Arial"/>
          <w:sz w:val="22"/>
          <w:szCs w:val="22"/>
        </w:rPr>
        <w:t>pérationnelles,</w:t>
      </w:r>
    </w:p>
    <w:p w14:paraId="4F3199B6" w14:textId="02479D36" w:rsidR="00BF1B64" w:rsidRPr="0065262E" w:rsidRDefault="00BF1B64" w:rsidP="00BF1B64">
      <w:pPr>
        <w:numPr>
          <w:ilvl w:val="0"/>
          <w:numId w:val="10"/>
        </w:numPr>
        <w:autoSpaceDE w:val="0"/>
        <w:autoSpaceDN w:val="0"/>
        <w:adjustRightInd w:val="0"/>
        <w:spacing w:after="120"/>
        <w:ind w:left="1134" w:hanging="567"/>
        <w:jc w:val="both"/>
        <w:rPr>
          <w:rFonts w:ascii="Arial" w:eastAsia="SimSun" w:hAnsi="Arial" w:cs="Arial"/>
          <w:sz w:val="22"/>
          <w:szCs w:val="22"/>
          <w:u w:val="single"/>
        </w:rPr>
      </w:pPr>
      <w:r>
        <w:rPr>
          <w:rFonts w:ascii="Arial" w:hAnsi="Arial"/>
          <w:sz w:val="22"/>
          <w:szCs w:val="22"/>
          <w:u w:val="single"/>
        </w:rPr>
        <w:t>Rappelant en outre</w:t>
      </w:r>
      <w:r>
        <w:rPr>
          <w:rFonts w:ascii="Arial" w:hAnsi="Arial"/>
          <w:sz w:val="22"/>
          <w:szCs w:val="22"/>
        </w:rPr>
        <w:t xml:space="preserve"> ses décisions précédentes concernant les contributions volontaires supplémentaires au Fonds du patrimoine culturel immatériel, et plus récemment, sa </w:t>
      </w:r>
      <w:r w:rsidRPr="00BB5A0E">
        <w:rPr>
          <w:rFonts w:ascii="Arial" w:hAnsi="Arial"/>
          <w:color w:val="0000FF"/>
          <w:sz w:val="22"/>
          <w:szCs w:val="22"/>
          <w:u w:val="single"/>
        </w:rPr>
        <w:t>décision </w:t>
      </w:r>
      <w:hyperlink r:id="rId32" w:history="1">
        <w:r w:rsidRPr="00BB5A0E">
          <w:rPr>
            <w:rStyle w:val="Hyperlink"/>
            <w:rFonts w:ascii="Arial" w:hAnsi="Arial"/>
            <w:sz w:val="22"/>
            <w:szCs w:val="22"/>
          </w:rPr>
          <w:t>13.</w:t>
        </w:r>
        <w:r w:rsidRPr="00BB5A0E">
          <w:rPr>
            <w:rStyle w:val="Hyperlink"/>
            <w:rFonts w:ascii="Arial" w:hAnsi="Arial"/>
            <w:color w:val="0000FF"/>
            <w:sz w:val="22"/>
            <w:szCs w:val="22"/>
          </w:rPr>
          <w:t>COM</w:t>
        </w:r>
        <w:r w:rsidRPr="00BB5A0E">
          <w:rPr>
            <w:rStyle w:val="Hyperlink"/>
            <w:rFonts w:ascii="Arial" w:hAnsi="Arial"/>
            <w:sz w:val="22"/>
            <w:szCs w:val="22"/>
          </w:rPr>
          <w:t xml:space="preserve"> 6</w:t>
        </w:r>
      </w:hyperlink>
      <w:r>
        <w:rPr>
          <w:rFonts w:ascii="Arial" w:hAnsi="Arial"/>
          <w:sz w:val="22"/>
          <w:szCs w:val="22"/>
        </w:rPr>
        <w:t>,</w:t>
      </w:r>
    </w:p>
    <w:p w14:paraId="10EC4C2A" w14:textId="1066D0F3" w:rsidR="0065262E" w:rsidRPr="00BF1B64" w:rsidRDefault="0065262E" w:rsidP="00BF1B64">
      <w:pPr>
        <w:numPr>
          <w:ilvl w:val="0"/>
          <w:numId w:val="10"/>
        </w:numPr>
        <w:autoSpaceDE w:val="0"/>
        <w:autoSpaceDN w:val="0"/>
        <w:adjustRightInd w:val="0"/>
        <w:spacing w:after="120"/>
        <w:ind w:left="1134" w:hanging="567"/>
        <w:jc w:val="both"/>
        <w:rPr>
          <w:rFonts w:ascii="Arial" w:eastAsia="SimSun" w:hAnsi="Arial" w:cs="Arial"/>
          <w:sz w:val="22"/>
          <w:szCs w:val="22"/>
          <w:u w:val="single"/>
        </w:rPr>
      </w:pPr>
      <w:r>
        <w:rPr>
          <w:rFonts w:ascii="Arial" w:hAnsi="Arial"/>
          <w:sz w:val="22"/>
          <w:szCs w:val="22"/>
          <w:u w:val="single"/>
        </w:rPr>
        <w:t>Rappelant également</w:t>
      </w:r>
      <w:r>
        <w:rPr>
          <w:rFonts w:ascii="Arial" w:hAnsi="Arial"/>
          <w:sz w:val="22"/>
          <w:szCs w:val="22"/>
        </w:rPr>
        <w:t xml:space="preserve"> le document du Conseil exécutif </w:t>
      </w:r>
      <w:hyperlink r:id="rId33" w:history="1">
        <w:r>
          <w:rPr>
            <w:rStyle w:val="Hyperlink"/>
            <w:rFonts w:ascii="Arial" w:hAnsi="Arial"/>
            <w:sz w:val="22"/>
            <w:szCs w:val="22"/>
          </w:rPr>
          <w:t>204 EX/5 Partie II.E</w:t>
        </w:r>
      </w:hyperlink>
      <w:r>
        <w:rPr>
          <w:rFonts w:ascii="Arial" w:hAnsi="Arial"/>
          <w:sz w:val="22"/>
          <w:szCs w:val="22"/>
        </w:rPr>
        <w:t xml:space="preserve"> sur la « Politique de recouvrement des coûts : proposition révisée de politique de taux différentiels concernant les taux de gestion » et de la décision qui lui est associée,</w:t>
      </w:r>
    </w:p>
    <w:p w14:paraId="770DC9AF" w14:textId="1D2C9B2A" w:rsidR="005D3583" w:rsidRDefault="00E46675" w:rsidP="00795D8B">
      <w:pPr>
        <w:pStyle w:val="COMParaDecision"/>
        <w:rPr>
          <w:u w:val="none"/>
        </w:rPr>
      </w:pPr>
      <w:r>
        <w:t>Exprime sa reconnaissance</w:t>
      </w:r>
      <w:r>
        <w:rPr>
          <w:u w:val="none"/>
        </w:rPr>
        <w:t xml:space="preserve"> à tous les donateurs qui </w:t>
      </w:r>
      <w:r w:rsidRPr="001B47F7">
        <w:rPr>
          <w:u w:val="none"/>
        </w:rPr>
        <w:t>ont généreusement soutenu la Convention et son Secrétariat depuis sa dernière session, à savoir l</w:t>
      </w:r>
      <w:r w:rsidR="000F576B">
        <w:rPr>
          <w:u w:val="none"/>
        </w:rPr>
        <w:t>e</w:t>
      </w:r>
      <w:r w:rsidRPr="001B47F7">
        <w:rPr>
          <w:u w:val="none"/>
        </w:rPr>
        <w:t xml:space="preserve"> </w:t>
      </w:r>
      <w:r w:rsidR="00E35BD3">
        <w:rPr>
          <w:u w:val="none"/>
        </w:rPr>
        <w:t>Japon</w:t>
      </w:r>
      <w:r w:rsidR="00E35BD3" w:rsidRPr="001B47F7">
        <w:rPr>
          <w:u w:val="none"/>
        </w:rPr>
        <w:t xml:space="preserve">, </w:t>
      </w:r>
      <w:r w:rsidRPr="001B47F7">
        <w:rPr>
          <w:u w:val="none"/>
        </w:rPr>
        <w:t xml:space="preserve">Monaco, </w:t>
      </w:r>
      <w:r w:rsidR="00AD566D">
        <w:rPr>
          <w:u w:val="none"/>
        </w:rPr>
        <w:t xml:space="preserve">et </w:t>
      </w:r>
      <w:r w:rsidRPr="001B47F7">
        <w:rPr>
          <w:u w:val="none"/>
        </w:rPr>
        <w:t>le Monténégro, ainsi qu</w:t>
      </w:r>
      <w:r w:rsidR="00480D38" w:rsidRPr="001B47F7">
        <w:rPr>
          <w:u w:val="none"/>
        </w:rPr>
        <w:t>’</w:t>
      </w:r>
      <w:r w:rsidRPr="001B47F7">
        <w:rPr>
          <w:u w:val="none"/>
        </w:rPr>
        <w:t>à la République populaire de Chine et Singapour pour leur contribution en nature ;</w:t>
      </w:r>
    </w:p>
    <w:p w14:paraId="342CBE9E" w14:textId="5352F2AD" w:rsidR="00BF1B64" w:rsidRPr="001B47F7" w:rsidRDefault="00BF1B64" w:rsidP="001B1A7F">
      <w:pPr>
        <w:keepNext/>
        <w:keepLines/>
        <w:numPr>
          <w:ilvl w:val="0"/>
          <w:numId w:val="10"/>
        </w:numPr>
        <w:autoSpaceDE w:val="0"/>
        <w:autoSpaceDN w:val="0"/>
        <w:adjustRightInd w:val="0"/>
        <w:spacing w:after="120"/>
        <w:ind w:left="1134" w:hanging="567"/>
        <w:jc w:val="both"/>
        <w:rPr>
          <w:rFonts w:ascii="Arial" w:eastAsia="SimSun" w:hAnsi="Arial" w:cs="Arial"/>
          <w:sz w:val="22"/>
          <w:szCs w:val="22"/>
        </w:rPr>
      </w:pPr>
      <w:r w:rsidRPr="001B47F7">
        <w:rPr>
          <w:rFonts w:ascii="Arial" w:hAnsi="Arial"/>
          <w:sz w:val="22"/>
          <w:szCs w:val="22"/>
          <w:u w:val="single"/>
        </w:rPr>
        <w:lastRenderedPageBreak/>
        <w:t>Prend note</w:t>
      </w:r>
      <w:r w:rsidRPr="001B47F7">
        <w:rPr>
          <w:rFonts w:ascii="Arial" w:hAnsi="Arial"/>
          <w:sz w:val="22"/>
          <w:szCs w:val="22"/>
        </w:rPr>
        <w:t xml:space="preserve"> qu</w:t>
      </w:r>
      <w:r w:rsidR="00480D38" w:rsidRPr="001B47F7">
        <w:rPr>
          <w:rFonts w:ascii="Arial" w:hAnsi="Arial"/>
          <w:sz w:val="22"/>
          <w:szCs w:val="22"/>
        </w:rPr>
        <w:t>’</w:t>
      </w:r>
      <w:r w:rsidRPr="001B47F7">
        <w:rPr>
          <w:rFonts w:ascii="Arial" w:hAnsi="Arial"/>
          <w:sz w:val="22"/>
          <w:szCs w:val="22"/>
        </w:rPr>
        <w:t>aucune contribution volontaire supplémentaire au Fonds du patrimoine culturel immatériel n</w:t>
      </w:r>
      <w:r w:rsidR="00480D38" w:rsidRPr="001B47F7">
        <w:rPr>
          <w:rFonts w:ascii="Arial" w:hAnsi="Arial"/>
          <w:sz w:val="22"/>
          <w:szCs w:val="22"/>
        </w:rPr>
        <w:t>’</w:t>
      </w:r>
      <w:r w:rsidRPr="001B47F7">
        <w:rPr>
          <w:rFonts w:ascii="Arial" w:hAnsi="Arial"/>
          <w:sz w:val="22"/>
          <w:szCs w:val="22"/>
        </w:rPr>
        <w:t xml:space="preserve">a encore été reçue dans le cadre des deux priorités de financement approuvées pour la période 2018–2021 et </w:t>
      </w:r>
      <w:r w:rsidRPr="001B47F7">
        <w:rPr>
          <w:rFonts w:ascii="Arial" w:hAnsi="Arial"/>
          <w:sz w:val="22"/>
          <w:szCs w:val="22"/>
          <w:u w:val="single"/>
        </w:rPr>
        <w:t>encourage</w:t>
      </w:r>
      <w:r w:rsidRPr="001B47F7">
        <w:rPr>
          <w:rFonts w:ascii="Arial" w:hAnsi="Arial"/>
          <w:sz w:val="22"/>
          <w:szCs w:val="22"/>
        </w:rPr>
        <w:t xml:space="preserve"> les États parties à envisager la possibilité de soutenir la Convention, en particulier dans le cadre des deux priorités de financement définies pour la période 2018–2021 et du sous-fonds destiné au renforcement des ressources humaines du Secrétariat, en tenant compte des efforts </w:t>
      </w:r>
      <w:proofErr w:type="gramStart"/>
      <w:r w:rsidRPr="001B47F7">
        <w:rPr>
          <w:rFonts w:ascii="Arial" w:hAnsi="Arial"/>
          <w:sz w:val="22"/>
          <w:szCs w:val="22"/>
        </w:rPr>
        <w:t>récents</w:t>
      </w:r>
      <w:proofErr w:type="gramEnd"/>
      <w:r w:rsidRPr="001B47F7">
        <w:rPr>
          <w:rFonts w:ascii="Arial" w:hAnsi="Arial"/>
          <w:sz w:val="22"/>
          <w:szCs w:val="22"/>
        </w:rPr>
        <w:t xml:space="preserve"> et de la mise en œuvre réussie du Fonds du patrimoine culturel immatériel ;</w:t>
      </w:r>
    </w:p>
    <w:p w14:paraId="2F063B2C" w14:textId="72E66507" w:rsidR="00E216FB" w:rsidRPr="001B47F7" w:rsidRDefault="00E216FB" w:rsidP="0022012B">
      <w:pPr>
        <w:pStyle w:val="COMParaDecision"/>
      </w:pPr>
      <w:r w:rsidRPr="001B47F7">
        <w:t>Encourage en outre</w:t>
      </w:r>
      <w:r w:rsidRPr="001B47F7">
        <w:rPr>
          <w:u w:val="none"/>
        </w:rPr>
        <w:t xml:space="preserve"> le Secrétariat, en accord avec son plan d</w:t>
      </w:r>
      <w:r w:rsidR="00480D38" w:rsidRPr="001B47F7">
        <w:rPr>
          <w:u w:val="none"/>
        </w:rPr>
        <w:t>’</w:t>
      </w:r>
      <w:r w:rsidRPr="001B47F7">
        <w:rPr>
          <w:u w:val="none"/>
        </w:rPr>
        <w:t>information et de communication, à poursuivre ses efforts en vue de mobiliser des fonds afin de soutenir la mise en œuvre de la Convention, en particulier pour les deux priorités de financement approuvées pour la période 2018–2021, et d</w:t>
      </w:r>
      <w:r w:rsidR="00480D38" w:rsidRPr="001B47F7">
        <w:rPr>
          <w:u w:val="none"/>
        </w:rPr>
        <w:t>’</w:t>
      </w:r>
      <w:r w:rsidRPr="001B47F7">
        <w:rPr>
          <w:u w:val="none"/>
        </w:rPr>
        <w:t>améliorer les ressources humaines du Secrétariat ;</w:t>
      </w:r>
    </w:p>
    <w:p w14:paraId="1E9E2D47" w14:textId="54595E0C" w:rsidR="006F25DD" w:rsidRPr="001B47F7" w:rsidRDefault="006F25DD" w:rsidP="0022012B">
      <w:pPr>
        <w:pStyle w:val="COMParaDecision"/>
      </w:pPr>
      <w:r w:rsidRPr="001B47F7">
        <w:t>Demande</w:t>
      </w:r>
      <w:r w:rsidRPr="001B47F7">
        <w:rPr>
          <w:u w:val="none"/>
        </w:rPr>
        <w:t xml:space="preserve"> au Secrétariat de réévaluer ses besoins en ressources humaines et de présenter un nouvel objectif annuel du sous-fonds pour l</w:t>
      </w:r>
      <w:r w:rsidR="00480D38" w:rsidRPr="001B47F7">
        <w:rPr>
          <w:u w:val="none"/>
        </w:rPr>
        <w:t>’</w:t>
      </w:r>
      <w:r w:rsidRPr="001B47F7">
        <w:rPr>
          <w:u w:val="none"/>
        </w:rPr>
        <w:t>amélioration de</w:t>
      </w:r>
      <w:r w:rsidR="00E35BD3">
        <w:rPr>
          <w:u w:val="none"/>
        </w:rPr>
        <w:t xml:space="preserve"> ses </w:t>
      </w:r>
      <w:r w:rsidRPr="001B47F7">
        <w:rPr>
          <w:u w:val="none"/>
        </w:rPr>
        <w:t>ressources humaines en vue de son examen par l</w:t>
      </w:r>
      <w:r w:rsidR="00480D38" w:rsidRPr="001B47F7">
        <w:rPr>
          <w:u w:val="none"/>
        </w:rPr>
        <w:t>’</w:t>
      </w:r>
      <w:r w:rsidRPr="001B47F7">
        <w:rPr>
          <w:u w:val="none"/>
        </w:rPr>
        <w:t>Assemblée générale lors de sa huitième session en 2020 ;</w:t>
      </w:r>
    </w:p>
    <w:p w14:paraId="3C0E234D" w14:textId="07242B05" w:rsidR="00E35BD3" w:rsidRPr="00CD0C99" w:rsidRDefault="00E35BD3" w:rsidP="00BF1B64">
      <w:pPr>
        <w:numPr>
          <w:ilvl w:val="0"/>
          <w:numId w:val="10"/>
        </w:numPr>
        <w:autoSpaceDE w:val="0"/>
        <w:autoSpaceDN w:val="0"/>
        <w:adjustRightInd w:val="0"/>
        <w:spacing w:after="120"/>
        <w:ind w:left="1134" w:hanging="567"/>
        <w:jc w:val="both"/>
        <w:rPr>
          <w:rFonts w:ascii="Arial" w:eastAsia="SimSun" w:hAnsi="Arial" w:cs="Arial"/>
          <w:sz w:val="22"/>
          <w:szCs w:val="22"/>
        </w:rPr>
      </w:pPr>
      <w:r w:rsidRPr="00CD0C99">
        <w:rPr>
          <w:rFonts w:ascii="Arial" w:eastAsia="SimSun" w:hAnsi="Arial" w:cs="Arial"/>
          <w:b/>
          <w:sz w:val="22"/>
          <w:szCs w:val="22"/>
        </w:rPr>
        <w:t>Option</w:t>
      </w:r>
      <w:r>
        <w:rPr>
          <w:rFonts w:ascii="Arial" w:eastAsia="SimSun" w:hAnsi="Arial" w:cs="Arial"/>
          <w:sz w:val="22"/>
          <w:szCs w:val="22"/>
        </w:rPr>
        <w:t xml:space="preserve"> </w:t>
      </w:r>
      <w:r w:rsidRPr="00CD0C99">
        <w:rPr>
          <w:rFonts w:ascii="Arial" w:eastAsia="SimSun" w:hAnsi="Arial" w:cs="Arial"/>
          <w:b/>
          <w:sz w:val="22"/>
          <w:szCs w:val="22"/>
        </w:rPr>
        <w:t>A</w:t>
      </w:r>
    </w:p>
    <w:p w14:paraId="13C8AB80" w14:textId="435E3D74" w:rsidR="00E35BD3" w:rsidRDefault="0065262E" w:rsidP="00CD0C99">
      <w:pPr>
        <w:autoSpaceDE w:val="0"/>
        <w:autoSpaceDN w:val="0"/>
        <w:adjustRightInd w:val="0"/>
        <w:spacing w:after="120"/>
        <w:ind w:left="1134"/>
        <w:jc w:val="both"/>
        <w:rPr>
          <w:rFonts w:ascii="Arial" w:hAnsi="Arial"/>
          <w:sz w:val="22"/>
          <w:szCs w:val="22"/>
        </w:rPr>
      </w:pPr>
      <w:r w:rsidRPr="001B47F7">
        <w:rPr>
          <w:rFonts w:ascii="Arial" w:hAnsi="Arial"/>
          <w:sz w:val="22"/>
          <w:szCs w:val="22"/>
          <w:u w:val="single"/>
        </w:rPr>
        <w:t>Recommande</w:t>
      </w:r>
      <w:r w:rsidRPr="001B47F7">
        <w:rPr>
          <w:rFonts w:ascii="Arial" w:hAnsi="Arial"/>
          <w:sz w:val="22"/>
          <w:szCs w:val="22"/>
        </w:rPr>
        <w:t xml:space="preserve"> à l</w:t>
      </w:r>
      <w:r w:rsidR="00480D38" w:rsidRPr="001B47F7">
        <w:rPr>
          <w:rFonts w:ascii="Arial" w:hAnsi="Arial"/>
          <w:sz w:val="22"/>
          <w:szCs w:val="22"/>
        </w:rPr>
        <w:t>’</w:t>
      </w:r>
      <w:r w:rsidRPr="001B47F7">
        <w:rPr>
          <w:rFonts w:ascii="Arial" w:hAnsi="Arial"/>
          <w:sz w:val="22"/>
          <w:szCs w:val="22"/>
        </w:rPr>
        <w:t>Assemblée générale d</w:t>
      </w:r>
      <w:r w:rsidR="00480D38" w:rsidRPr="001B47F7">
        <w:rPr>
          <w:rFonts w:ascii="Arial" w:hAnsi="Arial"/>
          <w:sz w:val="22"/>
          <w:szCs w:val="22"/>
        </w:rPr>
        <w:t>’</w:t>
      </w:r>
      <w:r w:rsidRPr="001B47F7">
        <w:rPr>
          <w:rFonts w:ascii="Arial" w:hAnsi="Arial"/>
          <w:sz w:val="22"/>
          <w:szCs w:val="22"/>
        </w:rPr>
        <w:t>approuver le maintien d</w:t>
      </w:r>
      <w:r w:rsidR="007E3D4C">
        <w:rPr>
          <w:rFonts w:ascii="Arial" w:hAnsi="Arial"/>
          <w:sz w:val="22"/>
          <w:szCs w:val="22"/>
        </w:rPr>
        <w:t>’</w:t>
      </w:r>
      <w:r w:rsidRPr="001B47F7">
        <w:rPr>
          <w:rFonts w:ascii="Arial" w:hAnsi="Arial"/>
          <w:sz w:val="22"/>
          <w:szCs w:val="22"/>
        </w:rPr>
        <w:t>u</w:t>
      </w:r>
      <w:r w:rsidR="007E3D4C">
        <w:rPr>
          <w:rFonts w:ascii="Arial" w:hAnsi="Arial"/>
          <w:sz w:val="22"/>
          <w:szCs w:val="22"/>
        </w:rPr>
        <w:t>n</w:t>
      </w:r>
      <w:r w:rsidRPr="001B47F7">
        <w:rPr>
          <w:rFonts w:ascii="Arial" w:hAnsi="Arial"/>
          <w:sz w:val="22"/>
          <w:szCs w:val="22"/>
        </w:rPr>
        <w:t xml:space="preserve"> taux de </w:t>
      </w:r>
      <w:r w:rsidRPr="009B7C90">
        <w:rPr>
          <w:rFonts w:ascii="Arial" w:hAnsi="Arial"/>
          <w:sz w:val="22"/>
          <w:szCs w:val="22"/>
        </w:rPr>
        <w:t xml:space="preserve">gestion à </w:t>
      </w:r>
      <w:r w:rsidR="007E3D4C" w:rsidRPr="009B7C90">
        <w:rPr>
          <w:rFonts w:ascii="Arial" w:hAnsi="Arial"/>
          <w:sz w:val="22"/>
          <w:szCs w:val="22"/>
        </w:rPr>
        <w:t>0</w:t>
      </w:r>
      <w:r w:rsidR="007E3D4C">
        <w:rPr>
          <w:rFonts w:ascii="Arial" w:hAnsi="Arial"/>
          <w:sz w:val="22"/>
          <w:szCs w:val="22"/>
        </w:rPr>
        <w:t xml:space="preserve"> pour cent </w:t>
      </w:r>
      <w:r w:rsidRPr="001B47F7">
        <w:rPr>
          <w:rFonts w:ascii="Arial" w:hAnsi="Arial"/>
          <w:sz w:val="22"/>
          <w:szCs w:val="22"/>
        </w:rPr>
        <w:t xml:space="preserve">pour </w:t>
      </w:r>
      <w:r w:rsidR="000F5E79">
        <w:rPr>
          <w:rFonts w:ascii="Arial" w:hAnsi="Arial"/>
          <w:sz w:val="22"/>
          <w:szCs w:val="22"/>
        </w:rPr>
        <w:t>toutes les contributions mises en recouvrement pour le</w:t>
      </w:r>
      <w:r w:rsidRPr="001B47F7">
        <w:rPr>
          <w:rFonts w:ascii="Arial" w:hAnsi="Arial"/>
          <w:sz w:val="22"/>
          <w:szCs w:val="22"/>
        </w:rPr>
        <w:t xml:space="preserve"> compte spécial du Fonds du patrimoine culturel immatériel</w:t>
      </w:r>
      <w:r w:rsidR="00E35BD3">
        <w:rPr>
          <w:rFonts w:ascii="Arial" w:hAnsi="Arial"/>
          <w:sz w:val="22"/>
          <w:szCs w:val="22"/>
        </w:rPr>
        <w:t> ;</w:t>
      </w:r>
    </w:p>
    <w:p w14:paraId="4072DA69" w14:textId="48177F48" w:rsidR="00E35BD3" w:rsidRPr="00CD0C99" w:rsidRDefault="00E35BD3" w:rsidP="00CD0C99">
      <w:pPr>
        <w:autoSpaceDE w:val="0"/>
        <w:autoSpaceDN w:val="0"/>
        <w:adjustRightInd w:val="0"/>
        <w:spacing w:after="120"/>
        <w:ind w:left="1134"/>
        <w:jc w:val="both"/>
        <w:rPr>
          <w:rFonts w:ascii="Arial" w:hAnsi="Arial"/>
          <w:b/>
          <w:sz w:val="22"/>
          <w:szCs w:val="22"/>
        </w:rPr>
      </w:pPr>
      <w:r w:rsidRPr="00CD0C99">
        <w:rPr>
          <w:rFonts w:ascii="Arial" w:hAnsi="Arial"/>
          <w:b/>
          <w:sz w:val="22"/>
          <w:szCs w:val="22"/>
        </w:rPr>
        <w:t>Option B</w:t>
      </w:r>
    </w:p>
    <w:p w14:paraId="33998A77" w14:textId="7AA6E040" w:rsidR="00BF1B64" w:rsidRPr="001B47F7" w:rsidRDefault="00E35BD3" w:rsidP="00CD0C99">
      <w:pPr>
        <w:autoSpaceDE w:val="0"/>
        <w:autoSpaceDN w:val="0"/>
        <w:adjustRightInd w:val="0"/>
        <w:spacing w:after="120"/>
        <w:ind w:left="1134"/>
        <w:jc w:val="both"/>
        <w:rPr>
          <w:rFonts w:ascii="Arial" w:eastAsia="SimSun" w:hAnsi="Arial" w:cs="Arial"/>
          <w:sz w:val="22"/>
          <w:szCs w:val="22"/>
        </w:rPr>
      </w:pPr>
      <w:r w:rsidRPr="00CD0C99">
        <w:rPr>
          <w:rFonts w:ascii="Arial" w:hAnsi="Arial"/>
          <w:sz w:val="22"/>
          <w:szCs w:val="22"/>
          <w:u w:val="single"/>
        </w:rPr>
        <w:t>Recommande</w:t>
      </w:r>
      <w:r>
        <w:rPr>
          <w:rFonts w:ascii="Arial" w:hAnsi="Arial"/>
          <w:sz w:val="22"/>
          <w:szCs w:val="22"/>
        </w:rPr>
        <w:t xml:space="preserve"> à l’Assemblée générale d’approuver l</w:t>
      </w:r>
      <w:r w:rsidR="007E3D4C">
        <w:rPr>
          <w:rFonts w:ascii="Arial" w:hAnsi="Arial"/>
          <w:sz w:val="22"/>
          <w:szCs w:val="22"/>
        </w:rPr>
        <w:t>’application d’un</w:t>
      </w:r>
      <w:r>
        <w:rPr>
          <w:rFonts w:ascii="Arial" w:hAnsi="Arial"/>
          <w:sz w:val="22"/>
          <w:szCs w:val="22"/>
        </w:rPr>
        <w:t xml:space="preserve"> taux de gestio</w:t>
      </w:r>
      <w:r w:rsidRPr="009B7C90">
        <w:rPr>
          <w:rFonts w:ascii="Arial" w:hAnsi="Arial"/>
          <w:sz w:val="22"/>
          <w:szCs w:val="22"/>
        </w:rPr>
        <w:t>n à 7</w:t>
      </w:r>
      <w:r w:rsidR="007E3D4C">
        <w:rPr>
          <w:rFonts w:ascii="Arial" w:hAnsi="Arial"/>
          <w:sz w:val="22"/>
          <w:szCs w:val="22"/>
        </w:rPr>
        <w:t> pour cent</w:t>
      </w:r>
      <w:r w:rsidRPr="009B7C90">
        <w:rPr>
          <w:rFonts w:ascii="Arial" w:hAnsi="Arial"/>
          <w:sz w:val="22"/>
          <w:szCs w:val="22"/>
        </w:rPr>
        <w:t xml:space="preserve"> </w:t>
      </w:r>
      <w:r w:rsidRPr="001B47F7">
        <w:rPr>
          <w:rFonts w:ascii="Arial" w:hAnsi="Arial"/>
          <w:sz w:val="22"/>
          <w:szCs w:val="22"/>
        </w:rPr>
        <w:t xml:space="preserve">pour </w:t>
      </w:r>
      <w:r w:rsidR="007E3D4C">
        <w:rPr>
          <w:rFonts w:ascii="Arial" w:hAnsi="Arial"/>
          <w:sz w:val="22"/>
          <w:szCs w:val="22"/>
        </w:rPr>
        <w:t xml:space="preserve">toutes les contributions, y compris les contributions mises en recouvrement, au </w:t>
      </w:r>
      <w:r w:rsidRPr="001B47F7">
        <w:rPr>
          <w:rFonts w:ascii="Arial" w:hAnsi="Arial"/>
          <w:sz w:val="22"/>
          <w:szCs w:val="22"/>
        </w:rPr>
        <w:t xml:space="preserve">compte spécial du Fonds du patrimoine culturel </w:t>
      </w:r>
      <w:r w:rsidR="009E7C06" w:rsidRPr="001B47F7">
        <w:rPr>
          <w:rFonts w:ascii="Arial" w:hAnsi="Arial"/>
          <w:sz w:val="22"/>
          <w:szCs w:val="22"/>
        </w:rPr>
        <w:t>immatériel</w:t>
      </w:r>
      <w:r w:rsidR="009E7C06">
        <w:rPr>
          <w:rFonts w:ascii="Arial" w:hAnsi="Arial"/>
          <w:sz w:val="22"/>
          <w:szCs w:val="22"/>
        </w:rPr>
        <w:t> </w:t>
      </w:r>
      <w:r w:rsidR="009E7C06" w:rsidRPr="001B47F7" w:rsidDel="00E35BD3">
        <w:rPr>
          <w:rFonts w:ascii="Arial" w:hAnsi="Arial"/>
          <w:sz w:val="22"/>
          <w:szCs w:val="22"/>
        </w:rPr>
        <w:t>en</w:t>
      </w:r>
      <w:r>
        <w:rPr>
          <w:rFonts w:ascii="Arial" w:hAnsi="Arial"/>
          <w:sz w:val="22"/>
          <w:szCs w:val="22"/>
        </w:rPr>
        <w:t xml:space="preserve"> conformité avec la politique révisée de recouvrement des coûts</w:t>
      </w:r>
      <w:r w:rsidR="00F9327E">
        <w:rPr>
          <w:rFonts w:ascii="Arial" w:hAnsi="Arial"/>
          <w:sz w:val="22"/>
          <w:szCs w:val="22"/>
        </w:rPr>
        <w:t> </w:t>
      </w:r>
      <w:r w:rsidR="0065262E" w:rsidRPr="001B47F7">
        <w:rPr>
          <w:rFonts w:ascii="Arial" w:hAnsi="Arial"/>
          <w:sz w:val="22"/>
          <w:szCs w:val="22"/>
        </w:rPr>
        <w:t>;</w:t>
      </w:r>
    </w:p>
    <w:p w14:paraId="2461D39E" w14:textId="5511075D" w:rsidR="00BF1B64" w:rsidRPr="00BF1B64" w:rsidRDefault="006F25DD" w:rsidP="00BF1B64">
      <w:pPr>
        <w:numPr>
          <w:ilvl w:val="0"/>
          <w:numId w:val="10"/>
        </w:numPr>
        <w:autoSpaceDE w:val="0"/>
        <w:autoSpaceDN w:val="0"/>
        <w:adjustRightInd w:val="0"/>
        <w:spacing w:after="120"/>
        <w:ind w:left="1134" w:hanging="567"/>
        <w:jc w:val="both"/>
        <w:rPr>
          <w:rFonts w:ascii="Arial" w:eastAsia="SimSun" w:hAnsi="Arial" w:cs="Arial"/>
          <w:sz w:val="22"/>
          <w:szCs w:val="22"/>
        </w:rPr>
      </w:pPr>
      <w:r>
        <w:rPr>
          <w:rFonts w:ascii="Arial" w:hAnsi="Arial"/>
          <w:sz w:val="22"/>
          <w:szCs w:val="22"/>
          <w:u w:val="single"/>
        </w:rPr>
        <w:t>Demande en outre</w:t>
      </w:r>
      <w:r>
        <w:rPr>
          <w:rFonts w:ascii="Arial" w:hAnsi="Arial"/>
          <w:sz w:val="22"/>
          <w:szCs w:val="22"/>
        </w:rPr>
        <w:t xml:space="preserve"> au Secrétariat de lui rendre compte, lors de sa quinzième session, de l</w:t>
      </w:r>
      <w:r w:rsidR="00480D38">
        <w:rPr>
          <w:rFonts w:ascii="Arial" w:hAnsi="Arial"/>
          <w:sz w:val="22"/>
          <w:szCs w:val="22"/>
        </w:rPr>
        <w:t>’</w:t>
      </w:r>
      <w:r>
        <w:rPr>
          <w:rFonts w:ascii="Arial" w:hAnsi="Arial"/>
          <w:sz w:val="22"/>
          <w:szCs w:val="22"/>
        </w:rPr>
        <w:t>avancement de la mise en œuvre de toute contribution volontaire supplémentaire qu</w:t>
      </w:r>
      <w:r w:rsidR="00480D38">
        <w:rPr>
          <w:rFonts w:ascii="Arial" w:hAnsi="Arial"/>
          <w:sz w:val="22"/>
          <w:szCs w:val="22"/>
        </w:rPr>
        <w:t>’</w:t>
      </w:r>
      <w:r>
        <w:rPr>
          <w:rFonts w:ascii="Arial" w:hAnsi="Arial"/>
          <w:sz w:val="22"/>
          <w:szCs w:val="22"/>
        </w:rPr>
        <w:t>il aurait reçue depuis la quatorzième session.</w:t>
      </w:r>
    </w:p>
    <w:p w14:paraId="58002CD0" w14:textId="77777777" w:rsidR="00BF1B64" w:rsidRPr="00BF1B64" w:rsidRDefault="00BF1B64" w:rsidP="00BF1B64">
      <w:pPr>
        <w:keepNext/>
        <w:pageBreakBefore/>
        <w:autoSpaceDE w:val="0"/>
        <w:autoSpaceDN w:val="0"/>
        <w:adjustRightInd w:val="0"/>
        <w:spacing w:before="240" w:after="480"/>
        <w:jc w:val="center"/>
        <w:rPr>
          <w:rFonts w:ascii="Arial" w:eastAsia="SimSun" w:hAnsi="Arial" w:cs="Arial"/>
          <w:b/>
          <w:caps/>
          <w:snapToGrid w:val="0"/>
          <w:sz w:val="22"/>
          <w:szCs w:val="22"/>
          <w:u w:val="single"/>
        </w:rPr>
      </w:pPr>
      <w:r>
        <w:rPr>
          <w:rFonts w:ascii="Arial" w:hAnsi="Arial"/>
          <w:b/>
          <w:caps/>
          <w:snapToGrid w:val="0"/>
          <w:sz w:val="22"/>
          <w:szCs w:val="22"/>
          <w:u w:val="single"/>
        </w:rPr>
        <w:lastRenderedPageBreak/>
        <w:t>ANNEXE</w:t>
      </w:r>
    </w:p>
    <w:p w14:paraId="19C40E4B" w14:textId="7B5333B6" w:rsidR="00BF1B64" w:rsidRPr="00BF1B64" w:rsidRDefault="00BF1B64" w:rsidP="00BF1B64">
      <w:pPr>
        <w:keepNext/>
        <w:autoSpaceDE w:val="0"/>
        <w:autoSpaceDN w:val="0"/>
        <w:adjustRightInd w:val="0"/>
        <w:spacing w:after="120"/>
        <w:jc w:val="center"/>
        <w:rPr>
          <w:rFonts w:ascii="Arial" w:eastAsia="SimSun" w:hAnsi="Arial" w:cs="Arial"/>
          <w:b/>
          <w:sz w:val="22"/>
          <w:szCs w:val="22"/>
        </w:rPr>
      </w:pPr>
      <w:r>
        <w:rPr>
          <w:rFonts w:ascii="Arial" w:hAnsi="Arial"/>
          <w:b/>
          <w:sz w:val="22"/>
          <w:szCs w:val="22"/>
        </w:rPr>
        <w:t xml:space="preserve">Contributions financières/en nature en </w:t>
      </w:r>
      <w:r w:rsidR="000F576B">
        <w:rPr>
          <w:rFonts w:ascii="Arial" w:hAnsi="Arial"/>
          <w:b/>
          <w:sz w:val="22"/>
          <w:szCs w:val="22"/>
        </w:rPr>
        <w:t xml:space="preserve">appui </w:t>
      </w:r>
      <w:r>
        <w:rPr>
          <w:rFonts w:ascii="Arial" w:hAnsi="Arial"/>
          <w:b/>
          <w:sz w:val="22"/>
          <w:szCs w:val="22"/>
        </w:rPr>
        <w:t>à la Convention de 2003 entre</w:t>
      </w:r>
    </w:p>
    <w:p w14:paraId="116507D9" w14:textId="6BFDEB82" w:rsidR="00BF1B64" w:rsidRPr="00BF1B64" w:rsidRDefault="00BF1B64" w:rsidP="00BF1B64">
      <w:pPr>
        <w:keepNext/>
        <w:autoSpaceDE w:val="0"/>
        <w:autoSpaceDN w:val="0"/>
        <w:adjustRightInd w:val="0"/>
        <w:spacing w:after="120"/>
        <w:jc w:val="center"/>
        <w:rPr>
          <w:rFonts w:ascii="Arial" w:hAnsi="Arial" w:cs="Arial"/>
          <w:b/>
          <w:caps/>
          <w:snapToGrid w:val="0"/>
          <w:sz w:val="22"/>
          <w:szCs w:val="22"/>
        </w:rPr>
      </w:pPr>
      <w:proofErr w:type="gramStart"/>
      <w:r>
        <w:rPr>
          <w:rFonts w:ascii="Arial" w:hAnsi="Arial"/>
          <w:b/>
          <w:sz w:val="22"/>
          <w:szCs w:val="22"/>
        </w:rPr>
        <w:t>la</w:t>
      </w:r>
      <w:proofErr w:type="gramEnd"/>
      <w:r>
        <w:rPr>
          <w:rFonts w:ascii="Arial" w:hAnsi="Arial"/>
          <w:b/>
          <w:sz w:val="22"/>
          <w:szCs w:val="22"/>
        </w:rPr>
        <w:t xml:space="preserve"> treizième session du Comité (décembre 2018) et septembre 2019</w:t>
      </w:r>
    </w:p>
    <w:p w14:paraId="6BEAD6F0" w14:textId="77777777" w:rsidR="00BF1B64" w:rsidRPr="00BF1B64" w:rsidRDefault="00BF1B64" w:rsidP="00BF1B64">
      <w:pPr>
        <w:spacing w:before="840" w:after="60"/>
        <w:rPr>
          <w:rFonts w:ascii="Arial" w:hAnsi="Arial" w:cs="Arial"/>
          <w:b/>
          <w:smallCaps/>
          <w:color w:val="000000"/>
          <w:sz w:val="22"/>
          <w:szCs w:val="22"/>
        </w:rPr>
      </w:pPr>
      <w:r>
        <w:rPr>
          <w:rFonts w:ascii="Arial" w:hAnsi="Arial"/>
          <w:b/>
          <w:smallCaps/>
          <w:color w:val="000000"/>
          <w:sz w:val="22"/>
          <w:szCs w:val="22"/>
        </w:rPr>
        <w:t>Contributions volontaires supplémentaires au Fonds du patrimoine culturel immatériel</w:t>
      </w:r>
    </w:p>
    <w:p w14:paraId="3A956F8D" w14:textId="46909DF1" w:rsidR="000F576B" w:rsidRDefault="000F576B" w:rsidP="00BF1B64">
      <w:pPr>
        <w:spacing w:before="120" w:after="120"/>
        <w:ind w:left="709"/>
        <w:rPr>
          <w:rFonts w:ascii="Arial" w:hAnsi="Arial"/>
          <w:b/>
          <w:color w:val="000000"/>
          <w:sz w:val="20"/>
          <w:szCs w:val="20"/>
        </w:rPr>
      </w:pPr>
      <w:r>
        <w:rPr>
          <w:rFonts w:ascii="Arial" w:hAnsi="Arial"/>
          <w:b/>
          <w:color w:val="000000"/>
          <w:sz w:val="20"/>
          <w:szCs w:val="20"/>
        </w:rPr>
        <w:t>R</w:t>
      </w:r>
      <w:r w:rsidRPr="000F576B">
        <w:rPr>
          <w:rFonts w:ascii="Arial" w:hAnsi="Arial"/>
          <w:b/>
          <w:color w:val="000000"/>
          <w:sz w:val="20"/>
          <w:szCs w:val="20"/>
        </w:rPr>
        <w:t xml:space="preserve">éflexion </w:t>
      </w:r>
      <w:r>
        <w:rPr>
          <w:rFonts w:ascii="Arial" w:hAnsi="Arial"/>
          <w:b/>
          <w:color w:val="000000"/>
          <w:sz w:val="20"/>
          <w:szCs w:val="20"/>
        </w:rPr>
        <w:t xml:space="preserve">sur </w:t>
      </w:r>
      <w:r w:rsidRPr="000F576B">
        <w:rPr>
          <w:rFonts w:ascii="Arial" w:hAnsi="Arial"/>
          <w:b/>
          <w:color w:val="000000"/>
          <w:sz w:val="20"/>
          <w:szCs w:val="20"/>
        </w:rPr>
        <w:t>les mécanismes d’inscription de la Convention</w:t>
      </w:r>
      <w:r>
        <w:rPr>
          <w:rFonts w:ascii="Arial" w:hAnsi="Arial"/>
          <w:b/>
          <w:color w:val="000000"/>
          <w:sz w:val="20"/>
          <w:szCs w:val="20"/>
        </w:rPr>
        <w:t xml:space="preserve"> de 2003</w:t>
      </w:r>
    </w:p>
    <w:tbl>
      <w:tblPr>
        <w:tblW w:w="8930" w:type="dxa"/>
        <w:tblInd w:w="709" w:type="dxa"/>
        <w:tblLook w:val="04A0" w:firstRow="1" w:lastRow="0" w:firstColumn="1" w:lastColumn="0" w:noHBand="0" w:noVBand="1"/>
      </w:tblPr>
      <w:tblGrid>
        <w:gridCol w:w="6603"/>
        <w:gridCol w:w="2327"/>
      </w:tblGrid>
      <w:tr w:rsidR="000F576B" w:rsidRPr="00BF1B64" w14:paraId="4EB2F2D5" w14:textId="77777777" w:rsidTr="00BB676A">
        <w:trPr>
          <w:cantSplit/>
        </w:trPr>
        <w:tc>
          <w:tcPr>
            <w:tcW w:w="6603" w:type="dxa"/>
            <w:vAlign w:val="center"/>
          </w:tcPr>
          <w:p w14:paraId="0EB66FDC" w14:textId="1C41EE4B" w:rsidR="000F576B" w:rsidRPr="00BF1B64" w:rsidRDefault="000F576B" w:rsidP="00BB676A">
            <w:pPr>
              <w:spacing w:before="60" w:after="60"/>
              <w:rPr>
                <w:rFonts w:ascii="Arial" w:hAnsi="Arial" w:cs="Arial"/>
                <w:color w:val="000000"/>
                <w:sz w:val="20"/>
                <w:szCs w:val="20"/>
              </w:rPr>
            </w:pPr>
            <w:r>
              <w:rPr>
                <w:rFonts w:ascii="Arial" w:hAnsi="Arial"/>
                <w:color w:val="000000"/>
                <w:sz w:val="20"/>
                <w:szCs w:val="20"/>
              </w:rPr>
              <w:t xml:space="preserve">Japon </w:t>
            </w:r>
          </w:p>
        </w:tc>
        <w:tc>
          <w:tcPr>
            <w:tcW w:w="2327" w:type="dxa"/>
            <w:vAlign w:val="center"/>
          </w:tcPr>
          <w:p w14:paraId="07EDF3E9" w14:textId="75B9149A" w:rsidR="000F576B" w:rsidRPr="00BF1B64" w:rsidRDefault="000F576B" w:rsidP="00BB676A">
            <w:pPr>
              <w:spacing w:before="60" w:after="60"/>
              <w:jc w:val="right"/>
              <w:rPr>
                <w:rFonts w:ascii="Arial" w:hAnsi="Arial" w:cs="Arial"/>
                <w:color w:val="000000"/>
                <w:sz w:val="20"/>
                <w:szCs w:val="20"/>
              </w:rPr>
            </w:pPr>
            <w:r>
              <w:rPr>
                <w:rFonts w:ascii="Arial" w:hAnsi="Arial"/>
                <w:color w:val="000000"/>
                <w:sz w:val="20"/>
                <w:szCs w:val="20"/>
              </w:rPr>
              <w:t>267 238 dollars des États-Unis</w:t>
            </w:r>
          </w:p>
        </w:tc>
      </w:tr>
    </w:tbl>
    <w:p w14:paraId="2B449D7D" w14:textId="2B52EB95" w:rsidR="00BF1B64" w:rsidRPr="00BF1B64" w:rsidRDefault="00BF1B64" w:rsidP="00BF1B64">
      <w:pPr>
        <w:spacing w:before="120" w:after="120"/>
        <w:ind w:left="709"/>
        <w:rPr>
          <w:rFonts w:ascii="Arial" w:hAnsi="Arial" w:cs="Arial"/>
          <w:b/>
          <w:color w:val="000000"/>
          <w:sz w:val="20"/>
          <w:szCs w:val="20"/>
        </w:rPr>
      </w:pPr>
      <w:r>
        <w:rPr>
          <w:rFonts w:ascii="Arial" w:hAnsi="Arial"/>
          <w:b/>
          <w:color w:val="000000"/>
          <w:sz w:val="20"/>
          <w:szCs w:val="20"/>
        </w:rPr>
        <w:t>Sous-fonds pour le renforcement des capacités humaines du Secrétariat</w:t>
      </w:r>
    </w:p>
    <w:tbl>
      <w:tblPr>
        <w:tblW w:w="8930" w:type="dxa"/>
        <w:tblInd w:w="709" w:type="dxa"/>
        <w:tblLook w:val="04A0" w:firstRow="1" w:lastRow="0" w:firstColumn="1" w:lastColumn="0" w:noHBand="0" w:noVBand="1"/>
      </w:tblPr>
      <w:tblGrid>
        <w:gridCol w:w="6603"/>
        <w:gridCol w:w="2327"/>
      </w:tblGrid>
      <w:tr w:rsidR="00BF1B64" w:rsidRPr="00BF1B64" w14:paraId="5F098E7E" w14:textId="77777777" w:rsidTr="00895E54">
        <w:trPr>
          <w:cantSplit/>
        </w:trPr>
        <w:tc>
          <w:tcPr>
            <w:tcW w:w="6603" w:type="dxa"/>
            <w:vAlign w:val="center"/>
          </w:tcPr>
          <w:p w14:paraId="2ACF0848" w14:textId="1DED1975" w:rsidR="00BF1B64" w:rsidRPr="00BF1B64" w:rsidRDefault="00895E54" w:rsidP="00BF1B64">
            <w:pPr>
              <w:spacing w:before="60" w:after="60"/>
              <w:rPr>
                <w:rFonts w:ascii="Arial" w:hAnsi="Arial" w:cs="Arial"/>
                <w:color w:val="000000"/>
                <w:sz w:val="20"/>
                <w:szCs w:val="20"/>
              </w:rPr>
            </w:pPr>
            <w:r>
              <w:rPr>
                <w:rFonts w:ascii="Arial" w:hAnsi="Arial"/>
                <w:color w:val="000000"/>
                <w:sz w:val="20"/>
                <w:szCs w:val="20"/>
              </w:rPr>
              <w:t>Monaco</w:t>
            </w:r>
          </w:p>
        </w:tc>
        <w:tc>
          <w:tcPr>
            <w:tcW w:w="2327" w:type="dxa"/>
            <w:vAlign w:val="center"/>
          </w:tcPr>
          <w:p w14:paraId="637D754A" w14:textId="391A8B44" w:rsidR="00BF1B64" w:rsidRPr="00BF1B64" w:rsidRDefault="00BF1B64" w:rsidP="00895E54">
            <w:pPr>
              <w:spacing w:before="60" w:after="60"/>
              <w:jc w:val="right"/>
              <w:rPr>
                <w:rFonts w:ascii="Arial" w:hAnsi="Arial" w:cs="Arial"/>
                <w:color w:val="000000"/>
                <w:sz w:val="20"/>
                <w:szCs w:val="20"/>
              </w:rPr>
            </w:pPr>
            <w:r>
              <w:rPr>
                <w:rFonts w:ascii="Arial" w:hAnsi="Arial"/>
                <w:color w:val="000000"/>
                <w:sz w:val="20"/>
                <w:szCs w:val="20"/>
              </w:rPr>
              <w:t>11 376,60 dollars des États-Unis</w:t>
            </w:r>
          </w:p>
        </w:tc>
      </w:tr>
      <w:tr w:rsidR="00BF1B64" w:rsidRPr="00BF1B64" w14:paraId="6C284A13" w14:textId="77777777" w:rsidTr="00895E54">
        <w:trPr>
          <w:cantSplit/>
        </w:trPr>
        <w:tc>
          <w:tcPr>
            <w:tcW w:w="6603" w:type="dxa"/>
            <w:vAlign w:val="center"/>
          </w:tcPr>
          <w:p w14:paraId="0CAC6639" w14:textId="77777777" w:rsidR="00BF1B64" w:rsidRPr="00BF1B64" w:rsidRDefault="00BF1B64" w:rsidP="00BF1B64">
            <w:pPr>
              <w:spacing w:before="60" w:after="60"/>
              <w:rPr>
                <w:rFonts w:ascii="Arial" w:hAnsi="Arial" w:cs="Arial"/>
                <w:color w:val="000000"/>
                <w:sz w:val="20"/>
                <w:szCs w:val="20"/>
              </w:rPr>
            </w:pPr>
            <w:r>
              <w:rPr>
                <w:rFonts w:ascii="Arial" w:hAnsi="Arial"/>
                <w:color w:val="000000"/>
                <w:sz w:val="20"/>
                <w:szCs w:val="20"/>
              </w:rPr>
              <w:t>Monténégro</w:t>
            </w:r>
          </w:p>
        </w:tc>
        <w:tc>
          <w:tcPr>
            <w:tcW w:w="2327" w:type="dxa"/>
            <w:vAlign w:val="center"/>
          </w:tcPr>
          <w:p w14:paraId="4CDA4224" w14:textId="43C11364" w:rsidR="00BF1B64" w:rsidRPr="00BF1B64" w:rsidRDefault="00895E54" w:rsidP="00895E54">
            <w:pPr>
              <w:spacing w:before="60" w:after="60"/>
              <w:jc w:val="right"/>
              <w:rPr>
                <w:rFonts w:ascii="Arial" w:hAnsi="Arial" w:cs="Arial"/>
                <w:color w:val="000000"/>
                <w:sz w:val="20"/>
                <w:szCs w:val="20"/>
                <w:highlight w:val="yellow"/>
              </w:rPr>
            </w:pPr>
            <w:r>
              <w:rPr>
                <w:rFonts w:ascii="Arial" w:hAnsi="Arial"/>
                <w:color w:val="000000"/>
                <w:sz w:val="20"/>
                <w:szCs w:val="20"/>
              </w:rPr>
              <w:t>1 478,96 dollars des États-Unis</w:t>
            </w:r>
          </w:p>
        </w:tc>
      </w:tr>
    </w:tbl>
    <w:p w14:paraId="29E56458" w14:textId="77777777" w:rsidR="00BF1B64" w:rsidRPr="00BF1B64" w:rsidRDefault="00BF1B64" w:rsidP="00BF1B64">
      <w:pPr>
        <w:spacing w:before="360" w:after="60"/>
        <w:rPr>
          <w:rFonts w:ascii="Arial" w:hAnsi="Arial" w:cs="Arial"/>
          <w:b/>
          <w:smallCaps/>
          <w:color w:val="000000"/>
          <w:sz w:val="22"/>
          <w:szCs w:val="22"/>
        </w:rPr>
      </w:pPr>
      <w:r>
        <w:rPr>
          <w:rFonts w:ascii="Arial" w:hAnsi="Arial"/>
          <w:b/>
          <w:smallCaps/>
          <w:color w:val="000000"/>
          <w:sz w:val="22"/>
          <w:szCs w:val="22"/>
        </w:rPr>
        <w:t>Prêts et détachements</w:t>
      </w:r>
    </w:p>
    <w:tbl>
      <w:tblPr>
        <w:tblW w:w="8935" w:type="dxa"/>
        <w:tblInd w:w="709" w:type="dxa"/>
        <w:tblLook w:val="04A0" w:firstRow="1" w:lastRow="0" w:firstColumn="1" w:lastColumn="0" w:noHBand="0" w:noVBand="1"/>
      </w:tblPr>
      <w:tblGrid>
        <w:gridCol w:w="6605"/>
        <w:gridCol w:w="2330"/>
      </w:tblGrid>
      <w:tr w:rsidR="00BF1B64" w:rsidRPr="00BF1B64" w14:paraId="683E2813" w14:textId="77777777" w:rsidTr="00D366EC">
        <w:trPr>
          <w:cantSplit/>
        </w:trPr>
        <w:tc>
          <w:tcPr>
            <w:tcW w:w="6605" w:type="dxa"/>
            <w:vAlign w:val="center"/>
            <w:hideMark/>
          </w:tcPr>
          <w:p w14:paraId="604741EF" w14:textId="77777777" w:rsidR="00BF1B64" w:rsidRPr="00BF1B64" w:rsidRDefault="00BF1B64" w:rsidP="00BF1B64">
            <w:pPr>
              <w:spacing w:before="60" w:after="60"/>
              <w:rPr>
                <w:rFonts w:ascii="Arial" w:hAnsi="Arial" w:cs="Arial"/>
                <w:color w:val="000000"/>
                <w:sz w:val="20"/>
                <w:szCs w:val="20"/>
              </w:rPr>
            </w:pPr>
            <w:r>
              <w:rPr>
                <w:rFonts w:ascii="Arial" w:hAnsi="Arial"/>
                <w:color w:val="000000"/>
                <w:sz w:val="20"/>
                <w:szCs w:val="20"/>
              </w:rPr>
              <w:t>Chine</w:t>
            </w:r>
          </w:p>
        </w:tc>
        <w:tc>
          <w:tcPr>
            <w:tcW w:w="2330" w:type="dxa"/>
            <w:vAlign w:val="center"/>
            <w:hideMark/>
          </w:tcPr>
          <w:p w14:paraId="28B94FFB" w14:textId="5251F893" w:rsidR="00BF1B64" w:rsidRPr="00BF1B64" w:rsidRDefault="00895E54" w:rsidP="00BF1B64">
            <w:pPr>
              <w:spacing w:before="60" w:after="60"/>
              <w:jc w:val="right"/>
              <w:rPr>
                <w:rFonts w:ascii="Arial" w:hAnsi="Arial" w:cs="Arial"/>
                <w:color w:val="000000"/>
                <w:sz w:val="20"/>
                <w:szCs w:val="20"/>
              </w:rPr>
            </w:pPr>
            <w:r>
              <w:rPr>
                <w:rFonts w:ascii="Arial" w:hAnsi="Arial"/>
                <w:color w:val="000000"/>
                <w:sz w:val="20"/>
                <w:szCs w:val="20"/>
              </w:rPr>
              <w:t>2 mois au niveau P-2</w:t>
            </w:r>
          </w:p>
        </w:tc>
      </w:tr>
      <w:tr w:rsidR="00BF1B64" w:rsidRPr="00BF1B64" w14:paraId="790C7ED0" w14:textId="77777777" w:rsidTr="00D366EC">
        <w:trPr>
          <w:cantSplit/>
        </w:trPr>
        <w:tc>
          <w:tcPr>
            <w:tcW w:w="6605" w:type="dxa"/>
            <w:vAlign w:val="center"/>
          </w:tcPr>
          <w:p w14:paraId="65672800" w14:textId="77777777" w:rsidR="00BF1B64" w:rsidRPr="00BF1B64" w:rsidRDefault="00BF1B64" w:rsidP="00BF1B64">
            <w:pPr>
              <w:spacing w:before="60" w:after="60"/>
              <w:rPr>
                <w:rFonts w:ascii="Arial" w:hAnsi="Arial" w:cs="Arial"/>
                <w:color w:val="000000"/>
                <w:sz w:val="20"/>
                <w:szCs w:val="20"/>
              </w:rPr>
            </w:pPr>
            <w:r>
              <w:rPr>
                <w:rFonts w:ascii="Arial" w:hAnsi="Arial"/>
                <w:color w:val="000000"/>
                <w:sz w:val="20"/>
                <w:szCs w:val="20"/>
              </w:rPr>
              <w:t>Singapour</w:t>
            </w:r>
          </w:p>
        </w:tc>
        <w:tc>
          <w:tcPr>
            <w:tcW w:w="2330" w:type="dxa"/>
            <w:vAlign w:val="center"/>
          </w:tcPr>
          <w:p w14:paraId="417678FE" w14:textId="538BB5A6" w:rsidR="00BF1B64" w:rsidRPr="00BF1B64" w:rsidRDefault="00895E54" w:rsidP="00BF1B64">
            <w:pPr>
              <w:spacing w:before="60" w:after="60"/>
              <w:jc w:val="right"/>
              <w:rPr>
                <w:rFonts w:ascii="Arial" w:hAnsi="Arial" w:cs="Arial"/>
                <w:color w:val="000000"/>
                <w:sz w:val="20"/>
                <w:szCs w:val="20"/>
              </w:rPr>
            </w:pPr>
            <w:r>
              <w:rPr>
                <w:rFonts w:ascii="Arial" w:hAnsi="Arial"/>
                <w:color w:val="000000"/>
                <w:sz w:val="20"/>
                <w:szCs w:val="20"/>
              </w:rPr>
              <w:t>10 mois au niveau P-2</w:t>
            </w:r>
          </w:p>
        </w:tc>
      </w:tr>
    </w:tbl>
    <w:p w14:paraId="6F69E9E5" w14:textId="77777777" w:rsidR="00BF1B64" w:rsidRDefault="00BF1B64">
      <w:pPr>
        <w:rPr>
          <w:rFonts w:ascii="Arial" w:hAnsi="Arial" w:cs="Arial"/>
          <w:snapToGrid w:val="0"/>
          <w:sz w:val="22"/>
          <w:szCs w:val="22"/>
          <w:lang w:val="en-GB" w:eastAsia="en-US"/>
        </w:rPr>
      </w:pPr>
    </w:p>
    <w:sectPr w:rsidR="00BF1B64" w:rsidSect="00655736">
      <w:headerReference w:type="even" r:id="rId34"/>
      <w:headerReference w:type="default" r:id="rId35"/>
      <w:headerReference w:type="first" r:id="rId36"/>
      <w:pgSz w:w="11906" w:h="16838" w:code="9"/>
      <w:pgMar w:top="1418" w:right="1134" w:bottom="1134" w:left="1134" w:header="39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7356BB" w14:textId="77777777" w:rsidR="00322A1F" w:rsidRDefault="00322A1F" w:rsidP="00655736">
      <w:r>
        <w:separator/>
      </w:r>
    </w:p>
  </w:endnote>
  <w:endnote w:type="continuationSeparator" w:id="0">
    <w:p w14:paraId="73E4B2AF" w14:textId="77777777" w:rsidR="00322A1F" w:rsidRDefault="00322A1F" w:rsidP="00655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5B3654" w14:textId="77777777" w:rsidR="00322A1F" w:rsidRDefault="00322A1F" w:rsidP="00655736">
      <w:r>
        <w:separator/>
      </w:r>
    </w:p>
  </w:footnote>
  <w:footnote w:type="continuationSeparator" w:id="0">
    <w:p w14:paraId="618B0C39" w14:textId="77777777" w:rsidR="00322A1F" w:rsidRDefault="00322A1F" w:rsidP="00655736">
      <w:r>
        <w:continuationSeparator/>
      </w:r>
    </w:p>
  </w:footnote>
  <w:footnote w:id="1">
    <w:p w14:paraId="312F25C8" w14:textId="24973FCC" w:rsidR="00B15BA2" w:rsidRPr="00BB676A" w:rsidRDefault="00B15BA2" w:rsidP="00B15BA2">
      <w:pPr>
        <w:pStyle w:val="FootnoteText"/>
        <w:rPr>
          <w:rFonts w:ascii="Arial" w:hAnsi="Arial" w:cs="Arial"/>
          <w:sz w:val="18"/>
          <w:szCs w:val="18"/>
        </w:rPr>
      </w:pPr>
      <w:r w:rsidRPr="00954F5B">
        <w:rPr>
          <w:rStyle w:val="FootnoteReference"/>
        </w:rPr>
        <w:footnoteRef/>
      </w:r>
      <w:r w:rsidR="00954F5B" w:rsidRPr="00954F5B">
        <w:rPr>
          <w:vertAlign w:val="superscript"/>
        </w:rPr>
        <w:t>.</w:t>
      </w:r>
      <w:r w:rsidR="00954F5B">
        <w:tab/>
      </w:r>
      <w:r w:rsidRPr="00BB676A">
        <w:rPr>
          <w:rFonts w:ascii="Arial" w:hAnsi="Arial" w:cs="Arial"/>
          <w:sz w:val="18"/>
          <w:szCs w:val="18"/>
        </w:rPr>
        <w:t xml:space="preserve">Voir paragraphe 26 du </w:t>
      </w:r>
      <w:hyperlink r:id="rId1" w:history="1">
        <w:r w:rsidRPr="00954F5B">
          <w:rPr>
            <w:rStyle w:val="Hyperlink"/>
            <w:rFonts w:ascii="Arial" w:hAnsi="Arial" w:cs="Arial"/>
            <w:sz w:val="18"/>
            <w:szCs w:val="18"/>
          </w:rPr>
          <w:t>document</w:t>
        </w:r>
        <w:r w:rsidR="00F9327E">
          <w:rPr>
            <w:rStyle w:val="Hyperlink"/>
            <w:rFonts w:ascii="Arial" w:hAnsi="Arial" w:cs="Arial"/>
            <w:sz w:val="18"/>
            <w:szCs w:val="18"/>
          </w:rPr>
          <w:t> </w:t>
        </w:r>
        <w:r w:rsidRPr="00954F5B">
          <w:rPr>
            <w:rStyle w:val="Hyperlink"/>
            <w:rFonts w:ascii="Arial" w:hAnsi="Arial" w:cs="Arial"/>
            <w:sz w:val="18"/>
            <w:szCs w:val="18"/>
          </w:rPr>
          <w:t>LHE/19/14.COM/7</w:t>
        </w:r>
      </w:hyperlink>
    </w:p>
    <w:p w14:paraId="420C5FAB" w14:textId="0A85B75D" w:rsidR="00B15BA2" w:rsidRDefault="00B15BA2">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D2C850" w14:textId="73C22481" w:rsidR="000177B2" w:rsidRPr="00C23A97" w:rsidRDefault="000177B2" w:rsidP="00C5776D">
    <w:pPr>
      <w:pStyle w:val="Header"/>
      <w:rPr>
        <w:rFonts w:ascii="Arial" w:hAnsi="Arial" w:cs="Arial"/>
      </w:rPr>
    </w:pPr>
    <w:r>
      <w:rPr>
        <w:rFonts w:ascii="Arial" w:hAnsi="Arial"/>
        <w:sz w:val="20"/>
        <w:szCs w:val="20"/>
      </w:rPr>
      <w:t>LHE/19/14.COM/6</w:t>
    </w:r>
    <w:r w:rsidR="000F5E79">
      <w:rPr>
        <w:rFonts w:ascii="Arial" w:hAnsi="Arial"/>
        <w:sz w:val="20"/>
        <w:szCs w:val="20"/>
      </w:rPr>
      <w:t xml:space="preserve"> </w:t>
    </w:r>
    <w:proofErr w:type="spellStart"/>
    <w:r w:rsidR="000F5E79">
      <w:rPr>
        <w:rFonts w:ascii="Arial" w:hAnsi="Arial"/>
        <w:sz w:val="20"/>
        <w:szCs w:val="20"/>
      </w:rPr>
      <w:t>Rev</w:t>
    </w:r>
    <w:proofErr w:type="spellEnd"/>
    <w:r w:rsidR="000F5E79">
      <w:rPr>
        <w:rFonts w:ascii="Arial" w:hAnsi="Arial"/>
        <w:sz w:val="20"/>
        <w:szCs w:val="20"/>
      </w:rPr>
      <w:t>.</w:t>
    </w:r>
    <w:r>
      <w:rPr>
        <w:rFonts w:ascii="Arial" w:hAnsi="Arial"/>
        <w:sz w:val="20"/>
        <w:szCs w:val="20"/>
      </w:rPr>
      <w:t xml:space="preserve"> – page </w:t>
    </w:r>
    <w:r w:rsidRPr="00C23A97">
      <w:rPr>
        <w:rStyle w:val="PageNumber"/>
        <w:rFonts w:ascii="Arial" w:hAnsi="Arial" w:cs="Arial"/>
        <w:sz w:val="20"/>
        <w:szCs w:val="20"/>
      </w:rPr>
      <w:fldChar w:fldCharType="begin"/>
    </w:r>
    <w:r w:rsidRPr="00C23A97">
      <w:rPr>
        <w:rStyle w:val="PageNumber"/>
        <w:rFonts w:ascii="Arial" w:hAnsi="Arial" w:cs="Arial"/>
        <w:sz w:val="20"/>
        <w:szCs w:val="20"/>
      </w:rPr>
      <w:instrText xml:space="preserve"> PAGE </w:instrText>
    </w:r>
    <w:r w:rsidRPr="00C23A97">
      <w:rPr>
        <w:rStyle w:val="PageNumber"/>
        <w:rFonts w:ascii="Arial" w:hAnsi="Arial" w:cs="Arial"/>
        <w:sz w:val="20"/>
        <w:szCs w:val="20"/>
      </w:rPr>
      <w:fldChar w:fldCharType="separate"/>
    </w:r>
    <w:r w:rsidR="00F915B7">
      <w:rPr>
        <w:rStyle w:val="PageNumber"/>
        <w:rFonts w:ascii="Arial" w:hAnsi="Arial" w:cs="Arial"/>
        <w:noProof/>
        <w:sz w:val="20"/>
        <w:szCs w:val="20"/>
      </w:rPr>
      <w:t>4</w:t>
    </w:r>
    <w:r w:rsidRPr="00C23A97">
      <w:rPr>
        <w:rStyle w:val="PageNumber"/>
        <w:rFonts w:ascii="Arial" w:hAnsi="Arial" w:cs="Arial"/>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9E58E1" w14:textId="567A0267" w:rsidR="000177B2" w:rsidRPr="0063300C" w:rsidRDefault="000177B2" w:rsidP="00C5776D">
    <w:pPr>
      <w:pStyle w:val="Header"/>
      <w:jc w:val="right"/>
      <w:rPr>
        <w:rFonts w:ascii="Arial" w:hAnsi="Arial" w:cs="Arial"/>
      </w:rPr>
    </w:pPr>
    <w:r>
      <w:rPr>
        <w:rFonts w:ascii="Arial" w:hAnsi="Arial"/>
        <w:sz w:val="20"/>
        <w:szCs w:val="20"/>
      </w:rPr>
      <w:t>LHE/19/14.COM/6</w:t>
    </w:r>
    <w:r w:rsidR="000F5E79">
      <w:rPr>
        <w:rFonts w:ascii="Arial" w:hAnsi="Arial"/>
        <w:sz w:val="20"/>
        <w:szCs w:val="20"/>
      </w:rPr>
      <w:t xml:space="preserve"> </w:t>
    </w:r>
    <w:proofErr w:type="spellStart"/>
    <w:r w:rsidR="000F5E79">
      <w:rPr>
        <w:rFonts w:ascii="Arial" w:hAnsi="Arial"/>
        <w:sz w:val="20"/>
        <w:szCs w:val="20"/>
      </w:rPr>
      <w:t>Rev</w:t>
    </w:r>
    <w:proofErr w:type="spellEnd"/>
    <w:r w:rsidR="000F5E79">
      <w:rPr>
        <w:rFonts w:ascii="Arial" w:hAnsi="Arial"/>
        <w:sz w:val="20"/>
        <w:szCs w:val="20"/>
      </w:rPr>
      <w:t>.</w:t>
    </w:r>
    <w:r>
      <w:rPr>
        <w:rFonts w:ascii="Arial" w:hAnsi="Arial"/>
        <w:sz w:val="20"/>
        <w:szCs w:val="20"/>
      </w:rPr>
      <w:t xml:space="preserve"> – page </w:t>
    </w:r>
    <w:r w:rsidRPr="0063300C">
      <w:rPr>
        <w:rStyle w:val="PageNumber"/>
        <w:rFonts w:ascii="Arial" w:hAnsi="Arial" w:cs="Arial"/>
        <w:sz w:val="20"/>
        <w:szCs w:val="20"/>
      </w:rPr>
      <w:fldChar w:fldCharType="begin"/>
    </w:r>
    <w:r w:rsidRPr="0063300C">
      <w:rPr>
        <w:rStyle w:val="PageNumber"/>
        <w:rFonts w:ascii="Arial" w:hAnsi="Arial" w:cs="Arial"/>
        <w:sz w:val="20"/>
        <w:szCs w:val="20"/>
      </w:rPr>
      <w:instrText xml:space="preserve"> PAGE </w:instrText>
    </w:r>
    <w:r w:rsidRPr="0063300C">
      <w:rPr>
        <w:rStyle w:val="PageNumber"/>
        <w:rFonts w:ascii="Arial" w:hAnsi="Arial" w:cs="Arial"/>
        <w:sz w:val="20"/>
        <w:szCs w:val="20"/>
      </w:rPr>
      <w:fldChar w:fldCharType="separate"/>
    </w:r>
    <w:r w:rsidR="00F915B7">
      <w:rPr>
        <w:rStyle w:val="PageNumber"/>
        <w:rFonts w:ascii="Arial" w:hAnsi="Arial" w:cs="Arial"/>
        <w:noProof/>
        <w:sz w:val="20"/>
        <w:szCs w:val="20"/>
      </w:rPr>
      <w:t>7</w:t>
    </w:r>
    <w:r w:rsidRPr="0063300C">
      <w:rPr>
        <w:rStyle w:val="PageNumber"/>
        <w:rFonts w:ascii="Arial" w:hAnsi="Arial" w:cs="Arial"/>
        <w:sz w:val="20"/>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ADBB20" w14:textId="10D81C18" w:rsidR="000177B2" w:rsidRPr="00E95AE2" w:rsidRDefault="0049553C">
    <w:pPr>
      <w:pStyle w:val="Header"/>
      <w:rPr>
        <w:sz w:val="22"/>
        <w:szCs w:val="22"/>
      </w:rPr>
    </w:pPr>
    <w:r>
      <w:rPr>
        <w:noProof/>
      </w:rPr>
      <w:drawing>
        <wp:anchor distT="0" distB="0" distL="114300" distR="114300" simplePos="0" relativeHeight="251659776" behindDoc="0" locked="0" layoutInCell="1" allowOverlap="1" wp14:anchorId="681DCB37" wp14:editId="50868BFD">
          <wp:simplePos x="0" y="0"/>
          <wp:positionH relativeFrom="page">
            <wp:posOffset>343535</wp:posOffset>
          </wp:positionH>
          <wp:positionV relativeFrom="page">
            <wp:posOffset>238125</wp:posOffset>
          </wp:positionV>
          <wp:extent cx="2037600" cy="1530000"/>
          <wp:effectExtent l="0" t="0" r="1270" b="0"/>
          <wp:wrapNone/>
          <wp:docPr id="2" name="Picture 15" descr="unesco_logo_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unesco_logo_f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7600" cy="1530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F09E34" w14:textId="77777777" w:rsidR="000177B2" w:rsidRPr="00F30DC6" w:rsidRDefault="000177B2" w:rsidP="00C5776D">
    <w:pPr>
      <w:pStyle w:val="Header"/>
      <w:spacing w:after="520"/>
      <w:jc w:val="right"/>
      <w:rPr>
        <w:rFonts w:ascii="Arial" w:hAnsi="Arial" w:cs="Arial"/>
        <w:b/>
        <w:sz w:val="44"/>
        <w:szCs w:val="44"/>
      </w:rPr>
    </w:pPr>
    <w:r>
      <w:rPr>
        <w:rFonts w:ascii="Arial" w:hAnsi="Arial"/>
        <w:b/>
        <w:sz w:val="44"/>
        <w:szCs w:val="44"/>
      </w:rPr>
      <w:t>14 COM</w:t>
    </w:r>
  </w:p>
  <w:p w14:paraId="7BF21A16" w14:textId="59DCAD6D" w:rsidR="000177B2" w:rsidRPr="009D5428" w:rsidRDefault="000177B2" w:rsidP="00C5776D">
    <w:pPr>
      <w:jc w:val="right"/>
      <w:rPr>
        <w:rFonts w:ascii="Arial" w:hAnsi="Arial" w:cs="Arial"/>
        <w:b/>
        <w:sz w:val="22"/>
        <w:szCs w:val="22"/>
      </w:rPr>
    </w:pPr>
    <w:r>
      <w:rPr>
        <w:rFonts w:ascii="Arial" w:hAnsi="Arial"/>
        <w:b/>
        <w:sz w:val="22"/>
        <w:szCs w:val="22"/>
      </w:rPr>
      <w:t>LHE/19/14.COM/6</w:t>
    </w:r>
    <w:r w:rsidR="000F5E79">
      <w:rPr>
        <w:rFonts w:ascii="Arial" w:hAnsi="Arial"/>
        <w:b/>
        <w:sz w:val="22"/>
        <w:szCs w:val="22"/>
      </w:rPr>
      <w:t xml:space="preserve"> </w:t>
    </w:r>
    <w:proofErr w:type="spellStart"/>
    <w:r w:rsidR="000F5E79">
      <w:rPr>
        <w:rFonts w:ascii="Arial" w:hAnsi="Arial"/>
        <w:b/>
        <w:sz w:val="22"/>
        <w:szCs w:val="22"/>
      </w:rPr>
      <w:t>Rev</w:t>
    </w:r>
    <w:proofErr w:type="spellEnd"/>
    <w:r w:rsidR="000F5E79">
      <w:rPr>
        <w:rFonts w:ascii="Arial" w:hAnsi="Arial"/>
        <w:b/>
        <w:sz w:val="22"/>
        <w:szCs w:val="22"/>
      </w:rPr>
      <w:t>.</w:t>
    </w:r>
  </w:p>
  <w:p w14:paraId="11DFBF19" w14:textId="32627892" w:rsidR="000177B2" w:rsidRPr="00337CEB" w:rsidRDefault="00CD0C99" w:rsidP="00655736">
    <w:pPr>
      <w:jc w:val="right"/>
      <w:rPr>
        <w:rFonts w:ascii="Arial" w:eastAsiaTheme="minorEastAsia" w:hAnsi="Arial" w:cs="Arial"/>
        <w:b/>
        <w:sz w:val="22"/>
        <w:szCs w:val="22"/>
      </w:rPr>
    </w:pPr>
    <w:r>
      <w:rPr>
        <w:rFonts w:ascii="Arial" w:hAnsi="Arial"/>
        <w:b/>
        <w:sz w:val="22"/>
        <w:szCs w:val="22"/>
      </w:rPr>
      <w:t xml:space="preserve">Paris, le </w:t>
    </w:r>
    <w:r w:rsidR="000F5E79">
      <w:rPr>
        <w:rFonts w:ascii="Arial" w:hAnsi="Arial"/>
        <w:b/>
        <w:sz w:val="22"/>
        <w:szCs w:val="22"/>
      </w:rPr>
      <w:t>1</w:t>
    </w:r>
    <w:r w:rsidR="0057305E">
      <w:rPr>
        <w:rFonts w:ascii="Arial" w:hAnsi="Arial"/>
        <w:b/>
        <w:sz w:val="22"/>
        <w:szCs w:val="22"/>
      </w:rPr>
      <w:t>8</w:t>
    </w:r>
    <w:r w:rsidR="000F5E79">
      <w:rPr>
        <w:rFonts w:ascii="Arial" w:hAnsi="Arial"/>
        <w:b/>
        <w:sz w:val="22"/>
        <w:szCs w:val="22"/>
      </w:rPr>
      <w:t xml:space="preserve"> </w:t>
    </w:r>
    <w:r>
      <w:rPr>
        <w:rFonts w:ascii="Arial" w:hAnsi="Arial"/>
        <w:b/>
        <w:sz w:val="22"/>
        <w:szCs w:val="22"/>
      </w:rPr>
      <w:t xml:space="preserve">novembre </w:t>
    </w:r>
    <w:r w:rsidR="000177B2">
      <w:rPr>
        <w:rFonts w:ascii="Arial" w:hAnsi="Arial"/>
        <w:b/>
        <w:sz w:val="22"/>
        <w:szCs w:val="22"/>
      </w:rPr>
      <w:t>2019</w:t>
    </w:r>
  </w:p>
  <w:p w14:paraId="4FB2D45C" w14:textId="77777777" w:rsidR="000177B2" w:rsidRPr="00F32C23" w:rsidRDefault="000177B2" w:rsidP="000048ED">
    <w:pPr>
      <w:jc w:val="right"/>
      <w:rPr>
        <w:rFonts w:ascii="Arial" w:hAnsi="Arial" w:cs="Arial"/>
        <w:b/>
        <w:sz w:val="22"/>
        <w:szCs w:val="22"/>
      </w:rPr>
    </w:pPr>
    <w:r>
      <w:rPr>
        <w:rFonts w:ascii="Arial" w:hAnsi="Arial"/>
        <w:b/>
        <w:sz w:val="22"/>
        <w:szCs w:val="22"/>
      </w:rPr>
      <w:t>Original : anglais</w:t>
    </w:r>
  </w:p>
  <w:p w14:paraId="1A89A2B1" w14:textId="77777777" w:rsidR="000177B2" w:rsidRPr="00CD0C99" w:rsidRDefault="000177B2">
    <w:pPr>
      <w:pStyle w:val="Header"/>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81F5C"/>
    <w:multiLevelType w:val="hybridMultilevel"/>
    <w:tmpl w:val="AE0694E4"/>
    <w:lvl w:ilvl="0" w:tplc="A5B6CC14">
      <w:start w:val="1"/>
      <w:numFmt w:val="upperLetter"/>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 w15:restartNumberingAfterBreak="0">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2" w15:restartNumberingAfterBreak="0">
    <w:nsid w:val="1A236CEC"/>
    <w:multiLevelType w:val="hybridMultilevel"/>
    <w:tmpl w:val="BFC0AF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C075DAB"/>
    <w:multiLevelType w:val="hybridMultilevel"/>
    <w:tmpl w:val="5804FE3C"/>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4" w15:restartNumberingAfterBreak="0">
    <w:nsid w:val="1EC52FED"/>
    <w:multiLevelType w:val="hybridMultilevel"/>
    <w:tmpl w:val="7624C5E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35F07BFE"/>
    <w:multiLevelType w:val="hybridMultilevel"/>
    <w:tmpl w:val="C3681114"/>
    <w:lvl w:ilvl="0" w:tplc="6C36E7E0">
      <w:start w:val="1"/>
      <w:numFmt w:val="decimal"/>
      <w:pStyle w:val="COMPara"/>
      <w:lvlText w:val="%1."/>
      <w:lvlJc w:val="left"/>
      <w:pPr>
        <w:ind w:left="720" w:hanging="360"/>
      </w:pPr>
      <w:rPr>
        <w:rFonts w:ascii="Arial" w:hAnsi="Arial" w:cs="Arial" w:hint="default"/>
        <w:b w:val="0"/>
        <w:sz w:val="22"/>
        <w:szCs w:val="22"/>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36854BE1"/>
    <w:multiLevelType w:val="hybridMultilevel"/>
    <w:tmpl w:val="8766C2DA"/>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7" w15:restartNumberingAfterBreak="0">
    <w:nsid w:val="397A4DB1"/>
    <w:multiLevelType w:val="hybridMultilevel"/>
    <w:tmpl w:val="1F36D964"/>
    <w:lvl w:ilvl="0" w:tplc="918ACE6A">
      <w:start w:val="1"/>
      <w:numFmt w:val="decimal"/>
      <w:pStyle w:val="COMParaDecision"/>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8" w15:restartNumberingAfterBreak="0">
    <w:nsid w:val="3AC30BD2"/>
    <w:multiLevelType w:val="hybridMultilevel"/>
    <w:tmpl w:val="2F02E984"/>
    <w:lvl w:ilvl="0" w:tplc="DFC65752">
      <w:start w:val="1"/>
      <w:numFmt w:val="upperRoman"/>
      <w:pStyle w:val="Heading4"/>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41E410AE"/>
    <w:multiLevelType w:val="hybridMultilevel"/>
    <w:tmpl w:val="FC284EC2"/>
    <w:lvl w:ilvl="0" w:tplc="DD9A1A16">
      <w:start w:val="1"/>
      <w:numFmt w:val="decimal"/>
      <w:lvlText w:val="%1."/>
      <w:lvlJc w:val="left"/>
      <w:pPr>
        <w:ind w:left="1779" w:hanging="360"/>
      </w:pPr>
      <w:rPr>
        <w:rFonts w:hint="default"/>
        <w:u w:val="single"/>
      </w:rPr>
    </w:lvl>
    <w:lvl w:ilvl="1" w:tplc="040C0019" w:tentative="1">
      <w:start w:val="1"/>
      <w:numFmt w:val="lowerLetter"/>
      <w:lvlText w:val="%2."/>
      <w:lvlJc w:val="left"/>
      <w:pPr>
        <w:ind w:left="2499" w:hanging="360"/>
      </w:pPr>
    </w:lvl>
    <w:lvl w:ilvl="2" w:tplc="040C001B" w:tentative="1">
      <w:start w:val="1"/>
      <w:numFmt w:val="lowerRoman"/>
      <w:lvlText w:val="%3."/>
      <w:lvlJc w:val="right"/>
      <w:pPr>
        <w:ind w:left="3219" w:hanging="180"/>
      </w:pPr>
    </w:lvl>
    <w:lvl w:ilvl="3" w:tplc="040C000F" w:tentative="1">
      <w:start w:val="1"/>
      <w:numFmt w:val="decimal"/>
      <w:lvlText w:val="%4."/>
      <w:lvlJc w:val="left"/>
      <w:pPr>
        <w:ind w:left="3939" w:hanging="360"/>
      </w:pPr>
    </w:lvl>
    <w:lvl w:ilvl="4" w:tplc="040C0019" w:tentative="1">
      <w:start w:val="1"/>
      <w:numFmt w:val="lowerLetter"/>
      <w:lvlText w:val="%5."/>
      <w:lvlJc w:val="left"/>
      <w:pPr>
        <w:ind w:left="4659" w:hanging="360"/>
      </w:pPr>
    </w:lvl>
    <w:lvl w:ilvl="5" w:tplc="040C001B" w:tentative="1">
      <w:start w:val="1"/>
      <w:numFmt w:val="lowerRoman"/>
      <w:lvlText w:val="%6."/>
      <w:lvlJc w:val="right"/>
      <w:pPr>
        <w:ind w:left="5379" w:hanging="180"/>
      </w:pPr>
    </w:lvl>
    <w:lvl w:ilvl="6" w:tplc="040C000F" w:tentative="1">
      <w:start w:val="1"/>
      <w:numFmt w:val="decimal"/>
      <w:lvlText w:val="%7."/>
      <w:lvlJc w:val="left"/>
      <w:pPr>
        <w:ind w:left="6099" w:hanging="360"/>
      </w:pPr>
    </w:lvl>
    <w:lvl w:ilvl="7" w:tplc="040C0019" w:tentative="1">
      <w:start w:val="1"/>
      <w:numFmt w:val="lowerLetter"/>
      <w:lvlText w:val="%8."/>
      <w:lvlJc w:val="left"/>
      <w:pPr>
        <w:ind w:left="6819" w:hanging="360"/>
      </w:pPr>
    </w:lvl>
    <w:lvl w:ilvl="8" w:tplc="040C001B" w:tentative="1">
      <w:start w:val="1"/>
      <w:numFmt w:val="lowerRoman"/>
      <w:lvlText w:val="%9."/>
      <w:lvlJc w:val="right"/>
      <w:pPr>
        <w:ind w:left="7539" w:hanging="180"/>
      </w:pPr>
    </w:lvl>
  </w:abstractNum>
  <w:abstractNum w:abstractNumId="10" w15:restartNumberingAfterBreak="0">
    <w:nsid w:val="44EA799B"/>
    <w:multiLevelType w:val="hybridMultilevel"/>
    <w:tmpl w:val="E29C370C"/>
    <w:lvl w:ilvl="0" w:tplc="717C0AE2">
      <w:start w:val="15"/>
      <w:numFmt w:val="bullet"/>
      <w:lvlText w:val="-"/>
      <w:lvlJc w:val="left"/>
      <w:pPr>
        <w:ind w:left="1494" w:hanging="360"/>
      </w:pPr>
      <w:rPr>
        <w:rFonts w:ascii="Arial" w:eastAsia="Times New Roman" w:hAnsi="Arial" w:cs="Arial"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11" w15:restartNumberingAfterBreak="0">
    <w:nsid w:val="5E8D1B1F"/>
    <w:multiLevelType w:val="hybridMultilevel"/>
    <w:tmpl w:val="6F1A9FD8"/>
    <w:lvl w:ilvl="0" w:tplc="74FC4D14">
      <w:start w:val="1"/>
      <w:numFmt w:val="decimal"/>
      <w:lvlText w:val="%1."/>
      <w:lvlJc w:val="left"/>
      <w:pPr>
        <w:ind w:left="720" w:hanging="360"/>
      </w:pPr>
      <w:rPr>
        <w:b w:val="0"/>
      </w:rPr>
    </w:lvl>
    <w:lvl w:ilvl="1" w:tplc="040C0001">
      <w:start w:val="1"/>
      <w:numFmt w:val="bullet"/>
      <w:lvlText w:val=""/>
      <w:lvlJc w:val="left"/>
      <w:pPr>
        <w:ind w:left="1440" w:hanging="360"/>
      </w:pPr>
      <w:rPr>
        <w:rFonts w:ascii="Symbol" w:hAnsi="Symbol" w:hint="default"/>
      </w:r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5ECD35B7"/>
    <w:multiLevelType w:val="hybridMultilevel"/>
    <w:tmpl w:val="E40E8992"/>
    <w:lvl w:ilvl="0" w:tplc="040C000F">
      <w:start w:val="1"/>
      <w:numFmt w:val="decimal"/>
      <w:lvlText w:val="%1."/>
      <w:lvlJc w:val="left"/>
      <w:pPr>
        <w:ind w:left="1353" w:hanging="360"/>
      </w:pPr>
      <w:rPr>
        <w:rFonts w:hint="default"/>
      </w:rPr>
    </w:lvl>
    <w:lvl w:ilvl="1" w:tplc="040C0019">
      <w:start w:val="1"/>
      <w:numFmt w:val="lowerLetter"/>
      <w:lvlText w:val="%2."/>
      <w:lvlJc w:val="left"/>
      <w:pPr>
        <w:ind w:left="2073" w:hanging="360"/>
      </w:pPr>
    </w:lvl>
    <w:lvl w:ilvl="2" w:tplc="040C001B" w:tentative="1">
      <w:start w:val="1"/>
      <w:numFmt w:val="lowerRoman"/>
      <w:lvlText w:val="%3."/>
      <w:lvlJc w:val="right"/>
      <w:pPr>
        <w:ind w:left="2793" w:hanging="180"/>
      </w:pPr>
    </w:lvl>
    <w:lvl w:ilvl="3" w:tplc="040C000F" w:tentative="1">
      <w:start w:val="1"/>
      <w:numFmt w:val="decimal"/>
      <w:lvlText w:val="%4."/>
      <w:lvlJc w:val="left"/>
      <w:pPr>
        <w:ind w:left="3513" w:hanging="360"/>
      </w:pPr>
    </w:lvl>
    <w:lvl w:ilvl="4" w:tplc="040C0019" w:tentative="1">
      <w:start w:val="1"/>
      <w:numFmt w:val="lowerLetter"/>
      <w:lvlText w:val="%5."/>
      <w:lvlJc w:val="left"/>
      <w:pPr>
        <w:ind w:left="4233" w:hanging="360"/>
      </w:pPr>
    </w:lvl>
    <w:lvl w:ilvl="5" w:tplc="040C001B" w:tentative="1">
      <w:start w:val="1"/>
      <w:numFmt w:val="lowerRoman"/>
      <w:lvlText w:val="%6."/>
      <w:lvlJc w:val="right"/>
      <w:pPr>
        <w:ind w:left="4953" w:hanging="180"/>
      </w:pPr>
    </w:lvl>
    <w:lvl w:ilvl="6" w:tplc="040C000F" w:tentative="1">
      <w:start w:val="1"/>
      <w:numFmt w:val="decimal"/>
      <w:lvlText w:val="%7."/>
      <w:lvlJc w:val="left"/>
      <w:pPr>
        <w:ind w:left="5673" w:hanging="360"/>
      </w:pPr>
    </w:lvl>
    <w:lvl w:ilvl="7" w:tplc="040C0019" w:tentative="1">
      <w:start w:val="1"/>
      <w:numFmt w:val="lowerLetter"/>
      <w:lvlText w:val="%8."/>
      <w:lvlJc w:val="left"/>
      <w:pPr>
        <w:ind w:left="6393" w:hanging="360"/>
      </w:pPr>
    </w:lvl>
    <w:lvl w:ilvl="8" w:tplc="040C001B" w:tentative="1">
      <w:start w:val="1"/>
      <w:numFmt w:val="lowerRoman"/>
      <w:lvlText w:val="%9."/>
      <w:lvlJc w:val="right"/>
      <w:pPr>
        <w:ind w:left="7113" w:hanging="180"/>
      </w:pPr>
    </w:lvl>
  </w:abstractNum>
  <w:abstractNum w:abstractNumId="13" w15:restartNumberingAfterBreak="0">
    <w:nsid w:val="66D826C3"/>
    <w:multiLevelType w:val="hybridMultilevel"/>
    <w:tmpl w:val="68B8CC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72283E26"/>
    <w:multiLevelType w:val="hybridMultilevel"/>
    <w:tmpl w:val="D786D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962713E"/>
    <w:multiLevelType w:val="hybridMultilevel"/>
    <w:tmpl w:val="35E27E5A"/>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2"/>
  </w:num>
  <w:num w:numId="2">
    <w:abstractNumId w:val="6"/>
  </w:num>
  <w:num w:numId="3">
    <w:abstractNumId w:val="3"/>
  </w:num>
  <w:num w:numId="4">
    <w:abstractNumId w:val="15"/>
  </w:num>
  <w:num w:numId="5">
    <w:abstractNumId w:val="13"/>
  </w:num>
  <w:num w:numId="6">
    <w:abstractNumId w:val="1"/>
  </w:num>
  <w:num w:numId="7">
    <w:abstractNumId w:val="4"/>
  </w:num>
  <w:num w:numId="8">
    <w:abstractNumId w:val="10"/>
  </w:num>
  <w:num w:numId="9">
    <w:abstractNumId w:val="5"/>
  </w:num>
  <w:num w:numId="10">
    <w:abstractNumId w:val="7"/>
  </w:num>
  <w:num w:numId="11">
    <w:abstractNumId w:val="9"/>
  </w:num>
  <w:num w:numId="12">
    <w:abstractNumId w:val="8"/>
  </w:num>
  <w:num w:numId="13">
    <w:abstractNumId w:val="5"/>
    <w:lvlOverride w:ilvl="0">
      <w:startOverride w:val="1"/>
    </w:lvlOverride>
  </w:num>
  <w:num w:numId="14">
    <w:abstractNumId w:val="0"/>
  </w:num>
  <w:num w:numId="15">
    <w:abstractNumId w:val="2"/>
  </w:num>
  <w:num w:numId="16">
    <w:abstractNumId w:val="14"/>
  </w:num>
  <w:num w:numId="17">
    <w:abstractNumId w:val="5"/>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FR" w:vendorID="64" w:dllVersion="131078" w:nlCheck="1" w:checkStyle="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evenAndOddHeaders/>
  <w:characterSpacingControl w:val="doNotCompress"/>
  <w:hdrShapeDefaults>
    <o:shapedefaults v:ext="edit" spidmax="2457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0542"/>
    <w:rsid w:val="00002DD8"/>
    <w:rsid w:val="0000390F"/>
    <w:rsid w:val="000048ED"/>
    <w:rsid w:val="00016F40"/>
    <w:rsid w:val="000177B2"/>
    <w:rsid w:val="000255A7"/>
    <w:rsid w:val="0003327C"/>
    <w:rsid w:val="00036885"/>
    <w:rsid w:val="00041A66"/>
    <w:rsid w:val="000449E6"/>
    <w:rsid w:val="0005176E"/>
    <w:rsid w:val="00060250"/>
    <w:rsid w:val="00066EDC"/>
    <w:rsid w:val="00067ACD"/>
    <w:rsid w:val="00071C47"/>
    <w:rsid w:val="00074588"/>
    <w:rsid w:val="000765F7"/>
    <w:rsid w:val="00077AB7"/>
    <w:rsid w:val="00081CD8"/>
    <w:rsid w:val="00085BDB"/>
    <w:rsid w:val="000A7F0E"/>
    <w:rsid w:val="000B1C8F"/>
    <w:rsid w:val="000C0D61"/>
    <w:rsid w:val="000D5EC6"/>
    <w:rsid w:val="000D60A4"/>
    <w:rsid w:val="000E22A7"/>
    <w:rsid w:val="000E4FC3"/>
    <w:rsid w:val="000F3A3F"/>
    <w:rsid w:val="000F576B"/>
    <w:rsid w:val="000F5E79"/>
    <w:rsid w:val="00102557"/>
    <w:rsid w:val="00114C55"/>
    <w:rsid w:val="00123C5E"/>
    <w:rsid w:val="00131C44"/>
    <w:rsid w:val="00142B8D"/>
    <w:rsid w:val="00164D56"/>
    <w:rsid w:val="00166760"/>
    <w:rsid w:val="00167B10"/>
    <w:rsid w:val="001714D2"/>
    <w:rsid w:val="0017402F"/>
    <w:rsid w:val="001871D4"/>
    <w:rsid w:val="0019456B"/>
    <w:rsid w:val="00196C1B"/>
    <w:rsid w:val="001B0F73"/>
    <w:rsid w:val="001B1A7F"/>
    <w:rsid w:val="001B47F7"/>
    <w:rsid w:val="001C2DB7"/>
    <w:rsid w:val="001C41D1"/>
    <w:rsid w:val="001D14FE"/>
    <w:rsid w:val="001D5C04"/>
    <w:rsid w:val="001D7B23"/>
    <w:rsid w:val="001F26CF"/>
    <w:rsid w:val="001F3BEC"/>
    <w:rsid w:val="001F42C3"/>
    <w:rsid w:val="001F7482"/>
    <w:rsid w:val="001F7E02"/>
    <w:rsid w:val="00202F90"/>
    <w:rsid w:val="0022012B"/>
    <w:rsid w:val="00222A2D"/>
    <w:rsid w:val="00223029"/>
    <w:rsid w:val="00234745"/>
    <w:rsid w:val="002351A6"/>
    <w:rsid w:val="002407AF"/>
    <w:rsid w:val="002719D0"/>
    <w:rsid w:val="0027466B"/>
    <w:rsid w:val="002831D4"/>
    <w:rsid w:val="002838A5"/>
    <w:rsid w:val="002841CE"/>
    <w:rsid w:val="00285BB4"/>
    <w:rsid w:val="002904D7"/>
    <w:rsid w:val="00291D2F"/>
    <w:rsid w:val="002B2453"/>
    <w:rsid w:val="002B4C2E"/>
    <w:rsid w:val="002C09E3"/>
    <w:rsid w:val="002D663B"/>
    <w:rsid w:val="002E081E"/>
    <w:rsid w:val="002F6363"/>
    <w:rsid w:val="00322A1F"/>
    <w:rsid w:val="00337CEB"/>
    <w:rsid w:val="00341E01"/>
    <w:rsid w:val="00344B58"/>
    <w:rsid w:val="0034539A"/>
    <w:rsid w:val="00345CB4"/>
    <w:rsid w:val="003610B8"/>
    <w:rsid w:val="0037409B"/>
    <w:rsid w:val="00375D42"/>
    <w:rsid w:val="00377847"/>
    <w:rsid w:val="00382A34"/>
    <w:rsid w:val="003B7E18"/>
    <w:rsid w:val="003C2BC0"/>
    <w:rsid w:val="003C3703"/>
    <w:rsid w:val="003C63DB"/>
    <w:rsid w:val="003D069C"/>
    <w:rsid w:val="003D4488"/>
    <w:rsid w:val="003D4BE8"/>
    <w:rsid w:val="003D7646"/>
    <w:rsid w:val="003E273F"/>
    <w:rsid w:val="003F113A"/>
    <w:rsid w:val="003F3E63"/>
    <w:rsid w:val="00407480"/>
    <w:rsid w:val="00407CB8"/>
    <w:rsid w:val="00410A4F"/>
    <w:rsid w:val="00414643"/>
    <w:rsid w:val="00434A1C"/>
    <w:rsid w:val="0043764C"/>
    <w:rsid w:val="004421E5"/>
    <w:rsid w:val="00451E3D"/>
    <w:rsid w:val="004520F6"/>
    <w:rsid w:val="00452284"/>
    <w:rsid w:val="004525A9"/>
    <w:rsid w:val="00457C8E"/>
    <w:rsid w:val="004608CE"/>
    <w:rsid w:val="00473148"/>
    <w:rsid w:val="00476800"/>
    <w:rsid w:val="004773A9"/>
    <w:rsid w:val="00480D38"/>
    <w:rsid w:val="004856CA"/>
    <w:rsid w:val="00487E67"/>
    <w:rsid w:val="0049553C"/>
    <w:rsid w:val="0049705E"/>
    <w:rsid w:val="00497E7F"/>
    <w:rsid w:val="004A185A"/>
    <w:rsid w:val="004A34A0"/>
    <w:rsid w:val="004D50B2"/>
    <w:rsid w:val="004D5EC8"/>
    <w:rsid w:val="004E0E9E"/>
    <w:rsid w:val="004E2857"/>
    <w:rsid w:val="004E4787"/>
    <w:rsid w:val="004F24DD"/>
    <w:rsid w:val="005008A8"/>
    <w:rsid w:val="00510AE2"/>
    <w:rsid w:val="005222A0"/>
    <w:rsid w:val="00525C98"/>
    <w:rsid w:val="00526B7B"/>
    <w:rsid w:val="005308CE"/>
    <w:rsid w:val="0053318C"/>
    <w:rsid w:val="00536CF1"/>
    <w:rsid w:val="00544C71"/>
    <w:rsid w:val="00552592"/>
    <w:rsid w:val="00557235"/>
    <w:rsid w:val="00561DD7"/>
    <w:rsid w:val="00565935"/>
    <w:rsid w:val="0057305E"/>
    <w:rsid w:val="0057439C"/>
    <w:rsid w:val="00581BAE"/>
    <w:rsid w:val="005A3516"/>
    <w:rsid w:val="005B0127"/>
    <w:rsid w:val="005B5F04"/>
    <w:rsid w:val="005B7A35"/>
    <w:rsid w:val="005C4B73"/>
    <w:rsid w:val="005D3583"/>
    <w:rsid w:val="005E1D2B"/>
    <w:rsid w:val="005E7074"/>
    <w:rsid w:val="005F2BAF"/>
    <w:rsid w:val="00600D93"/>
    <w:rsid w:val="006040E6"/>
    <w:rsid w:val="006165FE"/>
    <w:rsid w:val="00616AE2"/>
    <w:rsid w:val="00620866"/>
    <w:rsid w:val="0063300C"/>
    <w:rsid w:val="00636427"/>
    <w:rsid w:val="00636764"/>
    <w:rsid w:val="00646518"/>
    <w:rsid w:val="0065262E"/>
    <w:rsid w:val="00655736"/>
    <w:rsid w:val="00663B8D"/>
    <w:rsid w:val="006657A9"/>
    <w:rsid w:val="0067219F"/>
    <w:rsid w:val="00673B56"/>
    <w:rsid w:val="006874EF"/>
    <w:rsid w:val="00696C8D"/>
    <w:rsid w:val="006A2AC2"/>
    <w:rsid w:val="006A3617"/>
    <w:rsid w:val="006D56FA"/>
    <w:rsid w:val="006E46E4"/>
    <w:rsid w:val="006E6B6B"/>
    <w:rsid w:val="006F25DD"/>
    <w:rsid w:val="007014B3"/>
    <w:rsid w:val="00710FD8"/>
    <w:rsid w:val="00711573"/>
    <w:rsid w:val="00712C60"/>
    <w:rsid w:val="00717DA5"/>
    <w:rsid w:val="00744266"/>
    <w:rsid w:val="00744484"/>
    <w:rsid w:val="00747566"/>
    <w:rsid w:val="00755EA6"/>
    <w:rsid w:val="00766FDD"/>
    <w:rsid w:val="00773188"/>
    <w:rsid w:val="00783782"/>
    <w:rsid w:val="00784B8C"/>
    <w:rsid w:val="007879E1"/>
    <w:rsid w:val="00795D8B"/>
    <w:rsid w:val="0079713B"/>
    <w:rsid w:val="007C1309"/>
    <w:rsid w:val="007D3BF6"/>
    <w:rsid w:val="007E3D4C"/>
    <w:rsid w:val="007E660D"/>
    <w:rsid w:val="007F2974"/>
    <w:rsid w:val="00801B78"/>
    <w:rsid w:val="00806BC6"/>
    <w:rsid w:val="00813753"/>
    <w:rsid w:val="00823A11"/>
    <w:rsid w:val="0082514C"/>
    <w:rsid w:val="0085405E"/>
    <w:rsid w:val="0085414A"/>
    <w:rsid w:val="0086269D"/>
    <w:rsid w:val="00863BBC"/>
    <w:rsid w:val="0086543A"/>
    <w:rsid w:val="008724E5"/>
    <w:rsid w:val="008740E6"/>
    <w:rsid w:val="008826F8"/>
    <w:rsid w:val="00884A9D"/>
    <w:rsid w:val="00884F6B"/>
    <w:rsid w:val="0088512B"/>
    <w:rsid w:val="00895E54"/>
    <w:rsid w:val="008A2B2D"/>
    <w:rsid w:val="008A4E1E"/>
    <w:rsid w:val="008C296C"/>
    <w:rsid w:val="008D4305"/>
    <w:rsid w:val="008D538C"/>
    <w:rsid w:val="008E1A85"/>
    <w:rsid w:val="008E73E5"/>
    <w:rsid w:val="008F688B"/>
    <w:rsid w:val="009054C7"/>
    <w:rsid w:val="00905CB2"/>
    <w:rsid w:val="00915BD9"/>
    <w:rsid w:val="009163A7"/>
    <w:rsid w:val="00925327"/>
    <w:rsid w:val="009258BB"/>
    <w:rsid w:val="00931886"/>
    <w:rsid w:val="00946518"/>
    <w:rsid w:val="00946D0B"/>
    <w:rsid w:val="00947AB4"/>
    <w:rsid w:val="009535BA"/>
    <w:rsid w:val="00954F5B"/>
    <w:rsid w:val="00955877"/>
    <w:rsid w:val="0098262F"/>
    <w:rsid w:val="0098585B"/>
    <w:rsid w:val="009A18CD"/>
    <w:rsid w:val="009A1E8B"/>
    <w:rsid w:val="009A32AB"/>
    <w:rsid w:val="009A71BC"/>
    <w:rsid w:val="009B092E"/>
    <w:rsid w:val="009B0DD0"/>
    <w:rsid w:val="009B3634"/>
    <w:rsid w:val="009B7C90"/>
    <w:rsid w:val="009D1D07"/>
    <w:rsid w:val="009D5428"/>
    <w:rsid w:val="009D5B1E"/>
    <w:rsid w:val="009E3083"/>
    <w:rsid w:val="009E7C06"/>
    <w:rsid w:val="009F5D8D"/>
    <w:rsid w:val="00A01825"/>
    <w:rsid w:val="00A12558"/>
    <w:rsid w:val="00A13903"/>
    <w:rsid w:val="00A1427B"/>
    <w:rsid w:val="00A34ED5"/>
    <w:rsid w:val="00A45DBF"/>
    <w:rsid w:val="00A4684C"/>
    <w:rsid w:val="00A5101C"/>
    <w:rsid w:val="00A60AD9"/>
    <w:rsid w:val="00A67899"/>
    <w:rsid w:val="00A755A2"/>
    <w:rsid w:val="00A8189E"/>
    <w:rsid w:val="00A82CA1"/>
    <w:rsid w:val="00A94D32"/>
    <w:rsid w:val="00AA6660"/>
    <w:rsid w:val="00AB1C46"/>
    <w:rsid w:val="00AB2C36"/>
    <w:rsid w:val="00AB6285"/>
    <w:rsid w:val="00AB6DDE"/>
    <w:rsid w:val="00AB70B6"/>
    <w:rsid w:val="00AC1340"/>
    <w:rsid w:val="00AC3F2B"/>
    <w:rsid w:val="00AD1A86"/>
    <w:rsid w:val="00AD566D"/>
    <w:rsid w:val="00AE049E"/>
    <w:rsid w:val="00AE103E"/>
    <w:rsid w:val="00AE381B"/>
    <w:rsid w:val="00AE6069"/>
    <w:rsid w:val="00AF0A07"/>
    <w:rsid w:val="00AF0E51"/>
    <w:rsid w:val="00AF4AEC"/>
    <w:rsid w:val="00AF625E"/>
    <w:rsid w:val="00B139BE"/>
    <w:rsid w:val="00B15BA2"/>
    <w:rsid w:val="00B25855"/>
    <w:rsid w:val="00B35462"/>
    <w:rsid w:val="00B3682E"/>
    <w:rsid w:val="00B370AE"/>
    <w:rsid w:val="00B444B7"/>
    <w:rsid w:val="00B44B33"/>
    <w:rsid w:val="00B57B58"/>
    <w:rsid w:val="00B659A3"/>
    <w:rsid w:val="00B71DE1"/>
    <w:rsid w:val="00B74458"/>
    <w:rsid w:val="00B82B0A"/>
    <w:rsid w:val="00B87D19"/>
    <w:rsid w:val="00B92CEA"/>
    <w:rsid w:val="00B943D8"/>
    <w:rsid w:val="00B971CB"/>
    <w:rsid w:val="00BA241A"/>
    <w:rsid w:val="00BB04AF"/>
    <w:rsid w:val="00BB5A0E"/>
    <w:rsid w:val="00BD52C9"/>
    <w:rsid w:val="00BE6354"/>
    <w:rsid w:val="00BF1658"/>
    <w:rsid w:val="00BF1B64"/>
    <w:rsid w:val="00C0272A"/>
    <w:rsid w:val="00C138D1"/>
    <w:rsid w:val="00C15B12"/>
    <w:rsid w:val="00C23A97"/>
    <w:rsid w:val="00C37F98"/>
    <w:rsid w:val="00C4115B"/>
    <w:rsid w:val="00C412F0"/>
    <w:rsid w:val="00C42925"/>
    <w:rsid w:val="00C42EDF"/>
    <w:rsid w:val="00C464A8"/>
    <w:rsid w:val="00C50620"/>
    <w:rsid w:val="00C5776D"/>
    <w:rsid w:val="00C64855"/>
    <w:rsid w:val="00C70EA7"/>
    <w:rsid w:val="00C7433F"/>
    <w:rsid w:val="00C74774"/>
    <w:rsid w:val="00C7516E"/>
    <w:rsid w:val="00C75770"/>
    <w:rsid w:val="00C86B99"/>
    <w:rsid w:val="00CA4740"/>
    <w:rsid w:val="00CA56BB"/>
    <w:rsid w:val="00CB0542"/>
    <w:rsid w:val="00CB245D"/>
    <w:rsid w:val="00CB68FC"/>
    <w:rsid w:val="00CD0C99"/>
    <w:rsid w:val="00CE7D6C"/>
    <w:rsid w:val="00CF6292"/>
    <w:rsid w:val="00D00B2B"/>
    <w:rsid w:val="00D00C81"/>
    <w:rsid w:val="00D1325B"/>
    <w:rsid w:val="00D14934"/>
    <w:rsid w:val="00D24877"/>
    <w:rsid w:val="00D301B6"/>
    <w:rsid w:val="00D31FBD"/>
    <w:rsid w:val="00D366EC"/>
    <w:rsid w:val="00D55D1E"/>
    <w:rsid w:val="00D61FB8"/>
    <w:rsid w:val="00D81F65"/>
    <w:rsid w:val="00D8250F"/>
    <w:rsid w:val="00D86B5B"/>
    <w:rsid w:val="00D95C4C"/>
    <w:rsid w:val="00DA36ED"/>
    <w:rsid w:val="00DB58EA"/>
    <w:rsid w:val="00DC5FEE"/>
    <w:rsid w:val="00DD0E72"/>
    <w:rsid w:val="00DD12CF"/>
    <w:rsid w:val="00DD4EB7"/>
    <w:rsid w:val="00DE34F1"/>
    <w:rsid w:val="00DE6160"/>
    <w:rsid w:val="00DF4721"/>
    <w:rsid w:val="00DF4942"/>
    <w:rsid w:val="00E12291"/>
    <w:rsid w:val="00E13542"/>
    <w:rsid w:val="00E216FB"/>
    <w:rsid w:val="00E244E1"/>
    <w:rsid w:val="00E34DCB"/>
    <w:rsid w:val="00E35BD3"/>
    <w:rsid w:val="00E3763C"/>
    <w:rsid w:val="00E41C81"/>
    <w:rsid w:val="00E46675"/>
    <w:rsid w:val="00E53C52"/>
    <w:rsid w:val="00E627B1"/>
    <w:rsid w:val="00E6479E"/>
    <w:rsid w:val="00E66F05"/>
    <w:rsid w:val="00E70169"/>
    <w:rsid w:val="00E72F18"/>
    <w:rsid w:val="00E74460"/>
    <w:rsid w:val="00E9376C"/>
    <w:rsid w:val="00E95AE2"/>
    <w:rsid w:val="00EA335E"/>
    <w:rsid w:val="00EA528C"/>
    <w:rsid w:val="00EA580C"/>
    <w:rsid w:val="00EC6D36"/>
    <w:rsid w:val="00EC6F8D"/>
    <w:rsid w:val="00ED0FD1"/>
    <w:rsid w:val="00EE13FA"/>
    <w:rsid w:val="00EE49F4"/>
    <w:rsid w:val="00EF34E2"/>
    <w:rsid w:val="00F26F38"/>
    <w:rsid w:val="00F30DC6"/>
    <w:rsid w:val="00F32C23"/>
    <w:rsid w:val="00F37F37"/>
    <w:rsid w:val="00F53DE9"/>
    <w:rsid w:val="00F576CB"/>
    <w:rsid w:val="00F62634"/>
    <w:rsid w:val="00F7035D"/>
    <w:rsid w:val="00F71A02"/>
    <w:rsid w:val="00F74288"/>
    <w:rsid w:val="00F8216F"/>
    <w:rsid w:val="00F915B7"/>
    <w:rsid w:val="00F9327E"/>
    <w:rsid w:val="00FA0D63"/>
    <w:rsid w:val="00FA673A"/>
    <w:rsid w:val="00FC0F6B"/>
    <w:rsid w:val="00FC4DB3"/>
    <w:rsid w:val="00FD1226"/>
    <w:rsid w:val="00FD65F7"/>
    <w:rsid w:val="00FE2871"/>
    <w:rsid w:val="00FF419D"/>
    <w:rsid w:val="00FF4830"/>
  </w:rsids>
  <m:mathPr>
    <m:mathFont m:val="Cambria Math"/>
    <m:brkBin m:val="before"/>
    <m:brkBinSub m:val="--"/>
    <m:smallFrac m:val="0"/>
    <m:dispDef/>
    <m:lMargin m:val="0"/>
    <m:rMargin m:val="0"/>
    <m:defJc m:val="centerGroup"/>
    <m:wrapIndent m:val="1440"/>
    <m:intLim m:val="subSup"/>
    <m:naryLim m:val="undOvr"/>
  </m:mathPr>
  <w:themeFontLang w:val="fr-FR"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663237C2"/>
  <w15:docId w15:val="{583DBE90-1737-41AF-BFD5-4234A955E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lang w:val="fr-FR" w:eastAsia="fr-FR" w:bidi="ar-SA"/>
      </w:rPr>
    </w:rPrDefault>
    <w:pPrDefault/>
  </w:docDefaults>
  <w:latentStyles w:defLockedState="0" w:defUIPriority="99" w:defSemiHidden="0" w:defUnhideWhenUsed="0" w:defQFormat="0" w:count="371">
    <w:lsdException w:name="Normal" w:uiPriority="0"/>
    <w:lsdException w:name="heading 1" w:uiPriority="9"/>
    <w:lsdException w:name="heading 2" w:uiPriority="9"/>
    <w:lsdException w:name="heading 3" w:semiHidden="1" w:uiPriority="9" w:unhideWhenUsed="1"/>
    <w:lsdException w:name="heading 4" w:uiPriority="0"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45CB4"/>
    <w:rPr>
      <w:rFonts w:ascii="Times New Roman" w:eastAsia="Times New Roman" w:hAnsi="Times New Roman"/>
      <w:sz w:val="24"/>
      <w:szCs w:val="24"/>
    </w:rPr>
  </w:style>
  <w:style w:type="paragraph" w:styleId="Heading2">
    <w:name w:val="heading 2"/>
    <w:basedOn w:val="Normal"/>
    <w:next w:val="Normal"/>
    <w:link w:val="Heading2Char"/>
    <w:uiPriority w:val="9"/>
    <w:rsid w:val="00564DDB"/>
    <w:pPr>
      <w:keepNext/>
      <w:spacing w:before="240" w:after="60"/>
      <w:outlineLvl w:val="1"/>
    </w:pPr>
    <w:rPr>
      <w:rFonts w:ascii="Cambria" w:hAnsi="Cambria"/>
      <w:b/>
      <w:bCs/>
      <w:i/>
      <w:iCs/>
      <w:sz w:val="28"/>
      <w:szCs w:val="28"/>
    </w:rPr>
  </w:style>
  <w:style w:type="paragraph" w:styleId="Heading4">
    <w:name w:val="heading 4"/>
    <w:aliases w:val="COM Heading"/>
    <w:basedOn w:val="Normal"/>
    <w:next w:val="Normal"/>
    <w:link w:val="Heading4Char"/>
    <w:qFormat/>
    <w:rsid w:val="00F71A02"/>
    <w:pPr>
      <w:keepNext/>
      <w:keepLines/>
      <w:numPr>
        <w:numId w:val="12"/>
      </w:numPr>
      <w:tabs>
        <w:tab w:val="left" w:pos="567"/>
      </w:tabs>
      <w:snapToGrid w:val="0"/>
      <w:spacing w:after="240"/>
      <w:ind w:left="567" w:hanging="567"/>
      <w:outlineLvl w:val="3"/>
    </w:pPr>
    <w:rPr>
      <w:rFonts w:ascii="Arial" w:hAnsi="Arial"/>
      <w:b/>
      <w:bCs/>
      <w:snapToGrid w:val="0"/>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724E5"/>
    <w:pPr>
      <w:tabs>
        <w:tab w:val="center" w:pos="4536"/>
        <w:tab w:val="right" w:pos="9072"/>
      </w:tabs>
    </w:pPr>
  </w:style>
  <w:style w:type="character" w:customStyle="1" w:styleId="HeaderChar">
    <w:name w:val="Header Char"/>
    <w:link w:val="Header"/>
    <w:rsid w:val="008724E5"/>
    <w:rPr>
      <w:lang w:val="fr-FR"/>
    </w:rPr>
  </w:style>
  <w:style w:type="paragraph" w:styleId="Footer">
    <w:name w:val="footer"/>
    <w:basedOn w:val="Normal"/>
    <w:link w:val="FooterChar"/>
    <w:uiPriority w:val="99"/>
    <w:unhideWhenUsed/>
    <w:rsid w:val="008724E5"/>
    <w:pPr>
      <w:tabs>
        <w:tab w:val="center" w:pos="4536"/>
        <w:tab w:val="right" w:pos="9072"/>
      </w:tabs>
    </w:pPr>
  </w:style>
  <w:style w:type="character" w:customStyle="1" w:styleId="FooterChar">
    <w:name w:val="Footer Char"/>
    <w:link w:val="Footer"/>
    <w:uiPriority w:val="99"/>
    <w:rsid w:val="008724E5"/>
    <w:rPr>
      <w:lang w:val="fr-FR"/>
    </w:rPr>
  </w:style>
  <w:style w:type="paragraph" w:styleId="BalloonText">
    <w:name w:val="Balloon Text"/>
    <w:basedOn w:val="Normal"/>
    <w:link w:val="BalloonTextChar"/>
    <w:uiPriority w:val="99"/>
    <w:semiHidden/>
    <w:unhideWhenUsed/>
    <w:rsid w:val="008724E5"/>
    <w:rPr>
      <w:rFonts w:ascii="Tahoma" w:hAnsi="Tahoma" w:cs="Tahoma"/>
      <w:sz w:val="16"/>
      <w:szCs w:val="16"/>
    </w:rPr>
  </w:style>
  <w:style w:type="character" w:customStyle="1" w:styleId="BalloonTextChar">
    <w:name w:val="Balloon Text Char"/>
    <w:link w:val="BalloonText"/>
    <w:uiPriority w:val="99"/>
    <w:semiHidden/>
    <w:rsid w:val="008724E5"/>
    <w:rPr>
      <w:rFonts w:ascii="Tahoma" w:hAnsi="Tahoma" w:cs="Tahoma"/>
      <w:sz w:val="16"/>
      <w:szCs w:val="16"/>
      <w:lang w:val="fr-FR"/>
    </w:rPr>
  </w:style>
  <w:style w:type="paragraph" w:customStyle="1" w:styleId="Sansinterligne2">
    <w:name w:val="Sans interligne2"/>
    <w:uiPriority w:val="1"/>
    <w:rsid w:val="006C3FFC"/>
    <w:rPr>
      <w:rFonts w:ascii="Times New Roman" w:eastAsia="Times New Roman" w:hAnsi="Times New Roman"/>
      <w:sz w:val="24"/>
      <w:szCs w:val="24"/>
    </w:rPr>
  </w:style>
  <w:style w:type="table" w:styleId="TableGrid">
    <w:name w:val="Table Grid"/>
    <w:basedOn w:val="Table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semiHidden/>
    <w:rsid w:val="00EF563B"/>
  </w:style>
  <w:style w:type="character" w:customStyle="1" w:styleId="Heading4Char">
    <w:name w:val="Heading 4 Char"/>
    <w:aliases w:val="COM Heading Char"/>
    <w:link w:val="Heading4"/>
    <w:rsid w:val="00F71A02"/>
    <w:rPr>
      <w:rFonts w:ascii="Arial" w:eastAsia="Times New Roman" w:hAnsi="Arial"/>
      <w:b/>
      <w:bCs/>
      <w:snapToGrid w:val="0"/>
      <w:sz w:val="22"/>
      <w:szCs w:val="24"/>
      <w:lang w:eastAsia="en-US"/>
    </w:rPr>
  </w:style>
  <w:style w:type="paragraph" w:customStyle="1" w:styleId="ColorfulList-Accent11">
    <w:name w:val="Colorful List - Accent 11"/>
    <w:basedOn w:val="Normal"/>
    <w:uiPriority w:val="34"/>
    <w:rsid w:val="00F66657"/>
    <w:pPr>
      <w:ind w:left="720"/>
      <w:contextualSpacing/>
    </w:pPr>
  </w:style>
  <w:style w:type="character" w:customStyle="1" w:styleId="Heading2Char">
    <w:name w:val="Heading 2 Char"/>
    <w:link w:val="Heading2"/>
    <w:uiPriority w:val="9"/>
    <w:semiHidden/>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lang w:eastAsia="en-US"/>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sz w:val="22"/>
      <w:lang w:eastAsia="en-US"/>
    </w:rPr>
  </w:style>
  <w:style w:type="paragraph" w:customStyle="1" w:styleId="Marge">
    <w:name w:val="Marge"/>
    <w:basedOn w:val="Par"/>
    <w:rsid w:val="00564DDB"/>
    <w:pPr>
      <w:ind w:firstLine="0"/>
    </w:pPr>
  </w:style>
  <w:style w:type="paragraph" w:customStyle="1" w:styleId="TIRETbul1cm">
    <w:name w:val="TIRET bul 1cm"/>
    <w:basedOn w:val="Normal"/>
    <w:rsid w:val="00564DDB"/>
    <w:pPr>
      <w:numPr>
        <w:numId w:val="6"/>
      </w:numPr>
      <w:tabs>
        <w:tab w:val="left" w:pos="851"/>
      </w:tabs>
      <w:adjustRightInd w:val="0"/>
      <w:snapToGrid w:val="0"/>
      <w:spacing w:after="240"/>
      <w:jc w:val="both"/>
    </w:pPr>
    <w:rPr>
      <w:rFonts w:ascii="Arial" w:eastAsia="SimSun" w:hAnsi="Arial"/>
      <w:snapToGrid w:val="0"/>
      <w:sz w:val="22"/>
      <w:lang w:eastAsia="zh-CN"/>
    </w:rPr>
  </w:style>
  <w:style w:type="character" w:customStyle="1" w:styleId="apple-style-span">
    <w:name w:val="apple-style-span"/>
    <w:basedOn w:val="DefaultParagraphFont"/>
    <w:rsid w:val="00564DDB"/>
  </w:style>
  <w:style w:type="character" w:customStyle="1" w:styleId="apple-converted-space">
    <w:name w:val="apple-converted-space"/>
    <w:basedOn w:val="DefaultParagraphFont"/>
    <w:rsid w:val="00564DDB"/>
  </w:style>
  <w:style w:type="paragraph" w:customStyle="1" w:styleId="Sansinterligne1">
    <w:name w:val="Sans interligne1"/>
    <w:uiPriority w:val="1"/>
    <w:rsid w:val="0057439C"/>
    <w:rPr>
      <w:rFonts w:ascii="Times New Roman" w:eastAsia="Times New Roman" w:hAnsi="Times New Roman"/>
      <w:sz w:val="24"/>
      <w:szCs w:val="24"/>
    </w:rPr>
  </w:style>
  <w:style w:type="paragraph" w:customStyle="1" w:styleId="COMPara">
    <w:name w:val="COM Para"/>
    <w:qFormat/>
    <w:rsid w:val="00345CB4"/>
    <w:pPr>
      <w:numPr>
        <w:numId w:val="9"/>
      </w:numPr>
      <w:spacing w:after="120"/>
    </w:pPr>
    <w:rPr>
      <w:rFonts w:ascii="Arial" w:eastAsia="Times New Roman" w:hAnsi="Arial" w:cs="Arial"/>
      <w:snapToGrid w:val="0"/>
      <w:sz w:val="22"/>
      <w:szCs w:val="22"/>
      <w:lang w:eastAsia="en-US"/>
    </w:rPr>
  </w:style>
  <w:style w:type="paragraph" w:customStyle="1" w:styleId="COMTitleDecision">
    <w:name w:val="COM Title Decision"/>
    <w:basedOn w:val="Normal"/>
    <w:qFormat/>
    <w:rsid w:val="00041A66"/>
    <w:pPr>
      <w:keepNext/>
      <w:spacing w:before="240" w:after="120"/>
      <w:ind w:left="567"/>
      <w:jc w:val="both"/>
    </w:pPr>
    <w:rPr>
      <w:rFonts w:ascii="Arial" w:hAnsi="Arial" w:cs="Arial"/>
      <w:b/>
      <w:sz w:val="22"/>
      <w:szCs w:val="22"/>
    </w:rPr>
  </w:style>
  <w:style w:type="paragraph" w:customStyle="1" w:styleId="COMPreambulaDecisions">
    <w:name w:val="COM Preambula Decisions"/>
    <w:basedOn w:val="Normal"/>
    <w:qFormat/>
    <w:rsid w:val="00041A66"/>
    <w:pPr>
      <w:keepNext/>
      <w:spacing w:after="120"/>
      <w:ind w:left="567"/>
      <w:jc w:val="both"/>
    </w:pPr>
    <w:rPr>
      <w:rFonts w:ascii="Arial" w:hAnsi="Arial" w:cs="Arial"/>
      <w:sz w:val="22"/>
      <w:szCs w:val="22"/>
    </w:rPr>
  </w:style>
  <w:style w:type="paragraph" w:customStyle="1" w:styleId="COMParaDecision">
    <w:name w:val="COM Para Decision"/>
    <w:basedOn w:val="Normal"/>
    <w:qFormat/>
    <w:rsid w:val="00345CB4"/>
    <w:pPr>
      <w:numPr>
        <w:numId w:val="10"/>
      </w:numPr>
      <w:autoSpaceDE w:val="0"/>
      <w:autoSpaceDN w:val="0"/>
      <w:adjustRightInd w:val="0"/>
      <w:spacing w:after="120"/>
      <w:ind w:left="1134" w:hanging="567"/>
      <w:jc w:val="both"/>
    </w:pPr>
    <w:rPr>
      <w:rFonts w:ascii="Arial" w:eastAsia="SimSun" w:hAnsi="Arial" w:cs="Arial"/>
      <w:sz w:val="22"/>
      <w:szCs w:val="22"/>
      <w:u w:val="single"/>
    </w:rPr>
  </w:style>
  <w:style w:type="table" w:customStyle="1" w:styleId="TableGrid1">
    <w:name w:val="Table Grid1"/>
    <w:basedOn w:val="TableNormal"/>
    <w:next w:val="TableGrid"/>
    <w:uiPriority w:val="59"/>
    <w:rsid w:val="00E95AE2"/>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uiPriority w:val="99"/>
    <w:semiHidden/>
    <w:unhideWhenUsed/>
    <w:rsid w:val="003D4488"/>
    <w:rPr>
      <w:sz w:val="16"/>
      <w:szCs w:val="16"/>
    </w:rPr>
  </w:style>
  <w:style w:type="paragraph" w:styleId="CommentText">
    <w:name w:val="annotation text"/>
    <w:basedOn w:val="Normal"/>
    <w:link w:val="CommentTextChar"/>
    <w:uiPriority w:val="99"/>
    <w:semiHidden/>
    <w:unhideWhenUsed/>
    <w:rsid w:val="003D4488"/>
    <w:rPr>
      <w:sz w:val="20"/>
      <w:szCs w:val="20"/>
    </w:rPr>
  </w:style>
  <w:style w:type="character" w:customStyle="1" w:styleId="CommentTextChar">
    <w:name w:val="Comment Text Char"/>
    <w:basedOn w:val="DefaultParagraphFont"/>
    <w:link w:val="CommentText"/>
    <w:uiPriority w:val="99"/>
    <w:semiHidden/>
    <w:rsid w:val="003D4488"/>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3D4488"/>
    <w:rPr>
      <w:b/>
      <w:bCs/>
    </w:rPr>
  </w:style>
  <w:style w:type="character" w:customStyle="1" w:styleId="CommentSubjectChar">
    <w:name w:val="Comment Subject Char"/>
    <w:basedOn w:val="CommentTextChar"/>
    <w:link w:val="CommentSubject"/>
    <w:uiPriority w:val="99"/>
    <w:semiHidden/>
    <w:rsid w:val="003D4488"/>
    <w:rPr>
      <w:rFonts w:ascii="Times New Roman" w:eastAsia="Times New Roman" w:hAnsi="Times New Roman"/>
      <w:b/>
      <w:bCs/>
    </w:rPr>
  </w:style>
  <w:style w:type="character" w:styleId="Hyperlink">
    <w:name w:val="Hyperlink"/>
    <w:basedOn w:val="DefaultParagraphFont"/>
    <w:uiPriority w:val="99"/>
    <w:unhideWhenUsed/>
    <w:rsid w:val="00114C55"/>
    <w:rPr>
      <w:color w:val="0000FF" w:themeColor="hyperlink"/>
      <w:u w:val="single"/>
    </w:rPr>
  </w:style>
  <w:style w:type="character" w:styleId="FollowedHyperlink">
    <w:name w:val="FollowedHyperlink"/>
    <w:basedOn w:val="DefaultParagraphFont"/>
    <w:uiPriority w:val="99"/>
    <w:semiHidden/>
    <w:unhideWhenUsed/>
    <w:rsid w:val="00B92CEA"/>
    <w:rPr>
      <w:color w:val="800080" w:themeColor="followedHyperlink"/>
      <w:u w:val="single"/>
    </w:rPr>
  </w:style>
  <w:style w:type="paragraph" w:styleId="ListParagraph">
    <w:name w:val="List Paragraph"/>
    <w:basedOn w:val="Normal"/>
    <w:uiPriority w:val="34"/>
    <w:qFormat/>
    <w:rsid w:val="000D60A4"/>
    <w:pPr>
      <w:ind w:left="720"/>
      <w:contextualSpacing/>
    </w:pPr>
  </w:style>
  <w:style w:type="paragraph" w:styleId="FootnoteText">
    <w:name w:val="footnote text"/>
    <w:basedOn w:val="Normal"/>
    <w:link w:val="FootnoteTextChar"/>
    <w:uiPriority w:val="99"/>
    <w:semiHidden/>
    <w:unhideWhenUsed/>
    <w:rsid w:val="00AB6285"/>
    <w:rPr>
      <w:sz w:val="20"/>
      <w:szCs w:val="20"/>
    </w:rPr>
  </w:style>
  <w:style w:type="character" w:customStyle="1" w:styleId="FootnoteTextChar">
    <w:name w:val="Footnote Text Char"/>
    <w:basedOn w:val="DefaultParagraphFont"/>
    <w:link w:val="FootnoteText"/>
    <w:uiPriority w:val="99"/>
    <w:semiHidden/>
    <w:rsid w:val="00AB6285"/>
    <w:rPr>
      <w:rFonts w:ascii="Times New Roman" w:eastAsia="Times New Roman" w:hAnsi="Times New Roman"/>
    </w:rPr>
  </w:style>
  <w:style w:type="character" w:styleId="FootnoteReference">
    <w:name w:val="footnote reference"/>
    <w:basedOn w:val="DefaultParagraphFont"/>
    <w:uiPriority w:val="99"/>
    <w:semiHidden/>
    <w:unhideWhenUsed/>
    <w:rsid w:val="00AB6285"/>
    <w:rPr>
      <w:vertAlign w:val="superscript"/>
    </w:rPr>
  </w:style>
  <w:style w:type="paragraph" w:styleId="EndnoteText">
    <w:name w:val="endnote text"/>
    <w:basedOn w:val="Normal"/>
    <w:link w:val="EndnoteTextChar"/>
    <w:uiPriority w:val="99"/>
    <w:semiHidden/>
    <w:unhideWhenUsed/>
    <w:rsid w:val="00B15BA2"/>
    <w:rPr>
      <w:sz w:val="20"/>
      <w:szCs w:val="20"/>
    </w:rPr>
  </w:style>
  <w:style w:type="character" w:customStyle="1" w:styleId="EndnoteTextChar">
    <w:name w:val="Endnote Text Char"/>
    <w:basedOn w:val="DefaultParagraphFont"/>
    <w:link w:val="EndnoteText"/>
    <w:uiPriority w:val="99"/>
    <w:semiHidden/>
    <w:rsid w:val="00B15BA2"/>
    <w:rPr>
      <w:rFonts w:ascii="Times New Roman" w:eastAsia="Times New Roman" w:hAnsi="Times New Roman"/>
    </w:rPr>
  </w:style>
  <w:style w:type="character" w:styleId="EndnoteReference">
    <w:name w:val="endnote reference"/>
    <w:basedOn w:val="DefaultParagraphFont"/>
    <w:uiPriority w:val="99"/>
    <w:semiHidden/>
    <w:unhideWhenUsed/>
    <w:rsid w:val="00B15BA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1675340">
      <w:bodyDiv w:val="1"/>
      <w:marLeft w:val="0"/>
      <w:marRight w:val="0"/>
      <w:marTop w:val="0"/>
      <w:marBottom w:val="0"/>
      <w:divBdr>
        <w:top w:val="none" w:sz="0" w:space="0" w:color="auto"/>
        <w:left w:val="none" w:sz="0" w:space="0" w:color="auto"/>
        <w:bottom w:val="none" w:sz="0" w:space="0" w:color="auto"/>
        <w:right w:val="none" w:sz="0" w:space="0" w:color="auto"/>
      </w:divBdr>
    </w:div>
    <w:div w:id="1056977329">
      <w:bodyDiv w:val="1"/>
      <w:marLeft w:val="0"/>
      <w:marRight w:val="0"/>
      <w:marTop w:val="0"/>
      <w:marBottom w:val="0"/>
      <w:divBdr>
        <w:top w:val="none" w:sz="0" w:space="0" w:color="auto"/>
        <w:left w:val="none" w:sz="0" w:space="0" w:color="auto"/>
        <w:bottom w:val="none" w:sz="0" w:space="0" w:color="auto"/>
        <w:right w:val="none" w:sz="0" w:space="0" w:color="auto"/>
      </w:divBdr>
    </w:div>
    <w:div w:id="1589149580">
      <w:bodyDiv w:val="1"/>
      <w:marLeft w:val="0"/>
      <w:marRight w:val="0"/>
      <w:marTop w:val="0"/>
      <w:marBottom w:val="0"/>
      <w:divBdr>
        <w:top w:val="none" w:sz="0" w:space="0" w:color="auto"/>
        <w:left w:val="none" w:sz="0" w:space="0" w:color="auto"/>
        <w:bottom w:val="none" w:sz="0" w:space="0" w:color="auto"/>
        <w:right w:val="none" w:sz="0" w:space="0" w:color="auto"/>
      </w:divBdr>
    </w:div>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 w:id="1928686304">
      <w:bodyDiv w:val="1"/>
      <w:marLeft w:val="0"/>
      <w:marRight w:val="0"/>
      <w:marTop w:val="0"/>
      <w:marBottom w:val="0"/>
      <w:divBdr>
        <w:top w:val="none" w:sz="0" w:space="0" w:color="auto"/>
        <w:left w:val="none" w:sz="0" w:space="0" w:color="auto"/>
        <w:bottom w:val="none" w:sz="0" w:space="0" w:color="auto"/>
        <w:right w:val="none" w:sz="0" w:space="0" w:color="auto"/>
      </w:divBdr>
    </w:div>
    <w:div w:id="2143036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ch.unesco.org/fr/Decisions/12.COM/6" TargetMode="External"/><Relationship Id="rId13" Type="http://schemas.openxmlformats.org/officeDocument/2006/relationships/hyperlink" Target="https://ich.unesco.org/doc/src/LHE-19-14.COM-INF.7-FR.docx" TargetMode="External"/><Relationship Id="rId18" Type="http://schemas.openxmlformats.org/officeDocument/2006/relationships/hyperlink" Target="https://ich.unesco.org/doc/src/LHE-19-14.COM-9.b-FR.docx" TargetMode="External"/><Relationship Id="rId26" Type="http://schemas.openxmlformats.org/officeDocument/2006/relationships/hyperlink" Target="https://ich.unesco.org/fr/projets/renforcement-des-capacites-de-l-erythree-pour-mettre-en-oeuvre-la-convention-pour-la-sauvegarde-du-patrimoine-culturel-immateriel-00272?projectID=00272" TargetMode="External"/><Relationship Id="rId3" Type="http://schemas.openxmlformats.org/officeDocument/2006/relationships/styles" Target="styles.xml"/><Relationship Id="rId21" Type="http://schemas.openxmlformats.org/officeDocument/2006/relationships/hyperlink" Target="https://ich.unesco.org/doc/src/LHE-19-14.COM-INF.7-FR.docx"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ich.unesco.org/doc/src/LHE-19-14.COM-7-FR.docx" TargetMode="External"/><Relationship Id="rId17" Type="http://schemas.openxmlformats.org/officeDocument/2006/relationships/hyperlink" Target="https://ich.unesco.org/doc/src/LHE-19-14.COM-7-FR.docx" TargetMode="External"/><Relationship Id="rId25" Type="http://schemas.openxmlformats.org/officeDocument/2006/relationships/hyperlink" Target="https://ich.unesco.org/fr/projets/renforcement-des-capacites-du-bangladesh-pour-mettre-en-oeuvre-la-convention-de-2003-pour-la-sauvegarde-du-patrimoine-culturel-immateriel-00371?projectID=00371" TargetMode="External"/><Relationship Id="rId33" Type="http://schemas.openxmlformats.org/officeDocument/2006/relationships/hyperlink" Target="http://unesdoc.unesco.org/images/0026/002615/261576f.pdf"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ich.unesco.org/fr/Decisions/12.COM/6" TargetMode="External"/><Relationship Id="rId20" Type="http://schemas.openxmlformats.org/officeDocument/2006/relationships/hyperlink" Target="https://ich.unesco.org/fr/decisions/7.GA/8" TargetMode="External"/><Relationship Id="rId29" Type="http://schemas.openxmlformats.org/officeDocument/2006/relationships/hyperlink" Target="http://unesdoc.unesco.org/images/0026/002615/261576f.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ch.unesco.org/fr/D%C3%A9cisions/13.COM/6" TargetMode="External"/><Relationship Id="rId24" Type="http://schemas.openxmlformats.org/officeDocument/2006/relationships/hyperlink" Target="https://ich.unesco.org/fr/projets/renforcement-des-capacites-locales-pour-la-sauvegarde-du-patrimoine-culturel-immateriel-du-guatemala-00372?projectID=00372" TargetMode="External"/><Relationship Id="rId32" Type="http://schemas.openxmlformats.org/officeDocument/2006/relationships/hyperlink" Target="https://ich.unesco.org/fr/decisions/13.COM/6"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ich.unesco.org/doc/src/LHE-19-14.COM-7-FR.docx" TargetMode="External"/><Relationship Id="rId23" Type="http://schemas.openxmlformats.org/officeDocument/2006/relationships/hyperlink" Target="https://ich.unesco.org/fr/projets/sauvegarde-du-patrimoine-culturel-immateriel-a-travers-le-renforcement-des-capacites-nationales-au-maroc-en-mauritanie-et-en-tunisie-00281?projectID=00281" TargetMode="External"/><Relationship Id="rId28" Type="http://schemas.openxmlformats.org/officeDocument/2006/relationships/hyperlink" Target="https://ich.unesco.org/fr/decisions/13.COM/6" TargetMode="External"/><Relationship Id="rId36" Type="http://schemas.openxmlformats.org/officeDocument/2006/relationships/header" Target="header3.xml"/><Relationship Id="rId10" Type="http://schemas.openxmlformats.org/officeDocument/2006/relationships/hyperlink" Target="https://ich.unesco.org/fr/Decisions/7.COM/20.1" TargetMode="External"/><Relationship Id="rId19" Type="http://schemas.openxmlformats.org/officeDocument/2006/relationships/hyperlink" Target="https://ich.unesco.org/doc/src/LHE-19-14.COM-9.b-FR.docx" TargetMode="External"/><Relationship Id="rId31" Type="http://schemas.openxmlformats.org/officeDocument/2006/relationships/hyperlink" Target="https://whc.unesco.org/archive/2018/whc18-42com-18-fr.pdf" TargetMode="External"/><Relationship Id="rId4" Type="http://schemas.openxmlformats.org/officeDocument/2006/relationships/settings" Target="settings.xml"/><Relationship Id="rId9" Type="http://schemas.openxmlformats.org/officeDocument/2006/relationships/hyperlink" Target="https://ich.unesco.org/fr/decisions/13.COM/6" TargetMode="External"/><Relationship Id="rId14" Type="http://schemas.openxmlformats.org/officeDocument/2006/relationships/hyperlink" Target="https://ich.unesco.org/doc/src/LHE-19-14.COM-5.b-FR.docx" TargetMode="External"/><Relationship Id="rId22" Type="http://schemas.openxmlformats.org/officeDocument/2006/relationships/hyperlink" Target="https://ich.unesco.org/fr/Resolutions/3.GA/9" TargetMode="External"/><Relationship Id="rId27" Type="http://schemas.openxmlformats.org/officeDocument/2006/relationships/hyperlink" Target="https://ich.unesco.org/fr/projets/renforcement-des-capacites-du-suriname-et-des-iles-neerlandaises-des-caraibes-pour-la-mise-en-oeuvre-de-la-convention-pour-la-sauvegarde-du-patrimoine-culturel-immateriel-00328?projectID=00328" TargetMode="External"/><Relationship Id="rId30" Type="http://schemas.openxmlformats.org/officeDocument/2006/relationships/hyperlink" Target="http://unesdoc.unesco.org/ulis/cgi-bin/ExtractPDF.pl?catno=261576&amp;lang=f&amp;from=138&amp;to=151&amp;display=2&amp;ts=1538984446" TargetMode="External"/><Relationship Id="rId35"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ich.unesco.org/doc/src/LHE-19-14.COM-7-FR.docx"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CRE\02-ITH\Convention-Statutory%20Meetings\2015_STATUTORY%20MEETINGS\2015-11_10COM-Windhoek\Documents\0_Templates\10%20COM_Working%20document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D1910D-3DD2-4EE9-87F6-E73FF13C38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10 COM_Working document_EN.dotx</Template>
  <TotalTime>13</TotalTime>
  <Pages>7</Pages>
  <Words>3126</Words>
  <Characters>17195</Characters>
  <Application>Microsoft Office Word</Application>
  <DocSecurity>0</DocSecurity>
  <Lines>143</Lines>
  <Paragraphs>40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UNESCO</Company>
  <LinksUpToDate>false</LinksUpToDate>
  <CharactersWithSpaces>20281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Shin, Eunkyung</dc:creator>
  <cp:lastModifiedBy>Nakata, Julien</cp:lastModifiedBy>
  <cp:revision>6</cp:revision>
  <cp:lastPrinted>2019-08-22T10:57:00Z</cp:lastPrinted>
  <dcterms:created xsi:type="dcterms:W3CDTF">2019-11-14T17:06:00Z</dcterms:created>
  <dcterms:modified xsi:type="dcterms:W3CDTF">2019-11-26T09:28:00Z</dcterms:modified>
</cp:coreProperties>
</file>