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E6B4" w14:textId="77777777" w:rsidR="0046769D" w:rsidRPr="00293C60" w:rsidRDefault="0046769D" w:rsidP="0046769D">
      <w:pPr>
        <w:spacing w:before="1440"/>
        <w:jc w:val="center"/>
        <w:rPr>
          <w:rFonts w:ascii="Arial" w:hAnsi="Arial" w:cs="Arial"/>
          <w:b/>
          <w:sz w:val="22"/>
          <w:szCs w:val="22"/>
          <w:lang w:val="en-GB"/>
        </w:rPr>
      </w:pPr>
      <w:r w:rsidRPr="00293C60">
        <w:rPr>
          <w:rFonts w:ascii="Arial" w:hAnsi="Arial" w:cs="Arial"/>
          <w:b/>
          <w:sz w:val="22"/>
          <w:szCs w:val="22"/>
          <w:lang w:val="en-GB"/>
        </w:rPr>
        <w:t>CONVENT</w:t>
      </w:r>
      <w:r>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787E60A1" w14:textId="77777777" w:rsidR="0046769D" w:rsidRPr="00293C60" w:rsidRDefault="0046769D" w:rsidP="0046769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234DE724" w14:textId="77777777" w:rsidR="0046769D" w:rsidRPr="00293C60" w:rsidRDefault="0046769D" w:rsidP="0046769D">
      <w:pPr>
        <w:spacing w:before="840"/>
        <w:jc w:val="center"/>
        <w:rPr>
          <w:rFonts w:ascii="Arial" w:hAnsi="Arial" w:cs="Arial"/>
          <w:b/>
          <w:sz w:val="22"/>
          <w:szCs w:val="22"/>
          <w:lang w:val="en-GB"/>
        </w:rPr>
      </w:pPr>
      <w:r>
        <w:rPr>
          <w:rFonts w:ascii="Arial" w:hAnsi="Arial" w:cs="Arial"/>
          <w:b/>
          <w:sz w:val="22"/>
          <w:szCs w:val="22"/>
          <w:lang w:val="en-GB"/>
        </w:rPr>
        <w:t xml:space="preserve">Fourteenth </w:t>
      </w:r>
      <w:r w:rsidRPr="00293C60">
        <w:rPr>
          <w:rFonts w:ascii="Arial" w:hAnsi="Arial" w:cs="Arial"/>
          <w:b/>
          <w:sz w:val="22"/>
          <w:szCs w:val="22"/>
          <w:lang w:val="en-GB"/>
        </w:rPr>
        <w:t>session</w:t>
      </w:r>
    </w:p>
    <w:p w14:paraId="7EA92438" w14:textId="77777777" w:rsidR="0046769D" w:rsidRPr="00F83405" w:rsidRDefault="0046769D" w:rsidP="0046769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39DF77DF" w14:textId="77777777" w:rsidR="0046769D" w:rsidRPr="00F83405" w:rsidRDefault="0046769D" w:rsidP="0046769D">
      <w:pPr>
        <w:jc w:val="center"/>
        <w:rPr>
          <w:rFonts w:ascii="Arial" w:eastAsia="Malgun Gothic"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7AAA3802"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BF1B64" w:rsidRPr="002F6363">
        <w:rPr>
          <w:rFonts w:ascii="Arial" w:hAnsi="Arial" w:cs="Arial"/>
          <w:b/>
          <w:sz w:val="22"/>
          <w:szCs w:val="22"/>
          <w:u w:val="single"/>
          <w:lang w:val="en-GB"/>
        </w:rPr>
        <w:t>6</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6F33A3A7" w14:textId="77777777" w:rsidR="00BF1B64" w:rsidRDefault="00BF1B64" w:rsidP="00EC6F8D">
      <w:pPr>
        <w:pStyle w:val="Sansinterligne2"/>
        <w:spacing w:after="1200"/>
        <w:contextualSpacing/>
        <w:jc w:val="center"/>
        <w:rPr>
          <w:rFonts w:ascii="Arial" w:hAnsi="Arial" w:cs="Arial"/>
          <w:b/>
          <w:sz w:val="22"/>
          <w:szCs w:val="22"/>
          <w:lang w:val="en-GB"/>
        </w:rPr>
      </w:pPr>
      <w:r w:rsidRPr="00BF1B64">
        <w:rPr>
          <w:rFonts w:ascii="Arial" w:hAnsi="Arial" w:cs="Arial"/>
          <w:b/>
          <w:sz w:val="22"/>
          <w:szCs w:val="22"/>
          <w:lang w:val="en-GB"/>
        </w:rPr>
        <w:t xml:space="preserve">Intangible Cultural Heritage Fund: </w:t>
      </w:r>
    </w:p>
    <w:p w14:paraId="2B1A327C" w14:textId="77777777" w:rsidR="00EC6F8D" w:rsidRPr="00293C60" w:rsidRDefault="00BF1B64" w:rsidP="002F6363">
      <w:pPr>
        <w:pStyle w:val="Sansinterligne2"/>
        <w:spacing w:after="960"/>
        <w:jc w:val="center"/>
        <w:rPr>
          <w:rFonts w:ascii="Arial" w:hAnsi="Arial" w:cs="Arial"/>
          <w:b/>
          <w:sz w:val="22"/>
          <w:szCs w:val="22"/>
          <w:lang w:val="en-GB"/>
        </w:rPr>
      </w:pPr>
      <w:proofErr w:type="gramStart"/>
      <w:r w:rsidRPr="00BF1B64">
        <w:rPr>
          <w:rFonts w:ascii="Arial" w:hAnsi="Arial" w:cs="Arial"/>
          <w:b/>
          <w:sz w:val="22"/>
          <w:szCs w:val="22"/>
          <w:lang w:val="en-GB"/>
        </w:rPr>
        <w:t>voluntary</w:t>
      </w:r>
      <w:proofErr w:type="gramEnd"/>
      <w:r w:rsidRPr="00BF1B64">
        <w:rPr>
          <w:rFonts w:ascii="Arial" w:hAnsi="Arial" w:cs="Arial"/>
          <w:b/>
          <w:sz w:val="22"/>
          <w:szCs w:val="22"/>
          <w:lang w:val="en-GB"/>
        </w:rPr>
        <w:t xml:space="preserve"> supplementary contributions and other issues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F1B64" w14:paraId="06D1FAE0" w14:textId="77777777" w:rsidTr="00EC6F8D">
        <w:trPr>
          <w:jc w:val="center"/>
        </w:trPr>
        <w:tc>
          <w:tcPr>
            <w:tcW w:w="5670" w:type="dxa"/>
            <w:vAlign w:val="center"/>
          </w:tcPr>
          <w:p w14:paraId="270F796B"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17B1C475" w14:textId="77777777" w:rsidR="00BF1B64" w:rsidRDefault="00BF1B64" w:rsidP="00BF1B64">
            <w:pPr>
              <w:pStyle w:val="Sansinterligne2"/>
              <w:spacing w:before="200" w:after="200"/>
              <w:jc w:val="both"/>
              <w:rPr>
                <w:rFonts w:ascii="Arial" w:hAnsi="Arial" w:cs="Arial"/>
                <w:sz w:val="22"/>
                <w:szCs w:val="22"/>
                <w:lang w:val="en-GB"/>
              </w:rPr>
            </w:pPr>
            <w:r w:rsidRPr="009426E5">
              <w:rPr>
                <w:rFonts w:ascii="Arial" w:hAnsi="Arial" w:cs="Arial"/>
                <w:sz w:val="22"/>
                <w:szCs w:val="22"/>
                <w:lang w:val="en-GB"/>
              </w:rPr>
              <w:t xml:space="preserve">In accordance with Article 25.5 of the Convention, the Committee may accept contributions to the </w:t>
            </w:r>
            <w:r w:rsidRPr="002316D6">
              <w:rPr>
                <w:rFonts w:ascii="Arial" w:hAnsi="Arial" w:cs="Arial"/>
                <w:sz w:val="22"/>
                <w:szCs w:val="22"/>
                <w:lang w:val="en-GB"/>
              </w:rPr>
              <w:t>Intangible Cultural Heritage Fund</w:t>
            </w:r>
            <w:r w:rsidRPr="009426E5">
              <w:rPr>
                <w:rFonts w:ascii="Arial" w:hAnsi="Arial" w:cs="Arial"/>
                <w:sz w:val="22"/>
                <w:szCs w:val="22"/>
                <w:lang w:val="en-GB"/>
              </w:rPr>
              <w:t xml:space="preserve"> for specific purposes relating to specific projects, provided that those projects have been </w:t>
            </w:r>
            <w:r w:rsidRPr="00CB68FC">
              <w:rPr>
                <w:rFonts w:ascii="Arial" w:hAnsi="Arial" w:cs="Arial"/>
                <w:sz w:val="22"/>
                <w:szCs w:val="22"/>
                <w:lang w:val="en-GB"/>
              </w:rPr>
              <w:t>approved by the Committee. The present document</w:t>
            </w:r>
            <w:r w:rsidR="00686C34">
              <w:rPr>
                <w:rFonts w:ascii="Arial" w:hAnsi="Arial" w:cs="Arial"/>
                <w:sz w:val="22"/>
                <w:szCs w:val="22"/>
                <w:lang w:val="en-GB"/>
              </w:rPr>
              <w:t>:</w:t>
            </w:r>
            <w:r w:rsidRPr="00CB68FC">
              <w:rPr>
                <w:rFonts w:ascii="Arial" w:hAnsi="Arial" w:cs="Arial"/>
                <w:sz w:val="22"/>
                <w:szCs w:val="22"/>
                <w:lang w:val="en-GB"/>
              </w:rPr>
              <w:t xml:space="preserve"> (1) reports on such contributions</w:t>
            </w:r>
            <w:r w:rsidR="009F5D8D">
              <w:rPr>
                <w:rFonts w:ascii="Arial" w:hAnsi="Arial" w:cs="Arial"/>
                <w:sz w:val="22"/>
                <w:szCs w:val="22"/>
                <w:lang w:val="en-GB"/>
              </w:rPr>
              <w:t xml:space="preserve"> and other types of voluntary contributions</w:t>
            </w:r>
            <w:r w:rsidRPr="00CB68FC">
              <w:rPr>
                <w:rFonts w:ascii="Arial" w:hAnsi="Arial" w:cs="Arial"/>
                <w:sz w:val="22"/>
                <w:szCs w:val="22"/>
                <w:lang w:val="en-GB"/>
              </w:rPr>
              <w:t xml:space="preserve"> received between the thirteenth session of the Committee and September</w:t>
            </w:r>
            <w:r w:rsidR="00C4115B" w:rsidRPr="00CB68FC">
              <w:rPr>
                <w:rFonts w:ascii="Arial" w:hAnsi="Arial" w:cs="Arial"/>
                <w:sz w:val="22"/>
                <w:szCs w:val="22"/>
                <w:lang w:val="en-GB"/>
              </w:rPr>
              <w:t> </w:t>
            </w:r>
            <w:r w:rsidRPr="00CB68FC">
              <w:rPr>
                <w:rFonts w:ascii="Arial" w:hAnsi="Arial" w:cs="Arial"/>
                <w:sz w:val="22"/>
                <w:szCs w:val="22"/>
                <w:lang w:val="en-GB"/>
              </w:rPr>
              <w:t>2019</w:t>
            </w:r>
            <w:r w:rsidR="00686C34">
              <w:rPr>
                <w:rFonts w:ascii="Arial" w:hAnsi="Arial" w:cs="Arial"/>
                <w:sz w:val="22"/>
                <w:szCs w:val="22"/>
                <w:lang w:val="en-GB"/>
              </w:rPr>
              <w:t>;</w:t>
            </w:r>
            <w:r w:rsidRPr="00CB68FC">
              <w:rPr>
                <w:rFonts w:ascii="Arial" w:hAnsi="Arial" w:cs="Arial"/>
                <w:sz w:val="22"/>
                <w:szCs w:val="22"/>
                <w:lang w:val="en-GB"/>
              </w:rPr>
              <w:t xml:space="preserve"> and (2)</w:t>
            </w:r>
            <w:r w:rsidR="009F5D8D">
              <w:rPr>
                <w:rFonts w:ascii="Arial" w:hAnsi="Arial" w:cs="Arial"/>
                <w:sz w:val="22"/>
                <w:szCs w:val="22"/>
                <w:lang w:val="en-GB"/>
              </w:rPr>
              <w:t> </w:t>
            </w:r>
            <w:r w:rsidRPr="00CB68FC">
              <w:rPr>
                <w:rFonts w:ascii="Arial" w:hAnsi="Arial" w:cs="Arial"/>
                <w:sz w:val="22"/>
                <w:szCs w:val="22"/>
                <w:lang w:val="en-GB"/>
              </w:rPr>
              <w:t>brings to the attention of the Committee</w:t>
            </w:r>
            <w:r w:rsidR="0043764C" w:rsidRPr="00CB68FC">
              <w:rPr>
                <w:rFonts w:ascii="Arial" w:hAnsi="Arial" w:cs="Arial"/>
                <w:sz w:val="22"/>
                <w:szCs w:val="22"/>
                <w:lang w:val="en-GB"/>
              </w:rPr>
              <w:t xml:space="preserve"> a recommendation</w:t>
            </w:r>
            <w:r w:rsidRPr="00CB68FC">
              <w:rPr>
                <w:rFonts w:ascii="Arial" w:hAnsi="Arial" w:cs="Arial"/>
                <w:sz w:val="22"/>
                <w:szCs w:val="22"/>
                <w:lang w:val="en-GB"/>
              </w:rPr>
              <w:t xml:space="preserve"> </w:t>
            </w:r>
            <w:r w:rsidR="0043764C" w:rsidRPr="00CB68FC">
              <w:rPr>
                <w:rFonts w:ascii="Arial" w:hAnsi="Arial" w:cs="Arial"/>
                <w:sz w:val="22"/>
                <w:szCs w:val="22"/>
                <w:lang w:val="en-GB"/>
              </w:rPr>
              <w:t>regarding the Management Cost rate of the Intangible Cultural Heritage Fund</w:t>
            </w:r>
            <w:r w:rsidRPr="00CB68FC">
              <w:rPr>
                <w:rFonts w:ascii="Arial" w:hAnsi="Arial" w:cs="Arial"/>
                <w:sz w:val="22"/>
                <w:szCs w:val="22"/>
                <w:lang w:val="en-GB"/>
              </w:rPr>
              <w:t>.</w:t>
            </w:r>
          </w:p>
          <w:p w14:paraId="19CA7407" w14:textId="0C882515" w:rsidR="00EC6F8D" w:rsidRPr="00293C60" w:rsidRDefault="00EC6F8D" w:rsidP="009D252A">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7E2C5C" w:rsidRPr="0046769D">
              <w:rPr>
                <w:rFonts w:ascii="Arial" w:hAnsi="Arial" w:cs="Arial"/>
                <w:bCs/>
                <w:sz w:val="22"/>
                <w:szCs w:val="22"/>
                <w:lang w:val="en-GB"/>
              </w:rPr>
              <w:t>1</w:t>
            </w:r>
            <w:r w:rsidR="009D252A" w:rsidRPr="0046769D">
              <w:rPr>
                <w:rFonts w:ascii="Arial" w:hAnsi="Arial" w:cs="Arial"/>
                <w:bCs/>
                <w:sz w:val="22"/>
                <w:szCs w:val="22"/>
                <w:lang w:val="en-GB"/>
              </w:rPr>
              <w:t>8</w:t>
            </w:r>
          </w:p>
        </w:tc>
      </w:tr>
    </w:tbl>
    <w:p w14:paraId="40921E0B" w14:textId="77777777" w:rsidR="00BF1B64" w:rsidRPr="00BF1B64" w:rsidRDefault="00655736" w:rsidP="00BF1B64">
      <w:pPr>
        <w:pStyle w:val="COMPara"/>
        <w:numPr>
          <w:ilvl w:val="0"/>
          <w:numId w:val="13"/>
        </w:numPr>
        <w:ind w:left="567" w:hanging="567"/>
        <w:jc w:val="both"/>
      </w:pPr>
      <w:r w:rsidRPr="00414643">
        <w:br w:type="page"/>
      </w:r>
      <w:r w:rsidR="00BF1B64" w:rsidRPr="00BF1B64">
        <w:rPr>
          <w:lang w:val="en-US"/>
        </w:rPr>
        <w:lastRenderedPageBreak/>
        <w:t xml:space="preserve">Chapter VI of the Convention, concerning the Fund for the Safeguarding of the Intangible Cultural Heritage (hereafter, </w:t>
      </w:r>
      <w:r w:rsidR="00686C34">
        <w:rPr>
          <w:lang w:val="en-US"/>
        </w:rPr>
        <w:t>‘</w:t>
      </w:r>
      <w:r w:rsidR="00BF1B64" w:rsidRPr="00BF1B64">
        <w:rPr>
          <w:lang w:val="en-US"/>
        </w:rPr>
        <w:t>the Fund</w:t>
      </w:r>
      <w:r w:rsidR="00686C34">
        <w:rPr>
          <w:lang w:val="en-US"/>
        </w:rPr>
        <w:t>’</w:t>
      </w:r>
      <w:r w:rsidR="00BF1B64" w:rsidRPr="00BF1B64">
        <w:rPr>
          <w:lang w:val="en-US"/>
        </w:rPr>
        <w:t xml:space="preserve">), </w:t>
      </w:r>
      <w:r w:rsidR="004E0E9E">
        <w:rPr>
          <w:lang w:val="en-US"/>
        </w:rPr>
        <w:t>establishes</w:t>
      </w:r>
      <w:r w:rsidR="004E0E9E" w:rsidRPr="00BF1B64">
        <w:rPr>
          <w:lang w:val="en-US"/>
        </w:rPr>
        <w:t xml:space="preserve"> </w:t>
      </w:r>
      <w:r w:rsidR="00BF1B64" w:rsidRPr="00BF1B64">
        <w:rPr>
          <w:lang w:val="en-US"/>
        </w:rPr>
        <w:t>that States Parties may wish to provide voluntary supplementary contributions (Article 27) in addition to their assessed contributions (Article 26). Such contributions may be made in favor of specific projects, ‘provided that those projects have been approved by the Committee’, according to Article 25.5.</w:t>
      </w:r>
    </w:p>
    <w:p w14:paraId="40976E74" w14:textId="316E3A62" w:rsidR="00BF1B64" w:rsidRPr="00BF1B64" w:rsidRDefault="00BF1B64" w:rsidP="00BF1B64">
      <w:pPr>
        <w:numPr>
          <w:ilvl w:val="0"/>
          <w:numId w:val="9"/>
        </w:numPr>
        <w:spacing w:after="120"/>
        <w:ind w:left="567" w:hanging="567"/>
        <w:jc w:val="both"/>
        <w:rPr>
          <w:rFonts w:ascii="Arial" w:hAnsi="Arial" w:cs="Arial"/>
          <w:snapToGrid w:val="0"/>
          <w:sz w:val="22"/>
          <w:szCs w:val="22"/>
          <w:lang w:val="en-GB" w:eastAsia="en-US"/>
        </w:rPr>
      </w:pPr>
      <w:r w:rsidRPr="00BF1B64">
        <w:rPr>
          <w:rFonts w:ascii="Arial" w:hAnsi="Arial" w:cs="Arial"/>
          <w:snapToGrid w:val="0"/>
          <w:sz w:val="22"/>
          <w:szCs w:val="22"/>
          <w:lang w:val="en-US" w:eastAsia="en-US"/>
        </w:rPr>
        <w:t>A</w:t>
      </w:r>
      <w:r w:rsidRPr="00BF1B64">
        <w:rPr>
          <w:rFonts w:ascii="Arial" w:hAnsi="Arial" w:cs="Arial"/>
          <w:snapToGrid w:val="0"/>
          <w:sz w:val="22"/>
          <w:szCs w:val="22"/>
          <w:lang w:val="en-GB" w:eastAsia="en-US"/>
        </w:rPr>
        <w:t>t its twelfth session, the Committee approved two new funding priorities for the period 2018</w:t>
      </w:r>
      <w:r w:rsidR="00686C34">
        <w:rPr>
          <w:rFonts w:ascii="Arial" w:hAnsi="Arial" w:cs="Arial"/>
          <w:snapToGrid w:val="0"/>
          <w:sz w:val="22"/>
          <w:szCs w:val="22"/>
          <w:lang w:val="en-GB" w:eastAsia="en-US"/>
        </w:rPr>
        <w:t>–</w:t>
      </w:r>
      <w:r w:rsidR="00941F84" w:rsidRPr="00BF1B64">
        <w:rPr>
          <w:lang w:val="en-US"/>
        </w:rPr>
        <w:t> </w:t>
      </w:r>
      <w:r w:rsidRPr="00BF1B64">
        <w:rPr>
          <w:rFonts w:ascii="Arial" w:hAnsi="Arial" w:cs="Arial"/>
          <w:snapToGrid w:val="0"/>
          <w:sz w:val="22"/>
          <w:szCs w:val="22"/>
          <w:lang w:val="en-GB" w:eastAsia="en-US"/>
        </w:rPr>
        <w:t>2021: (1) ‘Strengthening capacities to safeguard intangible cultural heritage and contribute to sustainable development’ to continue efforts to extend the reach and effectiveness of the global capacity</w:t>
      </w:r>
      <w:r w:rsidRPr="00BF1B64">
        <w:rPr>
          <w:rFonts w:ascii="Arial" w:hAnsi="Arial" w:cs="Arial"/>
          <w:snapToGrid w:val="0"/>
          <w:sz w:val="22"/>
          <w:szCs w:val="22"/>
          <w:lang w:val="en-GB" w:eastAsia="en-US"/>
        </w:rPr>
        <w:noBreakHyphen/>
        <w:t>building strategy</w:t>
      </w:r>
      <w:r w:rsidR="00686C34">
        <w:rPr>
          <w:rFonts w:ascii="Arial" w:hAnsi="Arial" w:cs="Arial"/>
          <w:snapToGrid w:val="0"/>
          <w:sz w:val="22"/>
          <w:szCs w:val="22"/>
          <w:lang w:val="en-GB" w:eastAsia="en-US"/>
        </w:rPr>
        <w:t>;</w:t>
      </w:r>
      <w:r w:rsidRPr="00BF1B64">
        <w:rPr>
          <w:rFonts w:ascii="Arial" w:hAnsi="Arial" w:cs="Arial"/>
          <w:snapToGrid w:val="0"/>
          <w:sz w:val="22"/>
          <w:szCs w:val="22"/>
          <w:lang w:val="en-GB" w:eastAsia="en-US"/>
        </w:rPr>
        <w:t xml:space="preserve"> and (2) ‘Safeguarding intangible cultural heritage in formal and non-formal education’, </w:t>
      </w:r>
      <w:r w:rsidR="008E73E5">
        <w:rPr>
          <w:rFonts w:ascii="Arial" w:hAnsi="Arial" w:cs="Arial"/>
          <w:snapToGrid w:val="0"/>
          <w:sz w:val="22"/>
          <w:szCs w:val="22"/>
          <w:lang w:val="en-GB" w:eastAsia="en-US"/>
        </w:rPr>
        <w:t>an</w:t>
      </w:r>
      <w:r w:rsidRPr="00BF1B64">
        <w:rPr>
          <w:rFonts w:ascii="Arial" w:hAnsi="Arial" w:cs="Arial"/>
          <w:snapToGrid w:val="0"/>
          <w:sz w:val="22"/>
          <w:szCs w:val="22"/>
          <w:lang w:val="en-GB" w:eastAsia="en-US"/>
        </w:rPr>
        <w:t xml:space="preserve"> initiative established in response to Article 2 of the Convention that defines transmission through formal and non-formal education as a safeguarding measure (</w:t>
      </w:r>
      <w:hyperlink r:id="rId8" w:history="1">
        <w:r w:rsidRPr="00BF1B64">
          <w:rPr>
            <w:rFonts w:ascii="Arial" w:hAnsi="Arial" w:cs="Arial"/>
            <w:snapToGrid w:val="0"/>
            <w:color w:val="0000FF" w:themeColor="hyperlink"/>
            <w:sz w:val="22"/>
            <w:szCs w:val="22"/>
            <w:u w:val="single"/>
            <w:lang w:val="en-GB" w:eastAsia="en-US"/>
          </w:rPr>
          <w:t>Decision 12.COM 6</w:t>
        </w:r>
      </w:hyperlink>
      <w:r w:rsidRPr="00BF1B64">
        <w:rPr>
          <w:rFonts w:ascii="Arial" w:hAnsi="Arial" w:cs="Arial"/>
          <w:snapToGrid w:val="0"/>
          <w:sz w:val="22"/>
          <w:szCs w:val="22"/>
          <w:lang w:val="en-GB" w:eastAsia="en-US"/>
        </w:rPr>
        <w:t>). The resource mobilization targets set for the two funding priorities were US$5 million and US$2 million, respectively, for the period 2018</w:t>
      </w:r>
      <w:r w:rsidR="00686C34">
        <w:rPr>
          <w:rFonts w:ascii="Arial" w:hAnsi="Arial" w:cs="Arial"/>
          <w:snapToGrid w:val="0"/>
          <w:sz w:val="22"/>
          <w:szCs w:val="22"/>
          <w:lang w:val="en-GB" w:eastAsia="en-US"/>
        </w:rPr>
        <w:t>–</w:t>
      </w:r>
      <w:r w:rsidRPr="00BF1B64">
        <w:rPr>
          <w:rFonts w:ascii="Arial" w:hAnsi="Arial" w:cs="Arial"/>
          <w:snapToGrid w:val="0"/>
          <w:sz w:val="22"/>
          <w:szCs w:val="22"/>
          <w:lang w:val="en-GB" w:eastAsia="en-US"/>
        </w:rPr>
        <w:t>2021.</w:t>
      </w:r>
    </w:p>
    <w:p w14:paraId="0C75258C" w14:textId="77777777" w:rsidR="00BF1B64" w:rsidRPr="00BF1B64" w:rsidRDefault="00BF1B64" w:rsidP="00BF1B64">
      <w:pPr>
        <w:numPr>
          <w:ilvl w:val="0"/>
          <w:numId w:val="9"/>
        </w:numPr>
        <w:spacing w:after="120"/>
        <w:ind w:left="567" w:hanging="567"/>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At the present session, the Secretariat is asked to report on the progress made in the implementation of any voluntary supplementary contributions it has received since the t</w:t>
      </w:r>
      <w:r w:rsidR="0098262F">
        <w:rPr>
          <w:rFonts w:ascii="Arial" w:hAnsi="Arial" w:cs="Arial"/>
          <w:snapToGrid w:val="0"/>
          <w:sz w:val="22"/>
          <w:szCs w:val="22"/>
          <w:lang w:val="en-GB" w:eastAsia="en-US"/>
        </w:rPr>
        <w:t>hirteenth</w:t>
      </w:r>
      <w:r w:rsidRPr="00BF1B64">
        <w:rPr>
          <w:rFonts w:ascii="Arial" w:hAnsi="Arial" w:cs="Arial"/>
          <w:snapToGrid w:val="0"/>
          <w:sz w:val="22"/>
          <w:szCs w:val="22"/>
          <w:lang w:val="en-GB" w:eastAsia="en-US"/>
        </w:rPr>
        <w:t xml:space="preserve"> session</w:t>
      </w:r>
      <w:r w:rsidR="00E13542">
        <w:rPr>
          <w:rFonts w:ascii="Arial" w:hAnsi="Arial" w:cs="Arial"/>
          <w:snapToGrid w:val="0"/>
          <w:sz w:val="22"/>
          <w:szCs w:val="22"/>
          <w:lang w:val="en-GB" w:eastAsia="en-US"/>
        </w:rPr>
        <w:t xml:space="preserve"> (</w:t>
      </w:r>
      <w:hyperlink r:id="rId9" w:history="1">
        <w:r w:rsidR="00E13542" w:rsidRPr="00E13542">
          <w:rPr>
            <w:rStyle w:val="Hyperlink"/>
            <w:rFonts w:ascii="Arial" w:hAnsi="Arial" w:cs="Arial"/>
            <w:snapToGrid w:val="0"/>
            <w:sz w:val="22"/>
            <w:szCs w:val="22"/>
            <w:lang w:val="en-GB" w:eastAsia="en-US"/>
          </w:rPr>
          <w:t>Decision 13.COM 6</w:t>
        </w:r>
      </w:hyperlink>
      <w:r w:rsidR="00E13542">
        <w:rPr>
          <w:rFonts w:ascii="Arial" w:hAnsi="Arial" w:cs="Arial"/>
          <w:snapToGrid w:val="0"/>
          <w:sz w:val="22"/>
          <w:szCs w:val="22"/>
          <w:lang w:val="en-GB" w:eastAsia="en-US"/>
        </w:rPr>
        <w:t>)</w:t>
      </w:r>
      <w:r w:rsidRPr="00BF1B64">
        <w:rPr>
          <w:rFonts w:ascii="Arial" w:hAnsi="Arial" w:cs="Arial"/>
          <w:snapToGrid w:val="0"/>
          <w:sz w:val="22"/>
          <w:szCs w:val="22"/>
          <w:lang w:val="en-GB" w:eastAsia="en-US"/>
        </w:rPr>
        <w:t>.</w:t>
      </w:r>
      <w:r w:rsidRPr="00BF1B64">
        <w:rPr>
          <w:rFonts w:ascii="Arial" w:hAnsi="Arial" w:cs="Arial"/>
          <w:bCs/>
          <w:snapToGrid w:val="0"/>
          <w:sz w:val="22"/>
          <w:szCs w:val="22"/>
          <w:lang w:val="en-GB" w:eastAsia="en-US"/>
        </w:rPr>
        <w:t xml:space="preserve"> Furthermore, t</w:t>
      </w:r>
      <w:r w:rsidRPr="00BF1B64">
        <w:rPr>
          <w:rFonts w:ascii="Arial" w:hAnsi="Arial" w:cs="Arial"/>
          <w:snapToGrid w:val="0"/>
          <w:sz w:val="22"/>
          <w:szCs w:val="22"/>
          <w:lang w:val="en-GB" w:eastAsia="en-US"/>
        </w:rPr>
        <w:t>he Committee took note that States make use of different forms of support to the Convention, financial and in-kind, and not only of voluntary supplementary contributions to the Fund</w:t>
      </w:r>
      <w:r w:rsidR="00E13542">
        <w:rPr>
          <w:rFonts w:ascii="Arial" w:hAnsi="Arial" w:cs="Arial"/>
          <w:snapToGrid w:val="0"/>
          <w:sz w:val="22"/>
          <w:szCs w:val="22"/>
          <w:lang w:val="en-GB" w:eastAsia="en-US"/>
        </w:rPr>
        <w:t xml:space="preserve"> </w:t>
      </w:r>
      <w:r w:rsidR="00E13542" w:rsidRPr="00BF1B64">
        <w:rPr>
          <w:rFonts w:ascii="Arial" w:hAnsi="Arial" w:cs="Arial"/>
          <w:snapToGrid w:val="0"/>
          <w:sz w:val="22"/>
          <w:szCs w:val="22"/>
          <w:lang w:val="en-GB" w:eastAsia="en-US"/>
        </w:rPr>
        <w:t>(</w:t>
      </w:r>
      <w:hyperlink r:id="rId10" w:history="1">
        <w:r w:rsidR="00E13542" w:rsidRPr="00BF1B64">
          <w:rPr>
            <w:rFonts w:ascii="Arial" w:hAnsi="Arial" w:cs="Arial"/>
            <w:snapToGrid w:val="0"/>
            <w:color w:val="0000FF" w:themeColor="hyperlink"/>
            <w:sz w:val="22"/>
            <w:szCs w:val="22"/>
            <w:u w:val="single"/>
            <w:lang w:val="en-GB" w:eastAsia="en-US"/>
          </w:rPr>
          <w:t>Decision 7.COM 20.1</w:t>
        </w:r>
      </w:hyperlink>
      <w:r w:rsidR="00E13542" w:rsidRPr="00BF1B64">
        <w:rPr>
          <w:rFonts w:ascii="Arial" w:hAnsi="Arial" w:cs="Arial"/>
          <w:snapToGrid w:val="0"/>
          <w:sz w:val="22"/>
          <w:szCs w:val="22"/>
          <w:lang w:val="en-GB" w:eastAsia="en-US"/>
        </w:rPr>
        <w:t>)</w:t>
      </w:r>
      <w:r w:rsidRPr="00BF1B64">
        <w:rPr>
          <w:rFonts w:ascii="Arial" w:hAnsi="Arial" w:cs="Arial"/>
          <w:snapToGrid w:val="0"/>
          <w:sz w:val="22"/>
          <w:szCs w:val="22"/>
          <w:lang w:val="en-GB" w:eastAsia="en-US"/>
        </w:rPr>
        <w:t xml:space="preserve">. It therefore requested that the Secretariat report at each session of the Committee on all forms of contributions received since the previous session. Accordingly, the list of contributions in </w:t>
      </w:r>
      <w:r w:rsidRPr="009B0DD0">
        <w:rPr>
          <w:rFonts w:ascii="Arial" w:hAnsi="Arial" w:cs="Arial"/>
          <w:snapToGrid w:val="0"/>
          <w:sz w:val="22"/>
          <w:szCs w:val="22"/>
          <w:lang w:val="en-GB" w:eastAsia="en-US"/>
        </w:rPr>
        <w:t xml:space="preserve">support of the 2003 Convention received between the </w:t>
      </w:r>
      <w:r w:rsidR="0098262F" w:rsidRPr="009B0DD0">
        <w:rPr>
          <w:rFonts w:ascii="Arial" w:hAnsi="Arial" w:cs="Arial"/>
          <w:snapToGrid w:val="0"/>
          <w:sz w:val="22"/>
          <w:szCs w:val="22"/>
          <w:lang w:val="en-GB" w:eastAsia="en-US"/>
        </w:rPr>
        <w:t>thirteenth</w:t>
      </w:r>
      <w:r w:rsidRPr="009B0DD0">
        <w:rPr>
          <w:rFonts w:ascii="Arial" w:hAnsi="Arial" w:cs="Arial"/>
          <w:snapToGrid w:val="0"/>
          <w:sz w:val="22"/>
          <w:szCs w:val="22"/>
          <w:lang w:val="en-GB" w:eastAsia="en-US"/>
        </w:rPr>
        <w:t xml:space="preserve"> session of the Committee and </w:t>
      </w:r>
      <w:r w:rsidRPr="00CB68FC">
        <w:rPr>
          <w:rFonts w:ascii="Arial" w:hAnsi="Arial" w:cs="Arial"/>
          <w:snapToGrid w:val="0"/>
          <w:sz w:val="22"/>
          <w:szCs w:val="22"/>
          <w:lang w:val="en-GB" w:eastAsia="en-US"/>
        </w:rPr>
        <w:t>September 201</w:t>
      </w:r>
      <w:r w:rsidR="0098262F" w:rsidRPr="00CB68FC">
        <w:rPr>
          <w:rFonts w:ascii="Arial" w:hAnsi="Arial" w:cs="Arial"/>
          <w:snapToGrid w:val="0"/>
          <w:sz w:val="22"/>
          <w:szCs w:val="22"/>
          <w:lang w:val="en-GB" w:eastAsia="en-US"/>
        </w:rPr>
        <w:t>9</w:t>
      </w:r>
      <w:r w:rsidRPr="009B0DD0">
        <w:rPr>
          <w:rFonts w:ascii="Arial" w:hAnsi="Arial" w:cs="Arial"/>
          <w:snapToGrid w:val="0"/>
          <w:sz w:val="22"/>
          <w:szCs w:val="22"/>
          <w:lang w:val="en-GB" w:eastAsia="en-US"/>
        </w:rPr>
        <w:t xml:space="preserve"> </w:t>
      </w:r>
      <w:r w:rsidR="009B0DD0">
        <w:rPr>
          <w:rFonts w:ascii="Arial" w:hAnsi="Arial" w:cs="Arial"/>
          <w:snapToGrid w:val="0"/>
          <w:sz w:val="22"/>
          <w:szCs w:val="22"/>
          <w:lang w:val="en-GB" w:eastAsia="en-US"/>
        </w:rPr>
        <w:t>is annexed to</w:t>
      </w:r>
      <w:r w:rsidRPr="00BF1B64">
        <w:rPr>
          <w:rFonts w:ascii="Arial" w:hAnsi="Arial" w:cs="Arial"/>
          <w:snapToGrid w:val="0"/>
          <w:sz w:val="22"/>
          <w:szCs w:val="22"/>
          <w:lang w:val="en-GB" w:eastAsia="en-US"/>
        </w:rPr>
        <w:t xml:space="preserve"> the present document.</w:t>
      </w:r>
      <w:r w:rsidR="00686C34">
        <w:rPr>
          <w:rFonts w:ascii="Arial" w:hAnsi="Arial" w:cs="Arial"/>
          <w:snapToGrid w:val="0"/>
          <w:sz w:val="22"/>
          <w:szCs w:val="22"/>
          <w:lang w:val="en-GB" w:eastAsia="en-US"/>
        </w:rPr>
        <w:t xml:space="preserve"> </w:t>
      </w:r>
    </w:p>
    <w:p w14:paraId="052E1154" w14:textId="77777777" w:rsidR="00BF1B64" w:rsidRPr="000D60A4" w:rsidRDefault="00BF1B64" w:rsidP="00737E12">
      <w:pPr>
        <w:pStyle w:val="ListParagraph"/>
        <w:numPr>
          <w:ilvl w:val="0"/>
          <w:numId w:val="14"/>
        </w:numPr>
        <w:tabs>
          <w:tab w:val="left" w:pos="567"/>
        </w:tabs>
        <w:snapToGrid w:val="0"/>
        <w:spacing w:before="240" w:after="120"/>
        <w:ind w:left="567" w:hanging="567"/>
        <w:jc w:val="both"/>
        <w:rPr>
          <w:rFonts w:ascii="Arial" w:hAnsi="Arial" w:cs="Arial"/>
          <w:b/>
          <w:snapToGrid w:val="0"/>
          <w:sz w:val="22"/>
          <w:szCs w:val="22"/>
          <w:lang w:val="en-GB" w:eastAsia="en-US"/>
        </w:rPr>
      </w:pPr>
      <w:r w:rsidRPr="000D60A4">
        <w:rPr>
          <w:rFonts w:ascii="Arial" w:hAnsi="Arial" w:cs="Arial"/>
          <w:b/>
          <w:snapToGrid w:val="0"/>
          <w:sz w:val="22"/>
          <w:szCs w:val="22"/>
          <w:lang w:val="en-GB" w:eastAsia="en-US"/>
        </w:rPr>
        <w:t>State of affairs</w:t>
      </w:r>
    </w:p>
    <w:p w14:paraId="535B7019" w14:textId="5755316A" w:rsidR="00B74458" w:rsidRPr="003E4583" w:rsidRDefault="00B74458" w:rsidP="00B74458">
      <w:pPr>
        <w:numPr>
          <w:ilvl w:val="0"/>
          <w:numId w:val="9"/>
        </w:numPr>
        <w:spacing w:after="120"/>
        <w:ind w:left="567" w:hanging="567"/>
        <w:jc w:val="both"/>
        <w:rPr>
          <w:rFonts w:ascii="Arial" w:hAnsi="Arial" w:cs="Arial"/>
          <w:snapToGrid w:val="0"/>
          <w:sz w:val="22"/>
          <w:szCs w:val="22"/>
          <w:lang w:val="en-GB" w:eastAsia="en-US"/>
        </w:rPr>
      </w:pPr>
      <w:r>
        <w:rPr>
          <w:rFonts w:ascii="Arial" w:hAnsi="Arial" w:cs="Arial"/>
          <w:snapToGrid w:val="0"/>
          <w:sz w:val="22"/>
          <w:szCs w:val="22"/>
          <w:lang w:val="en-GB" w:eastAsia="en-US"/>
        </w:rPr>
        <w:t>S</w:t>
      </w:r>
      <w:r w:rsidRPr="003E4583">
        <w:rPr>
          <w:rFonts w:ascii="Arial" w:hAnsi="Arial" w:cs="Arial"/>
          <w:snapToGrid w:val="0"/>
          <w:sz w:val="22"/>
          <w:szCs w:val="22"/>
          <w:lang w:val="en-GB" w:eastAsia="en-US"/>
        </w:rPr>
        <w:t xml:space="preserve">ince December </w:t>
      </w:r>
      <w:r w:rsidRPr="002425EF">
        <w:rPr>
          <w:rFonts w:ascii="Arial" w:hAnsi="Arial" w:cs="Arial"/>
          <w:snapToGrid w:val="0"/>
          <w:sz w:val="22"/>
          <w:szCs w:val="22"/>
          <w:lang w:val="en-GB" w:eastAsia="en-US"/>
        </w:rPr>
        <w:t>2018, no</w:t>
      </w:r>
      <w:r w:rsidR="00863BBC" w:rsidRPr="002425EF">
        <w:rPr>
          <w:rFonts w:ascii="Arial" w:hAnsi="Arial" w:cs="Arial"/>
          <w:snapToGrid w:val="0"/>
          <w:sz w:val="22"/>
          <w:szCs w:val="22"/>
          <w:lang w:val="en-GB" w:eastAsia="en-US"/>
        </w:rPr>
        <w:t xml:space="preserve"> new voluntary supplementary </w:t>
      </w:r>
      <w:r w:rsidRPr="002425EF">
        <w:rPr>
          <w:rFonts w:ascii="Arial" w:hAnsi="Arial" w:cs="Arial"/>
          <w:snapToGrid w:val="0"/>
          <w:sz w:val="22"/>
          <w:szCs w:val="22"/>
          <w:lang w:val="en-GB" w:eastAsia="en-US"/>
        </w:rPr>
        <w:t>contribution</w:t>
      </w:r>
      <w:r w:rsidR="00686C34" w:rsidRPr="002425EF">
        <w:rPr>
          <w:rFonts w:ascii="Arial" w:hAnsi="Arial" w:cs="Arial"/>
          <w:snapToGrid w:val="0"/>
          <w:sz w:val="22"/>
          <w:szCs w:val="22"/>
          <w:lang w:val="en-GB" w:eastAsia="en-US"/>
        </w:rPr>
        <w:t>s</w:t>
      </w:r>
      <w:r w:rsidRPr="002425EF">
        <w:rPr>
          <w:rFonts w:ascii="Arial" w:hAnsi="Arial" w:cs="Arial"/>
          <w:snapToGrid w:val="0"/>
          <w:sz w:val="22"/>
          <w:szCs w:val="22"/>
          <w:lang w:val="en-GB" w:eastAsia="en-US"/>
        </w:rPr>
        <w:t xml:space="preserve"> </w:t>
      </w:r>
      <w:r w:rsidR="00863BBC" w:rsidRPr="002425EF">
        <w:rPr>
          <w:rFonts w:ascii="Arial" w:hAnsi="Arial" w:cs="Arial"/>
          <w:snapToGrid w:val="0"/>
          <w:sz w:val="22"/>
          <w:szCs w:val="22"/>
          <w:lang w:val="en-GB" w:eastAsia="en-US"/>
        </w:rPr>
        <w:t xml:space="preserve">to the Fund </w:t>
      </w:r>
      <w:r w:rsidR="00686C34" w:rsidRPr="002425EF">
        <w:rPr>
          <w:rFonts w:ascii="Arial" w:hAnsi="Arial" w:cs="Arial"/>
          <w:snapToGrid w:val="0"/>
          <w:sz w:val="22"/>
          <w:szCs w:val="22"/>
          <w:lang w:val="en-GB" w:eastAsia="en-US"/>
        </w:rPr>
        <w:t xml:space="preserve">have </w:t>
      </w:r>
      <w:r w:rsidRPr="002425EF">
        <w:rPr>
          <w:rFonts w:ascii="Arial" w:hAnsi="Arial" w:cs="Arial"/>
          <w:snapToGrid w:val="0"/>
          <w:sz w:val="22"/>
          <w:szCs w:val="22"/>
          <w:lang w:val="en-GB" w:eastAsia="en-US"/>
        </w:rPr>
        <w:t xml:space="preserve">been received, for the second consecutive year, for earmarked activities contributing to </w:t>
      </w:r>
      <w:r w:rsidR="009F7266" w:rsidRPr="00FF3EC6">
        <w:rPr>
          <w:rFonts w:ascii="Arial" w:hAnsi="Arial" w:cs="Arial"/>
          <w:snapToGrid w:val="0"/>
          <w:sz w:val="22"/>
          <w:szCs w:val="22"/>
          <w:lang w:val="en-GB" w:eastAsia="en-US"/>
        </w:rPr>
        <w:t xml:space="preserve">either </w:t>
      </w:r>
      <w:r w:rsidRPr="00FF3EC6">
        <w:rPr>
          <w:rFonts w:ascii="Arial" w:hAnsi="Arial" w:cs="Arial"/>
          <w:snapToGrid w:val="0"/>
          <w:sz w:val="22"/>
          <w:szCs w:val="22"/>
          <w:lang w:val="en-GB" w:eastAsia="en-US"/>
        </w:rPr>
        <w:t>of</w:t>
      </w:r>
      <w:r w:rsidRPr="002425EF">
        <w:rPr>
          <w:rFonts w:ascii="Arial" w:hAnsi="Arial" w:cs="Arial"/>
          <w:snapToGrid w:val="0"/>
          <w:sz w:val="22"/>
          <w:szCs w:val="22"/>
          <w:lang w:val="en-GB" w:eastAsia="en-US"/>
        </w:rPr>
        <w:t xml:space="preserve"> the two funding priorities approved by the Committee for the period 2018</w:t>
      </w:r>
      <w:r w:rsidR="00686C34" w:rsidRPr="002425EF">
        <w:rPr>
          <w:rFonts w:ascii="Arial" w:hAnsi="Arial" w:cs="Arial"/>
          <w:snapToGrid w:val="0"/>
          <w:sz w:val="22"/>
          <w:szCs w:val="22"/>
          <w:lang w:val="en-GB" w:eastAsia="en-US"/>
        </w:rPr>
        <w:t>–</w:t>
      </w:r>
      <w:r w:rsidRPr="002425EF">
        <w:rPr>
          <w:rFonts w:ascii="Arial" w:hAnsi="Arial" w:cs="Arial"/>
          <w:snapToGrid w:val="0"/>
          <w:sz w:val="22"/>
          <w:szCs w:val="22"/>
          <w:lang w:val="en-GB" w:eastAsia="en-US"/>
        </w:rPr>
        <w:t>2021.</w:t>
      </w:r>
      <w:r w:rsidR="00863BBC" w:rsidRPr="002425EF">
        <w:rPr>
          <w:rFonts w:ascii="Arial" w:hAnsi="Arial" w:cs="Arial"/>
          <w:snapToGrid w:val="0"/>
          <w:sz w:val="22"/>
          <w:szCs w:val="22"/>
          <w:lang w:val="en-GB" w:eastAsia="en-US"/>
        </w:rPr>
        <w:t xml:space="preserve"> </w:t>
      </w:r>
      <w:r w:rsidR="00965C3B">
        <w:rPr>
          <w:rFonts w:ascii="Arial" w:hAnsi="Arial" w:cs="Arial"/>
          <w:snapToGrid w:val="0"/>
          <w:sz w:val="22"/>
          <w:szCs w:val="22"/>
          <w:lang w:val="en-GB" w:eastAsia="en-US"/>
        </w:rPr>
        <w:t>However, one contribution was received</w:t>
      </w:r>
      <w:r w:rsidR="00AD4D75">
        <w:rPr>
          <w:rFonts w:ascii="Arial" w:hAnsi="Arial" w:cs="Arial"/>
          <w:snapToGrid w:val="0"/>
          <w:sz w:val="22"/>
          <w:szCs w:val="22"/>
          <w:lang w:val="en-GB" w:eastAsia="en-US"/>
        </w:rPr>
        <w:t xml:space="preserve"> in 2019</w:t>
      </w:r>
      <w:r w:rsidR="00965C3B">
        <w:rPr>
          <w:rFonts w:ascii="Arial" w:hAnsi="Arial" w:cs="Arial"/>
          <w:snapToGrid w:val="0"/>
          <w:sz w:val="22"/>
          <w:szCs w:val="22"/>
          <w:lang w:val="en-GB" w:eastAsia="en-US"/>
        </w:rPr>
        <w:t xml:space="preserve"> to support the global reflection on the listing mechanisms of the Convention</w:t>
      </w:r>
      <w:r w:rsidR="00AD4D75">
        <w:rPr>
          <w:rFonts w:ascii="Arial" w:hAnsi="Arial" w:cs="Arial"/>
          <w:snapToGrid w:val="0"/>
          <w:sz w:val="22"/>
          <w:szCs w:val="22"/>
          <w:lang w:val="en-GB" w:eastAsia="en-US"/>
        </w:rPr>
        <w:t>, as approved by the Committee at its thirteenth session (</w:t>
      </w:r>
      <w:hyperlink r:id="rId11" w:history="1">
        <w:r w:rsidR="00AD4D75" w:rsidRPr="00AD4D75">
          <w:rPr>
            <w:rStyle w:val="Hyperlink"/>
            <w:rFonts w:ascii="Arial" w:hAnsi="Arial" w:cs="Arial"/>
            <w:snapToGrid w:val="0"/>
            <w:sz w:val="22"/>
            <w:szCs w:val="22"/>
            <w:lang w:val="en-GB" w:eastAsia="en-US"/>
          </w:rPr>
          <w:t>Decision 13.COM 6</w:t>
        </w:r>
      </w:hyperlink>
      <w:r w:rsidR="00AD4D75">
        <w:rPr>
          <w:rFonts w:ascii="Arial" w:hAnsi="Arial" w:cs="Arial"/>
          <w:snapToGrid w:val="0"/>
          <w:sz w:val="22"/>
          <w:szCs w:val="22"/>
          <w:lang w:val="en-GB" w:eastAsia="en-US"/>
        </w:rPr>
        <w:t>)</w:t>
      </w:r>
      <w:r w:rsidR="00965C3B">
        <w:rPr>
          <w:rFonts w:ascii="Arial" w:hAnsi="Arial" w:cs="Arial"/>
          <w:snapToGrid w:val="0"/>
          <w:sz w:val="22"/>
          <w:szCs w:val="22"/>
          <w:lang w:val="en-GB" w:eastAsia="en-US"/>
        </w:rPr>
        <w:t xml:space="preserve">. </w:t>
      </w:r>
      <w:r w:rsidR="0013124C">
        <w:rPr>
          <w:rFonts w:ascii="Arial" w:hAnsi="Arial" w:cs="Arial"/>
          <w:snapToGrid w:val="0"/>
          <w:sz w:val="22"/>
          <w:szCs w:val="22"/>
          <w:lang w:val="en-GB" w:eastAsia="en-US"/>
        </w:rPr>
        <w:t>Meanwhile, i</w:t>
      </w:r>
      <w:r w:rsidR="00B444B7" w:rsidRPr="002425EF">
        <w:rPr>
          <w:rFonts w:ascii="Arial" w:hAnsi="Arial" w:cs="Arial"/>
          <w:snapToGrid w:val="0"/>
          <w:sz w:val="22"/>
          <w:szCs w:val="22"/>
          <w:lang w:val="en-GB" w:eastAsia="en-US"/>
        </w:rPr>
        <w:t>n addition to the in-kind support provided</w:t>
      </w:r>
      <w:r w:rsidR="00B444B7">
        <w:rPr>
          <w:rFonts w:ascii="Arial" w:hAnsi="Arial" w:cs="Arial"/>
          <w:snapToGrid w:val="0"/>
          <w:sz w:val="22"/>
          <w:szCs w:val="22"/>
          <w:lang w:val="en-GB" w:eastAsia="en-US"/>
        </w:rPr>
        <w:t xml:space="preserve"> by two States Parties, </w:t>
      </w:r>
      <w:r w:rsidRPr="003E4583">
        <w:rPr>
          <w:rFonts w:ascii="Arial" w:hAnsi="Arial" w:cs="Arial"/>
          <w:snapToGrid w:val="0"/>
          <w:sz w:val="22"/>
          <w:szCs w:val="22"/>
          <w:lang w:val="en-GB" w:eastAsia="en-US"/>
        </w:rPr>
        <w:t>two</w:t>
      </w:r>
      <w:r w:rsidR="00B444B7">
        <w:rPr>
          <w:rFonts w:ascii="Arial" w:hAnsi="Arial" w:cs="Arial"/>
          <w:snapToGrid w:val="0"/>
          <w:sz w:val="22"/>
          <w:szCs w:val="22"/>
          <w:lang w:val="en-GB" w:eastAsia="en-US"/>
        </w:rPr>
        <w:t xml:space="preserve"> </w:t>
      </w:r>
      <w:r w:rsidRPr="003E4583">
        <w:rPr>
          <w:rFonts w:ascii="Arial" w:hAnsi="Arial" w:cs="Arial"/>
          <w:snapToGrid w:val="0"/>
          <w:sz w:val="22"/>
          <w:szCs w:val="22"/>
          <w:lang w:val="en-GB" w:eastAsia="en-US"/>
        </w:rPr>
        <w:t xml:space="preserve">contributions were made </w:t>
      </w:r>
      <w:r>
        <w:rPr>
          <w:rFonts w:ascii="Arial" w:hAnsi="Arial" w:cs="Arial"/>
          <w:snapToGrid w:val="0"/>
          <w:sz w:val="22"/>
          <w:szCs w:val="22"/>
          <w:lang w:val="en-GB" w:eastAsia="en-US"/>
        </w:rPr>
        <w:t xml:space="preserve">to </w:t>
      </w:r>
      <w:r w:rsidRPr="003E4583">
        <w:rPr>
          <w:rFonts w:ascii="Arial" w:hAnsi="Arial" w:cs="Arial"/>
          <w:snapToGrid w:val="0"/>
          <w:sz w:val="22"/>
          <w:szCs w:val="22"/>
          <w:lang w:val="en-GB" w:eastAsia="en-US"/>
        </w:rPr>
        <w:t>the sub-fund to enhance the human resources of the Secretariat</w:t>
      </w:r>
      <w:r w:rsidR="0013124C">
        <w:rPr>
          <w:rFonts w:ascii="Arial" w:hAnsi="Arial" w:cs="Arial"/>
          <w:snapToGrid w:val="0"/>
          <w:sz w:val="22"/>
          <w:szCs w:val="22"/>
          <w:lang w:val="en-GB" w:eastAsia="en-US"/>
        </w:rPr>
        <w:t xml:space="preserve"> (see Annex)</w:t>
      </w:r>
      <w:r w:rsidRPr="003E4583">
        <w:rPr>
          <w:rFonts w:ascii="Arial" w:hAnsi="Arial" w:cs="Arial"/>
          <w:snapToGrid w:val="0"/>
          <w:sz w:val="22"/>
          <w:szCs w:val="22"/>
          <w:lang w:val="en-US" w:eastAsia="en-US"/>
        </w:rPr>
        <w:t xml:space="preserve">. </w:t>
      </w:r>
    </w:p>
    <w:p w14:paraId="75E84BD7" w14:textId="786528DE" w:rsidR="00F8216F" w:rsidRPr="00905CB2" w:rsidRDefault="00F8216F" w:rsidP="00CB68FC">
      <w:pPr>
        <w:numPr>
          <w:ilvl w:val="0"/>
          <w:numId w:val="9"/>
        </w:numPr>
        <w:spacing w:after="120"/>
        <w:ind w:left="567" w:hanging="567"/>
        <w:jc w:val="both"/>
        <w:rPr>
          <w:lang w:val="en-GB"/>
        </w:rPr>
      </w:pPr>
      <w:r>
        <w:rPr>
          <w:rFonts w:ascii="Arial" w:hAnsi="Arial" w:cs="Arial"/>
          <w:snapToGrid w:val="0"/>
          <w:sz w:val="22"/>
          <w:szCs w:val="22"/>
          <w:lang w:val="en-GB" w:eastAsia="en-US"/>
        </w:rPr>
        <w:t xml:space="preserve">In recent years, the growing </w:t>
      </w:r>
      <w:r w:rsidR="00E41C81">
        <w:rPr>
          <w:rFonts w:ascii="Arial" w:hAnsi="Arial" w:cs="Arial"/>
          <w:snapToGrid w:val="0"/>
          <w:sz w:val="22"/>
          <w:szCs w:val="22"/>
          <w:lang w:val="en-GB" w:eastAsia="en-US"/>
        </w:rPr>
        <w:t>amount</w:t>
      </w:r>
      <w:r>
        <w:rPr>
          <w:rFonts w:ascii="Arial" w:hAnsi="Arial" w:cs="Arial"/>
          <w:snapToGrid w:val="0"/>
          <w:sz w:val="22"/>
          <w:szCs w:val="22"/>
          <w:lang w:val="en-GB" w:eastAsia="en-US"/>
        </w:rPr>
        <w:t xml:space="preserve"> of funding available in the Fund was </w:t>
      </w:r>
      <w:r w:rsidR="00E41C81">
        <w:rPr>
          <w:rFonts w:ascii="Arial" w:hAnsi="Arial" w:cs="Arial"/>
          <w:snapToGrid w:val="0"/>
          <w:sz w:val="22"/>
          <w:szCs w:val="22"/>
          <w:lang w:val="en-GB" w:eastAsia="en-US"/>
        </w:rPr>
        <w:t xml:space="preserve">identified </w:t>
      </w:r>
      <w:r>
        <w:rPr>
          <w:rFonts w:ascii="Arial" w:hAnsi="Arial" w:cs="Arial"/>
          <w:snapToGrid w:val="0"/>
          <w:sz w:val="22"/>
          <w:szCs w:val="22"/>
          <w:lang w:val="en-GB" w:eastAsia="en-US"/>
        </w:rPr>
        <w:t>as one of the main causes for the plummeting level of voluntary contributions</w:t>
      </w:r>
      <w:r w:rsidR="004E4787">
        <w:rPr>
          <w:rFonts w:ascii="Arial" w:hAnsi="Arial" w:cs="Arial"/>
          <w:snapToGrid w:val="0"/>
          <w:sz w:val="22"/>
          <w:szCs w:val="22"/>
          <w:lang w:val="en-GB" w:eastAsia="en-US"/>
        </w:rPr>
        <w:t>.</w:t>
      </w:r>
      <w:r w:rsidR="009D252A">
        <w:rPr>
          <w:rFonts w:ascii="Arial" w:hAnsi="Arial" w:cs="Arial"/>
          <w:snapToGrid w:val="0"/>
          <w:sz w:val="22"/>
          <w:szCs w:val="22"/>
          <w:lang w:val="en-GB" w:eastAsia="en-US"/>
        </w:rPr>
        <w:t xml:space="preserve"> </w:t>
      </w:r>
      <w:r w:rsidR="00DD23E6">
        <w:rPr>
          <w:rFonts w:ascii="Arial" w:hAnsi="Arial" w:cs="Arial"/>
          <w:snapToGrid w:val="0"/>
          <w:sz w:val="22"/>
          <w:szCs w:val="22"/>
          <w:lang w:val="en-GB" w:eastAsia="en-US"/>
        </w:rPr>
        <w:t>M</w:t>
      </w:r>
      <w:r w:rsidR="008826F8" w:rsidRPr="006040E6">
        <w:rPr>
          <w:rFonts w:ascii="Arial" w:hAnsi="Arial" w:cs="Arial"/>
          <w:snapToGrid w:val="0"/>
          <w:sz w:val="22"/>
          <w:szCs w:val="22"/>
          <w:lang w:val="en-GB" w:eastAsia="en-US"/>
        </w:rPr>
        <w:t xml:space="preserve">uch effort </w:t>
      </w:r>
      <w:r w:rsidR="00686C34" w:rsidRPr="006040E6">
        <w:rPr>
          <w:rFonts w:ascii="Arial" w:hAnsi="Arial" w:cs="Arial"/>
          <w:snapToGrid w:val="0"/>
          <w:sz w:val="22"/>
          <w:szCs w:val="22"/>
          <w:lang w:val="en-GB" w:eastAsia="en-US"/>
        </w:rPr>
        <w:t>ha</w:t>
      </w:r>
      <w:r w:rsidR="00686C34">
        <w:rPr>
          <w:rFonts w:ascii="Arial" w:hAnsi="Arial" w:cs="Arial"/>
          <w:snapToGrid w:val="0"/>
          <w:sz w:val="22"/>
          <w:szCs w:val="22"/>
          <w:lang w:val="en-GB" w:eastAsia="en-US"/>
        </w:rPr>
        <w:t>s</w:t>
      </w:r>
      <w:r w:rsidR="00686C34" w:rsidRPr="006040E6">
        <w:rPr>
          <w:rFonts w:ascii="Arial" w:hAnsi="Arial" w:cs="Arial"/>
          <w:snapToGrid w:val="0"/>
          <w:sz w:val="22"/>
          <w:szCs w:val="22"/>
          <w:lang w:val="en-GB" w:eastAsia="en-US"/>
        </w:rPr>
        <w:t xml:space="preserve"> </w:t>
      </w:r>
      <w:r w:rsidR="008826F8" w:rsidRPr="006040E6">
        <w:rPr>
          <w:rFonts w:ascii="Arial" w:hAnsi="Arial" w:cs="Arial"/>
          <w:snapToGrid w:val="0"/>
          <w:sz w:val="22"/>
          <w:szCs w:val="22"/>
          <w:lang w:val="en-GB" w:eastAsia="en-US"/>
        </w:rPr>
        <w:t xml:space="preserve">been devoted in the current biennium </w:t>
      </w:r>
      <w:r w:rsidR="006040E6" w:rsidRPr="006040E6">
        <w:rPr>
          <w:rFonts w:ascii="Arial" w:hAnsi="Arial" w:cs="Arial"/>
          <w:snapToGrid w:val="0"/>
          <w:sz w:val="22"/>
          <w:szCs w:val="22"/>
          <w:lang w:val="en-GB" w:eastAsia="en-US"/>
        </w:rPr>
        <w:t xml:space="preserve">to </w:t>
      </w:r>
      <w:r w:rsidR="00407CB8">
        <w:rPr>
          <w:rFonts w:ascii="Arial" w:hAnsi="Arial" w:cs="Arial"/>
          <w:snapToGrid w:val="0"/>
          <w:sz w:val="22"/>
          <w:szCs w:val="22"/>
          <w:lang w:val="en-GB" w:eastAsia="en-US"/>
        </w:rPr>
        <w:t>intensifying the implementation of</w:t>
      </w:r>
      <w:r w:rsidR="006040E6" w:rsidRPr="006040E6">
        <w:rPr>
          <w:rFonts w:ascii="Arial" w:hAnsi="Arial" w:cs="Arial"/>
          <w:snapToGrid w:val="0"/>
          <w:sz w:val="22"/>
          <w:szCs w:val="22"/>
          <w:lang w:val="en-GB" w:eastAsia="en-US"/>
        </w:rPr>
        <w:t xml:space="preserve"> the International Assistance mechanism</w:t>
      </w:r>
      <w:r w:rsidR="00407CB8">
        <w:rPr>
          <w:rFonts w:ascii="Arial" w:hAnsi="Arial" w:cs="Arial"/>
          <w:snapToGrid w:val="0"/>
          <w:sz w:val="22"/>
          <w:szCs w:val="22"/>
          <w:lang w:val="en-GB" w:eastAsia="en-US"/>
        </w:rPr>
        <w:t>s</w:t>
      </w:r>
      <w:r w:rsidR="006040E6" w:rsidRPr="006040E6">
        <w:rPr>
          <w:rFonts w:ascii="Arial" w:hAnsi="Arial" w:cs="Arial"/>
          <w:snapToGrid w:val="0"/>
          <w:sz w:val="22"/>
          <w:szCs w:val="22"/>
          <w:lang w:val="en-GB" w:eastAsia="en-US"/>
        </w:rPr>
        <w:t xml:space="preserve"> of</w:t>
      </w:r>
      <w:r w:rsidR="00F26F38" w:rsidRPr="006040E6">
        <w:rPr>
          <w:rFonts w:ascii="Arial" w:hAnsi="Arial" w:cs="Arial"/>
          <w:snapToGrid w:val="0"/>
          <w:sz w:val="22"/>
          <w:szCs w:val="22"/>
          <w:lang w:val="en-GB" w:eastAsia="en-US"/>
        </w:rPr>
        <w:t xml:space="preserve"> the</w:t>
      </w:r>
      <w:r w:rsidR="008826F8" w:rsidRPr="006040E6">
        <w:rPr>
          <w:rFonts w:ascii="Arial" w:hAnsi="Arial" w:cs="Arial"/>
          <w:snapToGrid w:val="0"/>
          <w:sz w:val="22"/>
          <w:szCs w:val="22"/>
          <w:lang w:val="en-GB" w:eastAsia="en-US"/>
        </w:rPr>
        <w:t xml:space="preserve"> Fund</w:t>
      </w:r>
      <w:r w:rsidR="004E4787">
        <w:rPr>
          <w:rFonts w:ascii="Arial" w:hAnsi="Arial" w:cs="Arial"/>
          <w:snapToGrid w:val="0"/>
          <w:sz w:val="22"/>
          <w:szCs w:val="22"/>
          <w:lang w:val="en-GB" w:eastAsia="en-US"/>
        </w:rPr>
        <w:t xml:space="preserve"> (see</w:t>
      </w:r>
      <w:r w:rsidR="004E4787" w:rsidRPr="006040E6">
        <w:rPr>
          <w:rFonts w:ascii="Arial" w:hAnsi="Arial" w:cs="Arial"/>
          <w:snapToGrid w:val="0"/>
          <w:sz w:val="22"/>
          <w:szCs w:val="22"/>
          <w:lang w:val="en-GB" w:eastAsia="en-US"/>
        </w:rPr>
        <w:t xml:space="preserve"> </w:t>
      </w:r>
      <w:r w:rsidR="004E4787" w:rsidRPr="00EA1D33">
        <w:rPr>
          <w:rFonts w:ascii="Arial" w:hAnsi="Arial" w:cs="Arial"/>
          <w:snapToGrid w:val="0"/>
          <w:sz w:val="22"/>
          <w:szCs w:val="22"/>
          <w:lang w:val="en-GB" w:eastAsia="en-US"/>
        </w:rPr>
        <w:t xml:space="preserve">documents </w:t>
      </w:r>
      <w:hyperlink r:id="rId12" w:history="1">
        <w:r w:rsidR="004E4787" w:rsidRPr="00EA1D33">
          <w:rPr>
            <w:rStyle w:val="Hyperlink"/>
            <w:rFonts w:ascii="Arial" w:hAnsi="Arial" w:cs="Arial"/>
            <w:snapToGrid w:val="0"/>
            <w:sz w:val="22"/>
            <w:szCs w:val="22"/>
            <w:lang w:val="en-GB" w:eastAsia="en-US"/>
          </w:rPr>
          <w:t>LHE/19/14.COM/7</w:t>
        </w:r>
      </w:hyperlink>
      <w:r w:rsidR="004E4787" w:rsidRPr="00EA1D33">
        <w:rPr>
          <w:rFonts w:ascii="Arial" w:hAnsi="Arial" w:cs="Arial"/>
          <w:snapToGrid w:val="0"/>
          <w:sz w:val="22"/>
          <w:szCs w:val="22"/>
          <w:lang w:val="en-GB" w:eastAsia="en-US"/>
        </w:rPr>
        <w:t xml:space="preserve"> and </w:t>
      </w:r>
      <w:hyperlink r:id="rId13" w:history="1">
        <w:r w:rsidR="004E4787" w:rsidRPr="00EA1D33">
          <w:rPr>
            <w:rStyle w:val="Hyperlink"/>
            <w:rFonts w:ascii="Arial" w:hAnsi="Arial" w:cs="Arial"/>
            <w:snapToGrid w:val="0"/>
            <w:sz w:val="22"/>
            <w:szCs w:val="22"/>
            <w:lang w:val="en-GB" w:eastAsia="en-US"/>
          </w:rPr>
          <w:t>LHE/19/14.COM/INF.7</w:t>
        </w:r>
      </w:hyperlink>
      <w:r w:rsidR="004E4787" w:rsidRPr="00EA1D33">
        <w:rPr>
          <w:rFonts w:ascii="Arial" w:hAnsi="Arial" w:cs="Arial"/>
          <w:snapToGrid w:val="0"/>
          <w:sz w:val="22"/>
          <w:szCs w:val="22"/>
          <w:lang w:val="en-GB" w:eastAsia="en-US"/>
        </w:rPr>
        <w:t xml:space="preserve">) </w:t>
      </w:r>
      <w:r w:rsidR="00016F40" w:rsidRPr="00EA1D33">
        <w:rPr>
          <w:rFonts w:ascii="Arial" w:hAnsi="Arial" w:cs="Arial"/>
          <w:snapToGrid w:val="0"/>
          <w:sz w:val="22"/>
          <w:szCs w:val="22"/>
          <w:lang w:val="en-GB" w:eastAsia="en-US"/>
        </w:rPr>
        <w:t>and</w:t>
      </w:r>
      <w:r w:rsidR="00016F40">
        <w:rPr>
          <w:rFonts w:ascii="Arial" w:hAnsi="Arial" w:cs="Arial"/>
          <w:snapToGrid w:val="0"/>
          <w:sz w:val="22"/>
          <w:szCs w:val="22"/>
          <w:lang w:val="en-GB" w:eastAsia="en-US"/>
        </w:rPr>
        <w:t xml:space="preserve"> to deploying outreach initiatives </w:t>
      </w:r>
      <w:r w:rsidR="00686C34">
        <w:rPr>
          <w:rFonts w:ascii="Arial" w:hAnsi="Arial" w:cs="Arial"/>
          <w:snapToGrid w:val="0"/>
          <w:sz w:val="22"/>
          <w:szCs w:val="22"/>
          <w:lang w:val="en-GB" w:eastAsia="en-US"/>
        </w:rPr>
        <w:t xml:space="preserve">that illustrate </w:t>
      </w:r>
      <w:r w:rsidR="00016F40">
        <w:rPr>
          <w:rFonts w:ascii="Arial" w:hAnsi="Arial" w:cs="Arial"/>
          <w:snapToGrid w:val="0"/>
          <w:sz w:val="22"/>
          <w:szCs w:val="22"/>
          <w:lang w:val="en-GB" w:eastAsia="en-US"/>
        </w:rPr>
        <w:t>the diversity of intangible cultural heritage</w:t>
      </w:r>
      <w:r w:rsidR="00B74458">
        <w:rPr>
          <w:rFonts w:ascii="Arial" w:hAnsi="Arial" w:cs="Arial"/>
          <w:snapToGrid w:val="0"/>
          <w:sz w:val="22"/>
          <w:szCs w:val="22"/>
          <w:lang w:val="en-GB" w:eastAsia="en-US"/>
        </w:rPr>
        <w:t xml:space="preserve"> and its role in the context of the 2030 Agenda for Sustainable Development</w:t>
      </w:r>
      <w:r w:rsidR="004E4787">
        <w:rPr>
          <w:rFonts w:ascii="Arial" w:hAnsi="Arial" w:cs="Arial"/>
          <w:snapToGrid w:val="0"/>
          <w:sz w:val="22"/>
          <w:szCs w:val="22"/>
          <w:lang w:val="en-GB" w:eastAsia="en-US"/>
        </w:rPr>
        <w:t xml:space="preserve"> (see </w:t>
      </w:r>
      <w:hyperlink r:id="rId14" w:history="1">
        <w:r w:rsidR="004E4787" w:rsidRPr="00EA1D33">
          <w:rPr>
            <w:rStyle w:val="Hyperlink"/>
            <w:rFonts w:ascii="Arial" w:hAnsi="Arial" w:cs="Arial"/>
            <w:snapToGrid w:val="0"/>
            <w:sz w:val="22"/>
            <w:szCs w:val="22"/>
            <w:lang w:val="en-GB" w:eastAsia="en-US"/>
          </w:rPr>
          <w:t>document LHE/19/14.COM/5.b</w:t>
        </w:r>
      </w:hyperlink>
      <w:r w:rsidR="004E4787" w:rsidRPr="00EA1D33">
        <w:rPr>
          <w:rFonts w:ascii="Arial" w:hAnsi="Arial" w:cs="Arial"/>
          <w:snapToGrid w:val="0"/>
          <w:sz w:val="22"/>
          <w:szCs w:val="22"/>
          <w:lang w:val="en-GB" w:eastAsia="en-US"/>
        </w:rPr>
        <w:t>)</w:t>
      </w:r>
      <w:r w:rsidR="006040E6" w:rsidRPr="00EA1D33">
        <w:rPr>
          <w:rFonts w:ascii="Arial" w:hAnsi="Arial" w:cs="Arial"/>
          <w:snapToGrid w:val="0"/>
          <w:sz w:val="22"/>
          <w:szCs w:val="22"/>
          <w:lang w:val="en-GB" w:eastAsia="en-US"/>
        </w:rPr>
        <w:t>.</w:t>
      </w:r>
      <w:r w:rsidR="00407CB8" w:rsidRPr="00EA1D33">
        <w:rPr>
          <w:rFonts w:ascii="Arial" w:hAnsi="Arial" w:cs="Arial"/>
          <w:snapToGrid w:val="0"/>
          <w:sz w:val="22"/>
          <w:szCs w:val="22"/>
          <w:lang w:val="en-GB" w:eastAsia="en-US"/>
        </w:rPr>
        <w:t xml:space="preserve"> </w:t>
      </w:r>
      <w:r w:rsidR="00B74458" w:rsidRPr="00EA1D33">
        <w:rPr>
          <w:rFonts w:ascii="Arial" w:hAnsi="Arial" w:cs="Arial"/>
          <w:snapToGrid w:val="0"/>
          <w:sz w:val="22"/>
          <w:szCs w:val="22"/>
          <w:lang w:val="en-GB" w:eastAsia="en-US"/>
        </w:rPr>
        <w:t>Th</w:t>
      </w:r>
      <w:r w:rsidR="00740F08" w:rsidRPr="00EA1D33">
        <w:rPr>
          <w:rFonts w:ascii="Arial" w:hAnsi="Arial" w:cs="Arial"/>
          <w:snapToGrid w:val="0"/>
          <w:sz w:val="22"/>
          <w:szCs w:val="22"/>
          <w:lang w:val="en-GB" w:eastAsia="en-US"/>
        </w:rPr>
        <w:t>e</w:t>
      </w:r>
      <w:r w:rsidR="00740F08">
        <w:rPr>
          <w:rFonts w:ascii="Arial" w:hAnsi="Arial" w:cs="Arial"/>
          <w:snapToGrid w:val="0"/>
          <w:sz w:val="22"/>
          <w:szCs w:val="22"/>
          <w:lang w:val="en-GB" w:eastAsia="en-US"/>
        </w:rPr>
        <w:t xml:space="preserve"> increased implementation of the International Assistance mechanism</w:t>
      </w:r>
      <w:r w:rsidR="00B74458">
        <w:rPr>
          <w:rFonts w:ascii="Arial" w:hAnsi="Arial" w:cs="Arial"/>
          <w:snapToGrid w:val="0"/>
          <w:sz w:val="22"/>
          <w:szCs w:val="22"/>
          <w:lang w:val="en-GB" w:eastAsia="en-US"/>
        </w:rPr>
        <w:t xml:space="preserve"> represents</w:t>
      </w:r>
      <w:r w:rsidR="00016F40">
        <w:rPr>
          <w:rFonts w:ascii="Arial" w:hAnsi="Arial" w:cs="Arial"/>
          <w:snapToGrid w:val="0"/>
          <w:sz w:val="22"/>
          <w:szCs w:val="22"/>
          <w:lang w:val="en-GB" w:eastAsia="en-US"/>
        </w:rPr>
        <w:t xml:space="preserve"> a </w:t>
      </w:r>
      <w:r w:rsidR="004E4787">
        <w:rPr>
          <w:rFonts w:ascii="Arial" w:hAnsi="Arial" w:cs="Arial"/>
          <w:snapToGrid w:val="0"/>
          <w:sz w:val="22"/>
          <w:szCs w:val="22"/>
          <w:lang w:val="en-GB" w:eastAsia="en-US"/>
        </w:rPr>
        <w:t xml:space="preserve">very </w:t>
      </w:r>
      <w:r w:rsidR="00016F40">
        <w:rPr>
          <w:rFonts w:ascii="Arial" w:hAnsi="Arial" w:cs="Arial"/>
          <w:snapToGrid w:val="0"/>
          <w:sz w:val="22"/>
          <w:szCs w:val="22"/>
          <w:lang w:val="en-GB" w:eastAsia="en-US"/>
        </w:rPr>
        <w:t xml:space="preserve">positive trend that </w:t>
      </w:r>
      <w:r w:rsidR="00B74458">
        <w:rPr>
          <w:rFonts w:ascii="Arial" w:hAnsi="Arial" w:cs="Arial"/>
          <w:snapToGrid w:val="0"/>
          <w:sz w:val="22"/>
          <w:szCs w:val="22"/>
          <w:lang w:val="en-GB" w:eastAsia="en-US"/>
        </w:rPr>
        <w:t>allowed the</w:t>
      </w:r>
      <w:r w:rsidR="00016F40">
        <w:rPr>
          <w:rFonts w:ascii="Arial" w:hAnsi="Arial" w:cs="Arial"/>
          <w:snapToGrid w:val="0"/>
          <w:sz w:val="22"/>
          <w:szCs w:val="22"/>
          <w:lang w:val="en-GB" w:eastAsia="en-US"/>
        </w:rPr>
        <w:t xml:space="preserve"> Fund to respond to </w:t>
      </w:r>
      <w:r w:rsidR="00565935">
        <w:rPr>
          <w:rFonts w:ascii="Arial" w:hAnsi="Arial" w:cs="Arial"/>
          <w:snapToGrid w:val="0"/>
          <w:sz w:val="22"/>
          <w:szCs w:val="22"/>
          <w:lang w:val="en-GB" w:eastAsia="en-US"/>
        </w:rPr>
        <w:t>an increasing number of needs expressed by States Parties</w:t>
      </w:r>
      <w:r w:rsidR="00E74460">
        <w:rPr>
          <w:rFonts w:ascii="Arial" w:hAnsi="Arial" w:cs="Arial"/>
          <w:snapToGrid w:val="0"/>
          <w:sz w:val="22"/>
          <w:szCs w:val="22"/>
          <w:lang w:val="en-GB" w:eastAsia="en-US"/>
        </w:rPr>
        <w:t xml:space="preserve"> and to </w:t>
      </w:r>
      <w:r w:rsidR="00B444B7">
        <w:rPr>
          <w:rFonts w:ascii="Arial" w:hAnsi="Arial" w:cs="Arial"/>
          <w:snapToGrid w:val="0"/>
          <w:sz w:val="22"/>
          <w:szCs w:val="22"/>
          <w:lang w:val="en-GB" w:eastAsia="en-US"/>
        </w:rPr>
        <w:t xml:space="preserve">enhance </w:t>
      </w:r>
      <w:r w:rsidR="00E74460">
        <w:rPr>
          <w:rFonts w:ascii="Arial" w:hAnsi="Arial" w:cs="Arial"/>
          <w:snapToGrid w:val="0"/>
          <w:sz w:val="22"/>
          <w:szCs w:val="22"/>
          <w:lang w:val="en-GB" w:eastAsia="en-US"/>
        </w:rPr>
        <w:t>the visibility of the Convention</w:t>
      </w:r>
      <w:r w:rsidR="0079713B">
        <w:rPr>
          <w:rFonts w:ascii="Arial" w:hAnsi="Arial" w:cs="Arial"/>
          <w:snapToGrid w:val="0"/>
          <w:sz w:val="22"/>
          <w:szCs w:val="22"/>
          <w:lang w:val="en-GB" w:eastAsia="en-US"/>
        </w:rPr>
        <w:t xml:space="preserve">. </w:t>
      </w:r>
      <w:r>
        <w:rPr>
          <w:rFonts w:ascii="Arial" w:hAnsi="Arial" w:cs="Arial"/>
          <w:snapToGrid w:val="0"/>
          <w:sz w:val="22"/>
          <w:szCs w:val="22"/>
          <w:lang w:val="en-GB" w:eastAsia="en-US"/>
        </w:rPr>
        <w:t>However, considering the</w:t>
      </w:r>
      <w:r w:rsidR="00B971CB">
        <w:rPr>
          <w:rFonts w:ascii="Arial" w:hAnsi="Arial" w:cs="Arial"/>
          <w:snapToGrid w:val="0"/>
          <w:sz w:val="22"/>
          <w:szCs w:val="22"/>
          <w:lang w:val="en-GB" w:eastAsia="en-US"/>
        </w:rPr>
        <w:t xml:space="preserve"> </w:t>
      </w:r>
      <w:r>
        <w:rPr>
          <w:rFonts w:ascii="Arial" w:hAnsi="Arial" w:cs="Arial"/>
          <w:snapToGrid w:val="0"/>
          <w:sz w:val="22"/>
          <w:szCs w:val="22"/>
          <w:lang w:val="en-GB" w:eastAsia="en-US"/>
        </w:rPr>
        <w:t>human resources at hand, th</w:t>
      </w:r>
      <w:r w:rsidR="004E4787">
        <w:rPr>
          <w:rFonts w:ascii="Arial" w:hAnsi="Arial" w:cs="Arial"/>
          <w:snapToGrid w:val="0"/>
          <w:sz w:val="22"/>
          <w:szCs w:val="22"/>
          <w:lang w:val="en-GB" w:eastAsia="en-US"/>
        </w:rPr>
        <w:t>e emphasis on the implementation of the Fund</w:t>
      </w:r>
      <w:r>
        <w:rPr>
          <w:rFonts w:ascii="Arial" w:hAnsi="Arial" w:cs="Arial"/>
          <w:snapToGrid w:val="0"/>
          <w:sz w:val="22"/>
          <w:szCs w:val="22"/>
          <w:lang w:val="en-GB" w:eastAsia="en-US"/>
        </w:rPr>
        <w:t xml:space="preserve"> also means that efforts towards mobilizing additional financial resources </w:t>
      </w:r>
      <w:r w:rsidR="00B25855">
        <w:rPr>
          <w:rFonts w:ascii="Arial" w:hAnsi="Arial" w:cs="Arial"/>
          <w:snapToGrid w:val="0"/>
          <w:sz w:val="22"/>
          <w:szCs w:val="22"/>
          <w:lang w:val="en-GB" w:eastAsia="en-US"/>
        </w:rPr>
        <w:t xml:space="preserve">have </w:t>
      </w:r>
      <w:r w:rsidR="00B971CB">
        <w:rPr>
          <w:rFonts w:ascii="Arial" w:hAnsi="Arial" w:cs="Arial"/>
          <w:snapToGrid w:val="0"/>
          <w:sz w:val="22"/>
          <w:szCs w:val="22"/>
          <w:lang w:val="en-GB" w:eastAsia="en-US"/>
        </w:rPr>
        <w:t xml:space="preserve">not </w:t>
      </w:r>
      <w:r w:rsidR="00B25855">
        <w:rPr>
          <w:rFonts w:ascii="Arial" w:hAnsi="Arial" w:cs="Arial"/>
          <w:snapToGrid w:val="0"/>
          <w:sz w:val="22"/>
          <w:szCs w:val="22"/>
          <w:lang w:val="en-GB" w:eastAsia="en-US"/>
        </w:rPr>
        <w:t xml:space="preserve">been </w:t>
      </w:r>
      <w:r w:rsidR="00B971CB">
        <w:rPr>
          <w:rFonts w:ascii="Arial" w:hAnsi="Arial" w:cs="Arial"/>
          <w:snapToGrid w:val="0"/>
          <w:sz w:val="22"/>
          <w:szCs w:val="22"/>
          <w:lang w:val="en-GB" w:eastAsia="en-US"/>
        </w:rPr>
        <w:t>as extensive as they could have been</w:t>
      </w:r>
      <w:r w:rsidR="00B25855">
        <w:rPr>
          <w:rFonts w:ascii="Arial" w:hAnsi="Arial" w:cs="Arial"/>
          <w:snapToGrid w:val="0"/>
          <w:sz w:val="22"/>
          <w:szCs w:val="22"/>
          <w:lang w:val="en-GB" w:eastAsia="en-US"/>
        </w:rPr>
        <w:t xml:space="preserve">. </w:t>
      </w:r>
    </w:p>
    <w:p w14:paraId="6BB2725C" w14:textId="081CAD97" w:rsidR="00407CB8" w:rsidRPr="00905CB2" w:rsidRDefault="00B971CB" w:rsidP="008922DF">
      <w:pPr>
        <w:numPr>
          <w:ilvl w:val="0"/>
          <w:numId w:val="9"/>
        </w:numPr>
        <w:spacing w:after="120"/>
        <w:ind w:left="567" w:hanging="567"/>
        <w:jc w:val="both"/>
        <w:rPr>
          <w:rFonts w:ascii="Arial" w:hAnsi="Arial" w:cs="Arial"/>
          <w:snapToGrid w:val="0"/>
          <w:sz w:val="22"/>
          <w:szCs w:val="22"/>
          <w:lang w:val="en-GB" w:eastAsia="en-US"/>
        </w:rPr>
      </w:pPr>
      <w:r w:rsidRPr="000E22A7">
        <w:rPr>
          <w:rFonts w:ascii="Arial" w:hAnsi="Arial" w:cs="Arial"/>
          <w:snapToGrid w:val="0"/>
          <w:sz w:val="22"/>
          <w:szCs w:val="22"/>
          <w:lang w:val="en-GB" w:eastAsia="en-US"/>
        </w:rPr>
        <w:t>Furthermore,</w:t>
      </w:r>
      <w:r w:rsidR="00B74458" w:rsidRPr="000E22A7">
        <w:rPr>
          <w:rFonts w:ascii="Arial" w:hAnsi="Arial" w:cs="Arial"/>
          <w:snapToGrid w:val="0"/>
          <w:sz w:val="22"/>
          <w:szCs w:val="22"/>
          <w:lang w:val="en-GB" w:eastAsia="en-US"/>
        </w:rPr>
        <w:t xml:space="preserve"> t</w:t>
      </w:r>
      <w:r w:rsidR="007C1309" w:rsidRPr="009054C7">
        <w:rPr>
          <w:rFonts w:ascii="Arial" w:hAnsi="Arial" w:cs="Arial"/>
          <w:snapToGrid w:val="0"/>
          <w:sz w:val="22"/>
          <w:szCs w:val="22"/>
          <w:lang w:val="en-GB" w:eastAsia="en-US"/>
        </w:rPr>
        <w:t>he corollary</w:t>
      </w:r>
      <w:r w:rsidR="0079713B" w:rsidRPr="009054C7">
        <w:rPr>
          <w:rFonts w:ascii="Arial" w:hAnsi="Arial" w:cs="Arial"/>
          <w:snapToGrid w:val="0"/>
          <w:sz w:val="22"/>
          <w:szCs w:val="22"/>
          <w:lang w:val="en-GB" w:eastAsia="en-US"/>
        </w:rPr>
        <w:t xml:space="preserve"> of th</w:t>
      </w:r>
      <w:r w:rsidR="00710FD8">
        <w:rPr>
          <w:rFonts w:ascii="Arial" w:hAnsi="Arial" w:cs="Arial"/>
          <w:snapToGrid w:val="0"/>
          <w:sz w:val="22"/>
          <w:szCs w:val="22"/>
          <w:lang w:val="en-GB" w:eastAsia="en-US"/>
        </w:rPr>
        <w:t>e intensification in the implementation of the Fund</w:t>
      </w:r>
      <w:r w:rsidR="0079713B" w:rsidRPr="000E22A7">
        <w:rPr>
          <w:rFonts w:ascii="Arial" w:hAnsi="Arial" w:cs="Arial"/>
          <w:snapToGrid w:val="0"/>
          <w:sz w:val="22"/>
          <w:szCs w:val="22"/>
          <w:lang w:val="en-GB" w:eastAsia="en-US"/>
        </w:rPr>
        <w:t xml:space="preserve"> </w:t>
      </w:r>
      <w:r w:rsidR="007C1309" w:rsidRPr="00905CB2">
        <w:rPr>
          <w:rFonts w:ascii="Arial" w:hAnsi="Arial" w:cs="Arial"/>
          <w:snapToGrid w:val="0"/>
          <w:sz w:val="22"/>
          <w:szCs w:val="22"/>
          <w:lang w:val="en-GB" w:eastAsia="en-US"/>
        </w:rPr>
        <w:t xml:space="preserve">is that the </w:t>
      </w:r>
      <w:r w:rsidR="007E2C5C">
        <w:rPr>
          <w:rFonts w:ascii="Arial" w:hAnsi="Arial" w:cs="Arial"/>
          <w:snapToGrid w:val="0"/>
          <w:sz w:val="22"/>
          <w:szCs w:val="22"/>
          <w:lang w:val="en-GB" w:eastAsia="en-US"/>
        </w:rPr>
        <w:t xml:space="preserve">foreseen </w:t>
      </w:r>
      <w:r w:rsidR="0079713B" w:rsidRPr="00905CB2">
        <w:rPr>
          <w:rFonts w:ascii="Arial" w:hAnsi="Arial" w:cs="Arial"/>
          <w:snapToGrid w:val="0"/>
          <w:sz w:val="22"/>
          <w:szCs w:val="22"/>
          <w:lang w:val="en-GB" w:eastAsia="en-US"/>
        </w:rPr>
        <w:t>overall budget of the Fund</w:t>
      </w:r>
      <w:r w:rsidR="007E2C5C">
        <w:rPr>
          <w:rFonts w:ascii="Arial" w:hAnsi="Arial" w:cs="Arial"/>
          <w:snapToGrid w:val="0"/>
          <w:sz w:val="22"/>
          <w:szCs w:val="22"/>
          <w:lang w:val="en-GB" w:eastAsia="en-US"/>
        </w:rPr>
        <w:t xml:space="preserve"> for the coming biennium will be lower than the approved budget of the current biennium</w:t>
      </w:r>
      <w:r w:rsidR="00016F40" w:rsidRPr="000E22A7">
        <w:rPr>
          <w:rFonts w:ascii="Arial" w:hAnsi="Arial" w:cs="Arial"/>
          <w:snapToGrid w:val="0"/>
          <w:sz w:val="22"/>
          <w:szCs w:val="22"/>
          <w:lang w:val="en-GB" w:eastAsia="en-US"/>
        </w:rPr>
        <w:t>,</w:t>
      </w:r>
      <w:r w:rsidR="00B444B7">
        <w:rPr>
          <w:rFonts w:ascii="Arial" w:hAnsi="Arial" w:cs="Arial"/>
          <w:snapToGrid w:val="0"/>
          <w:sz w:val="22"/>
          <w:szCs w:val="22"/>
          <w:lang w:val="en-GB" w:eastAsia="en-US"/>
        </w:rPr>
        <w:t xml:space="preserve"> and</w:t>
      </w:r>
      <w:r w:rsidR="00686C34">
        <w:rPr>
          <w:rFonts w:ascii="Arial" w:hAnsi="Arial" w:cs="Arial"/>
          <w:snapToGrid w:val="0"/>
          <w:sz w:val="22"/>
          <w:szCs w:val="22"/>
          <w:lang w:val="en-GB" w:eastAsia="en-US"/>
        </w:rPr>
        <w:t xml:space="preserve"> </w:t>
      </w:r>
      <w:r w:rsidR="00016F40" w:rsidRPr="000E22A7">
        <w:rPr>
          <w:rFonts w:ascii="Arial" w:hAnsi="Arial" w:cs="Arial"/>
          <w:snapToGrid w:val="0"/>
          <w:sz w:val="22"/>
          <w:szCs w:val="22"/>
          <w:lang w:val="en-GB" w:eastAsia="en-US"/>
        </w:rPr>
        <w:t>several budget lines will</w:t>
      </w:r>
      <w:r w:rsidR="0079713B" w:rsidRPr="009054C7">
        <w:rPr>
          <w:rFonts w:ascii="Arial" w:hAnsi="Arial" w:cs="Arial"/>
          <w:snapToGrid w:val="0"/>
          <w:sz w:val="22"/>
          <w:szCs w:val="22"/>
          <w:lang w:val="en-GB" w:eastAsia="en-US"/>
        </w:rPr>
        <w:t xml:space="preserve"> </w:t>
      </w:r>
      <w:r w:rsidR="00686C34">
        <w:rPr>
          <w:rFonts w:ascii="Arial" w:hAnsi="Arial" w:cs="Arial"/>
          <w:snapToGrid w:val="0"/>
          <w:sz w:val="22"/>
          <w:szCs w:val="22"/>
          <w:lang w:val="en-GB" w:eastAsia="en-US"/>
        </w:rPr>
        <w:t xml:space="preserve">consequently </w:t>
      </w:r>
      <w:r w:rsidR="00016F40" w:rsidRPr="009054C7">
        <w:rPr>
          <w:rFonts w:ascii="Arial" w:hAnsi="Arial" w:cs="Arial"/>
          <w:snapToGrid w:val="0"/>
          <w:sz w:val="22"/>
          <w:szCs w:val="22"/>
          <w:lang w:val="en-GB" w:eastAsia="en-US"/>
        </w:rPr>
        <w:t xml:space="preserve">be reduced. For instance, the amount allocated to the </w:t>
      </w:r>
      <w:r w:rsidR="00B74458" w:rsidRPr="00905CB2">
        <w:rPr>
          <w:rFonts w:ascii="Arial" w:hAnsi="Arial" w:cs="Arial"/>
          <w:snapToGrid w:val="0"/>
          <w:sz w:val="22"/>
          <w:szCs w:val="22"/>
          <w:lang w:val="en-GB" w:eastAsia="en-US"/>
        </w:rPr>
        <w:t>‘</w:t>
      </w:r>
      <w:r w:rsidR="00016F40" w:rsidRPr="00905CB2">
        <w:rPr>
          <w:rFonts w:ascii="Arial" w:hAnsi="Arial" w:cs="Arial"/>
          <w:snapToGrid w:val="0"/>
          <w:sz w:val="22"/>
          <w:szCs w:val="22"/>
          <w:lang w:val="en-GB" w:eastAsia="en-US"/>
        </w:rPr>
        <w:t>other functions of the Committee</w:t>
      </w:r>
      <w:r w:rsidR="00B74458" w:rsidRPr="00905CB2">
        <w:rPr>
          <w:rFonts w:ascii="Arial" w:hAnsi="Arial" w:cs="Arial"/>
          <w:snapToGrid w:val="0"/>
          <w:sz w:val="22"/>
          <w:szCs w:val="22"/>
          <w:lang w:val="en-GB" w:eastAsia="en-US"/>
        </w:rPr>
        <w:t>’</w:t>
      </w:r>
      <w:r w:rsidR="00016F40" w:rsidRPr="00905CB2">
        <w:rPr>
          <w:rFonts w:ascii="Arial" w:hAnsi="Arial" w:cs="Arial"/>
          <w:snapToGrid w:val="0"/>
          <w:sz w:val="22"/>
          <w:szCs w:val="22"/>
          <w:lang w:val="en-GB" w:eastAsia="en-US"/>
        </w:rPr>
        <w:t xml:space="preserve"> will decrease, possibly by around </w:t>
      </w:r>
      <w:r w:rsidR="002425EF">
        <w:rPr>
          <w:rFonts w:ascii="Arial" w:hAnsi="Arial" w:cs="Arial"/>
          <w:snapToGrid w:val="0"/>
          <w:sz w:val="22"/>
          <w:szCs w:val="22"/>
          <w:lang w:val="en-GB" w:eastAsia="en-US"/>
        </w:rPr>
        <w:t>19</w:t>
      </w:r>
      <w:r w:rsidR="003B2ACE">
        <w:rPr>
          <w:rFonts w:ascii="Arial" w:hAnsi="Arial" w:cs="Arial"/>
          <w:snapToGrid w:val="0"/>
          <w:sz w:val="22"/>
          <w:szCs w:val="22"/>
          <w:lang w:val="en-GB" w:eastAsia="en-US"/>
        </w:rPr>
        <w:t xml:space="preserve"> per cent</w:t>
      </w:r>
      <w:r w:rsidR="00016F40" w:rsidRPr="00905CB2">
        <w:rPr>
          <w:rFonts w:ascii="Arial" w:hAnsi="Arial" w:cs="Arial"/>
          <w:snapToGrid w:val="0"/>
          <w:sz w:val="22"/>
          <w:szCs w:val="22"/>
          <w:lang w:val="en-GB" w:eastAsia="en-US"/>
        </w:rPr>
        <w:t xml:space="preserve"> in terms of nominal amount</w:t>
      </w:r>
      <w:r w:rsidR="00B74458" w:rsidRPr="00905CB2">
        <w:rPr>
          <w:rFonts w:ascii="Arial" w:hAnsi="Arial" w:cs="Arial"/>
          <w:snapToGrid w:val="0"/>
          <w:sz w:val="22"/>
          <w:szCs w:val="22"/>
          <w:lang w:val="en-GB" w:eastAsia="en-US"/>
        </w:rPr>
        <w:t xml:space="preserve"> </w:t>
      </w:r>
      <w:r w:rsidR="00016F40" w:rsidRPr="00905CB2">
        <w:rPr>
          <w:rFonts w:ascii="Arial" w:hAnsi="Arial" w:cs="Arial"/>
          <w:snapToGrid w:val="0"/>
          <w:sz w:val="22"/>
          <w:szCs w:val="22"/>
          <w:lang w:val="en-GB" w:eastAsia="en-US"/>
        </w:rPr>
        <w:t>for the 2020</w:t>
      </w:r>
      <w:r w:rsidR="00686C34">
        <w:rPr>
          <w:rFonts w:ascii="Arial" w:hAnsi="Arial" w:cs="Arial"/>
          <w:snapToGrid w:val="0"/>
          <w:sz w:val="22"/>
          <w:szCs w:val="22"/>
          <w:lang w:val="en-GB" w:eastAsia="en-US"/>
        </w:rPr>
        <w:t>–</w:t>
      </w:r>
      <w:r w:rsidR="00016F40" w:rsidRPr="00905CB2">
        <w:rPr>
          <w:rFonts w:ascii="Arial" w:hAnsi="Arial" w:cs="Arial"/>
          <w:snapToGrid w:val="0"/>
          <w:sz w:val="22"/>
          <w:szCs w:val="22"/>
          <w:lang w:val="en-GB" w:eastAsia="en-US"/>
        </w:rPr>
        <w:t xml:space="preserve">2021 period, should the proposed draft plan of the use of the resources of the Fund </w:t>
      </w:r>
      <w:r w:rsidR="00686C34">
        <w:rPr>
          <w:rFonts w:ascii="Arial" w:hAnsi="Arial" w:cs="Arial"/>
          <w:snapToGrid w:val="0"/>
          <w:sz w:val="22"/>
          <w:szCs w:val="22"/>
          <w:lang w:val="en-GB" w:eastAsia="en-US"/>
        </w:rPr>
        <w:t>set out</w:t>
      </w:r>
      <w:r w:rsidR="00686C34" w:rsidRPr="00905CB2">
        <w:rPr>
          <w:rFonts w:ascii="Arial" w:hAnsi="Arial" w:cs="Arial"/>
          <w:snapToGrid w:val="0"/>
          <w:sz w:val="22"/>
          <w:szCs w:val="22"/>
          <w:lang w:val="en-GB" w:eastAsia="en-US"/>
        </w:rPr>
        <w:t xml:space="preserve"> </w:t>
      </w:r>
      <w:r w:rsidR="00016F40" w:rsidRPr="00905CB2">
        <w:rPr>
          <w:rFonts w:ascii="Arial" w:hAnsi="Arial" w:cs="Arial"/>
          <w:snapToGrid w:val="0"/>
          <w:sz w:val="22"/>
          <w:szCs w:val="22"/>
          <w:lang w:val="en-GB" w:eastAsia="en-US"/>
        </w:rPr>
        <w:t xml:space="preserve">in </w:t>
      </w:r>
      <w:hyperlink r:id="rId15" w:history="1">
        <w:r w:rsidR="00016F40" w:rsidRPr="00EA1D33">
          <w:rPr>
            <w:rStyle w:val="Hyperlink"/>
            <w:rFonts w:ascii="Arial" w:hAnsi="Arial" w:cs="Arial"/>
            <w:snapToGrid w:val="0"/>
            <w:sz w:val="22"/>
            <w:szCs w:val="22"/>
            <w:lang w:val="en-GB" w:eastAsia="en-US"/>
          </w:rPr>
          <w:t>draft decision 14.COM 7</w:t>
        </w:r>
      </w:hyperlink>
      <w:r w:rsidR="00016F40" w:rsidRPr="00905CB2">
        <w:rPr>
          <w:rFonts w:ascii="Arial" w:hAnsi="Arial" w:cs="Arial"/>
          <w:snapToGrid w:val="0"/>
          <w:sz w:val="22"/>
          <w:szCs w:val="22"/>
          <w:lang w:val="en-GB" w:eastAsia="en-US"/>
        </w:rPr>
        <w:t xml:space="preserve"> be approved. </w:t>
      </w:r>
      <w:r w:rsidR="0079713B" w:rsidRPr="00905CB2">
        <w:rPr>
          <w:rFonts w:ascii="Arial" w:hAnsi="Arial" w:cs="Arial"/>
          <w:snapToGrid w:val="0"/>
          <w:sz w:val="22"/>
          <w:szCs w:val="22"/>
          <w:lang w:val="en-GB" w:eastAsia="en-US"/>
        </w:rPr>
        <w:t>This means that</w:t>
      </w:r>
      <w:r w:rsidR="00686C34">
        <w:rPr>
          <w:rFonts w:ascii="Arial" w:hAnsi="Arial" w:cs="Arial"/>
          <w:snapToGrid w:val="0"/>
          <w:sz w:val="22"/>
          <w:szCs w:val="22"/>
          <w:lang w:val="en-GB" w:eastAsia="en-US"/>
        </w:rPr>
        <w:t>, in the near future,</w:t>
      </w:r>
      <w:r w:rsidR="0079713B" w:rsidRPr="00905CB2">
        <w:rPr>
          <w:rFonts w:ascii="Arial" w:hAnsi="Arial" w:cs="Arial"/>
          <w:snapToGrid w:val="0"/>
          <w:sz w:val="22"/>
          <w:szCs w:val="22"/>
          <w:lang w:val="en-GB" w:eastAsia="en-US"/>
        </w:rPr>
        <w:t xml:space="preserve"> the Fund may not be able to continue funding </w:t>
      </w:r>
      <w:r w:rsidR="00740F08">
        <w:rPr>
          <w:rFonts w:ascii="Arial" w:hAnsi="Arial" w:cs="Arial"/>
          <w:snapToGrid w:val="0"/>
          <w:sz w:val="22"/>
          <w:szCs w:val="22"/>
          <w:lang w:val="en-GB" w:eastAsia="en-US"/>
        </w:rPr>
        <w:t xml:space="preserve">as many </w:t>
      </w:r>
      <w:r w:rsidR="00F26F38" w:rsidRPr="00905CB2">
        <w:rPr>
          <w:rFonts w:ascii="Arial" w:hAnsi="Arial" w:cs="Arial"/>
          <w:snapToGrid w:val="0"/>
          <w:sz w:val="22"/>
          <w:szCs w:val="22"/>
          <w:lang w:val="en-GB" w:eastAsia="en-US"/>
        </w:rPr>
        <w:t>activities</w:t>
      </w:r>
      <w:r w:rsidR="0079713B" w:rsidRPr="00905CB2">
        <w:rPr>
          <w:rFonts w:ascii="Arial" w:hAnsi="Arial" w:cs="Arial"/>
          <w:snapToGrid w:val="0"/>
          <w:sz w:val="22"/>
          <w:szCs w:val="22"/>
          <w:lang w:val="en-GB" w:eastAsia="en-US"/>
        </w:rPr>
        <w:t xml:space="preserve"> as it currently does, </w:t>
      </w:r>
      <w:r w:rsidR="00F26F38" w:rsidRPr="00905CB2">
        <w:rPr>
          <w:rFonts w:ascii="Arial" w:hAnsi="Arial" w:cs="Arial"/>
          <w:snapToGrid w:val="0"/>
          <w:sz w:val="22"/>
          <w:szCs w:val="22"/>
          <w:lang w:val="en-GB" w:eastAsia="en-US"/>
        </w:rPr>
        <w:t>despite</w:t>
      </w:r>
      <w:r w:rsidR="0079713B" w:rsidRPr="00905CB2">
        <w:rPr>
          <w:rFonts w:ascii="Arial" w:hAnsi="Arial" w:cs="Arial"/>
          <w:snapToGrid w:val="0"/>
          <w:sz w:val="22"/>
          <w:szCs w:val="22"/>
          <w:lang w:val="en-GB" w:eastAsia="en-US"/>
        </w:rPr>
        <w:t xml:space="preserve"> </w:t>
      </w:r>
      <w:r w:rsidR="00F26F38" w:rsidRPr="00905CB2">
        <w:rPr>
          <w:rFonts w:ascii="Arial" w:hAnsi="Arial" w:cs="Arial"/>
          <w:snapToGrid w:val="0"/>
          <w:sz w:val="22"/>
          <w:szCs w:val="22"/>
          <w:lang w:val="en-GB" w:eastAsia="en-US"/>
        </w:rPr>
        <w:t xml:space="preserve">new </w:t>
      </w:r>
      <w:r w:rsidR="00AB6285" w:rsidRPr="00905CB2">
        <w:rPr>
          <w:rFonts w:ascii="Arial" w:hAnsi="Arial" w:cs="Arial"/>
          <w:snapToGrid w:val="0"/>
          <w:sz w:val="22"/>
          <w:szCs w:val="22"/>
          <w:lang w:val="en-GB" w:eastAsia="en-US"/>
        </w:rPr>
        <w:t>e</w:t>
      </w:r>
      <w:r w:rsidR="00F26F38" w:rsidRPr="00905CB2">
        <w:rPr>
          <w:rFonts w:ascii="Arial" w:hAnsi="Arial" w:cs="Arial"/>
          <w:snapToGrid w:val="0"/>
          <w:sz w:val="22"/>
          <w:szCs w:val="22"/>
          <w:lang w:val="en-GB" w:eastAsia="en-US"/>
        </w:rPr>
        <w:t>merging needs such as specialized capacity-building activities</w:t>
      </w:r>
      <w:r w:rsidR="0079713B" w:rsidRPr="00905CB2">
        <w:rPr>
          <w:rFonts w:ascii="Arial" w:hAnsi="Arial" w:cs="Arial"/>
          <w:snapToGrid w:val="0"/>
          <w:sz w:val="22"/>
          <w:szCs w:val="22"/>
          <w:lang w:val="en-GB" w:eastAsia="en-US"/>
        </w:rPr>
        <w:t xml:space="preserve"> in a growing number of States Parties</w:t>
      </w:r>
      <w:r w:rsidR="00B74458" w:rsidRPr="00905CB2">
        <w:rPr>
          <w:rFonts w:ascii="Arial" w:hAnsi="Arial" w:cs="Arial"/>
          <w:snapToGrid w:val="0"/>
          <w:sz w:val="22"/>
          <w:szCs w:val="22"/>
          <w:lang w:val="en-GB" w:eastAsia="en-US"/>
        </w:rPr>
        <w:t xml:space="preserve">, upstream policy work </w:t>
      </w:r>
      <w:r w:rsidR="00F26F38" w:rsidRPr="00905CB2">
        <w:rPr>
          <w:rFonts w:ascii="Arial" w:hAnsi="Arial" w:cs="Arial"/>
          <w:snapToGrid w:val="0"/>
          <w:sz w:val="22"/>
          <w:szCs w:val="22"/>
          <w:lang w:val="en-GB" w:eastAsia="en-US"/>
        </w:rPr>
        <w:t>or training activities linked to the reform of the periodic reporting mechanism.</w:t>
      </w:r>
    </w:p>
    <w:p w14:paraId="37DA2BFB" w14:textId="77777777" w:rsidR="00B74458" w:rsidRDefault="000E22A7">
      <w:pPr>
        <w:numPr>
          <w:ilvl w:val="0"/>
          <w:numId w:val="9"/>
        </w:numPr>
        <w:spacing w:after="120"/>
        <w:ind w:left="567" w:hanging="567"/>
        <w:jc w:val="both"/>
        <w:rPr>
          <w:rFonts w:ascii="Arial" w:hAnsi="Arial" w:cs="Arial"/>
          <w:snapToGrid w:val="0"/>
          <w:sz w:val="22"/>
          <w:szCs w:val="22"/>
          <w:lang w:val="en-GB" w:eastAsia="en-US"/>
        </w:rPr>
      </w:pPr>
      <w:r>
        <w:rPr>
          <w:rFonts w:ascii="Arial" w:hAnsi="Arial" w:cs="Arial"/>
          <w:snapToGrid w:val="0"/>
          <w:sz w:val="22"/>
          <w:szCs w:val="22"/>
          <w:lang w:val="en-GB" w:eastAsia="en-US"/>
        </w:rPr>
        <w:lastRenderedPageBreak/>
        <w:t>Taking this perspective into account, the Secretariat will intensif</w:t>
      </w:r>
      <w:r w:rsidR="00B444B7">
        <w:rPr>
          <w:rFonts w:ascii="Arial" w:hAnsi="Arial" w:cs="Arial"/>
          <w:snapToGrid w:val="0"/>
          <w:sz w:val="22"/>
          <w:szCs w:val="22"/>
          <w:lang w:val="en-GB" w:eastAsia="en-US"/>
        </w:rPr>
        <w:t xml:space="preserve">y its efforts </w:t>
      </w:r>
      <w:r w:rsidR="00686C34">
        <w:rPr>
          <w:rFonts w:ascii="Arial" w:hAnsi="Arial" w:cs="Arial"/>
          <w:snapToGrid w:val="0"/>
          <w:sz w:val="22"/>
          <w:szCs w:val="22"/>
          <w:lang w:val="en-GB" w:eastAsia="en-US"/>
        </w:rPr>
        <w:t>to</w:t>
      </w:r>
      <w:r w:rsidR="00B444B7">
        <w:rPr>
          <w:rFonts w:ascii="Arial" w:hAnsi="Arial" w:cs="Arial"/>
          <w:snapToGrid w:val="0"/>
          <w:sz w:val="22"/>
          <w:szCs w:val="22"/>
          <w:lang w:val="en-GB" w:eastAsia="en-US"/>
        </w:rPr>
        <w:t xml:space="preserve"> rais</w:t>
      </w:r>
      <w:r w:rsidR="00686C34">
        <w:rPr>
          <w:rFonts w:ascii="Arial" w:hAnsi="Arial" w:cs="Arial"/>
          <w:snapToGrid w:val="0"/>
          <w:sz w:val="22"/>
          <w:szCs w:val="22"/>
          <w:lang w:val="en-GB" w:eastAsia="en-US"/>
        </w:rPr>
        <w:t>e</w:t>
      </w:r>
      <w:r w:rsidR="00B444B7">
        <w:rPr>
          <w:rFonts w:ascii="Arial" w:hAnsi="Arial" w:cs="Arial"/>
          <w:snapToGrid w:val="0"/>
          <w:sz w:val="22"/>
          <w:szCs w:val="22"/>
          <w:lang w:val="en-GB" w:eastAsia="en-US"/>
        </w:rPr>
        <w:t xml:space="preserve"> funds</w:t>
      </w:r>
      <w:r>
        <w:rPr>
          <w:rFonts w:ascii="Arial" w:hAnsi="Arial" w:cs="Arial"/>
          <w:snapToGrid w:val="0"/>
          <w:sz w:val="22"/>
          <w:szCs w:val="22"/>
          <w:lang w:val="en-GB" w:eastAsia="en-US"/>
        </w:rPr>
        <w:t xml:space="preserve"> for the two funding priorities as well as </w:t>
      </w:r>
      <w:r w:rsidR="00686C34">
        <w:rPr>
          <w:rFonts w:ascii="Arial" w:hAnsi="Arial" w:cs="Arial"/>
          <w:snapToGrid w:val="0"/>
          <w:sz w:val="22"/>
          <w:szCs w:val="22"/>
          <w:lang w:val="en-GB" w:eastAsia="en-US"/>
        </w:rPr>
        <w:t>to</w:t>
      </w:r>
      <w:r>
        <w:rPr>
          <w:rFonts w:ascii="Arial" w:hAnsi="Arial" w:cs="Arial"/>
          <w:snapToGrid w:val="0"/>
          <w:sz w:val="22"/>
          <w:szCs w:val="22"/>
          <w:lang w:val="en-GB" w:eastAsia="en-US"/>
        </w:rPr>
        <w:t xml:space="preserve"> enhanc</w:t>
      </w:r>
      <w:r w:rsidR="00686C34">
        <w:rPr>
          <w:rFonts w:ascii="Arial" w:hAnsi="Arial" w:cs="Arial"/>
          <w:snapToGrid w:val="0"/>
          <w:sz w:val="22"/>
          <w:szCs w:val="22"/>
          <w:lang w:val="en-GB" w:eastAsia="en-US"/>
        </w:rPr>
        <w:t>e</w:t>
      </w:r>
      <w:r>
        <w:rPr>
          <w:rFonts w:ascii="Arial" w:hAnsi="Arial" w:cs="Arial"/>
          <w:snapToGrid w:val="0"/>
          <w:sz w:val="22"/>
          <w:szCs w:val="22"/>
          <w:lang w:val="en-GB" w:eastAsia="en-US"/>
        </w:rPr>
        <w:t xml:space="preserve"> its human resources.</w:t>
      </w:r>
      <w:r w:rsidR="009F5D8D">
        <w:rPr>
          <w:rFonts w:ascii="Arial" w:hAnsi="Arial" w:cs="Arial"/>
          <w:snapToGrid w:val="0"/>
          <w:sz w:val="22"/>
          <w:szCs w:val="22"/>
          <w:lang w:val="en-GB" w:eastAsia="en-US"/>
        </w:rPr>
        <w:t xml:space="preserve"> Considering the foreseen decrease in the amount available for International Assistance from the Fund, all States Parties should be encouraged to consider providing support to the Convention</w:t>
      </w:r>
      <w:r w:rsidR="00DE7D29">
        <w:rPr>
          <w:rFonts w:ascii="Arial" w:hAnsi="Arial" w:cs="Arial"/>
          <w:snapToGrid w:val="0"/>
          <w:sz w:val="22"/>
          <w:szCs w:val="22"/>
          <w:lang w:val="en-GB" w:eastAsia="en-US"/>
        </w:rPr>
        <w:t xml:space="preserve"> through the modality of their choice</w:t>
      </w:r>
      <w:r w:rsidR="009F5D8D">
        <w:rPr>
          <w:rFonts w:ascii="Arial" w:hAnsi="Arial" w:cs="Arial"/>
          <w:snapToGrid w:val="0"/>
          <w:sz w:val="22"/>
          <w:szCs w:val="22"/>
          <w:lang w:val="en-GB" w:eastAsia="en-US"/>
        </w:rPr>
        <w:t>.</w:t>
      </w:r>
    </w:p>
    <w:p w14:paraId="47D62010" w14:textId="77777777" w:rsidR="00536CF1" w:rsidRPr="00536CF1" w:rsidRDefault="00536CF1" w:rsidP="00CB68FC">
      <w:pPr>
        <w:keepNext/>
        <w:keepLines/>
        <w:tabs>
          <w:tab w:val="left" w:pos="567"/>
        </w:tabs>
        <w:snapToGrid w:val="0"/>
        <w:spacing w:before="240" w:after="120"/>
        <w:ind w:left="567"/>
        <w:jc w:val="both"/>
        <w:rPr>
          <w:rFonts w:ascii="Arial" w:hAnsi="Arial" w:cs="Arial"/>
          <w:snapToGrid w:val="0"/>
          <w:color w:val="000000"/>
          <w:sz w:val="22"/>
          <w:szCs w:val="22"/>
          <w:lang w:val="en-GB" w:eastAsia="en-US"/>
        </w:rPr>
      </w:pPr>
      <w:r>
        <w:rPr>
          <w:rFonts w:ascii="Arial" w:hAnsi="Arial" w:cs="Arial"/>
          <w:b/>
          <w:snapToGrid w:val="0"/>
          <w:sz w:val="22"/>
          <w:szCs w:val="22"/>
          <w:lang w:val="en-GB" w:eastAsia="en-US"/>
        </w:rPr>
        <w:t xml:space="preserve">Funding priority 1: </w:t>
      </w:r>
      <w:r w:rsidRPr="003D4488">
        <w:rPr>
          <w:rFonts w:ascii="Arial" w:hAnsi="Arial" w:cs="Arial"/>
          <w:b/>
          <w:snapToGrid w:val="0"/>
          <w:sz w:val="22"/>
          <w:szCs w:val="22"/>
          <w:lang w:val="en-GB" w:eastAsia="en-US"/>
        </w:rPr>
        <w:t>Capacity-building programme</w:t>
      </w:r>
    </w:p>
    <w:p w14:paraId="7C98E485" w14:textId="69A30BC4" w:rsidR="0013124C" w:rsidRPr="00FF3EC6" w:rsidRDefault="006D7B52" w:rsidP="00D86B5B">
      <w:pPr>
        <w:numPr>
          <w:ilvl w:val="0"/>
          <w:numId w:val="9"/>
        </w:numPr>
        <w:spacing w:after="120"/>
        <w:ind w:left="567" w:hanging="567"/>
        <w:jc w:val="both"/>
        <w:rPr>
          <w:lang w:val="en-GB"/>
        </w:rPr>
      </w:pPr>
      <w:r>
        <w:rPr>
          <w:rFonts w:ascii="Arial" w:hAnsi="Arial" w:cs="Arial"/>
          <w:snapToGrid w:val="0"/>
          <w:sz w:val="22"/>
          <w:szCs w:val="22"/>
          <w:lang w:val="en-GB" w:eastAsia="en-US"/>
        </w:rPr>
        <w:t>T</w:t>
      </w:r>
      <w:r w:rsidR="00F62634" w:rsidRPr="00FC0F6B">
        <w:rPr>
          <w:rFonts w:ascii="Arial" w:hAnsi="Arial" w:cs="Arial"/>
          <w:snapToGrid w:val="0"/>
          <w:sz w:val="22"/>
          <w:szCs w:val="22"/>
          <w:lang w:val="en-GB" w:eastAsia="en-US"/>
        </w:rPr>
        <w:t>he current biennium (39</w:t>
      </w:r>
      <w:r w:rsidR="00E74460">
        <w:rPr>
          <w:rFonts w:ascii="Arial" w:hAnsi="Arial" w:cs="Arial"/>
          <w:snapToGrid w:val="0"/>
          <w:sz w:val="22"/>
          <w:szCs w:val="22"/>
          <w:lang w:val="en-GB" w:eastAsia="en-US"/>
        </w:rPr>
        <w:t> </w:t>
      </w:r>
      <w:r w:rsidR="00F62634" w:rsidRPr="00FC0F6B">
        <w:rPr>
          <w:rFonts w:ascii="Arial" w:hAnsi="Arial" w:cs="Arial"/>
          <w:snapToGrid w:val="0"/>
          <w:sz w:val="22"/>
          <w:szCs w:val="22"/>
          <w:lang w:val="en-GB" w:eastAsia="en-US"/>
        </w:rPr>
        <w:t xml:space="preserve">C/5) is marked by </w:t>
      </w:r>
      <w:r w:rsidR="00BF1B64" w:rsidRPr="00FC0F6B">
        <w:rPr>
          <w:rFonts w:ascii="Arial" w:hAnsi="Arial" w:cs="Arial"/>
          <w:snapToGrid w:val="0"/>
          <w:sz w:val="22"/>
          <w:szCs w:val="22"/>
          <w:lang w:val="en-GB" w:eastAsia="en-US"/>
        </w:rPr>
        <w:t xml:space="preserve">a </w:t>
      </w:r>
      <w:r w:rsidR="00F62634" w:rsidRPr="00FC0F6B">
        <w:rPr>
          <w:rFonts w:ascii="Arial" w:hAnsi="Arial" w:cs="Arial"/>
          <w:snapToGrid w:val="0"/>
          <w:sz w:val="22"/>
          <w:szCs w:val="22"/>
          <w:lang w:val="en-GB" w:eastAsia="en-US"/>
        </w:rPr>
        <w:t>sharp</w:t>
      </w:r>
      <w:r w:rsidR="00BF1B64" w:rsidRPr="00FC0F6B">
        <w:rPr>
          <w:rFonts w:ascii="Arial" w:hAnsi="Arial" w:cs="Arial"/>
          <w:snapToGrid w:val="0"/>
          <w:sz w:val="22"/>
          <w:szCs w:val="22"/>
          <w:lang w:val="en-GB" w:eastAsia="en-US"/>
        </w:rPr>
        <w:t xml:space="preserve"> decline</w:t>
      </w:r>
      <w:r w:rsidR="00F62634" w:rsidRPr="00FC0F6B">
        <w:rPr>
          <w:rFonts w:ascii="Arial" w:hAnsi="Arial" w:cs="Arial"/>
          <w:snapToGrid w:val="0"/>
          <w:sz w:val="22"/>
          <w:szCs w:val="22"/>
          <w:lang w:val="en-GB" w:eastAsia="en-US"/>
        </w:rPr>
        <w:t xml:space="preserve"> in both earmarked contributions and Funds-in-Trust arrangements supporting the</w:t>
      </w:r>
      <w:r w:rsidR="00BF1B64" w:rsidRPr="00FC0F6B">
        <w:rPr>
          <w:rFonts w:ascii="Arial" w:hAnsi="Arial" w:cs="Arial"/>
          <w:snapToGrid w:val="0"/>
          <w:sz w:val="22"/>
          <w:szCs w:val="22"/>
          <w:lang w:val="en-GB" w:eastAsia="en-US"/>
        </w:rPr>
        <w:t xml:space="preserve"> global capacity-building programme</w:t>
      </w:r>
      <w:r w:rsidR="00F62634" w:rsidRPr="00FC0F6B">
        <w:rPr>
          <w:rFonts w:ascii="Arial" w:hAnsi="Arial" w:cs="Arial"/>
          <w:snapToGrid w:val="0"/>
          <w:sz w:val="22"/>
          <w:szCs w:val="22"/>
          <w:lang w:val="en-GB" w:eastAsia="en-US"/>
        </w:rPr>
        <w:t>.</w:t>
      </w:r>
      <w:r w:rsidR="00BF1B64" w:rsidRPr="00FC0F6B">
        <w:rPr>
          <w:rFonts w:ascii="Arial" w:hAnsi="Arial" w:cs="Arial"/>
          <w:snapToGrid w:val="0"/>
          <w:sz w:val="22"/>
          <w:szCs w:val="22"/>
          <w:lang w:val="en-GB" w:eastAsia="en-US"/>
        </w:rPr>
        <w:t xml:space="preserve"> </w:t>
      </w:r>
      <w:r w:rsidR="000E3C45">
        <w:rPr>
          <w:rFonts w:ascii="Arial" w:hAnsi="Arial" w:cs="Arial"/>
          <w:snapToGrid w:val="0"/>
          <w:sz w:val="22"/>
          <w:szCs w:val="22"/>
          <w:lang w:val="en-GB" w:eastAsia="en-US"/>
        </w:rPr>
        <w:t>During the reporting period</w:t>
      </w:r>
      <w:r w:rsidR="00473148">
        <w:rPr>
          <w:rFonts w:ascii="Arial" w:hAnsi="Arial" w:cs="Arial"/>
          <w:snapToGrid w:val="0"/>
          <w:color w:val="000000"/>
          <w:sz w:val="22"/>
          <w:szCs w:val="22"/>
          <w:lang w:val="en-GB" w:eastAsia="en-US"/>
        </w:rPr>
        <w:t>,</w:t>
      </w:r>
      <w:r w:rsidR="00FE2871">
        <w:rPr>
          <w:rFonts w:ascii="Arial" w:hAnsi="Arial" w:cs="Arial"/>
          <w:snapToGrid w:val="0"/>
          <w:color w:val="000000"/>
          <w:sz w:val="22"/>
          <w:szCs w:val="22"/>
          <w:lang w:val="en-GB" w:eastAsia="en-US"/>
        </w:rPr>
        <w:t xml:space="preserve"> </w:t>
      </w:r>
      <w:r w:rsidR="00473148">
        <w:rPr>
          <w:rFonts w:ascii="Arial" w:hAnsi="Arial" w:cs="Arial"/>
          <w:snapToGrid w:val="0"/>
          <w:color w:val="000000"/>
          <w:sz w:val="22"/>
          <w:szCs w:val="22"/>
          <w:lang w:val="en-GB" w:eastAsia="en-US"/>
        </w:rPr>
        <w:t>n</w:t>
      </w:r>
      <w:r w:rsidR="00BF1B64" w:rsidRPr="00FC0F6B">
        <w:rPr>
          <w:rFonts w:ascii="Arial" w:hAnsi="Arial" w:cs="Arial"/>
          <w:snapToGrid w:val="0"/>
          <w:sz w:val="22"/>
          <w:szCs w:val="22"/>
          <w:lang w:val="en-GB" w:eastAsia="en-US"/>
        </w:rPr>
        <w:t>o contribution</w:t>
      </w:r>
      <w:r w:rsidR="000A3204">
        <w:rPr>
          <w:rFonts w:ascii="Arial" w:hAnsi="Arial" w:cs="Arial"/>
          <w:snapToGrid w:val="0"/>
          <w:sz w:val="22"/>
          <w:szCs w:val="22"/>
          <w:lang w:val="en-GB" w:eastAsia="en-US"/>
        </w:rPr>
        <w:t xml:space="preserve"> to the Fund</w:t>
      </w:r>
      <w:r w:rsidR="00BF1B64" w:rsidRPr="00FC0F6B">
        <w:rPr>
          <w:rFonts w:ascii="Arial" w:hAnsi="Arial" w:cs="Arial"/>
          <w:snapToGrid w:val="0"/>
          <w:sz w:val="22"/>
          <w:szCs w:val="22"/>
          <w:lang w:val="en-GB" w:eastAsia="en-US"/>
        </w:rPr>
        <w:t xml:space="preserve"> </w:t>
      </w:r>
      <w:r w:rsidR="0057422D">
        <w:rPr>
          <w:rFonts w:ascii="Arial" w:hAnsi="Arial" w:cs="Arial"/>
          <w:snapToGrid w:val="0"/>
          <w:sz w:val="22"/>
          <w:szCs w:val="22"/>
          <w:lang w:val="en-GB" w:eastAsia="en-US"/>
        </w:rPr>
        <w:t>were</w:t>
      </w:r>
      <w:r w:rsidR="00BF1B64" w:rsidRPr="00FC0F6B">
        <w:rPr>
          <w:rFonts w:ascii="Arial" w:hAnsi="Arial" w:cs="Arial"/>
          <w:snapToGrid w:val="0"/>
          <w:sz w:val="22"/>
          <w:szCs w:val="22"/>
          <w:lang w:val="en-GB" w:eastAsia="en-US"/>
        </w:rPr>
        <w:t xml:space="preserve"> </w:t>
      </w:r>
      <w:r w:rsidR="00DE7D29">
        <w:rPr>
          <w:rFonts w:ascii="Arial" w:hAnsi="Arial" w:cs="Arial"/>
          <w:snapToGrid w:val="0"/>
          <w:sz w:val="22"/>
          <w:szCs w:val="22"/>
          <w:lang w:val="en-GB" w:eastAsia="en-US"/>
        </w:rPr>
        <w:t>received</w:t>
      </w:r>
      <w:r w:rsidR="00AD4D75">
        <w:rPr>
          <w:rFonts w:ascii="Arial" w:hAnsi="Arial" w:cs="Arial"/>
          <w:snapToGrid w:val="0"/>
          <w:sz w:val="22"/>
          <w:szCs w:val="22"/>
          <w:lang w:val="en-GB" w:eastAsia="en-US"/>
        </w:rPr>
        <w:t xml:space="preserve"> for this funding priority</w:t>
      </w:r>
      <w:r w:rsidR="00BF1B64" w:rsidRPr="00FC0F6B">
        <w:rPr>
          <w:rFonts w:ascii="Arial" w:hAnsi="Arial" w:cs="Arial"/>
          <w:snapToGrid w:val="0"/>
          <w:sz w:val="22"/>
          <w:szCs w:val="22"/>
          <w:lang w:val="en-GB" w:eastAsia="en-US"/>
        </w:rPr>
        <w:t xml:space="preserve">. </w:t>
      </w:r>
      <w:r w:rsidR="00E51455">
        <w:rPr>
          <w:rFonts w:ascii="Arial" w:hAnsi="Arial" w:cs="Arial"/>
          <w:snapToGrid w:val="0"/>
          <w:sz w:val="22"/>
          <w:szCs w:val="22"/>
          <w:lang w:val="en-GB" w:eastAsia="en-US"/>
        </w:rPr>
        <w:t>Despite the g</w:t>
      </w:r>
      <w:r w:rsidR="00E51455" w:rsidRPr="00FC0F6B">
        <w:rPr>
          <w:rFonts w:ascii="Arial" w:hAnsi="Arial" w:cs="Arial"/>
          <w:snapToGrid w:val="0"/>
          <w:sz w:val="22"/>
          <w:szCs w:val="22"/>
          <w:lang w:val="en-GB" w:eastAsia="en-US"/>
        </w:rPr>
        <w:t xml:space="preserve">enerous contributions from Belgium (Flanders) </w:t>
      </w:r>
      <w:r w:rsidR="00E51455" w:rsidRPr="00FC0F6B">
        <w:rPr>
          <w:rFonts w:ascii="Arial" w:hAnsi="Arial" w:cs="Arial"/>
          <w:snapToGrid w:val="0"/>
          <w:color w:val="000000"/>
          <w:sz w:val="22"/>
          <w:szCs w:val="22"/>
          <w:lang w:val="en-GB" w:eastAsia="en-US"/>
        </w:rPr>
        <w:t>and Japan</w:t>
      </w:r>
      <w:r w:rsidR="0013124C">
        <w:rPr>
          <w:rFonts w:ascii="Arial" w:hAnsi="Arial" w:cs="Arial"/>
          <w:snapToGrid w:val="0"/>
          <w:color w:val="000000"/>
          <w:sz w:val="22"/>
          <w:szCs w:val="22"/>
          <w:lang w:val="en-GB" w:eastAsia="en-US"/>
        </w:rPr>
        <w:t xml:space="preserve"> in 2018</w:t>
      </w:r>
      <w:r w:rsidR="00E51455">
        <w:rPr>
          <w:rFonts w:ascii="Arial" w:hAnsi="Arial" w:cs="Arial"/>
          <w:snapToGrid w:val="0"/>
          <w:color w:val="000000"/>
          <w:sz w:val="22"/>
          <w:szCs w:val="22"/>
          <w:lang w:val="en-GB" w:eastAsia="en-US"/>
        </w:rPr>
        <w:t>,</w:t>
      </w:r>
      <w:r w:rsidR="00E51455" w:rsidRPr="00FC0F6B">
        <w:rPr>
          <w:rFonts w:ascii="Arial" w:hAnsi="Arial" w:cs="Arial"/>
          <w:snapToGrid w:val="0"/>
          <w:color w:val="000000"/>
          <w:sz w:val="22"/>
          <w:szCs w:val="22"/>
          <w:lang w:val="en-GB" w:eastAsia="en-US"/>
        </w:rPr>
        <w:t xml:space="preserve"> </w:t>
      </w:r>
      <w:r w:rsidR="00E51455">
        <w:rPr>
          <w:rFonts w:ascii="Arial" w:hAnsi="Arial" w:cs="Arial"/>
          <w:snapToGrid w:val="0"/>
          <w:color w:val="000000"/>
          <w:sz w:val="22"/>
          <w:szCs w:val="22"/>
          <w:lang w:val="en-GB" w:eastAsia="en-US"/>
        </w:rPr>
        <w:t xml:space="preserve">for a combined approved </w:t>
      </w:r>
      <w:r w:rsidR="00800EFF">
        <w:rPr>
          <w:rFonts w:ascii="Arial" w:hAnsi="Arial" w:cs="Arial"/>
          <w:snapToGrid w:val="0"/>
          <w:color w:val="000000"/>
          <w:sz w:val="22"/>
          <w:szCs w:val="22"/>
          <w:lang w:val="en-GB" w:eastAsia="en-US"/>
        </w:rPr>
        <w:t xml:space="preserve">budget </w:t>
      </w:r>
      <w:r w:rsidR="00E51455">
        <w:rPr>
          <w:rFonts w:ascii="Arial" w:hAnsi="Arial" w:cs="Arial"/>
          <w:snapToGrid w:val="0"/>
          <w:color w:val="000000"/>
          <w:sz w:val="22"/>
          <w:szCs w:val="22"/>
          <w:lang w:val="en-GB" w:eastAsia="en-US"/>
        </w:rPr>
        <w:t>of</w:t>
      </w:r>
      <w:r w:rsidR="00E51455" w:rsidRPr="00FC0F6B">
        <w:rPr>
          <w:rFonts w:ascii="Arial" w:hAnsi="Arial" w:cs="Arial"/>
          <w:snapToGrid w:val="0"/>
          <w:color w:val="000000"/>
          <w:sz w:val="22"/>
          <w:szCs w:val="22"/>
          <w:lang w:val="en-GB" w:eastAsia="en-US"/>
        </w:rPr>
        <w:t xml:space="preserve"> </w:t>
      </w:r>
      <w:r w:rsidR="00E51455" w:rsidRPr="00FC0F6B">
        <w:rPr>
          <w:rFonts w:ascii="Arial" w:hAnsi="Arial" w:cs="Arial"/>
          <w:snapToGrid w:val="0"/>
          <w:sz w:val="22"/>
          <w:szCs w:val="22"/>
          <w:lang w:val="en-GB" w:eastAsia="en-US"/>
        </w:rPr>
        <w:t>US$377,467</w:t>
      </w:r>
      <w:r w:rsidR="00C816A1">
        <w:rPr>
          <w:rFonts w:ascii="Arial" w:hAnsi="Arial" w:cs="Arial"/>
          <w:snapToGrid w:val="0"/>
          <w:sz w:val="22"/>
          <w:szCs w:val="22"/>
          <w:lang w:val="en-GB" w:eastAsia="en-US"/>
        </w:rPr>
        <w:t xml:space="preserve"> in 2018</w:t>
      </w:r>
      <w:r w:rsidR="0013124C" w:rsidRPr="00FF3EC6">
        <w:rPr>
          <w:rFonts w:ascii="Arial" w:hAnsi="Arial" w:cs="Arial"/>
          <w:snapToGrid w:val="0"/>
          <w:sz w:val="22"/>
          <w:szCs w:val="22"/>
          <w:lang w:val="en-GB" w:eastAsia="en-US"/>
        </w:rPr>
        <w:t xml:space="preserve">, </w:t>
      </w:r>
      <w:r w:rsidR="00D86B5B" w:rsidRPr="00CB68FC">
        <w:rPr>
          <w:rFonts w:ascii="Arial" w:hAnsi="Arial" w:cs="Arial"/>
          <w:color w:val="000000"/>
          <w:sz w:val="22"/>
          <w:szCs w:val="22"/>
          <w:lang w:val="en-GB"/>
        </w:rPr>
        <w:t>it will be</w:t>
      </w:r>
      <w:r w:rsidR="00D86B5B">
        <w:rPr>
          <w:rFonts w:ascii="Arial" w:hAnsi="Arial" w:cs="Arial"/>
          <w:color w:val="000000"/>
          <w:sz w:val="22"/>
          <w:szCs w:val="22"/>
          <w:lang w:val="en-GB"/>
        </w:rPr>
        <w:t xml:space="preserve"> </w:t>
      </w:r>
      <w:r w:rsidR="00D86B5B" w:rsidRPr="00CB68FC">
        <w:rPr>
          <w:rFonts w:ascii="Arial" w:hAnsi="Arial" w:cs="Arial"/>
          <w:color w:val="000000"/>
          <w:sz w:val="22"/>
          <w:szCs w:val="22"/>
          <w:lang w:val="en-GB"/>
        </w:rPr>
        <w:t>difficult to reach the fixed target</w:t>
      </w:r>
      <w:r w:rsidR="0013124C">
        <w:rPr>
          <w:rFonts w:ascii="Arial" w:hAnsi="Arial" w:cs="Arial"/>
          <w:color w:val="000000"/>
          <w:sz w:val="22"/>
          <w:szCs w:val="22"/>
          <w:lang w:val="en-GB"/>
        </w:rPr>
        <w:t xml:space="preserve"> of </w:t>
      </w:r>
      <w:r w:rsidR="0013124C" w:rsidRPr="00CB68FC">
        <w:rPr>
          <w:rFonts w:ascii="Arial" w:hAnsi="Arial" w:cs="Arial"/>
          <w:color w:val="000000"/>
          <w:sz w:val="22"/>
          <w:szCs w:val="22"/>
          <w:lang w:val="en-GB"/>
        </w:rPr>
        <w:t>US$5 million</w:t>
      </w:r>
      <w:r w:rsidR="00D86B5B" w:rsidRPr="00CB68FC">
        <w:rPr>
          <w:rFonts w:ascii="Arial" w:hAnsi="Arial" w:cs="Arial"/>
          <w:color w:val="000000"/>
          <w:sz w:val="22"/>
          <w:szCs w:val="22"/>
          <w:lang w:val="en-GB"/>
        </w:rPr>
        <w:t xml:space="preserve"> for the 2018</w:t>
      </w:r>
      <w:r w:rsidR="00283E2F">
        <w:rPr>
          <w:rFonts w:ascii="Arial" w:hAnsi="Arial" w:cs="Arial"/>
          <w:color w:val="000000"/>
          <w:sz w:val="22"/>
          <w:szCs w:val="22"/>
          <w:lang w:val="en-GB"/>
        </w:rPr>
        <w:t>–</w:t>
      </w:r>
      <w:r w:rsidR="00D86B5B" w:rsidRPr="00CB68FC">
        <w:rPr>
          <w:rFonts w:ascii="Arial" w:hAnsi="Arial" w:cs="Arial"/>
          <w:color w:val="000000"/>
          <w:sz w:val="22"/>
          <w:szCs w:val="22"/>
          <w:lang w:val="en-GB"/>
        </w:rPr>
        <w:t>2021 quadrennium</w:t>
      </w:r>
      <w:r w:rsidR="0013124C">
        <w:rPr>
          <w:rFonts w:ascii="Arial" w:hAnsi="Arial" w:cs="Arial"/>
          <w:color w:val="000000"/>
          <w:sz w:val="22"/>
          <w:szCs w:val="22"/>
          <w:lang w:val="en-GB"/>
        </w:rPr>
        <w:t xml:space="preserve"> (</w:t>
      </w:r>
      <w:hyperlink r:id="rId16" w:history="1">
        <w:r w:rsidR="0013124C" w:rsidRPr="007E2C5C">
          <w:rPr>
            <w:rStyle w:val="Hyperlink"/>
            <w:rFonts w:ascii="Arial" w:hAnsi="Arial" w:cs="Arial"/>
            <w:sz w:val="22"/>
            <w:szCs w:val="22"/>
            <w:lang w:val="en-GB"/>
          </w:rPr>
          <w:t>Decision 12.COM 6</w:t>
        </w:r>
      </w:hyperlink>
      <w:r w:rsidR="0013124C">
        <w:rPr>
          <w:rFonts w:ascii="Arial" w:hAnsi="Arial" w:cs="Arial"/>
          <w:color w:val="000000"/>
          <w:sz w:val="22"/>
          <w:szCs w:val="22"/>
          <w:lang w:val="en-GB"/>
        </w:rPr>
        <w:t>)</w:t>
      </w:r>
      <w:r w:rsidR="00D86B5B" w:rsidRPr="00CB68FC">
        <w:rPr>
          <w:rFonts w:ascii="Arial" w:hAnsi="Arial" w:cs="Arial"/>
          <w:color w:val="000000"/>
          <w:sz w:val="22"/>
          <w:szCs w:val="22"/>
          <w:lang w:val="en-GB"/>
        </w:rPr>
        <w:t>.</w:t>
      </w:r>
      <w:r w:rsidRPr="006D7B52">
        <w:rPr>
          <w:rFonts w:ascii="Arial" w:hAnsi="Arial" w:cs="Arial"/>
          <w:snapToGrid w:val="0"/>
          <w:sz w:val="22"/>
          <w:szCs w:val="22"/>
          <w:lang w:val="en-GB" w:eastAsia="en-US"/>
        </w:rPr>
        <w:t xml:space="preserve"> </w:t>
      </w:r>
    </w:p>
    <w:p w14:paraId="1083B2F0" w14:textId="09D8A0CE" w:rsidR="00D86B5B" w:rsidRPr="00CB68FC" w:rsidRDefault="00C816A1" w:rsidP="00D86B5B">
      <w:pPr>
        <w:numPr>
          <w:ilvl w:val="0"/>
          <w:numId w:val="9"/>
        </w:numPr>
        <w:spacing w:after="120"/>
        <w:ind w:left="567" w:hanging="567"/>
        <w:jc w:val="both"/>
        <w:rPr>
          <w:lang w:val="en-GB"/>
        </w:rPr>
      </w:pPr>
      <w:r>
        <w:rPr>
          <w:rFonts w:ascii="Arial" w:hAnsi="Arial" w:cs="Arial"/>
          <w:snapToGrid w:val="0"/>
          <w:sz w:val="22"/>
          <w:szCs w:val="22"/>
          <w:lang w:val="en-GB" w:eastAsia="en-US"/>
        </w:rPr>
        <w:t>Furthermore</w:t>
      </w:r>
      <w:r w:rsidR="006D7B52" w:rsidRPr="00FC0F6B">
        <w:rPr>
          <w:rFonts w:ascii="Arial" w:hAnsi="Arial" w:cs="Arial"/>
          <w:snapToGrid w:val="0"/>
          <w:color w:val="000000"/>
          <w:sz w:val="22"/>
          <w:szCs w:val="22"/>
          <w:lang w:val="en-GB" w:eastAsia="en-US"/>
        </w:rPr>
        <w:t xml:space="preserve">, </w:t>
      </w:r>
      <w:r w:rsidR="00A76F88">
        <w:rPr>
          <w:rFonts w:ascii="Arial" w:hAnsi="Arial" w:cs="Arial"/>
          <w:snapToGrid w:val="0"/>
          <w:color w:val="000000"/>
          <w:sz w:val="22"/>
          <w:szCs w:val="22"/>
          <w:lang w:val="en-GB" w:eastAsia="en-US"/>
        </w:rPr>
        <w:t xml:space="preserve">it should be noted that </w:t>
      </w:r>
      <w:r w:rsidR="006D7B52">
        <w:rPr>
          <w:rFonts w:ascii="Arial" w:hAnsi="Arial" w:cs="Arial"/>
          <w:snapToGrid w:val="0"/>
          <w:color w:val="000000"/>
          <w:sz w:val="22"/>
          <w:szCs w:val="22"/>
          <w:lang w:val="en-GB" w:eastAsia="en-US"/>
        </w:rPr>
        <w:t>the</w:t>
      </w:r>
      <w:r w:rsidR="00A76F88">
        <w:rPr>
          <w:rFonts w:ascii="Arial" w:hAnsi="Arial" w:cs="Arial"/>
          <w:snapToGrid w:val="0"/>
          <w:color w:val="000000"/>
          <w:sz w:val="22"/>
          <w:szCs w:val="22"/>
          <w:lang w:val="en-GB" w:eastAsia="en-US"/>
        </w:rPr>
        <w:t xml:space="preserve"> ongoing</w:t>
      </w:r>
      <w:r w:rsidR="006D7B52">
        <w:rPr>
          <w:rFonts w:ascii="Arial" w:hAnsi="Arial" w:cs="Arial"/>
          <w:snapToGrid w:val="0"/>
          <w:color w:val="000000"/>
          <w:sz w:val="22"/>
          <w:szCs w:val="22"/>
          <w:lang w:val="en-GB" w:eastAsia="en-US"/>
        </w:rPr>
        <w:t xml:space="preserve"> </w:t>
      </w:r>
      <w:r w:rsidR="00A76F88">
        <w:rPr>
          <w:rFonts w:ascii="Arial" w:hAnsi="Arial" w:cs="Arial"/>
          <w:snapToGrid w:val="0"/>
          <w:color w:val="000000"/>
          <w:sz w:val="22"/>
          <w:szCs w:val="22"/>
          <w:lang w:val="en-GB" w:eastAsia="en-US"/>
        </w:rPr>
        <w:t xml:space="preserve">project ‘Intangible Heritage and Creativity for Sustainable Cities’ supported by the </w:t>
      </w:r>
      <w:r w:rsidR="006D7B52">
        <w:rPr>
          <w:rFonts w:ascii="Arial" w:hAnsi="Arial" w:cs="Arial"/>
          <w:snapToGrid w:val="0"/>
          <w:color w:val="000000"/>
          <w:sz w:val="22"/>
          <w:szCs w:val="22"/>
          <w:lang w:val="en-GB" w:eastAsia="en-US"/>
        </w:rPr>
        <w:t>private sector of the People’s Republic of China, includ</w:t>
      </w:r>
      <w:r w:rsidR="00A76F88">
        <w:rPr>
          <w:rFonts w:ascii="Arial" w:hAnsi="Arial" w:cs="Arial"/>
          <w:snapToGrid w:val="0"/>
          <w:color w:val="000000"/>
          <w:sz w:val="22"/>
          <w:szCs w:val="22"/>
          <w:lang w:val="en-GB" w:eastAsia="en-US"/>
        </w:rPr>
        <w:t xml:space="preserve">es a </w:t>
      </w:r>
      <w:r w:rsidR="00A76F88" w:rsidRPr="0061679F">
        <w:rPr>
          <w:rFonts w:ascii="Arial" w:hAnsi="Arial" w:cs="Arial"/>
          <w:snapToGrid w:val="0"/>
          <w:color w:val="000000"/>
          <w:sz w:val="22"/>
          <w:szCs w:val="22"/>
          <w:lang w:val="en-GB" w:eastAsia="en-US"/>
        </w:rPr>
        <w:t>component dedicated to</w:t>
      </w:r>
      <w:r w:rsidRPr="0061679F">
        <w:rPr>
          <w:rFonts w:ascii="Arial" w:hAnsi="Arial" w:cs="Arial"/>
          <w:snapToGrid w:val="0"/>
          <w:color w:val="000000"/>
          <w:sz w:val="22"/>
          <w:szCs w:val="22"/>
          <w:lang w:val="en-GB" w:eastAsia="en-US"/>
        </w:rPr>
        <w:t xml:space="preserve"> capacity-building</w:t>
      </w:r>
      <w:r w:rsidR="0061679F">
        <w:rPr>
          <w:rFonts w:ascii="Arial" w:hAnsi="Arial" w:cs="Arial"/>
          <w:snapToGrid w:val="0"/>
          <w:color w:val="000000"/>
          <w:sz w:val="22"/>
          <w:szCs w:val="22"/>
          <w:lang w:val="en-GB" w:eastAsia="en-US"/>
        </w:rPr>
        <w:t xml:space="preserve"> for the safeguarding of intangible cultural heritage</w:t>
      </w:r>
      <w:r w:rsidR="006D7B52" w:rsidRPr="0061679F">
        <w:rPr>
          <w:rFonts w:ascii="Arial" w:hAnsi="Arial" w:cs="Arial"/>
          <w:snapToGrid w:val="0"/>
          <w:color w:val="000000"/>
          <w:sz w:val="22"/>
          <w:szCs w:val="22"/>
          <w:lang w:val="en-GB" w:eastAsia="en-US"/>
        </w:rPr>
        <w:t xml:space="preserve"> </w:t>
      </w:r>
      <w:r w:rsidRPr="0061679F">
        <w:rPr>
          <w:rFonts w:ascii="Arial" w:hAnsi="Arial" w:cs="Arial"/>
          <w:snapToGrid w:val="0"/>
          <w:color w:val="000000"/>
          <w:sz w:val="22"/>
          <w:szCs w:val="22"/>
          <w:lang w:val="en-GB" w:eastAsia="en-US"/>
        </w:rPr>
        <w:t>(</w:t>
      </w:r>
      <w:r w:rsidR="007E2C5C">
        <w:rPr>
          <w:rFonts w:ascii="Arial" w:hAnsi="Arial" w:cs="Arial"/>
          <w:snapToGrid w:val="0"/>
          <w:color w:val="000000"/>
          <w:sz w:val="22"/>
          <w:szCs w:val="22"/>
          <w:lang w:val="en-GB" w:eastAsia="en-US"/>
        </w:rPr>
        <w:t xml:space="preserve">2017-2020; </w:t>
      </w:r>
      <w:r w:rsidRPr="0061679F">
        <w:rPr>
          <w:rFonts w:ascii="Arial" w:hAnsi="Arial" w:cs="Arial"/>
          <w:snapToGrid w:val="0"/>
          <w:color w:val="000000"/>
          <w:sz w:val="22"/>
          <w:szCs w:val="22"/>
          <w:lang w:val="en-GB" w:eastAsia="en-US"/>
        </w:rPr>
        <w:t>budget allocation of th</w:t>
      </w:r>
      <w:r w:rsidR="007E2C5C">
        <w:rPr>
          <w:rFonts w:ascii="Arial" w:hAnsi="Arial" w:cs="Arial"/>
          <w:snapToGrid w:val="0"/>
          <w:color w:val="000000"/>
          <w:sz w:val="22"/>
          <w:szCs w:val="22"/>
          <w:lang w:val="en-GB" w:eastAsia="en-US"/>
        </w:rPr>
        <w:t>e</w:t>
      </w:r>
      <w:r w:rsidRPr="0061679F">
        <w:rPr>
          <w:rFonts w:ascii="Arial" w:hAnsi="Arial" w:cs="Arial"/>
          <w:snapToGrid w:val="0"/>
          <w:color w:val="000000"/>
          <w:sz w:val="22"/>
          <w:szCs w:val="22"/>
          <w:lang w:val="en-GB" w:eastAsia="en-US"/>
        </w:rPr>
        <w:t xml:space="preserve"> component:</w:t>
      </w:r>
      <w:r w:rsidR="0061679F">
        <w:rPr>
          <w:rFonts w:ascii="Arial" w:hAnsi="Arial" w:cs="Arial"/>
          <w:snapToGrid w:val="0"/>
          <w:color w:val="000000"/>
          <w:sz w:val="22"/>
          <w:szCs w:val="22"/>
          <w:lang w:val="en-GB" w:eastAsia="en-US"/>
        </w:rPr>
        <w:t xml:space="preserve"> </w:t>
      </w:r>
      <w:r w:rsidR="006D7B52" w:rsidRPr="00FF3EC6">
        <w:rPr>
          <w:rFonts w:ascii="Arial" w:hAnsi="Arial" w:cs="Arial"/>
          <w:snapToGrid w:val="0"/>
          <w:color w:val="000000"/>
          <w:sz w:val="22"/>
          <w:szCs w:val="22"/>
          <w:lang w:val="en-GB" w:eastAsia="en-US"/>
        </w:rPr>
        <w:t>US$</w:t>
      </w:r>
      <w:r w:rsidR="00965C3B">
        <w:rPr>
          <w:rFonts w:ascii="Arial" w:hAnsi="Arial" w:cs="Arial"/>
          <w:snapToGrid w:val="0"/>
          <w:color w:val="000000"/>
          <w:sz w:val="22"/>
          <w:szCs w:val="22"/>
          <w:lang w:val="en-GB" w:eastAsia="en-US"/>
        </w:rPr>
        <w:t>639</w:t>
      </w:r>
      <w:r w:rsidR="006D7B52" w:rsidRPr="0061679F">
        <w:rPr>
          <w:rFonts w:ascii="Arial" w:hAnsi="Arial" w:cs="Arial"/>
          <w:snapToGrid w:val="0"/>
          <w:color w:val="000000"/>
          <w:sz w:val="22"/>
          <w:szCs w:val="22"/>
          <w:lang w:val="en-GB" w:eastAsia="en-US"/>
        </w:rPr>
        <w:t>,</w:t>
      </w:r>
      <w:r w:rsidR="00965C3B">
        <w:rPr>
          <w:rFonts w:ascii="Arial" w:hAnsi="Arial" w:cs="Arial"/>
          <w:snapToGrid w:val="0"/>
          <w:color w:val="000000"/>
          <w:sz w:val="22"/>
          <w:szCs w:val="22"/>
          <w:lang w:val="en-GB" w:eastAsia="en-US"/>
        </w:rPr>
        <w:t>580</w:t>
      </w:r>
      <w:r w:rsidR="0061679F">
        <w:rPr>
          <w:rFonts w:ascii="Arial" w:hAnsi="Arial" w:cs="Arial"/>
          <w:snapToGrid w:val="0"/>
          <w:color w:val="000000"/>
          <w:sz w:val="22"/>
          <w:szCs w:val="22"/>
          <w:lang w:val="en-GB" w:eastAsia="en-US"/>
        </w:rPr>
        <w:t>)</w:t>
      </w:r>
      <w:r w:rsidR="006D7B52">
        <w:rPr>
          <w:rFonts w:ascii="Arial" w:hAnsi="Arial" w:cs="Arial"/>
          <w:snapToGrid w:val="0"/>
          <w:color w:val="000000"/>
          <w:sz w:val="22"/>
          <w:szCs w:val="22"/>
          <w:lang w:val="en-GB" w:eastAsia="en-US"/>
        </w:rPr>
        <w:t xml:space="preserve">. </w:t>
      </w:r>
    </w:p>
    <w:p w14:paraId="277454F7" w14:textId="109305D3" w:rsidR="00BF1B64" w:rsidRPr="00BF1B64" w:rsidRDefault="00FC0F6B" w:rsidP="00FF3EC6">
      <w:pPr>
        <w:keepLines/>
        <w:numPr>
          <w:ilvl w:val="0"/>
          <w:numId w:val="9"/>
        </w:numPr>
        <w:spacing w:after="120"/>
        <w:ind w:left="567" w:hanging="567"/>
        <w:jc w:val="both"/>
        <w:rPr>
          <w:rFonts w:ascii="Arial" w:hAnsi="Arial" w:cs="Arial"/>
          <w:snapToGrid w:val="0"/>
          <w:sz w:val="18"/>
          <w:szCs w:val="18"/>
          <w:lang w:val="en-GB" w:eastAsia="en-US"/>
        </w:rPr>
      </w:pPr>
      <w:r>
        <w:rPr>
          <w:rFonts w:ascii="Arial" w:hAnsi="Arial" w:cs="Arial"/>
          <w:snapToGrid w:val="0"/>
          <w:sz w:val="22"/>
          <w:szCs w:val="22"/>
          <w:lang w:val="en-GB" w:eastAsia="en-US"/>
        </w:rPr>
        <w:t>Considering the increase</w:t>
      </w:r>
      <w:r w:rsidR="00AE6069">
        <w:rPr>
          <w:rFonts w:ascii="Arial" w:hAnsi="Arial" w:cs="Arial"/>
          <w:snapToGrid w:val="0"/>
          <w:sz w:val="22"/>
          <w:szCs w:val="22"/>
          <w:lang w:val="en-GB" w:eastAsia="en-US"/>
        </w:rPr>
        <w:t xml:space="preserve"> in the </w:t>
      </w:r>
      <w:r>
        <w:rPr>
          <w:rFonts w:ascii="Arial" w:hAnsi="Arial" w:cs="Arial"/>
          <w:snapToGrid w:val="0"/>
          <w:sz w:val="22"/>
          <w:szCs w:val="22"/>
          <w:lang w:val="en-GB" w:eastAsia="en-US"/>
        </w:rPr>
        <w:t xml:space="preserve">number of International Assistance requests submitted and approved (see </w:t>
      </w:r>
      <w:r w:rsidRPr="002365FA">
        <w:rPr>
          <w:rFonts w:ascii="Arial" w:hAnsi="Arial" w:cs="Arial"/>
          <w:snapToGrid w:val="0"/>
          <w:sz w:val="22"/>
          <w:szCs w:val="22"/>
          <w:lang w:val="en-GB" w:eastAsia="en-US"/>
        </w:rPr>
        <w:t xml:space="preserve">documents </w:t>
      </w:r>
      <w:r w:rsidR="00DE6B00">
        <w:fldChar w:fldCharType="begin"/>
      </w:r>
      <w:r w:rsidR="00DE6B00" w:rsidRPr="00DE6B00">
        <w:rPr>
          <w:lang w:val="en-GB"/>
        </w:rPr>
        <w:instrText xml:space="preserve"> HYPERLINK "https://ich.unesco.org/doc/src/LHE-19-14.COM-7-EN.docx" </w:instrText>
      </w:r>
      <w:r w:rsidR="00DE6B00">
        <w:fldChar w:fldCharType="separate"/>
      </w:r>
      <w:r w:rsidRPr="002365FA">
        <w:rPr>
          <w:rStyle w:val="Hyperlink"/>
          <w:rFonts w:ascii="Arial" w:hAnsi="Arial" w:cs="Arial"/>
          <w:snapToGrid w:val="0"/>
          <w:sz w:val="22"/>
          <w:szCs w:val="22"/>
          <w:lang w:val="en-GB" w:eastAsia="en-US"/>
        </w:rPr>
        <w:t>LHE/19/14.COM/7</w:t>
      </w:r>
      <w:r w:rsidR="00DE6B00">
        <w:rPr>
          <w:rStyle w:val="Hyperlink"/>
          <w:rFonts w:ascii="Arial" w:hAnsi="Arial" w:cs="Arial"/>
          <w:snapToGrid w:val="0"/>
          <w:sz w:val="22"/>
          <w:szCs w:val="22"/>
          <w:lang w:val="en-GB" w:eastAsia="en-US"/>
        </w:rPr>
        <w:fldChar w:fldCharType="end"/>
      </w:r>
      <w:r w:rsidRPr="002365FA">
        <w:rPr>
          <w:rFonts w:ascii="Arial" w:hAnsi="Arial" w:cs="Arial"/>
          <w:snapToGrid w:val="0"/>
          <w:sz w:val="22"/>
          <w:szCs w:val="22"/>
          <w:lang w:val="en-GB" w:eastAsia="en-US"/>
        </w:rPr>
        <w:t xml:space="preserve"> and </w:t>
      </w:r>
      <w:r w:rsidR="00DE6B00">
        <w:fldChar w:fldCharType="begin"/>
      </w:r>
      <w:r w:rsidR="00DE6B00" w:rsidRPr="00DE6B00">
        <w:rPr>
          <w:lang w:val="en-GB"/>
        </w:rPr>
        <w:instrText xml:space="preserve"> HYPERLINK "https://ich.unesco.org/doc/src/LHE-19-14.COM-9.b-EN.docx" </w:instrText>
      </w:r>
      <w:r w:rsidR="00DE6B00">
        <w:fldChar w:fldCharType="separate"/>
      </w:r>
      <w:r w:rsidRPr="002365FA">
        <w:rPr>
          <w:rStyle w:val="Hyperlink"/>
          <w:rFonts w:ascii="Arial" w:hAnsi="Arial" w:cs="Arial"/>
          <w:snapToGrid w:val="0"/>
          <w:sz w:val="22"/>
          <w:szCs w:val="22"/>
          <w:lang w:val="en-GB" w:eastAsia="en-US"/>
        </w:rPr>
        <w:t>LHE/19/14.COM/9.b</w:t>
      </w:r>
      <w:r w:rsidR="00DE6B00">
        <w:rPr>
          <w:rStyle w:val="Hyperlink"/>
          <w:rFonts w:ascii="Arial" w:hAnsi="Arial" w:cs="Arial"/>
          <w:snapToGrid w:val="0"/>
          <w:sz w:val="22"/>
          <w:szCs w:val="22"/>
          <w:lang w:val="en-GB" w:eastAsia="en-US"/>
        </w:rPr>
        <w:fldChar w:fldCharType="end"/>
      </w:r>
      <w:r w:rsidRPr="002365FA">
        <w:rPr>
          <w:rFonts w:ascii="Arial" w:hAnsi="Arial" w:cs="Arial"/>
          <w:snapToGrid w:val="0"/>
          <w:sz w:val="22"/>
          <w:szCs w:val="22"/>
          <w:lang w:val="en-GB" w:eastAsia="en-US"/>
        </w:rPr>
        <w:t>), it</w:t>
      </w:r>
      <w:r>
        <w:rPr>
          <w:rFonts w:ascii="Arial" w:hAnsi="Arial" w:cs="Arial"/>
          <w:snapToGrid w:val="0"/>
          <w:sz w:val="22"/>
          <w:szCs w:val="22"/>
          <w:lang w:val="en-GB" w:eastAsia="en-US"/>
        </w:rPr>
        <w:t xml:space="preserve"> could be inferred that capacity-building needs </w:t>
      </w:r>
      <w:r w:rsidR="00E74460">
        <w:rPr>
          <w:rFonts w:ascii="Arial" w:hAnsi="Arial" w:cs="Arial"/>
          <w:snapToGrid w:val="0"/>
          <w:sz w:val="22"/>
          <w:szCs w:val="22"/>
          <w:lang w:val="en-GB" w:eastAsia="en-US"/>
        </w:rPr>
        <w:t>are</w:t>
      </w:r>
      <w:r>
        <w:rPr>
          <w:rFonts w:ascii="Arial" w:hAnsi="Arial" w:cs="Arial"/>
          <w:snapToGrid w:val="0"/>
          <w:sz w:val="22"/>
          <w:szCs w:val="22"/>
          <w:lang w:val="en-GB" w:eastAsia="en-US"/>
        </w:rPr>
        <w:t xml:space="preserve"> </w:t>
      </w:r>
      <w:r w:rsidR="00283E2F">
        <w:rPr>
          <w:rFonts w:ascii="Arial" w:hAnsi="Arial" w:cs="Arial"/>
          <w:snapToGrid w:val="0"/>
          <w:sz w:val="22"/>
          <w:szCs w:val="22"/>
          <w:lang w:val="en-GB" w:eastAsia="en-US"/>
        </w:rPr>
        <w:t xml:space="preserve">being </w:t>
      </w:r>
      <w:r w:rsidR="00AE6069">
        <w:rPr>
          <w:rFonts w:ascii="Arial" w:hAnsi="Arial" w:cs="Arial"/>
          <w:snapToGrid w:val="0"/>
          <w:sz w:val="22"/>
          <w:szCs w:val="22"/>
          <w:lang w:val="en-GB" w:eastAsia="en-US"/>
        </w:rPr>
        <w:t xml:space="preserve">progressively </w:t>
      </w:r>
      <w:r>
        <w:rPr>
          <w:rFonts w:ascii="Arial" w:hAnsi="Arial" w:cs="Arial"/>
          <w:snapToGrid w:val="0"/>
          <w:sz w:val="22"/>
          <w:szCs w:val="22"/>
          <w:lang w:val="en-GB" w:eastAsia="en-US"/>
        </w:rPr>
        <w:t xml:space="preserve">addressed through </w:t>
      </w:r>
      <w:r w:rsidR="004E2857">
        <w:rPr>
          <w:rFonts w:ascii="Arial" w:hAnsi="Arial" w:cs="Arial"/>
          <w:snapToGrid w:val="0"/>
          <w:sz w:val="22"/>
          <w:szCs w:val="22"/>
          <w:lang w:val="en-GB" w:eastAsia="en-US"/>
        </w:rPr>
        <w:t>International Assistance</w:t>
      </w:r>
      <w:r w:rsidR="00581BAE">
        <w:rPr>
          <w:rFonts w:ascii="Arial" w:hAnsi="Arial" w:cs="Arial"/>
          <w:snapToGrid w:val="0"/>
          <w:sz w:val="22"/>
          <w:szCs w:val="22"/>
          <w:lang w:val="en-GB" w:eastAsia="en-US"/>
        </w:rPr>
        <w:t xml:space="preserve">. However, as the </w:t>
      </w:r>
      <w:r w:rsidR="00D86B5B">
        <w:rPr>
          <w:rFonts w:ascii="Arial" w:hAnsi="Arial" w:cs="Arial"/>
          <w:snapToGrid w:val="0"/>
          <w:sz w:val="22"/>
          <w:szCs w:val="22"/>
          <w:lang w:val="en-GB" w:eastAsia="en-US"/>
        </w:rPr>
        <w:t>overall budget of the Fund</w:t>
      </w:r>
      <w:r w:rsidR="009F5D8D">
        <w:rPr>
          <w:rFonts w:ascii="Arial" w:hAnsi="Arial" w:cs="Arial"/>
          <w:snapToGrid w:val="0"/>
          <w:sz w:val="22"/>
          <w:szCs w:val="22"/>
          <w:lang w:val="en-GB" w:eastAsia="en-US"/>
        </w:rPr>
        <w:t>, and</w:t>
      </w:r>
      <w:r w:rsidR="00D86B5B">
        <w:rPr>
          <w:rFonts w:ascii="Arial" w:hAnsi="Arial" w:cs="Arial"/>
          <w:snapToGrid w:val="0"/>
          <w:sz w:val="22"/>
          <w:szCs w:val="22"/>
          <w:lang w:val="en-GB" w:eastAsia="en-US"/>
        </w:rPr>
        <w:t xml:space="preserve"> with it the allocation dedicated to International Assistance</w:t>
      </w:r>
      <w:r w:rsidR="00283E2F">
        <w:rPr>
          <w:rFonts w:ascii="Arial" w:hAnsi="Arial" w:cs="Arial"/>
          <w:snapToGrid w:val="0"/>
          <w:sz w:val="22"/>
          <w:szCs w:val="22"/>
          <w:lang w:val="en-GB" w:eastAsia="en-US"/>
        </w:rPr>
        <w:t>,</w:t>
      </w:r>
      <w:r w:rsidR="00D86B5B">
        <w:rPr>
          <w:rFonts w:ascii="Arial" w:hAnsi="Arial" w:cs="Arial"/>
          <w:snapToGrid w:val="0"/>
          <w:sz w:val="22"/>
          <w:szCs w:val="22"/>
          <w:lang w:val="en-GB" w:eastAsia="en-US"/>
        </w:rPr>
        <w:t xml:space="preserve"> is foreseen to decrease </w:t>
      </w:r>
      <w:r w:rsidR="000A3204">
        <w:rPr>
          <w:rFonts w:ascii="Arial" w:hAnsi="Arial" w:cs="Arial"/>
          <w:snapToGrid w:val="0"/>
          <w:sz w:val="22"/>
          <w:szCs w:val="22"/>
          <w:lang w:val="en-GB" w:eastAsia="en-US"/>
        </w:rPr>
        <w:t xml:space="preserve">in </w:t>
      </w:r>
      <w:r w:rsidR="00D86B5B">
        <w:rPr>
          <w:rFonts w:ascii="Arial" w:hAnsi="Arial" w:cs="Arial"/>
          <w:snapToGrid w:val="0"/>
          <w:sz w:val="22"/>
          <w:szCs w:val="22"/>
          <w:lang w:val="en-GB" w:eastAsia="en-US"/>
        </w:rPr>
        <w:t xml:space="preserve">the coming biennium, voluntary contributions will become even more crucial, as the Fund </w:t>
      </w:r>
      <w:r w:rsidR="00E51455">
        <w:rPr>
          <w:rFonts w:ascii="Arial" w:hAnsi="Arial" w:cs="Arial"/>
          <w:snapToGrid w:val="0"/>
          <w:sz w:val="22"/>
          <w:szCs w:val="22"/>
          <w:lang w:val="en-GB" w:eastAsia="en-US"/>
        </w:rPr>
        <w:t>m</w:t>
      </w:r>
      <w:r w:rsidR="005157E0">
        <w:rPr>
          <w:rFonts w:ascii="Arial" w:hAnsi="Arial" w:cs="Arial"/>
          <w:snapToGrid w:val="0"/>
          <w:sz w:val="22"/>
          <w:szCs w:val="22"/>
          <w:lang w:val="en-GB" w:eastAsia="en-US"/>
        </w:rPr>
        <w:t>ight</w:t>
      </w:r>
      <w:r w:rsidR="00E51455">
        <w:rPr>
          <w:rFonts w:ascii="Arial" w:hAnsi="Arial" w:cs="Arial"/>
          <w:snapToGrid w:val="0"/>
          <w:sz w:val="22"/>
          <w:szCs w:val="22"/>
          <w:lang w:val="en-GB" w:eastAsia="en-US"/>
        </w:rPr>
        <w:t xml:space="preserve"> </w:t>
      </w:r>
      <w:r w:rsidR="00D86B5B">
        <w:rPr>
          <w:rFonts w:ascii="Arial" w:hAnsi="Arial" w:cs="Arial"/>
          <w:snapToGrid w:val="0"/>
          <w:sz w:val="22"/>
          <w:szCs w:val="22"/>
          <w:lang w:val="en-GB" w:eastAsia="en-US"/>
        </w:rPr>
        <w:t>not</w:t>
      </w:r>
      <w:r w:rsidR="0044772E">
        <w:rPr>
          <w:rFonts w:ascii="Arial" w:hAnsi="Arial" w:cs="Arial"/>
          <w:snapToGrid w:val="0"/>
          <w:sz w:val="22"/>
          <w:szCs w:val="22"/>
          <w:lang w:val="en-GB" w:eastAsia="en-US"/>
        </w:rPr>
        <w:t xml:space="preserve"> always</w:t>
      </w:r>
      <w:r w:rsidR="00D86B5B">
        <w:rPr>
          <w:rFonts w:ascii="Arial" w:hAnsi="Arial" w:cs="Arial"/>
          <w:snapToGrid w:val="0"/>
          <w:sz w:val="22"/>
          <w:szCs w:val="22"/>
          <w:lang w:val="en-GB" w:eastAsia="en-US"/>
        </w:rPr>
        <w:t xml:space="preserve"> be in a position to support all </w:t>
      </w:r>
      <w:r w:rsidR="00283E2F">
        <w:rPr>
          <w:rFonts w:ascii="Arial" w:hAnsi="Arial" w:cs="Arial"/>
          <w:snapToGrid w:val="0"/>
          <w:sz w:val="22"/>
          <w:szCs w:val="22"/>
          <w:lang w:val="en-GB" w:eastAsia="en-US"/>
        </w:rPr>
        <w:t xml:space="preserve">the </w:t>
      </w:r>
      <w:r w:rsidR="00D86B5B">
        <w:rPr>
          <w:rFonts w:ascii="Arial" w:hAnsi="Arial" w:cs="Arial"/>
          <w:snapToGrid w:val="0"/>
          <w:sz w:val="22"/>
          <w:szCs w:val="22"/>
          <w:lang w:val="en-GB" w:eastAsia="en-US"/>
        </w:rPr>
        <w:t xml:space="preserve">requests submitted to it. </w:t>
      </w:r>
    </w:p>
    <w:p w14:paraId="34EC4EEA" w14:textId="77777777" w:rsidR="00536CF1" w:rsidRDefault="00536CF1" w:rsidP="008922DF">
      <w:pPr>
        <w:keepNext/>
        <w:tabs>
          <w:tab w:val="left" w:pos="567"/>
        </w:tabs>
        <w:snapToGrid w:val="0"/>
        <w:spacing w:before="240" w:after="120"/>
        <w:ind w:left="567"/>
        <w:jc w:val="both"/>
        <w:rPr>
          <w:rFonts w:ascii="Arial" w:hAnsi="Arial" w:cs="Arial"/>
          <w:snapToGrid w:val="0"/>
          <w:sz w:val="22"/>
          <w:szCs w:val="22"/>
          <w:lang w:val="en-GB" w:eastAsia="en-US"/>
        </w:rPr>
      </w:pPr>
      <w:r>
        <w:rPr>
          <w:rFonts w:ascii="Arial" w:hAnsi="Arial" w:cs="Arial"/>
          <w:b/>
          <w:snapToGrid w:val="0"/>
          <w:sz w:val="22"/>
          <w:szCs w:val="22"/>
          <w:lang w:val="en-GB" w:eastAsia="en-US"/>
        </w:rPr>
        <w:t xml:space="preserve">Funding priority 2: </w:t>
      </w:r>
      <w:r w:rsidR="00BF1B64" w:rsidRPr="00BF1B64">
        <w:rPr>
          <w:rFonts w:ascii="Arial" w:hAnsi="Arial" w:cs="Arial"/>
          <w:b/>
          <w:snapToGrid w:val="0"/>
          <w:sz w:val="22"/>
          <w:szCs w:val="22"/>
          <w:lang w:val="en-GB" w:eastAsia="en-US"/>
        </w:rPr>
        <w:t>Intangible cultural heritage in education</w:t>
      </w:r>
      <w:r w:rsidR="00BF1B64" w:rsidRPr="00BF1B64">
        <w:rPr>
          <w:rFonts w:ascii="Arial" w:hAnsi="Arial" w:cs="Arial"/>
          <w:snapToGrid w:val="0"/>
          <w:sz w:val="22"/>
          <w:szCs w:val="22"/>
          <w:lang w:val="en-GB" w:eastAsia="en-US"/>
        </w:rPr>
        <w:t xml:space="preserve"> </w:t>
      </w:r>
    </w:p>
    <w:p w14:paraId="689C2FE9" w14:textId="73429A26" w:rsidR="005157E0" w:rsidRPr="00FF3EC6" w:rsidRDefault="009A71BC" w:rsidP="002841CE">
      <w:pPr>
        <w:numPr>
          <w:ilvl w:val="0"/>
          <w:numId w:val="9"/>
        </w:numPr>
        <w:spacing w:after="120"/>
        <w:ind w:left="567" w:hanging="567"/>
        <w:jc w:val="both"/>
        <w:rPr>
          <w:rFonts w:ascii="Arial" w:hAnsi="Arial" w:cs="Arial"/>
          <w:snapToGrid w:val="0"/>
          <w:sz w:val="22"/>
          <w:szCs w:val="22"/>
          <w:lang w:val="en-GB" w:eastAsia="en-US"/>
        </w:rPr>
      </w:pPr>
      <w:r w:rsidRPr="00CB68FC">
        <w:rPr>
          <w:rFonts w:ascii="Arial" w:hAnsi="Arial" w:cs="Arial"/>
          <w:sz w:val="22"/>
          <w:szCs w:val="22"/>
          <w:lang w:val="en-US"/>
        </w:rPr>
        <w:t xml:space="preserve">Under the funding priority </w:t>
      </w:r>
      <w:r w:rsidR="00BF1B64" w:rsidRPr="00CB68FC">
        <w:rPr>
          <w:rFonts w:ascii="Arial" w:hAnsi="Arial" w:cs="Arial"/>
          <w:sz w:val="22"/>
          <w:szCs w:val="22"/>
          <w:lang w:val="en-US"/>
        </w:rPr>
        <w:t xml:space="preserve">‘Safeguarding intangible cultural heritage in formal and non-formal education’ </w:t>
      </w:r>
      <w:r w:rsidRPr="00CB68FC">
        <w:rPr>
          <w:rFonts w:ascii="Arial" w:hAnsi="Arial" w:cs="Arial"/>
          <w:sz w:val="22"/>
          <w:szCs w:val="22"/>
          <w:lang w:val="en-US"/>
        </w:rPr>
        <w:t>approved</w:t>
      </w:r>
      <w:r w:rsidR="00BF1B64" w:rsidRPr="00CB68FC">
        <w:rPr>
          <w:rFonts w:ascii="Arial" w:hAnsi="Arial" w:cs="Arial"/>
          <w:sz w:val="22"/>
          <w:szCs w:val="22"/>
          <w:lang w:val="en-US"/>
        </w:rPr>
        <w:t xml:space="preserve"> by the Committee in December 2017</w:t>
      </w:r>
      <w:r w:rsidRPr="00CB68FC">
        <w:rPr>
          <w:rFonts w:ascii="Arial" w:hAnsi="Arial" w:cs="Arial"/>
          <w:sz w:val="22"/>
          <w:szCs w:val="22"/>
          <w:lang w:val="en-US"/>
        </w:rPr>
        <w:t>, the Secretariat has intensified its advocacy and upstream efforts at the global, regional and national levels</w:t>
      </w:r>
      <w:r w:rsidR="00C37F98" w:rsidRPr="00DD12CF">
        <w:rPr>
          <w:rFonts w:ascii="Arial" w:hAnsi="Arial" w:cs="Arial"/>
          <w:sz w:val="22"/>
          <w:szCs w:val="22"/>
          <w:lang w:val="en-US"/>
        </w:rPr>
        <w:t xml:space="preserve"> (see the Report of the Secretariat under </w:t>
      </w:r>
      <w:r w:rsidR="00DE6B00">
        <w:fldChar w:fldCharType="begin"/>
      </w:r>
      <w:r w:rsidR="00DE6B00" w:rsidRPr="00DE6B00">
        <w:rPr>
          <w:lang w:val="en-GB"/>
        </w:rPr>
        <w:instrText xml:space="preserve"> HYPERLINK "https://ich.unesco.org/doc/src/LHE-19-14.COM-5.b-EN.docx" </w:instrText>
      </w:r>
      <w:r w:rsidR="00DE6B00">
        <w:fldChar w:fldCharType="separate"/>
      </w:r>
      <w:r w:rsidR="00C37F98" w:rsidRPr="009C12A3">
        <w:rPr>
          <w:rStyle w:val="Hyperlink"/>
          <w:rFonts w:ascii="Arial" w:hAnsi="Arial" w:cs="Arial"/>
          <w:sz w:val="22"/>
          <w:szCs w:val="22"/>
          <w:lang w:val="en-US"/>
        </w:rPr>
        <w:t>document LHE/19/14.COM/5.b</w:t>
      </w:r>
      <w:r w:rsidR="00DE6B00">
        <w:rPr>
          <w:rStyle w:val="Hyperlink"/>
          <w:rFonts w:ascii="Arial" w:hAnsi="Arial" w:cs="Arial"/>
          <w:sz w:val="22"/>
          <w:szCs w:val="22"/>
          <w:lang w:val="en-US"/>
        </w:rPr>
        <w:fldChar w:fldCharType="end"/>
      </w:r>
      <w:r w:rsidR="00C37F98" w:rsidRPr="00DD12CF">
        <w:rPr>
          <w:rFonts w:ascii="Arial" w:hAnsi="Arial" w:cs="Arial"/>
          <w:sz w:val="22"/>
          <w:szCs w:val="22"/>
          <w:lang w:val="en-US"/>
        </w:rPr>
        <w:t>)</w:t>
      </w:r>
      <w:r w:rsidR="00A76F88">
        <w:rPr>
          <w:rFonts w:ascii="Arial" w:hAnsi="Arial" w:cs="Arial"/>
          <w:sz w:val="22"/>
          <w:szCs w:val="22"/>
          <w:lang w:val="en-US"/>
        </w:rPr>
        <w:t xml:space="preserve">, although </w:t>
      </w:r>
      <w:r w:rsidRPr="00CB68FC">
        <w:rPr>
          <w:rFonts w:ascii="Arial" w:hAnsi="Arial" w:cs="Arial"/>
          <w:sz w:val="22"/>
          <w:szCs w:val="22"/>
          <w:lang w:val="en-US"/>
        </w:rPr>
        <w:t>no voluntary contribution</w:t>
      </w:r>
      <w:r w:rsidR="00801B78">
        <w:rPr>
          <w:rFonts w:ascii="Arial" w:hAnsi="Arial" w:cs="Arial"/>
          <w:sz w:val="22"/>
          <w:szCs w:val="22"/>
          <w:lang w:val="en-US"/>
        </w:rPr>
        <w:t xml:space="preserve"> to the Fund</w:t>
      </w:r>
      <w:r w:rsidRPr="00CB68FC">
        <w:rPr>
          <w:rFonts w:ascii="Arial" w:hAnsi="Arial" w:cs="Arial"/>
          <w:sz w:val="22"/>
          <w:szCs w:val="22"/>
          <w:lang w:val="en-US"/>
        </w:rPr>
        <w:t xml:space="preserve"> has been received</w:t>
      </w:r>
      <w:r w:rsidR="00283E2F" w:rsidRPr="00283E2F">
        <w:rPr>
          <w:rFonts w:ascii="Arial" w:hAnsi="Arial" w:cs="Arial"/>
          <w:sz w:val="22"/>
          <w:szCs w:val="22"/>
          <w:lang w:val="en-US"/>
        </w:rPr>
        <w:t xml:space="preserve"> </w:t>
      </w:r>
      <w:r w:rsidR="00283E2F" w:rsidRPr="00CB68FC">
        <w:rPr>
          <w:rFonts w:ascii="Arial" w:hAnsi="Arial" w:cs="Arial"/>
          <w:sz w:val="22"/>
          <w:szCs w:val="22"/>
          <w:lang w:val="en-US"/>
        </w:rPr>
        <w:t>so far</w:t>
      </w:r>
      <w:r w:rsidR="00A76F88">
        <w:rPr>
          <w:rFonts w:ascii="Arial" w:hAnsi="Arial" w:cs="Arial"/>
          <w:sz w:val="22"/>
          <w:szCs w:val="22"/>
          <w:lang w:val="en-US"/>
        </w:rPr>
        <w:t>.</w:t>
      </w:r>
    </w:p>
    <w:p w14:paraId="4AE6F3BB" w14:textId="6468437B" w:rsidR="00DC5FEE" w:rsidRPr="00CB68FC" w:rsidRDefault="00A76F88" w:rsidP="002841CE">
      <w:pPr>
        <w:numPr>
          <w:ilvl w:val="0"/>
          <w:numId w:val="9"/>
        </w:numPr>
        <w:spacing w:after="120"/>
        <w:ind w:left="567" w:hanging="567"/>
        <w:jc w:val="both"/>
        <w:rPr>
          <w:rFonts w:ascii="Arial" w:hAnsi="Arial" w:cs="Arial"/>
          <w:snapToGrid w:val="0"/>
          <w:sz w:val="22"/>
          <w:szCs w:val="22"/>
          <w:lang w:val="en-GB" w:eastAsia="en-US"/>
        </w:rPr>
      </w:pPr>
      <w:r>
        <w:rPr>
          <w:rFonts w:ascii="Arial" w:hAnsi="Arial" w:cs="Arial"/>
          <w:sz w:val="22"/>
          <w:szCs w:val="22"/>
          <w:lang w:val="en-US"/>
        </w:rPr>
        <w:t>Meanwhile,</w:t>
      </w:r>
      <w:r w:rsidR="00DC5FEE">
        <w:rPr>
          <w:rFonts w:ascii="Arial" w:hAnsi="Arial" w:cs="Arial"/>
          <w:sz w:val="22"/>
          <w:szCs w:val="22"/>
          <w:lang w:val="en-US"/>
        </w:rPr>
        <w:t xml:space="preserve"> </w:t>
      </w:r>
      <w:r w:rsidR="00E51455">
        <w:rPr>
          <w:rFonts w:ascii="Arial" w:hAnsi="Arial" w:cs="Arial"/>
          <w:sz w:val="22"/>
          <w:szCs w:val="22"/>
          <w:lang w:val="en-US"/>
        </w:rPr>
        <w:t xml:space="preserve">the </w:t>
      </w:r>
      <w:r w:rsidR="00DC5FEE">
        <w:rPr>
          <w:rFonts w:ascii="Arial" w:hAnsi="Arial" w:cs="Arial"/>
          <w:sz w:val="22"/>
          <w:szCs w:val="22"/>
          <w:lang w:val="en-US"/>
        </w:rPr>
        <w:t>project ‘</w:t>
      </w:r>
      <w:r w:rsidR="00DC5FEE" w:rsidRPr="00DC5FEE">
        <w:rPr>
          <w:rFonts w:ascii="Arial" w:hAnsi="Arial" w:cs="Arial"/>
          <w:sz w:val="22"/>
          <w:szCs w:val="22"/>
          <w:lang w:val="en-GB"/>
        </w:rPr>
        <w:t>2018 European Year of Cultural Heritage: Engaging Youth for an Inclusive and Sustainable Future</w:t>
      </w:r>
      <w:r w:rsidR="00DC5FEE">
        <w:rPr>
          <w:rFonts w:ascii="Arial" w:hAnsi="Arial" w:cs="Arial"/>
          <w:sz w:val="22"/>
          <w:szCs w:val="22"/>
          <w:lang w:val="en-GB"/>
        </w:rPr>
        <w:t>’</w:t>
      </w:r>
      <w:r w:rsidR="005157E0">
        <w:rPr>
          <w:rFonts w:ascii="Arial" w:hAnsi="Arial" w:cs="Arial"/>
          <w:sz w:val="22"/>
          <w:szCs w:val="22"/>
          <w:lang w:val="en-GB"/>
        </w:rPr>
        <w:t xml:space="preserve"> </w:t>
      </w:r>
      <w:r w:rsidR="000A3204">
        <w:rPr>
          <w:rFonts w:ascii="Arial" w:hAnsi="Arial" w:cs="Arial"/>
          <w:sz w:val="22"/>
          <w:szCs w:val="22"/>
          <w:lang w:val="en-GB"/>
        </w:rPr>
        <w:t>supported</w:t>
      </w:r>
      <w:r w:rsidR="005157E0">
        <w:rPr>
          <w:rFonts w:ascii="Arial" w:hAnsi="Arial" w:cs="Arial"/>
          <w:sz w:val="22"/>
          <w:szCs w:val="22"/>
          <w:lang w:val="en-GB"/>
        </w:rPr>
        <w:t xml:space="preserve"> by the European Commission</w:t>
      </w:r>
      <w:r w:rsidR="001C41D1">
        <w:rPr>
          <w:rFonts w:ascii="Arial" w:hAnsi="Arial" w:cs="Arial"/>
          <w:sz w:val="22"/>
          <w:szCs w:val="22"/>
          <w:lang w:val="en-GB"/>
        </w:rPr>
        <w:t>, under</w:t>
      </w:r>
      <w:r w:rsidR="00DC5FEE">
        <w:rPr>
          <w:rFonts w:ascii="Arial" w:hAnsi="Arial" w:cs="Arial"/>
          <w:sz w:val="22"/>
          <w:szCs w:val="22"/>
          <w:lang w:val="en-GB"/>
        </w:rPr>
        <w:t xml:space="preserve"> which one </w:t>
      </w:r>
      <w:r w:rsidR="00DC5FEE" w:rsidRPr="000E22A7">
        <w:rPr>
          <w:rFonts w:ascii="Arial" w:hAnsi="Arial" w:cs="Arial"/>
          <w:sz w:val="22"/>
          <w:szCs w:val="22"/>
          <w:lang w:val="en-GB"/>
        </w:rPr>
        <w:t xml:space="preserve">component </w:t>
      </w:r>
      <w:r w:rsidR="00DC5FEE" w:rsidRPr="0061679F">
        <w:rPr>
          <w:rFonts w:ascii="Arial" w:hAnsi="Arial" w:cs="Arial"/>
          <w:sz w:val="22"/>
          <w:szCs w:val="22"/>
          <w:lang w:val="en-GB"/>
        </w:rPr>
        <w:t>is dedicated</w:t>
      </w:r>
      <w:r w:rsidR="00DC5FEE">
        <w:rPr>
          <w:rFonts w:ascii="Arial" w:hAnsi="Arial" w:cs="Arial"/>
          <w:sz w:val="22"/>
          <w:szCs w:val="22"/>
          <w:lang w:val="en-GB"/>
        </w:rPr>
        <w:t xml:space="preserve"> to raising awareness </w:t>
      </w:r>
      <w:r w:rsidR="008368EF">
        <w:rPr>
          <w:rFonts w:ascii="Arial" w:hAnsi="Arial" w:cs="Arial"/>
          <w:sz w:val="22"/>
          <w:szCs w:val="22"/>
          <w:lang w:val="en-GB"/>
        </w:rPr>
        <w:t xml:space="preserve">about </w:t>
      </w:r>
      <w:r w:rsidR="00DC5FEE">
        <w:rPr>
          <w:rFonts w:ascii="Arial" w:hAnsi="Arial" w:cs="Arial"/>
          <w:sz w:val="22"/>
          <w:szCs w:val="22"/>
          <w:lang w:val="en-GB"/>
        </w:rPr>
        <w:t>and learning with intangible cultural heritage in European schools</w:t>
      </w:r>
      <w:r w:rsidR="005157E0">
        <w:rPr>
          <w:rFonts w:ascii="Arial" w:hAnsi="Arial" w:cs="Arial"/>
          <w:sz w:val="22"/>
          <w:szCs w:val="22"/>
          <w:lang w:val="en-GB"/>
        </w:rPr>
        <w:t xml:space="preserve"> </w:t>
      </w:r>
      <w:r w:rsidR="005157E0" w:rsidRPr="000E22A7">
        <w:rPr>
          <w:rFonts w:ascii="Arial" w:hAnsi="Arial" w:cs="Arial"/>
          <w:sz w:val="22"/>
          <w:szCs w:val="22"/>
          <w:lang w:val="en-GB"/>
        </w:rPr>
        <w:t>(</w:t>
      </w:r>
      <w:r w:rsidR="007E2C5C">
        <w:rPr>
          <w:rFonts w:ascii="Arial" w:hAnsi="Arial" w:cs="Arial"/>
          <w:sz w:val="22"/>
          <w:szCs w:val="22"/>
          <w:lang w:val="en-GB"/>
        </w:rPr>
        <w:t xml:space="preserve">2018-2020; </w:t>
      </w:r>
      <w:r w:rsidR="005157E0" w:rsidRPr="00905CB2">
        <w:rPr>
          <w:rFonts w:ascii="Arial" w:hAnsi="Arial" w:cs="Arial"/>
          <w:sz w:val="22"/>
          <w:szCs w:val="22"/>
          <w:lang w:val="en-GB"/>
        </w:rPr>
        <w:t>budget</w:t>
      </w:r>
      <w:r w:rsidR="005157E0">
        <w:rPr>
          <w:rFonts w:ascii="Arial" w:hAnsi="Arial" w:cs="Arial"/>
          <w:sz w:val="22"/>
          <w:szCs w:val="22"/>
          <w:lang w:val="en-GB"/>
        </w:rPr>
        <w:t xml:space="preserve"> allocation </w:t>
      </w:r>
      <w:r w:rsidR="005157E0" w:rsidRPr="0061679F">
        <w:rPr>
          <w:rFonts w:ascii="Arial" w:hAnsi="Arial" w:cs="Arial"/>
          <w:sz w:val="22"/>
          <w:szCs w:val="22"/>
          <w:lang w:val="en-GB"/>
        </w:rPr>
        <w:t xml:space="preserve">of the component: </w:t>
      </w:r>
      <w:r w:rsidR="005157E0" w:rsidRPr="00A85526">
        <w:rPr>
          <w:rFonts w:ascii="Arial" w:hAnsi="Arial" w:cs="Arial"/>
          <w:sz w:val="22"/>
          <w:szCs w:val="22"/>
          <w:lang w:val="en-GB"/>
        </w:rPr>
        <w:t>US$</w:t>
      </w:r>
      <w:r w:rsidR="00965C3B">
        <w:rPr>
          <w:rFonts w:ascii="Arial" w:hAnsi="Arial" w:cs="Arial"/>
          <w:sz w:val="22"/>
          <w:szCs w:val="22"/>
          <w:lang w:val="en-GB"/>
        </w:rPr>
        <w:t>234</w:t>
      </w:r>
      <w:r w:rsidR="00AD4D75">
        <w:rPr>
          <w:rFonts w:ascii="Arial" w:hAnsi="Arial" w:cs="Arial"/>
          <w:sz w:val="22"/>
          <w:szCs w:val="22"/>
          <w:lang w:val="en-GB"/>
        </w:rPr>
        <w:t>,599</w:t>
      </w:r>
      <w:r w:rsidR="005157E0" w:rsidRPr="0061679F">
        <w:rPr>
          <w:rFonts w:ascii="Arial" w:hAnsi="Arial" w:cs="Arial"/>
          <w:sz w:val="22"/>
          <w:szCs w:val="22"/>
          <w:lang w:val="en-GB"/>
        </w:rPr>
        <w:t>)</w:t>
      </w:r>
      <w:r w:rsidR="00E51455">
        <w:rPr>
          <w:rFonts w:ascii="Arial" w:hAnsi="Arial" w:cs="Arial"/>
          <w:sz w:val="22"/>
          <w:szCs w:val="22"/>
          <w:lang w:val="en-GB"/>
        </w:rPr>
        <w:t xml:space="preserve">, was </w:t>
      </w:r>
      <w:r w:rsidR="007E2C5C">
        <w:rPr>
          <w:rFonts w:ascii="Arial" w:hAnsi="Arial" w:cs="Arial"/>
          <w:sz w:val="22"/>
          <w:szCs w:val="22"/>
          <w:lang w:val="en-GB"/>
        </w:rPr>
        <w:t xml:space="preserve">operationally </w:t>
      </w:r>
      <w:r w:rsidR="00E51455">
        <w:rPr>
          <w:rFonts w:ascii="Arial" w:hAnsi="Arial" w:cs="Arial"/>
          <w:sz w:val="22"/>
          <w:szCs w:val="22"/>
          <w:lang w:val="en-GB"/>
        </w:rPr>
        <w:t>launched in 2019</w:t>
      </w:r>
      <w:r w:rsidR="00DC5FEE">
        <w:rPr>
          <w:rFonts w:ascii="Arial" w:hAnsi="Arial" w:cs="Arial"/>
          <w:sz w:val="22"/>
          <w:szCs w:val="22"/>
          <w:lang w:val="en-GB"/>
        </w:rPr>
        <w:t>.</w:t>
      </w:r>
    </w:p>
    <w:p w14:paraId="192130F7" w14:textId="77777777" w:rsidR="00536CF1" w:rsidRDefault="00BF1B64" w:rsidP="00536CF1">
      <w:pPr>
        <w:tabs>
          <w:tab w:val="left" w:pos="567"/>
        </w:tabs>
        <w:snapToGrid w:val="0"/>
        <w:spacing w:before="240" w:after="120"/>
        <w:ind w:left="567"/>
        <w:jc w:val="both"/>
        <w:rPr>
          <w:rFonts w:ascii="Arial" w:hAnsi="Arial" w:cs="Arial"/>
          <w:snapToGrid w:val="0"/>
          <w:sz w:val="22"/>
          <w:szCs w:val="22"/>
          <w:lang w:val="en-GB" w:eastAsia="en-US"/>
        </w:rPr>
      </w:pPr>
      <w:r w:rsidRPr="00BF1B64">
        <w:rPr>
          <w:rFonts w:ascii="Arial" w:hAnsi="Arial" w:cs="Arial"/>
          <w:b/>
          <w:snapToGrid w:val="0"/>
          <w:sz w:val="22"/>
          <w:szCs w:val="22"/>
          <w:lang w:val="en-GB" w:eastAsia="en-US"/>
        </w:rPr>
        <w:t>Strengthening the human resources of the Secretariat</w:t>
      </w:r>
      <w:r w:rsidRPr="00BF1B64">
        <w:rPr>
          <w:rFonts w:ascii="Arial" w:hAnsi="Arial" w:cs="Arial"/>
          <w:snapToGrid w:val="0"/>
          <w:sz w:val="22"/>
          <w:szCs w:val="22"/>
          <w:lang w:val="en-GB" w:eastAsia="en-US"/>
        </w:rPr>
        <w:t xml:space="preserve"> </w:t>
      </w:r>
    </w:p>
    <w:p w14:paraId="29603A04" w14:textId="772EE7C5" w:rsidR="00646518" w:rsidRDefault="00BF1B64">
      <w:pPr>
        <w:keepLines/>
        <w:numPr>
          <w:ilvl w:val="0"/>
          <w:numId w:val="9"/>
        </w:numPr>
        <w:spacing w:after="120"/>
        <w:ind w:left="567" w:hanging="567"/>
        <w:jc w:val="both"/>
        <w:rPr>
          <w:rFonts w:ascii="Arial" w:hAnsi="Arial" w:cs="Arial"/>
          <w:snapToGrid w:val="0"/>
          <w:sz w:val="22"/>
          <w:szCs w:val="22"/>
          <w:lang w:val="en-GB" w:eastAsia="en-US"/>
        </w:rPr>
      </w:pPr>
      <w:r w:rsidRPr="00646518">
        <w:rPr>
          <w:rFonts w:ascii="Arial" w:hAnsi="Arial" w:cs="Arial"/>
          <w:snapToGrid w:val="0"/>
          <w:sz w:val="22"/>
          <w:szCs w:val="22"/>
          <w:lang w:val="en-GB" w:eastAsia="en-US"/>
        </w:rPr>
        <w:t>Recognizing that the Secretariat’s ability to provide quality services to Member States depends largely on its human resources, many and various donors have provided support</w:t>
      </w:r>
      <w:r w:rsidR="00646518" w:rsidRPr="00646518">
        <w:rPr>
          <w:rFonts w:ascii="Arial" w:hAnsi="Arial" w:cs="Arial"/>
          <w:snapToGrid w:val="0"/>
          <w:sz w:val="22"/>
          <w:szCs w:val="22"/>
          <w:lang w:val="en-GB" w:eastAsia="en-US"/>
        </w:rPr>
        <w:t xml:space="preserve"> over the years</w:t>
      </w:r>
      <w:r w:rsidRPr="00646518">
        <w:rPr>
          <w:rFonts w:ascii="Arial" w:hAnsi="Arial" w:cs="Arial"/>
          <w:snapToGrid w:val="0"/>
          <w:sz w:val="22"/>
          <w:szCs w:val="22"/>
          <w:lang w:val="en-GB" w:eastAsia="en-US"/>
        </w:rPr>
        <w:t xml:space="preserve">. </w:t>
      </w:r>
      <w:r w:rsidR="00B82B0A" w:rsidRPr="00646518">
        <w:rPr>
          <w:rFonts w:ascii="Arial" w:hAnsi="Arial" w:cs="Arial"/>
          <w:snapToGrid w:val="0"/>
          <w:sz w:val="22"/>
          <w:szCs w:val="22"/>
          <w:lang w:val="en-GB" w:eastAsia="en-US"/>
        </w:rPr>
        <w:t xml:space="preserve">This support was most recently reflected in </w:t>
      </w:r>
      <w:r w:rsidR="00DE6B00">
        <w:fldChar w:fldCharType="begin"/>
      </w:r>
      <w:r w:rsidR="00DE6B00" w:rsidRPr="00DE6B00">
        <w:rPr>
          <w:lang w:val="en-GB"/>
        </w:rPr>
        <w:instrText xml:space="preserve"> HYPERLINK "https://ich.unesco.org/en/Decisions/7.GA/8" </w:instrText>
      </w:r>
      <w:r w:rsidR="00DE6B00">
        <w:fldChar w:fldCharType="separate"/>
      </w:r>
      <w:r w:rsidR="00B82B0A" w:rsidRPr="00646518">
        <w:rPr>
          <w:rStyle w:val="Hyperlink"/>
          <w:rFonts w:ascii="Arial" w:hAnsi="Arial" w:cs="Arial"/>
          <w:snapToGrid w:val="0"/>
          <w:sz w:val="22"/>
          <w:szCs w:val="22"/>
          <w:lang w:val="en-GB" w:eastAsia="en-US"/>
        </w:rPr>
        <w:t>Decision 7.GA 8</w:t>
      </w:r>
      <w:r w:rsidR="00DE6B00">
        <w:rPr>
          <w:rStyle w:val="Hyperlink"/>
          <w:rFonts w:ascii="Arial" w:hAnsi="Arial" w:cs="Arial"/>
          <w:snapToGrid w:val="0"/>
          <w:sz w:val="22"/>
          <w:szCs w:val="22"/>
          <w:lang w:val="en-GB" w:eastAsia="en-US"/>
        </w:rPr>
        <w:fldChar w:fldCharType="end"/>
      </w:r>
      <w:r w:rsidR="00B82B0A" w:rsidRPr="00646518">
        <w:rPr>
          <w:rFonts w:ascii="Arial" w:hAnsi="Arial" w:cs="Arial"/>
          <w:snapToGrid w:val="0"/>
          <w:sz w:val="22"/>
          <w:szCs w:val="22"/>
          <w:lang w:val="en-GB" w:eastAsia="en-US"/>
        </w:rPr>
        <w:t xml:space="preserve"> of the General Assembly to create </w:t>
      </w:r>
      <w:r w:rsidR="00B82B0A" w:rsidRPr="00CB68FC">
        <w:rPr>
          <w:rFonts w:ascii="Arial" w:hAnsi="Arial" w:cs="Arial"/>
          <w:snapToGrid w:val="0"/>
          <w:sz w:val="22"/>
          <w:szCs w:val="22"/>
          <w:lang w:val="en-GB" w:eastAsia="en-US"/>
        </w:rPr>
        <w:t>three new extra-budgetary fixed-term posts</w:t>
      </w:r>
      <w:r w:rsidR="00B82B0A" w:rsidRPr="00646518">
        <w:rPr>
          <w:rFonts w:ascii="Arial" w:hAnsi="Arial" w:cs="Arial"/>
          <w:snapToGrid w:val="0"/>
          <w:sz w:val="22"/>
          <w:szCs w:val="22"/>
          <w:lang w:val="en-GB" w:eastAsia="en-US"/>
        </w:rPr>
        <w:t xml:space="preserve"> in order to enhance the human resources of the Secretariat for the implementation of the International Assistance mechanism</w:t>
      </w:r>
      <w:r w:rsidR="009D1D07">
        <w:rPr>
          <w:rFonts w:ascii="Arial" w:hAnsi="Arial" w:cs="Arial"/>
          <w:snapToGrid w:val="0"/>
          <w:sz w:val="22"/>
          <w:szCs w:val="22"/>
          <w:lang w:val="en-GB" w:eastAsia="en-US"/>
        </w:rPr>
        <w:t>s</w:t>
      </w:r>
      <w:r w:rsidR="00B82B0A" w:rsidRPr="00646518">
        <w:rPr>
          <w:rFonts w:ascii="Arial" w:hAnsi="Arial" w:cs="Arial"/>
          <w:snapToGrid w:val="0"/>
          <w:sz w:val="22"/>
          <w:szCs w:val="22"/>
          <w:lang w:val="en-GB" w:eastAsia="en-US"/>
        </w:rPr>
        <w:t xml:space="preserve"> of the Fund (see </w:t>
      </w:r>
      <w:r w:rsidR="00DE6B00">
        <w:fldChar w:fldCharType="begin"/>
      </w:r>
      <w:r w:rsidR="00DE6B00" w:rsidRPr="00DE6B00">
        <w:rPr>
          <w:lang w:val="en-GB"/>
        </w:rPr>
        <w:instrText xml:space="preserve"> HYPERLINK "https://ich.unesco.org/doc/src/LHE-19-14.COM-INF.7-EN.docx" </w:instrText>
      </w:r>
      <w:r w:rsidR="00DE6B00">
        <w:fldChar w:fldCharType="separate"/>
      </w:r>
      <w:r w:rsidR="00B82B0A" w:rsidRPr="00347FEF">
        <w:rPr>
          <w:rStyle w:val="Hyperlink"/>
          <w:rFonts w:ascii="Arial" w:hAnsi="Arial" w:cs="Arial"/>
          <w:snapToGrid w:val="0"/>
          <w:sz w:val="22"/>
          <w:szCs w:val="22"/>
          <w:lang w:val="en-GB" w:eastAsia="en-US"/>
        </w:rPr>
        <w:t>document LHE/19/14.COM/INF.7</w:t>
      </w:r>
      <w:r w:rsidR="00DE6B00">
        <w:rPr>
          <w:rStyle w:val="Hyperlink"/>
          <w:rFonts w:ascii="Arial" w:hAnsi="Arial" w:cs="Arial"/>
          <w:snapToGrid w:val="0"/>
          <w:sz w:val="22"/>
          <w:szCs w:val="22"/>
          <w:lang w:val="en-GB" w:eastAsia="en-US"/>
        </w:rPr>
        <w:fldChar w:fldCharType="end"/>
      </w:r>
      <w:r w:rsidR="00B82B0A" w:rsidRPr="00347FEF">
        <w:rPr>
          <w:rFonts w:ascii="Arial" w:hAnsi="Arial" w:cs="Arial"/>
          <w:snapToGrid w:val="0"/>
          <w:sz w:val="22"/>
          <w:szCs w:val="22"/>
          <w:lang w:val="en-GB" w:eastAsia="en-US"/>
        </w:rPr>
        <w:t>).</w:t>
      </w:r>
      <w:r w:rsidR="00B82B0A" w:rsidRPr="00646518">
        <w:rPr>
          <w:rFonts w:ascii="Arial" w:hAnsi="Arial" w:cs="Arial"/>
          <w:snapToGrid w:val="0"/>
          <w:sz w:val="22"/>
          <w:szCs w:val="22"/>
          <w:lang w:val="en-GB" w:eastAsia="en-US"/>
        </w:rPr>
        <w:t xml:space="preserve"> </w:t>
      </w:r>
      <w:r w:rsidR="009A32AB">
        <w:rPr>
          <w:rFonts w:ascii="Arial" w:hAnsi="Arial" w:cs="Arial"/>
          <w:snapToGrid w:val="0"/>
          <w:sz w:val="22"/>
          <w:szCs w:val="22"/>
          <w:lang w:val="en-GB" w:eastAsia="en-US"/>
        </w:rPr>
        <w:t>Beyond the</w:t>
      </w:r>
      <w:r w:rsidR="00E53C52">
        <w:rPr>
          <w:rFonts w:ascii="Arial" w:hAnsi="Arial" w:cs="Arial"/>
          <w:snapToGrid w:val="0"/>
          <w:sz w:val="22"/>
          <w:szCs w:val="22"/>
          <w:lang w:val="en-GB" w:eastAsia="en-US"/>
        </w:rPr>
        <w:t xml:space="preserve"> three posts, </w:t>
      </w:r>
      <w:r w:rsidR="00673B56">
        <w:rPr>
          <w:rFonts w:ascii="Arial" w:hAnsi="Arial" w:cs="Arial"/>
          <w:snapToGrid w:val="0"/>
          <w:sz w:val="22"/>
          <w:szCs w:val="22"/>
          <w:lang w:val="en-GB" w:eastAsia="en-US"/>
        </w:rPr>
        <w:t xml:space="preserve">in-kind contributions from </w:t>
      </w:r>
      <w:r w:rsidR="009D1D07">
        <w:rPr>
          <w:rFonts w:ascii="Arial" w:hAnsi="Arial" w:cs="Arial"/>
          <w:snapToGrid w:val="0"/>
          <w:sz w:val="22"/>
          <w:szCs w:val="22"/>
          <w:lang w:val="en-GB" w:eastAsia="en-US"/>
        </w:rPr>
        <w:t xml:space="preserve">the governments of </w:t>
      </w:r>
      <w:r w:rsidR="00673B56">
        <w:rPr>
          <w:rFonts w:ascii="Arial" w:hAnsi="Arial" w:cs="Arial"/>
          <w:snapToGrid w:val="0"/>
          <w:sz w:val="22"/>
          <w:szCs w:val="22"/>
          <w:lang w:val="en-GB" w:eastAsia="en-US"/>
        </w:rPr>
        <w:t xml:space="preserve">China and Singapore, as well as </w:t>
      </w:r>
      <w:r w:rsidR="00B82B0A" w:rsidRPr="00646518">
        <w:rPr>
          <w:rFonts w:ascii="Arial" w:hAnsi="Arial" w:cs="Arial"/>
          <w:snapToGrid w:val="0"/>
          <w:sz w:val="22"/>
          <w:szCs w:val="22"/>
          <w:lang w:val="en-GB" w:eastAsia="en-US"/>
        </w:rPr>
        <w:t xml:space="preserve">two voluntary contributions for a consolidated amount of US$12,855.56 from the governments of Monaco and Montenegro, </w:t>
      </w:r>
      <w:r w:rsidR="00E51455">
        <w:rPr>
          <w:rFonts w:ascii="Arial" w:hAnsi="Arial" w:cs="Arial"/>
          <w:snapToGrid w:val="0"/>
          <w:sz w:val="22"/>
          <w:szCs w:val="22"/>
          <w:lang w:val="en-GB" w:eastAsia="en-US"/>
        </w:rPr>
        <w:t xml:space="preserve">were </w:t>
      </w:r>
      <w:r w:rsidR="00B82B0A" w:rsidRPr="00646518">
        <w:rPr>
          <w:rFonts w:ascii="Arial" w:hAnsi="Arial" w:cs="Arial"/>
          <w:snapToGrid w:val="0"/>
          <w:sz w:val="22"/>
          <w:szCs w:val="22"/>
          <w:lang w:val="en-GB" w:eastAsia="en-US"/>
        </w:rPr>
        <w:t xml:space="preserve">received </w:t>
      </w:r>
      <w:r w:rsidR="00E72F18">
        <w:rPr>
          <w:rFonts w:ascii="Arial" w:hAnsi="Arial" w:cs="Arial"/>
          <w:snapToGrid w:val="0"/>
          <w:sz w:val="22"/>
          <w:szCs w:val="22"/>
          <w:lang w:val="en-GB" w:eastAsia="en-US"/>
        </w:rPr>
        <w:t>since</w:t>
      </w:r>
      <w:r w:rsidR="00D366EC" w:rsidRPr="00646518">
        <w:rPr>
          <w:rFonts w:ascii="Arial" w:hAnsi="Arial" w:cs="Arial"/>
          <w:snapToGrid w:val="0"/>
          <w:sz w:val="22"/>
          <w:szCs w:val="22"/>
          <w:lang w:val="en-GB" w:eastAsia="en-US"/>
        </w:rPr>
        <w:t xml:space="preserve"> t</w:t>
      </w:r>
      <w:r w:rsidR="00B82B0A" w:rsidRPr="00646518">
        <w:rPr>
          <w:rFonts w:ascii="Arial" w:hAnsi="Arial" w:cs="Arial"/>
          <w:snapToGrid w:val="0"/>
          <w:sz w:val="22"/>
          <w:szCs w:val="22"/>
          <w:lang w:val="en-GB" w:eastAsia="en-US"/>
        </w:rPr>
        <w:t xml:space="preserve">he </w:t>
      </w:r>
      <w:r w:rsidR="00EE13FA" w:rsidRPr="00B82B0A">
        <w:rPr>
          <w:rFonts w:ascii="Arial" w:hAnsi="Arial" w:cs="Arial"/>
          <w:snapToGrid w:val="0"/>
          <w:sz w:val="22"/>
          <w:szCs w:val="22"/>
          <w:lang w:val="en-GB" w:eastAsia="en-US"/>
        </w:rPr>
        <w:t>last session of the Committee.</w:t>
      </w:r>
    </w:p>
    <w:p w14:paraId="6B9E6D76" w14:textId="77777777" w:rsidR="00476800" w:rsidRPr="00FF3EC6" w:rsidRDefault="00AD0342" w:rsidP="00FF3EC6">
      <w:pPr>
        <w:keepLines/>
        <w:numPr>
          <w:ilvl w:val="0"/>
          <w:numId w:val="9"/>
        </w:numPr>
        <w:spacing w:after="120"/>
        <w:ind w:left="567" w:hanging="567"/>
        <w:jc w:val="both"/>
        <w:rPr>
          <w:rFonts w:ascii="Arial" w:hAnsi="Arial" w:cs="Arial"/>
          <w:snapToGrid w:val="0"/>
          <w:sz w:val="22"/>
          <w:szCs w:val="22"/>
          <w:lang w:val="en-GB" w:eastAsia="en-US"/>
        </w:rPr>
      </w:pPr>
      <w:r>
        <w:rPr>
          <w:rFonts w:ascii="Arial" w:hAnsi="Arial" w:cs="Arial"/>
          <w:snapToGrid w:val="0"/>
          <w:sz w:val="22"/>
          <w:szCs w:val="22"/>
          <w:lang w:val="en-GB" w:eastAsia="en-US"/>
        </w:rPr>
        <w:lastRenderedPageBreak/>
        <w:t>T</w:t>
      </w:r>
      <w:r w:rsidRPr="00905CB2">
        <w:rPr>
          <w:rFonts w:ascii="Arial" w:hAnsi="Arial" w:cs="Arial"/>
          <w:snapToGrid w:val="0"/>
          <w:sz w:val="22"/>
          <w:szCs w:val="22"/>
          <w:lang w:val="en-GB" w:eastAsia="en-US"/>
        </w:rPr>
        <w:t>he three extra-budgetary fixed-term posts</w:t>
      </w:r>
      <w:r>
        <w:rPr>
          <w:rFonts w:ascii="Arial" w:hAnsi="Arial" w:cs="Arial"/>
          <w:snapToGrid w:val="0"/>
          <w:sz w:val="22"/>
          <w:szCs w:val="22"/>
          <w:lang w:val="en-GB" w:eastAsia="en-US"/>
        </w:rPr>
        <w:t>,</w:t>
      </w:r>
      <w:r w:rsidRPr="000E22A7">
        <w:rPr>
          <w:rFonts w:ascii="Arial" w:hAnsi="Arial" w:cs="Arial"/>
          <w:snapToGrid w:val="0"/>
          <w:sz w:val="22"/>
          <w:szCs w:val="22"/>
          <w:lang w:val="en-GB" w:eastAsia="en-US"/>
        </w:rPr>
        <w:t xml:space="preserve"> </w:t>
      </w:r>
      <w:r>
        <w:rPr>
          <w:rFonts w:ascii="Arial" w:hAnsi="Arial" w:cs="Arial"/>
          <w:snapToGrid w:val="0"/>
          <w:sz w:val="22"/>
          <w:szCs w:val="22"/>
          <w:lang w:val="en-GB" w:eastAsia="en-US"/>
        </w:rPr>
        <w:t>t</w:t>
      </w:r>
      <w:r w:rsidR="009D1D07" w:rsidRPr="000E22A7">
        <w:rPr>
          <w:rFonts w:ascii="Arial" w:hAnsi="Arial" w:cs="Arial"/>
          <w:snapToGrid w:val="0"/>
          <w:sz w:val="22"/>
          <w:szCs w:val="22"/>
          <w:lang w:val="en-GB" w:eastAsia="en-US"/>
        </w:rPr>
        <w:t xml:space="preserve">ogether with the </w:t>
      </w:r>
      <w:r w:rsidR="009D1D07" w:rsidRPr="009054C7">
        <w:rPr>
          <w:rFonts w:ascii="Arial" w:hAnsi="Arial" w:cs="Arial"/>
          <w:snapToGrid w:val="0"/>
          <w:sz w:val="22"/>
          <w:szCs w:val="22"/>
          <w:lang w:val="en-GB" w:eastAsia="en-US"/>
        </w:rPr>
        <w:t>in-kind and financial contributions</w:t>
      </w:r>
      <w:r w:rsidR="009D1D07" w:rsidRPr="00905CB2">
        <w:rPr>
          <w:rFonts w:ascii="Arial" w:hAnsi="Arial" w:cs="Arial"/>
          <w:snapToGrid w:val="0"/>
          <w:sz w:val="22"/>
          <w:szCs w:val="22"/>
          <w:lang w:val="en-GB" w:eastAsia="en-US"/>
        </w:rPr>
        <w:t xml:space="preserve"> received during the present biennium</w:t>
      </w:r>
      <w:r>
        <w:rPr>
          <w:rFonts w:ascii="Arial" w:hAnsi="Arial" w:cs="Arial"/>
          <w:snapToGrid w:val="0"/>
          <w:sz w:val="22"/>
          <w:szCs w:val="22"/>
          <w:lang w:val="en-GB" w:eastAsia="en-US"/>
        </w:rPr>
        <w:t>,</w:t>
      </w:r>
      <w:r w:rsidR="009D1D07" w:rsidRPr="00905CB2">
        <w:rPr>
          <w:rFonts w:ascii="Arial" w:hAnsi="Arial" w:cs="Arial"/>
          <w:snapToGrid w:val="0"/>
          <w:sz w:val="22"/>
          <w:szCs w:val="22"/>
          <w:lang w:val="en-GB" w:eastAsia="en-US"/>
        </w:rPr>
        <w:t xml:space="preserve"> </w:t>
      </w:r>
      <w:r w:rsidR="003C3703" w:rsidRPr="00905CB2">
        <w:rPr>
          <w:rFonts w:ascii="Arial" w:hAnsi="Arial" w:cs="Arial"/>
          <w:snapToGrid w:val="0"/>
          <w:sz w:val="22"/>
          <w:szCs w:val="22"/>
          <w:lang w:val="en-GB" w:eastAsia="en-US"/>
        </w:rPr>
        <w:t>contribute to addressing the needs identified by the Secretariat in terms of human resources</w:t>
      </w:r>
      <w:r w:rsidR="004525A9" w:rsidRPr="00905CB2">
        <w:rPr>
          <w:rFonts w:ascii="Arial" w:hAnsi="Arial" w:cs="Arial"/>
          <w:snapToGrid w:val="0"/>
          <w:sz w:val="22"/>
          <w:szCs w:val="22"/>
          <w:lang w:val="en-GB" w:eastAsia="en-US"/>
        </w:rPr>
        <w:t xml:space="preserve">, </w:t>
      </w:r>
      <w:r>
        <w:rPr>
          <w:rFonts w:ascii="Arial" w:hAnsi="Arial" w:cs="Arial"/>
          <w:snapToGrid w:val="0"/>
          <w:sz w:val="22"/>
          <w:szCs w:val="22"/>
          <w:lang w:val="en-GB" w:eastAsia="en-US"/>
        </w:rPr>
        <w:t>even though</w:t>
      </w:r>
      <w:r w:rsidRPr="00905CB2">
        <w:rPr>
          <w:rFonts w:ascii="Arial" w:hAnsi="Arial" w:cs="Arial"/>
          <w:snapToGrid w:val="0"/>
          <w:sz w:val="22"/>
          <w:szCs w:val="22"/>
          <w:lang w:val="en-GB" w:eastAsia="en-US"/>
        </w:rPr>
        <w:t xml:space="preserve"> </w:t>
      </w:r>
      <w:r w:rsidR="003C3703" w:rsidRPr="00905CB2">
        <w:rPr>
          <w:rFonts w:ascii="Arial" w:hAnsi="Arial" w:cs="Arial"/>
          <w:snapToGrid w:val="0"/>
          <w:sz w:val="22"/>
          <w:szCs w:val="22"/>
          <w:lang w:val="en-GB" w:eastAsia="en-US"/>
        </w:rPr>
        <w:t>the annual target of the sub-fund</w:t>
      </w:r>
      <w:r w:rsidR="00476800">
        <w:rPr>
          <w:rFonts w:ascii="Arial" w:hAnsi="Arial" w:cs="Arial"/>
          <w:snapToGrid w:val="0"/>
          <w:sz w:val="22"/>
          <w:szCs w:val="22"/>
          <w:lang w:val="en-GB" w:eastAsia="en-US"/>
        </w:rPr>
        <w:t>,</w:t>
      </w:r>
      <w:r w:rsidR="003C3703" w:rsidRPr="000E22A7">
        <w:rPr>
          <w:rFonts w:ascii="Arial" w:hAnsi="Arial" w:cs="Arial"/>
          <w:snapToGrid w:val="0"/>
          <w:sz w:val="22"/>
          <w:szCs w:val="22"/>
          <w:lang w:val="en-GB" w:eastAsia="en-US"/>
        </w:rPr>
        <w:t xml:space="preserve"> set </w:t>
      </w:r>
      <w:r w:rsidR="003C3703" w:rsidRPr="009054C7">
        <w:rPr>
          <w:rFonts w:ascii="Arial" w:hAnsi="Arial" w:cs="Arial"/>
          <w:snapToGrid w:val="0"/>
          <w:sz w:val="22"/>
          <w:szCs w:val="22"/>
          <w:lang w:val="en-GB" w:eastAsia="en-US"/>
        </w:rPr>
        <w:t>at US$1.1 million by the General Assembly</w:t>
      </w:r>
      <w:r w:rsidR="003C3703" w:rsidRPr="00905CB2">
        <w:rPr>
          <w:rFonts w:ascii="Arial" w:hAnsi="Arial" w:cs="Arial"/>
          <w:snapToGrid w:val="0"/>
          <w:sz w:val="22"/>
          <w:szCs w:val="22"/>
          <w:lang w:val="en-GB" w:eastAsia="en-US"/>
        </w:rPr>
        <w:t xml:space="preserve"> in 2010 (</w:t>
      </w:r>
      <w:r w:rsidR="00DE6B00">
        <w:fldChar w:fldCharType="begin"/>
      </w:r>
      <w:r w:rsidR="00DE6B00" w:rsidRPr="00DE6B00">
        <w:rPr>
          <w:lang w:val="en-GB"/>
        </w:rPr>
        <w:instrText xml:space="preserve"> HYPERLINK "https://ich.unesco.org/en/Resolutions/3.GA/9" </w:instrText>
      </w:r>
      <w:r w:rsidR="00DE6B00">
        <w:fldChar w:fldCharType="separate"/>
      </w:r>
      <w:r w:rsidR="003C3703" w:rsidRPr="000E22A7">
        <w:rPr>
          <w:rFonts w:ascii="Arial" w:hAnsi="Arial" w:cs="Arial"/>
          <w:snapToGrid w:val="0"/>
          <w:color w:val="0000FF" w:themeColor="hyperlink"/>
          <w:sz w:val="22"/>
          <w:szCs w:val="22"/>
          <w:u w:val="single"/>
          <w:lang w:val="en-GB" w:eastAsia="en-US"/>
        </w:rPr>
        <w:t>Resolution 3.GA 9</w:t>
      </w:r>
      <w:r w:rsidR="00DE6B00">
        <w:rPr>
          <w:rFonts w:ascii="Arial" w:hAnsi="Arial" w:cs="Arial"/>
          <w:snapToGrid w:val="0"/>
          <w:color w:val="0000FF" w:themeColor="hyperlink"/>
          <w:sz w:val="22"/>
          <w:szCs w:val="22"/>
          <w:u w:val="single"/>
          <w:lang w:val="en-GB" w:eastAsia="en-US"/>
        </w:rPr>
        <w:fldChar w:fldCharType="end"/>
      </w:r>
      <w:r w:rsidR="003C3703" w:rsidRPr="000E22A7">
        <w:rPr>
          <w:rFonts w:ascii="Arial" w:hAnsi="Arial" w:cs="Arial"/>
          <w:snapToGrid w:val="0"/>
          <w:sz w:val="22"/>
          <w:szCs w:val="22"/>
          <w:lang w:val="en-GB" w:eastAsia="en-US"/>
        </w:rPr>
        <w:t>)</w:t>
      </w:r>
      <w:r w:rsidR="00476800">
        <w:rPr>
          <w:rFonts w:ascii="Arial" w:hAnsi="Arial" w:cs="Arial"/>
          <w:snapToGrid w:val="0"/>
          <w:sz w:val="22"/>
          <w:szCs w:val="22"/>
          <w:lang w:val="en-GB" w:eastAsia="en-US"/>
        </w:rPr>
        <w:t>,</w:t>
      </w:r>
      <w:r w:rsidR="00DD4EB7">
        <w:rPr>
          <w:rFonts w:ascii="Arial" w:hAnsi="Arial" w:cs="Arial"/>
          <w:snapToGrid w:val="0"/>
          <w:sz w:val="22"/>
          <w:szCs w:val="22"/>
          <w:lang w:val="en-GB" w:eastAsia="en-US"/>
        </w:rPr>
        <w:t xml:space="preserve"> will</w:t>
      </w:r>
      <w:r w:rsidR="004525A9" w:rsidRPr="000E22A7">
        <w:rPr>
          <w:rFonts w:ascii="Arial" w:hAnsi="Arial" w:cs="Arial"/>
          <w:snapToGrid w:val="0"/>
          <w:sz w:val="22"/>
          <w:szCs w:val="22"/>
          <w:lang w:val="en-GB" w:eastAsia="en-US"/>
        </w:rPr>
        <w:t xml:space="preserve"> </w:t>
      </w:r>
      <w:r w:rsidR="004525A9" w:rsidRPr="009054C7">
        <w:rPr>
          <w:rFonts w:ascii="Arial" w:hAnsi="Arial" w:cs="Arial"/>
          <w:snapToGrid w:val="0"/>
          <w:sz w:val="22"/>
          <w:szCs w:val="22"/>
          <w:lang w:val="en-GB" w:eastAsia="en-US"/>
        </w:rPr>
        <w:t>not</w:t>
      </w:r>
      <w:r w:rsidR="00DD4EB7">
        <w:rPr>
          <w:rFonts w:ascii="Arial" w:hAnsi="Arial" w:cs="Arial"/>
          <w:snapToGrid w:val="0"/>
          <w:sz w:val="22"/>
          <w:szCs w:val="22"/>
          <w:lang w:val="en-GB" w:eastAsia="en-US"/>
        </w:rPr>
        <w:t xml:space="preserve"> be</w:t>
      </w:r>
      <w:r w:rsidR="00067ACD" w:rsidRPr="009054C7">
        <w:rPr>
          <w:rFonts w:ascii="Arial" w:hAnsi="Arial" w:cs="Arial"/>
          <w:snapToGrid w:val="0"/>
          <w:sz w:val="22"/>
          <w:szCs w:val="22"/>
          <w:lang w:val="en-GB" w:eastAsia="en-US"/>
        </w:rPr>
        <w:t xml:space="preserve"> </w:t>
      </w:r>
      <w:r w:rsidR="004525A9" w:rsidRPr="009054C7">
        <w:rPr>
          <w:rFonts w:ascii="Arial" w:hAnsi="Arial" w:cs="Arial"/>
          <w:snapToGrid w:val="0"/>
          <w:sz w:val="22"/>
          <w:szCs w:val="22"/>
          <w:lang w:val="en-GB" w:eastAsia="en-US"/>
        </w:rPr>
        <w:t>reached</w:t>
      </w:r>
      <w:r w:rsidR="004525A9" w:rsidRPr="000E22A7">
        <w:rPr>
          <w:rFonts w:ascii="Arial" w:hAnsi="Arial" w:cs="Arial"/>
          <w:snapToGrid w:val="0"/>
          <w:sz w:val="22"/>
          <w:szCs w:val="22"/>
          <w:lang w:val="en-GB" w:eastAsia="en-US"/>
        </w:rPr>
        <w:t>.</w:t>
      </w:r>
      <w:r w:rsidR="00067ACD" w:rsidRPr="000E22A7">
        <w:rPr>
          <w:rFonts w:ascii="Arial" w:hAnsi="Arial" w:cs="Arial"/>
          <w:snapToGrid w:val="0"/>
          <w:sz w:val="22"/>
          <w:szCs w:val="22"/>
          <w:lang w:val="en-GB" w:eastAsia="en-US"/>
        </w:rPr>
        <w:t xml:space="preserve"> </w:t>
      </w:r>
      <w:r w:rsidR="00067ACD" w:rsidRPr="00905CB2">
        <w:rPr>
          <w:rFonts w:ascii="Arial" w:hAnsi="Arial" w:cs="Arial"/>
          <w:snapToGrid w:val="0"/>
          <w:sz w:val="22"/>
          <w:szCs w:val="22"/>
          <w:lang w:val="en-GB" w:eastAsia="en-US"/>
        </w:rPr>
        <w:t xml:space="preserve">Since </w:t>
      </w:r>
      <w:r w:rsidR="00476800">
        <w:rPr>
          <w:rFonts w:ascii="Arial" w:hAnsi="Arial" w:cs="Arial"/>
          <w:snapToGrid w:val="0"/>
          <w:sz w:val="22"/>
          <w:szCs w:val="22"/>
          <w:lang w:val="en-GB" w:eastAsia="en-US"/>
        </w:rPr>
        <w:t>the target was</w:t>
      </w:r>
      <w:r w:rsidR="00DD4EB7">
        <w:rPr>
          <w:rFonts w:ascii="Arial" w:hAnsi="Arial" w:cs="Arial"/>
          <w:snapToGrid w:val="0"/>
          <w:sz w:val="22"/>
          <w:szCs w:val="22"/>
          <w:lang w:val="en-GB" w:eastAsia="en-US"/>
        </w:rPr>
        <w:t xml:space="preserve"> first</w:t>
      </w:r>
      <w:r w:rsidR="00476800">
        <w:rPr>
          <w:rFonts w:ascii="Arial" w:hAnsi="Arial" w:cs="Arial"/>
          <w:snapToGrid w:val="0"/>
          <w:sz w:val="22"/>
          <w:szCs w:val="22"/>
          <w:lang w:val="en-GB" w:eastAsia="en-US"/>
        </w:rPr>
        <w:t xml:space="preserve"> set in </w:t>
      </w:r>
      <w:r w:rsidR="00067ACD" w:rsidRPr="000E22A7">
        <w:rPr>
          <w:rFonts w:ascii="Arial" w:hAnsi="Arial" w:cs="Arial"/>
          <w:snapToGrid w:val="0"/>
          <w:sz w:val="22"/>
          <w:szCs w:val="22"/>
          <w:lang w:val="en-GB" w:eastAsia="en-US"/>
        </w:rPr>
        <w:t>2010</w:t>
      </w:r>
      <w:r w:rsidR="00DF4721" w:rsidRPr="000E22A7">
        <w:rPr>
          <w:rFonts w:ascii="Arial" w:hAnsi="Arial" w:cs="Arial"/>
          <w:snapToGrid w:val="0"/>
          <w:sz w:val="22"/>
          <w:szCs w:val="22"/>
          <w:lang w:val="en-GB" w:eastAsia="en-US"/>
        </w:rPr>
        <w:t>,</w:t>
      </w:r>
      <w:r w:rsidR="00DF4721" w:rsidRPr="009054C7">
        <w:rPr>
          <w:rFonts w:ascii="Arial" w:hAnsi="Arial" w:cs="Arial"/>
          <w:snapToGrid w:val="0"/>
          <w:sz w:val="22"/>
          <w:szCs w:val="22"/>
          <w:lang w:val="en-GB" w:eastAsia="en-US"/>
        </w:rPr>
        <w:t xml:space="preserve"> the Convention has considerably expanded its geographical reach (</w:t>
      </w:r>
      <w:r w:rsidR="00476800">
        <w:rPr>
          <w:rFonts w:ascii="Arial" w:hAnsi="Arial" w:cs="Arial"/>
          <w:snapToGrid w:val="0"/>
          <w:sz w:val="22"/>
          <w:szCs w:val="22"/>
          <w:lang w:val="en-GB" w:eastAsia="en-US"/>
        </w:rPr>
        <w:t xml:space="preserve">from 113 States Parties in 2010 to </w:t>
      </w:r>
      <w:r w:rsidR="00DF4721" w:rsidRPr="000E22A7">
        <w:rPr>
          <w:rFonts w:ascii="Arial" w:hAnsi="Arial" w:cs="Arial"/>
          <w:snapToGrid w:val="0"/>
          <w:sz w:val="22"/>
          <w:szCs w:val="22"/>
          <w:lang w:val="en-GB" w:eastAsia="en-US"/>
        </w:rPr>
        <w:t>178</w:t>
      </w:r>
      <w:r w:rsidR="003C3703" w:rsidRPr="009054C7">
        <w:rPr>
          <w:rFonts w:ascii="Arial" w:hAnsi="Arial" w:cs="Arial"/>
          <w:snapToGrid w:val="0"/>
          <w:sz w:val="22"/>
          <w:szCs w:val="22"/>
          <w:lang w:val="en-GB" w:eastAsia="en-US"/>
        </w:rPr>
        <w:t> </w:t>
      </w:r>
      <w:r w:rsidR="00DF4721" w:rsidRPr="009054C7">
        <w:rPr>
          <w:rFonts w:ascii="Arial" w:hAnsi="Arial" w:cs="Arial"/>
          <w:snapToGrid w:val="0"/>
          <w:sz w:val="22"/>
          <w:szCs w:val="22"/>
          <w:lang w:val="en-GB" w:eastAsia="en-US"/>
        </w:rPr>
        <w:t>as of September 2019)</w:t>
      </w:r>
      <w:r w:rsidR="00A1427B" w:rsidRPr="00905CB2">
        <w:rPr>
          <w:rFonts w:ascii="Arial" w:hAnsi="Arial" w:cs="Arial"/>
          <w:snapToGrid w:val="0"/>
          <w:sz w:val="22"/>
          <w:szCs w:val="22"/>
          <w:lang w:val="en-GB" w:eastAsia="en-US"/>
        </w:rPr>
        <w:t xml:space="preserve"> and its thematic scope, </w:t>
      </w:r>
      <w:r w:rsidR="00D301B6" w:rsidRPr="00905CB2">
        <w:rPr>
          <w:rFonts w:ascii="Arial" w:hAnsi="Arial" w:cs="Arial"/>
          <w:snapToGrid w:val="0"/>
          <w:sz w:val="22"/>
          <w:szCs w:val="22"/>
          <w:lang w:val="en-GB" w:eastAsia="en-US"/>
        </w:rPr>
        <w:t xml:space="preserve">for instance </w:t>
      </w:r>
      <w:r w:rsidR="00917B1A">
        <w:rPr>
          <w:rFonts w:ascii="Arial" w:hAnsi="Arial" w:cs="Arial"/>
          <w:snapToGrid w:val="0"/>
          <w:sz w:val="22"/>
          <w:szCs w:val="22"/>
          <w:lang w:val="en-GB" w:eastAsia="en-US"/>
        </w:rPr>
        <w:t>through</w:t>
      </w:r>
      <w:r w:rsidR="00A1427B" w:rsidRPr="00905CB2">
        <w:rPr>
          <w:rFonts w:ascii="Arial" w:hAnsi="Arial" w:cs="Arial"/>
          <w:snapToGrid w:val="0"/>
          <w:sz w:val="22"/>
          <w:szCs w:val="22"/>
          <w:lang w:val="en-GB" w:eastAsia="en-US"/>
        </w:rPr>
        <w:t xml:space="preserve"> the development of an outreach and c</w:t>
      </w:r>
      <w:r w:rsidR="00D301B6" w:rsidRPr="00905CB2">
        <w:rPr>
          <w:rFonts w:ascii="Arial" w:hAnsi="Arial" w:cs="Arial"/>
          <w:snapToGrid w:val="0"/>
          <w:sz w:val="22"/>
          <w:szCs w:val="22"/>
          <w:lang w:val="en-GB" w:eastAsia="en-US"/>
        </w:rPr>
        <w:t xml:space="preserve">ommunication plan and recent initiatives on </w:t>
      </w:r>
      <w:r w:rsidR="009535BA" w:rsidRPr="00905CB2">
        <w:rPr>
          <w:rFonts w:ascii="Arial" w:hAnsi="Arial" w:cs="Arial"/>
          <w:snapToGrid w:val="0"/>
          <w:sz w:val="22"/>
          <w:szCs w:val="22"/>
          <w:lang w:val="en-GB" w:eastAsia="en-US"/>
        </w:rPr>
        <w:t>‘</w:t>
      </w:r>
      <w:r w:rsidR="00A1427B" w:rsidRPr="00905CB2">
        <w:rPr>
          <w:rFonts w:ascii="Arial" w:hAnsi="Arial" w:cs="Arial"/>
          <w:snapToGrid w:val="0"/>
          <w:sz w:val="22"/>
          <w:szCs w:val="22"/>
          <w:lang w:val="en-GB" w:eastAsia="en-US"/>
        </w:rPr>
        <w:t>safeguarding</w:t>
      </w:r>
      <w:r w:rsidR="009535BA" w:rsidRPr="00905CB2">
        <w:rPr>
          <w:rFonts w:ascii="Arial" w:hAnsi="Arial" w:cs="Arial"/>
          <w:snapToGrid w:val="0"/>
          <w:sz w:val="22"/>
          <w:szCs w:val="22"/>
          <w:lang w:val="en-GB" w:eastAsia="en-US"/>
        </w:rPr>
        <w:t xml:space="preserve"> intangible cultural heritage in formal and non-formal education’ </w:t>
      </w:r>
      <w:r w:rsidR="003D7BC3" w:rsidRPr="00905CB2">
        <w:rPr>
          <w:rFonts w:ascii="Arial" w:hAnsi="Arial" w:cs="Arial"/>
          <w:snapToGrid w:val="0"/>
          <w:sz w:val="22"/>
          <w:szCs w:val="22"/>
          <w:lang w:val="en-GB" w:eastAsia="en-US"/>
        </w:rPr>
        <w:t>a</w:t>
      </w:r>
      <w:r w:rsidR="003D7BC3">
        <w:rPr>
          <w:rFonts w:ascii="Arial" w:hAnsi="Arial" w:cs="Arial"/>
          <w:snapToGrid w:val="0"/>
          <w:sz w:val="22"/>
          <w:szCs w:val="22"/>
          <w:lang w:val="en-GB" w:eastAsia="en-US"/>
        </w:rPr>
        <w:t>s well as</w:t>
      </w:r>
      <w:r w:rsidR="003D7BC3" w:rsidRPr="00905CB2">
        <w:rPr>
          <w:rFonts w:ascii="Arial" w:hAnsi="Arial" w:cs="Arial"/>
          <w:snapToGrid w:val="0"/>
          <w:sz w:val="22"/>
          <w:szCs w:val="22"/>
          <w:lang w:val="en-GB" w:eastAsia="en-US"/>
        </w:rPr>
        <w:t xml:space="preserve"> </w:t>
      </w:r>
      <w:r w:rsidR="009535BA" w:rsidRPr="00905CB2">
        <w:rPr>
          <w:rFonts w:ascii="Arial" w:hAnsi="Arial" w:cs="Arial"/>
          <w:snapToGrid w:val="0"/>
          <w:sz w:val="22"/>
          <w:szCs w:val="22"/>
          <w:lang w:val="en-GB" w:eastAsia="en-US"/>
        </w:rPr>
        <w:t xml:space="preserve">‘intangible cultural heritage in emergencies’. Furthermore, the recent reform of the periodic reporting mechanism and the reflections launched by the Committee on the listing mechanisms of the Convention </w:t>
      </w:r>
      <w:r>
        <w:rPr>
          <w:rFonts w:ascii="Arial" w:hAnsi="Arial" w:cs="Arial"/>
          <w:snapToGrid w:val="0"/>
          <w:sz w:val="22"/>
          <w:szCs w:val="22"/>
          <w:lang w:val="en-GB" w:eastAsia="en-US"/>
        </w:rPr>
        <w:t>as well as</w:t>
      </w:r>
      <w:r w:rsidRPr="00905CB2">
        <w:rPr>
          <w:rFonts w:ascii="Arial" w:hAnsi="Arial" w:cs="Arial"/>
          <w:snapToGrid w:val="0"/>
          <w:sz w:val="22"/>
          <w:szCs w:val="22"/>
          <w:lang w:val="en-GB" w:eastAsia="en-US"/>
        </w:rPr>
        <w:t xml:space="preserve"> </w:t>
      </w:r>
      <w:r w:rsidR="009535BA" w:rsidRPr="00905CB2">
        <w:rPr>
          <w:rFonts w:ascii="Arial" w:hAnsi="Arial" w:cs="Arial"/>
          <w:snapToGrid w:val="0"/>
          <w:sz w:val="22"/>
          <w:szCs w:val="22"/>
          <w:lang w:val="en-GB" w:eastAsia="en-US"/>
        </w:rPr>
        <w:t xml:space="preserve">on the role of accredited non-governmental organizations demonstrate that the expansion of the Convention comes with emerging needs and challenges. </w:t>
      </w:r>
      <w:r w:rsidR="009535BA" w:rsidRPr="00FF3EC6">
        <w:rPr>
          <w:rFonts w:ascii="Arial" w:hAnsi="Arial" w:cs="Arial"/>
          <w:snapToGrid w:val="0"/>
          <w:sz w:val="22"/>
          <w:szCs w:val="22"/>
          <w:lang w:val="en-GB" w:eastAsia="en-US"/>
        </w:rPr>
        <w:t>To</w:t>
      </w:r>
      <w:r w:rsidR="00DD4EB7" w:rsidRPr="00FF3EC6">
        <w:rPr>
          <w:rFonts w:ascii="Arial" w:hAnsi="Arial" w:cs="Arial"/>
          <w:snapToGrid w:val="0"/>
          <w:sz w:val="22"/>
          <w:szCs w:val="22"/>
          <w:lang w:val="en-GB" w:eastAsia="en-US"/>
        </w:rPr>
        <w:t xml:space="preserve"> adequately continue</w:t>
      </w:r>
      <w:r w:rsidR="009535BA" w:rsidRPr="00FF3EC6">
        <w:rPr>
          <w:rFonts w:ascii="Arial" w:hAnsi="Arial" w:cs="Arial"/>
          <w:snapToGrid w:val="0"/>
          <w:sz w:val="22"/>
          <w:szCs w:val="22"/>
          <w:lang w:val="en-GB" w:eastAsia="en-US"/>
        </w:rPr>
        <w:t xml:space="preserve"> address</w:t>
      </w:r>
      <w:r w:rsidR="00DD4EB7" w:rsidRPr="00FF3EC6">
        <w:rPr>
          <w:rFonts w:ascii="Arial" w:hAnsi="Arial" w:cs="Arial"/>
          <w:snapToGrid w:val="0"/>
          <w:sz w:val="22"/>
          <w:szCs w:val="22"/>
          <w:lang w:val="en-GB" w:eastAsia="en-US"/>
        </w:rPr>
        <w:t>ing</w:t>
      </w:r>
      <w:r w:rsidR="009535BA" w:rsidRPr="00FF3EC6">
        <w:rPr>
          <w:rFonts w:ascii="Arial" w:hAnsi="Arial" w:cs="Arial"/>
          <w:snapToGrid w:val="0"/>
          <w:sz w:val="22"/>
          <w:szCs w:val="22"/>
          <w:lang w:val="en-GB" w:eastAsia="en-US"/>
        </w:rPr>
        <w:t xml:space="preserve"> t</w:t>
      </w:r>
      <w:r w:rsidR="00382A34" w:rsidRPr="00FF3EC6">
        <w:rPr>
          <w:rFonts w:ascii="Arial" w:hAnsi="Arial" w:cs="Arial"/>
          <w:snapToGrid w:val="0"/>
          <w:sz w:val="22"/>
          <w:szCs w:val="22"/>
          <w:lang w:val="en-GB" w:eastAsia="en-US"/>
        </w:rPr>
        <w:t xml:space="preserve">hese emerging needs and </w:t>
      </w:r>
      <w:r w:rsidR="00DD4EB7" w:rsidRPr="00FF3EC6">
        <w:rPr>
          <w:rFonts w:ascii="Arial" w:hAnsi="Arial" w:cs="Arial"/>
          <w:snapToGrid w:val="0"/>
          <w:sz w:val="22"/>
          <w:szCs w:val="22"/>
          <w:lang w:val="en-GB" w:eastAsia="en-US"/>
        </w:rPr>
        <w:t>enhancing the</w:t>
      </w:r>
      <w:r w:rsidR="00476800" w:rsidRPr="00FF3EC6">
        <w:rPr>
          <w:rFonts w:ascii="Arial" w:hAnsi="Arial" w:cs="Arial"/>
          <w:snapToGrid w:val="0"/>
          <w:sz w:val="22"/>
          <w:szCs w:val="22"/>
          <w:lang w:val="en-GB" w:eastAsia="en-US"/>
        </w:rPr>
        <w:t xml:space="preserve"> implementation of the Convention</w:t>
      </w:r>
      <w:r w:rsidR="009535BA" w:rsidRPr="00FF3EC6">
        <w:rPr>
          <w:rFonts w:ascii="Arial" w:hAnsi="Arial" w:cs="Arial"/>
          <w:snapToGrid w:val="0"/>
          <w:sz w:val="22"/>
          <w:szCs w:val="22"/>
          <w:lang w:val="en-GB" w:eastAsia="en-US"/>
        </w:rPr>
        <w:t>, contributions to the sub-fund are still necessary</w:t>
      </w:r>
      <w:r w:rsidR="00DE7D29">
        <w:rPr>
          <w:rStyle w:val="FootnoteReference"/>
          <w:rFonts w:ascii="Arial" w:hAnsi="Arial" w:cs="Arial"/>
          <w:snapToGrid w:val="0"/>
          <w:sz w:val="22"/>
          <w:szCs w:val="22"/>
          <w:lang w:val="en-GB" w:eastAsia="en-US"/>
        </w:rPr>
        <w:footnoteReference w:id="1"/>
      </w:r>
      <w:r w:rsidR="00E47775" w:rsidRPr="00FF3EC6">
        <w:rPr>
          <w:rFonts w:ascii="Arial" w:hAnsi="Arial" w:cs="Arial"/>
          <w:snapToGrid w:val="0"/>
          <w:sz w:val="22"/>
          <w:szCs w:val="22"/>
          <w:lang w:val="en-GB" w:eastAsia="en-US"/>
        </w:rPr>
        <w:t>.</w:t>
      </w:r>
      <w:r w:rsidR="000177B2" w:rsidRPr="00FF3EC6">
        <w:rPr>
          <w:rFonts w:ascii="Arial" w:hAnsi="Arial" w:cs="Arial"/>
          <w:snapToGrid w:val="0"/>
          <w:sz w:val="22"/>
          <w:szCs w:val="22"/>
          <w:lang w:val="en-GB" w:eastAsia="en-US"/>
        </w:rPr>
        <w:t xml:space="preserve"> </w:t>
      </w:r>
      <w:r w:rsidR="00740F08" w:rsidRPr="00FF3EC6">
        <w:rPr>
          <w:rFonts w:ascii="Arial" w:hAnsi="Arial" w:cs="Arial"/>
          <w:snapToGrid w:val="0"/>
          <w:sz w:val="22"/>
          <w:szCs w:val="22"/>
          <w:lang w:val="en-GB" w:eastAsia="en-US"/>
        </w:rPr>
        <w:t xml:space="preserve">Given that </w:t>
      </w:r>
      <w:r w:rsidR="00A205A6" w:rsidRPr="0045433F">
        <w:rPr>
          <w:rFonts w:ascii="Arial" w:hAnsi="Arial" w:cs="Arial"/>
          <w:snapToGrid w:val="0"/>
          <w:sz w:val="22"/>
          <w:szCs w:val="22"/>
          <w:lang w:val="en-GB" w:eastAsia="en-US"/>
        </w:rPr>
        <w:t xml:space="preserve">the annual target of the sub-fund </w:t>
      </w:r>
      <w:r w:rsidR="00740F08" w:rsidRPr="00FF3EC6">
        <w:rPr>
          <w:rFonts w:ascii="Arial" w:hAnsi="Arial" w:cs="Arial"/>
          <w:snapToGrid w:val="0"/>
          <w:sz w:val="22"/>
          <w:szCs w:val="22"/>
          <w:lang w:val="en-GB" w:eastAsia="en-US"/>
        </w:rPr>
        <w:t>was first set in 2010</w:t>
      </w:r>
      <w:r w:rsidR="00476800" w:rsidRPr="00FF3EC6">
        <w:rPr>
          <w:rFonts w:ascii="Arial" w:hAnsi="Arial" w:cs="Arial"/>
          <w:snapToGrid w:val="0"/>
          <w:sz w:val="22"/>
          <w:szCs w:val="22"/>
          <w:lang w:val="en-GB" w:eastAsia="en-US"/>
        </w:rPr>
        <w:t xml:space="preserve">, </w:t>
      </w:r>
      <w:r w:rsidR="00A205A6">
        <w:rPr>
          <w:rFonts w:ascii="Arial" w:hAnsi="Arial" w:cs="Arial"/>
          <w:snapToGrid w:val="0"/>
          <w:sz w:val="22"/>
          <w:szCs w:val="22"/>
          <w:lang w:val="en-GB" w:eastAsia="en-US"/>
        </w:rPr>
        <w:t>it may</w:t>
      </w:r>
      <w:r>
        <w:rPr>
          <w:rFonts w:ascii="Arial" w:hAnsi="Arial" w:cs="Arial"/>
          <w:snapToGrid w:val="0"/>
          <w:sz w:val="22"/>
          <w:szCs w:val="22"/>
          <w:lang w:val="en-GB" w:eastAsia="en-US"/>
        </w:rPr>
        <w:t xml:space="preserve"> </w:t>
      </w:r>
      <w:r w:rsidR="00A205A6">
        <w:rPr>
          <w:rFonts w:ascii="Arial" w:hAnsi="Arial" w:cs="Arial"/>
          <w:snapToGrid w:val="0"/>
          <w:sz w:val="22"/>
          <w:szCs w:val="22"/>
          <w:lang w:val="en-GB" w:eastAsia="en-US"/>
        </w:rPr>
        <w:t xml:space="preserve">be timely that the Secretariat </w:t>
      </w:r>
      <w:r w:rsidR="00476800" w:rsidRPr="00FF3EC6">
        <w:rPr>
          <w:rFonts w:ascii="Arial" w:hAnsi="Arial" w:cs="Arial"/>
          <w:snapToGrid w:val="0"/>
          <w:sz w:val="22"/>
          <w:szCs w:val="22"/>
          <w:lang w:val="en-GB" w:eastAsia="en-US"/>
        </w:rPr>
        <w:t>reassess</w:t>
      </w:r>
      <w:r w:rsidR="00A205A6">
        <w:rPr>
          <w:rFonts w:ascii="Arial" w:hAnsi="Arial" w:cs="Arial"/>
          <w:snapToGrid w:val="0"/>
          <w:sz w:val="22"/>
          <w:szCs w:val="22"/>
          <w:lang w:val="en-GB" w:eastAsia="en-US"/>
        </w:rPr>
        <w:t xml:space="preserve"> it</w:t>
      </w:r>
      <w:r w:rsidR="00476800" w:rsidRPr="00FF3EC6">
        <w:rPr>
          <w:rFonts w:ascii="Arial" w:hAnsi="Arial" w:cs="Arial"/>
          <w:snapToGrid w:val="0"/>
          <w:sz w:val="22"/>
          <w:szCs w:val="22"/>
          <w:lang w:val="en-GB" w:eastAsia="en-US"/>
        </w:rPr>
        <w:t xml:space="preserve"> </w:t>
      </w:r>
      <w:r w:rsidR="00A205A6">
        <w:rPr>
          <w:rFonts w:ascii="Arial" w:hAnsi="Arial" w:cs="Arial"/>
          <w:snapToGrid w:val="0"/>
          <w:sz w:val="22"/>
          <w:szCs w:val="22"/>
          <w:lang w:val="en-GB" w:eastAsia="en-US"/>
        </w:rPr>
        <w:t>with the view to propose a</w:t>
      </w:r>
      <w:r w:rsidR="00476800" w:rsidRPr="00FF3EC6">
        <w:rPr>
          <w:rFonts w:ascii="Arial" w:hAnsi="Arial" w:cs="Arial"/>
          <w:snapToGrid w:val="0"/>
          <w:sz w:val="22"/>
          <w:szCs w:val="22"/>
          <w:lang w:val="en-GB" w:eastAsia="en-US"/>
        </w:rPr>
        <w:t xml:space="preserve"> revised target to the General Assembly at its next session in 2020.</w:t>
      </w:r>
    </w:p>
    <w:p w14:paraId="37DA490B" w14:textId="77777777" w:rsidR="000449E6" w:rsidRPr="000449E6" w:rsidRDefault="00DD0E72" w:rsidP="00E51455">
      <w:pPr>
        <w:tabs>
          <w:tab w:val="left" w:pos="567"/>
        </w:tabs>
        <w:snapToGrid w:val="0"/>
        <w:spacing w:before="240" w:after="120"/>
        <w:ind w:left="567"/>
        <w:jc w:val="both"/>
        <w:rPr>
          <w:rFonts w:ascii="Arial" w:hAnsi="Arial" w:cs="Arial"/>
          <w:snapToGrid w:val="0"/>
          <w:sz w:val="22"/>
          <w:szCs w:val="22"/>
          <w:lang w:val="en-GB" w:eastAsia="en-US"/>
        </w:rPr>
      </w:pPr>
      <w:r w:rsidRPr="00FF3EC6">
        <w:rPr>
          <w:rFonts w:ascii="Arial" w:hAnsi="Arial" w:cs="Arial"/>
          <w:b/>
          <w:snapToGrid w:val="0"/>
          <w:sz w:val="22"/>
          <w:szCs w:val="22"/>
          <w:lang w:val="en-GB" w:eastAsia="en-US"/>
        </w:rPr>
        <w:t>Ongoing</w:t>
      </w:r>
      <w:r w:rsidRPr="00DD0E72">
        <w:rPr>
          <w:rFonts w:ascii="Arial" w:hAnsi="Arial" w:cs="Arial"/>
          <w:b/>
          <w:snapToGrid w:val="0"/>
          <w:sz w:val="22"/>
          <w:szCs w:val="22"/>
          <w:lang w:val="en-GB" w:eastAsia="en-US"/>
        </w:rPr>
        <w:t xml:space="preserve"> earmarked activities</w:t>
      </w:r>
    </w:p>
    <w:p w14:paraId="4C310A87" w14:textId="77777777" w:rsidR="00BF1B64" w:rsidRPr="00BF1B64" w:rsidRDefault="00BF1B64" w:rsidP="00BF1B64">
      <w:pPr>
        <w:numPr>
          <w:ilvl w:val="0"/>
          <w:numId w:val="9"/>
        </w:numPr>
        <w:spacing w:after="120"/>
        <w:ind w:left="567" w:hanging="567"/>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Finally, the implementation of the following earmarked activities, financed with voluntary supplementary contributions, continued during the reporting period:</w:t>
      </w:r>
    </w:p>
    <w:tbl>
      <w:tblPr>
        <w:tblStyle w:val="TableGrid"/>
        <w:tblW w:w="0" w:type="auto"/>
        <w:tblInd w:w="567" w:type="dxa"/>
        <w:tblLook w:val="04A0" w:firstRow="1" w:lastRow="0" w:firstColumn="1" w:lastColumn="0" w:noHBand="0" w:noVBand="1"/>
      </w:tblPr>
      <w:tblGrid>
        <w:gridCol w:w="4226"/>
        <w:gridCol w:w="2091"/>
        <w:gridCol w:w="2754"/>
      </w:tblGrid>
      <w:tr w:rsidR="00BF1B64" w:rsidRPr="00544C71" w14:paraId="1ACB4B74" w14:textId="77777777" w:rsidTr="007E660D">
        <w:trPr>
          <w:cantSplit/>
          <w:trHeight w:val="293"/>
        </w:trPr>
        <w:tc>
          <w:tcPr>
            <w:tcW w:w="4226" w:type="dxa"/>
            <w:tcBorders>
              <w:left w:val="nil"/>
              <w:bottom w:val="single" w:sz="4" w:space="0" w:color="000000"/>
              <w:right w:val="nil"/>
            </w:tcBorders>
          </w:tcPr>
          <w:p w14:paraId="106DCD97" w14:textId="77777777" w:rsidR="00BF1B64" w:rsidRPr="00BF1B64" w:rsidRDefault="00BF1B64" w:rsidP="00BF1B64">
            <w:pPr>
              <w:spacing w:before="120" w:after="120"/>
              <w:jc w:val="center"/>
              <w:rPr>
                <w:rFonts w:ascii="Arial" w:hAnsi="Arial" w:cs="Arial"/>
                <w:b/>
                <w:snapToGrid w:val="0"/>
                <w:sz w:val="22"/>
                <w:szCs w:val="22"/>
                <w:lang w:val="en-GB" w:eastAsia="en-US"/>
              </w:rPr>
            </w:pPr>
            <w:r w:rsidRPr="00BF1B64">
              <w:rPr>
                <w:rFonts w:ascii="Arial" w:hAnsi="Arial" w:cs="Arial"/>
                <w:b/>
                <w:snapToGrid w:val="0"/>
                <w:sz w:val="22"/>
                <w:szCs w:val="22"/>
                <w:lang w:val="en-GB" w:eastAsia="en-US"/>
              </w:rPr>
              <w:t>Project</w:t>
            </w:r>
          </w:p>
        </w:tc>
        <w:tc>
          <w:tcPr>
            <w:tcW w:w="2091" w:type="dxa"/>
            <w:tcBorders>
              <w:left w:val="nil"/>
              <w:bottom w:val="single" w:sz="4" w:space="0" w:color="000000"/>
              <w:right w:val="nil"/>
            </w:tcBorders>
          </w:tcPr>
          <w:p w14:paraId="5F74C696" w14:textId="77777777" w:rsidR="00BF1B64" w:rsidRPr="00BF1B64" w:rsidRDefault="00BF1B64" w:rsidP="00BF1B64">
            <w:pPr>
              <w:spacing w:before="120" w:after="120"/>
              <w:jc w:val="center"/>
              <w:rPr>
                <w:rFonts w:ascii="Arial" w:hAnsi="Arial" w:cs="Arial"/>
                <w:b/>
                <w:snapToGrid w:val="0"/>
                <w:sz w:val="22"/>
                <w:szCs w:val="22"/>
                <w:lang w:val="en-GB" w:eastAsia="en-US"/>
              </w:rPr>
            </w:pPr>
            <w:r w:rsidRPr="00BF1B64">
              <w:rPr>
                <w:rFonts w:ascii="Arial" w:hAnsi="Arial" w:cs="Arial"/>
                <w:b/>
                <w:snapToGrid w:val="0"/>
                <w:sz w:val="22"/>
                <w:szCs w:val="22"/>
                <w:lang w:val="en-GB" w:eastAsia="en-US"/>
              </w:rPr>
              <w:t>Contributors</w:t>
            </w:r>
          </w:p>
        </w:tc>
        <w:tc>
          <w:tcPr>
            <w:tcW w:w="2754" w:type="dxa"/>
            <w:tcBorders>
              <w:left w:val="nil"/>
              <w:bottom w:val="single" w:sz="4" w:space="0" w:color="000000"/>
              <w:right w:val="nil"/>
            </w:tcBorders>
          </w:tcPr>
          <w:p w14:paraId="1DF35331" w14:textId="77777777" w:rsidR="00BF1B64" w:rsidRPr="00BF1B64" w:rsidRDefault="00BF1B64" w:rsidP="00BF1B64">
            <w:pPr>
              <w:spacing w:before="120" w:after="120"/>
              <w:jc w:val="center"/>
              <w:rPr>
                <w:rFonts w:ascii="Arial" w:hAnsi="Arial" w:cs="Arial"/>
                <w:b/>
                <w:snapToGrid w:val="0"/>
                <w:sz w:val="22"/>
                <w:szCs w:val="22"/>
                <w:lang w:val="en-GB" w:eastAsia="en-US"/>
              </w:rPr>
            </w:pPr>
            <w:r w:rsidRPr="00BF1B64">
              <w:rPr>
                <w:rFonts w:ascii="Arial" w:hAnsi="Arial" w:cs="Arial"/>
                <w:b/>
                <w:snapToGrid w:val="0"/>
                <w:sz w:val="22"/>
                <w:szCs w:val="22"/>
                <w:lang w:val="en-GB" w:eastAsia="en-US"/>
              </w:rPr>
              <w:t>Last report issued</w:t>
            </w:r>
          </w:p>
        </w:tc>
      </w:tr>
      <w:tr w:rsidR="00BF1B64" w:rsidRPr="005B5F26" w14:paraId="08ED97A6" w14:textId="77777777" w:rsidTr="00544C71">
        <w:trPr>
          <w:cantSplit/>
        </w:trPr>
        <w:tc>
          <w:tcPr>
            <w:tcW w:w="4226" w:type="dxa"/>
            <w:tcBorders>
              <w:top w:val="nil"/>
              <w:left w:val="nil"/>
              <w:bottom w:val="nil"/>
              <w:right w:val="nil"/>
            </w:tcBorders>
          </w:tcPr>
          <w:p w14:paraId="041A7404" w14:textId="77777777" w:rsidR="00BF1B64" w:rsidRPr="00AA5FD3" w:rsidRDefault="00BF1B64" w:rsidP="00D00C81">
            <w:pPr>
              <w:spacing w:after="120"/>
              <w:jc w:val="both"/>
              <w:rPr>
                <w:rFonts w:ascii="Arial" w:hAnsi="Arial" w:cs="Arial"/>
                <w:snapToGrid w:val="0"/>
                <w:sz w:val="22"/>
                <w:szCs w:val="22"/>
                <w:lang w:val="en-GB" w:eastAsia="en-US"/>
              </w:rPr>
            </w:pPr>
            <w:r w:rsidRPr="00AA5FD3">
              <w:rPr>
                <w:rFonts w:ascii="Arial" w:hAnsi="Arial" w:cs="Arial"/>
                <w:snapToGrid w:val="0"/>
                <w:sz w:val="22"/>
                <w:szCs w:val="22"/>
                <w:lang w:val="en-GB" w:eastAsia="en-US"/>
              </w:rPr>
              <w:t>Improvement of the periodic reporting mechanisms under the 2003 Convention</w:t>
            </w:r>
          </w:p>
        </w:tc>
        <w:tc>
          <w:tcPr>
            <w:tcW w:w="2091" w:type="dxa"/>
            <w:tcBorders>
              <w:top w:val="nil"/>
              <w:left w:val="nil"/>
              <w:bottom w:val="nil"/>
              <w:right w:val="nil"/>
            </w:tcBorders>
          </w:tcPr>
          <w:p w14:paraId="05E16CE3" w14:textId="77777777" w:rsidR="00BF1B64" w:rsidRPr="00A356BE" w:rsidRDefault="00BF1B64" w:rsidP="00BF1B64">
            <w:pPr>
              <w:spacing w:before="120" w:after="120"/>
              <w:jc w:val="both"/>
              <w:rPr>
                <w:rFonts w:ascii="Arial" w:hAnsi="Arial" w:cs="Arial"/>
                <w:snapToGrid w:val="0"/>
                <w:sz w:val="22"/>
                <w:szCs w:val="22"/>
                <w:lang w:val="en-GB" w:eastAsia="en-US"/>
              </w:rPr>
            </w:pPr>
            <w:r w:rsidRPr="00A356BE">
              <w:rPr>
                <w:rFonts w:ascii="Arial" w:hAnsi="Arial" w:cs="Arial"/>
                <w:snapToGrid w:val="0"/>
                <w:sz w:val="22"/>
                <w:szCs w:val="22"/>
                <w:lang w:val="en-GB" w:eastAsia="en-US"/>
              </w:rPr>
              <w:t>Republic of Korea</w:t>
            </w:r>
          </w:p>
        </w:tc>
        <w:tc>
          <w:tcPr>
            <w:tcW w:w="2754" w:type="dxa"/>
            <w:tcBorders>
              <w:top w:val="nil"/>
              <w:left w:val="nil"/>
              <w:bottom w:val="nil"/>
              <w:right w:val="nil"/>
            </w:tcBorders>
          </w:tcPr>
          <w:p w14:paraId="341AF31E" w14:textId="77777777" w:rsidR="00BF1B64" w:rsidRPr="005B5F26" w:rsidRDefault="00BF1B64" w:rsidP="00BF1B64">
            <w:pPr>
              <w:spacing w:before="120" w:after="120"/>
              <w:jc w:val="center"/>
              <w:rPr>
                <w:rFonts w:ascii="Arial" w:hAnsi="Arial" w:cs="Arial"/>
                <w:snapToGrid w:val="0"/>
                <w:sz w:val="22"/>
                <w:szCs w:val="22"/>
                <w:lang w:val="en-GB" w:eastAsia="en-US"/>
              </w:rPr>
            </w:pPr>
            <w:r w:rsidRPr="005B5F26">
              <w:rPr>
                <w:rFonts w:ascii="Arial" w:hAnsi="Arial" w:cs="Arial"/>
                <w:snapToGrid w:val="0"/>
                <w:sz w:val="22"/>
                <w:szCs w:val="22"/>
                <w:lang w:val="en-GB" w:eastAsia="en-US"/>
              </w:rPr>
              <w:t>-</w:t>
            </w:r>
          </w:p>
        </w:tc>
      </w:tr>
      <w:tr w:rsidR="00544C71" w:rsidRPr="00DD0E72" w14:paraId="47DDE726" w14:textId="77777777" w:rsidTr="00544C71">
        <w:trPr>
          <w:cantSplit/>
        </w:trPr>
        <w:tc>
          <w:tcPr>
            <w:tcW w:w="4226" w:type="dxa"/>
            <w:tcBorders>
              <w:top w:val="nil"/>
              <w:left w:val="nil"/>
              <w:bottom w:val="nil"/>
              <w:right w:val="nil"/>
            </w:tcBorders>
          </w:tcPr>
          <w:p w14:paraId="1DDF754D" w14:textId="77777777" w:rsidR="00544C71" w:rsidRPr="005B5F26" w:rsidRDefault="00544C71" w:rsidP="00D366EC">
            <w:pPr>
              <w:spacing w:before="120" w:after="120"/>
              <w:jc w:val="both"/>
              <w:rPr>
                <w:rFonts w:ascii="Arial" w:hAnsi="Arial" w:cs="Arial"/>
                <w:snapToGrid w:val="0"/>
                <w:sz w:val="22"/>
                <w:szCs w:val="22"/>
                <w:lang w:val="en-GB" w:eastAsia="en-US"/>
              </w:rPr>
            </w:pPr>
            <w:r w:rsidRPr="005B5F26">
              <w:rPr>
                <w:rFonts w:ascii="Arial" w:hAnsi="Arial" w:cs="Arial"/>
                <w:snapToGrid w:val="0"/>
                <w:sz w:val="22"/>
                <w:szCs w:val="22"/>
                <w:lang w:val="en-GB" w:eastAsia="en-US"/>
              </w:rPr>
              <w:t>Reflection on the listing mechanisms of the 2003 Convention</w:t>
            </w:r>
          </w:p>
        </w:tc>
        <w:tc>
          <w:tcPr>
            <w:tcW w:w="2091" w:type="dxa"/>
            <w:tcBorders>
              <w:top w:val="nil"/>
              <w:left w:val="nil"/>
              <w:bottom w:val="nil"/>
              <w:right w:val="nil"/>
            </w:tcBorders>
          </w:tcPr>
          <w:p w14:paraId="20A3D514" w14:textId="77777777" w:rsidR="00544C71" w:rsidRPr="005B5F26" w:rsidRDefault="00544C71" w:rsidP="00D366EC">
            <w:pPr>
              <w:spacing w:before="120" w:after="120"/>
              <w:jc w:val="both"/>
              <w:rPr>
                <w:rFonts w:ascii="Arial" w:hAnsi="Arial" w:cs="Arial"/>
                <w:snapToGrid w:val="0"/>
                <w:sz w:val="22"/>
                <w:szCs w:val="22"/>
                <w:lang w:val="en-GB" w:eastAsia="en-US"/>
              </w:rPr>
            </w:pPr>
            <w:r w:rsidRPr="005B5F26">
              <w:rPr>
                <w:rFonts w:ascii="Arial" w:hAnsi="Arial" w:cs="Arial"/>
                <w:snapToGrid w:val="0"/>
                <w:sz w:val="22"/>
                <w:szCs w:val="22"/>
                <w:lang w:val="en-GB" w:eastAsia="en-US"/>
              </w:rPr>
              <w:t>Japan</w:t>
            </w:r>
          </w:p>
        </w:tc>
        <w:tc>
          <w:tcPr>
            <w:tcW w:w="2754" w:type="dxa"/>
            <w:tcBorders>
              <w:top w:val="nil"/>
              <w:left w:val="nil"/>
              <w:bottom w:val="nil"/>
              <w:right w:val="nil"/>
            </w:tcBorders>
          </w:tcPr>
          <w:p w14:paraId="48322C65" w14:textId="77777777" w:rsidR="00544C71" w:rsidRPr="005B5F26" w:rsidRDefault="00544C71" w:rsidP="00D366EC">
            <w:pPr>
              <w:spacing w:before="120" w:after="120"/>
              <w:jc w:val="center"/>
              <w:rPr>
                <w:rFonts w:ascii="Arial" w:hAnsi="Arial" w:cs="Arial"/>
                <w:snapToGrid w:val="0"/>
                <w:sz w:val="22"/>
                <w:szCs w:val="22"/>
                <w:lang w:val="en-GB" w:eastAsia="en-US"/>
              </w:rPr>
            </w:pPr>
            <w:r w:rsidRPr="005B5F26">
              <w:rPr>
                <w:rFonts w:ascii="Arial" w:hAnsi="Arial" w:cs="Arial"/>
                <w:snapToGrid w:val="0"/>
                <w:sz w:val="22"/>
                <w:szCs w:val="22"/>
                <w:lang w:val="en-GB" w:eastAsia="en-US"/>
              </w:rPr>
              <w:t>-</w:t>
            </w:r>
          </w:p>
        </w:tc>
      </w:tr>
      <w:tr w:rsidR="00A82CA1" w:rsidRPr="00BF1B64" w14:paraId="2EC7C020" w14:textId="77777777" w:rsidTr="00544C71">
        <w:trPr>
          <w:cantSplit/>
        </w:trPr>
        <w:tc>
          <w:tcPr>
            <w:tcW w:w="4226" w:type="dxa"/>
            <w:tcBorders>
              <w:top w:val="nil"/>
              <w:left w:val="nil"/>
              <w:bottom w:val="nil"/>
              <w:right w:val="nil"/>
            </w:tcBorders>
          </w:tcPr>
          <w:p w14:paraId="26F96915" w14:textId="77777777" w:rsidR="00A82CA1" w:rsidRPr="00BF1B64" w:rsidRDefault="00A82CA1" w:rsidP="00D366EC">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 w:eastAsia="en-US"/>
              </w:rPr>
              <w:t>Safeguarding intangible cultural heritage through strengthening national capacities in Morocco, Mauritania and Tunisia</w:t>
            </w:r>
          </w:p>
        </w:tc>
        <w:tc>
          <w:tcPr>
            <w:tcW w:w="2091" w:type="dxa"/>
            <w:tcBorders>
              <w:top w:val="nil"/>
              <w:left w:val="nil"/>
              <w:bottom w:val="nil"/>
              <w:right w:val="nil"/>
            </w:tcBorders>
          </w:tcPr>
          <w:p w14:paraId="49412105" w14:textId="77777777" w:rsidR="00A82CA1" w:rsidRPr="00BF1B64" w:rsidRDefault="00A82CA1" w:rsidP="00D366EC">
            <w:pPr>
              <w:spacing w:after="120"/>
              <w:rPr>
                <w:rFonts w:ascii="Arial" w:hAnsi="Arial" w:cs="Arial"/>
                <w:snapToGrid w:val="0"/>
                <w:sz w:val="22"/>
                <w:szCs w:val="22"/>
                <w:lang w:val="en-GB" w:eastAsia="en-US"/>
              </w:rPr>
            </w:pPr>
            <w:r w:rsidRPr="00BF1B64">
              <w:rPr>
                <w:rFonts w:ascii="Arial" w:hAnsi="Arial" w:cs="Arial"/>
                <w:snapToGrid w:val="0"/>
                <w:sz w:val="22"/>
                <w:szCs w:val="22"/>
                <w:lang w:val="en-GB" w:eastAsia="en-US"/>
              </w:rPr>
              <w:t>Norway and Spain (</w:t>
            </w:r>
            <w:proofErr w:type="spellStart"/>
            <w:r w:rsidRPr="00BF1B64">
              <w:rPr>
                <w:rFonts w:ascii="Arial" w:hAnsi="Arial" w:cs="Arial"/>
                <w:snapToGrid w:val="0"/>
                <w:sz w:val="22"/>
                <w:szCs w:val="22"/>
                <w:lang w:val="en-GB" w:eastAsia="en-US"/>
              </w:rPr>
              <w:t>Generalitat</w:t>
            </w:r>
            <w:proofErr w:type="spellEnd"/>
            <w:r w:rsidRPr="00BF1B64">
              <w:rPr>
                <w:rFonts w:ascii="Arial" w:hAnsi="Arial" w:cs="Arial"/>
                <w:snapToGrid w:val="0"/>
                <w:sz w:val="22"/>
                <w:szCs w:val="22"/>
                <w:lang w:val="en-GB" w:eastAsia="en-US"/>
              </w:rPr>
              <w:t xml:space="preserve"> de </w:t>
            </w:r>
            <w:proofErr w:type="spellStart"/>
            <w:r w:rsidRPr="00BF1B64">
              <w:rPr>
                <w:rFonts w:ascii="Arial" w:hAnsi="Arial" w:cs="Arial"/>
                <w:snapToGrid w:val="0"/>
                <w:sz w:val="22"/>
                <w:szCs w:val="22"/>
                <w:lang w:val="en-GB" w:eastAsia="en-US"/>
              </w:rPr>
              <w:t>Catalunya</w:t>
            </w:r>
            <w:proofErr w:type="spellEnd"/>
            <w:r w:rsidRPr="00BF1B64">
              <w:rPr>
                <w:rFonts w:ascii="Arial" w:hAnsi="Arial" w:cs="Arial"/>
                <w:snapToGrid w:val="0"/>
                <w:sz w:val="22"/>
                <w:szCs w:val="22"/>
                <w:lang w:val="en-GB" w:eastAsia="en-US"/>
              </w:rPr>
              <w:t>)</w:t>
            </w:r>
          </w:p>
        </w:tc>
        <w:tc>
          <w:tcPr>
            <w:tcW w:w="2754" w:type="dxa"/>
            <w:tcBorders>
              <w:top w:val="nil"/>
              <w:left w:val="nil"/>
              <w:bottom w:val="nil"/>
              <w:right w:val="nil"/>
            </w:tcBorders>
          </w:tcPr>
          <w:p w14:paraId="629CA736" w14:textId="77777777" w:rsidR="00A82CA1" w:rsidRPr="008922DF" w:rsidRDefault="00DE6B00" w:rsidP="00A356BE">
            <w:pPr>
              <w:spacing w:after="120"/>
              <w:jc w:val="both"/>
              <w:rPr>
                <w:rFonts w:ascii="Arial" w:hAnsi="Arial" w:cs="Arial"/>
                <w:snapToGrid w:val="0"/>
                <w:sz w:val="22"/>
                <w:szCs w:val="22"/>
                <w:highlight w:val="yellow"/>
                <w:lang w:val="en-GB" w:eastAsia="en-US"/>
              </w:rPr>
            </w:pPr>
            <w:hyperlink r:id="rId17" w:history="1">
              <w:r w:rsidR="00E72038" w:rsidRPr="00AD4D75">
                <w:rPr>
                  <w:rFonts w:ascii="Arial" w:hAnsi="Arial" w:cs="Arial"/>
                  <w:snapToGrid w:val="0"/>
                  <w:color w:val="0000FF" w:themeColor="hyperlink"/>
                  <w:sz w:val="22"/>
                  <w:szCs w:val="22"/>
                  <w:u w:val="single"/>
                  <w:lang w:val="en-GB" w:eastAsia="en-US"/>
                </w:rPr>
                <w:t>Progress report (2017</w:t>
              </w:r>
            </w:hyperlink>
            <w:r w:rsidR="00544C71" w:rsidRPr="00AD4D75">
              <w:rPr>
                <w:rFonts w:ascii="Arial" w:hAnsi="Arial" w:cs="Arial"/>
                <w:snapToGrid w:val="0"/>
                <w:color w:val="0000FF" w:themeColor="hyperlink"/>
                <w:sz w:val="22"/>
                <w:szCs w:val="22"/>
                <w:u w:val="single"/>
                <w:lang w:val="en-GB" w:eastAsia="en-US"/>
              </w:rPr>
              <w:t>)</w:t>
            </w:r>
          </w:p>
        </w:tc>
      </w:tr>
      <w:tr w:rsidR="00544C71" w:rsidRPr="00BF1B64" w14:paraId="356E90DC" w14:textId="77777777" w:rsidTr="00544C71">
        <w:trPr>
          <w:cantSplit/>
        </w:trPr>
        <w:tc>
          <w:tcPr>
            <w:tcW w:w="4226" w:type="dxa"/>
            <w:tcBorders>
              <w:top w:val="nil"/>
              <w:left w:val="nil"/>
              <w:bottom w:val="nil"/>
              <w:right w:val="nil"/>
            </w:tcBorders>
          </w:tcPr>
          <w:p w14:paraId="4022489E" w14:textId="77777777" w:rsidR="00544C71" w:rsidRPr="00BF1B64" w:rsidRDefault="00544C71" w:rsidP="00D366EC">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 w:eastAsia="en-US"/>
              </w:rPr>
              <w:t>Strengthening national capacities for safeguarding intangible cultural heritage in Guatemala</w:t>
            </w:r>
          </w:p>
        </w:tc>
        <w:tc>
          <w:tcPr>
            <w:tcW w:w="2091" w:type="dxa"/>
            <w:tcBorders>
              <w:top w:val="nil"/>
              <w:left w:val="nil"/>
              <w:bottom w:val="nil"/>
              <w:right w:val="nil"/>
            </w:tcBorders>
          </w:tcPr>
          <w:p w14:paraId="7E48A9B0" w14:textId="77777777" w:rsidR="00544C71" w:rsidRPr="00BF1B64" w:rsidRDefault="00544C71" w:rsidP="00D366EC">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Azerbaijan</w:t>
            </w:r>
          </w:p>
        </w:tc>
        <w:tc>
          <w:tcPr>
            <w:tcW w:w="2754" w:type="dxa"/>
            <w:tcBorders>
              <w:top w:val="nil"/>
              <w:left w:val="nil"/>
              <w:bottom w:val="nil"/>
              <w:right w:val="nil"/>
            </w:tcBorders>
          </w:tcPr>
          <w:p w14:paraId="44A2D267" w14:textId="77777777" w:rsidR="00544C71" w:rsidRPr="00AA5FD3" w:rsidRDefault="00DE6B00" w:rsidP="00D366EC">
            <w:pPr>
              <w:spacing w:after="120"/>
              <w:jc w:val="both"/>
              <w:rPr>
                <w:rFonts w:ascii="Arial" w:hAnsi="Arial" w:cs="Arial"/>
                <w:snapToGrid w:val="0"/>
                <w:sz w:val="22"/>
                <w:szCs w:val="22"/>
                <w:lang w:val="en-GB" w:eastAsia="en-US"/>
              </w:rPr>
            </w:pPr>
            <w:hyperlink r:id="rId18" w:history="1">
              <w:r w:rsidR="00544C71" w:rsidRPr="00AA5FD3">
                <w:rPr>
                  <w:rStyle w:val="Hyperlink"/>
                  <w:rFonts w:ascii="Arial" w:hAnsi="Arial" w:cs="Arial"/>
                  <w:sz w:val="22"/>
                  <w:szCs w:val="22"/>
                </w:rPr>
                <w:t>Final</w:t>
              </w:r>
              <w:r w:rsidR="00544C71" w:rsidRPr="00AA5FD3">
                <w:rPr>
                  <w:rStyle w:val="Hyperlink"/>
                  <w:rFonts w:ascii="Arial" w:hAnsi="Arial" w:cs="Arial"/>
                  <w:snapToGrid w:val="0"/>
                  <w:sz w:val="22"/>
                  <w:szCs w:val="22"/>
                  <w:lang w:val="en-GB" w:eastAsia="en-US"/>
                </w:rPr>
                <w:t xml:space="preserve"> report (</w:t>
              </w:r>
              <w:r w:rsidR="00544C71" w:rsidRPr="00A356BE">
                <w:rPr>
                  <w:rStyle w:val="Hyperlink"/>
                  <w:rFonts w:ascii="Arial" w:hAnsi="Arial" w:cs="Arial"/>
                  <w:snapToGrid w:val="0"/>
                  <w:sz w:val="22"/>
                  <w:szCs w:val="22"/>
                  <w:lang w:val="en-GB" w:eastAsia="en-US"/>
                </w:rPr>
                <w:t>2018</w:t>
              </w:r>
            </w:hyperlink>
            <w:r w:rsidR="00544C71" w:rsidRPr="00AA5FD3">
              <w:rPr>
                <w:rFonts w:ascii="Arial" w:hAnsi="Arial" w:cs="Arial"/>
                <w:snapToGrid w:val="0"/>
                <w:color w:val="0000FF" w:themeColor="hyperlink"/>
                <w:sz w:val="22"/>
                <w:szCs w:val="22"/>
                <w:u w:val="single"/>
                <w:lang w:val="en-GB" w:eastAsia="en-US"/>
              </w:rPr>
              <w:t>)</w:t>
            </w:r>
          </w:p>
        </w:tc>
      </w:tr>
      <w:tr w:rsidR="00544C71" w:rsidRPr="00BF1B64" w14:paraId="220209A5" w14:textId="77777777" w:rsidTr="00544C71">
        <w:trPr>
          <w:cantSplit/>
        </w:trPr>
        <w:tc>
          <w:tcPr>
            <w:tcW w:w="4226" w:type="dxa"/>
            <w:tcBorders>
              <w:top w:val="nil"/>
              <w:left w:val="nil"/>
              <w:bottom w:val="nil"/>
              <w:right w:val="nil"/>
            </w:tcBorders>
          </w:tcPr>
          <w:p w14:paraId="6DB820C9" w14:textId="77777777" w:rsidR="00544C71" w:rsidRPr="00BF1B64" w:rsidRDefault="00544C71" w:rsidP="00D366EC">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Strengthening National Capacities for Safeguarding Intangible Cultural Heritage for Sustainable Development in Bangladesh</w:t>
            </w:r>
          </w:p>
        </w:tc>
        <w:tc>
          <w:tcPr>
            <w:tcW w:w="2091" w:type="dxa"/>
            <w:tcBorders>
              <w:top w:val="nil"/>
              <w:left w:val="nil"/>
              <w:bottom w:val="nil"/>
              <w:right w:val="nil"/>
            </w:tcBorders>
          </w:tcPr>
          <w:p w14:paraId="4BCEA931" w14:textId="77777777" w:rsidR="00544C71" w:rsidRPr="00AD4D75" w:rsidRDefault="00544C71" w:rsidP="00D366EC">
            <w:pPr>
              <w:spacing w:after="120"/>
              <w:jc w:val="both"/>
              <w:rPr>
                <w:rFonts w:ascii="Arial" w:hAnsi="Arial" w:cs="Arial"/>
                <w:snapToGrid w:val="0"/>
                <w:sz w:val="22"/>
                <w:szCs w:val="22"/>
                <w:lang w:val="en-GB" w:eastAsia="en-US"/>
              </w:rPr>
            </w:pPr>
            <w:r w:rsidRPr="00AD4D75">
              <w:rPr>
                <w:rFonts w:ascii="Arial" w:hAnsi="Arial" w:cs="Arial"/>
                <w:snapToGrid w:val="0"/>
                <w:sz w:val="22"/>
                <w:szCs w:val="22"/>
                <w:lang w:val="en-GB" w:eastAsia="en-US"/>
              </w:rPr>
              <w:t>Azerbaijan</w:t>
            </w:r>
          </w:p>
        </w:tc>
        <w:tc>
          <w:tcPr>
            <w:tcW w:w="2754" w:type="dxa"/>
            <w:tcBorders>
              <w:top w:val="nil"/>
              <w:left w:val="nil"/>
              <w:bottom w:val="nil"/>
              <w:right w:val="nil"/>
            </w:tcBorders>
          </w:tcPr>
          <w:p w14:paraId="523DA57A" w14:textId="5B9A6699" w:rsidR="00544C71" w:rsidRPr="00AD4D75" w:rsidRDefault="00DE6B00" w:rsidP="00AD4D75">
            <w:pPr>
              <w:spacing w:after="120"/>
              <w:jc w:val="both"/>
              <w:rPr>
                <w:rFonts w:ascii="Arial" w:hAnsi="Arial" w:cs="Arial"/>
                <w:snapToGrid w:val="0"/>
                <w:sz w:val="22"/>
                <w:szCs w:val="22"/>
                <w:lang w:val="en-GB" w:eastAsia="en-US"/>
              </w:rPr>
            </w:pPr>
            <w:hyperlink r:id="rId19" w:history="1">
              <w:r w:rsidR="00AD4D75" w:rsidRPr="00AD4D75">
                <w:rPr>
                  <w:rFonts w:ascii="Arial" w:hAnsi="Arial" w:cs="Arial"/>
                  <w:snapToGrid w:val="0"/>
                  <w:color w:val="0000FF" w:themeColor="hyperlink"/>
                  <w:sz w:val="22"/>
                  <w:szCs w:val="22"/>
                  <w:u w:val="single"/>
                  <w:lang w:val="en-GB" w:eastAsia="en-US"/>
                </w:rPr>
                <w:t>Final</w:t>
              </w:r>
              <w:r w:rsidR="00AE049E" w:rsidRPr="00AD4D75">
                <w:rPr>
                  <w:rFonts w:ascii="Arial" w:hAnsi="Arial" w:cs="Arial"/>
                  <w:snapToGrid w:val="0"/>
                  <w:color w:val="0000FF" w:themeColor="hyperlink"/>
                  <w:sz w:val="22"/>
                  <w:szCs w:val="22"/>
                  <w:u w:val="single"/>
                  <w:lang w:val="en-GB" w:eastAsia="en-US"/>
                </w:rPr>
                <w:t xml:space="preserve"> report (</w:t>
              </w:r>
              <w:r w:rsidR="00A356BE" w:rsidRPr="00AD4D75">
                <w:rPr>
                  <w:rFonts w:ascii="Arial" w:hAnsi="Arial" w:cs="Arial"/>
                  <w:snapToGrid w:val="0"/>
                  <w:color w:val="0000FF" w:themeColor="hyperlink"/>
                  <w:sz w:val="22"/>
                  <w:szCs w:val="22"/>
                  <w:u w:val="single"/>
                  <w:lang w:val="en-GB" w:eastAsia="en-US"/>
                </w:rPr>
                <w:t>201</w:t>
              </w:r>
              <w:r w:rsidR="00AD4D75" w:rsidRPr="00AD4D75">
                <w:rPr>
                  <w:rFonts w:ascii="Arial" w:hAnsi="Arial" w:cs="Arial"/>
                  <w:snapToGrid w:val="0"/>
                  <w:color w:val="0000FF" w:themeColor="hyperlink"/>
                  <w:sz w:val="22"/>
                  <w:szCs w:val="22"/>
                  <w:u w:val="single"/>
                  <w:lang w:val="en-GB" w:eastAsia="en-US"/>
                </w:rPr>
                <w:t>9</w:t>
              </w:r>
            </w:hyperlink>
            <w:r w:rsidR="00544C71" w:rsidRPr="00AD4D75">
              <w:rPr>
                <w:rFonts w:ascii="Arial" w:hAnsi="Arial" w:cs="Arial"/>
                <w:snapToGrid w:val="0"/>
                <w:color w:val="0000FF" w:themeColor="hyperlink"/>
                <w:sz w:val="22"/>
                <w:szCs w:val="22"/>
                <w:u w:val="single"/>
                <w:lang w:val="en-GB" w:eastAsia="en-US"/>
              </w:rPr>
              <w:t>)</w:t>
            </w:r>
          </w:p>
        </w:tc>
      </w:tr>
      <w:tr w:rsidR="00BF1B64" w:rsidRPr="00BF1B64" w14:paraId="41909A62" w14:textId="77777777" w:rsidTr="00544C71">
        <w:trPr>
          <w:cantSplit/>
        </w:trPr>
        <w:tc>
          <w:tcPr>
            <w:tcW w:w="4226" w:type="dxa"/>
            <w:tcBorders>
              <w:top w:val="nil"/>
              <w:left w:val="nil"/>
              <w:bottom w:val="nil"/>
              <w:right w:val="nil"/>
            </w:tcBorders>
          </w:tcPr>
          <w:p w14:paraId="4338CDFE" w14:textId="77777777" w:rsidR="00BF1B64" w:rsidRPr="00BF1B64" w:rsidRDefault="00BF1B64" w:rsidP="00BF1B64">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Strengthening the capacities of Eritrea for implementing the Convention for the Safeguarding of the Intangible Cultural Heritage</w:t>
            </w:r>
          </w:p>
        </w:tc>
        <w:tc>
          <w:tcPr>
            <w:tcW w:w="2091" w:type="dxa"/>
            <w:tcBorders>
              <w:top w:val="nil"/>
              <w:left w:val="nil"/>
              <w:bottom w:val="nil"/>
              <w:right w:val="nil"/>
            </w:tcBorders>
          </w:tcPr>
          <w:p w14:paraId="754354F3" w14:textId="77777777" w:rsidR="00BF1B64" w:rsidRPr="00AD4D75" w:rsidRDefault="00BF1B64" w:rsidP="00BF1B64">
            <w:pPr>
              <w:spacing w:after="120"/>
              <w:jc w:val="both"/>
              <w:rPr>
                <w:rFonts w:ascii="Arial" w:hAnsi="Arial" w:cs="Arial"/>
                <w:snapToGrid w:val="0"/>
                <w:sz w:val="22"/>
                <w:szCs w:val="22"/>
                <w:lang w:val="en-GB" w:eastAsia="en-US"/>
              </w:rPr>
            </w:pPr>
            <w:r w:rsidRPr="00AD4D75">
              <w:rPr>
                <w:rFonts w:ascii="Arial" w:hAnsi="Arial" w:cs="Arial"/>
                <w:snapToGrid w:val="0"/>
                <w:sz w:val="22"/>
                <w:szCs w:val="22"/>
                <w:lang w:val="en-GB" w:eastAsia="en-US"/>
              </w:rPr>
              <w:t>Norway</w:t>
            </w:r>
          </w:p>
        </w:tc>
        <w:tc>
          <w:tcPr>
            <w:tcW w:w="2754" w:type="dxa"/>
            <w:tcBorders>
              <w:top w:val="nil"/>
              <w:left w:val="nil"/>
              <w:bottom w:val="nil"/>
              <w:right w:val="nil"/>
            </w:tcBorders>
          </w:tcPr>
          <w:p w14:paraId="331ED9A7" w14:textId="1682CCF6" w:rsidR="00BF1B64" w:rsidRPr="00AD4D75" w:rsidRDefault="00DE6B00" w:rsidP="00AD4D75">
            <w:pPr>
              <w:spacing w:after="120"/>
              <w:jc w:val="both"/>
              <w:rPr>
                <w:rFonts w:ascii="Arial" w:hAnsi="Arial" w:cs="Arial"/>
                <w:snapToGrid w:val="0"/>
                <w:sz w:val="22"/>
                <w:szCs w:val="22"/>
                <w:lang w:val="en-GB" w:eastAsia="en-US"/>
              </w:rPr>
            </w:pPr>
            <w:hyperlink r:id="rId20" w:history="1">
              <w:r w:rsidR="00AD4D75" w:rsidRPr="00AD4D75">
                <w:rPr>
                  <w:rFonts w:ascii="Arial" w:hAnsi="Arial" w:cs="Arial"/>
                  <w:snapToGrid w:val="0"/>
                  <w:color w:val="0000FF" w:themeColor="hyperlink"/>
                  <w:sz w:val="22"/>
                  <w:szCs w:val="22"/>
                  <w:u w:val="single"/>
                  <w:lang w:val="en-GB" w:eastAsia="en-US"/>
                </w:rPr>
                <w:t>Final</w:t>
              </w:r>
              <w:r w:rsidR="00A356BE" w:rsidRPr="00AD4D75">
                <w:rPr>
                  <w:rFonts w:ascii="Arial" w:hAnsi="Arial" w:cs="Arial"/>
                  <w:snapToGrid w:val="0"/>
                  <w:color w:val="0000FF" w:themeColor="hyperlink"/>
                  <w:sz w:val="22"/>
                  <w:szCs w:val="22"/>
                  <w:u w:val="single"/>
                  <w:lang w:val="en-GB" w:eastAsia="en-US"/>
                </w:rPr>
                <w:t xml:space="preserve"> report (201</w:t>
              </w:r>
              <w:r w:rsidR="00AD4D75" w:rsidRPr="00AD4D75">
                <w:rPr>
                  <w:rFonts w:ascii="Arial" w:hAnsi="Arial" w:cs="Arial"/>
                  <w:snapToGrid w:val="0"/>
                  <w:color w:val="0000FF" w:themeColor="hyperlink"/>
                  <w:sz w:val="22"/>
                  <w:szCs w:val="22"/>
                  <w:u w:val="single"/>
                  <w:lang w:val="en-GB" w:eastAsia="en-US"/>
                </w:rPr>
                <w:t>9</w:t>
              </w:r>
              <w:r w:rsidR="00A356BE" w:rsidRPr="00AD4D75">
                <w:rPr>
                  <w:rFonts w:ascii="Arial" w:hAnsi="Arial" w:cs="Arial"/>
                  <w:snapToGrid w:val="0"/>
                  <w:color w:val="0000FF" w:themeColor="hyperlink"/>
                  <w:sz w:val="22"/>
                  <w:szCs w:val="22"/>
                  <w:u w:val="single"/>
                  <w:lang w:val="en-GB" w:eastAsia="en-US"/>
                </w:rPr>
                <w:t>)</w:t>
              </w:r>
            </w:hyperlink>
          </w:p>
        </w:tc>
      </w:tr>
      <w:tr w:rsidR="00BF1B64" w:rsidRPr="00BF1B64" w14:paraId="224F4042" w14:textId="77777777" w:rsidTr="00544C71">
        <w:trPr>
          <w:cantSplit/>
        </w:trPr>
        <w:tc>
          <w:tcPr>
            <w:tcW w:w="4226" w:type="dxa"/>
            <w:tcBorders>
              <w:top w:val="nil"/>
              <w:left w:val="nil"/>
              <w:bottom w:val="single" w:sz="4" w:space="0" w:color="auto"/>
              <w:right w:val="nil"/>
            </w:tcBorders>
          </w:tcPr>
          <w:p w14:paraId="637F7CB6" w14:textId="77777777" w:rsidR="00BF1B64" w:rsidRPr="00BF1B64" w:rsidRDefault="00BF1B64" w:rsidP="00BF1B64">
            <w:pPr>
              <w:spacing w:after="120"/>
              <w:jc w:val="both"/>
              <w:rPr>
                <w:rFonts w:ascii="Arial" w:hAnsi="Arial" w:cs="Arial"/>
                <w:snapToGrid w:val="0"/>
                <w:sz w:val="22"/>
                <w:szCs w:val="22"/>
                <w:lang w:val="en-GB" w:eastAsia="en-US"/>
              </w:rPr>
            </w:pPr>
            <w:r w:rsidRPr="00BF1B64">
              <w:rPr>
                <w:rFonts w:ascii="Arial" w:hAnsi="Arial" w:cs="Arial"/>
                <w:snapToGrid w:val="0"/>
                <w:sz w:val="22"/>
                <w:szCs w:val="22"/>
                <w:lang w:val="en-GB" w:eastAsia="en-US"/>
              </w:rPr>
              <w:t>Strengthening the capacities of Suriname and Dutch Caribbean islands for implementing the Convention for the Safeguarding of the Intangible Cultural Heritage</w:t>
            </w:r>
          </w:p>
        </w:tc>
        <w:tc>
          <w:tcPr>
            <w:tcW w:w="2091" w:type="dxa"/>
            <w:tcBorders>
              <w:top w:val="nil"/>
              <w:left w:val="nil"/>
              <w:bottom w:val="single" w:sz="4" w:space="0" w:color="auto"/>
              <w:right w:val="nil"/>
            </w:tcBorders>
          </w:tcPr>
          <w:p w14:paraId="2CE04D87" w14:textId="77777777" w:rsidR="00BF1B64" w:rsidRPr="00AD4D75" w:rsidRDefault="00BF1B64" w:rsidP="00BF1B64">
            <w:pPr>
              <w:spacing w:after="120"/>
              <w:jc w:val="both"/>
              <w:rPr>
                <w:rFonts w:ascii="Arial" w:hAnsi="Arial" w:cs="Arial"/>
                <w:snapToGrid w:val="0"/>
                <w:sz w:val="22"/>
                <w:szCs w:val="22"/>
                <w:lang w:val="en-GB" w:eastAsia="en-US"/>
              </w:rPr>
            </w:pPr>
            <w:r w:rsidRPr="00AD4D75">
              <w:rPr>
                <w:rFonts w:ascii="Arial" w:hAnsi="Arial" w:cs="Arial"/>
                <w:snapToGrid w:val="0"/>
                <w:sz w:val="22"/>
                <w:szCs w:val="22"/>
                <w:lang w:val="en-GB" w:eastAsia="en-US"/>
              </w:rPr>
              <w:t>Netherlands</w:t>
            </w:r>
          </w:p>
        </w:tc>
        <w:tc>
          <w:tcPr>
            <w:tcW w:w="2754" w:type="dxa"/>
            <w:tcBorders>
              <w:top w:val="nil"/>
              <w:left w:val="nil"/>
              <w:bottom w:val="single" w:sz="4" w:space="0" w:color="auto"/>
              <w:right w:val="nil"/>
            </w:tcBorders>
          </w:tcPr>
          <w:p w14:paraId="340AEDBD" w14:textId="4D461341" w:rsidR="00BF1B64" w:rsidRPr="00AD4D75" w:rsidRDefault="00DE6B00" w:rsidP="00AD4D75">
            <w:pPr>
              <w:spacing w:after="120"/>
              <w:rPr>
                <w:rFonts w:ascii="Arial" w:hAnsi="Arial" w:cs="Arial"/>
                <w:snapToGrid w:val="0"/>
                <w:sz w:val="22"/>
                <w:szCs w:val="22"/>
                <w:lang w:val="en-GB" w:eastAsia="en-US"/>
              </w:rPr>
            </w:pPr>
            <w:hyperlink r:id="rId21" w:history="1">
              <w:r w:rsidR="00BF1B64" w:rsidRPr="00AD4D75">
                <w:rPr>
                  <w:rFonts w:ascii="Arial" w:hAnsi="Arial" w:cs="Arial"/>
                  <w:snapToGrid w:val="0"/>
                  <w:color w:val="0000FF" w:themeColor="hyperlink"/>
                  <w:sz w:val="22"/>
                  <w:szCs w:val="22"/>
                  <w:u w:val="single"/>
                  <w:lang w:val="en-GB" w:eastAsia="en-US"/>
                </w:rPr>
                <w:t>Final report</w:t>
              </w:r>
              <w:r w:rsidR="00A356BE" w:rsidRPr="00AD4D75">
                <w:rPr>
                  <w:rFonts w:ascii="Arial" w:hAnsi="Arial" w:cs="Arial"/>
                  <w:snapToGrid w:val="0"/>
                  <w:color w:val="0000FF" w:themeColor="hyperlink"/>
                  <w:sz w:val="22"/>
                  <w:szCs w:val="22"/>
                  <w:u w:val="single"/>
                  <w:lang w:val="en-GB" w:eastAsia="en-US"/>
                </w:rPr>
                <w:t xml:space="preserve"> Phase </w:t>
              </w:r>
              <w:r w:rsidR="00AD4D75" w:rsidRPr="00AD4D75">
                <w:rPr>
                  <w:rFonts w:ascii="Arial" w:hAnsi="Arial" w:cs="Arial"/>
                  <w:snapToGrid w:val="0"/>
                  <w:color w:val="0000FF" w:themeColor="hyperlink"/>
                  <w:sz w:val="22"/>
                  <w:szCs w:val="22"/>
                  <w:u w:val="single"/>
                  <w:lang w:val="en-GB" w:eastAsia="en-US"/>
                </w:rPr>
                <w:t>I</w:t>
              </w:r>
              <w:r w:rsidR="00A356BE" w:rsidRPr="00AD4D75">
                <w:rPr>
                  <w:rFonts w:ascii="Arial" w:hAnsi="Arial" w:cs="Arial"/>
                  <w:snapToGrid w:val="0"/>
                  <w:color w:val="0000FF" w:themeColor="hyperlink"/>
                  <w:sz w:val="22"/>
                  <w:szCs w:val="22"/>
                  <w:u w:val="single"/>
                  <w:lang w:val="en-GB" w:eastAsia="en-US"/>
                </w:rPr>
                <w:t>II</w:t>
              </w:r>
              <w:r w:rsidR="00C1288B" w:rsidRPr="00AD4D75">
                <w:rPr>
                  <w:rFonts w:ascii="Arial" w:hAnsi="Arial" w:cs="Arial"/>
                  <w:snapToGrid w:val="0"/>
                  <w:color w:val="0000FF" w:themeColor="hyperlink"/>
                  <w:sz w:val="22"/>
                  <w:szCs w:val="22"/>
                  <w:u w:val="single"/>
                  <w:lang w:val="en-GB" w:eastAsia="en-US"/>
                </w:rPr>
                <w:t xml:space="preserve"> </w:t>
              </w:r>
              <w:r w:rsidR="00544C71" w:rsidRPr="00AD4D75">
                <w:rPr>
                  <w:rFonts w:ascii="Arial" w:hAnsi="Arial" w:cs="Arial"/>
                  <w:snapToGrid w:val="0"/>
                  <w:color w:val="0000FF" w:themeColor="hyperlink"/>
                  <w:sz w:val="22"/>
                  <w:szCs w:val="22"/>
                  <w:u w:val="single"/>
                  <w:lang w:val="en-GB" w:eastAsia="en-US"/>
                </w:rPr>
                <w:t>(201</w:t>
              </w:r>
              <w:r w:rsidR="00AD4D75" w:rsidRPr="00AD4D75">
                <w:rPr>
                  <w:rFonts w:ascii="Arial" w:hAnsi="Arial" w:cs="Arial"/>
                  <w:snapToGrid w:val="0"/>
                  <w:color w:val="0000FF" w:themeColor="hyperlink"/>
                  <w:sz w:val="22"/>
                  <w:szCs w:val="22"/>
                  <w:u w:val="single"/>
                  <w:lang w:val="en-GB" w:eastAsia="en-US"/>
                </w:rPr>
                <w:t>8</w:t>
              </w:r>
              <w:r w:rsidR="00BF1B64" w:rsidRPr="00AD4D75">
                <w:rPr>
                  <w:rFonts w:ascii="Arial" w:hAnsi="Arial" w:cs="Arial"/>
                  <w:snapToGrid w:val="0"/>
                  <w:color w:val="0000FF" w:themeColor="hyperlink"/>
                  <w:sz w:val="22"/>
                  <w:szCs w:val="22"/>
                  <w:u w:val="single"/>
                  <w:lang w:val="en-GB" w:eastAsia="en-US"/>
                </w:rPr>
                <w:t>)</w:t>
              </w:r>
            </w:hyperlink>
          </w:p>
        </w:tc>
      </w:tr>
    </w:tbl>
    <w:p w14:paraId="181F5CF3" w14:textId="77777777" w:rsidR="005E29A7" w:rsidRPr="005E29A7" w:rsidRDefault="005E29A7" w:rsidP="005E29A7">
      <w:pPr>
        <w:tabs>
          <w:tab w:val="left" w:pos="567"/>
        </w:tabs>
        <w:snapToGrid w:val="0"/>
        <w:spacing w:before="240" w:after="120"/>
        <w:ind w:left="284"/>
        <w:jc w:val="both"/>
        <w:rPr>
          <w:rFonts w:ascii="Arial" w:hAnsi="Arial" w:cs="Arial"/>
          <w:b/>
          <w:snapToGrid w:val="0"/>
          <w:sz w:val="22"/>
          <w:szCs w:val="22"/>
          <w:lang w:val="en-GB" w:eastAsia="en-US"/>
        </w:rPr>
      </w:pPr>
    </w:p>
    <w:p w14:paraId="05279CC4" w14:textId="77777777" w:rsidR="005E29A7" w:rsidRDefault="005E29A7">
      <w:pPr>
        <w:rPr>
          <w:rFonts w:ascii="Arial" w:hAnsi="Arial" w:cs="Arial"/>
          <w:b/>
          <w:snapToGrid w:val="0"/>
          <w:sz w:val="22"/>
          <w:szCs w:val="22"/>
          <w:lang w:val="en-GB" w:eastAsia="en-US"/>
        </w:rPr>
      </w:pPr>
      <w:r>
        <w:rPr>
          <w:rFonts w:ascii="Arial" w:hAnsi="Arial" w:cs="Arial"/>
          <w:b/>
          <w:snapToGrid w:val="0"/>
          <w:sz w:val="22"/>
          <w:szCs w:val="22"/>
          <w:lang w:val="en-GB" w:eastAsia="en-US"/>
        </w:rPr>
        <w:br w:type="page"/>
      </w:r>
    </w:p>
    <w:p w14:paraId="5560DA39" w14:textId="4E71ED72" w:rsidR="00BF1B64" w:rsidRPr="005E29A7" w:rsidRDefault="00557235" w:rsidP="005E29A7">
      <w:pPr>
        <w:pStyle w:val="ListParagraph"/>
        <w:numPr>
          <w:ilvl w:val="0"/>
          <w:numId w:val="19"/>
        </w:numPr>
        <w:tabs>
          <w:tab w:val="left" w:pos="567"/>
        </w:tabs>
        <w:snapToGrid w:val="0"/>
        <w:spacing w:before="240" w:after="120"/>
        <w:jc w:val="both"/>
        <w:rPr>
          <w:rFonts w:ascii="Arial" w:hAnsi="Arial" w:cs="Arial"/>
          <w:b/>
          <w:snapToGrid w:val="0"/>
          <w:sz w:val="22"/>
          <w:szCs w:val="22"/>
          <w:lang w:val="en-GB" w:eastAsia="en-US"/>
        </w:rPr>
      </w:pPr>
      <w:r w:rsidRPr="005E29A7">
        <w:rPr>
          <w:rFonts w:ascii="Arial" w:hAnsi="Arial" w:cs="Arial"/>
          <w:b/>
          <w:snapToGrid w:val="0"/>
          <w:sz w:val="22"/>
          <w:szCs w:val="22"/>
          <w:lang w:val="en-GB" w:eastAsia="en-US"/>
        </w:rPr>
        <w:lastRenderedPageBreak/>
        <w:t>M</w:t>
      </w:r>
      <w:r w:rsidR="00BF1B64" w:rsidRPr="005E29A7">
        <w:rPr>
          <w:rFonts w:ascii="Arial" w:hAnsi="Arial" w:cs="Arial"/>
          <w:b/>
          <w:snapToGrid w:val="0"/>
          <w:sz w:val="22"/>
          <w:szCs w:val="22"/>
          <w:lang w:val="en-GB" w:eastAsia="en-US"/>
        </w:rPr>
        <w:t xml:space="preserve">anagement </w:t>
      </w:r>
      <w:r w:rsidRPr="005E29A7">
        <w:rPr>
          <w:rFonts w:ascii="Arial" w:hAnsi="Arial" w:cs="Arial"/>
          <w:b/>
          <w:snapToGrid w:val="0"/>
          <w:sz w:val="22"/>
          <w:szCs w:val="22"/>
          <w:lang w:val="en-GB" w:eastAsia="en-US"/>
        </w:rPr>
        <w:t xml:space="preserve">Cost </w:t>
      </w:r>
      <w:r w:rsidR="009B092E" w:rsidRPr="005E29A7">
        <w:rPr>
          <w:rFonts w:ascii="Arial" w:hAnsi="Arial" w:cs="Arial"/>
          <w:b/>
          <w:snapToGrid w:val="0"/>
          <w:sz w:val="22"/>
          <w:szCs w:val="22"/>
          <w:lang w:val="en-GB" w:eastAsia="en-US"/>
        </w:rPr>
        <w:t>r</w:t>
      </w:r>
      <w:r w:rsidRPr="005E29A7">
        <w:rPr>
          <w:rFonts w:ascii="Arial" w:hAnsi="Arial" w:cs="Arial"/>
          <w:b/>
          <w:snapToGrid w:val="0"/>
          <w:sz w:val="22"/>
          <w:szCs w:val="22"/>
          <w:lang w:val="en-GB" w:eastAsia="en-US"/>
        </w:rPr>
        <w:t>ate of the Fund</w:t>
      </w:r>
    </w:p>
    <w:p w14:paraId="7FA0AA06" w14:textId="685751DD" w:rsidR="000449E6" w:rsidRPr="000449E6" w:rsidRDefault="000449E6" w:rsidP="000449E6">
      <w:pPr>
        <w:numPr>
          <w:ilvl w:val="0"/>
          <w:numId w:val="9"/>
        </w:numPr>
        <w:spacing w:after="120"/>
        <w:ind w:left="567" w:hanging="567"/>
        <w:jc w:val="both"/>
        <w:rPr>
          <w:rFonts w:ascii="Arial" w:eastAsia="SimSun" w:hAnsi="Arial" w:cs="Arial"/>
          <w:snapToGrid w:val="0"/>
          <w:sz w:val="22"/>
          <w:szCs w:val="22"/>
          <w:lang w:val="en-US" w:eastAsia="en-US"/>
        </w:rPr>
      </w:pPr>
      <w:r w:rsidRPr="000449E6">
        <w:rPr>
          <w:rFonts w:ascii="Arial" w:eastAsia="SimSun" w:hAnsi="Arial" w:cs="Arial"/>
          <w:snapToGrid w:val="0"/>
          <w:sz w:val="22"/>
          <w:szCs w:val="22"/>
          <w:lang w:val="en-US" w:eastAsia="en-US"/>
        </w:rPr>
        <w:t xml:space="preserve">The Fund, as well as other comparable multi-donor special accounts such as the World Heritage Fund, has </w:t>
      </w:r>
      <w:r w:rsidRPr="000449E6">
        <w:rPr>
          <w:rFonts w:ascii="Arial" w:eastAsia="SimSun" w:hAnsi="Arial" w:cs="Arial"/>
          <w:snapToGrid w:val="0"/>
          <w:sz w:val="22"/>
          <w:szCs w:val="22"/>
          <w:lang w:val="en-GB" w:eastAsia="en-US"/>
        </w:rPr>
        <w:t xml:space="preserve">benefitted </w:t>
      </w:r>
      <w:r w:rsidR="009B092E">
        <w:rPr>
          <w:rFonts w:ascii="Arial" w:eastAsia="SimSun" w:hAnsi="Arial" w:cs="Arial"/>
          <w:snapToGrid w:val="0"/>
          <w:sz w:val="22"/>
          <w:szCs w:val="22"/>
          <w:lang w:val="en-GB" w:eastAsia="en-US"/>
        </w:rPr>
        <w:t>from a special Management Cost r</w:t>
      </w:r>
      <w:r w:rsidRPr="000449E6">
        <w:rPr>
          <w:rFonts w:ascii="Arial" w:eastAsia="SimSun" w:hAnsi="Arial" w:cs="Arial"/>
          <w:snapToGrid w:val="0"/>
          <w:sz w:val="22"/>
          <w:szCs w:val="22"/>
          <w:lang w:val="en-GB" w:eastAsia="en-US"/>
        </w:rPr>
        <w:t>ate derogation (0</w:t>
      </w:r>
      <w:r w:rsidR="003B2ACE">
        <w:rPr>
          <w:rFonts w:ascii="Arial" w:eastAsia="SimSun" w:hAnsi="Arial" w:cs="Arial"/>
          <w:snapToGrid w:val="0"/>
          <w:sz w:val="22"/>
          <w:szCs w:val="22"/>
          <w:lang w:val="en-GB" w:eastAsia="en-US"/>
        </w:rPr>
        <w:t xml:space="preserve"> per cent</w:t>
      </w:r>
      <w:r w:rsidRPr="000449E6">
        <w:rPr>
          <w:rFonts w:ascii="Arial" w:eastAsia="SimSun" w:hAnsi="Arial" w:cs="Arial"/>
          <w:snapToGrid w:val="0"/>
          <w:sz w:val="22"/>
          <w:szCs w:val="22"/>
          <w:lang w:val="en-GB" w:eastAsia="en-US"/>
        </w:rPr>
        <w:t xml:space="preserve">), granted by the Director-General with regard to their </w:t>
      </w:r>
      <w:r w:rsidRPr="000449E6">
        <w:rPr>
          <w:rFonts w:ascii="Arial" w:eastAsia="SimSun" w:hAnsi="Arial" w:cs="Arial"/>
          <w:snapToGrid w:val="0"/>
          <w:sz w:val="22"/>
          <w:szCs w:val="22"/>
          <w:lang w:val="en-US" w:eastAsia="en-US"/>
        </w:rPr>
        <w:t>assessed contributions, while 10</w:t>
      </w:r>
      <w:r w:rsidR="003B2ACE">
        <w:rPr>
          <w:rFonts w:ascii="Arial" w:eastAsia="SimSun" w:hAnsi="Arial" w:cs="Arial"/>
          <w:snapToGrid w:val="0"/>
          <w:sz w:val="22"/>
          <w:szCs w:val="22"/>
          <w:lang w:val="en-US" w:eastAsia="en-US"/>
        </w:rPr>
        <w:t xml:space="preserve"> per cent</w:t>
      </w:r>
      <w:r w:rsidRPr="000449E6">
        <w:rPr>
          <w:rFonts w:ascii="Arial" w:eastAsia="SimSun" w:hAnsi="Arial" w:cs="Arial"/>
          <w:snapToGrid w:val="0"/>
          <w:sz w:val="22"/>
          <w:szCs w:val="22"/>
          <w:lang w:val="en-US" w:eastAsia="en-US"/>
        </w:rPr>
        <w:t xml:space="preserve"> was charged on voluntary </w:t>
      </w:r>
      <w:r w:rsidR="00557235">
        <w:rPr>
          <w:rFonts w:ascii="Arial" w:eastAsia="SimSun" w:hAnsi="Arial" w:cs="Arial"/>
          <w:snapToGrid w:val="0"/>
          <w:sz w:val="22"/>
          <w:szCs w:val="22"/>
          <w:lang w:val="en-US" w:eastAsia="en-US"/>
        </w:rPr>
        <w:t xml:space="preserve">supplementary </w:t>
      </w:r>
      <w:r w:rsidRPr="000449E6">
        <w:rPr>
          <w:rFonts w:ascii="Arial" w:eastAsia="SimSun" w:hAnsi="Arial" w:cs="Arial"/>
          <w:snapToGrid w:val="0"/>
          <w:sz w:val="22"/>
          <w:szCs w:val="22"/>
          <w:lang w:val="en-US" w:eastAsia="en-US"/>
        </w:rPr>
        <w:t>contributions.</w:t>
      </w:r>
    </w:p>
    <w:p w14:paraId="51A7A8E8" w14:textId="07E84FD5" w:rsidR="00BF1B64" w:rsidRPr="000449E6" w:rsidRDefault="00536CF1" w:rsidP="00B035B0">
      <w:pPr>
        <w:pStyle w:val="COMPara"/>
        <w:ind w:left="567" w:hanging="567"/>
        <w:jc w:val="both"/>
        <w:rPr>
          <w:rFonts w:eastAsia="SimSun"/>
          <w:bCs/>
        </w:rPr>
      </w:pPr>
      <w:r w:rsidRPr="000449E6">
        <w:rPr>
          <w:rFonts w:eastAsia="SimSun"/>
          <w:lang w:val="en"/>
        </w:rPr>
        <w:t>At its</w:t>
      </w:r>
      <w:r w:rsidR="000449E6" w:rsidRPr="000449E6">
        <w:rPr>
          <w:rFonts w:eastAsia="SimSun"/>
          <w:lang w:val="en"/>
        </w:rPr>
        <w:t xml:space="preserve"> thirteenth session (</w:t>
      </w:r>
      <w:hyperlink r:id="rId22" w:history="1">
        <w:r w:rsidR="000449E6" w:rsidRPr="00557235">
          <w:rPr>
            <w:rStyle w:val="Hyperlink"/>
            <w:rFonts w:eastAsia="SimSun"/>
            <w:lang w:val="en"/>
          </w:rPr>
          <w:t>Decision 1</w:t>
        </w:r>
        <w:r w:rsidR="00557235" w:rsidRPr="00557235">
          <w:rPr>
            <w:rStyle w:val="Hyperlink"/>
            <w:rFonts w:eastAsia="SimSun"/>
            <w:lang w:val="en"/>
          </w:rPr>
          <w:t>3</w:t>
        </w:r>
        <w:r w:rsidR="000449E6" w:rsidRPr="00557235">
          <w:rPr>
            <w:rStyle w:val="Hyperlink"/>
            <w:rFonts w:eastAsia="SimSun"/>
            <w:lang w:val="en"/>
          </w:rPr>
          <w:t>.COM 6</w:t>
        </w:r>
      </w:hyperlink>
      <w:r w:rsidR="000449E6" w:rsidRPr="000449E6">
        <w:rPr>
          <w:rFonts w:eastAsia="SimSun"/>
          <w:lang w:val="en"/>
        </w:rPr>
        <w:t xml:space="preserve">), the Committee </w:t>
      </w:r>
      <w:r w:rsidRPr="000449E6">
        <w:rPr>
          <w:rFonts w:eastAsia="SimSun"/>
          <w:lang w:val="en"/>
        </w:rPr>
        <w:t>t</w:t>
      </w:r>
      <w:r w:rsidR="000449E6" w:rsidRPr="000449E6">
        <w:rPr>
          <w:rFonts w:eastAsia="SimSun"/>
          <w:lang w:val="en"/>
        </w:rPr>
        <w:t>ook</w:t>
      </w:r>
      <w:r w:rsidR="00557235">
        <w:rPr>
          <w:rFonts w:eastAsia="SimSun"/>
          <w:lang w:val="en"/>
        </w:rPr>
        <w:t xml:space="preserve"> note of </w:t>
      </w:r>
      <w:r w:rsidR="00CC1E26">
        <w:rPr>
          <w:rFonts w:eastAsia="SimSun"/>
          <w:lang w:val="en"/>
        </w:rPr>
        <w:t xml:space="preserve">the </w:t>
      </w:r>
      <w:r w:rsidR="00557235">
        <w:rPr>
          <w:rFonts w:eastAsia="SimSun"/>
          <w:lang w:val="en"/>
        </w:rPr>
        <w:t>Executive Board d</w:t>
      </w:r>
      <w:r w:rsidRPr="000449E6">
        <w:rPr>
          <w:rFonts w:eastAsia="SimSun"/>
          <w:lang w:val="en"/>
        </w:rPr>
        <w:t xml:space="preserve">ocument </w:t>
      </w:r>
      <w:hyperlink r:id="rId23" w:history="1">
        <w:r w:rsidRPr="00557235">
          <w:rPr>
            <w:rStyle w:val="Hyperlink"/>
            <w:rFonts w:eastAsia="SimSun"/>
            <w:lang w:val="en"/>
          </w:rPr>
          <w:t>204 EX/5 Part II.E</w:t>
        </w:r>
      </w:hyperlink>
      <w:r w:rsidRPr="000449E6">
        <w:rPr>
          <w:rFonts w:eastAsia="SimSun"/>
          <w:lang w:val="en"/>
        </w:rPr>
        <w:t xml:space="preserve"> on ‘Cost recovery policy: Revised Proposal for a differential rate policy for Management Cost Rates’ and its related decision</w:t>
      </w:r>
      <w:r w:rsidR="000449E6" w:rsidRPr="000449E6">
        <w:rPr>
          <w:rFonts w:eastAsia="SimSun"/>
        </w:rPr>
        <w:t xml:space="preserve">, according to </w:t>
      </w:r>
      <w:r w:rsidR="00BF1B64" w:rsidRPr="000449E6">
        <w:rPr>
          <w:rFonts w:eastAsia="SimSun"/>
        </w:rPr>
        <w:t xml:space="preserve">which the Board decided </w:t>
      </w:r>
      <w:r w:rsidR="000449E6" w:rsidRPr="000449E6">
        <w:rPr>
          <w:rFonts w:eastAsia="SimSun"/>
        </w:rPr>
        <w:t>that</w:t>
      </w:r>
      <w:r w:rsidR="00BF1B64" w:rsidRPr="000449E6">
        <w:rPr>
          <w:rFonts w:eastAsia="SimSun"/>
        </w:rPr>
        <w:t xml:space="preserve"> multi-donor special accounts should now be subject to a new rate of 7</w:t>
      </w:r>
      <w:r w:rsidR="003B2ACE">
        <w:rPr>
          <w:rFonts w:eastAsia="SimSun"/>
        </w:rPr>
        <w:t xml:space="preserve"> per cent</w:t>
      </w:r>
      <w:r w:rsidR="00BF1B64" w:rsidRPr="000449E6">
        <w:rPr>
          <w:rFonts w:eastAsia="SimSun"/>
        </w:rPr>
        <w:t>, instead of the</w:t>
      </w:r>
      <w:r w:rsidR="003B2ACE">
        <w:rPr>
          <w:rFonts w:eastAsia="SimSun"/>
        </w:rPr>
        <w:t xml:space="preserve"> previous standard rate of 10 per cent</w:t>
      </w:r>
      <w:r w:rsidR="00BF1B64" w:rsidRPr="000449E6">
        <w:rPr>
          <w:rFonts w:eastAsia="SimSun"/>
        </w:rPr>
        <w:t>.</w:t>
      </w:r>
      <w:r w:rsidR="000449E6" w:rsidRPr="000449E6">
        <w:rPr>
          <w:rFonts w:eastAsia="SimSun"/>
        </w:rPr>
        <w:t xml:space="preserve"> The document presented to the 204th</w:t>
      </w:r>
      <w:r w:rsidR="000449E6" w:rsidRPr="000449E6">
        <w:rPr>
          <w:rFonts w:eastAsia="SimSun"/>
          <w:vertAlign w:val="superscript"/>
        </w:rPr>
        <w:t xml:space="preserve"> </w:t>
      </w:r>
      <w:r w:rsidR="000449E6" w:rsidRPr="000449E6">
        <w:rPr>
          <w:rFonts w:eastAsia="SimSun"/>
        </w:rPr>
        <w:t>session of the Executive Board stated that ‘necessary consultations with the Governing Bodies of States Parties to the Intangible Cultural Heritage Convention and to the World Heritage Convention will take place between June 2018 and November 2019’ (see document </w:t>
      </w:r>
      <w:hyperlink r:id="rId24" w:history="1">
        <w:r w:rsidR="000449E6" w:rsidRPr="000449E6">
          <w:rPr>
            <w:rFonts w:eastAsia="SimSun"/>
            <w:color w:val="0000FF" w:themeColor="hyperlink"/>
            <w:u w:val="single"/>
          </w:rPr>
          <w:t>204 EX/5 Part II.E</w:t>
        </w:r>
      </w:hyperlink>
      <w:r w:rsidR="000449E6" w:rsidRPr="000449E6">
        <w:rPr>
          <w:rFonts w:eastAsia="SimSun"/>
        </w:rPr>
        <w:t>, paragraph 14).</w:t>
      </w:r>
      <w:r w:rsidR="00C464A8">
        <w:rPr>
          <w:rFonts w:eastAsia="SimSun"/>
        </w:rPr>
        <w:t xml:space="preserve"> At its 42</w:t>
      </w:r>
      <w:r w:rsidR="00C464A8" w:rsidRPr="00C464A8">
        <w:rPr>
          <w:rFonts w:eastAsia="SimSun"/>
        </w:rPr>
        <w:t>nd</w:t>
      </w:r>
      <w:r w:rsidR="00C464A8">
        <w:rPr>
          <w:rFonts w:eastAsia="SimSun"/>
        </w:rPr>
        <w:t xml:space="preserve"> session</w:t>
      </w:r>
      <w:r w:rsidR="0043764C">
        <w:rPr>
          <w:rFonts w:eastAsia="SimSun"/>
        </w:rPr>
        <w:t xml:space="preserve"> in 2018</w:t>
      </w:r>
      <w:r w:rsidR="00C464A8">
        <w:rPr>
          <w:rFonts w:eastAsia="SimSun"/>
        </w:rPr>
        <w:t xml:space="preserve">, the World Heritage Committee decided to ‘recommend strongly that the current Management Cost rate </w:t>
      </w:r>
      <w:r w:rsidR="003B2ACE">
        <w:rPr>
          <w:rFonts w:eastAsia="SimSun"/>
        </w:rPr>
        <w:t>of 0 per cent</w:t>
      </w:r>
      <w:r w:rsidR="00895E54">
        <w:rPr>
          <w:rFonts w:eastAsia="SimSun"/>
        </w:rPr>
        <w:t xml:space="preserve"> continues to apply to the special account of the World Heritage Fund’ (</w:t>
      </w:r>
      <w:hyperlink r:id="rId25" w:history="1">
        <w:r w:rsidR="00895E54" w:rsidRPr="00895E54">
          <w:rPr>
            <w:rStyle w:val="Hyperlink"/>
            <w:rFonts w:eastAsia="SimSun"/>
            <w:lang w:val="en-US"/>
          </w:rPr>
          <w:t>Decision</w:t>
        </w:r>
        <w:r w:rsidR="00B035B0" w:rsidRPr="00B035B0">
          <w:rPr>
            <w:rStyle w:val="Hyperlink"/>
            <w:rFonts w:eastAsia="SimSun"/>
            <w:lang w:val="en-US"/>
          </w:rPr>
          <w:t> </w:t>
        </w:r>
        <w:r w:rsidR="00895E54" w:rsidRPr="00895E54">
          <w:rPr>
            <w:rStyle w:val="Hyperlink"/>
            <w:rFonts w:eastAsia="SimSun"/>
            <w:lang w:val="en-US"/>
          </w:rPr>
          <w:t>42 COM 14</w:t>
        </w:r>
      </w:hyperlink>
      <w:r w:rsidR="00895E54">
        <w:rPr>
          <w:rFonts w:eastAsia="SimSun"/>
        </w:rPr>
        <w:t>).</w:t>
      </w:r>
    </w:p>
    <w:p w14:paraId="2807A885" w14:textId="77777777" w:rsidR="00BF1B64" w:rsidRPr="00BF1B64" w:rsidRDefault="00BF1B64" w:rsidP="002F6363">
      <w:pPr>
        <w:keepNext/>
        <w:numPr>
          <w:ilvl w:val="0"/>
          <w:numId w:val="9"/>
        </w:numPr>
        <w:spacing w:after="120"/>
        <w:ind w:left="567" w:hanging="567"/>
        <w:jc w:val="both"/>
        <w:rPr>
          <w:rFonts w:ascii="Arial" w:hAnsi="Arial" w:cs="Arial"/>
          <w:snapToGrid w:val="0"/>
          <w:sz w:val="22"/>
          <w:szCs w:val="22"/>
          <w:lang w:val="en-GB" w:eastAsia="en-US"/>
        </w:rPr>
      </w:pPr>
      <w:r w:rsidRPr="00BF1B64">
        <w:rPr>
          <w:rFonts w:ascii="Arial" w:eastAsia="SimSun" w:hAnsi="Arial" w:cs="Arial"/>
          <w:snapToGrid w:val="0"/>
          <w:sz w:val="22"/>
          <w:szCs w:val="22"/>
          <w:lang w:val="en-US" w:eastAsia="en-US"/>
        </w:rPr>
        <w:t>The</w:t>
      </w:r>
      <w:r w:rsidRPr="00BF1B64">
        <w:rPr>
          <w:rFonts w:ascii="Arial" w:hAnsi="Arial" w:cs="Arial"/>
          <w:snapToGrid w:val="0"/>
          <w:sz w:val="22"/>
          <w:szCs w:val="22"/>
          <w:lang w:val="en-GB" w:eastAsia="en-US"/>
        </w:rPr>
        <w:t xml:space="preserve"> Committee may wish to adopt the following decision:</w:t>
      </w:r>
    </w:p>
    <w:p w14:paraId="48D8C0CB" w14:textId="77777777" w:rsidR="00BF1B64" w:rsidRPr="00BF1B64" w:rsidRDefault="00BF1B64" w:rsidP="00BF1B64">
      <w:pPr>
        <w:keepNext/>
        <w:spacing w:before="240" w:after="120"/>
        <w:ind w:left="567"/>
        <w:jc w:val="both"/>
        <w:rPr>
          <w:rFonts w:ascii="Arial" w:eastAsia="SimSun" w:hAnsi="Arial" w:cs="Arial"/>
          <w:b/>
          <w:sz w:val="22"/>
          <w:szCs w:val="22"/>
          <w:lang w:val="en-GB"/>
        </w:rPr>
      </w:pPr>
      <w:r w:rsidRPr="00BF1B64">
        <w:rPr>
          <w:rFonts w:ascii="Arial" w:hAnsi="Arial" w:cs="Arial"/>
          <w:b/>
          <w:sz w:val="22"/>
          <w:szCs w:val="22"/>
          <w:lang w:val="en-GB"/>
        </w:rPr>
        <w:t>DRAFT DECISION 1</w:t>
      </w:r>
      <w:r>
        <w:rPr>
          <w:rFonts w:ascii="Arial" w:hAnsi="Arial" w:cs="Arial"/>
          <w:b/>
          <w:sz w:val="22"/>
          <w:szCs w:val="22"/>
          <w:lang w:val="en-GB"/>
        </w:rPr>
        <w:t>4</w:t>
      </w:r>
      <w:r w:rsidRPr="00BF1B64">
        <w:rPr>
          <w:rFonts w:ascii="Arial" w:hAnsi="Arial" w:cs="Arial"/>
          <w:b/>
          <w:sz w:val="22"/>
          <w:szCs w:val="22"/>
          <w:lang w:val="en-GB"/>
        </w:rPr>
        <w:t>.COM 6</w:t>
      </w:r>
    </w:p>
    <w:p w14:paraId="3E691AB7" w14:textId="77777777" w:rsidR="00BF1B64" w:rsidRPr="00BF1B64" w:rsidRDefault="00BF1B64" w:rsidP="00BF1B64">
      <w:pPr>
        <w:keepNext/>
        <w:spacing w:after="120"/>
        <w:ind w:left="567"/>
        <w:jc w:val="both"/>
        <w:rPr>
          <w:rFonts w:ascii="Arial" w:eastAsia="SimSun" w:hAnsi="Arial" w:cs="Arial"/>
          <w:sz w:val="22"/>
          <w:szCs w:val="22"/>
          <w:lang w:val="en-GB"/>
        </w:rPr>
      </w:pPr>
      <w:r w:rsidRPr="00BF1B64">
        <w:rPr>
          <w:rFonts w:ascii="Arial" w:hAnsi="Arial" w:cs="Arial"/>
          <w:sz w:val="22"/>
          <w:szCs w:val="22"/>
          <w:lang w:val="en-GB"/>
        </w:rPr>
        <w:t>The Committee,</w:t>
      </w:r>
    </w:p>
    <w:p w14:paraId="6132B8B1" w14:textId="0B2306F4" w:rsidR="00BF1B64" w:rsidRPr="00BF1B64" w:rsidRDefault="00BF1B64" w:rsidP="00BF1B64">
      <w:pPr>
        <w:numPr>
          <w:ilvl w:val="0"/>
          <w:numId w:val="10"/>
        </w:numPr>
        <w:autoSpaceDE w:val="0"/>
        <w:autoSpaceDN w:val="0"/>
        <w:adjustRightInd w:val="0"/>
        <w:spacing w:after="120"/>
        <w:ind w:left="1134" w:hanging="567"/>
        <w:rPr>
          <w:rFonts w:ascii="Arial" w:eastAsia="SimSun" w:hAnsi="Arial" w:cs="Arial"/>
          <w:sz w:val="22"/>
          <w:szCs w:val="22"/>
          <w:u w:val="single"/>
          <w:lang w:val="en-GB"/>
        </w:rPr>
      </w:pPr>
      <w:r w:rsidRPr="00BF1B64">
        <w:rPr>
          <w:rFonts w:ascii="Arial" w:eastAsia="SimSun" w:hAnsi="Arial" w:cs="Arial"/>
          <w:sz w:val="22"/>
          <w:szCs w:val="22"/>
          <w:u w:val="single"/>
          <w:lang w:val="en-GB"/>
        </w:rPr>
        <w:t>Having examined</w:t>
      </w:r>
      <w:r w:rsidRPr="00BF1B64">
        <w:rPr>
          <w:rFonts w:ascii="Arial" w:eastAsia="SimSun" w:hAnsi="Arial" w:cs="Arial"/>
          <w:sz w:val="22"/>
          <w:szCs w:val="22"/>
          <w:lang w:val="en-GB"/>
        </w:rPr>
        <w:t xml:space="preserve"> document</w:t>
      </w:r>
      <w:r w:rsidR="00BF1460">
        <w:rPr>
          <w:rFonts w:ascii="Arial" w:eastAsia="SimSun" w:hAnsi="Arial" w:cs="Arial"/>
          <w:sz w:val="22"/>
          <w:szCs w:val="22"/>
          <w:lang w:val="en-GB"/>
        </w:rPr>
        <w:t> </w:t>
      </w:r>
      <w:r w:rsidR="00813753">
        <w:rPr>
          <w:rFonts w:ascii="Arial" w:eastAsia="SimSun" w:hAnsi="Arial" w:cs="Arial"/>
          <w:sz w:val="22"/>
          <w:szCs w:val="22"/>
          <w:lang w:val="en-GB"/>
        </w:rPr>
        <w:t>LHE</w:t>
      </w:r>
      <w:r w:rsidRPr="00BF1B64">
        <w:rPr>
          <w:rFonts w:ascii="Arial" w:eastAsia="SimSun" w:hAnsi="Arial" w:cs="Arial"/>
          <w:sz w:val="22"/>
          <w:szCs w:val="22"/>
          <w:lang w:val="en-GB"/>
        </w:rPr>
        <w:t>/1</w:t>
      </w:r>
      <w:r>
        <w:rPr>
          <w:rFonts w:ascii="Arial" w:eastAsia="SimSun" w:hAnsi="Arial" w:cs="Arial"/>
          <w:sz w:val="22"/>
          <w:szCs w:val="22"/>
          <w:lang w:val="en-GB"/>
        </w:rPr>
        <w:t>9</w:t>
      </w:r>
      <w:r w:rsidRPr="00BF1B64">
        <w:rPr>
          <w:rFonts w:ascii="Arial" w:eastAsia="SimSun" w:hAnsi="Arial" w:cs="Arial"/>
          <w:sz w:val="22"/>
          <w:szCs w:val="22"/>
          <w:lang w:val="en-GB"/>
        </w:rPr>
        <w:t>/1</w:t>
      </w:r>
      <w:r>
        <w:rPr>
          <w:rFonts w:ascii="Arial" w:eastAsia="SimSun" w:hAnsi="Arial" w:cs="Arial"/>
          <w:sz w:val="22"/>
          <w:szCs w:val="22"/>
          <w:lang w:val="en-GB"/>
        </w:rPr>
        <w:t>4</w:t>
      </w:r>
      <w:r w:rsidRPr="00BF1B64">
        <w:rPr>
          <w:rFonts w:ascii="Arial" w:eastAsia="SimSun" w:hAnsi="Arial" w:cs="Arial"/>
          <w:sz w:val="22"/>
          <w:szCs w:val="22"/>
          <w:lang w:val="en-GB"/>
        </w:rPr>
        <w:t>.COM/6</w:t>
      </w:r>
      <w:r w:rsidR="00DE6B00">
        <w:rPr>
          <w:rFonts w:ascii="Arial" w:eastAsia="SimSun" w:hAnsi="Arial" w:cs="Arial"/>
          <w:sz w:val="22"/>
          <w:szCs w:val="22"/>
          <w:lang w:val="en-GB"/>
        </w:rPr>
        <w:t xml:space="preserve"> Rev.</w:t>
      </w:r>
      <w:bookmarkStart w:id="0" w:name="_GoBack"/>
      <w:bookmarkEnd w:id="0"/>
      <w:r w:rsidRPr="00BF1B64">
        <w:rPr>
          <w:rFonts w:ascii="Arial" w:eastAsia="SimSun" w:hAnsi="Arial" w:cs="Arial"/>
          <w:sz w:val="22"/>
          <w:szCs w:val="22"/>
          <w:lang w:val="en-GB"/>
        </w:rPr>
        <w:t>,</w:t>
      </w:r>
    </w:p>
    <w:p w14:paraId="71E452D0" w14:textId="77777777" w:rsidR="00BF1B64" w:rsidRPr="00BF1B64" w:rsidRDefault="00BF1B64" w:rsidP="00BF1B64">
      <w:pPr>
        <w:numPr>
          <w:ilvl w:val="0"/>
          <w:numId w:val="10"/>
        </w:numPr>
        <w:autoSpaceDE w:val="0"/>
        <w:autoSpaceDN w:val="0"/>
        <w:adjustRightInd w:val="0"/>
        <w:spacing w:after="120"/>
        <w:ind w:left="1134" w:hanging="567"/>
        <w:rPr>
          <w:rFonts w:ascii="Arial" w:eastAsia="SimSun" w:hAnsi="Arial" w:cs="Arial"/>
          <w:sz w:val="22"/>
          <w:szCs w:val="22"/>
          <w:u w:val="single"/>
          <w:lang w:val="en-GB"/>
        </w:rPr>
      </w:pPr>
      <w:r w:rsidRPr="00BF1B64">
        <w:rPr>
          <w:rFonts w:ascii="Arial" w:eastAsia="SimSun" w:hAnsi="Arial" w:cs="Arial"/>
          <w:sz w:val="22"/>
          <w:szCs w:val="22"/>
          <w:u w:val="single"/>
          <w:lang w:val="en-GB"/>
        </w:rPr>
        <w:t>Recalling</w:t>
      </w:r>
      <w:r w:rsidRPr="00BF1B64">
        <w:rPr>
          <w:rFonts w:ascii="Arial" w:eastAsia="SimSun" w:hAnsi="Arial" w:cs="Arial"/>
          <w:sz w:val="22"/>
          <w:szCs w:val="22"/>
          <w:lang w:val="en-GB"/>
        </w:rPr>
        <w:t xml:space="preserve"> Article 25.5 of the Convention and Chapter II of the Operational Directives,</w:t>
      </w:r>
    </w:p>
    <w:p w14:paraId="5F49E0B5" w14:textId="77777777" w:rsidR="00BF1B64" w:rsidRPr="0065262E" w:rsidRDefault="00BF1B64" w:rsidP="00BF1B64">
      <w:pPr>
        <w:numPr>
          <w:ilvl w:val="0"/>
          <w:numId w:val="10"/>
        </w:numPr>
        <w:autoSpaceDE w:val="0"/>
        <w:autoSpaceDN w:val="0"/>
        <w:adjustRightInd w:val="0"/>
        <w:spacing w:after="120"/>
        <w:ind w:left="1134" w:hanging="567"/>
        <w:jc w:val="both"/>
        <w:rPr>
          <w:rFonts w:ascii="Arial" w:eastAsia="SimSun" w:hAnsi="Arial" w:cs="Arial"/>
          <w:sz w:val="22"/>
          <w:szCs w:val="22"/>
          <w:u w:val="single"/>
          <w:lang w:val="en-GB"/>
        </w:rPr>
      </w:pPr>
      <w:r w:rsidRPr="00BF1B64">
        <w:rPr>
          <w:rFonts w:ascii="Arial" w:eastAsia="SimSun" w:hAnsi="Arial" w:cs="Arial"/>
          <w:sz w:val="22"/>
          <w:szCs w:val="22"/>
          <w:u w:val="single"/>
          <w:lang w:val="en-GB"/>
        </w:rPr>
        <w:t>Further recalling</w:t>
      </w:r>
      <w:r w:rsidRPr="00BF1B64">
        <w:rPr>
          <w:rFonts w:ascii="Arial" w:eastAsia="SimSun" w:hAnsi="Arial" w:cs="Arial"/>
          <w:sz w:val="22"/>
          <w:szCs w:val="22"/>
          <w:lang w:val="en-GB"/>
        </w:rPr>
        <w:t xml:space="preserve"> </w:t>
      </w:r>
      <w:r w:rsidR="009B092E">
        <w:rPr>
          <w:rFonts w:ascii="Arial" w:eastAsia="SimSun" w:hAnsi="Arial" w:cs="Arial"/>
          <w:sz w:val="22"/>
          <w:szCs w:val="22"/>
          <w:lang w:val="en-GB"/>
        </w:rPr>
        <w:t xml:space="preserve">its previous decisions regarding voluntary supplementary contributions to the Intangible Cultural Heritage Fund, and most recently its </w:t>
      </w:r>
      <w:r w:rsidRPr="00BF1B64">
        <w:rPr>
          <w:rFonts w:ascii="Arial" w:eastAsia="SimSun" w:hAnsi="Arial" w:cs="Arial"/>
          <w:sz w:val="22"/>
          <w:szCs w:val="22"/>
          <w:lang w:val="en-GB"/>
        </w:rPr>
        <w:t>Decision </w:t>
      </w:r>
      <w:hyperlink r:id="rId26" w:history="1">
        <w:r w:rsidRPr="0065262E">
          <w:rPr>
            <w:rStyle w:val="Hyperlink"/>
            <w:rFonts w:ascii="Arial" w:eastAsia="SimSun" w:hAnsi="Arial" w:cs="Arial"/>
            <w:sz w:val="22"/>
            <w:szCs w:val="22"/>
            <w:lang w:val="en-GB"/>
          </w:rPr>
          <w:t>1</w:t>
        </w:r>
        <w:r w:rsidR="0065262E" w:rsidRPr="0065262E">
          <w:rPr>
            <w:rStyle w:val="Hyperlink"/>
            <w:rFonts w:ascii="Arial" w:eastAsia="SimSun" w:hAnsi="Arial" w:cs="Arial"/>
            <w:sz w:val="22"/>
            <w:szCs w:val="22"/>
            <w:lang w:val="en-GB"/>
          </w:rPr>
          <w:t>3</w:t>
        </w:r>
        <w:r w:rsidRPr="0065262E">
          <w:rPr>
            <w:rStyle w:val="Hyperlink"/>
            <w:rFonts w:ascii="Arial" w:eastAsia="SimSun" w:hAnsi="Arial" w:cs="Arial"/>
            <w:sz w:val="22"/>
            <w:szCs w:val="22"/>
            <w:lang w:val="en-GB"/>
          </w:rPr>
          <w:t>.COM 6</w:t>
        </w:r>
      </w:hyperlink>
      <w:r>
        <w:rPr>
          <w:rFonts w:ascii="Arial" w:eastAsia="SimSun" w:hAnsi="Arial" w:cs="Arial"/>
          <w:sz w:val="22"/>
          <w:szCs w:val="22"/>
          <w:lang w:val="en-GB"/>
        </w:rPr>
        <w:t>,</w:t>
      </w:r>
    </w:p>
    <w:p w14:paraId="303E765E" w14:textId="77777777" w:rsidR="0065262E" w:rsidRPr="00BF1B64" w:rsidRDefault="0065262E" w:rsidP="00BF1B64">
      <w:pPr>
        <w:numPr>
          <w:ilvl w:val="0"/>
          <w:numId w:val="10"/>
        </w:numPr>
        <w:autoSpaceDE w:val="0"/>
        <w:autoSpaceDN w:val="0"/>
        <w:adjustRightInd w:val="0"/>
        <w:spacing w:after="120"/>
        <w:ind w:left="1134" w:hanging="567"/>
        <w:jc w:val="both"/>
        <w:rPr>
          <w:rFonts w:ascii="Arial" w:eastAsia="SimSun" w:hAnsi="Arial" w:cs="Arial"/>
          <w:sz w:val="22"/>
          <w:szCs w:val="22"/>
          <w:u w:val="single"/>
          <w:lang w:val="en-GB"/>
        </w:rPr>
      </w:pPr>
      <w:r>
        <w:rPr>
          <w:rFonts w:ascii="Arial" w:eastAsia="SimSun" w:hAnsi="Arial" w:cs="Arial"/>
          <w:sz w:val="22"/>
          <w:szCs w:val="22"/>
          <w:u w:val="single"/>
          <w:lang w:val="en-GB"/>
        </w:rPr>
        <w:t>Also recalling</w:t>
      </w:r>
      <w:r w:rsidRPr="0065262E">
        <w:rPr>
          <w:rFonts w:ascii="Arial" w:eastAsia="SimSun" w:hAnsi="Arial" w:cs="Arial"/>
          <w:sz w:val="22"/>
          <w:szCs w:val="22"/>
          <w:lang w:val="en-GB"/>
        </w:rPr>
        <w:t xml:space="preserve"> </w:t>
      </w:r>
      <w:r w:rsidRPr="0065262E">
        <w:rPr>
          <w:rFonts w:ascii="Arial" w:eastAsia="SimSun" w:hAnsi="Arial" w:cs="Arial"/>
          <w:sz w:val="22"/>
          <w:szCs w:val="22"/>
          <w:lang w:val="en"/>
        </w:rPr>
        <w:t xml:space="preserve">Executive Board Document </w:t>
      </w:r>
      <w:hyperlink r:id="rId27" w:history="1">
        <w:r w:rsidRPr="009B092E">
          <w:rPr>
            <w:rStyle w:val="Hyperlink"/>
            <w:rFonts w:ascii="Arial" w:eastAsia="SimSun" w:hAnsi="Arial" w:cs="Arial"/>
            <w:sz w:val="22"/>
            <w:szCs w:val="22"/>
            <w:lang w:val="en"/>
          </w:rPr>
          <w:t>204 EX/5 Part II.E</w:t>
        </w:r>
      </w:hyperlink>
      <w:r w:rsidRPr="0065262E">
        <w:rPr>
          <w:rFonts w:ascii="Arial" w:eastAsia="SimSun" w:hAnsi="Arial" w:cs="Arial"/>
          <w:sz w:val="22"/>
          <w:szCs w:val="22"/>
          <w:lang w:val="en"/>
        </w:rPr>
        <w:t xml:space="preserve"> on ‘Cost recovery policy: Revised Proposal for a differential rate policy for Management Cost Rates’ and its related decision,</w:t>
      </w:r>
    </w:p>
    <w:p w14:paraId="674FBC3A" w14:textId="5E50DA2F" w:rsidR="00795D8B" w:rsidRPr="006517BE" w:rsidRDefault="00E46675" w:rsidP="00795D8B">
      <w:pPr>
        <w:pStyle w:val="COMParaDecision"/>
        <w:rPr>
          <w:u w:val="none"/>
        </w:rPr>
      </w:pPr>
      <w:r>
        <w:t>Expresses appreciation</w:t>
      </w:r>
      <w:r w:rsidR="00795D8B" w:rsidRPr="006517BE">
        <w:rPr>
          <w:u w:val="none"/>
        </w:rPr>
        <w:t xml:space="preserve"> </w:t>
      </w:r>
      <w:r>
        <w:rPr>
          <w:u w:val="none"/>
        </w:rPr>
        <w:t xml:space="preserve">to </w:t>
      </w:r>
      <w:r w:rsidR="00795D8B" w:rsidRPr="006517BE">
        <w:rPr>
          <w:u w:val="none"/>
        </w:rPr>
        <w:t xml:space="preserve">all the contributors that have generously supported the Convention and its Secretariat since its last session, </w:t>
      </w:r>
      <w:r w:rsidR="00795D8B" w:rsidRPr="00325105">
        <w:rPr>
          <w:u w:val="none"/>
        </w:rPr>
        <w:t>namely</w:t>
      </w:r>
      <w:r w:rsidR="00410A4F" w:rsidRPr="00325105">
        <w:rPr>
          <w:u w:val="none"/>
        </w:rPr>
        <w:t xml:space="preserve"> </w:t>
      </w:r>
      <w:r w:rsidR="00AD4D75">
        <w:rPr>
          <w:u w:val="none"/>
        </w:rPr>
        <w:t xml:space="preserve">Japan, </w:t>
      </w:r>
      <w:r w:rsidR="00795D8B" w:rsidRPr="006517BE">
        <w:rPr>
          <w:u w:val="none"/>
        </w:rPr>
        <w:t>Monaco</w:t>
      </w:r>
      <w:r w:rsidR="00DE7D29">
        <w:rPr>
          <w:u w:val="none"/>
        </w:rPr>
        <w:t xml:space="preserve"> and</w:t>
      </w:r>
      <w:r w:rsidR="00795D8B" w:rsidRPr="006517BE">
        <w:rPr>
          <w:u w:val="none"/>
        </w:rPr>
        <w:t xml:space="preserve"> Montenegro</w:t>
      </w:r>
      <w:r w:rsidR="00E216FB">
        <w:rPr>
          <w:u w:val="none"/>
        </w:rPr>
        <w:t>, as well as</w:t>
      </w:r>
      <w:r w:rsidR="00E216FB" w:rsidRPr="00E216FB">
        <w:rPr>
          <w:u w:val="none"/>
        </w:rPr>
        <w:t xml:space="preserve"> </w:t>
      </w:r>
      <w:r w:rsidR="00E216FB">
        <w:rPr>
          <w:u w:val="none"/>
        </w:rPr>
        <w:t>to the People’s Republic of China and Singapore</w:t>
      </w:r>
      <w:r w:rsidR="00E216FB" w:rsidRPr="006517BE">
        <w:rPr>
          <w:u w:val="none"/>
        </w:rPr>
        <w:t xml:space="preserve"> </w:t>
      </w:r>
      <w:r w:rsidR="00E216FB">
        <w:rPr>
          <w:u w:val="none"/>
        </w:rPr>
        <w:t>for their in-kind support</w:t>
      </w:r>
      <w:r w:rsidR="00795D8B" w:rsidRPr="006517BE">
        <w:rPr>
          <w:u w:val="none"/>
        </w:rPr>
        <w:t>;</w:t>
      </w:r>
    </w:p>
    <w:p w14:paraId="78F4F33B" w14:textId="77777777" w:rsidR="00BF1B64" w:rsidRDefault="00BF1B64" w:rsidP="00BF1B64">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CB68FC">
        <w:rPr>
          <w:rFonts w:ascii="Arial" w:eastAsia="SimSun" w:hAnsi="Arial" w:cs="Arial"/>
          <w:sz w:val="22"/>
          <w:szCs w:val="22"/>
          <w:u w:val="single"/>
          <w:lang w:val="en-GB"/>
        </w:rPr>
        <w:t>Takes note</w:t>
      </w:r>
      <w:r w:rsidRPr="00CB68FC">
        <w:rPr>
          <w:rFonts w:ascii="Arial" w:eastAsia="SimSun" w:hAnsi="Arial" w:cs="Arial"/>
          <w:sz w:val="22"/>
          <w:szCs w:val="22"/>
          <w:lang w:val="en-GB"/>
        </w:rPr>
        <w:t xml:space="preserve"> that no supplementary voluntary contributions to the Intangible Cultural Heritage Fund have yet been received in line with the two funding priorities approved for the period 2018–2021, and </w:t>
      </w:r>
      <w:r w:rsidR="00795D8B">
        <w:rPr>
          <w:rFonts w:ascii="Arial" w:eastAsia="SimSun" w:hAnsi="Arial" w:cs="Arial"/>
          <w:sz w:val="22"/>
          <w:szCs w:val="22"/>
          <w:u w:val="single"/>
          <w:lang w:val="en-GB"/>
        </w:rPr>
        <w:t>e</w:t>
      </w:r>
      <w:r w:rsidRPr="00BF1B64">
        <w:rPr>
          <w:rFonts w:ascii="Arial" w:eastAsia="SimSun" w:hAnsi="Arial" w:cs="Arial"/>
          <w:sz w:val="22"/>
          <w:szCs w:val="22"/>
          <w:u w:val="single"/>
          <w:lang w:val="en-GB"/>
        </w:rPr>
        <w:t>ncourages</w:t>
      </w:r>
      <w:r w:rsidRPr="00BF1B64">
        <w:rPr>
          <w:rFonts w:ascii="Arial" w:eastAsia="SimSun" w:hAnsi="Arial" w:cs="Arial"/>
          <w:sz w:val="22"/>
          <w:szCs w:val="22"/>
          <w:lang w:val="en-GB"/>
        </w:rPr>
        <w:t xml:space="preserve"> </w:t>
      </w:r>
      <w:r w:rsidR="004E2857">
        <w:rPr>
          <w:rFonts w:ascii="Arial" w:eastAsia="SimSun" w:hAnsi="Arial" w:cs="Arial"/>
          <w:sz w:val="22"/>
          <w:szCs w:val="22"/>
          <w:lang w:val="en-GB"/>
        </w:rPr>
        <w:t>States Parties</w:t>
      </w:r>
      <w:r w:rsidRPr="00BF1B64">
        <w:rPr>
          <w:rFonts w:ascii="Arial" w:eastAsia="SimSun" w:hAnsi="Arial" w:cs="Arial"/>
          <w:sz w:val="22"/>
          <w:szCs w:val="22"/>
          <w:lang w:val="en-GB"/>
        </w:rPr>
        <w:t xml:space="preserve"> to consider supporting the Convention, in particular within the scope of the </w:t>
      </w:r>
      <w:r w:rsidRPr="00BF1B64">
        <w:rPr>
          <w:rFonts w:ascii="Arial" w:hAnsi="Arial" w:cs="Arial"/>
          <w:sz w:val="22"/>
          <w:szCs w:val="22"/>
          <w:lang w:val="en-GB"/>
        </w:rPr>
        <w:t xml:space="preserve">two </w:t>
      </w:r>
      <w:r w:rsidRPr="00BF1B64">
        <w:rPr>
          <w:rFonts w:ascii="Arial" w:eastAsia="SimSun" w:hAnsi="Arial" w:cs="Arial"/>
          <w:sz w:val="22"/>
          <w:szCs w:val="22"/>
          <w:lang w:val="en-US"/>
        </w:rPr>
        <w:t>funding priorities</w:t>
      </w:r>
      <w:r w:rsidRPr="00BF1B64">
        <w:rPr>
          <w:rFonts w:ascii="Arial" w:eastAsia="SimSun" w:hAnsi="Arial" w:cs="Arial"/>
          <w:sz w:val="22"/>
          <w:szCs w:val="22"/>
          <w:lang w:val="en-GB"/>
        </w:rPr>
        <w:t xml:space="preserve"> set for the period 2018–2021 and the sub-fund for enhancing the human resources of the Secretariat</w:t>
      </w:r>
      <w:r w:rsidR="003E273F">
        <w:rPr>
          <w:rFonts w:ascii="Arial" w:eastAsia="SimSun" w:hAnsi="Arial" w:cs="Arial"/>
          <w:sz w:val="22"/>
          <w:szCs w:val="22"/>
          <w:lang w:val="en-GB"/>
        </w:rPr>
        <w:t>, taking into account the recent efforts and success in implementing the Intangible Cultural Heritage Fund</w:t>
      </w:r>
      <w:r w:rsidRPr="00BF1B64">
        <w:rPr>
          <w:rFonts w:ascii="Arial" w:eastAsia="SimSun" w:hAnsi="Arial" w:cs="Arial"/>
          <w:sz w:val="22"/>
          <w:szCs w:val="22"/>
          <w:lang w:val="en-GB"/>
        </w:rPr>
        <w:t>;</w:t>
      </w:r>
    </w:p>
    <w:p w14:paraId="6824096E" w14:textId="338669EB" w:rsidR="00E216FB" w:rsidRPr="008922DF" w:rsidRDefault="00E216FB" w:rsidP="0022012B">
      <w:pPr>
        <w:pStyle w:val="COMParaDecision"/>
      </w:pPr>
      <w:r>
        <w:t xml:space="preserve">Further </w:t>
      </w:r>
      <w:r w:rsidR="00E66963">
        <w:t>e</w:t>
      </w:r>
      <w:r>
        <w:t>ncourages</w:t>
      </w:r>
      <w:r w:rsidRPr="00905CB2">
        <w:rPr>
          <w:u w:val="none"/>
        </w:rPr>
        <w:t xml:space="preserve"> the Secretariat</w:t>
      </w:r>
      <w:r w:rsidR="0022012B" w:rsidRPr="00905CB2">
        <w:rPr>
          <w:u w:val="none"/>
        </w:rPr>
        <w:t xml:space="preserve">, in line with its </w:t>
      </w:r>
      <w:r w:rsidR="0022012B" w:rsidRPr="003C3703">
        <w:rPr>
          <w:u w:val="none"/>
        </w:rPr>
        <w:t>outreach and communication plan,</w:t>
      </w:r>
      <w:r w:rsidRPr="00905CB2">
        <w:rPr>
          <w:u w:val="none"/>
        </w:rPr>
        <w:t xml:space="preserve"> to </w:t>
      </w:r>
      <w:r w:rsidR="0022012B" w:rsidRPr="00905CB2">
        <w:rPr>
          <w:u w:val="none"/>
        </w:rPr>
        <w:t xml:space="preserve">pursue its efforts </w:t>
      </w:r>
      <w:r w:rsidR="000450F2">
        <w:rPr>
          <w:u w:val="none"/>
        </w:rPr>
        <w:t>to</w:t>
      </w:r>
      <w:r w:rsidR="0022012B" w:rsidRPr="00905CB2">
        <w:rPr>
          <w:u w:val="none"/>
        </w:rPr>
        <w:t xml:space="preserve"> mobiliz</w:t>
      </w:r>
      <w:r w:rsidR="000450F2">
        <w:rPr>
          <w:u w:val="none"/>
        </w:rPr>
        <w:t>e</w:t>
      </w:r>
      <w:r w:rsidR="0022012B">
        <w:rPr>
          <w:u w:val="none"/>
        </w:rPr>
        <w:t xml:space="preserve"> funds</w:t>
      </w:r>
      <w:r w:rsidR="0022012B" w:rsidRPr="00905CB2">
        <w:rPr>
          <w:u w:val="none"/>
        </w:rPr>
        <w:t xml:space="preserve"> to support the implementation of the Convention</w:t>
      </w:r>
      <w:r w:rsidR="00202F90">
        <w:rPr>
          <w:u w:val="none"/>
        </w:rPr>
        <w:t xml:space="preserve">, in particular for </w:t>
      </w:r>
      <w:r w:rsidR="00202F90" w:rsidRPr="003C3703">
        <w:rPr>
          <w:u w:val="none"/>
        </w:rPr>
        <w:t xml:space="preserve">the </w:t>
      </w:r>
      <w:r w:rsidR="00202F90" w:rsidRPr="00905CB2">
        <w:rPr>
          <w:u w:val="none"/>
        </w:rPr>
        <w:t>two funding priorities approved for the period 2018–2021,</w:t>
      </w:r>
      <w:r w:rsidR="00202F90" w:rsidRPr="008922DF">
        <w:rPr>
          <w:u w:val="none"/>
        </w:rPr>
        <w:t xml:space="preserve"> </w:t>
      </w:r>
      <w:r w:rsidR="0022012B" w:rsidRPr="00905CB2">
        <w:rPr>
          <w:u w:val="none"/>
        </w:rPr>
        <w:t>and</w:t>
      </w:r>
      <w:r w:rsidR="00917B1A">
        <w:rPr>
          <w:u w:val="none"/>
        </w:rPr>
        <w:t xml:space="preserve"> </w:t>
      </w:r>
      <w:r w:rsidR="0022012B" w:rsidRPr="00905CB2">
        <w:rPr>
          <w:u w:val="none"/>
        </w:rPr>
        <w:t>enhance the human resources of the Secretariat;</w:t>
      </w:r>
    </w:p>
    <w:p w14:paraId="498AA97C" w14:textId="6A13EE93" w:rsidR="001742DB" w:rsidRDefault="006F25DD" w:rsidP="0022012B">
      <w:pPr>
        <w:pStyle w:val="COMParaDecision"/>
        <w:rPr>
          <w:u w:val="none"/>
        </w:rPr>
      </w:pPr>
      <w:r>
        <w:t>Requests</w:t>
      </w:r>
      <w:r>
        <w:rPr>
          <w:u w:val="none"/>
        </w:rPr>
        <w:t xml:space="preserve"> </w:t>
      </w:r>
      <w:r w:rsidR="00917B1A">
        <w:rPr>
          <w:u w:val="none"/>
        </w:rPr>
        <w:t xml:space="preserve">that </w:t>
      </w:r>
      <w:r>
        <w:rPr>
          <w:u w:val="none"/>
        </w:rPr>
        <w:t xml:space="preserve">the Secretariat reassess </w:t>
      </w:r>
      <w:r w:rsidR="000450F2">
        <w:rPr>
          <w:u w:val="none"/>
        </w:rPr>
        <w:t>its</w:t>
      </w:r>
      <w:r>
        <w:rPr>
          <w:u w:val="none"/>
        </w:rPr>
        <w:t xml:space="preserve"> human resource needs and submit a new revised annual target of the </w:t>
      </w:r>
      <w:r w:rsidRPr="008922DF">
        <w:rPr>
          <w:u w:val="none"/>
        </w:rPr>
        <w:t xml:space="preserve">sub-fund </w:t>
      </w:r>
      <w:r w:rsidR="00917B1A">
        <w:rPr>
          <w:u w:val="none"/>
        </w:rPr>
        <w:t>to enhance</w:t>
      </w:r>
      <w:r w:rsidRPr="008922DF">
        <w:rPr>
          <w:u w:val="none"/>
        </w:rPr>
        <w:t xml:space="preserve"> </w:t>
      </w:r>
      <w:r w:rsidR="000450F2">
        <w:rPr>
          <w:u w:val="none"/>
        </w:rPr>
        <w:t>its</w:t>
      </w:r>
      <w:r w:rsidRPr="008922DF">
        <w:rPr>
          <w:u w:val="none"/>
        </w:rPr>
        <w:t xml:space="preserve"> human resources</w:t>
      </w:r>
      <w:r w:rsidR="00917B1A">
        <w:rPr>
          <w:u w:val="none"/>
        </w:rPr>
        <w:t>,</w:t>
      </w:r>
      <w:r w:rsidRPr="008922DF">
        <w:rPr>
          <w:u w:val="none"/>
        </w:rPr>
        <w:t xml:space="preserve"> for examination by the General Assembly at its eighth session in 2020;</w:t>
      </w:r>
    </w:p>
    <w:p w14:paraId="6794E2CB" w14:textId="77777777" w:rsidR="006D7B52" w:rsidRPr="00FF3EC6" w:rsidRDefault="006D7B52" w:rsidP="009A2A54">
      <w:pPr>
        <w:keepNext/>
        <w:keepLines/>
        <w:numPr>
          <w:ilvl w:val="0"/>
          <w:numId w:val="10"/>
        </w:numPr>
        <w:autoSpaceDE w:val="0"/>
        <w:autoSpaceDN w:val="0"/>
        <w:adjustRightInd w:val="0"/>
        <w:spacing w:after="120"/>
        <w:ind w:left="1134" w:hanging="567"/>
        <w:jc w:val="both"/>
        <w:rPr>
          <w:rFonts w:ascii="Arial" w:eastAsia="SimSun" w:hAnsi="Arial" w:cs="Arial"/>
          <w:b/>
          <w:sz w:val="22"/>
          <w:szCs w:val="22"/>
          <w:lang w:val="en-GB"/>
        </w:rPr>
      </w:pPr>
      <w:r w:rsidRPr="00FF3EC6">
        <w:rPr>
          <w:rFonts w:ascii="Arial" w:eastAsia="SimSun" w:hAnsi="Arial" w:cs="Arial"/>
          <w:b/>
          <w:sz w:val="22"/>
          <w:szCs w:val="22"/>
          <w:lang w:val="en"/>
        </w:rPr>
        <w:lastRenderedPageBreak/>
        <w:t xml:space="preserve">Option A </w:t>
      </w:r>
    </w:p>
    <w:p w14:paraId="55CD8366" w14:textId="6563B164" w:rsidR="006D7B52" w:rsidRDefault="0065262E" w:rsidP="009A2A54">
      <w:pPr>
        <w:keepNext/>
        <w:keepLines/>
        <w:autoSpaceDE w:val="0"/>
        <w:autoSpaceDN w:val="0"/>
        <w:adjustRightInd w:val="0"/>
        <w:spacing w:after="120"/>
        <w:ind w:left="1134"/>
        <w:jc w:val="both"/>
        <w:rPr>
          <w:rFonts w:ascii="Arial" w:eastAsia="SimSun" w:hAnsi="Arial" w:cs="Arial"/>
          <w:sz w:val="22"/>
          <w:szCs w:val="22"/>
          <w:lang w:val="en"/>
        </w:rPr>
      </w:pPr>
      <w:r w:rsidRPr="00636427">
        <w:rPr>
          <w:rFonts w:ascii="Arial" w:eastAsia="SimSun" w:hAnsi="Arial" w:cs="Arial"/>
          <w:sz w:val="22"/>
          <w:szCs w:val="22"/>
          <w:u w:val="single"/>
          <w:lang w:val="en"/>
        </w:rPr>
        <w:t>Recommends</w:t>
      </w:r>
      <w:r w:rsidR="00D31FBD" w:rsidRPr="00636427">
        <w:rPr>
          <w:rFonts w:ascii="Arial" w:eastAsia="SimSun" w:hAnsi="Arial" w:cs="Arial"/>
          <w:sz w:val="22"/>
          <w:szCs w:val="22"/>
          <w:lang w:val="en"/>
        </w:rPr>
        <w:t xml:space="preserve"> </w:t>
      </w:r>
      <w:r w:rsidR="00917B1A">
        <w:rPr>
          <w:rFonts w:ascii="Arial" w:eastAsia="SimSun" w:hAnsi="Arial" w:cs="Arial"/>
          <w:sz w:val="22"/>
          <w:szCs w:val="22"/>
          <w:lang w:val="en"/>
        </w:rPr>
        <w:t xml:space="preserve">that </w:t>
      </w:r>
      <w:r w:rsidR="00D31FBD" w:rsidRPr="00676B96">
        <w:rPr>
          <w:rFonts w:ascii="Arial" w:eastAsia="SimSun" w:hAnsi="Arial" w:cs="Arial"/>
          <w:sz w:val="22"/>
          <w:szCs w:val="22"/>
          <w:lang w:val="en"/>
        </w:rPr>
        <w:t xml:space="preserve">the General Assembly </w:t>
      </w:r>
      <w:r w:rsidR="00FC4DB3" w:rsidRPr="00676B96">
        <w:rPr>
          <w:rFonts w:ascii="Arial" w:eastAsia="SimSun" w:hAnsi="Arial" w:cs="Arial"/>
          <w:sz w:val="22"/>
          <w:szCs w:val="22"/>
          <w:lang w:val="en"/>
        </w:rPr>
        <w:t xml:space="preserve">endorse </w:t>
      </w:r>
      <w:r w:rsidR="00D31FBD" w:rsidRPr="00676B96">
        <w:rPr>
          <w:rFonts w:ascii="Arial" w:eastAsia="SimSun" w:hAnsi="Arial" w:cs="Arial"/>
          <w:sz w:val="22"/>
          <w:szCs w:val="22"/>
          <w:lang w:val="en"/>
        </w:rPr>
        <w:t>the</w:t>
      </w:r>
      <w:r w:rsidR="00FC4DB3" w:rsidRPr="00676B96">
        <w:rPr>
          <w:rFonts w:ascii="Arial" w:eastAsia="SimSun" w:hAnsi="Arial" w:cs="Arial"/>
          <w:sz w:val="22"/>
          <w:szCs w:val="22"/>
          <w:lang w:val="en"/>
        </w:rPr>
        <w:t xml:space="preserve"> continued</w:t>
      </w:r>
      <w:r w:rsidR="00D31FBD" w:rsidRPr="00676B96">
        <w:rPr>
          <w:rFonts w:ascii="Arial" w:eastAsia="SimSun" w:hAnsi="Arial" w:cs="Arial"/>
          <w:sz w:val="22"/>
          <w:szCs w:val="22"/>
          <w:lang w:val="en"/>
        </w:rPr>
        <w:t xml:space="preserve"> application of</w:t>
      </w:r>
      <w:r w:rsidRPr="00676B96">
        <w:rPr>
          <w:rFonts w:ascii="Arial" w:eastAsia="SimSun" w:hAnsi="Arial" w:cs="Arial"/>
          <w:sz w:val="22"/>
          <w:szCs w:val="22"/>
          <w:lang w:val="en"/>
        </w:rPr>
        <w:t xml:space="preserve"> </w:t>
      </w:r>
      <w:r w:rsidR="00D31FBD" w:rsidRPr="00676B96">
        <w:rPr>
          <w:rFonts w:ascii="Arial" w:eastAsia="SimSun" w:hAnsi="Arial" w:cs="Arial"/>
          <w:sz w:val="22"/>
          <w:szCs w:val="22"/>
          <w:lang w:val="en"/>
        </w:rPr>
        <w:t>a</w:t>
      </w:r>
      <w:r w:rsidRPr="00676B96">
        <w:rPr>
          <w:rFonts w:ascii="Arial" w:eastAsia="SimSun" w:hAnsi="Arial" w:cs="Arial"/>
          <w:sz w:val="22"/>
          <w:szCs w:val="22"/>
          <w:lang w:val="en"/>
        </w:rPr>
        <w:t xml:space="preserve"> Management Cost rate of 0</w:t>
      </w:r>
      <w:r w:rsidR="00917B1A" w:rsidRPr="00676B96">
        <w:rPr>
          <w:rFonts w:ascii="Arial" w:eastAsia="SimSun" w:hAnsi="Arial" w:cs="Arial"/>
          <w:sz w:val="22"/>
          <w:szCs w:val="22"/>
          <w:lang w:val="en"/>
        </w:rPr>
        <w:t xml:space="preserve"> per cent </w:t>
      </w:r>
      <w:r w:rsidR="00E919C6">
        <w:rPr>
          <w:rFonts w:ascii="Arial" w:eastAsia="SimSun" w:hAnsi="Arial" w:cs="Arial"/>
          <w:sz w:val="22"/>
          <w:szCs w:val="22"/>
          <w:lang w:val="en"/>
        </w:rPr>
        <w:t xml:space="preserve">for all assessed contributions </w:t>
      </w:r>
      <w:r w:rsidRPr="00676B96">
        <w:rPr>
          <w:rFonts w:ascii="Arial" w:eastAsia="SimSun" w:hAnsi="Arial" w:cs="Arial"/>
          <w:sz w:val="22"/>
          <w:szCs w:val="22"/>
          <w:lang w:val="en"/>
        </w:rPr>
        <w:t>to the special account of the Intangible Cultural Heritage Fund</w:t>
      </w:r>
      <w:r w:rsidR="006D7B52">
        <w:rPr>
          <w:rFonts w:ascii="Arial" w:eastAsia="SimSun" w:hAnsi="Arial" w:cs="Arial"/>
          <w:sz w:val="22"/>
          <w:szCs w:val="22"/>
          <w:lang w:val="en"/>
        </w:rPr>
        <w:t>;</w:t>
      </w:r>
    </w:p>
    <w:p w14:paraId="4836D159" w14:textId="77777777" w:rsidR="006D7B52" w:rsidRPr="00FF3EC6" w:rsidRDefault="006D7B52" w:rsidP="009A2A54">
      <w:pPr>
        <w:keepNext/>
        <w:keepLines/>
        <w:autoSpaceDE w:val="0"/>
        <w:autoSpaceDN w:val="0"/>
        <w:adjustRightInd w:val="0"/>
        <w:spacing w:after="120"/>
        <w:ind w:left="1134"/>
        <w:jc w:val="both"/>
        <w:rPr>
          <w:rFonts w:ascii="Arial" w:eastAsia="SimSun" w:hAnsi="Arial" w:cs="Arial"/>
          <w:b/>
          <w:sz w:val="22"/>
          <w:szCs w:val="22"/>
          <w:lang w:val="en"/>
        </w:rPr>
      </w:pPr>
      <w:r w:rsidRPr="00FF3EC6">
        <w:rPr>
          <w:rFonts w:ascii="Arial" w:eastAsia="SimSun" w:hAnsi="Arial" w:cs="Arial"/>
          <w:b/>
          <w:sz w:val="22"/>
          <w:szCs w:val="22"/>
          <w:lang w:val="en"/>
        </w:rPr>
        <w:t>Option B</w:t>
      </w:r>
    </w:p>
    <w:p w14:paraId="7A0A0F62" w14:textId="3C994928" w:rsidR="006D7B52" w:rsidRPr="00FF3EC6" w:rsidRDefault="006D7B52" w:rsidP="009A2A54">
      <w:pPr>
        <w:keepNext/>
        <w:keepLines/>
        <w:autoSpaceDE w:val="0"/>
        <w:autoSpaceDN w:val="0"/>
        <w:adjustRightInd w:val="0"/>
        <w:spacing w:after="120"/>
        <w:ind w:left="1134"/>
        <w:jc w:val="both"/>
        <w:rPr>
          <w:rFonts w:ascii="Arial" w:eastAsia="SimSun" w:hAnsi="Arial" w:cs="Arial"/>
          <w:sz w:val="22"/>
          <w:szCs w:val="22"/>
          <w:lang w:val="en-GB"/>
        </w:rPr>
      </w:pPr>
      <w:r w:rsidRPr="00A85526">
        <w:rPr>
          <w:rFonts w:ascii="Arial" w:eastAsia="SimSun" w:hAnsi="Arial" w:cs="Arial"/>
          <w:sz w:val="22"/>
          <w:szCs w:val="22"/>
          <w:u w:val="single"/>
          <w:lang w:val="en"/>
        </w:rPr>
        <w:t>Recommends</w:t>
      </w:r>
      <w:r>
        <w:rPr>
          <w:rFonts w:ascii="Arial" w:eastAsia="SimSun" w:hAnsi="Arial" w:cs="Arial"/>
          <w:sz w:val="22"/>
          <w:szCs w:val="22"/>
          <w:lang w:val="en"/>
        </w:rPr>
        <w:t xml:space="preserve"> that the</w:t>
      </w:r>
      <w:r w:rsidRPr="00797B0E">
        <w:rPr>
          <w:rFonts w:ascii="Arial" w:eastAsia="SimSun" w:hAnsi="Arial" w:cs="Arial"/>
          <w:sz w:val="22"/>
          <w:szCs w:val="22"/>
          <w:lang w:val="en"/>
        </w:rPr>
        <w:t xml:space="preserve"> </w:t>
      </w:r>
      <w:r w:rsidRPr="00676B96">
        <w:rPr>
          <w:rFonts w:ascii="Arial" w:eastAsia="SimSun" w:hAnsi="Arial" w:cs="Arial"/>
          <w:sz w:val="22"/>
          <w:szCs w:val="22"/>
          <w:lang w:val="en"/>
        </w:rPr>
        <w:t>General Assembly endorse the application of a</w:t>
      </w:r>
      <w:r>
        <w:rPr>
          <w:rFonts w:ascii="Arial" w:eastAsia="SimSun" w:hAnsi="Arial" w:cs="Arial"/>
          <w:sz w:val="22"/>
          <w:szCs w:val="22"/>
          <w:lang w:val="en"/>
        </w:rPr>
        <w:t xml:space="preserve"> Management Cost rate of 7</w:t>
      </w:r>
      <w:r w:rsidRPr="00676B96">
        <w:rPr>
          <w:rFonts w:ascii="Arial" w:eastAsia="SimSun" w:hAnsi="Arial" w:cs="Arial"/>
          <w:sz w:val="22"/>
          <w:szCs w:val="22"/>
          <w:lang w:val="en"/>
        </w:rPr>
        <w:t xml:space="preserve"> per cent </w:t>
      </w:r>
      <w:r w:rsidR="005A385C">
        <w:rPr>
          <w:rFonts w:ascii="Arial" w:eastAsia="SimSun" w:hAnsi="Arial" w:cs="Arial"/>
          <w:sz w:val="22"/>
          <w:szCs w:val="22"/>
          <w:lang w:val="en"/>
        </w:rPr>
        <w:t>for all contributions</w:t>
      </w:r>
      <w:r w:rsidR="00113359">
        <w:rPr>
          <w:rFonts w:ascii="Arial" w:eastAsia="SimSun" w:hAnsi="Arial" w:cs="Arial"/>
          <w:sz w:val="22"/>
          <w:szCs w:val="22"/>
          <w:lang w:val="en"/>
        </w:rPr>
        <w:t>,</w:t>
      </w:r>
      <w:r w:rsidR="005A385C">
        <w:rPr>
          <w:rFonts w:ascii="Arial" w:eastAsia="SimSun" w:hAnsi="Arial" w:cs="Arial"/>
          <w:sz w:val="22"/>
          <w:szCs w:val="22"/>
          <w:lang w:val="en"/>
        </w:rPr>
        <w:t xml:space="preserve"> </w:t>
      </w:r>
      <w:r w:rsidR="004E138E">
        <w:rPr>
          <w:rFonts w:ascii="Arial" w:eastAsia="SimSun" w:hAnsi="Arial" w:cs="Arial"/>
          <w:sz w:val="22"/>
          <w:szCs w:val="22"/>
          <w:lang w:val="en"/>
        </w:rPr>
        <w:t>including assessed</w:t>
      </w:r>
      <w:r w:rsidR="00273A00">
        <w:rPr>
          <w:rFonts w:ascii="Arial" w:eastAsia="SimSun" w:hAnsi="Arial" w:cs="Arial"/>
          <w:sz w:val="22"/>
          <w:szCs w:val="22"/>
          <w:lang w:val="en"/>
        </w:rPr>
        <w:t xml:space="preserve"> contributions</w:t>
      </w:r>
      <w:r w:rsidR="00113359">
        <w:rPr>
          <w:rFonts w:ascii="Arial" w:eastAsia="SimSun" w:hAnsi="Arial" w:cs="Arial"/>
          <w:sz w:val="22"/>
          <w:szCs w:val="22"/>
          <w:lang w:val="en"/>
        </w:rPr>
        <w:t>,</w:t>
      </w:r>
      <w:r w:rsidR="004E138E">
        <w:rPr>
          <w:rFonts w:ascii="Arial" w:eastAsia="SimSun" w:hAnsi="Arial" w:cs="Arial"/>
          <w:sz w:val="22"/>
          <w:szCs w:val="22"/>
          <w:lang w:val="en"/>
        </w:rPr>
        <w:t xml:space="preserve"> </w:t>
      </w:r>
      <w:r w:rsidRPr="00676B96">
        <w:rPr>
          <w:rFonts w:ascii="Arial" w:eastAsia="SimSun" w:hAnsi="Arial" w:cs="Arial"/>
          <w:sz w:val="22"/>
          <w:szCs w:val="22"/>
          <w:lang w:val="en"/>
        </w:rPr>
        <w:t>to the special account of the Intangible Cultural Heritage Fund</w:t>
      </w:r>
      <w:r>
        <w:rPr>
          <w:rFonts w:ascii="Arial" w:eastAsia="SimSun" w:hAnsi="Arial" w:cs="Arial"/>
          <w:sz w:val="22"/>
          <w:szCs w:val="22"/>
          <w:lang w:val="en"/>
        </w:rPr>
        <w:t xml:space="preserve"> in line with the Revised UNESCO Cost Recovery Policy;</w:t>
      </w:r>
    </w:p>
    <w:p w14:paraId="6EFD0A73" w14:textId="77777777" w:rsidR="00BF1B64" w:rsidRPr="00BF1B64" w:rsidRDefault="006F25DD" w:rsidP="009A2A54">
      <w:pPr>
        <w:keepNext/>
        <w:keepLines/>
        <w:numPr>
          <w:ilvl w:val="0"/>
          <w:numId w:val="10"/>
        </w:numPr>
        <w:autoSpaceDE w:val="0"/>
        <w:autoSpaceDN w:val="0"/>
        <w:adjustRightInd w:val="0"/>
        <w:spacing w:after="120"/>
        <w:ind w:left="1134" w:hanging="567"/>
        <w:jc w:val="both"/>
        <w:rPr>
          <w:rFonts w:ascii="Arial" w:eastAsia="SimSun" w:hAnsi="Arial" w:cs="Arial"/>
          <w:sz w:val="22"/>
          <w:szCs w:val="22"/>
          <w:lang w:val="en-GB"/>
        </w:rPr>
      </w:pPr>
      <w:r>
        <w:rPr>
          <w:rFonts w:ascii="Arial" w:eastAsia="SimSun" w:hAnsi="Arial" w:cs="Arial"/>
          <w:sz w:val="22"/>
          <w:szCs w:val="22"/>
          <w:u w:val="single"/>
          <w:lang w:val="en"/>
        </w:rPr>
        <w:t>Further r</w:t>
      </w:r>
      <w:r w:rsidR="00BF1B64" w:rsidRPr="00BF1B64">
        <w:rPr>
          <w:rFonts w:ascii="Arial" w:eastAsia="SimSun" w:hAnsi="Arial" w:cs="Arial"/>
          <w:sz w:val="22"/>
          <w:szCs w:val="22"/>
          <w:u w:val="single"/>
          <w:lang w:val="en"/>
        </w:rPr>
        <w:t>equests</w:t>
      </w:r>
      <w:r w:rsidR="00BF1B64" w:rsidRPr="00BF1B64">
        <w:rPr>
          <w:rFonts w:ascii="Arial" w:eastAsia="SimSun" w:hAnsi="Arial" w:cs="Arial"/>
          <w:sz w:val="22"/>
          <w:szCs w:val="22"/>
          <w:lang w:val="en"/>
        </w:rPr>
        <w:t xml:space="preserve"> </w:t>
      </w:r>
      <w:r w:rsidR="00BF1B64" w:rsidRPr="00BF1B64">
        <w:rPr>
          <w:rFonts w:ascii="Arial" w:eastAsia="SimSun" w:hAnsi="Arial" w:cs="Arial"/>
          <w:sz w:val="22"/>
          <w:szCs w:val="22"/>
          <w:lang w:val="en-US"/>
        </w:rPr>
        <w:t>that the Secretariat report, at its f</w:t>
      </w:r>
      <w:r w:rsidR="00C15B12">
        <w:rPr>
          <w:rFonts w:ascii="Arial" w:eastAsia="SimSun" w:hAnsi="Arial" w:cs="Arial"/>
          <w:sz w:val="22"/>
          <w:szCs w:val="22"/>
          <w:lang w:val="en-US"/>
        </w:rPr>
        <w:t>ifteenth</w:t>
      </w:r>
      <w:r w:rsidR="00BF1B64" w:rsidRPr="00BF1B64">
        <w:rPr>
          <w:rFonts w:ascii="Arial" w:eastAsia="SimSun" w:hAnsi="Arial" w:cs="Arial"/>
          <w:sz w:val="22"/>
          <w:szCs w:val="22"/>
          <w:lang w:val="en-US"/>
        </w:rPr>
        <w:t xml:space="preserve"> session, on the progress made in the implementation of any voluntary supplementary contributions it may have received since the </w:t>
      </w:r>
      <w:r w:rsidR="000449E6">
        <w:rPr>
          <w:rFonts w:ascii="Arial" w:eastAsia="SimSun" w:hAnsi="Arial" w:cs="Arial"/>
          <w:sz w:val="22"/>
          <w:szCs w:val="22"/>
          <w:lang w:val="en-US"/>
        </w:rPr>
        <w:t>four</w:t>
      </w:r>
      <w:r w:rsidR="00BF1B64" w:rsidRPr="00BF1B64">
        <w:rPr>
          <w:rFonts w:ascii="Arial" w:eastAsia="SimSun" w:hAnsi="Arial" w:cs="Arial"/>
          <w:sz w:val="22"/>
          <w:szCs w:val="22"/>
          <w:lang w:val="en-US"/>
        </w:rPr>
        <w:t>teenth session.</w:t>
      </w:r>
    </w:p>
    <w:p w14:paraId="7C86D4AF" w14:textId="77777777" w:rsidR="00BF1B64" w:rsidRPr="00BF1B64" w:rsidRDefault="00BF1B64" w:rsidP="00BF1B64">
      <w:pPr>
        <w:keepNext/>
        <w:pageBreakBefore/>
        <w:autoSpaceDE w:val="0"/>
        <w:autoSpaceDN w:val="0"/>
        <w:adjustRightInd w:val="0"/>
        <w:spacing w:before="240" w:after="480"/>
        <w:jc w:val="center"/>
        <w:rPr>
          <w:rFonts w:ascii="Arial" w:eastAsia="SimSun" w:hAnsi="Arial" w:cs="Arial"/>
          <w:b/>
          <w:caps/>
          <w:snapToGrid w:val="0"/>
          <w:sz w:val="22"/>
          <w:szCs w:val="22"/>
          <w:u w:val="single"/>
          <w:lang w:val="en-GB" w:eastAsia="en-US"/>
        </w:rPr>
      </w:pPr>
      <w:r w:rsidRPr="00BF1B64">
        <w:rPr>
          <w:rFonts w:ascii="Arial" w:hAnsi="Arial" w:cs="Arial"/>
          <w:b/>
          <w:caps/>
          <w:snapToGrid w:val="0"/>
          <w:sz w:val="22"/>
          <w:szCs w:val="22"/>
          <w:u w:val="single"/>
          <w:lang w:val="en-GB" w:eastAsia="en-US"/>
        </w:rPr>
        <w:lastRenderedPageBreak/>
        <w:t>ANNEX</w:t>
      </w:r>
    </w:p>
    <w:p w14:paraId="5B9A47F7" w14:textId="6071705A" w:rsidR="00BF1B64" w:rsidRPr="00BF1B64" w:rsidRDefault="006D7B52" w:rsidP="00BF1B64">
      <w:pPr>
        <w:keepNext/>
        <w:autoSpaceDE w:val="0"/>
        <w:autoSpaceDN w:val="0"/>
        <w:adjustRightInd w:val="0"/>
        <w:spacing w:after="120"/>
        <w:jc w:val="center"/>
        <w:rPr>
          <w:rFonts w:ascii="Arial" w:eastAsia="SimSun" w:hAnsi="Arial" w:cs="Arial"/>
          <w:b/>
          <w:sz w:val="22"/>
          <w:szCs w:val="22"/>
          <w:lang w:val="en-GB"/>
        </w:rPr>
      </w:pPr>
      <w:r>
        <w:rPr>
          <w:rFonts w:ascii="Arial" w:eastAsia="SimSun" w:hAnsi="Arial" w:cs="Arial"/>
          <w:b/>
          <w:sz w:val="22"/>
          <w:szCs w:val="22"/>
          <w:lang w:val="en-GB"/>
        </w:rPr>
        <w:t>Cash and in-kind contribution</w:t>
      </w:r>
      <w:r w:rsidR="00E51455">
        <w:rPr>
          <w:rFonts w:ascii="Arial" w:eastAsia="SimSun" w:hAnsi="Arial" w:cs="Arial"/>
          <w:b/>
          <w:sz w:val="22"/>
          <w:szCs w:val="22"/>
          <w:lang w:val="en-GB"/>
        </w:rPr>
        <w:t>s</w:t>
      </w:r>
      <w:r>
        <w:rPr>
          <w:rFonts w:ascii="Arial" w:eastAsia="SimSun" w:hAnsi="Arial" w:cs="Arial"/>
          <w:b/>
          <w:sz w:val="22"/>
          <w:szCs w:val="22"/>
          <w:lang w:val="en-GB"/>
        </w:rPr>
        <w:t xml:space="preserve"> received in</w:t>
      </w:r>
      <w:r w:rsidR="00BF1B64" w:rsidRPr="00BF1B64">
        <w:rPr>
          <w:rFonts w:ascii="Arial" w:eastAsia="SimSun" w:hAnsi="Arial" w:cs="Arial"/>
          <w:b/>
          <w:sz w:val="22"/>
          <w:szCs w:val="22"/>
          <w:lang w:val="en-GB"/>
        </w:rPr>
        <w:t xml:space="preserve"> support to the 2003 Convention between</w:t>
      </w:r>
    </w:p>
    <w:p w14:paraId="48C7BB74" w14:textId="4D5EF51D" w:rsidR="00BF1B64" w:rsidRPr="00BF1B64" w:rsidRDefault="00BF1B64" w:rsidP="00BF1B64">
      <w:pPr>
        <w:keepNext/>
        <w:autoSpaceDE w:val="0"/>
        <w:autoSpaceDN w:val="0"/>
        <w:adjustRightInd w:val="0"/>
        <w:spacing w:after="120"/>
        <w:jc w:val="center"/>
        <w:rPr>
          <w:rFonts w:ascii="Arial" w:hAnsi="Arial" w:cs="Arial"/>
          <w:b/>
          <w:caps/>
          <w:snapToGrid w:val="0"/>
          <w:sz w:val="22"/>
          <w:szCs w:val="22"/>
          <w:lang w:val="en-GB" w:eastAsia="en-US"/>
        </w:rPr>
      </w:pPr>
      <w:proofErr w:type="gramStart"/>
      <w:r w:rsidRPr="00BF1B64">
        <w:rPr>
          <w:rFonts w:ascii="Arial" w:eastAsia="SimSun" w:hAnsi="Arial" w:cs="Arial"/>
          <w:b/>
          <w:sz w:val="22"/>
          <w:szCs w:val="22"/>
          <w:lang w:val="en-GB"/>
        </w:rPr>
        <w:t>the</w:t>
      </w:r>
      <w:proofErr w:type="gramEnd"/>
      <w:r w:rsidRPr="00BF1B64">
        <w:rPr>
          <w:rFonts w:ascii="Arial" w:eastAsia="SimSun" w:hAnsi="Arial" w:cs="Arial"/>
          <w:b/>
          <w:sz w:val="22"/>
          <w:szCs w:val="22"/>
          <w:lang w:val="en-GB"/>
        </w:rPr>
        <w:t xml:space="preserve"> t</w:t>
      </w:r>
      <w:r w:rsidR="00895E54">
        <w:rPr>
          <w:rFonts w:ascii="Arial" w:eastAsia="SimSun" w:hAnsi="Arial" w:cs="Arial"/>
          <w:b/>
          <w:sz w:val="22"/>
          <w:szCs w:val="22"/>
          <w:lang w:val="en-GB"/>
        </w:rPr>
        <w:t>hirteenth</w:t>
      </w:r>
      <w:r w:rsidRPr="00BF1B64">
        <w:rPr>
          <w:rFonts w:ascii="Arial" w:eastAsia="SimSun" w:hAnsi="Arial" w:cs="Arial"/>
          <w:b/>
          <w:sz w:val="22"/>
          <w:szCs w:val="22"/>
          <w:lang w:val="en-GB"/>
        </w:rPr>
        <w:t xml:space="preserve"> session of the Committee (December 201</w:t>
      </w:r>
      <w:r w:rsidR="00895E54">
        <w:rPr>
          <w:rFonts w:ascii="Arial" w:eastAsia="SimSun" w:hAnsi="Arial" w:cs="Arial"/>
          <w:b/>
          <w:sz w:val="22"/>
          <w:szCs w:val="22"/>
          <w:lang w:val="en-GB"/>
        </w:rPr>
        <w:t>8) and September 2019</w:t>
      </w:r>
    </w:p>
    <w:p w14:paraId="316F1A1F" w14:textId="77777777" w:rsidR="00BF1B64" w:rsidRPr="00BF1B64" w:rsidRDefault="00BF1B64" w:rsidP="00BF1B64">
      <w:pPr>
        <w:spacing w:before="840" w:after="60"/>
        <w:rPr>
          <w:rFonts w:ascii="Arial" w:hAnsi="Arial" w:cs="Arial"/>
          <w:b/>
          <w:smallCaps/>
          <w:color w:val="000000"/>
          <w:sz w:val="22"/>
          <w:szCs w:val="22"/>
          <w:lang w:val="en-GB"/>
        </w:rPr>
      </w:pPr>
      <w:r w:rsidRPr="00BF1B64">
        <w:rPr>
          <w:rFonts w:ascii="Arial" w:hAnsi="Arial" w:cs="Arial"/>
          <w:b/>
          <w:smallCaps/>
          <w:color w:val="000000"/>
          <w:sz w:val="22"/>
          <w:szCs w:val="22"/>
          <w:lang w:val="en-GB"/>
        </w:rPr>
        <w:t>Voluntary supplementary contributions to the Intangible Cultural Heritage Fund</w:t>
      </w:r>
    </w:p>
    <w:p w14:paraId="0E49EDF5" w14:textId="77777777" w:rsidR="004E2909" w:rsidRPr="00FF3EC6" w:rsidRDefault="004E2909" w:rsidP="004E2909">
      <w:pPr>
        <w:spacing w:before="120" w:after="120"/>
        <w:ind w:left="709"/>
        <w:rPr>
          <w:rFonts w:ascii="Arial" w:hAnsi="Arial" w:cs="Arial"/>
          <w:b/>
          <w:color w:val="000000"/>
          <w:sz w:val="20"/>
          <w:szCs w:val="20"/>
          <w:lang w:val="en-GB"/>
        </w:rPr>
      </w:pPr>
      <w:r w:rsidRPr="00FF3EC6">
        <w:rPr>
          <w:rFonts w:ascii="Arial" w:hAnsi="Arial" w:cs="Arial"/>
          <w:b/>
          <w:color w:val="000000"/>
          <w:sz w:val="20"/>
          <w:szCs w:val="20"/>
          <w:lang w:val="en-GB"/>
        </w:rPr>
        <w:t>Reflection on the listing mechanisms of the 2003 Convention</w:t>
      </w:r>
    </w:p>
    <w:tbl>
      <w:tblPr>
        <w:tblW w:w="8930" w:type="dxa"/>
        <w:tblInd w:w="709" w:type="dxa"/>
        <w:tblLook w:val="04A0" w:firstRow="1" w:lastRow="0" w:firstColumn="1" w:lastColumn="0" w:noHBand="0" w:noVBand="1"/>
      </w:tblPr>
      <w:tblGrid>
        <w:gridCol w:w="6603"/>
        <w:gridCol w:w="2327"/>
      </w:tblGrid>
      <w:tr w:rsidR="004E2909" w:rsidRPr="00BF1B64" w14:paraId="47E41897" w14:textId="77777777" w:rsidTr="00C863FA">
        <w:trPr>
          <w:cantSplit/>
        </w:trPr>
        <w:tc>
          <w:tcPr>
            <w:tcW w:w="6603" w:type="dxa"/>
            <w:vAlign w:val="center"/>
          </w:tcPr>
          <w:p w14:paraId="453A898D" w14:textId="77777777" w:rsidR="004E2909" w:rsidRPr="00FF3EC6" w:rsidRDefault="004E2909" w:rsidP="00C863FA">
            <w:pPr>
              <w:spacing w:before="60" w:after="60"/>
              <w:rPr>
                <w:rFonts w:ascii="Arial" w:hAnsi="Arial" w:cs="Arial"/>
                <w:color w:val="000000"/>
                <w:sz w:val="20"/>
                <w:szCs w:val="20"/>
                <w:lang w:val="en-GB"/>
              </w:rPr>
            </w:pPr>
            <w:r w:rsidRPr="00FF3EC6">
              <w:rPr>
                <w:rFonts w:ascii="Arial" w:hAnsi="Arial" w:cs="Arial"/>
                <w:color w:val="000000"/>
                <w:sz w:val="20"/>
                <w:szCs w:val="20"/>
                <w:lang w:val="en-GB"/>
              </w:rPr>
              <w:t>Japan</w:t>
            </w:r>
          </w:p>
        </w:tc>
        <w:tc>
          <w:tcPr>
            <w:tcW w:w="2327" w:type="dxa"/>
            <w:vAlign w:val="center"/>
          </w:tcPr>
          <w:p w14:paraId="71BBACE1" w14:textId="77777777" w:rsidR="004E2909" w:rsidRPr="00BF1B64" w:rsidRDefault="004E2909" w:rsidP="00C863FA">
            <w:pPr>
              <w:spacing w:before="60" w:after="60"/>
              <w:jc w:val="right"/>
              <w:rPr>
                <w:rFonts w:ascii="Arial" w:hAnsi="Arial" w:cs="Arial"/>
                <w:color w:val="000000"/>
                <w:sz w:val="20"/>
                <w:szCs w:val="20"/>
                <w:lang w:val="en-GB"/>
              </w:rPr>
            </w:pPr>
            <w:r w:rsidRPr="00FF3EC6">
              <w:rPr>
                <w:rFonts w:ascii="Arial" w:hAnsi="Arial" w:cs="Arial"/>
                <w:color w:val="000000"/>
                <w:sz w:val="20"/>
                <w:szCs w:val="20"/>
                <w:lang w:val="en-GB"/>
              </w:rPr>
              <w:t>US$267,238.00</w:t>
            </w:r>
          </w:p>
        </w:tc>
      </w:tr>
    </w:tbl>
    <w:p w14:paraId="14904594" w14:textId="77777777" w:rsidR="00BF1B64" w:rsidRPr="00BF1B64" w:rsidRDefault="00BF1B64" w:rsidP="00BF1B64">
      <w:pPr>
        <w:spacing w:before="120" w:after="120"/>
        <w:ind w:left="709"/>
        <w:rPr>
          <w:rFonts w:ascii="Arial" w:hAnsi="Arial" w:cs="Arial"/>
          <w:b/>
          <w:color w:val="000000"/>
          <w:sz w:val="20"/>
          <w:szCs w:val="20"/>
          <w:lang w:val="en-GB"/>
        </w:rPr>
      </w:pPr>
      <w:r w:rsidRPr="00BF1B64">
        <w:rPr>
          <w:rFonts w:ascii="Arial" w:hAnsi="Arial" w:cs="Arial"/>
          <w:b/>
          <w:color w:val="000000"/>
          <w:sz w:val="20"/>
          <w:szCs w:val="20"/>
          <w:lang w:val="en-GB"/>
        </w:rPr>
        <w:t>Sub-fund for enhancing the human capacities of the Secretariat</w:t>
      </w:r>
    </w:p>
    <w:tbl>
      <w:tblPr>
        <w:tblW w:w="8930" w:type="dxa"/>
        <w:tblInd w:w="709" w:type="dxa"/>
        <w:tblLook w:val="04A0" w:firstRow="1" w:lastRow="0" w:firstColumn="1" w:lastColumn="0" w:noHBand="0" w:noVBand="1"/>
      </w:tblPr>
      <w:tblGrid>
        <w:gridCol w:w="6603"/>
        <w:gridCol w:w="2327"/>
      </w:tblGrid>
      <w:tr w:rsidR="00BF1B64" w:rsidRPr="00BF1B64" w14:paraId="446E3C40" w14:textId="77777777" w:rsidTr="00895E54">
        <w:trPr>
          <w:cantSplit/>
        </w:trPr>
        <w:tc>
          <w:tcPr>
            <w:tcW w:w="6603" w:type="dxa"/>
            <w:vAlign w:val="center"/>
          </w:tcPr>
          <w:p w14:paraId="7DCA07BE" w14:textId="77777777" w:rsidR="00BF1B64" w:rsidRPr="00BF1B64" w:rsidRDefault="00895E54" w:rsidP="00BF1B64">
            <w:pPr>
              <w:spacing w:before="60" w:after="60"/>
              <w:rPr>
                <w:rFonts w:ascii="Arial" w:hAnsi="Arial" w:cs="Arial"/>
                <w:color w:val="000000"/>
                <w:sz w:val="20"/>
                <w:szCs w:val="20"/>
                <w:lang w:val="en-GB"/>
              </w:rPr>
            </w:pPr>
            <w:r>
              <w:rPr>
                <w:rFonts w:ascii="Arial" w:hAnsi="Arial" w:cs="Arial"/>
                <w:color w:val="000000"/>
                <w:sz w:val="20"/>
                <w:szCs w:val="20"/>
                <w:lang w:val="en-GB"/>
              </w:rPr>
              <w:t>Monaco</w:t>
            </w:r>
          </w:p>
        </w:tc>
        <w:tc>
          <w:tcPr>
            <w:tcW w:w="2327" w:type="dxa"/>
            <w:vAlign w:val="center"/>
          </w:tcPr>
          <w:p w14:paraId="4A980114" w14:textId="77777777" w:rsidR="00BF1B64" w:rsidRPr="00BF1B64" w:rsidRDefault="00BF1B64" w:rsidP="00895E54">
            <w:pPr>
              <w:spacing w:before="60" w:after="60"/>
              <w:jc w:val="right"/>
              <w:rPr>
                <w:rFonts w:ascii="Arial" w:hAnsi="Arial" w:cs="Arial"/>
                <w:color w:val="000000"/>
                <w:sz w:val="20"/>
                <w:szCs w:val="20"/>
                <w:lang w:val="en-GB"/>
              </w:rPr>
            </w:pPr>
            <w:r w:rsidRPr="00BF1B64">
              <w:rPr>
                <w:rFonts w:ascii="Arial" w:hAnsi="Arial" w:cs="Arial"/>
                <w:color w:val="000000"/>
                <w:sz w:val="20"/>
                <w:szCs w:val="20"/>
                <w:lang w:val="en-GB"/>
              </w:rPr>
              <w:t>US$1</w:t>
            </w:r>
            <w:r w:rsidR="00895E54">
              <w:rPr>
                <w:rFonts w:ascii="Arial" w:hAnsi="Arial" w:cs="Arial"/>
                <w:color w:val="000000"/>
                <w:sz w:val="20"/>
                <w:szCs w:val="20"/>
                <w:lang w:val="en-GB"/>
              </w:rPr>
              <w:t>1</w:t>
            </w:r>
            <w:r w:rsidRPr="00BF1B64">
              <w:rPr>
                <w:rFonts w:ascii="Arial" w:hAnsi="Arial" w:cs="Arial"/>
                <w:color w:val="000000"/>
                <w:sz w:val="20"/>
                <w:szCs w:val="20"/>
                <w:lang w:val="en-GB"/>
              </w:rPr>
              <w:t>,</w:t>
            </w:r>
            <w:r w:rsidR="00895E54">
              <w:rPr>
                <w:rFonts w:ascii="Arial" w:hAnsi="Arial" w:cs="Arial"/>
                <w:color w:val="000000"/>
                <w:sz w:val="20"/>
                <w:szCs w:val="20"/>
                <w:lang w:val="en-GB"/>
              </w:rPr>
              <w:t>376.60</w:t>
            </w:r>
          </w:p>
        </w:tc>
      </w:tr>
      <w:tr w:rsidR="00BF1B64" w:rsidRPr="00BF1B64" w14:paraId="314C12C1" w14:textId="77777777" w:rsidTr="00895E54">
        <w:trPr>
          <w:cantSplit/>
        </w:trPr>
        <w:tc>
          <w:tcPr>
            <w:tcW w:w="6603" w:type="dxa"/>
            <w:vAlign w:val="center"/>
          </w:tcPr>
          <w:p w14:paraId="540A30E0" w14:textId="77777777" w:rsidR="00BF1B64" w:rsidRPr="00BF1B64" w:rsidRDefault="00BF1B64" w:rsidP="00BF1B64">
            <w:pPr>
              <w:spacing w:before="60" w:after="60"/>
              <w:rPr>
                <w:rFonts w:ascii="Arial" w:hAnsi="Arial" w:cs="Arial"/>
                <w:color w:val="000000"/>
                <w:sz w:val="20"/>
                <w:szCs w:val="20"/>
                <w:lang w:val="en-GB"/>
              </w:rPr>
            </w:pPr>
            <w:r w:rsidRPr="00BF1B64">
              <w:rPr>
                <w:rFonts w:ascii="Arial" w:hAnsi="Arial" w:cs="Arial"/>
                <w:color w:val="000000"/>
                <w:sz w:val="20"/>
                <w:szCs w:val="20"/>
                <w:lang w:val="en-GB"/>
              </w:rPr>
              <w:t>Montenegro</w:t>
            </w:r>
          </w:p>
        </w:tc>
        <w:tc>
          <w:tcPr>
            <w:tcW w:w="2327" w:type="dxa"/>
            <w:vAlign w:val="center"/>
          </w:tcPr>
          <w:p w14:paraId="2601E21C" w14:textId="77777777" w:rsidR="00BF1B64" w:rsidRPr="00BF1B64" w:rsidRDefault="00895E54" w:rsidP="00895E54">
            <w:pPr>
              <w:spacing w:before="60" w:after="60"/>
              <w:jc w:val="right"/>
              <w:rPr>
                <w:rFonts w:ascii="Arial" w:hAnsi="Arial" w:cs="Arial"/>
                <w:color w:val="000000"/>
                <w:sz w:val="20"/>
                <w:szCs w:val="20"/>
                <w:highlight w:val="yellow"/>
                <w:lang w:val="en-GB"/>
              </w:rPr>
            </w:pPr>
            <w:r>
              <w:rPr>
                <w:rFonts w:ascii="Arial" w:hAnsi="Arial" w:cs="Arial"/>
                <w:color w:val="000000"/>
                <w:sz w:val="20"/>
                <w:szCs w:val="20"/>
                <w:lang w:val="en-GB"/>
              </w:rPr>
              <w:t>US$1</w:t>
            </w:r>
            <w:r w:rsidR="00BF1B64" w:rsidRPr="00BF1B64">
              <w:rPr>
                <w:rFonts w:ascii="Arial" w:hAnsi="Arial" w:cs="Arial"/>
                <w:color w:val="000000"/>
                <w:sz w:val="20"/>
                <w:szCs w:val="20"/>
                <w:lang w:val="en-GB"/>
              </w:rPr>
              <w:t>,</w:t>
            </w:r>
            <w:r>
              <w:rPr>
                <w:rFonts w:ascii="Arial" w:hAnsi="Arial" w:cs="Arial"/>
                <w:color w:val="000000"/>
                <w:sz w:val="20"/>
                <w:szCs w:val="20"/>
                <w:lang w:val="en-GB"/>
              </w:rPr>
              <w:t>478.96</w:t>
            </w:r>
          </w:p>
        </w:tc>
      </w:tr>
    </w:tbl>
    <w:p w14:paraId="4E7853FF" w14:textId="77777777" w:rsidR="00BF1B64" w:rsidRPr="00BF1B64" w:rsidRDefault="00BF1B64" w:rsidP="00BF1B64">
      <w:pPr>
        <w:spacing w:before="360" w:after="60"/>
        <w:rPr>
          <w:rFonts w:ascii="Arial" w:hAnsi="Arial" w:cs="Arial"/>
          <w:b/>
          <w:smallCaps/>
          <w:color w:val="000000"/>
          <w:sz w:val="22"/>
          <w:szCs w:val="22"/>
          <w:lang w:val="en-GB"/>
        </w:rPr>
      </w:pPr>
      <w:r w:rsidRPr="00BF1B64">
        <w:rPr>
          <w:rFonts w:ascii="Arial" w:hAnsi="Arial" w:cs="Arial"/>
          <w:b/>
          <w:smallCaps/>
          <w:color w:val="000000"/>
          <w:sz w:val="22"/>
          <w:szCs w:val="22"/>
          <w:lang w:val="en-GB"/>
        </w:rPr>
        <w:t>Loans and Secondments</w:t>
      </w:r>
    </w:p>
    <w:tbl>
      <w:tblPr>
        <w:tblW w:w="8935" w:type="dxa"/>
        <w:tblInd w:w="709" w:type="dxa"/>
        <w:tblLook w:val="04A0" w:firstRow="1" w:lastRow="0" w:firstColumn="1" w:lastColumn="0" w:noHBand="0" w:noVBand="1"/>
      </w:tblPr>
      <w:tblGrid>
        <w:gridCol w:w="6605"/>
        <w:gridCol w:w="2330"/>
      </w:tblGrid>
      <w:tr w:rsidR="00BF1B64" w:rsidRPr="00325105" w14:paraId="65325663" w14:textId="77777777" w:rsidTr="00D366EC">
        <w:trPr>
          <w:cantSplit/>
        </w:trPr>
        <w:tc>
          <w:tcPr>
            <w:tcW w:w="6605" w:type="dxa"/>
            <w:vAlign w:val="center"/>
            <w:hideMark/>
          </w:tcPr>
          <w:p w14:paraId="793B4E53" w14:textId="77777777" w:rsidR="00BF1B64" w:rsidRPr="00BF1B64" w:rsidRDefault="00BF1B64" w:rsidP="00BF1B64">
            <w:pPr>
              <w:spacing w:before="60" w:after="60"/>
              <w:rPr>
                <w:rFonts w:ascii="Arial" w:hAnsi="Arial" w:cs="Arial"/>
                <w:color w:val="000000"/>
                <w:sz w:val="20"/>
                <w:szCs w:val="20"/>
                <w:lang w:val="en-GB"/>
              </w:rPr>
            </w:pPr>
            <w:r w:rsidRPr="00BF1B64">
              <w:rPr>
                <w:rFonts w:ascii="Arial" w:hAnsi="Arial" w:cs="Arial"/>
                <w:color w:val="000000"/>
                <w:sz w:val="20"/>
                <w:szCs w:val="20"/>
                <w:lang w:val="en-GB"/>
              </w:rPr>
              <w:t>China</w:t>
            </w:r>
          </w:p>
        </w:tc>
        <w:tc>
          <w:tcPr>
            <w:tcW w:w="2330" w:type="dxa"/>
            <w:vAlign w:val="center"/>
            <w:hideMark/>
          </w:tcPr>
          <w:p w14:paraId="7338CD8C" w14:textId="77777777" w:rsidR="00BF1B64" w:rsidRPr="00BF1B64" w:rsidRDefault="00895E54" w:rsidP="00BF1B64">
            <w:pPr>
              <w:spacing w:before="60" w:after="60"/>
              <w:jc w:val="right"/>
              <w:rPr>
                <w:rFonts w:ascii="Arial" w:hAnsi="Arial" w:cs="Arial"/>
                <w:color w:val="000000"/>
                <w:sz w:val="20"/>
                <w:szCs w:val="20"/>
                <w:lang w:val="en-GB"/>
              </w:rPr>
            </w:pPr>
            <w:r w:rsidRPr="00BF1B64">
              <w:rPr>
                <w:rFonts w:ascii="Arial" w:hAnsi="Arial" w:cs="Arial"/>
                <w:color w:val="000000"/>
                <w:sz w:val="20"/>
                <w:szCs w:val="20"/>
                <w:lang w:val="en-GB"/>
              </w:rPr>
              <w:t>2 months at P-2 level</w:t>
            </w:r>
          </w:p>
        </w:tc>
      </w:tr>
      <w:tr w:rsidR="00BF1B64" w:rsidRPr="00BF1B64" w14:paraId="78405981" w14:textId="77777777" w:rsidTr="00D366EC">
        <w:trPr>
          <w:cantSplit/>
        </w:trPr>
        <w:tc>
          <w:tcPr>
            <w:tcW w:w="6605" w:type="dxa"/>
            <w:vAlign w:val="center"/>
          </w:tcPr>
          <w:p w14:paraId="57290EC5" w14:textId="77777777" w:rsidR="00BF1B64" w:rsidRPr="00BF1B64" w:rsidRDefault="00BF1B64" w:rsidP="00BF1B64">
            <w:pPr>
              <w:spacing w:before="60" w:after="60"/>
              <w:rPr>
                <w:rFonts w:ascii="Arial" w:hAnsi="Arial" w:cs="Arial"/>
                <w:color w:val="000000"/>
                <w:sz w:val="20"/>
                <w:szCs w:val="20"/>
                <w:lang w:val="en-GB"/>
              </w:rPr>
            </w:pPr>
            <w:r w:rsidRPr="00BF1B64">
              <w:rPr>
                <w:rFonts w:ascii="Arial" w:hAnsi="Arial" w:cs="Arial"/>
                <w:color w:val="000000"/>
                <w:sz w:val="20"/>
                <w:szCs w:val="20"/>
                <w:lang w:val="en-GB"/>
              </w:rPr>
              <w:t>Singapore</w:t>
            </w:r>
          </w:p>
        </w:tc>
        <w:tc>
          <w:tcPr>
            <w:tcW w:w="2330" w:type="dxa"/>
            <w:vAlign w:val="center"/>
          </w:tcPr>
          <w:p w14:paraId="5D28909A" w14:textId="77777777" w:rsidR="00BF1B64" w:rsidRPr="00BF1B64" w:rsidRDefault="00895E54" w:rsidP="00BF1B64">
            <w:pPr>
              <w:spacing w:before="60" w:after="60"/>
              <w:jc w:val="right"/>
              <w:rPr>
                <w:rFonts w:ascii="Arial" w:hAnsi="Arial" w:cs="Arial"/>
                <w:color w:val="000000"/>
                <w:sz w:val="20"/>
                <w:szCs w:val="20"/>
                <w:lang w:val="en-GB"/>
              </w:rPr>
            </w:pPr>
            <w:r>
              <w:rPr>
                <w:rFonts w:ascii="Arial" w:hAnsi="Arial" w:cs="Arial"/>
                <w:color w:val="000000"/>
                <w:sz w:val="20"/>
                <w:szCs w:val="20"/>
                <w:lang w:val="en-GB"/>
              </w:rPr>
              <w:t>10</w:t>
            </w:r>
            <w:r w:rsidR="00BF1B64" w:rsidRPr="00BF1B64">
              <w:rPr>
                <w:rFonts w:ascii="Arial" w:hAnsi="Arial" w:cs="Arial"/>
                <w:color w:val="000000"/>
                <w:sz w:val="20"/>
                <w:szCs w:val="20"/>
                <w:lang w:val="en-GB"/>
              </w:rPr>
              <w:t> months at P-2 level</w:t>
            </w:r>
          </w:p>
        </w:tc>
      </w:tr>
    </w:tbl>
    <w:p w14:paraId="57B6A9D7" w14:textId="77777777" w:rsidR="00BF1B64" w:rsidRDefault="00BF1B64">
      <w:pPr>
        <w:rPr>
          <w:rFonts w:ascii="Arial" w:hAnsi="Arial" w:cs="Arial"/>
          <w:snapToGrid w:val="0"/>
          <w:sz w:val="22"/>
          <w:szCs w:val="22"/>
          <w:lang w:val="en-GB" w:eastAsia="en-US"/>
        </w:rPr>
      </w:pPr>
    </w:p>
    <w:sectPr w:rsidR="00BF1B64" w:rsidSect="00655736">
      <w:headerReference w:type="even" r:id="rId28"/>
      <w:headerReference w:type="default" r:id="rId29"/>
      <w:headerReference w:type="first" r:id="rId3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BB787" w16cid:durableId="2158208B"/>
  <w16cid:commentId w16cid:paraId="06C6644F" w16cid:durableId="215821A4"/>
  <w16cid:commentId w16cid:paraId="1D83556F" w16cid:durableId="21582219"/>
  <w16cid:commentId w16cid:paraId="1687AE5F" w16cid:durableId="21580004"/>
  <w16cid:commentId w16cid:paraId="675E134B" w16cid:durableId="21580005"/>
  <w16cid:commentId w16cid:paraId="05DFD552" w16cid:durableId="21580006"/>
  <w16cid:commentId w16cid:paraId="495DA9C5" w16cid:durableId="21580007"/>
  <w16cid:commentId w16cid:paraId="032EDE43" w16cid:durableId="21580008"/>
  <w16cid:commentId w16cid:paraId="448BED27" w16cid:durableId="215823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4C989" w14:textId="77777777" w:rsidR="00084A36" w:rsidRDefault="00084A36" w:rsidP="00655736">
      <w:r>
        <w:separator/>
      </w:r>
    </w:p>
  </w:endnote>
  <w:endnote w:type="continuationSeparator" w:id="0">
    <w:p w14:paraId="3147AE20" w14:textId="77777777" w:rsidR="00084A36" w:rsidRDefault="00084A3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A85BD" w14:textId="77777777" w:rsidR="00084A36" w:rsidRDefault="00084A36" w:rsidP="00655736">
      <w:r>
        <w:separator/>
      </w:r>
    </w:p>
  </w:footnote>
  <w:footnote w:type="continuationSeparator" w:id="0">
    <w:p w14:paraId="17EF80F8" w14:textId="77777777" w:rsidR="00084A36" w:rsidRDefault="00084A36" w:rsidP="00655736">
      <w:r>
        <w:continuationSeparator/>
      </w:r>
    </w:p>
  </w:footnote>
  <w:footnote w:id="1">
    <w:p w14:paraId="6D55C8C1" w14:textId="5AAEAFD1" w:rsidR="00DE7D29" w:rsidRPr="00FF3EC6" w:rsidRDefault="00DE7D29" w:rsidP="00E72C3A">
      <w:pPr>
        <w:pStyle w:val="FootnoteText"/>
        <w:ind w:left="567" w:hanging="567"/>
        <w:rPr>
          <w:rFonts w:ascii="Arial" w:hAnsi="Arial" w:cs="Arial"/>
          <w:sz w:val="18"/>
          <w:szCs w:val="18"/>
          <w:lang w:val="en-GB"/>
        </w:rPr>
      </w:pPr>
      <w:r w:rsidRPr="00FF3EC6">
        <w:rPr>
          <w:rStyle w:val="FootnoteReference"/>
          <w:rFonts w:ascii="Arial" w:hAnsi="Arial" w:cs="Arial"/>
          <w:sz w:val="18"/>
          <w:szCs w:val="18"/>
        </w:rPr>
        <w:footnoteRef/>
      </w:r>
      <w:r w:rsidR="00E72C3A" w:rsidRPr="00FF3EC6">
        <w:rPr>
          <w:rFonts w:ascii="Arial" w:hAnsi="Arial" w:cs="Arial"/>
          <w:sz w:val="18"/>
          <w:szCs w:val="18"/>
          <w:vertAlign w:val="superscript"/>
          <w:lang w:val="en-GB"/>
        </w:rPr>
        <w:t>.</w:t>
      </w:r>
      <w:r w:rsidR="00E72C3A">
        <w:rPr>
          <w:rFonts w:ascii="Arial" w:hAnsi="Arial" w:cs="Arial"/>
          <w:sz w:val="18"/>
          <w:szCs w:val="18"/>
          <w:lang w:val="en-GB"/>
        </w:rPr>
        <w:tab/>
      </w:r>
      <w:r w:rsidRPr="00FF3EC6">
        <w:rPr>
          <w:rFonts w:ascii="Arial" w:hAnsi="Arial" w:cs="Arial"/>
          <w:sz w:val="18"/>
          <w:szCs w:val="18"/>
          <w:lang w:val="en-GB"/>
        </w:rPr>
        <w:t xml:space="preserve">See paragraph </w:t>
      </w:r>
      <w:r w:rsidRPr="00E31701">
        <w:rPr>
          <w:rFonts w:ascii="Arial" w:hAnsi="Arial" w:cs="Arial"/>
          <w:sz w:val="18"/>
          <w:szCs w:val="18"/>
          <w:lang w:val="en-GB"/>
        </w:rPr>
        <w:t>2</w:t>
      </w:r>
      <w:r w:rsidR="003C6536" w:rsidRPr="00E31701">
        <w:rPr>
          <w:rFonts w:ascii="Arial" w:hAnsi="Arial" w:cs="Arial"/>
          <w:sz w:val="18"/>
          <w:szCs w:val="18"/>
          <w:lang w:val="en-GB"/>
        </w:rPr>
        <w:t>6</w:t>
      </w:r>
      <w:r w:rsidRPr="00E31701">
        <w:rPr>
          <w:rFonts w:ascii="Arial" w:hAnsi="Arial" w:cs="Arial"/>
          <w:sz w:val="18"/>
          <w:szCs w:val="18"/>
          <w:lang w:val="en-GB"/>
        </w:rPr>
        <w:t xml:space="preserve"> of </w:t>
      </w:r>
      <w:hyperlink r:id="rId1" w:history="1">
        <w:r w:rsidRPr="00E31701">
          <w:rPr>
            <w:rStyle w:val="Hyperlink"/>
            <w:rFonts w:ascii="Arial" w:hAnsi="Arial" w:cs="Arial"/>
            <w:sz w:val="18"/>
            <w:szCs w:val="18"/>
            <w:lang w:val="en-GB"/>
          </w:rPr>
          <w:t>document LHE/19/14.COM/7</w:t>
        </w:r>
      </w:hyperlink>
      <w:r w:rsidRPr="00E31701">
        <w:rPr>
          <w:rFonts w:ascii="Arial" w:hAnsi="Arial" w:cs="Arial"/>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2279" w14:textId="3FC0F931" w:rsidR="000177B2" w:rsidRPr="00C23A97" w:rsidRDefault="000177B2" w:rsidP="00C5776D">
    <w:pPr>
      <w:pStyle w:val="Header"/>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Pr>
        <w:rFonts w:ascii="Arial" w:hAnsi="Arial" w:cs="Arial"/>
        <w:sz w:val="20"/>
        <w:szCs w:val="20"/>
        <w:lang w:val="en-GB"/>
      </w:rPr>
      <w:t>6</w:t>
    </w:r>
    <w:r w:rsidR="00DF4FD7">
      <w:rPr>
        <w:rFonts w:ascii="Arial" w:hAnsi="Arial" w:cs="Arial"/>
        <w:sz w:val="20"/>
        <w:szCs w:val="20"/>
        <w:lang w:val="en-GB"/>
      </w:rPr>
      <w:t> Rev.</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DE6B00">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3764" w14:textId="3D51EC33" w:rsidR="000177B2" w:rsidRPr="0063300C" w:rsidRDefault="000177B2" w:rsidP="00C5776D">
    <w:pPr>
      <w:pStyle w:val="Header"/>
      <w:jc w:val="right"/>
      <w:rPr>
        <w:rFonts w:ascii="Arial" w:hAnsi="Arial" w:cs="Arial"/>
        <w:lang w:val="en-GB"/>
      </w:rPr>
    </w:pPr>
    <w:r>
      <w:rPr>
        <w:rFonts w:ascii="Arial" w:hAnsi="Arial" w:cs="Arial"/>
        <w:sz w:val="20"/>
        <w:szCs w:val="20"/>
        <w:lang w:val="en-GB"/>
      </w:rPr>
      <w:t>LHE/19/14.COM</w:t>
    </w:r>
    <w:r w:rsidRPr="0063300C">
      <w:rPr>
        <w:rFonts w:ascii="Arial" w:hAnsi="Arial" w:cs="Arial"/>
        <w:sz w:val="20"/>
        <w:szCs w:val="20"/>
        <w:lang w:val="en-GB"/>
      </w:rPr>
      <w:t>/</w:t>
    </w:r>
    <w:r>
      <w:rPr>
        <w:rFonts w:ascii="Arial" w:hAnsi="Arial" w:cs="Arial"/>
        <w:sz w:val="20"/>
        <w:szCs w:val="20"/>
        <w:lang w:val="en-GB"/>
      </w:rPr>
      <w:t>6</w:t>
    </w:r>
    <w:r w:rsidR="00DF4FD7">
      <w:rPr>
        <w:rFonts w:ascii="Arial" w:hAnsi="Arial" w:cs="Arial"/>
        <w:sz w:val="20"/>
        <w:szCs w:val="20"/>
        <w:lang w:val="en-GB"/>
      </w:rPr>
      <w:t xml:space="preserve"> Rev.</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DE6B00">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3FC1" w14:textId="77777777" w:rsidR="000177B2" w:rsidRPr="00E95AE2" w:rsidRDefault="000177B2">
    <w:pPr>
      <w:pStyle w:val="Header"/>
      <w:rPr>
        <w:sz w:val="22"/>
        <w:szCs w:val="22"/>
        <w:lang w:val="en-GB"/>
      </w:rPr>
    </w:pPr>
    <w:r>
      <w:rPr>
        <w:noProof/>
      </w:rPr>
      <w:drawing>
        <wp:anchor distT="0" distB="0" distL="114300" distR="114300" simplePos="0" relativeHeight="251657728" behindDoc="0" locked="0" layoutInCell="1" allowOverlap="1" wp14:anchorId="52CB607D" wp14:editId="5F4175EC">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6B8D7" w14:textId="77777777" w:rsidR="000177B2" w:rsidRPr="00F30DC6" w:rsidRDefault="000177B2" w:rsidP="00C5776D">
    <w:pPr>
      <w:pStyle w:val="Header"/>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COM</w:t>
    </w:r>
  </w:p>
  <w:p w14:paraId="7FFDCEE4" w14:textId="3D662FF6" w:rsidR="000177B2" w:rsidRPr="009D5428" w:rsidRDefault="000177B2" w:rsidP="00C5776D">
    <w:pPr>
      <w:jc w:val="right"/>
      <w:rPr>
        <w:rFonts w:ascii="Arial" w:hAnsi="Arial" w:cs="Arial"/>
        <w:b/>
        <w:sz w:val="22"/>
        <w:szCs w:val="22"/>
        <w:lang w:val="en-GB"/>
      </w:rPr>
    </w:pPr>
    <w:r>
      <w:rPr>
        <w:rFonts w:ascii="Arial" w:hAnsi="Arial" w:cs="Arial"/>
        <w:b/>
        <w:sz w:val="22"/>
        <w:szCs w:val="22"/>
        <w:lang w:val="en-GB"/>
      </w:rPr>
      <w:t>LHE/19</w:t>
    </w:r>
    <w:r w:rsidRPr="009D5428">
      <w:rPr>
        <w:rFonts w:ascii="Arial" w:hAnsi="Arial" w:cs="Arial"/>
        <w:b/>
        <w:sz w:val="22"/>
        <w:szCs w:val="22"/>
        <w:lang w:val="en-GB"/>
      </w:rPr>
      <w:t>/</w:t>
    </w:r>
    <w:r>
      <w:rPr>
        <w:rFonts w:ascii="Arial" w:hAnsi="Arial" w:cs="Arial"/>
        <w:b/>
        <w:sz w:val="22"/>
        <w:szCs w:val="22"/>
        <w:lang w:val="en-GB"/>
      </w:rPr>
      <w:t>14</w:t>
    </w:r>
    <w:r w:rsidRPr="009D5428">
      <w:rPr>
        <w:rFonts w:ascii="Arial" w:hAnsi="Arial" w:cs="Arial"/>
        <w:b/>
        <w:sz w:val="22"/>
        <w:szCs w:val="22"/>
        <w:lang w:val="en-GB"/>
      </w:rPr>
      <w:t>.</w:t>
    </w:r>
    <w:r w:rsidRPr="009E3083">
      <w:rPr>
        <w:rFonts w:ascii="Arial" w:hAnsi="Arial" w:cs="Arial"/>
        <w:b/>
        <w:sz w:val="22"/>
        <w:szCs w:val="22"/>
        <w:lang w:val="en-GB"/>
      </w:rPr>
      <w:t>COM/</w:t>
    </w:r>
    <w:r w:rsidRPr="002F6363">
      <w:rPr>
        <w:rFonts w:ascii="Arial" w:hAnsi="Arial" w:cs="Arial"/>
        <w:b/>
        <w:sz w:val="22"/>
        <w:szCs w:val="22"/>
        <w:lang w:val="en-GB"/>
      </w:rPr>
      <w:t>6</w:t>
    </w:r>
    <w:r w:rsidR="00DF4FD7">
      <w:rPr>
        <w:rFonts w:ascii="Arial" w:hAnsi="Arial" w:cs="Arial"/>
        <w:b/>
        <w:sz w:val="22"/>
        <w:szCs w:val="22"/>
        <w:lang w:val="en-GB"/>
      </w:rPr>
      <w:t xml:space="preserve"> Rev.</w:t>
    </w:r>
  </w:p>
  <w:p w14:paraId="46F70946" w14:textId="37CD3F2D" w:rsidR="000177B2" w:rsidRPr="00337CEB" w:rsidRDefault="000177B2"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DF4FD7">
      <w:rPr>
        <w:rFonts w:ascii="Arial" w:hAnsi="Arial" w:cs="Arial"/>
        <w:b/>
        <w:sz w:val="22"/>
        <w:szCs w:val="22"/>
        <w:lang w:val="en-GB"/>
      </w:rPr>
      <w:t>1</w:t>
    </w:r>
    <w:r w:rsidR="00E97750">
      <w:rPr>
        <w:rFonts w:ascii="Arial" w:hAnsi="Arial" w:cs="Arial"/>
        <w:b/>
        <w:sz w:val="22"/>
        <w:szCs w:val="22"/>
        <w:lang w:val="en-GB"/>
      </w:rPr>
      <w:t>8</w:t>
    </w:r>
    <w:r w:rsidR="00DF4FD7">
      <w:rPr>
        <w:rFonts w:ascii="Arial" w:hAnsi="Arial" w:cs="Arial"/>
        <w:b/>
        <w:sz w:val="22"/>
        <w:szCs w:val="22"/>
        <w:lang w:val="en-GB"/>
      </w:rPr>
      <w:t xml:space="preserve"> </w:t>
    </w:r>
    <w:r w:rsidR="0046769D">
      <w:rPr>
        <w:rFonts w:ascii="Arial" w:hAnsi="Arial" w:cs="Arial"/>
        <w:b/>
        <w:sz w:val="22"/>
        <w:szCs w:val="22"/>
        <w:lang w:val="en-GB"/>
      </w:rPr>
      <w:t>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9</w:t>
    </w:r>
  </w:p>
  <w:p w14:paraId="0E2B936E" w14:textId="77777777" w:rsidR="000177B2" w:rsidRPr="00F32C23" w:rsidRDefault="000177B2"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Pr="0065262E">
      <w:rPr>
        <w:rFonts w:ascii="Arial" w:hAnsi="Arial" w:cs="Arial"/>
        <w:b/>
        <w:sz w:val="22"/>
        <w:szCs w:val="22"/>
        <w:lang w:val="en-GB"/>
      </w:rPr>
      <w:t>English</w:t>
    </w:r>
  </w:p>
  <w:p w14:paraId="38C3A400" w14:textId="77777777" w:rsidR="000177B2" w:rsidRPr="00E95AE2" w:rsidRDefault="000177B2">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6E37"/>
    <w:multiLevelType w:val="hybridMultilevel"/>
    <w:tmpl w:val="13E6AA80"/>
    <w:lvl w:ilvl="0" w:tplc="E26C050C">
      <w:start w:val="2"/>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5581F5C"/>
    <w:multiLevelType w:val="hybridMultilevel"/>
    <w:tmpl w:val="AE0694E4"/>
    <w:lvl w:ilvl="0" w:tplc="A5B6CC14">
      <w:start w:val="1"/>
      <w:numFmt w:val="upperLetter"/>
      <w:lvlText w:val="%1."/>
      <w:lvlJc w:val="left"/>
      <w:pPr>
        <w:ind w:left="644"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A236CEC"/>
    <w:multiLevelType w:val="hybridMultilevel"/>
    <w:tmpl w:val="BFC0A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F07BFE"/>
    <w:multiLevelType w:val="hybridMultilevel"/>
    <w:tmpl w:val="C3681114"/>
    <w:lvl w:ilvl="0" w:tplc="6C36E7E0">
      <w:start w:val="1"/>
      <w:numFmt w:val="decimal"/>
      <w:pStyle w:val="COMPara"/>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C1100D9C"/>
    <w:lvl w:ilvl="0" w:tplc="67C2F190">
      <w:start w:val="1"/>
      <w:numFmt w:val="decimal"/>
      <w:pStyle w:val="COMParaDecision"/>
      <w:lvlText w:val="%1."/>
      <w:lvlJc w:val="left"/>
      <w:pPr>
        <w:ind w:left="1287" w:hanging="360"/>
      </w:pPr>
      <w:rPr>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8D1B1F"/>
    <w:multiLevelType w:val="hybridMultilevel"/>
    <w:tmpl w:val="6F1A9FD8"/>
    <w:lvl w:ilvl="0" w:tplc="74FC4D14">
      <w:start w:val="1"/>
      <w:numFmt w:val="decimal"/>
      <w:lvlText w:val="%1."/>
      <w:lvlJc w:val="left"/>
      <w:pPr>
        <w:ind w:left="720" w:hanging="360"/>
      </w:pPr>
      <w:rPr>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283E26"/>
    <w:multiLevelType w:val="hybridMultilevel"/>
    <w:tmpl w:val="D786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16"/>
  </w:num>
  <w:num w:numId="5">
    <w:abstractNumId w:val="14"/>
  </w:num>
  <w:num w:numId="6">
    <w:abstractNumId w:val="2"/>
  </w:num>
  <w:num w:numId="7">
    <w:abstractNumId w:val="5"/>
  </w:num>
  <w:num w:numId="8">
    <w:abstractNumId w:val="11"/>
  </w:num>
  <w:num w:numId="9">
    <w:abstractNumId w:val="6"/>
  </w:num>
  <w:num w:numId="10">
    <w:abstractNumId w:val="8"/>
  </w:num>
  <w:num w:numId="11">
    <w:abstractNumId w:val="10"/>
  </w:num>
  <w:num w:numId="12">
    <w:abstractNumId w:val="9"/>
  </w:num>
  <w:num w:numId="13">
    <w:abstractNumId w:val="6"/>
    <w:lvlOverride w:ilvl="0">
      <w:startOverride w:val="1"/>
    </w:lvlOverride>
  </w:num>
  <w:num w:numId="14">
    <w:abstractNumId w:val="1"/>
  </w:num>
  <w:num w:numId="15">
    <w:abstractNumId w:val="3"/>
  </w:num>
  <w:num w:numId="16">
    <w:abstractNumId w:val="15"/>
  </w:num>
  <w:num w:numId="17">
    <w:abstractNumId w:val="6"/>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DD8"/>
    <w:rsid w:val="0000390F"/>
    <w:rsid w:val="000048ED"/>
    <w:rsid w:val="00016F40"/>
    <w:rsid w:val="000177B2"/>
    <w:rsid w:val="000255A7"/>
    <w:rsid w:val="0003327C"/>
    <w:rsid w:val="00036885"/>
    <w:rsid w:val="00041A66"/>
    <w:rsid w:val="000449E6"/>
    <w:rsid w:val="000450F2"/>
    <w:rsid w:val="0005176E"/>
    <w:rsid w:val="00060250"/>
    <w:rsid w:val="00066EDC"/>
    <w:rsid w:val="0006736F"/>
    <w:rsid w:val="00067ACD"/>
    <w:rsid w:val="00074588"/>
    <w:rsid w:val="000765F7"/>
    <w:rsid w:val="00077AB7"/>
    <w:rsid w:val="00081CD8"/>
    <w:rsid w:val="00084A36"/>
    <w:rsid w:val="00085BDB"/>
    <w:rsid w:val="000A3204"/>
    <w:rsid w:val="000A7F0E"/>
    <w:rsid w:val="000B1C8F"/>
    <w:rsid w:val="000C0D61"/>
    <w:rsid w:val="000D5EC6"/>
    <w:rsid w:val="000D60A4"/>
    <w:rsid w:val="000E22A7"/>
    <w:rsid w:val="000E3C45"/>
    <w:rsid w:val="000E4FC3"/>
    <w:rsid w:val="000F3A3F"/>
    <w:rsid w:val="0010113B"/>
    <w:rsid w:val="00102557"/>
    <w:rsid w:val="00102935"/>
    <w:rsid w:val="00113359"/>
    <w:rsid w:val="00114C55"/>
    <w:rsid w:val="0013124C"/>
    <w:rsid w:val="00131C44"/>
    <w:rsid w:val="00142B8D"/>
    <w:rsid w:val="00164D56"/>
    <w:rsid w:val="00166760"/>
    <w:rsid w:val="00167B10"/>
    <w:rsid w:val="001714D2"/>
    <w:rsid w:val="0017402F"/>
    <w:rsid w:val="001742DB"/>
    <w:rsid w:val="00186C84"/>
    <w:rsid w:val="0019456B"/>
    <w:rsid w:val="00196C1B"/>
    <w:rsid w:val="001B0F73"/>
    <w:rsid w:val="001C2DB7"/>
    <w:rsid w:val="001C41D1"/>
    <w:rsid w:val="001D14FE"/>
    <w:rsid w:val="001D5C04"/>
    <w:rsid w:val="001D7B23"/>
    <w:rsid w:val="001F26CF"/>
    <w:rsid w:val="001F3BEC"/>
    <w:rsid w:val="001F42C3"/>
    <w:rsid w:val="001F7E02"/>
    <w:rsid w:val="00202F90"/>
    <w:rsid w:val="0022012B"/>
    <w:rsid w:val="00222A2D"/>
    <w:rsid w:val="00223029"/>
    <w:rsid w:val="00234745"/>
    <w:rsid w:val="002351A6"/>
    <w:rsid w:val="002365FA"/>
    <w:rsid w:val="002407AF"/>
    <w:rsid w:val="002425EF"/>
    <w:rsid w:val="002719D0"/>
    <w:rsid w:val="00273A00"/>
    <w:rsid w:val="0027466B"/>
    <w:rsid w:val="0028113B"/>
    <w:rsid w:val="002831D4"/>
    <w:rsid w:val="002838A5"/>
    <w:rsid w:val="00283E2F"/>
    <w:rsid w:val="002841CE"/>
    <w:rsid w:val="00285BB4"/>
    <w:rsid w:val="002B2453"/>
    <w:rsid w:val="002B4C2E"/>
    <w:rsid w:val="002C09E3"/>
    <w:rsid w:val="002E081E"/>
    <w:rsid w:val="002F22F6"/>
    <w:rsid w:val="002F6363"/>
    <w:rsid w:val="0030587F"/>
    <w:rsid w:val="00325105"/>
    <w:rsid w:val="00337CEB"/>
    <w:rsid w:val="00341E01"/>
    <w:rsid w:val="00344B58"/>
    <w:rsid w:val="0034539A"/>
    <w:rsid w:val="00345CB4"/>
    <w:rsid w:val="00347FEF"/>
    <w:rsid w:val="0037409B"/>
    <w:rsid w:val="00375D42"/>
    <w:rsid w:val="00377847"/>
    <w:rsid w:val="00382A34"/>
    <w:rsid w:val="003B2ACE"/>
    <w:rsid w:val="003C2BC0"/>
    <w:rsid w:val="003C3703"/>
    <w:rsid w:val="003C63DB"/>
    <w:rsid w:val="003C6536"/>
    <w:rsid w:val="003D069C"/>
    <w:rsid w:val="003D4488"/>
    <w:rsid w:val="003D4BE8"/>
    <w:rsid w:val="003D7646"/>
    <w:rsid w:val="003D7BC3"/>
    <w:rsid w:val="003E273F"/>
    <w:rsid w:val="003F113A"/>
    <w:rsid w:val="003F18D0"/>
    <w:rsid w:val="003F3E63"/>
    <w:rsid w:val="00407480"/>
    <w:rsid w:val="00407CB8"/>
    <w:rsid w:val="00410A4F"/>
    <w:rsid w:val="00414643"/>
    <w:rsid w:val="00424390"/>
    <w:rsid w:val="0043764C"/>
    <w:rsid w:val="004421E5"/>
    <w:rsid w:val="0044772E"/>
    <w:rsid w:val="00451E3D"/>
    <w:rsid w:val="00452284"/>
    <w:rsid w:val="004525A9"/>
    <w:rsid w:val="00457C8E"/>
    <w:rsid w:val="004608CE"/>
    <w:rsid w:val="0046769D"/>
    <w:rsid w:val="00473148"/>
    <w:rsid w:val="00476800"/>
    <w:rsid w:val="004773A9"/>
    <w:rsid w:val="004856CA"/>
    <w:rsid w:val="00487E67"/>
    <w:rsid w:val="0049705E"/>
    <w:rsid w:val="004A185A"/>
    <w:rsid w:val="004A34A0"/>
    <w:rsid w:val="004D5EC8"/>
    <w:rsid w:val="004E0E9E"/>
    <w:rsid w:val="004E138E"/>
    <w:rsid w:val="004E2857"/>
    <w:rsid w:val="004E2909"/>
    <w:rsid w:val="004E3B4B"/>
    <w:rsid w:val="004E4787"/>
    <w:rsid w:val="004F24DD"/>
    <w:rsid w:val="0050055D"/>
    <w:rsid w:val="005008A8"/>
    <w:rsid w:val="005157E0"/>
    <w:rsid w:val="005222A0"/>
    <w:rsid w:val="00525C98"/>
    <w:rsid w:val="00526B7B"/>
    <w:rsid w:val="005308CE"/>
    <w:rsid w:val="00532BEC"/>
    <w:rsid w:val="0053318C"/>
    <w:rsid w:val="00536CF1"/>
    <w:rsid w:val="00544C71"/>
    <w:rsid w:val="00557235"/>
    <w:rsid w:val="00565935"/>
    <w:rsid w:val="0057422D"/>
    <w:rsid w:val="0057439C"/>
    <w:rsid w:val="00581BAE"/>
    <w:rsid w:val="005A385C"/>
    <w:rsid w:val="005A775D"/>
    <w:rsid w:val="005B0127"/>
    <w:rsid w:val="005B5F04"/>
    <w:rsid w:val="005B5F26"/>
    <w:rsid w:val="005B7A35"/>
    <w:rsid w:val="005C02EC"/>
    <w:rsid w:val="005C389A"/>
    <w:rsid w:val="005C4B73"/>
    <w:rsid w:val="005E1D2B"/>
    <w:rsid w:val="005E29A7"/>
    <w:rsid w:val="005E7074"/>
    <w:rsid w:val="005F2BAF"/>
    <w:rsid w:val="00600D93"/>
    <w:rsid w:val="00602AB9"/>
    <w:rsid w:val="006040E6"/>
    <w:rsid w:val="0061679F"/>
    <w:rsid w:val="00616AE2"/>
    <w:rsid w:val="00620866"/>
    <w:rsid w:val="0063300C"/>
    <w:rsid w:val="00633477"/>
    <w:rsid w:val="00636427"/>
    <w:rsid w:val="00646518"/>
    <w:rsid w:val="0065262E"/>
    <w:rsid w:val="00655736"/>
    <w:rsid w:val="00663B8D"/>
    <w:rsid w:val="0067219F"/>
    <w:rsid w:val="00673B56"/>
    <w:rsid w:val="00676B96"/>
    <w:rsid w:val="00686C34"/>
    <w:rsid w:val="006874EF"/>
    <w:rsid w:val="00696C8D"/>
    <w:rsid w:val="006A2AC2"/>
    <w:rsid w:val="006A2C4B"/>
    <w:rsid w:val="006A3617"/>
    <w:rsid w:val="006A73C1"/>
    <w:rsid w:val="006B5452"/>
    <w:rsid w:val="006C0A91"/>
    <w:rsid w:val="006D56FA"/>
    <w:rsid w:val="006D643D"/>
    <w:rsid w:val="006D7B52"/>
    <w:rsid w:val="006E46E4"/>
    <w:rsid w:val="006E6B6B"/>
    <w:rsid w:val="006F25DD"/>
    <w:rsid w:val="007014B3"/>
    <w:rsid w:val="00710FD8"/>
    <w:rsid w:val="00711573"/>
    <w:rsid w:val="00717DA5"/>
    <w:rsid w:val="00737E12"/>
    <w:rsid w:val="00740F08"/>
    <w:rsid w:val="00744266"/>
    <w:rsid w:val="00744484"/>
    <w:rsid w:val="00747566"/>
    <w:rsid w:val="00755EA6"/>
    <w:rsid w:val="00766FDD"/>
    <w:rsid w:val="00773188"/>
    <w:rsid w:val="00783782"/>
    <w:rsid w:val="00784B8C"/>
    <w:rsid w:val="007879E1"/>
    <w:rsid w:val="00795D8B"/>
    <w:rsid w:val="0079713B"/>
    <w:rsid w:val="007C1309"/>
    <w:rsid w:val="007E2C5C"/>
    <w:rsid w:val="007E660D"/>
    <w:rsid w:val="007F2974"/>
    <w:rsid w:val="00800EFF"/>
    <w:rsid w:val="00801B78"/>
    <w:rsid w:val="00802DE7"/>
    <w:rsid w:val="00806BC6"/>
    <w:rsid w:val="00813753"/>
    <w:rsid w:val="008238F3"/>
    <w:rsid w:val="00823A11"/>
    <w:rsid w:val="008368EF"/>
    <w:rsid w:val="0083711F"/>
    <w:rsid w:val="0085405E"/>
    <w:rsid w:val="0085414A"/>
    <w:rsid w:val="0086269D"/>
    <w:rsid w:val="00863BBC"/>
    <w:rsid w:val="0086543A"/>
    <w:rsid w:val="008724E5"/>
    <w:rsid w:val="008740E6"/>
    <w:rsid w:val="008826F8"/>
    <w:rsid w:val="00884A9D"/>
    <w:rsid w:val="0088512B"/>
    <w:rsid w:val="008922DF"/>
    <w:rsid w:val="00895E54"/>
    <w:rsid w:val="008A2B2D"/>
    <w:rsid w:val="008A4E1E"/>
    <w:rsid w:val="008A723F"/>
    <w:rsid w:val="008B34F6"/>
    <w:rsid w:val="008C296C"/>
    <w:rsid w:val="008D4305"/>
    <w:rsid w:val="008D538C"/>
    <w:rsid w:val="008D592C"/>
    <w:rsid w:val="008E1A85"/>
    <w:rsid w:val="008E73E5"/>
    <w:rsid w:val="008F688B"/>
    <w:rsid w:val="00902D71"/>
    <w:rsid w:val="00903F4C"/>
    <w:rsid w:val="009054C7"/>
    <w:rsid w:val="00905CB2"/>
    <w:rsid w:val="009163A7"/>
    <w:rsid w:val="00917B1A"/>
    <w:rsid w:val="00925327"/>
    <w:rsid w:val="009258BB"/>
    <w:rsid w:val="00941F84"/>
    <w:rsid w:val="00946518"/>
    <w:rsid w:val="00946D0B"/>
    <w:rsid w:val="00947AB4"/>
    <w:rsid w:val="009535BA"/>
    <w:rsid w:val="00955877"/>
    <w:rsid w:val="00965C3B"/>
    <w:rsid w:val="0098262F"/>
    <w:rsid w:val="0098585B"/>
    <w:rsid w:val="009A18CD"/>
    <w:rsid w:val="009A1E8B"/>
    <w:rsid w:val="009A2A54"/>
    <w:rsid w:val="009A32AB"/>
    <w:rsid w:val="009A71BC"/>
    <w:rsid w:val="009B092E"/>
    <w:rsid w:val="009B0DD0"/>
    <w:rsid w:val="009C12A3"/>
    <w:rsid w:val="009D1D07"/>
    <w:rsid w:val="009D252A"/>
    <w:rsid w:val="009D5428"/>
    <w:rsid w:val="009D5B1E"/>
    <w:rsid w:val="009E3083"/>
    <w:rsid w:val="009F1E92"/>
    <w:rsid w:val="009F5D8D"/>
    <w:rsid w:val="009F7266"/>
    <w:rsid w:val="009F7A56"/>
    <w:rsid w:val="00A12558"/>
    <w:rsid w:val="00A13903"/>
    <w:rsid w:val="00A1427B"/>
    <w:rsid w:val="00A205A6"/>
    <w:rsid w:val="00A20776"/>
    <w:rsid w:val="00A34ED5"/>
    <w:rsid w:val="00A356BE"/>
    <w:rsid w:val="00A45DBF"/>
    <w:rsid w:val="00A4684C"/>
    <w:rsid w:val="00A5101C"/>
    <w:rsid w:val="00A60AD9"/>
    <w:rsid w:val="00A67899"/>
    <w:rsid w:val="00A755A2"/>
    <w:rsid w:val="00A76F88"/>
    <w:rsid w:val="00A82CA1"/>
    <w:rsid w:val="00A94D32"/>
    <w:rsid w:val="00AA5FD3"/>
    <w:rsid w:val="00AA6660"/>
    <w:rsid w:val="00AB1FD6"/>
    <w:rsid w:val="00AB2C36"/>
    <w:rsid w:val="00AB6285"/>
    <w:rsid w:val="00AB6DDE"/>
    <w:rsid w:val="00AB70B6"/>
    <w:rsid w:val="00AC1340"/>
    <w:rsid w:val="00AD0342"/>
    <w:rsid w:val="00AD1A86"/>
    <w:rsid w:val="00AD4D75"/>
    <w:rsid w:val="00AE049E"/>
    <w:rsid w:val="00AE103E"/>
    <w:rsid w:val="00AE6069"/>
    <w:rsid w:val="00AF0A07"/>
    <w:rsid w:val="00AF0E51"/>
    <w:rsid w:val="00AF4AEC"/>
    <w:rsid w:val="00AF625E"/>
    <w:rsid w:val="00B035B0"/>
    <w:rsid w:val="00B139BE"/>
    <w:rsid w:val="00B24212"/>
    <w:rsid w:val="00B25855"/>
    <w:rsid w:val="00B35462"/>
    <w:rsid w:val="00B3682E"/>
    <w:rsid w:val="00B444B7"/>
    <w:rsid w:val="00B47645"/>
    <w:rsid w:val="00B659A3"/>
    <w:rsid w:val="00B71DE1"/>
    <w:rsid w:val="00B74458"/>
    <w:rsid w:val="00B82B0A"/>
    <w:rsid w:val="00B87D19"/>
    <w:rsid w:val="00B92CEA"/>
    <w:rsid w:val="00B943D8"/>
    <w:rsid w:val="00B971CB"/>
    <w:rsid w:val="00BA241A"/>
    <w:rsid w:val="00BA3394"/>
    <w:rsid w:val="00BB04AF"/>
    <w:rsid w:val="00BD52C9"/>
    <w:rsid w:val="00BE5FBB"/>
    <w:rsid w:val="00BE6354"/>
    <w:rsid w:val="00BF1460"/>
    <w:rsid w:val="00BF1658"/>
    <w:rsid w:val="00BF1B64"/>
    <w:rsid w:val="00C0272A"/>
    <w:rsid w:val="00C1288B"/>
    <w:rsid w:val="00C138D1"/>
    <w:rsid w:val="00C15B12"/>
    <w:rsid w:val="00C20A2E"/>
    <w:rsid w:val="00C23A97"/>
    <w:rsid w:val="00C25232"/>
    <w:rsid w:val="00C37F98"/>
    <w:rsid w:val="00C4115B"/>
    <w:rsid w:val="00C42925"/>
    <w:rsid w:val="00C45F66"/>
    <w:rsid w:val="00C464A8"/>
    <w:rsid w:val="00C50620"/>
    <w:rsid w:val="00C5776D"/>
    <w:rsid w:val="00C61CFA"/>
    <w:rsid w:val="00C64855"/>
    <w:rsid w:val="00C70EA7"/>
    <w:rsid w:val="00C7433F"/>
    <w:rsid w:val="00C7516E"/>
    <w:rsid w:val="00C75770"/>
    <w:rsid w:val="00C816A1"/>
    <w:rsid w:val="00C87917"/>
    <w:rsid w:val="00C96C52"/>
    <w:rsid w:val="00CA56BB"/>
    <w:rsid w:val="00CB0542"/>
    <w:rsid w:val="00CB245D"/>
    <w:rsid w:val="00CB68FC"/>
    <w:rsid w:val="00CC1E26"/>
    <w:rsid w:val="00CE66DC"/>
    <w:rsid w:val="00CF2830"/>
    <w:rsid w:val="00D00B2B"/>
    <w:rsid w:val="00D00C81"/>
    <w:rsid w:val="00D1325B"/>
    <w:rsid w:val="00D14934"/>
    <w:rsid w:val="00D24877"/>
    <w:rsid w:val="00D301B6"/>
    <w:rsid w:val="00D31FBD"/>
    <w:rsid w:val="00D366EC"/>
    <w:rsid w:val="00D55D1E"/>
    <w:rsid w:val="00D61FB8"/>
    <w:rsid w:val="00D6428B"/>
    <w:rsid w:val="00D81F65"/>
    <w:rsid w:val="00D8250F"/>
    <w:rsid w:val="00D86B5B"/>
    <w:rsid w:val="00D95C4C"/>
    <w:rsid w:val="00DA294F"/>
    <w:rsid w:val="00DA36ED"/>
    <w:rsid w:val="00DC32AA"/>
    <w:rsid w:val="00DC5FEE"/>
    <w:rsid w:val="00DD0E72"/>
    <w:rsid w:val="00DD12CF"/>
    <w:rsid w:val="00DD23E6"/>
    <w:rsid w:val="00DD4EB7"/>
    <w:rsid w:val="00DE34F1"/>
    <w:rsid w:val="00DE6160"/>
    <w:rsid w:val="00DE6B00"/>
    <w:rsid w:val="00DE7D29"/>
    <w:rsid w:val="00DF4721"/>
    <w:rsid w:val="00DF4942"/>
    <w:rsid w:val="00DF4FD7"/>
    <w:rsid w:val="00E13542"/>
    <w:rsid w:val="00E216FB"/>
    <w:rsid w:val="00E244E1"/>
    <w:rsid w:val="00E31701"/>
    <w:rsid w:val="00E34DCB"/>
    <w:rsid w:val="00E41C81"/>
    <w:rsid w:val="00E46675"/>
    <w:rsid w:val="00E47775"/>
    <w:rsid w:val="00E51455"/>
    <w:rsid w:val="00E53C52"/>
    <w:rsid w:val="00E61ED4"/>
    <w:rsid w:val="00E627B1"/>
    <w:rsid w:val="00E6479E"/>
    <w:rsid w:val="00E652B4"/>
    <w:rsid w:val="00E66963"/>
    <w:rsid w:val="00E66F05"/>
    <w:rsid w:val="00E70169"/>
    <w:rsid w:val="00E72038"/>
    <w:rsid w:val="00E72C3A"/>
    <w:rsid w:val="00E72F18"/>
    <w:rsid w:val="00E74460"/>
    <w:rsid w:val="00E919C6"/>
    <w:rsid w:val="00E9376C"/>
    <w:rsid w:val="00E95AE2"/>
    <w:rsid w:val="00E97750"/>
    <w:rsid w:val="00EA1D33"/>
    <w:rsid w:val="00EA335E"/>
    <w:rsid w:val="00EA528C"/>
    <w:rsid w:val="00EA580C"/>
    <w:rsid w:val="00EB4984"/>
    <w:rsid w:val="00EC6D36"/>
    <w:rsid w:val="00EC6F8D"/>
    <w:rsid w:val="00ED0FD1"/>
    <w:rsid w:val="00EE13FA"/>
    <w:rsid w:val="00EE49F4"/>
    <w:rsid w:val="00EF34E2"/>
    <w:rsid w:val="00F26F38"/>
    <w:rsid w:val="00F30DC6"/>
    <w:rsid w:val="00F32C23"/>
    <w:rsid w:val="00F37F37"/>
    <w:rsid w:val="00F53DE9"/>
    <w:rsid w:val="00F576CB"/>
    <w:rsid w:val="00F62634"/>
    <w:rsid w:val="00F7035D"/>
    <w:rsid w:val="00F71A02"/>
    <w:rsid w:val="00F74288"/>
    <w:rsid w:val="00F8216F"/>
    <w:rsid w:val="00F84720"/>
    <w:rsid w:val="00FA0D63"/>
    <w:rsid w:val="00FA673A"/>
    <w:rsid w:val="00FC0F6B"/>
    <w:rsid w:val="00FC4DB3"/>
    <w:rsid w:val="00FD1226"/>
    <w:rsid w:val="00FE2871"/>
    <w:rsid w:val="00FF3EC6"/>
    <w:rsid w:val="00FF419D"/>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741BBF"/>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D4488"/>
    <w:rPr>
      <w:sz w:val="16"/>
      <w:szCs w:val="16"/>
    </w:rPr>
  </w:style>
  <w:style w:type="paragraph" w:styleId="CommentText">
    <w:name w:val="annotation text"/>
    <w:basedOn w:val="Normal"/>
    <w:link w:val="CommentTextChar"/>
    <w:uiPriority w:val="99"/>
    <w:semiHidden/>
    <w:unhideWhenUsed/>
    <w:rsid w:val="003D4488"/>
    <w:rPr>
      <w:sz w:val="20"/>
      <w:szCs w:val="20"/>
    </w:rPr>
  </w:style>
  <w:style w:type="character" w:customStyle="1" w:styleId="CommentTextChar">
    <w:name w:val="Comment Text Char"/>
    <w:basedOn w:val="DefaultParagraphFont"/>
    <w:link w:val="CommentText"/>
    <w:uiPriority w:val="99"/>
    <w:semiHidden/>
    <w:rsid w:val="003D448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4488"/>
    <w:rPr>
      <w:b/>
      <w:bCs/>
    </w:rPr>
  </w:style>
  <w:style w:type="character" w:customStyle="1" w:styleId="CommentSubjectChar">
    <w:name w:val="Comment Subject Char"/>
    <w:basedOn w:val="CommentTextChar"/>
    <w:link w:val="CommentSubject"/>
    <w:uiPriority w:val="99"/>
    <w:semiHidden/>
    <w:rsid w:val="003D4488"/>
    <w:rPr>
      <w:rFonts w:ascii="Times New Roman" w:eastAsia="Times New Roman" w:hAnsi="Times New Roman"/>
      <w:b/>
      <w:bCs/>
    </w:rPr>
  </w:style>
  <w:style w:type="character" w:styleId="Hyperlink">
    <w:name w:val="Hyperlink"/>
    <w:basedOn w:val="DefaultParagraphFont"/>
    <w:uiPriority w:val="99"/>
    <w:unhideWhenUsed/>
    <w:rsid w:val="00114C55"/>
    <w:rPr>
      <w:color w:val="0000FF" w:themeColor="hyperlink"/>
      <w:u w:val="single"/>
    </w:rPr>
  </w:style>
  <w:style w:type="character" w:styleId="FollowedHyperlink">
    <w:name w:val="FollowedHyperlink"/>
    <w:basedOn w:val="DefaultParagraphFont"/>
    <w:uiPriority w:val="99"/>
    <w:semiHidden/>
    <w:unhideWhenUsed/>
    <w:rsid w:val="00B92CEA"/>
    <w:rPr>
      <w:color w:val="800080" w:themeColor="followedHyperlink"/>
      <w:u w:val="single"/>
    </w:rPr>
  </w:style>
  <w:style w:type="paragraph" w:styleId="ListParagraph">
    <w:name w:val="List Paragraph"/>
    <w:basedOn w:val="Normal"/>
    <w:uiPriority w:val="34"/>
    <w:qFormat/>
    <w:rsid w:val="000D60A4"/>
    <w:pPr>
      <w:ind w:left="720"/>
      <w:contextualSpacing/>
    </w:pPr>
  </w:style>
  <w:style w:type="paragraph" w:styleId="FootnoteText">
    <w:name w:val="footnote text"/>
    <w:basedOn w:val="Normal"/>
    <w:link w:val="FootnoteTextChar"/>
    <w:uiPriority w:val="99"/>
    <w:semiHidden/>
    <w:unhideWhenUsed/>
    <w:rsid w:val="00AB6285"/>
    <w:rPr>
      <w:sz w:val="20"/>
      <w:szCs w:val="20"/>
    </w:rPr>
  </w:style>
  <w:style w:type="character" w:customStyle="1" w:styleId="FootnoteTextChar">
    <w:name w:val="Footnote Text Char"/>
    <w:basedOn w:val="DefaultParagraphFont"/>
    <w:link w:val="FootnoteText"/>
    <w:uiPriority w:val="99"/>
    <w:semiHidden/>
    <w:rsid w:val="00AB6285"/>
    <w:rPr>
      <w:rFonts w:ascii="Times New Roman" w:eastAsia="Times New Roman" w:hAnsi="Times New Roman"/>
    </w:rPr>
  </w:style>
  <w:style w:type="character" w:styleId="FootnoteReference">
    <w:name w:val="footnote reference"/>
    <w:basedOn w:val="DefaultParagraphFont"/>
    <w:unhideWhenUsed/>
    <w:rsid w:val="00AB6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6" TargetMode="External"/><Relationship Id="rId13" Type="http://schemas.openxmlformats.org/officeDocument/2006/relationships/hyperlink" Target="https://ich.unesco.org/doc/src/LHE-19-14.COM-INF.7-EN.docx" TargetMode="External"/><Relationship Id="rId18" Type="http://schemas.openxmlformats.org/officeDocument/2006/relationships/hyperlink" Target="https://ich.unesco.org/en/projects/strengthening-national-capacities-for-safeguarding-intangible-cultural-heritage-in-guatemala-00372" TargetMode="External"/><Relationship Id="rId26" Type="http://schemas.openxmlformats.org/officeDocument/2006/relationships/hyperlink" Target="https://ich.unesco.org/en/Decisions/13.COM/6" TargetMode="External"/><Relationship Id="rId3" Type="http://schemas.openxmlformats.org/officeDocument/2006/relationships/styles" Target="styles.xml"/><Relationship Id="rId21" Type="http://schemas.openxmlformats.org/officeDocument/2006/relationships/hyperlink" Target="https://ich.unesco.org/en/projects/strengthening-the-capacities-of-suriname-and-dutch-caribbean-islands-for-implementing-the-convention-for-the-safeguarding-of-the-intangible-cultural-heritage-00328" TargetMode="External"/><Relationship Id="rId7" Type="http://schemas.openxmlformats.org/officeDocument/2006/relationships/endnotes" Target="endnotes.xml"/><Relationship Id="rId12" Type="http://schemas.openxmlformats.org/officeDocument/2006/relationships/hyperlink" Target="https://ich.unesco.org/doc/src/LHE-19-14.COM-7-EN.docx" TargetMode="External"/><Relationship Id="rId17" Type="http://schemas.openxmlformats.org/officeDocument/2006/relationships/hyperlink" Target="https://ich.unesco.org/en/projects/safeguarding-intangible-cultural-heritage-through-strengthening-national-capacities-in-morocco-mauritania-and-tunisia-00281" TargetMode="External"/><Relationship Id="rId25" Type="http://schemas.openxmlformats.org/officeDocument/2006/relationships/hyperlink" Target="https://whc.unesco.org/document/168796" TargetMode="External"/><Relationship Id="rId2" Type="http://schemas.openxmlformats.org/officeDocument/2006/relationships/numbering" Target="numbering.xml"/><Relationship Id="rId16" Type="http://schemas.openxmlformats.org/officeDocument/2006/relationships/hyperlink" Target="https://ich.unesco.org/en/Decisions/12.COM/6" TargetMode="External"/><Relationship Id="rId20" Type="http://schemas.openxmlformats.org/officeDocument/2006/relationships/hyperlink" Target="https://ich.unesco.org/en/projects/strengthening-the-capacities-of-eritrea-for-implementing-the-convention-for-the-safeguarding-of-the-intangible-cultural-heritage-002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6" TargetMode="External"/><Relationship Id="rId24" Type="http://schemas.openxmlformats.org/officeDocument/2006/relationships/hyperlink" Target="http://unesdoc.unesco.org/ulis/cgi-bin/ExtractPDF.pl?catno=261576&amp;lang=e&amp;from=126&amp;to=139&amp;display=2&amp;ts=1534862511" TargetMode="Externa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doc/src/LHE-19-14.COM-7-EN.docx" TargetMode="External"/><Relationship Id="rId23" Type="http://schemas.openxmlformats.org/officeDocument/2006/relationships/hyperlink" Target="http://unesdoc.unesco.org/images/0026/002615/261576e.pdf" TargetMode="External"/><Relationship Id="rId28" Type="http://schemas.openxmlformats.org/officeDocument/2006/relationships/header" Target="header1.xml"/><Relationship Id="rId10" Type="http://schemas.openxmlformats.org/officeDocument/2006/relationships/hyperlink" Target="http://www.unesco.org/culture/ich/en/Decisions/7.COM/20.1" TargetMode="External"/><Relationship Id="rId19" Type="http://schemas.openxmlformats.org/officeDocument/2006/relationships/hyperlink" Target="https://ich.unesco.org/en/projects/strengthening-the-capacities-of-bangladesh-for-implementing-the-2003-convention-for-the-safeguarding-of-the-intangible-cultural-heritage-003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13.COM/6" TargetMode="External"/><Relationship Id="rId14" Type="http://schemas.openxmlformats.org/officeDocument/2006/relationships/hyperlink" Target="https://ich.unesco.org/doc/src/LHE-19-14.COM-5.b-EN.docx" TargetMode="External"/><Relationship Id="rId22" Type="http://schemas.openxmlformats.org/officeDocument/2006/relationships/hyperlink" Target="https://ich.unesco.org/en/Decisions/13.COM/6" TargetMode="External"/><Relationship Id="rId27" Type="http://schemas.openxmlformats.org/officeDocument/2006/relationships/hyperlink" Target="http://unesdoc.unesco.org/images/0026/002615/261576e.pdf"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19-14.COM-7-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AA1E-0466-4CE7-BEC7-B440518A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2875</Words>
  <Characters>15817</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Julien</cp:lastModifiedBy>
  <cp:revision>31</cp:revision>
  <cp:lastPrinted>2019-11-07T18:58:00Z</cp:lastPrinted>
  <dcterms:created xsi:type="dcterms:W3CDTF">2019-11-08T12:06:00Z</dcterms:created>
  <dcterms:modified xsi:type="dcterms:W3CDTF">2019-11-26T09:28:00Z</dcterms:modified>
</cp:coreProperties>
</file>