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4A963" w14:textId="0073A960" w:rsidR="00EC6F8D" w:rsidRPr="00D1234C" w:rsidRDefault="00EC6F8D" w:rsidP="00EC6F8D">
      <w:pPr>
        <w:spacing w:before="1440"/>
        <w:jc w:val="center"/>
        <w:rPr>
          <w:rFonts w:ascii="Arial" w:hAnsi="Arial" w:cs="Arial"/>
          <w:b/>
          <w:sz w:val="22"/>
          <w:szCs w:val="22"/>
          <w:lang w:val="en-US"/>
        </w:rPr>
      </w:pPr>
      <w:r w:rsidRPr="00D1234C">
        <w:rPr>
          <w:rFonts w:ascii="Arial" w:hAnsi="Arial" w:cs="Arial"/>
          <w:b/>
          <w:sz w:val="22"/>
          <w:szCs w:val="22"/>
          <w:lang w:val="en-US"/>
        </w:rPr>
        <w:t>CONVENTION FOR THE SAFEGUARDING OF THE</w:t>
      </w:r>
      <w:r w:rsidRPr="00D1234C">
        <w:rPr>
          <w:rFonts w:ascii="Arial" w:hAnsi="Arial" w:cs="Arial"/>
          <w:b/>
          <w:sz w:val="22"/>
          <w:szCs w:val="22"/>
          <w:lang w:val="en-US"/>
        </w:rPr>
        <w:br/>
        <w:t>INTANGIBLE CULTURAL HERITAGE</w:t>
      </w:r>
    </w:p>
    <w:p w14:paraId="08C3023A" w14:textId="77777777" w:rsidR="00EC6F8D" w:rsidRPr="00D1234C" w:rsidRDefault="00EC6F8D" w:rsidP="00EC6F8D">
      <w:pPr>
        <w:spacing w:before="1200"/>
        <w:jc w:val="center"/>
        <w:rPr>
          <w:rFonts w:ascii="Arial" w:hAnsi="Arial" w:cs="Arial"/>
          <w:b/>
          <w:sz w:val="22"/>
          <w:szCs w:val="22"/>
          <w:lang w:val="en-US"/>
        </w:rPr>
      </w:pPr>
      <w:r w:rsidRPr="00D1234C">
        <w:rPr>
          <w:rFonts w:ascii="Arial" w:hAnsi="Arial" w:cs="Arial"/>
          <w:b/>
          <w:sz w:val="22"/>
          <w:szCs w:val="22"/>
          <w:lang w:val="en-US"/>
        </w:rPr>
        <w:t>INTERGOVERNMENTAL COMMITTEE FOR THE</w:t>
      </w:r>
      <w:r w:rsidRPr="00D1234C">
        <w:rPr>
          <w:rFonts w:ascii="Arial" w:hAnsi="Arial" w:cs="Arial"/>
          <w:b/>
          <w:sz w:val="22"/>
          <w:szCs w:val="22"/>
          <w:lang w:val="en-US"/>
        </w:rPr>
        <w:br/>
        <w:t>SAFEGUARDING OF THE INTANGIBLE CULTURAL HERITAGE</w:t>
      </w:r>
    </w:p>
    <w:p w14:paraId="3C391495" w14:textId="77777777" w:rsidR="00EC6F8D" w:rsidRPr="00D1234C" w:rsidRDefault="00C5776D" w:rsidP="001D14FE">
      <w:pPr>
        <w:spacing w:before="840"/>
        <w:jc w:val="center"/>
        <w:rPr>
          <w:rFonts w:ascii="Arial" w:hAnsi="Arial" w:cs="Arial"/>
          <w:b/>
          <w:sz w:val="22"/>
          <w:szCs w:val="22"/>
          <w:lang w:val="en-US"/>
        </w:rPr>
      </w:pPr>
      <w:r w:rsidRPr="00D1234C">
        <w:rPr>
          <w:rFonts w:ascii="Arial" w:eastAsiaTheme="minorEastAsia" w:hAnsi="Arial" w:cs="Arial"/>
          <w:b/>
          <w:sz w:val="22"/>
          <w:szCs w:val="22"/>
          <w:lang w:val="en-US" w:eastAsia="ko-KR"/>
        </w:rPr>
        <w:t>Fou</w:t>
      </w:r>
      <w:r w:rsidR="001D14FE" w:rsidRPr="00D1234C">
        <w:rPr>
          <w:rFonts w:ascii="Arial" w:eastAsiaTheme="minorEastAsia" w:hAnsi="Arial" w:cs="Arial"/>
          <w:b/>
          <w:sz w:val="22"/>
          <w:szCs w:val="22"/>
          <w:lang w:val="en-US" w:eastAsia="ko-KR"/>
        </w:rPr>
        <w:t>rteen</w:t>
      </w:r>
      <w:r w:rsidR="00CB0542" w:rsidRPr="00D1234C">
        <w:rPr>
          <w:rFonts w:ascii="Arial" w:hAnsi="Arial" w:cs="Arial"/>
          <w:b/>
          <w:sz w:val="22"/>
          <w:szCs w:val="22"/>
          <w:lang w:val="en-US"/>
        </w:rPr>
        <w:t>th</w:t>
      </w:r>
      <w:r w:rsidR="00EC6F8D" w:rsidRPr="00D1234C">
        <w:rPr>
          <w:rFonts w:ascii="Arial" w:hAnsi="Arial" w:cs="Arial"/>
          <w:b/>
          <w:sz w:val="22"/>
          <w:szCs w:val="22"/>
          <w:lang w:val="en-US"/>
        </w:rPr>
        <w:t xml:space="preserve"> session</w:t>
      </w:r>
    </w:p>
    <w:p w14:paraId="74D763BB" w14:textId="77777777" w:rsidR="00C5776D" w:rsidRPr="00D1234C" w:rsidRDefault="00C5776D" w:rsidP="00C5776D">
      <w:pPr>
        <w:jc w:val="center"/>
        <w:rPr>
          <w:rFonts w:ascii="Arial" w:eastAsia="Malgun Gothic" w:hAnsi="Arial" w:cs="Arial"/>
          <w:b/>
          <w:sz w:val="22"/>
          <w:szCs w:val="22"/>
          <w:lang w:val="en-US" w:eastAsia="ko-KR"/>
        </w:rPr>
      </w:pPr>
      <w:r w:rsidRPr="00D1234C">
        <w:rPr>
          <w:rFonts w:ascii="Arial" w:eastAsia="Malgun Gothic" w:hAnsi="Arial" w:cs="Arial"/>
          <w:b/>
          <w:sz w:val="22"/>
          <w:szCs w:val="22"/>
          <w:lang w:val="en-US" w:eastAsia="ko-KR"/>
        </w:rPr>
        <w:t>Bogotá, Republic of Colombia</w:t>
      </w:r>
    </w:p>
    <w:p w14:paraId="0619E157" w14:textId="77777777" w:rsidR="00EC6F8D" w:rsidRPr="00D1234C" w:rsidRDefault="00C5776D" w:rsidP="00C5776D">
      <w:pPr>
        <w:jc w:val="center"/>
        <w:rPr>
          <w:rFonts w:ascii="Arial" w:eastAsiaTheme="minorEastAsia" w:hAnsi="Arial" w:cs="Arial"/>
          <w:b/>
          <w:sz w:val="22"/>
          <w:szCs w:val="22"/>
          <w:lang w:val="en-US" w:eastAsia="ko-KR"/>
        </w:rPr>
      </w:pPr>
      <w:proofErr w:type="gramStart"/>
      <w:r w:rsidRPr="00D1234C">
        <w:rPr>
          <w:rFonts w:ascii="Arial" w:hAnsi="Arial" w:cs="Arial"/>
          <w:b/>
          <w:sz w:val="22"/>
          <w:szCs w:val="22"/>
          <w:lang w:val="en-US"/>
        </w:rPr>
        <w:t>9</w:t>
      </w:r>
      <w:proofErr w:type="gramEnd"/>
      <w:r w:rsidRPr="00D1234C">
        <w:rPr>
          <w:rFonts w:ascii="Arial" w:hAnsi="Arial" w:cs="Arial"/>
          <w:b/>
          <w:sz w:val="22"/>
          <w:szCs w:val="22"/>
          <w:lang w:val="en-US"/>
        </w:rPr>
        <w:t xml:space="preserve"> to 14 December 201</w:t>
      </w:r>
      <w:r w:rsidRPr="00D1234C">
        <w:rPr>
          <w:rFonts w:ascii="Arial" w:eastAsia="Malgun Gothic" w:hAnsi="Arial" w:cs="Arial"/>
          <w:b/>
          <w:sz w:val="22"/>
          <w:szCs w:val="22"/>
          <w:lang w:val="en-US" w:eastAsia="ko-KR"/>
        </w:rPr>
        <w:t>9</w:t>
      </w:r>
    </w:p>
    <w:p w14:paraId="29E6895E" w14:textId="77777777" w:rsidR="00EC6F8D" w:rsidRPr="00D1234C" w:rsidRDefault="00EC6F8D" w:rsidP="00EC6F8D">
      <w:pPr>
        <w:pStyle w:val="Sansinterligne2"/>
        <w:spacing w:before="1200"/>
        <w:jc w:val="center"/>
        <w:rPr>
          <w:rFonts w:ascii="Arial" w:hAnsi="Arial" w:cs="Arial"/>
          <w:b/>
          <w:sz w:val="22"/>
          <w:szCs w:val="22"/>
          <w:lang w:val="en-US"/>
        </w:rPr>
      </w:pPr>
      <w:r w:rsidRPr="00D1234C">
        <w:rPr>
          <w:rFonts w:ascii="Arial" w:hAnsi="Arial" w:cs="Arial"/>
          <w:b/>
          <w:sz w:val="22"/>
          <w:szCs w:val="22"/>
          <w:u w:val="single"/>
          <w:lang w:val="en-US"/>
        </w:rPr>
        <w:t xml:space="preserve">Item </w:t>
      </w:r>
      <w:r w:rsidR="001C26ED" w:rsidRPr="00D1234C">
        <w:rPr>
          <w:rFonts w:ascii="Arial" w:hAnsi="Arial" w:cs="Arial"/>
          <w:b/>
          <w:sz w:val="22"/>
          <w:szCs w:val="22"/>
          <w:u w:val="single"/>
          <w:lang w:val="en-US"/>
        </w:rPr>
        <w:t>5.b</w:t>
      </w:r>
      <w:r w:rsidRPr="00D1234C">
        <w:rPr>
          <w:rFonts w:ascii="Arial" w:hAnsi="Arial" w:cs="Arial"/>
          <w:b/>
          <w:sz w:val="22"/>
          <w:szCs w:val="22"/>
          <w:u w:val="single"/>
          <w:lang w:val="en-US"/>
        </w:rPr>
        <w:t xml:space="preserve"> of the Provisional Agenda</w:t>
      </w:r>
      <w:r w:rsidRPr="00D1234C">
        <w:rPr>
          <w:rFonts w:ascii="Arial" w:hAnsi="Arial" w:cs="Arial"/>
          <w:b/>
          <w:sz w:val="22"/>
          <w:szCs w:val="22"/>
          <w:lang w:val="en-US"/>
        </w:rPr>
        <w:t>:</w:t>
      </w:r>
    </w:p>
    <w:p w14:paraId="0C30AEEC" w14:textId="0293916B" w:rsidR="001C26ED" w:rsidRPr="004A46D6" w:rsidRDefault="001C26ED" w:rsidP="001C26ED">
      <w:pPr>
        <w:pStyle w:val="Sansinterligne2"/>
        <w:spacing w:after="1200"/>
        <w:jc w:val="center"/>
        <w:rPr>
          <w:rFonts w:ascii="Arial" w:hAnsi="Arial" w:cs="Arial"/>
          <w:b/>
          <w:sz w:val="22"/>
          <w:szCs w:val="22"/>
          <w:lang w:val="en-US"/>
        </w:rPr>
      </w:pPr>
      <w:r w:rsidRPr="00D1234C">
        <w:rPr>
          <w:rFonts w:ascii="Arial" w:hAnsi="Arial" w:cs="Arial"/>
          <w:b/>
          <w:sz w:val="22"/>
          <w:szCs w:val="22"/>
          <w:lang w:val="en-US"/>
        </w:rPr>
        <w:t xml:space="preserve">Report by the Secretariat on its </w:t>
      </w:r>
      <w:proofErr w:type="gramStart"/>
      <w:r w:rsidRPr="00D1234C">
        <w:rPr>
          <w:rFonts w:ascii="Arial" w:hAnsi="Arial" w:cs="Arial"/>
          <w:b/>
          <w:sz w:val="22"/>
          <w:szCs w:val="22"/>
          <w:lang w:val="en-US"/>
        </w:rPr>
        <w:t>activities</w:t>
      </w:r>
      <w:proofErr w:type="gramEnd"/>
      <w:r w:rsidR="00972949">
        <w:rPr>
          <w:rFonts w:ascii="Arial" w:hAnsi="Arial" w:cs="Arial"/>
          <w:b/>
          <w:sz w:val="22"/>
          <w:szCs w:val="22"/>
          <w:lang w:val="en-US"/>
        </w:rPr>
        <w:br/>
        <w:t>(January 2018 to June 2019)</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EC6F8D" w:rsidRPr="004A46D6" w14:paraId="6A25B76F" w14:textId="77777777" w:rsidTr="00EC6F8D">
        <w:trPr>
          <w:jc w:val="center"/>
        </w:trPr>
        <w:tc>
          <w:tcPr>
            <w:tcW w:w="5670" w:type="dxa"/>
            <w:vAlign w:val="center"/>
          </w:tcPr>
          <w:p w14:paraId="42B34A0F" w14:textId="77777777" w:rsidR="00EC6F8D" w:rsidRPr="00D1234C" w:rsidRDefault="00EC6F8D" w:rsidP="00CA56BB">
            <w:pPr>
              <w:pStyle w:val="Sansinterligne1"/>
              <w:spacing w:before="200" w:after="200"/>
              <w:jc w:val="center"/>
              <w:rPr>
                <w:rFonts w:ascii="Arial" w:hAnsi="Arial" w:cs="Arial"/>
                <w:b/>
                <w:sz w:val="22"/>
                <w:szCs w:val="22"/>
                <w:lang w:val="en-US"/>
              </w:rPr>
            </w:pPr>
            <w:r w:rsidRPr="00D1234C">
              <w:rPr>
                <w:rFonts w:ascii="Arial" w:hAnsi="Arial" w:cs="Arial"/>
                <w:b/>
                <w:sz w:val="22"/>
                <w:szCs w:val="22"/>
                <w:lang w:val="en-US"/>
              </w:rPr>
              <w:t>Summary</w:t>
            </w:r>
          </w:p>
          <w:p w14:paraId="732CEF5F" w14:textId="77777777" w:rsidR="00347530" w:rsidRPr="00D1234C" w:rsidRDefault="00347530" w:rsidP="00347530">
            <w:pPr>
              <w:pStyle w:val="Sansinterligne2"/>
              <w:spacing w:before="200" w:after="200"/>
              <w:jc w:val="both"/>
              <w:rPr>
                <w:rFonts w:ascii="Arial" w:hAnsi="Arial" w:cs="Arial"/>
                <w:sz w:val="22"/>
                <w:szCs w:val="22"/>
                <w:lang w:val="en-US"/>
              </w:rPr>
            </w:pPr>
            <w:r w:rsidRPr="00D1234C">
              <w:rPr>
                <w:rFonts w:ascii="Arial" w:hAnsi="Arial" w:cs="Arial"/>
                <w:sz w:val="22"/>
                <w:szCs w:val="22"/>
                <w:lang w:val="en-US"/>
              </w:rPr>
              <w:t>The present document provides an overview of the activities undertaken by the Secretariat of the Convention for the Safeguarding of the Intangible Cultural Heritage from 1 January 2018 to 30 June 2019.</w:t>
            </w:r>
          </w:p>
          <w:p w14:paraId="1DE80C1F" w14:textId="634A3D0C" w:rsidR="00EC6F8D" w:rsidRPr="00D1234C" w:rsidRDefault="00EC6F8D">
            <w:pPr>
              <w:pStyle w:val="Sansinterligne2"/>
              <w:spacing w:before="200" w:after="200"/>
              <w:jc w:val="both"/>
              <w:rPr>
                <w:rFonts w:ascii="Arial" w:hAnsi="Arial" w:cs="Arial"/>
                <w:b/>
                <w:sz w:val="22"/>
                <w:szCs w:val="22"/>
                <w:lang w:val="en-US"/>
              </w:rPr>
            </w:pPr>
            <w:r w:rsidRPr="00D1234C">
              <w:rPr>
                <w:rFonts w:ascii="Arial" w:hAnsi="Arial" w:cs="Arial"/>
                <w:b/>
                <w:sz w:val="22"/>
                <w:szCs w:val="22"/>
                <w:lang w:val="en-US"/>
              </w:rPr>
              <w:t xml:space="preserve">Decision required: </w:t>
            </w:r>
            <w:r w:rsidRPr="00D1234C">
              <w:rPr>
                <w:rFonts w:ascii="Arial" w:hAnsi="Arial" w:cs="Arial"/>
                <w:bCs/>
                <w:sz w:val="22"/>
                <w:szCs w:val="22"/>
                <w:lang w:val="en-US"/>
              </w:rPr>
              <w:t xml:space="preserve">paragraph </w:t>
            </w:r>
            <w:r w:rsidR="00CF516C">
              <w:rPr>
                <w:rFonts w:ascii="Arial" w:hAnsi="Arial" w:cs="Arial"/>
                <w:bCs/>
                <w:sz w:val="22"/>
                <w:szCs w:val="22"/>
                <w:lang w:val="en-US"/>
              </w:rPr>
              <w:t>29</w:t>
            </w:r>
          </w:p>
        </w:tc>
      </w:tr>
    </w:tbl>
    <w:p w14:paraId="43FB03AD" w14:textId="77777777" w:rsidR="00CD71CC" w:rsidRPr="00D1234C" w:rsidRDefault="00655736" w:rsidP="00964132">
      <w:pPr>
        <w:pStyle w:val="COMPara"/>
        <w:spacing w:before="360"/>
        <w:ind w:left="567"/>
        <w:jc w:val="both"/>
        <w:rPr>
          <w:b/>
          <w:lang w:val="en-US"/>
        </w:rPr>
      </w:pPr>
      <w:r w:rsidRPr="00D1234C">
        <w:rPr>
          <w:lang w:val="en-US"/>
        </w:rPr>
        <w:br w:type="page"/>
      </w:r>
      <w:r w:rsidR="00CD71CC" w:rsidRPr="00D1234C">
        <w:rPr>
          <w:b/>
          <w:lang w:val="en-US"/>
        </w:rPr>
        <w:lastRenderedPageBreak/>
        <w:t>Introduction</w:t>
      </w:r>
    </w:p>
    <w:p w14:paraId="7D6A2239" w14:textId="6C8C6610" w:rsidR="008E6DCC" w:rsidRPr="00D1234C" w:rsidRDefault="00CD71CC" w:rsidP="004B268E">
      <w:pPr>
        <w:pStyle w:val="COMPara"/>
        <w:numPr>
          <w:ilvl w:val="0"/>
          <w:numId w:val="38"/>
        </w:numPr>
        <w:ind w:left="567" w:hanging="567"/>
        <w:jc w:val="both"/>
        <w:rPr>
          <w:lang w:val="en-US"/>
        </w:rPr>
      </w:pPr>
      <w:r w:rsidRPr="00D1234C">
        <w:rPr>
          <w:lang w:val="en-US"/>
        </w:rPr>
        <w:t>The present report</w:t>
      </w:r>
      <w:r w:rsidR="008E6DCC" w:rsidRPr="00D1234C">
        <w:rPr>
          <w:rStyle w:val="Appelnotedebasdep"/>
          <w:lang w:val="en-US"/>
        </w:rPr>
        <w:footnoteReference w:id="1"/>
      </w:r>
      <w:r w:rsidR="007719E6" w:rsidRPr="00D1234C">
        <w:rPr>
          <w:lang w:val="en-US"/>
        </w:rPr>
        <w:t xml:space="preserve"> </w:t>
      </w:r>
      <w:r w:rsidR="00B963DD" w:rsidRPr="00D1234C">
        <w:rPr>
          <w:lang w:val="en-US"/>
        </w:rPr>
        <w:t xml:space="preserve">focuses on </w:t>
      </w:r>
      <w:r w:rsidR="007719E6" w:rsidRPr="00D1234C">
        <w:rPr>
          <w:lang w:val="en-US"/>
        </w:rPr>
        <w:t xml:space="preserve">activities </w:t>
      </w:r>
      <w:r w:rsidRPr="00D1234C">
        <w:rPr>
          <w:lang w:val="en-US"/>
        </w:rPr>
        <w:t>undertaken by the Secretariat</w:t>
      </w:r>
      <w:r w:rsidR="001138DF" w:rsidRPr="00D1234C">
        <w:rPr>
          <w:lang w:val="en-US"/>
        </w:rPr>
        <w:t xml:space="preserve"> of the 2003</w:t>
      </w:r>
      <w:r w:rsidR="00B963DD" w:rsidRPr="00D1234C">
        <w:rPr>
          <w:lang w:val="en-US"/>
        </w:rPr>
        <w:t> </w:t>
      </w:r>
      <w:r w:rsidR="001138DF" w:rsidRPr="00D1234C">
        <w:rPr>
          <w:lang w:val="en-US"/>
        </w:rPr>
        <w:t>Convention</w:t>
      </w:r>
      <w:r w:rsidRPr="00D1234C">
        <w:rPr>
          <w:lang w:val="en-US"/>
        </w:rPr>
        <w:t xml:space="preserve"> from </w:t>
      </w:r>
      <w:r w:rsidRPr="00D1234C">
        <w:rPr>
          <w:u w:val="single"/>
          <w:lang w:val="en-US"/>
        </w:rPr>
        <w:t>January 2018 to June 2019</w:t>
      </w:r>
      <w:r w:rsidR="001138DF" w:rsidRPr="00D1234C">
        <w:rPr>
          <w:lang w:val="en-US"/>
        </w:rPr>
        <w:t>.</w:t>
      </w:r>
      <w:r w:rsidR="00524D3B" w:rsidRPr="00D1234C">
        <w:rPr>
          <w:lang w:val="en-US"/>
        </w:rPr>
        <w:t xml:space="preserve"> </w:t>
      </w:r>
      <w:r w:rsidR="001138DF" w:rsidRPr="00D1234C">
        <w:rPr>
          <w:lang w:val="en-US"/>
        </w:rPr>
        <w:t>The previous report</w:t>
      </w:r>
      <w:r w:rsidR="00282CD6" w:rsidRPr="00D1234C">
        <w:rPr>
          <w:rStyle w:val="Appelnotedebasdep"/>
          <w:lang w:val="en-US"/>
        </w:rPr>
        <w:footnoteReference w:id="2"/>
      </w:r>
      <w:r w:rsidR="001138DF" w:rsidRPr="00D1234C">
        <w:rPr>
          <w:lang w:val="en-US"/>
        </w:rPr>
        <w:t xml:space="preserve"> examined by the last session of the Committee covered the first six months </w:t>
      </w:r>
      <w:r w:rsidR="009A6EB9" w:rsidRPr="00D1234C">
        <w:rPr>
          <w:lang w:val="en-US"/>
        </w:rPr>
        <w:t xml:space="preserve">of that period, </w:t>
      </w:r>
      <w:r w:rsidR="001138DF" w:rsidRPr="00D1234C">
        <w:rPr>
          <w:lang w:val="en-US"/>
        </w:rPr>
        <w:t xml:space="preserve">from January to June 2018. Taken together, the reporting period of these two reports corresponds with that of UNESCO’s </w:t>
      </w:r>
      <w:r w:rsidR="009A6EB9" w:rsidRPr="00D1234C">
        <w:rPr>
          <w:lang w:val="en-US"/>
        </w:rPr>
        <w:t xml:space="preserve">other </w:t>
      </w:r>
      <w:r w:rsidR="001138DF" w:rsidRPr="00D1234C">
        <w:rPr>
          <w:lang w:val="en-US"/>
        </w:rPr>
        <w:t>main statutory reporting process</w:t>
      </w:r>
      <w:r w:rsidR="009B1FF2" w:rsidRPr="00D1234C">
        <w:rPr>
          <w:lang w:val="en-US"/>
        </w:rPr>
        <w:t>es</w:t>
      </w:r>
      <w:r w:rsidR="001138DF" w:rsidRPr="00D1234C">
        <w:rPr>
          <w:lang w:val="en-US"/>
        </w:rPr>
        <w:t xml:space="preserve">, in particular with </w:t>
      </w:r>
      <w:r w:rsidRPr="00D1234C">
        <w:rPr>
          <w:lang w:val="en-US"/>
        </w:rPr>
        <w:t xml:space="preserve">the Director-General’s reports to the Executive Board on the execution of the </w:t>
      </w:r>
      <w:proofErr w:type="spellStart"/>
      <w:r w:rsidRPr="00D1234C">
        <w:rPr>
          <w:lang w:val="en-US"/>
        </w:rPr>
        <w:t>programme</w:t>
      </w:r>
      <w:proofErr w:type="spellEnd"/>
      <w:r w:rsidRPr="00D1234C">
        <w:rPr>
          <w:lang w:val="en-US"/>
        </w:rPr>
        <w:t xml:space="preserve"> adopted by the General Conference</w:t>
      </w:r>
      <w:r w:rsidR="00134194" w:rsidRPr="000B75D5">
        <w:rPr>
          <w:lang w:val="en-US"/>
        </w:rPr>
        <w:t> </w:t>
      </w:r>
      <w:r w:rsidRPr="00D1234C">
        <w:rPr>
          <w:lang w:val="en-US"/>
        </w:rPr>
        <w:t>(</w:t>
      </w:r>
      <w:r w:rsidR="00FE6CB9" w:rsidRPr="00D1234C">
        <w:rPr>
          <w:lang w:val="en-US"/>
        </w:rPr>
        <w:t>EX/4</w:t>
      </w:r>
      <w:r w:rsidRPr="00D1234C">
        <w:rPr>
          <w:lang w:val="en-US"/>
        </w:rPr>
        <w:t>)</w:t>
      </w:r>
      <w:r w:rsidR="008E6DCC" w:rsidRPr="00D1234C">
        <w:rPr>
          <w:lang w:val="en-US"/>
        </w:rPr>
        <w:t>.</w:t>
      </w:r>
    </w:p>
    <w:p w14:paraId="0B63C48B" w14:textId="5EC3CF3B" w:rsidR="00A81731" w:rsidRPr="00D1234C" w:rsidRDefault="0051049D" w:rsidP="004D06CC">
      <w:pPr>
        <w:pStyle w:val="COMPara"/>
        <w:numPr>
          <w:ilvl w:val="0"/>
          <w:numId w:val="38"/>
        </w:numPr>
        <w:ind w:left="567" w:hanging="567"/>
        <w:jc w:val="both"/>
        <w:rPr>
          <w:lang w:val="en-US"/>
        </w:rPr>
      </w:pPr>
      <w:r w:rsidRPr="00D1234C">
        <w:rPr>
          <w:bCs/>
          <w:lang w:val="en-US"/>
        </w:rPr>
        <w:t xml:space="preserve">The report seeks to highlight </w:t>
      </w:r>
      <w:r w:rsidRPr="00D1234C">
        <w:rPr>
          <w:lang w:val="en-US"/>
        </w:rPr>
        <w:t xml:space="preserve">an overall strategic assessment of </w:t>
      </w:r>
      <w:r w:rsidR="001138DF" w:rsidRPr="00D1234C">
        <w:rPr>
          <w:lang w:val="en-US"/>
        </w:rPr>
        <w:t xml:space="preserve">the Secretariat’s </w:t>
      </w:r>
      <w:r w:rsidR="008E6DCC" w:rsidRPr="00D1234C">
        <w:rPr>
          <w:lang w:val="en-US"/>
        </w:rPr>
        <w:t>activities</w:t>
      </w:r>
      <w:r w:rsidRPr="00D1234C">
        <w:rPr>
          <w:lang w:val="en-US"/>
        </w:rPr>
        <w:t>, i</w:t>
      </w:r>
      <w:r w:rsidR="008956B2" w:rsidRPr="00D1234C">
        <w:rPr>
          <w:lang w:val="en-US"/>
        </w:rPr>
        <w:t>ts keys achievements and</w:t>
      </w:r>
      <w:r w:rsidRPr="00D1234C">
        <w:rPr>
          <w:lang w:val="en-US"/>
        </w:rPr>
        <w:t xml:space="preserve"> challenges encoun</w:t>
      </w:r>
      <w:r w:rsidR="008956B2" w:rsidRPr="00D1234C">
        <w:rPr>
          <w:lang w:val="en-US"/>
        </w:rPr>
        <w:t>tered. The annex</w:t>
      </w:r>
      <w:r w:rsidRPr="00D1234C">
        <w:rPr>
          <w:lang w:val="en-US"/>
        </w:rPr>
        <w:t xml:space="preserve"> further demonstrate</w:t>
      </w:r>
      <w:r w:rsidR="009A6EB9" w:rsidRPr="00D1234C">
        <w:rPr>
          <w:lang w:val="en-US"/>
        </w:rPr>
        <w:t>s</w:t>
      </w:r>
      <w:r w:rsidRPr="00D1234C">
        <w:rPr>
          <w:lang w:val="en-US"/>
        </w:rPr>
        <w:t xml:space="preserve"> the contribution of the Secretariat’s work </w:t>
      </w:r>
      <w:r w:rsidR="009B3CD5" w:rsidRPr="00D1234C">
        <w:rPr>
          <w:lang w:val="en-US"/>
        </w:rPr>
        <w:t xml:space="preserve">to the </w:t>
      </w:r>
      <w:hyperlink r:id="rId8" w:history="1">
        <w:r w:rsidR="009B3CD5" w:rsidRPr="00D1234C">
          <w:rPr>
            <w:rStyle w:val="Lienhypertexte"/>
            <w:rFonts w:cs="Arial"/>
            <w:lang w:val="en-US"/>
          </w:rPr>
          <w:t>39 C/5</w:t>
        </w:r>
      </w:hyperlink>
      <w:r w:rsidR="009B3CD5" w:rsidRPr="00D1234C">
        <w:rPr>
          <w:lang w:val="en-US"/>
        </w:rPr>
        <w:t xml:space="preserve"> results framework and</w:t>
      </w:r>
      <w:r w:rsidR="0088333F" w:rsidRPr="00D1234C">
        <w:rPr>
          <w:lang w:val="en-US"/>
        </w:rPr>
        <w:t>,</w:t>
      </w:r>
      <w:r w:rsidR="009B3CD5" w:rsidRPr="00D1234C">
        <w:rPr>
          <w:lang w:val="en-US"/>
        </w:rPr>
        <w:t xml:space="preserve"> more specifically, </w:t>
      </w:r>
      <w:r w:rsidR="009A6EB9" w:rsidRPr="00D1234C">
        <w:rPr>
          <w:lang w:val="en-US"/>
        </w:rPr>
        <w:t xml:space="preserve">to </w:t>
      </w:r>
      <w:r w:rsidR="009B3CD5" w:rsidRPr="00D1234C">
        <w:rPr>
          <w:lang w:val="en-US"/>
        </w:rPr>
        <w:t xml:space="preserve">the performance indicators of Expected Result 6 within Major </w:t>
      </w:r>
      <w:proofErr w:type="spellStart"/>
      <w:r w:rsidR="009B3CD5" w:rsidRPr="00D1234C">
        <w:rPr>
          <w:lang w:val="en-US"/>
        </w:rPr>
        <w:t>Programme</w:t>
      </w:r>
      <w:proofErr w:type="spellEnd"/>
      <w:r w:rsidR="009B3CD5" w:rsidRPr="00D1234C">
        <w:rPr>
          <w:lang w:val="en-US"/>
        </w:rPr>
        <w:t xml:space="preserve"> IV</w:t>
      </w:r>
      <w:r w:rsidR="00251D4E" w:rsidRPr="00D1234C">
        <w:rPr>
          <w:lang w:val="en-US"/>
        </w:rPr>
        <w:t>.</w:t>
      </w:r>
      <w:r w:rsidR="009B1FF2" w:rsidRPr="004A46D6">
        <w:rPr>
          <w:lang w:val="en-US"/>
        </w:rPr>
        <w:t xml:space="preserve"> </w:t>
      </w:r>
      <w:r w:rsidR="009957A4" w:rsidRPr="004A46D6">
        <w:rPr>
          <w:lang w:val="en-US"/>
        </w:rPr>
        <w:t xml:space="preserve">While </w:t>
      </w:r>
      <w:r w:rsidR="009957A4" w:rsidRPr="00D1234C">
        <w:rPr>
          <w:bCs/>
          <w:lang w:val="en-US"/>
        </w:rPr>
        <w:t>extending</w:t>
      </w:r>
      <w:r w:rsidR="009957A4" w:rsidRPr="004A46D6">
        <w:rPr>
          <w:lang w:val="en-US"/>
        </w:rPr>
        <w:t xml:space="preserve"> its attention to several new themes, the </w:t>
      </w:r>
      <w:r w:rsidR="009A6EB9" w:rsidRPr="004A46D6">
        <w:rPr>
          <w:lang w:val="en-US"/>
        </w:rPr>
        <w:t xml:space="preserve">Secretariat’s </w:t>
      </w:r>
      <w:r w:rsidR="009957A4" w:rsidRPr="004A46D6">
        <w:rPr>
          <w:lang w:val="en-US"/>
        </w:rPr>
        <w:t xml:space="preserve">core activities </w:t>
      </w:r>
      <w:r w:rsidR="000E3474" w:rsidRPr="004A46D6">
        <w:rPr>
          <w:lang w:val="en-US"/>
        </w:rPr>
        <w:t xml:space="preserve">focused </w:t>
      </w:r>
      <w:r w:rsidR="009957A4" w:rsidRPr="004A46D6">
        <w:rPr>
          <w:lang w:val="en-US"/>
        </w:rPr>
        <w:t xml:space="preserve">on the </w:t>
      </w:r>
      <w:r w:rsidR="00964132" w:rsidRPr="004A46D6">
        <w:rPr>
          <w:lang w:val="en-US"/>
        </w:rPr>
        <w:t>three</w:t>
      </w:r>
      <w:r w:rsidR="009957A4" w:rsidRPr="004A46D6">
        <w:rPr>
          <w:lang w:val="en-US"/>
        </w:rPr>
        <w:t xml:space="preserve"> main axes: </w:t>
      </w:r>
      <w:r w:rsidR="00D10398" w:rsidRPr="004A46D6">
        <w:rPr>
          <w:lang w:val="en-US"/>
        </w:rPr>
        <w:t>(</w:t>
      </w:r>
      <w:proofErr w:type="spellStart"/>
      <w:r w:rsidR="00D10398" w:rsidRPr="004A46D6">
        <w:rPr>
          <w:lang w:val="en-US"/>
        </w:rPr>
        <w:t>i</w:t>
      </w:r>
      <w:proofErr w:type="spellEnd"/>
      <w:r w:rsidR="00D10398" w:rsidRPr="004A46D6">
        <w:rPr>
          <w:lang w:val="en-US"/>
        </w:rPr>
        <w:t>) G</w:t>
      </w:r>
      <w:r w:rsidR="00CE0AB8" w:rsidRPr="004A46D6">
        <w:rPr>
          <w:lang w:val="en-US"/>
        </w:rPr>
        <w:t xml:space="preserve">overnance of the </w:t>
      </w:r>
      <w:r w:rsidR="00FA1581" w:rsidRPr="004A46D6">
        <w:rPr>
          <w:lang w:val="en-US"/>
        </w:rPr>
        <w:t>2003</w:t>
      </w:r>
      <w:r w:rsidR="00421226" w:rsidRPr="004A46D6">
        <w:rPr>
          <w:lang w:val="en-US"/>
        </w:rPr>
        <w:t> </w:t>
      </w:r>
      <w:r w:rsidR="00C04773" w:rsidRPr="004A46D6">
        <w:rPr>
          <w:lang w:val="en-US"/>
        </w:rPr>
        <w:t>Convention,</w:t>
      </w:r>
      <w:r w:rsidR="00D10398" w:rsidRPr="004A46D6">
        <w:rPr>
          <w:lang w:val="en-US"/>
        </w:rPr>
        <w:t xml:space="preserve"> (ii)</w:t>
      </w:r>
      <w:r w:rsidR="009556F8" w:rsidRPr="004A46D6">
        <w:rPr>
          <w:lang w:val="en-US"/>
        </w:rPr>
        <w:t> </w:t>
      </w:r>
      <w:r w:rsidR="00CE0AB8" w:rsidRPr="004A46D6">
        <w:rPr>
          <w:lang w:val="en-US"/>
        </w:rPr>
        <w:t>Operational actions</w:t>
      </w:r>
      <w:r w:rsidR="00233C8F" w:rsidRPr="004A46D6">
        <w:rPr>
          <w:lang w:val="en-US"/>
        </w:rPr>
        <w:t xml:space="preserve"> related mainly to capacity building and </w:t>
      </w:r>
      <w:r w:rsidR="0088333F" w:rsidRPr="004A46D6">
        <w:rPr>
          <w:lang w:val="en-US"/>
        </w:rPr>
        <w:t>Intangible Cultural Heritage</w:t>
      </w:r>
      <w:r w:rsidR="00233C8F" w:rsidRPr="004A46D6">
        <w:rPr>
          <w:lang w:val="en-US"/>
        </w:rPr>
        <w:t xml:space="preserve"> and Education,</w:t>
      </w:r>
      <w:r w:rsidR="00C04773" w:rsidRPr="004A46D6">
        <w:rPr>
          <w:lang w:val="en-US"/>
        </w:rPr>
        <w:t xml:space="preserve"> and (iii) </w:t>
      </w:r>
      <w:r w:rsidR="00344925" w:rsidRPr="004A46D6">
        <w:rPr>
          <w:lang w:val="en-US"/>
        </w:rPr>
        <w:t>C</w:t>
      </w:r>
      <w:r w:rsidR="00C04773" w:rsidRPr="004A46D6">
        <w:rPr>
          <w:lang w:val="en-US"/>
        </w:rPr>
        <w:t xml:space="preserve">ommunication and </w:t>
      </w:r>
      <w:r w:rsidR="00344925" w:rsidRPr="004A46D6">
        <w:rPr>
          <w:lang w:val="en-US"/>
        </w:rPr>
        <w:t>O</w:t>
      </w:r>
      <w:r w:rsidR="00C04773" w:rsidRPr="004A46D6">
        <w:rPr>
          <w:lang w:val="en-US"/>
        </w:rPr>
        <w:t>utreach</w:t>
      </w:r>
      <w:r w:rsidR="00A81731" w:rsidRPr="00D1234C">
        <w:rPr>
          <w:lang w:val="en-US"/>
        </w:rPr>
        <w:t>.</w:t>
      </w:r>
      <w:r w:rsidR="00DF7ABC" w:rsidRPr="00D1234C">
        <w:rPr>
          <w:lang w:val="en-US"/>
        </w:rPr>
        <w:t xml:space="preserve"> It is to </w:t>
      </w:r>
      <w:proofErr w:type="gramStart"/>
      <w:r w:rsidR="00DF7ABC" w:rsidRPr="00D1234C">
        <w:rPr>
          <w:lang w:val="en-US"/>
        </w:rPr>
        <w:t>be noted</w:t>
      </w:r>
      <w:proofErr w:type="gramEnd"/>
      <w:r w:rsidR="00DF7ABC" w:rsidRPr="00D1234C">
        <w:rPr>
          <w:lang w:val="en-US"/>
        </w:rPr>
        <w:t xml:space="preserve"> that </w:t>
      </w:r>
      <w:r w:rsidR="00134194">
        <w:rPr>
          <w:lang w:val="en-US"/>
        </w:rPr>
        <w:t>since</w:t>
      </w:r>
      <w:r w:rsidR="0088333F" w:rsidRPr="00D1234C">
        <w:rPr>
          <w:lang w:val="en-US"/>
        </w:rPr>
        <w:t xml:space="preserve"> the reorganization</w:t>
      </w:r>
      <w:r w:rsidR="00DF7ABC" w:rsidRPr="00D1234C">
        <w:rPr>
          <w:lang w:val="en-US"/>
        </w:rPr>
        <w:t xml:space="preserve"> of the Culture Sector</w:t>
      </w:r>
      <w:r w:rsidR="0088333F" w:rsidRPr="00D1234C">
        <w:rPr>
          <w:lang w:val="en-US"/>
        </w:rPr>
        <w:t xml:space="preserve"> </w:t>
      </w:r>
      <w:r w:rsidR="00134194" w:rsidRPr="003330AA">
        <w:rPr>
          <w:lang w:val="en-US"/>
        </w:rPr>
        <w:t>on 1 November 2018</w:t>
      </w:r>
      <w:r w:rsidR="00DF7ABC" w:rsidRPr="00D1234C">
        <w:rPr>
          <w:lang w:val="en-US"/>
        </w:rPr>
        <w:t>, the Intangible Cultural Heritage Section was renamed as the ‘Living Heritage Entity’.</w:t>
      </w:r>
    </w:p>
    <w:p w14:paraId="48C09F3C" w14:textId="73E3F610" w:rsidR="00A81731" w:rsidRPr="00D1234C" w:rsidRDefault="00A81731" w:rsidP="00A81731">
      <w:pPr>
        <w:pStyle w:val="COMPara"/>
        <w:numPr>
          <w:ilvl w:val="0"/>
          <w:numId w:val="13"/>
        </w:numPr>
        <w:spacing w:before="360"/>
        <w:ind w:left="567" w:hanging="567"/>
        <w:jc w:val="both"/>
        <w:rPr>
          <w:b/>
          <w:lang w:val="en-US"/>
        </w:rPr>
      </w:pPr>
      <w:r w:rsidRPr="00D1234C">
        <w:rPr>
          <w:b/>
          <w:lang w:val="en-US"/>
        </w:rPr>
        <w:t>GOVERNANCE OF THE CONVENTION</w:t>
      </w:r>
    </w:p>
    <w:p w14:paraId="739453ED" w14:textId="3554338E" w:rsidR="00A81731" w:rsidRPr="00D1234C" w:rsidRDefault="00B34EA8" w:rsidP="004B268E">
      <w:pPr>
        <w:pStyle w:val="COMPara"/>
        <w:keepNext/>
        <w:spacing w:before="240" w:after="240"/>
        <w:jc w:val="both"/>
        <w:rPr>
          <w:b/>
          <w:lang w:val="en-US"/>
        </w:rPr>
      </w:pPr>
      <w:r w:rsidRPr="00D1234C">
        <w:rPr>
          <w:b/>
          <w:lang w:val="en-US"/>
        </w:rPr>
        <w:t xml:space="preserve">Statutory </w:t>
      </w:r>
      <w:r w:rsidR="009A6EB9" w:rsidRPr="00D1234C">
        <w:rPr>
          <w:b/>
          <w:lang w:val="en-US"/>
        </w:rPr>
        <w:t>s</w:t>
      </w:r>
      <w:r w:rsidRPr="00D1234C">
        <w:rPr>
          <w:b/>
          <w:lang w:val="en-US"/>
        </w:rPr>
        <w:t>upport</w:t>
      </w:r>
    </w:p>
    <w:p w14:paraId="3041910C" w14:textId="39322B19" w:rsidR="00A81731" w:rsidRPr="004A46D6" w:rsidRDefault="00A81731" w:rsidP="004B268E">
      <w:pPr>
        <w:pStyle w:val="COMPara"/>
        <w:numPr>
          <w:ilvl w:val="0"/>
          <w:numId w:val="38"/>
        </w:numPr>
        <w:ind w:left="567" w:hanging="567"/>
        <w:jc w:val="both"/>
        <w:rPr>
          <w:lang w:val="en-US"/>
        </w:rPr>
      </w:pPr>
      <w:r w:rsidRPr="004A46D6">
        <w:rPr>
          <w:b/>
          <w:lang w:val="en-US"/>
        </w:rPr>
        <w:t>Meetings and mechanisms of the 2003</w:t>
      </w:r>
      <w:r w:rsidR="00432AF2" w:rsidRPr="004A46D6">
        <w:rPr>
          <w:b/>
          <w:lang w:val="en-US"/>
        </w:rPr>
        <w:t> </w:t>
      </w:r>
      <w:r w:rsidRPr="004A46D6">
        <w:rPr>
          <w:b/>
          <w:lang w:val="en-US"/>
        </w:rPr>
        <w:t>Convention</w:t>
      </w:r>
      <w:r w:rsidRPr="004A46D6">
        <w:rPr>
          <w:lang w:val="en-US"/>
        </w:rPr>
        <w:t xml:space="preserve">: </w:t>
      </w:r>
      <w:r w:rsidRPr="000B75D5">
        <w:rPr>
          <w:lang w:val="en-US"/>
        </w:rPr>
        <w:t xml:space="preserve">The Secretariat has </w:t>
      </w:r>
      <w:r w:rsidR="009A6EB9" w:rsidRPr="000B75D5">
        <w:rPr>
          <w:lang w:val="en-US"/>
        </w:rPr>
        <w:t xml:space="preserve">provided </w:t>
      </w:r>
      <w:r w:rsidRPr="000B75D5">
        <w:rPr>
          <w:lang w:val="en-US"/>
        </w:rPr>
        <w:t>substantial support</w:t>
      </w:r>
      <w:r w:rsidR="009A6EB9" w:rsidRPr="000B75D5">
        <w:rPr>
          <w:lang w:val="en-US"/>
        </w:rPr>
        <w:t xml:space="preserve"> for</w:t>
      </w:r>
      <w:r w:rsidRPr="000B75D5">
        <w:rPr>
          <w:lang w:val="en-US"/>
        </w:rPr>
        <w:t xml:space="preserve"> the work of the governing bodies in taking a set of key decisions </w:t>
      </w:r>
      <w:r w:rsidR="009A6EB9" w:rsidRPr="000B75D5">
        <w:rPr>
          <w:lang w:val="en-US"/>
        </w:rPr>
        <w:t>during</w:t>
      </w:r>
      <w:r w:rsidRPr="000B75D5">
        <w:rPr>
          <w:lang w:val="en-US"/>
        </w:rPr>
        <w:t xml:space="preserve"> </w:t>
      </w:r>
      <w:r w:rsidR="009E1B79" w:rsidRPr="000B75D5">
        <w:rPr>
          <w:lang w:val="en-US"/>
        </w:rPr>
        <w:t xml:space="preserve">sixteen </w:t>
      </w:r>
      <w:r w:rsidRPr="000B75D5">
        <w:rPr>
          <w:lang w:val="en-US"/>
        </w:rPr>
        <w:t xml:space="preserve">statutory meetings organized for the General Assembly, </w:t>
      </w:r>
      <w:r w:rsidR="009A6EB9" w:rsidRPr="000B75D5">
        <w:rPr>
          <w:lang w:val="en-US"/>
        </w:rPr>
        <w:t xml:space="preserve">the </w:t>
      </w:r>
      <w:r w:rsidRPr="000B75D5">
        <w:rPr>
          <w:lang w:val="en-US"/>
        </w:rPr>
        <w:t xml:space="preserve">Committee, </w:t>
      </w:r>
      <w:r w:rsidR="000E3474" w:rsidRPr="000B75D5">
        <w:rPr>
          <w:lang w:val="en-US"/>
        </w:rPr>
        <w:t xml:space="preserve">and </w:t>
      </w:r>
      <w:r w:rsidRPr="000B75D5">
        <w:rPr>
          <w:lang w:val="en-US"/>
        </w:rPr>
        <w:t xml:space="preserve">the Bureau of the Committee. The seventh session of the General Assembly in June 2018 and the thirteenth session of the Committee in December 2018 were instrumental </w:t>
      </w:r>
      <w:r w:rsidR="009D01C4">
        <w:rPr>
          <w:lang w:val="en-US"/>
        </w:rPr>
        <w:t>in</w:t>
      </w:r>
      <w:r w:rsidRPr="000B75D5">
        <w:rPr>
          <w:lang w:val="en-US"/>
        </w:rPr>
        <w:t xml:space="preserve"> </w:t>
      </w:r>
      <w:r w:rsidR="009D69E2" w:rsidRPr="000B75D5">
        <w:rPr>
          <w:lang w:val="en-US"/>
        </w:rPr>
        <w:t>defining</w:t>
      </w:r>
      <w:r w:rsidRPr="000B75D5">
        <w:rPr>
          <w:lang w:val="en-US"/>
        </w:rPr>
        <w:t xml:space="preserve"> directions for </w:t>
      </w:r>
      <w:r w:rsidR="009A6EB9" w:rsidRPr="000B75D5">
        <w:rPr>
          <w:lang w:val="en-US"/>
        </w:rPr>
        <w:t xml:space="preserve">the </w:t>
      </w:r>
      <w:r w:rsidRPr="000B75D5">
        <w:rPr>
          <w:lang w:val="en-US"/>
        </w:rPr>
        <w:t xml:space="preserve">future development of the Convention. In addition, the Secretariat </w:t>
      </w:r>
      <w:r w:rsidR="009A6EB9" w:rsidRPr="000B75D5">
        <w:rPr>
          <w:lang w:val="en-US"/>
        </w:rPr>
        <w:t>undertook</w:t>
      </w:r>
      <w:r w:rsidRPr="000B75D5">
        <w:rPr>
          <w:lang w:val="en-US"/>
        </w:rPr>
        <w:t xml:space="preserve"> administrative tasks for the Evaluation Body to </w:t>
      </w:r>
      <w:r w:rsidR="00A31647" w:rsidRPr="000B75D5">
        <w:rPr>
          <w:lang w:val="en-US"/>
        </w:rPr>
        <w:t xml:space="preserve">support it in its evaluation of the </w:t>
      </w:r>
      <w:r w:rsidRPr="000B75D5">
        <w:rPr>
          <w:lang w:val="en-US"/>
        </w:rPr>
        <w:t>nomination files under the 2018 and 2019 cycles</w:t>
      </w:r>
      <w:r w:rsidR="00233C8F" w:rsidRPr="000B75D5">
        <w:rPr>
          <w:lang w:val="en-US"/>
        </w:rPr>
        <w:t xml:space="preserve">, </w:t>
      </w:r>
      <w:r w:rsidRPr="000B75D5">
        <w:rPr>
          <w:lang w:val="en-US"/>
        </w:rPr>
        <w:t xml:space="preserve">while checking </w:t>
      </w:r>
      <w:r w:rsidR="00A31647" w:rsidRPr="000B75D5">
        <w:rPr>
          <w:lang w:val="en-US"/>
        </w:rPr>
        <w:t xml:space="preserve">the </w:t>
      </w:r>
      <w:r w:rsidRPr="000B75D5">
        <w:rPr>
          <w:lang w:val="en-US"/>
        </w:rPr>
        <w:t xml:space="preserve">technical completeness </w:t>
      </w:r>
      <w:r w:rsidR="00A31647" w:rsidRPr="000B75D5">
        <w:rPr>
          <w:lang w:val="en-US"/>
        </w:rPr>
        <w:t xml:space="preserve">of </w:t>
      </w:r>
      <w:r w:rsidRPr="000B75D5">
        <w:rPr>
          <w:lang w:val="en-US"/>
        </w:rPr>
        <w:t>nominations under the 2020 cycle.</w:t>
      </w:r>
      <w:r w:rsidR="00423E21" w:rsidRPr="00D1234C">
        <w:rPr>
          <w:lang w:val="en-US"/>
        </w:rPr>
        <w:t xml:space="preserve"> </w:t>
      </w:r>
      <w:r w:rsidR="00194FB6" w:rsidRPr="00D1234C">
        <w:rPr>
          <w:lang w:val="en-US"/>
        </w:rPr>
        <w:t>The Secretariat also</w:t>
      </w:r>
      <w:r w:rsidR="00423E21" w:rsidRPr="00D1234C">
        <w:rPr>
          <w:lang w:val="en-US"/>
        </w:rPr>
        <w:t xml:space="preserve"> facilitated the provisional dialogue process</w:t>
      </w:r>
      <w:r w:rsidR="00DA035C">
        <w:rPr>
          <w:rStyle w:val="Appelnotedebasdep"/>
          <w:lang w:val="en-US"/>
        </w:rPr>
        <w:footnoteReference w:id="3"/>
      </w:r>
      <w:r w:rsidR="00423E21" w:rsidRPr="00D1234C">
        <w:rPr>
          <w:lang w:val="en-US"/>
        </w:rPr>
        <w:t xml:space="preserve"> for the nomination files </w:t>
      </w:r>
      <w:r w:rsidR="00EC1E68" w:rsidRPr="00D1234C">
        <w:rPr>
          <w:lang w:val="en-US"/>
        </w:rPr>
        <w:t>under</w:t>
      </w:r>
      <w:r w:rsidR="00423E21" w:rsidRPr="00D1234C">
        <w:rPr>
          <w:lang w:val="en-US"/>
        </w:rPr>
        <w:t xml:space="preserve"> the 2019 cycle.</w:t>
      </w:r>
      <w:r w:rsidRPr="000B75D5">
        <w:rPr>
          <w:lang w:val="en-US"/>
        </w:rPr>
        <w:t xml:space="preserve"> </w:t>
      </w:r>
      <w:r w:rsidR="00194FB6" w:rsidRPr="000B75D5">
        <w:rPr>
          <w:lang w:val="en-US"/>
        </w:rPr>
        <w:t>Furthermore,</w:t>
      </w:r>
      <w:r w:rsidR="00344925" w:rsidRPr="000B75D5">
        <w:rPr>
          <w:lang w:val="en-US"/>
        </w:rPr>
        <w:t xml:space="preserve"> </w:t>
      </w:r>
      <w:r w:rsidRPr="000B75D5">
        <w:rPr>
          <w:lang w:val="en-US"/>
        </w:rPr>
        <w:t>periodic reports</w:t>
      </w:r>
      <w:r w:rsidR="00A90D81" w:rsidRPr="000B75D5">
        <w:rPr>
          <w:lang w:val="en-US"/>
        </w:rPr>
        <w:t>,</w:t>
      </w:r>
      <w:r w:rsidR="00EC1E68" w:rsidRPr="000B75D5">
        <w:rPr>
          <w:lang w:val="en-US"/>
        </w:rPr>
        <w:t xml:space="preserve"> and</w:t>
      </w:r>
      <w:r w:rsidRPr="000B75D5">
        <w:rPr>
          <w:lang w:val="en-US"/>
        </w:rPr>
        <w:t xml:space="preserve"> accreditation and renewal requests from </w:t>
      </w:r>
      <w:r w:rsidR="00A31647" w:rsidRPr="000B75D5">
        <w:rPr>
          <w:lang w:val="en-US"/>
        </w:rPr>
        <w:t>non-governmental organizations</w:t>
      </w:r>
      <w:r w:rsidR="00371300" w:rsidRPr="000B75D5">
        <w:rPr>
          <w:lang w:val="en-US"/>
        </w:rPr>
        <w:t> </w:t>
      </w:r>
      <w:r w:rsidR="00A31647" w:rsidRPr="000B75D5">
        <w:rPr>
          <w:lang w:val="en-US"/>
        </w:rPr>
        <w:t>(</w:t>
      </w:r>
      <w:r w:rsidRPr="000B75D5">
        <w:rPr>
          <w:lang w:val="en-US"/>
        </w:rPr>
        <w:t>NGOs</w:t>
      </w:r>
      <w:r w:rsidR="00A31647" w:rsidRPr="000B75D5">
        <w:rPr>
          <w:lang w:val="en-US"/>
        </w:rPr>
        <w:t>)</w:t>
      </w:r>
      <w:r w:rsidR="00194FB6" w:rsidRPr="000B75D5">
        <w:rPr>
          <w:lang w:val="en-US"/>
        </w:rPr>
        <w:t xml:space="preserve"> </w:t>
      </w:r>
      <w:proofErr w:type="gramStart"/>
      <w:r w:rsidR="00194FB6" w:rsidRPr="000B75D5">
        <w:rPr>
          <w:lang w:val="en-US"/>
        </w:rPr>
        <w:t>were processed</w:t>
      </w:r>
      <w:proofErr w:type="gramEnd"/>
      <w:r w:rsidR="00194FB6" w:rsidRPr="000B75D5">
        <w:rPr>
          <w:lang w:val="en-US"/>
        </w:rPr>
        <w:t xml:space="preserve"> during the given period</w:t>
      </w:r>
      <w:r w:rsidRPr="000B75D5">
        <w:rPr>
          <w:lang w:val="en-US"/>
        </w:rPr>
        <w:t xml:space="preserve">. All these tasks </w:t>
      </w:r>
      <w:proofErr w:type="gramStart"/>
      <w:r w:rsidRPr="000B75D5">
        <w:rPr>
          <w:lang w:val="en-US"/>
        </w:rPr>
        <w:t>were performed</w:t>
      </w:r>
      <w:proofErr w:type="gramEnd"/>
      <w:r w:rsidRPr="000B75D5">
        <w:rPr>
          <w:lang w:val="en-US"/>
        </w:rPr>
        <w:t xml:space="preserve"> within the statutory deadlines defined by the text of the Convention or </w:t>
      </w:r>
      <w:r w:rsidR="009D01C4">
        <w:rPr>
          <w:lang w:val="en-US"/>
        </w:rPr>
        <w:t>its</w:t>
      </w:r>
      <w:r w:rsidR="009D01C4" w:rsidRPr="000B75D5">
        <w:rPr>
          <w:lang w:val="en-US"/>
        </w:rPr>
        <w:t xml:space="preserve"> </w:t>
      </w:r>
      <w:r w:rsidRPr="000B75D5">
        <w:rPr>
          <w:lang w:val="en-US"/>
        </w:rPr>
        <w:t>Operational Directives</w:t>
      </w:r>
      <w:r w:rsidRPr="00E049C6">
        <w:rPr>
          <w:lang w:val="en-US"/>
        </w:rPr>
        <w:t>.</w:t>
      </w:r>
    </w:p>
    <w:p w14:paraId="7F34B706" w14:textId="23839AC3" w:rsidR="002106CE" w:rsidRPr="00D1234C" w:rsidRDefault="009E0B1D" w:rsidP="004B268E">
      <w:pPr>
        <w:pStyle w:val="COMPara"/>
        <w:numPr>
          <w:ilvl w:val="0"/>
          <w:numId w:val="38"/>
        </w:numPr>
        <w:ind w:left="567" w:hanging="567"/>
        <w:jc w:val="both"/>
        <w:rPr>
          <w:lang w:val="en-US"/>
        </w:rPr>
      </w:pPr>
      <w:r w:rsidRPr="00D1234C">
        <w:rPr>
          <w:b/>
          <w:lang w:val="en-US"/>
        </w:rPr>
        <w:t>Monitoring the implementation and impact of the Convention</w:t>
      </w:r>
      <w:r w:rsidRPr="00D1234C">
        <w:rPr>
          <w:lang w:val="en-US"/>
        </w:rPr>
        <w:t xml:space="preserve">: </w:t>
      </w:r>
      <w:r w:rsidR="00187733" w:rsidRPr="00D1234C">
        <w:rPr>
          <w:lang w:val="en-US"/>
        </w:rPr>
        <w:t xml:space="preserve">Since 2017, the periodic reporting </w:t>
      </w:r>
      <w:r w:rsidR="004C0405" w:rsidRPr="00D1234C">
        <w:rPr>
          <w:lang w:val="en-US"/>
        </w:rPr>
        <w:t>mechanism h</w:t>
      </w:r>
      <w:r w:rsidR="00187733" w:rsidRPr="00D1234C">
        <w:rPr>
          <w:lang w:val="en-US"/>
        </w:rPr>
        <w:t xml:space="preserve">as been undergoing a major reform to enhance its quality, usefulness and timeliness, by aligning it to the </w:t>
      </w:r>
      <w:r w:rsidR="004B503F" w:rsidRPr="00D1234C">
        <w:rPr>
          <w:lang w:val="en-US"/>
        </w:rPr>
        <w:t xml:space="preserve">approved </w:t>
      </w:r>
      <w:r w:rsidR="00187733" w:rsidRPr="00D1234C">
        <w:rPr>
          <w:lang w:val="en-US"/>
        </w:rPr>
        <w:t>overall results framework for the 2003 Convention</w:t>
      </w:r>
      <w:r w:rsidR="0091014A" w:rsidRPr="00D1234C">
        <w:rPr>
          <w:rStyle w:val="Appelnotedebasdep"/>
          <w:lang w:val="en-US"/>
        </w:rPr>
        <w:footnoteReference w:id="4"/>
      </w:r>
      <w:r w:rsidR="00187733" w:rsidRPr="00D1234C">
        <w:rPr>
          <w:lang w:val="en-US"/>
        </w:rPr>
        <w:t xml:space="preserve">. Under this </w:t>
      </w:r>
      <w:r w:rsidR="00D736C5" w:rsidRPr="00D1234C">
        <w:rPr>
          <w:lang w:val="en-US"/>
        </w:rPr>
        <w:t>reformed</w:t>
      </w:r>
      <w:r w:rsidR="00187733" w:rsidRPr="00D1234C">
        <w:rPr>
          <w:lang w:val="en-US"/>
        </w:rPr>
        <w:t xml:space="preserve"> system, States Parties will submit their report</w:t>
      </w:r>
      <w:r w:rsidR="001B5CF3" w:rsidRPr="00D1234C">
        <w:rPr>
          <w:lang w:val="en-US"/>
        </w:rPr>
        <w:t>s</w:t>
      </w:r>
      <w:r w:rsidR="00187733" w:rsidRPr="00D1234C">
        <w:rPr>
          <w:lang w:val="en-US"/>
        </w:rPr>
        <w:t xml:space="preserve"> every six years </w:t>
      </w:r>
      <w:r w:rsidR="0000416E" w:rsidRPr="00D1234C">
        <w:rPr>
          <w:lang w:val="en-US"/>
        </w:rPr>
        <w:t>based on</w:t>
      </w:r>
      <w:r w:rsidR="00187733" w:rsidRPr="00D1234C">
        <w:rPr>
          <w:lang w:val="en-US"/>
        </w:rPr>
        <w:t xml:space="preserve"> a system of regional rotation (instead of every six years after their year of ratification); Latin America and the Caribbean will be the first region in 2020 to rep</w:t>
      </w:r>
      <w:r w:rsidR="00D736C5" w:rsidRPr="00D1234C">
        <w:rPr>
          <w:lang w:val="en-US"/>
        </w:rPr>
        <w:t>ort</w:t>
      </w:r>
      <w:r w:rsidR="00582466" w:rsidRPr="00D1234C">
        <w:rPr>
          <w:lang w:val="en-US"/>
        </w:rPr>
        <w:t xml:space="preserve"> under this system</w:t>
      </w:r>
      <w:r w:rsidR="00DD173A" w:rsidRPr="00D1234C">
        <w:rPr>
          <w:rStyle w:val="Appelnotedebasdep"/>
          <w:lang w:val="en-US"/>
        </w:rPr>
        <w:footnoteReference w:id="5"/>
      </w:r>
      <w:r w:rsidR="00187733" w:rsidRPr="00D1234C">
        <w:rPr>
          <w:lang w:val="en-US"/>
        </w:rPr>
        <w:t xml:space="preserve">. </w:t>
      </w:r>
      <w:r w:rsidR="009B1FF2" w:rsidRPr="00D1234C">
        <w:rPr>
          <w:lang w:val="en-US"/>
        </w:rPr>
        <w:t>T</w:t>
      </w:r>
      <w:r w:rsidR="00187733" w:rsidRPr="00D1234C">
        <w:rPr>
          <w:lang w:val="en-US"/>
        </w:rPr>
        <w:t>he ne</w:t>
      </w:r>
      <w:r w:rsidR="00296D5A" w:rsidRPr="00D1234C">
        <w:rPr>
          <w:lang w:val="en-US"/>
        </w:rPr>
        <w:t xml:space="preserve">w reporting mechanism </w:t>
      </w:r>
      <w:r w:rsidR="009B1FF2" w:rsidRPr="00D1234C">
        <w:rPr>
          <w:lang w:val="en-US"/>
        </w:rPr>
        <w:t xml:space="preserve">is intended to </w:t>
      </w:r>
      <w:r w:rsidR="00187733" w:rsidRPr="00D1234C">
        <w:rPr>
          <w:lang w:val="en-US"/>
        </w:rPr>
        <w:t xml:space="preserve">allow States to report on results and </w:t>
      </w:r>
      <w:proofErr w:type="gramStart"/>
      <w:r w:rsidR="00187733" w:rsidRPr="00D1234C">
        <w:rPr>
          <w:lang w:val="en-US"/>
        </w:rPr>
        <w:t>impacts</w:t>
      </w:r>
      <w:proofErr w:type="gramEnd"/>
      <w:r w:rsidR="00187733" w:rsidRPr="00D1234C">
        <w:rPr>
          <w:lang w:val="en-US"/>
        </w:rPr>
        <w:t xml:space="preserve"> rather than on activities, and to </w:t>
      </w:r>
      <w:r w:rsidR="00582466" w:rsidRPr="00D1234C">
        <w:rPr>
          <w:lang w:val="en-US"/>
        </w:rPr>
        <w:t xml:space="preserve">effectively </w:t>
      </w:r>
      <w:r w:rsidR="00DD173A" w:rsidRPr="00D1234C">
        <w:rPr>
          <w:lang w:val="en-US"/>
        </w:rPr>
        <w:t xml:space="preserve">monitor </w:t>
      </w:r>
      <w:r w:rsidR="00187733" w:rsidRPr="00D1234C">
        <w:rPr>
          <w:lang w:val="en-US"/>
        </w:rPr>
        <w:t>their implementation of the 2003 Convention</w:t>
      </w:r>
      <w:r w:rsidR="009B1FF2" w:rsidRPr="00D1234C">
        <w:rPr>
          <w:lang w:val="en-US"/>
        </w:rPr>
        <w:t xml:space="preserve">. The Secretariat in this regard, aimed to give States </w:t>
      </w:r>
      <w:r w:rsidR="00187733" w:rsidRPr="00D1234C">
        <w:rPr>
          <w:lang w:val="en-US"/>
        </w:rPr>
        <w:t xml:space="preserve">the possibility </w:t>
      </w:r>
      <w:r w:rsidR="00582466" w:rsidRPr="00D1234C">
        <w:rPr>
          <w:lang w:val="en-US"/>
        </w:rPr>
        <w:t>of</w:t>
      </w:r>
      <w:r w:rsidR="00187733" w:rsidRPr="00D1234C">
        <w:rPr>
          <w:lang w:val="en-US"/>
        </w:rPr>
        <w:t xml:space="preserve"> </w:t>
      </w:r>
      <w:r w:rsidR="00187733" w:rsidRPr="00D1234C">
        <w:rPr>
          <w:lang w:val="en-US"/>
        </w:rPr>
        <w:lastRenderedPageBreak/>
        <w:t>establish</w:t>
      </w:r>
      <w:r w:rsidR="00582466" w:rsidRPr="00D1234C">
        <w:rPr>
          <w:lang w:val="en-US"/>
        </w:rPr>
        <w:t>ing</w:t>
      </w:r>
      <w:r w:rsidR="00187733" w:rsidRPr="00D1234C">
        <w:rPr>
          <w:lang w:val="en-US"/>
        </w:rPr>
        <w:t xml:space="preserve"> their own targets against which progress can be measured in future reporting. </w:t>
      </w:r>
      <w:r w:rsidR="00766699" w:rsidRPr="00D1234C">
        <w:rPr>
          <w:lang w:val="en-US"/>
        </w:rPr>
        <w:t>D</w:t>
      </w:r>
      <w:r w:rsidR="00811E6F" w:rsidRPr="00D1234C">
        <w:rPr>
          <w:lang w:val="en-US"/>
        </w:rPr>
        <w:t>uring the transition period</w:t>
      </w:r>
      <w:r w:rsidR="00D736C5" w:rsidRPr="00D1234C">
        <w:rPr>
          <w:lang w:val="en-US"/>
        </w:rPr>
        <w:t xml:space="preserve">, </w:t>
      </w:r>
      <w:r w:rsidR="00766699" w:rsidRPr="00D1234C">
        <w:rPr>
          <w:lang w:val="en-US"/>
        </w:rPr>
        <w:t xml:space="preserve">the Secretariat undertook </w:t>
      </w:r>
      <w:r w:rsidR="00CF2B0B">
        <w:rPr>
          <w:lang w:val="en-US"/>
        </w:rPr>
        <w:t xml:space="preserve">the following </w:t>
      </w:r>
      <w:r w:rsidR="00766699" w:rsidRPr="00D1234C">
        <w:rPr>
          <w:lang w:val="en-US"/>
        </w:rPr>
        <w:t>action</w:t>
      </w:r>
      <w:r w:rsidR="00CF2B0B">
        <w:rPr>
          <w:lang w:val="en-US"/>
        </w:rPr>
        <w:t>s</w:t>
      </w:r>
      <w:r w:rsidR="00766699" w:rsidRPr="00D1234C">
        <w:rPr>
          <w:lang w:val="en-US"/>
        </w:rPr>
        <w:t xml:space="preserve">: </w:t>
      </w:r>
      <w:r w:rsidR="00187733" w:rsidRPr="00D1234C">
        <w:rPr>
          <w:lang w:val="en-US"/>
        </w:rPr>
        <w:t xml:space="preserve">a) the revision of reporting Form ICH-10 </w:t>
      </w:r>
      <w:r w:rsidR="003958A6" w:rsidRPr="00D1234C">
        <w:rPr>
          <w:lang w:val="en-US"/>
        </w:rPr>
        <w:t>and its online version</w:t>
      </w:r>
      <w:r w:rsidR="00582466" w:rsidRPr="00D1234C">
        <w:rPr>
          <w:lang w:val="en-US"/>
        </w:rPr>
        <w:t>;</w:t>
      </w:r>
      <w:r w:rsidR="00187733" w:rsidRPr="00D1234C">
        <w:rPr>
          <w:lang w:val="en-US"/>
        </w:rPr>
        <w:t xml:space="preserve"> b) the production of a set of</w:t>
      </w:r>
      <w:r w:rsidR="00582466" w:rsidRPr="00D1234C">
        <w:rPr>
          <w:lang w:val="en-US"/>
        </w:rPr>
        <w:t xml:space="preserve"> twenty-six</w:t>
      </w:r>
      <w:r w:rsidR="00187733" w:rsidRPr="00D1234C">
        <w:rPr>
          <w:lang w:val="en-US"/>
        </w:rPr>
        <w:t xml:space="preserve"> guidance notes</w:t>
      </w:r>
      <w:r w:rsidR="00582466" w:rsidRPr="00D1234C">
        <w:rPr>
          <w:lang w:val="en-US"/>
        </w:rPr>
        <w:t>; and</w:t>
      </w:r>
      <w:r w:rsidR="00187733" w:rsidRPr="00D1234C">
        <w:rPr>
          <w:lang w:val="en-US"/>
        </w:rPr>
        <w:t xml:space="preserve"> c)</w:t>
      </w:r>
      <w:r w:rsidR="00766699" w:rsidRPr="00D1234C">
        <w:rPr>
          <w:lang w:val="en-US"/>
        </w:rPr>
        <w:t> </w:t>
      </w:r>
      <w:r w:rsidR="00187733" w:rsidRPr="00D1234C">
        <w:rPr>
          <w:lang w:val="en-US"/>
        </w:rPr>
        <w:t xml:space="preserve">the development of </w:t>
      </w:r>
      <w:r w:rsidR="00233C8F" w:rsidRPr="00D1234C">
        <w:rPr>
          <w:lang w:val="en-US"/>
        </w:rPr>
        <w:t xml:space="preserve">a </w:t>
      </w:r>
      <w:r w:rsidR="00187733" w:rsidRPr="00D1234C">
        <w:rPr>
          <w:lang w:val="en-US"/>
        </w:rPr>
        <w:t>capacity</w:t>
      </w:r>
      <w:r w:rsidR="00582466" w:rsidRPr="00D1234C">
        <w:rPr>
          <w:lang w:val="en-US"/>
        </w:rPr>
        <w:t>-</w:t>
      </w:r>
      <w:r w:rsidR="00187733" w:rsidRPr="00D1234C">
        <w:rPr>
          <w:lang w:val="en-US"/>
        </w:rPr>
        <w:t xml:space="preserve">building approach </w:t>
      </w:r>
      <w:r w:rsidR="00DD173A" w:rsidRPr="00D1234C">
        <w:rPr>
          <w:lang w:val="en-US"/>
        </w:rPr>
        <w:t xml:space="preserve">and </w:t>
      </w:r>
      <w:r w:rsidR="00233C8F" w:rsidRPr="00D1234C">
        <w:rPr>
          <w:lang w:val="en-US"/>
        </w:rPr>
        <w:t xml:space="preserve">related </w:t>
      </w:r>
      <w:r w:rsidR="00DD173A" w:rsidRPr="00D1234C">
        <w:rPr>
          <w:lang w:val="en-US"/>
        </w:rPr>
        <w:t xml:space="preserve">materials </w:t>
      </w:r>
      <w:r w:rsidR="00187733" w:rsidRPr="00D1234C">
        <w:rPr>
          <w:lang w:val="en-US"/>
        </w:rPr>
        <w:t>to</w:t>
      </w:r>
      <w:r w:rsidR="00460582" w:rsidRPr="00D1234C">
        <w:rPr>
          <w:lang w:val="en-US"/>
        </w:rPr>
        <w:t xml:space="preserve"> </w:t>
      </w:r>
      <w:r w:rsidR="00DD173A" w:rsidRPr="00D1234C">
        <w:rPr>
          <w:lang w:val="en-US"/>
        </w:rPr>
        <w:t xml:space="preserve">assist </w:t>
      </w:r>
      <w:r w:rsidR="00460582" w:rsidRPr="00D1234C">
        <w:rPr>
          <w:lang w:val="en-US"/>
        </w:rPr>
        <w:t>reporting States</w:t>
      </w:r>
      <w:r w:rsidR="00B927DC" w:rsidRPr="00D1234C">
        <w:rPr>
          <w:lang w:val="en-US"/>
        </w:rPr>
        <w:t xml:space="preserve">. </w:t>
      </w:r>
      <w:r w:rsidR="00766699" w:rsidRPr="00D1234C">
        <w:rPr>
          <w:lang w:val="en-US"/>
        </w:rPr>
        <w:t xml:space="preserve">Some of these actions benefitted from the support of the Republic of Korea. </w:t>
      </w:r>
      <w:r w:rsidR="00CF2B0B">
        <w:rPr>
          <w:bCs/>
          <w:lang w:val="en-US"/>
        </w:rPr>
        <w:t>The</w:t>
      </w:r>
      <w:r w:rsidR="00582466" w:rsidRPr="00D1234C">
        <w:rPr>
          <w:bCs/>
          <w:lang w:val="en-US"/>
        </w:rPr>
        <w:t xml:space="preserve"> reform of the periodic reporting mechanism </w:t>
      </w:r>
      <w:proofErr w:type="gramStart"/>
      <w:r w:rsidR="00185383" w:rsidRPr="00D1234C">
        <w:rPr>
          <w:bCs/>
          <w:lang w:val="en-US"/>
        </w:rPr>
        <w:t>will be discussed</w:t>
      </w:r>
      <w:proofErr w:type="gramEnd"/>
      <w:r w:rsidR="00B27CF5">
        <w:rPr>
          <w:bCs/>
          <w:lang w:val="en-US"/>
        </w:rPr>
        <w:t xml:space="preserve"> at this session</w:t>
      </w:r>
      <w:r w:rsidR="00185383" w:rsidRPr="00D1234C">
        <w:rPr>
          <w:bCs/>
          <w:lang w:val="en-US"/>
        </w:rPr>
        <w:t xml:space="preserve"> under Item 8 (see document </w:t>
      </w:r>
      <w:hyperlink r:id="rId9" w:history="1">
        <w:r w:rsidR="00185383" w:rsidRPr="00D1234C">
          <w:rPr>
            <w:rStyle w:val="Lienhypertexte"/>
            <w:rFonts w:cs="Arial"/>
            <w:lang w:val="en-US"/>
          </w:rPr>
          <w:t>LHE/19/14.COM/8</w:t>
        </w:r>
      </w:hyperlink>
      <w:r w:rsidR="00185383" w:rsidRPr="00D1234C">
        <w:rPr>
          <w:bCs/>
          <w:lang w:val="en-US"/>
        </w:rPr>
        <w:t>).</w:t>
      </w:r>
    </w:p>
    <w:p w14:paraId="298B4C3A" w14:textId="11F64D06" w:rsidR="003F0F03" w:rsidRPr="00D1234C" w:rsidRDefault="00862582">
      <w:pPr>
        <w:pStyle w:val="COMPara"/>
        <w:numPr>
          <w:ilvl w:val="0"/>
          <w:numId w:val="38"/>
        </w:numPr>
        <w:ind w:left="567" w:hanging="567"/>
        <w:jc w:val="both"/>
        <w:rPr>
          <w:lang w:val="en-US"/>
        </w:rPr>
      </w:pPr>
      <w:r w:rsidRPr="004A46D6">
        <w:rPr>
          <w:b/>
          <w:lang w:val="en-US"/>
        </w:rPr>
        <w:t>International Assistance</w:t>
      </w:r>
      <w:r w:rsidRPr="004A46D6">
        <w:rPr>
          <w:lang w:val="en-US"/>
        </w:rPr>
        <w:t xml:space="preserve">: </w:t>
      </w:r>
      <w:r w:rsidR="001113AA" w:rsidRPr="00313C2E">
        <w:rPr>
          <w:lang w:val="en-US"/>
        </w:rPr>
        <w:t xml:space="preserve">Since 2010, </w:t>
      </w:r>
      <w:r w:rsidR="001113AA" w:rsidRPr="00D1234C">
        <w:rPr>
          <w:lang w:val="en-US"/>
        </w:rPr>
        <w:t>income</w:t>
      </w:r>
      <w:r w:rsidR="001113AA" w:rsidRPr="00313C2E">
        <w:rPr>
          <w:lang w:val="en-US"/>
        </w:rPr>
        <w:t xml:space="preserve"> to the </w:t>
      </w:r>
      <w:r w:rsidR="00D13F6E" w:rsidRPr="00313C2E">
        <w:rPr>
          <w:lang w:val="en-US"/>
        </w:rPr>
        <w:t xml:space="preserve">Intangible Cultural Heritage </w:t>
      </w:r>
      <w:r w:rsidR="001113AA" w:rsidRPr="00313C2E">
        <w:rPr>
          <w:lang w:val="en-US"/>
        </w:rPr>
        <w:t>Fund</w:t>
      </w:r>
      <w:r w:rsidR="00D13F6E" w:rsidRPr="00313C2E">
        <w:rPr>
          <w:lang w:val="en-US"/>
        </w:rPr>
        <w:t xml:space="preserve"> (therein after ‘Fund’)</w:t>
      </w:r>
      <w:r w:rsidR="001113AA" w:rsidRPr="00313C2E">
        <w:rPr>
          <w:lang w:val="en-US"/>
        </w:rPr>
        <w:t xml:space="preserve"> has largely exceeded expenditure in each biennium and the balance of unrestricted and unencumbered funds has grown steadily to the extent </w:t>
      </w:r>
      <w:r w:rsidR="00F8602B" w:rsidRPr="00313C2E">
        <w:rPr>
          <w:lang w:val="en-US"/>
        </w:rPr>
        <w:t xml:space="preserve">that </w:t>
      </w:r>
      <w:r w:rsidR="001113AA" w:rsidRPr="00313C2E">
        <w:rPr>
          <w:lang w:val="en-US"/>
        </w:rPr>
        <w:t>more than US$8.</w:t>
      </w:r>
      <w:r w:rsidR="00A6633D" w:rsidRPr="00D1234C">
        <w:rPr>
          <w:lang w:val="en-US"/>
        </w:rPr>
        <w:t>6 </w:t>
      </w:r>
      <w:r w:rsidR="001113AA" w:rsidRPr="00313C2E">
        <w:rPr>
          <w:lang w:val="en-US"/>
        </w:rPr>
        <w:t xml:space="preserve">million </w:t>
      </w:r>
      <w:r w:rsidR="00F8602B" w:rsidRPr="00313C2E">
        <w:rPr>
          <w:lang w:val="en-US"/>
        </w:rPr>
        <w:t xml:space="preserve">had been accumulated </w:t>
      </w:r>
      <w:r w:rsidR="001113AA" w:rsidRPr="00313C2E">
        <w:rPr>
          <w:lang w:val="en-US"/>
        </w:rPr>
        <w:t xml:space="preserve">at the beginning of </w:t>
      </w:r>
      <w:r w:rsidR="00F8602B" w:rsidRPr="00313C2E">
        <w:rPr>
          <w:lang w:val="en-US"/>
        </w:rPr>
        <w:t xml:space="preserve">the </w:t>
      </w:r>
      <w:r w:rsidR="001113AA" w:rsidRPr="00313C2E">
        <w:rPr>
          <w:lang w:val="en-US"/>
        </w:rPr>
        <w:t>39C/5</w:t>
      </w:r>
      <w:r w:rsidR="004B1EBF" w:rsidRPr="00313C2E">
        <w:rPr>
          <w:rStyle w:val="Appelnotedebasdep"/>
          <w:lang w:val="en-US"/>
        </w:rPr>
        <w:footnoteReference w:id="6"/>
      </w:r>
      <w:r w:rsidR="001113AA" w:rsidRPr="00313C2E">
        <w:rPr>
          <w:lang w:val="en-US"/>
        </w:rPr>
        <w:t>.</w:t>
      </w:r>
      <w:r w:rsidR="001113AA" w:rsidRPr="004A46D6">
        <w:rPr>
          <w:lang w:val="en-US"/>
        </w:rPr>
        <w:t xml:space="preserve"> </w:t>
      </w:r>
      <w:r w:rsidR="00313C2E" w:rsidRPr="00D1234C">
        <w:rPr>
          <w:lang w:val="en-US"/>
        </w:rPr>
        <w:t>This situation has hindered the possibilities of raising extra-budgetary sources of funding.</w:t>
      </w:r>
      <w:r w:rsidR="00313C2E" w:rsidRPr="00DA035C">
        <w:rPr>
          <w:lang w:val="en-US"/>
        </w:rPr>
        <w:t xml:space="preserve"> </w:t>
      </w:r>
      <w:r w:rsidR="003F7A2C" w:rsidRPr="00D1234C">
        <w:rPr>
          <w:lang w:val="en-US"/>
        </w:rPr>
        <w:t xml:space="preserve">This reporting period saw a positive change since </w:t>
      </w:r>
      <w:r w:rsidR="00313C2E" w:rsidRPr="00D1234C">
        <w:rPr>
          <w:bCs/>
        </w:rPr>
        <w:t xml:space="preserve">the expenditures have, for the first time, surpassed US$4 million </w:t>
      </w:r>
      <w:r w:rsidR="00313C2E" w:rsidRPr="00D1234C">
        <w:t>d</w:t>
      </w:r>
      <w:r w:rsidR="00313C2E" w:rsidRPr="00D1234C">
        <w:rPr>
          <w:bCs/>
        </w:rPr>
        <w:t>uring the current biennium</w:t>
      </w:r>
      <w:r w:rsidR="003F7A2C" w:rsidRPr="00D1234C">
        <w:rPr>
          <w:bCs/>
        </w:rPr>
        <w:t>,</w:t>
      </w:r>
      <w:r w:rsidR="00313C2E" w:rsidRPr="00D1234C">
        <w:rPr>
          <w:bCs/>
        </w:rPr>
        <w:t xml:space="preserve"> which represents 112% of the compulsory assessed contributions due for 2018-2019</w:t>
      </w:r>
      <w:r w:rsidR="00694EAF">
        <w:rPr>
          <w:rStyle w:val="Appelnotedebasdep"/>
          <w:bCs/>
        </w:rPr>
        <w:footnoteReference w:id="7"/>
      </w:r>
      <w:r w:rsidR="00313C2E" w:rsidRPr="00D1234C">
        <w:rPr>
          <w:bCs/>
        </w:rPr>
        <w:t>.</w:t>
      </w:r>
      <w:r w:rsidR="00313C2E" w:rsidRPr="00DA035C">
        <w:rPr>
          <w:bCs/>
        </w:rPr>
        <w:t xml:space="preserve"> This </w:t>
      </w:r>
      <w:r w:rsidR="003F7A2C" w:rsidRPr="00D1234C">
        <w:rPr>
          <w:bCs/>
        </w:rPr>
        <w:t xml:space="preserve">trend </w:t>
      </w:r>
      <w:proofErr w:type="gramStart"/>
      <w:r w:rsidR="003F7A2C" w:rsidRPr="00D1234C">
        <w:rPr>
          <w:bCs/>
        </w:rPr>
        <w:t xml:space="preserve">can </w:t>
      </w:r>
      <w:r w:rsidR="00313C2E" w:rsidRPr="00DA035C">
        <w:rPr>
          <w:bCs/>
        </w:rPr>
        <w:t xml:space="preserve">largely </w:t>
      </w:r>
      <w:r w:rsidR="003F7A2C" w:rsidRPr="00D1234C">
        <w:rPr>
          <w:bCs/>
        </w:rPr>
        <w:t>be attributed</w:t>
      </w:r>
      <w:proofErr w:type="gramEnd"/>
      <w:r w:rsidR="003F7A2C" w:rsidRPr="00D1234C">
        <w:rPr>
          <w:bCs/>
        </w:rPr>
        <w:t xml:space="preserve"> </w:t>
      </w:r>
      <w:r w:rsidR="00313C2E" w:rsidRPr="00DA035C">
        <w:rPr>
          <w:bCs/>
        </w:rPr>
        <w:t xml:space="preserve">to </w:t>
      </w:r>
      <w:r w:rsidR="00313C2E" w:rsidRPr="00D1234C">
        <w:t xml:space="preserve">a significantly higher use made by States Parties of the </w:t>
      </w:r>
      <w:r w:rsidR="00313C2E" w:rsidRPr="00D1234C">
        <w:rPr>
          <w:b/>
        </w:rPr>
        <w:t xml:space="preserve">International Assistance mechanisms. </w:t>
      </w:r>
      <w:proofErr w:type="gramStart"/>
      <w:r w:rsidR="00233C8F" w:rsidRPr="004A46D6">
        <w:rPr>
          <w:bCs/>
          <w:lang w:val="en-US"/>
        </w:rPr>
        <w:t>T</w:t>
      </w:r>
      <w:r w:rsidR="003F7986" w:rsidRPr="004A46D6">
        <w:rPr>
          <w:bCs/>
          <w:lang w:val="en-US"/>
        </w:rPr>
        <w:t xml:space="preserve">his </w:t>
      </w:r>
      <w:r w:rsidR="00233C8F" w:rsidRPr="004A46D6">
        <w:rPr>
          <w:bCs/>
          <w:lang w:val="en-US"/>
        </w:rPr>
        <w:t>encouraging developmen</w:t>
      </w:r>
      <w:r w:rsidR="006E16DD" w:rsidRPr="004A46D6">
        <w:rPr>
          <w:bCs/>
          <w:lang w:val="en-US"/>
        </w:rPr>
        <w:t>t</w:t>
      </w:r>
      <w:r w:rsidR="00233C8F" w:rsidRPr="004A46D6">
        <w:rPr>
          <w:bCs/>
          <w:lang w:val="en-US"/>
        </w:rPr>
        <w:t xml:space="preserve"> in the implementation of the </w:t>
      </w:r>
      <w:r w:rsidR="00722937">
        <w:rPr>
          <w:bCs/>
          <w:lang w:val="en-US"/>
        </w:rPr>
        <w:t>I</w:t>
      </w:r>
      <w:r w:rsidR="00233C8F" w:rsidRPr="004A46D6">
        <w:rPr>
          <w:bCs/>
          <w:lang w:val="en-US"/>
        </w:rPr>
        <w:t xml:space="preserve">nternational </w:t>
      </w:r>
      <w:r w:rsidR="00722937">
        <w:rPr>
          <w:bCs/>
          <w:lang w:val="en-US"/>
        </w:rPr>
        <w:t>A</w:t>
      </w:r>
      <w:r w:rsidR="00233C8F" w:rsidRPr="004A46D6">
        <w:rPr>
          <w:bCs/>
          <w:lang w:val="en-US"/>
        </w:rPr>
        <w:t xml:space="preserve">ssistance line of the </w:t>
      </w:r>
      <w:r w:rsidR="006E16DD" w:rsidRPr="004A46D6">
        <w:rPr>
          <w:bCs/>
          <w:lang w:val="en-US"/>
        </w:rPr>
        <w:t>F</w:t>
      </w:r>
      <w:r w:rsidR="00233C8F" w:rsidRPr="004A46D6">
        <w:rPr>
          <w:bCs/>
          <w:lang w:val="en-US"/>
        </w:rPr>
        <w:t>und can</w:t>
      </w:r>
      <w:r w:rsidR="008411C8" w:rsidRPr="004A46D6">
        <w:rPr>
          <w:bCs/>
          <w:lang w:val="en-US"/>
        </w:rPr>
        <w:t xml:space="preserve"> </w:t>
      </w:r>
      <w:r w:rsidR="00233C8F" w:rsidRPr="004A46D6">
        <w:rPr>
          <w:bCs/>
          <w:lang w:val="en-US"/>
        </w:rPr>
        <w:t xml:space="preserve">primarily be explained with </w:t>
      </w:r>
      <w:r w:rsidR="00805D8E">
        <w:rPr>
          <w:bCs/>
          <w:lang w:val="en-US"/>
        </w:rPr>
        <w:t>three</w:t>
      </w:r>
      <w:r w:rsidR="00233C8F" w:rsidRPr="004A46D6">
        <w:rPr>
          <w:bCs/>
          <w:lang w:val="en-US"/>
        </w:rPr>
        <w:t xml:space="preserve"> reasons</w:t>
      </w:r>
      <w:r w:rsidR="00805D8E">
        <w:rPr>
          <w:bCs/>
          <w:lang w:val="en-US"/>
        </w:rPr>
        <w:t>;</w:t>
      </w:r>
      <w:r w:rsidR="00233C8F" w:rsidRPr="004A46D6">
        <w:rPr>
          <w:bCs/>
          <w:lang w:val="en-US"/>
        </w:rPr>
        <w:t xml:space="preserve"> firstly</w:t>
      </w:r>
      <w:r w:rsidR="00805D8E">
        <w:rPr>
          <w:bCs/>
          <w:lang w:val="en-US"/>
        </w:rPr>
        <w:t>,</w:t>
      </w:r>
      <w:r w:rsidR="00233C8F" w:rsidRPr="004A46D6">
        <w:rPr>
          <w:bCs/>
          <w:lang w:val="en-US"/>
        </w:rPr>
        <w:t xml:space="preserve"> the increase of the ceiling for requests to be examined by the Bureau from </w:t>
      </w:r>
      <w:r w:rsidR="00426E59" w:rsidRPr="004A46D6">
        <w:rPr>
          <w:bCs/>
          <w:lang w:val="en-US"/>
        </w:rPr>
        <w:t>US$</w:t>
      </w:r>
      <w:r w:rsidR="00233C8F" w:rsidRPr="004A46D6">
        <w:rPr>
          <w:bCs/>
          <w:lang w:val="en-US"/>
        </w:rPr>
        <w:t xml:space="preserve">25,000 to </w:t>
      </w:r>
      <w:r w:rsidR="00426E59" w:rsidRPr="004A46D6">
        <w:rPr>
          <w:bCs/>
          <w:lang w:val="en-US"/>
        </w:rPr>
        <w:t>US$</w:t>
      </w:r>
      <w:r w:rsidR="00233C8F" w:rsidRPr="004A46D6">
        <w:rPr>
          <w:bCs/>
          <w:lang w:val="en-US"/>
        </w:rPr>
        <w:t>100,000</w:t>
      </w:r>
      <w:r w:rsidR="00426E59" w:rsidRPr="004A46D6">
        <w:rPr>
          <w:bCs/>
          <w:lang w:val="en-US"/>
        </w:rPr>
        <w:t xml:space="preserve"> </w:t>
      </w:r>
      <w:r w:rsidR="00233C8F" w:rsidRPr="00AB7E7C">
        <w:rPr>
          <w:bCs/>
          <w:lang w:val="en-US"/>
        </w:rPr>
        <w:t>(</w:t>
      </w:r>
      <w:r w:rsidR="00464990" w:rsidRPr="00D1234C">
        <w:rPr>
          <w:bCs/>
          <w:lang w:val="en-US"/>
        </w:rPr>
        <w:t xml:space="preserve">Resolution </w:t>
      </w:r>
      <w:hyperlink r:id="rId10" w:history="1">
        <w:r w:rsidR="00464990" w:rsidRPr="00D1234C">
          <w:rPr>
            <w:rStyle w:val="Lienhypertexte"/>
            <w:rFonts w:cs="Arial"/>
            <w:bCs/>
            <w:lang w:val="en-US"/>
          </w:rPr>
          <w:t>6.GA 7</w:t>
        </w:r>
      </w:hyperlink>
      <w:r w:rsidR="00233C8F" w:rsidRPr="00AB7E7C">
        <w:rPr>
          <w:bCs/>
          <w:lang w:val="en-US"/>
        </w:rPr>
        <w:t>)</w:t>
      </w:r>
      <w:r w:rsidR="00426E59" w:rsidRPr="00AB7E7C">
        <w:rPr>
          <w:bCs/>
          <w:lang w:val="en-US"/>
        </w:rPr>
        <w:t>,</w:t>
      </w:r>
      <w:r w:rsidR="00233C8F" w:rsidRPr="004A46D6">
        <w:rPr>
          <w:bCs/>
          <w:lang w:val="en-US"/>
        </w:rPr>
        <w:t xml:space="preserve"> secondly the intensification of efforts </w:t>
      </w:r>
      <w:r w:rsidR="00477EAC" w:rsidRPr="004A46D6">
        <w:rPr>
          <w:bCs/>
          <w:lang w:val="en-US"/>
        </w:rPr>
        <w:t xml:space="preserve">by the Secretariat </w:t>
      </w:r>
      <w:r w:rsidR="00233C8F" w:rsidRPr="004A46D6">
        <w:rPr>
          <w:bCs/>
          <w:lang w:val="en-US"/>
        </w:rPr>
        <w:t xml:space="preserve">to </w:t>
      </w:r>
      <w:r w:rsidR="00477EAC" w:rsidRPr="004A46D6">
        <w:rPr>
          <w:bCs/>
          <w:lang w:val="en-US"/>
        </w:rPr>
        <w:t>present</w:t>
      </w:r>
      <w:r w:rsidR="00233C8F" w:rsidRPr="004A46D6">
        <w:rPr>
          <w:bCs/>
          <w:lang w:val="en-US"/>
        </w:rPr>
        <w:t xml:space="preserve"> requests</w:t>
      </w:r>
      <w:r w:rsidR="00477EAC" w:rsidRPr="004A46D6">
        <w:rPr>
          <w:bCs/>
          <w:lang w:val="en-US"/>
        </w:rPr>
        <w:t xml:space="preserve"> to the Bureau and provide</w:t>
      </w:r>
      <w:r w:rsidR="00233C8F" w:rsidRPr="004A46D6">
        <w:rPr>
          <w:bCs/>
          <w:lang w:val="en-US"/>
        </w:rPr>
        <w:t xml:space="preserve"> support </w:t>
      </w:r>
      <w:r w:rsidR="00477EAC" w:rsidRPr="004A46D6">
        <w:rPr>
          <w:bCs/>
          <w:lang w:val="en-US"/>
        </w:rPr>
        <w:t>to submitting States in finalizing their requests</w:t>
      </w:r>
      <w:r w:rsidR="00D625A2" w:rsidRPr="004A46D6">
        <w:rPr>
          <w:bCs/>
          <w:lang w:val="en-US"/>
        </w:rPr>
        <w:t xml:space="preserve"> (i.e. additional information letters, </w:t>
      </w:r>
      <w:r w:rsidR="00F8602B" w:rsidRPr="004A46D6">
        <w:rPr>
          <w:bCs/>
          <w:lang w:val="en-US"/>
        </w:rPr>
        <w:t>t</w:t>
      </w:r>
      <w:r w:rsidR="00D625A2" w:rsidRPr="004A46D6">
        <w:rPr>
          <w:bCs/>
          <w:lang w:val="en-US"/>
        </w:rPr>
        <w:t xml:space="preserve">echnical </w:t>
      </w:r>
      <w:r w:rsidR="00F8602B" w:rsidRPr="004A46D6">
        <w:rPr>
          <w:bCs/>
          <w:lang w:val="en-US"/>
        </w:rPr>
        <w:t>a</w:t>
      </w:r>
      <w:r w:rsidR="00D625A2" w:rsidRPr="004A46D6">
        <w:rPr>
          <w:bCs/>
          <w:lang w:val="en-US"/>
        </w:rPr>
        <w:t>ssistance)</w:t>
      </w:r>
      <w:r w:rsidR="00970622">
        <w:rPr>
          <w:bCs/>
          <w:lang w:val="en-US"/>
        </w:rPr>
        <w:t>,</w:t>
      </w:r>
      <w:r w:rsidR="00805D8E">
        <w:rPr>
          <w:bCs/>
          <w:lang w:val="en-US"/>
        </w:rPr>
        <w:t xml:space="preserve"> and finally </w:t>
      </w:r>
      <w:r w:rsidR="00F30058" w:rsidRPr="00D53FB9">
        <w:t xml:space="preserve">a high proportion of </w:t>
      </w:r>
      <w:r w:rsidR="00F30058">
        <w:t>requests approved by the Bureau.</w:t>
      </w:r>
      <w:proofErr w:type="gramEnd"/>
      <w:r w:rsidR="00805D8E">
        <w:rPr>
          <w:bCs/>
          <w:lang w:val="en-US"/>
        </w:rPr>
        <w:t xml:space="preserve"> </w:t>
      </w:r>
      <w:r w:rsidR="00233C8F" w:rsidRPr="004A46D6">
        <w:rPr>
          <w:bCs/>
          <w:lang w:val="en-US"/>
        </w:rPr>
        <w:t>As a consequence</w:t>
      </w:r>
      <w:r w:rsidR="00A92BDB">
        <w:rPr>
          <w:bCs/>
          <w:lang w:val="en-US"/>
        </w:rPr>
        <w:t xml:space="preserve"> </w:t>
      </w:r>
      <w:r w:rsidR="00233C8F" w:rsidRPr="004A46D6">
        <w:rPr>
          <w:bCs/>
          <w:lang w:val="en-US"/>
        </w:rPr>
        <w:t xml:space="preserve">the </w:t>
      </w:r>
      <w:r w:rsidR="0047249E" w:rsidRPr="004A46D6">
        <w:rPr>
          <w:bCs/>
          <w:lang w:val="en-US"/>
        </w:rPr>
        <w:t xml:space="preserve">increased </w:t>
      </w:r>
      <w:r w:rsidR="00E145BB" w:rsidRPr="004A46D6">
        <w:rPr>
          <w:bCs/>
          <w:lang w:val="en-US"/>
        </w:rPr>
        <w:t xml:space="preserve">rate of </w:t>
      </w:r>
      <w:r w:rsidR="0047249E" w:rsidRPr="004A46D6">
        <w:rPr>
          <w:bCs/>
          <w:lang w:val="en-US"/>
        </w:rPr>
        <w:t xml:space="preserve">expenditure will result in an overall decrease </w:t>
      </w:r>
      <w:r w:rsidR="00185383" w:rsidRPr="004A46D6">
        <w:rPr>
          <w:bCs/>
          <w:lang w:val="en-US"/>
        </w:rPr>
        <w:t xml:space="preserve">in the </w:t>
      </w:r>
      <w:r w:rsidR="003F0F03" w:rsidRPr="004A46D6">
        <w:rPr>
          <w:lang w:val="en-US"/>
        </w:rPr>
        <w:t xml:space="preserve">budget of the Fund for the </w:t>
      </w:r>
      <w:r w:rsidR="0047249E" w:rsidRPr="004A46D6">
        <w:rPr>
          <w:lang w:val="en-US"/>
        </w:rPr>
        <w:t>upcoming</w:t>
      </w:r>
      <w:r w:rsidR="003F0F03" w:rsidRPr="004A46D6">
        <w:rPr>
          <w:lang w:val="en-US"/>
        </w:rPr>
        <w:t xml:space="preserve"> </w:t>
      </w:r>
      <w:r w:rsidR="0047249E" w:rsidRPr="004A46D6">
        <w:rPr>
          <w:lang w:val="en-US"/>
        </w:rPr>
        <w:t>bie</w:t>
      </w:r>
      <w:r w:rsidR="003F0F03" w:rsidRPr="004A46D6">
        <w:rPr>
          <w:lang w:val="en-US"/>
        </w:rPr>
        <w:t>nnium</w:t>
      </w:r>
      <w:r w:rsidR="00233C8F" w:rsidRPr="004A46D6">
        <w:rPr>
          <w:lang w:val="en-US"/>
        </w:rPr>
        <w:t xml:space="preserve">, reducing the capacity of the Secretariat to implement other aspects of the </w:t>
      </w:r>
      <w:r w:rsidR="00E145BB" w:rsidRPr="004A46D6">
        <w:rPr>
          <w:lang w:val="en-US"/>
        </w:rPr>
        <w:t>C</w:t>
      </w:r>
      <w:r w:rsidR="00233C8F" w:rsidRPr="004A46D6">
        <w:rPr>
          <w:lang w:val="en-US"/>
        </w:rPr>
        <w:t>onvention, such as those related to the ‘</w:t>
      </w:r>
      <w:r w:rsidR="00E145BB" w:rsidRPr="004A46D6">
        <w:rPr>
          <w:lang w:val="en-US"/>
        </w:rPr>
        <w:t>O</w:t>
      </w:r>
      <w:r w:rsidR="00233C8F" w:rsidRPr="004A46D6">
        <w:rPr>
          <w:lang w:val="en-US"/>
        </w:rPr>
        <w:t xml:space="preserve">ther </w:t>
      </w:r>
      <w:r w:rsidR="00E145BB" w:rsidRPr="004A46D6">
        <w:rPr>
          <w:lang w:val="en-US"/>
        </w:rPr>
        <w:t>F</w:t>
      </w:r>
      <w:r w:rsidR="00233C8F" w:rsidRPr="004A46D6">
        <w:rPr>
          <w:lang w:val="en-US"/>
        </w:rPr>
        <w:t xml:space="preserve">unctions of the </w:t>
      </w:r>
      <w:r w:rsidR="00E145BB" w:rsidRPr="004A46D6">
        <w:rPr>
          <w:lang w:val="en-US"/>
        </w:rPr>
        <w:t>C</w:t>
      </w:r>
      <w:r w:rsidR="00233C8F" w:rsidRPr="004A46D6">
        <w:rPr>
          <w:lang w:val="en-US"/>
        </w:rPr>
        <w:t>ommittee’</w:t>
      </w:r>
      <w:r w:rsidR="0047249E" w:rsidRPr="004A46D6">
        <w:rPr>
          <w:lang w:val="en-US"/>
        </w:rPr>
        <w:t>.</w:t>
      </w:r>
      <w:r w:rsidR="003F0F03" w:rsidRPr="004A46D6">
        <w:rPr>
          <w:lang w:val="en-US"/>
        </w:rPr>
        <w:t xml:space="preserve"> </w:t>
      </w:r>
      <w:r w:rsidR="0047249E" w:rsidRPr="00C97604">
        <w:rPr>
          <w:lang w:val="en-US"/>
        </w:rPr>
        <w:t>T</w:t>
      </w:r>
      <w:r w:rsidR="003F0F03" w:rsidRPr="00C97604">
        <w:rPr>
          <w:lang w:val="en-US"/>
        </w:rPr>
        <w:t>he Secretariat</w:t>
      </w:r>
      <w:r w:rsidR="00F47206" w:rsidRPr="00C97604">
        <w:rPr>
          <w:lang w:val="en-US"/>
        </w:rPr>
        <w:t>, reinforced with the new Safeguarding Implementation</w:t>
      </w:r>
      <w:r w:rsidR="00CD526A" w:rsidRPr="00D1234C">
        <w:rPr>
          <w:lang w:val="en-US"/>
        </w:rPr>
        <w:t xml:space="preserve"> and Monitoring</w:t>
      </w:r>
      <w:r w:rsidR="00F47206" w:rsidRPr="00C97604">
        <w:rPr>
          <w:lang w:val="en-US"/>
        </w:rPr>
        <w:t xml:space="preserve"> team</w:t>
      </w:r>
      <w:r w:rsidR="00461A15" w:rsidRPr="00C97604">
        <w:rPr>
          <w:lang w:val="en-US"/>
        </w:rPr>
        <w:t xml:space="preserve"> (SIM)</w:t>
      </w:r>
      <w:r w:rsidR="00F47206" w:rsidRPr="00C97604">
        <w:rPr>
          <w:lang w:val="en-US"/>
        </w:rPr>
        <w:t xml:space="preserve">, </w:t>
      </w:r>
      <w:r w:rsidR="003F0F03" w:rsidRPr="00C97604">
        <w:rPr>
          <w:lang w:val="en-US"/>
        </w:rPr>
        <w:t xml:space="preserve">therefore intends to </w:t>
      </w:r>
      <w:r w:rsidR="00F11E20" w:rsidRPr="00C97604">
        <w:rPr>
          <w:lang w:val="en-US"/>
        </w:rPr>
        <w:t xml:space="preserve">renew its efforts to advocate for </w:t>
      </w:r>
      <w:r w:rsidR="003F0F03" w:rsidRPr="00C97604">
        <w:rPr>
          <w:lang w:val="en-US"/>
        </w:rPr>
        <w:t xml:space="preserve">the importance of voluntary contributions </w:t>
      </w:r>
      <w:r w:rsidR="00F11E20" w:rsidRPr="00C97604">
        <w:rPr>
          <w:lang w:val="en-US"/>
        </w:rPr>
        <w:t xml:space="preserve">to the </w:t>
      </w:r>
      <w:r w:rsidR="00E145BB" w:rsidRPr="00C97604">
        <w:rPr>
          <w:lang w:val="en-US"/>
        </w:rPr>
        <w:t>F</w:t>
      </w:r>
      <w:r w:rsidR="00F11E20" w:rsidRPr="00C97604">
        <w:rPr>
          <w:lang w:val="en-US"/>
        </w:rPr>
        <w:t xml:space="preserve">und, </w:t>
      </w:r>
      <w:r w:rsidR="003F0F03" w:rsidRPr="00C97604">
        <w:rPr>
          <w:lang w:val="en-US"/>
        </w:rPr>
        <w:t xml:space="preserve">in order to continue </w:t>
      </w:r>
      <w:r w:rsidR="00E145BB" w:rsidRPr="00C97604">
        <w:rPr>
          <w:lang w:val="en-US"/>
        </w:rPr>
        <w:t xml:space="preserve">to </w:t>
      </w:r>
      <w:r w:rsidR="0047249E" w:rsidRPr="00C97604">
        <w:rPr>
          <w:lang w:val="en-US"/>
        </w:rPr>
        <w:t>support new themes and initiative</w:t>
      </w:r>
      <w:r w:rsidR="00766699" w:rsidRPr="00C97604">
        <w:rPr>
          <w:lang w:val="en-US"/>
        </w:rPr>
        <w:t>s</w:t>
      </w:r>
      <w:r w:rsidR="003F0F03" w:rsidRPr="00C97604">
        <w:rPr>
          <w:lang w:val="en-US"/>
        </w:rPr>
        <w:t xml:space="preserve"> of the Convention</w:t>
      </w:r>
      <w:r w:rsidR="00766699" w:rsidRPr="00C97604">
        <w:rPr>
          <w:lang w:val="en-US"/>
        </w:rPr>
        <w:t>, including the two funding priorities approved by the Committee.</w:t>
      </w:r>
    </w:p>
    <w:p w14:paraId="5C76D74A" w14:textId="677A63D1" w:rsidR="001113AA" w:rsidRPr="00D1234C" w:rsidRDefault="00031779" w:rsidP="0022671B">
      <w:pPr>
        <w:pStyle w:val="COMPara"/>
        <w:numPr>
          <w:ilvl w:val="0"/>
          <w:numId w:val="38"/>
        </w:numPr>
        <w:ind w:left="567" w:hanging="567"/>
        <w:jc w:val="both"/>
        <w:rPr>
          <w:lang w:val="en-US"/>
        </w:rPr>
      </w:pPr>
      <w:r w:rsidRPr="00D1234C">
        <w:rPr>
          <w:lang w:val="en-US"/>
        </w:rPr>
        <w:t>Under the reporting period, t</w:t>
      </w:r>
      <w:r w:rsidR="00CE14EF" w:rsidRPr="00D1234C">
        <w:rPr>
          <w:lang w:val="en-US"/>
        </w:rPr>
        <w:t xml:space="preserve">he Secretariat administered </w:t>
      </w:r>
      <w:r w:rsidR="00C470A4" w:rsidRPr="00D1234C">
        <w:rPr>
          <w:lang w:val="en-US"/>
        </w:rPr>
        <w:t xml:space="preserve">all the </w:t>
      </w:r>
      <w:r w:rsidR="00CE14EF" w:rsidRPr="00D1234C">
        <w:rPr>
          <w:lang w:val="en-US"/>
        </w:rPr>
        <w:t xml:space="preserve">requests </w:t>
      </w:r>
      <w:r w:rsidR="00514DBE" w:rsidRPr="00D1234C">
        <w:rPr>
          <w:lang w:val="en-US"/>
        </w:rPr>
        <w:t xml:space="preserve">submitted, </w:t>
      </w:r>
      <w:r w:rsidR="00CE14EF" w:rsidRPr="00D1234C">
        <w:rPr>
          <w:lang w:val="en-US"/>
        </w:rPr>
        <w:t xml:space="preserve">of which </w:t>
      </w:r>
      <w:r w:rsidR="00C470A4" w:rsidRPr="00D1234C">
        <w:rPr>
          <w:lang w:val="en-US"/>
        </w:rPr>
        <w:t>thirty-five</w:t>
      </w:r>
      <w:r w:rsidR="00CE14EF" w:rsidRPr="00D1234C">
        <w:rPr>
          <w:lang w:val="en-US"/>
        </w:rPr>
        <w:t xml:space="preserve"> </w:t>
      </w:r>
      <w:proofErr w:type="gramStart"/>
      <w:r w:rsidR="00CE14EF" w:rsidRPr="00D1234C">
        <w:rPr>
          <w:lang w:val="en-US"/>
        </w:rPr>
        <w:t xml:space="preserve">were </w:t>
      </w:r>
      <w:r w:rsidR="00CE14EF" w:rsidRPr="004A46D6">
        <w:rPr>
          <w:bCs/>
          <w:lang w:val="en-US"/>
        </w:rPr>
        <w:t>presented</w:t>
      </w:r>
      <w:proofErr w:type="gramEnd"/>
      <w:r w:rsidR="00CE14EF" w:rsidRPr="00D1234C">
        <w:rPr>
          <w:lang w:val="en-US"/>
        </w:rPr>
        <w:t xml:space="preserve"> to the Bureau</w:t>
      </w:r>
      <w:r w:rsidR="00C470A4" w:rsidRPr="00D1234C">
        <w:rPr>
          <w:lang w:val="en-US"/>
        </w:rPr>
        <w:t xml:space="preserve"> and twenty-three approved</w:t>
      </w:r>
      <w:r w:rsidR="00CE14EF" w:rsidRPr="00D1234C">
        <w:rPr>
          <w:lang w:val="en-US"/>
        </w:rPr>
        <w:t>.</w:t>
      </w:r>
      <w:r w:rsidR="00913F95" w:rsidRPr="00D1234C">
        <w:rPr>
          <w:lang w:val="en-US"/>
        </w:rPr>
        <w:t xml:space="preserve"> </w:t>
      </w:r>
      <w:r w:rsidR="00250169" w:rsidRPr="00D1234C">
        <w:rPr>
          <w:lang w:val="en-US"/>
        </w:rPr>
        <w:t xml:space="preserve">Further details on the scope of the requests and </w:t>
      </w:r>
      <w:r w:rsidR="00514DBE" w:rsidRPr="00D1234C">
        <w:rPr>
          <w:lang w:val="en-US"/>
        </w:rPr>
        <w:t xml:space="preserve">the analysis of the </w:t>
      </w:r>
      <w:r w:rsidR="00250169" w:rsidRPr="00D1234C">
        <w:rPr>
          <w:lang w:val="en-US"/>
        </w:rPr>
        <w:t xml:space="preserve">current </w:t>
      </w:r>
      <w:r w:rsidR="00514DBE" w:rsidRPr="00D1234C">
        <w:rPr>
          <w:lang w:val="en-US"/>
        </w:rPr>
        <w:t xml:space="preserve">situation in this regard </w:t>
      </w:r>
      <w:proofErr w:type="gramStart"/>
      <w:r w:rsidR="00250169" w:rsidRPr="00D1234C">
        <w:rPr>
          <w:lang w:val="en-US"/>
        </w:rPr>
        <w:t xml:space="preserve">are </w:t>
      </w:r>
      <w:r w:rsidR="00514DBE" w:rsidRPr="00D1234C">
        <w:rPr>
          <w:lang w:val="en-US"/>
        </w:rPr>
        <w:t>provided</w:t>
      </w:r>
      <w:proofErr w:type="gramEnd"/>
      <w:r w:rsidR="00514DBE" w:rsidRPr="00D1234C">
        <w:rPr>
          <w:lang w:val="en-US"/>
        </w:rPr>
        <w:t xml:space="preserve"> </w:t>
      </w:r>
      <w:r w:rsidR="00250169" w:rsidRPr="00D1234C">
        <w:rPr>
          <w:lang w:val="en-US"/>
        </w:rPr>
        <w:t xml:space="preserve">in document </w:t>
      </w:r>
      <w:hyperlink r:id="rId11" w:history="1">
        <w:r w:rsidR="00026321" w:rsidRPr="00081B14">
          <w:rPr>
            <w:rStyle w:val="Lienhypertexte"/>
            <w:rFonts w:cs="Arial"/>
            <w:lang w:val="en-US"/>
          </w:rPr>
          <w:t>LHE/19/14.COM/9.b</w:t>
        </w:r>
      </w:hyperlink>
      <w:r w:rsidR="00250169" w:rsidRPr="00D1234C">
        <w:rPr>
          <w:lang w:val="en-US"/>
        </w:rPr>
        <w:t>. T</w:t>
      </w:r>
      <w:r w:rsidR="00D625A2" w:rsidRPr="00D1234C">
        <w:rPr>
          <w:lang w:val="en-US"/>
        </w:rPr>
        <w:t>he Secretariat also initiated a reflection on multiple submissions of International Assistance requests by a single State</w:t>
      </w:r>
      <w:r w:rsidR="00D625A2" w:rsidRPr="00D1234C">
        <w:rPr>
          <w:rStyle w:val="Appelnotedebasdep"/>
          <w:lang w:val="en-US"/>
        </w:rPr>
        <w:footnoteReference w:id="8"/>
      </w:r>
      <w:r w:rsidR="00501FB1" w:rsidRPr="00D1234C">
        <w:rPr>
          <w:lang w:val="en-US"/>
        </w:rPr>
        <w:t xml:space="preserve"> </w:t>
      </w:r>
      <w:r w:rsidR="00AA49BF" w:rsidRPr="00D1234C">
        <w:rPr>
          <w:lang w:val="en-US"/>
        </w:rPr>
        <w:t xml:space="preserve">(see </w:t>
      </w:r>
      <w:r w:rsidR="00AA49BF" w:rsidRPr="004A46D6">
        <w:rPr>
          <w:lang w:val="en-US"/>
        </w:rPr>
        <w:t>document</w:t>
      </w:r>
      <w:r w:rsidR="006A2028">
        <w:rPr>
          <w:lang w:val="en-US"/>
        </w:rPr>
        <w:t> </w:t>
      </w:r>
      <w:hyperlink r:id="rId12" w:history="1">
        <w:r w:rsidR="00FA0564" w:rsidRPr="00081B14">
          <w:rPr>
            <w:rStyle w:val="Lienhypertexte"/>
            <w:rFonts w:cs="Arial"/>
            <w:lang w:val="en-US"/>
          </w:rPr>
          <w:t>LHE/19/14.COM/9.b</w:t>
        </w:r>
      </w:hyperlink>
      <w:r w:rsidR="00FA0564" w:rsidRPr="00D1234C">
        <w:rPr>
          <w:lang w:val="en-US"/>
        </w:rPr>
        <w:t xml:space="preserve"> </w:t>
      </w:r>
      <w:r w:rsidR="00AA49BF" w:rsidRPr="00D1234C">
        <w:rPr>
          <w:lang w:val="en-US"/>
        </w:rPr>
        <w:t>for more details)</w:t>
      </w:r>
      <w:r w:rsidR="00D625A2" w:rsidRPr="00D1234C">
        <w:rPr>
          <w:lang w:val="en-US"/>
        </w:rPr>
        <w:t>.</w:t>
      </w:r>
    </w:p>
    <w:p w14:paraId="66872AB0" w14:textId="2C253C0E" w:rsidR="007A23D7" w:rsidRPr="00D1234C" w:rsidRDefault="00D946AC" w:rsidP="004B268E">
      <w:pPr>
        <w:pStyle w:val="COMPara"/>
        <w:numPr>
          <w:ilvl w:val="0"/>
          <w:numId w:val="38"/>
        </w:numPr>
        <w:ind w:left="567" w:hanging="567"/>
        <w:jc w:val="both"/>
        <w:rPr>
          <w:lang w:val="en-US"/>
        </w:rPr>
      </w:pPr>
      <w:r w:rsidRPr="00D1234C">
        <w:rPr>
          <w:b/>
          <w:lang w:val="en-US"/>
        </w:rPr>
        <w:t>Knowledge management</w:t>
      </w:r>
      <w:r w:rsidRPr="00D1234C">
        <w:rPr>
          <w:lang w:val="en-US"/>
        </w:rPr>
        <w:t>: Amongst the many new functionalities made possible by the k</w:t>
      </w:r>
      <w:r w:rsidR="007A23D7" w:rsidRPr="00D1234C">
        <w:rPr>
          <w:lang w:val="en-US"/>
        </w:rPr>
        <w:t>nowledge management services</w:t>
      </w:r>
      <w:r w:rsidR="00514DBE" w:rsidRPr="00D1234C">
        <w:rPr>
          <w:lang w:val="en-US"/>
        </w:rPr>
        <w:t xml:space="preserve"> of the Convention</w:t>
      </w:r>
      <w:r w:rsidRPr="00D1234C">
        <w:rPr>
          <w:lang w:val="en-US"/>
        </w:rPr>
        <w:t xml:space="preserve">, </w:t>
      </w:r>
      <w:r w:rsidR="00514DBE" w:rsidRPr="00D1234C">
        <w:rPr>
          <w:lang w:val="en-US"/>
        </w:rPr>
        <w:t xml:space="preserve">the </w:t>
      </w:r>
      <w:r w:rsidRPr="00D1234C">
        <w:rPr>
          <w:lang w:val="en-US"/>
        </w:rPr>
        <w:t>main developments include the on</w:t>
      </w:r>
      <w:r w:rsidR="00722937">
        <w:rPr>
          <w:lang w:val="en-US"/>
        </w:rPr>
        <w:noBreakHyphen/>
      </w:r>
      <w:r w:rsidRPr="00D1234C">
        <w:rPr>
          <w:lang w:val="en-US"/>
        </w:rPr>
        <w:t>line reporting interface</w:t>
      </w:r>
      <w:r w:rsidR="00501FB1" w:rsidRPr="00D1234C">
        <w:rPr>
          <w:lang w:val="en-US"/>
        </w:rPr>
        <w:t>,</w:t>
      </w:r>
      <w:r w:rsidRPr="00D1234C">
        <w:rPr>
          <w:lang w:val="en-US"/>
        </w:rPr>
        <w:t xml:space="preserve"> </w:t>
      </w:r>
      <w:r w:rsidR="00E21D54" w:rsidRPr="00D1234C">
        <w:rPr>
          <w:lang w:val="en-US"/>
        </w:rPr>
        <w:t xml:space="preserve">to </w:t>
      </w:r>
      <w:r w:rsidR="00234018" w:rsidRPr="00D1234C">
        <w:rPr>
          <w:lang w:val="en-US"/>
        </w:rPr>
        <w:t>support</w:t>
      </w:r>
      <w:r w:rsidR="00E21D54" w:rsidRPr="00D1234C">
        <w:rPr>
          <w:lang w:val="en-US"/>
        </w:rPr>
        <w:t xml:space="preserve"> t</w:t>
      </w:r>
      <w:r w:rsidRPr="00D1234C">
        <w:rPr>
          <w:lang w:val="en-US"/>
        </w:rPr>
        <w:t>he reformed periodic reporting mechanism</w:t>
      </w:r>
      <w:r w:rsidR="00DE3E88">
        <w:rPr>
          <w:lang w:val="en-US"/>
        </w:rPr>
        <w:t> </w:t>
      </w:r>
      <w:r w:rsidRPr="00D1234C">
        <w:rPr>
          <w:lang w:val="en-US"/>
        </w:rPr>
        <w:t>(</w:t>
      </w:r>
      <w:r w:rsidRPr="00DE3E88">
        <w:rPr>
          <w:lang w:val="en-US"/>
        </w:rPr>
        <w:t>Form</w:t>
      </w:r>
      <w:r w:rsidR="00722937" w:rsidRPr="00DE3E88">
        <w:rPr>
          <w:lang w:val="en-US"/>
        </w:rPr>
        <w:t> </w:t>
      </w:r>
      <w:r w:rsidRPr="00DE3E88">
        <w:rPr>
          <w:lang w:val="en-US"/>
        </w:rPr>
        <w:t>ICH-</w:t>
      </w:r>
      <w:r w:rsidR="00722937" w:rsidRPr="00DE3E88">
        <w:rPr>
          <w:lang w:val="en-US"/>
        </w:rPr>
        <w:t> 1</w:t>
      </w:r>
      <w:r w:rsidRPr="00DE3E88">
        <w:rPr>
          <w:lang w:val="en-US"/>
        </w:rPr>
        <w:t>0</w:t>
      </w:r>
      <w:r w:rsidRPr="00D1234C">
        <w:rPr>
          <w:lang w:val="en-US"/>
        </w:rPr>
        <w:t>)</w:t>
      </w:r>
      <w:r w:rsidR="00E21D54" w:rsidRPr="00D1234C">
        <w:rPr>
          <w:lang w:val="en-US"/>
        </w:rPr>
        <w:t xml:space="preserve">, </w:t>
      </w:r>
      <w:r w:rsidR="00970622">
        <w:rPr>
          <w:lang w:val="en-US"/>
        </w:rPr>
        <w:t xml:space="preserve">the </w:t>
      </w:r>
      <w:r w:rsidR="00E21D54" w:rsidRPr="00D1234C">
        <w:rPr>
          <w:lang w:val="en-US"/>
        </w:rPr>
        <w:t xml:space="preserve">capacity-building </w:t>
      </w:r>
      <w:proofErr w:type="spellStart"/>
      <w:r w:rsidR="00E21D54" w:rsidRPr="00D1234C">
        <w:rPr>
          <w:lang w:val="en-US"/>
        </w:rPr>
        <w:t>programme</w:t>
      </w:r>
      <w:proofErr w:type="spellEnd"/>
      <w:r w:rsidR="00E21D54" w:rsidRPr="00D1234C">
        <w:rPr>
          <w:lang w:val="en-US"/>
        </w:rPr>
        <w:t>,</w:t>
      </w:r>
      <w:r w:rsidRPr="00D1234C">
        <w:rPr>
          <w:lang w:val="en-US"/>
        </w:rPr>
        <w:t xml:space="preserve"> and the renewal of accredited NGOs. </w:t>
      </w:r>
      <w:r w:rsidR="00CF2B0B">
        <w:rPr>
          <w:lang w:val="en-US"/>
        </w:rPr>
        <w:t>An</w:t>
      </w:r>
      <w:r w:rsidR="00CF2B0B" w:rsidRPr="00D1234C">
        <w:rPr>
          <w:lang w:val="en-US"/>
        </w:rPr>
        <w:t xml:space="preserve"> </w:t>
      </w:r>
      <w:r w:rsidRPr="00D1234C">
        <w:rPr>
          <w:lang w:val="en-US"/>
        </w:rPr>
        <w:t>Arabic version of the</w:t>
      </w:r>
      <w:r w:rsidR="00514DBE" w:rsidRPr="00D1234C">
        <w:rPr>
          <w:lang w:val="en-US"/>
        </w:rPr>
        <w:t xml:space="preserve"> website of the</w:t>
      </w:r>
      <w:r w:rsidRPr="00D1234C">
        <w:rPr>
          <w:lang w:val="en-US"/>
        </w:rPr>
        <w:t xml:space="preserve"> Convention </w:t>
      </w:r>
      <w:proofErr w:type="gramStart"/>
      <w:r w:rsidRPr="00D1234C">
        <w:rPr>
          <w:lang w:val="en-US"/>
        </w:rPr>
        <w:t xml:space="preserve">was </w:t>
      </w:r>
      <w:r w:rsidR="0042512D" w:rsidRPr="00D1234C">
        <w:rPr>
          <w:lang w:val="en-US"/>
        </w:rPr>
        <w:t xml:space="preserve">also </w:t>
      </w:r>
      <w:r w:rsidRPr="00D1234C">
        <w:rPr>
          <w:lang w:val="en-US"/>
        </w:rPr>
        <w:t>launched</w:t>
      </w:r>
      <w:proofErr w:type="gramEnd"/>
      <w:r w:rsidRPr="00D1234C">
        <w:rPr>
          <w:lang w:val="en-US"/>
        </w:rPr>
        <w:t xml:space="preserve"> in May 2018. Moreover, </w:t>
      </w:r>
      <w:r w:rsidR="00136539" w:rsidRPr="00D1234C">
        <w:rPr>
          <w:lang w:val="en-US"/>
        </w:rPr>
        <w:t>a single sign-on bridge now allows</w:t>
      </w:r>
      <w:r w:rsidRPr="00D1234C">
        <w:rPr>
          <w:lang w:val="en-US"/>
        </w:rPr>
        <w:t xml:space="preserve"> password holders to access the database </w:t>
      </w:r>
      <w:r w:rsidR="00514DBE" w:rsidRPr="00D1234C">
        <w:rPr>
          <w:lang w:val="en-US"/>
        </w:rPr>
        <w:t xml:space="preserve">from the website of </w:t>
      </w:r>
      <w:r w:rsidRPr="00D1234C">
        <w:rPr>
          <w:lang w:val="en-US"/>
        </w:rPr>
        <w:t>the Convention, using generic login credentials.</w:t>
      </w:r>
      <w:r w:rsidR="0042512D" w:rsidRPr="00D1234C">
        <w:rPr>
          <w:lang w:val="en-US"/>
        </w:rPr>
        <w:t xml:space="preserve"> Furthermore, inscribed elements, safeguarding projects and accredited NGOs </w:t>
      </w:r>
      <w:proofErr w:type="gramStart"/>
      <w:r w:rsidR="0042512D" w:rsidRPr="00D1234C">
        <w:rPr>
          <w:lang w:val="en-US"/>
        </w:rPr>
        <w:t>were indexed</w:t>
      </w:r>
      <w:proofErr w:type="gramEnd"/>
      <w:r w:rsidR="0042512D" w:rsidRPr="00D1234C">
        <w:rPr>
          <w:lang w:val="en-US"/>
        </w:rPr>
        <w:t xml:space="preserve"> and datasets are now available for search</w:t>
      </w:r>
      <w:r w:rsidR="00C6127A" w:rsidRPr="00D1234C">
        <w:rPr>
          <w:lang w:val="en-US"/>
        </w:rPr>
        <w:t>ing</w:t>
      </w:r>
      <w:r w:rsidR="0042512D" w:rsidRPr="00D1234C">
        <w:rPr>
          <w:lang w:val="en-US"/>
        </w:rPr>
        <w:t xml:space="preserve"> by content-related criteria and for download</w:t>
      </w:r>
      <w:r w:rsidR="00C6127A" w:rsidRPr="00D1234C">
        <w:rPr>
          <w:lang w:val="en-US"/>
        </w:rPr>
        <w:t>ing</w:t>
      </w:r>
      <w:r w:rsidR="0042512D" w:rsidRPr="00D1234C">
        <w:rPr>
          <w:lang w:val="en-US"/>
        </w:rPr>
        <w:t xml:space="preserve"> to allow </w:t>
      </w:r>
      <w:r w:rsidR="00C6127A" w:rsidRPr="00D1234C">
        <w:rPr>
          <w:lang w:val="en-US"/>
        </w:rPr>
        <w:t xml:space="preserve">for </w:t>
      </w:r>
      <w:r w:rsidR="0042512D" w:rsidRPr="00D1234C">
        <w:rPr>
          <w:lang w:val="en-US"/>
        </w:rPr>
        <w:t xml:space="preserve">external analysis. Another tool launched, </w:t>
      </w:r>
      <w:r w:rsidR="0042512D" w:rsidRPr="00D1234C">
        <w:rPr>
          <w:color w:val="000000"/>
          <w:sz w:val="21"/>
          <w:szCs w:val="21"/>
          <w:shd w:val="clear" w:color="auto" w:fill="FFFFFF"/>
          <w:lang w:val="en-US"/>
        </w:rPr>
        <w:t xml:space="preserve">the </w:t>
      </w:r>
      <w:hyperlink r:id="rId13" w:history="1">
        <w:r w:rsidR="0042512D" w:rsidRPr="004A46D6">
          <w:rPr>
            <w:rStyle w:val="Lienhypertexte"/>
            <w:rFonts w:eastAsiaTheme="minorHAnsi" w:cs="Arial"/>
            <w:snapToGrid/>
            <w:lang w:val="en-US"/>
          </w:rPr>
          <w:t>Intangible Cultural Heritage Convention Research Bibliography</w:t>
        </w:r>
      </w:hyperlink>
      <w:r w:rsidR="00A87BA1" w:rsidRPr="004A46D6">
        <w:rPr>
          <w:rStyle w:val="Lienhypertexte"/>
          <w:rFonts w:eastAsiaTheme="minorHAnsi" w:cs="Arial"/>
          <w:snapToGrid/>
          <w:u w:val="none"/>
          <w:lang w:val="en-US"/>
        </w:rPr>
        <w:t>,</w:t>
      </w:r>
      <w:r w:rsidR="0042512D" w:rsidRPr="00D1234C">
        <w:rPr>
          <w:lang w:val="en-US"/>
        </w:rPr>
        <w:t xml:space="preserve"> </w:t>
      </w:r>
      <w:r w:rsidR="00A87BA1" w:rsidRPr="00D1234C">
        <w:rPr>
          <w:lang w:val="en-US"/>
        </w:rPr>
        <w:t xml:space="preserve">provides </w:t>
      </w:r>
      <w:r w:rsidR="0042512D" w:rsidRPr="00D1234C">
        <w:rPr>
          <w:lang w:val="en-US"/>
        </w:rPr>
        <w:t>an interactive bibliography of research references related to the C</w:t>
      </w:r>
      <w:r w:rsidR="00547BC6" w:rsidRPr="00D1234C">
        <w:rPr>
          <w:lang w:val="en-US"/>
        </w:rPr>
        <w:t>onvention</w:t>
      </w:r>
      <w:r w:rsidR="00A87BA1" w:rsidRPr="00D1234C">
        <w:rPr>
          <w:lang w:val="en-US"/>
        </w:rPr>
        <w:t xml:space="preserve"> and its implementation</w:t>
      </w:r>
      <w:r w:rsidR="0042512D" w:rsidRPr="00D1234C">
        <w:rPr>
          <w:lang w:val="en-US"/>
        </w:rPr>
        <w:t>.</w:t>
      </w:r>
      <w:r w:rsidR="00FB7AF0" w:rsidRPr="00D1234C">
        <w:rPr>
          <w:lang w:val="en-US"/>
        </w:rPr>
        <w:t xml:space="preserve"> </w:t>
      </w:r>
      <w:r w:rsidR="00400590">
        <w:rPr>
          <w:lang w:val="en-US"/>
        </w:rPr>
        <w:t>D</w:t>
      </w:r>
      <w:r w:rsidR="00400590" w:rsidRPr="00094721">
        <w:rPr>
          <w:lang w:val="en-US"/>
        </w:rPr>
        <w:t>uring the thirteenth session of the Committee</w:t>
      </w:r>
      <w:r w:rsidR="00400590">
        <w:rPr>
          <w:lang w:val="en-US"/>
        </w:rPr>
        <w:t>, t</w:t>
      </w:r>
      <w:r w:rsidR="00FB7AF0" w:rsidRPr="00D1234C">
        <w:rPr>
          <w:lang w:val="en-US"/>
        </w:rPr>
        <w:t xml:space="preserve">he Secretariat also </w:t>
      </w:r>
      <w:r w:rsidR="00400590">
        <w:rPr>
          <w:lang w:val="en-US"/>
        </w:rPr>
        <w:t>presented</w:t>
      </w:r>
      <w:r w:rsidR="00FB7AF0" w:rsidRPr="00D1234C">
        <w:rPr>
          <w:lang w:val="en-US"/>
        </w:rPr>
        <w:t xml:space="preserve"> </w:t>
      </w:r>
      <w:r w:rsidR="00400590">
        <w:rPr>
          <w:lang w:val="en-US"/>
        </w:rPr>
        <w:t xml:space="preserve">an innovative project, </w:t>
      </w:r>
      <w:r w:rsidR="00FB7AF0" w:rsidRPr="00D1234C">
        <w:rPr>
          <w:lang w:val="en-US"/>
        </w:rPr>
        <w:t>‘</w:t>
      </w:r>
      <w:r w:rsidR="0011094E" w:rsidRPr="00D1234C">
        <w:rPr>
          <w:lang w:val="en-US"/>
        </w:rPr>
        <w:t>Dive into I</w:t>
      </w:r>
      <w:r w:rsidR="00FB7AF0" w:rsidRPr="00D1234C">
        <w:rPr>
          <w:lang w:val="en-US"/>
        </w:rPr>
        <w:t xml:space="preserve">ntangible </w:t>
      </w:r>
      <w:r w:rsidR="0011094E" w:rsidRPr="00D1234C">
        <w:rPr>
          <w:lang w:val="en-US"/>
        </w:rPr>
        <w:t>C</w:t>
      </w:r>
      <w:r w:rsidR="00FB7AF0" w:rsidRPr="00D1234C">
        <w:rPr>
          <w:lang w:val="en-US"/>
        </w:rPr>
        <w:t xml:space="preserve">ultural </w:t>
      </w:r>
      <w:r w:rsidR="0011094E" w:rsidRPr="00D1234C">
        <w:rPr>
          <w:lang w:val="en-US"/>
        </w:rPr>
        <w:t>H</w:t>
      </w:r>
      <w:r w:rsidR="00FB7AF0" w:rsidRPr="00D1234C">
        <w:rPr>
          <w:lang w:val="en-US"/>
        </w:rPr>
        <w:t>eritage’</w:t>
      </w:r>
      <w:r w:rsidR="00400590">
        <w:rPr>
          <w:lang w:val="en-US"/>
        </w:rPr>
        <w:t>,</w:t>
      </w:r>
      <w:r w:rsidR="00FB7AF0" w:rsidRPr="00D1234C">
        <w:rPr>
          <w:lang w:val="en-US"/>
        </w:rPr>
        <w:t xml:space="preserve"> </w:t>
      </w:r>
      <w:r w:rsidR="00400590">
        <w:rPr>
          <w:lang w:val="en-US"/>
        </w:rPr>
        <w:t xml:space="preserve">which offers a conceptual, visual and interactive navigation within all the elements inscribed on UNESCO’s Lists of the 2003 Convention </w:t>
      </w:r>
      <w:r w:rsidR="00FB7AF0" w:rsidRPr="00D1234C">
        <w:rPr>
          <w:lang w:val="en-US"/>
        </w:rPr>
        <w:t xml:space="preserve">(see </w:t>
      </w:r>
      <w:r w:rsidR="00DB4FB7" w:rsidRPr="00D1234C">
        <w:rPr>
          <w:lang w:val="en-US"/>
        </w:rPr>
        <w:t>S</w:t>
      </w:r>
      <w:r w:rsidR="00FB7AF0" w:rsidRPr="00D1234C">
        <w:rPr>
          <w:lang w:val="en-US"/>
        </w:rPr>
        <w:t>ection III).</w:t>
      </w:r>
    </w:p>
    <w:p w14:paraId="6947C91B" w14:textId="45A2D936" w:rsidR="0070723C" w:rsidRPr="00D1234C" w:rsidRDefault="0070723C" w:rsidP="004B268E">
      <w:pPr>
        <w:pStyle w:val="COMPara"/>
        <w:keepNext/>
        <w:spacing w:before="240" w:after="240"/>
        <w:jc w:val="both"/>
        <w:rPr>
          <w:b/>
          <w:lang w:val="en-US"/>
        </w:rPr>
      </w:pPr>
      <w:r w:rsidRPr="00D1234C">
        <w:rPr>
          <w:b/>
          <w:lang w:val="en-US"/>
        </w:rPr>
        <w:lastRenderedPageBreak/>
        <w:t>Reflection on existing mechanism</w:t>
      </w:r>
      <w:r w:rsidR="003917E8" w:rsidRPr="00D1234C">
        <w:rPr>
          <w:b/>
          <w:lang w:val="en-US"/>
        </w:rPr>
        <w:t>s</w:t>
      </w:r>
      <w:r w:rsidRPr="00D1234C">
        <w:rPr>
          <w:b/>
          <w:lang w:val="en-US"/>
        </w:rPr>
        <w:t xml:space="preserve"> </w:t>
      </w:r>
      <w:r w:rsidR="00E45A1C" w:rsidRPr="00D1234C">
        <w:rPr>
          <w:b/>
          <w:lang w:val="en-US"/>
        </w:rPr>
        <w:t xml:space="preserve">and actors </w:t>
      </w:r>
      <w:r w:rsidRPr="00D1234C">
        <w:rPr>
          <w:b/>
          <w:lang w:val="en-US"/>
        </w:rPr>
        <w:t>of the Convention</w:t>
      </w:r>
    </w:p>
    <w:p w14:paraId="6473925C" w14:textId="686BAD7C" w:rsidR="00C33D0C" w:rsidRPr="004A46D6" w:rsidRDefault="00F269F7" w:rsidP="004B268E">
      <w:pPr>
        <w:pStyle w:val="COMPara"/>
        <w:numPr>
          <w:ilvl w:val="0"/>
          <w:numId w:val="38"/>
        </w:numPr>
        <w:ind w:left="567" w:hanging="567"/>
        <w:jc w:val="both"/>
        <w:rPr>
          <w:lang w:val="en-US"/>
        </w:rPr>
      </w:pPr>
      <w:r w:rsidRPr="00D1234C">
        <w:rPr>
          <w:b/>
          <w:lang w:val="en-US"/>
        </w:rPr>
        <w:t>Listing mechanisms of the Convention</w:t>
      </w:r>
      <w:r w:rsidRPr="00D1234C">
        <w:rPr>
          <w:lang w:val="en-US"/>
        </w:rPr>
        <w:t xml:space="preserve">: </w:t>
      </w:r>
      <w:r w:rsidR="00F06BA7" w:rsidRPr="004A46D6">
        <w:rPr>
          <w:lang w:val="en-US"/>
        </w:rPr>
        <w:t>M</w:t>
      </w:r>
      <w:r w:rsidR="001A6650" w:rsidRPr="004A46D6">
        <w:rPr>
          <w:lang w:val="en-US"/>
        </w:rPr>
        <w:t>ore than twelve years since the Convention entered int</w:t>
      </w:r>
      <w:r w:rsidR="003A208A" w:rsidRPr="004A46D6">
        <w:rPr>
          <w:lang w:val="en-US"/>
        </w:rPr>
        <w:t>o force, the Committee</w:t>
      </w:r>
      <w:r w:rsidR="001A6650" w:rsidRPr="004A46D6">
        <w:rPr>
          <w:lang w:val="en-US"/>
        </w:rPr>
        <w:t xml:space="preserve"> initiate</w:t>
      </w:r>
      <w:r w:rsidR="003A208A" w:rsidRPr="004A46D6">
        <w:rPr>
          <w:lang w:val="en-US"/>
        </w:rPr>
        <w:t>d</w:t>
      </w:r>
      <w:r w:rsidR="001A6650" w:rsidRPr="004A46D6">
        <w:rPr>
          <w:lang w:val="en-US"/>
        </w:rPr>
        <w:t xml:space="preserve"> a global reflection on the listing mechanisms established under the Convention</w:t>
      </w:r>
      <w:r w:rsidR="003A208A" w:rsidRPr="004A46D6">
        <w:rPr>
          <w:lang w:val="en-US"/>
        </w:rPr>
        <w:t>,</w:t>
      </w:r>
      <w:r w:rsidR="001D144A" w:rsidRPr="004A46D6">
        <w:rPr>
          <w:lang w:val="en-US"/>
        </w:rPr>
        <w:t xml:space="preserve"> thanks to the voluntary supplementary contribution of the Government </w:t>
      </w:r>
      <w:r w:rsidR="003A208A" w:rsidRPr="004A46D6">
        <w:rPr>
          <w:lang w:val="en-US"/>
        </w:rPr>
        <w:t>of Japan</w:t>
      </w:r>
      <w:r w:rsidR="001D144A" w:rsidRPr="004A46D6">
        <w:rPr>
          <w:lang w:val="en-US"/>
        </w:rPr>
        <w:t xml:space="preserve"> to the Fund</w:t>
      </w:r>
      <w:r w:rsidR="00506F70" w:rsidRPr="004A46D6">
        <w:rPr>
          <w:rStyle w:val="Appelnotedebasdep"/>
          <w:lang w:val="en-US"/>
        </w:rPr>
        <w:footnoteReference w:id="9"/>
      </w:r>
      <w:r w:rsidR="001A6650" w:rsidRPr="004A46D6">
        <w:rPr>
          <w:lang w:val="en-US"/>
        </w:rPr>
        <w:t xml:space="preserve">. </w:t>
      </w:r>
      <w:r w:rsidR="0024267C" w:rsidRPr="004A46D6">
        <w:rPr>
          <w:lang w:val="en-US"/>
        </w:rPr>
        <w:t xml:space="preserve">This is an all-encompassing reflection </w:t>
      </w:r>
      <w:r w:rsidR="00F06BA7" w:rsidRPr="004A46D6">
        <w:rPr>
          <w:lang w:val="en-US"/>
        </w:rPr>
        <w:t>aimed at</w:t>
      </w:r>
      <w:r w:rsidR="0024267C" w:rsidRPr="004A46D6">
        <w:rPr>
          <w:lang w:val="en-US"/>
        </w:rPr>
        <w:t xml:space="preserve"> examin</w:t>
      </w:r>
      <w:r w:rsidR="00F06BA7" w:rsidRPr="004A46D6">
        <w:rPr>
          <w:lang w:val="en-US"/>
        </w:rPr>
        <w:t>ing</w:t>
      </w:r>
      <w:r w:rsidR="0024267C" w:rsidRPr="004A46D6">
        <w:rPr>
          <w:lang w:val="en-US"/>
        </w:rPr>
        <w:t xml:space="preserve"> </w:t>
      </w:r>
      <w:r w:rsidR="00F11E20" w:rsidRPr="004A46D6">
        <w:rPr>
          <w:lang w:val="en-US"/>
        </w:rPr>
        <w:t>t</w:t>
      </w:r>
      <w:r w:rsidR="0024267C" w:rsidRPr="004A46D6">
        <w:rPr>
          <w:lang w:val="en-US"/>
        </w:rPr>
        <w:t xml:space="preserve">he listing </w:t>
      </w:r>
      <w:r w:rsidR="00707E84" w:rsidRPr="004A46D6">
        <w:rPr>
          <w:lang w:val="en-US"/>
        </w:rPr>
        <w:t>mechanisms</w:t>
      </w:r>
      <w:r w:rsidR="00F11E20" w:rsidRPr="004A46D6">
        <w:rPr>
          <w:lang w:val="en-US"/>
        </w:rPr>
        <w:t xml:space="preserve"> in a holistic manner</w:t>
      </w:r>
      <w:r w:rsidR="00707E84" w:rsidRPr="004A46D6">
        <w:rPr>
          <w:lang w:val="en-US"/>
        </w:rPr>
        <w:t>, which</w:t>
      </w:r>
      <w:r w:rsidR="0024267C" w:rsidRPr="004A46D6">
        <w:rPr>
          <w:lang w:val="en-US"/>
        </w:rPr>
        <w:t xml:space="preserve"> will </w:t>
      </w:r>
      <w:r w:rsidR="00F11E20" w:rsidRPr="004A46D6">
        <w:rPr>
          <w:lang w:val="en-US"/>
        </w:rPr>
        <w:t xml:space="preserve">likely </w:t>
      </w:r>
      <w:r w:rsidR="0024267C" w:rsidRPr="004A46D6">
        <w:rPr>
          <w:lang w:val="en-US"/>
        </w:rPr>
        <w:t>have</w:t>
      </w:r>
      <w:r w:rsidR="003917E8" w:rsidRPr="004A46D6">
        <w:rPr>
          <w:lang w:val="en-US"/>
        </w:rPr>
        <w:t xml:space="preserve"> significant</w:t>
      </w:r>
      <w:r w:rsidR="0024267C" w:rsidRPr="004A46D6">
        <w:rPr>
          <w:lang w:val="en-US"/>
        </w:rPr>
        <w:t xml:space="preserve"> implications </w:t>
      </w:r>
      <w:r w:rsidR="00F06BA7" w:rsidRPr="004A46D6">
        <w:rPr>
          <w:lang w:val="en-US"/>
        </w:rPr>
        <w:t xml:space="preserve">for </w:t>
      </w:r>
      <w:r w:rsidR="0024267C" w:rsidRPr="004A46D6">
        <w:rPr>
          <w:lang w:val="en-US"/>
        </w:rPr>
        <w:t xml:space="preserve">the future of the Convention. </w:t>
      </w:r>
      <w:r w:rsidR="001A6650" w:rsidRPr="004A46D6">
        <w:rPr>
          <w:lang w:val="en-US"/>
        </w:rPr>
        <w:t xml:space="preserve">While this process </w:t>
      </w:r>
      <w:proofErr w:type="gramStart"/>
      <w:r w:rsidR="001A6650" w:rsidRPr="004A46D6">
        <w:rPr>
          <w:lang w:val="en-US"/>
        </w:rPr>
        <w:t>is foreseen</w:t>
      </w:r>
      <w:proofErr w:type="gramEnd"/>
      <w:r w:rsidR="001A6650" w:rsidRPr="004A46D6">
        <w:rPr>
          <w:lang w:val="en-US"/>
        </w:rPr>
        <w:t xml:space="preserve"> to continue until 2022, the reflection will begin with a preliminary expert meeting in </w:t>
      </w:r>
      <w:r w:rsidR="003A208A" w:rsidRPr="004A46D6">
        <w:rPr>
          <w:lang w:val="en-US"/>
        </w:rPr>
        <w:t xml:space="preserve">March </w:t>
      </w:r>
      <w:r w:rsidR="001A6650" w:rsidRPr="004A46D6">
        <w:rPr>
          <w:lang w:val="en-US"/>
        </w:rPr>
        <w:t xml:space="preserve">2020. </w:t>
      </w:r>
      <w:r w:rsidR="00C33D0C" w:rsidRPr="00D1234C">
        <w:rPr>
          <w:bCs/>
          <w:lang w:val="en-US"/>
        </w:rPr>
        <w:t>Given the long-term timeframe, the Committee requested</w:t>
      </w:r>
      <w:r w:rsidR="00F06BA7" w:rsidRPr="00D1234C">
        <w:rPr>
          <w:bCs/>
          <w:lang w:val="en-US"/>
        </w:rPr>
        <w:t>,</w:t>
      </w:r>
      <w:r w:rsidR="00C33D0C" w:rsidRPr="00D1234C">
        <w:rPr>
          <w:bCs/>
          <w:lang w:val="en-US"/>
        </w:rPr>
        <w:t xml:space="preserve"> in parallel</w:t>
      </w:r>
      <w:r w:rsidR="00F06BA7" w:rsidRPr="00D1234C">
        <w:rPr>
          <w:bCs/>
          <w:lang w:val="en-US"/>
        </w:rPr>
        <w:t>,</w:t>
      </w:r>
      <w:r w:rsidR="00C33D0C" w:rsidRPr="00D1234C">
        <w:rPr>
          <w:bCs/>
          <w:lang w:val="en-US"/>
        </w:rPr>
        <w:t xml:space="preserve"> that the Secretariat propose ways to improve the inscription process </w:t>
      </w:r>
      <w:r w:rsidR="00F06BA7" w:rsidRPr="00D1234C">
        <w:rPr>
          <w:bCs/>
          <w:lang w:val="en-US"/>
        </w:rPr>
        <w:t xml:space="preserve">for </w:t>
      </w:r>
      <w:r w:rsidR="00C33D0C" w:rsidRPr="00D1234C">
        <w:rPr>
          <w:bCs/>
          <w:lang w:val="en-US"/>
        </w:rPr>
        <w:t>nominations</w:t>
      </w:r>
      <w:r w:rsidR="00F06BA7" w:rsidRPr="00D1234C">
        <w:rPr>
          <w:bCs/>
          <w:lang w:val="en-US"/>
        </w:rPr>
        <w:t>,</w:t>
      </w:r>
      <w:r w:rsidR="00C33D0C" w:rsidRPr="00D1234C">
        <w:rPr>
          <w:bCs/>
          <w:lang w:val="en-US"/>
        </w:rPr>
        <w:t xml:space="preserve"> taking into account imminent issues raised during </w:t>
      </w:r>
      <w:r w:rsidR="001D144A" w:rsidRPr="00D1234C">
        <w:rPr>
          <w:bCs/>
          <w:lang w:val="en-US"/>
        </w:rPr>
        <w:t>its thirteenth session</w:t>
      </w:r>
      <w:r w:rsidR="00C33D0C" w:rsidRPr="00D1234C">
        <w:rPr>
          <w:bCs/>
          <w:lang w:val="en-US"/>
        </w:rPr>
        <w:t>.</w:t>
      </w:r>
      <w:r w:rsidR="00DA035C">
        <w:rPr>
          <w:bCs/>
          <w:lang w:val="en-US"/>
        </w:rPr>
        <w:t xml:space="preserve"> </w:t>
      </w:r>
      <w:r w:rsidR="00EC3B65" w:rsidRPr="00D1234C">
        <w:rPr>
          <w:bCs/>
          <w:lang w:val="en-US"/>
        </w:rPr>
        <w:t xml:space="preserve">This topic </w:t>
      </w:r>
      <w:proofErr w:type="gramStart"/>
      <w:r w:rsidR="007707F7">
        <w:rPr>
          <w:bCs/>
          <w:lang w:val="en-US"/>
        </w:rPr>
        <w:t xml:space="preserve">is </w:t>
      </w:r>
      <w:r w:rsidR="00EC3B65" w:rsidRPr="00D1234C">
        <w:rPr>
          <w:bCs/>
          <w:lang w:val="en-US"/>
        </w:rPr>
        <w:t>discussed</w:t>
      </w:r>
      <w:proofErr w:type="gramEnd"/>
      <w:r w:rsidR="00722937">
        <w:rPr>
          <w:bCs/>
          <w:lang w:val="en-US"/>
        </w:rPr>
        <w:t xml:space="preserve"> at this session</w:t>
      </w:r>
      <w:r w:rsidR="00EC3B65" w:rsidRPr="00D1234C">
        <w:rPr>
          <w:bCs/>
          <w:lang w:val="en-US"/>
        </w:rPr>
        <w:t xml:space="preserve"> under Item</w:t>
      </w:r>
      <w:r w:rsidR="00722937">
        <w:rPr>
          <w:bCs/>
          <w:lang w:val="en-US"/>
        </w:rPr>
        <w:t> </w:t>
      </w:r>
      <w:r w:rsidR="001D144A" w:rsidRPr="00D1234C">
        <w:rPr>
          <w:bCs/>
          <w:lang w:val="en-US"/>
        </w:rPr>
        <w:t>10</w:t>
      </w:r>
      <w:r w:rsidR="000420D8">
        <w:rPr>
          <w:bCs/>
          <w:lang w:val="en-US"/>
        </w:rPr>
        <w:t xml:space="preserve"> (see document</w:t>
      </w:r>
      <w:r w:rsidR="000420D8">
        <w:t> </w:t>
      </w:r>
      <w:hyperlink r:id="rId14" w:history="1">
        <w:r w:rsidR="001D144A" w:rsidRPr="00860C3E">
          <w:rPr>
            <w:rStyle w:val="Lienhypertexte"/>
            <w:rFonts w:cs="Arial"/>
            <w:lang w:val="en-US"/>
          </w:rPr>
          <w:t>LHE/19/14.COM/10</w:t>
        </w:r>
      </w:hyperlink>
      <w:r w:rsidR="00EC3B65" w:rsidRPr="00D1234C">
        <w:rPr>
          <w:bCs/>
          <w:lang w:val="en-US"/>
        </w:rPr>
        <w:t>).</w:t>
      </w:r>
    </w:p>
    <w:p w14:paraId="0CD8230B" w14:textId="1D645CB1" w:rsidR="004E7679" w:rsidRPr="00D1234C" w:rsidRDefault="00FF4654" w:rsidP="00A35D00">
      <w:pPr>
        <w:pStyle w:val="COMPara"/>
        <w:numPr>
          <w:ilvl w:val="0"/>
          <w:numId w:val="38"/>
        </w:numPr>
        <w:ind w:left="567" w:hanging="567"/>
        <w:jc w:val="both"/>
        <w:rPr>
          <w:rStyle w:val="hps"/>
          <w:lang w:val="en-US"/>
        </w:rPr>
      </w:pPr>
      <w:r w:rsidRPr="00D1234C">
        <w:rPr>
          <w:b/>
          <w:lang w:val="en-US"/>
        </w:rPr>
        <w:t>Lighter ways of sharing safeguarding practices:</w:t>
      </w:r>
      <w:r w:rsidRPr="00D1234C">
        <w:rPr>
          <w:lang w:val="en-US"/>
        </w:rPr>
        <w:t xml:space="preserve"> </w:t>
      </w:r>
      <w:r w:rsidR="00700EF6" w:rsidRPr="00D1234C">
        <w:rPr>
          <w:lang w:val="en-US"/>
        </w:rPr>
        <w:t xml:space="preserve">As part of the reflection on the listing mechanisms and following </w:t>
      </w:r>
      <w:r w:rsidR="001D144A" w:rsidRPr="00D1234C">
        <w:rPr>
          <w:lang w:val="en-US"/>
        </w:rPr>
        <w:t xml:space="preserve">the </w:t>
      </w:r>
      <w:r w:rsidR="00700EF6" w:rsidRPr="00D1234C">
        <w:rPr>
          <w:lang w:val="en-US"/>
        </w:rPr>
        <w:t>requests by the Committee</w:t>
      </w:r>
      <w:r w:rsidR="00700EF6" w:rsidRPr="00D1234C">
        <w:rPr>
          <w:rStyle w:val="Appelnotedebasdep"/>
          <w:lang w:val="en-US"/>
        </w:rPr>
        <w:footnoteReference w:id="10"/>
      </w:r>
      <w:r w:rsidR="0070723C" w:rsidRPr="004A46D6">
        <w:rPr>
          <w:rStyle w:val="hps"/>
          <w:lang w:val="en-US"/>
        </w:rPr>
        <w:t>, the</w:t>
      </w:r>
      <w:r w:rsidR="0070723C" w:rsidRPr="00D1234C">
        <w:rPr>
          <w:lang w:val="en-US"/>
        </w:rPr>
        <w:t xml:space="preserve"> Secretariat </w:t>
      </w:r>
      <w:r w:rsidR="00470120" w:rsidRPr="004A46D6">
        <w:rPr>
          <w:rStyle w:val="hps"/>
          <w:lang w:val="en-US"/>
        </w:rPr>
        <w:t>undertook</w:t>
      </w:r>
      <w:r w:rsidR="0070723C" w:rsidRPr="004A46D6">
        <w:rPr>
          <w:rStyle w:val="hps"/>
          <w:lang w:val="en-US"/>
        </w:rPr>
        <w:t xml:space="preserve"> a</w:t>
      </w:r>
      <w:r w:rsidR="00470120" w:rsidRPr="004A46D6">
        <w:rPr>
          <w:rStyle w:val="hps"/>
          <w:lang w:val="en-US"/>
        </w:rPr>
        <w:t xml:space="preserve"> </w:t>
      </w:r>
      <w:r w:rsidR="0070723C" w:rsidRPr="004A46D6">
        <w:rPr>
          <w:rStyle w:val="hps"/>
          <w:lang w:val="en-US"/>
        </w:rPr>
        <w:t>consult</w:t>
      </w:r>
      <w:r w:rsidR="003F1BA5" w:rsidRPr="004A46D6">
        <w:rPr>
          <w:rStyle w:val="hps"/>
          <w:lang w:val="en-US"/>
        </w:rPr>
        <w:t>ation</w:t>
      </w:r>
      <w:r w:rsidR="001D144A" w:rsidRPr="004A46D6">
        <w:rPr>
          <w:rStyle w:val="hps"/>
          <w:lang w:val="en-US"/>
        </w:rPr>
        <w:t xml:space="preserve"> survey</w:t>
      </w:r>
      <w:r w:rsidR="0070723C" w:rsidRPr="004A46D6">
        <w:rPr>
          <w:rStyle w:val="hps"/>
          <w:lang w:val="en-US"/>
        </w:rPr>
        <w:t xml:space="preserve"> on alternative and lighter ways of sharing </w:t>
      </w:r>
      <w:r w:rsidR="00931FCB" w:rsidRPr="004A46D6">
        <w:rPr>
          <w:rStyle w:val="hps"/>
          <w:lang w:val="en-US"/>
        </w:rPr>
        <w:t xml:space="preserve">intangible cultural heritage </w:t>
      </w:r>
      <w:r w:rsidR="0070723C" w:rsidRPr="004A46D6">
        <w:rPr>
          <w:rStyle w:val="hps"/>
          <w:lang w:val="en-US"/>
        </w:rPr>
        <w:t>safeguarding practices to complement the Register of Good Safeguarding Practices</w:t>
      </w:r>
      <w:r w:rsidR="0076481F" w:rsidRPr="004A46D6">
        <w:rPr>
          <w:rStyle w:val="hps"/>
          <w:lang w:val="en-US"/>
        </w:rPr>
        <w:t xml:space="preserve">. </w:t>
      </w:r>
      <w:r w:rsidR="00602462" w:rsidRPr="004A46D6">
        <w:rPr>
          <w:rStyle w:val="hps"/>
          <w:lang w:val="en-US"/>
        </w:rPr>
        <w:t>With 225</w:t>
      </w:r>
      <w:r w:rsidR="003A5190">
        <w:rPr>
          <w:rStyle w:val="hps"/>
          <w:lang w:val="en-US"/>
        </w:rPr>
        <w:t> </w:t>
      </w:r>
      <w:r w:rsidR="00602462" w:rsidRPr="004A46D6">
        <w:rPr>
          <w:rStyle w:val="hps"/>
          <w:lang w:val="en-US"/>
        </w:rPr>
        <w:t>responses, the online survey</w:t>
      </w:r>
      <w:r w:rsidR="00602462" w:rsidRPr="004A46D6">
        <w:rPr>
          <w:rStyle w:val="Appelnotedebasdep"/>
          <w:lang w:val="en-US"/>
        </w:rPr>
        <w:footnoteReference w:id="11"/>
      </w:r>
      <w:r w:rsidR="00602462" w:rsidRPr="004A46D6">
        <w:rPr>
          <w:rStyle w:val="hps"/>
          <w:lang w:val="en-US"/>
        </w:rPr>
        <w:t xml:space="preserve"> highlighted</w:t>
      </w:r>
      <w:r w:rsidR="0076481F" w:rsidRPr="004A46D6">
        <w:rPr>
          <w:rStyle w:val="hps"/>
          <w:lang w:val="en-US"/>
        </w:rPr>
        <w:t xml:space="preserve"> </w:t>
      </w:r>
      <w:r w:rsidR="00931FCB" w:rsidRPr="004A46D6">
        <w:rPr>
          <w:rStyle w:val="hps"/>
          <w:lang w:val="en-US"/>
        </w:rPr>
        <w:t xml:space="preserve">various ways and means in which the safeguarding practices </w:t>
      </w:r>
      <w:proofErr w:type="gramStart"/>
      <w:r w:rsidR="00931FCB" w:rsidRPr="004A46D6">
        <w:rPr>
          <w:rStyle w:val="hps"/>
          <w:lang w:val="en-US"/>
        </w:rPr>
        <w:t>are being utilized and disseminated within local, regional and global context</w:t>
      </w:r>
      <w:r w:rsidR="00F06BA7" w:rsidRPr="004A46D6">
        <w:rPr>
          <w:rStyle w:val="hps"/>
          <w:lang w:val="en-US"/>
        </w:rPr>
        <w:t>s</w:t>
      </w:r>
      <w:proofErr w:type="gramEnd"/>
      <w:r w:rsidR="00931FCB" w:rsidRPr="004A46D6">
        <w:rPr>
          <w:rStyle w:val="hps"/>
          <w:lang w:val="en-US"/>
        </w:rPr>
        <w:t xml:space="preserve">. </w:t>
      </w:r>
      <w:r w:rsidR="00DA3FE8" w:rsidRPr="004A46D6">
        <w:rPr>
          <w:rStyle w:val="hps"/>
          <w:lang w:val="en-US"/>
        </w:rPr>
        <w:t>The survey</w:t>
      </w:r>
      <w:r w:rsidR="004D243B" w:rsidRPr="004A46D6">
        <w:rPr>
          <w:rStyle w:val="hps"/>
          <w:lang w:val="en-US"/>
        </w:rPr>
        <w:t xml:space="preserve"> further</w:t>
      </w:r>
      <w:r w:rsidR="00DA3FE8" w:rsidRPr="004A46D6">
        <w:rPr>
          <w:rStyle w:val="hps"/>
          <w:lang w:val="en-US"/>
        </w:rPr>
        <w:t xml:space="preserve"> demonstrated that safeguarding experiences </w:t>
      </w:r>
      <w:proofErr w:type="gramStart"/>
      <w:r w:rsidR="00DA3FE8" w:rsidRPr="004A46D6">
        <w:rPr>
          <w:rStyle w:val="hps"/>
          <w:lang w:val="en-US"/>
        </w:rPr>
        <w:t xml:space="preserve">are </w:t>
      </w:r>
      <w:r w:rsidR="00DA3FE8" w:rsidRPr="00D1234C">
        <w:rPr>
          <w:lang w:val="en-US"/>
        </w:rPr>
        <w:t>mainly being shared</w:t>
      </w:r>
      <w:proofErr w:type="gramEnd"/>
      <w:r w:rsidR="00DA3FE8" w:rsidRPr="00D1234C">
        <w:rPr>
          <w:lang w:val="en-US"/>
        </w:rPr>
        <w:t xml:space="preserve"> at the </w:t>
      </w:r>
      <w:r w:rsidR="00A92BDB">
        <w:rPr>
          <w:lang w:val="en-US"/>
        </w:rPr>
        <w:t>local</w:t>
      </w:r>
      <w:r w:rsidR="00A92BDB" w:rsidRPr="00D1234C">
        <w:rPr>
          <w:lang w:val="en-US"/>
        </w:rPr>
        <w:t xml:space="preserve"> </w:t>
      </w:r>
      <w:r w:rsidR="00DA3FE8" w:rsidRPr="00D1234C">
        <w:rPr>
          <w:lang w:val="en-US"/>
        </w:rPr>
        <w:t>or country level</w:t>
      </w:r>
      <w:r w:rsidR="00F06BA7" w:rsidRPr="00D1234C">
        <w:rPr>
          <w:lang w:val="en-US"/>
        </w:rPr>
        <w:t>s</w:t>
      </w:r>
      <w:r w:rsidR="00DA3FE8" w:rsidRPr="00D1234C">
        <w:rPr>
          <w:lang w:val="en-US"/>
        </w:rPr>
        <w:t xml:space="preserve">, followed by the regional level. </w:t>
      </w:r>
      <w:r w:rsidR="00A35D00" w:rsidRPr="00D1234C">
        <w:rPr>
          <w:color w:val="000000"/>
          <w:lang w:val="en-US" w:eastAsia="es-MX"/>
        </w:rPr>
        <w:t xml:space="preserve">While social media </w:t>
      </w:r>
      <w:r w:rsidR="0063450B" w:rsidRPr="00D1234C">
        <w:rPr>
          <w:color w:val="000000"/>
          <w:lang w:val="en-US" w:eastAsia="es-MX"/>
        </w:rPr>
        <w:t xml:space="preserve">are </w:t>
      </w:r>
      <w:r w:rsidR="00A35D00" w:rsidRPr="00D1234C">
        <w:rPr>
          <w:color w:val="000000"/>
          <w:lang w:val="en-US" w:eastAsia="es-MX"/>
        </w:rPr>
        <w:t xml:space="preserve">the most frequently used channel, interestingly, </w:t>
      </w:r>
      <w:r w:rsidR="0063450B" w:rsidRPr="00D1234C">
        <w:rPr>
          <w:color w:val="000000"/>
          <w:lang w:val="en-US" w:eastAsia="es-MX"/>
        </w:rPr>
        <w:t xml:space="preserve">they </w:t>
      </w:r>
      <w:proofErr w:type="gramStart"/>
      <w:r w:rsidR="0063450B" w:rsidRPr="00D1234C">
        <w:rPr>
          <w:color w:val="000000"/>
          <w:lang w:val="en-US" w:eastAsia="es-MX"/>
        </w:rPr>
        <w:t xml:space="preserve">are </w:t>
      </w:r>
      <w:r w:rsidR="00A35D00" w:rsidRPr="00D1234C">
        <w:rPr>
          <w:color w:val="000000"/>
          <w:lang w:val="en-US" w:eastAsia="es-MX"/>
        </w:rPr>
        <w:t>evaluated</w:t>
      </w:r>
      <w:proofErr w:type="gramEnd"/>
      <w:r w:rsidR="00A35D00" w:rsidRPr="00D1234C">
        <w:rPr>
          <w:color w:val="000000"/>
          <w:lang w:val="en-US" w:eastAsia="es-MX"/>
        </w:rPr>
        <w:t xml:space="preserve"> as the least </w:t>
      </w:r>
      <w:r w:rsidR="00522B77" w:rsidRPr="00D1234C">
        <w:rPr>
          <w:color w:val="000000"/>
          <w:lang w:val="en-US" w:eastAsia="es-MX"/>
        </w:rPr>
        <w:t xml:space="preserve">meaningful </w:t>
      </w:r>
      <w:r w:rsidR="00A35D00" w:rsidRPr="00D1234C">
        <w:rPr>
          <w:color w:val="000000"/>
          <w:lang w:val="en-US" w:eastAsia="es-MX"/>
        </w:rPr>
        <w:t xml:space="preserve">way to </w:t>
      </w:r>
      <w:r w:rsidR="0063450B" w:rsidRPr="00D1234C">
        <w:rPr>
          <w:color w:val="000000"/>
          <w:lang w:val="en-US" w:eastAsia="es-MX"/>
        </w:rPr>
        <w:t xml:space="preserve">obtain </w:t>
      </w:r>
      <w:r w:rsidR="00A35D00" w:rsidRPr="00D1234C">
        <w:rPr>
          <w:color w:val="000000"/>
          <w:lang w:val="en-US" w:eastAsia="es-MX"/>
        </w:rPr>
        <w:t xml:space="preserve">information from others. </w:t>
      </w:r>
      <w:proofErr w:type="gramStart"/>
      <w:r w:rsidR="00A35D00" w:rsidRPr="00D1234C">
        <w:rPr>
          <w:lang w:val="en-US"/>
        </w:rPr>
        <w:t>With regard</w:t>
      </w:r>
      <w:r w:rsidR="0063450B" w:rsidRPr="00D1234C">
        <w:rPr>
          <w:lang w:val="en-US"/>
        </w:rPr>
        <w:t>s</w:t>
      </w:r>
      <w:r w:rsidR="00A35D00" w:rsidRPr="00D1234C">
        <w:rPr>
          <w:lang w:val="en-US"/>
        </w:rPr>
        <w:t xml:space="preserve"> to</w:t>
      </w:r>
      <w:proofErr w:type="gramEnd"/>
      <w:r w:rsidR="00A35D00" w:rsidRPr="00D1234C">
        <w:rPr>
          <w:lang w:val="en-US"/>
        </w:rPr>
        <w:t xml:space="preserve"> new ways of sharing safeguarding practices, the majority of the respondents</w:t>
      </w:r>
      <w:r w:rsidR="0063450B" w:rsidRPr="00D1234C">
        <w:rPr>
          <w:lang w:val="en-US"/>
        </w:rPr>
        <w:t xml:space="preserve"> suggested that they would</w:t>
      </w:r>
      <w:r w:rsidR="00A35D00" w:rsidRPr="00D1234C">
        <w:rPr>
          <w:lang w:val="en-US"/>
        </w:rPr>
        <w:t xml:space="preserve"> </w:t>
      </w:r>
      <w:r w:rsidR="00DA3FE8" w:rsidRPr="00D1234C">
        <w:rPr>
          <w:lang w:val="en-US"/>
        </w:rPr>
        <w:t>prefer to see</w:t>
      </w:r>
      <w:r w:rsidR="001D144A" w:rsidRPr="00D1234C">
        <w:rPr>
          <w:lang w:val="en-US"/>
        </w:rPr>
        <w:t xml:space="preserve"> the establishment of a lighter</w:t>
      </w:r>
      <w:r w:rsidR="00A35D00" w:rsidRPr="00D1234C">
        <w:rPr>
          <w:lang w:val="en-US"/>
        </w:rPr>
        <w:t xml:space="preserve"> filtering and validation mechanism</w:t>
      </w:r>
      <w:r w:rsidR="002C1B39" w:rsidRPr="0051521C">
        <w:rPr>
          <w:lang w:val="en-US"/>
        </w:rPr>
        <w:t xml:space="preserve"> through UNESCO</w:t>
      </w:r>
      <w:r w:rsidR="00A35D00" w:rsidRPr="00D1234C">
        <w:rPr>
          <w:lang w:val="en-US"/>
        </w:rPr>
        <w:t>.</w:t>
      </w:r>
      <w:r w:rsidR="00461A15" w:rsidRPr="0051521C">
        <w:rPr>
          <w:lang w:val="en-US"/>
        </w:rPr>
        <w:t xml:space="preserve"> Th</w:t>
      </w:r>
      <w:r w:rsidR="00461A15" w:rsidRPr="00D1234C">
        <w:rPr>
          <w:lang w:val="en-US"/>
        </w:rPr>
        <w:t>e survey results</w:t>
      </w:r>
      <w:r w:rsidR="00461A15" w:rsidRPr="0051521C">
        <w:rPr>
          <w:lang w:val="en-US"/>
        </w:rPr>
        <w:t xml:space="preserve"> </w:t>
      </w:r>
      <w:proofErr w:type="gramStart"/>
      <w:r w:rsidR="00461A15" w:rsidRPr="0051521C">
        <w:rPr>
          <w:lang w:val="en-US"/>
        </w:rPr>
        <w:t>will be</w:t>
      </w:r>
      <w:r w:rsidR="00461A15" w:rsidRPr="00D1234C">
        <w:rPr>
          <w:lang w:val="en-US"/>
        </w:rPr>
        <w:t xml:space="preserve"> taken</w:t>
      </w:r>
      <w:proofErr w:type="gramEnd"/>
      <w:r w:rsidR="00461A15" w:rsidRPr="00D1234C">
        <w:rPr>
          <w:lang w:val="en-US"/>
        </w:rPr>
        <w:t xml:space="preserve"> into account during </w:t>
      </w:r>
      <w:r w:rsidR="00461A15" w:rsidRPr="0051521C">
        <w:rPr>
          <w:lang w:val="en-US"/>
        </w:rPr>
        <w:t xml:space="preserve">the </w:t>
      </w:r>
      <w:r w:rsidR="00461A15" w:rsidRPr="00D1234C">
        <w:rPr>
          <w:lang w:val="en-US"/>
        </w:rPr>
        <w:t xml:space="preserve">above-mentioned </w:t>
      </w:r>
      <w:r w:rsidR="00461A15" w:rsidRPr="0051521C">
        <w:rPr>
          <w:lang w:val="en-US"/>
        </w:rPr>
        <w:t>global reflection on the listing mechanisms of the Convention.</w:t>
      </w:r>
    </w:p>
    <w:p w14:paraId="37FB5D96" w14:textId="63D96FAF" w:rsidR="004E7679" w:rsidRPr="00D1234C" w:rsidRDefault="00320503" w:rsidP="00D1234C">
      <w:pPr>
        <w:pStyle w:val="COMPara"/>
        <w:numPr>
          <w:ilvl w:val="0"/>
          <w:numId w:val="38"/>
        </w:numPr>
        <w:ind w:left="567" w:hanging="567"/>
        <w:jc w:val="both"/>
        <w:rPr>
          <w:b/>
          <w:snapToGrid/>
          <w:lang w:val="en-US"/>
        </w:rPr>
      </w:pPr>
      <w:r w:rsidRPr="004A46D6">
        <w:rPr>
          <w:b/>
          <w:snapToGrid/>
          <w:lang w:val="en-US"/>
        </w:rPr>
        <w:t>Accredited non-governmental organizations</w:t>
      </w:r>
      <w:r w:rsidRPr="004A46D6">
        <w:rPr>
          <w:snapToGrid/>
          <w:lang w:val="en-US"/>
        </w:rPr>
        <w:t xml:space="preserve">: </w:t>
      </w:r>
      <w:r w:rsidR="009B73CF" w:rsidRPr="004A46D6">
        <w:rPr>
          <w:snapToGrid/>
          <w:lang w:val="en-US"/>
        </w:rPr>
        <w:t xml:space="preserve">On </w:t>
      </w:r>
      <w:r w:rsidR="009B73CF" w:rsidRPr="00D1234C">
        <w:rPr>
          <w:lang w:val="en-US"/>
        </w:rPr>
        <w:t>many</w:t>
      </w:r>
      <w:r w:rsidR="009B73CF" w:rsidRPr="004A46D6">
        <w:rPr>
          <w:snapToGrid/>
          <w:lang w:val="en-US"/>
        </w:rPr>
        <w:t xml:space="preserve"> occasions, t</w:t>
      </w:r>
      <w:r w:rsidRPr="004A46D6">
        <w:rPr>
          <w:snapToGrid/>
          <w:lang w:val="en-US"/>
        </w:rPr>
        <w:t xml:space="preserve">he governing bodies of the Convention underlined the important role </w:t>
      </w:r>
      <w:r w:rsidR="00733FA1" w:rsidRPr="004A46D6">
        <w:rPr>
          <w:snapToGrid/>
          <w:lang w:val="en-US"/>
        </w:rPr>
        <w:t xml:space="preserve">that </w:t>
      </w:r>
      <w:r w:rsidRPr="004A46D6">
        <w:rPr>
          <w:snapToGrid/>
          <w:lang w:val="en-US"/>
        </w:rPr>
        <w:t xml:space="preserve">NGOs play </w:t>
      </w:r>
      <w:r w:rsidR="009B73CF" w:rsidRPr="004A46D6">
        <w:rPr>
          <w:lang w:val="en-US"/>
        </w:rPr>
        <w:t>under the Convention</w:t>
      </w:r>
      <w:r w:rsidRPr="004A46D6">
        <w:rPr>
          <w:lang w:val="en-US"/>
        </w:rPr>
        <w:t xml:space="preserve">. </w:t>
      </w:r>
      <w:r w:rsidR="00367E0A">
        <w:rPr>
          <w:lang w:val="en-US"/>
        </w:rPr>
        <w:t>However</w:t>
      </w:r>
      <w:r w:rsidR="009B73CF" w:rsidRPr="004A46D6">
        <w:rPr>
          <w:lang w:val="en-US"/>
        </w:rPr>
        <w:t xml:space="preserve">, only </w:t>
      </w:r>
      <w:r w:rsidR="00733FA1" w:rsidRPr="004A46D6">
        <w:rPr>
          <w:lang w:val="en-US"/>
        </w:rPr>
        <w:t xml:space="preserve">6 </w:t>
      </w:r>
      <w:r w:rsidR="009B73CF" w:rsidRPr="004A46D6">
        <w:rPr>
          <w:lang w:val="en-US"/>
        </w:rPr>
        <w:t>out of 176 accredited NGOs perform an advisory function as members of the Evaluation Body at any time. Following the decision by t</w:t>
      </w:r>
      <w:r w:rsidR="009B73CF" w:rsidRPr="00D1234C">
        <w:rPr>
          <w:lang w:val="en-US"/>
        </w:rPr>
        <w:t xml:space="preserve">he Committee at its twelfth </w:t>
      </w:r>
      <w:r w:rsidR="00182A17" w:rsidRPr="00D1234C">
        <w:rPr>
          <w:lang w:val="en-US"/>
        </w:rPr>
        <w:t xml:space="preserve">and thirteenth </w:t>
      </w:r>
      <w:r w:rsidR="009B73CF" w:rsidRPr="00D1234C">
        <w:rPr>
          <w:lang w:val="en-US"/>
        </w:rPr>
        <w:t>session</w:t>
      </w:r>
      <w:r w:rsidR="00733FA1" w:rsidRPr="00D1234C">
        <w:rPr>
          <w:lang w:val="en-US"/>
        </w:rPr>
        <w:t>s</w:t>
      </w:r>
      <w:r w:rsidR="006D094E" w:rsidRPr="00D1234C">
        <w:rPr>
          <w:rStyle w:val="Appelnotedebasdep"/>
          <w:lang w:val="en-US"/>
        </w:rPr>
        <w:footnoteReference w:id="12"/>
      </w:r>
      <w:r w:rsidR="009B73CF" w:rsidRPr="00D1234C">
        <w:rPr>
          <w:lang w:val="en-US"/>
        </w:rPr>
        <w:t>, the Secretariat undertook an electronic consultation in 2018, and convened a consultation meeting involving States Parties and accredited NGOs on</w:t>
      </w:r>
      <w:r w:rsidR="009B73CF" w:rsidRPr="004A46D6">
        <w:rPr>
          <w:lang w:val="en-US"/>
        </w:rPr>
        <w:t xml:space="preserve"> 18 April 2019 at UNESCO Headquarters</w:t>
      </w:r>
      <w:r w:rsidR="009B73CF" w:rsidRPr="00D1234C">
        <w:rPr>
          <w:lang w:val="en-US"/>
        </w:rPr>
        <w:t>.</w:t>
      </w:r>
      <w:r w:rsidR="009B73CF" w:rsidRPr="004A46D6">
        <w:rPr>
          <w:lang w:val="en-US"/>
        </w:rPr>
        <w:t xml:space="preserve"> The discussion centered on the identification and definition of the advisory functions that the Committee wishes accredited NGOs to fulfil and on the relevance of the accreditation system. Article 9.1 of the Convention states that the accreditation system </w:t>
      </w:r>
      <w:proofErr w:type="gramStart"/>
      <w:r w:rsidR="00733FA1" w:rsidRPr="004A46D6">
        <w:rPr>
          <w:lang w:val="en-US"/>
        </w:rPr>
        <w:t>is intended</w:t>
      </w:r>
      <w:proofErr w:type="gramEnd"/>
      <w:r w:rsidR="00733FA1" w:rsidRPr="004A46D6">
        <w:rPr>
          <w:lang w:val="en-US"/>
        </w:rPr>
        <w:t xml:space="preserve"> </w:t>
      </w:r>
      <w:r w:rsidR="009B73CF" w:rsidRPr="004A46D6">
        <w:rPr>
          <w:lang w:val="en-US"/>
        </w:rPr>
        <w:t xml:space="preserve">to identify NGOs to act in an advisory capacity to the Committee. </w:t>
      </w:r>
      <w:r w:rsidR="00182A17" w:rsidRPr="004A46D6">
        <w:rPr>
          <w:lang w:val="en-US"/>
        </w:rPr>
        <w:t>Nonetheless,</w:t>
      </w:r>
      <w:r w:rsidR="009B73CF" w:rsidRPr="004A46D6">
        <w:rPr>
          <w:lang w:val="en-US"/>
        </w:rPr>
        <w:t xml:space="preserve"> the reflection process showed that the accreditation system is in fact widely considered as an affiliation mechanism through which NGOs of all capacities and sizes can benefit from international recognition. </w:t>
      </w:r>
      <w:r w:rsidR="0021252D">
        <w:rPr>
          <w:lang w:val="en-US"/>
        </w:rPr>
        <w:t>T</w:t>
      </w:r>
      <w:r w:rsidR="009B73CF" w:rsidRPr="004A46D6">
        <w:rPr>
          <w:lang w:val="en-US"/>
        </w:rPr>
        <w:t>he Committee will discuss</w:t>
      </w:r>
      <w:r w:rsidR="00B75CD9" w:rsidRPr="00D1234C">
        <w:rPr>
          <w:lang w:val="en-US"/>
        </w:rPr>
        <w:t xml:space="preserve"> this </w:t>
      </w:r>
      <w:r w:rsidR="00367E0A">
        <w:rPr>
          <w:lang w:val="en-US"/>
        </w:rPr>
        <w:t xml:space="preserve">topic </w:t>
      </w:r>
      <w:r w:rsidR="00B75CD9" w:rsidRPr="00D1234C">
        <w:rPr>
          <w:lang w:val="en-US"/>
        </w:rPr>
        <w:t>in more detail</w:t>
      </w:r>
      <w:r w:rsidR="0021252D">
        <w:rPr>
          <w:lang w:val="en-US"/>
        </w:rPr>
        <w:t xml:space="preserve"> under item 15 of the current session</w:t>
      </w:r>
      <w:r w:rsidR="009B73CF" w:rsidRPr="00752FBA">
        <w:rPr>
          <w:lang w:val="en-US"/>
        </w:rPr>
        <w:t xml:space="preserve"> </w:t>
      </w:r>
      <w:r w:rsidR="001D464B" w:rsidRPr="00902D07">
        <w:rPr>
          <w:lang w:val="en-US"/>
        </w:rPr>
        <w:t xml:space="preserve">(see document </w:t>
      </w:r>
      <w:hyperlink r:id="rId15" w:history="1">
        <w:r w:rsidR="00182A17" w:rsidRPr="00860C3E">
          <w:rPr>
            <w:rStyle w:val="Lienhypertexte"/>
            <w:rFonts w:cs="Arial"/>
            <w:lang w:val="en-US"/>
          </w:rPr>
          <w:t>LHE/19/14.COM/15</w:t>
        </w:r>
      </w:hyperlink>
      <w:r w:rsidR="00B75CD9" w:rsidRPr="00860C3E">
        <w:rPr>
          <w:lang w:val="en-US"/>
        </w:rPr>
        <w:t>)</w:t>
      </w:r>
      <w:r w:rsidR="00367E0A">
        <w:rPr>
          <w:lang w:val="en-US"/>
        </w:rPr>
        <w:t>.</w:t>
      </w:r>
    </w:p>
    <w:p w14:paraId="1866C309" w14:textId="64DB2E26" w:rsidR="00A44294" w:rsidRPr="00D1234C" w:rsidRDefault="009E6731" w:rsidP="003D2EB4">
      <w:pPr>
        <w:pStyle w:val="COMPara"/>
        <w:numPr>
          <w:ilvl w:val="0"/>
          <w:numId w:val="13"/>
        </w:numPr>
        <w:spacing w:before="360"/>
        <w:ind w:left="567" w:hanging="567"/>
        <w:jc w:val="both"/>
        <w:rPr>
          <w:b/>
          <w:lang w:val="en-US"/>
        </w:rPr>
      </w:pPr>
      <w:r w:rsidRPr="00D1234C">
        <w:rPr>
          <w:b/>
          <w:lang w:val="en-US"/>
        </w:rPr>
        <w:t>OPERATIONAL ACTIONS</w:t>
      </w:r>
    </w:p>
    <w:p w14:paraId="7B6B414C" w14:textId="24DB719A" w:rsidR="007A23D7" w:rsidRPr="00D1234C" w:rsidRDefault="009E6731" w:rsidP="00200619">
      <w:pPr>
        <w:pStyle w:val="COMPara"/>
        <w:numPr>
          <w:ilvl w:val="0"/>
          <w:numId w:val="38"/>
        </w:numPr>
        <w:ind w:left="567" w:hanging="567"/>
        <w:jc w:val="both"/>
        <w:rPr>
          <w:lang w:val="en-US"/>
        </w:rPr>
      </w:pPr>
      <w:r w:rsidRPr="00D1234C">
        <w:rPr>
          <w:b/>
          <w:lang w:val="en-US"/>
        </w:rPr>
        <w:t>Capacity</w:t>
      </w:r>
      <w:r w:rsidR="000A609A" w:rsidRPr="00D1234C">
        <w:rPr>
          <w:b/>
          <w:lang w:val="en-US"/>
        </w:rPr>
        <w:t xml:space="preserve"> </w:t>
      </w:r>
      <w:r w:rsidRPr="00D1234C">
        <w:rPr>
          <w:b/>
          <w:lang w:val="en-US"/>
        </w:rPr>
        <w:t>building</w:t>
      </w:r>
      <w:r w:rsidRPr="00D1234C">
        <w:rPr>
          <w:lang w:val="en-US"/>
        </w:rPr>
        <w:t xml:space="preserve">: </w:t>
      </w:r>
      <w:r w:rsidR="007A23D7" w:rsidRPr="00D1234C">
        <w:rPr>
          <w:lang w:val="en-US"/>
        </w:rPr>
        <w:t xml:space="preserve">Demand for the capacity-building </w:t>
      </w:r>
      <w:proofErr w:type="spellStart"/>
      <w:r w:rsidR="007A23D7" w:rsidRPr="00D1234C">
        <w:rPr>
          <w:lang w:val="en-US"/>
        </w:rPr>
        <w:t>programme</w:t>
      </w:r>
      <w:proofErr w:type="spellEnd"/>
      <w:r w:rsidR="00733FA1" w:rsidRPr="00D1234C">
        <w:rPr>
          <w:lang w:val="en-US"/>
        </w:rPr>
        <w:t xml:space="preserve"> has remained strong</w:t>
      </w:r>
      <w:r w:rsidR="007A23D7" w:rsidRPr="00D1234C">
        <w:rPr>
          <w:lang w:val="en-US"/>
        </w:rPr>
        <w:t xml:space="preserve">, with the number of benefitting countries </w:t>
      </w:r>
      <w:r w:rsidR="00733FA1" w:rsidRPr="00D1234C">
        <w:rPr>
          <w:lang w:val="en-US"/>
        </w:rPr>
        <w:t xml:space="preserve">increasing </w:t>
      </w:r>
      <w:r w:rsidR="007A23D7" w:rsidRPr="00D1234C">
        <w:rPr>
          <w:lang w:val="en-US"/>
        </w:rPr>
        <w:t xml:space="preserve">to </w:t>
      </w:r>
      <w:r w:rsidR="00733FA1" w:rsidRPr="00D1234C">
        <w:rPr>
          <w:lang w:val="en-US"/>
        </w:rPr>
        <w:t>ninety-two</w:t>
      </w:r>
      <w:r w:rsidR="007A23D7" w:rsidRPr="00D1234C">
        <w:rPr>
          <w:lang w:val="en-US"/>
        </w:rPr>
        <w:t xml:space="preserve"> countries including </w:t>
      </w:r>
      <w:r w:rsidR="00733FA1" w:rsidRPr="00D1234C">
        <w:rPr>
          <w:lang w:val="en-US"/>
        </w:rPr>
        <w:t xml:space="preserve">thirty-three </w:t>
      </w:r>
      <w:r w:rsidR="007A23D7" w:rsidRPr="00D1234C">
        <w:rPr>
          <w:lang w:val="en-US"/>
        </w:rPr>
        <w:t xml:space="preserve">in Africa and </w:t>
      </w:r>
      <w:r w:rsidR="00733FA1" w:rsidRPr="00D1234C">
        <w:rPr>
          <w:lang w:val="en-US"/>
        </w:rPr>
        <w:t>eighteen Small Island Developing States (</w:t>
      </w:r>
      <w:r w:rsidR="007A23D7" w:rsidRPr="00D1234C">
        <w:rPr>
          <w:lang w:val="en-US"/>
        </w:rPr>
        <w:t>SIDS</w:t>
      </w:r>
      <w:r w:rsidR="00733FA1" w:rsidRPr="00D1234C">
        <w:rPr>
          <w:lang w:val="en-US"/>
        </w:rPr>
        <w:t>)</w:t>
      </w:r>
      <w:r w:rsidR="003A22D1" w:rsidRPr="00D1234C">
        <w:rPr>
          <w:lang w:val="en-US"/>
        </w:rPr>
        <w:t xml:space="preserve"> under the reporting period</w:t>
      </w:r>
      <w:r w:rsidR="007A23D7" w:rsidRPr="00D1234C">
        <w:rPr>
          <w:lang w:val="en-US"/>
        </w:rPr>
        <w:t xml:space="preserve">. </w:t>
      </w:r>
      <w:r w:rsidR="00EB54A0" w:rsidRPr="00D1234C">
        <w:rPr>
          <w:lang w:val="en-US"/>
        </w:rPr>
        <w:t>T</w:t>
      </w:r>
      <w:r w:rsidR="007A23D7" w:rsidRPr="00D1234C">
        <w:rPr>
          <w:lang w:val="en-US"/>
        </w:rPr>
        <w:t xml:space="preserve">he Secretariat significantly strengthened and expanded the </w:t>
      </w:r>
      <w:r w:rsidR="004E72D9" w:rsidRPr="00D1234C">
        <w:rPr>
          <w:lang w:val="en-US"/>
        </w:rPr>
        <w:t>facilitators’</w:t>
      </w:r>
      <w:r w:rsidR="003A22D1" w:rsidRPr="00D1234C">
        <w:rPr>
          <w:lang w:val="en-US"/>
        </w:rPr>
        <w:t xml:space="preserve"> network by organizing </w:t>
      </w:r>
      <w:r w:rsidR="0011094E" w:rsidRPr="00D1234C">
        <w:rPr>
          <w:lang w:val="en-US"/>
        </w:rPr>
        <w:t>three</w:t>
      </w:r>
      <w:r w:rsidR="00733FA1" w:rsidRPr="00D1234C">
        <w:rPr>
          <w:lang w:val="en-US"/>
        </w:rPr>
        <w:t xml:space="preserve"> training of trainers’ </w:t>
      </w:r>
      <w:r w:rsidR="003A22D1" w:rsidRPr="00D1234C">
        <w:rPr>
          <w:lang w:val="en-US"/>
        </w:rPr>
        <w:t>workshops</w:t>
      </w:r>
      <w:r w:rsidR="00A50C2C" w:rsidRPr="00D1234C">
        <w:rPr>
          <w:lang w:val="en-US"/>
        </w:rPr>
        <w:t xml:space="preserve"> in cooperation with the Category 2 </w:t>
      </w:r>
      <w:proofErr w:type="spellStart"/>
      <w:r w:rsidR="00A50C2C" w:rsidRPr="00D1234C">
        <w:rPr>
          <w:lang w:val="en-US"/>
        </w:rPr>
        <w:t>Centres</w:t>
      </w:r>
      <w:proofErr w:type="spellEnd"/>
      <w:r w:rsidR="00A50C2C" w:rsidRPr="00D1234C">
        <w:rPr>
          <w:lang w:val="en-US"/>
        </w:rPr>
        <w:t xml:space="preserve"> in the field of intangible cultural heritage</w:t>
      </w:r>
      <w:r w:rsidR="00970622">
        <w:rPr>
          <w:lang w:val="en-US"/>
        </w:rPr>
        <w:t xml:space="preserve">, </w:t>
      </w:r>
      <w:r w:rsidR="00970622" w:rsidRPr="00CF516C">
        <w:rPr>
          <w:lang w:val="en-US"/>
        </w:rPr>
        <w:t xml:space="preserve">in </w:t>
      </w:r>
      <w:r w:rsidR="00540087" w:rsidRPr="00D1234C">
        <w:rPr>
          <w:lang w:val="en-US"/>
        </w:rPr>
        <w:t>Almaty</w:t>
      </w:r>
      <w:r w:rsidR="00404C88" w:rsidRPr="00D1234C">
        <w:rPr>
          <w:lang w:val="en-US"/>
        </w:rPr>
        <w:t xml:space="preserve"> (Central Asia)</w:t>
      </w:r>
      <w:r w:rsidR="00540087" w:rsidRPr="00D1234C">
        <w:rPr>
          <w:lang w:val="en-US"/>
        </w:rPr>
        <w:t xml:space="preserve">, Hangzhou </w:t>
      </w:r>
      <w:r w:rsidR="00404C88" w:rsidRPr="00D1234C">
        <w:rPr>
          <w:lang w:val="en-US"/>
        </w:rPr>
        <w:t xml:space="preserve">(Asia and the Pacific) </w:t>
      </w:r>
      <w:r w:rsidR="00540087" w:rsidRPr="00D1234C">
        <w:rPr>
          <w:lang w:val="en-US"/>
        </w:rPr>
        <w:t>and Sofia</w:t>
      </w:r>
      <w:r w:rsidR="00404C88" w:rsidRPr="00D1234C">
        <w:rPr>
          <w:lang w:val="en-US"/>
        </w:rPr>
        <w:t xml:space="preserve"> (Europe)</w:t>
      </w:r>
      <w:r w:rsidR="00A06934" w:rsidRPr="00D1234C">
        <w:rPr>
          <w:lang w:val="en-US"/>
        </w:rPr>
        <w:t>.</w:t>
      </w:r>
      <w:r w:rsidR="003A22D1" w:rsidRPr="00D1234C">
        <w:rPr>
          <w:lang w:val="en-US"/>
        </w:rPr>
        <w:t xml:space="preserve"> The nature of the network has evolved as facilitators have become more experienced </w:t>
      </w:r>
      <w:r w:rsidR="003A22D1" w:rsidRPr="00D1234C">
        <w:rPr>
          <w:lang w:val="en-US"/>
        </w:rPr>
        <w:lastRenderedPageBreak/>
        <w:t xml:space="preserve">in taking on specific thematic areas relevant to the </w:t>
      </w:r>
      <w:r w:rsidR="00E07E5A" w:rsidRPr="00D1234C">
        <w:rPr>
          <w:lang w:val="en-US"/>
        </w:rPr>
        <w:t xml:space="preserve">work of the </w:t>
      </w:r>
      <w:r w:rsidR="003A22D1" w:rsidRPr="00D1234C">
        <w:rPr>
          <w:lang w:val="en-US"/>
        </w:rPr>
        <w:t xml:space="preserve">Convention. An interregional working group </w:t>
      </w:r>
      <w:proofErr w:type="gramStart"/>
      <w:r w:rsidR="003A22D1" w:rsidRPr="00D1234C">
        <w:rPr>
          <w:lang w:val="en-US"/>
        </w:rPr>
        <w:t>was established</w:t>
      </w:r>
      <w:proofErr w:type="gramEnd"/>
      <w:r w:rsidR="003A22D1" w:rsidRPr="00D1234C">
        <w:rPr>
          <w:lang w:val="en-US"/>
        </w:rPr>
        <w:t xml:space="preserve"> to support this strategic shift and reflect on issues relating to network development. Furthermore, a side event </w:t>
      </w:r>
      <w:proofErr w:type="gramStart"/>
      <w:r w:rsidR="003A22D1" w:rsidRPr="00D1234C">
        <w:rPr>
          <w:lang w:val="en-US"/>
        </w:rPr>
        <w:t>was held</w:t>
      </w:r>
      <w:proofErr w:type="gramEnd"/>
      <w:r w:rsidR="003A22D1" w:rsidRPr="00D1234C">
        <w:rPr>
          <w:lang w:val="en-US"/>
        </w:rPr>
        <w:t xml:space="preserve"> at the thirteenth session of the Committee to give greater visibility to the global network as an important resource to support countries in safeguarding their intangible cultural heritage. The online presentation of the </w:t>
      </w:r>
      <w:r w:rsidR="00E21D54" w:rsidRPr="00D1234C">
        <w:rPr>
          <w:lang w:val="en-US"/>
        </w:rPr>
        <w:t>facilitators’</w:t>
      </w:r>
      <w:r w:rsidR="003A22D1" w:rsidRPr="00D1234C">
        <w:rPr>
          <w:lang w:val="en-US"/>
        </w:rPr>
        <w:t xml:space="preserve"> network </w:t>
      </w:r>
      <w:proofErr w:type="gramStart"/>
      <w:r w:rsidR="003A22D1" w:rsidRPr="00D1234C">
        <w:rPr>
          <w:lang w:val="en-US"/>
        </w:rPr>
        <w:t>was also improved</w:t>
      </w:r>
      <w:proofErr w:type="gramEnd"/>
      <w:r w:rsidR="00E21D54" w:rsidRPr="00D1234C">
        <w:rPr>
          <w:lang w:val="en-US"/>
        </w:rPr>
        <w:t xml:space="preserve"> to facilitate the identification of their profiles </w:t>
      </w:r>
      <w:r w:rsidR="003A22D1" w:rsidRPr="00D1234C">
        <w:rPr>
          <w:lang w:val="en-US"/>
        </w:rPr>
        <w:t xml:space="preserve">on the </w:t>
      </w:r>
      <w:hyperlink r:id="rId16" w:history="1">
        <w:r w:rsidR="00E07E5A" w:rsidRPr="00D1234C">
          <w:rPr>
            <w:rStyle w:val="Lienhypertexte"/>
            <w:rFonts w:cs="Arial"/>
            <w:lang w:val="en-US"/>
          </w:rPr>
          <w:t>webpage</w:t>
        </w:r>
      </w:hyperlink>
      <w:r w:rsidR="00E07E5A" w:rsidRPr="00D1234C">
        <w:rPr>
          <w:rStyle w:val="Lienhypertexte"/>
          <w:rFonts w:cs="Arial"/>
          <w:color w:val="auto"/>
          <w:u w:val="none"/>
          <w:lang w:val="en-US"/>
        </w:rPr>
        <w:t xml:space="preserve"> of the </w:t>
      </w:r>
      <w:r w:rsidR="003A22D1" w:rsidRPr="00D1234C">
        <w:rPr>
          <w:lang w:val="en-US"/>
        </w:rPr>
        <w:t>Convention</w:t>
      </w:r>
      <w:r w:rsidR="006D702A" w:rsidRPr="00D1234C">
        <w:rPr>
          <w:lang w:val="en-US"/>
        </w:rPr>
        <w:t xml:space="preserve">. In terms of networking with other actors, contacts </w:t>
      </w:r>
      <w:proofErr w:type="gramStart"/>
      <w:r w:rsidR="006D702A" w:rsidRPr="00D1234C">
        <w:rPr>
          <w:lang w:val="en-US"/>
        </w:rPr>
        <w:t xml:space="preserve">were </w:t>
      </w:r>
      <w:r w:rsidR="00D779F7" w:rsidRPr="00D1234C">
        <w:rPr>
          <w:lang w:val="en-US"/>
        </w:rPr>
        <w:t>established</w:t>
      </w:r>
      <w:proofErr w:type="gramEnd"/>
      <w:r w:rsidR="006D702A" w:rsidRPr="00D1234C">
        <w:rPr>
          <w:lang w:val="en-US"/>
        </w:rPr>
        <w:t xml:space="preserve"> with</w:t>
      </w:r>
      <w:r w:rsidR="003A22D1" w:rsidRPr="00D1234C">
        <w:rPr>
          <w:lang w:val="en-US"/>
        </w:rPr>
        <w:t xml:space="preserve"> </w:t>
      </w:r>
      <w:r w:rsidR="00E07E5A" w:rsidRPr="00D1234C">
        <w:rPr>
          <w:lang w:val="en-US"/>
        </w:rPr>
        <w:t xml:space="preserve">sixty-six </w:t>
      </w:r>
      <w:r w:rsidR="003A22D1" w:rsidRPr="00D1234C">
        <w:rPr>
          <w:lang w:val="en-US"/>
        </w:rPr>
        <w:t>universities identified through surveys</w:t>
      </w:r>
      <w:r w:rsidR="00614784" w:rsidRPr="00D1234C">
        <w:rPr>
          <w:rStyle w:val="Appelnotedebasdep"/>
          <w:lang w:val="en-US"/>
        </w:rPr>
        <w:footnoteReference w:id="13"/>
      </w:r>
      <w:r w:rsidR="003A22D1" w:rsidRPr="00D1234C">
        <w:rPr>
          <w:lang w:val="en-US"/>
        </w:rPr>
        <w:t xml:space="preserve"> as having </w:t>
      </w:r>
      <w:proofErr w:type="spellStart"/>
      <w:r w:rsidR="003A22D1" w:rsidRPr="00D1234C">
        <w:rPr>
          <w:lang w:val="en-US"/>
        </w:rPr>
        <w:t>programmes</w:t>
      </w:r>
      <w:proofErr w:type="spellEnd"/>
      <w:r w:rsidR="003A22D1" w:rsidRPr="00D1234C">
        <w:rPr>
          <w:lang w:val="en-US"/>
        </w:rPr>
        <w:t xml:space="preserve"> or courses related to intangible cultural heritage.</w:t>
      </w:r>
    </w:p>
    <w:p w14:paraId="276897D3" w14:textId="4749C49F" w:rsidR="007A23D7" w:rsidRPr="00D1234C" w:rsidRDefault="007A23D7" w:rsidP="00200619">
      <w:pPr>
        <w:pStyle w:val="COMPara"/>
        <w:numPr>
          <w:ilvl w:val="0"/>
          <w:numId w:val="38"/>
        </w:numPr>
        <w:ind w:left="567" w:hanging="567"/>
        <w:jc w:val="both"/>
        <w:rPr>
          <w:lang w:val="en-US"/>
        </w:rPr>
      </w:pPr>
      <w:r w:rsidRPr="00D1234C">
        <w:rPr>
          <w:lang w:val="en-US"/>
        </w:rPr>
        <w:t xml:space="preserve">The development of innovative training approaches, tools and materials has advanced in several thematic areas. An </w:t>
      </w:r>
      <w:hyperlink r:id="rId17" w:history="1">
        <w:r w:rsidRPr="00D1234C">
          <w:rPr>
            <w:rStyle w:val="Lienhypertexte"/>
            <w:rFonts w:cs="Arial"/>
            <w:lang w:val="en-US"/>
          </w:rPr>
          <w:t>online toolbox</w:t>
        </w:r>
      </w:hyperlink>
      <w:r w:rsidRPr="00D1234C">
        <w:rPr>
          <w:lang w:val="en-US"/>
        </w:rPr>
        <w:t xml:space="preserve"> collating more than </w:t>
      </w:r>
      <w:r w:rsidR="00793BB1" w:rsidRPr="00D1234C">
        <w:rPr>
          <w:lang w:val="en-US"/>
        </w:rPr>
        <w:t xml:space="preserve">thirty </w:t>
      </w:r>
      <w:r w:rsidRPr="00D1234C">
        <w:rPr>
          <w:lang w:val="en-US"/>
        </w:rPr>
        <w:t xml:space="preserve">examples on the links between intangible cultural heritage and sustainable development </w:t>
      </w:r>
      <w:proofErr w:type="gramStart"/>
      <w:r w:rsidRPr="00D1234C">
        <w:rPr>
          <w:lang w:val="en-US"/>
        </w:rPr>
        <w:t xml:space="preserve">was </w:t>
      </w:r>
      <w:r w:rsidR="00337883" w:rsidRPr="00D1234C">
        <w:rPr>
          <w:lang w:val="en-US"/>
        </w:rPr>
        <w:t>launched</w:t>
      </w:r>
      <w:proofErr w:type="gramEnd"/>
      <w:r w:rsidRPr="00D1234C">
        <w:rPr>
          <w:lang w:val="en-US"/>
        </w:rPr>
        <w:t xml:space="preserve">. The toolbox brings together diverse experiences from around the </w:t>
      </w:r>
      <w:r w:rsidR="005B3EF9" w:rsidRPr="00D1234C">
        <w:rPr>
          <w:lang w:val="en-US"/>
        </w:rPr>
        <w:t>world</w:t>
      </w:r>
      <w:r w:rsidRPr="00D1234C">
        <w:rPr>
          <w:lang w:val="en-US"/>
        </w:rPr>
        <w:t xml:space="preserve"> to demonstrate the myriad ways </w:t>
      </w:r>
      <w:r w:rsidR="00793BB1" w:rsidRPr="00D1234C">
        <w:rPr>
          <w:lang w:val="en-US"/>
        </w:rPr>
        <w:t xml:space="preserve">in which </w:t>
      </w:r>
      <w:r w:rsidRPr="00D1234C">
        <w:rPr>
          <w:lang w:val="en-US"/>
        </w:rPr>
        <w:t xml:space="preserve">intangible culture heritage can contribute to sustainable development and </w:t>
      </w:r>
      <w:proofErr w:type="gramStart"/>
      <w:r w:rsidRPr="00D1234C">
        <w:rPr>
          <w:lang w:val="en-US"/>
        </w:rPr>
        <w:t>may be used</w:t>
      </w:r>
      <w:proofErr w:type="gramEnd"/>
      <w:r w:rsidRPr="00D1234C">
        <w:rPr>
          <w:lang w:val="en-US"/>
        </w:rPr>
        <w:t xml:space="preserve"> to facilitate learning on this important topic in train</w:t>
      </w:r>
      <w:r w:rsidR="00337883" w:rsidRPr="00D1234C">
        <w:rPr>
          <w:lang w:val="en-US"/>
        </w:rPr>
        <w:t>ing workshops. Furthermore,</w:t>
      </w:r>
      <w:r w:rsidRPr="00D1234C">
        <w:rPr>
          <w:lang w:val="en-US"/>
        </w:rPr>
        <w:t xml:space="preserve"> new training materials </w:t>
      </w:r>
      <w:proofErr w:type="gramStart"/>
      <w:r w:rsidR="006879FC" w:rsidRPr="00D1234C">
        <w:rPr>
          <w:lang w:val="en-US"/>
        </w:rPr>
        <w:t>are being finali</w:t>
      </w:r>
      <w:r w:rsidR="00793BB1" w:rsidRPr="00D1234C">
        <w:rPr>
          <w:lang w:val="en-US"/>
        </w:rPr>
        <w:t>z</w:t>
      </w:r>
      <w:r w:rsidR="006879FC" w:rsidRPr="00D1234C">
        <w:rPr>
          <w:lang w:val="en-US"/>
        </w:rPr>
        <w:t>ed</w:t>
      </w:r>
      <w:proofErr w:type="gramEnd"/>
      <w:r w:rsidR="006879FC" w:rsidRPr="00D1234C">
        <w:rPr>
          <w:lang w:val="en-US"/>
        </w:rPr>
        <w:t xml:space="preserve"> </w:t>
      </w:r>
      <w:r w:rsidRPr="00D1234C">
        <w:rPr>
          <w:lang w:val="en-US"/>
        </w:rPr>
        <w:t xml:space="preserve">on disaster risk reduction and policy information briefs in the areas of education and gender. Lastly, new linguistic versions of various materials </w:t>
      </w:r>
      <w:proofErr w:type="gramStart"/>
      <w:r w:rsidRPr="00D1234C">
        <w:rPr>
          <w:lang w:val="en-US"/>
        </w:rPr>
        <w:t>were made</w:t>
      </w:r>
      <w:proofErr w:type="gramEnd"/>
      <w:r w:rsidRPr="00D1234C">
        <w:rPr>
          <w:lang w:val="en-US"/>
        </w:rPr>
        <w:t xml:space="preserve"> available online, notably on the topic of ethics and a video animation on gender.</w:t>
      </w:r>
    </w:p>
    <w:p w14:paraId="014B5F9C" w14:textId="270605B3" w:rsidR="00A44294" w:rsidRPr="004A46D6" w:rsidRDefault="00A44294" w:rsidP="00200619">
      <w:pPr>
        <w:pStyle w:val="COMPara"/>
        <w:numPr>
          <w:ilvl w:val="0"/>
          <w:numId w:val="38"/>
        </w:numPr>
        <w:ind w:left="567" w:hanging="567"/>
        <w:jc w:val="both"/>
        <w:rPr>
          <w:lang w:val="en-US"/>
        </w:rPr>
      </w:pPr>
      <w:r w:rsidRPr="004A46D6">
        <w:rPr>
          <w:b/>
          <w:lang w:val="en-US"/>
        </w:rPr>
        <w:t>Intangible cultural heritage and education:</w:t>
      </w:r>
      <w:r w:rsidRPr="004A46D6">
        <w:rPr>
          <w:lang w:val="en-US"/>
        </w:rPr>
        <w:t xml:space="preserve"> The Committee took a strategic decision in 2017</w:t>
      </w:r>
      <w:r w:rsidR="003A5190">
        <w:rPr>
          <w:lang w:val="en-US"/>
        </w:rPr>
        <w:t> </w:t>
      </w:r>
      <w:r w:rsidRPr="004A46D6">
        <w:rPr>
          <w:lang w:val="en-US"/>
        </w:rPr>
        <w:t xml:space="preserve">by </w:t>
      </w:r>
      <w:r w:rsidRPr="00D1234C">
        <w:rPr>
          <w:lang w:val="en-US"/>
        </w:rPr>
        <w:t>adopting</w:t>
      </w:r>
      <w:r w:rsidRPr="004A46D6">
        <w:rPr>
          <w:lang w:val="en-US"/>
        </w:rPr>
        <w:t xml:space="preserve"> ‘Safeguarding intangible cultural heritage in formal and non-formal education’ as a new</w:t>
      </w:r>
      <w:r w:rsidR="00793BB1" w:rsidRPr="004A46D6">
        <w:rPr>
          <w:lang w:val="en-US"/>
        </w:rPr>
        <w:t xml:space="preserve">, </w:t>
      </w:r>
      <w:r w:rsidRPr="004A46D6">
        <w:rPr>
          <w:lang w:val="en-US"/>
        </w:rPr>
        <w:t>second funding priority for the period 2018</w:t>
      </w:r>
      <w:r w:rsidR="00793BB1" w:rsidRPr="004A46D6">
        <w:rPr>
          <w:lang w:val="en-US"/>
        </w:rPr>
        <w:t>–</w:t>
      </w:r>
      <w:r w:rsidRPr="004A46D6">
        <w:rPr>
          <w:lang w:val="en-US"/>
        </w:rPr>
        <w:t>2021</w:t>
      </w:r>
      <w:r w:rsidR="00522DC4" w:rsidRPr="004A46D6">
        <w:rPr>
          <w:rStyle w:val="Appelnotedebasdep"/>
          <w:lang w:val="en-US"/>
        </w:rPr>
        <w:footnoteReference w:id="14"/>
      </w:r>
      <w:r w:rsidRPr="004A46D6">
        <w:rPr>
          <w:lang w:val="en-US"/>
        </w:rPr>
        <w:t xml:space="preserve">. Until then, the global capacity-building </w:t>
      </w:r>
      <w:proofErr w:type="spellStart"/>
      <w:r w:rsidRPr="00D1234C">
        <w:rPr>
          <w:lang w:val="en-US"/>
        </w:rPr>
        <w:t>programme</w:t>
      </w:r>
      <w:proofErr w:type="spellEnd"/>
      <w:r w:rsidRPr="004A46D6">
        <w:rPr>
          <w:lang w:val="en-US"/>
        </w:rPr>
        <w:t xml:space="preserve"> </w:t>
      </w:r>
      <w:r w:rsidR="00793BB1" w:rsidRPr="004A46D6">
        <w:rPr>
          <w:lang w:val="en-US"/>
        </w:rPr>
        <w:t xml:space="preserve">had been </w:t>
      </w:r>
      <w:r w:rsidRPr="004A46D6">
        <w:rPr>
          <w:lang w:val="en-US"/>
        </w:rPr>
        <w:t xml:space="preserve">the exclusive funding priority. The Committee saw </w:t>
      </w:r>
      <w:r w:rsidR="00793BB1" w:rsidRPr="004A46D6">
        <w:rPr>
          <w:lang w:val="en-US"/>
        </w:rPr>
        <w:t>a chance</w:t>
      </w:r>
      <w:r w:rsidRPr="004A46D6">
        <w:rPr>
          <w:lang w:val="en-US"/>
        </w:rPr>
        <w:t xml:space="preserve"> to harness this new opportunity to promote </w:t>
      </w:r>
      <w:r w:rsidR="00623AB9" w:rsidRPr="004A46D6">
        <w:rPr>
          <w:lang w:val="en-US"/>
        </w:rPr>
        <w:t xml:space="preserve">a broader approach to </w:t>
      </w:r>
      <w:r w:rsidRPr="004A46D6">
        <w:rPr>
          <w:lang w:val="en-US"/>
        </w:rPr>
        <w:t xml:space="preserve">safeguarding intangible cultural heritage in education, which is underlined as </w:t>
      </w:r>
      <w:r w:rsidR="00A31974">
        <w:rPr>
          <w:lang w:val="en-US"/>
        </w:rPr>
        <w:t xml:space="preserve">a key </w:t>
      </w:r>
      <w:r w:rsidRPr="004A46D6">
        <w:rPr>
          <w:lang w:val="en-US"/>
        </w:rPr>
        <w:t>safeguarding measure in the Convention (Articles 2 and 14). This was timely</w:t>
      </w:r>
      <w:r w:rsidR="00490EE8" w:rsidRPr="004A46D6">
        <w:rPr>
          <w:lang w:val="en-US"/>
        </w:rPr>
        <w:t>,</w:t>
      </w:r>
      <w:r w:rsidRPr="004A46D6">
        <w:rPr>
          <w:lang w:val="en-US"/>
        </w:rPr>
        <w:t xml:space="preserve"> as the international communit</w:t>
      </w:r>
      <w:r w:rsidR="00623AB9" w:rsidRPr="004A46D6">
        <w:rPr>
          <w:lang w:val="en-US"/>
        </w:rPr>
        <w:t>y</w:t>
      </w:r>
      <w:r w:rsidRPr="004A46D6">
        <w:rPr>
          <w:lang w:val="en-US"/>
        </w:rPr>
        <w:t xml:space="preserve"> had adopted </w:t>
      </w:r>
      <w:r w:rsidR="00793BB1" w:rsidRPr="004A46D6">
        <w:rPr>
          <w:lang w:val="en-US"/>
        </w:rPr>
        <w:t>seventeen</w:t>
      </w:r>
      <w:r w:rsidRPr="004A46D6">
        <w:rPr>
          <w:lang w:val="en-US"/>
        </w:rPr>
        <w:t xml:space="preserve"> Sustainable Development Goals</w:t>
      </w:r>
      <w:r w:rsidR="00623AB9" w:rsidRPr="004A46D6">
        <w:rPr>
          <w:lang w:val="en-US"/>
        </w:rPr>
        <w:t xml:space="preserve"> of the 2030 </w:t>
      </w:r>
      <w:r w:rsidR="00490EE8" w:rsidRPr="004A46D6">
        <w:rPr>
          <w:lang w:val="en-US"/>
        </w:rPr>
        <w:t>Agenda, which</w:t>
      </w:r>
      <w:r w:rsidRPr="004A46D6">
        <w:rPr>
          <w:lang w:val="en-US"/>
        </w:rPr>
        <w:t xml:space="preserve"> emphasize the role of culture in teaching and learning for sustainable development, global citizenship education and preventing violent extremism under SDG 4 on education. </w:t>
      </w:r>
      <w:r w:rsidR="001320ED" w:rsidRPr="0051521C">
        <w:rPr>
          <w:lang w:val="en-US"/>
        </w:rPr>
        <w:t>Despite the lack of voluntary supplementary contributions to the fund to support this funding priority</w:t>
      </w:r>
      <w:r w:rsidR="00BE5844">
        <w:rPr>
          <w:lang w:val="en-US"/>
        </w:rPr>
        <w:t xml:space="preserve"> so far</w:t>
      </w:r>
      <w:r w:rsidR="001320ED" w:rsidRPr="0051521C">
        <w:rPr>
          <w:lang w:val="en-US"/>
        </w:rPr>
        <w:t>,</w:t>
      </w:r>
      <w:r w:rsidR="001320ED">
        <w:rPr>
          <w:lang w:val="en-US"/>
        </w:rPr>
        <w:t xml:space="preserve"> t</w:t>
      </w:r>
      <w:r w:rsidR="007A0B90" w:rsidRPr="004A46D6">
        <w:rPr>
          <w:lang w:val="en-US"/>
        </w:rPr>
        <w:t xml:space="preserve">he Secretariat </w:t>
      </w:r>
      <w:r w:rsidR="00FD7F78" w:rsidRPr="004A46D6">
        <w:rPr>
          <w:lang w:val="en-US"/>
        </w:rPr>
        <w:t>has nevertheless been able</w:t>
      </w:r>
      <w:r w:rsidR="007A0B90" w:rsidRPr="004A46D6">
        <w:rPr>
          <w:lang w:val="en-US"/>
        </w:rPr>
        <w:t xml:space="preserve"> to make </w:t>
      </w:r>
      <w:r w:rsidR="00FD7F78" w:rsidRPr="004A46D6">
        <w:rPr>
          <w:lang w:val="en-US"/>
        </w:rPr>
        <w:t xml:space="preserve">some </w:t>
      </w:r>
      <w:r w:rsidR="007A0B90" w:rsidRPr="004A46D6">
        <w:rPr>
          <w:lang w:val="en-US"/>
        </w:rPr>
        <w:t>progress in this area</w:t>
      </w:r>
      <w:r w:rsidR="00FD7F78" w:rsidRPr="004A46D6">
        <w:rPr>
          <w:lang w:val="en-US"/>
        </w:rPr>
        <w:t>, notably through some provisions in the ‘</w:t>
      </w:r>
      <w:r w:rsidR="001520AC" w:rsidRPr="004A46D6">
        <w:rPr>
          <w:lang w:val="en-US"/>
        </w:rPr>
        <w:t>O</w:t>
      </w:r>
      <w:r w:rsidR="00FD7F78" w:rsidRPr="004A46D6">
        <w:rPr>
          <w:lang w:val="en-US"/>
        </w:rPr>
        <w:t xml:space="preserve">ther </w:t>
      </w:r>
      <w:r w:rsidR="001520AC" w:rsidRPr="004A46D6">
        <w:rPr>
          <w:lang w:val="en-US"/>
        </w:rPr>
        <w:t>F</w:t>
      </w:r>
      <w:r w:rsidR="008411C8" w:rsidRPr="004A46D6">
        <w:rPr>
          <w:lang w:val="en-US"/>
        </w:rPr>
        <w:t>unctions</w:t>
      </w:r>
      <w:r w:rsidR="00FD7F78" w:rsidRPr="004A46D6">
        <w:rPr>
          <w:lang w:val="en-US"/>
        </w:rPr>
        <w:t xml:space="preserve"> of the </w:t>
      </w:r>
      <w:r w:rsidR="001520AC" w:rsidRPr="004A46D6">
        <w:rPr>
          <w:lang w:val="en-US"/>
        </w:rPr>
        <w:t>C</w:t>
      </w:r>
      <w:r w:rsidR="00FD7F78" w:rsidRPr="004A46D6">
        <w:rPr>
          <w:lang w:val="en-US"/>
        </w:rPr>
        <w:t xml:space="preserve">ommittee’ as well as through the decentralized Regular </w:t>
      </w:r>
      <w:proofErr w:type="spellStart"/>
      <w:r w:rsidR="00FD7F78" w:rsidRPr="004A46D6">
        <w:rPr>
          <w:lang w:val="en-US"/>
        </w:rPr>
        <w:t>Programme</w:t>
      </w:r>
      <w:proofErr w:type="spellEnd"/>
      <w:r w:rsidR="00FD7F78" w:rsidRPr="004A46D6">
        <w:rPr>
          <w:lang w:val="en-US"/>
        </w:rPr>
        <w:t xml:space="preserve"> Funds under MLA 2,</w:t>
      </w:r>
      <w:r w:rsidR="00047F73" w:rsidRPr="004A46D6">
        <w:rPr>
          <w:lang w:val="en-US"/>
        </w:rPr>
        <w:t xml:space="preserve"> ER</w:t>
      </w:r>
      <w:r w:rsidR="00FD7F78" w:rsidRPr="004A46D6">
        <w:rPr>
          <w:lang w:val="en-US"/>
        </w:rPr>
        <w:t xml:space="preserve"> 6</w:t>
      </w:r>
      <w:r w:rsidR="00CF1600" w:rsidRPr="004A46D6">
        <w:rPr>
          <w:lang w:val="en-US"/>
        </w:rPr>
        <w:t xml:space="preserve"> </w:t>
      </w:r>
      <w:r w:rsidR="00FD7F78" w:rsidRPr="004A46D6">
        <w:rPr>
          <w:lang w:val="en-US"/>
        </w:rPr>
        <w:t xml:space="preserve">of the 39 </w:t>
      </w:r>
      <w:r w:rsidR="00047F73" w:rsidRPr="004A46D6">
        <w:rPr>
          <w:lang w:val="en-US"/>
        </w:rPr>
        <w:t>C</w:t>
      </w:r>
      <w:r w:rsidR="00FD7F78" w:rsidRPr="004A46D6">
        <w:rPr>
          <w:lang w:val="en-US"/>
        </w:rPr>
        <w:t>/5.</w:t>
      </w:r>
    </w:p>
    <w:p w14:paraId="44F908CD" w14:textId="38627DD1" w:rsidR="007F63A5" w:rsidRPr="004A46D6" w:rsidRDefault="00A37408" w:rsidP="00200619">
      <w:pPr>
        <w:pStyle w:val="COMPara"/>
        <w:numPr>
          <w:ilvl w:val="0"/>
          <w:numId w:val="38"/>
        </w:numPr>
        <w:ind w:left="567" w:hanging="567"/>
        <w:jc w:val="both"/>
        <w:rPr>
          <w:lang w:val="en-US"/>
        </w:rPr>
      </w:pPr>
      <w:r w:rsidRPr="004A46D6">
        <w:rPr>
          <w:lang w:val="en-US"/>
        </w:rPr>
        <w:t>This</w:t>
      </w:r>
      <w:r w:rsidR="00A44294" w:rsidRPr="004A46D6">
        <w:rPr>
          <w:lang w:val="en-US"/>
        </w:rPr>
        <w:t xml:space="preserve"> funding priority benefits from strong collaborati</w:t>
      </w:r>
      <w:r w:rsidR="00A06934" w:rsidRPr="004A46D6">
        <w:rPr>
          <w:lang w:val="en-US"/>
        </w:rPr>
        <w:t xml:space="preserve">on with the Education Sector at </w:t>
      </w:r>
      <w:r w:rsidR="002B584A" w:rsidRPr="004A46D6">
        <w:rPr>
          <w:lang w:val="en-US"/>
        </w:rPr>
        <w:t xml:space="preserve">UNESCO </w:t>
      </w:r>
      <w:r w:rsidR="00A44294" w:rsidRPr="00D1234C">
        <w:rPr>
          <w:lang w:val="en-US"/>
        </w:rPr>
        <w:t>Headquarters</w:t>
      </w:r>
      <w:r w:rsidR="00A44294" w:rsidRPr="004A46D6">
        <w:rPr>
          <w:lang w:val="en-US"/>
        </w:rPr>
        <w:t xml:space="preserve"> and in the Field Offices. </w:t>
      </w:r>
      <w:r w:rsidR="000D1A04" w:rsidRPr="004A46D6">
        <w:rPr>
          <w:lang w:val="en-US"/>
        </w:rPr>
        <w:t>Under the reporting period, t</w:t>
      </w:r>
      <w:r w:rsidR="00726A80" w:rsidRPr="004A46D6">
        <w:rPr>
          <w:lang w:val="en-US"/>
        </w:rPr>
        <w:t xml:space="preserve">he Secretariat </w:t>
      </w:r>
      <w:r w:rsidR="000D1A04" w:rsidRPr="004A46D6">
        <w:rPr>
          <w:lang w:val="en-US"/>
        </w:rPr>
        <w:t>prepared</w:t>
      </w:r>
      <w:r w:rsidR="00726A80" w:rsidRPr="004A46D6">
        <w:rPr>
          <w:lang w:val="en-US"/>
        </w:rPr>
        <w:t xml:space="preserve"> </w:t>
      </w:r>
      <w:r w:rsidR="004D243B" w:rsidRPr="004A46D6">
        <w:rPr>
          <w:lang w:val="en-US"/>
        </w:rPr>
        <w:t>for</w:t>
      </w:r>
      <w:r w:rsidR="00726A80" w:rsidRPr="004A46D6">
        <w:rPr>
          <w:lang w:val="en-US"/>
        </w:rPr>
        <w:t xml:space="preserve"> </w:t>
      </w:r>
      <w:r w:rsidR="00BE5844">
        <w:rPr>
          <w:lang w:val="en-US"/>
        </w:rPr>
        <w:t>a</w:t>
      </w:r>
      <w:r w:rsidR="00BE5844" w:rsidRPr="004A46D6">
        <w:rPr>
          <w:lang w:val="en-US"/>
        </w:rPr>
        <w:t xml:space="preserve"> </w:t>
      </w:r>
      <w:r w:rsidR="00726A80" w:rsidRPr="004A46D6">
        <w:rPr>
          <w:lang w:val="en-US"/>
        </w:rPr>
        <w:t xml:space="preserve">second </w:t>
      </w:r>
      <w:proofErr w:type="spellStart"/>
      <w:r w:rsidR="00726A80" w:rsidRPr="004A46D6">
        <w:rPr>
          <w:lang w:val="en-US"/>
        </w:rPr>
        <w:t>intersectoral</w:t>
      </w:r>
      <w:proofErr w:type="spellEnd"/>
      <w:r w:rsidR="00726A80" w:rsidRPr="004A46D6">
        <w:rPr>
          <w:lang w:val="en-US"/>
        </w:rPr>
        <w:t xml:space="preserve"> meeting with the Education Sector</w:t>
      </w:r>
      <w:r w:rsidR="00B45C77" w:rsidRPr="004A46D6">
        <w:rPr>
          <w:lang w:val="en-US"/>
        </w:rPr>
        <w:t xml:space="preserve"> (</w:t>
      </w:r>
      <w:proofErr w:type="gramStart"/>
      <w:r w:rsidR="00B45C77" w:rsidRPr="004A46D6">
        <w:rPr>
          <w:lang w:val="en-US"/>
        </w:rPr>
        <w:t>7</w:t>
      </w:r>
      <w:proofErr w:type="gramEnd"/>
      <w:r w:rsidR="00B45C77" w:rsidRPr="004A46D6">
        <w:rPr>
          <w:lang w:val="en-US"/>
        </w:rPr>
        <w:t xml:space="preserve"> and 8 October 2019)</w:t>
      </w:r>
      <w:r w:rsidR="00726A80" w:rsidRPr="004A46D6">
        <w:rPr>
          <w:lang w:val="en-US"/>
        </w:rPr>
        <w:t>.</w:t>
      </w:r>
      <w:r w:rsidR="00E639C0">
        <w:rPr>
          <w:lang w:val="en-US"/>
        </w:rPr>
        <w:t xml:space="preserve"> </w:t>
      </w:r>
      <w:r w:rsidR="00E639C0" w:rsidRPr="00CF516C">
        <w:t xml:space="preserve">The meeting, which brought together over 50 Culture and Education colleagues from all UNESCO regions, </w:t>
      </w:r>
      <w:r w:rsidR="001127C2" w:rsidRPr="00CF516C">
        <w:t>reviewed progress made thus far, defined</w:t>
      </w:r>
      <w:r w:rsidR="00291D50" w:rsidRPr="00CF516C">
        <w:t xml:space="preserve"> areas for future strategic work on safeguarding intangible cultural heritage in education</w:t>
      </w:r>
      <w:r w:rsidR="001127C2" w:rsidRPr="00CF516C">
        <w:t xml:space="preserve"> for the</w:t>
      </w:r>
      <w:r w:rsidR="000F241D" w:rsidRPr="00CF516C">
        <w:t xml:space="preserve"> 40</w:t>
      </w:r>
      <w:r w:rsidR="001127C2" w:rsidRPr="00CF516C">
        <w:t xml:space="preserve"> C/5,</w:t>
      </w:r>
      <w:r w:rsidR="00291D50" w:rsidRPr="00CF516C">
        <w:t xml:space="preserve"> and </w:t>
      </w:r>
      <w:r w:rsidR="00E639C0" w:rsidRPr="00CF516C">
        <w:t>confirmed the joint commitment from the two Sectors for this work.</w:t>
      </w:r>
      <w:r w:rsidR="00A44294" w:rsidRPr="00CF516C">
        <w:rPr>
          <w:lang w:val="en-US"/>
        </w:rPr>
        <w:t xml:space="preserve"> </w:t>
      </w:r>
      <w:r w:rsidR="000D1A04" w:rsidRPr="00CF516C">
        <w:rPr>
          <w:lang w:val="en-US"/>
        </w:rPr>
        <w:t>At the regional and national level, fifteen</w:t>
      </w:r>
      <w:r w:rsidR="002B584A" w:rsidRPr="00CF516C">
        <w:rPr>
          <w:lang w:val="en-US"/>
        </w:rPr>
        <w:t xml:space="preserve"> </w:t>
      </w:r>
      <w:r w:rsidR="00A44294" w:rsidRPr="00CF516C">
        <w:rPr>
          <w:lang w:val="en-US"/>
        </w:rPr>
        <w:t>Field Offices</w:t>
      </w:r>
      <w:r w:rsidR="007F63A5" w:rsidRPr="00CF516C">
        <w:rPr>
          <w:rStyle w:val="Appelnotedebasdep"/>
          <w:lang w:val="en-US"/>
        </w:rPr>
        <w:footnoteReference w:id="15"/>
      </w:r>
      <w:r w:rsidR="00A44294" w:rsidRPr="00CF516C">
        <w:rPr>
          <w:lang w:val="en-US"/>
        </w:rPr>
        <w:t xml:space="preserve"> initiated concrete activities on intangible cultural heritage and education.</w:t>
      </w:r>
      <w:r w:rsidR="007F63A5" w:rsidRPr="00CF516C">
        <w:rPr>
          <w:lang w:val="en-US"/>
        </w:rPr>
        <w:t xml:space="preserve"> </w:t>
      </w:r>
      <w:r w:rsidR="00687FF4" w:rsidRPr="00CF516C">
        <w:rPr>
          <w:lang w:val="en-US"/>
        </w:rPr>
        <w:t>At the globa</w:t>
      </w:r>
      <w:r w:rsidR="00687FF4" w:rsidRPr="004A46D6">
        <w:rPr>
          <w:lang w:val="en-US"/>
        </w:rPr>
        <w:t xml:space="preserve">l level, the Secretariat </w:t>
      </w:r>
      <w:r w:rsidR="00B45C77" w:rsidRPr="004A46D6">
        <w:rPr>
          <w:lang w:val="en-US"/>
        </w:rPr>
        <w:t>is establishing</w:t>
      </w:r>
      <w:r w:rsidR="00687FF4" w:rsidRPr="004A46D6">
        <w:rPr>
          <w:lang w:val="en-US"/>
        </w:rPr>
        <w:t xml:space="preserve"> a clearinghouse for knowledge sharing, cooperation and innovation on intangible cultural heritage and education</w:t>
      </w:r>
      <w:r w:rsidR="006A185A" w:rsidRPr="004A46D6">
        <w:rPr>
          <w:lang w:val="en-US"/>
        </w:rPr>
        <w:t>,</w:t>
      </w:r>
      <w:r w:rsidR="00B45C77" w:rsidRPr="004A46D6">
        <w:rPr>
          <w:lang w:val="en-US"/>
        </w:rPr>
        <w:t xml:space="preserve"> which </w:t>
      </w:r>
      <w:proofErr w:type="gramStart"/>
      <w:r w:rsidR="00B45C77" w:rsidRPr="004A46D6">
        <w:rPr>
          <w:lang w:val="en-US"/>
        </w:rPr>
        <w:t>will be housed</w:t>
      </w:r>
      <w:proofErr w:type="gramEnd"/>
      <w:r w:rsidR="00B45C77" w:rsidRPr="004A46D6">
        <w:rPr>
          <w:lang w:val="en-US"/>
        </w:rPr>
        <w:t xml:space="preserve"> under the dedicated webpage of the Convention</w:t>
      </w:r>
      <w:r w:rsidR="00687FF4" w:rsidRPr="004A46D6">
        <w:rPr>
          <w:lang w:val="en-US"/>
        </w:rPr>
        <w:t xml:space="preserve">. </w:t>
      </w:r>
      <w:r w:rsidR="00B45C77" w:rsidRPr="004A46D6">
        <w:rPr>
          <w:lang w:val="en-US"/>
        </w:rPr>
        <w:t>In the meantime</w:t>
      </w:r>
      <w:r w:rsidR="00687FF4" w:rsidRPr="004A46D6">
        <w:rPr>
          <w:lang w:val="en-US"/>
        </w:rPr>
        <w:t>, the Secretariat has organized two side events at statutory meetings</w:t>
      </w:r>
      <w:r w:rsidR="00687FF4" w:rsidRPr="004A46D6">
        <w:rPr>
          <w:rStyle w:val="Appelnotedebasdep"/>
          <w:lang w:val="en-US"/>
        </w:rPr>
        <w:footnoteReference w:id="16"/>
      </w:r>
      <w:r w:rsidR="00687FF4" w:rsidRPr="004A46D6">
        <w:rPr>
          <w:lang w:val="en-US"/>
        </w:rPr>
        <w:t xml:space="preserve">; held a webinar on intangible cultural heritage and education for sustainable development with the Education Sector; </w:t>
      </w:r>
      <w:r w:rsidR="005F3587" w:rsidRPr="004A46D6">
        <w:rPr>
          <w:lang w:val="en-US"/>
        </w:rPr>
        <w:t xml:space="preserve">and </w:t>
      </w:r>
      <w:r w:rsidR="00687FF4" w:rsidRPr="004A46D6">
        <w:rPr>
          <w:lang w:val="en-US"/>
        </w:rPr>
        <w:t>organized a virtual conference on intangible cultural heritage and technical and vocation education and training with UNESCO-UNEVOC</w:t>
      </w:r>
      <w:r w:rsidR="00687FF4" w:rsidRPr="00D1234C">
        <w:rPr>
          <w:rStyle w:val="Appelnotedebasdep"/>
          <w:lang w:val="en-US"/>
        </w:rPr>
        <w:footnoteReference w:id="17"/>
      </w:r>
      <w:r w:rsidR="00687FF4" w:rsidRPr="004A46D6">
        <w:rPr>
          <w:lang w:val="en-US"/>
        </w:rPr>
        <w:t>.</w:t>
      </w:r>
    </w:p>
    <w:p w14:paraId="490A75DB" w14:textId="507789E6" w:rsidR="007A23D7" w:rsidRPr="004A46D6" w:rsidRDefault="00687FF4" w:rsidP="00200619">
      <w:pPr>
        <w:pStyle w:val="COMPara"/>
        <w:numPr>
          <w:ilvl w:val="0"/>
          <w:numId w:val="38"/>
        </w:numPr>
        <w:ind w:left="567" w:hanging="567"/>
        <w:jc w:val="both"/>
        <w:rPr>
          <w:lang w:val="en-US"/>
        </w:rPr>
      </w:pPr>
      <w:r w:rsidRPr="004A46D6">
        <w:rPr>
          <w:lang w:val="en-US"/>
        </w:rPr>
        <w:lastRenderedPageBreak/>
        <w:t xml:space="preserve">A new project in the </w:t>
      </w:r>
      <w:r w:rsidR="0022625F" w:rsidRPr="004A46D6">
        <w:rPr>
          <w:lang w:val="en-US"/>
        </w:rPr>
        <w:t>Culture Sector</w:t>
      </w:r>
      <w:r w:rsidR="007A23D7" w:rsidRPr="004A46D6">
        <w:rPr>
          <w:lang w:val="en-US"/>
        </w:rPr>
        <w:t xml:space="preserve">, ‘2018 European Year of Cultural Heritage: Engaging Youth for an Inclusive and Sustainable Future’ funded by the European Union </w:t>
      </w:r>
      <w:r w:rsidRPr="004A46D6">
        <w:rPr>
          <w:lang w:val="en-US"/>
        </w:rPr>
        <w:t xml:space="preserve">was </w:t>
      </w:r>
      <w:r w:rsidR="00833D71" w:rsidRPr="004A46D6">
        <w:rPr>
          <w:lang w:val="en-US"/>
        </w:rPr>
        <w:t xml:space="preserve">initiated </w:t>
      </w:r>
      <w:r w:rsidR="007A23D7" w:rsidRPr="004A46D6">
        <w:rPr>
          <w:lang w:val="en-US"/>
        </w:rPr>
        <w:t>in early</w:t>
      </w:r>
      <w:r w:rsidR="001C582D">
        <w:rPr>
          <w:lang w:val="en-US"/>
        </w:rPr>
        <w:t> </w:t>
      </w:r>
      <w:r w:rsidR="007A23D7" w:rsidRPr="004A46D6">
        <w:rPr>
          <w:lang w:val="en-US"/>
        </w:rPr>
        <w:t xml:space="preserve">2019. </w:t>
      </w:r>
      <w:r w:rsidR="0022625F" w:rsidRPr="004A46D6">
        <w:rPr>
          <w:lang w:val="en-US"/>
        </w:rPr>
        <w:t>For the part concerning the 2003 Convention, t</w:t>
      </w:r>
      <w:r w:rsidR="007A23D7" w:rsidRPr="004A46D6">
        <w:rPr>
          <w:lang w:val="en-US"/>
        </w:rPr>
        <w:t xml:space="preserve">he project has organized a webinar for </w:t>
      </w:r>
      <w:proofErr w:type="spellStart"/>
      <w:r w:rsidR="007A23D7" w:rsidRPr="004A46D6">
        <w:rPr>
          <w:lang w:val="en-US"/>
        </w:rPr>
        <w:t>ASPnet</w:t>
      </w:r>
      <w:proofErr w:type="spellEnd"/>
      <w:r w:rsidR="007A23D7" w:rsidRPr="004A46D6">
        <w:rPr>
          <w:lang w:val="en-US"/>
        </w:rPr>
        <w:t xml:space="preserve"> National Coordinators, held a European Young Heritage </w:t>
      </w:r>
      <w:r w:rsidR="007A23D7" w:rsidRPr="00D1234C">
        <w:rPr>
          <w:lang w:val="en-US"/>
        </w:rPr>
        <w:t>Professionals</w:t>
      </w:r>
      <w:r w:rsidR="007A23D7" w:rsidRPr="004A46D6">
        <w:rPr>
          <w:lang w:val="en-US"/>
        </w:rPr>
        <w:t xml:space="preserve"> Forum in Zadar, Croatia (20</w:t>
      </w:r>
      <w:r w:rsidR="00833D71" w:rsidRPr="004A46D6">
        <w:rPr>
          <w:lang w:val="en-US"/>
        </w:rPr>
        <w:t>–</w:t>
      </w:r>
      <w:r w:rsidR="007A23D7" w:rsidRPr="004A46D6">
        <w:rPr>
          <w:lang w:val="en-US"/>
        </w:rPr>
        <w:t xml:space="preserve">24 May) with </w:t>
      </w:r>
      <w:r w:rsidR="00833D71" w:rsidRPr="004A46D6">
        <w:rPr>
          <w:lang w:val="en-US"/>
        </w:rPr>
        <w:t xml:space="preserve">twenty-eight </w:t>
      </w:r>
      <w:r w:rsidR="007A23D7" w:rsidRPr="004A46D6">
        <w:rPr>
          <w:lang w:val="en-US"/>
        </w:rPr>
        <w:t>young professionals from each EU Member State, and selected a team of researchers to conduct a survey on intangible cultural heritage in school-based teaching and lear</w:t>
      </w:r>
      <w:r w:rsidR="007F63A5" w:rsidRPr="004A46D6">
        <w:rPr>
          <w:lang w:val="en-US"/>
        </w:rPr>
        <w:t>ning.</w:t>
      </w:r>
    </w:p>
    <w:p w14:paraId="31584127" w14:textId="1AEDC4A5" w:rsidR="00455D98" w:rsidRPr="00D1234C" w:rsidRDefault="003B5263" w:rsidP="00964132">
      <w:pPr>
        <w:pStyle w:val="COMPara"/>
        <w:keepNext/>
        <w:spacing w:before="240" w:after="240"/>
        <w:jc w:val="both"/>
        <w:rPr>
          <w:b/>
          <w:lang w:val="en-US"/>
        </w:rPr>
      </w:pPr>
      <w:r w:rsidRPr="00D1234C">
        <w:rPr>
          <w:b/>
          <w:lang w:val="en-US"/>
        </w:rPr>
        <w:t>Other thematic initiatives</w:t>
      </w:r>
    </w:p>
    <w:p w14:paraId="67525AAC" w14:textId="2C3461EB" w:rsidR="003B5263" w:rsidRPr="004A46D6" w:rsidRDefault="00455D98" w:rsidP="00200619">
      <w:pPr>
        <w:pStyle w:val="COMPara"/>
        <w:numPr>
          <w:ilvl w:val="0"/>
          <w:numId w:val="38"/>
        </w:numPr>
        <w:ind w:left="567" w:hanging="567"/>
        <w:jc w:val="both"/>
        <w:rPr>
          <w:color w:val="000000" w:themeColor="text1"/>
          <w:lang w:val="en-US" w:eastAsia="fr-FR"/>
        </w:rPr>
      </w:pPr>
      <w:r w:rsidRPr="004A46D6">
        <w:rPr>
          <w:b/>
          <w:color w:val="000000" w:themeColor="text1"/>
          <w:lang w:val="en-US" w:eastAsia="fr-FR"/>
        </w:rPr>
        <w:t>Intangible c</w:t>
      </w:r>
      <w:r w:rsidR="00742A72" w:rsidRPr="004A46D6">
        <w:rPr>
          <w:b/>
          <w:color w:val="000000" w:themeColor="text1"/>
          <w:lang w:val="en-US" w:eastAsia="fr-FR"/>
        </w:rPr>
        <w:t>ultural heritage in emergencies</w:t>
      </w:r>
      <w:r w:rsidR="00742A72" w:rsidRPr="004A46D6">
        <w:rPr>
          <w:color w:val="000000" w:themeColor="text1"/>
          <w:lang w:val="en-US" w:eastAsia="fr-FR"/>
        </w:rPr>
        <w:t xml:space="preserve">: </w:t>
      </w:r>
      <w:r w:rsidR="003B5263" w:rsidRPr="004A46D6">
        <w:rPr>
          <w:color w:val="000000" w:themeColor="text1"/>
          <w:lang w:val="en-US" w:eastAsia="fr-FR"/>
        </w:rPr>
        <w:t>Over the past three sessions (2016</w:t>
      </w:r>
      <w:r w:rsidR="00B4028B" w:rsidRPr="004A46D6">
        <w:rPr>
          <w:color w:val="000000" w:themeColor="text1"/>
          <w:lang w:val="en-US" w:eastAsia="fr-FR"/>
        </w:rPr>
        <w:t xml:space="preserve">, 2017, </w:t>
      </w:r>
      <w:r w:rsidR="003B5263" w:rsidRPr="004A46D6">
        <w:rPr>
          <w:color w:val="000000" w:themeColor="text1"/>
          <w:lang w:val="en-US" w:eastAsia="fr-FR"/>
        </w:rPr>
        <w:t xml:space="preserve">2018), the Secretariat </w:t>
      </w:r>
      <w:r w:rsidR="00833D71" w:rsidRPr="004A46D6">
        <w:rPr>
          <w:color w:val="000000" w:themeColor="text1"/>
          <w:lang w:val="en-US" w:eastAsia="fr-FR"/>
        </w:rPr>
        <w:t xml:space="preserve">has </w:t>
      </w:r>
      <w:r w:rsidR="003B5263" w:rsidRPr="004A46D6">
        <w:rPr>
          <w:color w:val="000000" w:themeColor="text1"/>
          <w:lang w:val="en-US" w:eastAsia="fr-FR"/>
        </w:rPr>
        <w:t>support</w:t>
      </w:r>
      <w:r w:rsidR="00B4028B" w:rsidRPr="004A46D6">
        <w:rPr>
          <w:color w:val="000000" w:themeColor="text1"/>
          <w:lang w:val="en-US" w:eastAsia="fr-FR"/>
        </w:rPr>
        <w:t>ed</w:t>
      </w:r>
      <w:r w:rsidR="003B5263" w:rsidRPr="004A46D6">
        <w:rPr>
          <w:color w:val="000000" w:themeColor="text1"/>
          <w:lang w:val="en-US" w:eastAsia="fr-FR"/>
        </w:rPr>
        <w:t xml:space="preserve"> the reflections undertaken by the Committee on the role of communities in safeguarding their intangible cultural heritage in emergencies</w:t>
      </w:r>
      <w:r w:rsidR="00A51FBE" w:rsidRPr="004A46D6">
        <w:rPr>
          <w:rStyle w:val="Appelnotedebasdep"/>
          <w:color w:val="000000" w:themeColor="text1"/>
          <w:lang w:val="en-US" w:eastAsia="fr-FR"/>
        </w:rPr>
        <w:footnoteReference w:id="18"/>
      </w:r>
      <w:r w:rsidR="003B5263" w:rsidRPr="004A46D6">
        <w:rPr>
          <w:color w:val="000000" w:themeColor="text1"/>
          <w:lang w:val="en-US" w:eastAsia="fr-FR"/>
        </w:rPr>
        <w:t xml:space="preserve">. This statutory cycle culminated with the elaboration of ‘Operational principles and modalities for safeguarding </w:t>
      </w:r>
      <w:r w:rsidR="003B5263" w:rsidRPr="00D1234C">
        <w:rPr>
          <w:lang w:val="en-US"/>
        </w:rPr>
        <w:t>intangible</w:t>
      </w:r>
      <w:r w:rsidR="003B5263" w:rsidRPr="004A46D6">
        <w:rPr>
          <w:color w:val="000000" w:themeColor="text1"/>
          <w:lang w:val="en-US" w:eastAsia="fr-FR"/>
        </w:rPr>
        <w:t xml:space="preserve"> cultural heritage in emergencies’ prepared </w:t>
      </w:r>
      <w:r w:rsidR="00B4028B" w:rsidRPr="004A46D6">
        <w:rPr>
          <w:color w:val="000000" w:themeColor="text1"/>
          <w:lang w:val="en-US" w:eastAsia="fr-FR"/>
        </w:rPr>
        <w:t xml:space="preserve">through </w:t>
      </w:r>
      <w:r w:rsidR="003B5263" w:rsidRPr="004A46D6">
        <w:rPr>
          <w:color w:val="000000" w:themeColor="text1"/>
          <w:lang w:val="en-US" w:eastAsia="fr-FR"/>
        </w:rPr>
        <w:t>an expert meeting that the Secretariat organized</w:t>
      </w:r>
      <w:r w:rsidR="001F7510" w:rsidRPr="004A46D6">
        <w:rPr>
          <w:color w:val="000000" w:themeColor="text1"/>
          <w:lang w:val="en-US" w:eastAsia="fr-FR"/>
        </w:rPr>
        <w:t xml:space="preserve"> on 21 and 22</w:t>
      </w:r>
      <w:r w:rsidR="003B5263" w:rsidRPr="004A46D6">
        <w:rPr>
          <w:color w:val="000000" w:themeColor="text1"/>
          <w:lang w:val="en-US" w:eastAsia="fr-FR"/>
        </w:rPr>
        <w:t xml:space="preserve"> May 2019, with the financial support of China.</w:t>
      </w:r>
      <w:r w:rsidR="00F24040" w:rsidRPr="004A46D6">
        <w:rPr>
          <w:color w:val="000000" w:themeColor="text1"/>
          <w:lang w:val="en-US" w:eastAsia="fr-FR"/>
        </w:rPr>
        <w:t xml:space="preserve"> The operational principles and modalities underscore the usefulness of community-based needs identifications and approaches, and the need to strengthen cooperation beyond traditional partners, such as with the humanitarian and security sectors.</w:t>
      </w:r>
      <w:r w:rsidR="0050627F" w:rsidRPr="004A46D6">
        <w:rPr>
          <w:color w:val="000000" w:themeColor="text1"/>
          <w:lang w:val="en-US" w:eastAsia="fr-FR"/>
        </w:rPr>
        <w:t xml:space="preserve"> </w:t>
      </w:r>
      <w:r w:rsidR="00B4028B" w:rsidRPr="004A46D6">
        <w:rPr>
          <w:color w:val="000000" w:themeColor="text1"/>
          <w:lang w:val="en-US" w:eastAsia="fr-FR"/>
        </w:rPr>
        <w:t>In addition, a</w:t>
      </w:r>
      <w:r w:rsidR="00F24040" w:rsidRPr="004A46D6">
        <w:rPr>
          <w:color w:val="000000" w:themeColor="text1"/>
          <w:lang w:val="en-US" w:eastAsia="fr-FR"/>
        </w:rPr>
        <w:t xml:space="preserve"> set of </w:t>
      </w:r>
      <w:r w:rsidR="00F1641F">
        <w:rPr>
          <w:color w:val="000000" w:themeColor="text1"/>
          <w:lang w:val="en-US" w:eastAsia="fr-FR"/>
        </w:rPr>
        <w:t xml:space="preserve">awareness raising activities </w:t>
      </w:r>
      <w:proofErr w:type="gramStart"/>
      <w:r w:rsidR="001F7510" w:rsidRPr="004A46D6">
        <w:rPr>
          <w:color w:val="000000" w:themeColor="text1"/>
          <w:lang w:val="en-US" w:eastAsia="fr-FR"/>
        </w:rPr>
        <w:t>were undertaken</w:t>
      </w:r>
      <w:proofErr w:type="gramEnd"/>
      <w:r w:rsidR="001F7510" w:rsidRPr="004A46D6">
        <w:rPr>
          <w:color w:val="000000" w:themeColor="text1"/>
          <w:lang w:val="en-US" w:eastAsia="fr-FR"/>
        </w:rPr>
        <w:t xml:space="preserve"> with the support of the Secretariat</w:t>
      </w:r>
      <w:r w:rsidR="00D159BE" w:rsidRPr="004A46D6">
        <w:rPr>
          <w:color w:val="000000" w:themeColor="text1"/>
          <w:lang w:val="en-US" w:eastAsia="fr-FR"/>
        </w:rPr>
        <w:t>.</w:t>
      </w:r>
      <w:r w:rsidR="006E30B2" w:rsidRPr="004A46D6">
        <w:rPr>
          <w:color w:val="000000" w:themeColor="text1"/>
          <w:lang w:val="en-US" w:eastAsia="fr-FR"/>
        </w:rPr>
        <w:t xml:space="preserve"> This topic </w:t>
      </w:r>
      <w:proofErr w:type="gramStart"/>
      <w:r w:rsidR="006E30B2" w:rsidRPr="004A46D6">
        <w:rPr>
          <w:color w:val="000000" w:themeColor="text1"/>
          <w:lang w:val="en-US" w:eastAsia="fr-FR"/>
        </w:rPr>
        <w:t>will be discussed</w:t>
      </w:r>
      <w:proofErr w:type="gramEnd"/>
      <w:r w:rsidR="006E30B2" w:rsidRPr="004A46D6">
        <w:rPr>
          <w:color w:val="000000" w:themeColor="text1"/>
          <w:lang w:val="en-US" w:eastAsia="fr-FR"/>
        </w:rPr>
        <w:t xml:space="preserve"> </w:t>
      </w:r>
      <w:r w:rsidR="00F1641F">
        <w:rPr>
          <w:color w:val="000000" w:themeColor="text1"/>
          <w:lang w:val="en-US" w:eastAsia="fr-FR"/>
        </w:rPr>
        <w:t>at this session</w:t>
      </w:r>
      <w:r w:rsidR="00F1641F" w:rsidRPr="004A46D6">
        <w:rPr>
          <w:color w:val="000000" w:themeColor="text1"/>
          <w:lang w:val="en-US" w:eastAsia="fr-FR"/>
        </w:rPr>
        <w:t xml:space="preserve"> </w:t>
      </w:r>
      <w:r w:rsidR="006E30B2" w:rsidRPr="004A46D6">
        <w:rPr>
          <w:color w:val="000000" w:themeColor="text1"/>
          <w:lang w:val="en-US" w:eastAsia="fr-FR"/>
        </w:rPr>
        <w:t xml:space="preserve">under </w:t>
      </w:r>
      <w:r w:rsidR="002F3DB2">
        <w:rPr>
          <w:color w:val="000000" w:themeColor="text1"/>
          <w:lang w:val="en-US" w:eastAsia="fr-FR"/>
        </w:rPr>
        <w:t>I</w:t>
      </w:r>
      <w:r w:rsidR="006E30B2" w:rsidRPr="004A46D6">
        <w:rPr>
          <w:color w:val="000000" w:themeColor="text1"/>
          <w:lang w:val="en-US" w:eastAsia="fr-FR"/>
        </w:rPr>
        <w:t xml:space="preserve">tem </w:t>
      </w:r>
      <w:r w:rsidR="00297BC8" w:rsidRPr="004A46D6">
        <w:rPr>
          <w:color w:val="000000" w:themeColor="text1"/>
          <w:lang w:val="en-US" w:eastAsia="fr-FR"/>
        </w:rPr>
        <w:t>13</w:t>
      </w:r>
      <w:r w:rsidR="006E30B2" w:rsidRPr="004A46D6">
        <w:rPr>
          <w:color w:val="000000" w:themeColor="text1"/>
          <w:lang w:val="en-US" w:eastAsia="fr-FR"/>
        </w:rPr>
        <w:t xml:space="preserve"> (see document </w:t>
      </w:r>
      <w:hyperlink r:id="rId18" w:history="1">
        <w:r w:rsidR="00297BC8" w:rsidRPr="00DF5ED8">
          <w:rPr>
            <w:rStyle w:val="Lienhypertexte"/>
            <w:rFonts w:cs="Arial"/>
            <w:lang w:val="en-US" w:eastAsia="fr-FR"/>
          </w:rPr>
          <w:t>LHE/19/14.COM/13</w:t>
        </w:r>
      </w:hyperlink>
      <w:r w:rsidR="006E30B2" w:rsidRPr="00DF5ED8">
        <w:rPr>
          <w:color w:val="000000" w:themeColor="text1"/>
          <w:lang w:val="en-US" w:eastAsia="fr-FR"/>
        </w:rPr>
        <w:t>).</w:t>
      </w:r>
    </w:p>
    <w:p w14:paraId="465D5B6F" w14:textId="4BCF5579" w:rsidR="00347D98" w:rsidRPr="004A46D6" w:rsidRDefault="00455D98" w:rsidP="00200619">
      <w:pPr>
        <w:pStyle w:val="COMPara"/>
        <w:numPr>
          <w:ilvl w:val="0"/>
          <w:numId w:val="38"/>
        </w:numPr>
        <w:ind w:left="567" w:hanging="567"/>
        <w:jc w:val="both"/>
        <w:rPr>
          <w:color w:val="000000" w:themeColor="text1"/>
          <w:lang w:val="en-US"/>
        </w:rPr>
      </w:pPr>
      <w:r w:rsidRPr="004A46D6">
        <w:rPr>
          <w:b/>
          <w:color w:val="000000" w:themeColor="text1"/>
          <w:lang w:val="en-US"/>
        </w:rPr>
        <w:t>Intangible cul</w:t>
      </w:r>
      <w:r w:rsidR="00742A72" w:rsidRPr="004A46D6">
        <w:rPr>
          <w:b/>
          <w:color w:val="000000" w:themeColor="text1"/>
          <w:lang w:val="en-US"/>
        </w:rPr>
        <w:t>tural heritage in urban context</w:t>
      </w:r>
      <w:r w:rsidR="00285A85">
        <w:rPr>
          <w:b/>
          <w:color w:val="000000" w:themeColor="text1"/>
          <w:lang w:val="en-US"/>
        </w:rPr>
        <w:t>s</w:t>
      </w:r>
      <w:r w:rsidR="00B73B3A" w:rsidRPr="004A46D6">
        <w:rPr>
          <w:color w:val="000000" w:themeColor="text1"/>
          <w:lang w:val="en-US"/>
        </w:rPr>
        <w:t xml:space="preserve">: </w:t>
      </w:r>
      <w:r w:rsidR="00F81F31" w:rsidRPr="004A46D6">
        <w:rPr>
          <w:color w:val="000000" w:themeColor="text1"/>
          <w:lang w:val="en-US"/>
        </w:rPr>
        <w:t>With m</w:t>
      </w:r>
      <w:r w:rsidR="000F65B6" w:rsidRPr="004A46D6">
        <w:rPr>
          <w:color w:val="000000" w:themeColor="text1"/>
          <w:lang w:val="en-US"/>
        </w:rPr>
        <w:t>ore than half the world’s population now liv</w:t>
      </w:r>
      <w:r w:rsidR="00F81F31" w:rsidRPr="004A46D6">
        <w:rPr>
          <w:color w:val="000000" w:themeColor="text1"/>
          <w:lang w:val="en-US"/>
        </w:rPr>
        <w:t>ing</w:t>
      </w:r>
      <w:r w:rsidR="000F65B6" w:rsidRPr="004A46D6">
        <w:rPr>
          <w:color w:val="000000" w:themeColor="text1"/>
          <w:lang w:val="en-US"/>
        </w:rPr>
        <w:t xml:space="preserve"> in urban area</w:t>
      </w:r>
      <w:r w:rsidR="00F81F31" w:rsidRPr="004A46D6">
        <w:rPr>
          <w:color w:val="000000" w:themeColor="text1"/>
          <w:lang w:val="en-US"/>
        </w:rPr>
        <w:t>s</w:t>
      </w:r>
      <w:r w:rsidR="000F65B6" w:rsidRPr="004A46D6">
        <w:rPr>
          <w:color w:val="000000" w:themeColor="text1"/>
          <w:lang w:val="en-US"/>
        </w:rPr>
        <w:t xml:space="preserve">, it is crucial to consider </w:t>
      </w:r>
      <w:r w:rsidR="00F81F31" w:rsidRPr="004A46D6">
        <w:rPr>
          <w:color w:val="000000" w:themeColor="text1"/>
          <w:lang w:val="en-US"/>
        </w:rPr>
        <w:t xml:space="preserve">the </w:t>
      </w:r>
      <w:r w:rsidR="000F65B6" w:rsidRPr="004A46D6">
        <w:rPr>
          <w:color w:val="000000" w:themeColor="text1"/>
          <w:lang w:val="en-US"/>
        </w:rPr>
        <w:t>particular conditions and requirements for safeguarding intangible cultural heritage in</w:t>
      </w:r>
      <w:r w:rsidR="00F81F31" w:rsidRPr="004A46D6">
        <w:rPr>
          <w:color w:val="000000" w:themeColor="text1"/>
          <w:lang w:val="en-US"/>
        </w:rPr>
        <w:t xml:space="preserve"> such</w:t>
      </w:r>
      <w:r w:rsidR="000F65B6" w:rsidRPr="004A46D6">
        <w:rPr>
          <w:color w:val="000000" w:themeColor="text1"/>
          <w:lang w:val="en-US"/>
        </w:rPr>
        <w:t xml:space="preserve"> context</w:t>
      </w:r>
      <w:r w:rsidR="00285A85">
        <w:rPr>
          <w:color w:val="000000" w:themeColor="text1"/>
          <w:lang w:val="en-US"/>
        </w:rPr>
        <w:t>s</w:t>
      </w:r>
      <w:r w:rsidR="000F65B6" w:rsidRPr="004A46D6">
        <w:rPr>
          <w:color w:val="000000" w:themeColor="text1"/>
          <w:lang w:val="en-US"/>
        </w:rPr>
        <w:t xml:space="preserve">. </w:t>
      </w:r>
      <w:r w:rsidR="00F81F31" w:rsidRPr="004A46D6">
        <w:rPr>
          <w:color w:val="000000" w:themeColor="text1"/>
          <w:lang w:val="en-US"/>
        </w:rPr>
        <w:t>Since</w:t>
      </w:r>
      <w:r w:rsidR="003D2EB4" w:rsidRPr="004A46D6">
        <w:rPr>
          <w:color w:val="000000" w:themeColor="text1"/>
          <w:lang w:val="en-US"/>
        </w:rPr>
        <w:t xml:space="preserve"> May 2018, the</w:t>
      </w:r>
      <w:r w:rsidR="00D5409C" w:rsidRPr="004A46D6">
        <w:rPr>
          <w:color w:val="000000" w:themeColor="text1"/>
          <w:lang w:val="en-US"/>
        </w:rPr>
        <w:t xml:space="preserve"> Secretariat </w:t>
      </w:r>
      <w:proofErr w:type="gramStart"/>
      <w:r w:rsidR="00D5409C" w:rsidRPr="004A46D6">
        <w:rPr>
          <w:color w:val="000000" w:themeColor="text1"/>
          <w:lang w:val="en-US"/>
        </w:rPr>
        <w:t>has been entrusted</w:t>
      </w:r>
      <w:proofErr w:type="gramEnd"/>
      <w:r w:rsidR="00320503" w:rsidRPr="004A46D6">
        <w:rPr>
          <w:color w:val="000000" w:themeColor="text1"/>
          <w:lang w:val="en-US"/>
        </w:rPr>
        <w:t xml:space="preserve"> </w:t>
      </w:r>
      <w:r w:rsidR="00595965" w:rsidRPr="004A46D6">
        <w:rPr>
          <w:color w:val="000000" w:themeColor="text1"/>
          <w:lang w:val="en-US"/>
        </w:rPr>
        <w:t>with</w:t>
      </w:r>
      <w:r w:rsidR="00297BC8" w:rsidRPr="004A46D6">
        <w:rPr>
          <w:color w:val="000000" w:themeColor="text1"/>
          <w:lang w:val="en-US"/>
        </w:rPr>
        <w:t xml:space="preserve"> the implementation of</w:t>
      </w:r>
      <w:r w:rsidR="00595965" w:rsidRPr="004A46D6">
        <w:rPr>
          <w:color w:val="000000" w:themeColor="text1"/>
          <w:lang w:val="en-US"/>
        </w:rPr>
        <w:t xml:space="preserve"> a </w:t>
      </w:r>
      <w:r w:rsidR="00D5409C" w:rsidRPr="004A46D6">
        <w:rPr>
          <w:color w:val="000000" w:themeColor="text1"/>
          <w:lang w:val="en-US"/>
        </w:rPr>
        <w:t>part of the</w:t>
      </w:r>
      <w:r w:rsidR="00320503" w:rsidRPr="004A46D6">
        <w:rPr>
          <w:color w:val="000000" w:themeColor="text1"/>
          <w:lang w:val="en-US"/>
        </w:rPr>
        <w:t xml:space="preserve"> multi-year extra</w:t>
      </w:r>
      <w:r w:rsidR="0000416E" w:rsidRPr="004A46D6">
        <w:rPr>
          <w:color w:val="000000" w:themeColor="text1"/>
          <w:lang w:val="en-US"/>
        </w:rPr>
        <w:t>-</w:t>
      </w:r>
      <w:r w:rsidR="00320503" w:rsidRPr="004A46D6">
        <w:rPr>
          <w:color w:val="000000" w:themeColor="text1"/>
          <w:lang w:val="en-US"/>
        </w:rPr>
        <w:t xml:space="preserve">budgetary project, ‘Intangible Heritage and Creativity for Sustainable </w:t>
      </w:r>
      <w:r w:rsidR="00320503" w:rsidRPr="00D1234C">
        <w:rPr>
          <w:lang w:val="en-US"/>
        </w:rPr>
        <w:t>Cities’</w:t>
      </w:r>
      <w:r w:rsidR="00320503" w:rsidRPr="004A46D6">
        <w:rPr>
          <w:color w:val="000000" w:themeColor="text1"/>
          <w:lang w:val="en-US"/>
        </w:rPr>
        <w:t>, funded by Yong Xin Hua Yun Cultural In</w:t>
      </w:r>
      <w:r w:rsidR="00347D98" w:rsidRPr="004A46D6">
        <w:rPr>
          <w:color w:val="000000" w:themeColor="text1"/>
          <w:lang w:val="en-US"/>
        </w:rPr>
        <w:t>dustry Investment Co. Ltd (</w:t>
      </w:r>
      <w:r w:rsidR="007E77C3" w:rsidRPr="004A46D6">
        <w:rPr>
          <w:color w:val="000000" w:themeColor="text1"/>
          <w:lang w:val="en-US"/>
        </w:rPr>
        <w:t>China</w:t>
      </w:r>
      <w:r w:rsidR="00320503" w:rsidRPr="004A46D6">
        <w:rPr>
          <w:color w:val="000000" w:themeColor="text1"/>
          <w:lang w:val="en-US"/>
        </w:rPr>
        <w:t>).</w:t>
      </w:r>
      <w:r w:rsidR="00A06934" w:rsidRPr="004A46D6">
        <w:rPr>
          <w:color w:val="000000" w:themeColor="text1"/>
          <w:lang w:val="en-US"/>
        </w:rPr>
        <w:t xml:space="preserve"> </w:t>
      </w:r>
      <w:r w:rsidR="00381170" w:rsidRPr="00D1234C">
        <w:rPr>
          <w:lang w:val="en-US"/>
        </w:rPr>
        <w:t xml:space="preserve">The project aims to promote the role of culture in sustainable urban development and more specifically, address the role that living heritage can play in building sustainable cities. Through pilot community-based inventorying exercises in </w:t>
      </w:r>
      <w:r w:rsidR="00834423" w:rsidRPr="00D1234C">
        <w:rPr>
          <w:lang w:val="en-US"/>
        </w:rPr>
        <w:t>nine</w:t>
      </w:r>
      <w:r w:rsidR="00381170" w:rsidRPr="00D1234C">
        <w:rPr>
          <w:lang w:val="en-US"/>
        </w:rPr>
        <w:t xml:space="preserve"> pilot cities, the project will identify and better understand the key issues related to intangible heritage safeguarding in urban contexts, develop appropriate inventory methodologies and materials for urban contexts, as well as formulate possible recommendations for policymakers and practitioners. </w:t>
      </w:r>
      <w:r w:rsidR="00F72332" w:rsidRPr="004A46D6">
        <w:rPr>
          <w:color w:val="000000" w:themeColor="text1"/>
          <w:lang w:val="en-US"/>
        </w:rPr>
        <w:t>A desk research and consultation</w:t>
      </w:r>
      <w:r w:rsidR="003D2EB4" w:rsidRPr="004A46D6">
        <w:rPr>
          <w:color w:val="000000" w:themeColor="text1"/>
          <w:lang w:val="en-US"/>
        </w:rPr>
        <w:t xml:space="preserve"> process</w:t>
      </w:r>
      <w:r w:rsidR="00F72332" w:rsidRPr="004A46D6">
        <w:rPr>
          <w:color w:val="000000" w:themeColor="text1"/>
          <w:lang w:val="en-US"/>
        </w:rPr>
        <w:t xml:space="preserve"> </w:t>
      </w:r>
      <w:proofErr w:type="gramStart"/>
      <w:r w:rsidR="00F72332" w:rsidRPr="004A46D6">
        <w:rPr>
          <w:color w:val="000000" w:themeColor="text1"/>
          <w:lang w:val="en-US"/>
        </w:rPr>
        <w:t>was undertaken</w:t>
      </w:r>
      <w:proofErr w:type="gramEnd"/>
      <w:r w:rsidR="00F72332" w:rsidRPr="004A46D6">
        <w:rPr>
          <w:color w:val="000000" w:themeColor="text1"/>
          <w:lang w:val="en-US"/>
        </w:rPr>
        <w:t xml:space="preserve"> to develop a methodological framework for </w:t>
      </w:r>
      <w:r w:rsidR="00381170" w:rsidRPr="004A46D6">
        <w:rPr>
          <w:color w:val="000000" w:themeColor="text1"/>
          <w:lang w:val="en-US"/>
        </w:rPr>
        <w:t xml:space="preserve">community-based </w:t>
      </w:r>
      <w:r w:rsidR="00F72332" w:rsidRPr="004A46D6">
        <w:rPr>
          <w:color w:val="000000" w:themeColor="text1"/>
          <w:lang w:val="en-US"/>
        </w:rPr>
        <w:t>inventories</w:t>
      </w:r>
      <w:r w:rsidR="00381170" w:rsidRPr="004A46D6">
        <w:rPr>
          <w:color w:val="000000" w:themeColor="text1"/>
          <w:lang w:val="en-US"/>
        </w:rPr>
        <w:t xml:space="preserve"> in urban areas</w:t>
      </w:r>
      <w:r w:rsidR="00F72332" w:rsidRPr="004A46D6">
        <w:rPr>
          <w:color w:val="000000" w:themeColor="text1"/>
          <w:lang w:val="en-US"/>
        </w:rPr>
        <w:t xml:space="preserve">. The first pilot phase </w:t>
      </w:r>
      <w:r w:rsidR="00381170" w:rsidRPr="004A46D6">
        <w:rPr>
          <w:color w:val="000000" w:themeColor="text1"/>
          <w:lang w:val="en-US"/>
        </w:rPr>
        <w:t xml:space="preserve">included </w:t>
      </w:r>
      <w:r w:rsidR="00F72332" w:rsidRPr="004A46D6">
        <w:rPr>
          <w:color w:val="000000" w:themeColor="text1"/>
          <w:lang w:val="en-US"/>
        </w:rPr>
        <w:t>Kingston (Jamaica), George Town (Malaysia) and Harare (Z</w:t>
      </w:r>
      <w:r w:rsidR="00BD5AF3" w:rsidRPr="004A46D6">
        <w:rPr>
          <w:color w:val="000000" w:themeColor="text1"/>
          <w:lang w:val="en-US"/>
        </w:rPr>
        <w:t>imbabwe)</w:t>
      </w:r>
      <w:r w:rsidR="00F72332" w:rsidRPr="004A46D6">
        <w:rPr>
          <w:color w:val="000000" w:themeColor="text1"/>
          <w:lang w:val="en-US"/>
        </w:rPr>
        <w:t xml:space="preserve">. </w:t>
      </w:r>
      <w:r w:rsidR="005119F7" w:rsidRPr="004A46D6">
        <w:rPr>
          <w:color w:val="000000" w:themeColor="text1"/>
          <w:lang w:val="en-US"/>
        </w:rPr>
        <w:t xml:space="preserve">Furthermore, </w:t>
      </w:r>
      <w:r w:rsidR="00F72332" w:rsidRPr="004A46D6">
        <w:rPr>
          <w:color w:val="000000" w:themeColor="text1"/>
          <w:lang w:val="en-US"/>
        </w:rPr>
        <w:t xml:space="preserve">three cities for the second pilot phase </w:t>
      </w:r>
      <w:proofErr w:type="gramStart"/>
      <w:r w:rsidR="00F72332" w:rsidRPr="004A46D6">
        <w:rPr>
          <w:color w:val="000000" w:themeColor="text1"/>
          <w:lang w:val="en-US"/>
        </w:rPr>
        <w:t>were selected</w:t>
      </w:r>
      <w:proofErr w:type="gramEnd"/>
      <w:r w:rsidR="00F72332" w:rsidRPr="004A46D6">
        <w:rPr>
          <w:color w:val="000000" w:themeColor="text1"/>
          <w:lang w:val="en-US"/>
        </w:rPr>
        <w:t xml:space="preserve"> in May 2019: Ayacucho (Peru), </w:t>
      </w:r>
      <w:r w:rsidR="00F72332" w:rsidRPr="00367E0A">
        <w:rPr>
          <w:color w:val="000000" w:themeColor="text1"/>
          <w:lang w:val="en-US"/>
        </w:rPr>
        <w:t>Irbid (Jordan),</w:t>
      </w:r>
      <w:r w:rsidR="00F72332" w:rsidRPr="004A46D6">
        <w:rPr>
          <w:color w:val="000000" w:themeColor="text1"/>
          <w:lang w:val="en-US"/>
        </w:rPr>
        <w:t xml:space="preserve"> and Tbilisi (Georgi</w:t>
      </w:r>
      <w:r w:rsidR="00D5409C" w:rsidRPr="004A46D6">
        <w:rPr>
          <w:color w:val="000000" w:themeColor="text1"/>
          <w:lang w:val="en-US"/>
        </w:rPr>
        <w:t>a)</w:t>
      </w:r>
      <w:r w:rsidR="00F72332" w:rsidRPr="004A46D6">
        <w:rPr>
          <w:color w:val="000000" w:themeColor="text1"/>
          <w:lang w:val="en-US"/>
        </w:rPr>
        <w:t>.</w:t>
      </w:r>
    </w:p>
    <w:p w14:paraId="743E25D1" w14:textId="63F58285" w:rsidR="00060955" w:rsidRPr="00D1234C" w:rsidRDefault="0054620B" w:rsidP="00D1234C">
      <w:pPr>
        <w:pStyle w:val="COMPara"/>
        <w:numPr>
          <w:ilvl w:val="0"/>
          <w:numId w:val="13"/>
        </w:numPr>
        <w:spacing w:before="360"/>
        <w:ind w:left="567" w:hanging="567"/>
        <w:jc w:val="both"/>
        <w:rPr>
          <w:b/>
          <w:lang w:val="en-US"/>
        </w:rPr>
      </w:pPr>
      <w:r w:rsidRPr="00D1234C">
        <w:rPr>
          <w:b/>
          <w:lang w:val="en-US"/>
        </w:rPr>
        <w:t>COMMUNICATION AND OUTREACH</w:t>
      </w:r>
    </w:p>
    <w:p w14:paraId="38E64C1C" w14:textId="232BE4D3" w:rsidR="003361FB" w:rsidRPr="00D1234C" w:rsidRDefault="00285A85" w:rsidP="00D1234C">
      <w:pPr>
        <w:pStyle w:val="COMPara"/>
        <w:numPr>
          <w:ilvl w:val="0"/>
          <w:numId w:val="38"/>
        </w:numPr>
        <w:ind w:left="567" w:hanging="567"/>
        <w:jc w:val="both"/>
        <w:rPr>
          <w:lang w:val="en-US"/>
        </w:rPr>
      </w:pPr>
      <w:r>
        <w:rPr>
          <w:lang w:val="en-US"/>
        </w:rPr>
        <w:t>C</w:t>
      </w:r>
      <w:r w:rsidR="006B2D9F" w:rsidRPr="00D1234C">
        <w:rPr>
          <w:lang w:val="en-US"/>
        </w:rPr>
        <w:t xml:space="preserve">ommunication and outreach </w:t>
      </w:r>
      <w:proofErr w:type="gramStart"/>
      <w:r>
        <w:rPr>
          <w:lang w:val="en-US"/>
        </w:rPr>
        <w:t>should</w:t>
      </w:r>
      <w:r w:rsidR="006B2D9F" w:rsidRPr="00D1234C">
        <w:rPr>
          <w:lang w:val="en-US"/>
        </w:rPr>
        <w:t xml:space="preserve"> be undertaken</w:t>
      </w:r>
      <w:proofErr w:type="gramEnd"/>
      <w:r w:rsidR="006B2D9F" w:rsidRPr="00D1234C">
        <w:rPr>
          <w:lang w:val="en-US"/>
        </w:rPr>
        <w:t xml:space="preserve"> above all with the aim of </w:t>
      </w:r>
      <w:r w:rsidR="003361FB" w:rsidRPr="00D1234C">
        <w:rPr>
          <w:lang w:val="en-US"/>
        </w:rPr>
        <w:t>promoting t</w:t>
      </w:r>
      <w:r w:rsidR="006B2D9F" w:rsidRPr="00D1234C">
        <w:rPr>
          <w:lang w:val="en-US"/>
        </w:rPr>
        <w:t xml:space="preserve">he objectives of the Convention. With this in mind, </w:t>
      </w:r>
      <w:r w:rsidR="003361FB" w:rsidRPr="00D1234C">
        <w:rPr>
          <w:lang w:val="en-US"/>
        </w:rPr>
        <w:t>the pilot communication initiatives</w:t>
      </w:r>
      <w:r w:rsidR="00583199" w:rsidRPr="00D1234C">
        <w:rPr>
          <w:rStyle w:val="Appelnotedebasdep"/>
          <w:lang w:val="en-US"/>
        </w:rPr>
        <w:footnoteReference w:id="19"/>
      </w:r>
      <w:r w:rsidR="00583199" w:rsidRPr="00D1234C">
        <w:rPr>
          <w:lang w:val="en-US"/>
        </w:rPr>
        <w:t xml:space="preserve"> </w:t>
      </w:r>
      <w:r w:rsidR="003361FB" w:rsidRPr="00D1234C">
        <w:rPr>
          <w:lang w:val="en-US"/>
        </w:rPr>
        <w:t xml:space="preserve">proposed to the Committee at its thirteenth session </w:t>
      </w:r>
      <w:proofErr w:type="gramStart"/>
      <w:r w:rsidR="003361FB" w:rsidRPr="00D1234C">
        <w:rPr>
          <w:lang w:val="en-US"/>
        </w:rPr>
        <w:t>have been rolled out</w:t>
      </w:r>
      <w:proofErr w:type="gramEnd"/>
      <w:r w:rsidR="003361FB" w:rsidRPr="00D1234C">
        <w:rPr>
          <w:lang w:val="en-US"/>
        </w:rPr>
        <w:t xml:space="preserve">. The development of new thematic </w:t>
      </w:r>
      <w:r w:rsidR="001320ED" w:rsidRPr="00D1234C">
        <w:rPr>
          <w:lang w:val="en-US"/>
        </w:rPr>
        <w:t>considerations</w:t>
      </w:r>
      <w:r w:rsidR="003361FB" w:rsidRPr="00D1234C">
        <w:rPr>
          <w:lang w:val="en-US"/>
        </w:rPr>
        <w:t xml:space="preserve"> - intangible cultural heritage and indigenous peoples, intangible cultural heritage and education - </w:t>
      </w:r>
      <w:proofErr w:type="gramStart"/>
      <w:r w:rsidR="003361FB" w:rsidRPr="00D1234C">
        <w:rPr>
          <w:lang w:val="en-US"/>
        </w:rPr>
        <w:t>was supported</w:t>
      </w:r>
      <w:proofErr w:type="gramEnd"/>
      <w:r w:rsidR="003361FB" w:rsidRPr="00D1234C">
        <w:rPr>
          <w:lang w:val="en-US"/>
        </w:rPr>
        <w:t xml:space="preserve"> through these initiatives, along with the opportunities to demonstrate the synergy between the work of the Convention and that of organizations working in different areas at key strategic events. These actions also contributed to broadening the outreach of the Convention to a wider and untapped audience (</w:t>
      </w:r>
      <w:r w:rsidR="00ED6EFE">
        <w:rPr>
          <w:lang w:val="en-US"/>
        </w:rPr>
        <w:t>see paragraph 19</w:t>
      </w:r>
      <w:r w:rsidR="003361FB" w:rsidRPr="00D1234C">
        <w:rPr>
          <w:lang w:val="en-US"/>
        </w:rPr>
        <w:t>). To that effect, the following outreach activities and communication tools have been produced during the reporting period:</w:t>
      </w:r>
    </w:p>
    <w:p w14:paraId="7602B02D" w14:textId="27CDCFEA" w:rsidR="003361FB" w:rsidRPr="00D1234C" w:rsidRDefault="00490EE8" w:rsidP="00D1234C">
      <w:pPr>
        <w:pStyle w:val="COMPara"/>
        <w:numPr>
          <w:ilvl w:val="0"/>
          <w:numId w:val="47"/>
        </w:numPr>
        <w:spacing w:before="120"/>
        <w:ind w:left="1134" w:hanging="567"/>
        <w:jc w:val="both"/>
        <w:rPr>
          <w:lang w:val="en-US"/>
        </w:rPr>
      </w:pPr>
      <w:r w:rsidRPr="00D1234C">
        <w:rPr>
          <w:lang w:val="en-US"/>
        </w:rPr>
        <w:t>communication events (i.e.</w:t>
      </w:r>
      <w:r w:rsidR="003361FB" w:rsidRPr="00D1234C">
        <w:rPr>
          <w:lang w:val="en-US"/>
        </w:rPr>
        <w:t xml:space="preserve"> a dialogue session, roundtable discussion, audio-visual exhibition, networking platform) at the seventh session of the General Assembly;</w:t>
      </w:r>
    </w:p>
    <w:p w14:paraId="602D9EAA" w14:textId="6AAED915" w:rsidR="003361FB" w:rsidRPr="00D1234C" w:rsidRDefault="003361FB" w:rsidP="00D1234C">
      <w:pPr>
        <w:pStyle w:val="COMPara"/>
        <w:numPr>
          <w:ilvl w:val="0"/>
          <w:numId w:val="47"/>
        </w:numPr>
        <w:spacing w:before="120"/>
        <w:ind w:left="1134" w:hanging="567"/>
        <w:jc w:val="both"/>
        <w:rPr>
          <w:lang w:val="en-US"/>
        </w:rPr>
      </w:pPr>
      <w:r w:rsidRPr="00D1234C">
        <w:rPr>
          <w:lang w:val="en-US"/>
        </w:rPr>
        <w:lastRenderedPageBreak/>
        <w:t>a panel discussion organized at the eighteenth session of the United Nations Permanent Forum on Indigenous Issues (22 April 2019, New York) in line with the celebration of the International Year of Indigenous Languages;</w:t>
      </w:r>
    </w:p>
    <w:p w14:paraId="512CC463" w14:textId="13E78B5D" w:rsidR="003361FB" w:rsidRPr="00D1234C" w:rsidRDefault="003361FB" w:rsidP="00D1234C">
      <w:pPr>
        <w:pStyle w:val="COMPara"/>
        <w:numPr>
          <w:ilvl w:val="0"/>
          <w:numId w:val="47"/>
        </w:numPr>
        <w:spacing w:before="120"/>
        <w:ind w:left="1134" w:hanging="567"/>
        <w:jc w:val="both"/>
        <w:rPr>
          <w:lang w:val="en-US"/>
        </w:rPr>
      </w:pPr>
      <w:r w:rsidRPr="00D1234C">
        <w:rPr>
          <w:lang w:val="en-US"/>
        </w:rPr>
        <w:t>communication materials produced include: a) the audio-visual stories of four young people talking about their living heritage experiences</w:t>
      </w:r>
      <w:r w:rsidR="00E9783E" w:rsidRPr="00E9783E">
        <w:t xml:space="preserve"> </w:t>
      </w:r>
      <w:r w:rsidR="00E9783E" w:rsidRPr="0051521C">
        <w:t>(distributed via social media with the hashtags #</w:t>
      </w:r>
      <w:proofErr w:type="spellStart"/>
      <w:r w:rsidR="00E9783E" w:rsidRPr="0051521C">
        <w:t>livingheritage</w:t>
      </w:r>
      <w:proofErr w:type="spellEnd"/>
      <w:r w:rsidR="00E9783E" w:rsidRPr="0051521C">
        <w:t xml:space="preserve"> and #</w:t>
      </w:r>
      <w:proofErr w:type="spellStart"/>
      <w:r w:rsidR="00E9783E" w:rsidRPr="0051521C">
        <w:t>intangibleheritage</w:t>
      </w:r>
      <w:proofErr w:type="spellEnd"/>
      <w:r w:rsidR="00E9783E" w:rsidRPr="0051521C">
        <w:t>)</w:t>
      </w:r>
      <w:r w:rsidRPr="00D1234C">
        <w:rPr>
          <w:lang w:val="en-US"/>
        </w:rPr>
        <w:t>; and b) the brochure ‘Living heritage and Indigenous peoples’;</w:t>
      </w:r>
    </w:p>
    <w:p w14:paraId="3D76E1A2" w14:textId="130936C4" w:rsidR="003361FB" w:rsidRPr="00D1234C" w:rsidRDefault="003361FB" w:rsidP="00D1234C">
      <w:pPr>
        <w:pStyle w:val="COMPara"/>
        <w:numPr>
          <w:ilvl w:val="0"/>
          <w:numId w:val="47"/>
        </w:numPr>
        <w:spacing w:before="120"/>
        <w:ind w:left="1134" w:hanging="567"/>
        <w:jc w:val="both"/>
        <w:rPr>
          <w:lang w:val="en-US"/>
        </w:rPr>
      </w:pPr>
      <w:r w:rsidRPr="00D1234C">
        <w:rPr>
          <w:lang w:val="en-US"/>
        </w:rPr>
        <w:t>press conferences organized at key statutory meetings, along with the production of a press kit at Committee meetings</w:t>
      </w:r>
      <w:r w:rsidR="00B024DC" w:rsidRPr="0051521C">
        <w:t xml:space="preserve"> in order to promote positive media coverage and establish constructive relations with the media</w:t>
      </w:r>
      <w:r w:rsidRPr="00D1234C">
        <w:rPr>
          <w:lang w:val="en-US"/>
        </w:rPr>
        <w:t>;</w:t>
      </w:r>
    </w:p>
    <w:p w14:paraId="5D1480C9" w14:textId="7DE4D5A5" w:rsidR="003361FB" w:rsidRPr="0051521C" w:rsidRDefault="003361FB" w:rsidP="00D1234C">
      <w:pPr>
        <w:pStyle w:val="COMPara"/>
        <w:numPr>
          <w:ilvl w:val="0"/>
          <w:numId w:val="47"/>
        </w:numPr>
        <w:spacing w:before="120"/>
        <w:ind w:left="1134" w:hanging="567"/>
        <w:jc w:val="both"/>
        <w:rPr>
          <w:lang w:val="en-US"/>
        </w:rPr>
      </w:pPr>
      <w:proofErr w:type="gramStart"/>
      <w:r w:rsidRPr="00D1234C">
        <w:rPr>
          <w:lang w:val="en-US"/>
        </w:rPr>
        <w:t>various</w:t>
      </w:r>
      <w:proofErr w:type="gramEnd"/>
      <w:r w:rsidRPr="00D1234C">
        <w:rPr>
          <w:lang w:val="en-US"/>
        </w:rPr>
        <w:t xml:space="preserve"> media channels – web and social media, including Twitter and Facebook Live – broadly utilized to foster positive public opinion on the importance of safeguarding living heritage.</w:t>
      </w:r>
    </w:p>
    <w:p w14:paraId="4EE52063" w14:textId="0B312029" w:rsidR="00A9696A" w:rsidRPr="0051521C" w:rsidRDefault="000C7CAF" w:rsidP="00D1234C">
      <w:pPr>
        <w:pStyle w:val="COMPara"/>
        <w:numPr>
          <w:ilvl w:val="0"/>
          <w:numId w:val="38"/>
        </w:numPr>
        <w:ind w:left="567" w:hanging="567"/>
        <w:jc w:val="both"/>
      </w:pPr>
      <w:r w:rsidRPr="0051521C">
        <w:t xml:space="preserve">Communication materials in print, audio-visual and digital format </w:t>
      </w:r>
      <w:proofErr w:type="gramStart"/>
      <w:r w:rsidRPr="0051521C">
        <w:t>were developed</w:t>
      </w:r>
      <w:proofErr w:type="gramEnd"/>
      <w:r w:rsidRPr="0051521C">
        <w:t xml:space="preserve"> to present the key concepts and issues of the Convention. </w:t>
      </w:r>
      <w:r w:rsidR="00A9696A" w:rsidRPr="0051521C">
        <w:t xml:space="preserve">These interventions </w:t>
      </w:r>
      <w:r w:rsidR="00A9696A" w:rsidRPr="00D1234C">
        <w:rPr>
          <w:lang w:val="en-US"/>
        </w:rPr>
        <w:t>involved</w:t>
      </w:r>
      <w:r w:rsidR="00A9696A" w:rsidRPr="0051521C">
        <w:t xml:space="preserve"> a broad array of stakeholders, such as States Parties, institutional partners – including </w:t>
      </w:r>
      <w:r w:rsidR="00DE46E9">
        <w:t>C</w:t>
      </w:r>
      <w:r w:rsidR="00A9696A" w:rsidRPr="0051521C">
        <w:t>ategory</w:t>
      </w:r>
      <w:r w:rsidR="002876C1" w:rsidRPr="0051521C">
        <w:t xml:space="preserve"> 2 centres and accredited NGOs</w:t>
      </w:r>
      <w:r w:rsidR="00A9696A" w:rsidRPr="0051521C">
        <w:t>, heritage professionals, living heritage practitioners</w:t>
      </w:r>
      <w:r w:rsidR="00DE46E9">
        <w:t xml:space="preserve">, </w:t>
      </w:r>
      <w:r w:rsidR="00A9696A" w:rsidRPr="0051521C">
        <w:t xml:space="preserve">community members, </w:t>
      </w:r>
      <w:r w:rsidR="00DE46E9">
        <w:t xml:space="preserve">and </w:t>
      </w:r>
      <w:r w:rsidR="0051521C" w:rsidRPr="000F5D6A">
        <w:rPr>
          <w:lang w:val="en-US"/>
        </w:rPr>
        <w:t>indigenous peoples</w:t>
      </w:r>
      <w:r w:rsidR="0027219A">
        <w:rPr>
          <w:lang w:val="en-US"/>
        </w:rPr>
        <w:t xml:space="preserve">. They </w:t>
      </w:r>
      <w:r w:rsidR="00A9696A" w:rsidRPr="0051521C">
        <w:t xml:space="preserve">conveyed the collective and dynamic nature of living </w:t>
      </w:r>
      <w:r w:rsidR="002876C1" w:rsidRPr="0051521C">
        <w:t>heritage</w:t>
      </w:r>
      <w:r w:rsidR="0027219A">
        <w:t xml:space="preserve"> with a particular aim of targeting </w:t>
      </w:r>
      <w:r w:rsidR="002876C1" w:rsidRPr="0051521C">
        <w:t>youth.</w:t>
      </w:r>
    </w:p>
    <w:p w14:paraId="7E7DB98C" w14:textId="75366BD9" w:rsidR="00060955" w:rsidRPr="00D1234C" w:rsidRDefault="00060955">
      <w:pPr>
        <w:pStyle w:val="COMPara"/>
        <w:numPr>
          <w:ilvl w:val="0"/>
          <w:numId w:val="38"/>
        </w:numPr>
        <w:ind w:left="567" w:hanging="567"/>
        <w:jc w:val="both"/>
        <w:rPr>
          <w:lang w:val="en-US"/>
        </w:rPr>
      </w:pPr>
      <w:r w:rsidRPr="00D1234C">
        <w:rPr>
          <w:lang w:val="en-US"/>
        </w:rPr>
        <w:t xml:space="preserve">In </w:t>
      </w:r>
      <w:r w:rsidR="00C7088A" w:rsidRPr="00D1234C">
        <w:rPr>
          <w:lang w:val="en-US"/>
        </w:rPr>
        <w:t>addition</w:t>
      </w:r>
      <w:r w:rsidRPr="00D1234C">
        <w:rPr>
          <w:lang w:val="en-US"/>
        </w:rPr>
        <w:t>, the Secretariat launched a project ‘</w:t>
      </w:r>
      <w:hyperlink r:id="rId19" w:history="1">
        <w:r w:rsidRPr="00D1234C">
          <w:rPr>
            <w:rStyle w:val="Lienhypertexte"/>
            <w:lang w:val="en-US"/>
          </w:rPr>
          <w:t>Dive into Intangible Cultural Heritage</w:t>
        </w:r>
      </w:hyperlink>
      <w:r w:rsidRPr="00D4533B">
        <w:rPr>
          <w:rStyle w:val="Lienhypertexte"/>
          <w:color w:val="auto"/>
          <w:u w:val="none"/>
          <w:lang w:val="en-US"/>
        </w:rPr>
        <w:t>’</w:t>
      </w:r>
      <w:r w:rsidRPr="00D4533B">
        <w:rPr>
          <w:lang w:val="en-US"/>
        </w:rPr>
        <w:t xml:space="preserve"> </w:t>
      </w:r>
      <w:r w:rsidRPr="00D1234C">
        <w:rPr>
          <w:lang w:val="en-US"/>
        </w:rPr>
        <w:t xml:space="preserve">with the support of the </w:t>
      </w:r>
      <w:r w:rsidR="00FD7E3D" w:rsidRPr="00D1234C">
        <w:rPr>
          <w:lang w:val="en-US"/>
        </w:rPr>
        <w:t xml:space="preserve">Government of </w:t>
      </w:r>
      <w:r w:rsidRPr="00D1234C">
        <w:rPr>
          <w:lang w:val="en-US"/>
        </w:rPr>
        <w:t xml:space="preserve">Netherlands. The project </w:t>
      </w:r>
      <w:r w:rsidR="00FD7E3D" w:rsidRPr="00D1234C">
        <w:rPr>
          <w:lang w:val="en-US"/>
        </w:rPr>
        <w:t>with its different visualizations</w:t>
      </w:r>
      <w:r w:rsidR="00880D93" w:rsidRPr="00D1234C">
        <w:rPr>
          <w:lang w:val="en-US"/>
        </w:rPr>
        <w:t xml:space="preserve"> (biomes, threats and domains), </w:t>
      </w:r>
      <w:r w:rsidRPr="00D1234C">
        <w:rPr>
          <w:lang w:val="en-US"/>
        </w:rPr>
        <w:t>aim</w:t>
      </w:r>
      <w:r w:rsidR="002A382A">
        <w:rPr>
          <w:lang w:val="en-US"/>
        </w:rPr>
        <w:t>s</w:t>
      </w:r>
      <w:r w:rsidRPr="00D1234C">
        <w:rPr>
          <w:lang w:val="en-US"/>
        </w:rPr>
        <w:t xml:space="preserve"> to visualize living heritage elements as well as explor</w:t>
      </w:r>
      <w:r w:rsidR="00FD7E3D" w:rsidRPr="00D1234C">
        <w:rPr>
          <w:lang w:val="en-US"/>
        </w:rPr>
        <w:t>e</w:t>
      </w:r>
      <w:r w:rsidRPr="00D1234C">
        <w:rPr>
          <w:lang w:val="en-US"/>
        </w:rPr>
        <w:t xml:space="preserve"> the different thematic interconnectedness between them and their relation to nature or to threats. Released</w:t>
      </w:r>
      <w:r w:rsidR="00285A85" w:rsidRPr="00CF516C">
        <w:rPr>
          <w:lang w:val="en-US"/>
        </w:rPr>
        <w:t xml:space="preserve"> at the </w:t>
      </w:r>
      <w:r w:rsidRPr="00D1234C">
        <w:rPr>
          <w:lang w:val="en-US"/>
        </w:rPr>
        <w:t xml:space="preserve">end of 2018, this tool </w:t>
      </w:r>
      <w:r w:rsidR="00285A85" w:rsidRPr="00CF516C">
        <w:rPr>
          <w:lang w:val="en-US"/>
        </w:rPr>
        <w:t>reached</w:t>
      </w:r>
      <w:r w:rsidR="00285A85" w:rsidRPr="00D1234C">
        <w:rPr>
          <w:lang w:val="en-US"/>
        </w:rPr>
        <w:t xml:space="preserve"> </w:t>
      </w:r>
      <w:r w:rsidRPr="00D1234C">
        <w:rPr>
          <w:lang w:val="en-US"/>
        </w:rPr>
        <w:t>almost one million page views over the first semester of 2019, representing by itself an increase of 50% of the audience of the webpage of the 2003 Convention.</w:t>
      </w:r>
    </w:p>
    <w:p w14:paraId="27F428FE" w14:textId="2C228804" w:rsidR="00455D98" w:rsidRPr="00D1234C" w:rsidRDefault="0054620B" w:rsidP="00742A72">
      <w:pPr>
        <w:pStyle w:val="COMPara"/>
        <w:numPr>
          <w:ilvl w:val="0"/>
          <w:numId w:val="13"/>
        </w:numPr>
        <w:spacing w:before="360"/>
        <w:ind w:left="567" w:hanging="567"/>
        <w:jc w:val="both"/>
        <w:rPr>
          <w:b/>
          <w:lang w:val="en-US"/>
        </w:rPr>
      </w:pPr>
      <w:r w:rsidRPr="00D1234C">
        <w:rPr>
          <w:b/>
          <w:lang w:val="en-US"/>
        </w:rPr>
        <w:t>KEY CHALLENGES AND WAYS FORWARD</w:t>
      </w:r>
    </w:p>
    <w:p w14:paraId="7998E5A8" w14:textId="51DE230E" w:rsidR="003947FE" w:rsidRPr="004A46D6" w:rsidRDefault="009C6184" w:rsidP="00CE6D6E">
      <w:pPr>
        <w:pStyle w:val="COMPara"/>
        <w:numPr>
          <w:ilvl w:val="0"/>
          <w:numId w:val="38"/>
        </w:numPr>
        <w:ind w:left="567" w:hanging="567"/>
        <w:jc w:val="both"/>
        <w:rPr>
          <w:lang w:val="en-US"/>
        </w:rPr>
      </w:pPr>
      <w:r w:rsidRPr="00D1234C">
        <w:rPr>
          <w:lang w:val="en-US"/>
        </w:rPr>
        <w:t xml:space="preserve">The reporting period </w:t>
      </w:r>
      <w:proofErr w:type="gramStart"/>
      <w:r w:rsidRPr="00D1234C">
        <w:rPr>
          <w:lang w:val="en-US"/>
        </w:rPr>
        <w:t>was marked</w:t>
      </w:r>
      <w:proofErr w:type="gramEnd"/>
      <w:r w:rsidRPr="00D1234C">
        <w:rPr>
          <w:lang w:val="en-US"/>
        </w:rPr>
        <w:t xml:space="preserve"> by a </w:t>
      </w:r>
      <w:r w:rsidR="003947FE" w:rsidRPr="00D1234C">
        <w:rPr>
          <w:lang w:val="en-US"/>
        </w:rPr>
        <w:t>number of significant accomplishments made by the governin</w:t>
      </w:r>
      <w:r w:rsidR="007E1243" w:rsidRPr="00D1234C">
        <w:rPr>
          <w:lang w:val="en-US"/>
        </w:rPr>
        <w:t>g bodies of the Convention. Above all, r</w:t>
      </w:r>
      <w:r w:rsidR="003947FE" w:rsidRPr="00D1234C">
        <w:rPr>
          <w:lang w:val="en-US"/>
        </w:rPr>
        <w:t xml:space="preserve">esults-based monitoring and assessment of the impact of the Convention became a </w:t>
      </w:r>
      <w:r w:rsidR="00483C3F" w:rsidRPr="00D1234C">
        <w:rPr>
          <w:lang w:val="en-US"/>
        </w:rPr>
        <w:t xml:space="preserve">real possibility </w:t>
      </w:r>
      <w:r w:rsidR="003947FE" w:rsidRPr="00D1234C">
        <w:rPr>
          <w:lang w:val="en-US"/>
        </w:rPr>
        <w:t>with the adoption of the overall results framework for the Convention</w:t>
      </w:r>
      <w:r w:rsidR="00483C3F" w:rsidRPr="00D1234C">
        <w:rPr>
          <w:lang w:val="en-US"/>
        </w:rPr>
        <w:t xml:space="preserve"> and the related revisions to the periodic reporting forms</w:t>
      </w:r>
      <w:r w:rsidR="003947FE" w:rsidRPr="00D1234C">
        <w:rPr>
          <w:lang w:val="en-US"/>
        </w:rPr>
        <w:t xml:space="preserve">. </w:t>
      </w:r>
      <w:r w:rsidR="00CE6D6E" w:rsidRPr="00D1234C">
        <w:rPr>
          <w:lang w:val="en-US"/>
        </w:rPr>
        <w:t>Several reflections undertaken by the Committee and new thematic initiatives launched</w:t>
      </w:r>
      <w:r w:rsidRPr="00D1234C">
        <w:rPr>
          <w:lang w:val="en-US"/>
        </w:rPr>
        <w:t xml:space="preserve"> provided further</w:t>
      </w:r>
      <w:r w:rsidR="00CE6D6E" w:rsidRPr="00D1234C">
        <w:rPr>
          <w:lang w:val="en-US"/>
        </w:rPr>
        <w:t xml:space="preserve"> demonstrations of areas in which </w:t>
      </w:r>
      <w:r w:rsidR="007E1243" w:rsidRPr="00D1234C">
        <w:rPr>
          <w:lang w:val="en-US"/>
        </w:rPr>
        <w:t xml:space="preserve">the Convention </w:t>
      </w:r>
      <w:proofErr w:type="gramStart"/>
      <w:r w:rsidR="007E1243" w:rsidRPr="00D1234C">
        <w:rPr>
          <w:lang w:val="en-US"/>
        </w:rPr>
        <w:t xml:space="preserve">could </w:t>
      </w:r>
      <w:r w:rsidRPr="00D1234C">
        <w:rPr>
          <w:lang w:val="en-US"/>
        </w:rPr>
        <w:t>be developed</w:t>
      </w:r>
      <w:proofErr w:type="gramEnd"/>
      <w:r w:rsidRPr="00D1234C">
        <w:rPr>
          <w:lang w:val="en-US"/>
        </w:rPr>
        <w:t>.</w:t>
      </w:r>
      <w:r w:rsidR="007E1243" w:rsidRPr="00D1234C">
        <w:rPr>
          <w:lang w:val="en-US"/>
        </w:rPr>
        <w:t xml:space="preserve"> The Convention must grow to renew itself and adapt</w:t>
      </w:r>
      <w:r w:rsidRPr="00D1234C">
        <w:rPr>
          <w:lang w:val="en-US"/>
        </w:rPr>
        <w:t xml:space="preserve"> an</w:t>
      </w:r>
      <w:r w:rsidR="007E1243" w:rsidRPr="00D1234C">
        <w:rPr>
          <w:lang w:val="en-US"/>
        </w:rPr>
        <w:t xml:space="preserve"> increasing set of complex challenges</w:t>
      </w:r>
      <w:r w:rsidR="00A44405" w:rsidRPr="00D1234C">
        <w:rPr>
          <w:lang w:val="en-US"/>
        </w:rPr>
        <w:t>;</w:t>
      </w:r>
      <w:r w:rsidR="007E1243" w:rsidRPr="00D1234C">
        <w:rPr>
          <w:lang w:val="en-US"/>
        </w:rPr>
        <w:t xml:space="preserve"> </w:t>
      </w:r>
      <w:r w:rsidR="00A44405" w:rsidRPr="00D1234C">
        <w:rPr>
          <w:lang w:val="en-US"/>
        </w:rPr>
        <w:t>i</w:t>
      </w:r>
      <w:r w:rsidR="00FF38A0" w:rsidRPr="00D1234C">
        <w:rPr>
          <w:lang w:val="en-US"/>
        </w:rPr>
        <w:t xml:space="preserve">t is part of the duties of </w:t>
      </w:r>
      <w:r w:rsidR="007E1243" w:rsidRPr="00D1234C">
        <w:rPr>
          <w:lang w:val="en-US"/>
        </w:rPr>
        <w:t xml:space="preserve">the Secretariat </w:t>
      </w:r>
      <w:r w:rsidR="00267A74" w:rsidRPr="00D1234C">
        <w:rPr>
          <w:lang w:val="en-US"/>
        </w:rPr>
        <w:t xml:space="preserve">to </w:t>
      </w:r>
      <w:r w:rsidR="007E1243" w:rsidRPr="00D1234C">
        <w:rPr>
          <w:lang w:val="en-US"/>
        </w:rPr>
        <w:t>accompan</w:t>
      </w:r>
      <w:r w:rsidR="00267A74" w:rsidRPr="00D1234C">
        <w:rPr>
          <w:lang w:val="en-US"/>
        </w:rPr>
        <w:t>y</w:t>
      </w:r>
      <w:r w:rsidR="007E1243" w:rsidRPr="00D1234C">
        <w:rPr>
          <w:lang w:val="en-US"/>
        </w:rPr>
        <w:t xml:space="preserve"> and support the work of the General Assembly and the Committee</w:t>
      </w:r>
      <w:r w:rsidR="00CE6D6E" w:rsidRPr="00D1234C">
        <w:rPr>
          <w:lang w:val="en-US"/>
        </w:rPr>
        <w:t>.</w:t>
      </w:r>
      <w:r w:rsidR="00F720FA" w:rsidRPr="00D1234C">
        <w:rPr>
          <w:lang w:val="en-US"/>
        </w:rPr>
        <w:t xml:space="preserve"> </w:t>
      </w:r>
      <w:r w:rsidR="00483C3F" w:rsidRPr="00D1234C">
        <w:rPr>
          <w:lang w:val="en-US"/>
        </w:rPr>
        <w:t>One example is of course</w:t>
      </w:r>
      <w:r w:rsidR="007E4683" w:rsidRPr="00D1234C">
        <w:rPr>
          <w:lang w:val="en-US"/>
        </w:rPr>
        <w:t xml:space="preserve"> </w:t>
      </w:r>
      <w:r w:rsidR="00F720FA" w:rsidRPr="00D1234C">
        <w:rPr>
          <w:lang w:val="en-US"/>
        </w:rPr>
        <w:t xml:space="preserve">the </w:t>
      </w:r>
      <w:r w:rsidR="00267A74" w:rsidRPr="00D1234C">
        <w:rPr>
          <w:lang w:val="en-US"/>
        </w:rPr>
        <w:t>long-term</w:t>
      </w:r>
      <w:r w:rsidR="00F720FA" w:rsidRPr="00D1234C">
        <w:rPr>
          <w:lang w:val="en-US"/>
        </w:rPr>
        <w:t xml:space="preserve"> </w:t>
      </w:r>
      <w:r w:rsidR="007E4683" w:rsidRPr="00D1234C">
        <w:rPr>
          <w:lang w:val="en-US"/>
        </w:rPr>
        <w:t xml:space="preserve">and global </w:t>
      </w:r>
      <w:r w:rsidR="00F720FA" w:rsidRPr="00D1234C">
        <w:rPr>
          <w:lang w:val="en-US"/>
        </w:rPr>
        <w:t xml:space="preserve">reflection on </w:t>
      </w:r>
      <w:r w:rsidR="007E4683" w:rsidRPr="00D1234C">
        <w:rPr>
          <w:lang w:val="en-US"/>
        </w:rPr>
        <w:t xml:space="preserve">the </w:t>
      </w:r>
      <w:r w:rsidR="00F720FA" w:rsidRPr="00D1234C">
        <w:rPr>
          <w:lang w:val="en-US"/>
        </w:rPr>
        <w:t>listing mechanisms under the Convention</w:t>
      </w:r>
      <w:r w:rsidR="00FE7EA6" w:rsidRPr="00D1234C">
        <w:rPr>
          <w:lang w:val="en-US"/>
        </w:rPr>
        <w:t>, which</w:t>
      </w:r>
      <w:r w:rsidR="00483C3F" w:rsidRPr="00D1234C">
        <w:rPr>
          <w:lang w:val="en-US"/>
        </w:rPr>
        <w:t xml:space="preserve"> </w:t>
      </w:r>
      <w:proofErr w:type="gramStart"/>
      <w:r w:rsidR="00483C3F" w:rsidRPr="00D1234C">
        <w:rPr>
          <w:lang w:val="en-US"/>
        </w:rPr>
        <w:t xml:space="preserve">is </w:t>
      </w:r>
      <w:r w:rsidR="007E4683" w:rsidRPr="00D1234C">
        <w:rPr>
          <w:lang w:val="en-US"/>
        </w:rPr>
        <w:t>scheduled</w:t>
      </w:r>
      <w:proofErr w:type="gramEnd"/>
      <w:r w:rsidR="007E4683" w:rsidRPr="00D1234C">
        <w:rPr>
          <w:lang w:val="en-US"/>
        </w:rPr>
        <w:t xml:space="preserve"> to continue until 2022</w:t>
      </w:r>
      <w:r w:rsidR="004D658D">
        <w:rPr>
          <w:lang w:val="en-US"/>
        </w:rPr>
        <w:t>.</w:t>
      </w:r>
      <w:r w:rsidR="00AF1AF3" w:rsidRPr="004A46D6">
        <w:rPr>
          <w:lang w:val="en-US"/>
        </w:rPr>
        <w:t xml:space="preserve"> </w:t>
      </w:r>
      <w:r w:rsidR="004D658D">
        <w:rPr>
          <w:lang w:val="en-US"/>
        </w:rPr>
        <w:t>A</w:t>
      </w:r>
      <w:r w:rsidR="00AF1AF3" w:rsidRPr="004A46D6">
        <w:rPr>
          <w:lang w:val="en-US"/>
        </w:rPr>
        <w:t xml:space="preserve">t the same time, different thematic areas are </w:t>
      </w:r>
      <w:r w:rsidR="006B4237" w:rsidRPr="004A46D6">
        <w:rPr>
          <w:lang w:val="en-US"/>
        </w:rPr>
        <w:t>emerg</w:t>
      </w:r>
      <w:r w:rsidR="00483C3F" w:rsidRPr="004A46D6">
        <w:rPr>
          <w:lang w:val="en-US"/>
        </w:rPr>
        <w:t xml:space="preserve">ing </w:t>
      </w:r>
      <w:r w:rsidR="006B4237" w:rsidRPr="004A46D6">
        <w:rPr>
          <w:lang w:val="en-US"/>
        </w:rPr>
        <w:t xml:space="preserve">which </w:t>
      </w:r>
      <w:r w:rsidR="00483C3F" w:rsidRPr="004A46D6">
        <w:rPr>
          <w:lang w:val="en-US"/>
        </w:rPr>
        <w:t xml:space="preserve">may </w:t>
      </w:r>
      <w:r w:rsidR="00347312" w:rsidRPr="004A46D6">
        <w:rPr>
          <w:lang w:val="en-US"/>
        </w:rPr>
        <w:t xml:space="preserve">require </w:t>
      </w:r>
      <w:r w:rsidR="00AF1AF3" w:rsidRPr="004A46D6">
        <w:rPr>
          <w:lang w:val="en-US"/>
        </w:rPr>
        <w:t>the attention of the Committee</w:t>
      </w:r>
      <w:r w:rsidR="006B4237" w:rsidRPr="004A46D6">
        <w:rPr>
          <w:lang w:val="en-US"/>
        </w:rPr>
        <w:t xml:space="preserve"> in the near future.</w:t>
      </w:r>
      <w:r w:rsidR="00483C3F" w:rsidRPr="004A46D6">
        <w:rPr>
          <w:lang w:val="en-US"/>
        </w:rPr>
        <w:t xml:space="preserve"> These</w:t>
      </w:r>
      <w:r w:rsidR="006B4237" w:rsidRPr="004A46D6">
        <w:rPr>
          <w:lang w:val="en-US"/>
        </w:rPr>
        <w:t xml:space="preserve"> </w:t>
      </w:r>
      <w:r w:rsidR="00483C3F" w:rsidRPr="004A46D6">
        <w:rPr>
          <w:lang w:val="en-US"/>
        </w:rPr>
        <w:t xml:space="preserve">include </w:t>
      </w:r>
      <w:r w:rsidR="006B4237" w:rsidRPr="004A46D6">
        <w:rPr>
          <w:lang w:val="en-US"/>
        </w:rPr>
        <w:t xml:space="preserve">the links between intangible cultural heritage and </w:t>
      </w:r>
      <w:r w:rsidR="00347312" w:rsidRPr="004A46D6">
        <w:rPr>
          <w:lang w:val="en-US"/>
        </w:rPr>
        <w:t>tourism</w:t>
      </w:r>
      <w:r w:rsidR="006B4237" w:rsidRPr="004A46D6">
        <w:rPr>
          <w:lang w:val="en-US"/>
        </w:rPr>
        <w:t>,</w:t>
      </w:r>
      <w:r w:rsidR="002C15B9" w:rsidRPr="004A46D6">
        <w:rPr>
          <w:lang w:val="en-US"/>
        </w:rPr>
        <w:t xml:space="preserve"> </w:t>
      </w:r>
      <w:r w:rsidR="00FE7EA6" w:rsidRPr="004A46D6">
        <w:rPr>
          <w:lang w:val="en-US"/>
        </w:rPr>
        <w:t>intangible cultural heritage</w:t>
      </w:r>
      <w:r w:rsidR="00483C3F" w:rsidRPr="004A46D6">
        <w:rPr>
          <w:lang w:val="en-US"/>
        </w:rPr>
        <w:t xml:space="preserve"> in urban contexts,</w:t>
      </w:r>
      <w:r w:rsidR="00583199" w:rsidRPr="004A46D6">
        <w:rPr>
          <w:lang w:val="en-US"/>
        </w:rPr>
        <w:t xml:space="preserve"> </w:t>
      </w:r>
      <w:r w:rsidR="002C15B9" w:rsidRPr="004A46D6">
        <w:rPr>
          <w:lang w:val="en-US"/>
        </w:rPr>
        <w:t>climate change,</w:t>
      </w:r>
      <w:r w:rsidR="006B4237" w:rsidRPr="004A46D6">
        <w:rPr>
          <w:lang w:val="en-US"/>
        </w:rPr>
        <w:t xml:space="preserve"> </w:t>
      </w:r>
      <w:r w:rsidR="002C15B9" w:rsidRPr="004A46D6">
        <w:rPr>
          <w:lang w:val="en-US"/>
        </w:rPr>
        <w:t xml:space="preserve">museums, </w:t>
      </w:r>
      <w:r w:rsidR="00483C3F" w:rsidRPr="004A46D6">
        <w:rPr>
          <w:lang w:val="en-US"/>
        </w:rPr>
        <w:t xml:space="preserve">as well as improved </w:t>
      </w:r>
      <w:r w:rsidR="008411C8" w:rsidRPr="004A46D6">
        <w:rPr>
          <w:lang w:val="en-US"/>
        </w:rPr>
        <w:t>demonstrations</w:t>
      </w:r>
      <w:r w:rsidR="00483C3F" w:rsidRPr="004A46D6">
        <w:rPr>
          <w:lang w:val="en-US"/>
        </w:rPr>
        <w:t xml:space="preserve"> and visualizations of the </w:t>
      </w:r>
      <w:r w:rsidR="002C15B9" w:rsidRPr="004A46D6">
        <w:rPr>
          <w:lang w:val="en-US"/>
        </w:rPr>
        <w:t>overall contributions</w:t>
      </w:r>
      <w:r w:rsidR="00483C3F" w:rsidRPr="004A46D6">
        <w:rPr>
          <w:lang w:val="en-US"/>
        </w:rPr>
        <w:t xml:space="preserve"> of living heritage </w:t>
      </w:r>
      <w:r w:rsidR="002C15B9" w:rsidRPr="004A46D6">
        <w:rPr>
          <w:lang w:val="en-US"/>
        </w:rPr>
        <w:t xml:space="preserve">to the Agenda 2030 and </w:t>
      </w:r>
      <w:r w:rsidR="00483C3F" w:rsidRPr="004A46D6">
        <w:rPr>
          <w:lang w:val="en-US"/>
        </w:rPr>
        <w:t xml:space="preserve">its </w:t>
      </w:r>
      <w:r w:rsidR="002C15B9" w:rsidRPr="004A46D6">
        <w:rPr>
          <w:lang w:val="en-US"/>
        </w:rPr>
        <w:t>sustainable development</w:t>
      </w:r>
      <w:r w:rsidR="00483C3F" w:rsidRPr="004A46D6">
        <w:rPr>
          <w:lang w:val="en-US"/>
        </w:rPr>
        <w:t xml:space="preserve"> goals.</w:t>
      </w:r>
    </w:p>
    <w:p w14:paraId="6DF730BE" w14:textId="67DD8F3B" w:rsidR="000420D8" w:rsidRDefault="00114E9C" w:rsidP="0022291E">
      <w:pPr>
        <w:pStyle w:val="COMPara"/>
        <w:numPr>
          <w:ilvl w:val="0"/>
          <w:numId w:val="38"/>
        </w:numPr>
        <w:ind w:left="567" w:hanging="567"/>
        <w:jc w:val="both"/>
        <w:rPr>
          <w:lang w:val="en-US"/>
        </w:rPr>
      </w:pPr>
      <w:r w:rsidRPr="004A46D6">
        <w:rPr>
          <w:lang w:val="en-US"/>
        </w:rPr>
        <w:t>In the meantime, t</w:t>
      </w:r>
      <w:r w:rsidR="00FA1581" w:rsidRPr="004A46D6">
        <w:rPr>
          <w:lang w:val="en-US"/>
        </w:rPr>
        <w:t xml:space="preserve">he statutory responsibilities </w:t>
      </w:r>
      <w:r w:rsidR="00131711" w:rsidRPr="004A46D6">
        <w:rPr>
          <w:lang w:val="en-US"/>
        </w:rPr>
        <w:t xml:space="preserve">continue to occupy </w:t>
      </w:r>
      <w:r w:rsidR="00FA1581" w:rsidRPr="004A46D6">
        <w:rPr>
          <w:lang w:val="en-US"/>
        </w:rPr>
        <w:t>a significant portion of the Secretariat’s workload. The main challenge is administer</w:t>
      </w:r>
      <w:r w:rsidR="009C6184" w:rsidRPr="004A46D6">
        <w:rPr>
          <w:lang w:val="en-US"/>
        </w:rPr>
        <w:t>ing</w:t>
      </w:r>
      <w:r w:rsidR="00FA1581" w:rsidRPr="004A46D6">
        <w:rPr>
          <w:lang w:val="en-US"/>
        </w:rPr>
        <w:t xml:space="preserve"> a high volume of </w:t>
      </w:r>
      <w:r w:rsidR="00D002E0" w:rsidRPr="004A46D6">
        <w:rPr>
          <w:lang w:val="en-US"/>
        </w:rPr>
        <w:t xml:space="preserve">files </w:t>
      </w:r>
      <w:r w:rsidR="00FA1581" w:rsidRPr="004A46D6">
        <w:rPr>
          <w:lang w:val="en-US"/>
        </w:rPr>
        <w:t xml:space="preserve">and meetings, with overlapping cycles, within a </w:t>
      </w:r>
      <w:r w:rsidR="00FA1581" w:rsidRPr="00D1234C">
        <w:rPr>
          <w:lang w:val="en-US"/>
        </w:rPr>
        <w:t>strictly</w:t>
      </w:r>
      <w:r w:rsidR="00FA1581" w:rsidRPr="004A46D6">
        <w:rPr>
          <w:lang w:val="en-US"/>
        </w:rPr>
        <w:t xml:space="preserve"> set </w:t>
      </w:r>
      <w:r w:rsidR="00336F08" w:rsidRPr="004A46D6">
        <w:rPr>
          <w:lang w:val="en-US"/>
        </w:rPr>
        <w:t>timeframe</w:t>
      </w:r>
      <w:r w:rsidR="00FA1581" w:rsidRPr="004A46D6">
        <w:rPr>
          <w:lang w:val="en-US"/>
        </w:rPr>
        <w:t>. The broadness and swift speed with which the governing bodies of the Convention ha</w:t>
      </w:r>
      <w:r w:rsidR="009C6184" w:rsidRPr="004A46D6">
        <w:rPr>
          <w:lang w:val="en-US"/>
        </w:rPr>
        <w:t>ve</w:t>
      </w:r>
      <w:r w:rsidR="00FA1581" w:rsidRPr="004A46D6">
        <w:rPr>
          <w:lang w:val="en-US"/>
        </w:rPr>
        <w:t xml:space="preserve"> been taking </w:t>
      </w:r>
      <w:r w:rsidR="0063276A" w:rsidRPr="004A46D6">
        <w:rPr>
          <w:lang w:val="en-US"/>
        </w:rPr>
        <w:t>up new subjects of reflection or</w:t>
      </w:r>
      <w:r w:rsidR="00FA1581" w:rsidRPr="004A46D6">
        <w:rPr>
          <w:lang w:val="en-US"/>
        </w:rPr>
        <w:t xml:space="preserve"> reform means that </w:t>
      </w:r>
      <w:r w:rsidR="00EB1C15">
        <w:rPr>
          <w:lang w:val="en-US"/>
        </w:rPr>
        <w:t>t</w:t>
      </w:r>
      <w:r w:rsidR="00FA1581" w:rsidRPr="004A46D6">
        <w:rPr>
          <w:lang w:val="en-US"/>
        </w:rPr>
        <w:t xml:space="preserve">he Secretariat </w:t>
      </w:r>
      <w:proofErr w:type="gramStart"/>
      <w:r w:rsidR="00D002E0" w:rsidRPr="004A46D6">
        <w:rPr>
          <w:lang w:val="en-US"/>
        </w:rPr>
        <w:t>is</w:t>
      </w:r>
      <w:r w:rsidR="00EB1C15">
        <w:rPr>
          <w:lang w:val="en-US"/>
        </w:rPr>
        <w:t xml:space="preserve"> </w:t>
      </w:r>
      <w:r w:rsidR="00FA1581" w:rsidRPr="004A46D6">
        <w:rPr>
          <w:lang w:val="en-US"/>
        </w:rPr>
        <w:t>asked</w:t>
      </w:r>
      <w:proofErr w:type="gramEnd"/>
      <w:r w:rsidR="00FA1581" w:rsidRPr="004A46D6">
        <w:rPr>
          <w:lang w:val="en-US"/>
        </w:rPr>
        <w:t xml:space="preserve"> to master emerging topics and propose technical solutions so that the Convention </w:t>
      </w:r>
      <w:r w:rsidR="009C6184" w:rsidRPr="004A46D6">
        <w:rPr>
          <w:lang w:val="en-US"/>
        </w:rPr>
        <w:t>remains</w:t>
      </w:r>
      <w:r w:rsidR="00FA1581" w:rsidRPr="004A46D6">
        <w:rPr>
          <w:lang w:val="en-US"/>
        </w:rPr>
        <w:t xml:space="preserve"> relevan</w:t>
      </w:r>
      <w:r w:rsidR="009C6184" w:rsidRPr="004A46D6">
        <w:rPr>
          <w:lang w:val="en-US"/>
        </w:rPr>
        <w:t>t</w:t>
      </w:r>
      <w:r w:rsidR="0063276A" w:rsidRPr="004A46D6">
        <w:rPr>
          <w:lang w:val="en-US"/>
        </w:rPr>
        <w:t xml:space="preserve"> in response to </w:t>
      </w:r>
      <w:r w:rsidR="004E3412" w:rsidRPr="004A46D6">
        <w:rPr>
          <w:lang w:val="en-US"/>
        </w:rPr>
        <w:t>global and emerging issues</w:t>
      </w:r>
      <w:r w:rsidR="00EB1C15">
        <w:rPr>
          <w:lang w:val="en-US"/>
        </w:rPr>
        <w:t>.</w:t>
      </w:r>
    </w:p>
    <w:p w14:paraId="39CCC95D" w14:textId="77777777" w:rsidR="000420D8" w:rsidRDefault="000420D8">
      <w:pPr>
        <w:rPr>
          <w:rFonts w:ascii="Arial" w:hAnsi="Arial" w:cs="Arial"/>
          <w:snapToGrid w:val="0"/>
          <w:sz w:val="22"/>
          <w:szCs w:val="22"/>
          <w:lang w:val="en-US" w:eastAsia="en-US"/>
        </w:rPr>
      </w:pPr>
      <w:r>
        <w:rPr>
          <w:lang w:val="en-US"/>
        </w:rPr>
        <w:br w:type="page"/>
      </w:r>
    </w:p>
    <w:p w14:paraId="59E4E9B7" w14:textId="71ACE537" w:rsidR="002F2C2E" w:rsidRPr="004A46D6" w:rsidRDefault="00157C84" w:rsidP="002F2C2E">
      <w:pPr>
        <w:pStyle w:val="COMPara"/>
        <w:numPr>
          <w:ilvl w:val="0"/>
          <w:numId w:val="38"/>
        </w:numPr>
        <w:ind w:left="567" w:hanging="567"/>
        <w:jc w:val="both"/>
        <w:rPr>
          <w:lang w:val="en-US"/>
        </w:rPr>
      </w:pPr>
      <w:r w:rsidRPr="004A46D6">
        <w:rPr>
          <w:lang w:val="en-US"/>
        </w:rPr>
        <w:lastRenderedPageBreak/>
        <w:t xml:space="preserve">As </w:t>
      </w:r>
      <w:r w:rsidR="009C6184" w:rsidRPr="004A46D6">
        <w:rPr>
          <w:lang w:val="en-US"/>
        </w:rPr>
        <w:t xml:space="preserve">for </w:t>
      </w:r>
      <w:r w:rsidR="00114E9C" w:rsidRPr="004A46D6">
        <w:rPr>
          <w:lang w:val="en-US"/>
        </w:rPr>
        <w:t xml:space="preserve">operational activities, </w:t>
      </w:r>
      <w:r w:rsidR="00973E55" w:rsidRPr="004A46D6">
        <w:rPr>
          <w:lang w:val="en-US"/>
        </w:rPr>
        <w:t>financial</w:t>
      </w:r>
      <w:r w:rsidR="00FD29E6" w:rsidRPr="004A46D6">
        <w:rPr>
          <w:lang w:val="en-US"/>
        </w:rPr>
        <w:t xml:space="preserve"> support </w:t>
      </w:r>
      <w:r w:rsidR="009C6184" w:rsidRPr="004A46D6">
        <w:rPr>
          <w:lang w:val="en-US"/>
        </w:rPr>
        <w:t xml:space="preserve">for </w:t>
      </w:r>
      <w:r w:rsidRPr="004A46D6">
        <w:rPr>
          <w:lang w:val="en-US"/>
        </w:rPr>
        <w:t xml:space="preserve">the </w:t>
      </w:r>
      <w:r w:rsidR="00C7008E" w:rsidRPr="004A46D6">
        <w:rPr>
          <w:lang w:val="en-US"/>
        </w:rPr>
        <w:t xml:space="preserve">first funding priority on </w:t>
      </w:r>
      <w:r w:rsidR="009C6184" w:rsidRPr="004A46D6">
        <w:rPr>
          <w:lang w:val="en-US"/>
        </w:rPr>
        <w:t xml:space="preserve">the </w:t>
      </w:r>
      <w:r w:rsidRPr="004A46D6">
        <w:rPr>
          <w:lang w:val="en-US"/>
        </w:rPr>
        <w:t>capacity</w:t>
      </w:r>
      <w:r w:rsidR="003A5190">
        <w:rPr>
          <w:lang w:val="en-US"/>
        </w:rPr>
        <w:noBreakHyphen/>
      </w:r>
      <w:r w:rsidRPr="004A46D6">
        <w:rPr>
          <w:lang w:val="en-US"/>
        </w:rPr>
        <w:t xml:space="preserve">building </w:t>
      </w:r>
      <w:proofErr w:type="spellStart"/>
      <w:r w:rsidRPr="004A46D6">
        <w:rPr>
          <w:lang w:val="en-US"/>
        </w:rPr>
        <w:t>programme</w:t>
      </w:r>
      <w:proofErr w:type="spellEnd"/>
      <w:r w:rsidRPr="004A46D6">
        <w:rPr>
          <w:lang w:val="en-US"/>
        </w:rPr>
        <w:t xml:space="preserve"> has been </w:t>
      </w:r>
      <w:r w:rsidRPr="00763014">
        <w:rPr>
          <w:lang w:val="en-US"/>
        </w:rPr>
        <w:t>low</w:t>
      </w:r>
      <w:r w:rsidR="002A382A" w:rsidRPr="00763014">
        <w:rPr>
          <w:lang w:val="en-US"/>
        </w:rPr>
        <w:t>, with</w:t>
      </w:r>
      <w:r w:rsidRPr="00763014">
        <w:rPr>
          <w:lang w:val="en-US"/>
        </w:rPr>
        <w:t xml:space="preserve"> contribution</w:t>
      </w:r>
      <w:r w:rsidR="002A382A" w:rsidRPr="00763014">
        <w:rPr>
          <w:lang w:val="en-US"/>
        </w:rPr>
        <w:t>s</w:t>
      </w:r>
      <w:r w:rsidRPr="00763014">
        <w:rPr>
          <w:lang w:val="en-US"/>
        </w:rPr>
        <w:t xml:space="preserve"> from </w:t>
      </w:r>
      <w:r w:rsidR="00763014" w:rsidRPr="00D1234C">
        <w:rPr>
          <w:lang w:val="en-US"/>
        </w:rPr>
        <w:t>Japan and Flanders</w:t>
      </w:r>
      <w:r w:rsidR="009C6184" w:rsidRPr="00763014">
        <w:rPr>
          <w:lang w:val="en-US"/>
        </w:rPr>
        <w:t>,</w:t>
      </w:r>
      <w:r w:rsidRPr="004A46D6">
        <w:rPr>
          <w:lang w:val="en-US"/>
        </w:rPr>
        <w:t xml:space="preserve"> under the reporting period.</w:t>
      </w:r>
      <w:r w:rsidR="001E5FDC" w:rsidRPr="004A46D6">
        <w:rPr>
          <w:lang w:val="en-US"/>
        </w:rPr>
        <w:t xml:space="preserve"> </w:t>
      </w:r>
      <w:r w:rsidR="00541211" w:rsidRPr="00CF516C">
        <w:rPr>
          <w:lang w:val="en-US"/>
        </w:rPr>
        <w:t xml:space="preserve">The high amount of funding that has </w:t>
      </w:r>
      <w:r w:rsidR="00285A85" w:rsidRPr="00CF516C">
        <w:rPr>
          <w:lang w:val="en-US"/>
        </w:rPr>
        <w:t>accumulated</w:t>
      </w:r>
      <w:r w:rsidR="00541211" w:rsidRPr="00CF516C">
        <w:rPr>
          <w:lang w:val="en-US"/>
        </w:rPr>
        <w:t xml:space="preserve"> in the Fund </w:t>
      </w:r>
      <w:r w:rsidR="00E17E5A" w:rsidRPr="00CF516C">
        <w:rPr>
          <w:lang w:val="en-US"/>
        </w:rPr>
        <w:t>seem</w:t>
      </w:r>
      <w:r w:rsidR="00285A85" w:rsidRPr="00CF516C">
        <w:rPr>
          <w:lang w:val="en-US"/>
        </w:rPr>
        <w:t>s</w:t>
      </w:r>
      <w:r w:rsidR="00E17E5A" w:rsidRPr="00CF516C">
        <w:rPr>
          <w:lang w:val="en-US"/>
        </w:rPr>
        <w:t xml:space="preserve"> to have discouraged donors and partners from </w:t>
      </w:r>
      <w:r w:rsidR="00285A85" w:rsidRPr="00CF516C">
        <w:rPr>
          <w:lang w:val="en-US"/>
        </w:rPr>
        <w:t xml:space="preserve">making </w:t>
      </w:r>
      <w:r w:rsidR="00791176">
        <w:rPr>
          <w:lang w:val="en-US"/>
        </w:rPr>
        <w:t>additional</w:t>
      </w:r>
      <w:r w:rsidR="00285A85" w:rsidRPr="00CF516C">
        <w:rPr>
          <w:lang w:val="en-US"/>
        </w:rPr>
        <w:t xml:space="preserve"> voluntary contributions</w:t>
      </w:r>
      <w:r w:rsidR="00E17E5A" w:rsidRPr="00CF516C">
        <w:rPr>
          <w:lang w:val="en-US"/>
        </w:rPr>
        <w:t xml:space="preserve">. </w:t>
      </w:r>
      <w:r w:rsidR="00285A85" w:rsidRPr="00CF516C">
        <w:rPr>
          <w:lang w:val="en-US"/>
        </w:rPr>
        <w:t>However, n</w:t>
      </w:r>
      <w:r w:rsidR="00482F82" w:rsidRPr="00CF516C">
        <w:rPr>
          <w:lang w:val="en-US"/>
        </w:rPr>
        <w:t xml:space="preserve">ow that the Fund is in </w:t>
      </w:r>
      <w:r w:rsidR="00E17E5A" w:rsidRPr="00D1234C">
        <w:rPr>
          <w:lang w:val="en-US"/>
        </w:rPr>
        <w:t xml:space="preserve">a </w:t>
      </w:r>
      <w:r w:rsidR="00482F82" w:rsidRPr="00CF516C">
        <w:rPr>
          <w:lang w:val="en-US"/>
        </w:rPr>
        <w:t xml:space="preserve">healthier operational situation, </w:t>
      </w:r>
      <w:r w:rsidR="00E17E5A" w:rsidRPr="00D1234C">
        <w:rPr>
          <w:lang w:val="en-US"/>
        </w:rPr>
        <w:t>the Secretariat has started to receive positive informal reactions from donors and partners on project pr</w:t>
      </w:r>
      <w:r w:rsidR="00C504C1">
        <w:rPr>
          <w:lang w:val="en-US"/>
        </w:rPr>
        <w:t>o</w:t>
      </w:r>
      <w:r w:rsidR="00E17E5A" w:rsidRPr="00D1234C">
        <w:rPr>
          <w:lang w:val="en-US"/>
        </w:rPr>
        <w:t>posals presented to them</w:t>
      </w:r>
      <w:r w:rsidR="00482F82" w:rsidRPr="00E17E5A">
        <w:rPr>
          <w:lang w:val="en-US"/>
        </w:rPr>
        <w:t xml:space="preserve">. </w:t>
      </w:r>
      <w:r w:rsidR="001E5FDC" w:rsidRPr="00E17E5A">
        <w:rPr>
          <w:lang w:val="en-US"/>
        </w:rPr>
        <w:t>At</w:t>
      </w:r>
      <w:r w:rsidR="001E5FDC" w:rsidRPr="004A46D6">
        <w:rPr>
          <w:lang w:val="en-US"/>
        </w:rPr>
        <w:t xml:space="preserve"> the same time, the </w:t>
      </w:r>
      <w:proofErr w:type="spellStart"/>
      <w:r w:rsidR="001E5FDC" w:rsidRPr="004A46D6">
        <w:rPr>
          <w:lang w:val="en-US"/>
        </w:rPr>
        <w:t>programme</w:t>
      </w:r>
      <w:proofErr w:type="spellEnd"/>
      <w:r w:rsidR="001E5FDC" w:rsidRPr="004A46D6">
        <w:rPr>
          <w:lang w:val="en-US"/>
        </w:rPr>
        <w:t xml:space="preserve"> has seen an important </w:t>
      </w:r>
      <w:r w:rsidR="00114E9C" w:rsidRPr="00D1234C">
        <w:rPr>
          <w:lang w:val="en-US"/>
        </w:rPr>
        <w:t>shift under the reporting period</w:t>
      </w:r>
      <w:r w:rsidR="001E5FDC" w:rsidRPr="00D1234C">
        <w:rPr>
          <w:lang w:val="en-US"/>
        </w:rPr>
        <w:t xml:space="preserve"> in terms of the </w:t>
      </w:r>
      <w:r w:rsidRPr="00D1234C">
        <w:rPr>
          <w:lang w:val="en-US"/>
        </w:rPr>
        <w:t>strategic</w:t>
      </w:r>
      <w:r w:rsidR="001E5FDC" w:rsidRPr="00D1234C">
        <w:rPr>
          <w:lang w:val="en-US"/>
        </w:rPr>
        <w:t xml:space="preserve"> role played by Category 2 </w:t>
      </w:r>
      <w:proofErr w:type="spellStart"/>
      <w:r w:rsidR="00C504C1">
        <w:rPr>
          <w:lang w:val="en-US"/>
        </w:rPr>
        <w:t>c</w:t>
      </w:r>
      <w:r w:rsidR="001E5FDC" w:rsidRPr="00D1234C">
        <w:rPr>
          <w:lang w:val="en-US"/>
        </w:rPr>
        <w:t>entres</w:t>
      </w:r>
      <w:proofErr w:type="spellEnd"/>
      <w:r w:rsidR="001E5FDC" w:rsidRPr="00D1234C">
        <w:rPr>
          <w:lang w:val="en-US"/>
        </w:rPr>
        <w:t xml:space="preserve"> in supporting the implementation of the </w:t>
      </w:r>
      <w:proofErr w:type="spellStart"/>
      <w:r w:rsidR="001E5FDC" w:rsidRPr="00D1234C">
        <w:rPr>
          <w:lang w:val="en-US"/>
        </w:rPr>
        <w:t>programme</w:t>
      </w:r>
      <w:proofErr w:type="spellEnd"/>
      <w:r w:rsidR="001E5FDC" w:rsidRPr="00D1234C">
        <w:rPr>
          <w:lang w:val="en-US"/>
        </w:rPr>
        <w:t xml:space="preserve"> in different regions. </w:t>
      </w:r>
      <w:r w:rsidR="00D46CF6" w:rsidRPr="00D1234C">
        <w:rPr>
          <w:lang w:val="en-US"/>
        </w:rPr>
        <w:t xml:space="preserve">In addition, there has been a growing number of capacity-building initiatives supported through the International Assistance mechanism, including capacity building on inventorying and safeguarding in </w:t>
      </w:r>
      <w:r w:rsidR="009C6184" w:rsidRPr="00D1234C">
        <w:rPr>
          <w:lang w:val="en-US"/>
        </w:rPr>
        <w:t xml:space="preserve">twenty-one </w:t>
      </w:r>
      <w:r w:rsidR="00D46CF6" w:rsidRPr="00D1234C">
        <w:rPr>
          <w:lang w:val="en-US"/>
        </w:rPr>
        <w:t>countries.</w:t>
      </w:r>
      <w:r w:rsidR="00037172" w:rsidRPr="00D1234C">
        <w:rPr>
          <w:lang w:val="en-US"/>
        </w:rPr>
        <w:t xml:space="preserve"> Th</w:t>
      </w:r>
      <w:r w:rsidR="009C6184" w:rsidRPr="00D1234C">
        <w:rPr>
          <w:lang w:val="en-US"/>
        </w:rPr>
        <w:t>is</w:t>
      </w:r>
      <w:r w:rsidR="00037172" w:rsidRPr="00D1234C">
        <w:rPr>
          <w:lang w:val="en-US"/>
        </w:rPr>
        <w:t xml:space="preserve"> accumulation of wider experience has</w:t>
      </w:r>
      <w:r w:rsidR="009C6184" w:rsidRPr="00D1234C">
        <w:rPr>
          <w:lang w:val="en-US"/>
        </w:rPr>
        <w:t xml:space="preserve"> made it possible for</w:t>
      </w:r>
      <w:r w:rsidR="00037172" w:rsidRPr="00D1234C">
        <w:rPr>
          <w:lang w:val="en-US"/>
        </w:rPr>
        <w:t xml:space="preserve"> the </w:t>
      </w:r>
      <w:proofErr w:type="spellStart"/>
      <w:r w:rsidR="00037172" w:rsidRPr="00D1234C">
        <w:rPr>
          <w:lang w:val="en-US"/>
        </w:rPr>
        <w:t>programme</w:t>
      </w:r>
      <w:proofErr w:type="spellEnd"/>
      <w:r w:rsidR="00037172" w:rsidRPr="00D1234C">
        <w:rPr>
          <w:lang w:val="en-US"/>
        </w:rPr>
        <w:t xml:space="preserve"> to reach a more mature state</w:t>
      </w:r>
      <w:r w:rsidR="00D46CF6" w:rsidRPr="00D1234C">
        <w:rPr>
          <w:lang w:val="en-US"/>
        </w:rPr>
        <w:t>.</w:t>
      </w:r>
    </w:p>
    <w:p w14:paraId="035D8F4A" w14:textId="1AEEF70E" w:rsidR="002F2C2E" w:rsidRPr="004A46D6" w:rsidRDefault="002F2C2E" w:rsidP="002F2C2E">
      <w:pPr>
        <w:pStyle w:val="COMPara"/>
        <w:numPr>
          <w:ilvl w:val="0"/>
          <w:numId w:val="38"/>
        </w:numPr>
        <w:ind w:left="567" w:hanging="567"/>
        <w:jc w:val="both"/>
        <w:rPr>
          <w:lang w:val="en-US"/>
        </w:rPr>
      </w:pPr>
      <w:r w:rsidRPr="00D1234C">
        <w:rPr>
          <w:lang w:val="en-US"/>
        </w:rPr>
        <w:t xml:space="preserve">The Secretariat continues to feel the need to reflect seriously and creatively </w:t>
      </w:r>
      <w:r w:rsidR="009304CD" w:rsidRPr="00D1234C">
        <w:rPr>
          <w:lang w:val="en-US"/>
        </w:rPr>
        <w:t xml:space="preserve">on </w:t>
      </w:r>
      <w:r w:rsidRPr="00D1234C">
        <w:rPr>
          <w:lang w:val="en-US"/>
        </w:rPr>
        <w:t xml:space="preserve">how to sustain the </w:t>
      </w:r>
      <w:r w:rsidR="00131711" w:rsidRPr="00D1234C">
        <w:rPr>
          <w:lang w:val="en-US"/>
        </w:rPr>
        <w:t>capacity</w:t>
      </w:r>
      <w:r w:rsidR="001520AC" w:rsidRPr="00D1234C">
        <w:rPr>
          <w:lang w:val="en-US"/>
        </w:rPr>
        <w:t>-</w:t>
      </w:r>
      <w:r w:rsidR="00131711" w:rsidRPr="00D1234C">
        <w:rPr>
          <w:lang w:val="en-US"/>
        </w:rPr>
        <w:t xml:space="preserve">building </w:t>
      </w:r>
      <w:proofErr w:type="spellStart"/>
      <w:r w:rsidRPr="00D1234C">
        <w:rPr>
          <w:lang w:val="en-US"/>
        </w:rPr>
        <w:t>programme</w:t>
      </w:r>
      <w:proofErr w:type="spellEnd"/>
      <w:r w:rsidRPr="00D1234C">
        <w:rPr>
          <w:lang w:val="en-US"/>
        </w:rPr>
        <w:t xml:space="preserve">. In the longer term, institutional partnerships </w:t>
      </w:r>
      <w:r w:rsidR="009304CD" w:rsidRPr="00D1234C">
        <w:rPr>
          <w:lang w:val="en-US"/>
        </w:rPr>
        <w:t xml:space="preserve">could </w:t>
      </w:r>
      <w:r w:rsidRPr="00D1234C">
        <w:rPr>
          <w:lang w:val="en-US"/>
        </w:rPr>
        <w:t xml:space="preserve">provide innovative opportunities as a way forward to allow for </w:t>
      </w:r>
      <w:r w:rsidR="009304CD" w:rsidRPr="00D1234C">
        <w:rPr>
          <w:lang w:val="en-US"/>
        </w:rPr>
        <w:t xml:space="preserve">the </w:t>
      </w:r>
      <w:r w:rsidRPr="00D1234C">
        <w:rPr>
          <w:lang w:val="en-US"/>
        </w:rPr>
        <w:t xml:space="preserve">continued expansion and financial stability of the </w:t>
      </w:r>
      <w:proofErr w:type="spellStart"/>
      <w:r w:rsidRPr="00D1234C">
        <w:rPr>
          <w:lang w:val="en-US"/>
        </w:rPr>
        <w:t>programme</w:t>
      </w:r>
      <w:proofErr w:type="spellEnd"/>
      <w:r w:rsidRPr="00D1234C">
        <w:rPr>
          <w:lang w:val="en-US"/>
        </w:rPr>
        <w:t xml:space="preserve">. </w:t>
      </w:r>
      <w:r w:rsidRPr="004A46D6">
        <w:rPr>
          <w:lang w:val="en-US"/>
        </w:rPr>
        <w:t xml:space="preserve">A </w:t>
      </w:r>
      <w:r w:rsidRPr="00D1234C">
        <w:rPr>
          <w:lang w:val="en-US"/>
        </w:rPr>
        <w:t>feasibility study</w:t>
      </w:r>
      <w:r w:rsidRPr="00367E0A">
        <w:rPr>
          <w:lang w:val="en-US"/>
        </w:rPr>
        <w:t>,</w:t>
      </w:r>
      <w:r w:rsidRPr="004A46D6">
        <w:rPr>
          <w:lang w:val="en-US"/>
        </w:rPr>
        <w:t xml:space="preserve"> which the Secretariat commissioned on possible future partnerships for sustaining the </w:t>
      </w:r>
      <w:proofErr w:type="spellStart"/>
      <w:r w:rsidRPr="004A46D6">
        <w:rPr>
          <w:lang w:val="en-US"/>
        </w:rPr>
        <w:t>progr</w:t>
      </w:r>
      <w:r w:rsidR="009304CD" w:rsidRPr="004A46D6">
        <w:rPr>
          <w:lang w:val="en-US"/>
        </w:rPr>
        <w:t>a</w:t>
      </w:r>
      <w:r w:rsidRPr="004A46D6">
        <w:rPr>
          <w:lang w:val="en-US"/>
        </w:rPr>
        <w:t>mme</w:t>
      </w:r>
      <w:proofErr w:type="spellEnd"/>
      <w:r w:rsidR="00791176">
        <w:rPr>
          <w:lang w:val="en-US"/>
        </w:rPr>
        <w:t>,</w:t>
      </w:r>
      <w:r w:rsidRPr="004A46D6">
        <w:rPr>
          <w:lang w:val="en-US"/>
        </w:rPr>
        <w:t xml:space="preserve"> points </w:t>
      </w:r>
      <w:r w:rsidR="009304CD" w:rsidRPr="004A46D6">
        <w:rPr>
          <w:lang w:val="en-US"/>
        </w:rPr>
        <w:t>in</w:t>
      </w:r>
      <w:r w:rsidRPr="004A46D6">
        <w:rPr>
          <w:lang w:val="en-US"/>
        </w:rPr>
        <w:t xml:space="preserve"> this direction</w:t>
      </w:r>
      <w:r w:rsidR="009304CD" w:rsidRPr="004A46D6">
        <w:rPr>
          <w:lang w:val="en-US"/>
        </w:rPr>
        <w:t>. This study</w:t>
      </w:r>
      <w:r w:rsidRPr="004A46D6">
        <w:rPr>
          <w:lang w:val="en-US"/>
        </w:rPr>
        <w:t xml:space="preserve"> underlined the</w:t>
      </w:r>
      <w:r w:rsidR="009304CD" w:rsidRPr="004A46D6">
        <w:rPr>
          <w:lang w:val="en-US"/>
        </w:rPr>
        <w:t xml:space="preserve"> considerable</w:t>
      </w:r>
      <w:r w:rsidRPr="004A46D6">
        <w:rPr>
          <w:lang w:val="en-US"/>
        </w:rPr>
        <w:t xml:space="preserve"> great potential of a stronger role for </w:t>
      </w:r>
      <w:r w:rsidR="009304CD" w:rsidRPr="004A46D6">
        <w:rPr>
          <w:lang w:val="en-US"/>
        </w:rPr>
        <w:t>C</w:t>
      </w:r>
      <w:r w:rsidRPr="004A46D6">
        <w:rPr>
          <w:lang w:val="en-US"/>
        </w:rPr>
        <w:t xml:space="preserve">ategory 2 </w:t>
      </w:r>
      <w:proofErr w:type="spellStart"/>
      <w:r w:rsidR="00C504C1">
        <w:rPr>
          <w:lang w:val="en-US"/>
        </w:rPr>
        <w:t>c</w:t>
      </w:r>
      <w:r w:rsidRPr="004A46D6">
        <w:rPr>
          <w:lang w:val="en-US"/>
        </w:rPr>
        <w:t>entres</w:t>
      </w:r>
      <w:proofErr w:type="spellEnd"/>
      <w:r w:rsidRPr="004A46D6">
        <w:rPr>
          <w:lang w:val="en-US"/>
        </w:rPr>
        <w:t xml:space="preserve"> in regionalizing the </w:t>
      </w:r>
      <w:proofErr w:type="spellStart"/>
      <w:r w:rsidRPr="004A46D6">
        <w:rPr>
          <w:lang w:val="en-US"/>
        </w:rPr>
        <w:t>programme</w:t>
      </w:r>
      <w:proofErr w:type="spellEnd"/>
      <w:r w:rsidRPr="004A46D6">
        <w:rPr>
          <w:lang w:val="en-US"/>
        </w:rPr>
        <w:t xml:space="preserve">, stronger partnerships with other heritage institutions in integrating the capacity-building </w:t>
      </w:r>
      <w:proofErr w:type="spellStart"/>
      <w:r w:rsidRPr="004A46D6">
        <w:rPr>
          <w:lang w:val="en-US"/>
        </w:rPr>
        <w:t>programme</w:t>
      </w:r>
      <w:proofErr w:type="spellEnd"/>
      <w:r w:rsidRPr="004A46D6">
        <w:rPr>
          <w:lang w:val="en-US"/>
        </w:rPr>
        <w:t xml:space="preserve"> in</w:t>
      </w:r>
      <w:r w:rsidR="009304CD" w:rsidRPr="004A46D6">
        <w:rPr>
          <w:lang w:val="en-US"/>
        </w:rPr>
        <w:t>to</w:t>
      </w:r>
      <w:r w:rsidRPr="004A46D6">
        <w:rPr>
          <w:lang w:val="en-US"/>
        </w:rPr>
        <w:t xml:space="preserve"> their actions and capacity-building mechanism</w:t>
      </w:r>
      <w:r w:rsidR="009304CD" w:rsidRPr="004A46D6">
        <w:rPr>
          <w:lang w:val="en-US"/>
        </w:rPr>
        <w:t>s</w:t>
      </w:r>
      <w:r w:rsidRPr="004A46D6">
        <w:rPr>
          <w:lang w:val="en-US"/>
        </w:rPr>
        <w:t xml:space="preserve"> at </w:t>
      </w:r>
      <w:r w:rsidR="009304CD" w:rsidRPr="004A46D6">
        <w:rPr>
          <w:lang w:val="en-US"/>
        </w:rPr>
        <w:t xml:space="preserve">the </w:t>
      </w:r>
      <w:r w:rsidRPr="004A46D6">
        <w:rPr>
          <w:lang w:val="en-US"/>
        </w:rPr>
        <w:t xml:space="preserve">national level. It also recommended </w:t>
      </w:r>
      <w:proofErr w:type="gramStart"/>
      <w:r w:rsidRPr="004A46D6">
        <w:rPr>
          <w:lang w:val="en-US"/>
        </w:rPr>
        <w:t>stakeholder</w:t>
      </w:r>
      <w:r w:rsidR="009304CD" w:rsidRPr="004A46D6">
        <w:rPr>
          <w:lang w:val="en-US"/>
        </w:rPr>
        <w:t xml:space="preserve"> </w:t>
      </w:r>
      <w:r w:rsidRPr="004A46D6">
        <w:rPr>
          <w:lang w:val="en-US"/>
        </w:rPr>
        <w:t>group</w:t>
      </w:r>
      <w:r w:rsidR="009304CD" w:rsidRPr="004A46D6">
        <w:rPr>
          <w:lang w:val="en-US"/>
        </w:rPr>
        <w:noBreakHyphen/>
      </w:r>
      <w:r w:rsidRPr="004A46D6">
        <w:rPr>
          <w:lang w:val="en-US"/>
        </w:rPr>
        <w:t xml:space="preserve">specific capacity building </w:t>
      </w:r>
      <w:r w:rsidR="00791176">
        <w:rPr>
          <w:lang w:val="en-US"/>
        </w:rPr>
        <w:t>initiatives</w:t>
      </w:r>
      <w:proofErr w:type="gramEnd"/>
      <w:r w:rsidR="00791176">
        <w:rPr>
          <w:lang w:val="en-US"/>
        </w:rPr>
        <w:t xml:space="preserve"> </w:t>
      </w:r>
      <w:r w:rsidRPr="004A46D6">
        <w:rPr>
          <w:lang w:val="en-US"/>
        </w:rPr>
        <w:t xml:space="preserve">through partnerships with organizations, such as NGOs and museum associations </w:t>
      </w:r>
      <w:r w:rsidR="00791176">
        <w:rPr>
          <w:lang w:val="en-US"/>
        </w:rPr>
        <w:t>as well as</w:t>
      </w:r>
      <w:r w:rsidR="00791176" w:rsidRPr="004A46D6">
        <w:rPr>
          <w:lang w:val="en-US"/>
        </w:rPr>
        <w:t xml:space="preserve"> </w:t>
      </w:r>
      <w:r w:rsidRPr="004A46D6">
        <w:rPr>
          <w:lang w:val="en-US"/>
        </w:rPr>
        <w:t xml:space="preserve">local governments </w:t>
      </w:r>
      <w:r w:rsidR="00791176">
        <w:rPr>
          <w:lang w:val="en-US"/>
        </w:rPr>
        <w:t xml:space="preserve">or </w:t>
      </w:r>
      <w:r w:rsidRPr="004A46D6">
        <w:rPr>
          <w:lang w:val="en-US"/>
        </w:rPr>
        <w:t xml:space="preserve">other </w:t>
      </w:r>
      <w:r w:rsidRPr="00D1234C">
        <w:rPr>
          <w:lang w:val="en-US"/>
        </w:rPr>
        <w:t>UN agencies.</w:t>
      </w:r>
    </w:p>
    <w:p w14:paraId="094F8A38" w14:textId="42301EDC" w:rsidR="00F918A4" w:rsidRPr="004A46D6" w:rsidRDefault="0057793A">
      <w:pPr>
        <w:pStyle w:val="COMPara"/>
        <w:numPr>
          <w:ilvl w:val="0"/>
          <w:numId w:val="38"/>
        </w:numPr>
        <w:ind w:left="567" w:hanging="567"/>
        <w:jc w:val="both"/>
        <w:rPr>
          <w:lang w:val="en-US"/>
        </w:rPr>
      </w:pPr>
      <w:r w:rsidRPr="004A46D6">
        <w:rPr>
          <w:lang w:val="en-US"/>
        </w:rPr>
        <w:t xml:space="preserve">The Convention mentions transmission through formal and non-formal education in Article 2 of the Convention. </w:t>
      </w:r>
      <w:r w:rsidR="00F918A4" w:rsidRPr="004A46D6">
        <w:rPr>
          <w:lang w:val="en-US"/>
        </w:rPr>
        <w:t xml:space="preserve">The situation for the second funding priority on intangible cultural heritage in education requires careful consideration, as two years after its launch no voluntary supplementary contribution </w:t>
      </w:r>
      <w:proofErr w:type="gramStart"/>
      <w:r w:rsidR="00F918A4" w:rsidRPr="004A46D6">
        <w:rPr>
          <w:lang w:val="en-US"/>
        </w:rPr>
        <w:t>has been made</w:t>
      </w:r>
      <w:proofErr w:type="gramEnd"/>
      <w:r w:rsidR="00F918A4" w:rsidRPr="004A46D6">
        <w:rPr>
          <w:lang w:val="en-US"/>
        </w:rPr>
        <w:t xml:space="preserve"> to the Fund. Financial sustainability </w:t>
      </w:r>
      <w:proofErr w:type="gramStart"/>
      <w:r w:rsidR="00F918A4" w:rsidRPr="004A46D6">
        <w:rPr>
          <w:lang w:val="en-US"/>
        </w:rPr>
        <w:t>must be sought</w:t>
      </w:r>
      <w:proofErr w:type="gramEnd"/>
      <w:r w:rsidR="00F918A4" w:rsidRPr="004A46D6">
        <w:rPr>
          <w:lang w:val="en-US"/>
        </w:rPr>
        <w:t xml:space="preserve"> if States wish to give this priority a chance to make a meaningful contribution to the Sustainable Development Goals</w:t>
      </w:r>
      <w:r w:rsidRPr="004A46D6">
        <w:rPr>
          <w:lang w:val="en-US"/>
        </w:rPr>
        <w:t xml:space="preserve"> (</w:t>
      </w:r>
      <w:r w:rsidR="00F918A4" w:rsidRPr="004A46D6">
        <w:rPr>
          <w:lang w:val="en-US"/>
        </w:rPr>
        <w:t>particular</w:t>
      </w:r>
      <w:r w:rsidR="00742B4E" w:rsidRPr="004A46D6">
        <w:rPr>
          <w:lang w:val="en-US"/>
        </w:rPr>
        <w:t>ly</w:t>
      </w:r>
      <w:r w:rsidR="00F918A4" w:rsidRPr="004A46D6">
        <w:rPr>
          <w:lang w:val="en-US"/>
        </w:rPr>
        <w:t xml:space="preserve"> Goal 4</w:t>
      </w:r>
      <w:r w:rsidRPr="004A46D6">
        <w:rPr>
          <w:lang w:val="en-US"/>
        </w:rPr>
        <w:t>).</w:t>
      </w:r>
      <w:r w:rsidR="00F918A4" w:rsidRPr="004A46D6">
        <w:rPr>
          <w:lang w:val="en-US"/>
        </w:rPr>
        <w:t xml:space="preserve"> In this regard, the Secretariat will continue to explore potential partnerships by leveraging UNESCO’s</w:t>
      </w:r>
      <w:r w:rsidR="00F918A4" w:rsidRPr="00D1234C">
        <w:rPr>
          <w:lang w:val="en-US"/>
        </w:rPr>
        <w:t xml:space="preserve"> global role in intangible cultural heritage and in education as well as its ability to work </w:t>
      </w:r>
      <w:proofErr w:type="spellStart"/>
      <w:r w:rsidR="00F918A4" w:rsidRPr="00D1234C">
        <w:rPr>
          <w:lang w:val="en-US"/>
        </w:rPr>
        <w:t>intersectorally</w:t>
      </w:r>
      <w:proofErr w:type="spellEnd"/>
      <w:r w:rsidR="00F918A4" w:rsidRPr="00D1234C">
        <w:rPr>
          <w:lang w:val="en-US"/>
        </w:rPr>
        <w:t>.</w:t>
      </w:r>
      <w:r w:rsidR="00F918A4" w:rsidRPr="004A46D6">
        <w:rPr>
          <w:lang w:val="en-US"/>
        </w:rPr>
        <w:t xml:space="preserve"> Future fundraising efforts will focus on key entry points within the </w:t>
      </w:r>
      <w:r w:rsidR="00742B4E" w:rsidRPr="004A46D6">
        <w:rPr>
          <w:lang w:val="en-US"/>
        </w:rPr>
        <w:t xml:space="preserve">work of the </w:t>
      </w:r>
      <w:r w:rsidR="00F918A4" w:rsidRPr="004A46D6">
        <w:rPr>
          <w:lang w:val="en-US"/>
        </w:rPr>
        <w:t>Education Sector where living heritage can contribute</w:t>
      </w:r>
      <w:r w:rsidR="00742B4E" w:rsidRPr="004A46D6">
        <w:rPr>
          <w:lang w:val="en-US"/>
        </w:rPr>
        <w:t xml:space="preserve"> most</w:t>
      </w:r>
      <w:r w:rsidR="00F918A4" w:rsidRPr="004A46D6">
        <w:rPr>
          <w:lang w:val="en-US"/>
        </w:rPr>
        <w:t xml:space="preserve"> to improving education quality and relevance, notably global citizenship education, education for sustainable development, technical and vocational education and training, and teacher development.</w:t>
      </w:r>
    </w:p>
    <w:p w14:paraId="6EC9D1E8" w14:textId="25AEBD70" w:rsidR="00583199" w:rsidRPr="004A46D6" w:rsidRDefault="00583199">
      <w:pPr>
        <w:pStyle w:val="COMPara"/>
        <w:numPr>
          <w:ilvl w:val="0"/>
          <w:numId w:val="38"/>
        </w:numPr>
        <w:ind w:left="567" w:hanging="567"/>
        <w:jc w:val="both"/>
        <w:rPr>
          <w:lang w:val="en-US"/>
        </w:rPr>
      </w:pPr>
      <w:proofErr w:type="gramStart"/>
      <w:r w:rsidRPr="00D1234C">
        <w:rPr>
          <w:lang w:val="en-US"/>
        </w:rPr>
        <w:t xml:space="preserve">The work undertaken during this </w:t>
      </w:r>
      <w:r w:rsidR="005F3C26">
        <w:rPr>
          <w:lang w:val="en-US"/>
        </w:rPr>
        <w:t xml:space="preserve">reporting </w:t>
      </w:r>
      <w:r w:rsidRPr="00D1234C">
        <w:rPr>
          <w:lang w:val="en-US"/>
        </w:rPr>
        <w:t>period has made it possible to support the safeguarding actions of the Convention through awareness raising and outreach and will furthermore contribute to shaping future communication initiatives.</w:t>
      </w:r>
      <w:proofErr w:type="gramEnd"/>
      <w:r w:rsidRPr="00D1234C">
        <w:rPr>
          <w:lang w:val="en-US"/>
        </w:rPr>
        <w:t xml:space="preserve"> </w:t>
      </w:r>
      <w:r w:rsidR="005F3C26" w:rsidRPr="00FC2231">
        <w:rPr>
          <w:lang w:val="en-US"/>
        </w:rPr>
        <w:t>Future efforts should further target untapped stakeholders that are key for the development of the Convention, such as youth, indigenous peoples</w:t>
      </w:r>
      <w:r w:rsidR="00716CEA" w:rsidRPr="00D1234C">
        <w:rPr>
          <w:lang w:val="en-US"/>
        </w:rPr>
        <w:t xml:space="preserve">, city dwellers </w:t>
      </w:r>
      <w:r w:rsidR="005F3C26" w:rsidRPr="00FC2231">
        <w:rPr>
          <w:lang w:val="en-US"/>
        </w:rPr>
        <w:t>and</w:t>
      </w:r>
      <w:r w:rsidR="00D43AA8" w:rsidRPr="00FC2231">
        <w:rPr>
          <w:lang w:val="en-US"/>
        </w:rPr>
        <w:t xml:space="preserve"> vulnerable populations subject to </w:t>
      </w:r>
      <w:r w:rsidR="00ED79C1" w:rsidRPr="00D1234C">
        <w:rPr>
          <w:lang w:val="en-US"/>
        </w:rPr>
        <w:t>emergencies</w:t>
      </w:r>
      <w:r w:rsidR="00D43AA8" w:rsidRPr="00FC2231">
        <w:rPr>
          <w:lang w:val="en-US"/>
        </w:rPr>
        <w:t>.</w:t>
      </w:r>
      <w:r w:rsidR="00ED79C1" w:rsidRPr="00FC2231">
        <w:rPr>
          <w:lang w:val="en-US"/>
        </w:rPr>
        <w:t xml:space="preserve"> It is also important that</w:t>
      </w:r>
      <w:r w:rsidR="0018358F">
        <w:rPr>
          <w:lang w:val="en-US"/>
        </w:rPr>
        <w:t xml:space="preserve"> the</w:t>
      </w:r>
      <w:r w:rsidR="00ED79C1" w:rsidRPr="00FC2231">
        <w:rPr>
          <w:lang w:val="en-US"/>
        </w:rPr>
        <w:t xml:space="preserve"> communication and outreach </w:t>
      </w:r>
      <w:r w:rsidR="00716CEA" w:rsidRPr="00D1234C">
        <w:rPr>
          <w:lang w:val="en-US"/>
        </w:rPr>
        <w:t>approach</w:t>
      </w:r>
      <w:r w:rsidR="00ED79C1" w:rsidRPr="00FC2231">
        <w:rPr>
          <w:lang w:val="en-US"/>
        </w:rPr>
        <w:t xml:space="preserve"> under the 2003 Convention </w:t>
      </w:r>
      <w:r w:rsidR="00716CEA" w:rsidRPr="00D1234C">
        <w:rPr>
          <w:lang w:val="en-US"/>
        </w:rPr>
        <w:t>continue</w:t>
      </w:r>
      <w:r w:rsidR="00ED79C1" w:rsidRPr="00FC2231">
        <w:rPr>
          <w:lang w:val="en-US"/>
        </w:rPr>
        <w:t xml:space="preserve"> to articulate </w:t>
      </w:r>
      <w:r w:rsidR="00716CEA" w:rsidRPr="00D1234C">
        <w:rPr>
          <w:lang w:val="en-US"/>
        </w:rPr>
        <w:t xml:space="preserve">itself </w:t>
      </w:r>
      <w:r w:rsidR="00ED79C1" w:rsidRPr="00FC2231">
        <w:rPr>
          <w:lang w:val="en-US"/>
        </w:rPr>
        <w:t>with that of UNESCO</w:t>
      </w:r>
      <w:r w:rsidR="00ED79C1" w:rsidRPr="00D1234C">
        <w:rPr>
          <w:lang w:val="en-US"/>
        </w:rPr>
        <w:t xml:space="preserve">, so that messages that are key to fundamental values </w:t>
      </w:r>
      <w:r w:rsidR="00716CEA" w:rsidRPr="00D1234C">
        <w:rPr>
          <w:lang w:val="en-US"/>
        </w:rPr>
        <w:t xml:space="preserve">and strategies </w:t>
      </w:r>
      <w:r w:rsidR="00ED79C1" w:rsidRPr="00D1234C">
        <w:rPr>
          <w:lang w:val="en-US"/>
        </w:rPr>
        <w:t xml:space="preserve">of the Organizations </w:t>
      </w:r>
      <w:proofErr w:type="gramStart"/>
      <w:r w:rsidR="00ED79C1" w:rsidRPr="00D1234C">
        <w:rPr>
          <w:lang w:val="en-US"/>
        </w:rPr>
        <w:t>are clearly communicated</w:t>
      </w:r>
      <w:proofErr w:type="gramEnd"/>
      <w:r w:rsidR="00ED79C1" w:rsidRPr="00FC2231">
        <w:rPr>
          <w:lang w:val="en-US"/>
        </w:rPr>
        <w:t>.</w:t>
      </w:r>
      <w:r w:rsidR="00D43AA8">
        <w:rPr>
          <w:lang w:val="en-US"/>
        </w:rPr>
        <w:t xml:space="preserve"> </w:t>
      </w:r>
      <w:r w:rsidRPr="00D1234C">
        <w:rPr>
          <w:lang w:val="en-US"/>
        </w:rPr>
        <w:t xml:space="preserve">As the number of communication actions grow, however, developing an effective and impactful communication continues to be a challenging task and a long-term work-in-progress. While the communication actions </w:t>
      </w:r>
      <w:proofErr w:type="gramStart"/>
      <w:r w:rsidRPr="00D1234C">
        <w:rPr>
          <w:lang w:val="en-US"/>
        </w:rPr>
        <w:t>are driven</w:t>
      </w:r>
      <w:proofErr w:type="gramEnd"/>
      <w:r w:rsidRPr="00D1234C">
        <w:rPr>
          <w:lang w:val="en-US"/>
        </w:rPr>
        <w:t xml:space="preserve"> to better accompany the evolving work of the Convention and a wide range of safeguarding actions, the active involvement of the main stakeholders of the Convention, including institutional partners, heritage professionals, living heritage practitioners and community members, is fundamental.</w:t>
      </w:r>
    </w:p>
    <w:p w14:paraId="67F6B3CE" w14:textId="3DD3A869" w:rsidR="0033178E" w:rsidRPr="00D1234C" w:rsidRDefault="0033178E" w:rsidP="00286FDD">
      <w:pPr>
        <w:pStyle w:val="COMPara"/>
        <w:numPr>
          <w:ilvl w:val="0"/>
          <w:numId w:val="38"/>
        </w:numPr>
        <w:ind w:left="567" w:hanging="567"/>
        <w:jc w:val="both"/>
        <w:rPr>
          <w:lang w:val="en-US"/>
        </w:rPr>
      </w:pPr>
      <w:r w:rsidRPr="00D1234C">
        <w:rPr>
          <w:lang w:val="en-US"/>
        </w:rPr>
        <w:t xml:space="preserve">The capacities of the Secretariat </w:t>
      </w:r>
      <w:proofErr w:type="gramStart"/>
      <w:r w:rsidRPr="00D1234C">
        <w:rPr>
          <w:lang w:val="en-US"/>
        </w:rPr>
        <w:t>have been enhanced</w:t>
      </w:r>
      <w:proofErr w:type="gramEnd"/>
      <w:r w:rsidRPr="00D1234C">
        <w:rPr>
          <w:lang w:val="en-US"/>
        </w:rPr>
        <w:t xml:space="preserve"> with the approval by the seventh session of the General Assembly in June 2018 of the creation of a dedicated team (Safeguarding and Implementation Team) to oversee the implementation of the International Assistance portfolio of the Fund. </w:t>
      </w:r>
      <w:r w:rsidR="009F53EF" w:rsidRPr="00D1234C">
        <w:rPr>
          <w:lang w:val="en-US"/>
        </w:rPr>
        <w:t xml:space="preserve">The Secretariat </w:t>
      </w:r>
      <w:r w:rsidR="00742B4E" w:rsidRPr="00D1234C">
        <w:rPr>
          <w:lang w:val="en-US"/>
        </w:rPr>
        <w:t xml:space="preserve">has </w:t>
      </w:r>
      <w:r w:rsidR="009F53EF" w:rsidRPr="00D1234C">
        <w:rPr>
          <w:lang w:val="en-US"/>
        </w:rPr>
        <w:t xml:space="preserve">also </w:t>
      </w:r>
      <w:r w:rsidR="00BC68DC" w:rsidRPr="00D1234C">
        <w:rPr>
          <w:lang w:val="en-US"/>
        </w:rPr>
        <w:t>benefitted</w:t>
      </w:r>
      <w:r w:rsidR="009F53EF" w:rsidRPr="00D1234C">
        <w:rPr>
          <w:lang w:val="en-US"/>
        </w:rPr>
        <w:t xml:space="preserve"> from </w:t>
      </w:r>
      <w:proofErr w:type="spellStart"/>
      <w:r w:rsidR="009F53EF" w:rsidRPr="00D1234C">
        <w:rPr>
          <w:lang w:val="en-US"/>
        </w:rPr>
        <w:t>secondments</w:t>
      </w:r>
      <w:proofErr w:type="spellEnd"/>
      <w:r w:rsidR="009F53EF" w:rsidRPr="00D1234C">
        <w:rPr>
          <w:lang w:val="en-US"/>
        </w:rPr>
        <w:t xml:space="preserve"> from </w:t>
      </w:r>
      <w:r w:rsidR="009F53EF" w:rsidRPr="00D1234C">
        <w:rPr>
          <w:lang w:val="en-US"/>
        </w:rPr>
        <w:lastRenderedPageBreak/>
        <w:t>China (from 2014 to 2018), Japan (</w:t>
      </w:r>
      <w:r w:rsidR="00742B4E" w:rsidRPr="00D1234C">
        <w:rPr>
          <w:lang w:val="en-US"/>
        </w:rPr>
        <w:t xml:space="preserve">from </w:t>
      </w:r>
      <w:r w:rsidR="009F53EF" w:rsidRPr="00D1234C">
        <w:rPr>
          <w:color w:val="000000"/>
          <w:lang w:val="en-US"/>
        </w:rPr>
        <w:t xml:space="preserve">March </w:t>
      </w:r>
      <w:r w:rsidR="009F53EF" w:rsidRPr="00D1234C">
        <w:rPr>
          <w:lang w:val="en-US"/>
        </w:rPr>
        <w:t xml:space="preserve">2015 </w:t>
      </w:r>
      <w:r w:rsidR="00742B4E" w:rsidRPr="00D1234C">
        <w:rPr>
          <w:lang w:val="en-US"/>
        </w:rPr>
        <w:t xml:space="preserve">to </w:t>
      </w:r>
      <w:r w:rsidR="009F53EF" w:rsidRPr="00D1234C">
        <w:rPr>
          <w:color w:val="000000"/>
          <w:lang w:val="en-US"/>
        </w:rPr>
        <w:t xml:space="preserve">April </w:t>
      </w:r>
      <w:r w:rsidR="009F53EF" w:rsidRPr="00D1234C">
        <w:rPr>
          <w:lang w:val="en-US"/>
        </w:rPr>
        <w:t xml:space="preserve">2018) and </w:t>
      </w:r>
      <w:r w:rsidR="00742B4E" w:rsidRPr="00D1234C">
        <w:rPr>
          <w:lang w:val="en-US"/>
        </w:rPr>
        <w:t xml:space="preserve">from </w:t>
      </w:r>
      <w:r w:rsidR="009F53EF" w:rsidRPr="00D1234C">
        <w:rPr>
          <w:lang w:val="en-US"/>
        </w:rPr>
        <w:t>Singapore (</w:t>
      </w:r>
      <w:r w:rsidR="00742B4E" w:rsidRPr="00D1234C">
        <w:rPr>
          <w:lang w:val="en-US"/>
        </w:rPr>
        <w:t>from</w:t>
      </w:r>
      <w:r w:rsidR="009F53EF" w:rsidRPr="00D1234C">
        <w:rPr>
          <w:lang w:val="en-US"/>
        </w:rPr>
        <w:t xml:space="preserve"> August 2018 to August 2019). Moreover, contributions </w:t>
      </w:r>
      <w:r w:rsidR="00742B4E" w:rsidRPr="00D1234C">
        <w:rPr>
          <w:lang w:val="en-US"/>
        </w:rPr>
        <w:t xml:space="preserve">to the sub-fund </w:t>
      </w:r>
      <w:proofErr w:type="gramStart"/>
      <w:r w:rsidR="009F53EF" w:rsidRPr="00D1234C">
        <w:rPr>
          <w:lang w:val="en-US"/>
        </w:rPr>
        <w:t>have been received</w:t>
      </w:r>
      <w:proofErr w:type="gramEnd"/>
      <w:r w:rsidR="009F53EF" w:rsidRPr="00D1234C">
        <w:rPr>
          <w:lang w:val="en-US"/>
        </w:rPr>
        <w:t xml:space="preserve"> from China, </w:t>
      </w:r>
      <w:r w:rsidR="00B24D0F" w:rsidRPr="00D1234C">
        <w:rPr>
          <w:lang w:val="en-US"/>
        </w:rPr>
        <w:t xml:space="preserve">Finland, Kazakhstan, </w:t>
      </w:r>
      <w:r w:rsidR="00DC6BE9" w:rsidRPr="00D1234C">
        <w:rPr>
          <w:lang w:val="en-US"/>
        </w:rPr>
        <w:t xml:space="preserve">Monaco, </w:t>
      </w:r>
      <w:r w:rsidR="00B24D0F" w:rsidRPr="00D1234C">
        <w:rPr>
          <w:lang w:val="en-US"/>
        </w:rPr>
        <w:t xml:space="preserve">and </w:t>
      </w:r>
      <w:r w:rsidR="009F53EF" w:rsidRPr="00D1234C">
        <w:rPr>
          <w:lang w:val="en-US"/>
        </w:rPr>
        <w:t>Montenegro</w:t>
      </w:r>
      <w:r w:rsidR="00B24D0F" w:rsidRPr="00D1234C">
        <w:rPr>
          <w:rStyle w:val="Appelnotedebasdep"/>
          <w:lang w:val="en-US"/>
        </w:rPr>
        <w:footnoteReference w:id="20"/>
      </w:r>
      <w:r w:rsidR="009F53EF" w:rsidRPr="00D1234C">
        <w:rPr>
          <w:lang w:val="en-US"/>
        </w:rPr>
        <w:t>.</w:t>
      </w:r>
    </w:p>
    <w:p w14:paraId="6C98F2EA" w14:textId="1653D695" w:rsidR="00FC4C9E" w:rsidRPr="00D1234C" w:rsidRDefault="0060255F" w:rsidP="00286FDD">
      <w:pPr>
        <w:pStyle w:val="COMPara"/>
        <w:numPr>
          <w:ilvl w:val="0"/>
          <w:numId w:val="38"/>
        </w:numPr>
        <w:ind w:left="567" w:hanging="567"/>
        <w:jc w:val="both"/>
        <w:rPr>
          <w:lang w:val="en-US"/>
        </w:rPr>
      </w:pPr>
      <w:r w:rsidRPr="00D1234C">
        <w:rPr>
          <w:lang w:val="en-US"/>
        </w:rPr>
        <w:t xml:space="preserve">Despite the above-mentioned reinforcement and contributions received </w:t>
      </w:r>
      <w:r w:rsidR="00742B4E" w:rsidRPr="00D1234C">
        <w:rPr>
          <w:lang w:val="en-US"/>
        </w:rPr>
        <w:t xml:space="preserve">from </w:t>
      </w:r>
      <w:r w:rsidRPr="00D1234C">
        <w:rPr>
          <w:lang w:val="en-US"/>
        </w:rPr>
        <w:t>States Parties, t</w:t>
      </w:r>
      <w:r w:rsidR="00FF39B4" w:rsidRPr="00D1234C">
        <w:rPr>
          <w:lang w:val="en-US"/>
        </w:rPr>
        <w:t xml:space="preserve">he Secretariat </w:t>
      </w:r>
      <w:r w:rsidRPr="00D1234C">
        <w:rPr>
          <w:lang w:val="en-US"/>
        </w:rPr>
        <w:t xml:space="preserve">continues to </w:t>
      </w:r>
      <w:r w:rsidR="006F11D1" w:rsidRPr="00D1234C">
        <w:rPr>
          <w:lang w:val="en-US"/>
        </w:rPr>
        <w:t>rely heavily on</w:t>
      </w:r>
      <w:r w:rsidR="00FF39B4" w:rsidRPr="00D1234C">
        <w:rPr>
          <w:lang w:val="en-US"/>
        </w:rPr>
        <w:t xml:space="preserve"> temporary staff. </w:t>
      </w:r>
      <w:r w:rsidR="00131711" w:rsidRPr="00D1234C">
        <w:rPr>
          <w:lang w:val="en-US"/>
        </w:rPr>
        <w:t xml:space="preserve">It </w:t>
      </w:r>
      <w:proofErr w:type="gramStart"/>
      <w:r w:rsidR="00131711" w:rsidRPr="00D1234C">
        <w:rPr>
          <w:lang w:val="en-US"/>
        </w:rPr>
        <w:t>must be noted</w:t>
      </w:r>
      <w:proofErr w:type="gramEnd"/>
      <w:r w:rsidR="00131711" w:rsidRPr="00D1234C">
        <w:rPr>
          <w:lang w:val="en-US"/>
        </w:rPr>
        <w:t xml:space="preserve"> that</w:t>
      </w:r>
      <w:r w:rsidR="008B2D1D" w:rsidRPr="00D1234C">
        <w:rPr>
          <w:lang w:val="en-US"/>
        </w:rPr>
        <w:t xml:space="preserve"> the</w:t>
      </w:r>
      <w:r w:rsidR="00535407">
        <w:rPr>
          <w:lang w:val="en-US"/>
        </w:rPr>
        <w:t xml:space="preserve"> three above-mentioned </w:t>
      </w:r>
      <w:r w:rsidR="008B2D1D" w:rsidRPr="00D1234C">
        <w:rPr>
          <w:lang w:val="en-US"/>
        </w:rPr>
        <w:t>posts</w:t>
      </w:r>
      <w:r w:rsidR="00CA47CA" w:rsidRPr="00D1234C">
        <w:rPr>
          <w:lang w:val="en-US"/>
        </w:rPr>
        <w:t xml:space="preserve"> </w:t>
      </w:r>
      <w:r w:rsidR="008B2D1D" w:rsidRPr="00D1234C">
        <w:rPr>
          <w:lang w:val="en-US"/>
        </w:rPr>
        <w:t>were created for monitoring International Assistance projects and lesson learning</w:t>
      </w:r>
      <w:r w:rsidR="005864C6">
        <w:rPr>
          <w:lang w:val="en-US"/>
        </w:rPr>
        <w:t xml:space="preserve">, </w:t>
      </w:r>
      <w:r w:rsidR="00535407" w:rsidRPr="00535407">
        <w:rPr>
          <w:lang w:val="en-US"/>
        </w:rPr>
        <w:t>which</w:t>
      </w:r>
      <w:r w:rsidR="008D0C52" w:rsidRPr="00D1234C">
        <w:rPr>
          <w:lang w:val="en-US"/>
        </w:rPr>
        <w:t xml:space="preserve"> were </w:t>
      </w:r>
      <w:r w:rsidR="00535407" w:rsidRPr="00535407">
        <w:rPr>
          <w:lang w:val="en-US"/>
        </w:rPr>
        <w:t>not</w:t>
      </w:r>
      <w:r w:rsidR="00535407">
        <w:rPr>
          <w:lang w:val="en-US"/>
        </w:rPr>
        <w:t xml:space="preserve"> previously </w:t>
      </w:r>
      <w:r w:rsidR="008D0C52" w:rsidRPr="00D1234C">
        <w:rPr>
          <w:lang w:val="en-US"/>
        </w:rPr>
        <w:t xml:space="preserve">being </w:t>
      </w:r>
      <w:r w:rsidR="00535407" w:rsidRPr="0074705A">
        <w:rPr>
          <w:lang w:val="en-US"/>
        </w:rPr>
        <w:t>adequately</w:t>
      </w:r>
      <w:r w:rsidR="00535407" w:rsidRPr="00535407">
        <w:rPr>
          <w:lang w:val="en-US"/>
        </w:rPr>
        <w:t xml:space="preserve"> </w:t>
      </w:r>
      <w:r w:rsidR="008D0C52" w:rsidRPr="00D1234C">
        <w:rPr>
          <w:lang w:val="en-US"/>
        </w:rPr>
        <w:t xml:space="preserve">performed </w:t>
      </w:r>
      <w:r w:rsidR="00535407">
        <w:rPr>
          <w:lang w:val="en-US"/>
        </w:rPr>
        <w:t>due to limited human resources</w:t>
      </w:r>
      <w:r w:rsidR="008D0C52" w:rsidRPr="00D1234C">
        <w:rPr>
          <w:lang w:val="en-US"/>
        </w:rPr>
        <w:t xml:space="preserve">. </w:t>
      </w:r>
      <w:r w:rsidR="008B2D1D" w:rsidRPr="00D1234C">
        <w:rPr>
          <w:lang w:val="en-US"/>
        </w:rPr>
        <w:t xml:space="preserve">Therefore, this reinforcement </w:t>
      </w:r>
      <w:r w:rsidR="005864C6">
        <w:rPr>
          <w:lang w:val="en-US"/>
        </w:rPr>
        <w:t>does</w:t>
      </w:r>
      <w:r w:rsidR="005864C6" w:rsidRPr="00D1234C">
        <w:rPr>
          <w:lang w:val="en-US"/>
        </w:rPr>
        <w:t xml:space="preserve"> </w:t>
      </w:r>
      <w:r w:rsidR="008B2D1D" w:rsidRPr="00D1234C">
        <w:rPr>
          <w:lang w:val="en-US"/>
        </w:rPr>
        <w:t xml:space="preserve">not </w:t>
      </w:r>
      <w:r w:rsidR="00535407">
        <w:rPr>
          <w:lang w:val="en-US"/>
        </w:rPr>
        <w:t xml:space="preserve">contribute to </w:t>
      </w:r>
      <w:r w:rsidR="008B2D1D" w:rsidRPr="00D1234C">
        <w:rPr>
          <w:lang w:val="en-US"/>
        </w:rPr>
        <w:t>alleviat</w:t>
      </w:r>
      <w:r w:rsidR="005864C6">
        <w:rPr>
          <w:lang w:val="en-US"/>
        </w:rPr>
        <w:t>ing</w:t>
      </w:r>
      <w:r w:rsidR="008B2D1D" w:rsidRPr="00D1234C">
        <w:rPr>
          <w:lang w:val="en-US"/>
        </w:rPr>
        <w:t xml:space="preserve"> the </w:t>
      </w:r>
      <w:r w:rsidR="00131711" w:rsidRPr="00D1234C">
        <w:rPr>
          <w:lang w:val="en-US"/>
        </w:rPr>
        <w:t xml:space="preserve">regular statutory and operational </w:t>
      </w:r>
      <w:r w:rsidR="008B2D1D" w:rsidRPr="00D1234C">
        <w:rPr>
          <w:lang w:val="en-US"/>
        </w:rPr>
        <w:t xml:space="preserve">workload of the </w:t>
      </w:r>
      <w:r w:rsidR="00C504C1" w:rsidRPr="004A46D6">
        <w:rPr>
          <w:lang w:val="en-US"/>
        </w:rPr>
        <w:t>Secretariat</w:t>
      </w:r>
      <w:r w:rsidR="00C504C1">
        <w:rPr>
          <w:lang w:val="en-US"/>
        </w:rPr>
        <w:t>, which</w:t>
      </w:r>
      <w:r w:rsidR="00535407">
        <w:rPr>
          <w:lang w:val="en-US"/>
        </w:rPr>
        <w:t xml:space="preserve"> remains the same</w:t>
      </w:r>
      <w:r w:rsidR="008B2D1D" w:rsidRPr="00D1234C">
        <w:rPr>
          <w:lang w:val="en-US"/>
        </w:rPr>
        <w:t xml:space="preserve">. </w:t>
      </w:r>
      <w:r w:rsidR="00535407">
        <w:rPr>
          <w:lang w:val="en-US"/>
        </w:rPr>
        <w:t>At the same time</w:t>
      </w:r>
      <w:r w:rsidR="008B2D1D" w:rsidRPr="00D1234C">
        <w:rPr>
          <w:lang w:val="en-US"/>
        </w:rPr>
        <w:t xml:space="preserve">, there </w:t>
      </w:r>
      <w:r w:rsidR="00CA47CA" w:rsidRPr="00D1234C">
        <w:rPr>
          <w:lang w:val="en-US"/>
        </w:rPr>
        <w:t xml:space="preserve">is an </w:t>
      </w:r>
      <w:r w:rsidR="008B2D1D" w:rsidRPr="00D1234C">
        <w:rPr>
          <w:lang w:val="en-US"/>
        </w:rPr>
        <w:t xml:space="preserve">increasing number of new thematic considerations and initiatives undertaken by the governing bodies of the Convention. </w:t>
      </w:r>
      <w:r w:rsidR="00131711" w:rsidRPr="00D1234C">
        <w:rPr>
          <w:lang w:val="en-US"/>
        </w:rPr>
        <w:t>In other words</w:t>
      </w:r>
      <w:r w:rsidR="00974E82">
        <w:rPr>
          <w:lang w:val="en-US"/>
        </w:rPr>
        <w:t>,</w:t>
      </w:r>
      <w:r w:rsidR="00131711" w:rsidRPr="00D1234C">
        <w:rPr>
          <w:lang w:val="en-US"/>
        </w:rPr>
        <w:t xml:space="preserve"> the demand f</w:t>
      </w:r>
      <w:r w:rsidR="005864C6">
        <w:rPr>
          <w:lang w:val="en-US"/>
        </w:rPr>
        <w:t>or</w:t>
      </w:r>
      <w:r w:rsidR="00131711" w:rsidRPr="00D1234C">
        <w:rPr>
          <w:lang w:val="en-US"/>
        </w:rPr>
        <w:t xml:space="preserve"> areas of action related to living heritage continue to grow as the </w:t>
      </w:r>
      <w:r w:rsidR="00CA47CA" w:rsidRPr="00D1234C">
        <w:rPr>
          <w:lang w:val="en-US"/>
        </w:rPr>
        <w:t>C</w:t>
      </w:r>
      <w:r w:rsidR="00131711" w:rsidRPr="00D1234C">
        <w:rPr>
          <w:lang w:val="en-US"/>
        </w:rPr>
        <w:t xml:space="preserve">onvention itself gains </w:t>
      </w:r>
      <w:proofErr w:type="gramStart"/>
      <w:r w:rsidR="00131711" w:rsidRPr="00D1234C">
        <w:rPr>
          <w:lang w:val="en-US"/>
        </w:rPr>
        <w:t>more widespread recognition</w:t>
      </w:r>
      <w:proofErr w:type="gramEnd"/>
      <w:r w:rsidR="00131711" w:rsidRPr="00D1234C">
        <w:rPr>
          <w:lang w:val="en-US"/>
        </w:rPr>
        <w:t xml:space="preserve"> and appreciation</w:t>
      </w:r>
      <w:r w:rsidR="0018358F">
        <w:rPr>
          <w:lang w:val="en-US"/>
        </w:rPr>
        <w:t>.</w:t>
      </w:r>
    </w:p>
    <w:p w14:paraId="07622395" w14:textId="2DABFF14" w:rsidR="00D95C4C" w:rsidRPr="00D1234C" w:rsidRDefault="000B1C8F" w:rsidP="0022671B">
      <w:pPr>
        <w:pStyle w:val="COMPara"/>
        <w:numPr>
          <w:ilvl w:val="0"/>
          <w:numId w:val="38"/>
        </w:numPr>
        <w:ind w:left="567" w:hanging="567"/>
        <w:jc w:val="both"/>
        <w:rPr>
          <w:lang w:val="en-US"/>
        </w:rPr>
      </w:pPr>
      <w:r w:rsidRPr="00D1234C">
        <w:rPr>
          <w:lang w:val="en-US"/>
        </w:rPr>
        <w:t>The Committee may wish to adopt the following decision</w:t>
      </w:r>
      <w:r w:rsidR="00D95C4C" w:rsidRPr="00D1234C">
        <w:rPr>
          <w:lang w:val="en-US"/>
        </w:rPr>
        <w:t>:</w:t>
      </w:r>
    </w:p>
    <w:p w14:paraId="5AFBBFF4" w14:textId="6F858A61" w:rsidR="00D95C4C" w:rsidRPr="00D1234C" w:rsidRDefault="004A34A0" w:rsidP="001D14FE">
      <w:pPr>
        <w:pStyle w:val="COMTitleDecision"/>
        <w:rPr>
          <w:rFonts w:eastAsia="SimSun"/>
          <w:lang w:val="en-US"/>
        </w:rPr>
      </w:pPr>
      <w:r w:rsidRPr="00D1234C">
        <w:rPr>
          <w:lang w:val="en-US"/>
        </w:rPr>
        <w:t xml:space="preserve">DRAFT </w:t>
      </w:r>
      <w:r w:rsidR="00CB0542" w:rsidRPr="00D1234C">
        <w:rPr>
          <w:lang w:val="en-US"/>
        </w:rPr>
        <w:t>DECISION 1</w:t>
      </w:r>
      <w:r w:rsidR="00C5776D" w:rsidRPr="00D1234C">
        <w:rPr>
          <w:lang w:val="en-US"/>
        </w:rPr>
        <w:t>4</w:t>
      </w:r>
      <w:r w:rsidR="00EC6F8D" w:rsidRPr="00D1234C">
        <w:rPr>
          <w:lang w:val="en-US"/>
        </w:rPr>
        <w:t>.COM</w:t>
      </w:r>
      <w:r w:rsidR="00D95C4C" w:rsidRPr="00D1234C">
        <w:rPr>
          <w:lang w:val="en-US"/>
        </w:rPr>
        <w:t xml:space="preserve"> </w:t>
      </w:r>
      <w:r w:rsidR="00FF1AFD" w:rsidRPr="00D1234C">
        <w:rPr>
          <w:lang w:val="en-US"/>
        </w:rPr>
        <w:t>5.b</w:t>
      </w:r>
    </w:p>
    <w:p w14:paraId="06FFCFA8" w14:textId="77777777" w:rsidR="00D95C4C" w:rsidRPr="00D1234C" w:rsidRDefault="00285BB4" w:rsidP="00285BB4">
      <w:pPr>
        <w:pStyle w:val="COMPreambulaDecisions"/>
        <w:rPr>
          <w:rFonts w:eastAsia="SimSun"/>
          <w:lang w:val="en-US"/>
        </w:rPr>
      </w:pPr>
      <w:r w:rsidRPr="00D1234C">
        <w:rPr>
          <w:lang w:val="en-US"/>
        </w:rPr>
        <w:t>The Committee,</w:t>
      </w:r>
    </w:p>
    <w:p w14:paraId="1ECE159B" w14:textId="711A97BB" w:rsidR="0057439C" w:rsidRPr="00D1234C" w:rsidRDefault="00D95C4C" w:rsidP="0022671B">
      <w:pPr>
        <w:pStyle w:val="COMParaDecision"/>
        <w:numPr>
          <w:ilvl w:val="0"/>
          <w:numId w:val="10"/>
        </w:numPr>
        <w:ind w:left="1134" w:hanging="567"/>
        <w:rPr>
          <w:lang w:val="en-US"/>
        </w:rPr>
      </w:pPr>
      <w:r w:rsidRPr="00D1234C">
        <w:rPr>
          <w:lang w:val="en-US"/>
        </w:rPr>
        <w:t>Having examined</w:t>
      </w:r>
      <w:r w:rsidRPr="00D1234C">
        <w:rPr>
          <w:u w:val="none"/>
          <w:lang w:val="en-US"/>
        </w:rPr>
        <w:t xml:space="preserve"> doc</w:t>
      </w:r>
      <w:r w:rsidR="00CB0542" w:rsidRPr="00D1234C">
        <w:rPr>
          <w:u w:val="none"/>
          <w:lang w:val="en-US"/>
        </w:rPr>
        <w:t xml:space="preserve">ument </w:t>
      </w:r>
      <w:r w:rsidR="00C5776D" w:rsidRPr="00D1234C">
        <w:rPr>
          <w:u w:val="none"/>
          <w:lang w:val="en-US"/>
        </w:rPr>
        <w:t>LHE</w:t>
      </w:r>
      <w:r w:rsidR="00CB0542" w:rsidRPr="00D1234C">
        <w:rPr>
          <w:u w:val="none"/>
          <w:lang w:val="en-US"/>
        </w:rPr>
        <w:t>/1</w:t>
      </w:r>
      <w:r w:rsidR="00C5776D" w:rsidRPr="00D1234C">
        <w:rPr>
          <w:u w:val="none"/>
          <w:lang w:val="en-US"/>
        </w:rPr>
        <w:t>9</w:t>
      </w:r>
      <w:r w:rsidR="00337CEB" w:rsidRPr="00D1234C">
        <w:rPr>
          <w:u w:val="none"/>
          <w:lang w:val="en-US"/>
        </w:rPr>
        <w:t>/1</w:t>
      </w:r>
      <w:r w:rsidR="00C5776D" w:rsidRPr="00D1234C">
        <w:rPr>
          <w:u w:val="none"/>
          <w:lang w:val="en-US"/>
        </w:rPr>
        <w:t>4</w:t>
      </w:r>
      <w:r w:rsidR="00EC6F8D" w:rsidRPr="00D1234C">
        <w:rPr>
          <w:u w:val="none"/>
          <w:lang w:val="en-US"/>
        </w:rPr>
        <w:t>.COM</w:t>
      </w:r>
      <w:r w:rsidR="004A34A0" w:rsidRPr="00D1234C">
        <w:rPr>
          <w:u w:val="none"/>
          <w:lang w:val="en-US"/>
        </w:rPr>
        <w:t>/</w:t>
      </w:r>
      <w:r w:rsidR="0010134F" w:rsidRPr="00D1234C">
        <w:rPr>
          <w:u w:val="none"/>
          <w:lang w:val="en-US"/>
        </w:rPr>
        <w:t>5.b</w:t>
      </w:r>
      <w:r w:rsidRPr="00D1234C">
        <w:rPr>
          <w:u w:val="none"/>
          <w:lang w:val="en-US"/>
        </w:rPr>
        <w:t>,</w:t>
      </w:r>
    </w:p>
    <w:p w14:paraId="7B951688" w14:textId="5AF8C8BD" w:rsidR="00FC0C97" w:rsidRPr="00D1234C" w:rsidRDefault="00D519DA" w:rsidP="0022671B">
      <w:pPr>
        <w:pStyle w:val="COMParaDecision"/>
        <w:numPr>
          <w:ilvl w:val="0"/>
          <w:numId w:val="10"/>
        </w:numPr>
        <w:ind w:left="1134" w:hanging="567"/>
        <w:rPr>
          <w:lang w:val="en-US"/>
        </w:rPr>
      </w:pPr>
      <w:r w:rsidRPr="00D1234C">
        <w:rPr>
          <w:lang w:val="en-US"/>
        </w:rPr>
        <w:t>R</w:t>
      </w:r>
      <w:r w:rsidR="00FC0C97" w:rsidRPr="00D1234C">
        <w:rPr>
          <w:lang w:val="en-US"/>
        </w:rPr>
        <w:t>ecalling</w:t>
      </w:r>
      <w:r w:rsidR="00FC0C97" w:rsidRPr="00D1234C">
        <w:rPr>
          <w:u w:val="none"/>
          <w:lang w:val="en-US"/>
        </w:rPr>
        <w:t xml:space="preserve"> Decisions </w:t>
      </w:r>
      <w:hyperlink r:id="rId20" w:history="1">
        <w:r w:rsidR="005378F5" w:rsidRPr="00D1234C">
          <w:rPr>
            <w:rStyle w:val="Lienhypertexte"/>
            <w:rFonts w:cs="Arial"/>
            <w:lang w:val="en-US"/>
          </w:rPr>
          <w:t>8.COM 5.c.1</w:t>
        </w:r>
      </w:hyperlink>
      <w:r w:rsidR="005378F5" w:rsidRPr="00D1234C">
        <w:rPr>
          <w:rStyle w:val="hps"/>
          <w:u w:val="none"/>
          <w:lang w:val="en-US"/>
        </w:rPr>
        <w:t xml:space="preserve">, </w:t>
      </w:r>
      <w:hyperlink r:id="rId21" w:history="1">
        <w:r w:rsidR="005378F5" w:rsidRPr="00D1234C">
          <w:rPr>
            <w:rStyle w:val="Lienhypertexte"/>
            <w:rFonts w:cs="Arial"/>
            <w:lang w:val="en-US"/>
          </w:rPr>
          <w:t>10.COM 10</w:t>
        </w:r>
      </w:hyperlink>
      <w:r w:rsidR="00F04A20" w:rsidRPr="00EC2AB4">
        <w:rPr>
          <w:rStyle w:val="Lienhypertexte"/>
          <w:rFonts w:cs="Arial"/>
          <w:color w:val="auto"/>
          <w:u w:val="none"/>
          <w:lang w:val="en-US"/>
        </w:rPr>
        <w:t xml:space="preserve"> and</w:t>
      </w:r>
      <w:r w:rsidR="005378F5" w:rsidRPr="00EC2AB4">
        <w:rPr>
          <w:rStyle w:val="hps"/>
          <w:u w:val="none"/>
          <w:lang w:val="en-US"/>
        </w:rPr>
        <w:t>,</w:t>
      </w:r>
      <w:r w:rsidR="005378F5" w:rsidRPr="00D1234C">
        <w:rPr>
          <w:rStyle w:val="hps"/>
          <w:u w:val="none"/>
          <w:lang w:val="en-US"/>
        </w:rPr>
        <w:t xml:space="preserve"> </w:t>
      </w:r>
      <w:hyperlink r:id="rId22" w:history="1">
        <w:r w:rsidR="005378F5" w:rsidRPr="00D1234C">
          <w:rPr>
            <w:rStyle w:val="Lienhypertexte"/>
            <w:rFonts w:cs="Arial"/>
            <w:lang w:val="en-US"/>
          </w:rPr>
          <w:t>13.COM 5</w:t>
        </w:r>
      </w:hyperlink>
      <w:r w:rsidRPr="00D1234C">
        <w:rPr>
          <w:rStyle w:val="hps"/>
          <w:u w:val="none"/>
          <w:lang w:val="en-US"/>
        </w:rPr>
        <w:t>,</w:t>
      </w:r>
    </w:p>
    <w:p w14:paraId="7770E1CC" w14:textId="7133C1FF" w:rsidR="00CF5F74" w:rsidRPr="00D1234C" w:rsidRDefault="00CF5F74" w:rsidP="0022671B">
      <w:pPr>
        <w:pStyle w:val="COMParaDecision"/>
        <w:numPr>
          <w:ilvl w:val="0"/>
          <w:numId w:val="10"/>
        </w:numPr>
        <w:ind w:left="1134" w:hanging="567"/>
        <w:rPr>
          <w:lang w:val="en-US"/>
        </w:rPr>
      </w:pPr>
      <w:r w:rsidRPr="00D1234C">
        <w:rPr>
          <w:lang w:val="en-US"/>
        </w:rPr>
        <w:t>Commends</w:t>
      </w:r>
      <w:r w:rsidRPr="00D1234C">
        <w:rPr>
          <w:u w:val="none"/>
          <w:lang w:val="en-US"/>
        </w:rPr>
        <w:t xml:space="preserve"> the Secretariat for the timely support </w:t>
      </w:r>
      <w:r w:rsidR="00F04A20" w:rsidRPr="00D1234C">
        <w:rPr>
          <w:u w:val="none"/>
          <w:lang w:val="en-US"/>
        </w:rPr>
        <w:t xml:space="preserve">provided </w:t>
      </w:r>
      <w:r w:rsidRPr="00D1234C">
        <w:rPr>
          <w:u w:val="none"/>
          <w:lang w:val="en-US"/>
        </w:rPr>
        <w:t xml:space="preserve">to the governing bodies of the Convention in executing its key decisions and resolutions </w:t>
      </w:r>
      <w:r w:rsidR="008340A1" w:rsidRPr="00D1234C">
        <w:rPr>
          <w:u w:val="none"/>
          <w:lang w:val="en-US"/>
        </w:rPr>
        <w:t>and for accompanying continuous efforts</w:t>
      </w:r>
      <w:r w:rsidR="00F04A20" w:rsidRPr="00D1234C">
        <w:rPr>
          <w:u w:val="none"/>
          <w:lang w:val="en-US"/>
        </w:rPr>
        <w:t xml:space="preserve"> made</w:t>
      </w:r>
      <w:r w:rsidR="008340A1" w:rsidRPr="00D1234C">
        <w:rPr>
          <w:u w:val="none"/>
          <w:lang w:val="en-US"/>
        </w:rPr>
        <w:t xml:space="preserve"> by the international community </w:t>
      </w:r>
      <w:r w:rsidR="00F04A20" w:rsidRPr="00D1234C">
        <w:rPr>
          <w:u w:val="none"/>
          <w:lang w:val="en-US"/>
        </w:rPr>
        <w:t xml:space="preserve">to </w:t>
      </w:r>
      <w:r w:rsidR="008340A1" w:rsidRPr="00D1234C">
        <w:rPr>
          <w:u w:val="none"/>
          <w:lang w:val="en-US"/>
        </w:rPr>
        <w:t>develop the Convention</w:t>
      </w:r>
      <w:r w:rsidRPr="00D1234C">
        <w:rPr>
          <w:u w:val="none"/>
          <w:lang w:val="en-US"/>
        </w:rPr>
        <w:t xml:space="preserve">, notably through the </w:t>
      </w:r>
      <w:r w:rsidR="008340A1" w:rsidRPr="00D1234C">
        <w:rPr>
          <w:u w:val="none"/>
          <w:lang w:val="en-US"/>
        </w:rPr>
        <w:t>development</w:t>
      </w:r>
      <w:r w:rsidRPr="00D1234C">
        <w:rPr>
          <w:u w:val="none"/>
          <w:lang w:val="en-US"/>
        </w:rPr>
        <w:t xml:space="preserve"> of the overall results framework</w:t>
      </w:r>
      <w:r w:rsidR="00F04A20" w:rsidRPr="00D1234C">
        <w:rPr>
          <w:u w:val="none"/>
          <w:lang w:val="en-US"/>
        </w:rPr>
        <w:t>,</w:t>
      </w:r>
      <w:r w:rsidRPr="00D1234C">
        <w:rPr>
          <w:u w:val="none"/>
          <w:lang w:val="en-US"/>
        </w:rPr>
        <w:t xml:space="preserve"> the ongoing reflection on the listing mechanisms</w:t>
      </w:r>
      <w:r w:rsidR="00F04A20" w:rsidRPr="00D1234C">
        <w:rPr>
          <w:u w:val="none"/>
          <w:lang w:val="en-US"/>
        </w:rPr>
        <w:t>,</w:t>
      </w:r>
      <w:r w:rsidRPr="00D1234C">
        <w:rPr>
          <w:u w:val="none"/>
          <w:lang w:val="en-US"/>
        </w:rPr>
        <w:t xml:space="preserve"> as well as </w:t>
      </w:r>
      <w:r w:rsidR="00F04A20" w:rsidRPr="00D1234C">
        <w:rPr>
          <w:u w:val="none"/>
          <w:lang w:val="en-US"/>
        </w:rPr>
        <w:t xml:space="preserve">for </w:t>
      </w:r>
      <w:r w:rsidRPr="00D1234C">
        <w:rPr>
          <w:u w:val="none"/>
          <w:lang w:val="en-US"/>
        </w:rPr>
        <w:t>exploring and providing technical support for new thematic initiatives such as intangible cultural heritage in emergencies, education and urban context</w:t>
      </w:r>
      <w:r w:rsidR="00F04A20" w:rsidRPr="00D1234C">
        <w:rPr>
          <w:u w:val="none"/>
          <w:lang w:val="en-US"/>
        </w:rPr>
        <w:t>s</w:t>
      </w:r>
      <w:r w:rsidRPr="00D1234C">
        <w:rPr>
          <w:u w:val="none"/>
          <w:lang w:val="en-US"/>
        </w:rPr>
        <w:t>;</w:t>
      </w:r>
    </w:p>
    <w:p w14:paraId="759BE49F" w14:textId="2A621CD2" w:rsidR="00C51EF6" w:rsidRPr="00D1234C" w:rsidRDefault="00FC0C97" w:rsidP="0022671B">
      <w:pPr>
        <w:pStyle w:val="COMParaDecision"/>
        <w:ind w:left="1134"/>
        <w:rPr>
          <w:b/>
          <w:u w:val="none"/>
          <w:lang w:val="en-US"/>
        </w:rPr>
      </w:pPr>
      <w:r w:rsidRPr="00D1234C">
        <w:rPr>
          <w:b/>
          <w:u w:val="none"/>
          <w:lang w:val="en-US"/>
        </w:rPr>
        <w:t>Governance of the 2003 Convention</w:t>
      </w:r>
    </w:p>
    <w:p w14:paraId="58643647" w14:textId="63EECC9A" w:rsidR="00FF1AFD" w:rsidRPr="00D1234C" w:rsidRDefault="00FF1AFD" w:rsidP="0022671B">
      <w:pPr>
        <w:pStyle w:val="COMParaDecision"/>
        <w:numPr>
          <w:ilvl w:val="0"/>
          <w:numId w:val="10"/>
        </w:numPr>
        <w:ind w:left="1134" w:hanging="567"/>
        <w:rPr>
          <w:lang w:val="en-US"/>
        </w:rPr>
      </w:pPr>
      <w:r w:rsidRPr="00D1234C">
        <w:rPr>
          <w:lang w:val="en-US"/>
        </w:rPr>
        <w:t>Further commends</w:t>
      </w:r>
      <w:r w:rsidRPr="00D1234C">
        <w:rPr>
          <w:u w:val="none"/>
          <w:lang w:val="en-US"/>
        </w:rPr>
        <w:t xml:space="preserve"> the Secretariat for ensuring the timely and efficient organization of the statutory meetings, </w:t>
      </w:r>
      <w:r w:rsidR="00F04A20" w:rsidRPr="00D1234C">
        <w:rPr>
          <w:u w:val="none"/>
          <w:lang w:val="en-US"/>
        </w:rPr>
        <w:t xml:space="preserve">the </w:t>
      </w:r>
      <w:r w:rsidRPr="00D1234C">
        <w:rPr>
          <w:u w:val="none"/>
          <w:lang w:val="en-US"/>
        </w:rPr>
        <w:t>administration of nomination files, periodic reports</w:t>
      </w:r>
      <w:r w:rsidR="008340A1" w:rsidRPr="00D1234C">
        <w:rPr>
          <w:u w:val="none"/>
          <w:lang w:val="en-US"/>
        </w:rPr>
        <w:t xml:space="preserve">, </w:t>
      </w:r>
      <w:r w:rsidR="00F04A20" w:rsidRPr="00D1234C">
        <w:rPr>
          <w:u w:val="none"/>
          <w:lang w:val="en-US"/>
        </w:rPr>
        <w:t>the accreditation and renewal of non-governmental organizations,</w:t>
      </w:r>
      <w:r w:rsidRPr="00D1234C">
        <w:rPr>
          <w:u w:val="none"/>
          <w:lang w:val="en-US"/>
        </w:rPr>
        <w:t xml:space="preserve"> </w:t>
      </w:r>
      <w:r w:rsidR="008340A1" w:rsidRPr="00D1234C">
        <w:rPr>
          <w:u w:val="none"/>
          <w:lang w:val="en-US"/>
        </w:rPr>
        <w:t>as well as</w:t>
      </w:r>
      <w:r w:rsidRPr="00D1234C">
        <w:rPr>
          <w:u w:val="none"/>
          <w:lang w:val="en-US"/>
        </w:rPr>
        <w:t xml:space="preserve"> international assistance requests and </w:t>
      </w:r>
      <w:r w:rsidRPr="00D1234C">
        <w:rPr>
          <w:lang w:val="en-US"/>
        </w:rPr>
        <w:t>notes with satisfaction</w:t>
      </w:r>
      <w:r w:rsidRPr="00D1234C">
        <w:rPr>
          <w:u w:val="none"/>
          <w:lang w:val="en-US"/>
        </w:rPr>
        <w:t xml:space="preserve"> the efforts made by the Secretariat </w:t>
      </w:r>
      <w:r w:rsidR="00F04A20" w:rsidRPr="00D1234C">
        <w:rPr>
          <w:u w:val="none"/>
          <w:lang w:val="en-US"/>
        </w:rPr>
        <w:t>to</w:t>
      </w:r>
      <w:r w:rsidRPr="00D1234C">
        <w:rPr>
          <w:u w:val="none"/>
          <w:lang w:val="en-US"/>
        </w:rPr>
        <w:t xml:space="preserve"> roll out the overall results framework for the Convention and the operationaliz</w:t>
      </w:r>
      <w:r w:rsidR="00285A85">
        <w:rPr>
          <w:u w:val="none"/>
          <w:lang w:val="en-US"/>
        </w:rPr>
        <w:t>ation</w:t>
      </w:r>
      <w:r w:rsidRPr="00D1234C">
        <w:rPr>
          <w:u w:val="none"/>
          <w:lang w:val="en-US"/>
        </w:rPr>
        <w:t xml:space="preserve"> of the International Assistance portfolio;</w:t>
      </w:r>
    </w:p>
    <w:p w14:paraId="17832D51" w14:textId="483D3F1E" w:rsidR="00FF1AFD" w:rsidRPr="00D1234C" w:rsidRDefault="00FF1AFD" w:rsidP="0022671B">
      <w:pPr>
        <w:pStyle w:val="COMParaDecision"/>
        <w:numPr>
          <w:ilvl w:val="0"/>
          <w:numId w:val="10"/>
        </w:numPr>
        <w:ind w:left="1134" w:hanging="567"/>
        <w:rPr>
          <w:lang w:val="en-US"/>
        </w:rPr>
      </w:pPr>
      <w:r w:rsidRPr="00D1234C">
        <w:rPr>
          <w:lang w:val="en-US"/>
        </w:rPr>
        <w:t>Takes note</w:t>
      </w:r>
      <w:r w:rsidRPr="00D1234C">
        <w:rPr>
          <w:u w:val="none"/>
          <w:lang w:val="en-US"/>
        </w:rPr>
        <w:t xml:space="preserve"> of the initiative ‘Intangible Cultural Heritage Convention Research’ </w:t>
      </w:r>
      <w:r w:rsidR="00F04A20" w:rsidRPr="00D1234C">
        <w:rPr>
          <w:u w:val="none"/>
          <w:lang w:val="en-US"/>
        </w:rPr>
        <w:t xml:space="preserve">which </w:t>
      </w:r>
      <w:r w:rsidRPr="00D1234C">
        <w:rPr>
          <w:u w:val="none"/>
          <w:lang w:val="en-US"/>
        </w:rPr>
        <w:t xml:space="preserve">allows for </w:t>
      </w:r>
      <w:r w:rsidR="00F04A20" w:rsidRPr="00D1234C">
        <w:rPr>
          <w:u w:val="none"/>
          <w:lang w:val="en-US"/>
        </w:rPr>
        <w:t xml:space="preserve">the </w:t>
      </w:r>
      <w:r w:rsidRPr="00D1234C">
        <w:rPr>
          <w:u w:val="none"/>
          <w:lang w:val="en-US"/>
        </w:rPr>
        <w:t>creati</w:t>
      </w:r>
      <w:r w:rsidR="00F04A20" w:rsidRPr="00D1234C">
        <w:rPr>
          <w:u w:val="none"/>
          <w:lang w:val="en-US"/>
        </w:rPr>
        <w:t>o</w:t>
      </w:r>
      <w:r w:rsidRPr="00D1234C">
        <w:rPr>
          <w:u w:val="none"/>
          <w:lang w:val="en-US"/>
        </w:rPr>
        <w:t>n</w:t>
      </w:r>
      <w:r w:rsidR="00F04A20" w:rsidRPr="00D1234C">
        <w:rPr>
          <w:u w:val="none"/>
          <w:lang w:val="en-US"/>
        </w:rPr>
        <w:t xml:space="preserve"> of</w:t>
      </w:r>
      <w:r w:rsidRPr="00D1234C">
        <w:rPr>
          <w:u w:val="none"/>
          <w:lang w:val="en-US"/>
        </w:rPr>
        <w:t xml:space="preserve"> a rich source of information related to the Convention and its implementation at large;</w:t>
      </w:r>
    </w:p>
    <w:p w14:paraId="1E6E4901" w14:textId="15DE2D0B" w:rsidR="00FF1AFD" w:rsidRPr="00D1234C" w:rsidRDefault="00BC403D" w:rsidP="0022671B">
      <w:pPr>
        <w:pStyle w:val="COMParaDecision"/>
        <w:numPr>
          <w:ilvl w:val="0"/>
          <w:numId w:val="10"/>
        </w:numPr>
        <w:ind w:left="1134" w:hanging="567"/>
        <w:rPr>
          <w:lang w:val="en-US"/>
        </w:rPr>
      </w:pPr>
      <w:r w:rsidRPr="00D1234C">
        <w:rPr>
          <w:lang w:val="en-US"/>
        </w:rPr>
        <w:t>Welcomes</w:t>
      </w:r>
      <w:r w:rsidRPr="00D1234C">
        <w:rPr>
          <w:u w:val="none"/>
          <w:lang w:val="en-US"/>
        </w:rPr>
        <w:t xml:space="preserve"> the results of the survey on alternative and lighter ways of sharing intangible cultural heritage safeguarding experiences and </w:t>
      </w:r>
      <w:r w:rsidRPr="00D1234C">
        <w:rPr>
          <w:lang w:val="en-US"/>
        </w:rPr>
        <w:t>decides</w:t>
      </w:r>
      <w:r w:rsidRPr="00D1234C">
        <w:rPr>
          <w:u w:val="none"/>
          <w:lang w:val="en-US"/>
        </w:rPr>
        <w:t xml:space="preserve"> to take these results into consideration in the ongoing global reflection on the listing mechanisms established under the Convention</w:t>
      </w:r>
      <w:r w:rsidR="00FF1AFD" w:rsidRPr="00D1234C">
        <w:rPr>
          <w:u w:val="none"/>
          <w:lang w:val="en-US"/>
        </w:rPr>
        <w:t>;</w:t>
      </w:r>
    </w:p>
    <w:p w14:paraId="77CD4C36" w14:textId="4D65B0D2" w:rsidR="001F0849" w:rsidRPr="00D1234C" w:rsidRDefault="007146A2" w:rsidP="0022671B">
      <w:pPr>
        <w:pStyle w:val="COMParaDecision"/>
        <w:ind w:left="1134"/>
        <w:jc w:val="left"/>
        <w:rPr>
          <w:lang w:val="en-US"/>
        </w:rPr>
      </w:pPr>
      <w:r w:rsidRPr="00D1234C">
        <w:rPr>
          <w:b/>
          <w:u w:val="none"/>
          <w:lang w:val="en-US"/>
        </w:rPr>
        <w:t>Operational Actions</w:t>
      </w:r>
    </w:p>
    <w:p w14:paraId="451B6966" w14:textId="7F9BFE4D" w:rsidR="000420D8" w:rsidRDefault="00BC403D" w:rsidP="0022671B">
      <w:pPr>
        <w:pStyle w:val="COMParaDecision"/>
        <w:numPr>
          <w:ilvl w:val="0"/>
          <w:numId w:val="10"/>
        </w:numPr>
        <w:ind w:left="1134" w:hanging="567"/>
        <w:rPr>
          <w:u w:val="none"/>
          <w:lang w:val="en-US"/>
        </w:rPr>
      </w:pPr>
      <w:r w:rsidRPr="00D1234C">
        <w:rPr>
          <w:lang w:val="en-US"/>
        </w:rPr>
        <w:t>Expresses satisfaction</w:t>
      </w:r>
      <w:r w:rsidRPr="00D1234C">
        <w:rPr>
          <w:u w:val="none"/>
          <w:lang w:val="en-US"/>
        </w:rPr>
        <w:t xml:space="preserve"> </w:t>
      </w:r>
      <w:r w:rsidR="00F04A20" w:rsidRPr="00D1234C">
        <w:rPr>
          <w:u w:val="none"/>
          <w:lang w:val="en-US"/>
        </w:rPr>
        <w:t xml:space="preserve">with </w:t>
      </w:r>
      <w:r w:rsidRPr="00D1234C">
        <w:rPr>
          <w:u w:val="none"/>
          <w:lang w:val="en-US"/>
        </w:rPr>
        <w:t>the effectiveness of the glob</w:t>
      </w:r>
      <w:r w:rsidR="00B215A5" w:rsidRPr="00D1234C">
        <w:rPr>
          <w:u w:val="none"/>
          <w:lang w:val="en-US"/>
        </w:rPr>
        <w:t xml:space="preserve">al capacity-building </w:t>
      </w:r>
      <w:proofErr w:type="spellStart"/>
      <w:r w:rsidR="00B215A5" w:rsidRPr="00D1234C">
        <w:rPr>
          <w:u w:val="none"/>
          <w:lang w:val="en-US"/>
        </w:rPr>
        <w:t>programme</w:t>
      </w:r>
      <w:proofErr w:type="spellEnd"/>
      <w:r w:rsidRPr="00D1234C">
        <w:rPr>
          <w:u w:val="none"/>
          <w:lang w:val="en-US"/>
        </w:rPr>
        <w:t xml:space="preserve">, </w:t>
      </w:r>
      <w:r w:rsidR="00F04A20" w:rsidRPr="00D1234C">
        <w:rPr>
          <w:u w:val="none"/>
          <w:lang w:val="en-US"/>
        </w:rPr>
        <w:t xml:space="preserve">which has enhanced </w:t>
      </w:r>
      <w:r w:rsidRPr="00D1234C">
        <w:rPr>
          <w:u w:val="none"/>
          <w:lang w:val="en-US"/>
        </w:rPr>
        <w:t xml:space="preserve">national capacities to safeguard intangible cultural heritage, and </w:t>
      </w:r>
      <w:r w:rsidR="00F04A20" w:rsidRPr="00D1234C">
        <w:rPr>
          <w:lang w:val="en-US"/>
        </w:rPr>
        <w:t xml:space="preserve">further </w:t>
      </w:r>
      <w:r w:rsidRPr="00D1234C">
        <w:rPr>
          <w:lang w:val="en-US"/>
        </w:rPr>
        <w:t>welcomes</w:t>
      </w:r>
      <w:r w:rsidRPr="00D1234C">
        <w:rPr>
          <w:u w:val="none"/>
          <w:lang w:val="en-US"/>
        </w:rPr>
        <w:t xml:space="preserve"> </w:t>
      </w:r>
      <w:r w:rsidR="00E936A4" w:rsidRPr="00D1234C">
        <w:rPr>
          <w:u w:val="none"/>
          <w:lang w:val="en-US"/>
        </w:rPr>
        <w:t xml:space="preserve">new developments in this regard notably through </w:t>
      </w:r>
      <w:r w:rsidR="00E201B4" w:rsidRPr="00D1234C">
        <w:rPr>
          <w:u w:val="none"/>
          <w:lang w:val="en-US"/>
        </w:rPr>
        <w:t xml:space="preserve">the </w:t>
      </w:r>
      <w:r w:rsidR="008340A1" w:rsidRPr="00D1234C">
        <w:rPr>
          <w:u w:val="none"/>
          <w:lang w:val="en-US"/>
        </w:rPr>
        <w:t>creation</w:t>
      </w:r>
      <w:r w:rsidR="00E936A4" w:rsidRPr="00D1234C">
        <w:rPr>
          <w:u w:val="none"/>
          <w:lang w:val="en-US"/>
        </w:rPr>
        <w:t xml:space="preserve"> of the sustainable development toolbox</w:t>
      </w:r>
      <w:r w:rsidR="00C218D7" w:rsidRPr="00D1234C">
        <w:rPr>
          <w:u w:val="none"/>
          <w:lang w:val="en-US"/>
        </w:rPr>
        <w:t xml:space="preserve">, the work on gender, </w:t>
      </w:r>
      <w:r w:rsidR="00E936A4" w:rsidRPr="00D1234C">
        <w:rPr>
          <w:u w:val="none"/>
          <w:lang w:val="en-US"/>
        </w:rPr>
        <w:t xml:space="preserve">and </w:t>
      </w:r>
      <w:r w:rsidRPr="00D1234C">
        <w:rPr>
          <w:u w:val="none"/>
          <w:lang w:val="en-US"/>
        </w:rPr>
        <w:t>the establishment of the facilitators’ interregional working group;</w:t>
      </w:r>
    </w:p>
    <w:p w14:paraId="1E77CD8E" w14:textId="77777777" w:rsidR="000420D8" w:rsidRDefault="000420D8">
      <w:pPr>
        <w:rPr>
          <w:rFonts w:ascii="Arial" w:eastAsia="SimSun" w:hAnsi="Arial" w:cs="Arial"/>
          <w:sz w:val="22"/>
          <w:szCs w:val="22"/>
          <w:lang w:val="en-US"/>
        </w:rPr>
      </w:pPr>
      <w:r>
        <w:rPr>
          <w:lang w:val="en-US"/>
        </w:rPr>
        <w:br w:type="page"/>
      </w:r>
    </w:p>
    <w:p w14:paraId="5ACAA397" w14:textId="2568025C" w:rsidR="005378F5" w:rsidRPr="00D1234C" w:rsidRDefault="005378F5" w:rsidP="0022671B">
      <w:pPr>
        <w:pStyle w:val="COMParaDecision"/>
        <w:numPr>
          <w:ilvl w:val="0"/>
          <w:numId w:val="10"/>
        </w:numPr>
        <w:ind w:left="1134" w:hanging="567"/>
        <w:rPr>
          <w:lang w:val="en-US"/>
        </w:rPr>
      </w:pPr>
      <w:r w:rsidRPr="00D1234C">
        <w:rPr>
          <w:lang w:val="en-US"/>
        </w:rPr>
        <w:lastRenderedPageBreak/>
        <w:t>Thanks</w:t>
      </w:r>
      <w:r w:rsidR="00EC0CDD">
        <w:rPr>
          <w:u w:val="none"/>
          <w:lang w:val="en-US"/>
        </w:rPr>
        <w:t xml:space="preserve"> States Parties and Category 2 </w:t>
      </w:r>
      <w:proofErr w:type="spellStart"/>
      <w:r w:rsidR="00EC0CDD">
        <w:rPr>
          <w:u w:val="none"/>
          <w:lang w:val="en-US"/>
        </w:rPr>
        <w:t>C</w:t>
      </w:r>
      <w:r w:rsidRPr="00D1234C">
        <w:rPr>
          <w:u w:val="none"/>
          <w:lang w:val="en-US"/>
        </w:rPr>
        <w:t>entres</w:t>
      </w:r>
      <w:proofErr w:type="spellEnd"/>
      <w:r w:rsidRPr="00D1234C">
        <w:rPr>
          <w:u w:val="none"/>
          <w:lang w:val="en-US"/>
        </w:rPr>
        <w:t xml:space="preserve"> for hosting and conducting regional training</w:t>
      </w:r>
      <w:r w:rsidR="00067B54" w:rsidRPr="00D1234C">
        <w:rPr>
          <w:u w:val="none"/>
          <w:lang w:val="en-US"/>
        </w:rPr>
        <w:t xml:space="preserve"> workshops for facilitators</w:t>
      </w:r>
      <w:r w:rsidR="00C51483" w:rsidRPr="00D1234C">
        <w:rPr>
          <w:u w:val="none"/>
          <w:lang w:val="en-US"/>
        </w:rPr>
        <w:t xml:space="preserve"> in close collaboration with the Secretariat</w:t>
      </w:r>
      <w:r w:rsidRPr="00D1234C">
        <w:rPr>
          <w:u w:val="none"/>
          <w:lang w:val="en-US"/>
        </w:rPr>
        <w:t>, to effectively strengthen and expand the regional network of facilitators</w:t>
      </w:r>
      <w:r w:rsidR="00067B54" w:rsidRPr="00D1234C">
        <w:rPr>
          <w:u w:val="none"/>
          <w:lang w:val="en-US"/>
        </w:rPr>
        <w:t xml:space="preserve"> and contribute to UNESCO’s strategic objectives in the field of intangible cultural heritage;</w:t>
      </w:r>
    </w:p>
    <w:p w14:paraId="219F01EA" w14:textId="4A53B406" w:rsidR="00BC403D" w:rsidRPr="00D1234C" w:rsidRDefault="00523649" w:rsidP="0022671B">
      <w:pPr>
        <w:pStyle w:val="COMParaDecision"/>
        <w:numPr>
          <w:ilvl w:val="0"/>
          <w:numId w:val="10"/>
        </w:numPr>
        <w:ind w:left="1134" w:hanging="567"/>
        <w:rPr>
          <w:lang w:val="en-US"/>
        </w:rPr>
      </w:pPr>
      <w:r w:rsidRPr="00D1234C">
        <w:rPr>
          <w:lang w:val="en-US"/>
        </w:rPr>
        <w:t>Underlines</w:t>
      </w:r>
      <w:r w:rsidRPr="00D1234C">
        <w:rPr>
          <w:u w:val="none"/>
          <w:lang w:val="en-US"/>
        </w:rPr>
        <w:t xml:space="preserve"> the primary role education plays in </w:t>
      </w:r>
      <w:r w:rsidR="006A185A" w:rsidRPr="00D1234C">
        <w:rPr>
          <w:u w:val="none"/>
          <w:lang w:val="en-US"/>
        </w:rPr>
        <w:t xml:space="preserve">strengthening </w:t>
      </w:r>
      <w:r w:rsidRPr="00D1234C">
        <w:rPr>
          <w:u w:val="none"/>
          <w:lang w:val="en-US"/>
        </w:rPr>
        <w:t xml:space="preserve">the </w:t>
      </w:r>
      <w:r w:rsidR="006A185A" w:rsidRPr="00D1234C">
        <w:rPr>
          <w:u w:val="none"/>
          <w:lang w:val="en-US"/>
        </w:rPr>
        <w:t>transmission of intangible cultural heritage</w:t>
      </w:r>
      <w:r w:rsidRPr="00D1234C">
        <w:rPr>
          <w:u w:val="none"/>
          <w:lang w:val="en-US"/>
        </w:rPr>
        <w:t>, and</w:t>
      </w:r>
      <w:r w:rsidR="00BC403D" w:rsidRPr="00D1234C">
        <w:rPr>
          <w:u w:val="none"/>
          <w:lang w:val="en-US"/>
        </w:rPr>
        <w:t xml:space="preserve"> </w:t>
      </w:r>
      <w:r w:rsidR="00F04A20" w:rsidRPr="00D1234C">
        <w:rPr>
          <w:lang w:val="en-US"/>
        </w:rPr>
        <w:t xml:space="preserve">also </w:t>
      </w:r>
      <w:r w:rsidR="00BC403D" w:rsidRPr="00D1234C">
        <w:rPr>
          <w:lang w:val="en-US"/>
        </w:rPr>
        <w:t>welcomes</w:t>
      </w:r>
      <w:r w:rsidR="00BC403D" w:rsidRPr="00D1234C">
        <w:rPr>
          <w:u w:val="none"/>
          <w:lang w:val="en-US"/>
        </w:rPr>
        <w:t xml:space="preserve"> the progress m</w:t>
      </w:r>
      <w:r w:rsidRPr="00D1234C">
        <w:rPr>
          <w:u w:val="none"/>
          <w:lang w:val="en-US"/>
        </w:rPr>
        <w:t>a</w:t>
      </w:r>
      <w:r w:rsidR="006A185A" w:rsidRPr="00D1234C">
        <w:rPr>
          <w:u w:val="none"/>
          <w:lang w:val="en-US"/>
        </w:rPr>
        <w:t xml:space="preserve">de in the implementation of the funding priority ‘safeguarding and transmission of intangible cultural heritage through formal and non-formal education’, notably through </w:t>
      </w:r>
      <w:r w:rsidR="00494F5C" w:rsidRPr="00CF516C">
        <w:rPr>
          <w:u w:val="none"/>
          <w:lang w:val="en-US"/>
        </w:rPr>
        <w:t xml:space="preserve">the </w:t>
      </w:r>
      <w:proofErr w:type="spellStart"/>
      <w:r w:rsidR="00DA0D5A" w:rsidRPr="00D1234C">
        <w:rPr>
          <w:u w:val="none"/>
          <w:lang w:val="en-US"/>
        </w:rPr>
        <w:t>intersectoral</w:t>
      </w:r>
      <w:proofErr w:type="spellEnd"/>
      <w:r w:rsidR="00DA0D5A" w:rsidRPr="00D1234C">
        <w:rPr>
          <w:u w:val="none"/>
          <w:lang w:val="en-US"/>
        </w:rPr>
        <w:t xml:space="preserve"> work being </w:t>
      </w:r>
      <w:r w:rsidR="00A07A46" w:rsidRPr="00D1234C">
        <w:rPr>
          <w:u w:val="none"/>
          <w:lang w:val="en-US"/>
        </w:rPr>
        <w:t>undertaken</w:t>
      </w:r>
      <w:r w:rsidR="00DA0D5A" w:rsidRPr="00D1234C">
        <w:rPr>
          <w:u w:val="none"/>
          <w:lang w:val="en-US"/>
        </w:rPr>
        <w:t xml:space="preserve"> both at Headquarters and in </w:t>
      </w:r>
      <w:r w:rsidR="00FA7821" w:rsidRPr="00CF516C">
        <w:rPr>
          <w:u w:val="none"/>
          <w:lang w:val="en-US"/>
        </w:rPr>
        <w:t>UNESCO Field Offices,</w:t>
      </w:r>
      <w:r w:rsidR="00F27D29" w:rsidRPr="00D1234C">
        <w:rPr>
          <w:u w:val="none"/>
          <w:lang w:val="en-US"/>
        </w:rPr>
        <w:t xml:space="preserve"> </w:t>
      </w:r>
      <w:r w:rsidR="00FA7821" w:rsidRPr="00CF516C">
        <w:rPr>
          <w:u w:val="none"/>
          <w:lang w:val="en-US"/>
        </w:rPr>
        <w:t xml:space="preserve">as well as </w:t>
      </w:r>
      <w:r w:rsidR="00A07A46" w:rsidRPr="00CF516C">
        <w:rPr>
          <w:u w:val="none"/>
          <w:lang w:val="en-US"/>
        </w:rPr>
        <w:t>through</w:t>
      </w:r>
      <w:r w:rsidR="00EC2AB4">
        <w:rPr>
          <w:u w:val="none"/>
          <w:lang w:val="en-US"/>
        </w:rPr>
        <w:t xml:space="preserve"> </w:t>
      </w:r>
      <w:r w:rsidR="006A185A" w:rsidRPr="00D1234C">
        <w:rPr>
          <w:u w:val="none"/>
          <w:lang w:val="en-US"/>
        </w:rPr>
        <w:t>the establishment of the clearinghouse for knowledge sharing, cooperation and innovation on intangible cultural heritage and education;</w:t>
      </w:r>
    </w:p>
    <w:p w14:paraId="2DD045DE" w14:textId="5256B056" w:rsidR="005378F5" w:rsidRPr="00D1234C" w:rsidRDefault="00F04A20" w:rsidP="0022671B">
      <w:pPr>
        <w:pStyle w:val="COMParaDecision"/>
        <w:numPr>
          <w:ilvl w:val="0"/>
          <w:numId w:val="10"/>
        </w:numPr>
        <w:ind w:left="1134" w:hanging="567"/>
        <w:rPr>
          <w:lang w:val="en-US"/>
        </w:rPr>
      </w:pPr>
      <w:r w:rsidRPr="00D1234C">
        <w:rPr>
          <w:lang w:val="en-US"/>
        </w:rPr>
        <w:t>Further n</w:t>
      </w:r>
      <w:r w:rsidR="005378F5" w:rsidRPr="00D1234C">
        <w:rPr>
          <w:lang w:val="en-US"/>
        </w:rPr>
        <w:t>otes</w:t>
      </w:r>
      <w:r w:rsidR="005378F5" w:rsidRPr="00D1234C">
        <w:rPr>
          <w:u w:val="none"/>
          <w:lang w:val="en-US"/>
        </w:rPr>
        <w:t xml:space="preserve"> the initiative on intangible cultural heritage in urban contexts</w:t>
      </w:r>
      <w:r w:rsidR="008340A1" w:rsidRPr="00D1234C">
        <w:rPr>
          <w:u w:val="none"/>
          <w:lang w:val="en-US"/>
        </w:rPr>
        <w:t>,</w:t>
      </w:r>
      <w:r w:rsidR="005378F5" w:rsidRPr="00D1234C">
        <w:rPr>
          <w:u w:val="none"/>
          <w:lang w:val="en-US"/>
        </w:rPr>
        <w:t xml:space="preserve"> </w:t>
      </w:r>
      <w:r w:rsidR="005378F5" w:rsidRPr="00D1234C">
        <w:rPr>
          <w:lang w:val="en-US"/>
        </w:rPr>
        <w:t>thanks</w:t>
      </w:r>
      <w:r w:rsidR="005378F5" w:rsidRPr="00D1234C">
        <w:rPr>
          <w:u w:val="none"/>
          <w:lang w:val="en-US"/>
        </w:rPr>
        <w:t xml:space="preserve"> the private sector </w:t>
      </w:r>
      <w:r w:rsidR="00DF2CAB">
        <w:rPr>
          <w:u w:val="none"/>
          <w:lang w:val="en-US"/>
        </w:rPr>
        <w:t>of</w:t>
      </w:r>
      <w:r w:rsidR="005378F5" w:rsidRPr="00D1234C">
        <w:rPr>
          <w:u w:val="none"/>
          <w:lang w:val="en-US"/>
        </w:rPr>
        <w:t xml:space="preserve"> the People’s Republic of China for its generous contribution towards </w:t>
      </w:r>
      <w:r w:rsidRPr="00D1234C">
        <w:rPr>
          <w:u w:val="none"/>
          <w:lang w:val="en-US"/>
        </w:rPr>
        <w:t xml:space="preserve">this initiative </w:t>
      </w:r>
      <w:r w:rsidR="005378F5" w:rsidRPr="00D1234C">
        <w:rPr>
          <w:u w:val="none"/>
          <w:lang w:val="en-US"/>
        </w:rPr>
        <w:t xml:space="preserve">and </w:t>
      </w:r>
      <w:r w:rsidR="005378F5" w:rsidRPr="00D1234C">
        <w:rPr>
          <w:lang w:val="en-US"/>
        </w:rPr>
        <w:t>invites</w:t>
      </w:r>
      <w:r w:rsidR="005378F5" w:rsidRPr="00D1234C">
        <w:rPr>
          <w:u w:val="none"/>
          <w:lang w:val="en-US"/>
        </w:rPr>
        <w:t xml:space="preserve"> the Secretariat to pursue its efforts in this regard;</w:t>
      </w:r>
    </w:p>
    <w:p w14:paraId="477C0DF0" w14:textId="77777777" w:rsidR="005378F5" w:rsidRPr="00D1234C" w:rsidRDefault="005378F5" w:rsidP="0022671B">
      <w:pPr>
        <w:pStyle w:val="COMParaDecision"/>
        <w:keepNext/>
        <w:ind w:left="1134"/>
        <w:rPr>
          <w:b/>
          <w:u w:val="none"/>
          <w:lang w:val="en-US"/>
        </w:rPr>
      </w:pPr>
      <w:r w:rsidRPr="00D1234C">
        <w:rPr>
          <w:b/>
          <w:u w:val="none"/>
          <w:lang w:val="en-US"/>
        </w:rPr>
        <w:t>Communication and Outreach</w:t>
      </w:r>
    </w:p>
    <w:p w14:paraId="26EA4522" w14:textId="62B7B000" w:rsidR="00523649" w:rsidRPr="00D1234C" w:rsidRDefault="00E201B4" w:rsidP="0022671B">
      <w:pPr>
        <w:pStyle w:val="COMParaDecision"/>
        <w:numPr>
          <w:ilvl w:val="0"/>
          <w:numId w:val="10"/>
        </w:numPr>
        <w:ind w:left="1134" w:hanging="567"/>
        <w:rPr>
          <w:u w:val="none"/>
          <w:lang w:val="en-US"/>
        </w:rPr>
      </w:pPr>
      <w:r w:rsidRPr="00D1234C">
        <w:rPr>
          <w:lang w:val="en-US"/>
        </w:rPr>
        <w:t>Appreciates</w:t>
      </w:r>
      <w:r w:rsidRPr="00D1234C">
        <w:rPr>
          <w:u w:val="none"/>
          <w:lang w:val="en-US"/>
        </w:rPr>
        <w:t xml:space="preserve"> the implementation of the various </w:t>
      </w:r>
      <w:r w:rsidR="00523649" w:rsidRPr="00D1234C">
        <w:rPr>
          <w:u w:val="none"/>
          <w:lang w:val="en-US"/>
        </w:rPr>
        <w:t xml:space="preserve">outreach and communications </w:t>
      </w:r>
      <w:r w:rsidRPr="00D1234C">
        <w:rPr>
          <w:u w:val="none"/>
          <w:lang w:val="en-US"/>
        </w:rPr>
        <w:t xml:space="preserve">initiatives carried out to </w:t>
      </w:r>
      <w:r w:rsidR="00523649" w:rsidRPr="00D1234C">
        <w:rPr>
          <w:u w:val="none"/>
          <w:lang w:val="en-US"/>
        </w:rPr>
        <w:t xml:space="preserve">enhance awareness about, and the visibility of the Convention, and </w:t>
      </w:r>
      <w:r w:rsidR="00523649" w:rsidRPr="00D1234C">
        <w:rPr>
          <w:lang w:val="en-US"/>
        </w:rPr>
        <w:t>encourages</w:t>
      </w:r>
      <w:r w:rsidR="00523649" w:rsidRPr="00D1234C">
        <w:rPr>
          <w:u w:val="none"/>
          <w:lang w:val="en-US"/>
        </w:rPr>
        <w:t xml:space="preserve"> the Secretariat to continue its efforts in this regard;</w:t>
      </w:r>
    </w:p>
    <w:p w14:paraId="60E252FE" w14:textId="38FED3B9" w:rsidR="0022126B" w:rsidRPr="00D1234C" w:rsidRDefault="00EA4E31" w:rsidP="0022671B">
      <w:pPr>
        <w:pStyle w:val="COMParaDecision"/>
        <w:numPr>
          <w:ilvl w:val="0"/>
          <w:numId w:val="10"/>
        </w:numPr>
        <w:ind w:left="1134" w:hanging="567"/>
        <w:rPr>
          <w:lang w:val="en-US"/>
        </w:rPr>
      </w:pPr>
      <w:r>
        <w:rPr>
          <w:lang w:val="en-US"/>
        </w:rPr>
        <w:t>Further appreciates</w:t>
      </w:r>
      <w:r w:rsidRPr="00D1234C">
        <w:rPr>
          <w:u w:val="none"/>
          <w:lang w:val="en-US"/>
        </w:rPr>
        <w:t xml:space="preserve"> </w:t>
      </w:r>
      <w:r w:rsidR="0022126B" w:rsidRPr="00D1234C">
        <w:rPr>
          <w:u w:val="none"/>
          <w:lang w:val="en-US"/>
        </w:rPr>
        <w:t>the</w:t>
      </w:r>
      <w:r>
        <w:rPr>
          <w:u w:val="none"/>
          <w:lang w:val="en-US"/>
        </w:rPr>
        <w:t xml:space="preserve"> additional development of the</w:t>
      </w:r>
      <w:r w:rsidR="0022126B" w:rsidRPr="00D1234C">
        <w:rPr>
          <w:u w:val="none"/>
          <w:lang w:val="en-US"/>
        </w:rPr>
        <w:t xml:space="preserve"> initiative, ‘Dive into Intangible Cultural Heritage’, </w:t>
      </w:r>
      <w:r>
        <w:rPr>
          <w:u w:val="none"/>
          <w:lang w:val="en-US"/>
        </w:rPr>
        <w:t xml:space="preserve">and </w:t>
      </w:r>
      <w:r w:rsidR="0022126B" w:rsidRPr="00D1234C">
        <w:rPr>
          <w:lang w:val="en-US"/>
        </w:rPr>
        <w:t>thanks</w:t>
      </w:r>
      <w:r w:rsidR="0022126B" w:rsidRPr="00D1234C">
        <w:rPr>
          <w:u w:val="none"/>
          <w:lang w:val="en-US"/>
        </w:rPr>
        <w:t xml:space="preserve"> </w:t>
      </w:r>
      <w:r w:rsidRPr="0025708E">
        <w:rPr>
          <w:u w:val="none"/>
          <w:lang w:val="en-US"/>
        </w:rPr>
        <w:t>the Government of Netherlands</w:t>
      </w:r>
      <w:r w:rsidRPr="00EA4E31">
        <w:rPr>
          <w:u w:val="none"/>
          <w:lang w:val="en-US"/>
        </w:rPr>
        <w:t xml:space="preserve"> </w:t>
      </w:r>
      <w:r>
        <w:rPr>
          <w:u w:val="none"/>
          <w:lang w:val="en-US"/>
        </w:rPr>
        <w:t>for its</w:t>
      </w:r>
      <w:r w:rsidR="0022126B" w:rsidRPr="00D1234C">
        <w:rPr>
          <w:u w:val="none"/>
          <w:lang w:val="en-US"/>
        </w:rPr>
        <w:t xml:space="preserve"> generous contribution </w:t>
      </w:r>
      <w:r>
        <w:rPr>
          <w:u w:val="none"/>
          <w:lang w:val="en-US"/>
        </w:rPr>
        <w:t>to this initiative</w:t>
      </w:r>
      <w:r w:rsidR="0022126B" w:rsidRPr="00D1234C">
        <w:rPr>
          <w:u w:val="none"/>
          <w:lang w:val="en-US"/>
        </w:rPr>
        <w:t>;</w:t>
      </w:r>
    </w:p>
    <w:p w14:paraId="631FB047" w14:textId="5FB2167A" w:rsidR="0057439C" w:rsidRPr="00D1234C" w:rsidRDefault="002575FC" w:rsidP="0022671B">
      <w:pPr>
        <w:pStyle w:val="COMParaDecision"/>
        <w:ind w:left="1134"/>
        <w:rPr>
          <w:lang w:val="en-US"/>
        </w:rPr>
      </w:pPr>
      <w:r w:rsidRPr="00D1234C">
        <w:rPr>
          <w:b/>
          <w:u w:val="none"/>
          <w:lang w:val="en-US"/>
        </w:rPr>
        <w:t>Voluntary contribution</w:t>
      </w:r>
    </w:p>
    <w:p w14:paraId="7CE2A44D" w14:textId="3549C5E7" w:rsidR="002575FC" w:rsidRPr="00D1234C" w:rsidRDefault="002575FC" w:rsidP="0022671B">
      <w:pPr>
        <w:pStyle w:val="COMParaDecision"/>
        <w:numPr>
          <w:ilvl w:val="0"/>
          <w:numId w:val="10"/>
        </w:numPr>
        <w:ind w:left="1134" w:hanging="567"/>
        <w:rPr>
          <w:lang w:val="en-US"/>
        </w:rPr>
      </w:pPr>
      <w:r w:rsidRPr="00D1234C">
        <w:rPr>
          <w:lang w:val="en-US"/>
        </w:rPr>
        <w:t>Expresses concern</w:t>
      </w:r>
      <w:r w:rsidR="005B7A35" w:rsidRPr="00D1234C">
        <w:rPr>
          <w:u w:val="none"/>
          <w:lang w:val="en-US"/>
        </w:rPr>
        <w:t xml:space="preserve"> </w:t>
      </w:r>
      <w:r w:rsidRPr="00D1234C">
        <w:rPr>
          <w:u w:val="none"/>
          <w:lang w:val="en-US"/>
        </w:rPr>
        <w:t>regarding the continued decline in voluntary contribution</w:t>
      </w:r>
      <w:r w:rsidR="00F04A20" w:rsidRPr="00D1234C">
        <w:rPr>
          <w:u w:val="none"/>
          <w:lang w:val="en-US"/>
        </w:rPr>
        <w:t>s</w:t>
      </w:r>
      <w:r w:rsidRPr="00D1234C">
        <w:rPr>
          <w:u w:val="none"/>
          <w:lang w:val="en-US"/>
        </w:rPr>
        <w:t xml:space="preserve"> for the implementation of the two funding priorities of the Convention approved for the period 2018–2021 and </w:t>
      </w:r>
      <w:r w:rsidRPr="00D1234C">
        <w:rPr>
          <w:lang w:val="en-US"/>
        </w:rPr>
        <w:t>calls on</w:t>
      </w:r>
      <w:r w:rsidRPr="00D1234C">
        <w:rPr>
          <w:u w:val="none"/>
          <w:lang w:val="en-US"/>
        </w:rPr>
        <w:t xml:space="preserve"> States Parties to provide additional resources to the Intangible Cultural Heritage Fund to support the financial sustainability and operationalization of the project</w:t>
      </w:r>
      <w:r w:rsidR="00F04A20" w:rsidRPr="00D1234C">
        <w:rPr>
          <w:u w:val="none"/>
          <w:lang w:val="en-US"/>
        </w:rPr>
        <w:t>s</w:t>
      </w:r>
      <w:r w:rsidR="00243552" w:rsidRPr="00D1234C">
        <w:rPr>
          <w:u w:val="none"/>
          <w:lang w:val="en-US"/>
        </w:rPr>
        <w:t>.</w:t>
      </w:r>
    </w:p>
    <w:p w14:paraId="61E29707" w14:textId="77777777" w:rsidR="00132070" w:rsidRPr="00D1234C" w:rsidRDefault="00132070" w:rsidP="0022671B">
      <w:pPr>
        <w:pStyle w:val="COMPara"/>
        <w:ind w:left="567"/>
        <w:jc w:val="both"/>
        <w:rPr>
          <w:lang w:val="en-US"/>
        </w:rPr>
        <w:sectPr w:rsidR="00132070" w:rsidRPr="00D1234C" w:rsidSect="00655736">
          <w:headerReference w:type="even" r:id="rId23"/>
          <w:headerReference w:type="default" r:id="rId24"/>
          <w:headerReference w:type="first" r:id="rId25"/>
          <w:pgSz w:w="11906" w:h="16838" w:code="9"/>
          <w:pgMar w:top="1418" w:right="1134" w:bottom="1134" w:left="1134" w:header="397" w:footer="284" w:gutter="0"/>
          <w:cols w:space="708"/>
          <w:titlePg/>
          <w:docGrid w:linePitch="360"/>
        </w:sectPr>
      </w:pPr>
    </w:p>
    <w:p w14:paraId="4CC8D876" w14:textId="39EEA0B1" w:rsidR="00742A72" w:rsidRPr="00D1234C" w:rsidRDefault="00742A72" w:rsidP="00742A72">
      <w:pPr>
        <w:autoSpaceDE w:val="0"/>
        <w:autoSpaceDN w:val="0"/>
        <w:adjustRightInd w:val="0"/>
        <w:spacing w:after="120"/>
        <w:jc w:val="center"/>
        <w:rPr>
          <w:rFonts w:ascii="Arial" w:eastAsia="SimSun" w:hAnsi="Arial" w:cs="Arial"/>
          <w:b/>
          <w:sz w:val="22"/>
          <w:szCs w:val="22"/>
          <w:u w:val="single"/>
          <w:lang w:val="en-US"/>
        </w:rPr>
      </w:pPr>
      <w:r w:rsidRPr="00D1234C">
        <w:rPr>
          <w:rFonts w:ascii="Arial" w:eastAsia="SimSun" w:hAnsi="Arial" w:cs="Arial"/>
          <w:b/>
          <w:sz w:val="22"/>
          <w:szCs w:val="22"/>
          <w:u w:val="single"/>
          <w:lang w:val="en-US"/>
        </w:rPr>
        <w:lastRenderedPageBreak/>
        <w:t xml:space="preserve">Annex </w:t>
      </w:r>
    </w:p>
    <w:p w14:paraId="5024F671" w14:textId="77777777" w:rsidR="00742A72" w:rsidRPr="00D1234C" w:rsidRDefault="00742A72" w:rsidP="00742A72">
      <w:pPr>
        <w:autoSpaceDE w:val="0"/>
        <w:autoSpaceDN w:val="0"/>
        <w:adjustRightInd w:val="0"/>
        <w:spacing w:after="240"/>
        <w:jc w:val="center"/>
        <w:rPr>
          <w:rFonts w:ascii="Arial" w:eastAsia="Malgun Gothic" w:hAnsi="Arial" w:cs="Arial"/>
          <w:b/>
          <w:sz w:val="22"/>
          <w:szCs w:val="22"/>
          <w:lang w:val="en-US" w:eastAsia="ko-KR"/>
        </w:rPr>
      </w:pPr>
      <w:r w:rsidRPr="00D1234C">
        <w:rPr>
          <w:rFonts w:ascii="Arial" w:eastAsia="SimSun" w:hAnsi="Arial" w:cs="Arial"/>
          <w:b/>
          <w:sz w:val="22"/>
          <w:szCs w:val="22"/>
          <w:lang w:val="en-US"/>
        </w:rPr>
        <w:t>Assessment</w:t>
      </w:r>
      <w:r w:rsidRPr="004A46D6">
        <w:rPr>
          <w:rFonts w:ascii="Arial" w:eastAsia="SimSun" w:hAnsi="Arial" w:cs="Arial"/>
          <w:b/>
          <w:sz w:val="22"/>
          <w:szCs w:val="22"/>
          <w:lang w:val="en-US"/>
        </w:rPr>
        <w:t xml:space="preserve"> by Performance Indicator</w:t>
      </w:r>
    </w:p>
    <w:tbl>
      <w:tblPr>
        <w:tblStyle w:val="TableGrid2"/>
        <w:tblW w:w="14572" w:type="dxa"/>
        <w:tblLook w:val="04A0" w:firstRow="1" w:lastRow="0" w:firstColumn="1" w:lastColumn="0" w:noHBand="0" w:noVBand="1"/>
      </w:tblPr>
      <w:tblGrid>
        <w:gridCol w:w="3789"/>
        <w:gridCol w:w="10783"/>
      </w:tblGrid>
      <w:tr w:rsidR="00742A72" w:rsidRPr="008C2771" w14:paraId="1CCBBB5C" w14:textId="77777777" w:rsidTr="004F7805">
        <w:trPr>
          <w:cantSplit/>
        </w:trPr>
        <w:tc>
          <w:tcPr>
            <w:tcW w:w="1300" w:type="pct"/>
            <w:shd w:val="clear" w:color="auto" w:fill="808080" w:themeFill="background1" w:themeFillShade="80"/>
            <w:vAlign w:val="center"/>
          </w:tcPr>
          <w:p w14:paraId="350F2325" w14:textId="77777777" w:rsidR="00742A72" w:rsidRPr="00D1234C" w:rsidRDefault="00742A72" w:rsidP="004F7805">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39C/5 Performance Indicator 1</w:t>
            </w:r>
          </w:p>
        </w:tc>
        <w:tc>
          <w:tcPr>
            <w:tcW w:w="3700" w:type="pct"/>
            <w:shd w:val="clear" w:color="auto" w:fill="808080" w:themeFill="background1" w:themeFillShade="80"/>
            <w:vAlign w:val="center"/>
          </w:tcPr>
          <w:p w14:paraId="20C410F8" w14:textId="77777777" w:rsidR="00742A72" w:rsidRPr="00D1234C" w:rsidRDefault="00742A72" w:rsidP="004F7805">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Sound governance exercised through the adoption and implementation of strategic resolutions/decisions of the governing bodies of the 2003 Convention.</w:t>
            </w:r>
          </w:p>
        </w:tc>
      </w:tr>
    </w:tbl>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2"/>
        <w:gridCol w:w="1961"/>
        <w:gridCol w:w="7140"/>
      </w:tblGrid>
      <w:tr w:rsidR="00742A72" w:rsidRPr="004A46D6" w14:paraId="2E1EF3F5" w14:textId="77777777" w:rsidTr="004F7805">
        <w:trPr>
          <w:tblHeader/>
        </w:trPr>
        <w:tc>
          <w:tcPr>
            <w:tcW w:w="1300" w:type="pct"/>
            <w:shd w:val="clear" w:color="auto" w:fill="D9D9D9" w:themeFill="background1" w:themeFillShade="D9"/>
            <w:vAlign w:val="center"/>
          </w:tcPr>
          <w:p w14:paraId="4EDF73EA" w14:textId="77777777" w:rsidR="00742A72" w:rsidRPr="00D1234C" w:rsidRDefault="00742A72" w:rsidP="004F7805">
            <w:pPr>
              <w:spacing w:before="60" w:after="60"/>
              <w:jc w:val="center"/>
              <w:rPr>
                <w:rFonts w:ascii="Arial" w:eastAsia="Calibri" w:hAnsi="Arial" w:cs="Arial"/>
                <w:b/>
                <w:sz w:val="20"/>
                <w:szCs w:val="20"/>
                <w:lang w:val="en-US"/>
              </w:rPr>
            </w:pPr>
            <w:r w:rsidRPr="00D1234C">
              <w:rPr>
                <w:rFonts w:ascii="Arial" w:eastAsia="Calibri" w:hAnsi="Arial" w:cs="Arial"/>
                <w:b/>
                <w:sz w:val="20"/>
                <w:szCs w:val="20"/>
                <w:lang w:val="en-US"/>
              </w:rPr>
              <w:t>Assessed according to the following:</w:t>
            </w:r>
          </w:p>
        </w:tc>
        <w:tc>
          <w:tcPr>
            <w:tcW w:w="577" w:type="pct"/>
            <w:shd w:val="clear" w:color="auto" w:fill="D9D9D9" w:themeFill="background1" w:themeFillShade="D9"/>
            <w:vAlign w:val="center"/>
          </w:tcPr>
          <w:p w14:paraId="6D6EBA63" w14:textId="77777777" w:rsidR="00742A72" w:rsidRPr="004A46D6" w:rsidRDefault="00742A72" w:rsidP="004F7805">
            <w:pPr>
              <w:spacing w:before="60" w:after="60"/>
              <w:jc w:val="center"/>
              <w:rPr>
                <w:rFonts w:ascii="Arial" w:eastAsia="Calibri" w:hAnsi="Arial" w:cs="Arial"/>
                <w:b/>
                <w:sz w:val="20"/>
                <w:szCs w:val="20"/>
                <w:lang w:val="en-US"/>
              </w:rPr>
            </w:pPr>
            <w:r w:rsidRPr="004A46D6">
              <w:rPr>
                <w:rFonts w:ascii="Arial" w:hAnsi="Arial" w:cs="Arial"/>
                <w:b/>
                <w:bCs/>
                <w:sz w:val="20"/>
                <w:szCs w:val="20"/>
                <w:lang w:val="en-US"/>
              </w:rPr>
              <w:t>Baselines</w:t>
            </w:r>
          </w:p>
        </w:tc>
        <w:tc>
          <w:tcPr>
            <w:tcW w:w="673" w:type="pct"/>
            <w:shd w:val="clear" w:color="auto" w:fill="D9D9D9" w:themeFill="background1" w:themeFillShade="D9"/>
            <w:vAlign w:val="center"/>
          </w:tcPr>
          <w:p w14:paraId="4BF154C3" w14:textId="77777777" w:rsidR="00742A72" w:rsidRPr="00D1234C" w:rsidRDefault="00742A72" w:rsidP="004F7805">
            <w:pPr>
              <w:spacing w:before="60" w:after="60"/>
              <w:jc w:val="center"/>
              <w:rPr>
                <w:rFonts w:ascii="Arial" w:eastAsia="Calibri" w:hAnsi="Arial" w:cs="Arial"/>
                <w:b/>
                <w:sz w:val="20"/>
                <w:szCs w:val="20"/>
                <w:lang w:val="en-US"/>
              </w:rPr>
            </w:pPr>
            <w:r w:rsidRPr="00D1234C">
              <w:rPr>
                <w:rFonts w:ascii="Arial" w:eastAsia="Calibri" w:hAnsi="Arial" w:cs="Arial"/>
                <w:b/>
                <w:sz w:val="20"/>
                <w:szCs w:val="20"/>
                <w:lang w:val="en-US"/>
              </w:rPr>
              <w:t>Targets 2018-2019</w:t>
            </w:r>
          </w:p>
        </w:tc>
        <w:tc>
          <w:tcPr>
            <w:tcW w:w="2451" w:type="pct"/>
            <w:shd w:val="clear" w:color="auto" w:fill="D9D9D9" w:themeFill="background1" w:themeFillShade="D9"/>
            <w:vAlign w:val="center"/>
          </w:tcPr>
          <w:p w14:paraId="044D8CCB" w14:textId="129787B6" w:rsidR="00742A72" w:rsidRPr="00D1234C" w:rsidRDefault="00742A72" w:rsidP="004F7805">
            <w:pPr>
              <w:autoSpaceDE w:val="0"/>
              <w:autoSpaceDN w:val="0"/>
              <w:adjustRightInd w:val="0"/>
              <w:jc w:val="center"/>
              <w:rPr>
                <w:rFonts w:ascii="Arial" w:eastAsia="Calibri" w:hAnsi="Arial" w:cs="Arial"/>
                <w:b/>
                <w:color w:val="000000"/>
                <w:sz w:val="20"/>
                <w:szCs w:val="20"/>
                <w:lang w:val="en-US"/>
              </w:rPr>
            </w:pPr>
            <w:r w:rsidRPr="00D1234C">
              <w:rPr>
                <w:rFonts w:ascii="Arial" w:eastAsia="Calibri" w:hAnsi="Arial" w:cs="Arial"/>
                <w:b/>
                <w:sz w:val="20"/>
                <w:szCs w:val="20"/>
                <w:lang w:val="en-US"/>
              </w:rPr>
              <w:t>Assessment of progress:</w:t>
            </w:r>
            <w:r w:rsidRPr="00D1234C">
              <w:rPr>
                <w:rFonts w:ascii="Arial" w:eastAsia="Calibri" w:hAnsi="Arial" w:cs="Arial"/>
                <w:b/>
                <w:sz w:val="20"/>
                <w:szCs w:val="20"/>
                <w:lang w:val="en-US"/>
              </w:rPr>
              <w:br/>
              <w:t>01/01/2018 to 30/06/201</w:t>
            </w:r>
            <w:r w:rsidR="00FE27E3" w:rsidRPr="00D1234C">
              <w:rPr>
                <w:rFonts w:ascii="Arial" w:eastAsia="Calibri" w:hAnsi="Arial" w:cs="Arial"/>
                <w:b/>
                <w:sz w:val="20"/>
                <w:szCs w:val="20"/>
                <w:lang w:val="en-US"/>
              </w:rPr>
              <w:t>9</w:t>
            </w:r>
            <w:r w:rsidRPr="00D1234C">
              <w:rPr>
                <w:rFonts w:ascii="Arial" w:eastAsia="Calibri" w:hAnsi="Arial" w:cs="Arial"/>
                <w:b/>
                <w:sz w:val="20"/>
                <w:szCs w:val="20"/>
                <w:lang w:val="en-US"/>
              </w:rPr>
              <w:t xml:space="preserve"> </w:t>
            </w:r>
          </w:p>
        </w:tc>
      </w:tr>
      <w:tr w:rsidR="00742A72" w:rsidRPr="008C2771" w14:paraId="0D67D601" w14:textId="77777777" w:rsidTr="00444D8C">
        <w:trPr>
          <w:trHeight w:val="1498"/>
        </w:trPr>
        <w:tc>
          <w:tcPr>
            <w:tcW w:w="1300" w:type="pct"/>
          </w:tcPr>
          <w:p w14:paraId="7481B7EC" w14:textId="77777777" w:rsidR="00742A72" w:rsidRPr="00D1234C" w:rsidRDefault="00742A72" w:rsidP="00742A72">
            <w:pPr>
              <w:pStyle w:val="Paragraphedeliste"/>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Strengthened ability to provide strategic guidance to States Parties for the implementation and monitoring of the Convention, including through examination of submitted periodic reports</w:t>
            </w:r>
          </w:p>
          <w:p w14:paraId="2F79C23C" w14:textId="77777777" w:rsidR="00742A72" w:rsidRPr="00D1234C" w:rsidRDefault="00742A72" w:rsidP="00742A72">
            <w:pPr>
              <w:pStyle w:val="Paragraphedeliste"/>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Working methods of the governing bodies improved</w:t>
            </w:r>
          </w:p>
          <w:p w14:paraId="6D1D480B" w14:textId="77777777" w:rsidR="00742A72" w:rsidRPr="00D1234C" w:rsidRDefault="00742A72" w:rsidP="00742A72">
            <w:pPr>
              <w:pStyle w:val="Paragraphedeliste"/>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Level of funding to the implementation of decisions adopted by the governing bodies</w:t>
            </w:r>
          </w:p>
          <w:p w14:paraId="1761BC71" w14:textId="77777777" w:rsidR="00742A72" w:rsidRPr="00D1234C" w:rsidRDefault="00742A72" w:rsidP="00742A72">
            <w:pPr>
              <w:pStyle w:val="Paragraphedeliste"/>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 xml:space="preserve">Level of contribution of non-governmental organizations, with recognized competence in the </w:t>
            </w:r>
            <w:r w:rsidRPr="004A46D6">
              <w:rPr>
                <w:rFonts w:ascii="Arial" w:hAnsi="Arial" w:cs="Arial"/>
                <w:sz w:val="22"/>
                <w:szCs w:val="22"/>
                <w:lang w:val="en-US"/>
              </w:rPr>
              <w:lastRenderedPageBreak/>
              <w:t>field of intangible cultural heritage, to the Convention’s governance</w:t>
            </w:r>
          </w:p>
        </w:tc>
        <w:tc>
          <w:tcPr>
            <w:tcW w:w="577" w:type="pct"/>
            <w:shd w:val="clear" w:color="auto" w:fill="auto"/>
          </w:tcPr>
          <w:p w14:paraId="1B870B00" w14:textId="77777777" w:rsidR="00742A72" w:rsidRPr="004A46D6" w:rsidRDefault="00742A72" w:rsidP="00742A72">
            <w:pPr>
              <w:pStyle w:val="Paragraphedeliste"/>
              <w:numPr>
                <w:ilvl w:val="0"/>
                <w:numId w:val="19"/>
              </w:numPr>
              <w:spacing w:before="120" w:beforeAutospacing="0" w:after="120" w:afterAutospacing="0"/>
              <w:ind w:left="312" w:hanging="340"/>
              <w:rPr>
                <w:rFonts w:ascii="Arial" w:hAnsi="Arial" w:cs="Arial"/>
                <w:sz w:val="22"/>
                <w:szCs w:val="22"/>
                <w:lang w:val="en-US"/>
              </w:rPr>
            </w:pPr>
            <w:r w:rsidRPr="004A46D6">
              <w:rPr>
                <w:rFonts w:ascii="Arial" w:hAnsi="Arial" w:cs="Arial"/>
                <w:sz w:val="22"/>
                <w:szCs w:val="22"/>
                <w:lang w:val="en-US"/>
              </w:rPr>
              <w:lastRenderedPageBreak/>
              <w:t>Partially</w:t>
            </w:r>
          </w:p>
        </w:tc>
        <w:tc>
          <w:tcPr>
            <w:tcW w:w="673" w:type="pct"/>
            <w:shd w:val="clear" w:color="auto" w:fill="auto"/>
          </w:tcPr>
          <w:p w14:paraId="26BDD193" w14:textId="77777777" w:rsidR="00742A72" w:rsidRPr="004A46D6" w:rsidRDefault="00742A72" w:rsidP="00742A72">
            <w:pPr>
              <w:pStyle w:val="Paragraphedeliste"/>
              <w:numPr>
                <w:ilvl w:val="0"/>
                <w:numId w:val="19"/>
              </w:numPr>
              <w:spacing w:before="120" w:beforeAutospacing="0" w:after="120" w:afterAutospacing="0"/>
              <w:ind w:left="312" w:hanging="340"/>
              <w:rPr>
                <w:rFonts w:ascii="Arial" w:hAnsi="Arial" w:cs="Arial"/>
                <w:sz w:val="22"/>
                <w:szCs w:val="22"/>
                <w:lang w:val="en-US"/>
              </w:rPr>
            </w:pPr>
            <w:r w:rsidRPr="004A46D6">
              <w:rPr>
                <w:rFonts w:ascii="Arial" w:hAnsi="Arial" w:cs="Arial"/>
                <w:sz w:val="22"/>
                <w:szCs w:val="22"/>
                <w:lang w:val="en-US"/>
              </w:rPr>
              <w:t>Yes</w:t>
            </w:r>
          </w:p>
        </w:tc>
        <w:tc>
          <w:tcPr>
            <w:tcW w:w="2451" w:type="pct"/>
          </w:tcPr>
          <w:p w14:paraId="5B1DAE52" w14:textId="39522C9B" w:rsidR="00742A72" w:rsidRPr="004A46D6" w:rsidRDefault="00742A72" w:rsidP="00742A72">
            <w:pPr>
              <w:pStyle w:val="Paragraphedeliste"/>
              <w:numPr>
                <w:ilvl w:val="0"/>
                <w:numId w:val="19"/>
              </w:numPr>
              <w:spacing w:before="120" w:beforeAutospacing="0" w:after="120" w:afterAutospacing="0"/>
              <w:ind w:left="312" w:hanging="340"/>
              <w:rPr>
                <w:rFonts w:ascii="Arial" w:hAnsi="Arial" w:cs="Arial"/>
                <w:sz w:val="22"/>
                <w:szCs w:val="22"/>
                <w:lang w:val="en-US"/>
              </w:rPr>
            </w:pPr>
            <w:r w:rsidRPr="004A46D6">
              <w:rPr>
                <w:rFonts w:ascii="Arial" w:hAnsi="Arial" w:cs="Arial"/>
                <w:sz w:val="22"/>
                <w:szCs w:val="22"/>
                <w:lang w:val="en-US"/>
              </w:rPr>
              <w:t>Overall results framework established through intergovernmental consultation processes and Operational Directives revised to improve the periodic reporting mechanism</w:t>
            </w:r>
          </w:p>
          <w:p w14:paraId="208614CC" w14:textId="55A791D9" w:rsidR="00767E9D" w:rsidRPr="004A46D6" w:rsidRDefault="00767E9D" w:rsidP="0022671B">
            <w:pPr>
              <w:pStyle w:val="Paragraphedeliste"/>
              <w:numPr>
                <w:ilvl w:val="0"/>
                <w:numId w:val="19"/>
              </w:numPr>
              <w:spacing w:before="120" w:beforeAutospacing="0" w:after="120" w:afterAutospacing="0"/>
              <w:ind w:left="312" w:hanging="340"/>
              <w:rPr>
                <w:rFonts w:ascii="Arial" w:hAnsi="Arial" w:cs="Arial"/>
                <w:sz w:val="22"/>
                <w:szCs w:val="22"/>
                <w:lang w:val="en-US"/>
              </w:rPr>
            </w:pPr>
            <w:r w:rsidRPr="004A46D6">
              <w:rPr>
                <w:rFonts w:ascii="Arial" w:hAnsi="Arial" w:cs="Arial"/>
                <w:sz w:val="22"/>
                <w:szCs w:val="22"/>
                <w:lang w:val="en-US"/>
              </w:rPr>
              <w:t>The calendar for the first regional cycle of periodic reporting to begin in 2020 established</w:t>
            </w:r>
          </w:p>
          <w:p w14:paraId="1CB5694A" w14:textId="77777777" w:rsidR="00742A72" w:rsidRPr="004A46D6" w:rsidRDefault="00742A72" w:rsidP="00742A72">
            <w:pPr>
              <w:pStyle w:val="Paragraphedeliste"/>
              <w:numPr>
                <w:ilvl w:val="0"/>
                <w:numId w:val="19"/>
              </w:numPr>
              <w:spacing w:before="120" w:beforeAutospacing="0" w:after="120" w:afterAutospacing="0"/>
              <w:ind w:left="312" w:hanging="340"/>
              <w:rPr>
                <w:rFonts w:ascii="Arial" w:hAnsi="Arial" w:cs="Arial"/>
                <w:sz w:val="22"/>
                <w:szCs w:val="22"/>
                <w:lang w:val="en-US"/>
              </w:rPr>
            </w:pPr>
            <w:r w:rsidRPr="004A46D6">
              <w:rPr>
                <w:rFonts w:ascii="Arial" w:hAnsi="Arial" w:cs="Arial"/>
                <w:sz w:val="22"/>
                <w:szCs w:val="22"/>
                <w:lang w:val="en-US"/>
              </w:rPr>
              <w:t>Creation of three fixed-term posts approved to operationalize the International Assistance mechanism</w:t>
            </w:r>
          </w:p>
          <w:p w14:paraId="76950C21" w14:textId="230D4164" w:rsidR="00742A72" w:rsidRPr="004A46D6" w:rsidRDefault="00742A72" w:rsidP="00742A72">
            <w:pPr>
              <w:pStyle w:val="Paragraphedeliste"/>
              <w:numPr>
                <w:ilvl w:val="0"/>
                <w:numId w:val="19"/>
              </w:numPr>
              <w:spacing w:before="120" w:beforeAutospacing="0" w:after="120" w:afterAutospacing="0"/>
              <w:ind w:left="312" w:hanging="340"/>
              <w:rPr>
                <w:rFonts w:ascii="Arial" w:hAnsi="Arial" w:cs="Arial"/>
                <w:sz w:val="22"/>
                <w:szCs w:val="22"/>
                <w:lang w:val="en-US"/>
              </w:rPr>
            </w:pPr>
            <w:r w:rsidRPr="004A46D6">
              <w:rPr>
                <w:rFonts w:ascii="Arial" w:hAnsi="Arial" w:cs="Arial"/>
                <w:sz w:val="22"/>
                <w:szCs w:val="22"/>
                <w:lang w:val="en-US"/>
              </w:rPr>
              <w:t xml:space="preserve">57 nomination files submitted from 57 States Parties </w:t>
            </w:r>
            <w:r w:rsidR="007839E1" w:rsidRPr="004A46D6">
              <w:rPr>
                <w:rFonts w:ascii="Arial" w:hAnsi="Arial" w:cs="Arial"/>
                <w:sz w:val="22"/>
                <w:szCs w:val="22"/>
                <w:lang w:val="en-US"/>
              </w:rPr>
              <w:t>for the 2018 cycle;</w:t>
            </w:r>
            <w:r w:rsidRPr="004A46D6">
              <w:rPr>
                <w:rFonts w:ascii="Arial" w:hAnsi="Arial" w:cs="Arial"/>
                <w:sz w:val="22"/>
                <w:szCs w:val="22"/>
                <w:lang w:val="en-US"/>
              </w:rPr>
              <w:t xml:space="preserve"> 55 nomination files from 64 States were submitted for the 2019 cycle</w:t>
            </w:r>
            <w:r w:rsidR="000B2A64" w:rsidRPr="004A46D6">
              <w:rPr>
                <w:rFonts w:ascii="Arial" w:hAnsi="Arial" w:cs="Arial"/>
                <w:sz w:val="22"/>
                <w:szCs w:val="22"/>
                <w:lang w:val="en-US"/>
              </w:rPr>
              <w:t>;</w:t>
            </w:r>
            <w:r w:rsidR="007839E1" w:rsidRPr="004A46D6">
              <w:rPr>
                <w:rFonts w:ascii="Arial" w:hAnsi="Arial" w:cs="Arial"/>
                <w:sz w:val="22"/>
                <w:szCs w:val="22"/>
                <w:lang w:val="en-US"/>
              </w:rPr>
              <w:t xml:space="preserve"> and 60 files from </w:t>
            </w:r>
            <w:r w:rsidR="0071093A" w:rsidRPr="004A46D6">
              <w:rPr>
                <w:rFonts w:ascii="Arial" w:hAnsi="Arial" w:cs="Arial"/>
                <w:sz w:val="22"/>
                <w:szCs w:val="22"/>
                <w:lang w:val="en-US"/>
              </w:rPr>
              <w:t>63</w:t>
            </w:r>
            <w:r w:rsidR="007839E1" w:rsidRPr="004A46D6">
              <w:rPr>
                <w:rFonts w:ascii="Arial" w:hAnsi="Arial" w:cs="Arial"/>
                <w:sz w:val="22"/>
                <w:szCs w:val="22"/>
                <w:lang w:val="en-US"/>
              </w:rPr>
              <w:t xml:space="preserve"> States were submitted for the 2020 cycle</w:t>
            </w:r>
            <w:r w:rsidR="00A16460" w:rsidRPr="004A46D6">
              <w:rPr>
                <w:rStyle w:val="Appelnotedebasdep"/>
                <w:rFonts w:ascii="Arial" w:hAnsi="Arial" w:cs="Arial"/>
                <w:sz w:val="22"/>
                <w:szCs w:val="22"/>
                <w:lang w:val="en-US"/>
              </w:rPr>
              <w:footnoteReference w:id="21"/>
            </w:r>
          </w:p>
          <w:p w14:paraId="4EFF3C6F" w14:textId="5A3E09B0" w:rsidR="00742A72" w:rsidRPr="004A46D6" w:rsidRDefault="003D2989" w:rsidP="00742A72">
            <w:pPr>
              <w:pStyle w:val="Paragraphedeliste"/>
              <w:numPr>
                <w:ilvl w:val="0"/>
                <w:numId w:val="19"/>
              </w:numPr>
              <w:spacing w:before="120" w:beforeAutospacing="0" w:after="120" w:afterAutospacing="0"/>
              <w:ind w:left="312" w:hanging="340"/>
              <w:rPr>
                <w:rFonts w:ascii="Arial" w:hAnsi="Arial" w:cs="Arial"/>
                <w:sz w:val="22"/>
                <w:szCs w:val="22"/>
                <w:lang w:val="en-US"/>
              </w:rPr>
            </w:pPr>
            <w:r w:rsidRPr="004A46D6">
              <w:rPr>
                <w:rFonts w:ascii="Arial" w:hAnsi="Arial" w:cs="Arial"/>
                <w:sz w:val="22"/>
                <w:szCs w:val="22"/>
                <w:lang w:val="en-US"/>
              </w:rPr>
              <w:t>1</w:t>
            </w:r>
            <w:r w:rsidR="009E1B79" w:rsidRPr="004A46D6">
              <w:rPr>
                <w:rFonts w:ascii="Arial" w:hAnsi="Arial" w:cs="Arial"/>
                <w:sz w:val="22"/>
                <w:szCs w:val="22"/>
                <w:lang w:val="en-US"/>
              </w:rPr>
              <w:t>6</w:t>
            </w:r>
            <w:r w:rsidR="00742A72" w:rsidRPr="004A46D6">
              <w:rPr>
                <w:rFonts w:ascii="Arial" w:hAnsi="Arial" w:cs="Arial"/>
                <w:sz w:val="22"/>
                <w:szCs w:val="22"/>
                <w:lang w:val="en-US"/>
              </w:rPr>
              <w:t xml:space="preserve"> statutory meetings organized</w:t>
            </w:r>
            <w:r w:rsidR="00344925" w:rsidRPr="004A46D6">
              <w:rPr>
                <w:rStyle w:val="Appelnotedebasdep"/>
                <w:rFonts w:ascii="Arial" w:hAnsi="Arial" w:cs="Arial"/>
                <w:sz w:val="22"/>
                <w:szCs w:val="22"/>
                <w:lang w:val="en-US"/>
              </w:rPr>
              <w:footnoteReference w:id="22"/>
            </w:r>
          </w:p>
          <w:p w14:paraId="544D3906" w14:textId="19068419" w:rsidR="00742A72" w:rsidRPr="004A46D6" w:rsidRDefault="00742A72" w:rsidP="00742A72">
            <w:pPr>
              <w:pStyle w:val="Paragraphedeliste"/>
              <w:numPr>
                <w:ilvl w:val="0"/>
                <w:numId w:val="19"/>
              </w:numPr>
              <w:spacing w:before="120" w:beforeAutospacing="0" w:after="120" w:afterAutospacing="0"/>
              <w:ind w:left="312" w:hanging="340"/>
              <w:rPr>
                <w:rFonts w:ascii="Arial" w:hAnsi="Arial" w:cs="Arial"/>
                <w:sz w:val="22"/>
                <w:szCs w:val="22"/>
                <w:lang w:val="en-US"/>
              </w:rPr>
            </w:pPr>
            <w:r w:rsidRPr="004A46D6">
              <w:rPr>
                <w:rFonts w:ascii="Arial" w:hAnsi="Arial" w:cs="Arial"/>
                <w:sz w:val="22"/>
                <w:szCs w:val="22"/>
                <w:lang w:val="en-US"/>
              </w:rPr>
              <w:lastRenderedPageBreak/>
              <w:t>Analysis under</w:t>
            </w:r>
            <w:r w:rsidR="00A16460" w:rsidRPr="004A46D6">
              <w:rPr>
                <w:rFonts w:ascii="Arial" w:hAnsi="Arial" w:cs="Arial"/>
                <w:sz w:val="22"/>
                <w:szCs w:val="22"/>
                <w:lang w:val="en-US"/>
              </w:rPr>
              <w:t>taken</w:t>
            </w:r>
            <w:r w:rsidRPr="004A46D6">
              <w:rPr>
                <w:rFonts w:ascii="Arial" w:hAnsi="Arial" w:cs="Arial"/>
                <w:sz w:val="22"/>
                <w:szCs w:val="22"/>
                <w:lang w:val="en-US"/>
              </w:rPr>
              <w:t xml:space="preserve"> concerning 32 reports on the implementation of the Convention and the status of elements inscribed on the Representative List submitted by States Parties for the 2018 cycle, in addition to 16 reports on the status of elements inscribed on the Urgent Safeguarding List</w:t>
            </w:r>
            <w:r w:rsidR="00A62DD0" w:rsidRPr="004A46D6">
              <w:rPr>
                <w:rFonts w:ascii="Arial" w:hAnsi="Arial" w:cs="Arial"/>
                <w:sz w:val="22"/>
                <w:szCs w:val="22"/>
                <w:lang w:val="en-US"/>
              </w:rPr>
              <w:t>; further 4 reports received on the status of elements inscribed on the Urgent Safeguarding List.</w:t>
            </w:r>
          </w:p>
          <w:p w14:paraId="07E0C8C7" w14:textId="77777777" w:rsidR="00D27A96" w:rsidRPr="004A46D6" w:rsidRDefault="00D27A96" w:rsidP="0022671B">
            <w:pPr>
              <w:pStyle w:val="Paragraphedeliste"/>
              <w:numPr>
                <w:ilvl w:val="0"/>
                <w:numId w:val="19"/>
              </w:numPr>
              <w:spacing w:before="120" w:beforeAutospacing="0" w:after="120" w:afterAutospacing="0"/>
              <w:ind w:left="312" w:hanging="340"/>
              <w:rPr>
                <w:rFonts w:ascii="Arial" w:hAnsi="Arial" w:cs="Arial"/>
                <w:sz w:val="22"/>
                <w:szCs w:val="22"/>
                <w:lang w:val="en-US"/>
              </w:rPr>
            </w:pPr>
            <w:r w:rsidRPr="004A46D6">
              <w:rPr>
                <w:rFonts w:ascii="Arial" w:hAnsi="Arial" w:cs="Arial"/>
                <w:sz w:val="22"/>
                <w:szCs w:val="22"/>
                <w:lang w:val="en-US"/>
              </w:rPr>
              <w:t>Processed 62 accreditation requests and reviewed 67 reports submitted by accredited non-governmental organizations for renewal</w:t>
            </w:r>
          </w:p>
          <w:p w14:paraId="30BE3E46" w14:textId="3AD40708" w:rsidR="00B246E3" w:rsidRPr="004A46D6" w:rsidRDefault="00B954EE" w:rsidP="00D1234C">
            <w:pPr>
              <w:pStyle w:val="Paragraphedeliste"/>
              <w:numPr>
                <w:ilvl w:val="0"/>
                <w:numId w:val="19"/>
              </w:numPr>
              <w:spacing w:before="120" w:beforeAutospacing="0" w:after="120" w:afterAutospacing="0"/>
              <w:ind w:left="312" w:hanging="340"/>
              <w:rPr>
                <w:rFonts w:ascii="Arial" w:hAnsi="Arial" w:cs="Arial"/>
                <w:sz w:val="22"/>
                <w:szCs w:val="22"/>
                <w:lang w:val="en-US"/>
              </w:rPr>
            </w:pPr>
            <w:r w:rsidRPr="004A46D6">
              <w:rPr>
                <w:rFonts w:ascii="Arial" w:hAnsi="Arial" w:cs="Arial"/>
                <w:sz w:val="22"/>
                <w:szCs w:val="22"/>
                <w:lang w:val="en-US"/>
              </w:rPr>
              <w:t>26</w:t>
            </w:r>
            <w:r w:rsidR="00B246E3" w:rsidRPr="004A46D6">
              <w:rPr>
                <w:rFonts w:ascii="Arial" w:hAnsi="Arial" w:cs="Arial"/>
                <w:sz w:val="22"/>
                <w:szCs w:val="22"/>
                <w:lang w:val="en-US"/>
              </w:rPr>
              <w:t xml:space="preserve"> proposals for the establishment or renewal of UNESCO chairs processed</w:t>
            </w:r>
          </w:p>
        </w:tc>
      </w:tr>
    </w:tbl>
    <w:p w14:paraId="63899E48" w14:textId="77777777" w:rsidR="00742A72" w:rsidRPr="00D1234C" w:rsidRDefault="00742A72" w:rsidP="00742A72">
      <w:pPr>
        <w:spacing w:after="120"/>
        <w:ind w:left="360" w:hanging="360"/>
        <w:jc w:val="both"/>
        <w:rPr>
          <w:rFonts w:ascii="Arial" w:eastAsia="Malgun Gothic" w:hAnsi="Arial" w:cs="Arial"/>
          <w:snapToGrid w:val="0"/>
          <w:sz w:val="22"/>
          <w:szCs w:val="22"/>
          <w:highlight w:val="cyan"/>
          <w:lang w:val="en-US" w:eastAsia="ko-KR"/>
        </w:rPr>
      </w:pPr>
    </w:p>
    <w:tbl>
      <w:tblPr>
        <w:tblStyle w:val="TableGrid2"/>
        <w:tblW w:w="14572" w:type="dxa"/>
        <w:tblLook w:val="04A0" w:firstRow="1" w:lastRow="0" w:firstColumn="1" w:lastColumn="0" w:noHBand="0" w:noVBand="1"/>
      </w:tblPr>
      <w:tblGrid>
        <w:gridCol w:w="3789"/>
        <w:gridCol w:w="10783"/>
      </w:tblGrid>
      <w:tr w:rsidR="00742A72" w:rsidRPr="008C2771" w14:paraId="1C551C3D" w14:textId="77777777" w:rsidTr="004F7805">
        <w:trPr>
          <w:cantSplit/>
        </w:trPr>
        <w:tc>
          <w:tcPr>
            <w:tcW w:w="1300" w:type="pct"/>
            <w:shd w:val="clear" w:color="auto" w:fill="808080" w:themeFill="background1" w:themeFillShade="80"/>
            <w:vAlign w:val="center"/>
          </w:tcPr>
          <w:p w14:paraId="318A19A8" w14:textId="77777777" w:rsidR="00742A72" w:rsidRPr="00D1234C" w:rsidRDefault="00742A72" w:rsidP="004F7805">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39C/5 Performance Indicator 2</w:t>
            </w:r>
          </w:p>
        </w:tc>
        <w:tc>
          <w:tcPr>
            <w:tcW w:w="3700" w:type="pct"/>
            <w:shd w:val="clear" w:color="auto" w:fill="808080" w:themeFill="background1" w:themeFillShade="80"/>
            <w:vAlign w:val="center"/>
          </w:tcPr>
          <w:p w14:paraId="1A071248" w14:textId="77777777" w:rsidR="00742A72" w:rsidRPr="00D1234C" w:rsidRDefault="00742A72" w:rsidP="004F7805">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Number of supported Member States utilizing strengthened human and institutional resources for the safeguarding of intangible cultural heritage</w:t>
            </w:r>
          </w:p>
        </w:tc>
      </w:tr>
    </w:tbl>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4"/>
        <w:gridCol w:w="1961"/>
        <w:gridCol w:w="7137"/>
      </w:tblGrid>
      <w:tr w:rsidR="00742A72" w:rsidRPr="004A46D6" w14:paraId="21A4DD41" w14:textId="77777777" w:rsidTr="004F7805">
        <w:trPr>
          <w:tblHeader/>
        </w:trPr>
        <w:tc>
          <w:tcPr>
            <w:tcW w:w="1300" w:type="pct"/>
            <w:shd w:val="clear" w:color="auto" w:fill="D9D9D9" w:themeFill="background1" w:themeFillShade="D9"/>
            <w:vAlign w:val="center"/>
          </w:tcPr>
          <w:p w14:paraId="08291FF6" w14:textId="77777777" w:rsidR="00742A72" w:rsidRPr="00D1234C" w:rsidRDefault="00742A72" w:rsidP="004F7805">
            <w:pPr>
              <w:spacing w:before="60" w:after="60"/>
              <w:jc w:val="center"/>
              <w:rPr>
                <w:rFonts w:ascii="Arial" w:eastAsia="Calibri" w:hAnsi="Arial" w:cs="Arial"/>
                <w:b/>
                <w:sz w:val="20"/>
                <w:szCs w:val="20"/>
                <w:lang w:val="en-US"/>
              </w:rPr>
            </w:pPr>
            <w:r w:rsidRPr="00D1234C">
              <w:rPr>
                <w:rFonts w:ascii="Arial" w:eastAsia="Calibri" w:hAnsi="Arial" w:cs="Arial"/>
                <w:b/>
                <w:sz w:val="20"/>
                <w:szCs w:val="20"/>
                <w:lang w:val="en-US"/>
              </w:rPr>
              <w:t>Assessed according to the following:</w:t>
            </w:r>
          </w:p>
        </w:tc>
        <w:tc>
          <w:tcPr>
            <w:tcW w:w="578" w:type="pct"/>
            <w:shd w:val="clear" w:color="auto" w:fill="D9D9D9" w:themeFill="background1" w:themeFillShade="D9"/>
            <w:vAlign w:val="center"/>
          </w:tcPr>
          <w:p w14:paraId="2CBBE501" w14:textId="77777777" w:rsidR="00742A72" w:rsidRPr="004A46D6" w:rsidRDefault="00742A72" w:rsidP="004F7805">
            <w:pPr>
              <w:spacing w:before="60" w:after="60"/>
              <w:jc w:val="center"/>
              <w:rPr>
                <w:rFonts w:ascii="Arial" w:eastAsia="Calibri" w:hAnsi="Arial" w:cs="Arial"/>
                <w:b/>
                <w:sz w:val="20"/>
                <w:szCs w:val="20"/>
                <w:lang w:val="en-US"/>
              </w:rPr>
            </w:pPr>
            <w:r w:rsidRPr="004A46D6">
              <w:rPr>
                <w:rFonts w:ascii="Arial" w:hAnsi="Arial" w:cs="Arial"/>
                <w:b/>
                <w:bCs/>
                <w:sz w:val="20"/>
                <w:szCs w:val="20"/>
                <w:lang w:val="en-US"/>
              </w:rPr>
              <w:t>Baselines</w:t>
            </w:r>
          </w:p>
        </w:tc>
        <w:tc>
          <w:tcPr>
            <w:tcW w:w="673" w:type="pct"/>
            <w:shd w:val="clear" w:color="auto" w:fill="D9D9D9" w:themeFill="background1" w:themeFillShade="D9"/>
            <w:vAlign w:val="center"/>
          </w:tcPr>
          <w:p w14:paraId="3F4D1986" w14:textId="77777777" w:rsidR="00742A72" w:rsidRPr="00D1234C" w:rsidRDefault="00742A72" w:rsidP="004F7805">
            <w:pPr>
              <w:spacing w:before="60" w:after="60"/>
              <w:jc w:val="center"/>
              <w:rPr>
                <w:rFonts w:ascii="Arial" w:eastAsia="Calibri" w:hAnsi="Arial" w:cs="Arial"/>
                <w:b/>
                <w:sz w:val="20"/>
                <w:szCs w:val="20"/>
                <w:lang w:val="en-US"/>
              </w:rPr>
            </w:pPr>
            <w:r w:rsidRPr="00D1234C">
              <w:rPr>
                <w:rFonts w:ascii="Arial" w:eastAsia="Calibri" w:hAnsi="Arial" w:cs="Arial"/>
                <w:b/>
                <w:sz w:val="20"/>
                <w:szCs w:val="20"/>
                <w:lang w:val="en-US"/>
              </w:rPr>
              <w:t>Targets 2018-2019</w:t>
            </w:r>
          </w:p>
        </w:tc>
        <w:tc>
          <w:tcPr>
            <w:tcW w:w="2449" w:type="pct"/>
            <w:shd w:val="clear" w:color="auto" w:fill="D9D9D9" w:themeFill="background1" w:themeFillShade="D9"/>
            <w:vAlign w:val="center"/>
          </w:tcPr>
          <w:p w14:paraId="0BD9126F" w14:textId="2A0680C9" w:rsidR="00742A72" w:rsidRPr="00D1234C" w:rsidRDefault="00742A72" w:rsidP="004F7805">
            <w:pPr>
              <w:autoSpaceDE w:val="0"/>
              <w:autoSpaceDN w:val="0"/>
              <w:adjustRightInd w:val="0"/>
              <w:jc w:val="center"/>
              <w:rPr>
                <w:rFonts w:ascii="Arial" w:eastAsia="Calibri" w:hAnsi="Arial" w:cs="Arial"/>
                <w:b/>
                <w:color w:val="000000"/>
                <w:sz w:val="20"/>
                <w:szCs w:val="20"/>
                <w:lang w:val="en-US"/>
              </w:rPr>
            </w:pPr>
            <w:r w:rsidRPr="00D1234C">
              <w:rPr>
                <w:rFonts w:ascii="Arial" w:eastAsia="Calibri" w:hAnsi="Arial" w:cs="Arial"/>
                <w:b/>
                <w:sz w:val="20"/>
                <w:szCs w:val="20"/>
                <w:lang w:val="en-US"/>
              </w:rPr>
              <w:t>Assessment of progress:</w:t>
            </w:r>
            <w:r w:rsidRPr="00D1234C">
              <w:rPr>
                <w:rFonts w:ascii="Arial" w:eastAsia="Calibri" w:hAnsi="Arial" w:cs="Arial"/>
                <w:b/>
                <w:sz w:val="20"/>
                <w:szCs w:val="20"/>
                <w:lang w:val="en-US"/>
              </w:rPr>
              <w:br/>
              <w:t>01/01/2018 to 30/06/201</w:t>
            </w:r>
            <w:r w:rsidR="000B2A64" w:rsidRPr="00D1234C">
              <w:rPr>
                <w:rFonts w:ascii="Arial" w:eastAsia="Calibri" w:hAnsi="Arial" w:cs="Arial"/>
                <w:b/>
                <w:sz w:val="20"/>
                <w:szCs w:val="20"/>
                <w:lang w:val="en-US"/>
              </w:rPr>
              <w:t>9</w:t>
            </w:r>
          </w:p>
        </w:tc>
      </w:tr>
      <w:tr w:rsidR="00742A72" w:rsidRPr="008C2771" w14:paraId="1BCB476E" w14:textId="77777777" w:rsidTr="004F7805">
        <w:tc>
          <w:tcPr>
            <w:tcW w:w="1300" w:type="pct"/>
          </w:tcPr>
          <w:p w14:paraId="4CC8D18B" w14:textId="77777777" w:rsidR="00742A72" w:rsidRPr="00D1234C" w:rsidRDefault="00742A72" w:rsidP="00742A72">
            <w:pPr>
              <w:pStyle w:val="Paragraphedeliste"/>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Strengthened or newly established institutional frameworks for the safeguarding of intangible cultural heritage</w:t>
            </w:r>
          </w:p>
          <w:p w14:paraId="4F1B8D8C" w14:textId="22886BE3" w:rsidR="00742A72" w:rsidRPr="00D1234C" w:rsidRDefault="00767E9D" w:rsidP="00742A72">
            <w:pPr>
              <w:pStyle w:val="Paragraphedeliste"/>
              <w:numPr>
                <w:ilvl w:val="0"/>
                <w:numId w:val="19"/>
              </w:numPr>
              <w:spacing w:before="120" w:beforeAutospacing="0" w:after="120" w:afterAutospacing="0"/>
              <w:ind w:left="312" w:hanging="340"/>
              <w:rPr>
                <w:rFonts w:ascii="Arial" w:eastAsia="Calibri" w:hAnsi="Arial" w:cs="Arial"/>
                <w:sz w:val="22"/>
                <w:szCs w:val="22"/>
                <w:lang w:val="en-US"/>
              </w:rPr>
            </w:pPr>
            <w:r w:rsidRPr="00D1234C">
              <w:rPr>
                <w:rFonts w:ascii="Arial" w:hAnsi="Arial" w:cs="Arial"/>
                <w:sz w:val="22"/>
                <w:szCs w:val="22"/>
                <w:lang w:val="en-US"/>
              </w:rPr>
              <w:t>Community</w:t>
            </w:r>
            <w:r w:rsidR="00742A72" w:rsidRPr="004A46D6">
              <w:rPr>
                <w:rFonts w:ascii="Arial" w:hAnsi="Arial" w:cs="Arial"/>
                <w:sz w:val="22"/>
                <w:szCs w:val="22"/>
                <w:lang w:val="en-US"/>
              </w:rPr>
              <w:t>-based approaches adopted or strengthened for inventorying intangible cultural heritage or developing safeguarding plans, including those reflecting a gender-sensitive approach</w:t>
            </w:r>
          </w:p>
        </w:tc>
        <w:tc>
          <w:tcPr>
            <w:tcW w:w="578" w:type="pct"/>
            <w:shd w:val="clear" w:color="auto" w:fill="auto"/>
          </w:tcPr>
          <w:p w14:paraId="6F121BB5" w14:textId="77777777" w:rsidR="00742A72" w:rsidRPr="004A46D6" w:rsidRDefault="00742A72" w:rsidP="00742A72">
            <w:pPr>
              <w:pStyle w:val="Paragraphedeliste"/>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70, of which 30 in Africa and 5 SIDS (Small Island Developing States)</w:t>
            </w:r>
          </w:p>
        </w:tc>
        <w:tc>
          <w:tcPr>
            <w:tcW w:w="673" w:type="pct"/>
            <w:shd w:val="clear" w:color="auto" w:fill="auto"/>
          </w:tcPr>
          <w:p w14:paraId="24BDE584" w14:textId="77777777" w:rsidR="00742A72" w:rsidRPr="004A46D6" w:rsidRDefault="00742A72" w:rsidP="00742A72">
            <w:pPr>
              <w:pStyle w:val="Paragraphedeliste"/>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55 of which 25 in Africa and 10 SIDS</w:t>
            </w:r>
          </w:p>
        </w:tc>
        <w:tc>
          <w:tcPr>
            <w:tcW w:w="2449" w:type="pct"/>
          </w:tcPr>
          <w:p w14:paraId="241ACF0C" w14:textId="7ED8FDDC" w:rsidR="00742A72" w:rsidRPr="004A46D6" w:rsidRDefault="00A62DD0" w:rsidP="00742A72">
            <w:pPr>
              <w:pStyle w:val="Paragraphedeliste"/>
              <w:numPr>
                <w:ilvl w:val="0"/>
                <w:numId w:val="19"/>
              </w:numPr>
              <w:spacing w:before="120" w:beforeAutospacing="0" w:after="120" w:afterAutospacing="0"/>
              <w:ind w:left="358" w:hanging="284"/>
              <w:rPr>
                <w:rFonts w:ascii="Arial" w:eastAsia="SimSun" w:hAnsi="Arial" w:cs="Arial"/>
                <w:iCs/>
                <w:sz w:val="22"/>
                <w:szCs w:val="22"/>
                <w:lang w:val="en-US"/>
              </w:rPr>
            </w:pPr>
            <w:proofErr w:type="gramStart"/>
            <w:r w:rsidRPr="004A46D6">
              <w:rPr>
                <w:rFonts w:ascii="Arial" w:eastAsia="SimSun" w:hAnsi="Arial" w:cs="Arial"/>
                <w:iCs/>
                <w:sz w:val="22"/>
                <w:szCs w:val="22"/>
                <w:lang w:val="en-US"/>
              </w:rPr>
              <w:t>92</w:t>
            </w:r>
            <w:proofErr w:type="gramEnd"/>
            <w:r w:rsidR="00742A72" w:rsidRPr="004A46D6">
              <w:rPr>
                <w:rFonts w:ascii="Arial" w:eastAsia="SimSun" w:hAnsi="Arial" w:cs="Arial"/>
                <w:iCs/>
                <w:sz w:val="22"/>
                <w:szCs w:val="22"/>
                <w:lang w:val="en-US"/>
              </w:rPr>
              <w:t xml:space="preserve"> Member States supported, including </w:t>
            </w:r>
            <w:r w:rsidRPr="004A46D6">
              <w:rPr>
                <w:rFonts w:ascii="Arial" w:eastAsia="SimSun" w:hAnsi="Arial" w:cs="Arial"/>
                <w:iCs/>
                <w:sz w:val="22"/>
                <w:szCs w:val="22"/>
                <w:lang w:val="en-US"/>
              </w:rPr>
              <w:t>33 in Africa and 18</w:t>
            </w:r>
            <w:r w:rsidR="00742A72" w:rsidRPr="004A46D6">
              <w:rPr>
                <w:rFonts w:ascii="Arial" w:eastAsia="SimSun" w:hAnsi="Arial" w:cs="Arial"/>
                <w:iCs/>
                <w:sz w:val="22"/>
                <w:szCs w:val="22"/>
                <w:lang w:val="en-US"/>
              </w:rPr>
              <w:t xml:space="preserve"> SIDS. Of these, </w:t>
            </w:r>
            <w:r w:rsidR="00E74877" w:rsidRPr="004A46D6">
              <w:rPr>
                <w:rFonts w:ascii="Arial" w:eastAsia="SimSun" w:hAnsi="Arial" w:cs="Arial"/>
                <w:iCs/>
                <w:sz w:val="22"/>
                <w:szCs w:val="22"/>
                <w:lang w:val="en-US"/>
              </w:rPr>
              <w:t>51</w:t>
            </w:r>
            <w:r w:rsidR="00742A72" w:rsidRPr="004A46D6">
              <w:rPr>
                <w:rFonts w:ascii="Arial" w:eastAsia="SimSun" w:hAnsi="Arial" w:cs="Arial"/>
                <w:iCs/>
                <w:sz w:val="22"/>
                <w:szCs w:val="22"/>
                <w:lang w:val="en-US"/>
              </w:rPr>
              <w:t xml:space="preserve"> adopted a gen</w:t>
            </w:r>
            <w:r w:rsidR="00E74877" w:rsidRPr="004A46D6">
              <w:rPr>
                <w:rFonts w:ascii="Arial" w:eastAsia="SimSun" w:hAnsi="Arial" w:cs="Arial"/>
                <w:iCs/>
                <w:sz w:val="22"/>
                <w:szCs w:val="22"/>
                <w:lang w:val="en-US"/>
              </w:rPr>
              <w:t>der-sensitive approach, while 19</w:t>
            </w:r>
            <w:r w:rsidR="00742A72" w:rsidRPr="004A46D6">
              <w:rPr>
                <w:rFonts w:ascii="Arial" w:eastAsia="SimSun" w:hAnsi="Arial" w:cs="Arial"/>
                <w:iCs/>
                <w:sz w:val="22"/>
                <w:szCs w:val="22"/>
                <w:lang w:val="en-US"/>
              </w:rPr>
              <w:t xml:space="preserve"> were gender-responsive</w:t>
            </w:r>
          </w:p>
          <w:p w14:paraId="3385CDE3" w14:textId="6A329581" w:rsidR="00742A72" w:rsidRPr="004A46D6" w:rsidRDefault="00A62DD0" w:rsidP="00742A72">
            <w:pPr>
              <w:pStyle w:val="Paragraphedeliste"/>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39</w:t>
            </w:r>
            <w:r w:rsidR="00742A72" w:rsidRPr="004A46D6">
              <w:rPr>
                <w:rFonts w:ascii="Arial" w:eastAsia="SimSun" w:hAnsi="Arial" w:cs="Arial"/>
                <w:iCs/>
                <w:sz w:val="22"/>
                <w:szCs w:val="22"/>
                <w:lang w:val="en-US"/>
              </w:rPr>
              <w:t xml:space="preserve"> Member States supported in the fie</w:t>
            </w:r>
            <w:r w:rsidRPr="004A46D6">
              <w:rPr>
                <w:rFonts w:ascii="Arial" w:eastAsia="SimSun" w:hAnsi="Arial" w:cs="Arial"/>
                <w:iCs/>
                <w:sz w:val="22"/>
                <w:szCs w:val="22"/>
                <w:lang w:val="en-US"/>
              </w:rPr>
              <w:t>ld of policy advice, of which 22 in Africa and 8</w:t>
            </w:r>
            <w:r w:rsidR="00742A72" w:rsidRPr="004A46D6">
              <w:rPr>
                <w:rFonts w:ascii="Arial" w:eastAsia="SimSun" w:hAnsi="Arial" w:cs="Arial"/>
                <w:iCs/>
                <w:sz w:val="22"/>
                <w:szCs w:val="22"/>
                <w:lang w:val="en-US"/>
              </w:rPr>
              <w:t xml:space="preserve"> SIDS</w:t>
            </w:r>
          </w:p>
          <w:p w14:paraId="3DECD1FD" w14:textId="77777777" w:rsidR="00742A72" w:rsidRPr="004A46D6" w:rsidRDefault="00152480" w:rsidP="00742A72">
            <w:pPr>
              <w:pStyle w:val="Paragraphedeliste"/>
              <w:numPr>
                <w:ilvl w:val="0"/>
                <w:numId w:val="19"/>
              </w:numPr>
              <w:spacing w:before="120" w:beforeAutospacing="0" w:after="120" w:afterAutospacing="0"/>
              <w:ind w:left="358" w:hanging="284"/>
              <w:rPr>
                <w:rFonts w:ascii="Arial" w:eastAsia="SimSun" w:hAnsi="Arial" w:cs="Arial"/>
                <w:iCs/>
                <w:sz w:val="22"/>
                <w:szCs w:val="22"/>
                <w:lang w:val="en-US"/>
              </w:rPr>
            </w:pPr>
            <w:r w:rsidRPr="00D1234C">
              <w:rPr>
                <w:rFonts w:ascii="Arial" w:eastAsia="SimSun" w:hAnsi="Arial" w:cs="Arial"/>
                <w:iCs/>
                <w:sz w:val="22"/>
                <w:szCs w:val="22"/>
                <w:lang w:val="en-US"/>
              </w:rPr>
              <w:t>33</w:t>
            </w:r>
            <w:r w:rsidR="00742A72" w:rsidRPr="004A46D6">
              <w:rPr>
                <w:rFonts w:ascii="Arial" w:eastAsia="SimSun" w:hAnsi="Arial" w:cs="Arial"/>
                <w:iCs/>
                <w:sz w:val="22"/>
                <w:szCs w:val="22"/>
                <w:lang w:val="en-US"/>
              </w:rPr>
              <w:t xml:space="preserve"> Member States supported through multi-year projects capacity-building projects</w:t>
            </w:r>
          </w:p>
          <w:p w14:paraId="2F383EBB" w14:textId="4E92635B" w:rsidR="00FF5EC3" w:rsidRPr="004A46D6" w:rsidRDefault="00C14CA3" w:rsidP="00D1234C">
            <w:pPr>
              <w:pStyle w:val="Paragraphedeliste"/>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3</w:t>
            </w:r>
            <w:r w:rsidR="00FF5EC3" w:rsidRPr="004A46D6">
              <w:rPr>
                <w:rFonts w:ascii="Arial" w:eastAsia="SimSun" w:hAnsi="Arial" w:cs="Arial"/>
                <w:iCs/>
                <w:sz w:val="22"/>
                <w:szCs w:val="22"/>
                <w:lang w:val="en-US"/>
              </w:rPr>
              <w:t xml:space="preserve"> </w:t>
            </w:r>
            <w:r w:rsidR="00BB632D" w:rsidRPr="004A46D6">
              <w:rPr>
                <w:rFonts w:ascii="Arial" w:eastAsia="SimSun" w:hAnsi="Arial" w:cs="Arial"/>
                <w:iCs/>
                <w:sz w:val="22"/>
                <w:szCs w:val="22"/>
                <w:lang w:val="en-US"/>
              </w:rPr>
              <w:t xml:space="preserve">regional </w:t>
            </w:r>
            <w:r w:rsidR="00FF5EC3" w:rsidRPr="004A46D6">
              <w:rPr>
                <w:rFonts w:ascii="Arial" w:eastAsia="SimSun" w:hAnsi="Arial" w:cs="Arial"/>
                <w:iCs/>
                <w:sz w:val="22"/>
                <w:szCs w:val="22"/>
                <w:lang w:val="en-US"/>
              </w:rPr>
              <w:t xml:space="preserve">training </w:t>
            </w:r>
            <w:r w:rsidR="00BB632D" w:rsidRPr="004A46D6">
              <w:rPr>
                <w:rFonts w:ascii="Arial" w:eastAsia="SimSun" w:hAnsi="Arial" w:cs="Arial"/>
                <w:iCs/>
                <w:sz w:val="22"/>
                <w:szCs w:val="22"/>
                <w:lang w:val="en-US"/>
              </w:rPr>
              <w:t xml:space="preserve">of trainers </w:t>
            </w:r>
            <w:r w:rsidR="00FC01BC" w:rsidRPr="004A46D6">
              <w:rPr>
                <w:rFonts w:ascii="Arial" w:eastAsia="SimSun" w:hAnsi="Arial" w:cs="Arial"/>
                <w:iCs/>
                <w:sz w:val="22"/>
                <w:szCs w:val="22"/>
                <w:lang w:val="en-US"/>
              </w:rPr>
              <w:t>session</w:t>
            </w:r>
            <w:r w:rsidR="00FC01BC" w:rsidRPr="004A46D6">
              <w:rPr>
                <w:rStyle w:val="Appelnotedebasdep"/>
                <w:rFonts w:ascii="Arial" w:eastAsia="SimSun" w:hAnsi="Arial" w:cs="Arial"/>
                <w:iCs/>
                <w:sz w:val="22"/>
                <w:szCs w:val="22"/>
                <w:lang w:val="en-US"/>
              </w:rPr>
              <w:footnoteReference w:id="23"/>
            </w:r>
            <w:r w:rsidR="00FC01BC" w:rsidRPr="004A46D6">
              <w:rPr>
                <w:rFonts w:ascii="Arial" w:eastAsia="SimSun" w:hAnsi="Arial" w:cs="Arial"/>
                <w:iCs/>
                <w:sz w:val="22"/>
                <w:szCs w:val="22"/>
                <w:lang w:val="en-US"/>
              </w:rPr>
              <w:t xml:space="preserve"> </w:t>
            </w:r>
            <w:r w:rsidR="00BB632D" w:rsidRPr="004A46D6">
              <w:rPr>
                <w:rFonts w:ascii="Arial" w:eastAsia="SimSun" w:hAnsi="Arial" w:cs="Arial"/>
                <w:iCs/>
                <w:sz w:val="22"/>
                <w:szCs w:val="22"/>
                <w:lang w:val="en-US"/>
              </w:rPr>
              <w:t>organized</w:t>
            </w:r>
            <w:r w:rsidR="00FC01BC" w:rsidRPr="004A46D6">
              <w:rPr>
                <w:rFonts w:ascii="Arial" w:eastAsia="SimSun" w:hAnsi="Arial" w:cs="Arial"/>
                <w:iCs/>
                <w:sz w:val="22"/>
                <w:szCs w:val="22"/>
                <w:lang w:val="en-US"/>
              </w:rPr>
              <w:t xml:space="preserve"> in cooperation with </w:t>
            </w:r>
            <w:r w:rsidR="00FC01BC" w:rsidRPr="00D1234C">
              <w:rPr>
                <w:rFonts w:ascii="Arial" w:eastAsia="SimSun" w:hAnsi="Arial" w:cs="Arial"/>
                <w:iCs/>
                <w:sz w:val="22"/>
                <w:szCs w:val="22"/>
                <w:lang w:val="en-US"/>
              </w:rPr>
              <w:t>C2Cs</w:t>
            </w:r>
            <w:r w:rsidR="00FC01BC" w:rsidRPr="00D1234C">
              <w:rPr>
                <w:rStyle w:val="Appelnotedebasdep"/>
                <w:rFonts w:ascii="Arial" w:eastAsia="SimSun" w:hAnsi="Arial" w:cs="Arial"/>
                <w:iCs/>
                <w:sz w:val="22"/>
                <w:szCs w:val="22"/>
                <w:lang w:val="en-US"/>
              </w:rPr>
              <w:footnoteReference w:id="24"/>
            </w:r>
            <w:r w:rsidR="00FC01BC" w:rsidRPr="00D1234C">
              <w:rPr>
                <w:rFonts w:ascii="Arial" w:eastAsia="SimSun" w:hAnsi="Arial" w:cs="Arial"/>
                <w:iCs/>
                <w:sz w:val="22"/>
                <w:szCs w:val="22"/>
                <w:lang w:val="en-US"/>
              </w:rPr>
              <w:t>,</w:t>
            </w:r>
            <w:r w:rsidR="00AC2169" w:rsidRPr="004A46D6">
              <w:rPr>
                <w:rFonts w:ascii="Arial" w:eastAsia="SimSun" w:hAnsi="Arial" w:cs="Arial"/>
                <w:iCs/>
                <w:sz w:val="22"/>
                <w:szCs w:val="22"/>
                <w:lang w:val="en-US"/>
              </w:rPr>
              <w:t xml:space="preserve"> training </w:t>
            </w:r>
            <w:r w:rsidR="00CD44D6" w:rsidRPr="004A46D6">
              <w:rPr>
                <w:rFonts w:ascii="Arial" w:eastAsia="SimSun" w:hAnsi="Arial" w:cs="Arial"/>
                <w:iCs/>
                <w:sz w:val="22"/>
                <w:szCs w:val="22"/>
                <w:lang w:val="en-US"/>
              </w:rPr>
              <w:t>52</w:t>
            </w:r>
            <w:r w:rsidR="00AC2169" w:rsidRPr="004A46D6">
              <w:rPr>
                <w:rFonts w:ascii="Arial" w:eastAsia="SimSun" w:hAnsi="Arial" w:cs="Arial"/>
                <w:iCs/>
                <w:sz w:val="22"/>
                <w:szCs w:val="22"/>
                <w:lang w:val="en-US"/>
              </w:rPr>
              <w:t xml:space="preserve"> network members including </w:t>
            </w:r>
            <w:r w:rsidR="00CD44D6" w:rsidRPr="004A46D6">
              <w:rPr>
                <w:rFonts w:ascii="Arial" w:eastAsia="SimSun" w:hAnsi="Arial" w:cs="Arial"/>
                <w:iCs/>
                <w:sz w:val="22"/>
                <w:szCs w:val="22"/>
                <w:lang w:val="en-US"/>
              </w:rPr>
              <w:t>21</w:t>
            </w:r>
            <w:r w:rsidR="00AC2169" w:rsidRPr="004A46D6">
              <w:rPr>
                <w:rFonts w:ascii="Arial" w:eastAsia="SimSun" w:hAnsi="Arial" w:cs="Arial"/>
                <w:iCs/>
                <w:sz w:val="22"/>
                <w:szCs w:val="22"/>
                <w:lang w:val="en-US"/>
              </w:rPr>
              <w:t xml:space="preserve"> new members</w:t>
            </w:r>
          </w:p>
        </w:tc>
      </w:tr>
    </w:tbl>
    <w:p w14:paraId="608002FA" w14:textId="77777777" w:rsidR="00742A72" w:rsidRPr="004A46D6" w:rsidRDefault="00742A72" w:rsidP="00742A72">
      <w:pPr>
        <w:spacing w:after="120"/>
        <w:ind w:left="360" w:hanging="360"/>
        <w:jc w:val="both"/>
        <w:rPr>
          <w:rFonts w:ascii="Arial" w:eastAsia="Malgun Gothic" w:hAnsi="Arial" w:cs="Arial"/>
          <w:snapToGrid w:val="0"/>
          <w:sz w:val="20"/>
          <w:szCs w:val="20"/>
          <w:highlight w:val="cyan"/>
          <w:lang w:val="en-US" w:eastAsia="ko-KR"/>
        </w:rPr>
      </w:pPr>
    </w:p>
    <w:tbl>
      <w:tblPr>
        <w:tblStyle w:val="TableGrid2"/>
        <w:tblW w:w="14572" w:type="dxa"/>
        <w:tblLook w:val="04A0" w:firstRow="1" w:lastRow="0" w:firstColumn="1" w:lastColumn="0" w:noHBand="0" w:noVBand="1"/>
      </w:tblPr>
      <w:tblGrid>
        <w:gridCol w:w="3789"/>
        <w:gridCol w:w="10783"/>
      </w:tblGrid>
      <w:tr w:rsidR="00742A72" w:rsidRPr="008C2771" w14:paraId="56A056E7" w14:textId="77777777" w:rsidTr="004F7805">
        <w:trPr>
          <w:cantSplit/>
        </w:trPr>
        <w:tc>
          <w:tcPr>
            <w:tcW w:w="1300" w:type="pct"/>
            <w:shd w:val="clear" w:color="auto" w:fill="808080" w:themeFill="background1" w:themeFillShade="80"/>
            <w:vAlign w:val="center"/>
          </w:tcPr>
          <w:p w14:paraId="29FF1D9E" w14:textId="77777777" w:rsidR="00742A72" w:rsidRPr="00D1234C" w:rsidRDefault="00742A72" w:rsidP="004F7805">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39C/5 Performance Indicator 3</w:t>
            </w:r>
          </w:p>
        </w:tc>
        <w:tc>
          <w:tcPr>
            <w:tcW w:w="3700" w:type="pct"/>
            <w:shd w:val="clear" w:color="auto" w:fill="808080" w:themeFill="background1" w:themeFillShade="80"/>
            <w:vAlign w:val="center"/>
          </w:tcPr>
          <w:p w14:paraId="3B200659" w14:textId="77777777" w:rsidR="00742A72" w:rsidRPr="00D1234C" w:rsidRDefault="00742A72" w:rsidP="004F7805">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 xml:space="preserve">Number of supported Member States which have integrated intangible cultural heritage into their plans, policies and </w:t>
            </w:r>
            <w:proofErr w:type="spellStart"/>
            <w:r w:rsidRPr="00D1234C">
              <w:rPr>
                <w:rFonts w:ascii="Arial" w:hAnsi="Arial" w:cs="Arial"/>
                <w:b/>
                <w:bCs/>
                <w:color w:val="FFFFFF" w:themeColor="background1"/>
                <w:sz w:val="22"/>
                <w:szCs w:val="22"/>
                <w:lang w:val="en-US"/>
              </w:rPr>
              <w:t>programmes</w:t>
            </w:r>
            <w:proofErr w:type="spellEnd"/>
            <w:r w:rsidRPr="00D1234C">
              <w:rPr>
                <w:rFonts w:ascii="Arial" w:hAnsi="Arial" w:cs="Arial"/>
                <w:b/>
                <w:bCs/>
                <w:color w:val="FFFFFF" w:themeColor="background1"/>
                <w:sz w:val="22"/>
                <w:szCs w:val="22"/>
                <w:lang w:val="en-US"/>
              </w:rPr>
              <w:t>, in particular as a contribution towards the achievement of SDGs in a gender-responsive manner</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742A72" w:rsidRPr="004A46D6" w14:paraId="142419D1" w14:textId="77777777" w:rsidTr="004F7805">
        <w:trPr>
          <w:tblHeader/>
        </w:trPr>
        <w:tc>
          <w:tcPr>
            <w:tcW w:w="1300" w:type="pct"/>
            <w:shd w:val="clear" w:color="auto" w:fill="D9D9D9" w:themeFill="background1" w:themeFillShade="D9"/>
            <w:vAlign w:val="center"/>
          </w:tcPr>
          <w:p w14:paraId="6032BC33" w14:textId="77777777" w:rsidR="00742A72" w:rsidRPr="00D1234C" w:rsidRDefault="00742A72" w:rsidP="004F7805">
            <w:pPr>
              <w:spacing w:before="60" w:after="60"/>
              <w:jc w:val="center"/>
              <w:rPr>
                <w:rFonts w:ascii="Arial" w:eastAsia="Calibri" w:hAnsi="Arial" w:cs="Arial"/>
                <w:b/>
                <w:sz w:val="20"/>
                <w:szCs w:val="20"/>
                <w:lang w:val="en-US"/>
              </w:rPr>
            </w:pPr>
            <w:r w:rsidRPr="00D1234C">
              <w:rPr>
                <w:rFonts w:ascii="Arial" w:eastAsia="Calibri" w:hAnsi="Arial" w:cs="Arial"/>
                <w:b/>
                <w:sz w:val="20"/>
                <w:szCs w:val="20"/>
                <w:lang w:val="en-US"/>
              </w:rPr>
              <w:t>Assessed according to the following:</w:t>
            </w:r>
          </w:p>
        </w:tc>
        <w:tc>
          <w:tcPr>
            <w:tcW w:w="577" w:type="pct"/>
            <w:shd w:val="clear" w:color="auto" w:fill="D9D9D9" w:themeFill="background1" w:themeFillShade="D9"/>
            <w:vAlign w:val="center"/>
          </w:tcPr>
          <w:p w14:paraId="156ADA08" w14:textId="77777777" w:rsidR="00742A72" w:rsidRPr="00D1234C" w:rsidRDefault="00742A72" w:rsidP="004F7805">
            <w:pPr>
              <w:spacing w:before="60" w:after="60"/>
              <w:jc w:val="center"/>
              <w:rPr>
                <w:rFonts w:ascii="Arial" w:eastAsia="Calibri" w:hAnsi="Arial" w:cs="Arial"/>
                <w:b/>
                <w:sz w:val="20"/>
                <w:szCs w:val="20"/>
                <w:lang w:val="en-US"/>
              </w:rPr>
            </w:pPr>
            <w:r w:rsidRPr="00D1234C">
              <w:rPr>
                <w:rFonts w:ascii="Arial" w:hAnsi="Arial" w:cs="Arial"/>
                <w:b/>
                <w:bCs/>
                <w:sz w:val="20"/>
                <w:szCs w:val="20"/>
                <w:lang w:val="en-US"/>
              </w:rPr>
              <w:t>Baselines</w:t>
            </w:r>
          </w:p>
        </w:tc>
        <w:tc>
          <w:tcPr>
            <w:tcW w:w="673" w:type="pct"/>
            <w:shd w:val="clear" w:color="auto" w:fill="D9D9D9" w:themeFill="background1" w:themeFillShade="D9"/>
            <w:vAlign w:val="center"/>
          </w:tcPr>
          <w:p w14:paraId="3F3B0ECB" w14:textId="77777777" w:rsidR="00742A72" w:rsidRPr="00D1234C" w:rsidRDefault="00742A72" w:rsidP="004F7805">
            <w:pPr>
              <w:spacing w:before="60" w:after="60"/>
              <w:jc w:val="center"/>
              <w:rPr>
                <w:rFonts w:ascii="Arial" w:eastAsia="Calibri" w:hAnsi="Arial" w:cs="Arial"/>
                <w:b/>
                <w:sz w:val="20"/>
                <w:szCs w:val="20"/>
                <w:lang w:val="en-US"/>
              </w:rPr>
            </w:pPr>
            <w:r w:rsidRPr="00D1234C">
              <w:rPr>
                <w:rFonts w:ascii="Arial" w:eastAsia="Calibri" w:hAnsi="Arial" w:cs="Arial"/>
                <w:b/>
                <w:sz w:val="20"/>
                <w:szCs w:val="20"/>
                <w:lang w:val="en-US"/>
              </w:rPr>
              <w:t>Targets 2018-2019</w:t>
            </w:r>
          </w:p>
        </w:tc>
        <w:tc>
          <w:tcPr>
            <w:tcW w:w="2450" w:type="pct"/>
            <w:shd w:val="clear" w:color="auto" w:fill="D9D9D9" w:themeFill="background1" w:themeFillShade="D9"/>
            <w:vAlign w:val="center"/>
          </w:tcPr>
          <w:p w14:paraId="57B349D3" w14:textId="669F9B5C" w:rsidR="00742A72" w:rsidRPr="00D1234C" w:rsidRDefault="00742A72" w:rsidP="004F7805">
            <w:pPr>
              <w:autoSpaceDE w:val="0"/>
              <w:autoSpaceDN w:val="0"/>
              <w:adjustRightInd w:val="0"/>
              <w:jc w:val="center"/>
              <w:rPr>
                <w:rFonts w:ascii="Arial" w:eastAsia="Calibri" w:hAnsi="Arial" w:cs="Arial"/>
                <w:b/>
                <w:color w:val="000000"/>
                <w:sz w:val="20"/>
                <w:szCs w:val="20"/>
                <w:lang w:val="en-US"/>
              </w:rPr>
            </w:pPr>
            <w:r w:rsidRPr="00D1234C">
              <w:rPr>
                <w:rFonts w:ascii="Arial" w:eastAsia="Calibri" w:hAnsi="Arial" w:cs="Arial"/>
                <w:b/>
                <w:sz w:val="20"/>
                <w:szCs w:val="20"/>
                <w:lang w:val="en-US"/>
              </w:rPr>
              <w:t>Assessment of progress:</w:t>
            </w:r>
            <w:r w:rsidRPr="00D1234C">
              <w:rPr>
                <w:rFonts w:ascii="Arial" w:eastAsia="Calibri" w:hAnsi="Arial" w:cs="Arial"/>
                <w:b/>
                <w:sz w:val="20"/>
                <w:szCs w:val="20"/>
                <w:lang w:val="en-US"/>
              </w:rPr>
              <w:br/>
              <w:t>01/01/2018 to 30/06/201</w:t>
            </w:r>
            <w:r w:rsidR="000B2A64" w:rsidRPr="00D1234C">
              <w:rPr>
                <w:rFonts w:ascii="Arial" w:eastAsia="Calibri" w:hAnsi="Arial" w:cs="Arial"/>
                <w:b/>
                <w:sz w:val="20"/>
                <w:szCs w:val="20"/>
                <w:lang w:val="en-US"/>
              </w:rPr>
              <w:t>9</w:t>
            </w:r>
            <w:r w:rsidRPr="00D1234C">
              <w:rPr>
                <w:rFonts w:ascii="Arial" w:eastAsia="Calibri" w:hAnsi="Arial" w:cs="Arial"/>
                <w:b/>
                <w:sz w:val="20"/>
                <w:szCs w:val="20"/>
                <w:lang w:val="en-US"/>
              </w:rPr>
              <w:t xml:space="preserve"> </w:t>
            </w:r>
          </w:p>
        </w:tc>
      </w:tr>
      <w:tr w:rsidR="00742A72" w:rsidRPr="008C2771" w14:paraId="5288D03F" w14:textId="77777777" w:rsidTr="004F7805">
        <w:tc>
          <w:tcPr>
            <w:tcW w:w="1300" w:type="pct"/>
          </w:tcPr>
          <w:p w14:paraId="47FF2B8F" w14:textId="77777777" w:rsidR="00742A72" w:rsidRPr="00D1234C" w:rsidRDefault="00742A72" w:rsidP="00742A72">
            <w:pPr>
              <w:pStyle w:val="Paragraphedeliste"/>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 xml:space="preserve">Convention-related reports address plans, policies and </w:t>
            </w:r>
            <w:proofErr w:type="spellStart"/>
            <w:r w:rsidRPr="004A46D6">
              <w:rPr>
                <w:rFonts w:ascii="Arial" w:hAnsi="Arial" w:cs="Arial"/>
                <w:sz w:val="22"/>
                <w:szCs w:val="22"/>
                <w:lang w:val="en-US"/>
              </w:rPr>
              <w:t>programmes</w:t>
            </w:r>
            <w:proofErr w:type="spellEnd"/>
            <w:r w:rsidRPr="004A46D6">
              <w:rPr>
                <w:rFonts w:ascii="Arial" w:hAnsi="Arial" w:cs="Arial"/>
                <w:sz w:val="22"/>
                <w:szCs w:val="22"/>
                <w:lang w:val="en-US"/>
              </w:rPr>
              <w:t xml:space="preserve"> aimed at integrating the safeguarding of intangible cultural heritage with a gender-sensitive approach, including in emergency contexts, and provide evidence towards the attainment of SDG targets</w:t>
            </w:r>
          </w:p>
          <w:p w14:paraId="2336F57A" w14:textId="77777777" w:rsidR="00742A72" w:rsidRPr="00D1234C" w:rsidRDefault="00742A72" w:rsidP="00742A72">
            <w:pPr>
              <w:pStyle w:val="Paragraphedeliste"/>
              <w:keepLines/>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Partnerships established, within and outside the culture sector, with a view to strengthening the role of intangible cultural heritage as an enabler and guarantee of sustainable development and supporting national plans to achieve the SDGs</w:t>
            </w:r>
          </w:p>
          <w:p w14:paraId="0E740BB6" w14:textId="77777777" w:rsidR="00742A72" w:rsidRPr="00D1234C" w:rsidRDefault="00742A72" w:rsidP="00742A72">
            <w:pPr>
              <w:pStyle w:val="Paragraphedeliste"/>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Initiatives designed and implemented, resulting in the incorporation of intangible cultural heritage in formal and non-formal education (SDG 4.7)</w:t>
            </w:r>
          </w:p>
        </w:tc>
        <w:tc>
          <w:tcPr>
            <w:tcW w:w="577" w:type="pct"/>
            <w:shd w:val="clear" w:color="auto" w:fill="auto"/>
          </w:tcPr>
          <w:p w14:paraId="14F1F60C" w14:textId="77777777" w:rsidR="00742A72" w:rsidRPr="004A46D6" w:rsidRDefault="00742A72" w:rsidP="00742A72">
            <w:pPr>
              <w:pStyle w:val="Paragraphedeliste"/>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15, of which 5 in Africa and 2 SIDS</w:t>
            </w:r>
          </w:p>
        </w:tc>
        <w:tc>
          <w:tcPr>
            <w:tcW w:w="673" w:type="pct"/>
            <w:shd w:val="clear" w:color="auto" w:fill="auto"/>
          </w:tcPr>
          <w:p w14:paraId="2178F54A" w14:textId="77777777" w:rsidR="00742A72" w:rsidRPr="004A46D6" w:rsidRDefault="00742A72" w:rsidP="00742A72">
            <w:pPr>
              <w:pStyle w:val="Paragraphedeliste"/>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25 of which 8 in Africa and 5 SIDS</w:t>
            </w:r>
          </w:p>
        </w:tc>
        <w:tc>
          <w:tcPr>
            <w:tcW w:w="2450" w:type="pct"/>
          </w:tcPr>
          <w:p w14:paraId="3866E3F0" w14:textId="3D2E0BB4" w:rsidR="00742A72" w:rsidRPr="004A46D6" w:rsidRDefault="00A62DD0" w:rsidP="00742A72">
            <w:pPr>
              <w:pStyle w:val="Paragraphedeliste"/>
              <w:numPr>
                <w:ilvl w:val="0"/>
                <w:numId w:val="19"/>
              </w:numPr>
              <w:spacing w:before="120" w:beforeAutospacing="0" w:after="120" w:afterAutospacing="0"/>
              <w:ind w:left="358" w:hanging="284"/>
              <w:rPr>
                <w:rFonts w:ascii="Arial" w:eastAsia="SimSun" w:hAnsi="Arial" w:cs="Arial"/>
                <w:iCs/>
                <w:sz w:val="22"/>
                <w:szCs w:val="22"/>
                <w:lang w:val="en-US"/>
              </w:rPr>
            </w:pPr>
            <w:r w:rsidRPr="004A46D6">
              <w:rPr>
                <w:rStyle w:val="textview"/>
                <w:rFonts w:ascii="Arial" w:hAnsi="Arial" w:cs="Arial"/>
                <w:sz w:val="22"/>
                <w:szCs w:val="22"/>
                <w:lang w:val="en-US"/>
              </w:rPr>
              <w:t>39</w:t>
            </w:r>
            <w:r w:rsidR="00742A72" w:rsidRPr="004A46D6">
              <w:rPr>
                <w:rStyle w:val="textview"/>
                <w:rFonts w:ascii="Arial" w:hAnsi="Arial" w:cs="Arial"/>
                <w:sz w:val="22"/>
                <w:szCs w:val="22"/>
                <w:lang w:val="en-US"/>
              </w:rPr>
              <w:t xml:space="preserve"> </w:t>
            </w:r>
            <w:r w:rsidR="00742A72" w:rsidRPr="004A46D6">
              <w:rPr>
                <w:rFonts w:ascii="Arial" w:eastAsia="SimSun" w:hAnsi="Arial" w:cs="Arial"/>
                <w:iCs/>
                <w:sz w:val="22"/>
                <w:szCs w:val="22"/>
                <w:lang w:val="en-US"/>
              </w:rPr>
              <w:t>Member States supported, including</w:t>
            </w:r>
            <w:r w:rsidRPr="004A46D6">
              <w:rPr>
                <w:rFonts w:ascii="Arial" w:eastAsia="SimSun" w:hAnsi="Arial" w:cs="Arial"/>
                <w:iCs/>
                <w:sz w:val="22"/>
                <w:szCs w:val="22"/>
                <w:lang w:val="en-US"/>
              </w:rPr>
              <w:t xml:space="preserve"> 22 in Africa and </w:t>
            </w:r>
            <w:proofErr w:type="gramStart"/>
            <w:r w:rsidRPr="004A46D6">
              <w:rPr>
                <w:rFonts w:ascii="Arial" w:eastAsia="SimSun" w:hAnsi="Arial" w:cs="Arial"/>
                <w:iCs/>
                <w:sz w:val="22"/>
                <w:szCs w:val="22"/>
                <w:lang w:val="en-US"/>
              </w:rPr>
              <w:t>8</w:t>
            </w:r>
            <w:proofErr w:type="gramEnd"/>
            <w:r w:rsidR="00742A72" w:rsidRPr="004A46D6">
              <w:rPr>
                <w:rFonts w:ascii="Arial" w:eastAsia="SimSun" w:hAnsi="Arial" w:cs="Arial"/>
                <w:iCs/>
                <w:sz w:val="22"/>
                <w:szCs w:val="22"/>
                <w:lang w:val="en-US"/>
              </w:rPr>
              <w:t xml:space="preserve"> SIDS. Of these, </w:t>
            </w:r>
            <w:r w:rsidRPr="004A46D6">
              <w:rPr>
                <w:rFonts w:ascii="Arial" w:eastAsia="SimSun" w:hAnsi="Arial" w:cs="Arial"/>
                <w:iCs/>
                <w:sz w:val="22"/>
                <w:szCs w:val="22"/>
                <w:lang w:val="en-US"/>
              </w:rPr>
              <w:t>21</w:t>
            </w:r>
            <w:r w:rsidR="00742A72" w:rsidRPr="004A46D6">
              <w:rPr>
                <w:rFonts w:ascii="Arial" w:eastAsia="SimSun" w:hAnsi="Arial" w:cs="Arial"/>
                <w:iCs/>
                <w:sz w:val="22"/>
                <w:szCs w:val="22"/>
                <w:lang w:val="en-US"/>
              </w:rPr>
              <w:t xml:space="preserve"> adopted a ge</w:t>
            </w:r>
            <w:r w:rsidRPr="004A46D6">
              <w:rPr>
                <w:rFonts w:ascii="Arial" w:eastAsia="SimSun" w:hAnsi="Arial" w:cs="Arial"/>
                <w:iCs/>
                <w:sz w:val="22"/>
                <w:szCs w:val="22"/>
                <w:lang w:val="en-US"/>
              </w:rPr>
              <w:t>nder-sensitive approach, while 6</w:t>
            </w:r>
            <w:r w:rsidR="00742A72" w:rsidRPr="004A46D6">
              <w:rPr>
                <w:rFonts w:ascii="Arial" w:eastAsia="SimSun" w:hAnsi="Arial" w:cs="Arial"/>
                <w:iCs/>
                <w:sz w:val="22"/>
                <w:szCs w:val="22"/>
                <w:lang w:val="en-US"/>
              </w:rPr>
              <w:t xml:space="preserve"> were gender-responsive</w:t>
            </w:r>
          </w:p>
          <w:p w14:paraId="53A87850" w14:textId="5A468411" w:rsidR="00742A72" w:rsidRPr="00D1234C" w:rsidRDefault="005B3EF9">
            <w:pPr>
              <w:pStyle w:val="Paragraphedeliste"/>
              <w:numPr>
                <w:ilvl w:val="0"/>
                <w:numId w:val="19"/>
              </w:numPr>
              <w:spacing w:before="120" w:beforeAutospacing="0" w:after="120" w:afterAutospacing="0"/>
              <w:ind w:left="358" w:hanging="284"/>
              <w:rPr>
                <w:rFonts w:ascii="Arial" w:eastAsia="Calibri" w:hAnsi="Arial" w:cs="Arial"/>
                <w:sz w:val="22"/>
                <w:szCs w:val="22"/>
                <w:lang w:val="en-US"/>
              </w:rPr>
            </w:pPr>
            <w:r w:rsidRPr="004A46D6">
              <w:rPr>
                <w:rFonts w:ascii="Arial" w:eastAsia="SimSun" w:hAnsi="Arial" w:cs="Arial"/>
                <w:iCs/>
                <w:sz w:val="22"/>
                <w:szCs w:val="22"/>
                <w:lang w:val="en-US"/>
              </w:rPr>
              <w:t>15</w:t>
            </w:r>
            <w:r w:rsidR="00742A72" w:rsidRPr="004A46D6">
              <w:rPr>
                <w:rFonts w:ascii="Arial" w:eastAsia="SimSun" w:hAnsi="Arial" w:cs="Arial"/>
                <w:iCs/>
                <w:sz w:val="22"/>
                <w:szCs w:val="22"/>
                <w:lang w:val="en-US"/>
              </w:rPr>
              <w:t xml:space="preserve"> </w:t>
            </w:r>
            <w:r w:rsidR="009F1C8B" w:rsidRPr="004A46D6">
              <w:rPr>
                <w:rFonts w:ascii="Arial" w:eastAsia="SimSun" w:hAnsi="Arial" w:cs="Arial"/>
                <w:iCs/>
                <w:sz w:val="22"/>
                <w:szCs w:val="22"/>
                <w:lang w:val="en-US"/>
              </w:rPr>
              <w:t>offices initiated activities that incorporated i</w:t>
            </w:r>
            <w:r w:rsidR="00742A72" w:rsidRPr="004A46D6">
              <w:rPr>
                <w:rFonts w:ascii="Arial" w:eastAsia="SimSun" w:hAnsi="Arial" w:cs="Arial"/>
                <w:iCs/>
                <w:sz w:val="22"/>
                <w:szCs w:val="22"/>
                <w:lang w:val="en-US"/>
              </w:rPr>
              <w:t>ntangible cultural heritage into formal and non-formal education</w:t>
            </w:r>
          </w:p>
          <w:p w14:paraId="5E432FAC" w14:textId="3FA24502" w:rsidR="00E8604C" w:rsidRPr="00D1234C" w:rsidRDefault="000912A7" w:rsidP="008C2771">
            <w:pPr>
              <w:pStyle w:val="Paragraphedeliste"/>
              <w:numPr>
                <w:ilvl w:val="0"/>
                <w:numId w:val="19"/>
              </w:numPr>
              <w:spacing w:before="120" w:beforeAutospacing="0" w:after="120" w:afterAutospacing="0"/>
              <w:ind w:left="358" w:hanging="284"/>
              <w:rPr>
                <w:rFonts w:ascii="Arial" w:eastAsia="Calibri" w:hAnsi="Arial" w:cs="Arial"/>
                <w:sz w:val="22"/>
                <w:szCs w:val="22"/>
                <w:lang w:val="en-US"/>
              </w:rPr>
            </w:pPr>
            <w:r w:rsidRPr="00D1234C">
              <w:rPr>
                <w:rFonts w:ascii="Arial" w:eastAsia="SimSun" w:hAnsi="Arial" w:cs="Arial"/>
                <w:iCs/>
                <w:sz w:val="22"/>
                <w:szCs w:val="22"/>
                <w:lang w:val="en-US"/>
              </w:rPr>
              <w:t>P</w:t>
            </w:r>
            <w:r w:rsidR="005D63A1" w:rsidRPr="004A46D6">
              <w:rPr>
                <w:rFonts w:ascii="Arial" w:eastAsia="SimSun" w:hAnsi="Arial" w:cs="Arial"/>
                <w:iCs/>
                <w:sz w:val="22"/>
                <w:szCs w:val="22"/>
                <w:lang w:val="en-US"/>
              </w:rPr>
              <w:t>artnerships</w:t>
            </w:r>
            <w:r w:rsidR="00E8604C" w:rsidRPr="004A46D6">
              <w:rPr>
                <w:rFonts w:ascii="Arial" w:eastAsia="SimSun" w:hAnsi="Arial" w:cs="Arial"/>
                <w:iCs/>
                <w:sz w:val="22"/>
                <w:szCs w:val="22"/>
                <w:lang w:val="en-US"/>
              </w:rPr>
              <w:t xml:space="preserve"> established </w:t>
            </w:r>
            <w:r w:rsidR="005D63A1" w:rsidRPr="004A46D6">
              <w:rPr>
                <w:rFonts w:ascii="Arial" w:eastAsia="SimSun" w:hAnsi="Arial" w:cs="Arial"/>
                <w:iCs/>
                <w:sz w:val="22"/>
                <w:szCs w:val="22"/>
                <w:lang w:val="en-US"/>
              </w:rPr>
              <w:t xml:space="preserve">to </w:t>
            </w:r>
            <w:r w:rsidR="00501F6D">
              <w:rPr>
                <w:rFonts w:ascii="Arial" w:eastAsia="SimSun" w:hAnsi="Arial" w:cs="Arial"/>
                <w:iCs/>
                <w:sz w:val="22"/>
                <w:szCs w:val="22"/>
                <w:lang w:val="en-US"/>
              </w:rPr>
              <w:t>support</w:t>
            </w:r>
            <w:r w:rsidR="00E8604C" w:rsidRPr="004A46D6">
              <w:rPr>
                <w:rFonts w:ascii="Arial" w:eastAsia="SimSun" w:hAnsi="Arial" w:cs="Arial"/>
                <w:iCs/>
                <w:sz w:val="22"/>
                <w:szCs w:val="22"/>
                <w:lang w:val="en-US"/>
              </w:rPr>
              <w:t xml:space="preserve"> project</w:t>
            </w:r>
            <w:r w:rsidR="00501F6D">
              <w:rPr>
                <w:rFonts w:ascii="Arial" w:eastAsia="SimSun" w:hAnsi="Arial" w:cs="Arial"/>
                <w:iCs/>
                <w:sz w:val="22"/>
                <w:szCs w:val="22"/>
                <w:lang w:val="en-US"/>
              </w:rPr>
              <w:t>s</w:t>
            </w:r>
            <w:r w:rsidRPr="004A46D6">
              <w:rPr>
                <w:rFonts w:ascii="Arial" w:eastAsia="SimSun" w:hAnsi="Arial" w:cs="Arial"/>
                <w:iCs/>
                <w:sz w:val="22"/>
                <w:szCs w:val="22"/>
                <w:lang w:val="en-US"/>
              </w:rPr>
              <w:t xml:space="preserve"> </w:t>
            </w:r>
            <w:r w:rsidR="00A87D44" w:rsidRPr="004A46D6">
              <w:rPr>
                <w:rFonts w:ascii="Arial" w:eastAsia="SimSun" w:hAnsi="Arial" w:cs="Arial"/>
                <w:iCs/>
                <w:sz w:val="22"/>
                <w:szCs w:val="22"/>
                <w:lang w:val="en-US"/>
              </w:rPr>
              <w:t xml:space="preserve">in the field of intangible cultural heritage in </w:t>
            </w:r>
            <w:r w:rsidR="00501F6D">
              <w:rPr>
                <w:rFonts w:ascii="Arial" w:eastAsia="SimSun" w:hAnsi="Arial" w:cs="Arial"/>
                <w:iCs/>
                <w:sz w:val="22"/>
                <w:szCs w:val="22"/>
                <w:lang w:val="en-US"/>
              </w:rPr>
              <w:t>C</w:t>
            </w:r>
            <w:r w:rsidR="00A87D44" w:rsidRPr="004A46D6">
              <w:rPr>
                <w:rFonts w:ascii="Arial" w:eastAsia="SimSun" w:hAnsi="Arial" w:cs="Arial"/>
                <w:iCs/>
                <w:sz w:val="22"/>
                <w:szCs w:val="22"/>
                <w:lang w:val="en-US"/>
              </w:rPr>
              <w:t>ities and Education</w:t>
            </w:r>
            <w:bookmarkStart w:id="0" w:name="_GoBack"/>
            <w:bookmarkEnd w:id="0"/>
          </w:p>
        </w:tc>
      </w:tr>
    </w:tbl>
    <w:p w14:paraId="65A9D6E7" w14:textId="77777777" w:rsidR="00742A72" w:rsidRPr="00D1234C" w:rsidRDefault="00742A72" w:rsidP="00742A72">
      <w:pPr>
        <w:spacing w:after="120"/>
        <w:ind w:left="360" w:hanging="360"/>
        <w:jc w:val="both"/>
        <w:rPr>
          <w:rFonts w:ascii="Arial" w:eastAsia="Malgun Gothic" w:hAnsi="Arial" w:cs="Arial"/>
          <w:snapToGrid w:val="0"/>
          <w:sz w:val="20"/>
          <w:szCs w:val="20"/>
          <w:highlight w:val="cyan"/>
          <w:lang w:val="en-US" w:eastAsia="ko-KR"/>
        </w:rPr>
      </w:pPr>
    </w:p>
    <w:tbl>
      <w:tblPr>
        <w:tblStyle w:val="TableGrid2"/>
        <w:tblW w:w="14572" w:type="dxa"/>
        <w:tblLook w:val="04A0" w:firstRow="1" w:lastRow="0" w:firstColumn="1" w:lastColumn="0" w:noHBand="0" w:noVBand="1"/>
      </w:tblPr>
      <w:tblGrid>
        <w:gridCol w:w="3789"/>
        <w:gridCol w:w="10783"/>
      </w:tblGrid>
      <w:tr w:rsidR="00742A72" w:rsidRPr="008C2771" w14:paraId="5C79D6E4" w14:textId="77777777" w:rsidTr="004F7805">
        <w:trPr>
          <w:cantSplit/>
        </w:trPr>
        <w:tc>
          <w:tcPr>
            <w:tcW w:w="1300" w:type="pct"/>
            <w:shd w:val="clear" w:color="auto" w:fill="808080" w:themeFill="background1" w:themeFillShade="80"/>
            <w:vAlign w:val="center"/>
          </w:tcPr>
          <w:p w14:paraId="3FA649D7" w14:textId="77777777" w:rsidR="00742A72" w:rsidRPr="00D1234C" w:rsidRDefault="00742A72" w:rsidP="004F7805">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lastRenderedPageBreak/>
              <w:t>39C/5 Performance Indicator 4</w:t>
            </w:r>
          </w:p>
        </w:tc>
        <w:tc>
          <w:tcPr>
            <w:tcW w:w="3700" w:type="pct"/>
            <w:shd w:val="clear" w:color="auto" w:fill="808080" w:themeFill="background1" w:themeFillShade="80"/>
            <w:vAlign w:val="center"/>
          </w:tcPr>
          <w:p w14:paraId="696B827D" w14:textId="09029075" w:rsidR="00742A72" w:rsidRPr="00D1234C" w:rsidRDefault="00742A72" w:rsidP="004F7805">
            <w:pPr>
              <w:keepNext/>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 xml:space="preserve">Number of States Parties which have effectively implemented </w:t>
            </w:r>
            <w:r w:rsidR="00FC01BC" w:rsidRPr="00D1234C">
              <w:rPr>
                <w:rFonts w:ascii="Arial" w:hAnsi="Arial" w:cs="Arial"/>
                <w:b/>
                <w:bCs/>
                <w:color w:val="FFFFFF" w:themeColor="background1"/>
                <w:sz w:val="22"/>
                <w:szCs w:val="22"/>
                <w:lang w:val="en-US"/>
              </w:rPr>
              <w:t>I</w:t>
            </w:r>
            <w:r w:rsidRPr="00D1234C">
              <w:rPr>
                <w:rFonts w:ascii="Arial" w:hAnsi="Arial" w:cs="Arial"/>
                <w:b/>
                <w:bCs/>
                <w:color w:val="FFFFFF" w:themeColor="background1"/>
                <w:sz w:val="22"/>
                <w:szCs w:val="22"/>
                <w:lang w:val="en-US"/>
              </w:rPr>
              <w:t xml:space="preserve">nternational </w:t>
            </w:r>
            <w:r w:rsidR="00FC01BC" w:rsidRPr="00D1234C">
              <w:rPr>
                <w:rFonts w:ascii="Arial" w:hAnsi="Arial" w:cs="Arial"/>
                <w:b/>
                <w:bCs/>
                <w:color w:val="FFFFFF" w:themeColor="background1"/>
                <w:sz w:val="22"/>
                <w:szCs w:val="22"/>
                <w:lang w:val="en-US"/>
              </w:rPr>
              <w:t>A</w:t>
            </w:r>
            <w:r w:rsidRPr="00D1234C">
              <w:rPr>
                <w:rFonts w:ascii="Arial" w:hAnsi="Arial" w:cs="Arial"/>
                <w:b/>
                <w:bCs/>
                <w:color w:val="FFFFFF" w:themeColor="background1"/>
                <w:sz w:val="22"/>
                <w:szCs w:val="22"/>
                <w:lang w:val="en-US"/>
              </w:rPr>
              <w:t>ssistance, including from the Intangible Cultural Heritage Fund, complementing their national safeguarding efforts</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742A72" w:rsidRPr="004A46D6" w14:paraId="64927BC9" w14:textId="77777777" w:rsidTr="004F7805">
        <w:trPr>
          <w:tblHeader/>
        </w:trPr>
        <w:tc>
          <w:tcPr>
            <w:tcW w:w="1300" w:type="pct"/>
            <w:shd w:val="clear" w:color="auto" w:fill="D9D9D9" w:themeFill="background1" w:themeFillShade="D9"/>
            <w:vAlign w:val="center"/>
          </w:tcPr>
          <w:p w14:paraId="4935CEBB" w14:textId="77777777" w:rsidR="00742A72" w:rsidRPr="00D1234C" w:rsidRDefault="00742A72" w:rsidP="004F7805">
            <w:pPr>
              <w:spacing w:before="60" w:after="60"/>
              <w:jc w:val="center"/>
              <w:rPr>
                <w:rFonts w:ascii="Arial" w:eastAsia="Calibri" w:hAnsi="Arial" w:cs="Arial"/>
                <w:b/>
                <w:sz w:val="20"/>
                <w:szCs w:val="20"/>
                <w:lang w:val="en-US"/>
              </w:rPr>
            </w:pPr>
            <w:r w:rsidRPr="00D1234C">
              <w:rPr>
                <w:rFonts w:ascii="Arial" w:eastAsia="Calibri" w:hAnsi="Arial" w:cs="Arial"/>
                <w:b/>
                <w:sz w:val="20"/>
                <w:szCs w:val="20"/>
                <w:lang w:val="en-US"/>
              </w:rPr>
              <w:t>Assessed according to the following</w:t>
            </w:r>
          </w:p>
        </w:tc>
        <w:tc>
          <w:tcPr>
            <w:tcW w:w="577" w:type="pct"/>
            <w:shd w:val="clear" w:color="auto" w:fill="D9D9D9" w:themeFill="background1" w:themeFillShade="D9"/>
            <w:vAlign w:val="center"/>
          </w:tcPr>
          <w:p w14:paraId="3048B6F9" w14:textId="77777777" w:rsidR="00742A72" w:rsidRPr="00D1234C" w:rsidRDefault="00742A72" w:rsidP="004F7805">
            <w:pPr>
              <w:spacing w:before="60" w:after="60"/>
              <w:jc w:val="center"/>
              <w:rPr>
                <w:rFonts w:ascii="Arial" w:eastAsia="Calibri" w:hAnsi="Arial" w:cs="Arial"/>
                <w:b/>
                <w:sz w:val="20"/>
                <w:szCs w:val="20"/>
                <w:lang w:val="en-US"/>
              </w:rPr>
            </w:pPr>
            <w:r w:rsidRPr="00D1234C">
              <w:rPr>
                <w:rFonts w:ascii="Arial" w:eastAsia="Calibri" w:hAnsi="Arial" w:cs="Arial"/>
                <w:b/>
                <w:sz w:val="20"/>
                <w:szCs w:val="20"/>
                <w:lang w:val="en-US"/>
              </w:rPr>
              <w:t>Baselines</w:t>
            </w:r>
          </w:p>
        </w:tc>
        <w:tc>
          <w:tcPr>
            <w:tcW w:w="673" w:type="pct"/>
            <w:shd w:val="clear" w:color="auto" w:fill="D9D9D9" w:themeFill="background1" w:themeFillShade="D9"/>
            <w:vAlign w:val="center"/>
          </w:tcPr>
          <w:p w14:paraId="70A03C88" w14:textId="77777777" w:rsidR="00742A72" w:rsidRPr="00D1234C" w:rsidRDefault="00742A72" w:rsidP="004F7805">
            <w:pPr>
              <w:spacing w:before="60" w:after="60"/>
              <w:jc w:val="center"/>
              <w:rPr>
                <w:rFonts w:ascii="Arial" w:eastAsia="Calibri" w:hAnsi="Arial" w:cs="Arial"/>
                <w:b/>
                <w:sz w:val="20"/>
                <w:szCs w:val="20"/>
                <w:lang w:val="en-US"/>
              </w:rPr>
            </w:pPr>
            <w:r w:rsidRPr="00D1234C">
              <w:rPr>
                <w:rFonts w:ascii="Arial" w:eastAsia="Calibri" w:hAnsi="Arial" w:cs="Arial"/>
                <w:b/>
                <w:sz w:val="20"/>
                <w:szCs w:val="20"/>
                <w:lang w:val="en-US"/>
              </w:rPr>
              <w:t>Targets 2018-2019</w:t>
            </w:r>
          </w:p>
        </w:tc>
        <w:tc>
          <w:tcPr>
            <w:tcW w:w="2450" w:type="pct"/>
            <w:shd w:val="clear" w:color="auto" w:fill="D9D9D9" w:themeFill="background1" w:themeFillShade="D9"/>
            <w:vAlign w:val="center"/>
          </w:tcPr>
          <w:p w14:paraId="4E3F1196" w14:textId="140B234D" w:rsidR="00742A72" w:rsidRPr="00D1234C" w:rsidRDefault="00742A72" w:rsidP="004F7805">
            <w:pPr>
              <w:autoSpaceDE w:val="0"/>
              <w:autoSpaceDN w:val="0"/>
              <w:adjustRightInd w:val="0"/>
              <w:jc w:val="center"/>
              <w:rPr>
                <w:rFonts w:ascii="Arial" w:eastAsia="Calibri" w:hAnsi="Arial" w:cs="Arial"/>
                <w:b/>
                <w:color w:val="000000"/>
                <w:sz w:val="20"/>
                <w:szCs w:val="20"/>
                <w:lang w:val="en-US"/>
              </w:rPr>
            </w:pPr>
            <w:r w:rsidRPr="00D1234C">
              <w:rPr>
                <w:rFonts w:ascii="Arial" w:eastAsia="Calibri" w:hAnsi="Arial" w:cs="Arial"/>
                <w:b/>
                <w:sz w:val="20"/>
                <w:szCs w:val="20"/>
                <w:lang w:val="en-US"/>
              </w:rPr>
              <w:t>Assessment of progress:</w:t>
            </w:r>
            <w:r w:rsidRPr="00D1234C">
              <w:rPr>
                <w:rFonts w:ascii="Arial" w:eastAsia="Calibri" w:hAnsi="Arial" w:cs="Arial"/>
                <w:b/>
                <w:sz w:val="20"/>
                <w:szCs w:val="20"/>
                <w:lang w:val="en-US"/>
              </w:rPr>
              <w:br/>
              <w:t>01/01/2018 to 30/06/201</w:t>
            </w:r>
            <w:r w:rsidR="000B2A64" w:rsidRPr="00D1234C">
              <w:rPr>
                <w:rFonts w:ascii="Arial" w:eastAsia="Calibri" w:hAnsi="Arial" w:cs="Arial"/>
                <w:b/>
                <w:sz w:val="20"/>
                <w:szCs w:val="20"/>
                <w:lang w:val="en-US"/>
              </w:rPr>
              <w:t>9</w:t>
            </w:r>
          </w:p>
        </w:tc>
      </w:tr>
      <w:tr w:rsidR="00742A72" w:rsidRPr="008C2771" w14:paraId="020065D9" w14:textId="77777777" w:rsidTr="004F7805">
        <w:tc>
          <w:tcPr>
            <w:tcW w:w="1300" w:type="pct"/>
          </w:tcPr>
          <w:p w14:paraId="62A3B51E" w14:textId="77777777" w:rsidR="00742A72" w:rsidRPr="00D1234C" w:rsidRDefault="00742A72" w:rsidP="00742A72">
            <w:pPr>
              <w:pStyle w:val="Paragraphedeliste"/>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Intangible Cultural Heritage Fund used by States Parties to effectively complement their national safeguarding efforts</w:t>
            </w:r>
          </w:p>
          <w:p w14:paraId="3D683DB4" w14:textId="77777777" w:rsidR="00742A72" w:rsidRPr="00D1234C" w:rsidRDefault="00742A72" w:rsidP="00742A72">
            <w:pPr>
              <w:pStyle w:val="Paragraphedeliste"/>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Preparatory/technical assistance from the Intangible Cultural Heritage Fund used by States Parties to elaborate International Assistance requests to effectively complement their national safeguarding efforts</w:t>
            </w:r>
          </w:p>
        </w:tc>
        <w:tc>
          <w:tcPr>
            <w:tcW w:w="577" w:type="pct"/>
            <w:shd w:val="clear" w:color="auto" w:fill="auto"/>
          </w:tcPr>
          <w:p w14:paraId="6313FB41" w14:textId="77777777" w:rsidR="00742A72" w:rsidRPr="00D1234C" w:rsidRDefault="00742A72" w:rsidP="00742A72">
            <w:pPr>
              <w:pStyle w:val="Paragraphedeliste"/>
              <w:numPr>
                <w:ilvl w:val="0"/>
                <w:numId w:val="19"/>
              </w:numPr>
              <w:spacing w:before="120" w:beforeAutospacing="0" w:after="120" w:afterAutospacing="0"/>
              <w:ind w:left="358" w:hanging="284"/>
              <w:rPr>
                <w:rFonts w:ascii="Arial" w:eastAsia="Calibri" w:hAnsi="Arial" w:cs="Arial"/>
                <w:sz w:val="22"/>
                <w:szCs w:val="22"/>
                <w:lang w:val="en-US"/>
              </w:rPr>
            </w:pPr>
            <w:r w:rsidRPr="004A46D6">
              <w:rPr>
                <w:rFonts w:ascii="Arial" w:eastAsia="SimSun" w:hAnsi="Arial" w:cs="Arial"/>
                <w:iCs/>
                <w:sz w:val="22"/>
                <w:szCs w:val="22"/>
                <w:lang w:val="en-US"/>
              </w:rPr>
              <w:t>15</w:t>
            </w:r>
            <w:r w:rsidRPr="004A46D6">
              <w:rPr>
                <w:rFonts w:ascii="Arial" w:hAnsi="Arial" w:cs="Arial"/>
                <w:sz w:val="22"/>
                <w:szCs w:val="22"/>
                <w:lang w:val="en-US"/>
              </w:rPr>
              <w:t>, of which 10 in Africa and 1 SIDS</w:t>
            </w:r>
          </w:p>
        </w:tc>
        <w:tc>
          <w:tcPr>
            <w:tcW w:w="673" w:type="pct"/>
            <w:shd w:val="clear" w:color="auto" w:fill="auto"/>
          </w:tcPr>
          <w:p w14:paraId="109AD6CA" w14:textId="77777777" w:rsidR="00742A72" w:rsidRPr="004A46D6" w:rsidRDefault="00742A72" w:rsidP="00742A72">
            <w:pPr>
              <w:pStyle w:val="Paragraphedeliste"/>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15 of which 10 in Africa and 2 SIDS</w:t>
            </w:r>
          </w:p>
        </w:tc>
        <w:tc>
          <w:tcPr>
            <w:tcW w:w="2450" w:type="pct"/>
          </w:tcPr>
          <w:p w14:paraId="1F2EC59F" w14:textId="534D684C" w:rsidR="00742A72" w:rsidRPr="004A46D6" w:rsidRDefault="00C91612" w:rsidP="00742A72">
            <w:pPr>
              <w:pStyle w:val="Paragraphedeliste"/>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 xml:space="preserve">9 </w:t>
            </w:r>
            <w:r w:rsidR="00742A72" w:rsidRPr="004A46D6">
              <w:rPr>
                <w:rFonts w:ascii="Arial" w:eastAsia="SimSun" w:hAnsi="Arial" w:cs="Arial"/>
                <w:iCs/>
                <w:sz w:val="22"/>
                <w:szCs w:val="22"/>
                <w:lang w:val="en-US"/>
              </w:rPr>
              <w:t>States Parties completed the implementation of an International Assistance project</w:t>
            </w:r>
            <w:r w:rsidRPr="004A46D6">
              <w:rPr>
                <w:rFonts w:ascii="Arial" w:eastAsia="SimSun" w:hAnsi="Arial" w:cs="Arial"/>
                <w:iCs/>
                <w:sz w:val="22"/>
                <w:szCs w:val="22"/>
                <w:lang w:val="en-US"/>
              </w:rPr>
              <w:t>, of which 7 in Africa and 2 in SIDS</w:t>
            </w:r>
          </w:p>
          <w:p w14:paraId="60602E1D" w14:textId="426C969F" w:rsidR="00742A72" w:rsidRPr="004A46D6" w:rsidRDefault="00B32ECA" w:rsidP="00742A72">
            <w:pPr>
              <w:pStyle w:val="Paragraphedeliste"/>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35</w:t>
            </w:r>
            <w:r w:rsidR="00C77AF2" w:rsidRPr="004A46D6">
              <w:rPr>
                <w:rFonts w:ascii="Arial" w:eastAsia="SimSun" w:hAnsi="Arial" w:cs="Arial"/>
                <w:iCs/>
                <w:sz w:val="22"/>
                <w:szCs w:val="22"/>
                <w:lang w:val="en-US"/>
              </w:rPr>
              <w:t xml:space="preserve"> </w:t>
            </w:r>
            <w:r w:rsidR="00742A72" w:rsidRPr="004A46D6">
              <w:rPr>
                <w:rFonts w:ascii="Arial" w:eastAsia="SimSun" w:hAnsi="Arial" w:cs="Arial"/>
                <w:iCs/>
                <w:sz w:val="22"/>
                <w:szCs w:val="22"/>
                <w:lang w:val="en-US"/>
              </w:rPr>
              <w:t xml:space="preserve">International Assistance requests for up to US$100,000 treated and submitted to the Bureau of the Intergovernmental Committee of the Convention, of which </w:t>
            </w:r>
            <w:r w:rsidR="00A62DD0" w:rsidRPr="004A46D6">
              <w:rPr>
                <w:rFonts w:ascii="Arial" w:eastAsia="SimSun" w:hAnsi="Arial" w:cs="Arial"/>
                <w:iCs/>
                <w:sz w:val="22"/>
                <w:szCs w:val="22"/>
                <w:lang w:val="en-US"/>
              </w:rPr>
              <w:t>23</w:t>
            </w:r>
            <w:r w:rsidR="00742A72" w:rsidRPr="004A46D6">
              <w:rPr>
                <w:rFonts w:ascii="Arial" w:eastAsia="SimSun" w:hAnsi="Arial" w:cs="Arial"/>
                <w:iCs/>
                <w:sz w:val="22"/>
                <w:szCs w:val="22"/>
                <w:lang w:val="en-US"/>
              </w:rPr>
              <w:t xml:space="preserve"> were approved</w:t>
            </w:r>
            <w:r w:rsidR="00A62DD0" w:rsidRPr="004A46D6">
              <w:rPr>
                <w:rFonts w:ascii="Arial" w:eastAsia="SimSun" w:hAnsi="Arial" w:cs="Arial"/>
                <w:iCs/>
                <w:sz w:val="22"/>
                <w:szCs w:val="22"/>
                <w:lang w:val="en-US"/>
              </w:rPr>
              <w:t>, including 9</w:t>
            </w:r>
            <w:r w:rsidR="00742A72" w:rsidRPr="004A46D6">
              <w:rPr>
                <w:rFonts w:ascii="Arial" w:eastAsia="SimSun" w:hAnsi="Arial" w:cs="Arial"/>
                <w:iCs/>
                <w:sz w:val="22"/>
                <w:szCs w:val="22"/>
                <w:lang w:val="en-US"/>
              </w:rPr>
              <w:t xml:space="preserve"> for Africa and 1 SIDS</w:t>
            </w:r>
          </w:p>
          <w:p w14:paraId="64D60811" w14:textId="0BDD9556" w:rsidR="00C77AF2" w:rsidRPr="00D1234C" w:rsidRDefault="00742A72">
            <w:pPr>
              <w:pStyle w:val="Paragraphedeliste"/>
              <w:numPr>
                <w:ilvl w:val="0"/>
                <w:numId w:val="19"/>
              </w:numPr>
              <w:spacing w:before="120" w:beforeAutospacing="0" w:after="120" w:afterAutospacing="0"/>
              <w:ind w:left="358" w:hanging="284"/>
              <w:rPr>
                <w:rFonts w:ascii="Arial" w:eastAsia="Calibri" w:hAnsi="Arial" w:cs="Arial"/>
                <w:sz w:val="20"/>
                <w:szCs w:val="20"/>
                <w:lang w:val="en-US"/>
              </w:rPr>
            </w:pPr>
            <w:r w:rsidRPr="004A46D6">
              <w:rPr>
                <w:rFonts w:ascii="Arial" w:eastAsia="SimSun" w:hAnsi="Arial" w:cs="Arial"/>
                <w:iCs/>
                <w:sz w:val="22"/>
                <w:szCs w:val="22"/>
                <w:lang w:val="en-US"/>
              </w:rPr>
              <w:t>2 requests received technical assistance, including 1 from Africa</w:t>
            </w:r>
          </w:p>
        </w:tc>
      </w:tr>
    </w:tbl>
    <w:tbl>
      <w:tblPr>
        <w:tblStyle w:val="TableGrid2"/>
        <w:tblW w:w="14572" w:type="dxa"/>
        <w:tblLook w:val="04A0" w:firstRow="1" w:lastRow="0" w:firstColumn="1" w:lastColumn="0" w:noHBand="0" w:noVBand="1"/>
      </w:tblPr>
      <w:tblGrid>
        <w:gridCol w:w="3789"/>
        <w:gridCol w:w="10783"/>
      </w:tblGrid>
      <w:tr w:rsidR="00742A72" w:rsidRPr="008C2771" w14:paraId="43B59B9A" w14:textId="77777777" w:rsidTr="004F7805">
        <w:trPr>
          <w:cantSplit/>
        </w:trPr>
        <w:tc>
          <w:tcPr>
            <w:tcW w:w="1300" w:type="pct"/>
            <w:shd w:val="clear" w:color="auto" w:fill="808080" w:themeFill="background1" w:themeFillShade="80"/>
            <w:vAlign w:val="center"/>
          </w:tcPr>
          <w:p w14:paraId="661E4B3F" w14:textId="77777777" w:rsidR="00742A72" w:rsidRPr="00D1234C" w:rsidRDefault="00742A72" w:rsidP="004F7805">
            <w:pPr>
              <w:keepNext/>
              <w:keepLines/>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lastRenderedPageBreak/>
              <w:t>39C/5 Performance Indicator 5</w:t>
            </w:r>
          </w:p>
        </w:tc>
        <w:tc>
          <w:tcPr>
            <w:tcW w:w="3700" w:type="pct"/>
            <w:shd w:val="clear" w:color="auto" w:fill="808080" w:themeFill="background1" w:themeFillShade="80"/>
            <w:vAlign w:val="center"/>
          </w:tcPr>
          <w:p w14:paraId="33399929" w14:textId="77777777" w:rsidR="00742A72" w:rsidRPr="00D1234C" w:rsidRDefault="00742A72" w:rsidP="004F7805">
            <w:pPr>
              <w:keepNext/>
              <w:keepLines/>
              <w:spacing w:before="120" w:after="120"/>
              <w:rPr>
                <w:rFonts w:ascii="Arial" w:hAnsi="Arial" w:cs="Arial"/>
                <w:b/>
                <w:bCs/>
                <w:color w:val="FFFFFF" w:themeColor="background1"/>
                <w:sz w:val="22"/>
                <w:szCs w:val="22"/>
                <w:lang w:val="en-US"/>
              </w:rPr>
            </w:pPr>
            <w:r w:rsidRPr="00D1234C">
              <w:rPr>
                <w:rFonts w:ascii="Arial" w:hAnsi="Arial" w:cs="Arial"/>
                <w:b/>
                <w:bCs/>
                <w:color w:val="FFFFFF" w:themeColor="background1"/>
                <w:sz w:val="22"/>
                <w:szCs w:val="22"/>
                <w:lang w:val="en-US"/>
              </w:rPr>
              <w:t>Number of initiatives undertaken by supported Member States which have enhanced knowledge and understanding of intangible cultural heritage safeguarding and of the 2003 Convention</w:t>
            </w:r>
          </w:p>
        </w:tc>
      </w:tr>
    </w:tbl>
    <w:tbl>
      <w:tblPr>
        <w:tblW w:w="14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9"/>
        <w:gridCol w:w="1681"/>
        <w:gridCol w:w="1961"/>
        <w:gridCol w:w="7139"/>
      </w:tblGrid>
      <w:tr w:rsidR="00742A72" w:rsidRPr="004A46D6" w14:paraId="3CAD3B3A" w14:textId="77777777" w:rsidTr="004F7805">
        <w:trPr>
          <w:tblHeader/>
        </w:trPr>
        <w:tc>
          <w:tcPr>
            <w:tcW w:w="1300" w:type="pct"/>
            <w:shd w:val="clear" w:color="auto" w:fill="D9D9D9" w:themeFill="background1" w:themeFillShade="D9"/>
            <w:vAlign w:val="center"/>
          </w:tcPr>
          <w:p w14:paraId="291F3764" w14:textId="77777777" w:rsidR="00742A72" w:rsidRPr="00D1234C" w:rsidRDefault="00742A72" w:rsidP="004F7805">
            <w:pPr>
              <w:keepNext/>
              <w:keepLines/>
              <w:spacing w:before="60" w:after="60"/>
              <w:jc w:val="center"/>
              <w:rPr>
                <w:rFonts w:ascii="Arial" w:eastAsia="Calibri" w:hAnsi="Arial" w:cs="Arial"/>
                <w:b/>
                <w:sz w:val="20"/>
                <w:szCs w:val="20"/>
                <w:lang w:val="en-US"/>
              </w:rPr>
            </w:pPr>
            <w:r w:rsidRPr="00D1234C">
              <w:rPr>
                <w:rFonts w:ascii="Arial" w:eastAsia="Calibri" w:hAnsi="Arial" w:cs="Arial"/>
                <w:b/>
                <w:sz w:val="20"/>
                <w:szCs w:val="20"/>
                <w:lang w:val="en-US"/>
              </w:rPr>
              <w:t>Assessed according to the following:</w:t>
            </w:r>
          </w:p>
        </w:tc>
        <w:tc>
          <w:tcPr>
            <w:tcW w:w="577" w:type="pct"/>
            <w:shd w:val="clear" w:color="auto" w:fill="D9D9D9" w:themeFill="background1" w:themeFillShade="D9"/>
            <w:vAlign w:val="center"/>
          </w:tcPr>
          <w:p w14:paraId="2D9CC601" w14:textId="77777777" w:rsidR="00742A72" w:rsidRPr="00D1234C" w:rsidRDefault="00742A72" w:rsidP="004F7805">
            <w:pPr>
              <w:keepNext/>
              <w:keepLines/>
              <w:spacing w:before="60" w:after="60"/>
              <w:jc w:val="center"/>
              <w:rPr>
                <w:rFonts w:ascii="Arial" w:eastAsia="Calibri" w:hAnsi="Arial" w:cs="Arial"/>
                <w:b/>
                <w:sz w:val="20"/>
                <w:szCs w:val="20"/>
                <w:lang w:val="en-US"/>
              </w:rPr>
            </w:pPr>
            <w:r w:rsidRPr="00D1234C">
              <w:rPr>
                <w:rFonts w:ascii="Arial" w:hAnsi="Arial" w:cs="Arial"/>
                <w:b/>
                <w:bCs/>
                <w:sz w:val="20"/>
                <w:szCs w:val="20"/>
                <w:lang w:val="en-US"/>
              </w:rPr>
              <w:t>Baselines</w:t>
            </w:r>
          </w:p>
        </w:tc>
        <w:tc>
          <w:tcPr>
            <w:tcW w:w="673" w:type="pct"/>
            <w:shd w:val="clear" w:color="auto" w:fill="D9D9D9" w:themeFill="background1" w:themeFillShade="D9"/>
            <w:vAlign w:val="center"/>
          </w:tcPr>
          <w:p w14:paraId="7264E38F" w14:textId="77777777" w:rsidR="00742A72" w:rsidRPr="00D1234C" w:rsidRDefault="00742A72" w:rsidP="004F7805">
            <w:pPr>
              <w:keepNext/>
              <w:keepLines/>
              <w:spacing w:before="60" w:after="60"/>
              <w:jc w:val="center"/>
              <w:rPr>
                <w:rFonts w:ascii="Arial" w:eastAsia="Calibri" w:hAnsi="Arial" w:cs="Arial"/>
                <w:b/>
                <w:sz w:val="20"/>
                <w:szCs w:val="20"/>
                <w:lang w:val="en-US"/>
              </w:rPr>
            </w:pPr>
            <w:r w:rsidRPr="00D1234C">
              <w:rPr>
                <w:rFonts w:ascii="Arial" w:eastAsia="Calibri" w:hAnsi="Arial" w:cs="Arial"/>
                <w:b/>
                <w:sz w:val="20"/>
                <w:szCs w:val="20"/>
                <w:lang w:val="en-US"/>
              </w:rPr>
              <w:t>Targets 2018-2019</w:t>
            </w:r>
          </w:p>
        </w:tc>
        <w:tc>
          <w:tcPr>
            <w:tcW w:w="2450" w:type="pct"/>
            <w:shd w:val="clear" w:color="auto" w:fill="D9D9D9" w:themeFill="background1" w:themeFillShade="D9"/>
            <w:vAlign w:val="center"/>
          </w:tcPr>
          <w:p w14:paraId="237AE4EE" w14:textId="61C23BBE" w:rsidR="00742A72" w:rsidRPr="00D1234C" w:rsidRDefault="00742A72" w:rsidP="004F7805">
            <w:pPr>
              <w:keepNext/>
              <w:keepLines/>
              <w:autoSpaceDE w:val="0"/>
              <w:autoSpaceDN w:val="0"/>
              <w:adjustRightInd w:val="0"/>
              <w:jc w:val="center"/>
              <w:rPr>
                <w:rFonts w:ascii="Arial" w:eastAsia="Calibri" w:hAnsi="Arial" w:cs="Arial"/>
                <w:b/>
                <w:color w:val="000000"/>
                <w:sz w:val="20"/>
                <w:szCs w:val="20"/>
                <w:lang w:val="en-US"/>
              </w:rPr>
            </w:pPr>
            <w:r w:rsidRPr="00D1234C">
              <w:rPr>
                <w:rFonts w:ascii="Arial" w:eastAsia="Calibri" w:hAnsi="Arial" w:cs="Arial"/>
                <w:b/>
                <w:sz w:val="20"/>
                <w:szCs w:val="20"/>
                <w:lang w:val="en-US"/>
              </w:rPr>
              <w:t>Assessment of progress:</w:t>
            </w:r>
            <w:r w:rsidRPr="00D1234C">
              <w:rPr>
                <w:rFonts w:ascii="Arial" w:eastAsia="Calibri" w:hAnsi="Arial" w:cs="Arial"/>
                <w:b/>
                <w:sz w:val="20"/>
                <w:szCs w:val="20"/>
                <w:lang w:val="en-US"/>
              </w:rPr>
              <w:br/>
              <w:t>01/01/2018 to 30/06/201</w:t>
            </w:r>
            <w:r w:rsidR="00C91612" w:rsidRPr="00D1234C">
              <w:rPr>
                <w:rFonts w:ascii="Arial" w:eastAsia="Calibri" w:hAnsi="Arial" w:cs="Arial"/>
                <w:b/>
                <w:sz w:val="20"/>
                <w:szCs w:val="20"/>
                <w:lang w:val="en-US"/>
              </w:rPr>
              <w:t>9</w:t>
            </w:r>
            <w:r w:rsidRPr="00D1234C">
              <w:rPr>
                <w:rFonts w:ascii="Arial" w:eastAsia="Calibri" w:hAnsi="Arial" w:cs="Arial"/>
                <w:b/>
                <w:sz w:val="20"/>
                <w:szCs w:val="20"/>
                <w:lang w:val="en-US"/>
              </w:rPr>
              <w:t xml:space="preserve"> </w:t>
            </w:r>
          </w:p>
        </w:tc>
      </w:tr>
      <w:tr w:rsidR="00742A72" w:rsidRPr="008C2771" w14:paraId="0A261890" w14:textId="77777777" w:rsidTr="004F7805">
        <w:tc>
          <w:tcPr>
            <w:tcW w:w="1300" w:type="pct"/>
          </w:tcPr>
          <w:p w14:paraId="5CC605D2" w14:textId="77777777" w:rsidR="00742A72" w:rsidRPr="00D1234C" w:rsidRDefault="00742A72" w:rsidP="00742A72">
            <w:pPr>
              <w:pStyle w:val="Paragraphedeliste"/>
              <w:keepNext/>
              <w:keepLines/>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 xml:space="preserve">Evidence of </w:t>
            </w:r>
            <w:proofErr w:type="spellStart"/>
            <w:r w:rsidRPr="004A46D6">
              <w:rPr>
                <w:rFonts w:ascii="Arial" w:hAnsi="Arial" w:cs="Arial"/>
                <w:sz w:val="22"/>
                <w:szCs w:val="22"/>
                <w:lang w:val="en-US"/>
              </w:rPr>
              <w:t>programmes</w:t>
            </w:r>
            <w:proofErr w:type="spellEnd"/>
            <w:r w:rsidRPr="004A46D6">
              <w:rPr>
                <w:rFonts w:ascii="Arial" w:hAnsi="Arial" w:cs="Arial"/>
                <w:sz w:val="22"/>
                <w:szCs w:val="22"/>
                <w:lang w:val="en-US"/>
              </w:rPr>
              <w:t>, projects or initiatives for the safeguarding of heritage reflecting the principles and objectives of the 2003 Convention with proven effectiveness to contribute to the viability of the intangible cultural heritage concerned</w:t>
            </w:r>
          </w:p>
          <w:p w14:paraId="33DA3CC1" w14:textId="77777777" w:rsidR="00742A72" w:rsidRPr="00D1234C" w:rsidRDefault="00742A72" w:rsidP="00742A72">
            <w:pPr>
              <w:pStyle w:val="Paragraphedeliste"/>
              <w:keepNext/>
              <w:keepLines/>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Communication and/or awareness-raising initiatives developed in line with the Convention's communications and outreach strategy</w:t>
            </w:r>
          </w:p>
          <w:p w14:paraId="56598E6E" w14:textId="77777777" w:rsidR="00742A72" w:rsidRPr="00D1234C" w:rsidRDefault="00742A72" w:rsidP="00742A72">
            <w:pPr>
              <w:pStyle w:val="Paragraphedeliste"/>
              <w:keepNext/>
              <w:keepLines/>
              <w:numPr>
                <w:ilvl w:val="0"/>
                <w:numId w:val="19"/>
              </w:numPr>
              <w:spacing w:before="120" w:beforeAutospacing="0" w:after="120" w:afterAutospacing="0"/>
              <w:ind w:left="312" w:hanging="340"/>
              <w:rPr>
                <w:rFonts w:ascii="Arial" w:eastAsia="Calibri" w:hAnsi="Arial" w:cs="Arial"/>
                <w:sz w:val="22"/>
                <w:szCs w:val="22"/>
                <w:lang w:val="en-US"/>
              </w:rPr>
            </w:pPr>
            <w:r w:rsidRPr="004A46D6">
              <w:rPr>
                <w:rFonts w:ascii="Arial" w:hAnsi="Arial" w:cs="Arial"/>
                <w:sz w:val="22"/>
                <w:szCs w:val="22"/>
                <w:lang w:val="en-US"/>
              </w:rPr>
              <w:t>Level of engagement of all actors (governmental and non-governmental) concerned with the safeguarding of intangible cultural heritage in related initiatives</w:t>
            </w:r>
          </w:p>
        </w:tc>
        <w:tc>
          <w:tcPr>
            <w:tcW w:w="577" w:type="pct"/>
            <w:shd w:val="clear" w:color="auto" w:fill="auto"/>
          </w:tcPr>
          <w:p w14:paraId="44B9F564" w14:textId="77777777" w:rsidR="00742A72" w:rsidRPr="00D1234C" w:rsidRDefault="00742A72" w:rsidP="00742A72">
            <w:pPr>
              <w:pStyle w:val="Paragraphedeliste"/>
              <w:keepNext/>
              <w:keepLines/>
              <w:numPr>
                <w:ilvl w:val="0"/>
                <w:numId w:val="19"/>
              </w:numPr>
              <w:spacing w:before="120" w:beforeAutospacing="0" w:after="120" w:afterAutospacing="0"/>
              <w:ind w:left="358" w:hanging="284"/>
              <w:rPr>
                <w:rFonts w:ascii="Arial" w:eastAsia="Calibri" w:hAnsi="Arial" w:cs="Arial"/>
                <w:sz w:val="20"/>
                <w:szCs w:val="20"/>
                <w:lang w:val="en-US"/>
              </w:rPr>
            </w:pPr>
            <w:r w:rsidRPr="004A46D6">
              <w:rPr>
                <w:rFonts w:ascii="Arial" w:eastAsia="SimSun" w:hAnsi="Arial" w:cs="Arial"/>
                <w:iCs/>
                <w:sz w:val="22"/>
                <w:szCs w:val="22"/>
                <w:lang w:val="en-US"/>
              </w:rPr>
              <w:t>4</w:t>
            </w:r>
          </w:p>
        </w:tc>
        <w:tc>
          <w:tcPr>
            <w:tcW w:w="673" w:type="pct"/>
            <w:shd w:val="clear" w:color="auto" w:fill="auto"/>
          </w:tcPr>
          <w:p w14:paraId="2D07D898" w14:textId="1F3C0914" w:rsidR="00742A72" w:rsidRPr="004A46D6" w:rsidRDefault="00742A72">
            <w:pPr>
              <w:pStyle w:val="Paragraphedeliste"/>
              <w:keepNext/>
              <w:keepLines/>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 xml:space="preserve">15 of which </w:t>
            </w:r>
            <w:r w:rsidR="00C91612" w:rsidRPr="004A46D6">
              <w:rPr>
                <w:rFonts w:ascii="Arial" w:eastAsia="SimSun" w:hAnsi="Arial" w:cs="Arial"/>
                <w:iCs/>
                <w:sz w:val="22"/>
                <w:szCs w:val="22"/>
                <w:lang w:val="en-US"/>
              </w:rPr>
              <w:t>5</w:t>
            </w:r>
            <w:r w:rsidRPr="004A46D6">
              <w:rPr>
                <w:rFonts w:ascii="Arial" w:eastAsia="SimSun" w:hAnsi="Arial" w:cs="Arial"/>
                <w:iCs/>
                <w:sz w:val="22"/>
                <w:szCs w:val="22"/>
                <w:lang w:val="en-US"/>
              </w:rPr>
              <w:t xml:space="preserve"> in Africa and </w:t>
            </w:r>
            <w:r w:rsidR="00C91612" w:rsidRPr="004A46D6">
              <w:rPr>
                <w:rFonts w:ascii="Arial" w:eastAsia="SimSun" w:hAnsi="Arial" w:cs="Arial"/>
                <w:iCs/>
                <w:sz w:val="22"/>
                <w:szCs w:val="22"/>
                <w:lang w:val="en-US"/>
              </w:rPr>
              <w:t xml:space="preserve">2 </w:t>
            </w:r>
            <w:r w:rsidRPr="004A46D6">
              <w:rPr>
                <w:rFonts w:ascii="Arial" w:eastAsia="SimSun" w:hAnsi="Arial" w:cs="Arial"/>
                <w:iCs/>
                <w:sz w:val="22"/>
                <w:szCs w:val="22"/>
                <w:lang w:val="en-US"/>
              </w:rPr>
              <w:t>SIDS</w:t>
            </w:r>
          </w:p>
        </w:tc>
        <w:tc>
          <w:tcPr>
            <w:tcW w:w="2450" w:type="pct"/>
          </w:tcPr>
          <w:p w14:paraId="4CB071D6" w14:textId="77777777" w:rsidR="00742A72" w:rsidRPr="004A46D6" w:rsidRDefault="00742A72" w:rsidP="00742A72">
            <w:pPr>
              <w:pStyle w:val="Paragraphedeliste"/>
              <w:keepNext/>
              <w:keepLines/>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Activities in the area of outreach and communication for the 2003 Convention currently under development</w:t>
            </w:r>
          </w:p>
          <w:p w14:paraId="3FADF313" w14:textId="15A4C6C0" w:rsidR="003608C4" w:rsidRPr="004A46D6" w:rsidRDefault="003608C4" w:rsidP="003608C4">
            <w:pPr>
              <w:pStyle w:val="Paragraphedeliste"/>
              <w:keepNext/>
              <w:keepLines/>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Communication and outreach initiatives organized during 7.GA and 13.COM, in addition a side event during the UN Permanent Forum on Indigenous Issues</w:t>
            </w:r>
          </w:p>
          <w:p w14:paraId="64CA7810" w14:textId="26F3AE9D" w:rsidR="003608C4" w:rsidRPr="004A46D6" w:rsidRDefault="003608C4" w:rsidP="003608C4">
            <w:pPr>
              <w:pStyle w:val="Paragraphedeliste"/>
              <w:keepNext/>
              <w:keepLines/>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'Dive into Intangible Cultural Heritage' project launched</w:t>
            </w:r>
          </w:p>
          <w:p w14:paraId="210CFBD7" w14:textId="573021BE" w:rsidR="003608C4" w:rsidRPr="004A46D6" w:rsidRDefault="00FC01BC" w:rsidP="00867002">
            <w:pPr>
              <w:pStyle w:val="Paragraphedeliste"/>
              <w:keepNext/>
              <w:keepLines/>
              <w:numPr>
                <w:ilvl w:val="0"/>
                <w:numId w:val="19"/>
              </w:numPr>
              <w:spacing w:before="120" w:beforeAutospacing="0" w:after="120" w:afterAutospacing="0"/>
              <w:ind w:left="358" w:hanging="284"/>
              <w:rPr>
                <w:rFonts w:ascii="Arial" w:eastAsia="SimSun" w:hAnsi="Arial" w:cs="Arial"/>
                <w:iCs/>
                <w:sz w:val="22"/>
                <w:szCs w:val="22"/>
                <w:lang w:val="en-US"/>
              </w:rPr>
            </w:pPr>
            <w:r w:rsidRPr="004A46D6">
              <w:rPr>
                <w:rFonts w:ascii="Arial" w:eastAsia="SimSun" w:hAnsi="Arial" w:cs="Arial"/>
                <w:iCs/>
                <w:sz w:val="22"/>
                <w:szCs w:val="22"/>
                <w:lang w:val="en-US"/>
              </w:rPr>
              <w:t>Online</w:t>
            </w:r>
            <w:r w:rsidR="003608C4" w:rsidRPr="004A46D6">
              <w:rPr>
                <w:rFonts w:ascii="Arial" w:eastAsia="SimSun" w:hAnsi="Arial" w:cs="Arial"/>
                <w:iCs/>
                <w:sz w:val="22"/>
                <w:szCs w:val="22"/>
                <w:lang w:val="en-US"/>
              </w:rPr>
              <w:t xml:space="preserve"> consultation and consultation meeting </w:t>
            </w:r>
            <w:r w:rsidRPr="004A46D6">
              <w:rPr>
                <w:rFonts w:ascii="Arial" w:eastAsia="SimSun" w:hAnsi="Arial" w:cs="Arial"/>
                <w:iCs/>
                <w:sz w:val="22"/>
                <w:szCs w:val="22"/>
                <w:lang w:val="en-US"/>
              </w:rPr>
              <w:t xml:space="preserve">organized </w:t>
            </w:r>
            <w:r w:rsidR="003608C4" w:rsidRPr="004A46D6">
              <w:rPr>
                <w:rFonts w:ascii="Arial" w:eastAsia="SimSun" w:hAnsi="Arial" w:cs="Arial"/>
                <w:iCs/>
                <w:sz w:val="22"/>
                <w:szCs w:val="22"/>
                <w:lang w:val="en-US"/>
              </w:rPr>
              <w:t xml:space="preserve">to </w:t>
            </w:r>
            <w:r w:rsidR="00867002" w:rsidRPr="004A46D6">
              <w:rPr>
                <w:rFonts w:ascii="Arial" w:eastAsia="SimSun" w:hAnsi="Arial" w:cs="Arial"/>
                <w:iCs/>
                <w:sz w:val="22"/>
                <w:szCs w:val="22"/>
                <w:lang w:val="en-US"/>
              </w:rPr>
              <w:t xml:space="preserve">clarify the accreditation process and the criteria including </w:t>
            </w:r>
            <w:r w:rsidR="003608C4" w:rsidRPr="004A46D6">
              <w:rPr>
                <w:rFonts w:ascii="Arial" w:eastAsia="SimSun" w:hAnsi="Arial" w:cs="Arial"/>
                <w:iCs/>
                <w:sz w:val="22"/>
                <w:szCs w:val="22"/>
                <w:lang w:val="en-US"/>
              </w:rPr>
              <w:t>identify the inter alia functions of the accredited NGOs</w:t>
            </w:r>
          </w:p>
        </w:tc>
      </w:tr>
    </w:tbl>
    <w:p w14:paraId="22AED5C0" w14:textId="2BFD412C" w:rsidR="00BB632D" w:rsidRPr="00D1234C" w:rsidRDefault="00BB632D" w:rsidP="00E628DE">
      <w:pPr>
        <w:pStyle w:val="COMParaDecision"/>
        <w:jc w:val="left"/>
        <w:rPr>
          <w:lang w:val="en-US"/>
        </w:rPr>
      </w:pPr>
    </w:p>
    <w:sectPr w:rsidR="00BB632D" w:rsidRPr="00D1234C" w:rsidSect="004F7805">
      <w:pgSz w:w="16838" w:h="11906" w:orient="landscape" w:code="9"/>
      <w:pgMar w:top="1134" w:right="1134" w:bottom="1134"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BA417" w14:textId="77777777" w:rsidR="00DE3E88" w:rsidRDefault="00DE3E88" w:rsidP="00655736">
      <w:r>
        <w:separator/>
      </w:r>
    </w:p>
  </w:endnote>
  <w:endnote w:type="continuationSeparator" w:id="0">
    <w:p w14:paraId="009C38A2" w14:textId="77777777" w:rsidR="00DE3E88" w:rsidRDefault="00DE3E88"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33E31" w14:textId="77777777" w:rsidR="00DE3E88" w:rsidRDefault="00DE3E88" w:rsidP="00655736">
      <w:r>
        <w:separator/>
      </w:r>
    </w:p>
  </w:footnote>
  <w:footnote w:type="continuationSeparator" w:id="0">
    <w:p w14:paraId="56BBC02D" w14:textId="77777777" w:rsidR="00DE3E88" w:rsidRDefault="00DE3E88" w:rsidP="00655736">
      <w:r>
        <w:continuationSeparator/>
      </w:r>
    </w:p>
  </w:footnote>
  <w:footnote w:id="1">
    <w:p w14:paraId="3DA3C626" w14:textId="36F505A4" w:rsidR="00DE3E88" w:rsidRPr="00D1234C" w:rsidRDefault="00DE3E88" w:rsidP="003645FA">
      <w:pPr>
        <w:pStyle w:val="Notedebasdepage"/>
        <w:ind w:left="567" w:hanging="567"/>
        <w:jc w:val="both"/>
        <w:rPr>
          <w:rFonts w:ascii="Arial" w:hAnsi="Arial" w:cs="Arial"/>
          <w:noProof/>
          <w:sz w:val="18"/>
          <w:szCs w:val="18"/>
          <w:lang w:val="en-GB"/>
        </w:rPr>
      </w:pPr>
      <w:r w:rsidRPr="00D1234C">
        <w:rPr>
          <w:rStyle w:val="Appelnotedebasdep"/>
          <w:rFonts w:ascii="Arial" w:hAnsi="Arial" w:cs="Arial"/>
          <w:sz w:val="18"/>
          <w:szCs w:val="18"/>
        </w:rPr>
        <w:footnoteRef/>
      </w:r>
      <w:r w:rsidRPr="00D1234C">
        <w:rPr>
          <w:rFonts w:ascii="Arial" w:hAnsi="Arial" w:cs="Arial"/>
          <w:sz w:val="18"/>
          <w:szCs w:val="18"/>
          <w:vertAlign w:val="superscript"/>
        </w:rPr>
        <w:t>.</w:t>
      </w:r>
      <w:r w:rsidRPr="00E049C6">
        <w:rPr>
          <w:rFonts w:ascii="Arial" w:hAnsi="Arial" w:cs="Arial"/>
        </w:rPr>
        <w:tab/>
      </w:r>
      <w:proofErr w:type="gramStart"/>
      <w:r w:rsidRPr="00DE3E88">
        <w:rPr>
          <w:rFonts w:ascii="Arial" w:hAnsi="Arial" w:cs="Arial"/>
          <w:noProof/>
          <w:sz w:val="18"/>
          <w:szCs w:val="18"/>
          <w:lang w:val="en-GB"/>
        </w:rPr>
        <w:t xml:space="preserve">The report should be read together with the financial statement regarding the Convention’s Funds for the Safeguarding of the Intangible Cultural Heritage, included in document </w:t>
      </w:r>
      <w:hyperlink r:id="rId1" w:history="1">
        <w:r w:rsidRPr="00DE3E88">
          <w:rPr>
            <w:rStyle w:val="Lienhypertexte"/>
            <w:rFonts w:ascii="Arial" w:hAnsi="Arial" w:cs="Arial"/>
            <w:sz w:val="18"/>
            <w:szCs w:val="18"/>
          </w:rPr>
          <w:t>LHE/19/14.COM/7</w:t>
        </w:r>
      </w:hyperlink>
      <w:r w:rsidRPr="00DE3E88">
        <w:rPr>
          <w:rFonts w:ascii="Arial" w:hAnsi="Arial" w:cs="Arial"/>
          <w:noProof/>
          <w:sz w:val="18"/>
          <w:szCs w:val="18"/>
          <w:lang w:val="en-GB"/>
        </w:rPr>
        <w:t>; the Secretariat’s plan for the utilization of the funds, made available from the Intangible Cultural Heritage Fund for ‘Other Functions of the Committee’ was approved by the Bureau of the Committee (</w:t>
      </w:r>
      <w:hyperlink r:id="rId2" w:history="1">
        <w:r w:rsidRPr="00DE3E88">
          <w:rPr>
            <w:rStyle w:val="Lienhypertexte"/>
            <w:rFonts w:ascii="Arial" w:hAnsi="Arial" w:cs="Arial"/>
            <w:noProof/>
            <w:sz w:val="18"/>
            <w:szCs w:val="18"/>
            <w:lang w:val="en-GB"/>
          </w:rPr>
          <w:t>Decision 13.COM 2.BUR 3</w:t>
        </w:r>
      </w:hyperlink>
      <w:r w:rsidRPr="00DE3E88">
        <w:rPr>
          <w:rFonts w:ascii="Arial" w:hAnsi="Arial" w:cs="Arial"/>
          <w:noProof/>
          <w:sz w:val="18"/>
          <w:szCs w:val="18"/>
          <w:lang w:val="en-GB"/>
        </w:rPr>
        <w:t>).</w:t>
      </w:r>
      <w:proofErr w:type="gramEnd"/>
      <w:r w:rsidRPr="00DE3E88">
        <w:rPr>
          <w:rFonts w:ascii="Arial" w:hAnsi="Arial" w:cs="Arial"/>
          <w:noProof/>
          <w:sz w:val="18"/>
          <w:szCs w:val="18"/>
          <w:lang w:val="en-GB"/>
        </w:rPr>
        <w:t xml:space="preserve"> The latest detailed report on the implementation of that spending plan was presented to the Bureau of the Committee in June 2019 (document</w:t>
      </w:r>
      <w:r w:rsidRPr="00D1234C">
        <w:rPr>
          <w:rFonts w:ascii="Arial" w:hAnsi="Arial" w:cs="Arial"/>
          <w:noProof/>
          <w:sz w:val="18"/>
          <w:szCs w:val="18"/>
          <w:lang w:val="en-GB"/>
        </w:rPr>
        <w:t xml:space="preserve"> </w:t>
      </w:r>
      <w:hyperlink r:id="rId3" w:history="1">
        <w:r w:rsidRPr="00D1234C">
          <w:rPr>
            <w:rStyle w:val="Lienhypertexte"/>
            <w:rFonts w:ascii="Arial" w:hAnsi="Arial" w:cs="Arial"/>
            <w:noProof/>
            <w:sz w:val="18"/>
            <w:szCs w:val="18"/>
            <w:lang w:val="en-GB"/>
          </w:rPr>
          <w:t>LHE/19/14.COM 2.BUR/INF.3</w:t>
        </w:r>
      </w:hyperlink>
      <w:r w:rsidRPr="00D1234C">
        <w:rPr>
          <w:rFonts w:ascii="Arial" w:hAnsi="Arial" w:cs="Arial"/>
          <w:noProof/>
          <w:sz w:val="18"/>
          <w:szCs w:val="18"/>
          <w:lang w:val="en-GB"/>
        </w:rPr>
        <w:t>).</w:t>
      </w:r>
    </w:p>
  </w:footnote>
  <w:footnote w:id="2">
    <w:p w14:paraId="359CAC10" w14:textId="1FB20B9F" w:rsidR="00DE3E88" w:rsidRPr="00D1234C" w:rsidRDefault="00DE3E88" w:rsidP="00D1234C">
      <w:pPr>
        <w:pStyle w:val="Notedebasdepage"/>
        <w:ind w:left="567" w:hanging="567"/>
        <w:jc w:val="both"/>
        <w:rPr>
          <w:rFonts w:ascii="Arial" w:hAnsi="Arial" w:cs="Arial"/>
          <w:noProof/>
          <w:sz w:val="18"/>
          <w:szCs w:val="18"/>
          <w:lang w:val="en-GB"/>
        </w:rPr>
      </w:pPr>
      <w:r w:rsidRPr="00D1234C">
        <w:rPr>
          <w:rStyle w:val="Appelnotedebasdep"/>
          <w:rFonts w:ascii="Arial" w:hAnsi="Arial" w:cs="Arial"/>
          <w:sz w:val="18"/>
          <w:szCs w:val="18"/>
        </w:rPr>
        <w:footnoteRef/>
      </w:r>
      <w:r w:rsidRPr="00D1234C">
        <w:rPr>
          <w:rStyle w:val="Appelnotedebasdep"/>
          <w:rFonts w:ascii="Arial" w:hAnsi="Arial" w:cs="Arial"/>
          <w:sz w:val="18"/>
          <w:szCs w:val="18"/>
        </w:rPr>
        <w:t xml:space="preserve">. </w:t>
      </w:r>
      <w:r w:rsidRPr="00D1234C">
        <w:rPr>
          <w:rFonts w:ascii="Arial" w:hAnsi="Arial" w:cs="Arial"/>
          <w:sz w:val="18"/>
          <w:szCs w:val="18"/>
        </w:rPr>
        <w:tab/>
      </w:r>
      <w:r w:rsidRPr="00DE3E88">
        <w:rPr>
          <w:rStyle w:val="Appelnotedebasdep"/>
          <w:rFonts w:ascii="Arial" w:hAnsi="Arial" w:cs="Arial"/>
          <w:sz w:val="18"/>
          <w:szCs w:val="18"/>
          <w:vertAlign w:val="baseline"/>
        </w:rPr>
        <w:t>Document</w:t>
      </w:r>
      <w:r w:rsidRPr="00DE3E88">
        <w:rPr>
          <w:rFonts w:ascii="Arial" w:hAnsi="Arial" w:cs="Arial"/>
          <w:noProof/>
          <w:sz w:val="18"/>
          <w:szCs w:val="18"/>
          <w:lang w:val="en-GB"/>
        </w:rPr>
        <w:t xml:space="preserve"> </w:t>
      </w:r>
      <w:hyperlink r:id="rId4" w:history="1">
        <w:r w:rsidRPr="00D4533B">
          <w:rPr>
            <w:rStyle w:val="Lienhypertexte"/>
            <w:rFonts w:ascii="Arial" w:hAnsi="Arial" w:cs="Arial"/>
            <w:noProof/>
            <w:sz w:val="18"/>
            <w:szCs w:val="18"/>
            <w:lang w:val="en-GB"/>
          </w:rPr>
          <w:t>ITH/18/13.COM/5 Rev.</w:t>
        </w:r>
      </w:hyperlink>
    </w:p>
  </w:footnote>
  <w:footnote w:id="3">
    <w:p w14:paraId="70E3C119" w14:textId="734EA4B2" w:rsidR="00DE3E88" w:rsidRDefault="00DE3E88" w:rsidP="00DA035C">
      <w:pPr>
        <w:pStyle w:val="Notedebasdepage"/>
        <w:ind w:left="567" w:hanging="567"/>
      </w:pPr>
      <w:r w:rsidRPr="00DA035C">
        <w:rPr>
          <w:rStyle w:val="Appelnotedebasdep"/>
        </w:rPr>
        <w:footnoteRef/>
      </w:r>
      <w:r w:rsidRPr="00D1234C">
        <w:rPr>
          <w:vertAlign w:val="superscript"/>
        </w:rPr>
        <w:t>.</w:t>
      </w:r>
      <w:r>
        <w:tab/>
      </w:r>
      <w:r w:rsidRPr="003724BD">
        <w:rPr>
          <w:rFonts w:ascii="Arial" w:hAnsi="Arial" w:cs="Arial"/>
          <w:noProof/>
          <w:sz w:val="18"/>
          <w:szCs w:val="18"/>
          <w:lang w:val="en-GB"/>
        </w:rPr>
        <w:t>Information</w:t>
      </w:r>
      <w:r w:rsidRPr="003724BD">
        <w:rPr>
          <w:rFonts w:ascii="Arial" w:hAnsi="Arial" w:cs="Arial"/>
          <w:sz w:val="18"/>
          <w:szCs w:val="18"/>
        </w:rPr>
        <w:t xml:space="preserve"> note: </w:t>
      </w:r>
      <w:hyperlink r:id="rId5" w:tgtFrame="_blank" w:history="1">
        <w:r w:rsidRPr="003724BD">
          <w:rPr>
            <w:rStyle w:val="Lienhypertexte"/>
            <w:rFonts w:ascii="Arial" w:hAnsi="Arial" w:cs="Arial"/>
            <w:sz w:val="18"/>
            <w:szCs w:val="18"/>
          </w:rPr>
          <w:t>English</w:t>
        </w:r>
      </w:hyperlink>
    </w:p>
  </w:footnote>
  <w:footnote w:id="4">
    <w:p w14:paraId="570F1255" w14:textId="268895F9" w:rsidR="00DE3E88" w:rsidRPr="00D1234C" w:rsidRDefault="00DE3E88" w:rsidP="00D1234C">
      <w:pPr>
        <w:pStyle w:val="Notedebasdepage"/>
        <w:ind w:left="567" w:hanging="567"/>
        <w:jc w:val="both"/>
        <w:rPr>
          <w:rFonts w:ascii="Arial" w:hAnsi="Arial" w:cs="Arial"/>
          <w:noProof/>
          <w:sz w:val="18"/>
          <w:szCs w:val="18"/>
          <w:lang w:val="en-GB"/>
        </w:rPr>
      </w:pPr>
      <w:r w:rsidRPr="00D1234C">
        <w:rPr>
          <w:rStyle w:val="Appelnotedebasdep"/>
          <w:rFonts w:ascii="Arial" w:hAnsi="Arial" w:cs="Arial"/>
          <w:noProof/>
          <w:sz w:val="18"/>
          <w:szCs w:val="18"/>
          <w:lang w:val="en-GB"/>
        </w:rPr>
        <w:footnoteRef/>
      </w:r>
      <w:r w:rsidRPr="00D1234C">
        <w:rPr>
          <w:rFonts w:ascii="Arial" w:hAnsi="Arial" w:cs="Arial"/>
          <w:noProof/>
          <w:sz w:val="18"/>
          <w:szCs w:val="18"/>
          <w:vertAlign w:val="superscript"/>
          <w:lang w:val="en-GB"/>
        </w:rPr>
        <w:t>.</w:t>
      </w:r>
      <w:r w:rsidRPr="00D1234C">
        <w:rPr>
          <w:rFonts w:ascii="Arial" w:hAnsi="Arial" w:cs="Arial"/>
          <w:noProof/>
          <w:sz w:val="18"/>
          <w:szCs w:val="18"/>
          <w:lang w:val="en-GB"/>
        </w:rPr>
        <w:tab/>
      </w:r>
      <w:hyperlink r:id="rId6" w:history="1">
        <w:r w:rsidRPr="00D1234C">
          <w:rPr>
            <w:rStyle w:val="Lienhypertexte"/>
            <w:rFonts w:ascii="Arial" w:hAnsi="Arial" w:cs="Arial"/>
            <w:noProof/>
            <w:sz w:val="18"/>
            <w:szCs w:val="18"/>
            <w:lang w:val="en-GB"/>
          </w:rPr>
          <w:t>Decision 12.COM 10</w:t>
        </w:r>
      </w:hyperlink>
      <w:r w:rsidRPr="00D1234C">
        <w:rPr>
          <w:rFonts w:ascii="Arial" w:hAnsi="Arial" w:cs="Arial"/>
          <w:noProof/>
          <w:sz w:val="18"/>
          <w:szCs w:val="18"/>
          <w:lang w:val="en-GB"/>
        </w:rPr>
        <w:t xml:space="preserve">; </w:t>
      </w:r>
      <w:hyperlink r:id="rId7" w:history="1">
        <w:r w:rsidRPr="00D1234C">
          <w:rPr>
            <w:rStyle w:val="Lienhypertexte"/>
            <w:rFonts w:ascii="Arial" w:hAnsi="Arial" w:cs="Arial"/>
            <w:noProof/>
            <w:sz w:val="18"/>
            <w:szCs w:val="18"/>
            <w:lang w:val="en-GB"/>
          </w:rPr>
          <w:t>Resolution 7.GA 9</w:t>
        </w:r>
      </w:hyperlink>
      <w:r w:rsidRPr="00D1234C">
        <w:rPr>
          <w:rStyle w:val="Lienhypertexte"/>
          <w:rFonts w:ascii="Arial" w:hAnsi="Arial" w:cs="Arial"/>
          <w:noProof/>
          <w:color w:val="auto"/>
          <w:sz w:val="18"/>
          <w:szCs w:val="18"/>
          <w:u w:val="none"/>
          <w:lang w:val="en-GB"/>
        </w:rPr>
        <w:t xml:space="preserve">; and </w:t>
      </w:r>
      <w:hyperlink r:id="rId8" w:history="1">
        <w:r w:rsidRPr="00D1234C">
          <w:rPr>
            <w:rStyle w:val="Lienhypertexte"/>
            <w:rFonts w:ascii="Arial" w:hAnsi="Arial" w:cs="Arial"/>
            <w:noProof/>
            <w:sz w:val="18"/>
            <w:szCs w:val="18"/>
            <w:lang w:val="en-GB"/>
          </w:rPr>
          <w:t>Resolution 7.GA 10</w:t>
        </w:r>
      </w:hyperlink>
      <w:r w:rsidRPr="00D1234C">
        <w:rPr>
          <w:rStyle w:val="Lienhypertexte"/>
          <w:rFonts w:ascii="Arial" w:hAnsi="Arial" w:cs="Arial"/>
          <w:noProof/>
          <w:color w:val="auto"/>
          <w:sz w:val="18"/>
          <w:szCs w:val="18"/>
          <w:u w:val="none"/>
          <w:lang w:val="en-GB"/>
        </w:rPr>
        <w:t>.</w:t>
      </w:r>
    </w:p>
  </w:footnote>
  <w:footnote w:id="5">
    <w:p w14:paraId="527D9058" w14:textId="5ACB8A6B" w:rsidR="00DE3E88" w:rsidRPr="00851DCF" w:rsidRDefault="00DE3E88" w:rsidP="00D1234C">
      <w:pPr>
        <w:pStyle w:val="Notedebasdepage"/>
        <w:ind w:left="567" w:hanging="567"/>
        <w:jc w:val="both"/>
        <w:rPr>
          <w:rFonts w:ascii="Arial" w:hAnsi="Arial" w:cs="Arial"/>
        </w:rPr>
      </w:pPr>
      <w:r w:rsidRPr="00D1234C">
        <w:rPr>
          <w:rStyle w:val="Appelnotedebasdep"/>
          <w:rFonts w:ascii="Arial" w:hAnsi="Arial" w:cs="Arial"/>
          <w:noProof/>
          <w:sz w:val="18"/>
          <w:szCs w:val="18"/>
          <w:lang w:val="en-GB"/>
        </w:rPr>
        <w:footnoteRef/>
      </w:r>
      <w:r w:rsidRPr="00D1234C">
        <w:rPr>
          <w:rFonts w:ascii="Arial" w:hAnsi="Arial" w:cs="Arial"/>
          <w:noProof/>
          <w:sz w:val="18"/>
          <w:szCs w:val="18"/>
          <w:vertAlign w:val="superscript"/>
          <w:lang w:val="en-GB"/>
        </w:rPr>
        <w:t>.</w:t>
      </w:r>
      <w:r w:rsidRPr="00D1234C">
        <w:rPr>
          <w:rFonts w:ascii="Arial" w:hAnsi="Arial" w:cs="Arial"/>
          <w:noProof/>
          <w:sz w:val="18"/>
          <w:szCs w:val="18"/>
          <w:lang w:val="en-GB"/>
        </w:rPr>
        <w:tab/>
      </w:r>
      <w:hyperlink r:id="rId9" w:history="1">
        <w:r w:rsidRPr="00D1234C">
          <w:rPr>
            <w:rStyle w:val="Lienhypertexte"/>
            <w:rFonts w:ascii="Arial" w:hAnsi="Arial" w:cs="Arial"/>
            <w:noProof/>
            <w:sz w:val="18"/>
            <w:szCs w:val="18"/>
            <w:lang w:val="en-GB"/>
          </w:rPr>
          <w:t>Decision 13.COM 8</w:t>
        </w:r>
      </w:hyperlink>
      <w:r w:rsidRPr="00D1234C">
        <w:rPr>
          <w:rStyle w:val="Lienhypertexte"/>
          <w:rFonts w:ascii="Arial" w:hAnsi="Arial" w:cs="Arial"/>
          <w:noProof/>
          <w:color w:val="auto"/>
          <w:sz w:val="18"/>
          <w:szCs w:val="18"/>
          <w:u w:val="none"/>
          <w:lang w:val="en-GB"/>
        </w:rPr>
        <w:t>.</w:t>
      </w:r>
    </w:p>
  </w:footnote>
  <w:footnote w:id="6">
    <w:p w14:paraId="2BECEC2C" w14:textId="5EE615E9" w:rsidR="00DE3E88" w:rsidRPr="00D1234C" w:rsidRDefault="00DE3E88" w:rsidP="00D1234C">
      <w:pPr>
        <w:pStyle w:val="Notedebasdepage"/>
        <w:ind w:left="567" w:hanging="567"/>
        <w:jc w:val="both"/>
        <w:rPr>
          <w:rFonts w:ascii="Arial" w:hAnsi="Arial" w:cs="Arial"/>
          <w:sz w:val="18"/>
          <w:szCs w:val="18"/>
        </w:rPr>
      </w:pPr>
      <w:r w:rsidRPr="00D1234C">
        <w:rPr>
          <w:rStyle w:val="Appelnotedebasdep"/>
          <w:rFonts w:ascii="Arial" w:hAnsi="Arial" w:cs="Arial"/>
          <w:sz w:val="18"/>
          <w:szCs w:val="18"/>
        </w:rPr>
        <w:footnoteRef/>
      </w:r>
      <w:r w:rsidRPr="00E70147">
        <w:rPr>
          <w:rFonts w:ascii="Arial" w:hAnsi="Arial" w:cs="Arial"/>
          <w:sz w:val="18"/>
          <w:szCs w:val="18"/>
          <w:vertAlign w:val="superscript"/>
        </w:rPr>
        <w:t>.</w:t>
      </w:r>
      <w:r w:rsidRPr="00E70147">
        <w:rPr>
          <w:rFonts w:ascii="Arial" w:hAnsi="Arial" w:cs="Arial"/>
          <w:sz w:val="18"/>
          <w:szCs w:val="18"/>
          <w:vertAlign w:val="superscript"/>
        </w:rPr>
        <w:tab/>
      </w:r>
      <w:r w:rsidRPr="00D1234C">
        <w:rPr>
          <w:rFonts w:ascii="Arial" w:hAnsi="Arial" w:cs="Arial"/>
          <w:noProof/>
          <w:sz w:val="18"/>
          <w:szCs w:val="18"/>
          <w:lang w:val="en-GB"/>
        </w:rPr>
        <w:t>Resolution</w:t>
      </w:r>
      <w:r w:rsidRPr="00D1234C">
        <w:rPr>
          <w:rFonts w:ascii="Arial" w:hAnsi="Arial" w:cs="Arial"/>
          <w:sz w:val="18"/>
          <w:szCs w:val="18"/>
        </w:rPr>
        <w:t xml:space="preserve"> </w:t>
      </w:r>
      <w:hyperlink r:id="rId10" w:history="1">
        <w:r w:rsidRPr="00D1234C">
          <w:rPr>
            <w:rStyle w:val="Lienhypertexte"/>
            <w:rFonts w:ascii="Arial" w:hAnsi="Arial" w:cs="Arial"/>
            <w:sz w:val="18"/>
            <w:szCs w:val="18"/>
          </w:rPr>
          <w:t>7.GA 8</w:t>
        </w:r>
      </w:hyperlink>
      <w:r w:rsidRPr="00D1234C">
        <w:rPr>
          <w:rStyle w:val="Lienhypertexte"/>
          <w:rFonts w:ascii="Arial" w:hAnsi="Arial" w:cs="Arial"/>
          <w:color w:val="auto"/>
          <w:sz w:val="18"/>
          <w:szCs w:val="18"/>
          <w:u w:val="none"/>
        </w:rPr>
        <w:t>.</w:t>
      </w:r>
    </w:p>
  </w:footnote>
  <w:footnote w:id="7">
    <w:p w14:paraId="30F5ACBB" w14:textId="5DBD6ED0" w:rsidR="00694EAF" w:rsidRPr="00694EAF" w:rsidRDefault="00694EAF" w:rsidP="00694EAF">
      <w:pPr>
        <w:pStyle w:val="Notedebasdepage"/>
        <w:ind w:left="567" w:hanging="567"/>
        <w:jc w:val="both"/>
        <w:rPr>
          <w:rFonts w:ascii="Arial" w:hAnsi="Arial" w:cs="Arial"/>
          <w:sz w:val="18"/>
          <w:szCs w:val="18"/>
        </w:rPr>
      </w:pPr>
      <w:r w:rsidRPr="00694EAF">
        <w:rPr>
          <w:rStyle w:val="Appelnotedebasdep"/>
        </w:rPr>
        <w:footnoteRef/>
      </w:r>
      <w:r w:rsidRPr="00694EAF">
        <w:rPr>
          <w:vertAlign w:val="superscript"/>
        </w:rPr>
        <w:t>.</w:t>
      </w:r>
      <w:r>
        <w:tab/>
      </w:r>
      <w:r w:rsidRPr="00694EAF">
        <w:rPr>
          <w:rFonts w:ascii="Arial" w:hAnsi="Arial" w:cs="Arial"/>
          <w:sz w:val="18"/>
          <w:szCs w:val="18"/>
        </w:rPr>
        <w:t xml:space="preserve">See document </w:t>
      </w:r>
      <w:hyperlink r:id="rId11" w:history="1">
        <w:r w:rsidRPr="00694EAF">
          <w:rPr>
            <w:rStyle w:val="Lienhypertexte"/>
            <w:rFonts w:ascii="Arial" w:hAnsi="Arial" w:cs="Arial"/>
            <w:sz w:val="18"/>
            <w:szCs w:val="18"/>
          </w:rPr>
          <w:t>LHE/19/14.COM/7</w:t>
        </w:r>
      </w:hyperlink>
      <w:r w:rsidRPr="00694EAF">
        <w:rPr>
          <w:rFonts w:ascii="Arial" w:hAnsi="Arial" w:cs="Arial"/>
          <w:sz w:val="18"/>
          <w:szCs w:val="18"/>
        </w:rPr>
        <w:t>.</w:t>
      </w:r>
    </w:p>
  </w:footnote>
  <w:footnote w:id="8">
    <w:p w14:paraId="511EF9B9" w14:textId="57527D0D" w:rsidR="00DE3E88" w:rsidRPr="00851DCF" w:rsidRDefault="00DE3E88" w:rsidP="00D1234C">
      <w:pPr>
        <w:pStyle w:val="Notedebasdepage"/>
        <w:ind w:left="567" w:hanging="567"/>
        <w:jc w:val="both"/>
        <w:rPr>
          <w:rFonts w:ascii="Arial" w:hAnsi="Arial" w:cs="Arial"/>
        </w:rPr>
      </w:pPr>
      <w:r w:rsidRPr="00D1234C">
        <w:rPr>
          <w:rStyle w:val="Appelnotedebasdep"/>
          <w:rFonts w:ascii="Arial" w:hAnsi="Arial" w:cs="Arial"/>
          <w:sz w:val="18"/>
          <w:szCs w:val="18"/>
        </w:rPr>
        <w:footnoteRef/>
      </w:r>
      <w:r w:rsidRPr="00D1234C">
        <w:rPr>
          <w:rFonts w:ascii="Arial" w:hAnsi="Arial" w:cs="Arial"/>
          <w:sz w:val="18"/>
          <w:szCs w:val="18"/>
          <w:vertAlign w:val="superscript"/>
        </w:rPr>
        <w:t>.</w:t>
      </w:r>
      <w:r w:rsidRPr="00E70147">
        <w:rPr>
          <w:rFonts w:ascii="Arial" w:hAnsi="Arial" w:cs="Arial"/>
          <w:sz w:val="18"/>
          <w:szCs w:val="18"/>
        </w:rPr>
        <w:tab/>
      </w:r>
      <w:r w:rsidRPr="00D1234C">
        <w:rPr>
          <w:rFonts w:ascii="Arial" w:hAnsi="Arial" w:cs="Arial"/>
          <w:noProof/>
          <w:sz w:val="18"/>
          <w:szCs w:val="18"/>
          <w:lang w:val="en-GB"/>
        </w:rPr>
        <w:t>Document</w:t>
      </w:r>
      <w:r w:rsidRPr="00D1234C">
        <w:rPr>
          <w:rFonts w:ascii="Arial" w:hAnsi="Arial" w:cs="Arial"/>
          <w:sz w:val="18"/>
          <w:szCs w:val="18"/>
        </w:rPr>
        <w:t xml:space="preserve"> </w:t>
      </w:r>
      <w:hyperlink r:id="rId12" w:history="1">
        <w:r w:rsidRPr="00D1234C">
          <w:rPr>
            <w:rStyle w:val="Lienhypertexte"/>
            <w:rFonts w:ascii="Arial" w:hAnsi="Arial" w:cs="Arial"/>
            <w:sz w:val="18"/>
            <w:szCs w:val="18"/>
          </w:rPr>
          <w:t>ITH/18/13.COM/12</w:t>
        </w:r>
      </w:hyperlink>
      <w:r w:rsidRPr="00D1234C">
        <w:rPr>
          <w:rStyle w:val="Lienhypertexte"/>
          <w:rFonts w:ascii="Arial" w:hAnsi="Arial" w:cs="Arial"/>
          <w:color w:val="auto"/>
          <w:sz w:val="18"/>
          <w:szCs w:val="18"/>
          <w:u w:val="none"/>
        </w:rPr>
        <w:t>.</w:t>
      </w:r>
    </w:p>
  </w:footnote>
  <w:footnote w:id="9">
    <w:p w14:paraId="715F742E" w14:textId="0059A8C2" w:rsidR="00DE3E88" w:rsidRPr="00183FB3" w:rsidRDefault="00DE3E88" w:rsidP="00D1234C">
      <w:pPr>
        <w:pStyle w:val="Notedebasdepage"/>
        <w:ind w:left="567" w:hanging="567"/>
        <w:jc w:val="both"/>
        <w:rPr>
          <w:rFonts w:ascii="Arial" w:hAnsi="Arial" w:cs="Arial"/>
          <w:sz w:val="18"/>
          <w:szCs w:val="18"/>
        </w:rPr>
      </w:pPr>
      <w:r w:rsidRPr="00183FB3">
        <w:rPr>
          <w:rStyle w:val="Appelnotedebasdep"/>
          <w:rFonts w:ascii="Arial" w:hAnsi="Arial" w:cs="Arial"/>
          <w:sz w:val="18"/>
          <w:szCs w:val="18"/>
        </w:rPr>
        <w:footnoteRef/>
      </w:r>
      <w:r w:rsidRPr="00183FB3">
        <w:rPr>
          <w:rFonts w:ascii="Arial" w:hAnsi="Arial" w:cs="Arial"/>
          <w:noProof/>
          <w:sz w:val="18"/>
          <w:szCs w:val="18"/>
          <w:vertAlign w:val="superscript"/>
          <w:lang w:val="en-GB"/>
        </w:rPr>
        <w:t>.</w:t>
      </w:r>
      <w:r w:rsidRPr="00183FB3">
        <w:rPr>
          <w:rFonts w:ascii="Arial" w:hAnsi="Arial" w:cs="Arial"/>
          <w:noProof/>
          <w:sz w:val="18"/>
          <w:szCs w:val="18"/>
          <w:vertAlign w:val="superscript"/>
          <w:lang w:val="en-GB"/>
        </w:rPr>
        <w:tab/>
      </w:r>
      <w:r w:rsidRPr="00183FB3">
        <w:rPr>
          <w:rFonts w:ascii="Arial" w:hAnsi="Arial" w:cs="Arial"/>
          <w:noProof/>
          <w:sz w:val="18"/>
          <w:szCs w:val="18"/>
          <w:lang w:val="en-GB"/>
        </w:rPr>
        <w:t>Decision</w:t>
      </w:r>
      <w:r w:rsidRPr="00183FB3">
        <w:rPr>
          <w:rFonts w:ascii="Arial" w:hAnsi="Arial" w:cs="Arial"/>
          <w:sz w:val="18"/>
          <w:szCs w:val="18"/>
        </w:rPr>
        <w:t xml:space="preserve"> </w:t>
      </w:r>
      <w:hyperlink r:id="rId13" w:history="1">
        <w:r w:rsidRPr="00183FB3">
          <w:rPr>
            <w:rStyle w:val="Lienhypertexte"/>
            <w:rFonts w:ascii="Arial" w:hAnsi="Arial" w:cs="Arial"/>
            <w:sz w:val="18"/>
            <w:szCs w:val="18"/>
          </w:rPr>
          <w:t>13.COM 10</w:t>
        </w:r>
      </w:hyperlink>
      <w:r w:rsidRPr="00183FB3">
        <w:rPr>
          <w:rStyle w:val="Lienhypertexte"/>
          <w:rFonts w:ascii="Arial" w:hAnsi="Arial" w:cs="Arial"/>
          <w:color w:val="auto"/>
          <w:sz w:val="18"/>
          <w:szCs w:val="18"/>
          <w:u w:val="none"/>
        </w:rPr>
        <w:t>.</w:t>
      </w:r>
    </w:p>
  </w:footnote>
  <w:footnote w:id="10">
    <w:p w14:paraId="219E11FC" w14:textId="4EA70C7C" w:rsidR="00DE3E88" w:rsidRPr="00183FB3" w:rsidRDefault="00DE3E88" w:rsidP="00D1234C">
      <w:pPr>
        <w:pStyle w:val="Notedebasdepage"/>
        <w:ind w:left="567" w:hanging="567"/>
        <w:jc w:val="both"/>
        <w:rPr>
          <w:rFonts w:ascii="Arial" w:hAnsi="Arial" w:cs="Arial"/>
          <w:sz w:val="18"/>
          <w:szCs w:val="18"/>
        </w:rPr>
      </w:pPr>
      <w:r w:rsidRPr="00183FB3">
        <w:rPr>
          <w:rStyle w:val="Appelnotedebasdep"/>
          <w:rFonts w:ascii="Arial" w:hAnsi="Arial" w:cs="Arial"/>
          <w:sz w:val="18"/>
          <w:szCs w:val="18"/>
        </w:rPr>
        <w:footnoteRef/>
      </w:r>
      <w:r w:rsidRPr="00183FB3">
        <w:rPr>
          <w:rFonts w:ascii="Arial" w:hAnsi="Arial" w:cs="Arial"/>
          <w:sz w:val="18"/>
          <w:szCs w:val="18"/>
          <w:vertAlign w:val="superscript"/>
        </w:rPr>
        <w:t>.</w:t>
      </w:r>
      <w:r w:rsidRPr="00183FB3">
        <w:rPr>
          <w:rFonts w:ascii="Arial" w:hAnsi="Arial" w:cs="Arial"/>
          <w:sz w:val="18"/>
          <w:szCs w:val="18"/>
          <w:vertAlign w:val="superscript"/>
        </w:rPr>
        <w:tab/>
      </w:r>
      <w:r w:rsidRPr="00183FB3">
        <w:rPr>
          <w:rFonts w:ascii="Arial" w:hAnsi="Arial" w:cs="Arial"/>
          <w:noProof/>
          <w:sz w:val="18"/>
          <w:szCs w:val="18"/>
          <w:lang w:val="en-GB"/>
        </w:rPr>
        <w:t>Decisions</w:t>
      </w:r>
      <w:r w:rsidRPr="00183FB3">
        <w:rPr>
          <w:rStyle w:val="hps"/>
          <w:rFonts w:ascii="Arial" w:hAnsi="Arial" w:cs="Arial"/>
          <w:sz w:val="18"/>
          <w:szCs w:val="18"/>
        </w:rPr>
        <w:t xml:space="preserve"> </w:t>
      </w:r>
      <w:hyperlink r:id="rId14" w:history="1">
        <w:r w:rsidRPr="00183FB3">
          <w:rPr>
            <w:rStyle w:val="Lienhypertexte"/>
            <w:rFonts w:ascii="Arial" w:hAnsi="Arial" w:cs="Arial"/>
            <w:sz w:val="18"/>
            <w:szCs w:val="18"/>
          </w:rPr>
          <w:t>8.COM 5.c.1</w:t>
        </w:r>
      </w:hyperlink>
      <w:r w:rsidRPr="00183FB3">
        <w:rPr>
          <w:rStyle w:val="hps"/>
          <w:rFonts w:ascii="Arial" w:hAnsi="Arial" w:cs="Arial"/>
          <w:sz w:val="18"/>
          <w:szCs w:val="18"/>
        </w:rPr>
        <w:t xml:space="preserve"> and </w:t>
      </w:r>
      <w:hyperlink r:id="rId15" w:history="1">
        <w:r w:rsidRPr="00183FB3">
          <w:rPr>
            <w:rStyle w:val="Lienhypertexte"/>
            <w:rFonts w:ascii="Arial" w:hAnsi="Arial" w:cs="Arial"/>
            <w:sz w:val="18"/>
            <w:szCs w:val="18"/>
          </w:rPr>
          <w:t>10.COM 10</w:t>
        </w:r>
      </w:hyperlink>
      <w:r w:rsidRPr="00183FB3">
        <w:rPr>
          <w:rStyle w:val="hps"/>
          <w:rFonts w:ascii="Arial" w:hAnsi="Arial" w:cs="Arial"/>
          <w:sz w:val="18"/>
          <w:szCs w:val="18"/>
        </w:rPr>
        <w:t>, paragraph 10.</w:t>
      </w:r>
    </w:p>
  </w:footnote>
  <w:footnote w:id="11">
    <w:p w14:paraId="4F7ABF7E" w14:textId="638F548D" w:rsidR="00DE3E88" w:rsidRPr="00183FB3" w:rsidRDefault="00DE3E88" w:rsidP="00D1234C">
      <w:pPr>
        <w:pStyle w:val="Notedebasdepage"/>
        <w:ind w:left="567" w:hanging="567"/>
        <w:jc w:val="both"/>
        <w:rPr>
          <w:rFonts w:ascii="Arial" w:hAnsi="Arial" w:cs="Arial"/>
          <w:sz w:val="18"/>
          <w:szCs w:val="18"/>
        </w:rPr>
      </w:pPr>
      <w:r w:rsidRPr="00183FB3">
        <w:rPr>
          <w:rStyle w:val="Appelnotedebasdep"/>
          <w:rFonts w:ascii="Arial" w:hAnsi="Arial" w:cs="Arial"/>
          <w:sz w:val="18"/>
          <w:szCs w:val="18"/>
        </w:rPr>
        <w:footnoteRef/>
      </w:r>
      <w:r w:rsidRPr="00183FB3">
        <w:rPr>
          <w:rFonts w:ascii="Arial" w:hAnsi="Arial" w:cs="Arial"/>
          <w:sz w:val="18"/>
          <w:szCs w:val="18"/>
          <w:vertAlign w:val="superscript"/>
        </w:rPr>
        <w:t>.</w:t>
      </w:r>
      <w:r w:rsidRPr="00183FB3">
        <w:rPr>
          <w:rFonts w:ascii="Arial" w:hAnsi="Arial" w:cs="Arial"/>
          <w:sz w:val="18"/>
          <w:szCs w:val="18"/>
        </w:rPr>
        <w:tab/>
      </w:r>
      <w:r w:rsidRPr="00183FB3">
        <w:rPr>
          <w:rFonts w:ascii="Arial" w:hAnsi="Arial" w:cs="Arial"/>
          <w:noProof/>
          <w:sz w:val="18"/>
          <w:szCs w:val="18"/>
          <w:lang w:val="en-GB"/>
        </w:rPr>
        <w:t>For</w:t>
      </w:r>
      <w:r w:rsidRPr="00183FB3">
        <w:rPr>
          <w:rFonts w:ascii="Arial" w:hAnsi="Arial" w:cs="Arial"/>
          <w:sz w:val="18"/>
          <w:szCs w:val="18"/>
        </w:rPr>
        <w:t xml:space="preserve"> the executive summary and the report of the survey, see </w:t>
      </w:r>
      <w:hyperlink r:id="rId16" w:history="1">
        <w:r w:rsidRPr="00183FB3">
          <w:rPr>
            <w:rStyle w:val="Lienhypertexte"/>
            <w:rFonts w:ascii="Arial" w:hAnsi="Arial" w:cs="Arial"/>
            <w:sz w:val="18"/>
            <w:szCs w:val="18"/>
          </w:rPr>
          <w:t>here</w:t>
        </w:r>
      </w:hyperlink>
      <w:r w:rsidRPr="00183FB3">
        <w:rPr>
          <w:rFonts w:ascii="Arial" w:hAnsi="Arial" w:cs="Arial"/>
          <w:sz w:val="18"/>
          <w:szCs w:val="18"/>
        </w:rPr>
        <w:t>.</w:t>
      </w:r>
    </w:p>
  </w:footnote>
  <w:footnote w:id="12">
    <w:p w14:paraId="0681CCCA" w14:textId="28C22CC3" w:rsidR="00DE3E88" w:rsidRPr="00752FBA" w:rsidRDefault="00DE3E88" w:rsidP="00D1234C">
      <w:pPr>
        <w:pStyle w:val="Notedebasdepage"/>
        <w:ind w:left="567" w:hanging="567"/>
        <w:jc w:val="both"/>
      </w:pPr>
      <w:r w:rsidRPr="00183FB3">
        <w:rPr>
          <w:rStyle w:val="Appelnotedebasdep"/>
          <w:rFonts w:ascii="Arial" w:hAnsi="Arial" w:cs="Arial"/>
          <w:sz w:val="18"/>
          <w:szCs w:val="18"/>
        </w:rPr>
        <w:footnoteRef/>
      </w:r>
      <w:r w:rsidRPr="00183FB3">
        <w:rPr>
          <w:rFonts w:ascii="Arial" w:hAnsi="Arial" w:cs="Arial"/>
          <w:sz w:val="18"/>
          <w:szCs w:val="18"/>
          <w:vertAlign w:val="superscript"/>
        </w:rPr>
        <w:t>.</w:t>
      </w:r>
      <w:r w:rsidRPr="00183FB3">
        <w:rPr>
          <w:rFonts w:ascii="Arial" w:hAnsi="Arial" w:cs="Arial"/>
          <w:sz w:val="18"/>
          <w:szCs w:val="18"/>
        </w:rPr>
        <w:tab/>
        <w:t xml:space="preserve">Decision </w:t>
      </w:r>
      <w:hyperlink r:id="rId17" w:history="1">
        <w:r w:rsidRPr="00183FB3">
          <w:rPr>
            <w:rStyle w:val="Lienhypertexte"/>
            <w:rFonts w:ascii="Arial" w:hAnsi="Arial" w:cs="Arial"/>
            <w:sz w:val="18"/>
            <w:szCs w:val="18"/>
          </w:rPr>
          <w:t>12.COM 17</w:t>
        </w:r>
      </w:hyperlink>
      <w:r w:rsidRPr="00183FB3">
        <w:rPr>
          <w:rFonts w:ascii="Arial" w:hAnsi="Arial" w:cs="Arial"/>
          <w:sz w:val="18"/>
          <w:szCs w:val="18"/>
        </w:rPr>
        <w:t xml:space="preserve">; </w:t>
      </w:r>
      <w:hyperlink r:id="rId18" w:history="1">
        <w:r w:rsidRPr="00183FB3">
          <w:rPr>
            <w:rFonts w:ascii="Arial" w:hAnsi="Arial" w:cs="Arial"/>
            <w:sz w:val="18"/>
            <w:szCs w:val="18"/>
          </w:rPr>
          <w:t>Decision</w:t>
        </w:r>
        <w:r w:rsidRPr="00183FB3">
          <w:rPr>
            <w:rStyle w:val="Lienhypertexte"/>
            <w:rFonts w:ascii="Arial" w:hAnsi="Arial" w:cs="Arial"/>
            <w:sz w:val="18"/>
            <w:szCs w:val="18"/>
            <w:u w:val="none"/>
          </w:rPr>
          <w:t xml:space="preserve"> </w:t>
        </w:r>
        <w:r w:rsidRPr="00183FB3">
          <w:rPr>
            <w:rStyle w:val="Lienhypertexte"/>
            <w:rFonts w:ascii="Arial" w:hAnsi="Arial" w:cs="Arial"/>
            <w:sz w:val="18"/>
            <w:szCs w:val="18"/>
          </w:rPr>
          <w:t>13.COM 13</w:t>
        </w:r>
      </w:hyperlink>
      <w:r w:rsidRPr="00183FB3">
        <w:rPr>
          <w:rStyle w:val="Lienhypertexte"/>
          <w:rFonts w:ascii="Arial" w:hAnsi="Arial" w:cs="Arial"/>
          <w:color w:val="auto"/>
          <w:sz w:val="18"/>
          <w:szCs w:val="18"/>
          <w:u w:val="none"/>
        </w:rPr>
        <w:t>.</w:t>
      </w:r>
    </w:p>
  </w:footnote>
  <w:footnote w:id="13">
    <w:p w14:paraId="4D10AC6C" w14:textId="018A23FB" w:rsidR="00DE3E88" w:rsidRPr="004661A6" w:rsidRDefault="00DE3E88" w:rsidP="00D1234C">
      <w:pPr>
        <w:pStyle w:val="Notedebasdepage"/>
        <w:ind w:left="567" w:hanging="567"/>
        <w:jc w:val="both"/>
        <w:rPr>
          <w:rFonts w:ascii="Arial" w:hAnsi="Arial" w:cs="Arial"/>
          <w:sz w:val="18"/>
          <w:szCs w:val="18"/>
        </w:rPr>
      </w:pPr>
      <w:r w:rsidRPr="004661A6">
        <w:rPr>
          <w:rStyle w:val="Appelnotedebasdep"/>
          <w:rFonts w:ascii="Arial" w:hAnsi="Arial" w:cs="Arial"/>
          <w:sz w:val="18"/>
          <w:szCs w:val="18"/>
        </w:rPr>
        <w:footnoteRef/>
      </w:r>
      <w:r w:rsidRPr="004661A6">
        <w:rPr>
          <w:rFonts w:ascii="Arial" w:hAnsi="Arial" w:cs="Arial"/>
          <w:sz w:val="18"/>
          <w:szCs w:val="18"/>
          <w:vertAlign w:val="superscript"/>
        </w:rPr>
        <w:t>.</w:t>
      </w:r>
      <w:r w:rsidRPr="004661A6">
        <w:rPr>
          <w:rFonts w:ascii="Arial" w:hAnsi="Arial" w:cs="Arial"/>
          <w:sz w:val="18"/>
          <w:szCs w:val="18"/>
          <w:vertAlign w:val="superscript"/>
        </w:rPr>
        <w:tab/>
      </w:r>
      <w:r w:rsidRPr="004661A6">
        <w:rPr>
          <w:rFonts w:ascii="Arial" w:hAnsi="Arial" w:cs="Arial"/>
          <w:sz w:val="18"/>
          <w:szCs w:val="18"/>
        </w:rPr>
        <w:t xml:space="preserve">For the results of the </w:t>
      </w:r>
      <w:proofErr w:type="gramStart"/>
      <w:r w:rsidRPr="004661A6">
        <w:rPr>
          <w:rFonts w:ascii="Arial" w:hAnsi="Arial" w:cs="Arial"/>
          <w:sz w:val="18"/>
          <w:szCs w:val="18"/>
        </w:rPr>
        <w:t>survey</w:t>
      </w:r>
      <w:proofErr w:type="gramEnd"/>
      <w:r w:rsidRPr="004661A6">
        <w:rPr>
          <w:rFonts w:ascii="Arial" w:hAnsi="Arial" w:cs="Arial"/>
          <w:sz w:val="18"/>
          <w:szCs w:val="18"/>
        </w:rPr>
        <w:t xml:space="preserve"> </w:t>
      </w:r>
      <w:r w:rsidRPr="004661A6">
        <w:rPr>
          <w:rStyle w:val="hps"/>
          <w:rFonts w:ascii="Arial" w:hAnsi="Arial" w:cs="Arial"/>
          <w:sz w:val="18"/>
          <w:szCs w:val="18"/>
        </w:rPr>
        <w:t>see</w:t>
      </w:r>
      <w:r w:rsidRPr="004661A6">
        <w:rPr>
          <w:rFonts w:ascii="Arial" w:hAnsi="Arial" w:cs="Arial"/>
          <w:sz w:val="18"/>
          <w:szCs w:val="18"/>
        </w:rPr>
        <w:t xml:space="preserve"> the </w:t>
      </w:r>
      <w:hyperlink r:id="rId19" w:history="1">
        <w:r w:rsidRPr="004661A6">
          <w:rPr>
            <w:rStyle w:val="Lienhypertexte"/>
            <w:rFonts w:ascii="Arial" w:hAnsi="Arial" w:cs="Arial"/>
            <w:sz w:val="18"/>
            <w:szCs w:val="18"/>
          </w:rPr>
          <w:t>webpage</w:t>
        </w:r>
      </w:hyperlink>
      <w:r w:rsidRPr="004661A6">
        <w:rPr>
          <w:rFonts w:ascii="Arial" w:hAnsi="Arial" w:cs="Arial"/>
          <w:sz w:val="18"/>
          <w:szCs w:val="18"/>
        </w:rPr>
        <w:t xml:space="preserve"> of the Convention.</w:t>
      </w:r>
    </w:p>
  </w:footnote>
  <w:footnote w:id="14">
    <w:p w14:paraId="026882E9" w14:textId="6A9AE03D" w:rsidR="00DE3E88" w:rsidRPr="004661A6" w:rsidRDefault="00DE3E88" w:rsidP="00D1234C">
      <w:pPr>
        <w:pStyle w:val="Notedebasdepage"/>
        <w:ind w:left="567" w:hanging="567"/>
        <w:jc w:val="both"/>
        <w:rPr>
          <w:rFonts w:ascii="Arial" w:hAnsi="Arial" w:cs="Arial"/>
          <w:sz w:val="18"/>
          <w:szCs w:val="18"/>
        </w:rPr>
      </w:pPr>
      <w:r w:rsidRPr="004661A6">
        <w:rPr>
          <w:rStyle w:val="Appelnotedebasdep"/>
          <w:rFonts w:ascii="Arial" w:hAnsi="Arial" w:cs="Arial"/>
          <w:sz w:val="18"/>
          <w:szCs w:val="18"/>
        </w:rPr>
        <w:footnoteRef/>
      </w:r>
      <w:r w:rsidRPr="004661A6">
        <w:rPr>
          <w:rFonts w:ascii="Arial" w:hAnsi="Arial" w:cs="Arial"/>
          <w:sz w:val="18"/>
          <w:szCs w:val="18"/>
          <w:vertAlign w:val="superscript"/>
        </w:rPr>
        <w:t>.</w:t>
      </w:r>
      <w:r w:rsidRPr="004661A6">
        <w:rPr>
          <w:rFonts w:ascii="Arial" w:hAnsi="Arial" w:cs="Arial"/>
          <w:sz w:val="18"/>
          <w:szCs w:val="18"/>
          <w:vertAlign w:val="superscript"/>
        </w:rPr>
        <w:tab/>
      </w:r>
      <w:r w:rsidRPr="004661A6">
        <w:rPr>
          <w:rFonts w:ascii="Arial" w:hAnsi="Arial" w:cs="Arial"/>
          <w:sz w:val="18"/>
          <w:szCs w:val="18"/>
        </w:rPr>
        <w:t xml:space="preserve">Decision </w:t>
      </w:r>
      <w:hyperlink r:id="rId20" w:history="1">
        <w:r w:rsidRPr="004661A6">
          <w:rPr>
            <w:rStyle w:val="Lienhypertexte"/>
            <w:rFonts w:ascii="Arial" w:hAnsi="Arial" w:cs="Arial"/>
            <w:sz w:val="18"/>
            <w:szCs w:val="18"/>
          </w:rPr>
          <w:t>12.COM 6</w:t>
        </w:r>
      </w:hyperlink>
      <w:r w:rsidRPr="004661A6">
        <w:rPr>
          <w:rStyle w:val="Lienhypertexte"/>
          <w:rFonts w:ascii="Arial" w:hAnsi="Arial" w:cs="Arial"/>
          <w:color w:val="auto"/>
          <w:sz w:val="18"/>
          <w:szCs w:val="18"/>
          <w:u w:val="none"/>
        </w:rPr>
        <w:t>.</w:t>
      </w:r>
    </w:p>
  </w:footnote>
  <w:footnote w:id="15">
    <w:p w14:paraId="796C6897" w14:textId="0650241B" w:rsidR="00DE3E88" w:rsidRPr="004661A6" w:rsidRDefault="00DE3E88" w:rsidP="00D1234C">
      <w:pPr>
        <w:pStyle w:val="Notedebasdepage"/>
        <w:ind w:left="567" w:hanging="567"/>
        <w:jc w:val="both"/>
        <w:rPr>
          <w:rFonts w:ascii="Arial" w:hAnsi="Arial" w:cs="Arial"/>
          <w:sz w:val="18"/>
          <w:szCs w:val="18"/>
        </w:rPr>
      </w:pPr>
      <w:r w:rsidRPr="004661A6">
        <w:rPr>
          <w:rStyle w:val="Appelnotedebasdep"/>
          <w:rFonts w:ascii="Arial" w:hAnsi="Arial" w:cs="Arial"/>
          <w:sz w:val="18"/>
          <w:szCs w:val="18"/>
        </w:rPr>
        <w:footnoteRef/>
      </w:r>
      <w:r w:rsidRPr="004661A6">
        <w:rPr>
          <w:rFonts w:ascii="Arial" w:hAnsi="Arial" w:cs="Arial"/>
          <w:sz w:val="18"/>
          <w:szCs w:val="18"/>
          <w:vertAlign w:val="superscript"/>
        </w:rPr>
        <w:t>.</w:t>
      </w:r>
      <w:r w:rsidRPr="004661A6">
        <w:rPr>
          <w:rFonts w:ascii="Arial" w:hAnsi="Arial" w:cs="Arial"/>
          <w:sz w:val="18"/>
          <w:szCs w:val="18"/>
        </w:rPr>
        <w:tab/>
        <w:t>UNESCO’s office in: Abuja, Almaty, Amman, Bangladesh, Bangkok, Beijing, Beirut, Cairo, Dakar, Harare, Havana, Lima, Nairobi, Santiago and Tashkent.</w:t>
      </w:r>
    </w:p>
  </w:footnote>
  <w:footnote w:id="16">
    <w:p w14:paraId="22494A47" w14:textId="11E3C72A" w:rsidR="00DE3E88" w:rsidRPr="004661A6" w:rsidRDefault="00DE3E88" w:rsidP="00D1234C">
      <w:pPr>
        <w:pStyle w:val="Notedebasdepage"/>
        <w:ind w:left="567" w:hanging="567"/>
        <w:jc w:val="both"/>
        <w:rPr>
          <w:rFonts w:ascii="Arial" w:hAnsi="Arial" w:cs="Arial"/>
          <w:sz w:val="18"/>
          <w:szCs w:val="18"/>
        </w:rPr>
      </w:pPr>
      <w:r w:rsidRPr="004661A6">
        <w:rPr>
          <w:rStyle w:val="Appelnotedebasdep"/>
          <w:rFonts w:ascii="Arial" w:hAnsi="Arial" w:cs="Arial"/>
          <w:sz w:val="18"/>
          <w:szCs w:val="18"/>
        </w:rPr>
        <w:footnoteRef/>
      </w:r>
      <w:r w:rsidRPr="004661A6">
        <w:rPr>
          <w:rFonts w:ascii="Arial" w:hAnsi="Arial" w:cs="Arial"/>
          <w:sz w:val="18"/>
          <w:szCs w:val="18"/>
          <w:vertAlign w:val="superscript"/>
        </w:rPr>
        <w:t>.</w:t>
      </w:r>
      <w:r w:rsidRPr="004661A6">
        <w:rPr>
          <w:rFonts w:ascii="Arial" w:hAnsi="Arial" w:cs="Arial"/>
          <w:sz w:val="18"/>
          <w:szCs w:val="18"/>
          <w:vertAlign w:val="superscript"/>
        </w:rPr>
        <w:tab/>
      </w:r>
      <w:r w:rsidRPr="004661A6">
        <w:rPr>
          <w:rFonts w:ascii="Arial" w:hAnsi="Arial" w:cs="Arial"/>
          <w:sz w:val="18"/>
          <w:szCs w:val="18"/>
        </w:rPr>
        <w:t xml:space="preserve">These events </w:t>
      </w:r>
      <w:proofErr w:type="gramStart"/>
      <w:r w:rsidRPr="004661A6">
        <w:rPr>
          <w:rFonts w:ascii="Arial" w:hAnsi="Arial" w:cs="Arial"/>
          <w:sz w:val="18"/>
          <w:szCs w:val="18"/>
        </w:rPr>
        <w:t>were held</w:t>
      </w:r>
      <w:proofErr w:type="gramEnd"/>
      <w:r w:rsidRPr="004661A6">
        <w:rPr>
          <w:rFonts w:ascii="Arial" w:hAnsi="Arial" w:cs="Arial"/>
          <w:sz w:val="18"/>
          <w:szCs w:val="18"/>
        </w:rPr>
        <w:t xml:space="preserve"> at the seventh session of the General Assembly and the thirteenth session of the Committee.</w:t>
      </w:r>
    </w:p>
  </w:footnote>
  <w:footnote w:id="17">
    <w:p w14:paraId="70B35AAF" w14:textId="704F10EF" w:rsidR="00DE3E88" w:rsidRPr="00716378" w:rsidRDefault="00DE3E88" w:rsidP="00D1234C">
      <w:pPr>
        <w:pStyle w:val="Notedebasdepage"/>
        <w:ind w:left="567" w:hanging="567"/>
        <w:jc w:val="both"/>
        <w:rPr>
          <w:rFonts w:ascii="Arial" w:hAnsi="Arial" w:cs="Arial"/>
        </w:rPr>
      </w:pPr>
      <w:r w:rsidRPr="004661A6">
        <w:rPr>
          <w:rStyle w:val="Appelnotedebasdep"/>
          <w:rFonts w:ascii="Arial" w:hAnsi="Arial" w:cs="Arial"/>
          <w:sz w:val="18"/>
          <w:szCs w:val="18"/>
        </w:rPr>
        <w:footnoteRef/>
      </w:r>
      <w:r w:rsidRPr="004661A6">
        <w:rPr>
          <w:rFonts w:ascii="Arial" w:hAnsi="Arial" w:cs="Arial"/>
          <w:sz w:val="18"/>
          <w:szCs w:val="18"/>
          <w:vertAlign w:val="superscript"/>
        </w:rPr>
        <w:t>.</w:t>
      </w:r>
      <w:r w:rsidRPr="004661A6">
        <w:rPr>
          <w:rFonts w:ascii="Arial" w:hAnsi="Arial" w:cs="Arial"/>
          <w:sz w:val="18"/>
          <w:szCs w:val="18"/>
          <w:vertAlign w:val="superscript"/>
        </w:rPr>
        <w:tab/>
      </w:r>
      <w:proofErr w:type="gramStart"/>
      <w:r w:rsidRPr="004661A6">
        <w:rPr>
          <w:rFonts w:ascii="Arial" w:hAnsi="Arial" w:cs="Arial"/>
          <w:sz w:val="18"/>
          <w:szCs w:val="18"/>
        </w:rPr>
        <w:t>The webinar was joined by 302 participants from 83 countries</w:t>
      </w:r>
      <w:proofErr w:type="gramEnd"/>
      <w:r w:rsidRPr="004661A6">
        <w:rPr>
          <w:rFonts w:ascii="Arial" w:hAnsi="Arial" w:cs="Arial"/>
          <w:sz w:val="18"/>
          <w:szCs w:val="18"/>
        </w:rPr>
        <w:t>.</w:t>
      </w:r>
    </w:p>
  </w:footnote>
  <w:footnote w:id="18">
    <w:p w14:paraId="6F91544D" w14:textId="504E7607" w:rsidR="00DE3E88" w:rsidRPr="00D1234C" w:rsidRDefault="00DE3E88" w:rsidP="007231B5">
      <w:pPr>
        <w:pStyle w:val="Notedebasdepage"/>
        <w:tabs>
          <w:tab w:val="left" w:pos="567"/>
        </w:tabs>
        <w:rPr>
          <w:rFonts w:ascii="Arial" w:hAnsi="Arial" w:cs="Arial"/>
          <w:sz w:val="18"/>
          <w:szCs w:val="18"/>
        </w:rPr>
      </w:pPr>
      <w:r w:rsidRPr="00D1234C">
        <w:rPr>
          <w:rStyle w:val="Appelnotedebasdep"/>
          <w:rFonts w:ascii="Arial" w:hAnsi="Arial" w:cs="Arial"/>
          <w:sz w:val="18"/>
          <w:szCs w:val="18"/>
        </w:rPr>
        <w:footnoteRef/>
      </w:r>
      <w:r w:rsidRPr="00D1234C">
        <w:rPr>
          <w:rFonts w:ascii="Arial" w:hAnsi="Arial" w:cs="Arial"/>
          <w:sz w:val="18"/>
          <w:szCs w:val="18"/>
          <w:vertAlign w:val="superscript"/>
        </w:rPr>
        <w:t>.</w:t>
      </w:r>
      <w:r w:rsidRPr="00D1234C">
        <w:rPr>
          <w:rFonts w:ascii="Arial" w:hAnsi="Arial" w:cs="Arial"/>
          <w:sz w:val="18"/>
          <w:szCs w:val="18"/>
          <w:vertAlign w:val="superscript"/>
        </w:rPr>
        <w:tab/>
      </w:r>
      <w:r w:rsidRPr="00D1234C">
        <w:rPr>
          <w:rFonts w:ascii="Arial" w:hAnsi="Arial" w:cs="Arial"/>
          <w:sz w:val="18"/>
          <w:szCs w:val="18"/>
        </w:rPr>
        <w:t xml:space="preserve">Decision </w:t>
      </w:r>
      <w:hyperlink r:id="rId21" w:history="1">
        <w:r w:rsidRPr="00D1234C">
          <w:rPr>
            <w:rStyle w:val="Lienhypertexte"/>
            <w:rFonts w:ascii="Arial" w:hAnsi="Arial" w:cs="Arial"/>
            <w:sz w:val="18"/>
            <w:szCs w:val="18"/>
          </w:rPr>
          <w:t>11.COM 15</w:t>
        </w:r>
      </w:hyperlink>
      <w:r w:rsidRPr="00D1234C">
        <w:rPr>
          <w:rFonts w:ascii="Arial" w:hAnsi="Arial" w:cs="Arial"/>
          <w:sz w:val="18"/>
          <w:szCs w:val="18"/>
        </w:rPr>
        <w:t xml:space="preserve">; </w:t>
      </w:r>
      <w:hyperlink r:id="rId22" w:history="1">
        <w:r w:rsidRPr="00D1234C">
          <w:rPr>
            <w:rStyle w:val="Lienhypertexte"/>
            <w:rFonts w:ascii="Arial" w:hAnsi="Arial" w:cs="Arial"/>
            <w:sz w:val="18"/>
            <w:szCs w:val="18"/>
          </w:rPr>
          <w:t>12.COM 15</w:t>
        </w:r>
      </w:hyperlink>
      <w:r w:rsidRPr="00D1234C">
        <w:rPr>
          <w:rFonts w:ascii="Arial" w:hAnsi="Arial" w:cs="Arial"/>
          <w:sz w:val="18"/>
          <w:szCs w:val="18"/>
        </w:rPr>
        <w:t xml:space="preserve">; </w:t>
      </w:r>
      <w:r w:rsidRPr="00716378">
        <w:rPr>
          <w:rFonts w:ascii="Arial" w:hAnsi="Arial" w:cs="Arial"/>
          <w:sz w:val="18"/>
          <w:szCs w:val="18"/>
        </w:rPr>
        <w:t xml:space="preserve">and </w:t>
      </w:r>
      <w:hyperlink r:id="rId23" w:history="1">
        <w:r w:rsidRPr="00D1234C">
          <w:rPr>
            <w:rStyle w:val="Lienhypertexte"/>
            <w:rFonts w:ascii="Arial" w:hAnsi="Arial" w:cs="Arial"/>
            <w:sz w:val="18"/>
            <w:szCs w:val="18"/>
          </w:rPr>
          <w:t>13.COM 11</w:t>
        </w:r>
      </w:hyperlink>
      <w:r w:rsidRPr="00D1234C">
        <w:rPr>
          <w:rStyle w:val="Lienhypertexte"/>
          <w:rFonts w:ascii="Arial" w:hAnsi="Arial" w:cs="Arial"/>
          <w:color w:val="auto"/>
          <w:sz w:val="18"/>
          <w:szCs w:val="18"/>
          <w:u w:val="none"/>
        </w:rPr>
        <w:t>.</w:t>
      </w:r>
    </w:p>
  </w:footnote>
  <w:footnote w:id="19">
    <w:p w14:paraId="4948E6AC" w14:textId="1BEDDFE6" w:rsidR="00DE3E88" w:rsidRPr="00D1234C" w:rsidRDefault="00DE3E88" w:rsidP="007231B5">
      <w:pPr>
        <w:pStyle w:val="Notedebasdepage"/>
        <w:tabs>
          <w:tab w:val="left" w:pos="567"/>
        </w:tabs>
        <w:rPr>
          <w:rFonts w:ascii="Arial" w:hAnsi="Arial" w:cs="Arial"/>
          <w:sz w:val="18"/>
          <w:szCs w:val="18"/>
          <w:u w:val="single"/>
        </w:rPr>
      </w:pPr>
      <w:r w:rsidRPr="00D1234C">
        <w:rPr>
          <w:rStyle w:val="Appelnotedebasdep"/>
          <w:rFonts w:ascii="Arial" w:hAnsi="Arial" w:cs="Arial"/>
          <w:sz w:val="18"/>
          <w:szCs w:val="18"/>
        </w:rPr>
        <w:footnoteRef/>
      </w:r>
      <w:r w:rsidRPr="00D1234C">
        <w:rPr>
          <w:rFonts w:ascii="Arial" w:hAnsi="Arial" w:cs="Arial"/>
          <w:sz w:val="18"/>
          <w:szCs w:val="18"/>
          <w:vertAlign w:val="superscript"/>
        </w:rPr>
        <w:t>.</w:t>
      </w:r>
      <w:r w:rsidRPr="00D1234C">
        <w:rPr>
          <w:rFonts w:ascii="Arial" w:hAnsi="Arial" w:cs="Arial"/>
          <w:sz w:val="18"/>
          <w:szCs w:val="18"/>
          <w:vertAlign w:val="superscript"/>
        </w:rPr>
        <w:tab/>
      </w:r>
      <w:r w:rsidRPr="00D1234C">
        <w:rPr>
          <w:rFonts w:ascii="Arial" w:hAnsi="Arial" w:cs="Arial"/>
          <w:sz w:val="18"/>
          <w:szCs w:val="18"/>
        </w:rPr>
        <w:t xml:space="preserve">See document </w:t>
      </w:r>
      <w:hyperlink r:id="rId24" w:history="1">
        <w:r w:rsidRPr="00D1234C">
          <w:rPr>
            <w:rStyle w:val="Lienhypertexte"/>
            <w:rFonts w:ascii="Arial" w:hAnsi="Arial" w:cs="Arial"/>
            <w:sz w:val="18"/>
            <w:szCs w:val="18"/>
          </w:rPr>
          <w:t>ITH/18/13.COM/INF.5.1</w:t>
        </w:r>
      </w:hyperlink>
      <w:r w:rsidRPr="00D1234C">
        <w:rPr>
          <w:rFonts w:ascii="Arial" w:hAnsi="Arial" w:cs="Arial"/>
          <w:sz w:val="18"/>
          <w:szCs w:val="18"/>
        </w:rPr>
        <w:t>.</w:t>
      </w:r>
    </w:p>
  </w:footnote>
  <w:footnote w:id="20">
    <w:p w14:paraId="5A2FDEBC" w14:textId="5D7E437B" w:rsidR="00DE3E88" w:rsidRPr="00D1234C" w:rsidRDefault="00DE3E88" w:rsidP="007231B5">
      <w:pPr>
        <w:pStyle w:val="Notedebasdepage"/>
        <w:tabs>
          <w:tab w:val="left" w:pos="567"/>
        </w:tabs>
        <w:rPr>
          <w:rFonts w:ascii="Arial" w:hAnsi="Arial" w:cs="Arial"/>
          <w:sz w:val="18"/>
          <w:szCs w:val="18"/>
        </w:rPr>
      </w:pPr>
      <w:r w:rsidRPr="00D1234C">
        <w:rPr>
          <w:rStyle w:val="Appelnotedebasdep"/>
          <w:rFonts w:ascii="Arial" w:hAnsi="Arial" w:cs="Arial"/>
          <w:sz w:val="18"/>
          <w:szCs w:val="18"/>
        </w:rPr>
        <w:footnoteRef/>
      </w:r>
      <w:r w:rsidRPr="00D1234C">
        <w:rPr>
          <w:rFonts w:ascii="Arial" w:hAnsi="Arial" w:cs="Arial"/>
          <w:sz w:val="18"/>
          <w:szCs w:val="18"/>
          <w:vertAlign w:val="superscript"/>
        </w:rPr>
        <w:t>.</w:t>
      </w:r>
      <w:r w:rsidRPr="00D1234C">
        <w:rPr>
          <w:rFonts w:ascii="Arial" w:hAnsi="Arial" w:cs="Arial"/>
        </w:rPr>
        <w:tab/>
      </w:r>
      <w:r w:rsidRPr="00853AD9">
        <w:rPr>
          <w:rFonts w:ascii="Arial" w:hAnsi="Arial" w:cs="Arial"/>
          <w:sz w:val="18"/>
          <w:szCs w:val="18"/>
        </w:rPr>
        <w:t xml:space="preserve">See document </w:t>
      </w:r>
      <w:hyperlink r:id="rId25" w:history="1">
        <w:r w:rsidRPr="00853AD9">
          <w:rPr>
            <w:rStyle w:val="Lienhypertexte"/>
            <w:rFonts w:ascii="Arial" w:hAnsi="Arial" w:cs="Arial"/>
            <w:sz w:val="18"/>
            <w:szCs w:val="18"/>
          </w:rPr>
          <w:t>ITH/18/13.COM/6</w:t>
        </w:r>
      </w:hyperlink>
      <w:r w:rsidRPr="00853AD9">
        <w:rPr>
          <w:rFonts w:ascii="Arial" w:hAnsi="Arial" w:cs="Arial"/>
          <w:sz w:val="18"/>
          <w:szCs w:val="18"/>
        </w:rPr>
        <w:t xml:space="preserve"> and </w:t>
      </w:r>
      <w:hyperlink r:id="rId26" w:history="1">
        <w:r w:rsidRPr="00853AD9">
          <w:rPr>
            <w:rStyle w:val="Lienhypertexte"/>
            <w:rFonts w:ascii="Arial" w:hAnsi="Arial" w:cs="Arial"/>
            <w:sz w:val="18"/>
            <w:szCs w:val="18"/>
          </w:rPr>
          <w:t>LHE/19/14.COM/6</w:t>
        </w:r>
      </w:hyperlink>
      <w:r w:rsidRPr="00853AD9">
        <w:rPr>
          <w:rFonts w:ascii="Arial" w:hAnsi="Arial" w:cs="Arial"/>
          <w:sz w:val="18"/>
          <w:szCs w:val="18"/>
        </w:rPr>
        <w:t>.</w:t>
      </w:r>
    </w:p>
  </w:footnote>
  <w:footnote w:id="21">
    <w:p w14:paraId="10020336" w14:textId="57DC780C" w:rsidR="00DE3E88" w:rsidRPr="00D1234C" w:rsidRDefault="00DE3E88" w:rsidP="007231B5">
      <w:pPr>
        <w:pStyle w:val="Notedebasdepage"/>
        <w:ind w:left="567" w:hanging="567"/>
        <w:rPr>
          <w:rFonts w:ascii="Arial" w:hAnsi="Arial" w:cs="Arial"/>
          <w:sz w:val="18"/>
          <w:szCs w:val="18"/>
        </w:rPr>
      </w:pPr>
      <w:r w:rsidRPr="00D1234C">
        <w:rPr>
          <w:rStyle w:val="Appelnotedebasdep"/>
          <w:rFonts w:ascii="Arial" w:hAnsi="Arial" w:cs="Arial"/>
          <w:sz w:val="18"/>
          <w:szCs w:val="18"/>
        </w:rPr>
        <w:footnoteRef/>
      </w:r>
      <w:r w:rsidRPr="00D1234C">
        <w:rPr>
          <w:rFonts w:ascii="Arial" w:hAnsi="Arial" w:cs="Arial"/>
          <w:sz w:val="18"/>
          <w:szCs w:val="18"/>
          <w:vertAlign w:val="superscript"/>
        </w:rPr>
        <w:t>.</w:t>
      </w:r>
      <w:r>
        <w:rPr>
          <w:rFonts w:ascii="Arial" w:hAnsi="Arial" w:cs="Arial"/>
          <w:sz w:val="18"/>
          <w:szCs w:val="18"/>
          <w:vertAlign w:val="superscript"/>
        </w:rPr>
        <w:tab/>
      </w:r>
      <w:r w:rsidRPr="00D1234C">
        <w:rPr>
          <w:rFonts w:ascii="Arial" w:hAnsi="Arial" w:cs="Arial"/>
          <w:sz w:val="18"/>
          <w:szCs w:val="18"/>
        </w:rPr>
        <w:t>Out of the submitted nomination files for each year, the Secretariat organized five meetings of the Evaluation Body to evaluate 50 nomination files for the 2018 cycle as well as 52 files for the 2019 cycle. The Secretariat also administered technical completeness for a set of 52 nomination files for the 2020 cycle</w:t>
      </w:r>
      <w:r>
        <w:rPr>
          <w:rFonts w:ascii="Arial" w:hAnsi="Arial" w:cs="Arial"/>
          <w:sz w:val="18"/>
          <w:szCs w:val="18"/>
        </w:rPr>
        <w:t>.</w:t>
      </w:r>
    </w:p>
  </w:footnote>
  <w:footnote w:id="22">
    <w:p w14:paraId="2E1B6FB9" w14:textId="3FF63B21" w:rsidR="00DE3E88" w:rsidRDefault="00DE3E88" w:rsidP="007231B5">
      <w:pPr>
        <w:pStyle w:val="Notedebasdepage"/>
        <w:tabs>
          <w:tab w:val="left" w:pos="567"/>
        </w:tabs>
        <w:ind w:left="567" w:hanging="567"/>
        <w:jc w:val="both"/>
        <w:rPr>
          <w:rFonts w:ascii="Arial" w:hAnsi="Arial" w:cs="Arial"/>
          <w:sz w:val="18"/>
          <w:szCs w:val="18"/>
        </w:rPr>
      </w:pPr>
      <w:r w:rsidRPr="00D1234C">
        <w:rPr>
          <w:rStyle w:val="Appelnotedebasdep"/>
          <w:rFonts w:ascii="Arial" w:hAnsi="Arial" w:cs="Arial"/>
          <w:sz w:val="18"/>
          <w:szCs w:val="18"/>
        </w:rPr>
        <w:footnoteRef/>
      </w:r>
      <w:r w:rsidRPr="00D1234C">
        <w:rPr>
          <w:rFonts w:ascii="Arial" w:hAnsi="Arial" w:cs="Arial"/>
          <w:sz w:val="18"/>
          <w:szCs w:val="18"/>
          <w:vertAlign w:val="superscript"/>
        </w:rPr>
        <w:t>.</w:t>
      </w:r>
      <w:r>
        <w:rPr>
          <w:rFonts w:ascii="Arial" w:hAnsi="Arial" w:cs="Arial"/>
          <w:sz w:val="18"/>
          <w:szCs w:val="18"/>
          <w:vertAlign w:val="superscript"/>
        </w:rPr>
        <w:tab/>
      </w:r>
      <w:r>
        <w:rPr>
          <w:rFonts w:ascii="Arial" w:hAnsi="Arial" w:cs="Arial"/>
          <w:sz w:val="18"/>
          <w:szCs w:val="18"/>
        </w:rPr>
        <w:t xml:space="preserve">Meetings in </w:t>
      </w:r>
      <w:r w:rsidRPr="00D1234C">
        <w:rPr>
          <w:rFonts w:ascii="Arial" w:hAnsi="Arial" w:cs="Arial"/>
          <w:sz w:val="18"/>
          <w:szCs w:val="18"/>
        </w:rPr>
        <w:t>2018:</w:t>
      </w:r>
    </w:p>
    <w:p w14:paraId="695EB80E" w14:textId="64472CF7" w:rsidR="00DE3E88" w:rsidRPr="00D1234C" w:rsidRDefault="00DE3E88" w:rsidP="00D1234C">
      <w:pPr>
        <w:pStyle w:val="Notedebasdepage"/>
        <w:ind w:left="567"/>
        <w:rPr>
          <w:rFonts w:ascii="Arial" w:hAnsi="Arial" w:cs="Arial"/>
          <w:sz w:val="18"/>
          <w:szCs w:val="18"/>
        </w:rPr>
      </w:pPr>
      <w:r w:rsidRPr="00D1234C">
        <w:rPr>
          <w:rFonts w:ascii="Arial" w:hAnsi="Arial" w:cs="Arial"/>
          <w:sz w:val="18"/>
          <w:szCs w:val="18"/>
        </w:rPr>
        <w:t>3 meetings of the 13.COM Bureau;</w:t>
      </w:r>
    </w:p>
    <w:p w14:paraId="25CAA493" w14:textId="793C1E03" w:rsidR="00DE3E88" w:rsidRPr="00D1234C" w:rsidRDefault="00DE3E88" w:rsidP="007231B5">
      <w:pPr>
        <w:pStyle w:val="Notedebasdepage"/>
        <w:ind w:left="567"/>
        <w:jc w:val="both"/>
        <w:rPr>
          <w:rFonts w:ascii="Arial" w:hAnsi="Arial" w:cs="Arial"/>
          <w:sz w:val="18"/>
          <w:szCs w:val="18"/>
        </w:rPr>
      </w:pPr>
      <w:r w:rsidRPr="00D1234C">
        <w:rPr>
          <w:rFonts w:ascii="Arial" w:hAnsi="Arial" w:cs="Arial"/>
          <w:sz w:val="18"/>
          <w:szCs w:val="18"/>
        </w:rPr>
        <w:t>Information and exchange meeting on the overall results framework for the 2003 Convention, 20 April 2018;</w:t>
      </w:r>
    </w:p>
    <w:p w14:paraId="12584CEF" w14:textId="1994E09E" w:rsidR="00DE3E88" w:rsidRPr="00D1234C" w:rsidRDefault="00DE3E88" w:rsidP="007231B5">
      <w:pPr>
        <w:pStyle w:val="Notedebasdepage"/>
        <w:ind w:left="567"/>
        <w:jc w:val="both"/>
        <w:rPr>
          <w:rFonts w:ascii="Arial" w:hAnsi="Arial" w:cs="Arial"/>
          <w:sz w:val="18"/>
          <w:szCs w:val="18"/>
        </w:rPr>
      </w:pPr>
      <w:r w:rsidRPr="00D1234C">
        <w:rPr>
          <w:rFonts w:ascii="Arial" w:hAnsi="Arial" w:cs="Arial"/>
          <w:sz w:val="18"/>
          <w:szCs w:val="18"/>
        </w:rPr>
        <w:t>7th session of the General Assembly of the States Parties to the Convention, UNESCO HQ, 4</w:t>
      </w:r>
      <w:r>
        <w:rPr>
          <w:rFonts w:ascii="Arial" w:hAnsi="Arial" w:cs="Arial"/>
          <w:sz w:val="18"/>
          <w:szCs w:val="18"/>
        </w:rPr>
        <w:t>–</w:t>
      </w:r>
      <w:r w:rsidRPr="00D1234C">
        <w:rPr>
          <w:rFonts w:ascii="Arial" w:hAnsi="Arial" w:cs="Arial"/>
          <w:sz w:val="18"/>
          <w:szCs w:val="18"/>
        </w:rPr>
        <w:t>6 June 2018;</w:t>
      </w:r>
    </w:p>
    <w:p w14:paraId="7332CF75" w14:textId="2FE09FD9" w:rsidR="00DE3E88" w:rsidRPr="00D1234C" w:rsidRDefault="00DE3E88" w:rsidP="007231B5">
      <w:pPr>
        <w:pStyle w:val="Notedebasdepage"/>
        <w:ind w:left="567"/>
        <w:jc w:val="both"/>
        <w:rPr>
          <w:rFonts w:ascii="Arial" w:hAnsi="Arial" w:cs="Arial"/>
          <w:sz w:val="18"/>
          <w:szCs w:val="18"/>
        </w:rPr>
      </w:pPr>
      <w:r w:rsidRPr="00D1234C">
        <w:rPr>
          <w:rFonts w:ascii="Arial" w:hAnsi="Arial" w:cs="Arial"/>
          <w:sz w:val="18"/>
          <w:szCs w:val="18"/>
        </w:rPr>
        <w:t>3 meetings of the Evaluation Body for the 2018 cycle;</w:t>
      </w:r>
    </w:p>
    <w:p w14:paraId="6116C33C" w14:textId="7F79BB8D" w:rsidR="00DE3E88" w:rsidRPr="00D1234C" w:rsidRDefault="00DE3E88" w:rsidP="007231B5">
      <w:pPr>
        <w:pStyle w:val="Notedebasdepage"/>
        <w:ind w:left="567"/>
        <w:jc w:val="both"/>
        <w:rPr>
          <w:rFonts w:ascii="Arial" w:hAnsi="Arial" w:cs="Arial"/>
          <w:sz w:val="18"/>
          <w:szCs w:val="18"/>
        </w:rPr>
      </w:pPr>
      <w:proofErr w:type="gramStart"/>
      <w:r w:rsidRPr="00D1234C">
        <w:rPr>
          <w:rFonts w:ascii="Arial" w:hAnsi="Arial" w:cs="Arial"/>
          <w:sz w:val="18"/>
          <w:szCs w:val="18"/>
        </w:rPr>
        <w:t>13th</w:t>
      </w:r>
      <w:proofErr w:type="gramEnd"/>
      <w:r w:rsidRPr="00D1234C">
        <w:rPr>
          <w:rFonts w:ascii="Arial" w:hAnsi="Arial" w:cs="Arial"/>
          <w:sz w:val="18"/>
          <w:szCs w:val="18"/>
        </w:rPr>
        <w:t xml:space="preserve"> session of the Intergovernmental Committee, Port Louis, Republic of Mauritius, 26 November – 1 December 2018</w:t>
      </w:r>
      <w:r>
        <w:rPr>
          <w:rFonts w:ascii="Arial" w:hAnsi="Arial" w:cs="Arial"/>
          <w:sz w:val="18"/>
          <w:szCs w:val="18"/>
        </w:rPr>
        <w:t>.</w:t>
      </w:r>
    </w:p>
    <w:p w14:paraId="131F5BA0" w14:textId="7C1D0C3A" w:rsidR="00DE3E88" w:rsidRDefault="00DE3E88" w:rsidP="007231B5">
      <w:pPr>
        <w:pStyle w:val="Notedebasdepage"/>
        <w:ind w:left="567"/>
        <w:jc w:val="both"/>
        <w:rPr>
          <w:rFonts w:ascii="Arial" w:hAnsi="Arial" w:cs="Arial"/>
          <w:sz w:val="18"/>
          <w:szCs w:val="18"/>
        </w:rPr>
      </w:pPr>
      <w:r w:rsidRPr="00D1234C">
        <w:rPr>
          <w:rFonts w:ascii="Arial" w:hAnsi="Arial" w:cs="Arial"/>
          <w:sz w:val="18"/>
          <w:szCs w:val="18"/>
        </w:rPr>
        <w:t>Meetings in</w:t>
      </w:r>
      <w:r>
        <w:rPr>
          <w:rFonts w:ascii="Arial" w:hAnsi="Arial" w:cs="Arial"/>
          <w:b/>
          <w:sz w:val="18"/>
          <w:szCs w:val="18"/>
        </w:rPr>
        <w:t xml:space="preserve"> </w:t>
      </w:r>
      <w:r w:rsidRPr="00D1234C">
        <w:rPr>
          <w:rFonts w:ascii="Arial" w:hAnsi="Arial" w:cs="Arial"/>
          <w:sz w:val="18"/>
          <w:szCs w:val="18"/>
        </w:rPr>
        <w:t>2019:</w:t>
      </w:r>
    </w:p>
    <w:p w14:paraId="46FBF1A9" w14:textId="5604D9AB" w:rsidR="00DE3E88" w:rsidRPr="00D1234C" w:rsidRDefault="00DE3E88" w:rsidP="007231B5">
      <w:pPr>
        <w:pStyle w:val="Notedebasdepage"/>
        <w:ind w:left="567"/>
        <w:jc w:val="both"/>
        <w:rPr>
          <w:rFonts w:ascii="Arial" w:hAnsi="Arial" w:cs="Arial"/>
          <w:sz w:val="18"/>
          <w:szCs w:val="18"/>
        </w:rPr>
      </w:pPr>
      <w:r w:rsidRPr="00D1234C">
        <w:rPr>
          <w:rFonts w:ascii="Arial" w:hAnsi="Arial" w:cs="Arial"/>
          <w:sz w:val="18"/>
          <w:szCs w:val="18"/>
        </w:rPr>
        <w:t>2 meetings of the 14.COM Bureau;</w:t>
      </w:r>
    </w:p>
    <w:p w14:paraId="67918390" w14:textId="0EBE2328" w:rsidR="00DE3E88" w:rsidRPr="00D1234C" w:rsidRDefault="00DE3E88" w:rsidP="007231B5">
      <w:pPr>
        <w:pStyle w:val="Notedebasdepage"/>
        <w:ind w:left="567"/>
        <w:jc w:val="both"/>
        <w:rPr>
          <w:rFonts w:ascii="Arial" w:hAnsi="Arial" w:cs="Arial"/>
          <w:sz w:val="18"/>
          <w:szCs w:val="18"/>
        </w:rPr>
      </w:pPr>
      <w:r w:rsidRPr="00D1234C">
        <w:rPr>
          <w:rFonts w:ascii="Arial" w:hAnsi="Arial" w:cs="Arial"/>
          <w:sz w:val="18"/>
          <w:szCs w:val="18"/>
        </w:rPr>
        <w:t>2 meetings of the Evaluation Body for the 2019 cycle;</w:t>
      </w:r>
    </w:p>
    <w:p w14:paraId="1535191C" w14:textId="3D9E48BE" w:rsidR="00DE3E88" w:rsidRPr="00D1234C" w:rsidRDefault="00DE3E88" w:rsidP="007231B5">
      <w:pPr>
        <w:pStyle w:val="Notedebasdepage"/>
        <w:ind w:left="567"/>
        <w:jc w:val="both"/>
        <w:rPr>
          <w:rFonts w:ascii="Arial" w:hAnsi="Arial" w:cs="Arial"/>
          <w:sz w:val="18"/>
          <w:szCs w:val="18"/>
        </w:rPr>
      </w:pPr>
      <w:r w:rsidRPr="00D1234C">
        <w:rPr>
          <w:rFonts w:ascii="Arial" w:hAnsi="Arial" w:cs="Arial"/>
          <w:sz w:val="18"/>
          <w:szCs w:val="18"/>
        </w:rPr>
        <w:t>Information and Exchange Session on the provisional upstream dialogue for nominations to be examined in 2019, March 2019;</w:t>
      </w:r>
    </w:p>
    <w:p w14:paraId="0EC807C2" w14:textId="2EDF950E" w:rsidR="00DE3E88" w:rsidRPr="00D1234C" w:rsidRDefault="00DE3E88" w:rsidP="007231B5">
      <w:pPr>
        <w:pStyle w:val="Notedebasdepage"/>
        <w:ind w:left="567"/>
        <w:jc w:val="both"/>
        <w:rPr>
          <w:rFonts w:ascii="Arial" w:hAnsi="Arial" w:cs="Arial"/>
          <w:sz w:val="18"/>
          <w:szCs w:val="18"/>
        </w:rPr>
      </w:pPr>
      <w:r w:rsidRPr="00D1234C">
        <w:rPr>
          <w:rFonts w:ascii="Arial" w:hAnsi="Arial" w:cs="Arial"/>
          <w:sz w:val="18"/>
          <w:szCs w:val="18"/>
        </w:rPr>
        <w:t>Consultation meeting on the role of accredited non-governmental organizations under the 2003 Convention, 18 April 2019;</w:t>
      </w:r>
    </w:p>
    <w:p w14:paraId="036475A1" w14:textId="016AFE97" w:rsidR="00DE3E88" w:rsidRPr="00D1234C" w:rsidRDefault="00DE3E88" w:rsidP="007231B5">
      <w:pPr>
        <w:pStyle w:val="Notedebasdepage"/>
        <w:ind w:left="567"/>
        <w:jc w:val="both"/>
        <w:rPr>
          <w:rFonts w:ascii="Arial" w:hAnsi="Arial" w:cs="Arial"/>
          <w:sz w:val="18"/>
          <w:szCs w:val="18"/>
        </w:rPr>
      </w:pPr>
      <w:r w:rsidRPr="00D1234C">
        <w:rPr>
          <w:rFonts w:ascii="Arial" w:hAnsi="Arial" w:cs="Arial"/>
          <w:sz w:val="18"/>
          <w:szCs w:val="18"/>
        </w:rPr>
        <w:t>Expert Meeting on Intangible Cultural Heritage in Emergencies, 21</w:t>
      </w:r>
      <w:r>
        <w:rPr>
          <w:rFonts w:ascii="Arial" w:hAnsi="Arial" w:cs="Arial"/>
          <w:sz w:val="18"/>
          <w:szCs w:val="18"/>
        </w:rPr>
        <w:t>–</w:t>
      </w:r>
      <w:r w:rsidRPr="00D1234C">
        <w:rPr>
          <w:rFonts w:ascii="Arial" w:hAnsi="Arial" w:cs="Arial"/>
          <w:sz w:val="18"/>
          <w:szCs w:val="18"/>
        </w:rPr>
        <w:t>22 May 2019</w:t>
      </w:r>
      <w:r>
        <w:rPr>
          <w:rFonts w:ascii="Arial" w:hAnsi="Arial" w:cs="Arial"/>
          <w:sz w:val="18"/>
          <w:szCs w:val="18"/>
        </w:rPr>
        <w:t>.</w:t>
      </w:r>
    </w:p>
  </w:footnote>
  <w:footnote w:id="23">
    <w:p w14:paraId="704919F6" w14:textId="703CFDE8" w:rsidR="00DE3E88" w:rsidRPr="00D1234C" w:rsidRDefault="00DE3E88" w:rsidP="007231B5">
      <w:pPr>
        <w:pStyle w:val="Notedebasdepage"/>
        <w:tabs>
          <w:tab w:val="left" w:pos="567"/>
        </w:tabs>
        <w:rPr>
          <w:rFonts w:ascii="Arial" w:hAnsi="Arial" w:cs="Arial"/>
          <w:sz w:val="18"/>
          <w:szCs w:val="18"/>
        </w:rPr>
      </w:pPr>
      <w:r w:rsidRPr="00D1234C">
        <w:rPr>
          <w:rStyle w:val="Appelnotedebasdep"/>
          <w:rFonts w:ascii="Arial" w:hAnsi="Arial" w:cs="Arial"/>
          <w:sz w:val="18"/>
          <w:szCs w:val="18"/>
        </w:rPr>
        <w:footnoteRef/>
      </w:r>
      <w:r w:rsidRPr="00D1234C">
        <w:rPr>
          <w:rFonts w:ascii="Arial" w:hAnsi="Arial" w:cs="Arial"/>
          <w:sz w:val="18"/>
          <w:szCs w:val="18"/>
          <w:vertAlign w:val="superscript"/>
        </w:rPr>
        <w:t>.</w:t>
      </w:r>
      <w:r>
        <w:rPr>
          <w:rFonts w:ascii="Arial" w:hAnsi="Arial" w:cs="Arial"/>
          <w:sz w:val="18"/>
          <w:szCs w:val="18"/>
        </w:rPr>
        <w:tab/>
        <w:t>Central Asia (18–</w:t>
      </w:r>
      <w:r w:rsidRPr="00D1234C">
        <w:rPr>
          <w:rFonts w:ascii="Arial" w:hAnsi="Arial" w:cs="Arial"/>
          <w:sz w:val="18"/>
          <w:szCs w:val="18"/>
        </w:rPr>
        <w:t>22 June</w:t>
      </w:r>
      <w:r>
        <w:rPr>
          <w:rFonts w:ascii="Arial" w:hAnsi="Arial" w:cs="Arial"/>
          <w:sz w:val="18"/>
          <w:szCs w:val="18"/>
        </w:rPr>
        <w:t xml:space="preserve"> 2018), Asia and the Pacific (2–</w:t>
      </w:r>
      <w:r w:rsidRPr="00D1234C">
        <w:rPr>
          <w:rFonts w:ascii="Arial" w:hAnsi="Arial" w:cs="Arial"/>
          <w:sz w:val="18"/>
          <w:szCs w:val="18"/>
        </w:rPr>
        <w:t>6 July 2018), and Europe (</w:t>
      </w:r>
      <w:r>
        <w:rPr>
          <w:rFonts w:ascii="Arial" w:hAnsi="Arial" w:cs="Arial"/>
          <w:sz w:val="18"/>
          <w:szCs w:val="18"/>
        </w:rPr>
        <w:t>17–</w:t>
      </w:r>
      <w:r w:rsidRPr="00D1234C">
        <w:rPr>
          <w:rFonts w:ascii="Arial" w:hAnsi="Arial" w:cs="Arial"/>
          <w:sz w:val="18"/>
          <w:szCs w:val="18"/>
        </w:rPr>
        <w:t>20 September 2018)</w:t>
      </w:r>
      <w:r>
        <w:rPr>
          <w:rFonts w:ascii="Arial" w:hAnsi="Arial" w:cs="Arial"/>
          <w:sz w:val="18"/>
          <w:szCs w:val="18"/>
        </w:rPr>
        <w:t>.</w:t>
      </w:r>
    </w:p>
  </w:footnote>
  <w:footnote w:id="24">
    <w:p w14:paraId="4E52E973" w14:textId="196B65EF" w:rsidR="00DE3E88" w:rsidRDefault="00DE3E88" w:rsidP="007231B5">
      <w:pPr>
        <w:pStyle w:val="Notedebasdepage"/>
        <w:tabs>
          <w:tab w:val="left" w:pos="567"/>
        </w:tabs>
        <w:ind w:left="567" w:hanging="567"/>
      </w:pPr>
      <w:r w:rsidRPr="00D1234C">
        <w:rPr>
          <w:rStyle w:val="Appelnotedebasdep"/>
          <w:rFonts w:ascii="Arial" w:hAnsi="Arial" w:cs="Arial"/>
          <w:sz w:val="18"/>
          <w:szCs w:val="18"/>
        </w:rPr>
        <w:footnoteRef/>
      </w:r>
      <w:r w:rsidRPr="00D1234C">
        <w:rPr>
          <w:rFonts w:ascii="Arial" w:hAnsi="Arial" w:cs="Arial"/>
          <w:sz w:val="18"/>
          <w:szCs w:val="18"/>
          <w:vertAlign w:val="superscript"/>
        </w:rPr>
        <w:t>.</w:t>
      </w:r>
      <w:r>
        <w:rPr>
          <w:rFonts w:ascii="Arial" w:hAnsi="Arial" w:cs="Arial"/>
          <w:sz w:val="18"/>
          <w:szCs w:val="18"/>
        </w:rPr>
        <w:tab/>
      </w:r>
      <w:r w:rsidRPr="00D1234C">
        <w:rPr>
          <w:rFonts w:ascii="Arial" w:hAnsi="Arial" w:cs="Arial"/>
          <w:sz w:val="18"/>
          <w:szCs w:val="18"/>
        </w:rPr>
        <w:t xml:space="preserve">Regional Centre for the Safeguarding of the Intangible Cultural Heritage in </w:t>
      </w:r>
      <w:proofErr w:type="gramStart"/>
      <w:r w:rsidRPr="00D1234C">
        <w:rPr>
          <w:rFonts w:ascii="Arial" w:hAnsi="Arial" w:cs="Arial"/>
          <w:sz w:val="18"/>
          <w:szCs w:val="18"/>
        </w:rPr>
        <w:t>South-Eastern</w:t>
      </w:r>
      <w:proofErr w:type="gramEnd"/>
      <w:r w:rsidRPr="00D1234C">
        <w:rPr>
          <w:rFonts w:ascii="Arial" w:hAnsi="Arial" w:cs="Arial"/>
          <w:sz w:val="18"/>
          <w:szCs w:val="18"/>
        </w:rPr>
        <w:t xml:space="preserve"> Europe; International Training Centre for Intangibl</w:t>
      </w:r>
      <w:r>
        <w:rPr>
          <w:rFonts w:ascii="Arial" w:hAnsi="Arial" w:cs="Arial"/>
          <w:sz w:val="18"/>
          <w:szCs w:val="18"/>
        </w:rPr>
        <w:t>e Cultural Heritage in the Asia</w:t>
      </w:r>
      <w:r>
        <w:rPr>
          <w:rFonts w:ascii="Arial" w:hAnsi="Arial" w:cs="Arial"/>
          <w:sz w:val="18"/>
          <w:szCs w:val="18"/>
        </w:rPr>
        <w:noBreakHyphen/>
      </w:r>
      <w:r w:rsidRPr="00D1234C">
        <w:rPr>
          <w:rFonts w:ascii="Arial" w:hAnsi="Arial" w:cs="Arial"/>
          <w:sz w:val="18"/>
          <w:szCs w:val="18"/>
        </w:rPr>
        <w:t>Pacific Region (CRIHAP)</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86D54" w14:textId="39CC3E85" w:rsidR="00DE3E88" w:rsidRPr="00C23A97" w:rsidRDefault="00DE3E88" w:rsidP="00C5776D">
    <w:pPr>
      <w:pStyle w:val="En-tte"/>
      <w:rPr>
        <w:rFonts w:ascii="Arial" w:hAnsi="Arial" w:cs="Arial"/>
        <w:lang w:val="en-GB"/>
      </w:rPr>
    </w:pPr>
    <w:r>
      <w:rPr>
        <w:rFonts w:ascii="Arial" w:hAnsi="Arial" w:cs="Arial"/>
        <w:sz w:val="20"/>
        <w:szCs w:val="20"/>
        <w:lang w:val="en-GB"/>
      </w:rPr>
      <w:t>LHE/19/14.COM</w:t>
    </w:r>
    <w:r w:rsidRPr="00C23A97">
      <w:rPr>
        <w:rFonts w:ascii="Arial" w:hAnsi="Arial" w:cs="Arial"/>
        <w:sz w:val="20"/>
        <w:szCs w:val="20"/>
        <w:lang w:val="en-GB"/>
      </w:rPr>
      <w:t>/</w:t>
    </w:r>
    <w:r w:rsidRPr="0022671B">
      <w:rPr>
        <w:rFonts w:ascii="Arial" w:hAnsi="Arial" w:cs="Arial"/>
        <w:sz w:val="20"/>
        <w:szCs w:val="20"/>
        <w:lang w:val="en-GB"/>
      </w:rPr>
      <w:t>5.b</w:t>
    </w:r>
    <w:r w:rsidRPr="00C23A97">
      <w:rPr>
        <w:rFonts w:ascii="Arial" w:hAnsi="Arial" w:cs="Arial"/>
        <w:sz w:val="20"/>
        <w:szCs w:val="20"/>
        <w:lang w:val="en-GB"/>
      </w:rPr>
      <w:t xml:space="preserve"> – page </w:t>
    </w:r>
    <w:r w:rsidRPr="00C23A97">
      <w:rPr>
        <w:rStyle w:val="Numrodepage"/>
        <w:rFonts w:ascii="Arial" w:hAnsi="Arial" w:cs="Arial"/>
        <w:sz w:val="20"/>
        <w:szCs w:val="20"/>
        <w:lang w:val="en-GB"/>
      </w:rPr>
      <w:fldChar w:fldCharType="begin"/>
    </w:r>
    <w:r w:rsidRPr="00C23A97">
      <w:rPr>
        <w:rStyle w:val="Numrodepage"/>
        <w:rFonts w:ascii="Arial" w:hAnsi="Arial" w:cs="Arial"/>
        <w:sz w:val="20"/>
        <w:szCs w:val="20"/>
        <w:lang w:val="en-GB"/>
      </w:rPr>
      <w:instrText xml:space="preserve"> PAGE </w:instrText>
    </w:r>
    <w:r w:rsidRPr="00C23A97">
      <w:rPr>
        <w:rStyle w:val="Numrodepage"/>
        <w:rFonts w:ascii="Arial" w:hAnsi="Arial" w:cs="Arial"/>
        <w:sz w:val="20"/>
        <w:szCs w:val="20"/>
        <w:lang w:val="en-GB"/>
      </w:rPr>
      <w:fldChar w:fldCharType="separate"/>
    </w:r>
    <w:r w:rsidR="008C2771">
      <w:rPr>
        <w:rStyle w:val="Numrodepage"/>
        <w:rFonts w:ascii="Arial" w:hAnsi="Arial" w:cs="Arial"/>
        <w:noProof/>
        <w:sz w:val="20"/>
        <w:szCs w:val="20"/>
        <w:lang w:val="en-GB"/>
      </w:rPr>
      <w:t>14</w:t>
    </w:r>
    <w:r w:rsidRPr="00C23A97">
      <w:rPr>
        <w:rStyle w:val="Numrodepage"/>
        <w:rFonts w:ascii="Arial" w:hAnsi="Arial" w:cs="Arial"/>
        <w:sz w:val="20"/>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2017A" w14:textId="044482F9" w:rsidR="00DE3E88" w:rsidRPr="0063300C" w:rsidRDefault="00DE3E88" w:rsidP="00972949">
    <w:pPr>
      <w:pStyle w:val="En-tte"/>
      <w:jc w:val="right"/>
      <w:rPr>
        <w:rFonts w:ascii="Arial" w:hAnsi="Arial" w:cs="Arial"/>
        <w:lang w:val="en-GB"/>
      </w:rPr>
    </w:pPr>
    <w:r>
      <w:rPr>
        <w:rFonts w:ascii="Arial" w:hAnsi="Arial" w:cs="Arial"/>
        <w:sz w:val="20"/>
        <w:szCs w:val="20"/>
        <w:lang w:val="en-GB"/>
      </w:rPr>
      <w:t>LHE/19/14.COM</w:t>
    </w:r>
    <w:r w:rsidRPr="0063300C">
      <w:rPr>
        <w:rFonts w:ascii="Arial" w:hAnsi="Arial" w:cs="Arial"/>
        <w:sz w:val="20"/>
        <w:szCs w:val="20"/>
        <w:lang w:val="en-GB"/>
      </w:rPr>
      <w:t>/</w:t>
    </w:r>
    <w:r w:rsidRPr="0022671B">
      <w:rPr>
        <w:rFonts w:ascii="Arial" w:hAnsi="Arial" w:cs="Arial"/>
        <w:sz w:val="20"/>
        <w:szCs w:val="20"/>
        <w:lang w:val="en-GB"/>
      </w:rPr>
      <w:t>5.b</w:t>
    </w:r>
    <w:r w:rsidRPr="0063300C">
      <w:rPr>
        <w:rFonts w:ascii="Arial" w:hAnsi="Arial" w:cs="Arial"/>
        <w:sz w:val="20"/>
        <w:szCs w:val="20"/>
        <w:lang w:val="en-GB"/>
      </w:rPr>
      <w:t xml:space="preserve"> – page </w:t>
    </w:r>
    <w:r w:rsidRPr="0063300C">
      <w:rPr>
        <w:rStyle w:val="Numrodepage"/>
        <w:rFonts w:ascii="Arial" w:hAnsi="Arial" w:cs="Arial"/>
        <w:sz w:val="20"/>
        <w:szCs w:val="20"/>
        <w:lang w:val="en-GB"/>
      </w:rPr>
      <w:fldChar w:fldCharType="begin"/>
    </w:r>
    <w:r w:rsidRPr="0063300C">
      <w:rPr>
        <w:rStyle w:val="Numrodepage"/>
        <w:rFonts w:ascii="Arial" w:hAnsi="Arial" w:cs="Arial"/>
        <w:sz w:val="20"/>
        <w:szCs w:val="20"/>
        <w:lang w:val="en-GB"/>
      </w:rPr>
      <w:instrText xml:space="preserve"> PAGE </w:instrText>
    </w:r>
    <w:r w:rsidRPr="0063300C">
      <w:rPr>
        <w:rStyle w:val="Numrodepage"/>
        <w:rFonts w:ascii="Arial" w:hAnsi="Arial" w:cs="Arial"/>
        <w:sz w:val="20"/>
        <w:szCs w:val="20"/>
        <w:lang w:val="en-GB"/>
      </w:rPr>
      <w:fldChar w:fldCharType="separate"/>
    </w:r>
    <w:r w:rsidR="008C2771">
      <w:rPr>
        <w:rStyle w:val="Numrodepage"/>
        <w:rFonts w:ascii="Arial" w:hAnsi="Arial" w:cs="Arial"/>
        <w:noProof/>
        <w:sz w:val="20"/>
        <w:szCs w:val="20"/>
        <w:lang w:val="en-GB"/>
      </w:rPr>
      <w:t>15</w:t>
    </w:r>
    <w:r w:rsidRPr="0063300C">
      <w:rPr>
        <w:rStyle w:val="Numrodepage"/>
        <w:rFonts w:ascii="Arial" w:hAnsi="Arial" w:cs="Arial"/>
        <w:sz w:val="20"/>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76BD" w14:textId="77777777" w:rsidR="00DE3E88" w:rsidRPr="00E95AE2" w:rsidRDefault="00DE3E88">
    <w:pPr>
      <w:pStyle w:val="En-tte"/>
      <w:rPr>
        <w:sz w:val="22"/>
        <w:szCs w:val="22"/>
        <w:lang w:val="en-GB"/>
      </w:rPr>
    </w:pPr>
    <w:r>
      <w:rPr>
        <w:noProof/>
        <w:lang w:eastAsia="ja-JP"/>
      </w:rPr>
      <w:drawing>
        <wp:anchor distT="0" distB="0" distL="114300" distR="114300" simplePos="0" relativeHeight="251657728" behindDoc="0" locked="0" layoutInCell="1" allowOverlap="1" wp14:anchorId="2508D6B3" wp14:editId="5F2153A3">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E02C8" w14:textId="77777777" w:rsidR="00DE3E88" w:rsidRPr="00F30DC6" w:rsidRDefault="00DE3E88" w:rsidP="00C5776D">
    <w:pPr>
      <w:pStyle w:val="En-tte"/>
      <w:spacing w:after="520"/>
      <w:jc w:val="right"/>
      <w:rPr>
        <w:rFonts w:ascii="Arial" w:hAnsi="Arial" w:cs="Arial"/>
        <w:b/>
        <w:sz w:val="44"/>
        <w:szCs w:val="44"/>
        <w:lang w:val="en-GB"/>
      </w:rPr>
    </w:pPr>
    <w:r>
      <w:rPr>
        <w:rFonts w:ascii="Arial" w:hAnsi="Arial" w:cs="Arial"/>
        <w:b/>
        <w:sz w:val="44"/>
        <w:szCs w:val="44"/>
        <w:lang w:val="en-GB"/>
      </w:rPr>
      <w:t>14</w:t>
    </w:r>
    <w:r w:rsidRPr="00F30DC6">
      <w:rPr>
        <w:rFonts w:ascii="Arial" w:hAnsi="Arial" w:cs="Arial"/>
        <w:b/>
        <w:sz w:val="44"/>
        <w:szCs w:val="44"/>
        <w:lang w:val="en-GB"/>
      </w:rPr>
      <w:t xml:space="preserve"> COM</w:t>
    </w:r>
  </w:p>
  <w:p w14:paraId="5C8D8F7E" w14:textId="4974C39B" w:rsidR="00DE3E88" w:rsidRPr="009D5428" w:rsidRDefault="00DE3E88" w:rsidP="00C5776D">
    <w:pPr>
      <w:jc w:val="right"/>
      <w:rPr>
        <w:rFonts w:ascii="Arial" w:hAnsi="Arial" w:cs="Arial"/>
        <w:b/>
        <w:sz w:val="22"/>
        <w:szCs w:val="22"/>
        <w:lang w:val="en-GB"/>
      </w:rPr>
    </w:pPr>
    <w:r>
      <w:rPr>
        <w:rFonts w:ascii="Arial" w:hAnsi="Arial" w:cs="Arial"/>
        <w:b/>
        <w:sz w:val="22"/>
        <w:szCs w:val="22"/>
        <w:lang w:val="en-GB"/>
      </w:rPr>
      <w:t>LHE/19</w:t>
    </w:r>
    <w:r w:rsidRPr="009D5428">
      <w:rPr>
        <w:rFonts w:ascii="Arial" w:hAnsi="Arial" w:cs="Arial"/>
        <w:b/>
        <w:sz w:val="22"/>
        <w:szCs w:val="22"/>
        <w:lang w:val="en-GB"/>
      </w:rPr>
      <w:t>/</w:t>
    </w:r>
    <w:r>
      <w:rPr>
        <w:rFonts w:ascii="Arial" w:hAnsi="Arial" w:cs="Arial"/>
        <w:b/>
        <w:sz w:val="22"/>
        <w:szCs w:val="22"/>
        <w:lang w:val="en-GB"/>
      </w:rPr>
      <w:t>14</w:t>
    </w:r>
    <w:r w:rsidRPr="009D5428">
      <w:rPr>
        <w:rFonts w:ascii="Arial" w:hAnsi="Arial" w:cs="Arial"/>
        <w:b/>
        <w:sz w:val="22"/>
        <w:szCs w:val="22"/>
        <w:lang w:val="en-GB"/>
      </w:rPr>
      <w:t>.COM/</w:t>
    </w:r>
    <w:r>
      <w:rPr>
        <w:rFonts w:ascii="Arial" w:hAnsi="Arial" w:cs="Arial"/>
        <w:b/>
        <w:sz w:val="22"/>
        <w:szCs w:val="22"/>
        <w:lang w:val="en-GB"/>
      </w:rPr>
      <w:t>5.b</w:t>
    </w:r>
  </w:p>
  <w:p w14:paraId="3DC6B0A3" w14:textId="0C7C09FF" w:rsidR="00DE3E88" w:rsidRPr="00337CEB" w:rsidRDefault="00DE3E88" w:rsidP="00655736">
    <w:pPr>
      <w:jc w:val="right"/>
      <w:rPr>
        <w:rFonts w:ascii="Arial" w:eastAsiaTheme="minorEastAsia" w:hAnsi="Arial" w:cs="Arial"/>
        <w:b/>
        <w:sz w:val="22"/>
        <w:szCs w:val="22"/>
        <w:lang w:val="en-GB" w:eastAsia="ko-KR"/>
      </w:rPr>
    </w:pPr>
    <w:r w:rsidRPr="009D5428">
      <w:rPr>
        <w:rFonts w:ascii="Arial" w:hAnsi="Arial" w:cs="Arial"/>
        <w:b/>
        <w:sz w:val="22"/>
        <w:szCs w:val="22"/>
        <w:lang w:val="en-GB"/>
      </w:rPr>
      <w:t xml:space="preserve">Paris, </w:t>
    </w:r>
    <w:r>
      <w:rPr>
        <w:rFonts w:ascii="Arial" w:hAnsi="Arial" w:cs="Arial"/>
        <w:b/>
        <w:sz w:val="22"/>
        <w:szCs w:val="22"/>
        <w:lang w:val="en-GB"/>
      </w:rPr>
      <w:t>8 November</w:t>
    </w:r>
    <w:r w:rsidRPr="00F32C23">
      <w:rPr>
        <w:rFonts w:ascii="Arial" w:hAnsi="Arial" w:cs="Arial"/>
        <w:b/>
        <w:sz w:val="22"/>
        <w:szCs w:val="22"/>
        <w:lang w:val="en-GB"/>
      </w:rPr>
      <w:t xml:space="preserve"> </w:t>
    </w:r>
    <w:r>
      <w:rPr>
        <w:rFonts w:ascii="Arial" w:hAnsi="Arial" w:cs="Arial"/>
        <w:b/>
        <w:sz w:val="22"/>
        <w:szCs w:val="22"/>
        <w:lang w:val="en-GB"/>
      </w:rPr>
      <w:t>201</w:t>
    </w:r>
    <w:r>
      <w:rPr>
        <w:rFonts w:ascii="Arial" w:eastAsiaTheme="minorEastAsia" w:hAnsi="Arial" w:cs="Arial"/>
        <w:b/>
        <w:sz w:val="22"/>
        <w:szCs w:val="22"/>
        <w:lang w:val="en-GB" w:eastAsia="ko-KR"/>
      </w:rPr>
      <w:t>9</w:t>
    </w:r>
  </w:p>
  <w:p w14:paraId="0A732B38" w14:textId="301DD1BA" w:rsidR="00DE3E88" w:rsidRPr="00F32C23" w:rsidRDefault="00DE3E88" w:rsidP="000048ED">
    <w:pPr>
      <w:jc w:val="right"/>
      <w:rPr>
        <w:rFonts w:ascii="Arial" w:hAnsi="Arial" w:cs="Arial"/>
        <w:b/>
        <w:sz w:val="22"/>
        <w:szCs w:val="22"/>
        <w:lang w:val="en-GB"/>
      </w:rPr>
    </w:pPr>
    <w:r w:rsidRPr="00F32C23">
      <w:rPr>
        <w:rFonts w:ascii="Arial" w:hAnsi="Arial" w:cs="Arial"/>
        <w:b/>
        <w:sz w:val="22"/>
        <w:szCs w:val="22"/>
        <w:lang w:val="en-GB"/>
      </w:rPr>
      <w:t xml:space="preserve">Original: </w:t>
    </w:r>
    <w:r>
      <w:rPr>
        <w:rFonts w:ascii="Arial" w:hAnsi="Arial" w:cs="Arial"/>
        <w:b/>
        <w:sz w:val="22"/>
        <w:szCs w:val="22"/>
        <w:lang w:val="en-GB"/>
      </w:rPr>
      <w:t>English</w:t>
    </w:r>
  </w:p>
  <w:p w14:paraId="7F4DBA30" w14:textId="77777777" w:rsidR="00DE3E88" w:rsidRPr="00E95AE2" w:rsidRDefault="00DE3E88">
    <w:pPr>
      <w:pStyle w:val="En-tte"/>
      <w:rPr>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4E59"/>
    <w:multiLevelType w:val="hybridMultilevel"/>
    <w:tmpl w:val="D9148A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196663D"/>
    <w:multiLevelType w:val="hybridMultilevel"/>
    <w:tmpl w:val="128E3D1A"/>
    <w:lvl w:ilvl="0" w:tplc="DBCE00AC">
      <w:start w:val="14"/>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5A40D9"/>
    <w:multiLevelType w:val="hybridMultilevel"/>
    <w:tmpl w:val="08C6F276"/>
    <w:lvl w:ilvl="0" w:tplc="1E98304A">
      <w:start w:val="15"/>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401E05"/>
    <w:multiLevelType w:val="hybridMultilevel"/>
    <w:tmpl w:val="55563DA0"/>
    <w:lvl w:ilvl="0" w:tplc="8680781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B636E0D"/>
    <w:multiLevelType w:val="hybridMultilevel"/>
    <w:tmpl w:val="553082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804076"/>
    <w:multiLevelType w:val="hybridMultilevel"/>
    <w:tmpl w:val="32925300"/>
    <w:lvl w:ilvl="0" w:tplc="040C0013">
      <w:start w:val="1"/>
      <w:numFmt w:val="upperRoman"/>
      <w:lvlText w:val="%1."/>
      <w:lvlJc w:val="right"/>
      <w:pPr>
        <w:ind w:left="720" w:hanging="360"/>
      </w:pPr>
    </w:lvl>
    <w:lvl w:ilvl="1" w:tplc="49A246C4">
      <w:start w:val="1"/>
      <w:numFmt w:val="decimal"/>
      <w:lvlText w:val="%2."/>
      <w:lvlJc w:val="left"/>
      <w:pPr>
        <w:ind w:left="360" w:hanging="360"/>
      </w:pPr>
      <w:rPr>
        <w:rFonts w:hint="default"/>
        <w:b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8"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6C452D"/>
    <w:multiLevelType w:val="hybridMultilevel"/>
    <w:tmpl w:val="E72C3800"/>
    <w:lvl w:ilvl="0" w:tplc="A192D592">
      <w:start w:val="3"/>
      <w:numFmt w:val="bullet"/>
      <w:lvlText w:val="-"/>
      <w:lvlJc w:val="left"/>
      <w:pPr>
        <w:ind w:left="927" w:hanging="360"/>
      </w:pPr>
      <w:rPr>
        <w:rFonts w:ascii="Arial" w:eastAsia="Times New Roman" w:hAnsi="Arial" w:cs="Arial" w:hint="default"/>
      </w:rPr>
    </w:lvl>
    <w:lvl w:ilvl="1" w:tplc="040C0003">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23A412D0"/>
    <w:multiLevelType w:val="hybridMultilevel"/>
    <w:tmpl w:val="ED22B956"/>
    <w:lvl w:ilvl="0" w:tplc="B482704A">
      <w:start w:val="15"/>
      <w:numFmt w:val="decimal"/>
      <w:lvlText w:val="%1."/>
      <w:lvlJc w:val="left"/>
      <w:pPr>
        <w:ind w:left="36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B0157C"/>
    <w:multiLevelType w:val="multilevel"/>
    <w:tmpl w:val="AF2A8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9328E1"/>
    <w:multiLevelType w:val="hybridMultilevel"/>
    <w:tmpl w:val="CE5AD2B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CCD6B7B"/>
    <w:multiLevelType w:val="hybridMultilevel"/>
    <w:tmpl w:val="4B72E44C"/>
    <w:lvl w:ilvl="0" w:tplc="B34AA34E">
      <w:start w:val="4"/>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964977"/>
    <w:multiLevelType w:val="hybridMultilevel"/>
    <w:tmpl w:val="3D541698"/>
    <w:lvl w:ilvl="0" w:tplc="79A67694">
      <w:start w:val="1"/>
      <w:numFmt w:val="decimal"/>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F07BFE"/>
    <w:multiLevelType w:val="hybridMultilevel"/>
    <w:tmpl w:val="E24AD55A"/>
    <w:lvl w:ilvl="0" w:tplc="76CAC30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7" w15:restartNumberingAfterBreak="0">
    <w:nsid w:val="38F54C01"/>
    <w:multiLevelType w:val="hybridMultilevel"/>
    <w:tmpl w:val="F1A04292"/>
    <w:lvl w:ilvl="0" w:tplc="362450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97A4DB1"/>
    <w:multiLevelType w:val="hybridMultilevel"/>
    <w:tmpl w:val="1F36D964"/>
    <w:lvl w:ilvl="0" w:tplc="918ACE6A">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9" w15:restartNumberingAfterBreak="0">
    <w:nsid w:val="3AC30BD2"/>
    <w:multiLevelType w:val="hybridMultilevel"/>
    <w:tmpl w:val="2F02E984"/>
    <w:lvl w:ilvl="0" w:tplc="DFC65752">
      <w:start w:val="1"/>
      <w:numFmt w:val="upperRoman"/>
      <w:pStyle w:val="Titre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A634BB"/>
    <w:multiLevelType w:val="hybridMultilevel"/>
    <w:tmpl w:val="70DC4078"/>
    <w:lvl w:ilvl="0" w:tplc="91FCECF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2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3" w15:restartNumberingAfterBreak="0">
    <w:nsid w:val="478F7654"/>
    <w:multiLevelType w:val="hybridMultilevel"/>
    <w:tmpl w:val="8188B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595FC2"/>
    <w:multiLevelType w:val="hybridMultilevel"/>
    <w:tmpl w:val="CD585FFE"/>
    <w:lvl w:ilvl="0" w:tplc="93709564">
      <w:start w:val="5"/>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54047A"/>
    <w:multiLevelType w:val="hybridMultilevel"/>
    <w:tmpl w:val="D4E6FC5A"/>
    <w:lvl w:ilvl="0" w:tplc="83C251C0">
      <w:start w:val="5"/>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DA59BC"/>
    <w:multiLevelType w:val="hybridMultilevel"/>
    <w:tmpl w:val="B67423B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7A0660A"/>
    <w:multiLevelType w:val="hybridMultilevel"/>
    <w:tmpl w:val="4A3C783E"/>
    <w:lvl w:ilvl="0" w:tplc="040C000F">
      <w:start w:val="1"/>
      <w:numFmt w:val="decimal"/>
      <w:lvlText w:val="%1."/>
      <w:lvlJc w:val="left"/>
      <w:pPr>
        <w:ind w:left="720" w:hanging="360"/>
      </w:pPr>
    </w:lvl>
    <w:lvl w:ilvl="1" w:tplc="79A67694">
      <w:start w:val="1"/>
      <w:numFmt w:val="decimal"/>
      <w:lvlText w:val="%2."/>
      <w:lvlJc w:val="left"/>
      <w:pPr>
        <w:ind w:left="360" w:hanging="360"/>
      </w:pPr>
      <w:rPr>
        <w:b w:val="0"/>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7B33076"/>
    <w:multiLevelType w:val="hybridMultilevel"/>
    <w:tmpl w:val="B156BC3A"/>
    <w:lvl w:ilvl="0" w:tplc="681A2FBC">
      <w:start w:val="4"/>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9A77A8"/>
    <w:multiLevelType w:val="hybridMultilevel"/>
    <w:tmpl w:val="7A0EF4B8"/>
    <w:lvl w:ilvl="0" w:tplc="A120E2F0">
      <w:start w:val="4"/>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DC778C2"/>
    <w:multiLevelType w:val="hybridMultilevel"/>
    <w:tmpl w:val="08B2D8F0"/>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2" w15:restartNumberingAfterBreak="0">
    <w:nsid w:val="608C197D"/>
    <w:multiLevelType w:val="hybridMultilevel"/>
    <w:tmpl w:val="1A823E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3A56FA3"/>
    <w:multiLevelType w:val="hybridMultilevel"/>
    <w:tmpl w:val="269EFEE8"/>
    <w:lvl w:ilvl="0" w:tplc="EECCC47E">
      <w:start w:val="4"/>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7A60683"/>
    <w:multiLevelType w:val="hybridMultilevel"/>
    <w:tmpl w:val="E4DECAEE"/>
    <w:lvl w:ilvl="0" w:tplc="936AE9B2">
      <w:start w:val="4"/>
      <w:numFmt w:val="decimal"/>
      <w:lvlText w:val="%1."/>
      <w:lvlJc w:val="left"/>
      <w:pPr>
        <w:ind w:left="36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D8F6186"/>
    <w:multiLevelType w:val="hybridMultilevel"/>
    <w:tmpl w:val="206043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FD10587"/>
    <w:multiLevelType w:val="hybridMultilevel"/>
    <w:tmpl w:val="55563DA0"/>
    <w:lvl w:ilvl="0" w:tplc="86807812">
      <w:start w:val="1"/>
      <w:numFmt w:val="decimal"/>
      <w:lvlText w:val="%1."/>
      <w:lvlJc w:val="left"/>
      <w:pPr>
        <w:ind w:left="1080" w:hanging="360"/>
      </w:pPr>
      <w:rPr>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3D451E3"/>
    <w:multiLevelType w:val="hybridMultilevel"/>
    <w:tmpl w:val="8AC8AC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645044E"/>
    <w:multiLevelType w:val="hybridMultilevel"/>
    <w:tmpl w:val="ADF2BCDC"/>
    <w:lvl w:ilvl="0" w:tplc="79A67694">
      <w:start w:val="1"/>
      <w:numFmt w:val="decimal"/>
      <w:lvlText w:val="%1."/>
      <w:lvlJc w:val="left"/>
      <w:pPr>
        <w:ind w:left="36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6992F0B"/>
    <w:multiLevelType w:val="hybridMultilevel"/>
    <w:tmpl w:val="EB30194A"/>
    <w:lvl w:ilvl="0" w:tplc="286E650C">
      <w:start w:val="4"/>
      <w:numFmt w:val="decimal"/>
      <w:lvlText w:val="%1."/>
      <w:lvlJc w:val="left"/>
      <w:pPr>
        <w:ind w:left="36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6C5391B"/>
    <w:multiLevelType w:val="hybridMultilevel"/>
    <w:tmpl w:val="8724F8B4"/>
    <w:lvl w:ilvl="0" w:tplc="040C0001">
      <w:start w:val="1"/>
      <w:numFmt w:val="bullet"/>
      <w:lvlText w:val=""/>
      <w:lvlJc w:val="left"/>
      <w:pPr>
        <w:ind w:left="501"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42"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DA5032F"/>
    <w:multiLevelType w:val="hybridMultilevel"/>
    <w:tmpl w:val="80D04D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1"/>
  </w:num>
  <w:num w:numId="2">
    <w:abstractNumId w:val="16"/>
  </w:num>
  <w:num w:numId="3">
    <w:abstractNumId w:val="7"/>
  </w:num>
  <w:num w:numId="4">
    <w:abstractNumId w:val="42"/>
  </w:num>
  <w:num w:numId="5">
    <w:abstractNumId w:val="34"/>
  </w:num>
  <w:num w:numId="6">
    <w:abstractNumId w:val="1"/>
  </w:num>
  <w:num w:numId="7">
    <w:abstractNumId w:val="8"/>
  </w:num>
  <w:num w:numId="8">
    <w:abstractNumId w:val="22"/>
  </w:num>
  <w:num w:numId="9">
    <w:abstractNumId w:val="15"/>
  </w:num>
  <w:num w:numId="10">
    <w:abstractNumId w:val="18"/>
  </w:num>
  <w:num w:numId="11">
    <w:abstractNumId w:val="21"/>
  </w:num>
  <w:num w:numId="12">
    <w:abstractNumId w:val="19"/>
  </w:num>
  <w:num w:numId="13">
    <w:abstractNumId w:val="6"/>
  </w:num>
  <w:num w:numId="14">
    <w:abstractNumId w:val="5"/>
  </w:num>
  <w:num w:numId="15">
    <w:abstractNumId w:val="26"/>
  </w:num>
  <w:num w:numId="16">
    <w:abstractNumId w:val="27"/>
  </w:num>
  <w:num w:numId="17">
    <w:abstractNumId w:val="33"/>
  </w:num>
  <w:num w:numId="18">
    <w:abstractNumId w:val="13"/>
  </w:num>
  <w:num w:numId="19">
    <w:abstractNumId w:val="41"/>
  </w:num>
  <w:num w:numId="20">
    <w:abstractNumId w:val="20"/>
  </w:num>
  <w:num w:numId="21">
    <w:abstractNumId w:val="0"/>
  </w:num>
  <w:num w:numId="22">
    <w:abstractNumId w:val="38"/>
  </w:num>
  <w:num w:numId="23">
    <w:abstractNumId w:val="30"/>
  </w:num>
  <w:num w:numId="24">
    <w:abstractNumId w:val="43"/>
  </w:num>
  <w:num w:numId="25">
    <w:abstractNumId w:val="36"/>
  </w:num>
  <w:num w:numId="26">
    <w:abstractNumId w:val="40"/>
  </w:num>
  <w:num w:numId="27">
    <w:abstractNumId w:val="28"/>
  </w:num>
  <w:num w:numId="28">
    <w:abstractNumId w:val="35"/>
  </w:num>
  <w:num w:numId="29">
    <w:abstractNumId w:val="24"/>
  </w:num>
  <w:num w:numId="30">
    <w:abstractNumId w:val="25"/>
  </w:num>
  <w:num w:numId="31">
    <w:abstractNumId w:val="2"/>
  </w:num>
  <w:num w:numId="32">
    <w:abstractNumId w:val="10"/>
  </w:num>
  <w:num w:numId="33">
    <w:abstractNumId w:val="39"/>
  </w:num>
  <w:num w:numId="34">
    <w:abstractNumId w:val="29"/>
  </w:num>
  <w:num w:numId="35">
    <w:abstractNumId w:val="14"/>
  </w:num>
  <w:num w:numId="36">
    <w:abstractNumId w:val="32"/>
  </w:num>
  <w:num w:numId="37">
    <w:abstractNumId w:val="23"/>
  </w:num>
  <w:num w:numId="38">
    <w:abstractNumId w:val="4"/>
  </w:num>
  <w:num w:numId="39">
    <w:abstractNumId w:val="17"/>
  </w:num>
  <w:num w:numId="40">
    <w:abstractNumId w:val="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
  </w:num>
  <w:num w:numId="44">
    <w:abstractNumId w:val="11"/>
  </w:num>
  <w:num w:numId="45">
    <w:abstractNumId w:val="18"/>
  </w:num>
  <w:num w:numId="46">
    <w:abstractNumId w:val="1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139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01E9"/>
    <w:rsid w:val="0000416E"/>
    <w:rsid w:val="000048ED"/>
    <w:rsid w:val="00005EF3"/>
    <w:rsid w:val="00012CE9"/>
    <w:rsid w:val="0001301B"/>
    <w:rsid w:val="00015AA9"/>
    <w:rsid w:val="00017B26"/>
    <w:rsid w:val="0002343B"/>
    <w:rsid w:val="00025852"/>
    <w:rsid w:val="00026321"/>
    <w:rsid w:val="00031779"/>
    <w:rsid w:val="000337E5"/>
    <w:rsid w:val="00037172"/>
    <w:rsid w:val="000371B5"/>
    <w:rsid w:val="00041A66"/>
    <w:rsid w:val="00041C42"/>
    <w:rsid w:val="000420D8"/>
    <w:rsid w:val="00044002"/>
    <w:rsid w:val="00044C43"/>
    <w:rsid w:val="00047F73"/>
    <w:rsid w:val="0005176E"/>
    <w:rsid w:val="00060949"/>
    <w:rsid w:val="00060955"/>
    <w:rsid w:val="000612DC"/>
    <w:rsid w:val="00065514"/>
    <w:rsid w:val="00067B54"/>
    <w:rsid w:val="00071255"/>
    <w:rsid w:val="00076126"/>
    <w:rsid w:val="000765F7"/>
    <w:rsid w:val="00077326"/>
    <w:rsid w:val="00077AB7"/>
    <w:rsid w:val="00077E9B"/>
    <w:rsid w:val="00081B14"/>
    <w:rsid w:val="00081CD8"/>
    <w:rsid w:val="000829CE"/>
    <w:rsid w:val="000912A7"/>
    <w:rsid w:val="00097C49"/>
    <w:rsid w:val="000A1064"/>
    <w:rsid w:val="000A158A"/>
    <w:rsid w:val="000A1F6C"/>
    <w:rsid w:val="000A609A"/>
    <w:rsid w:val="000A7F0E"/>
    <w:rsid w:val="000B1595"/>
    <w:rsid w:val="000B1C8F"/>
    <w:rsid w:val="000B2151"/>
    <w:rsid w:val="000B2A64"/>
    <w:rsid w:val="000B3E69"/>
    <w:rsid w:val="000B61B2"/>
    <w:rsid w:val="000B75D5"/>
    <w:rsid w:val="000C0D61"/>
    <w:rsid w:val="000C5864"/>
    <w:rsid w:val="000C7CAF"/>
    <w:rsid w:val="000C7EAB"/>
    <w:rsid w:val="000D1A04"/>
    <w:rsid w:val="000D745F"/>
    <w:rsid w:val="000E3474"/>
    <w:rsid w:val="000F241D"/>
    <w:rsid w:val="000F3A3F"/>
    <w:rsid w:val="000F65B6"/>
    <w:rsid w:val="00101017"/>
    <w:rsid w:val="0010134F"/>
    <w:rsid w:val="00102557"/>
    <w:rsid w:val="0011094E"/>
    <w:rsid w:val="001113AA"/>
    <w:rsid w:val="001127C2"/>
    <w:rsid w:val="001138DF"/>
    <w:rsid w:val="00114E9C"/>
    <w:rsid w:val="00131711"/>
    <w:rsid w:val="00132070"/>
    <w:rsid w:val="001320ED"/>
    <w:rsid w:val="00134194"/>
    <w:rsid w:val="00136539"/>
    <w:rsid w:val="00137E84"/>
    <w:rsid w:val="001504FE"/>
    <w:rsid w:val="001513EE"/>
    <w:rsid w:val="001520AC"/>
    <w:rsid w:val="001520CE"/>
    <w:rsid w:val="00152480"/>
    <w:rsid w:val="001536CB"/>
    <w:rsid w:val="00155E92"/>
    <w:rsid w:val="00157C84"/>
    <w:rsid w:val="001610EC"/>
    <w:rsid w:val="00163AEB"/>
    <w:rsid w:val="00163C24"/>
    <w:rsid w:val="00164D56"/>
    <w:rsid w:val="00167B10"/>
    <w:rsid w:val="001703F3"/>
    <w:rsid w:val="00171EFE"/>
    <w:rsid w:val="0017402F"/>
    <w:rsid w:val="00182A17"/>
    <w:rsid w:val="0018358F"/>
    <w:rsid w:val="00183A6A"/>
    <w:rsid w:val="00183FB3"/>
    <w:rsid w:val="00185383"/>
    <w:rsid w:val="0018673C"/>
    <w:rsid w:val="00187733"/>
    <w:rsid w:val="00194FB6"/>
    <w:rsid w:val="00196C1B"/>
    <w:rsid w:val="001A6650"/>
    <w:rsid w:val="001B0F73"/>
    <w:rsid w:val="001B0FFF"/>
    <w:rsid w:val="001B226E"/>
    <w:rsid w:val="001B3596"/>
    <w:rsid w:val="001B4831"/>
    <w:rsid w:val="001B5CF3"/>
    <w:rsid w:val="001C26ED"/>
    <w:rsid w:val="001C2DB7"/>
    <w:rsid w:val="001C582D"/>
    <w:rsid w:val="001C60CB"/>
    <w:rsid w:val="001C6DBF"/>
    <w:rsid w:val="001D144A"/>
    <w:rsid w:val="001D14FE"/>
    <w:rsid w:val="001D2A6F"/>
    <w:rsid w:val="001D464B"/>
    <w:rsid w:val="001D5522"/>
    <w:rsid w:val="001D5C04"/>
    <w:rsid w:val="001E11E7"/>
    <w:rsid w:val="001E2661"/>
    <w:rsid w:val="001E5FDC"/>
    <w:rsid w:val="001F0849"/>
    <w:rsid w:val="001F26CF"/>
    <w:rsid w:val="001F7510"/>
    <w:rsid w:val="00200619"/>
    <w:rsid w:val="00206A04"/>
    <w:rsid w:val="002106CE"/>
    <w:rsid w:val="00211653"/>
    <w:rsid w:val="0021252D"/>
    <w:rsid w:val="0021328F"/>
    <w:rsid w:val="00213770"/>
    <w:rsid w:val="00214B06"/>
    <w:rsid w:val="0021727E"/>
    <w:rsid w:val="0021798D"/>
    <w:rsid w:val="0022126B"/>
    <w:rsid w:val="0022291E"/>
    <w:rsid w:val="00222A2D"/>
    <w:rsid w:val="00223029"/>
    <w:rsid w:val="0022625F"/>
    <w:rsid w:val="0022671B"/>
    <w:rsid w:val="00233C8F"/>
    <w:rsid w:val="00234018"/>
    <w:rsid w:val="00234745"/>
    <w:rsid w:val="00234D26"/>
    <w:rsid w:val="002351A6"/>
    <w:rsid w:val="002407AF"/>
    <w:rsid w:val="0024267C"/>
    <w:rsid w:val="00243552"/>
    <w:rsid w:val="00245E11"/>
    <w:rsid w:val="00250169"/>
    <w:rsid w:val="00251D4E"/>
    <w:rsid w:val="002529FF"/>
    <w:rsid w:val="00255388"/>
    <w:rsid w:val="002575FC"/>
    <w:rsid w:val="00260040"/>
    <w:rsid w:val="002657B9"/>
    <w:rsid w:val="00267A74"/>
    <w:rsid w:val="00271689"/>
    <w:rsid w:val="0027219A"/>
    <w:rsid w:val="0027466B"/>
    <w:rsid w:val="00282CD6"/>
    <w:rsid w:val="002838A5"/>
    <w:rsid w:val="002853A2"/>
    <w:rsid w:val="002858FA"/>
    <w:rsid w:val="00285A85"/>
    <w:rsid w:val="00285BB4"/>
    <w:rsid w:val="00286FDD"/>
    <w:rsid w:val="002876C1"/>
    <w:rsid w:val="00291D50"/>
    <w:rsid w:val="00293241"/>
    <w:rsid w:val="00293637"/>
    <w:rsid w:val="00293914"/>
    <w:rsid w:val="0029430B"/>
    <w:rsid w:val="00294F4F"/>
    <w:rsid w:val="00296A90"/>
    <w:rsid w:val="00296D5A"/>
    <w:rsid w:val="00297BC8"/>
    <w:rsid w:val="002A2929"/>
    <w:rsid w:val="002A382A"/>
    <w:rsid w:val="002B584A"/>
    <w:rsid w:val="002C0425"/>
    <w:rsid w:val="002C09E3"/>
    <w:rsid w:val="002C12C8"/>
    <w:rsid w:val="002C15B9"/>
    <w:rsid w:val="002C1B39"/>
    <w:rsid w:val="002C3779"/>
    <w:rsid w:val="002C38A3"/>
    <w:rsid w:val="002D1B13"/>
    <w:rsid w:val="002D1DE2"/>
    <w:rsid w:val="002E1029"/>
    <w:rsid w:val="002E7EA4"/>
    <w:rsid w:val="002F0F3D"/>
    <w:rsid w:val="002F2C2E"/>
    <w:rsid w:val="002F3DB2"/>
    <w:rsid w:val="002F691D"/>
    <w:rsid w:val="002F7AAA"/>
    <w:rsid w:val="0030398B"/>
    <w:rsid w:val="00310B64"/>
    <w:rsid w:val="00313C2E"/>
    <w:rsid w:val="00320503"/>
    <w:rsid w:val="00327A6C"/>
    <w:rsid w:val="003312A3"/>
    <w:rsid w:val="003316AD"/>
    <w:rsid w:val="0033178E"/>
    <w:rsid w:val="003361FB"/>
    <w:rsid w:val="00336619"/>
    <w:rsid w:val="00336F08"/>
    <w:rsid w:val="00337883"/>
    <w:rsid w:val="00337CEB"/>
    <w:rsid w:val="00344925"/>
    <w:rsid w:val="00344B58"/>
    <w:rsid w:val="0034539A"/>
    <w:rsid w:val="00345CB4"/>
    <w:rsid w:val="00347312"/>
    <w:rsid w:val="00347530"/>
    <w:rsid w:val="00347D98"/>
    <w:rsid w:val="003608C4"/>
    <w:rsid w:val="003634F5"/>
    <w:rsid w:val="003640D1"/>
    <w:rsid w:val="003645FA"/>
    <w:rsid w:val="00367E0A"/>
    <w:rsid w:val="00371300"/>
    <w:rsid w:val="003726ED"/>
    <w:rsid w:val="00373FD1"/>
    <w:rsid w:val="00374526"/>
    <w:rsid w:val="00375D42"/>
    <w:rsid w:val="0037626A"/>
    <w:rsid w:val="00376D5B"/>
    <w:rsid w:val="00381170"/>
    <w:rsid w:val="00381D3B"/>
    <w:rsid w:val="00382A9A"/>
    <w:rsid w:val="0038557A"/>
    <w:rsid w:val="003863F2"/>
    <w:rsid w:val="00387365"/>
    <w:rsid w:val="003917E8"/>
    <w:rsid w:val="003947FE"/>
    <w:rsid w:val="003958A6"/>
    <w:rsid w:val="003A208A"/>
    <w:rsid w:val="003A22D1"/>
    <w:rsid w:val="003A3515"/>
    <w:rsid w:val="003A42E2"/>
    <w:rsid w:val="003A5190"/>
    <w:rsid w:val="003B5263"/>
    <w:rsid w:val="003C5630"/>
    <w:rsid w:val="003C6255"/>
    <w:rsid w:val="003D069C"/>
    <w:rsid w:val="003D2989"/>
    <w:rsid w:val="003D2EB4"/>
    <w:rsid w:val="003D2FCA"/>
    <w:rsid w:val="003D4387"/>
    <w:rsid w:val="003D7646"/>
    <w:rsid w:val="003E1492"/>
    <w:rsid w:val="003F07FA"/>
    <w:rsid w:val="003F0F03"/>
    <w:rsid w:val="003F113A"/>
    <w:rsid w:val="003F14DB"/>
    <w:rsid w:val="003F1BA5"/>
    <w:rsid w:val="003F3E63"/>
    <w:rsid w:val="003F7986"/>
    <w:rsid w:val="003F7A2C"/>
    <w:rsid w:val="00400590"/>
    <w:rsid w:val="00404C88"/>
    <w:rsid w:val="00407480"/>
    <w:rsid w:val="00414643"/>
    <w:rsid w:val="00414967"/>
    <w:rsid w:val="00421226"/>
    <w:rsid w:val="00421373"/>
    <w:rsid w:val="00423E21"/>
    <w:rsid w:val="0042512D"/>
    <w:rsid w:val="00426067"/>
    <w:rsid w:val="00426E59"/>
    <w:rsid w:val="00432AF2"/>
    <w:rsid w:val="00433EE3"/>
    <w:rsid w:val="00435107"/>
    <w:rsid w:val="004421E5"/>
    <w:rsid w:val="00444D8C"/>
    <w:rsid w:val="00452284"/>
    <w:rsid w:val="00453506"/>
    <w:rsid w:val="00455CB2"/>
    <w:rsid w:val="00455D98"/>
    <w:rsid w:val="00455EFD"/>
    <w:rsid w:val="00455F0B"/>
    <w:rsid w:val="00457C8E"/>
    <w:rsid w:val="00460582"/>
    <w:rsid w:val="00461A15"/>
    <w:rsid w:val="0046476F"/>
    <w:rsid w:val="00464990"/>
    <w:rsid w:val="004661A6"/>
    <w:rsid w:val="00470120"/>
    <w:rsid w:val="00471796"/>
    <w:rsid w:val="0047249E"/>
    <w:rsid w:val="00472F18"/>
    <w:rsid w:val="00473141"/>
    <w:rsid w:val="00476821"/>
    <w:rsid w:val="00477EAC"/>
    <w:rsid w:val="00482F82"/>
    <w:rsid w:val="00483A38"/>
    <w:rsid w:val="00483C3F"/>
    <w:rsid w:val="00484EE5"/>
    <w:rsid w:val="004856CA"/>
    <w:rsid w:val="00487A06"/>
    <w:rsid w:val="00487E67"/>
    <w:rsid w:val="00490EE8"/>
    <w:rsid w:val="00493F96"/>
    <w:rsid w:val="00494F5C"/>
    <w:rsid w:val="0049705E"/>
    <w:rsid w:val="00497184"/>
    <w:rsid w:val="004A1680"/>
    <w:rsid w:val="004A2A5C"/>
    <w:rsid w:val="004A34A0"/>
    <w:rsid w:val="004A46D6"/>
    <w:rsid w:val="004B1EBF"/>
    <w:rsid w:val="004B268E"/>
    <w:rsid w:val="004B503F"/>
    <w:rsid w:val="004B674E"/>
    <w:rsid w:val="004B7B5D"/>
    <w:rsid w:val="004C0405"/>
    <w:rsid w:val="004D06CC"/>
    <w:rsid w:val="004D243B"/>
    <w:rsid w:val="004D658D"/>
    <w:rsid w:val="004E1D33"/>
    <w:rsid w:val="004E3412"/>
    <w:rsid w:val="004E72D9"/>
    <w:rsid w:val="004E7679"/>
    <w:rsid w:val="004F6340"/>
    <w:rsid w:val="004F7805"/>
    <w:rsid w:val="005008A8"/>
    <w:rsid w:val="00501F6D"/>
    <w:rsid w:val="00501FB1"/>
    <w:rsid w:val="0050627F"/>
    <w:rsid w:val="00506F70"/>
    <w:rsid w:val="0051049D"/>
    <w:rsid w:val="005119F7"/>
    <w:rsid w:val="005132CE"/>
    <w:rsid w:val="00514DBE"/>
    <w:rsid w:val="0051521C"/>
    <w:rsid w:val="00520688"/>
    <w:rsid w:val="0052166D"/>
    <w:rsid w:val="00522B77"/>
    <w:rsid w:val="00522DC4"/>
    <w:rsid w:val="00523649"/>
    <w:rsid w:val="005242D0"/>
    <w:rsid w:val="00524D3B"/>
    <w:rsid w:val="00526B7B"/>
    <w:rsid w:val="005308CE"/>
    <w:rsid w:val="0053318C"/>
    <w:rsid w:val="00535407"/>
    <w:rsid w:val="005378F5"/>
    <w:rsid w:val="00540087"/>
    <w:rsid w:val="00540EE7"/>
    <w:rsid w:val="00541211"/>
    <w:rsid w:val="00542323"/>
    <w:rsid w:val="00543F82"/>
    <w:rsid w:val="00545252"/>
    <w:rsid w:val="0054620B"/>
    <w:rsid w:val="00547BC6"/>
    <w:rsid w:val="00554CCA"/>
    <w:rsid w:val="00555A11"/>
    <w:rsid w:val="00556CCC"/>
    <w:rsid w:val="005574DC"/>
    <w:rsid w:val="00564A9B"/>
    <w:rsid w:val="00566830"/>
    <w:rsid w:val="0057439C"/>
    <w:rsid w:val="00574C57"/>
    <w:rsid w:val="0057793A"/>
    <w:rsid w:val="00582466"/>
    <w:rsid w:val="00583199"/>
    <w:rsid w:val="005864C6"/>
    <w:rsid w:val="00591766"/>
    <w:rsid w:val="00593E0F"/>
    <w:rsid w:val="00595965"/>
    <w:rsid w:val="0059673B"/>
    <w:rsid w:val="005A06C3"/>
    <w:rsid w:val="005A3268"/>
    <w:rsid w:val="005A4268"/>
    <w:rsid w:val="005A512D"/>
    <w:rsid w:val="005B0127"/>
    <w:rsid w:val="005B1D56"/>
    <w:rsid w:val="005B20C4"/>
    <w:rsid w:val="005B3D6F"/>
    <w:rsid w:val="005B3EF9"/>
    <w:rsid w:val="005B7A35"/>
    <w:rsid w:val="005C4B73"/>
    <w:rsid w:val="005C6A5F"/>
    <w:rsid w:val="005C76E0"/>
    <w:rsid w:val="005D63A1"/>
    <w:rsid w:val="005E1D2B"/>
    <w:rsid w:val="005E4514"/>
    <w:rsid w:val="005E4EAF"/>
    <w:rsid w:val="005E7074"/>
    <w:rsid w:val="005F22D8"/>
    <w:rsid w:val="005F2BAF"/>
    <w:rsid w:val="005F3587"/>
    <w:rsid w:val="005F3C26"/>
    <w:rsid w:val="00600BB4"/>
    <w:rsid w:val="00600D93"/>
    <w:rsid w:val="0060150E"/>
    <w:rsid w:val="00601E3D"/>
    <w:rsid w:val="00602462"/>
    <w:rsid w:val="0060255F"/>
    <w:rsid w:val="006050BD"/>
    <w:rsid w:val="00614784"/>
    <w:rsid w:val="006156B3"/>
    <w:rsid w:val="00621C37"/>
    <w:rsid w:val="00623AB9"/>
    <w:rsid w:val="00630A10"/>
    <w:rsid w:val="0063276A"/>
    <w:rsid w:val="0063300C"/>
    <w:rsid w:val="0063450B"/>
    <w:rsid w:val="006358F4"/>
    <w:rsid w:val="006359AE"/>
    <w:rsid w:val="00647D31"/>
    <w:rsid w:val="00650A5C"/>
    <w:rsid w:val="00655736"/>
    <w:rsid w:val="006576B2"/>
    <w:rsid w:val="00657F18"/>
    <w:rsid w:val="00661073"/>
    <w:rsid w:val="00663B8D"/>
    <w:rsid w:val="006721FD"/>
    <w:rsid w:val="00682B0F"/>
    <w:rsid w:val="006879FC"/>
    <w:rsid w:val="00687FF4"/>
    <w:rsid w:val="00694EAF"/>
    <w:rsid w:val="00696C8D"/>
    <w:rsid w:val="006A185A"/>
    <w:rsid w:val="006A2028"/>
    <w:rsid w:val="006A2AC2"/>
    <w:rsid w:val="006A3617"/>
    <w:rsid w:val="006B2D9F"/>
    <w:rsid w:val="006B4237"/>
    <w:rsid w:val="006B6358"/>
    <w:rsid w:val="006C0E3B"/>
    <w:rsid w:val="006C3446"/>
    <w:rsid w:val="006D094E"/>
    <w:rsid w:val="006D0CAF"/>
    <w:rsid w:val="006D702A"/>
    <w:rsid w:val="006D7483"/>
    <w:rsid w:val="006E16DD"/>
    <w:rsid w:val="006E30B2"/>
    <w:rsid w:val="006E46E4"/>
    <w:rsid w:val="006F11D1"/>
    <w:rsid w:val="00700094"/>
    <w:rsid w:val="00700EF6"/>
    <w:rsid w:val="00704C8E"/>
    <w:rsid w:val="0070626B"/>
    <w:rsid w:val="0070723C"/>
    <w:rsid w:val="00707E84"/>
    <w:rsid w:val="0071093A"/>
    <w:rsid w:val="00711B8C"/>
    <w:rsid w:val="007146A2"/>
    <w:rsid w:val="00716378"/>
    <w:rsid w:val="00716CEA"/>
    <w:rsid w:val="00717DA5"/>
    <w:rsid w:val="00722937"/>
    <w:rsid w:val="007231B5"/>
    <w:rsid w:val="0072491A"/>
    <w:rsid w:val="00725686"/>
    <w:rsid w:val="007258D8"/>
    <w:rsid w:val="00726A80"/>
    <w:rsid w:val="00727109"/>
    <w:rsid w:val="00731168"/>
    <w:rsid w:val="00733FA1"/>
    <w:rsid w:val="00735B37"/>
    <w:rsid w:val="00737A2B"/>
    <w:rsid w:val="00742A72"/>
    <w:rsid w:val="00742B4E"/>
    <w:rsid w:val="00744484"/>
    <w:rsid w:val="00747566"/>
    <w:rsid w:val="007521DC"/>
    <w:rsid w:val="00752FBA"/>
    <w:rsid w:val="00753786"/>
    <w:rsid w:val="00753D21"/>
    <w:rsid w:val="0075748D"/>
    <w:rsid w:val="00763014"/>
    <w:rsid w:val="0076481F"/>
    <w:rsid w:val="00766699"/>
    <w:rsid w:val="00767E9D"/>
    <w:rsid w:val="007707F7"/>
    <w:rsid w:val="007708BC"/>
    <w:rsid w:val="007719E6"/>
    <w:rsid w:val="00773188"/>
    <w:rsid w:val="00781E1D"/>
    <w:rsid w:val="00783782"/>
    <w:rsid w:val="007839E1"/>
    <w:rsid w:val="00783C54"/>
    <w:rsid w:val="00784B8C"/>
    <w:rsid w:val="007869A4"/>
    <w:rsid w:val="007879E1"/>
    <w:rsid w:val="00791176"/>
    <w:rsid w:val="00792550"/>
    <w:rsid w:val="007934AF"/>
    <w:rsid w:val="007938E9"/>
    <w:rsid w:val="00793BB1"/>
    <w:rsid w:val="00795BCE"/>
    <w:rsid w:val="00797003"/>
    <w:rsid w:val="00797E74"/>
    <w:rsid w:val="00797EEA"/>
    <w:rsid w:val="007A0B90"/>
    <w:rsid w:val="007A23D7"/>
    <w:rsid w:val="007B1C48"/>
    <w:rsid w:val="007B4B53"/>
    <w:rsid w:val="007C69B4"/>
    <w:rsid w:val="007E1243"/>
    <w:rsid w:val="007E390B"/>
    <w:rsid w:val="007E4683"/>
    <w:rsid w:val="007E77C3"/>
    <w:rsid w:val="007E7EC5"/>
    <w:rsid w:val="007F63A5"/>
    <w:rsid w:val="007F77DD"/>
    <w:rsid w:val="00805856"/>
    <w:rsid w:val="00805D8E"/>
    <w:rsid w:val="00806525"/>
    <w:rsid w:val="00806DE2"/>
    <w:rsid w:val="008100A1"/>
    <w:rsid w:val="00811E6F"/>
    <w:rsid w:val="00815B7F"/>
    <w:rsid w:val="008160C5"/>
    <w:rsid w:val="0081618D"/>
    <w:rsid w:val="00823A11"/>
    <w:rsid w:val="00825005"/>
    <w:rsid w:val="00833D71"/>
    <w:rsid w:val="008340A1"/>
    <w:rsid w:val="00834423"/>
    <w:rsid w:val="008411C8"/>
    <w:rsid w:val="00847C9B"/>
    <w:rsid w:val="00851DCF"/>
    <w:rsid w:val="00853AD9"/>
    <w:rsid w:val="0085405E"/>
    <w:rsid w:val="0085414A"/>
    <w:rsid w:val="0085446B"/>
    <w:rsid w:val="0085529D"/>
    <w:rsid w:val="008558F9"/>
    <w:rsid w:val="0085707C"/>
    <w:rsid w:val="00860C3E"/>
    <w:rsid w:val="00860E4E"/>
    <w:rsid w:val="00862582"/>
    <w:rsid w:val="0086269D"/>
    <w:rsid w:val="00863B9B"/>
    <w:rsid w:val="0086543A"/>
    <w:rsid w:val="00867002"/>
    <w:rsid w:val="008724E5"/>
    <w:rsid w:val="008747AA"/>
    <w:rsid w:val="00880D93"/>
    <w:rsid w:val="0088333F"/>
    <w:rsid w:val="00884A9D"/>
    <w:rsid w:val="0088512B"/>
    <w:rsid w:val="0089418F"/>
    <w:rsid w:val="00894FD8"/>
    <w:rsid w:val="008956B2"/>
    <w:rsid w:val="00897F0A"/>
    <w:rsid w:val="008A2B2D"/>
    <w:rsid w:val="008A3029"/>
    <w:rsid w:val="008A4E1E"/>
    <w:rsid w:val="008A605B"/>
    <w:rsid w:val="008B1D73"/>
    <w:rsid w:val="008B2D1D"/>
    <w:rsid w:val="008C0BCB"/>
    <w:rsid w:val="008C0FBF"/>
    <w:rsid w:val="008C2771"/>
    <w:rsid w:val="008C296C"/>
    <w:rsid w:val="008C5F85"/>
    <w:rsid w:val="008D0C52"/>
    <w:rsid w:val="008D4305"/>
    <w:rsid w:val="008E1A85"/>
    <w:rsid w:val="008E4F17"/>
    <w:rsid w:val="008E6DCC"/>
    <w:rsid w:val="008F1713"/>
    <w:rsid w:val="008F3B6D"/>
    <w:rsid w:val="009011C8"/>
    <w:rsid w:val="00902D07"/>
    <w:rsid w:val="0091014A"/>
    <w:rsid w:val="00910F74"/>
    <w:rsid w:val="00913F95"/>
    <w:rsid w:val="009163A7"/>
    <w:rsid w:val="00926A3A"/>
    <w:rsid w:val="009304CD"/>
    <w:rsid w:val="00931FCB"/>
    <w:rsid w:val="00934CDF"/>
    <w:rsid w:val="00936B98"/>
    <w:rsid w:val="00941EB2"/>
    <w:rsid w:val="00946262"/>
    <w:rsid w:val="00946779"/>
    <w:rsid w:val="00946D0B"/>
    <w:rsid w:val="009556F8"/>
    <w:rsid w:val="00955877"/>
    <w:rsid w:val="009629A7"/>
    <w:rsid w:val="00964132"/>
    <w:rsid w:val="009660F5"/>
    <w:rsid w:val="00970622"/>
    <w:rsid w:val="00972949"/>
    <w:rsid w:val="00973E55"/>
    <w:rsid w:val="0097409D"/>
    <w:rsid w:val="00974156"/>
    <w:rsid w:val="00974E82"/>
    <w:rsid w:val="00976047"/>
    <w:rsid w:val="009761AF"/>
    <w:rsid w:val="00981E84"/>
    <w:rsid w:val="009957A4"/>
    <w:rsid w:val="009A18CD"/>
    <w:rsid w:val="009A6EB9"/>
    <w:rsid w:val="009A740D"/>
    <w:rsid w:val="009A7C58"/>
    <w:rsid w:val="009B1FF2"/>
    <w:rsid w:val="009B3CD5"/>
    <w:rsid w:val="009B73CF"/>
    <w:rsid w:val="009C6184"/>
    <w:rsid w:val="009D01C4"/>
    <w:rsid w:val="009D0BBB"/>
    <w:rsid w:val="009D5428"/>
    <w:rsid w:val="009D69E2"/>
    <w:rsid w:val="009D7906"/>
    <w:rsid w:val="009E0B1D"/>
    <w:rsid w:val="009E1B79"/>
    <w:rsid w:val="009E3611"/>
    <w:rsid w:val="009E5021"/>
    <w:rsid w:val="009E6731"/>
    <w:rsid w:val="009F1C8B"/>
    <w:rsid w:val="009F4396"/>
    <w:rsid w:val="009F50DE"/>
    <w:rsid w:val="009F53EF"/>
    <w:rsid w:val="009F6692"/>
    <w:rsid w:val="009F7F74"/>
    <w:rsid w:val="00A06934"/>
    <w:rsid w:val="00A07A46"/>
    <w:rsid w:val="00A10175"/>
    <w:rsid w:val="00A1155F"/>
    <w:rsid w:val="00A12558"/>
    <w:rsid w:val="00A13903"/>
    <w:rsid w:val="00A16460"/>
    <w:rsid w:val="00A21CD8"/>
    <w:rsid w:val="00A3125E"/>
    <w:rsid w:val="00A31647"/>
    <w:rsid w:val="00A31974"/>
    <w:rsid w:val="00A31D6A"/>
    <w:rsid w:val="00A34ED5"/>
    <w:rsid w:val="00A35D00"/>
    <w:rsid w:val="00A37408"/>
    <w:rsid w:val="00A44294"/>
    <w:rsid w:val="00A44405"/>
    <w:rsid w:val="00A45DBF"/>
    <w:rsid w:val="00A47763"/>
    <w:rsid w:val="00A50C2C"/>
    <w:rsid w:val="00A51493"/>
    <w:rsid w:val="00A51FBE"/>
    <w:rsid w:val="00A62DD0"/>
    <w:rsid w:val="00A65E8A"/>
    <w:rsid w:val="00A6633D"/>
    <w:rsid w:val="00A755A2"/>
    <w:rsid w:val="00A75DB3"/>
    <w:rsid w:val="00A81731"/>
    <w:rsid w:val="00A81FD9"/>
    <w:rsid w:val="00A82587"/>
    <w:rsid w:val="00A83E05"/>
    <w:rsid w:val="00A87912"/>
    <w:rsid w:val="00A87BA1"/>
    <w:rsid w:val="00A87D44"/>
    <w:rsid w:val="00A87FFC"/>
    <w:rsid w:val="00A90D81"/>
    <w:rsid w:val="00A92BDB"/>
    <w:rsid w:val="00A94F21"/>
    <w:rsid w:val="00A9513B"/>
    <w:rsid w:val="00A9696A"/>
    <w:rsid w:val="00AA1BF9"/>
    <w:rsid w:val="00AA49BF"/>
    <w:rsid w:val="00AA517D"/>
    <w:rsid w:val="00AA6660"/>
    <w:rsid w:val="00AB2C36"/>
    <w:rsid w:val="00AB6DDE"/>
    <w:rsid w:val="00AB70B6"/>
    <w:rsid w:val="00AB7E7C"/>
    <w:rsid w:val="00AC12B8"/>
    <w:rsid w:val="00AC2169"/>
    <w:rsid w:val="00AC31D2"/>
    <w:rsid w:val="00AC34F6"/>
    <w:rsid w:val="00AC4C62"/>
    <w:rsid w:val="00AC7CE9"/>
    <w:rsid w:val="00AD1A86"/>
    <w:rsid w:val="00AD476B"/>
    <w:rsid w:val="00AD73CC"/>
    <w:rsid w:val="00AE103E"/>
    <w:rsid w:val="00AE19EA"/>
    <w:rsid w:val="00AE4212"/>
    <w:rsid w:val="00AE4CC2"/>
    <w:rsid w:val="00AF06DC"/>
    <w:rsid w:val="00AF0A07"/>
    <w:rsid w:val="00AF0E4E"/>
    <w:rsid w:val="00AF1AF3"/>
    <w:rsid w:val="00AF1F7F"/>
    <w:rsid w:val="00AF2B93"/>
    <w:rsid w:val="00AF3285"/>
    <w:rsid w:val="00AF4AEC"/>
    <w:rsid w:val="00AF625E"/>
    <w:rsid w:val="00B01624"/>
    <w:rsid w:val="00B024DC"/>
    <w:rsid w:val="00B06384"/>
    <w:rsid w:val="00B139BE"/>
    <w:rsid w:val="00B1455F"/>
    <w:rsid w:val="00B1674D"/>
    <w:rsid w:val="00B17CA1"/>
    <w:rsid w:val="00B20896"/>
    <w:rsid w:val="00B215A5"/>
    <w:rsid w:val="00B246E3"/>
    <w:rsid w:val="00B24D0F"/>
    <w:rsid w:val="00B27CF5"/>
    <w:rsid w:val="00B31E31"/>
    <w:rsid w:val="00B32BD6"/>
    <w:rsid w:val="00B32ECA"/>
    <w:rsid w:val="00B34EA8"/>
    <w:rsid w:val="00B4028B"/>
    <w:rsid w:val="00B422ED"/>
    <w:rsid w:val="00B45C77"/>
    <w:rsid w:val="00B5737B"/>
    <w:rsid w:val="00B62DF0"/>
    <w:rsid w:val="00B73B3A"/>
    <w:rsid w:val="00B73D13"/>
    <w:rsid w:val="00B74C67"/>
    <w:rsid w:val="00B75CD9"/>
    <w:rsid w:val="00B927DC"/>
    <w:rsid w:val="00B954EE"/>
    <w:rsid w:val="00B963DD"/>
    <w:rsid w:val="00BA2253"/>
    <w:rsid w:val="00BA241A"/>
    <w:rsid w:val="00BA7566"/>
    <w:rsid w:val="00BB04AF"/>
    <w:rsid w:val="00BB19FA"/>
    <w:rsid w:val="00BB46F9"/>
    <w:rsid w:val="00BB573F"/>
    <w:rsid w:val="00BB632D"/>
    <w:rsid w:val="00BB6D29"/>
    <w:rsid w:val="00BC403D"/>
    <w:rsid w:val="00BC68DC"/>
    <w:rsid w:val="00BD4B37"/>
    <w:rsid w:val="00BD52C9"/>
    <w:rsid w:val="00BD5A67"/>
    <w:rsid w:val="00BD5AF3"/>
    <w:rsid w:val="00BD5BB5"/>
    <w:rsid w:val="00BD6BFE"/>
    <w:rsid w:val="00BE0D01"/>
    <w:rsid w:val="00BE270D"/>
    <w:rsid w:val="00BE5844"/>
    <w:rsid w:val="00BE6354"/>
    <w:rsid w:val="00BE7BE5"/>
    <w:rsid w:val="00BF12A7"/>
    <w:rsid w:val="00BF557A"/>
    <w:rsid w:val="00C00C51"/>
    <w:rsid w:val="00C00D3A"/>
    <w:rsid w:val="00C01D8A"/>
    <w:rsid w:val="00C04587"/>
    <w:rsid w:val="00C04773"/>
    <w:rsid w:val="00C04A70"/>
    <w:rsid w:val="00C058E9"/>
    <w:rsid w:val="00C138D1"/>
    <w:rsid w:val="00C14CA3"/>
    <w:rsid w:val="00C218D7"/>
    <w:rsid w:val="00C22F3C"/>
    <w:rsid w:val="00C23A97"/>
    <w:rsid w:val="00C31361"/>
    <w:rsid w:val="00C32BC9"/>
    <w:rsid w:val="00C33D0C"/>
    <w:rsid w:val="00C44CCE"/>
    <w:rsid w:val="00C470A4"/>
    <w:rsid w:val="00C50291"/>
    <w:rsid w:val="00C504C1"/>
    <w:rsid w:val="00C51483"/>
    <w:rsid w:val="00C51EF6"/>
    <w:rsid w:val="00C5776D"/>
    <w:rsid w:val="00C60C77"/>
    <w:rsid w:val="00C6127A"/>
    <w:rsid w:val="00C64855"/>
    <w:rsid w:val="00C7008E"/>
    <w:rsid w:val="00C7088A"/>
    <w:rsid w:val="00C70EA7"/>
    <w:rsid w:val="00C7433F"/>
    <w:rsid w:val="00C7516E"/>
    <w:rsid w:val="00C75770"/>
    <w:rsid w:val="00C76303"/>
    <w:rsid w:val="00C77AF2"/>
    <w:rsid w:val="00C86DD5"/>
    <w:rsid w:val="00C91612"/>
    <w:rsid w:val="00C94D6B"/>
    <w:rsid w:val="00C961AD"/>
    <w:rsid w:val="00C97604"/>
    <w:rsid w:val="00CA17FD"/>
    <w:rsid w:val="00CA47CA"/>
    <w:rsid w:val="00CA56BB"/>
    <w:rsid w:val="00CB0542"/>
    <w:rsid w:val="00CB53F3"/>
    <w:rsid w:val="00CB6178"/>
    <w:rsid w:val="00CC4742"/>
    <w:rsid w:val="00CD1002"/>
    <w:rsid w:val="00CD1C2B"/>
    <w:rsid w:val="00CD44D6"/>
    <w:rsid w:val="00CD526A"/>
    <w:rsid w:val="00CD66E3"/>
    <w:rsid w:val="00CD71CC"/>
    <w:rsid w:val="00CE0AB8"/>
    <w:rsid w:val="00CE14EF"/>
    <w:rsid w:val="00CE2282"/>
    <w:rsid w:val="00CE2902"/>
    <w:rsid w:val="00CE5060"/>
    <w:rsid w:val="00CE6D6E"/>
    <w:rsid w:val="00CE6E21"/>
    <w:rsid w:val="00CE71B8"/>
    <w:rsid w:val="00CF0714"/>
    <w:rsid w:val="00CF1600"/>
    <w:rsid w:val="00CF2B0B"/>
    <w:rsid w:val="00CF3D16"/>
    <w:rsid w:val="00CF516C"/>
    <w:rsid w:val="00CF5F74"/>
    <w:rsid w:val="00D002E0"/>
    <w:rsid w:val="00D00B2B"/>
    <w:rsid w:val="00D01AC5"/>
    <w:rsid w:val="00D039C3"/>
    <w:rsid w:val="00D07A4D"/>
    <w:rsid w:val="00D10398"/>
    <w:rsid w:val="00D1234C"/>
    <w:rsid w:val="00D13C6C"/>
    <w:rsid w:val="00D13F6E"/>
    <w:rsid w:val="00D159BE"/>
    <w:rsid w:val="00D20BD7"/>
    <w:rsid w:val="00D2289C"/>
    <w:rsid w:val="00D24877"/>
    <w:rsid w:val="00D24CFA"/>
    <w:rsid w:val="00D27A96"/>
    <w:rsid w:val="00D3254D"/>
    <w:rsid w:val="00D34C88"/>
    <w:rsid w:val="00D34E3D"/>
    <w:rsid w:val="00D3799E"/>
    <w:rsid w:val="00D400E8"/>
    <w:rsid w:val="00D407C7"/>
    <w:rsid w:val="00D43AA8"/>
    <w:rsid w:val="00D4533B"/>
    <w:rsid w:val="00D46CF6"/>
    <w:rsid w:val="00D519DA"/>
    <w:rsid w:val="00D5409C"/>
    <w:rsid w:val="00D57ABC"/>
    <w:rsid w:val="00D625A2"/>
    <w:rsid w:val="00D64D45"/>
    <w:rsid w:val="00D6522B"/>
    <w:rsid w:val="00D70560"/>
    <w:rsid w:val="00D736C5"/>
    <w:rsid w:val="00D76E59"/>
    <w:rsid w:val="00D779F7"/>
    <w:rsid w:val="00D77F64"/>
    <w:rsid w:val="00D8250F"/>
    <w:rsid w:val="00D946AC"/>
    <w:rsid w:val="00D95C4C"/>
    <w:rsid w:val="00DA035C"/>
    <w:rsid w:val="00DA0D5A"/>
    <w:rsid w:val="00DA36ED"/>
    <w:rsid w:val="00DA3FE8"/>
    <w:rsid w:val="00DB4FB7"/>
    <w:rsid w:val="00DC0674"/>
    <w:rsid w:val="00DC078F"/>
    <w:rsid w:val="00DC6BE9"/>
    <w:rsid w:val="00DD173A"/>
    <w:rsid w:val="00DE0436"/>
    <w:rsid w:val="00DE34F1"/>
    <w:rsid w:val="00DE3C88"/>
    <w:rsid w:val="00DE3E88"/>
    <w:rsid w:val="00DE46E9"/>
    <w:rsid w:val="00DE584D"/>
    <w:rsid w:val="00DE6160"/>
    <w:rsid w:val="00DE7CE4"/>
    <w:rsid w:val="00DF1FD8"/>
    <w:rsid w:val="00DF2AF5"/>
    <w:rsid w:val="00DF2CAB"/>
    <w:rsid w:val="00DF4942"/>
    <w:rsid w:val="00DF5746"/>
    <w:rsid w:val="00DF5ED8"/>
    <w:rsid w:val="00DF7ABC"/>
    <w:rsid w:val="00E049C6"/>
    <w:rsid w:val="00E07E5A"/>
    <w:rsid w:val="00E145BB"/>
    <w:rsid w:val="00E15C37"/>
    <w:rsid w:val="00E17102"/>
    <w:rsid w:val="00E17E5A"/>
    <w:rsid w:val="00E201B4"/>
    <w:rsid w:val="00E21D54"/>
    <w:rsid w:val="00E244E1"/>
    <w:rsid w:val="00E32D54"/>
    <w:rsid w:val="00E3647B"/>
    <w:rsid w:val="00E45A1C"/>
    <w:rsid w:val="00E465C8"/>
    <w:rsid w:val="00E56374"/>
    <w:rsid w:val="00E57B83"/>
    <w:rsid w:val="00E57DB9"/>
    <w:rsid w:val="00E627B1"/>
    <w:rsid w:val="00E628DE"/>
    <w:rsid w:val="00E639C0"/>
    <w:rsid w:val="00E67B75"/>
    <w:rsid w:val="00E70147"/>
    <w:rsid w:val="00E70169"/>
    <w:rsid w:val="00E73851"/>
    <w:rsid w:val="00E74877"/>
    <w:rsid w:val="00E8604C"/>
    <w:rsid w:val="00E91DD5"/>
    <w:rsid w:val="00E936A4"/>
    <w:rsid w:val="00E9376C"/>
    <w:rsid w:val="00E95AE2"/>
    <w:rsid w:val="00E95FE6"/>
    <w:rsid w:val="00E9783E"/>
    <w:rsid w:val="00EA1F96"/>
    <w:rsid w:val="00EA335E"/>
    <w:rsid w:val="00EA4E31"/>
    <w:rsid w:val="00EA4ECF"/>
    <w:rsid w:val="00EA528C"/>
    <w:rsid w:val="00EA580C"/>
    <w:rsid w:val="00EB1C15"/>
    <w:rsid w:val="00EB54A0"/>
    <w:rsid w:val="00EB663A"/>
    <w:rsid w:val="00EC0CDD"/>
    <w:rsid w:val="00EC1E68"/>
    <w:rsid w:val="00EC1F4F"/>
    <w:rsid w:val="00EC2AB4"/>
    <w:rsid w:val="00EC3B65"/>
    <w:rsid w:val="00EC449E"/>
    <w:rsid w:val="00EC6F8D"/>
    <w:rsid w:val="00ED650E"/>
    <w:rsid w:val="00ED6EFE"/>
    <w:rsid w:val="00ED79C1"/>
    <w:rsid w:val="00EE25AC"/>
    <w:rsid w:val="00EE2DF9"/>
    <w:rsid w:val="00EE49F4"/>
    <w:rsid w:val="00EE69D8"/>
    <w:rsid w:val="00EF0D4E"/>
    <w:rsid w:val="00EF25B5"/>
    <w:rsid w:val="00EF34E2"/>
    <w:rsid w:val="00EF7874"/>
    <w:rsid w:val="00F04A20"/>
    <w:rsid w:val="00F06BA7"/>
    <w:rsid w:val="00F1069D"/>
    <w:rsid w:val="00F11E20"/>
    <w:rsid w:val="00F1641F"/>
    <w:rsid w:val="00F17FEE"/>
    <w:rsid w:val="00F22FBC"/>
    <w:rsid w:val="00F23336"/>
    <w:rsid w:val="00F24040"/>
    <w:rsid w:val="00F269F7"/>
    <w:rsid w:val="00F27549"/>
    <w:rsid w:val="00F27D29"/>
    <w:rsid w:val="00F30058"/>
    <w:rsid w:val="00F30DC6"/>
    <w:rsid w:val="00F32C23"/>
    <w:rsid w:val="00F47206"/>
    <w:rsid w:val="00F47A38"/>
    <w:rsid w:val="00F51316"/>
    <w:rsid w:val="00F51D13"/>
    <w:rsid w:val="00F53DE9"/>
    <w:rsid w:val="00F547E0"/>
    <w:rsid w:val="00F576CB"/>
    <w:rsid w:val="00F62213"/>
    <w:rsid w:val="00F7035D"/>
    <w:rsid w:val="00F71A02"/>
    <w:rsid w:val="00F720FA"/>
    <w:rsid w:val="00F72332"/>
    <w:rsid w:val="00F81F31"/>
    <w:rsid w:val="00F83D14"/>
    <w:rsid w:val="00F84996"/>
    <w:rsid w:val="00F8602B"/>
    <w:rsid w:val="00F918A4"/>
    <w:rsid w:val="00F941C6"/>
    <w:rsid w:val="00F95979"/>
    <w:rsid w:val="00FA0564"/>
    <w:rsid w:val="00FA0BF8"/>
    <w:rsid w:val="00FA0D63"/>
    <w:rsid w:val="00FA1581"/>
    <w:rsid w:val="00FA42FA"/>
    <w:rsid w:val="00FA5DA2"/>
    <w:rsid w:val="00FA7821"/>
    <w:rsid w:val="00FB7AF0"/>
    <w:rsid w:val="00FC01BC"/>
    <w:rsid w:val="00FC0C97"/>
    <w:rsid w:val="00FC2231"/>
    <w:rsid w:val="00FC4C9E"/>
    <w:rsid w:val="00FD1226"/>
    <w:rsid w:val="00FD29E6"/>
    <w:rsid w:val="00FD2F69"/>
    <w:rsid w:val="00FD5189"/>
    <w:rsid w:val="00FD7E3D"/>
    <w:rsid w:val="00FD7F78"/>
    <w:rsid w:val="00FE27E3"/>
    <w:rsid w:val="00FE49E6"/>
    <w:rsid w:val="00FE6CB9"/>
    <w:rsid w:val="00FE6D4B"/>
    <w:rsid w:val="00FE7EA6"/>
    <w:rsid w:val="00FF1AFD"/>
    <w:rsid w:val="00FF1CC7"/>
    <w:rsid w:val="00FF38A0"/>
    <w:rsid w:val="00FF39B4"/>
    <w:rsid w:val="00FF4654"/>
    <w:rsid w:val="00FF4830"/>
    <w:rsid w:val="00FF5EC3"/>
    <w:rsid w:val="00FF613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097138D"/>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Titre2">
    <w:name w:val="heading 2"/>
    <w:basedOn w:val="Normal"/>
    <w:next w:val="Normal"/>
    <w:link w:val="Titre2Car"/>
    <w:uiPriority w:val="9"/>
    <w:rsid w:val="00564DDB"/>
    <w:pPr>
      <w:keepNext/>
      <w:spacing w:before="240" w:after="60"/>
      <w:outlineLvl w:val="1"/>
    </w:pPr>
    <w:rPr>
      <w:rFonts w:ascii="Cambria" w:hAnsi="Cambria"/>
      <w:b/>
      <w:bCs/>
      <w:i/>
      <w:iCs/>
      <w:sz w:val="28"/>
      <w:szCs w:val="28"/>
    </w:rPr>
  </w:style>
  <w:style w:type="paragraph" w:styleId="Titre4">
    <w:name w:val="heading 4"/>
    <w:aliases w:val="COM Heading"/>
    <w:basedOn w:val="Normal"/>
    <w:next w:val="Normal"/>
    <w:link w:val="Titre4C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Grilledutableau">
    <w:name w:val="Table Grid"/>
    <w:basedOn w:val="Tableau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COM Heading Car"/>
    <w:link w:val="Titre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spacing w:after="120"/>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lang w:val="en-GB"/>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lang w:val="en-GB"/>
    </w:rPr>
  </w:style>
  <w:style w:type="paragraph" w:customStyle="1" w:styleId="COMParaDecision">
    <w:name w:val="COM Para Decision"/>
    <w:basedOn w:val="Normal"/>
    <w:qFormat/>
    <w:rsid w:val="00345CB4"/>
    <w:pPr>
      <w:autoSpaceDE w:val="0"/>
      <w:autoSpaceDN w:val="0"/>
      <w:adjustRightInd w:val="0"/>
      <w:spacing w:after="120"/>
      <w:jc w:val="both"/>
    </w:pPr>
    <w:rPr>
      <w:rFonts w:ascii="Arial" w:eastAsia="SimSun" w:hAnsi="Arial" w:cs="Arial"/>
      <w:sz w:val="22"/>
      <w:szCs w:val="22"/>
      <w:u w:val="single"/>
      <w:lang w:val="en-GB"/>
    </w:rPr>
  </w:style>
  <w:style w:type="table" w:customStyle="1" w:styleId="TableGrid1">
    <w:name w:val="Table Grid1"/>
    <w:basedOn w:val="TableauNormal"/>
    <w:next w:val="Grilledutableau"/>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
    <w:basedOn w:val="Normal"/>
    <w:link w:val="ParagraphedelisteCar"/>
    <w:uiPriority w:val="34"/>
    <w:qFormat/>
    <w:rsid w:val="00742A72"/>
    <w:pPr>
      <w:spacing w:before="100" w:beforeAutospacing="1" w:after="100" w:afterAutospacing="1"/>
    </w:pPr>
  </w:style>
  <w:style w:type="character" w:customStyle="1" w:styleId="textview">
    <w:name w:val="textview"/>
    <w:basedOn w:val="Policepardfaut"/>
    <w:rsid w:val="00742A72"/>
  </w:style>
  <w:style w:type="table" w:customStyle="1" w:styleId="TableGrid2">
    <w:name w:val="Table Grid2"/>
    <w:basedOn w:val="TableauNormal"/>
    <w:next w:val="Grilledutableau"/>
    <w:uiPriority w:val="59"/>
    <w:rsid w:val="00742A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sid w:val="00293637"/>
    <w:rPr>
      <w:sz w:val="16"/>
      <w:szCs w:val="16"/>
    </w:rPr>
  </w:style>
  <w:style w:type="paragraph" w:styleId="Commentaire">
    <w:name w:val="annotation text"/>
    <w:basedOn w:val="Normal"/>
    <w:link w:val="CommentaireCar"/>
    <w:uiPriority w:val="99"/>
    <w:unhideWhenUsed/>
    <w:rsid w:val="00293637"/>
    <w:pPr>
      <w:spacing w:after="160"/>
    </w:pPr>
    <w:rPr>
      <w:rFonts w:asciiTheme="minorHAnsi" w:eastAsiaTheme="minorHAnsi" w:hAnsiTheme="minorHAnsi" w:cstheme="minorBidi"/>
      <w:sz w:val="20"/>
      <w:szCs w:val="20"/>
      <w:lang w:val="en-US" w:eastAsia="en-US"/>
    </w:rPr>
  </w:style>
  <w:style w:type="character" w:customStyle="1" w:styleId="CommentaireCar">
    <w:name w:val="Commentaire Car"/>
    <w:basedOn w:val="Policepardfaut"/>
    <w:link w:val="Commentaire"/>
    <w:uiPriority w:val="99"/>
    <w:rsid w:val="00293637"/>
    <w:rPr>
      <w:rFonts w:asciiTheme="minorHAnsi" w:eastAsiaTheme="minorHAnsi" w:hAnsiTheme="minorHAnsi" w:cstheme="minorBidi"/>
      <w:lang w:val="en-US" w:eastAsia="en-US"/>
    </w:rPr>
  </w:style>
  <w:style w:type="paragraph" w:customStyle="1" w:styleId="GAPara">
    <w:name w:val="GA Para"/>
    <w:qFormat/>
    <w:rsid w:val="007A23D7"/>
    <w:pPr>
      <w:spacing w:after="120"/>
      <w:ind w:left="567" w:hanging="567"/>
    </w:pPr>
    <w:rPr>
      <w:rFonts w:ascii="Arial" w:eastAsia="Times New Roman" w:hAnsi="Arial" w:cs="Arial"/>
      <w:snapToGrid w:val="0"/>
      <w:sz w:val="22"/>
      <w:szCs w:val="22"/>
      <w:lang w:val="en-GB" w:eastAsia="en-US"/>
    </w:rPr>
  </w:style>
  <w:style w:type="character" w:styleId="Lienhypertexte">
    <w:name w:val="Hyperlink"/>
    <w:basedOn w:val="Policepardfaut"/>
    <w:uiPriority w:val="99"/>
    <w:rsid w:val="007A23D7"/>
    <w:rPr>
      <w:rFonts w:cs="Times New Roman"/>
      <w:color w:val="0000FF"/>
      <w:u w:val="single"/>
    </w:rPr>
  </w:style>
  <w:style w:type="character" w:customStyle="1" w:styleId="hps">
    <w:name w:val="hps"/>
    <w:rsid w:val="007A23D7"/>
  </w:style>
  <w:style w:type="paragraph" w:styleId="Notedebasdepage">
    <w:name w:val="footnote text"/>
    <w:basedOn w:val="Normal"/>
    <w:link w:val="NotedebasdepageCar"/>
    <w:uiPriority w:val="99"/>
    <w:semiHidden/>
    <w:unhideWhenUsed/>
    <w:rsid w:val="007A23D7"/>
    <w:rPr>
      <w:rFonts w:asciiTheme="minorHAnsi" w:eastAsiaTheme="minorHAnsi" w:hAnsiTheme="minorHAnsi" w:cstheme="minorBidi"/>
      <w:sz w:val="20"/>
      <w:szCs w:val="20"/>
      <w:lang w:val="en-US" w:eastAsia="en-US"/>
    </w:rPr>
  </w:style>
  <w:style w:type="character" w:customStyle="1" w:styleId="NotedebasdepageCar">
    <w:name w:val="Note de bas de page Car"/>
    <w:basedOn w:val="Policepardfaut"/>
    <w:link w:val="Notedebasdepage"/>
    <w:uiPriority w:val="99"/>
    <w:semiHidden/>
    <w:rsid w:val="007A23D7"/>
    <w:rPr>
      <w:rFonts w:asciiTheme="minorHAnsi" w:eastAsiaTheme="minorHAnsi" w:hAnsiTheme="minorHAnsi" w:cstheme="minorBidi"/>
      <w:lang w:val="en-US" w:eastAsia="en-US"/>
    </w:rPr>
  </w:style>
  <w:style w:type="character" w:styleId="Appelnotedebasdep">
    <w:name w:val="footnote reference"/>
    <w:basedOn w:val="Policepardfaut"/>
    <w:uiPriority w:val="99"/>
    <w:semiHidden/>
    <w:unhideWhenUsed/>
    <w:rsid w:val="007A23D7"/>
    <w:rPr>
      <w:vertAlign w:val="superscript"/>
    </w:rPr>
  </w:style>
  <w:style w:type="character" w:styleId="lev">
    <w:name w:val="Strong"/>
    <w:basedOn w:val="Policepardfaut"/>
    <w:uiPriority w:val="22"/>
    <w:qFormat/>
    <w:rsid w:val="007A23D7"/>
    <w:rPr>
      <w:b/>
      <w:bCs/>
    </w:rPr>
  </w:style>
  <w:style w:type="paragraph" w:styleId="Objetducommentaire">
    <w:name w:val="annotation subject"/>
    <w:basedOn w:val="Commentaire"/>
    <w:next w:val="Commentaire"/>
    <w:link w:val="ObjetducommentaireCar"/>
    <w:uiPriority w:val="99"/>
    <w:semiHidden/>
    <w:unhideWhenUsed/>
    <w:rsid w:val="00AF2B93"/>
    <w:pPr>
      <w:spacing w:after="0"/>
    </w:pPr>
    <w:rPr>
      <w:rFonts w:ascii="Times New Roman" w:eastAsia="Times New Roman" w:hAnsi="Times New Roman" w:cs="Times New Roman"/>
      <w:b/>
      <w:bCs/>
      <w:lang w:val="fr-FR" w:eastAsia="fr-FR"/>
    </w:rPr>
  </w:style>
  <w:style w:type="character" w:customStyle="1" w:styleId="ObjetducommentaireCar">
    <w:name w:val="Objet du commentaire Car"/>
    <w:basedOn w:val="CommentaireCar"/>
    <w:link w:val="Objetducommentaire"/>
    <w:uiPriority w:val="99"/>
    <w:semiHidden/>
    <w:rsid w:val="00AF2B93"/>
    <w:rPr>
      <w:rFonts w:ascii="Times New Roman" w:eastAsia="Times New Roman" w:hAnsi="Times New Roman" w:cstheme="minorBidi"/>
      <w:b/>
      <w:bCs/>
      <w:lang w:val="en-US" w:eastAsia="en-US"/>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locked/>
    <w:rsid w:val="00347D98"/>
    <w:rPr>
      <w:rFonts w:ascii="Times New Roman" w:eastAsia="Times New Roman" w:hAnsi="Times New Roman"/>
      <w:sz w:val="24"/>
      <w:szCs w:val="24"/>
    </w:rPr>
  </w:style>
  <w:style w:type="paragraph" w:customStyle="1" w:styleId="bodytext">
    <w:name w:val="bodytext"/>
    <w:basedOn w:val="Normal"/>
    <w:rsid w:val="00347D98"/>
    <w:pPr>
      <w:spacing w:before="100" w:beforeAutospacing="1" w:after="100" w:afterAutospacing="1"/>
    </w:pPr>
  </w:style>
  <w:style w:type="paragraph" w:customStyle="1" w:styleId="Default">
    <w:name w:val="Default"/>
    <w:rsid w:val="000F65B6"/>
    <w:pPr>
      <w:autoSpaceDE w:val="0"/>
      <w:autoSpaceDN w:val="0"/>
      <w:adjustRightInd w:val="0"/>
    </w:pPr>
    <w:rPr>
      <w:rFonts w:cs="Calibri"/>
      <w:color w:val="000000"/>
      <w:sz w:val="24"/>
      <w:szCs w:val="24"/>
    </w:rPr>
  </w:style>
  <w:style w:type="character" w:styleId="Lienhypertextesuivivisit">
    <w:name w:val="FollowedHyperlink"/>
    <w:basedOn w:val="Policepardfaut"/>
    <w:uiPriority w:val="99"/>
    <w:semiHidden/>
    <w:unhideWhenUsed/>
    <w:rsid w:val="00B963DD"/>
    <w:rPr>
      <w:color w:val="800080" w:themeColor="followedHyperlink"/>
      <w:u w:val="single"/>
    </w:rPr>
  </w:style>
  <w:style w:type="paragraph" w:styleId="Rvision">
    <w:name w:val="Revision"/>
    <w:hidden/>
    <w:uiPriority w:val="99"/>
    <w:semiHidden/>
    <w:rsid w:val="008D0C5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2260">
      <w:bodyDiv w:val="1"/>
      <w:marLeft w:val="0"/>
      <w:marRight w:val="0"/>
      <w:marTop w:val="0"/>
      <w:marBottom w:val="0"/>
      <w:divBdr>
        <w:top w:val="none" w:sz="0" w:space="0" w:color="auto"/>
        <w:left w:val="none" w:sz="0" w:space="0" w:color="auto"/>
        <w:bottom w:val="none" w:sz="0" w:space="0" w:color="auto"/>
        <w:right w:val="none" w:sz="0" w:space="0" w:color="auto"/>
      </w:divBdr>
    </w:div>
    <w:div w:id="69855365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434982291">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73732137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26387949">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261648" TargetMode="External"/><Relationship Id="rId13" Type="http://schemas.openxmlformats.org/officeDocument/2006/relationships/hyperlink" Target="https://ich.unesco.org/en/research-references-on-2003-convention-implementation-00945" TargetMode="External"/><Relationship Id="rId18" Type="http://schemas.openxmlformats.org/officeDocument/2006/relationships/hyperlink" Target="https://ich.unesco.org/doc/src/LHE-19-14.COM-13-EN.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h.unesco.org/en/Decisions/10.COM/10" TargetMode="External"/><Relationship Id="rId7" Type="http://schemas.openxmlformats.org/officeDocument/2006/relationships/endnotes" Target="endnotes.xml"/><Relationship Id="rId12" Type="http://schemas.openxmlformats.org/officeDocument/2006/relationships/hyperlink" Target="https://ich.unesco.org/doc/src/LHE-19-14.COM-9.b-EN.docx" TargetMode="External"/><Relationship Id="rId17" Type="http://schemas.openxmlformats.org/officeDocument/2006/relationships/hyperlink" Target="https://ich.unesco.org/en/sustainable-development-toolbox-0098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en/facilitator" TargetMode="External"/><Relationship Id="rId20" Type="http://schemas.openxmlformats.org/officeDocument/2006/relationships/hyperlink" Target="https://ich.unesco.org/en/Decisions/8.COM/5.c.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19-14.COM-9.b-EN.doc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ch.unesco.org/doc/src/LHE-19-14.COM-15-EN.docx" TargetMode="External"/><Relationship Id="rId23" Type="http://schemas.openxmlformats.org/officeDocument/2006/relationships/header" Target="header1.xml"/><Relationship Id="rId10" Type="http://schemas.openxmlformats.org/officeDocument/2006/relationships/hyperlink" Target="https://ich.unesco.org/en/Decisions/6.GA/7" TargetMode="External"/><Relationship Id="rId19" Type="http://schemas.openxmlformats.org/officeDocument/2006/relationships/hyperlink" Target="https://ich.unesco.org/en/dive" TargetMode="External"/><Relationship Id="rId4" Type="http://schemas.openxmlformats.org/officeDocument/2006/relationships/settings" Target="settings.xml"/><Relationship Id="rId9" Type="http://schemas.openxmlformats.org/officeDocument/2006/relationships/hyperlink" Target="https://ich.unesco.org/doc/src/LHE-19-14.COM-8-EN.docx" TargetMode="External"/><Relationship Id="rId14" Type="http://schemas.openxmlformats.org/officeDocument/2006/relationships/hyperlink" Target="https://ich.unesco.org/doc/src/LHE-19-14.COM-10-EN.docx" TargetMode="External"/><Relationship Id="rId22" Type="http://schemas.openxmlformats.org/officeDocument/2006/relationships/hyperlink" Target="https://ich.unesco.org/en/Decisions/13.COM/5"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ch.unesco.org/en/Resolutions/7.GA/10" TargetMode="External"/><Relationship Id="rId13" Type="http://schemas.openxmlformats.org/officeDocument/2006/relationships/hyperlink" Target="https://ich.unesco.org/en/Decisions/13.COM/10" TargetMode="External"/><Relationship Id="rId18" Type="http://schemas.openxmlformats.org/officeDocument/2006/relationships/hyperlink" Target="https://ich.unesco.org/en/Decisions/13.COM/13" TargetMode="External"/><Relationship Id="rId26" Type="http://schemas.openxmlformats.org/officeDocument/2006/relationships/hyperlink" Target="https://ich.unesco.org/doc/src/LHE-19-14.COM-6-EN.docx" TargetMode="External"/><Relationship Id="rId3" Type="http://schemas.openxmlformats.org/officeDocument/2006/relationships/hyperlink" Target="https://ich.unesco.org/doc/src/LHE-19-14.COM_2.BUR-INF.3-EN.docx" TargetMode="External"/><Relationship Id="rId21" Type="http://schemas.openxmlformats.org/officeDocument/2006/relationships/hyperlink" Target="https://ich.unesco.org/en/Decisions/11.COM/15" TargetMode="External"/><Relationship Id="rId7" Type="http://schemas.openxmlformats.org/officeDocument/2006/relationships/hyperlink" Target="https://ich.unesco.org/en/Decisions/7.GA/9" TargetMode="External"/><Relationship Id="rId12" Type="http://schemas.openxmlformats.org/officeDocument/2006/relationships/hyperlink" Target="https://ich.unesco.org/doc/src/ITH-18-13.COM-12-EN.docx" TargetMode="External"/><Relationship Id="rId17" Type="http://schemas.openxmlformats.org/officeDocument/2006/relationships/hyperlink" Target="https://ich.unesco.org/en/Decisions/12.COM/17" TargetMode="External"/><Relationship Id="rId25" Type="http://schemas.openxmlformats.org/officeDocument/2006/relationships/hyperlink" Target="https://ich.unesco.org/doc/src/ITH-18-13.COM-6-EN.docx" TargetMode="External"/><Relationship Id="rId2" Type="http://schemas.openxmlformats.org/officeDocument/2006/relationships/hyperlink" Target="https://ich.unesco.org/en/decisions-bureau/13.COM%202.BUR/3" TargetMode="External"/><Relationship Id="rId16" Type="http://schemas.openxmlformats.org/officeDocument/2006/relationships/hyperlink" Target="https://ich.unesco.org/en/lighter-ways-of-sharing-ich-safeguarding-practices-00999" TargetMode="External"/><Relationship Id="rId20" Type="http://schemas.openxmlformats.org/officeDocument/2006/relationships/hyperlink" Target="https://ich.unesco.org/en/Decisions/12.COM/6" TargetMode="External"/><Relationship Id="rId1" Type="http://schemas.openxmlformats.org/officeDocument/2006/relationships/hyperlink" Target="https://ich.unesco.org/doc/src/LHE-19-14.COM-7-EN.docx" TargetMode="External"/><Relationship Id="rId6" Type="http://schemas.openxmlformats.org/officeDocument/2006/relationships/hyperlink" Target="https://ich.unesco.org/en/Decisions/12.COM/10" TargetMode="External"/><Relationship Id="rId11" Type="http://schemas.openxmlformats.org/officeDocument/2006/relationships/hyperlink" Target="https://ich.unesco.org/doc/src/LHE-19-14.COM-7-EN.docx" TargetMode="External"/><Relationship Id="rId24" Type="http://schemas.openxmlformats.org/officeDocument/2006/relationships/hyperlink" Target="https://ich.unesco.org/doc/src/ITH-18-13.COM-INF.5.1-EN.docx" TargetMode="External"/><Relationship Id="rId5" Type="http://schemas.openxmlformats.org/officeDocument/2006/relationships/hyperlink" Target="https://ich.unesco.org/doc/src/42998-EN.pdf" TargetMode="External"/><Relationship Id="rId15" Type="http://schemas.openxmlformats.org/officeDocument/2006/relationships/hyperlink" Target="https://ich.unesco.org/en/Decisions/10.COM/10" TargetMode="External"/><Relationship Id="rId23" Type="http://schemas.openxmlformats.org/officeDocument/2006/relationships/hyperlink" Target="https://ich.unesco.org/en/Decisions/13.COM/11" TargetMode="External"/><Relationship Id="rId10" Type="http://schemas.openxmlformats.org/officeDocument/2006/relationships/hyperlink" Target="https://ich.unesco.org/en/Decisions/7.GA/8" TargetMode="External"/><Relationship Id="rId19" Type="http://schemas.openxmlformats.org/officeDocument/2006/relationships/hyperlink" Target="https://ich.unesco.org/en/global-tertiary-education-networking-00976" TargetMode="External"/><Relationship Id="rId4" Type="http://schemas.openxmlformats.org/officeDocument/2006/relationships/hyperlink" Target="https://ich.unesco.org/doc/src/ITH-18-13.COM-5_Rev.-EN.docx" TargetMode="External"/><Relationship Id="rId9" Type="http://schemas.openxmlformats.org/officeDocument/2006/relationships/hyperlink" Target="https://ich.unesco.org/en/Decisions/13.COM/8" TargetMode="External"/><Relationship Id="rId14" Type="http://schemas.openxmlformats.org/officeDocument/2006/relationships/hyperlink" Target="https://ich.unesco.org/en/Decisions/8.COM/5.c.1" TargetMode="External"/><Relationship Id="rId22" Type="http://schemas.openxmlformats.org/officeDocument/2006/relationships/hyperlink" Target="https://ich.unesco.org/en/Decisions/12.COM/15"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3BD0-EB3E-462C-961B-C4CBA596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2564</TotalTime>
  <Pages>15</Pages>
  <Words>6559</Words>
  <Characters>36077</Characters>
  <Application>Microsoft Office Word</Application>
  <DocSecurity>0</DocSecurity>
  <Lines>300</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Ohinata, Fumiko</cp:lastModifiedBy>
  <cp:revision>411</cp:revision>
  <cp:lastPrinted>2019-11-04T17:23:00Z</cp:lastPrinted>
  <dcterms:created xsi:type="dcterms:W3CDTF">2019-10-22T09:02:00Z</dcterms:created>
  <dcterms:modified xsi:type="dcterms:W3CDTF">2019-11-08T22:03:00Z</dcterms:modified>
</cp:coreProperties>
</file>