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E6C14" w14:textId="77484BA8" w:rsidR="00BC3420" w:rsidRPr="00A61C6E" w:rsidRDefault="00BC3420" w:rsidP="00BC3420">
      <w:pPr>
        <w:spacing w:before="1440"/>
        <w:jc w:val="center"/>
        <w:rPr>
          <w:rFonts w:ascii="Arial" w:hAnsi="Arial" w:cs="Arial"/>
          <w:b/>
          <w:sz w:val="22"/>
          <w:szCs w:val="22"/>
        </w:rPr>
      </w:pPr>
      <w:r>
        <w:rPr>
          <w:rFonts w:ascii="Arial" w:hAnsi="Arial"/>
          <w:b/>
          <w:sz w:val="22"/>
          <w:szCs w:val="22"/>
        </w:rPr>
        <w:t>CONVENTION POUR LA SAUVEGARDE</w:t>
      </w:r>
      <w:r w:rsidR="003B3D4F">
        <w:rPr>
          <w:rFonts w:ascii="Arial" w:hAnsi="Arial"/>
          <w:b/>
          <w:sz w:val="22"/>
          <w:szCs w:val="22"/>
        </w:rPr>
        <w:br/>
      </w:r>
      <w:r>
        <w:rPr>
          <w:rFonts w:ascii="Arial" w:hAnsi="Arial"/>
          <w:b/>
          <w:sz w:val="22"/>
          <w:szCs w:val="22"/>
        </w:rPr>
        <w:t>DU</w:t>
      </w:r>
      <w:r w:rsidR="003B3D4F">
        <w:rPr>
          <w:rFonts w:ascii="Arial" w:hAnsi="Arial"/>
          <w:b/>
          <w:sz w:val="22"/>
          <w:szCs w:val="22"/>
        </w:rPr>
        <w:t xml:space="preserve"> </w:t>
      </w:r>
      <w:r>
        <w:rPr>
          <w:rFonts w:ascii="Arial" w:hAnsi="Arial"/>
          <w:b/>
          <w:sz w:val="22"/>
          <w:szCs w:val="22"/>
        </w:rPr>
        <w:t>PATRIMOINE CULTUREL IMMATÉRIEL</w:t>
      </w:r>
    </w:p>
    <w:p w14:paraId="73050777" w14:textId="2B8B61D2" w:rsidR="00BC3420" w:rsidRPr="00A61C6E" w:rsidRDefault="00BC3420" w:rsidP="00BC3420">
      <w:pPr>
        <w:spacing w:before="1200"/>
        <w:jc w:val="center"/>
        <w:rPr>
          <w:rFonts w:ascii="Arial" w:hAnsi="Arial" w:cs="Arial"/>
          <w:b/>
          <w:sz w:val="22"/>
          <w:szCs w:val="22"/>
        </w:rPr>
      </w:pPr>
      <w:r>
        <w:rPr>
          <w:rFonts w:ascii="Arial" w:hAnsi="Arial"/>
          <w:b/>
          <w:sz w:val="22"/>
          <w:szCs w:val="22"/>
        </w:rPr>
        <w:t>COMITÉ INTERGOUVERNEMENTAL DE</w:t>
      </w:r>
      <w:r w:rsidR="003B3D4F">
        <w:rPr>
          <w:rFonts w:ascii="Arial" w:hAnsi="Arial"/>
          <w:b/>
          <w:sz w:val="22"/>
          <w:szCs w:val="22"/>
        </w:rPr>
        <w:t xml:space="preserve"> </w:t>
      </w:r>
      <w:r>
        <w:rPr>
          <w:rFonts w:ascii="Arial" w:hAnsi="Arial"/>
          <w:b/>
          <w:sz w:val="22"/>
          <w:szCs w:val="22"/>
        </w:rPr>
        <w:t>SAUVEGARDE</w:t>
      </w:r>
      <w:r w:rsidR="003B3D4F">
        <w:rPr>
          <w:rFonts w:ascii="Arial" w:hAnsi="Arial"/>
          <w:b/>
          <w:sz w:val="22"/>
          <w:szCs w:val="22"/>
        </w:rPr>
        <w:br/>
      </w:r>
      <w:r>
        <w:rPr>
          <w:rFonts w:ascii="Arial" w:hAnsi="Arial"/>
          <w:b/>
          <w:sz w:val="22"/>
          <w:szCs w:val="22"/>
        </w:rPr>
        <w:t>DU PATRIMOINE CULTUREL IMMATÉRIEL</w:t>
      </w:r>
    </w:p>
    <w:p w14:paraId="22FC5605" w14:textId="77777777" w:rsidR="00BC3420" w:rsidRPr="00B43974" w:rsidRDefault="008F09EC" w:rsidP="008F09EC">
      <w:pPr>
        <w:spacing w:before="840"/>
        <w:jc w:val="center"/>
        <w:rPr>
          <w:rFonts w:ascii="Arial" w:hAnsi="Arial" w:cs="Arial"/>
          <w:b/>
          <w:sz w:val="22"/>
          <w:szCs w:val="22"/>
        </w:rPr>
      </w:pPr>
      <w:r>
        <w:rPr>
          <w:rFonts w:ascii="Arial" w:hAnsi="Arial"/>
          <w:b/>
          <w:sz w:val="22"/>
          <w:szCs w:val="22"/>
        </w:rPr>
        <w:t>Quatorzième session</w:t>
      </w:r>
    </w:p>
    <w:p w14:paraId="457CC5F9" w14:textId="77777777" w:rsidR="00A61C6E" w:rsidRPr="00A61C6E" w:rsidRDefault="008F09EC" w:rsidP="008F09EC">
      <w:pPr>
        <w:jc w:val="center"/>
        <w:rPr>
          <w:rFonts w:ascii="Arial" w:hAnsi="Arial" w:cs="Arial"/>
          <w:b/>
          <w:sz w:val="22"/>
          <w:szCs w:val="22"/>
        </w:rPr>
      </w:pPr>
      <w:r>
        <w:rPr>
          <w:rFonts w:ascii="Arial" w:hAnsi="Arial"/>
          <w:b/>
          <w:sz w:val="22"/>
          <w:szCs w:val="22"/>
        </w:rPr>
        <w:t>Bogotá, République de Colombie</w:t>
      </w:r>
    </w:p>
    <w:p w14:paraId="5EC3B839" w14:textId="77777777" w:rsidR="00BC3420" w:rsidRPr="00495C25" w:rsidRDefault="008F09EC" w:rsidP="008F09EC">
      <w:pPr>
        <w:jc w:val="center"/>
        <w:rPr>
          <w:rFonts w:ascii="Arial" w:eastAsiaTheme="minorEastAsia" w:hAnsi="Arial" w:cs="Arial"/>
          <w:b/>
          <w:sz w:val="22"/>
          <w:szCs w:val="22"/>
        </w:rPr>
      </w:pPr>
      <w:r>
        <w:rPr>
          <w:rFonts w:ascii="Arial" w:hAnsi="Arial"/>
          <w:b/>
          <w:sz w:val="22"/>
          <w:szCs w:val="22"/>
        </w:rPr>
        <w:t>9 – 14 décembre 2019</w:t>
      </w:r>
    </w:p>
    <w:p w14:paraId="157F4996" w14:textId="50662D56" w:rsidR="008F09EC" w:rsidRPr="00B43974" w:rsidRDefault="008F09EC" w:rsidP="008F09EC">
      <w:pPr>
        <w:pStyle w:val="Sansinterligne2"/>
        <w:spacing w:before="1200"/>
        <w:jc w:val="center"/>
        <w:rPr>
          <w:rFonts w:ascii="Arial" w:hAnsi="Arial" w:cs="Arial"/>
          <w:b/>
          <w:sz w:val="22"/>
          <w:szCs w:val="22"/>
        </w:rPr>
      </w:pPr>
      <w:r>
        <w:rPr>
          <w:rFonts w:ascii="Arial" w:hAnsi="Arial"/>
          <w:b/>
          <w:sz w:val="22"/>
          <w:szCs w:val="22"/>
          <w:u w:val="single"/>
        </w:rPr>
        <w:t>Point 5.a de l</w:t>
      </w:r>
      <w:r w:rsidR="00737A90">
        <w:rPr>
          <w:rFonts w:ascii="Arial" w:hAnsi="Arial"/>
          <w:b/>
          <w:sz w:val="22"/>
          <w:szCs w:val="22"/>
          <w:u w:val="single"/>
        </w:rPr>
        <w:t>’</w:t>
      </w:r>
      <w:r>
        <w:rPr>
          <w:rFonts w:ascii="Arial" w:hAnsi="Arial"/>
          <w:b/>
          <w:sz w:val="22"/>
          <w:szCs w:val="22"/>
          <w:u w:val="single"/>
        </w:rPr>
        <w:t>ordre du jour provisoire</w:t>
      </w:r>
      <w:r w:rsidRPr="00C305EB">
        <w:rPr>
          <w:rFonts w:ascii="Arial" w:hAnsi="Arial"/>
          <w:b/>
          <w:sz w:val="22"/>
          <w:szCs w:val="22"/>
        </w:rPr>
        <w:t> :</w:t>
      </w:r>
    </w:p>
    <w:p w14:paraId="4F36C207" w14:textId="7AE61195" w:rsidR="00E8782D" w:rsidRPr="00293C60" w:rsidRDefault="00E8782D" w:rsidP="004679D4">
      <w:pPr>
        <w:pStyle w:val="Sansinterligne2"/>
        <w:spacing w:after="960"/>
        <w:jc w:val="center"/>
        <w:rPr>
          <w:rFonts w:ascii="Arial" w:hAnsi="Arial" w:cs="Arial"/>
          <w:b/>
          <w:sz w:val="22"/>
          <w:szCs w:val="22"/>
        </w:rPr>
      </w:pPr>
      <w:r>
        <w:rPr>
          <w:rFonts w:ascii="Arial" w:hAnsi="Arial"/>
          <w:b/>
          <w:sz w:val="22"/>
          <w:szCs w:val="22"/>
        </w:rPr>
        <w:t>Rapport du Comité à l</w:t>
      </w:r>
      <w:r w:rsidR="00737A90">
        <w:rPr>
          <w:rFonts w:ascii="Arial" w:hAnsi="Arial"/>
          <w:b/>
          <w:sz w:val="22"/>
          <w:szCs w:val="22"/>
        </w:rPr>
        <w:t>’</w:t>
      </w:r>
      <w:r>
        <w:rPr>
          <w:rFonts w:ascii="Arial" w:hAnsi="Arial"/>
          <w:b/>
          <w:sz w:val="22"/>
          <w:szCs w:val="22"/>
        </w:rPr>
        <w:t>Assemblée générale</w:t>
      </w:r>
      <w:r>
        <w:rPr>
          <w:rFonts w:ascii="Arial" w:hAnsi="Arial"/>
          <w:b/>
          <w:sz w:val="22"/>
          <w:szCs w:val="22"/>
        </w:rPr>
        <w:br/>
        <w:t>sur ses activités (de janvier 2018 à décembre 2019)</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1D476357" w14:textId="77777777" w:rsidTr="00EE2DB7">
        <w:trPr>
          <w:jc w:val="center"/>
        </w:trPr>
        <w:tc>
          <w:tcPr>
            <w:tcW w:w="7825" w:type="dxa"/>
            <w:vAlign w:val="center"/>
          </w:tcPr>
          <w:p w14:paraId="02BE6BC6" w14:textId="77777777" w:rsidR="00F46213" w:rsidRPr="004679D4" w:rsidRDefault="00F46213" w:rsidP="004679D4">
            <w:pPr>
              <w:pStyle w:val="Sansinterligne1"/>
              <w:spacing w:before="120" w:after="120"/>
              <w:jc w:val="center"/>
              <w:rPr>
                <w:rFonts w:ascii="Arial" w:hAnsi="Arial"/>
                <w:b/>
                <w:sz w:val="22"/>
                <w:szCs w:val="22"/>
              </w:rPr>
            </w:pPr>
            <w:r>
              <w:rPr>
                <w:rFonts w:ascii="Arial" w:hAnsi="Arial"/>
                <w:b/>
                <w:sz w:val="22"/>
                <w:szCs w:val="22"/>
              </w:rPr>
              <w:t>Résumé</w:t>
            </w:r>
          </w:p>
          <w:p w14:paraId="5E394D9D" w14:textId="675E0595" w:rsidR="00E8782D" w:rsidRPr="00293C60" w:rsidRDefault="00E8782D" w:rsidP="00E8782D">
            <w:pPr>
              <w:pStyle w:val="Sansinterligne1"/>
              <w:jc w:val="both"/>
              <w:rPr>
                <w:rFonts w:ascii="Arial" w:hAnsi="Arial" w:cs="Arial"/>
                <w:bCs/>
                <w:sz w:val="22"/>
                <w:szCs w:val="22"/>
              </w:rPr>
            </w:pPr>
            <w:r>
              <w:rPr>
                <w:rFonts w:ascii="Arial" w:hAnsi="Arial"/>
                <w:sz w:val="22"/>
                <w:szCs w:val="22"/>
              </w:rPr>
              <w:t>L</w:t>
            </w:r>
            <w:r w:rsidR="00737A90">
              <w:rPr>
                <w:rFonts w:ascii="Arial" w:hAnsi="Arial"/>
                <w:sz w:val="22"/>
                <w:szCs w:val="22"/>
              </w:rPr>
              <w:t>’</w:t>
            </w:r>
            <w:r>
              <w:rPr>
                <w:rFonts w:ascii="Arial" w:hAnsi="Arial"/>
                <w:sz w:val="22"/>
                <w:szCs w:val="22"/>
              </w:rPr>
              <w:t>article 30.1 de la Convention de 2003 pour la sauvegarde du patrimoine culturel immatériel prévoit que « sur la base de ses activités […] le Comité soumet un rapport à chaque session de l</w:t>
            </w:r>
            <w:r w:rsidR="00737A90">
              <w:rPr>
                <w:rFonts w:ascii="Arial" w:hAnsi="Arial"/>
                <w:sz w:val="22"/>
                <w:szCs w:val="22"/>
              </w:rPr>
              <w:t>’</w:t>
            </w:r>
            <w:r>
              <w:rPr>
                <w:rFonts w:ascii="Arial" w:hAnsi="Arial"/>
                <w:sz w:val="22"/>
                <w:szCs w:val="22"/>
              </w:rPr>
              <w:t>Assemblée générale ». Le présent document contient un projet de rapport sur les activités du Comité de janvier 2018 à décembre 2019 que le Comité pourrait souhaiter présenter à la huitième session de l</w:t>
            </w:r>
            <w:r w:rsidR="00737A90">
              <w:rPr>
                <w:rFonts w:ascii="Arial" w:hAnsi="Arial"/>
                <w:sz w:val="22"/>
                <w:szCs w:val="22"/>
              </w:rPr>
              <w:t>’</w:t>
            </w:r>
            <w:r>
              <w:rPr>
                <w:rFonts w:ascii="Arial" w:hAnsi="Arial"/>
                <w:sz w:val="22"/>
                <w:szCs w:val="22"/>
              </w:rPr>
              <w:t>Assemblée générale.</w:t>
            </w:r>
          </w:p>
          <w:p w14:paraId="57637334" w14:textId="1D09227D" w:rsidR="008F09EC" w:rsidRPr="00B43974" w:rsidRDefault="00E8782D" w:rsidP="00737A90">
            <w:pPr>
              <w:pStyle w:val="Sansinterligne2"/>
              <w:spacing w:before="200" w:after="200"/>
              <w:ind w:right="284"/>
              <w:jc w:val="both"/>
              <w:rPr>
                <w:rFonts w:ascii="Arial" w:hAnsi="Arial" w:cs="Arial"/>
                <w:b/>
                <w:sz w:val="22"/>
                <w:szCs w:val="22"/>
              </w:rPr>
            </w:pPr>
            <w:r>
              <w:rPr>
                <w:rFonts w:ascii="Arial" w:hAnsi="Arial"/>
                <w:b/>
                <w:bCs/>
                <w:sz w:val="22"/>
                <w:szCs w:val="22"/>
              </w:rPr>
              <w:t>Décision requise</w:t>
            </w:r>
            <w:r>
              <w:rPr>
                <w:rFonts w:ascii="Arial" w:hAnsi="Arial"/>
                <w:sz w:val="22"/>
                <w:szCs w:val="22"/>
              </w:rPr>
              <w:t xml:space="preserve"> : </w:t>
            </w:r>
            <w:r>
              <w:rPr>
                <w:rFonts w:ascii="Arial" w:hAnsi="Arial"/>
                <w:bCs/>
                <w:sz w:val="22"/>
                <w:szCs w:val="22"/>
              </w:rPr>
              <w:t>paragraphe </w:t>
            </w:r>
            <w:r w:rsidR="00737A90">
              <w:rPr>
                <w:rFonts w:ascii="Arial" w:hAnsi="Arial"/>
                <w:bCs/>
                <w:sz w:val="22"/>
                <w:szCs w:val="22"/>
              </w:rPr>
              <w:t>3</w:t>
            </w:r>
          </w:p>
        </w:tc>
      </w:tr>
    </w:tbl>
    <w:p w14:paraId="56BAC517" w14:textId="43D49692" w:rsidR="00E8782D" w:rsidRPr="00EA5E6B" w:rsidRDefault="00BC3420" w:rsidP="00601E5D">
      <w:pPr>
        <w:pStyle w:val="Marge"/>
        <w:numPr>
          <w:ilvl w:val="0"/>
          <w:numId w:val="18"/>
        </w:numPr>
        <w:tabs>
          <w:tab w:val="clear" w:pos="720"/>
        </w:tabs>
        <w:spacing w:after="120"/>
        <w:ind w:left="567" w:hanging="567"/>
      </w:pPr>
      <w:r>
        <w:br w:type="page"/>
      </w:r>
      <w:r>
        <w:lastRenderedPageBreak/>
        <w:t>L</w:t>
      </w:r>
      <w:r w:rsidR="00737A90">
        <w:t>’</w:t>
      </w:r>
      <w:r>
        <w:t>article 30.1 de la Convention de 2003 pour la sauvegarde du patrimoine culturel immatériel prévoit que « sur la base de ses activités […] le Comité soumet un rapport à chaque session de l</w:t>
      </w:r>
      <w:r w:rsidR="00737A90">
        <w:t>’</w:t>
      </w:r>
      <w:r>
        <w:t>Assemblée générale ». L</w:t>
      </w:r>
      <w:r w:rsidR="00737A90">
        <w:t>’</w:t>
      </w:r>
      <w:r>
        <w:t>article 30.2 précise que « ce rapport est porté à la connaissance de la Conférence générale de l</w:t>
      </w:r>
      <w:r w:rsidR="00737A90">
        <w:t>’</w:t>
      </w:r>
      <w:r>
        <w:t xml:space="preserve">UNESCO ». Le présent rapport couvre la période allant de janvier 2018 à décembre 2019. Ce calendrier </w:t>
      </w:r>
      <w:r w:rsidR="00737A90">
        <w:t>fait suite</w:t>
      </w:r>
      <w:r>
        <w:t xml:space="preserve"> à la </w:t>
      </w:r>
      <w:hyperlink r:id="rId8" w:history="1">
        <w:r w:rsidRPr="003B3D4F">
          <w:rPr>
            <w:rStyle w:val="Hyperlink"/>
          </w:rPr>
          <w:t>résolution 6.GA 5</w:t>
        </w:r>
      </w:hyperlink>
      <w:r>
        <w:t>, par laquelle l</w:t>
      </w:r>
      <w:r w:rsidR="00737A90">
        <w:t>’</w:t>
      </w:r>
      <w:r>
        <w:t>Assemblée générale a demandé au Comité de soumettre ses futurs rapports à un rythme biennal</w:t>
      </w:r>
      <w:r w:rsidR="00737A90">
        <w:t>.</w:t>
      </w:r>
      <w:r>
        <w:t xml:space="preserve"> Ce rapport devra être </w:t>
      </w:r>
      <w:r w:rsidR="00737A90">
        <w:t xml:space="preserve">mis à jour </w:t>
      </w:r>
      <w:r>
        <w:t>par le Secrétariat avec des informations complémentaires sur les résultats de la quatorzième session du Comité.</w:t>
      </w:r>
    </w:p>
    <w:p w14:paraId="5627DDF1" w14:textId="4D4BFBAA" w:rsidR="00F63033" w:rsidRPr="001820C5" w:rsidRDefault="00E8782D" w:rsidP="00E8782D">
      <w:pPr>
        <w:pStyle w:val="Marge"/>
        <w:numPr>
          <w:ilvl w:val="0"/>
          <w:numId w:val="18"/>
        </w:numPr>
        <w:tabs>
          <w:tab w:val="clear" w:pos="720"/>
        </w:tabs>
        <w:spacing w:after="120"/>
        <w:ind w:left="567" w:hanging="567"/>
      </w:pPr>
      <w:r>
        <w:t xml:space="preserve">Ce rapport doit être lu </w:t>
      </w:r>
      <w:r w:rsidR="00737A90">
        <w:t>conjointement avec :</w:t>
      </w:r>
    </w:p>
    <w:p w14:paraId="527A578B" w14:textId="468D11AF" w:rsidR="00F63033" w:rsidRPr="001820C5" w:rsidRDefault="00737A90" w:rsidP="003B3D4F">
      <w:pPr>
        <w:pStyle w:val="Marge"/>
        <w:numPr>
          <w:ilvl w:val="0"/>
          <w:numId w:val="31"/>
        </w:numPr>
        <w:spacing w:after="120"/>
        <w:ind w:left="1134" w:hanging="567"/>
      </w:pPr>
      <w:r>
        <w:t xml:space="preserve">les </w:t>
      </w:r>
      <w:r w:rsidR="00E8782D">
        <w:t>rapports des États parties sur la mise en œuvre de la Convention et sur l</w:t>
      </w:r>
      <w:r>
        <w:t>’</w:t>
      </w:r>
      <w:r w:rsidR="00E8782D">
        <w:t>état actuel des éléments inscrits sur la Liste représentative</w:t>
      </w:r>
      <w:r>
        <w:t xml:space="preserve"> du patrimoine culturel immatériel de l’humanité</w:t>
      </w:r>
      <w:r w:rsidR="00E8782D">
        <w:t xml:space="preserve"> (</w:t>
      </w:r>
      <w:hyperlink r:id="rId9" w:history="1">
        <w:r w:rsidR="00E8782D">
          <w:rPr>
            <w:rStyle w:val="Hyperlink"/>
          </w:rPr>
          <w:t>document ITH/18/13.COM/7.a</w:t>
        </w:r>
      </w:hyperlink>
      <w:r w:rsidR="00E8782D">
        <w:t>),</w:t>
      </w:r>
    </w:p>
    <w:p w14:paraId="3A7D460A" w14:textId="7A9D6070" w:rsidR="00F63033" w:rsidRPr="001820C5" w:rsidRDefault="00737A90" w:rsidP="003B3D4F">
      <w:pPr>
        <w:pStyle w:val="Marge"/>
        <w:numPr>
          <w:ilvl w:val="0"/>
          <w:numId w:val="31"/>
        </w:numPr>
        <w:spacing w:after="120"/>
        <w:ind w:left="1134" w:hanging="567"/>
      </w:pPr>
      <w:r>
        <w:t xml:space="preserve">les </w:t>
      </w:r>
      <w:r w:rsidR="00E8782D">
        <w:t>rapports des États parties sur l</w:t>
      </w:r>
      <w:r>
        <w:t>’</w:t>
      </w:r>
      <w:r w:rsidR="00E8782D">
        <w:t xml:space="preserve">état actuel des éléments inscrits sur la Liste </w:t>
      </w:r>
      <w:r>
        <w:t xml:space="preserve">du patrimoine culturel immatériel nécessitant une </w:t>
      </w:r>
      <w:r w:rsidR="00E8782D">
        <w:t>sauvegarde urgente (documents </w:t>
      </w:r>
      <w:hyperlink r:id="rId10" w:history="1">
        <w:r w:rsidR="00E8782D">
          <w:rPr>
            <w:rStyle w:val="Hyperlink"/>
          </w:rPr>
          <w:t>ITH/18/13.COM/7.b</w:t>
        </w:r>
      </w:hyperlink>
      <w:r w:rsidR="00E8782D">
        <w:t xml:space="preserve"> et </w:t>
      </w:r>
      <w:hyperlink r:id="rId11" w:history="1">
        <w:r w:rsidR="00E8782D" w:rsidRPr="00B90C1D">
          <w:rPr>
            <w:rStyle w:val="Hyperlink"/>
          </w:rPr>
          <w:t>LHE/</w:t>
        </w:r>
        <w:r w:rsidR="00E8782D" w:rsidRPr="00B90C1D">
          <w:rPr>
            <w:rStyle w:val="Hyperlink"/>
            <w:color w:val="0000FF"/>
          </w:rPr>
          <w:t>19</w:t>
        </w:r>
        <w:r w:rsidR="00E8782D" w:rsidRPr="00B90C1D">
          <w:rPr>
            <w:rStyle w:val="Hyperlink"/>
          </w:rPr>
          <w:t>/14.COM/9.a</w:t>
        </w:r>
      </w:hyperlink>
      <w:r w:rsidR="00E8782D" w:rsidRPr="00B90C1D">
        <w:t>),</w:t>
      </w:r>
    </w:p>
    <w:p w14:paraId="72F4BF9A" w14:textId="46FC5D98" w:rsidR="00F63033" w:rsidRPr="001820C5" w:rsidRDefault="00737A90" w:rsidP="003B3D4F">
      <w:pPr>
        <w:pStyle w:val="Marge"/>
        <w:numPr>
          <w:ilvl w:val="0"/>
          <w:numId w:val="31"/>
        </w:numPr>
        <w:spacing w:after="120"/>
        <w:ind w:left="1134" w:hanging="567"/>
      </w:pPr>
      <w:r>
        <w:t xml:space="preserve">le </w:t>
      </w:r>
      <w:r w:rsidR="00E8782D">
        <w:t>rapport du Secrétariat sur ses activités (document</w:t>
      </w:r>
      <w:r w:rsidR="003D3F0B">
        <w:t>s</w:t>
      </w:r>
      <w:r w:rsidR="00E8782D">
        <w:t xml:space="preserve"> </w:t>
      </w:r>
      <w:hyperlink r:id="rId12" w:history="1">
        <w:r w:rsidR="00E8782D" w:rsidRPr="00B90C1D">
          <w:rPr>
            <w:rStyle w:val="Hyperlink"/>
          </w:rPr>
          <w:t>ITH/18/13.COM/5</w:t>
        </w:r>
      </w:hyperlink>
      <w:r w:rsidR="00E8782D">
        <w:t xml:space="preserve"> </w:t>
      </w:r>
      <w:r w:rsidR="003D3F0B">
        <w:t>et</w:t>
      </w:r>
      <w:r w:rsidR="00E8058E">
        <w:t xml:space="preserve"> </w:t>
      </w:r>
      <w:hyperlink r:id="rId13" w:history="1">
        <w:r w:rsidR="00E8782D" w:rsidRPr="00B90C1D">
          <w:rPr>
            <w:color w:val="0000FF"/>
            <w:u w:val="single"/>
          </w:rPr>
          <w:t>LHE/19/14.COM/5.b</w:t>
        </w:r>
      </w:hyperlink>
      <w:r w:rsidR="00E8782D" w:rsidRPr="00B90C1D">
        <w:t>),</w:t>
      </w:r>
    </w:p>
    <w:p w14:paraId="32676C36" w14:textId="57EF6736" w:rsidR="00F63033" w:rsidRPr="006F7ED5" w:rsidRDefault="00737A90" w:rsidP="003B3D4F">
      <w:pPr>
        <w:pStyle w:val="Marge"/>
        <w:numPr>
          <w:ilvl w:val="0"/>
          <w:numId w:val="31"/>
        </w:numPr>
        <w:spacing w:after="120"/>
        <w:ind w:left="1134" w:hanging="567"/>
      </w:pPr>
      <w:r>
        <w:t xml:space="preserve">le </w:t>
      </w:r>
      <w:r w:rsidR="00E8782D">
        <w:t>rapport financier du Fonds du patrimoine culturel immatériel (</w:t>
      </w:r>
      <w:r w:rsidR="003D3F0B">
        <w:t>en tant qu’</w:t>
      </w:r>
      <w:r w:rsidR="00E8782D">
        <w:t xml:space="preserve">annexe au </w:t>
      </w:r>
      <w:hyperlink r:id="rId14" w:history="1">
        <w:r w:rsidR="00E8782D" w:rsidRPr="00D03ABA">
          <w:rPr>
            <w:rStyle w:val="Hyperlink"/>
          </w:rPr>
          <w:t>document</w:t>
        </w:r>
        <w:r w:rsidR="00E8058E">
          <w:rPr>
            <w:rStyle w:val="Hyperlink"/>
          </w:rPr>
          <w:t> </w:t>
        </w:r>
        <w:r w:rsidR="00E8782D" w:rsidRPr="00D03ABA">
          <w:rPr>
            <w:rStyle w:val="Hyperlink"/>
          </w:rPr>
          <w:t>LHE/19/14.COM/7</w:t>
        </w:r>
      </w:hyperlink>
      <w:r w:rsidR="00E8782D" w:rsidRPr="00B90C1D">
        <w:t>)</w:t>
      </w:r>
      <w:r w:rsidR="00E8058E">
        <w:t>,</w:t>
      </w:r>
    </w:p>
    <w:p w14:paraId="44AF116F" w14:textId="7DE14EC6" w:rsidR="00E8782D" w:rsidRPr="00974A8E" w:rsidRDefault="00E8782D" w:rsidP="003B3D4F">
      <w:pPr>
        <w:pStyle w:val="Marge"/>
        <w:numPr>
          <w:ilvl w:val="0"/>
          <w:numId w:val="31"/>
        </w:numPr>
        <w:spacing w:after="120"/>
        <w:ind w:left="1134" w:hanging="567"/>
      </w:pPr>
      <w:r>
        <w:t xml:space="preserve">et </w:t>
      </w:r>
      <w:r w:rsidR="00737A90">
        <w:t xml:space="preserve">le </w:t>
      </w:r>
      <w:r>
        <w:t>suivi</w:t>
      </w:r>
      <w:r w:rsidR="00737A90">
        <w:t xml:space="preserve"> de la mise en œuvre </w:t>
      </w:r>
      <w:r>
        <w:t>des recommandations pertinentes du Groupe de travail à composition non limitée sur la gouvernance, les procédures et les méthodes de travail des organes directeurs de l</w:t>
      </w:r>
      <w:r w:rsidR="00737A90">
        <w:t>’</w:t>
      </w:r>
      <w:r>
        <w:t>UNESCO (</w:t>
      </w:r>
      <w:hyperlink r:id="rId15" w:history="1">
        <w:r w:rsidRPr="00D03ABA">
          <w:rPr>
            <w:rStyle w:val="Hyperlink"/>
          </w:rPr>
          <w:t>document</w:t>
        </w:r>
        <w:r w:rsidR="00E8058E">
          <w:rPr>
            <w:rStyle w:val="Hyperlink"/>
          </w:rPr>
          <w:t> </w:t>
        </w:r>
        <w:r w:rsidRPr="00D03ABA">
          <w:rPr>
            <w:rStyle w:val="Hyperlink"/>
          </w:rPr>
          <w:t>LHE/19/14.COM/</w:t>
        </w:r>
        <w:r w:rsidR="00737A90" w:rsidRPr="00D03ABA">
          <w:rPr>
            <w:rStyle w:val="Hyperlink"/>
          </w:rPr>
          <w:t>19</w:t>
        </w:r>
      </w:hyperlink>
      <w:r w:rsidRPr="00D03ABA">
        <w:t>).</w:t>
      </w:r>
    </w:p>
    <w:p w14:paraId="0B3CA38C" w14:textId="77777777" w:rsidR="00E8782D" w:rsidRPr="00EA528C" w:rsidRDefault="00E8782D" w:rsidP="00E8782D">
      <w:pPr>
        <w:pStyle w:val="COMPara"/>
        <w:numPr>
          <w:ilvl w:val="0"/>
          <w:numId w:val="18"/>
        </w:numPr>
        <w:ind w:left="567" w:hanging="567"/>
      </w:pPr>
      <w:r>
        <w:t>Le Comité souhaitera peut-être adopter la décision suivante :</w:t>
      </w:r>
    </w:p>
    <w:p w14:paraId="305AEBA1" w14:textId="77777777" w:rsidR="00E8782D" w:rsidRPr="00081D63" w:rsidRDefault="00E232F6" w:rsidP="00E8782D">
      <w:pPr>
        <w:pStyle w:val="COMTitleDecision"/>
        <w:rPr>
          <w:rFonts w:eastAsiaTheme="minorEastAsia"/>
        </w:rPr>
      </w:pPr>
      <w:r>
        <w:t>PROJET DE DÉCISION 14.COM 5.a</w:t>
      </w:r>
    </w:p>
    <w:p w14:paraId="2B0E5B0D" w14:textId="77777777" w:rsidR="00E8782D" w:rsidRPr="00285BB4" w:rsidRDefault="00E8782D" w:rsidP="00E8782D">
      <w:pPr>
        <w:pStyle w:val="COMPreambulaDecisions"/>
        <w:rPr>
          <w:rFonts w:eastAsia="SimSun"/>
        </w:rPr>
      </w:pPr>
      <w:r>
        <w:t>Le Comité,</w:t>
      </w:r>
    </w:p>
    <w:p w14:paraId="60C7DA36" w14:textId="4347E164" w:rsidR="00E8782D" w:rsidRPr="001820C5" w:rsidRDefault="00E8782D" w:rsidP="00E8782D">
      <w:pPr>
        <w:pStyle w:val="COMParaDecision"/>
        <w:jc w:val="left"/>
      </w:pPr>
      <w:r>
        <w:t>Ayant examiné</w:t>
      </w:r>
      <w:r>
        <w:rPr>
          <w:u w:val="none"/>
        </w:rPr>
        <w:t xml:space="preserve"> le document LHE/19/14.COM/</w:t>
      </w:r>
      <w:proofErr w:type="gramStart"/>
      <w:r>
        <w:rPr>
          <w:u w:val="none"/>
        </w:rPr>
        <w:t>5.a</w:t>
      </w:r>
      <w:proofErr w:type="gramEnd"/>
      <w:r w:rsidR="002659F4">
        <w:rPr>
          <w:u w:val="none"/>
        </w:rPr>
        <w:t> </w:t>
      </w:r>
      <w:proofErr w:type="spellStart"/>
      <w:r w:rsidR="002659F4">
        <w:rPr>
          <w:u w:val="none"/>
        </w:rPr>
        <w:t>Rev</w:t>
      </w:r>
      <w:proofErr w:type="spellEnd"/>
      <w:r w:rsidR="002659F4">
        <w:rPr>
          <w:u w:val="none"/>
        </w:rPr>
        <w:t>.</w:t>
      </w:r>
      <w:r>
        <w:rPr>
          <w:u w:val="none"/>
        </w:rPr>
        <w:t>,</w:t>
      </w:r>
    </w:p>
    <w:p w14:paraId="6E0B374F" w14:textId="72A16E80" w:rsidR="00E8782D" w:rsidRPr="001820C5" w:rsidRDefault="00E8782D" w:rsidP="00E8782D">
      <w:pPr>
        <w:pStyle w:val="COMParaDecision"/>
        <w:jc w:val="left"/>
      </w:pPr>
      <w:r>
        <w:t>Rappelant</w:t>
      </w:r>
      <w:r>
        <w:rPr>
          <w:u w:val="none"/>
        </w:rPr>
        <w:t xml:space="preserve"> l</w:t>
      </w:r>
      <w:r w:rsidR="00737A90">
        <w:rPr>
          <w:u w:val="none"/>
        </w:rPr>
        <w:t>’</w:t>
      </w:r>
      <w:r>
        <w:rPr>
          <w:u w:val="none"/>
        </w:rPr>
        <w:t>article 30 de la Convention,</w:t>
      </w:r>
    </w:p>
    <w:p w14:paraId="3F55CEE8" w14:textId="77777777" w:rsidR="00E8782D" w:rsidRPr="001820C5" w:rsidRDefault="00E8782D" w:rsidP="00E8782D">
      <w:pPr>
        <w:pStyle w:val="COMParaDecision"/>
        <w:jc w:val="left"/>
      </w:pPr>
      <w:r>
        <w:t>Accueille</w:t>
      </w:r>
      <w:r>
        <w:rPr>
          <w:u w:val="none"/>
        </w:rPr>
        <w:t xml:space="preserve"> les trois États qui ont ratifié la Convention depuis janvier 2018 ;</w:t>
      </w:r>
    </w:p>
    <w:p w14:paraId="59EF61D6" w14:textId="2D9B118A" w:rsidR="00683955" w:rsidRPr="004679D4" w:rsidRDefault="00E8782D" w:rsidP="00F90617">
      <w:pPr>
        <w:pStyle w:val="COMParaDecision"/>
      </w:pPr>
      <w:r>
        <w:t>Adopte</w:t>
      </w:r>
      <w:r>
        <w:rPr>
          <w:u w:val="none"/>
        </w:rPr>
        <w:t xml:space="preserve"> le rapport sur ses ac</w:t>
      </w:r>
      <w:r w:rsidR="006C3776">
        <w:rPr>
          <w:u w:val="none"/>
        </w:rPr>
        <w:t xml:space="preserve">tivités menées en 2018 et 2019 </w:t>
      </w:r>
      <w:r>
        <w:rPr>
          <w:u w:val="none"/>
        </w:rPr>
        <w:t xml:space="preserve">et </w:t>
      </w:r>
      <w:r>
        <w:t>demande</w:t>
      </w:r>
      <w:r>
        <w:rPr>
          <w:u w:val="none"/>
        </w:rPr>
        <w:t xml:space="preserve"> au Secrétariat de le </w:t>
      </w:r>
      <w:r w:rsidR="00737A90">
        <w:rPr>
          <w:u w:val="none"/>
        </w:rPr>
        <w:t>présente</w:t>
      </w:r>
      <w:r w:rsidR="009D716D">
        <w:rPr>
          <w:u w:val="none"/>
        </w:rPr>
        <w:t>r</w:t>
      </w:r>
      <w:r w:rsidR="00737A90">
        <w:rPr>
          <w:u w:val="none"/>
        </w:rPr>
        <w:t xml:space="preserve"> </w:t>
      </w:r>
      <w:r w:rsidR="003D3F0B">
        <w:rPr>
          <w:u w:val="none"/>
        </w:rPr>
        <w:t xml:space="preserve">pour examen </w:t>
      </w:r>
      <w:r w:rsidR="007461EA">
        <w:rPr>
          <w:u w:val="none"/>
        </w:rPr>
        <w:t>à</w:t>
      </w:r>
      <w:r w:rsidR="00737A90">
        <w:rPr>
          <w:u w:val="none"/>
        </w:rPr>
        <w:t xml:space="preserve"> </w:t>
      </w:r>
      <w:r w:rsidR="003D3F0B">
        <w:rPr>
          <w:u w:val="none"/>
        </w:rPr>
        <w:t>la huitième session de l’Assemblée générale</w:t>
      </w:r>
      <w:r>
        <w:rPr>
          <w:u w:val="none"/>
        </w:rPr>
        <w:t>.</w:t>
      </w:r>
    </w:p>
    <w:p w14:paraId="4F893A7D" w14:textId="77777777" w:rsidR="00E232F6" w:rsidRPr="00AE18A1" w:rsidRDefault="00E232F6" w:rsidP="004679D4">
      <w:pPr>
        <w:pageBreakBefore/>
        <w:spacing w:after="240"/>
        <w:jc w:val="center"/>
      </w:pPr>
      <w:r>
        <w:rPr>
          <w:rFonts w:ascii="Arial" w:hAnsi="Arial"/>
          <w:b/>
          <w:bCs/>
          <w:sz w:val="22"/>
          <w:szCs w:val="22"/>
          <w:u w:val="single"/>
        </w:rPr>
        <w:lastRenderedPageBreak/>
        <w:t>ANNEXE</w:t>
      </w:r>
    </w:p>
    <w:p w14:paraId="5E95AEE4" w14:textId="500698EA" w:rsidR="00E232F6" w:rsidRPr="00AE18A1" w:rsidRDefault="00E232F6" w:rsidP="00E232F6">
      <w:pPr>
        <w:spacing w:after="360"/>
        <w:jc w:val="center"/>
      </w:pPr>
      <w:r>
        <w:rPr>
          <w:rFonts w:ascii="Arial" w:hAnsi="Arial"/>
          <w:b/>
          <w:bCs/>
          <w:sz w:val="22"/>
          <w:szCs w:val="22"/>
        </w:rPr>
        <w:t>Projet de rapport du Comité à l</w:t>
      </w:r>
      <w:r w:rsidR="00737A90">
        <w:rPr>
          <w:rFonts w:ascii="Arial" w:hAnsi="Arial"/>
          <w:b/>
          <w:bCs/>
          <w:sz w:val="22"/>
          <w:szCs w:val="22"/>
        </w:rPr>
        <w:t>’</w:t>
      </w:r>
      <w:r>
        <w:rPr>
          <w:rFonts w:ascii="Arial" w:hAnsi="Arial"/>
          <w:b/>
          <w:bCs/>
          <w:sz w:val="22"/>
          <w:szCs w:val="22"/>
        </w:rPr>
        <w:t>Assemblée générale sur ses activités</w:t>
      </w:r>
    </w:p>
    <w:p w14:paraId="2F6346BB" w14:textId="49C6C427" w:rsidR="00E232F6" w:rsidRPr="00C10217" w:rsidRDefault="00E232F6" w:rsidP="00E232F6">
      <w:pPr>
        <w:pStyle w:val="Marge"/>
        <w:numPr>
          <w:ilvl w:val="0"/>
          <w:numId w:val="19"/>
        </w:numPr>
        <w:spacing w:after="120"/>
        <w:ind w:left="567" w:hanging="567"/>
      </w:pPr>
      <w:r w:rsidRPr="00C10217">
        <w:t xml:space="preserve">Les fonctions du Comité sont définies dans la Convention de 2003 pour la sauvegarde du patrimoine culturel immatériel, plus précisément </w:t>
      </w:r>
      <w:r w:rsidR="003D3F0B" w:rsidRPr="00C10217">
        <w:t xml:space="preserve">à </w:t>
      </w:r>
      <w:r w:rsidRPr="00C10217">
        <w:t>l</w:t>
      </w:r>
      <w:r w:rsidR="00737A90" w:rsidRPr="00C10217">
        <w:t>’</w:t>
      </w:r>
      <w:r w:rsidRPr="00C10217">
        <w:t xml:space="preserve">article 7. </w:t>
      </w:r>
      <w:r w:rsidR="00737A90" w:rsidRPr="00C10217">
        <w:t xml:space="preserve">Le présent </w:t>
      </w:r>
      <w:r w:rsidRPr="00C10217">
        <w:t>rapport suit l</w:t>
      </w:r>
      <w:r w:rsidR="00737A90" w:rsidRPr="00C10217">
        <w:t>’</w:t>
      </w:r>
      <w:r w:rsidRPr="00C10217">
        <w:t xml:space="preserve">ordre des fonctions </w:t>
      </w:r>
      <w:r w:rsidR="00737A90" w:rsidRPr="00C10217">
        <w:t xml:space="preserve">énoncées </w:t>
      </w:r>
      <w:r w:rsidRPr="00C10217">
        <w:t>dans cet article.</w:t>
      </w:r>
    </w:p>
    <w:p w14:paraId="0E9D4EFA" w14:textId="4241A693" w:rsidR="00322647" w:rsidRPr="00C10217" w:rsidRDefault="00E232F6" w:rsidP="00322647">
      <w:pPr>
        <w:pStyle w:val="Marge"/>
        <w:numPr>
          <w:ilvl w:val="0"/>
          <w:numId w:val="19"/>
        </w:numPr>
        <w:spacing w:after="120"/>
        <w:ind w:left="567" w:hanging="567"/>
      </w:pPr>
      <w:r w:rsidRPr="00C10217">
        <w:t>En 2018, l</w:t>
      </w:r>
      <w:r w:rsidR="00737A90" w:rsidRPr="00C10217">
        <w:t>’</w:t>
      </w:r>
      <w:r w:rsidRPr="00C10217">
        <w:t xml:space="preserve">Assemblée générale a renouvelé la moitié des </w:t>
      </w:r>
      <w:r w:rsidR="00004BA8" w:rsidRPr="00C10217">
        <w:t xml:space="preserve">24 </w:t>
      </w:r>
      <w:r w:rsidRPr="00C10217">
        <w:t xml:space="preserve">membres du Comité en élisant </w:t>
      </w:r>
      <w:r w:rsidR="00BF1BF1" w:rsidRPr="00C10217">
        <w:t xml:space="preserve">12 </w:t>
      </w:r>
      <w:r w:rsidRPr="00C10217">
        <w:t xml:space="preserve">États parties pour un mandat de quatre ans. Entre juin 2018 et juin 2020, les </w:t>
      </w:r>
      <w:r w:rsidR="00004BA8" w:rsidRPr="00C10217">
        <w:t xml:space="preserve">24 </w:t>
      </w:r>
      <w:r w:rsidRPr="00C10217">
        <w:t>membres du Comité étaient les suivants : Arménie, Autriche, Azerbaïdjan*, Cameroun*, Chine</w:t>
      </w:r>
      <w:r w:rsidR="00B1131C" w:rsidRPr="00C10217">
        <w:t>*</w:t>
      </w:r>
      <w:r w:rsidRPr="00C10217">
        <w:t>, Colombie, Chypre, Cuba, Djibouti*, Guatemala, Jamaïque*, Japon*, Kazakhstan*, Koweït*, Liban, Maurice, Palestine, Pays-Bas*, Philippines, Pologne*, Sénégal, Sri Lanka*, Togo* et Zambie (le</w:t>
      </w:r>
      <w:r w:rsidR="00737A90" w:rsidRPr="00C10217">
        <w:t>s</w:t>
      </w:r>
      <w:r w:rsidRPr="00C10217">
        <w:t xml:space="preserve"> membres du Comité marqués </w:t>
      </w:r>
      <w:r w:rsidR="00737A90" w:rsidRPr="00C10217">
        <w:t xml:space="preserve">par </w:t>
      </w:r>
      <w:r w:rsidRPr="00C10217">
        <w:t xml:space="preserve">un astérisque </w:t>
      </w:r>
      <w:r w:rsidR="00D21888" w:rsidRPr="00C10217">
        <w:t xml:space="preserve">ont un mandat </w:t>
      </w:r>
      <w:r w:rsidRPr="00C10217">
        <w:t xml:space="preserve">de 2018 à 2022, </w:t>
      </w:r>
      <w:r w:rsidR="00D21888" w:rsidRPr="00C10217">
        <w:t>ceux n’ayant pas d’astérisque ont un mandat</w:t>
      </w:r>
      <w:r w:rsidRPr="00C10217">
        <w:t xml:space="preserve"> de 2016 à 2020). </w:t>
      </w:r>
    </w:p>
    <w:p w14:paraId="43EB7488" w14:textId="0C7A94A7" w:rsidR="00E232F6" w:rsidRPr="00C10217" w:rsidRDefault="00E232F6" w:rsidP="00322647">
      <w:pPr>
        <w:pStyle w:val="Marge"/>
        <w:numPr>
          <w:ilvl w:val="0"/>
          <w:numId w:val="19"/>
        </w:numPr>
        <w:spacing w:after="120"/>
        <w:ind w:left="567" w:hanging="567"/>
      </w:pPr>
      <w:r w:rsidRPr="00C10217">
        <w:t>Pendant la période considérée, le Comité s</w:t>
      </w:r>
      <w:r w:rsidR="00737A90" w:rsidRPr="00C10217">
        <w:t>’</w:t>
      </w:r>
      <w:r w:rsidRPr="00C10217">
        <w:t>est réuni deux fois : à Port-Louis (République de Maurice) du 26 novembre au 1</w:t>
      </w:r>
      <w:r w:rsidRPr="00C10217">
        <w:rPr>
          <w:vertAlign w:val="superscript"/>
        </w:rPr>
        <w:t>er</w:t>
      </w:r>
      <w:r w:rsidRPr="00C10217">
        <w:t> décembre 2018 pour sa treizième session (13.COM) ; et à Bogotá, (République de Colombie) du 9 au 14 décembre 2019 pour sa quatorzième session (14.COM).</w:t>
      </w:r>
    </w:p>
    <w:p w14:paraId="3AE26996" w14:textId="74F6BA23" w:rsidR="00176239" w:rsidRPr="00C10217" w:rsidRDefault="00E232F6" w:rsidP="00EE2DB7">
      <w:pPr>
        <w:pStyle w:val="Marge"/>
        <w:numPr>
          <w:ilvl w:val="0"/>
          <w:numId w:val="19"/>
        </w:numPr>
        <w:spacing w:after="120"/>
        <w:ind w:left="567" w:hanging="567"/>
      </w:pPr>
      <w:r w:rsidRPr="00C10217">
        <w:t xml:space="preserve">Élu </w:t>
      </w:r>
      <w:r w:rsidR="00D21888" w:rsidRPr="00C10217">
        <w:t xml:space="preserve">à la fin </w:t>
      </w:r>
      <w:r w:rsidRPr="00C10217">
        <w:t>de la douzième session qui s</w:t>
      </w:r>
      <w:r w:rsidR="00737A90" w:rsidRPr="00C10217">
        <w:t>’</w:t>
      </w:r>
      <w:r w:rsidRPr="00C10217">
        <w:t>est tenue en décembre 2017 sur l</w:t>
      </w:r>
      <w:r w:rsidR="00737A90" w:rsidRPr="00C10217">
        <w:t>’</w:t>
      </w:r>
      <w:r w:rsidRPr="00C10217">
        <w:t xml:space="preserve">île de </w:t>
      </w:r>
      <w:proofErr w:type="spellStart"/>
      <w:r w:rsidRPr="00C10217">
        <w:t>Jeju</w:t>
      </w:r>
      <w:proofErr w:type="spellEnd"/>
      <w:r w:rsidRPr="00C10217">
        <w:t xml:space="preserve"> (République de Corée), le Bureau de la treizième session du Comité était composé de : S.</w:t>
      </w:r>
      <w:r w:rsidR="003D3F0B" w:rsidRPr="00C10217">
        <w:t> </w:t>
      </w:r>
      <w:r w:rsidRPr="00C10217">
        <w:t>Exc.</w:t>
      </w:r>
      <w:r w:rsidR="003D3F0B" w:rsidRPr="00C10217">
        <w:t> </w:t>
      </w:r>
      <w:r w:rsidRPr="00C10217">
        <w:t>M.</w:t>
      </w:r>
      <w:r w:rsidR="003D3F0B" w:rsidRPr="00C10217">
        <w:t> </w:t>
      </w:r>
      <w:proofErr w:type="spellStart"/>
      <w:r w:rsidRPr="00C10217">
        <w:t>Prithvirajsing</w:t>
      </w:r>
      <w:proofErr w:type="spellEnd"/>
      <w:r w:rsidR="003D3F0B" w:rsidRPr="00C10217">
        <w:t> </w:t>
      </w:r>
      <w:proofErr w:type="spellStart"/>
      <w:r w:rsidRPr="00C10217">
        <w:t>Roopun</w:t>
      </w:r>
      <w:proofErr w:type="spellEnd"/>
      <w:r w:rsidRPr="00C10217">
        <w:t xml:space="preserve"> (République de Maurice) comme Président ; Chypre, l</w:t>
      </w:r>
      <w:r w:rsidR="00737A90" w:rsidRPr="00C10217">
        <w:t>’</w:t>
      </w:r>
      <w:r w:rsidRPr="00C10217">
        <w:t xml:space="preserve">Arménie, le Guatemala, les Philippines et le Liban comme Vice-Présidents ; et Mme Gabriele </w:t>
      </w:r>
      <w:proofErr w:type="spellStart"/>
      <w:r w:rsidRPr="00C10217">
        <w:t>Detschmann</w:t>
      </w:r>
      <w:proofErr w:type="spellEnd"/>
      <w:r w:rsidRPr="00C10217">
        <w:t xml:space="preserve"> (Autriche) comme Rapporteur. </w:t>
      </w:r>
    </w:p>
    <w:p w14:paraId="1AF973B7" w14:textId="0063F70E" w:rsidR="00E232F6" w:rsidRPr="00C10217" w:rsidRDefault="00E232F6" w:rsidP="00EE2DB7">
      <w:pPr>
        <w:pStyle w:val="Marge"/>
        <w:numPr>
          <w:ilvl w:val="0"/>
          <w:numId w:val="19"/>
        </w:numPr>
        <w:spacing w:after="120"/>
        <w:ind w:left="567" w:hanging="567"/>
      </w:pPr>
      <w:r w:rsidRPr="00C10217">
        <w:t xml:space="preserve">Élu </w:t>
      </w:r>
      <w:r w:rsidR="00D21888" w:rsidRPr="00C10217">
        <w:t xml:space="preserve">à la fin </w:t>
      </w:r>
      <w:r w:rsidRPr="00C10217">
        <w:t>de la treizième session qui s</w:t>
      </w:r>
      <w:r w:rsidR="00737A90" w:rsidRPr="00C10217">
        <w:t>’</w:t>
      </w:r>
      <w:r w:rsidRPr="00C10217">
        <w:t xml:space="preserve">est tenue en décembre 2018 à Port-Louis (République de Maurice), le Bureau de la quatorzième session du Comité était composé de : Mme María Claudia Lopez </w:t>
      </w:r>
      <w:proofErr w:type="spellStart"/>
      <w:r w:rsidRPr="00C10217">
        <w:t>Sorzano</w:t>
      </w:r>
      <w:proofErr w:type="spellEnd"/>
      <w:r w:rsidRPr="00C10217">
        <w:t xml:space="preserve"> (République de Colombie) comme Présidente ; l</w:t>
      </w:r>
      <w:r w:rsidR="00737A90" w:rsidRPr="00C10217">
        <w:t>’</w:t>
      </w:r>
      <w:r w:rsidRPr="00C10217">
        <w:t>Autriche, la Pologne, les Philippines, la Zambie et la Palestine comme Vice-Présidents ; et M. Bernard Jankee (Jamaïque) comme Rapporteur. </w:t>
      </w:r>
    </w:p>
    <w:p w14:paraId="6ED8ED3F" w14:textId="612B388E" w:rsidR="00E232F6" w:rsidRPr="00C10217" w:rsidRDefault="00E232F6" w:rsidP="00E232F6">
      <w:pPr>
        <w:pStyle w:val="Marge"/>
        <w:numPr>
          <w:ilvl w:val="0"/>
          <w:numId w:val="19"/>
        </w:numPr>
        <w:spacing w:after="120"/>
        <w:ind w:left="567" w:hanging="567"/>
      </w:pPr>
      <w:r w:rsidRPr="00C10217">
        <w:t>Le Bureau s</w:t>
      </w:r>
      <w:r w:rsidR="00737A90" w:rsidRPr="00C10217">
        <w:t>’</w:t>
      </w:r>
      <w:r w:rsidRPr="00C10217">
        <w:t xml:space="preserve">est réuni </w:t>
      </w:r>
      <w:r w:rsidR="00004BA8" w:rsidRPr="00C10217">
        <w:t xml:space="preserve">de mardi à samedi </w:t>
      </w:r>
      <w:r w:rsidRPr="00C10217">
        <w:t>durant les sessions du Comité. Pendant la période considérée, il s</w:t>
      </w:r>
      <w:r w:rsidR="00737A90" w:rsidRPr="00C10217">
        <w:t>’</w:t>
      </w:r>
      <w:r w:rsidRPr="00C10217">
        <w:t>est également réuni six fois au Siège de l</w:t>
      </w:r>
      <w:r w:rsidR="00737A90" w:rsidRPr="00C10217">
        <w:t>’</w:t>
      </w:r>
      <w:r w:rsidRPr="00C10217">
        <w:t xml:space="preserve">UNESCO : le 22 mars 2018 (13.COM 1.BUR), le 7 juin 2018 (13.COM 2.BUR), le 2 octobre 2018 (13.COM 3.BUR), le 21 mars 2019 (14.COM 1.BUR), le 18 juin 2019 (14.COM 2.BUR) et le 3 octobre 2019 (14.COM 4.BUR). En outre, </w:t>
      </w:r>
      <w:r w:rsidR="00D21888" w:rsidRPr="00C10217">
        <w:t xml:space="preserve">une </w:t>
      </w:r>
      <w:r w:rsidRPr="00C10217">
        <w:t xml:space="preserve">consultation électronique </w:t>
      </w:r>
      <w:r w:rsidR="00D21888" w:rsidRPr="00C10217">
        <w:t xml:space="preserve">a </w:t>
      </w:r>
      <w:r w:rsidRPr="00C10217">
        <w:t>été organisée en septembre 2019 (14.COM 3.BUR).</w:t>
      </w:r>
    </w:p>
    <w:p w14:paraId="13128BD1" w14:textId="08D92BE6" w:rsidR="00B67C07" w:rsidRPr="00C10217" w:rsidRDefault="00E232F6" w:rsidP="00B67C07">
      <w:pPr>
        <w:pStyle w:val="Marge"/>
        <w:numPr>
          <w:ilvl w:val="0"/>
          <w:numId w:val="19"/>
        </w:numPr>
        <w:spacing w:after="120"/>
        <w:ind w:left="567" w:hanging="567"/>
      </w:pPr>
      <w:r w:rsidRPr="00C10217">
        <w:t xml:space="preserve">Pendant la période considérée, le Comité et son Bureau ont examiné un total de </w:t>
      </w:r>
      <w:r w:rsidR="00004BA8" w:rsidRPr="00C10217">
        <w:t>86 </w:t>
      </w:r>
      <w:r w:rsidRPr="00C10217">
        <w:t xml:space="preserve">points inscrits à leur ordre du jour, accompagnés de </w:t>
      </w:r>
      <w:r w:rsidR="00004BA8" w:rsidRPr="00C10217">
        <w:t xml:space="preserve">89 </w:t>
      </w:r>
      <w:r w:rsidRPr="00C10217">
        <w:t>documents de travail ou d</w:t>
      </w:r>
      <w:r w:rsidR="00737A90" w:rsidRPr="00C10217">
        <w:t>’</w:t>
      </w:r>
      <w:r w:rsidRPr="00C10217">
        <w:t>information</w:t>
      </w:r>
      <w:r w:rsidR="00D527DA" w:rsidRPr="00C10217">
        <w:t>,</w:t>
      </w:r>
      <w:r w:rsidRPr="00C10217">
        <w:t xml:space="preserve"> et de </w:t>
      </w:r>
      <w:r w:rsidR="00004BA8" w:rsidRPr="00C10217">
        <w:t xml:space="preserve">12 </w:t>
      </w:r>
      <w:r w:rsidRPr="00C10217">
        <w:t>candidatures</w:t>
      </w:r>
      <w:r w:rsidR="00004BA8" w:rsidRPr="00C10217">
        <w:t xml:space="preserve"> sur Liste du patrimoine immatériel nécessitant une sauvegarde urgente</w:t>
      </w:r>
      <w:r w:rsidRPr="00C10217">
        <w:t xml:space="preserve">, </w:t>
      </w:r>
      <w:r w:rsidR="00004BA8" w:rsidRPr="00C10217">
        <w:t>78 sur la Liste représentative, 3 propositions pour de</w:t>
      </w:r>
      <w:r w:rsidR="00DF786B" w:rsidRPr="00C10217">
        <w:t>s</w:t>
      </w:r>
      <w:r w:rsidR="00004BA8" w:rsidRPr="00C10217">
        <w:t xml:space="preserve"> bonnes pratiques de sauvegarde, 37 </w:t>
      </w:r>
      <w:r w:rsidRPr="00C10217">
        <w:t>demandes d</w:t>
      </w:r>
      <w:r w:rsidR="00737A90" w:rsidRPr="00C10217">
        <w:t>’</w:t>
      </w:r>
      <w:r w:rsidRPr="00C10217">
        <w:t>assistance internationale, rapports soumis par des États parties et</w:t>
      </w:r>
      <w:r w:rsidR="00004BA8" w:rsidRPr="00C10217">
        <w:t xml:space="preserve"> 63</w:t>
      </w:r>
      <w:r w:rsidRPr="00C10217">
        <w:t> demandes d</w:t>
      </w:r>
      <w:r w:rsidR="00737A90" w:rsidRPr="00C10217">
        <w:t>’</w:t>
      </w:r>
      <w:r w:rsidRPr="00C10217">
        <w:t xml:space="preserve">accréditation ou de renouvellement </w:t>
      </w:r>
      <w:r w:rsidR="00D21888" w:rsidRPr="00C10217">
        <w:t xml:space="preserve">émanant </w:t>
      </w:r>
      <w:r w:rsidRPr="00C10217">
        <w:t>d</w:t>
      </w:r>
      <w:r w:rsidR="00737A90" w:rsidRPr="00C10217">
        <w:t>’</w:t>
      </w:r>
      <w:r w:rsidRPr="00C10217">
        <w:t>organisations non gouvernementales</w:t>
      </w:r>
      <w:r w:rsidR="00D21888" w:rsidRPr="00C10217">
        <w:t xml:space="preserve"> (ci-après dénommées ONG)</w:t>
      </w:r>
      <w:r w:rsidRPr="00C10217">
        <w:t>.</w:t>
      </w:r>
      <w:r w:rsidR="00B541DE" w:rsidRPr="00C10217">
        <w:t xml:space="preserve"> Le Comité a </w:t>
      </w:r>
      <w:r w:rsidR="00761DE1" w:rsidRPr="00C10217">
        <w:t xml:space="preserve">pris note </w:t>
      </w:r>
      <w:r w:rsidR="002659F4" w:rsidRPr="00C10217">
        <w:t>de la</w:t>
      </w:r>
      <w:r w:rsidR="005B5689" w:rsidRPr="00C10217">
        <w:t xml:space="preserve"> </w:t>
      </w:r>
      <w:r w:rsidR="00761DE1" w:rsidRPr="00C10217">
        <w:t xml:space="preserve">réflexion </w:t>
      </w:r>
      <w:r w:rsidR="00B541DE" w:rsidRPr="00C10217">
        <w:t>sur la participation des organisations non gouvernementales à la mise en œuvre de la Convention.</w:t>
      </w:r>
    </w:p>
    <w:p w14:paraId="76686674" w14:textId="76AC249F" w:rsidR="00C10217" w:rsidRPr="00C10217" w:rsidRDefault="00DE253B" w:rsidP="00C10217">
      <w:pPr>
        <w:pStyle w:val="Marge"/>
        <w:numPr>
          <w:ilvl w:val="0"/>
          <w:numId w:val="19"/>
        </w:numPr>
        <w:spacing w:after="120"/>
        <w:ind w:left="567" w:hanging="567"/>
      </w:pPr>
      <w:r w:rsidRPr="00C10217">
        <w:t xml:space="preserve">Lors de sa quatorzième session, le Comité a élu les membres du Bureau de la quinzième session, qui </w:t>
      </w:r>
      <w:r w:rsidR="00D21888" w:rsidRPr="00C10217">
        <w:t xml:space="preserve">était </w:t>
      </w:r>
      <w:r w:rsidRPr="00C10217">
        <w:t>composé de</w:t>
      </w:r>
      <w:r w:rsidR="003E409B">
        <w:t> :</w:t>
      </w:r>
      <w:bookmarkStart w:id="0" w:name="_GoBack"/>
      <w:bookmarkEnd w:id="0"/>
      <w:r w:rsidRPr="00C10217">
        <w:t xml:space="preserve"> </w:t>
      </w:r>
      <w:r w:rsidR="00C10217" w:rsidRPr="00C10217">
        <w:t xml:space="preserve">S. Exc. Mme Olivia Grange (Jamaïque) comme Présidente ; les Pays-Bas, l’Azerbaïdjan, la Chine, Djibouti et le Koweït comme Vice-Présidents ; et M. Askar </w:t>
      </w:r>
      <w:proofErr w:type="spellStart"/>
      <w:r w:rsidR="00C10217" w:rsidRPr="00C10217">
        <w:t>Abdrakhmanov</w:t>
      </w:r>
      <w:proofErr w:type="spellEnd"/>
      <w:r w:rsidR="00C10217" w:rsidRPr="00C10217">
        <w:t xml:space="preserve"> (Kazakhstan) comme Rapporteur. </w:t>
      </w:r>
    </w:p>
    <w:p w14:paraId="61D83728" w14:textId="2B9C65CC" w:rsidR="00AA0A58" w:rsidRPr="00AE18A1" w:rsidRDefault="00AA0A58" w:rsidP="00377593">
      <w:pPr>
        <w:keepNext/>
        <w:numPr>
          <w:ilvl w:val="0"/>
          <w:numId w:val="20"/>
        </w:numPr>
        <w:spacing w:before="360" w:after="240"/>
        <w:ind w:left="567" w:hanging="567"/>
        <w:jc w:val="both"/>
        <w:rPr>
          <w:rFonts w:ascii="Arial" w:hAnsi="Arial" w:cs="Arial"/>
          <w:b/>
          <w:sz w:val="22"/>
          <w:szCs w:val="22"/>
        </w:rPr>
      </w:pPr>
      <w:r>
        <w:rPr>
          <w:rFonts w:ascii="Arial" w:hAnsi="Arial"/>
          <w:b/>
          <w:sz w:val="22"/>
          <w:szCs w:val="22"/>
        </w:rPr>
        <w:lastRenderedPageBreak/>
        <w:t>Promouvoir les objectifs de la Convention, encourager et assurer le suivi de sa mise en œuvre ; et donner des conseils sur les mesures de sauvegarde et les bonnes pratiques</w:t>
      </w:r>
      <w:r w:rsidR="00D21888">
        <w:rPr>
          <w:rFonts w:ascii="Arial" w:hAnsi="Arial"/>
          <w:b/>
          <w:sz w:val="22"/>
          <w:szCs w:val="22"/>
        </w:rPr>
        <w:t xml:space="preserve"> </w:t>
      </w:r>
      <w:r>
        <w:rPr>
          <w:rFonts w:ascii="Arial" w:hAnsi="Arial"/>
          <w:sz w:val="22"/>
          <w:szCs w:val="22"/>
        </w:rPr>
        <w:t>(articles 7[a] et 7[b])</w:t>
      </w:r>
    </w:p>
    <w:p w14:paraId="3EC8EE7F" w14:textId="77777777" w:rsidR="00AA0A58" w:rsidRPr="00AE18A1" w:rsidRDefault="00AA0A58" w:rsidP="00AA0A58">
      <w:pPr>
        <w:pStyle w:val="ListParagraph"/>
        <w:keepNext/>
        <w:numPr>
          <w:ilvl w:val="0"/>
          <w:numId w:val="21"/>
        </w:numPr>
        <w:spacing w:before="240" w:after="120"/>
        <w:ind w:left="567" w:hanging="567"/>
        <w:rPr>
          <w:rFonts w:cs="Arial"/>
          <w:b/>
          <w:szCs w:val="22"/>
        </w:rPr>
      </w:pPr>
      <w:r>
        <w:rPr>
          <w:rFonts w:ascii="Arial" w:hAnsi="Arial"/>
          <w:b/>
          <w:sz w:val="22"/>
          <w:szCs w:val="22"/>
        </w:rPr>
        <w:t>Ratification</w:t>
      </w:r>
    </w:p>
    <w:p w14:paraId="3D72465E" w14:textId="31E64FD1" w:rsidR="00AA0A58" w:rsidRPr="00004BA8" w:rsidRDefault="00AA0A58" w:rsidP="00C305EB">
      <w:pPr>
        <w:pStyle w:val="Marge"/>
        <w:numPr>
          <w:ilvl w:val="0"/>
          <w:numId w:val="19"/>
        </w:numPr>
        <w:spacing w:after="120"/>
        <w:ind w:left="567" w:hanging="567"/>
      </w:pPr>
      <w:r w:rsidRPr="00004BA8">
        <w:t>Trois États (</w:t>
      </w:r>
      <w:r w:rsidR="00D21888" w:rsidRPr="00004BA8">
        <w:t xml:space="preserve">Îles Salomon, </w:t>
      </w:r>
      <w:r w:rsidRPr="00004BA8">
        <w:t>Kiribati, Singapour) ont ratifié la Convention entre janvier 2018 et décembre 2019. À la fin de l</w:t>
      </w:r>
      <w:r w:rsidR="00737A90" w:rsidRPr="00004BA8">
        <w:t>’</w:t>
      </w:r>
      <w:r w:rsidRPr="00004BA8">
        <w:t xml:space="preserve">année 2019, </w:t>
      </w:r>
      <w:r w:rsidRPr="00C90266">
        <w:t>178</w:t>
      </w:r>
      <w:r w:rsidRPr="00004BA8">
        <w:t xml:space="preserve"> États étaient </w:t>
      </w:r>
      <w:proofErr w:type="gramStart"/>
      <w:r w:rsidRPr="00004BA8">
        <w:t>parties</w:t>
      </w:r>
      <w:proofErr w:type="gramEnd"/>
      <w:r w:rsidRPr="00004BA8">
        <w:t xml:space="preserve"> à la Convention.</w:t>
      </w:r>
    </w:p>
    <w:p w14:paraId="640261E2" w14:textId="6B90E249" w:rsidR="00460D49" w:rsidRPr="00C90266" w:rsidRDefault="00460D49" w:rsidP="006E283A">
      <w:pPr>
        <w:pStyle w:val="ListParagraph"/>
        <w:keepNext/>
        <w:numPr>
          <w:ilvl w:val="0"/>
          <w:numId w:val="21"/>
        </w:numPr>
        <w:spacing w:before="240" w:after="120"/>
        <w:ind w:left="567" w:hanging="567"/>
        <w:contextualSpacing w:val="0"/>
        <w:jc w:val="both"/>
        <w:rPr>
          <w:rFonts w:ascii="Arial" w:hAnsi="Arial" w:cs="Arial"/>
          <w:b/>
          <w:sz w:val="22"/>
          <w:szCs w:val="22"/>
        </w:rPr>
      </w:pPr>
      <w:r w:rsidRPr="00C90266">
        <w:rPr>
          <w:rFonts w:ascii="Arial" w:hAnsi="Arial"/>
          <w:b/>
          <w:sz w:val="22"/>
          <w:szCs w:val="22"/>
        </w:rPr>
        <w:t>Bonne gouvernance facilitée par l</w:t>
      </w:r>
      <w:r w:rsidR="00737A90" w:rsidRPr="00C90266">
        <w:rPr>
          <w:rFonts w:ascii="Arial" w:hAnsi="Arial"/>
          <w:b/>
          <w:sz w:val="22"/>
          <w:szCs w:val="22"/>
        </w:rPr>
        <w:t>’</w:t>
      </w:r>
      <w:r w:rsidRPr="00C90266">
        <w:rPr>
          <w:rFonts w:ascii="Arial" w:hAnsi="Arial"/>
          <w:b/>
          <w:sz w:val="22"/>
          <w:szCs w:val="22"/>
        </w:rPr>
        <w:t>amélioration des services de gestion des connaissances</w:t>
      </w:r>
    </w:p>
    <w:p w14:paraId="4A71FDDB" w14:textId="1F1281E4" w:rsidR="00E5614B" w:rsidRPr="00C10217" w:rsidRDefault="007A47A8">
      <w:pPr>
        <w:pStyle w:val="Marge"/>
        <w:numPr>
          <w:ilvl w:val="0"/>
          <w:numId w:val="19"/>
        </w:numPr>
        <w:spacing w:after="120"/>
        <w:ind w:left="567" w:hanging="567"/>
      </w:pPr>
      <w:r w:rsidRPr="00C10217">
        <w:t xml:space="preserve">La bonne gouvernance de la Convention </w:t>
      </w:r>
      <w:r w:rsidR="00D21888" w:rsidRPr="00C10217">
        <w:t>demeure une</w:t>
      </w:r>
      <w:r w:rsidRPr="00C10217">
        <w:t xml:space="preserve"> priorité </w:t>
      </w:r>
      <w:r w:rsidR="00D21888" w:rsidRPr="00C10217">
        <w:t xml:space="preserve">pour </w:t>
      </w:r>
      <w:r w:rsidR="00762780" w:rsidRPr="00C10217">
        <w:t xml:space="preserve">le </w:t>
      </w:r>
      <w:r w:rsidRPr="00C10217">
        <w:t>Comité</w:t>
      </w:r>
      <w:r w:rsidR="00D527DA" w:rsidRPr="00C10217">
        <w:t>,</w:t>
      </w:r>
      <w:r w:rsidRPr="00C10217">
        <w:t xml:space="preserve"> qui s’engage à obtenir des améliorations </w:t>
      </w:r>
      <w:r w:rsidR="00D21888" w:rsidRPr="00C10217">
        <w:t>à cette fin</w:t>
      </w:r>
      <w:r w:rsidRPr="00C10217">
        <w:t xml:space="preserve">. Pour soutenir ces fonctions de gouvernance, le Bureau du Comité a alloué un </w:t>
      </w:r>
      <w:r w:rsidR="00464BB3" w:rsidRPr="00C10217">
        <w:t xml:space="preserve">montant </w:t>
      </w:r>
      <w:r w:rsidRPr="00C10217">
        <w:t>total de 338 512 dollars des États-Unis – soit 20 % de la ligne budgétaire « autres fonctions du Comité » – pour la période allant de janvier 2018 à décembre 2019. Lors de ses treizième et quatorzième sessions, le Comité a examiné le suivi de la mise en œuvre des recommandations pertinentes du Groupe de travail à composition non limitée sur la gouvernance</w:t>
      </w:r>
      <w:r w:rsidR="00D21888" w:rsidRPr="00C10217">
        <w:t>, les procédures et les méthodes de travail des organes directeurs de l’U</w:t>
      </w:r>
      <w:r w:rsidR="00CC0C78" w:rsidRPr="00C10217">
        <w:t>NESCO</w:t>
      </w:r>
      <w:r w:rsidRPr="00C10217">
        <w:t xml:space="preserve"> (documents </w:t>
      </w:r>
      <w:hyperlink r:id="rId16" w:history="1">
        <w:r w:rsidRPr="00C10217">
          <w:rPr>
            <w:rStyle w:val="Hyperlink"/>
          </w:rPr>
          <w:t>ITH/18/13.COM/17</w:t>
        </w:r>
      </w:hyperlink>
      <w:r w:rsidRPr="00C10217">
        <w:rPr>
          <w:rStyle w:val="Hyperlink"/>
          <w:color w:val="auto"/>
          <w:u w:val="none"/>
        </w:rPr>
        <w:t xml:space="preserve"> et </w:t>
      </w:r>
      <w:hyperlink r:id="rId17" w:history="1">
        <w:r w:rsidR="00D21888" w:rsidRPr="00C10217">
          <w:rPr>
            <w:rStyle w:val="Hyperlink"/>
          </w:rPr>
          <w:t>LHE</w:t>
        </w:r>
        <w:r w:rsidRPr="00C10217">
          <w:rPr>
            <w:rStyle w:val="Hyperlink"/>
          </w:rPr>
          <w:t>/19/14.COM/19</w:t>
        </w:r>
      </w:hyperlink>
      <w:r w:rsidRPr="00C10217">
        <w:t>), approuvées par la trente-</w:t>
      </w:r>
      <w:r w:rsidR="00D21888" w:rsidRPr="00C10217">
        <w:t xml:space="preserve">huitième </w:t>
      </w:r>
      <w:r w:rsidRPr="00C10217">
        <w:t>session de la Conférence générale en </w:t>
      </w:r>
      <w:r w:rsidR="00D21888" w:rsidRPr="00C10217">
        <w:t xml:space="preserve">2015 </w:t>
      </w:r>
      <w:r w:rsidRPr="00C10217">
        <w:t xml:space="preserve">(résolution 38 C/101). De façon générale, des </w:t>
      </w:r>
      <w:r w:rsidR="00601E5D" w:rsidRPr="00C10217">
        <w:t xml:space="preserve">mesures </w:t>
      </w:r>
      <w:r w:rsidRPr="00C10217">
        <w:t xml:space="preserve">avaient été </w:t>
      </w:r>
      <w:r w:rsidR="00601E5D" w:rsidRPr="00C10217">
        <w:t xml:space="preserve">prises </w:t>
      </w:r>
      <w:r w:rsidRPr="00C10217">
        <w:t xml:space="preserve">pour faire </w:t>
      </w:r>
      <w:r w:rsidR="00601E5D" w:rsidRPr="00C10217">
        <w:t xml:space="preserve">passer </w:t>
      </w:r>
      <w:r w:rsidRPr="00C10217">
        <w:t xml:space="preserve">un certain nombre de recommandations </w:t>
      </w:r>
      <w:r w:rsidR="00762780" w:rsidRPr="00C10217">
        <w:t>vers le</w:t>
      </w:r>
      <w:r w:rsidRPr="00C10217">
        <w:t xml:space="preserve"> statut « achevé » ou « en cours ». Entre ces deux sessions du Comité, </w:t>
      </w:r>
      <w:r w:rsidR="00601E5D" w:rsidRPr="00C10217">
        <w:t>l’état d’avancement</w:t>
      </w:r>
      <w:r w:rsidRPr="00C10217">
        <w:t xml:space="preserve"> de ces recommandations a </w:t>
      </w:r>
      <w:r w:rsidR="00601E5D" w:rsidRPr="00C10217">
        <w:t>fait l’objet d’un nouvel examen</w:t>
      </w:r>
      <w:r w:rsidRPr="00C10217">
        <w:t xml:space="preserve"> lors de la septième session de l</w:t>
      </w:r>
      <w:r w:rsidR="00737A90" w:rsidRPr="00C10217">
        <w:t>’</w:t>
      </w:r>
      <w:r w:rsidRPr="00C10217">
        <w:t>Assemblée générale en juin 2018 (</w:t>
      </w:r>
      <w:hyperlink r:id="rId18" w:history="1">
        <w:r w:rsidRPr="00C10217">
          <w:rPr>
            <w:rStyle w:val="Hyperlink"/>
          </w:rPr>
          <w:t>ITH/18/7.GA/12</w:t>
        </w:r>
      </w:hyperlink>
      <w:r w:rsidRPr="00C10217">
        <w:t>). Lors de sa quatorzième session, le Comité a également not</w:t>
      </w:r>
      <w:r w:rsidR="00601E5D" w:rsidRPr="00C10217">
        <w:t>é</w:t>
      </w:r>
      <w:r w:rsidRPr="00C10217">
        <w:t xml:space="preserve"> que l</w:t>
      </w:r>
      <w:r w:rsidR="00737A90" w:rsidRPr="00C10217">
        <w:t>’</w:t>
      </w:r>
      <w:r w:rsidRPr="00C10217">
        <w:t xml:space="preserve">Assemblée générale </w:t>
      </w:r>
      <w:r w:rsidR="00601E5D" w:rsidRPr="00C10217">
        <w:t>examinerait</w:t>
      </w:r>
      <w:r w:rsidR="00D551F4" w:rsidRPr="00C10217">
        <w:t>,</w:t>
      </w:r>
      <w:r w:rsidR="00601E5D" w:rsidRPr="00C10217">
        <w:t xml:space="preserve"> </w:t>
      </w:r>
      <w:r w:rsidRPr="00C10217">
        <w:t>lors de sa huitième session</w:t>
      </w:r>
      <w:r w:rsidR="00D551F4" w:rsidRPr="00C10217">
        <w:t>,</w:t>
      </w:r>
      <w:r w:rsidRPr="00C10217">
        <w:t xml:space="preserve"> la préparation </w:t>
      </w:r>
      <w:r w:rsidR="00601E5D" w:rsidRPr="00C10217">
        <w:t>du</w:t>
      </w:r>
      <w:r w:rsidRPr="00C10217">
        <w:t xml:space="preserve"> C/4 et </w:t>
      </w:r>
      <w:r w:rsidR="00601E5D" w:rsidRPr="00C10217">
        <w:t xml:space="preserve">du </w:t>
      </w:r>
      <w:r w:rsidRPr="00C10217">
        <w:t xml:space="preserve">C/5 </w:t>
      </w:r>
      <w:r w:rsidR="002659F4" w:rsidRPr="00C10217">
        <w:t>en référence à</w:t>
      </w:r>
      <w:r w:rsidRPr="00C10217">
        <w:t xml:space="preserve"> la Recommandation 74</w:t>
      </w:r>
      <w:r w:rsidR="00601E5D" w:rsidRPr="00C10217">
        <w:t>.</w:t>
      </w:r>
    </w:p>
    <w:p w14:paraId="1224A3D6" w14:textId="562819D9" w:rsidR="00985364" w:rsidRPr="00C10217" w:rsidRDefault="00475AD3" w:rsidP="00B116B0">
      <w:pPr>
        <w:pStyle w:val="ListParagraph"/>
        <w:numPr>
          <w:ilvl w:val="0"/>
          <w:numId w:val="19"/>
        </w:numPr>
        <w:spacing w:after="120"/>
        <w:ind w:left="567" w:hanging="567"/>
        <w:contextualSpacing w:val="0"/>
        <w:jc w:val="both"/>
        <w:rPr>
          <w:rFonts w:ascii="Arial" w:hAnsi="Arial"/>
          <w:sz w:val="22"/>
          <w:szCs w:val="22"/>
        </w:rPr>
      </w:pPr>
      <w:r w:rsidRPr="00C10217">
        <w:rPr>
          <w:rFonts w:ascii="Arial" w:hAnsi="Arial"/>
          <w:snapToGrid w:val="0"/>
          <w:sz w:val="22"/>
        </w:rPr>
        <w:t xml:space="preserve">Dans sa </w:t>
      </w:r>
      <w:hyperlink r:id="rId19" w:history="1">
        <w:r w:rsidRPr="00C10217">
          <w:rPr>
            <w:rStyle w:val="Hyperlink"/>
            <w:rFonts w:ascii="Arial" w:hAnsi="Arial"/>
            <w:snapToGrid w:val="0"/>
            <w:sz w:val="22"/>
            <w:szCs w:val="22"/>
          </w:rPr>
          <w:t>résolution</w:t>
        </w:r>
        <w:r w:rsidRPr="00C10217">
          <w:rPr>
            <w:rStyle w:val="Hyperlink"/>
            <w:rFonts w:ascii="Arial" w:hAnsi="Arial"/>
            <w:snapToGrid w:val="0"/>
            <w:sz w:val="22"/>
          </w:rPr>
          <w:t> 7.GA 9</w:t>
        </w:r>
      </w:hyperlink>
      <w:r w:rsidRPr="00C10217">
        <w:rPr>
          <w:rFonts w:ascii="Arial" w:hAnsi="Arial"/>
          <w:snapToGrid w:val="0"/>
          <w:sz w:val="22"/>
        </w:rPr>
        <w:t>, l</w:t>
      </w:r>
      <w:r w:rsidR="00737A90" w:rsidRPr="00C10217">
        <w:rPr>
          <w:rFonts w:ascii="Arial" w:hAnsi="Arial"/>
          <w:snapToGrid w:val="0"/>
          <w:sz w:val="22"/>
        </w:rPr>
        <w:t>’</w:t>
      </w:r>
      <w:r w:rsidRPr="00C10217">
        <w:rPr>
          <w:rFonts w:ascii="Arial" w:hAnsi="Arial"/>
          <w:snapToGrid w:val="0"/>
          <w:sz w:val="22"/>
        </w:rPr>
        <w:t>Assemblée générale a approuvé un Plan d</w:t>
      </w:r>
      <w:r w:rsidR="00737A90" w:rsidRPr="00C10217">
        <w:rPr>
          <w:rFonts w:ascii="Arial" w:hAnsi="Arial"/>
          <w:snapToGrid w:val="0"/>
          <w:sz w:val="22"/>
        </w:rPr>
        <w:t>’</w:t>
      </w:r>
      <w:r w:rsidRPr="00C10217">
        <w:rPr>
          <w:rFonts w:ascii="Arial" w:hAnsi="Arial"/>
          <w:snapToGrid w:val="0"/>
          <w:sz w:val="22"/>
        </w:rPr>
        <w:t xml:space="preserve">utilisation des ressources du Fonds du patrimoine culturel immatériel [ci-après </w:t>
      </w:r>
      <w:r w:rsidR="00601E5D" w:rsidRPr="00C10217">
        <w:rPr>
          <w:rFonts w:ascii="Arial" w:hAnsi="Arial"/>
          <w:snapToGrid w:val="0"/>
          <w:sz w:val="22"/>
        </w:rPr>
        <w:t xml:space="preserve">dénommé </w:t>
      </w:r>
      <w:r w:rsidRPr="00C10217">
        <w:rPr>
          <w:rFonts w:ascii="Arial" w:hAnsi="Arial"/>
          <w:snapToGrid w:val="0"/>
          <w:sz w:val="22"/>
        </w:rPr>
        <w:t>le Fonds] pour la période du 1</w:t>
      </w:r>
      <w:r w:rsidRPr="00C10217">
        <w:rPr>
          <w:rFonts w:ascii="Arial" w:hAnsi="Arial"/>
          <w:snapToGrid w:val="0"/>
          <w:sz w:val="22"/>
          <w:vertAlign w:val="superscript"/>
        </w:rPr>
        <w:t>er</w:t>
      </w:r>
      <w:r w:rsidRPr="00C10217">
        <w:rPr>
          <w:rFonts w:ascii="Arial" w:hAnsi="Arial"/>
          <w:snapToGrid w:val="0"/>
          <w:sz w:val="22"/>
        </w:rPr>
        <w:t> janvier 2018 au 31 décembre 2019. Ce plan a alloué 20 % du budget (1 718 184 dollars des États-Unis) aux « autres fonctions du Comité ».</w:t>
      </w:r>
      <w:r w:rsidRPr="00C10217">
        <w:rPr>
          <w:rFonts w:ascii="Arial" w:hAnsi="Arial"/>
          <w:sz w:val="22"/>
          <w:szCs w:val="22"/>
        </w:rPr>
        <w:t xml:space="preserve"> Par sa </w:t>
      </w:r>
      <w:hyperlink r:id="rId20" w:history="1">
        <w:r w:rsidRPr="00C10217">
          <w:rPr>
            <w:rStyle w:val="Hyperlink"/>
            <w:rFonts w:ascii="Arial" w:hAnsi="Arial"/>
            <w:sz w:val="22"/>
            <w:szCs w:val="22"/>
          </w:rPr>
          <w:t>décision 12.COM 7</w:t>
        </w:r>
      </w:hyperlink>
      <w:r w:rsidRPr="00C10217">
        <w:rPr>
          <w:rFonts w:ascii="Arial" w:hAnsi="Arial"/>
          <w:sz w:val="22"/>
          <w:szCs w:val="22"/>
        </w:rPr>
        <w:t>, le Comité a délégué à son Bureau le pouvoir de décider de l</w:t>
      </w:r>
      <w:r w:rsidR="00737A90" w:rsidRPr="00C10217">
        <w:rPr>
          <w:rFonts w:ascii="Arial" w:hAnsi="Arial"/>
          <w:sz w:val="22"/>
          <w:szCs w:val="22"/>
        </w:rPr>
        <w:t>’</w:t>
      </w:r>
      <w:r w:rsidRPr="00C10217">
        <w:rPr>
          <w:rFonts w:ascii="Arial" w:hAnsi="Arial"/>
          <w:sz w:val="22"/>
          <w:szCs w:val="22"/>
        </w:rPr>
        <w:t>utilisation des fonds alloués au titre de cette ligne du Plan, sur la base de propositions spécifiques à préparer par le Secrétariat. Ainsi, en juin 2018 le Bureau l</w:t>
      </w:r>
      <w:r w:rsidR="00737A90" w:rsidRPr="00C10217">
        <w:rPr>
          <w:rFonts w:ascii="Arial" w:hAnsi="Arial"/>
          <w:sz w:val="22"/>
          <w:szCs w:val="22"/>
        </w:rPr>
        <w:t>’</w:t>
      </w:r>
      <w:r w:rsidRPr="00C10217">
        <w:rPr>
          <w:rFonts w:ascii="Arial" w:hAnsi="Arial"/>
          <w:sz w:val="22"/>
          <w:szCs w:val="22"/>
        </w:rPr>
        <w:t xml:space="preserve">a approuvé pour la période </w:t>
      </w:r>
      <w:r w:rsidR="00601E5D" w:rsidRPr="00C10217">
        <w:rPr>
          <w:rFonts w:ascii="Arial" w:hAnsi="Arial"/>
          <w:sz w:val="22"/>
          <w:szCs w:val="22"/>
        </w:rPr>
        <w:t xml:space="preserve">allant </w:t>
      </w:r>
      <w:r w:rsidRPr="00C10217">
        <w:rPr>
          <w:rFonts w:ascii="Arial" w:hAnsi="Arial"/>
          <w:snapToGrid w:val="0"/>
          <w:sz w:val="22"/>
        </w:rPr>
        <w:t>du 1</w:t>
      </w:r>
      <w:r w:rsidRPr="00C10217">
        <w:rPr>
          <w:rFonts w:ascii="Arial" w:hAnsi="Arial"/>
          <w:snapToGrid w:val="0"/>
          <w:sz w:val="22"/>
          <w:vertAlign w:val="superscript"/>
        </w:rPr>
        <w:t>er</w:t>
      </w:r>
      <w:r w:rsidRPr="00C10217">
        <w:rPr>
          <w:rFonts w:ascii="Arial" w:hAnsi="Arial"/>
          <w:snapToGrid w:val="0"/>
          <w:sz w:val="22"/>
        </w:rPr>
        <w:t> janvier 2018 au 31 décembre 2019</w:t>
      </w:r>
      <w:r w:rsidRPr="00C10217">
        <w:rPr>
          <w:rFonts w:ascii="Arial" w:hAnsi="Arial"/>
          <w:sz w:val="22"/>
          <w:szCs w:val="22"/>
        </w:rPr>
        <w:t>. Des informations détaillées sur les résultats de ces activités jusqu</w:t>
      </w:r>
      <w:r w:rsidR="00737A90" w:rsidRPr="00C10217">
        <w:rPr>
          <w:rFonts w:ascii="Arial" w:hAnsi="Arial"/>
          <w:sz w:val="22"/>
          <w:szCs w:val="22"/>
        </w:rPr>
        <w:t>’</w:t>
      </w:r>
      <w:r w:rsidRPr="00C10217">
        <w:rPr>
          <w:rFonts w:ascii="Arial" w:hAnsi="Arial"/>
          <w:sz w:val="22"/>
          <w:szCs w:val="22"/>
        </w:rPr>
        <w:t>en juin 2019 figurent dans le rapport du Secrétariat au Comité (</w:t>
      </w:r>
      <w:hyperlink r:id="rId21" w:history="1">
        <w:r w:rsidRPr="00C10217">
          <w:rPr>
            <w:rStyle w:val="Hyperlink"/>
            <w:rFonts w:ascii="Arial" w:hAnsi="Arial"/>
            <w:sz w:val="22"/>
            <w:szCs w:val="22"/>
          </w:rPr>
          <w:t>document</w:t>
        </w:r>
        <w:r w:rsidR="008946CE" w:rsidRPr="00C10217">
          <w:rPr>
            <w:u w:val="single"/>
          </w:rPr>
          <w:t> </w:t>
        </w:r>
        <w:r w:rsidRPr="00C10217">
          <w:rPr>
            <w:rStyle w:val="Hyperlink"/>
            <w:rFonts w:ascii="Arial" w:hAnsi="Arial"/>
            <w:sz w:val="22"/>
            <w:szCs w:val="22"/>
          </w:rPr>
          <w:t>LHE/19/14.COM/5.b</w:t>
        </w:r>
      </w:hyperlink>
      <w:r w:rsidRPr="00C10217">
        <w:rPr>
          <w:rFonts w:ascii="Arial" w:hAnsi="Arial"/>
          <w:sz w:val="22"/>
          <w:szCs w:val="22"/>
        </w:rPr>
        <w:t xml:space="preserve">). En outre, </w:t>
      </w:r>
      <w:r w:rsidR="00601E5D" w:rsidRPr="00C10217">
        <w:rPr>
          <w:rFonts w:ascii="Arial" w:hAnsi="Arial"/>
          <w:sz w:val="22"/>
          <w:szCs w:val="22"/>
        </w:rPr>
        <w:t>lors de s</w:t>
      </w:r>
      <w:r w:rsidRPr="00C10217">
        <w:rPr>
          <w:rFonts w:ascii="Arial" w:hAnsi="Arial"/>
          <w:sz w:val="22"/>
          <w:szCs w:val="22"/>
        </w:rPr>
        <w:t>a quatorzième session</w:t>
      </w:r>
      <w:r w:rsidR="00601E5D" w:rsidRPr="00C10217">
        <w:rPr>
          <w:rFonts w:ascii="Arial" w:hAnsi="Arial"/>
          <w:sz w:val="22"/>
          <w:szCs w:val="22"/>
        </w:rPr>
        <w:t>,</w:t>
      </w:r>
      <w:r w:rsidRPr="00C10217">
        <w:rPr>
          <w:rFonts w:ascii="Arial" w:hAnsi="Arial"/>
          <w:sz w:val="22"/>
          <w:szCs w:val="22"/>
        </w:rPr>
        <w:t xml:space="preserve"> </w:t>
      </w:r>
      <w:r w:rsidR="00601E5D" w:rsidRPr="00C10217">
        <w:rPr>
          <w:rFonts w:ascii="Arial" w:hAnsi="Arial"/>
          <w:sz w:val="22"/>
          <w:szCs w:val="22"/>
        </w:rPr>
        <w:t>le</w:t>
      </w:r>
      <w:r w:rsidRPr="00C10217">
        <w:rPr>
          <w:rFonts w:ascii="Arial" w:hAnsi="Arial"/>
          <w:sz w:val="22"/>
          <w:szCs w:val="22"/>
        </w:rPr>
        <w:t xml:space="preserve"> Comité a approuvé un projet de plan pour l</w:t>
      </w:r>
      <w:r w:rsidR="00737A90" w:rsidRPr="00C10217">
        <w:rPr>
          <w:rFonts w:ascii="Arial" w:hAnsi="Arial"/>
          <w:sz w:val="22"/>
          <w:szCs w:val="22"/>
        </w:rPr>
        <w:t>’</w:t>
      </w:r>
      <w:r w:rsidRPr="00C10217">
        <w:rPr>
          <w:rFonts w:ascii="Arial" w:hAnsi="Arial"/>
          <w:sz w:val="22"/>
          <w:szCs w:val="22"/>
        </w:rPr>
        <w:t xml:space="preserve">utilisation des ressources du Fonds du patrimoine culturel immatériel pour la période </w:t>
      </w:r>
      <w:r w:rsidR="00601E5D" w:rsidRPr="00C10217">
        <w:rPr>
          <w:rFonts w:ascii="Arial" w:hAnsi="Arial"/>
          <w:sz w:val="22"/>
          <w:szCs w:val="22"/>
        </w:rPr>
        <w:t xml:space="preserve">allant </w:t>
      </w:r>
      <w:r w:rsidRPr="00C10217">
        <w:rPr>
          <w:rFonts w:ascii="Arial" w:hAnsi="Arial"/>
          <w:sz w:val="22"/>
          <w:szCs w:val="22"/>
        </w:rPr>
        <w:t>du 1</w:t>
      </w:r>
      <w:r w:rsidR="002659F4" w:rsidRPr="00C10217">
        <w:rPr>
          <w:rFonts w:ascii="Arial" w:hAnsi="Arial"/>
          <w:sz w:val="22"/>
          <w:szCs w:val="22"/>
        </w:rPr>
        <w:t>er</w:t>
      </w:r>
      <w:r w:rsidRPr="00C10217">
        <w:rPr>
          <w:rFonts w:ascii="Arial" w:hAnsi="Arial"/>
          <w:sz w:val="22"/>
          <w:szCs w:val="22"/>
        </w:rPr>
        <w:t> janvier 2020 au 31 décembre 2021 et pour le premier semestre</w:t>
      </w:r>
      <w:r w:rsidR="00601E5D" w:rsidRPr="00C10217">
        <w:rPr>
          <w:rFonts w:ascii="Arial" w:hAnsi="Arial"/>
          <w:sz w:val="22"/>
          <w:szCs w:val="22"/>
        </w:rPr>
        <w:t xml:space="preserve"> de</w:t>
      </w:r>
      <w:r w:rsidRPr="00C10217">
        <w:rPr>
          <w:rFonts w:ascii="Arial" w:hAnsi="Arial"/>
          <w:sz w:val="22"/>
          <w:szCs w:val="22"/>
        </w:rPr>
        <w:t xml:space="preserve"> 2022, qui sera </w:t>
      </w:r>
      <w:r w:rsidR="00464BB3" w:rsidRPr="00C10217">
        <w:rPr>
          <w:rFonts w:ascii="Arial" w:hAnsi="Arial"/>
          <w:sz w:val="22"/>
          <w:szCs w:val="22"/>
        </w:rPr>
        <w:t>soumis</w:t>
      </w:r>
      <w:r w:rsidRPr="00C10217">
        <w:rPr>
          <w:rFonts w:ascii="Arial" w:hAnsi="Arial"/>
          <w:sz w:val="22"/>
          <w:szCs w:val="22"/>
        </w:rPr>
        <w:t xml:space="preserve"> à l</w:t>
      </w:r>
      <w:r w:rsidR="00737A90" w:rsidRPr="00C10217">
        <w:rPr>
          <w:rFonts w:ascii="Arial" w:hAnsi="Arial"/>
          <w:sz w:val="22"/>
          <w:szCs w:val="22"/>
        </w:rPr>
        <w:t>’</w:t>
      </w:r>
      <w:r w:rsidRPr="00C10217">
        <w:rPr>
          <w:rFonts w:ascii="Arial" w:hAnsi="Arial"/>
          <w:sz w:val="22"/>
          <w:szCs w:val="22"/>
        </w:rPr>
        <w:t>Assemblée générale pour approbation.</w:t>
      </w:r>
    </w:p>
    <w:p w14:paraId="22AE0416" w14:textId="3D380D2D" w:rsidR="006C3A64" w:rsidRPr="00C10217" w:rsidRDefault="00985364" w:rsidP="004679D4">
      <w:pPr>
        <w:pStyle w:val="ListParagraph"/>
        <w:numPr>
          <w:ilvl w:val="0"/>
          <w:numId w:val="19"/>
        </w:numPr>
        <w:spacing w:after="120"/>
        <w:ind w:left="567" w:hanging="567"/>
        <w:contextualSpacing w:val="0"/>
        <w:jc w:val="both"/>
        <w:rPr>
          <w:rFonts w:ascii="Arial" w:hAnsi="Arial"/>
          <w:sz w:val="22"/>
          <w:szCs w:val="22"/>
        </w:rPr>
      </w:pPr>
      <w:r w:rsidRPr="00C10217">
        <w:rPr>
          <w:rFonts w:ascii="Arial" w:hAnsi="Arial"/>
          <w:snapToGrid w:val="0"/>
          <w:sz w:val="22"/>
          <w:szCs w:val="22"/>
        </w:rPr>
        <w:t xml:space="preserve">Pendant la période considérée, </w:t>
      </w:r>
      <w:r w:rsidR="00601E5D" w:rsidRPr="00C10217">
        <w:rPr>
          <w:rFonts w:ascii="Arial" w:hAnsi="Arial"/>
          <w:snapToGrid w:val="0"/>
          <w:sz w:val="22"/>
          <w:szCs w:val="22"/>
        </w:rPr>
        <w:t xml:space="preserve">de nombreuses améliorations ont été apportées aux </w:t>
      </w:r>
      <w:r w:rsidRPr="00C10217">
        <w:rPr>
          <w:rFonts w:ascii="Arial" w:hAnsi="Arial"/>
          <w:sz w:val="22"/>
          <w:szCs w:val="22"/>
        </w:rPr>
        <w:t xml:space="preserve">services de gestion des connaissances </w:t>
      </w:r>
      <w:r w:rsidR="00601E5D" w:rsidRPr="00C10217">
        <w:rPr>
          <w:rFonts w:ascii="Arial" w:hAnsi="Arial"/>
          <w:sz w:val="22"/>
          <w:szCs w:val="22"/>
        </w:rPr>
        <w:t xml:space="preserve">de la Convention </w:t>
      </w:r>
      <w:r w:rsidRPr="00C10217">
        <w:rPr>
          <w:rFonts w:ascii="Arial" w:hAnsi="Arial"/>
          <w:sz w:val="22"/>
          <w:szCs w:val="22"/>
        </w:rPr>
        <w:t xml:space="preserve">grâce aux nouvelles fonctions mises à disposition pour faciliter la gouvernance améliorée de la Convention. </w:t>
      </w:r>
      <w:r w:rsidR="00601E5D" w:rsidRPr="00C10217">
        <w:rPr>
          <w:rFonts w:ascii="Arial" w:hAnsi="Arial"/>
          <w:sz w:val="22"/>
          <w:szCs w:val="22"/>
        </w:rPr>
        <w:t>L</w:t>
      </w:r>
      <w:r w:rsidRPr="00C10217">
        <w:rPr>
          <w:rFonts w:ascii="Arial" w:hAnsi="Arial"/>
          <w:sz w:val="22"/>
          <w:szCs w:val="22"/>
        </w:rPr>
        <w:t xml:space="preserve">es principales </w:t>
      </w:r>
      <w:r w:rsidR="00601E5D" w:rsidRPr="00C10217">
        <w:rPr>
          <w:rFonts w:ascii="Arial" w:hAnsi="Arial"/>
          <w:sz w:val="22"/>
          <w:szCs w:val="22"/>
        </w:rPr>
        <w:t>réalisations comprennent</w:t>
      </w:r>
      <w:r w:rsidRPr="00C10217">
        <w:rPr>
          <w:rFonts w:ascii="Arial" w:hAnsi="Arial"/>
          <w:sz w:val="22"/>
          <w:szCs w:val="22"/>
        </w:rPr>
        <w:t xml:space="preserve"> l</w:t>
      </w:r>
      <w:r w:rsidR="00737A90" w:rsidRPr="00C10217">
        <w:rPr>
          <w:rFonts w:ascii="Arial" w:hAnsi="Arial"/>
          <w:sz w:val="22"/>
          <w:szCs w:val="22"/>
        </w:rPr>
        <w:t>’</w:t>
      </w:r>
      <w:r w:rsidRPr="00C10217">
        <w:rPr>
          <w:rFonts w:ascii="Arial" w:hAnsi="Arial"/>
          <w:sz w:val="22"/>
          <w:szCs w:val="22"/>
        </w:rPr>
        <w:t xml:space="preserve">interface de rapport en ligne </w:t>
      </w:r>
      <w:r w:rsidR="00601E5D" w:rsidRPr="00C10217">
        <w:rPr>
          <w:rFonts w:ascii="Arial" w:hAnsi="Arial"/>
          <w:sz w:val="22"/>
          <w:szCs w:val="22"/>
        </w:rPr>
        <w:t>pour soutenir</w:t>
      </w:r>
      <w:r w:rsidRPr="00C10217">
        <w:rPr>
          <w:rFonts w:ascii="Arial" w:hAnsi="Arial"/>
          <w:sz w:val="22"/>
          <w:szCs w:val="22"/>
        </w:rPr>
        <w:t xml:space="preserve"> le mécanisme réformé des rapports périodiques</w:t>
      </w:r>
      <w:r w:rsidR="0019785C" w:rsidRPr="00C10217">
        <w:rPr>
          <w:rFonts w:ascii="Arial" w:hAnsi="Arial"/>
          <w:sz w:val="22"/>
          <w:szCs w:val="22"/>
        </w:rPr>
        <w:t xml:space="preserve"> et</w:t>
      </w:r>
      <w:r w:rsidRPr="00C10217">
        <w:rPr>
          <w:rFonts w:ascii="Arial" w:hAnsi="Arial"/>
          <w:sz w:val="22"/>
          <w:szCs w:val="22"/>
        </w:rPr>
        <w:t xml:space="preserve"> le renouvellement des ONG accréditées</w:t>
      </w:r>
      <w:r w:rsidR="0019785C" w:rsidRPr="00C10217">
        <w:rPr>
          <w:rFonts w:ascii="Arial" w:hAnsi="Arial"/>
          <w:sz w:val="22"/>
          <w:szCs w:val="22"/>
        </w:rPr>
        <w:t>.</w:t>
      </w:r>
      <w:r w:rsidR="00601E5D" w:rsidRPr="00C10217">
        <w:rPr>
          <w:rFonts w:ascii="Arial" w:hAnsi="Arial"/>
          <w:sz w:val="22"/>
          <w:szCs w:val="22"/>
        </w:rPr>
        <w:t xml:space="preserve"> </w:t>
      </w:r>
      <w:r w:rsidR="0019785C" w:rsidRPr="00C10217">
        <w:rPr>
          <w:rFonts w:ascii="Arial" w:hAnsi="Arial"/>
          <w:sz w:val="22"/>
          <w:szCs w:val="22"/>
        </w:rPr>
        <w:t>La</w:t>
      </w:r>
      <w:r w:rsidR="00601E5D" w:rsidRPr="00C10217">
        <w:rPr>
          <w:rFonts w:ascii="Arial" w:hAnsi="Arial"/>
          <w:sz w:val="22"/>
          <w:szCs w:val="22"/>
        </w:rPr>
        <w:t xml:space="preserve"> version arabe du site web de la Convention</w:t>
      </w:r>
      <w:r w:rsidR="0019785C" w:rsidRPr="00C10217">
        <w:rPr>
          <w:rFonts w:ascii="Arial" w:hAnsi="Arial"/>
          <w:sz w:val="22"/>
          <w:szCs w:val="22"/>
        </w:rPr>
        <w:t xml:space="preserve"> a également été lancé</w:t>
      </w:r>
      <w:r w:rsidR="00464BB3" w:rsidRPr="00C10217">
        <w:rPr>
          <w:rFonts w:ascii="Arial" w:hAnsi="Arial"/>
          <w:sz w:val="22"/>
          <w:szCs w:val="22"/>
        </w:rPr>
        <w:t>e</w:t>
      </w:r>
      <w:r w:rsidRPr="00C10217">
        <w:rPr>
          <w:rFonts w:ascii="Arial" w:hAnsi="Arial"/>
          <w:sz w:val="22"/>
          <w:szCs w:val="22"/>
        </w:rPr>
        <w:t>. En outre, un travail d</w:t>
      </w:r>
      <w:r w:rsidR="00737A90" w:rsidRPr="00C10217">
        <w:rPr>
          <w:rFonts w:ascii="Arial" w:hAnsi="Arial"/>
          <w:sz w:val="22"/>
          <w:szCs w:val="22"/>
        </w:rPr>
        <w:t>’</w:t>
      </w:r>
      <w:r w:rsidRPr="00C10217">
        <w:rPr>
          <w:rFonts w:ascii="Arial" w:hAnsi="Arial"/>
          <w:sz w:val="22"/>
          <w:szCs w:val="22"/>
        </w:rPr>
        <w:t>indexation des éléments inscrits, des projets de sauvegarde et des ONG accrédité</w:t>
      </w:r>
      <w:r w:rsidR="00464BB3" w:rsidRPr="00C10217">
        <w:rPr>
          <w:rFonts w:ascii="Arial" w:hAnsi="Arial"/>
          <w:sz w:val="22"/>
          <w:szCs w:val="22"/>
        </w:rPr>
        <w:t>e</w:t>
      </w:r>
      <w:r w:rsidRPr="00C10217">
        <w:rPr>
          <w:rFonts w:ascii="Arial" w:hAnsi="Arial"/>
          <w:sz w:val="22"/>
          <w:szCs w:val="22"/>
        </w:rPr>
        <w:t>s a été effectué</w:t>
      </w:r>
      <w:r w:rsidR="00304A69" w:rsidRPr="00C10217">
        <w:rPr>
          <w:rFonts w:ascii="Arial" w:hAnsi="Arial"/>
          <w:sz w:val="22"/>
          <w:szCs w:val="22"/>
        </w:rPr>
        <w:t>,</w:t>
      </w:r>
      <w:r w:rsidRPr="00C10217">
        <w:rPr>
          <w:rFonts w:ascii="Arial" w:hAnsi="Arial"/>
          <w:sz w:val="22"/>
          <w:szCs w:val="22"/>
        </w:rPr>
        <w:t xml:space="preserve"> et </w:t>
      </w:r>
      <w:r w:rsidR="00601E5D" w:rsidRPr="00C10217">
        <w:rPr>
          <w:rFonts w:ascii="Arial" w:hAnsi="Arial"/>
          <w:sz w:val="22"/>
          <w:szCs w:val="22"/>
        </w:rPr>
        <w:t>l’ensemble</w:t>
      </w:r>
      <w:r w:rsidRPr="00C10217">
        <w:rPr>
          <w:rFonts w:ascii="Arial" w:hAnsi="Arial"/>
          <w:sz w:val="22"/>
          <w:szCs w:val="22"/>
        </w:rPr>
        <w:t xml:space="preserve"> de</w:t>
      </w:r>
      <w:r w:rsidR="00601E5D" w:rsidRPr="00C10217">
        <w:rPr>
          <w:rFonts w:ascii="Arial" w:hAnsi="Arial"/>
          <w:sz w:val="22"/>
          <w:szCs w:val="22"/>
        </w:rPr>
        <w:t>s</w:t>
      </w:r>
      <w:r w:rsidRPr="00C10217">
        <w:rPr>
          <w:rFonts w:ascii="Arial" w:hAnsi="Arial"/>
          <w:sz w:val="22"/>
          <w:szCs w:val="22"/>
        </w:rPr>
        <w:t xml:space="preserve"> données </w:t>
      </w:r>
      <w:r w:rsidR="00304A69" w:rsidRPr="00C10217">
        <w:rPr>
          <w:rFonts w:ascii="Arial" w:hAnsi="Arial"/>
          <w:sz w:val="22"/>
          <w:szCs w:val="22"/>
        </w:rPr>
        <w:t>peuvent désormais</w:t>
      </w:r>
      <w:r w:rsidR="00464BB3" w:rsidRPr="00C10217">
        <w:rPr>
          <w:rFonts w:ascii="Arial" w:hAnsi="Arial"/>
          <w:sz w:val="22"/>
          <w:szCs w:val="22"/>
        </w:rPr>
        <w:t>,</w:t>
      </w:r>
      <w:r w:rsidR="00304A69" w:rsidRPr="00C10217">
        <w:rPr>
          <w:rFonts w:ascii="Arial" w:hAnsi="Arial"/>
          <w:sz w:val="22"/>
          <w:szCs w:val="22"/>
        </w:rPr>
        <w:t xml:space="preserve"> d’une part être recherchées</w:t>
      </w:r>
      <w:r w:rsidR="00601E5D" w:rsidRPr="00C10217">
        <w:rPr>
          <w:rFonts w:ascii="Arial" w:hAnsi="Arial"/>
          <w:sz w:val="22"/>
          <w:szCs w:val="22"/>
        </w:rPr>
        <w:t xml:space="preserve"> en fonction des </w:t>
      </w:r>
      <w:r w:rsidRPr="00C10217">
        <w:rPr>
          <w:rFonts w:ascii="Arial" w:hAnsi="Arial"/>
          <w:sz w:val="22"/>
          <w:szCs w:val="22"/>
        </w:rPr>
        <w:t>critères liés au contenu</w:t>
      </w:r>
      <w:r w:rsidR="00464BB3" w:rsidRPr="00C10217">
        <w:rPr>
          <w:rFonts w:ascii="Arial" w:hAnsi="Arial"/>
          <w:sz w:val="22"/>
          <w:szCs w:val="22"/>
        </w:rPr>
        <w:t>,</w:t>
      </w:r>
      <w:r w:rsidRPr="00C10217">
        <w:rPr>
          <w:rFonts w:ascii="Arial" w:hAnsi="Arial"/>
          <w:sz w:val="22"/>
          <w:szCs w:val="22"/>
        </w:rPr>
        <w:t xml:space="preserve"> et </w:t>
      </w:r>
      <w:r w:rsidR="00304A69" w:rsidRPr="00C10217">
        <w:rPr>
          <w:rFonts w:ascii="Arial" w:hAnsi="Arial"/>
          <w:sz w:val="22"/>
          <w:szCs w:val="22"/>
        </w:rPr>
        <w:t>d’autre part</w:t>
      </w:r>
      <w:r w:rsidRPr="00C10217">
        <w:rPr>
          <w:rFonts w:ascii="Arial" w:hAnsi="Arial"/>
          <w:sz w:val="22"/>
          <w:szCs w:val="22"/>
        </w:rPr>
        <w:t xml:space="preserve"> être téléchargées pour faciliter les analyses externes. La </w:t>
      </w:r>
      <w:hyperlink r:id="rId22" w:history="1">
        <w:r w:rsidRPr="00C10217">
          <w:rPr>
            <w:rStyle w:val="Hyperlink"/>
            <w:rFonts w:ascii="Arial" w:hAnsi="Arial"/>
            <w:sz w:val="22"/>
            <w:szCs w:val="22"/>
          </w:rPr>
          <w:t>Bibliographie de recherche sur la Convention du patrimoine culturel immatériel</w:t>
        </w:r>
      </w:hyperlink>
      <w:r w:rsidRPr="00C10217">
        <w:rPr>
          <w:rFonts w:ascii="Arial" w:hAnsi="Arial"/>
          <w:color w:val="000000"/>
          <w:sz w:val="22"/>
          <w:szCs w:val="22"/>
          <w:shd w:val="clear" w:color="auto" w:fill="FFFFFF"/>
        </w:rPr>
        <w:t>, autre outil lancé récemment,</w:t>
      </w:r>
      <w:r w:rsidRPr="00C10217">
        <w:rPr>
          <w:rFonts w:ascii="Arial" w:hAnsi="Arial"/>
          <w:sz w:val="22"/>
          <w:szCs w:val="22"/>
        </w:rPr>
        <w:t xml:space="preserve"> fournit une bibliographie interactive de références de recherche relatives à la Convention et à sa mise en œuvre.</w:t>
      </w:r>
    </w:p>
    <w:p w14:paraId="08DF9471" w14:textId="76B0ED59" w:rsidR="00932958" w:rsidRPr="00C10217" w:rsidRDefault="001E5168">
      <w:pPr>
        <w:pStyle w:val="ListParagraph"/>
        <w:numPr>
          <w:ilvl w:val="0"/>
          <w:numId w:val="19"/>
        </w:numPr>
        <w:spacing w:after="120"/>
        <w:ind w:left="567" w:hanging="567"/>
        <w:contextualSpacing w:val="0"/>
        <w:jc w:val="both"/>
        <w:rPr>
          <w:rFonts w:ascii="Arial" w:hAnsi="Arial"/>
          <w:snapToGrid w:val="0"/>
          <w:sz w:val="22"/>
          <w:szCs w:val="22"/>
        </w:rPr>
      </w:pPr>
      <w:r w:rsidRPr="00C10217">
        <w:rPr>
          <w:rFonts w:ascii="Arial" w:hAnsi="Arial"/>
          <w:snapToGrid w:val="0"/>
          <w:sz w:val="22"/>
          <w:szCs w:val="22"/>
        </w:rPr>
        <w:t xml:space="preserve">En ce qui concerne la réforme du mécanisme </w:t>
      </w:r>
      <w:r w:rsidR="002627E5" w:rsidRPr="00C10217">
        <w:rPr>
          <w:rFonts w:ascii="Arial" w:hAnsi="Arial"/>
          <w:snapToGrid w:val="0"/>
          <w:sz w:val="22"/>
          <w:szCs w:val="22"/>
        </w:rPr>
        <w:t xml:space="preserve">de soumission </w:t>
      </w:r>
      <w:r w:rsidRPr="00C10217">
        <w:rPr>
          <w:rFonts w:ascii="Arial" w:hAnsi="Arial"/>
          <w:snapToGrid w:val="0"/>
          <w:sz w:val="22"/>
          <w:szCs w:val="22"/>
        </w:rPr>
        <w:t>des rapports périodiques, initiée par l</w:t>
      </w:r>
      <w:r w:rsidR="00737A90" w:rsidRPr="00C10217">
        <w:rPr>
          <w:rFonts w:ascii="Arial" w:hAnsi="Arial"/>
          <w:snapToGrid w:val="0"/>
          <w:sz w:val="22"/>
          <w:szCs w:val="22"/>
        </w:rPr>
        <w:t>’</w:t>
      </w:r>
      <w:r w:rsidRPr="00C10217">
        <w:rPr>
          <w:rFonts w:ascii="Arial" w:hAnsi="Arial"/>
          <w:snapToGrid w:val="0"/>
          <w:sz w:val="22"/>
          <w:szCs w:val="22"/>
        </w:rPr>
        <w:t>adoption du cadre global de résultats pour la Convention de 2003 (</w:t>
      </w:r>
      <w:hyperlink r:id="rId23" w:history="1">
        <w:r w:rsidRPr="00C10217">
          <w:rPr>
            <w:rStyle w:val="Hyperlink"/>
            <w:rFonts w:ascii="Arial" w:hAnsi="Arial"/>
            <w:snapToGrid w:val="0"/>
            <w:sz w:val="22"/>
            <w:szCs w:val="22"/>
          </w:rPr>
          <w:t>résolution 7.GA 9</w:t>
        </w:r>
      </w:hyperlink>
      <w:r w:rsidRPr="00C10217">
        <w:rPr>
          <w:rFonts w:ascii="Arial" w:hAnsi="Arial"/>
          <w:snapToGrid w:val="0"/>
          <w:sz w:val="22"/>
          <w:szCs w:val="22"/>
        </w:rPr>
        <w:t xml:space="preserve">), le Comité a franchi une étape supplémentaire lors de sa treizième session en adoptant un calendrier pour le premier cycle régional de soumission de rapports au titre de la Convention </w:t>
      </w:r>
      <w:r w:rsidRPr="00C10217">
        <w:rPr>
          <w:rFonts w:ascii="Arial" w:hAnsi="Arial"/>
          <w:snapToGrid w:val="0"/>
          <w:sz w:val="22"/>
          <w:szCs w:val="22"/>
        </w:rPr>
        <w:lastRenderedPageBreak/>
        <w:t>de 2003</w:t>
      </w:r>
      <w:r w:rsidR="002627E5" w:rsidRPr="00C10217">
        <w:rPr>
          <w:rFonts w:ascii="Arial" w:hAnsi="Arial"/>
          <w:snapToGrid w:val="0"/>
          <w:sz w:val="22"/>
          <w:szCs w:val="22"/>
        </w:rPr>
        <w:t xml:space="preserve"> </w:t>
      </w:r>
      <w:hyperlink r:id="rId24" w:history="1">
        <w:r w:rsidR="00457C02" w:rsidRPr="00C10217">
          <w:rPr>
            <w:rFonts w:ascii="Arial" w:hAnsi="Arial"/>
            <w:snapToGrid w:val="0"/>
            <w:color w:val="0000FF"/>
            <w:sz w:val="22"/>
            <w:szCs w:val="22"/>
            <w:u w:val="single"/>
          </w:rPr>
          <w:t>d</w:t>
        </w:r>
        <w:r w:rsidRPr="00C10217">
          <w:rPr>
            <w:rFonts w:ascii="Arial" w:hAnsi="Arial"/>
            <w:snapToGrid w:val="0"/>
            <w:color w:val="0000FF"/>
            <w:sz w:val="22"/>
            <w:szCs w:val="22"/>
            <w:u w:val="single"/>
          </w:rPr>
          <w:t>écision 13.COM 8</w:t>
        </w:r>
      </w:hyperlink>
      <w:r w:rsidRPr="00C10217">
        <w:rPr>
          <w:rFonts w:ascii="Arial" w:hAnsi="Arial"/>
          <w:snapToGrid w:val="0"/>
          <w:sz w:val="22"/>
          <w:szCs w:val="22"/>
        </w:rPr>
        <w:t xml:space="preserve">). Lors de sa quatorzième session, le Comité a </w:t>
      </w:r>
      <w:r w:rsidR="002659F4" w:rsidRPr="00C10217">
        <w:rPr>
          <w:rFonts w:ascii="Arial" w:hAnsi="Arial"/>
          <w:snapToGrid w:val="0"/>
          <w:sz w:val="22"/>
          <w:szCs w:val="22"/>
        </w:rPr>
        <w:t>pris note d</w:t>
      </w:r>
      <w:r w:rsidRPr="00C10217">
        <w:rPr>
          <w:rFonts w:ascii="Arial" w:hAnsi="Arial"/>
          <w:snapToGrid w:val="0"/>
          <w:sz w:val="22"/>
          <w:szCs w:val="22"/>
        </w:rPr>
        <w:t xml:space="preserve">es </w:t>
      </w:r>
      <w:r w:rsidR="002659F4" w:rsidRPr="00C10217">
        <w:rPr>
          <w:rFonts w:ascii="Arial" w:hAnsi="Arial"/>
          <w:snapToGrid w:val="0"/>
          <w:sz w:val="22"/>
          <w:szCs w:val="22"/>
        </w:rPr>
        <w:t>actions entre</w:t>
      </w:r>
      <w:r w:rsidR="002627E5" w:rsidRPr="00C10217">
        <w:rPr>
          <w:rFonts w:ascii="Arial" w:hAnsi="Arial"/>
          <w:snapToGrid w:val="0"/>
          <w:sz w:val="22"/>
          <w:szCs w:val="22"/>
        </w:rPr>
        <w:t xml:space="preserve">prises </w:t>
      </w:r>
      <w:r w:rsidRPr="00C10217">
        <w:rPr>
          <w:rFonts w:ascii="Arial" w:hAnsi="Arial"/>
          <w:snapToGrid w:val="0"/>
          <w:sz w:val="22"/>
          <w:szCs w:val="22"/>
        </w:rPr>
        <w:t>par le Secrétariat : a) la révision du formulaire d</w:t>
      </w:r>
      <w:r w:rsidR="002627E5" w:rsidRPr="00C10217">
        <w:rPr>
          <w:rFonts w:ascii="Arial" w:hAnsi="Arial"/>
          <w:snapToGrid w:val="0"/>
          <w:sz w:val="22"/>
          <w:szCs w:val="22"/>
        </w:rPr>
        <w:t>u</w:t>
      </w:r>
      <w:r w:rsidRPr="00C10217">
        <w:rPr>
          <w:rFonts w:ascii="Arial" w:hAnsi="Arial"/>
          <w:snapToGrid w:val="0"/>
          <w:sz w:val="22"/>
          <w:szCs w:val="22"/>
        </w:rPr>
        <w:t xml:space="preserve"> rapport périodique ICH-10 et de sa version en ligne ; b) l</w:t>
      </w:r>
      <w:r w:rsidR="00737A90" w:rsidRPr="00C10217">
        <w:rPr>
          <w:rFonts w:ascii="Arial" w:hAnsi="Arial"/>
          <w:snapToGrid w:val="0"/>
          <w:sz w:val="22"/>
          <w:szCs w:val="22"/>
        </w:rPr>
        <w:t>’</w:t>
      </w:r>
      <w:r w:rsidRPr="00C10217">
        <w:rPr>
          <w:rFonts w:ascii="Arial" w:hAnsi="Arial"/>
          <w:snapToGrid w:val="0"/>
          <w:sz w:val="22"/>
          <w:szCs w:val="22"/>
        </w:rPr>
        <w:t>élaboration d</w:t>
      </w:r>
      <w:r w:rsidR="00737A90" w:rsidRPr="00C10217">
        <w:rPr>
          <w:rFonts w:ascii="Arial" w:hAnsi="Arial"/>
          <w:snapToGrid w:val="0"/>
          <w:sz w:val="22"/>
          <w:szCs w:val="22"/>
        </w:rPr>
        <w:t>’</w:t>
      </w:r>
      <w:r w:rsidRPr="00C10217">
        <w:rPr>
          <w:rFonts w:ascii="Arial" w:hAnsi="Arial"/>
          <w:snapToGrid w:val="0"/>
          <w:sz w:val="22"/>
          <w:szCs w:val="22"/>
        </w:rPr>
        <w:t xml:space="preserve">une série de </w:t>
      </w:r>
      <w:r w:rsidR="00004BA8" w:rsidRPr="00C10217">
        <w:rPr>
          <w:rFonts w:ascii="Arial" w:hAnsi="Arial"/>
          <w:snapToGrid w:val="0"/>
          <w:sz w:val="22"/>
          <w:szCs w:val="22"/>
        </w:rPr>
        <w:t>26</w:t>
      </w:r>
      <w:r w:rsidRPr="00C10217">
        <w:rPr>
          <w:rFonts w:ascii="Arial" w:hAnsi="Arial"/>
          <w:snapToGrid w:val="0"/>
          <w:sz w:val="22"/>
          <w:szCs w:val="22"/>
        </w:rPr>
        <w:t xml:space="preserve"> notes d</w:t>
      </w:r>
      <w:r w:rsidR="00737A90" w:rsidRPr="00C10217">
        <w:rPr>
          <w:rFonts w:ascii="Arial" w:hAnsi="Arial"/>
          <w:snapToGrid w:val="0"/>
          <w:sz w:val="22"/>
          <w:szCs w:val="22"/>
        </w:rPr>
        <w:t>’</w:t>
      </w:r>
      <w:r w:rsidR="00E3665C" w:rsidRPr="00C10217">
        <w:rPr>
          <w:rFonts w:ascii="Arial" w:hAnsi="Arial"/>
          <w:snapToGrid w:val="0"/>
          <w:sz w:val="22"/>
          <w:szCs w:val="22"/>
        </w:rPr>
        <w:t>orientation ; et c) </w:t>
      </w:r>
      <w:r w:rsidR="002627E5" w:rsidRPr="00C10217">
        <w:rPr>
          <w:rFonts w:ascii="Arial" w:hAnsi="Arial"/>
          <w:snapToGrid w:val="0"/>
          <w:sz w:val="22"/>
          <w:szCs w:val="22"/>
        </w:rPr>
        <w:t>l’élaboration</w:t>
      </w:r>
      <w:r w:rsidRPr="00C10217">
        <w:rPr>
          <w:rFonts w:ascii="Arial" w:hAnsi="Arial"/>
          <w:snapToGrid w:val="0"/>
          <w:sz w:val="22"/>
          <w:szCs w:val="22"/>
        </w:rPr>
        <w:t xml:space="preserve"> d</w:t>
      </w:r>
      <w:r w:rsidR="00737A90" w:rsidRPr="00C10217">
        <w:rPr>
          <w:rFonts w:ascii="Arial" w:hAnsi="Arial"/>
          <w:snapToGrid w:val="0"/>
          <w:sz w:val="22"/>
          <w:szCs w:val="22"/>
        </w:rPr>
        <w:t>’</w:t>
      </w:r>
      <w:r w:rsidRPr="00C10217">
        <w:rPr>
          <w:rFonts w:ascii="Arial" w:hAnsi="Arial"/>
          <w:snapToGrid w:val="0"/>
          <w:sz w:val="22"/>
          <w:szCs w:val="22"/>
        </w:rPr>
        <w:t xml:space="preserve">une approche de </w:t>
      </w:r>
      <w:r w:rsidR="002627E5" w:rsidRPr="00C10217">
        <w:rPr>
          <w:rFonts w:ascii="Arial" w:hAnsi="Arial"/>
          <w:snapToGrid w:val="0"/>
          <w:sz w:val="22"/>
          <w:szCs w:val="22"/>
        </w:rPr>
        <w:t xml:space="preserve">renforcement </w:t>
      </w:r>
      <w:r w:rsidRPr="00C10217">
        <w:rPr>
          <w:rFonts w:ascii="Arial" w:hAnsi="Arial"/>
          <w:snapToGrid w:val="0"/>
          <w:sz w:val="22"/>
          <w:szCs w:val="22"/>
        </w:rPr>
        <w:t xml:space="preserve">des capacités et de </w:t>
      </w:r>
      <w:r w:rsidR="002627E5" w:rsidRPr="00C10217">
        <w:rPr>
          <w:rFonts w:ascii="Arial" w:hAnsi="Arial"/>
          <w:snapToGrid w:val="0"/>
          <w:sz w:val="22"/>
          <w:szCs w:val="22"/>
        </w:rPr>
        <w:t xml:space="preserve">matériels </w:t>
      </w:r>
      <w:r w:rsidRPr="00C10217">
        <w:rPr>
          <w:rFonts w:ascii="Arial" w:hAnsi="Arial"/>
          <w:snapToGrid w:val="0"/>
          <w:sz w:val="22"/>
          <w:szCs w:val="22"/>
        </w:rPr>
        <w:t xml:space="preserve">connexes pour aider les États soumettant des rapports. Ces </w:t>
      </w:r>
      <w:r w:rsidR="002659F4" w:rsidRPr="00C10217">
        <w:rPr>
          <w:rFonts w:ascii="Arial" w:hAnsi="Arial"/>
          <w:snapToGrid w:val="0"/>
          <w:sz w:val="22"/>
          <w:szCs w:val="22"/>
        </w:rPr>
        <w:t xml:space="preserve">actions </w:t>
      </w:r>
      <w:r w:rsidRPr="00C10217">
        <w:rPr>
          <w:rFonts w:ascii="Arial" w:hAnsi="Arial"/>
          <w:snapToGrid w:val="0"/>
          <w:sz w:val="22"/>
          <w:szCs w:val="22"/>
        </w:rPr>
        <w:t>ont bénéficié du soutien de la République de Corée (300 000 dollars des États-Unis</w:t>
      </w:r>
      <w:r w:rsidR="00026083" w:rsidRPr="00C10217">
        <w:rPr>
          <w:rFonts w:ascii="Arial" w:hAnsi="Arial"/>
          <w:snapToGrid w:val="0"/>
          <w:sz w:val="22"/>
          <w:szCs w:val="22"/>
        </w:rPr>
        <w:t>)</w:t>
      </w:r>
      <w:r w:rsidRPr="00C10217">
        <w:rPr>
          <w:rFonts w:ascii="Arial" w:hAnsi="Arial"/>
          <w:snapToGrid w:val="0"/>
          <w:sz w:val="22"/>
          <w:szCs w:val="22"/>
        </w:rPr>
        <w:t>.</w:t>
      </w:r>
    </w:p>
    <w:p w14:paraId="044E5B5E" w14:textId="4EE22475" w:rsidR="00305C1A" w:rsidRPr="00C10217" w:rsidRDefault="00305C1A">
      <w:pPr>
        <w:pStyle w:val="ListParagraph"/>
        <w:keepNext/>
        <w:numPr>
          <w:ilvl w:val="0"/>
          <w:numId w:val="21"/>
        </w:numPr>
        <w:spacing w:before="240" w:after="120"/>
        <w:ind w:left="567" w:hanging="567"/>
        <w:contextualSpacing w:val="0"/>
        <w:rPr>
          <w:rFonts w:ascii="Arial" w:hAnsi="Arial" w:cs="Arial"/>
          <w:b/>
          <w:szCs w:val="22"/>
        </w:rPr>
      </w:pPr>
      <w:r w:rsidRPr="00C10217">
        <w:rPr>
          <w:rFonts w:ascii="Arial" w:hAnsi="Arial"/>
          <w:b/>
          <w:sz w:val="22"/>
          <w:szCs w:val="22"/>
        </w:rPr>
        <w:t>Consolidation du programme de renforcement des capacités et orientations sur les mesures de sauvegarde et les bonnes pratiques</w:t>
      </w:r>
    </w:p>
    <w:p w14:paraId="4D13CDFC" w14:textId="3A13D3BE" w:rsidR="0084306C" w:rsidRPr="00C10217" w:rsidRDefault="00305C1A" w:rsidP="004679D4">
      <w:pPr>
        <w:pStyle w:val="Marge"/>
        <w:numPr>
          <w:ilvl w:val="0"/>
          <w:numId w:val="19"/>
        </w:numPr>
        <w:spacing w:after="120"/>
        <w:ind w:left="567" w:hanging="567"/>
      </w:pPr>
      <w:r w:rsidRPr="00C10217">
        <w:t xml:space="preserve">Le Comité continue de considérer </w:t>
      </w:r>
      <w:r w:rsidR="005F37F9" w:rsidRPr="00C10217">
        <w:t>que</w:t>
      </w:r>
      <w:r w:rsidRPr="00C10217">
        <w:t xml:space="preserve"> </w:t>
      </w:r>
      <w:r w:rsidR="00304A69" w:rsidRPr="00C10217">
        <w:t xml:space="preserve">le </w:t>
      </w:r>
      <w:r w:rsidRPr="00C10217">
        <w:t xml:space="preserve">renforcement des capacités </w:t>
      </w:r>
      <w:r w:rsidR="005F37F9" w:rsidRPr="00C10217">
        <w:t>est</w:t>
      </w:r>
      <w:r w:rsidRPr="00C10217">
        <w:t xml:space="preserve"> crucial </w:t>
      </w:r>
      <w:r w:rsidR="005F37F9" w:rsidRPr="00C10217">
        <w:t xml:space="preserve">et </w:t>
      </w:r>
      <w:r w:rsidRPr="00C10217">
        <w:t>reste l</w:t>
      </w:r>
      <w:r w:rsidR="00737A90" w:rsidRPr="00C10217">
        <w:t>’</w:t>
      </w:r>
      <w:r w:rsidRPr="00C10217">
        <w:t>objectif de l</w:t>
      </w:r>
      <w:r w:rsidR="00737A90" w:rsidRPr="00C10217">
        <w:t>’</w:t>
      </w:r>
      <w:r w:rsidRPr="00C10217">
        <w:t xml:space="preserve">une des deux priorités globales de financement de la Convention, à savoir « le renforcement des capacités de sauvegarde du patrimoine culturel immatériel et la contribution au développement durable ». En effet, </w:t>
      </w:r>
      <w:r w:rsidR="005F37F9" w:rsidRPr="00C10217">
        <w:t xml:space="preserve">la </w:t>
      </w:r>
      <w:r w:rsidRPr="00C10217">
        <w:t xml:space="preserve">mise en œuvre </w:t>
      </w:r>
      <w:r w:rsidR="005F37F9" w:rsidRPr="00C10217">
        <w:t xml:space="preserve">effective </w:t>
      </w:r>
      <w:r w:rsidRPr="00C10217">
        <w:t>de la Convention dépend d</w:t>
      </w:r>
      <w:r w:rsidR="00737A90" w:rsidRPr="00C10217">
        <w:t>’</w:t>
      </w:r>
      <w:r w:rsidRPr="00C10217">
        <w:t>une connaissance et d</w:t>
      </w:r>
      <w:r w:rsidR="00737A90" w:rsidRPr="00C10217">
        <w:t>’</w:t>
      </w:r>
      <w:r w:rsidRPr="00C10217">
        <w:t xml:space="preserve">une compréhension approfondies de celle-ci et de ses concepts, mesures et mécanismes. Par conséquent, le Bureau du Comité a alloué un </w:t>
      </w:r>
      <w:r w:rsidR="005F37F9" w:rsidRPr="00C10217">
        <w:t xml:space="preserve">montant </w:t>
      </w:r>
      <w:r w:rsidRPr="00C10217">
        <w:t xml:space="preserve">total de 619 150 dollars des États-Unis – soit 36 % de la ligne « autres fonctions du Comité » pour la période allant de janvier 2018 à décembre 2019. Les activités menées </w:t>
      </w:r>
      <w:r w:rsidR="005F37F9" w:rsidRPr="00C10217">
        <w:t>au titre</w:t>
      </w:r>
      <w:r w:rsidRPr="00C10217">
        <w:t xml:space="preserve"> de cette ligne vis</w:t>
      </w:r>
      <w:r w:rsidR="005F37F9" w:rsidRPr="00C10217">
        <w:t>ai</w:t>
      </w:r>
      <w:r w:rsidRPr="00C10217">
        <w:t xml:space="preserve">ent à répondre à un certain nombre de besoins transversaux, notamment : </w:t>
      </w:r>
      <w:r w:rsidRPr="00C10217">
        <w:rPr>
          <w:rStyle w:val="hps"/>
        </w:rPr>
        <w:t>(i) le renforcement du réseau des facilitateurs ; (ii) l</w:t>
      </w:r>
      <w:r w:rsidR="00737A90" w:rsidRPr="00C10217">
        <w:rPr>
          <w:rStyle w:val="hps"/>
        </w:rPr>
        <w:t>’</w:t>
      </w:r>
      <w:r w:rsidRPr="00C10217">
        <w:rPr>
          <w:rStyle w:val="hps"/>
        </w:rPr>
        <w:t xml:space="preserve">élaboration de contenus, de formats et de </w:t>
      </w:r>
      <w:r w:rsidR="005F37F9" w:rsidRPr="00C10217">
        <w:rPr>
          <w:rStyle w:val="hps"/>
        </w:rPr>
        <w:t xml:space="preserve">matériels </w:t>
      </w:r>
      <w:r w:rsidRPr="00C10217">
        <w:rPr>
          <w:rStyle w:val="hps"/>
        </w:rPr>
        <w:t>adéquats ; (iii) le suivi, l</w:t>
      </w:r>
      <w:r w:rsidR="00737A90" w:rsidRPr="00C10217">
        <w:rPr>
          <w:rStyle w:val="hps"/>
        </w:rPr>
        <w:t>’</w:t>
      </w:r>
      <w:r w:rsidRPr="00C10217">
        <w:rPr>
          <w:rStyle w:val="hps"/>
        </w:rPr>
        <w:t>évaluation et l</w:t>
      </w:r>
      <w:r w:rsidR="00737A90" w:rsidRPr="00C10217">
        <w:rPr>
          <w:rStyle w:val="hps"/>
        </w:rPr>
        <w:t>’</w:t>
      </w:r>
      <w:r w:rsidRPr="00C10217">
        <w:rPr>
          <w:rStyle w:val="hps"/>
        </w:rPr>
        <w:t>adaptation de la stratégie ;</w:t>
      </w:r>
      <w:r w:rsidRPr="00C10217">
        <w:t xml:space="preserve"> et (iv) le renforcement des réseaux et des partenariats établis avec des établissements d</w:t>
      </w:r>
      <w:r w:rsidR="00737A90" w:rsidRPr="00C10217">
        <w:t>’</w:t>
      </w:r>
      <w:r w:rsidRPr="00C10217">
        <w:t>enseignement supérieur.</w:t>
      </w:r>
    </w:p>
    <w:p w14:paraId="0BD2162A" w14:textId="77777777" w:rsidR="00275C41" w:rsidRPr="00C10217" w:rsidRDefault="00275C41" w:rsidP="004679D4">
      <w:pPr>
        <w:pStyle w:val="ListParagraph"/>
        <w:keepNext/>
        <w:numPr>
          <w:ilvl w:val="0"/>
          <w:numId w:val="21"/>
        </w:numPr>
        <w:spacing w:before="240" w:after="120"/>
        <w:ind w:left="567" w:hanging="567"/>
        <w:contextualSpacing w:val="0"/>
        <w:rPr>
          <w:b/>
          <w:szCs w:val="22"/>
        </w:rPr>
      </w:pPr>
      <w:r w:rsidRPr="00C10217">
        <w:rPr>
          <w:rFonts w:ascii="Arial" w:hAnsi="Arial"/>
          <w:b/>
          <w:sz w:val="22"/>
          <w:szCs w:val="22"/>
        </w:rPr>
        <w:t>Intégration du patrimoine culturel immatériel dans des programmes, des politiques et des plans de développement</w:t>
      </w:r>
    </w:p>
    <w:p w14:paraId="15A90607" w14:textId="1B10D263" w:rsidR="00814A1B" w:rsidRPr="00C10217" w:rsidRDefault="007C6E69" w:rsidP="00EE2DB7">
      <w:pPr>
        <w:pStyle w:val="Marge"/>
        <w:numPr>
          <w:ilvl w:val="0"/>
          <w:numId w:val="19"/>
        </w:numPr>
        <w:spacing w:after="120"/>
        <w:ind w:left="567" w:hanging="567"/>
      </w:pPr>
      <w:r w:rsidRPr="00C10217">
        <w:t>L</w:t>
      </w:r>
      <w:r w:rsidR="00737A90" w:rsidRPr="00C10217">
        <w:t>’</w:t>
      </w:r>
      <w:r w:rsidRPr="00C10217">
        <w:t>intégration du patrimoine culturel immatériel dans les programmes, politiques et plans de développement est indispensable pour promouvoir les objectifs de la Convention dans le contexte du Programme de développement durable à l</w:t>
      </w:r>
      <w:r w:rsidR="00737A90" w:rsidRPr="00C10217">
        <w:t>’</w:t>
      </w:r>
      <w:r w:rsidRPr="00C10217">
        <w:t xml:space="preserve">horizon 2030. Le Bureau du Comité a alloué à ces activités un </w:t>
      </w:r>
      <w:r w:rsidR="005F37F9" w:rsidRPr="00C10217">
        <w:t xml:space="preserve">montant </w:t>
      </w:r>
      <w:r w:rsidRPr="00C10217">
        <w:t>total de 286 600 dollars des États-Unis – soit 17 % de la ligne « autres fonctions du Comité » pour la période 2018–2019, contre 3 % pour la période 2016–</w:t>
      </w:r>
      <w:r w:rsidR="00FC2CD0" w:rsidRPr="00C10217">
        <w:rPr>
          <w:szCs w:val="22"/>
        </w:rPr>
        <w:t> </w:t>
      </w:r>
      <w:r w:rsidRPr="00C10217">
        <w:t xml:space="preserve">2017. Les actions </w:t>
      </w:r>
      <w:r w:rsidR="005F37F9" w:rsidRPr="00C10217">
        <w:t>en cours</w:t>
      </w:r>
      <w:r w:rsidRPr="00C10217">
        <w:t xml:space="preserve"> </w:t>
      </w:r>
      <w:r w:rsidR="005F37F9" w:rsidRPr="00C10217">
        <w:t>au titre de</w:t>
      </w:r>
      <w:r w:rsidRPr="00C10217">
        <w:t xml:space="preserve"> cette allocation ont déjà démontré que la mise en œuvre de la Convention </w:t>
      </w:r>
      <w:r w:rsidR="005F37F9" w:rsidRPr="00C10217">
        <w:t>s’inscrit</w:t>
      </w:r>
      <w:r w:rsidRPr="00C10217">
        <w:t xml:space="preserve"> dans un contexte international plus large</w:t>
      </w:r>
      <w:r w:rsidR="00304A69" w:rsidRPr="00C10217">
        <w:t>,</w:t>
      </w:r>
      <w:r w:rsidRPr="00C10217">
        <w:t xml:space="preserve"> et que la sauvegarde du patrimoine culturel immatériel peut contribuer</w:t>
      </w:r>
      <w:r w:rsidR="005F37F9" w:rsidRPr="00C10217">
        <w:t xml:space="preserve"> de manière significative</w:t>
      </w:r>
      <w:r w:rsidRPr="00C10217">
        <w:t xml:space="preserve"> à un certain nombre d</w:t>
      </w:r>
      <w:r w:rsidR="00737A90" w:rsidRPr="00C10217">
        <w:t>’</w:t>
      </w:r>
      <w:r w:rsidRPr="00C10217">
        <w:t>Objectifs de développement durable.</w:t>
      </w:r>
    </w:p>
    <w:p w14:paraId="1058F9EF" w14:textId="6B09CC75" w:rsidR="00305C1A" w:rsidRPr="00C10217" w:rsidRDefault="009A0099" w:rsidP="00EE2DB7">
      <w:pPr>
        <w:pStyle w:val="Marge"/>
        <w:numPr>
          <w:ilvl w:val="0"/>
          <w:numId w:val="19"/>
        </w:numPr>
        <w:spacing w:after="120"/>
        <w:ind w:left="567" w:hanging="567"/>
      </w:pPr>
      <w:r w:rsidRPr="00C10217">
        <w:t>Dans le cadre de la deuxième priorité globale de financement de la Convention, « la sauvegarde du patrimoine culturel immatériel dans l</w:t>
      </w:r>
      <w:r w:rsidR="00737A90" w:rsidRPr="00C10217">
        <w:t>’</w:t>
      </w:r>
      <w:r w:rsidRPr="00C10217">
        <w:t>éducation formelle et non formelle (2018–</w:t>
      </w:r>
      <w:r w:rsidR="00FC2CD0" w:rsidRPr="00C10217">
        <w:rPr>
          <w:szCs w:val="22"/>
        </w:rPr>
        <w:t> </w:t>
      </w:r>
      <w:r w:rsidRPr="00C10217">
        <w:t>2021) », une série d</w:t>
      </w:r>
      <w:r w:rsidR="00737A90" w:rsidRPr="00C10217">
        <w:t>’</w:t>
      </w:r>
      <w:r w:rsidRPr="00C10217">
        <w:t>initiatives ont été lancée</w:t>
      </w:r>
      <w:r w:rsidR="005F37F9" w:rsidRPr="00C10217">
        <w:t>s</w:t>
      </w:r>
      <w:r w:rsidRPr="00C10217">
        <w:t xml:space="preserve"> pour promouvoir </w:t>
      </w:r>
      <w:r w:rsidR="002237C1" w:rsidRPr="00C10217">
        <w:t>la</w:t>
      </w:r>
      <w:r w:rsidR="002237C1" w:rsidRPr="00C10217">
        <w:rPr>
          <w:szCs w:val="22"/>
        </w:rPr>
        <w:t> </w:t>
      </w:r>
      <w:r w:rsidRPr="00C10217">
        <w:t>transmission par le biais de l</w:t>
      </w:r>
      <w:r w:rsidR="00737A90" w:rsidRPr="00C10217">
        <w:t>’</w:t>
      </w:r>
      <w:r w:rsidRPr="00C10217">
        <w:t xml:space="preserve">éducation formelle et </w:t>
      </w:r>
      <w:r w:rsidR="005F37F9" w:rsidRPr="00C10217">
        <w:t xml:space="preserve">non formelle </w:t>
      </w:r>
      <w:r w:rsidRPr="00C10217">
        <w:t>en tant que mesure de sauvegarde au sens de l</w:t>
      </w:r>
      <w:r w:rsidR="00737A90" w:rsidRPr="00C10217">
        <w:t>’</w:t>
      </w:r>
      <w:r w:rsidRPr="00C10217">
        <w:t>article 2 de la Convention.</w:t>
      </w:r>
    </w:p>
    <w:p w14:paraId="407912ED" w14:textId="444AE3AE" w:rsidR="00CF77AE" w:rsidRPr="00C10217" w:rsidRDefault="005F37F9" w:rsidP="004679D4">
      <w:pPr>
        <w:pStyle w:val="Marge"/>
        <w:numPr>
          <w:ilvl w:val="0"/>
          <w:numId w:val="19"/>
        </w:numPr>
        <w:tabs>
          <w:tab w:val="clear" w:pos="928"/>
        </w:tabs>
        <w:spacing w:after="120"/>
        <w:ind w:left="567" w:hanging="567"/>
        <w:rPr>
          <w:rFonts w:cs="Arial"/>
          <w:bCs/>
          <w:szCs w:val="22"/>
        </w:rPr>
      </w:pPr>
      <w:r w:rsidRPr="00C10217">
        <w:t>Au cours des derniers</w:t>
      </w:r>
      <w:r w:rsidR="005E577C" w:rsidRPr="00C10217">
        <w:t xml:space="preserve"> cycles, le Comité </w:t>
      </w:r>
      <w:r w:rsidRPr="00C10217">
        <w:t xml:space="preserve">a entrepris </w:t>
      </w:r>
      <w:r w:rsidR="005E577C" w:rsidRPr="00C10217">
        <w:t>une réflexion sur le patrimoine culturel immatériel dans les situations d</w:t>
      </w:r>
      <w:r w:rsidR="00737A90" w:rsidRPr="00C10217">
        <w:t>’</w:t>
      </w:r>
      <w:r w:rsidR="005E577C" w:rsidRPr="00C10217">
        <w:t>urgence. En 2018, le Comité a estimé qu</w:t>
      </w:r>
      <w:r w:rsidR="00737A90" w:rsidRPr="00C10217">
        <w:t>’</w:t>
      </w:r>
      <w:r w:rsidR="005E577C" w:rsidRPr="00C10217">
        <w:t>il était temps de définir des modalités opérationnelles pour la sauvegarde du patrimoine culturel immatériel dans les situations d</w:t>
      </w:r>
      <w:r w:rsidR="00737A90" w:rsidRPr="00C10217">
        <w:t>’</w:t>
      </w:r>
      <w:r w:rsidR="005E577C" w:rsidRPr="00C10217">
        <w:t>urgence (</w:t>
      </w:r>
      <w:hyperlink r:id="rId25" w:history="1">
        <w:r w:rsidR="005E577C" w:rsidRPr="00C10217">
          <w:rPr>
            <w:rStyle w:val="Hyperlink"/>
            <w:szCs w:val="22"/>
          </w:rPr>
          <w:t>décision</w:t>
        </w:r>
        <w:r w:rsidR="00E8058E" w:rsidRPr="00C10217">
          <w:rPr>
            <w:rStyle w:val="Hyperlink"/>
            <w:szCs w:val="22"/>
          </w:rPr>
          <w:t> </w:t>
        </w:r>
        <w:r w:rsidR="005E577C" w:rsidRPr="00C10217">
          <w:rPr>
            <w:rStyle w:val="Hyperlink"/>
            <w:szCs w:val="22"/>
          </w:rPr>
          <w:t>13.COM 11</w:t>
        </w:r>
      </w:hyperlink>
      <w:r w:rsidR="005E577C" w:rsidRPr="00C10217">
        <w:t>). Une réunion d</w:t>
      </w:r>
      <w:r w:rsidR="00737A90" w:rsidRPr="00C10217">
        <w:t>’</w:t>
      </w:r>
      <w:r w:rsidR="005E577C" w:rsidRPr="00C10217">
        <w:t xml:space="preserve">experts individuels a donc été convoquée en mai 2019 avec le soutien du </w:t>
      </w:r>
      <w:r w:rsidRPr="00C10217">
        <w:t>G</w:t>
      </w:r>
      <w:r w:rsidR="005E577C" w:rsidRPr="00C10217">
        <w:t>ouvernement chinois, afin de conceptualiser les connaissances et expériences acquises</w:t>
      </w:r>
      <w:r w:rsidR="00E447ED" w:rsidRPr="00C10217">
        <w:t>,</w:t>
      </w:r>
      <w:r w:rsidR="005E577C" w:rsidRPr="00C10217">
        <w:t xml:space="preserve"> et </w:t>
      </w:r>
      <w:r w:rsidR="00E447ED" w:rsidRPr="00C10217">
        <w:t xml:space="preserve">de </w:t>
      </w:r>
      <w:r w:rsidR="005E577C" w:rsidRPr="00C10217">
        <w:t>les transformer en orientations méthodologiques pour les États parties ou pour toute autre partie prenante pertinente nationale ou internationale. Après avoir examiné les conclusions de cette réunion (</w:t>
      </w:r>
      <w:hyperlink r:id="rId26" w:history="1">
        <w:r w:rsidR="000527DF" w:rsidRPr="00C10217">
          <w:rPr>
            <w:rStyle w:val="Hyperlink"/>
          </w:rPr>
          <w:t>document</w:t>
        </w:r>
        <w:r w:rsidR="000527DF" w:rsidRPr="00C10217">
          <w:rPr>
            <w:u w:val="single"/>
          </w:rPr>
          <w:t> </w:t>
        </w:r>
        <w:r w:rsidR="005E577C" w:rsidRPr="00C10217">
          <w:rPr>
            <w:rStyle w:val="Hyperlink"/>
          </w:rPr>
          <w:t>LHE/19/14.COM/</w:t>
        </w:r>
        <w:r w:rsidRPr="00C10217">
          <w:rPr>
            <w:rStyle w:val="Hyperlink"/>
          </w:rPr>
          <w:t>13</w:t>
        </w:r>
      </w:hyperlink>
      <w:r w:rsidR="005E577C" w:rsidRPr="00C10217">
        <w:t>), le Comité</w:t>
      </w:r>
      <w:r w:rsidRPr="00C10217">
        <w:t>, à sa quatorzième session</w:t>
      </w:r>
      <w:r w:rsidR="005E577C" w:rsidRPr="00C10217">
        <w:t xml:space="preserve"> a approuvé les principes et modalités opérationnels pour la sauvegarde du patrimoine culturel immatériel dans les situations d</w:t>
      </w:r>
      <w:r w:rsidR="00737A90" w:rsidRPr="00C10217">
        <w:t>’</w:t>
      </w:r>
      <w:r w:rsidR="005E577C" w:rsidRPr="00C10217">
        <w:t>urgence</w:t>
      </w:r>
      <w:r w:rsidR="00E447ED" w:rsidRPr="00C10217">
        <w:t>,</w:t>
      </w:r>
      <w:r w:rsidR="005E577C" w:rsidRPr="00C10217">
        <w:t xml:space="preserve"> et a demandé au Secrétariat de le</w:t>
      </w:r>
      <w:r w:rsidR="00E447ED" w:rsidRPr="00C10217">
        <w:t>s</w:t>
      </w:r>
      <w:r w:rsidR="005E577C" w:rsidRPr="00C10217">
        <w:t xml:space="preserve"> présenter pour examen à l</w:t>
      </w:r>
      <w:r w:rsidR="00737A90" w:rsidRPr="00C10217">
        <w:t>’</w:t>
      </w:r>
      <w:r w:rsidR="005E577C" w:rsidRPr="00C10217">
        <w:t>Assemblée générale lors de sa huitième session en juin 2020.</w:t>
      </w:r>
    </w:p>
    <w:p w14:paraId="7FD7E469" w14:textId="77777777" w:rsidR="00305C1A" w:rsidRPr="00004BA8" w:rsidRDefault="00305C1A" w:rsidP="00305C1A">
      <w:pPr>
        <w:pStyle w:val="ListParagraph"/>
        <w:keepNext/>
        <w:numPr>
          <w:ilvl w:val="0"/>
          <w:numId w:val="21"/>
        </w:numPr>
        <w:spacing w:before="240" w:after="120"/>
        <w:ind w:left="567" w:hanging="567"/>
        <w:contextualSpacing w:val="0"/>
        <w:rPr>
          <w:rFonts w:ascii="Arial" w:hAnsi="Arial"/>
          <w:b/>
          <w:sz w:val="22"/>
          <w:szCs w:val="22"/>
        </w:rPr>
      </w:pPr>
      <w:r w:rsidRPr="00004BA8">
        <w:rPr>
          <w:rFonts w:ascii="Arial" w:hAnsi="Arial"/>
          <w:b/>
          <w:sz w:val="22"/>
          <w:szCs w:val="22"/>
        </w:rPr>
        <w:lastRenderedPageBreak/>
        <w:t>Sensibilisation et diffusion</w:t>
      </w:r>
    </w:p>
    <w:p w14:paraId="186299F1" w14:textId="54BC8239" w:rsidR="009E60BA" w:rsidRPr="00C10217" w:rsidRDefault="005D7B33" w:rsidP="0055441E">
      <w:pPr>
        <w:pStyle w:val="Marge"/>
        <w:numPr>
          <w:ilvl w:val="0"/>
          <w:numId w:val="19"/>
        </w:numPr>
        <w:tabs>
          <w:tab w:val="clear" w:pos="928"/>
        </w:tabs>
        <w:spacing w:after="120"/>
        <w:ind w:left="567" w:hanging="567"/>
      </w:pPr>
      <w:r w:rsidRPr="00C10217">
        <w:t xml:space="preserve">La promotion des objectifs de la Convention </w:t>
      </w:r>
      <w:r w:rsidR="005F37F9" w:rsidRPr="00C10217">
        <w:t>pourrait être comprise</w:t>
      </w:r>
      <w:r w:rsidRPr="00C10217">
        <w:t xml:space="preserve"> comme une mesure de sauvegarde en </w:t>
      </w:r>
      <w:r w:rsidR="005F37F9" w:rsidRPr="00C10217">
        <w:t>soi</w:t>
      </w:r>
      <w:r w:rsidRPr="00C10217">
        <w:t xml:space="preserve">, telle que définie </w:t>
      </w:r>
      <w:r w:rsidR="005F37F9" w:rsidRPr="00C10217">
        <w:t xml:space="preserve">à </w:t>
      </w:r>
      <w:r w:rsidRPr="00C10217">
        <w:t>l</w:t>
      </w:r>
      <w:r w:rsidR="00737A90" w:rsidRPr="00C10217">
        <w:t>’</w:t>
      </w:r>
      <w:r w:rsidRPr="00C10217">
        <w:t>article 2.3 de la Convention. Le développement de partenariats institutionnels stratégiques et efficaces est également essentiel pour atteindre les objectifs des Conventions. À ce titre, le Bureau a alloué un</w:t>
      </w:r>
      <w:r w:rsidR="005F37F9" w:rsidRPr="00C10217">
        <w:t xml:space="preserve"> montant</w:t>
      </w:r>
      <w:r w:rsidRPr="00C10217">
        <w:t xml:space="preserve"> total de 473 922 dollars des États-Unis pour la période allant de janvier 2018 à décembre 2019 afin de soutenir les initiatives du Secrétariat dans ces deux domaines. </w:t>
      </w:r>
    </w:p>
    <w:p w14:paraId="19B86787" w14:textId="551C745B" w:rsidR="00360AAB" w:rsidRPr="00C10217" w:rsidRDefault="00022FEE" w:rsidP="0055441E">
      <w:pPr>
        <w:pStyle w:val="Marge"/>
        <w:numPr>
          <w:ilvl w:val="0"/>
          <w:numId w:val="19"/>
        </w:numPr>
        <w:tabs>
          <w:tab w:val="clear" w:pos="928"/>
        </w:tabs>
        <w:spacing w:after="120"/>
        <w:ind w:left="567" w:hanging="567"/>
      </w:pPr>
      <w:r w:rsidRPr="00C10217">
        <w:t xml:space="preserve">Les documents </w:t>
      </w:r>
      <w:hyperlink r:id="rId27" w:history="1">
        <w:r w:rsidRPr="00C10217">
          <w:rPr>
            <w:rStyle w:val="Hyperlink"/>
          </w:rPr>
          <w:t>ITH/18/13.COM/INF.5.1</w:t>
        </w:r>
      </w:hyperlink>
      <w:r w:rsidRPr="00C10217">
        <w:t xml:space="preserve"> et </w:t>
      </w:r>
      <w:hyperlink r:id="rId28" w:history="1">
        <w:r w:rsidR="00457C02" w:rsidRPr="00C10217">
          <w:rPr>
            <w:rStyle w:val="Hyperlink"/>
          </w:rPr>
          <w:t>LHE</w:t>
        </w:r>
        <w:r w:rsidRPr="00C10217">
          <w:rPr>
            <w:rStyle w:val="Hyperlink"/>
          </w:rPr>
          <w:t>/19/14.COM/5.b</w:t>
        </w:r>
      </w:hyperlink>
      <w:r w:rsidRPr="00C10217">
        <w:t xml:space="preserve"> ont fourni au Comité un bilan des progrès des activités relatives à la communication </w:t>
      </w:r>
      <w:r w:rsidR="00F03119" w:rsidRPr="00C10217">
        <w:t xml:space="preserve">mises en œuvre </w:t>
      </w:r>
      <w:r w:rsidRPr="00C10217">
        <w:t>par le Secrétariat, de janvier à juin 2018 et de janvier 2018 à juin 2019 respectivement. Lors de ses treizième et quatorzième sessions le Comité a constat</w:t>
      </w:r>
      <w:r w:rsidR="00F03119" w:rsidRPr="00C10217">
        <w:t>é</w:t>
      </w:r>
      <w:r w:rsidRPr="00C10217">
        <w:t xml:space="preserve"> l</w:t>
      </w:r>
      <w:r w:rsidR="00737A90" w:rsidRPr="00C10217">
        <w:t>’</w:t>
      </w:r>
      <w:r w:rsidRPr="00C10217">
        <w:t xml:space="preserve">efficacité de ces actions de communication pour favoriser le développement de nouveaux domaines thématiques </w:t>
      </w:r>
      <w:r w:rsidR="00F03119" w:rsidRPr="00C10217">
        <w:t>au titre de</w:t>
      </w:r>
      <w:r w:rsidRPr="00C10217">
        <w:t xml:space="preserve"> la Convention – patrimoine culturel immatériel et peuples autochtones</w:t>
      </w:r>
      <w:r w:rsidR="00F03119" w:rsidRPr="00C10217">
        <w:t>,</w:t>
      </w:r>
      <w:r w:rsidRPr="00C10217">
        <w:t xml:space="preserve"> et patrimoine culturel immatériel et éducation. Une nouvelle brochure sur le programme de renforcement des capacités a également été publiée. Ces </w:t>
      </w:r>
      <w:r w:rsidR="00F03119" w:rsidRPr="00C10217">
        <w:t xml:space="preserve">mesures </w:t>
      </w:r>
      <w:r w:rsidRPr="00C10217">
        <w:t xml:space="preserve">ont </w:t>
      </w:r>
      <w:r w:rsidR="00F03119" w:rsidRPr="00C10217">
        <w:t xml:space="preserve">également </w:t>
      </w:r>
      <w:r w:rsidRPr="00C10217">
        <w:t xml:space="preserve">contribué à élargir la portée de la Convention </w:t>
      </w:r>
      <w:r w:rsidR="00F03119" w:rsidRPr="00C10217">
        <w:t xml:space="preserve">à </w:t>
      </w:r>
      <w:r w:rsidRPr="00C10217">
        <w:t xml:space="preserve">un public plus </w:t>
      </w:r>
      <w:r w:rsidR="00E447ED" w:rsidRPr="00C10217">
        <w:t>large</w:t>
      </w:r>
      <w:r w:rsidRPr="00C10217">
        <w:t xml:space="preserve"> et </w:t>
      </w:r>
      <w:r w:rsidR="00F03119" w:rsidRPr="00C10217">
        <w:t>inexploité</w:t>
      </w:r>
      <w:r w:rsidRPr="00C10217">
        <w:t xml:space="preserve"> (</w:t>
      </w:r>
      <w:r w:rsidR="00F03119" w:rsidRPr="00C10217">
        <w:t>c’est-à-dire</w:t>
      </w:r>
      <w:r w:rsidR="008E418A" w:rsidRPr="00C10217">
        <w:t xml:space="preserve"> les </w:t>
      </w:r>
      <w:r w:rsidRPr="00C10217">
        <w:t>jeunes</w:t>
      </w:r>
      <w:r w:rsidR="008E418A" w:rsidRPr="00C10217">
        <w:t xml:space="preserve"> et les</w:t>
      </w:r>
      <w:r w:rsidRPr="00C10217">
        <w:t xml:space="preserve"> peuples autochtones).</w:t>
      </w:r>
    </w:p>
    <w:p w14:paraId="526869A1" w14:textId="7C8E6C16" w:rsidR="00022FEE" w:rsidRPr="00C10217" w:rsidRDefault="009E60BA" w:rsidP="0055441E">
      <w:pPr>
        <w:pStyle w:val="Marge"/>
        <w:numPr>
          <w:ilvl w:val="0"/>
          <w:numId w:val="19"/>
        </w:numPr>
        <w:tabs>
          <w:tab w:val="clear" w:pos="928"/>
        </w:tabs>
        <w:spacing w:after="120"/>
        <w:ind w:left="567" w:hanging="567"/>
      </w:pPr>
      <w:r w:rsidRPr="00C10217">
        <w:rPr>
          <w:rStyle w:val="hps"/>
        </w:rPr>
        <w:t xml:space="preserve">Suivant les recommandations données par le Comité lors de sa douzième session, le Secrétariat et le groupe de travail informel ad hoc ont réfléchi, en consultation avec les ONG accréditées, aux possibles </w:t>
      </w:r>
      <w:r w:rsidR="000A5132" w:rsidRPr="00C10217">
        <w:rPr>
          <w:rStyle w:val="hps"/>
        </w:rPr>
        <w:t xml:space="preserve">moyens </w:t>
      </w:r>
      <w:r w:rsidR="008E418A" w:rsidRPr="00C10217">
        <w:rPr>
          <w:rStyle w:val="hps"/>
        </w:rPr>
        <w:t xml:space="preserve">d’améliorer </w:t>
      </w:r>
      <w:r w:rsidRPr="00C10217">
        <w:rPr>
          <w:rStyle w:val="hps"/>
        </w:rPr>
        <w:t xml:space="preserve">davantage la participation des ONG dans le cadre de la Convention de 2003 et </w:t>
      </w:r>
      <w:r w:rsidR="008E418A" w:rsidRPr="00C10217">
        <w:rPr>
          <w:rStyle w:val="hps"/>
        </w:rPr>
        <w:t>d’en tenir compte</w:t>
      </w:r>
      <w:r w:rsidRPr="00C10217">
        <w:rPr>
          <w:rStyle w:val="hps"/>
        </w:rPr>
        <w:t xml:space="preserve"> dans les mécanismes d</w:t>
      </w:r>
      <w:r w:rsidR="00737A90" w:rsidRPr="00C10217">
        <w:rPr>
          <w:rStyle w:val="hps"/>
        </w:rPr>
        <w:t>’</w:t>
      </w:r>
      <w:r w:rsidRPr="00C10217">
        <w:rPr>
          <w:rStyle w:val="hps"/>
        </w:rPr>
        <w:t>accréditation et de renouvellement des ONG. Sur la base des résultats de la consultation électronique menée par le Secrétariat en 2018 et des débats du Comité lors de sa treizième session, une réunion de consultation a été organisée en avril 2019 au Siège de l</w:t>
      </w:r>
      <w:r w:rsidR="00737A90" w:rsidRPr="00C10217">
        <w:rPr>
          <w:rStyle w:val="hps"/>
        </w:rPr>
        <w:t>’</w:t>
      </w:r>
      <w:r w:rsidRPr="00C10217">
        <w:rPr>
          <w:rStyle w:val="hps"/>
        </w:rPr>
        <w:t xml:space="preserve">UNESCO. Le Comité a examiné les résultats de </w:t>
      </w:r>
      <w:r w:rsidR="002659F4" w:rsidRPr="00C10217">
        <w:rPr>
          <w:rStyle w:val="hps"/>
        </w:rPr>
        <w:t>cette</w:t>
      </w:r>
      <w:r w:rsidRPr="00C10217">
        <w:rPr>
          <w:rStyle w:val="hps"/>
        </w:rPr>
        <w:t xml:space="preserve"> réflexion pendant sa quatorzième session.</w:t>
      </w:r>
    </w:p>
    <w:p w14:paraId="0AA91930" w14:textId="3B4EC729" w:rsidR="000253A8" w:rsidRPr="00004BA8" w:rsidRDefault="000253A8" w:rsidP="00EE2DB7">
      <w:pPr>
        <w:keepNext/>
        <w:numPr>
          <w:ilvl w:val="0"/>
          <w:numId w:val="20"/>
        </w:numPr>
        <w:spacing w:before="360" w:after="240"/>
        <w:ind w:left="567" w:hanging="567"/>
        <w:rPr>
          <w:rFonts w:ascii="Arial" w:hAnsi="Arial" w:cs="Arial"/>
          <w:sz w:val="22"/>
          <w:szCs w:val="22"/>
        </w:rPr>
      </w:pPr>
      <w:r w:rsidRPr="00004BA8">
        <w:rPr>
          <w:rFonts w:ascii="Arial" w:hAnsi="Arial"/>
          <w:b/>
          <w:sz w:val="22"/>
          <w:szCs w:val="22"/>
        </w:rPr>
        <w:t>Préparation d</w:t>
      </w:r>
      <w:r w:rsidR="00737A90" w:rsidRPr="00004BA8">
        <w:rPr>
          <w:rFonts w:ascii="Arial" w:hAnsi="Arial"/>
          <w:b/>
          <w:sz w:val="22"/>
          <w:szCs w:val="22"/>
        </w:rPr>
        <w:t>’</w:t>
      </w:r>
      <w:r w:rsidRPr="00004BA8">
        <w:rPr>
          <w:rFonts w:ascii="Arial" w:hAnsi="Arial"/>
          <w:b/>
          <w:sz w:val="22"/>
          <w:szCs w:val="22"/>
        </w:rPr>
        <w:t>un projet de plan d</w:t>
      </w:r>
      <w:r w:rsidR="00737A90" w:rsidRPr="00004BA8">
        <w:rPr>
          <w:rFonts w:ascii="Arial" w:hAnsi="Arial"/>
          <w:b/>
          <w:sz w:val="22"/>
          <w:szCs w:val="22"/>
        </w:rPr>
        <w:t>’</w:t>
      </w:r>
      <w:r w:rsidRPr="00004BA8">
        <w:rPr>
          <w:rFonts w:ascii="Arial" w:hAnsi="Arial"/>
          <w:b/>
          <w:sz w:val="22"/>
          <w:szCs w:val="22"/>
        </w:rPr>
        <w:t>utilisation des ressources du Fonds et augmentation des ressources du Fonds</w:t>
      </w:r>
      <w:r w:rsidRPr="00004BA8">
        <w:rPr>
          <w:rFonts w:ascii="Arial" w:hAnsi="Arial"/>
          <w:sz w:val="22"/>
          <w:szCs w:val="22"/>
        </w:rPr>
        <w:t xml:space="preserve"> (articles 7[c] et 7[d])</w:t>
      </w:r>
    </w:p>
    <w:p w14:paraId="7F5C6AF2" w14:textId="302A83C2" w:rsidR="00F359DA" w:rsidRPr="00C10217" w:rsidRDefault="00305C1A" w:rsidP="00F359DA">
      <w:pPr>
        <w:pStyle w:val="Marge"/>
        <w:numPr>
          <w:ilvl w:val="0"/>
          <w:numId w:val="19"/>
        </w:numPr>
        <w:tabs>
          <w:tab w:val="clear" w:pos="928"/>
        </w:tabs>
        <w:spacing w:after="120"/>
        <w:ind w:left="567" w:hanging="567"/>
      </w:pPr>
      <w:r w:rsidRPr="00C10217">
        <w:t>Le Comité devra soumettre à la huitième session de l</w:t>
      </w:r>
      <w:r w:rsidR="00737A90" w:rsidRPr="00C10217">
        <w:t>’</w:t>
      </w:r>
      <w:r w:rsidRPr="00C10217">
        <w:t>Assemblée générale un plan d</w:t>
      </w:r>
      <w:r w:rsidR="00737A90" w:rsidRPr="00C10217">
        <w:t>’</w:t>
      </w:r>
      <w:r w:rsidRPr="00C10217">
        <w:t>utilisation des ressources du Fonds pour la période allant du 1</w:t>
      </w:r>
      <w:r w:rsidRPr="00C10217">
        <w:rPr>
          <w:vertAlign w:val="superscript"/>
        </w:rPr>
        <w:t>er</w:t>
      </w:r>
      <w:r w:rsidRPr="00C10217">
        <w:t> janvier 2020 au 31 décembre 2021 et</w:t>
      </w:r>
      <w:r w:rsidR="008E418A" w:rsidRPr="00C10217">
        <w:t xml:space="preserve"> pour</w:t>
      </w:r>
      <w:r w:rsidRPr="00C10217">
        <w:t xml:space="preserve"> le premier semestre 2022. Ce plan </w:t>
      </w:r>
      <w:r w:rsidR="008E418A" w:rsidRPr="00C10217">
        <w:t xml:space="preserve">a été conçu dans la continuité de </w:t>
      </w:r>
      <w:r w:rsidRPr="00C10217">
        <w:t>l</w:t>
      </w:r>
      <w:r w:rsidR="00737A90" w:rsidRPr="00C10217">
        <w:t>’</w:t>
      </w:r>
      <w:r w:rsidRPr="00C10217">
        <w:t xml:space="preserve">approche adoptée pour la période 2018-2019. Le plus gros pourcentage continue </w:t>
      </w:r>
      <w:r w:rsidR="00C42396" w:rsidRPr="00C10217">
        <w:t>d’</w:t>
      </w:r>
      <w:r w:rsidRPr="00C10217">
        <w:t>être consacré à l</w:t>
      </w:r>
      <w:r w:rsidR="00737A90" w:rsidRPr="00C10217">
        <w:t>’</w:t>
      </w:r>
      <w:r w:rsidRPr="00C10217">
        <w:t xml:space="preserve">assistance internationale. Ce plan figure dans le </w:t>
      </w:r>
      <w:hyperlink r:id="rId29" w:history="1">
        <w:r w:rsidRPr="00C10217">
          <w:rPr>
            <w:rStyle w:val="Hyperlink"/>
          </w:rPr>
          <w:t>document LHE/19/14.COM/7</w:t>
        </w:r>
      </w:hyperlink>
      <w:r w:rsidRPr="00C10217">
        <w:t>.</w:t>
      </w:r>
      <w:r w:rsidR="00F359DA" w:rsidRPr="00C10217">
        <w:t xml:space="preserve"> </w:t>
      </w:r>
    </w:p>
    <w:p w14:paraId="41DD3ECB" w14:textId="7ED57276" w:rsidR="00305C1A" w:rsidRPr="00C10217" w:rsidRDefault="00305C1A" w:rsidP="00305C1A">
      <w:pPr>
        <w:pStyle w:val="Marge"/>
        <w:numPr>
          <w:ilvl w:val="0"/>
          <w:numId w:val="19"/>
        </w:numPr>
        <w:tabs>
          <w:tab w:val="clear" w:pos="928"/>
        </w:tabs>
        <w:spacing w:after="120"/>
        <w:ind w:left="567" w:hanging="567"/>
      </w:pPr>
      <w:r w:rsidRPr="00C10217">
        <w:t xml:space="preserve">Pendant la période considérée, </w:t>
      </w:r>
      <w:r w:rsidR="00004BA8" w:rsidRPr="00C10217">
        <w:t>d</w:t>
      </w:r>
      <w:r w:rsidRPr="00C10217">
        <w:t xml:space="preserve">es contributions volontaires supplémentaires </w:t>
      </w:r>
      <w:r w:rsidR="00C42396" w:rsidRPr="00C10217">
        <w:t>d’un montant</w:t>
      </w:r>
      <w:r w:rsidRPr="00C10217">
        <w:t xml:space="preserve"> de </w:t>
      </w:r>
      <w:r w:rsidR="00004BA8" w:rsidRPr="00C10217">
        <w:t xml:space="preserve">528 349 </w:t>
      </w:r>
      <w:r w:rsidRPr="00C10217">
        <w:t>dollars des États-Unis</w:t>
      </w:r>
      <w:r w:rsidR="00C42396" w:rsidRPr="00C10217">
        <w:t xml:space="preserve"> ont été versées au Fonds</w:t>
      </w:r>
      <w:r w:rsidRPr="00C10217">
        <w:t xml:space="preserve"> </w:t>
      </w:r>
      <w:r w:rsidR="00004BA8" w:rsidRPr="00C10217">
        <w:t xml:space="preserve">par la Chine, le Japon, les Pays-Bas et la Suisse </w:t>
      </w:r>
      <w:r w:rsidRPr="00C10217">
        <w:t xml:space="preserve">pour financer </w:t>
      </w:r>
      <w:r w:rsidR="002659F4" w:rsidRPr="00C10217">
        <w:t>quatre</w:t>
      </w:r>
      <w:r w:rsidR="00004BA8" w:rsidRPr="00C10217">
        <w:t xml:space="preserve"> </w:t>
      </w:r>
      <w:r w:rsidRPr="00C10217">
        <w:t>projets</w:t>
      </w:r>
      <w:r w:rsidR="002659F4" w:rsidRPr="00C10217">
        <w:t xml:space="preserve"> différents</w:t>
      </w:r>
      <w:r w:rsidRPr="00C10217">
        <w:t xml:space="preserve">. Le </w:t>
      </w:r>
      <w:r w:rsidR="00F3516B" w:rsidRPr="00C10217">
        <w:t>s</w:t>
      </w:r>
      <w:r w:rsidRPr="00C10217">
        <w:t xml:space="preserve">ous-fonds du Fonds, exclusivement dédié au renforcement des ressources humaines du Secrétariat, a également reçu des contributions de </w:t>
      </w:r>
      <w:r w:rsidR="00004BA8" w:rsidRPr="00C10217">
        <w:t>76 908</w:t>
      </w:r>
      <w:r w:rsidRPr="00C10217">
        <w:t> dollars des États-Unis pendant cette même période</w:t>
      </w:r>
      <w:r w:rsidR="00004BA8" w:rsidRPr="00C10217">
        <w:t xml:space="preserve"> du Kazakhstan, de Monaco, du Monténégro et de la Suède</w:t>
      </w:r>
      <w:r w:rsidRPr="00C10217">
        <w:t>.</w:t>
      </w:r>
    </w:p>
    <w:p w14:paraId="5FBEC79D" w14:textId="4744E42C" w:rsidR="00305C1A" w:rsidRPr="00004BA8" w:rsidRDefault="00305C1A" w:rsidP="008E1FAA">
      <w:pPr>
        <w:pStyle w:val="Marge"/>
        <w:numPr>
          <w:ilvl w:val="0"/>
          <w:numId w:val="19"/>
        </w:numPr>
        <w:tabs>
          <w:tab w:val="clear" w:pos="928"/>
        </w:tabs>
        <w:spacing w:after="120"/>
        <w:ind w:left="567" w:hanging="567"/>
      </w:pPr>
      <w:r w:rsidRPr="00004BA8">
        <w:t xml:space="preserve">Le </w:t>
      </w:r>
      <w:r w:rsidRPr="00004BA8">
        <w:rPr>
          <w:color w:val="0000FF"/>
          <w:u w:val="single"/>
        </w:rPr>
        <w:t xml:space="preserve">document </w:t>
      </w:r>
      <w:hyperlink r:id="rId30" w:history="1">
        <w:r w:rsidRPr="00004BA8">
          <w:rPr>
            <w:rStyle w:val="Hyperlink"/>
            <w:color w:val="0000FF"/>
          </w:rPr>
          <w:t>LHE/19/14.COM/7</w:t>
        </w:r>
      </w:hyperlink>
      <w:r w:rsidR="00561083" w:rsidRPr="00004BA8">
        <w:t xml:space="preserve"> </w:t>
      </w:r>
      <w:r w:rsidRPr="00004BA8">
        <w:t xml:space="preserve">comprend, </w:t>
      </w:r>
      <w:r w:rsidR="00C42396" w:rsidRPr="00004BA8">
        <w:t>à l’</w:t>
      </w:r>
      <w:r w:rsidRPr="00004BA8">
        <w:t xml:space="preserve">annexe II (a), une liste de ces contributions pour la période </w:t>
      </w:r>
      <w:r w:rsidR="00C42396" w:rsidRPr="00004BA8">
        <w:t xml:space="preserve">allant </w:t>
      </w:r>
      <w:r w:rsidRPr="00004BA8">
        <w:t>du 1</w:t>
      </w:r>
      <w:r w:rsidRPr="00004BA8">
        <w:rPr>
          <w:vertAlign w:val="superscript"/>
        </w:rPr>
        <w:t>er</w:t>
      </w:r>
      <w:r w:rsidRPr="00004BA8">
        <w:t> janvier 2018 au 30 juin 2019, ainsi qu</w:t>
      </w:r>
      <w:r w:rsidR="00737A90" w:rsidRPr="00004BA8">
        <w:t>’</w:t>
      </w:r>
      <w:r w:rsidRPr="00004BA8">
        <w:t xml:space="preserve">un état des recettes et des dépenses </w:t>
      </w:r>
      <w:r w:rsidR="00C42396" w:rsidRPr="00004BA8">
        <w:t>à l’</w:t>
      </w:r>
      <w:r w:rsidRPr="00004BA8">
        <w:t xml:space="preserve">annexe II. Le </w:t>
      </w:r>
      <w:hyperlink r:id="rId31" w:history="1">
        <w:r w:rsidRPr="00004BA8">
          <w:rPr>
            <w:rStyle w:val="Hyperlink"/>
          </w:rPr>
          <w:t>document</w:t>
        </w:r>
        <w:r w:rsidR="00230B10" w:rsidRPr="00004BA8">
          <w:rPr>
            <w:rStyle w:val="Hyperlink"/>
          </w:rPr>
          <w:t xml:space="preserve"> </w:t>
        </w:r>
        <w:r w:rsidRPr="00004BA8">
          <w:rPr>
            <w:rStyle w:val="Hyperlink"/>
          </w:rPr>
          <w:t>LHE/19/14.COM/6</w:t>
        </w:r>
      </w:hyperlink>
      <w:r w:rsidR="00AD05D7" w:rsidRPr="00004BA8">
        <w:t xml:space="preserve"> </w:t>
      </w:r>
      <w:r w:rsidRPr="00004BA8">
        <w:t xml:space="preserve">comprend, </w:t>
      </w:r>
      <w:r w:rsidR="00C42396" w:rsidRPr="00004BA8">
        <w:t>à l’</w:t>
      </w:r>
      <w:r w:rsidRPr="00004BA8">
        <w:t xml:space="preserve">annexe I, une liste des contributions volontaires versées au Fonds et au </w:t>
      </w:r>
      <w:r w:rsidR="00F3516B" w:rsidRPr="00004BA8">
        <w:t>s</w:t>
      </w:r>
      <w:r w:rsidRPr="00004BA8">
        <w:t>ous-fonds depuis la treizième session du Comité, pour la période allant d</w:t>
      </w:r>
      <w:r w:rsidR="00737A90" w:rsidRPr="00004BA8">
        <w:t>’</w:t>
      </w:r>
      <w:r w:rsidRPr="00004BA8">
        <w:t>octobre 2018 à octobre 2019.</w:t>
      </w:r>
    </w:p>
    <w:p w14:paraId="34FCB205" w14:textId="77777777" w:rsidR="00305C1A" w:rsidRPr="00004BA8" w:rsidRDefault="00305C1A" w:rsidP="00580843">
      <w:pPr>
        <w:keepNext/>
        <w:numPr>
          <w:ilvl w:val="0"/>
          <w:numId w:val="20"/>
        </w:numPr>
        <w:tabs>
          <w:tab w:val="clear" w:pos="720"/>
        </w:tabs>
        <w:spacing w:before="360" w:after="240"/>
        <w:ind w:left="567" w:hanging="567"/>
        <w:jc w:val="both"/>
        <w:rPr>
          <w:rFonts w:ascii="Arial" w:hAnsi="Arial" w:cs="Arial"/>
          <w:b/>
          <w:sz w:val="22"/>
          <w:szCs w:val="22"/>
        </w:rPr>
      </w:pPr>
      <w:r w:rsidRPr="00004BA8">
        <w:rPr>
          <w:rFonts w:ascii="Arial" w:hAnsi="Arial"/>
          <w:b/>
          <w:sz w:val="22"/>
          <w:szCs w:val="22"/>
        </w:rPr>
        <w:t>Préparation des Directives opérationnelles pour la mise en œuvre de la Convention</w:t>
      </w:r>
      <w:r w:rsidRPr="00004BA8">
        <w:rPr>
          <w:rFonts w:ascii="Arial" w:hAnsi="Arial"/>
          <w:sz w:val="22"/>
          <w:szCs w:val="22"/>
        </w:rPr>
        <w:t xml:space="preserve"> (article 7[e])</w:t>
      </w:r>
    </w:p>
    <w:p w14:paraId="5D463771" w14:textId="637F26E2" w:rsidR="00305C1A" w:rsidRPr="00004BA8" w:rsidRDefault="00305C1A" w:rsidP="00305C1A">
      <w:pPr>
        <w:pStyle w:val="Marge"/>
        <w:numPr>
          <w:ilvl w:val="0"/>
          <w:numId w:val="19"/>
        </w:numPr>
        <w:spacing w:after="120"/>
        <w:ind w:left="567" w:hanging="567"/>
        <w:rPr>
          <w:rFonts w:eastAsia="Arial" w:cs="Arial"/>
          <w:i/>
          <w:szCs w:val="22"/>
        </w:rPr>
      </w:pPr>
      <w:r w:rsidRPr="00004BA8">
        <w:t>Pendant la période considérée, le Comité a recommandé à l</w:t>
      </w:r>
      <w:r w:rsidR="00737A90" w:rsidRPr="00004BA8">
        <w:t>’</w:t>
      </w:r>
      <w:r w:rsidRPr="00004BA8">
        <w:t>Assemblée générale d</w:t>
      </w:r>
      <w:r w:rsidR="00737A90" w:rsidRPr="00004BA8">
        <w:t>’</w:t>
      </w:r>
      <w:r w:rsidRPr="00004BA8">
        <w:t xml:space="preserve">approuver de nouvelles </w:t>
      </w:r>
      <w:r w:rsidR="000A5132" w:rsidRPr="00004BA8">
        <w:t>D</w:t>
      </w:r>
      <w:r w:rsidRPr="00004BA8">
        <w:t xml:space="preserve">irectives ou des amendements aux Directives opérationnelles pour la mise en œuvre de la Convention concernant les </w:t>
      </w:r>
      <w:r w:rsidR="00C42396" w:rsidRPr="00004BA8">
        <w:t xml:space="preserve">questions </w:t>
      </w:r>
      <w:r w:rsidRPr="00004BA8">
        <w:t>suivant</w:t>
      </w:r>
      <w:r w:rsidR="00C42396" w:rsidRPr="00004BA8">
        <w:t>e</w:t>
      </w:r>
      <w:r w:rsidRPr="00004BA8">
        <w:t>s :</w:t>
      </w:r>
    </w:p>
    <w:p w14:paraId="69C9CAC8" w14:textId="20039FCB" w:rsidR="00305C1A" w:rsidRPr="00C10217" w:rsidRDefault="00305C1A" w:rsidP="00305C1A">
      <w:pPr>
        <w:pStyle w:val="Marge"/>
        <w:numPr>
          <w:ilvl w:val="0"/>
          <w:numId w:val="22"/>
        </w:numPr>
        <w:spacing w:after="60"/>
        <w:ind w:left="851" w:hanging="284"/>
        <w:rPr>
          <w:rFonts w:eastAsia="Arial" w:cs="Arial"/>
          <w:szCs w:val="22"/>
        </w:rPr>
      </w:pPr>
      <w:r w:rsidRPr="00C10217">
        <w:lastRenderedPageBreak/>
        <w:t xml:space="preserve">Mécanisme </w:t>
      </w:r>
      <w:r w:rsidR="00C42396" w:rsidRPr="00C10217">
        <w:t xml:space="preserve">d’établissement </w:t>
      </w:r>
      <w:r w:rsidRPr="00C10217">
        <w:t xml:space="preserve">de rapports périodiques pour </w:t>
      </w:r>
      <w:r w:rsidR="00C42396" w:rsidRPr="00C10217">
        <w:t xml:space="preserve">progresser </w:t>
      </w:r>
      <w:r w:rsidRPr="00C10217">
        <w:t>vers un cycle régional de rapports nationaux ;</w:t>
      </w:r>
    </w:p>
    <w:p w14:paraId="51E15886" w14:textId="0BF66544" w:rsidR="00580843" w:rsidRPr="00C10217" w:rsidRDefault="00C42396" w:rsidP="00D551F4">
      <w:pPr>
        <w:pStyle w:val="Marge"/>
        <w:numPr>
          <w:ilvl w:val="0"/>
          <w:numId w:val="22"/>
        </w:numPr>
        <w:spacing w:after="60"/>
        <w:ind w:left="851" w:hanging="284"/>
        <w:rPr>
          <w:szCs w:val="22"/>
        </w:rPr>
      </w:pPr>
      <w:r w:rsidRPr="00C10217">
        <w:rPr>
          <w:szCs w:val="22"/>
        </w:rPr>
        <w:t xml:space="preserve">Processus </w:t>
      </w:r>
      <w:r w:rsidR="00C247FF" w:rsidRPr="00C10217">
        <w:rPr>
          <w:szCs w:val="22"/>
        </w:rPr>
        <w:t>de dialogue et amendements possibles aux Directives opérationnelles, à présenter à la huitième session de l</w:t>
      </w:r>
      <w:r w:rsidR="00737A90" w:rsidRPr="00C10217">
        <w:rPr>
          <w:szCs w:val="22"/>
        </w:rPr>
        <w:t>’</w:t>
      </w:r>
      <w:r w:rsidR="00C247FF" w:rsidRPr="00C10217">
        <w:rPr>
          <w:szCs w:val="22"/>
        </w:rPr>
        <w:t>Assemblée générale des États parties en 2020.</w:t>
      </w:r>
    </w:p>
    <w:p w14:paraId="1748BCD5" w14:textId="77777777" w:rsidR="00305C1A" w:rsidRPr="00004BA8" w:rsidRDefault="00305C1A" w:rsidP="00305C1A">
      <w:pPr>
        <w:keepNext/>
        <w:numPr>
          <w:ilvl w:val="0"/>
          <w:numId w:val="20"/>
        </w:numPr>
        <w:tabs>
          <w:tab w:val="clear" w:pos="720"/>
        </w:tabs>
        <w:spacing w:before="360" w:after="240"/>
        <w:ind w:left="567" w:hanging="567"/>
        <w:rPr>
          <w:rFonts w:ascii="Arial" w:hAnsi="Arial" w:cs="Arial"/>
          <w:b/>
          <w:sz w:val="22"/>
          <w:szCs w:val="22"/>
        </w:rPr>
      </w:pPr>
      <w:r w:rsidRPr="00004BA8">
        <w:rPr>
          <w:rFonts w:ascii="Arial" w:hAnsi="Arial"/>
          <w:b/>
          <w:sz w:val="22"/>
          <w:szCs w:val="22"/>
        </w:rPr>
        <w:t>Examen des rapports périodiques</w:t>
      </w:r>
      <w:r w:rsidRPr="00004BA8">
        <w:rPr>
          <w:rFonts w:ascii="Arial" w:hAnsi="Arial"/>
          <w:sz w:val="22"/>
          <w:szCs w:val="22"/>
        </w:rPr>
        <w:t xml:space="preserve"> (article 7[f])</w:t>
      </w:r>
    </w:p>
    <w:p w14:paraId="5C8101C8" w14:textId="6D05F264" w:rsidR="00305C1A" w:rsidRPr="00C10217" w:rsidRDefault="00305C1A">
      <w:pPr>
        <w:pStyle w:val="Marge"/>
        <w:numPr>
          <w:ilvl w:val="0"/>
          <w:numId w:val="19"/>
        </w:numPr>
        <w:spacing w:after="120"/>
        <w:ind w:left="567" w:hanging="567"/>
      </w:pPr>
      <w:r w:rsidRPr="00C10217">
        <w:t>L</w:t>
      </w:r>
      <w:r w:rsidR="00C42396" w:rsidRPr="00C10217">
        <w:t>’article 29 de la</w:t>
      </w:r>
      <w:r w:rsidRPr="00C10217">
        <w:t xml:space="preserve"> </w:t>
      </w:r>
      <w:hyperlink r:id="rId32" w:history="1">
        <w:r w:rsidRPr="00C10217">
          <w:rPr>
            <w:color w:val="0000FF"/>
            <w:szCs w:val="22"/>
            <w:u w:val="single"/>
          </w:rPr>
          <w:t>Convention</w:t>
        </w:r>
      </w:hyperlink>
      <w:r w:rsidRPr="00C10217">
        <w:t xml:space="preserve"> stipule</w:t>
      </w:r>
      <w:r w:rsidR="00C42396" w:rsidRPr="00C10217">
        <w:t xml:space="preserve"> </w:t>
      </w:r>
      <w:r w:rsidRPr="00C10217">
        <w:t>que les États parties doivent présenter au Comité des rapports sur les dispositions législatives, réglementaires ou autres prises pour la mise en œuvre de la Convention et, à l</w:t>
      </w:r>
      <w:r w:rsidR="00737A90" w:rsidRPr="00C10217">
        <w:t>’</w:t>
      </w:r>
      <w:r w:rsidRPr="00C10217">
        <w:t>article 30, que « sur la base de ses activités et des rapports des États parties […] le Comité soumet un rapport à chaque session de l</w:t>
      </w:r>
      <w:r w:rsidR="00737A90" w:rsidRPr="00C10217">
        <w:t>’</w:t>
      </w:r>
      <w:r w:rsidRPr="00C10217">
        <w:t xml:space="preserve">Assemblée générale ». Pendant la période considérée, le Comité a examiné </w:t>
      </w:r>
      <w:r w:rsidR="00004BA8" w:rsidRPr="00C10217">
        <w:t>32</w:t>
      </w:r>
      <w:r w:rsidRPr="00C10217">
        <w:t xml:space="preserve"> rapports d</w:t>
      </w:r>
      <w:r w:rsidR="00737A90" w:rsidRPr="00C10217">
        <w:t>’</w:t>
      </w:r>
      <w:r w:rsidRPr="00C10217">
        <w:t xml:space="preserve">États parties relatifs à la mise en œuvre de la Convention au niveau national en 2018 et </w:t>
      </w:r>
      <w:r w:rsidR="00004BA8" w:rsidRPr="00C10217">
        <w:t xml:space="preserve">20 </w:t>
      </w:r>
      <w:r w:rsidRPr="00C10217">
        <w:t>rapports sur l</w:t>
      </w:r>
      <w:r w:rsidR="00737A90" w:rsidRPr="00C10217">
        <w:t>’</w:t>
      </w:r>
      <w:r w:rsidRPr="00C10217">
        <w:t>état d</w:t>
      </w:r>
      <w:r w:rsidR="00C42396" w:rsidRPr="00C10217">
        <w:t xml:space="preserve">es </w:t>
      </w:r>
      <w:r w:rsidRPr="00C10217">
        <w:t xml:space="preserve">éléments inscrits sur la Liste </w:t>
      </w:r>
      <w:r w:rsidR="00C42396" w:rsidRPr="00C10217">
        <w:t xml:space="preserve">du patrimoine culturel immatériel nécessitant une </w:t>
      </w:r>
      <w:r w:rsidRPr="00C10217">
        <w:t>sauvegarde urgente</w:t>
      </w:r>
      <w:r w:rsidR="00C42396" w:rsidRPr="00C10217">
        <w:t xml:space="preserve"> (ci-après dénommée Liste de sauvegarde urgente)</w:t>
      </w:r>
      <w:r w:rsidRPr="00C10217">
        <w:t xml:space="preserve"> (</w:t>
      </w:r>
      <w:r w:rsidR="00004BA8" w:rsidRPr="00C10217">
        <w:t xml:space="preserve">16 </w:t>
      </w:r>
      <w:r w:rsidRPr="00C10217">
        <w:t xml:space="preserve">en 2018 et </w:t>
      </w:r>
      <w:r w:rsidR="00004BA8" w:rsidRPr="00C10217">
        <w:t xml:space="preserve">4 </w:t>
      </w:r>
      <w:r w:rsidRPr="00C10217">
        <w:t>en 2019)</w:t>
      </w:r>
      <w:r w:rsidRPr="00C10217">
        <w:rPr>
          <w:i/>
          <w:szCs w:val="22"/>
        </w:rPr>
        <w:t xml:space="preserve">. </w:t>
      </w:r>
      <w:r w:rsidRPr="00C10217">
        <w:t xml:space="preserve">En raison de la modification du mécanisme </w:t>
      </w:r>
      <w:r w:rsidR="00C42396" w:rsidRPr="00C10217">
        <w:t xml:space="preserve">de soumission </w:t>
      </w:r>
      <w:r w:rsidRPr="00C10217">
        <w:t xml:space="preserve">des rapports périodiques, la soumission des rapports périodiques sur la mise en œuvre de la Convention et sur les éléments inscrits sur la Liste représentative </w:t>
      </w:r>
      <w:r w:rsidR="00C42396" w:rsidRPr="00C10217">
        <w:t xml:space="preserve">du patrimoine culturel immatériel de l’humanité (ci-après dénommée Liste représentative) </w:t>
      </w:r>
      <w:r w:rsidRPr="00C10217">
        <w:t>a été suspendue pour les dates limites du 15 décembre 2018 et du 15 décembre 2019, y compris pour les rapports en retard (</w:t>
      </w:r>
      <w:hyperlink r:id="rId33" w:history="1">
        <w:r w:rsidRPr="00C10217">
          <w:rPr>
            <w:rStyle w:val="Hyperlink"/>
            <w:szCs w:val="22"/>
          </w:rPr>
          <w:t>document</w:t>
        </w:r>
        <w:r w:rsidR="00E8058E" w:rsidRPr="00C10217">
          <w:rPr>
            <w:rStyle w:val="Hyperlink"/>
            <w:szCs w:val="22"/>
          </w:rPr>
          <w:t> </w:t>
        </w:r>
        <w:r w:rsidRPr="00C10217">
          <w:rPr>
            <w:rStyle w:val="Hyperlink"/>
            <w:szCs w:val="22"/>
          </w:rPr>
          <w:t>I</w:t>
        </w:r>
        <w:r w:rsidRPr="00C10217">
          <w:rPr>
            <w:rStyle w:val="Hyperlink"/>
            <w:bCs/>
            <w:szCs w:val="22"/>
          </w:rPr>
          <w:t>TH/18/13.COM/8</w:t>
        </w:r>
      </w:hyperlink>
      <w:r w:rsidRPr="00C10217">
        <w:t xml:space="preserve">). Pour le moment, la modification du mécanisme </w:t>
      </w:r>
      <w:r w:rsidR="00C42396" w:rsidRPr="00C10217">
        <w:t xml:space="preserve">de soumission </w:t>
      </w:r>
      <w:r w:rsidRPr="00C10217">
        <w:t>des rapports n</w:t>
      </w:r>
      <w:r w:rsidR="00737A90" w:rsidRPr="00C10217">
        <w:t>’</w:t>
      </w:r>
      <w:r w:rsidRPr="00C10217">
        <w:t>a</w:t>
      </w:r>
      <w:r w:rsidR="00C42396" w:rsidRPr="00C10217">
        <w:t>ffecte</w:t>
      </w:r>
      <w:r w:rsidRPr="00C10217">
        <w:t xml:space="preserve"> pas la procédure de </w:t>
      </w:r>
      <w:r w:rsidR="00C52A4D" w:rsidRPr="00C10217">
        <w:t xml:space="preserve">soumission de </w:t>
      </w:r>
      <w:r w:rsidRPr="00C10217">
        <w:t>rapport</w:t>
      </w:r>
      <w:r w:rsidR="00C52A4D" w:rsidRPr="00C10217">
        <w:t>s</w:t>
      </w:r>
      <w:r w:rsidRPr="00C10217">
        <w:t xml:space="preserve"> sur l</w:t>
      </w:r>
      <w:r w:rsidR="00737A90" w:rsidRPr="00C10217">
        <w:t>’</w:t>
      </w:r>
      <w:r w:rsidRPr="00C10217">
        <w:t xml:space="preserve">état des éléments inscrits sur la Liste </w:t>
      </w:r>
      <w:r w:rsidR="00C52A4D" w:rsidRPr="00C10217">
        <w:t>de</w:t>
      </w:r>
      <w:r w:rsidRPr="00C10217">
        <w:t xml:space="preserve"> sauvegarde urgente. Un</w:t>
      </w:r>
      <w:r w:rsidR="00C52A4D" w:rsidRPr="00C10217">
        <w:t>e</w:t>
      </w:r>
      <w:r w:rsidRPr="00C10217">
        <w:t xml:space="preserve"> </w:t>
      </w:r>
      <w:r w:rsidR="00C52A4D" w:rsidRPr="00C10217">
        <w:t xml:space="preserve">vue d’ensemble </w:t>
      </w:r>
      <w:r w:rsidRPr="00C10217">
        <w:t>détaillé</w:t>
      </w:r>
      <w:r w:rsidR="00C52A4D" w:rsidRPr="00C10217">
        <w:t>e</w:t>
      </w:r>
      <w:r w:rsidRPr="00C10217">
        <w:t xml:space="preserve"> et des </w:t>
      </w:r>
      <w:r w:rsidR="00C52A4D" w:rsidRPr="00C10217">
        <w:t xml:space="preserve">résumés </w:t>
      </w:r>
      <w:r w:rsidRPr="00C10217">
        <w:t xml:space="preserve">de chaque rapport </w:t>
      </w:r>
      <w:r w:rsidR="00C52A4D" w:rsidRPr="00C10217">
        <w:t>figurent</w:t>
      </w:r>
      <w:r w:rsidRPr="00C10217">
        <w:t xml:space="preserve"> dans les documents de travail du Comité : </w:t>
      </w:r>
      <w:r w:rsidR="00720302" w:rsidRPr="00C10217">
        <w:t xml:space="preserve">documents </w:t>
      </w:r>
      <w:hyperlink r:id="rId34" w:history="1">
        <w:r w:rsidRPr="00C10217">
          <w:rPr>
            <w:rStyle w:val="Hyperlink"/>
          </w:rPr>
          <w:t>ITH/18/13.COM/7.a</w:t>
        </w:r>
      </w:hyperlink>
      <w:r w:rsidRPr="00C10217">
        <w:t xml:space="preserve">, </w:t>
      </w:r>
      <w:hyperlink r:id="rId35" w:history="1">
        <w:r w:rsidRPr="00C10217">
          <w:rPr>
            <w:rStyle w:val="Hyperlink"/>
          </w:rPr>
          <w:t>ITH/18/13.COM/7.b</w:t>
        </w:r>
      </w:hyperlink>
      <w:r w:rsidRPr="00C10217">
        <w:t xml:space="preserve">, </w:t>
      </w:r>
      <w:r w:rsidR="00457C02" w:rsidRPr="00C10217">
        <w:t xml:space="preserve">et </w:t>
      </w:r>
      <w:hyperlink r:id="rId36" w:history="1">
        <w:r w:rsidRPr="00C10217">
          <w:rPr>
            <w:rStyle w:val="Hyperlink"/>
          </w:rPr>
          <w:t>LHE/19/14.COM/9.a</w:t>
        </w:r>
      </w:hyperlink>
      <w:r w:rsidRPr="00C10217">
        <w:t>.</w:t>
      </w:r>
    </w:p>
    <w:p w14:paraId="5C2E3DA8" w14:textId="5B117AC9" w:rsidR="00914F76" w:rsidRPr="00004BA8" w:rsidRDefault="00914F76" w:rsidP="00525839">
      <w:pPr>
        <w:keepNext/>
        <w:numPr>
          <w:ilvl w:val="0"/>
          <w:numId w:val="20"/>
        </w:numPr>
        <w:tabs>
          <w:tab w:val="clear" w:pos="720"/>
        </w:tabs>
        <w:spacing w:before="360" w:after="240"/>
        <w:ind w:left="567" w:hanging="567"/>
        <w:jc w:val="both"/>
        <w:rPr>
          <w:rFonts w:ascii="Arial" w:hAnsi="Arial" w:cs="Arial"/>
          <w:b/>
          <w:sz w:val="22"/>
          <w:szCs w:val="22"/>
        </w:rPr>
      </w:pPr>
      <w:r w:rsidRPr="00004BA8">
        <w:rPr>
          <w:rFonts w:ascii="Arial" w:hAnsi="Arial"/>
          <w:b/>
          <w:sz w:val="22"/>
          <w:szCs w:val="22"/>
        </w:rPr>
        <w:t>Inscriptions sur les Listes de la Convention, sélection des bonnes pratiques de sauvegarde et octroi de l</w:t>
      </w:r>
      <w:r w:rsidR="00737A90" w:rsidRPr="00004BA8">
        <w:rPr>
          <w:rFonts w:ascii="Arial" w:hAnsi="Arial"/>
          <w:b/>
          <w:sz w:val="22"/>
          <w:szCs w:val="22"/>
        </w:rPr>
        <w:t>’</w:t>
      </w:r>
      <w:r w:rsidRPr="00004BA8">
        <w:rPr>
          <w:rFonts w:ascii="Arial" w:hAnsi="Arial"/>
          <w:b/>
          <w:sz w:val="22"/>
          <w:szCs w:val="22"/>
        </w:rPr>
        <w:t>assistance internationale</w:t>
      </w:r>
      <w:r w:rsidRPr="00004BA8">
        <w:rPr>
          <w:rFonts w:ascii="Arial" w:hAnsi="Arial"/>
          <w:sz w:val="22"/>
          <w:szCs w:val="22"/>
        </w:rPr>
        <w:t xml:space="preserve"> (article 7[g])</w:t>
      </w:r>
    </w:p>
    <w:p w14:paraId="7500345D" w14:textId="3C9651C9" w:rsidR="00326C36" w:rsidRPr="00C10217" w:rsidRDefault="00914F76" w:rsidP="00F937EC">
      <w:pPr>
        <w:pStyle w:val="Marge"/>
        <w:numPr>
          <w:ilvl w:val="0"/>
          <w:numId w:val="19"/>
        </w:numPr>
        <w:spacing w:after="120"/>
        <w:ind w:left="567" w:hanging="567"/>
        <w:rPr>
          <w:i/>
        </w:rPr>
      </w:pPr>
      <w:r w:rsidRPr="00C10217">
        <w:t xml:space="preserve">Pendant la période considérée, le Comité a examiné 102 dossiers et inscrit un total de </w:t>
      </w:r>
      <w:r w:rsidR="00F626A5" w:rsidRPr="00C10217">
        <w:t>78</w:t>
      </w:r>
      <w:r w:rsidRPr="00C10217">
        <w:t xml:space="preserve"> éléments s</w:t>
      </w:r>
      <w:r w:rsidR="00026083" w:rsidRPr="00C10217">
        <w:t>ur les listes de la Convention</w:t>
      </w:r>
      <w:r w:rsidRPr="00C10217">
        <w:t xml:space="preserve"> : </w:t>
      </w:r>
      <w:r w:rsidR="00F626A5" w:rsidRPr="00C10217">
        <w:t xml:space="preserve">12 </w:t>
      </w:r>
      <w:r w:rsidRPr="00C10217">
        <w:t xml:space="preserve">sur la Liste </w:t>
      </w:r>
      <w:r w:rsidR="00C52A4D" w:rsidRPr="00C10217">
        <w:t>de</w:t>
      </w:r>
      <w:r w:rsidRPr="00C10217">
        <w:t xml:space="preserve"> sauvegarde urgente et </w:t>
      </w:r>
      <w:r w:rsidR="00F626A5" w:rsidRPr="00C10217">
        <w:t>66 </w:t>
      </w:r>
      <w:r w:rsidRPr="00C10217">
        <w:t xml:space="preserve">sur la Liste représentative. Le Comité a également sélectionné </w:t>
      </w:r>
      <w:r w:rsidR="00F626A5" w:rsidRPr="00C10217">
        <w:t>3</w:t>
      </w:r>
      <w:r w:rsidRPr="00C10217">
        <w:rPr>
          <w:szCs w:val="22"/>
        </w:rPr>
        <w:t xml:space="preserve"> bonnes pratiques de sauvegarde</w:t>
      </w:r>
      <w:r w:rsidRPr="00C10217">
        <w:t xml:space="preserve">. </w:t>
      </w:r>
      <w:r w:rsidRPr="00C10217">
        <w:rPr>
          <w:rStyle w:val="ac"/>
        </w:rPr>
        <w:t>Lors de ses</w:t>
      </w:r>
      <w:r w:rsidRPr="00C10217">
        <w:t xml:space="preserve"> treizième et quatorzième sessions, le Comité a approuvé une demande d</w:t>
      </w:r>
      <w:r w:rsidR="00737A90" w:rsidRPr="00C10217">
        <w:t>’</w:t>
      </w:r>
      <w:r w:rsidRPr="00C10217">
        <w:t>assistance internationale d</w:t>
      </w:r>
      <w:r w:rsidR="00737A90" w:rsidRPr="00C10217">
        <w:t>’</w:t>
      </w:r>
      <w:r w:rsidRPr="00C10217">
        <w:t xml:space="preserve">un montant de 213 260 dollars des États-Unis et </w:t>
      </w:r>
      <w:r w:rsidR="00F626A5" w:rsidRPr="00C10217">
        <w:t xml:space="preserve">une </w:t>
      </w:r>
      <w:r w:rsidRPr="00C10217">
        <w:t>demande d</w:t>
      </w:r>
      <w:r w:rsidR="00737A90" w:rsidRPr="00C10217">
        <w:t>’</w:t>
      </w:r>
      <w:r w:rsidRPr="00C10217">
        <w:t xml:space="preserve">assistance internationale pour un montant total de </w:t>
      </w:r>
      <w:r w:rsidR="002659F4" w:rsidRPr="00C10217">
        <w:t>387 </w:t>
      </w:r>
      <w:r w:rsidR="00F626A5" w:rsidRPr="00C10217">
        <w:t>770</w:t>
      </w:r>
      <w:r w:rsidR="002659F4" w:rsidRPr="00C10217">
        <w:t> </w:t>
      </w:r>
      <w:r w:rsidRPr="00C10217">
        <w:t xml:space="preserve">dollars des États-Unis, respectivement. En outre, </w:t>
      </w:r>
      <w:r w:rsidR="00C52A4D" w:rsidRPr="00C10217">
        <w:t xml:space="preserve">l’inscription sans précédent par </w:t>
      </w:r>
      <w:r w:rsidR="00E209AE" w:rsidRPr="00C10217">
        <w:t xml:space="preserve">la </w:t>
      </w:r>
      <w:r w:rsidR="00C52A4D" w:rsidRPr="00C10217">
        <w:t xml:space="preserve">treizième session du Comité de </w:t>
      </w:r>
      <w:r w:rsidR="00E209AE" w:rsidRPr="00C10217">
        <w:t>« </w:t>
      </w:r>
      <w:r w:rsidR="00C52A4D" w:rsidRPr="00C10217">
        <w:t>la lutte coréenne traditionnelle (</w:t>
      </w:r>
      <w:proofErr w:type="spellStart"/>
      <w:r w:rsidR="00C52A4D" w:rsidRPr="00C10217">
        <w:t>Ssirum</w:t>
      </w:r>
      <w:proofErr w:type="spellEnd"/>
      <w:r w:rsidR="00C52A4D" w:rsidRPr="00C10217">
        <w:t>/</w:t>
      </w:r>
      <w:proofErr w:type="spellStart"/>
      <w:r w:rsidR="00C52A4D" w:rsidRPr="00C10217">
        <w:t>Ssireum</w:t>
      </w:r>
      <w:proofErr w:type="spellEnd"/>
      <w:r w:rsidR="00C52A4D" w:rsidRPr="00C10217">
        <w:t>)</w:t>
      </w:r>
      <w:r w:rsidR="00E209AE" w:rsidRPr="00C10217">
        <w:t> » sur la Liste représentative en tant que</w:t>
      </w:r>
      <w:r w:rsidRPr="00C10217">
        <w:t xml:space="preserve"> candidature conjointe </w:t>
      </w:r>
      <w:r w:rsidR="00C52A4D" w:rsidRPr="00C10217">
        <w:t xml:space="preserve">de </w:t>
      </w:r>
      <w:r w:rsidRPr="00C10217">
        <w:t>la République populaire démocratique de Corée et</w:t>
      </w:r>
      <w:r w:rsidR="00C52A4D" w:rsidRPr="00C10217">
        <w:t xml:space="preserve"> de</w:t>
      </w:r>
      <w:r w:rsidRPr="00C10217">
        <w:t xml:space="preserve"> la République de Corée, a démontré le rôle que l</w:t>
      </w:r>
      <w:r w:rsidR="00737A90" w:rsidRPr="00C10217">
        <w:t>’</w:t>
      </w:r>
      <w:r w:rsidRPr="00C10217">
        <w:t xml:space="preserve">UNESCO </w:t>
      </w:r>
      <w:r w:rsidR="00C52A4D" w:rsidRPr="00C10217">
        <w:t xml:space="preserve">peut </w:t>
      </w:r>
      <w:r w:rsidRPr="00C10217">
        <w:t>jouer pour contribuer à</w:t>
      </w:r>
      <w:r w:rsidR="00C52A4D" w:rsidRPr="00C10217">
        <w:t xml:space="preserve"> consolider</w:t>
      </w:r>
      <w:r w:rsidRPr="00C10217">
        <w:t xml:space="preserve"> la paix </w:t>
      </w:r>
      <w:r w:rsidR="00C52A4D" w:rsidRPr="00C10217">
        <w:t xml:space="preserve">régionale </w:t>
      </w:r>
      <w:r w:rsidRPr="00C10217">
        <w:t>et internationale</w:t>
      </w:r>
      <w:r w:rsidR="00C52A4D" w:rsidRPr="00C10217">
        <w:t xml:space="preserve"> par le biais de la culture.</w:t>
      </w:r>
    </w:p>
    <w:p w14:paraId="23E5C7ED" w14:textId="59C8785A" w:rsidR="00A72D2D" w:rsidRPr="00004BA8" w:rsidRDefault="0025133B">
      <w:pPr>
        <w:pStyle w:val="Marge"/>
        <w:numPr>
          <w:ilvl w:val="0"/>
          <w:numId w:val="19"/>
        </w:numPr>
        <w:spacing w:after="120"/>
        <w:ind w:left="567" w:hanging="567"/>
      </w:pPr>
      <w:r w:rsidRPr="00004BA8">
        <w:t xml:space="preserve">Depuis 2016 au moins, les États parties ont </w:t>
      </w:r>
      <w:r w:rsidR="00C52A4D" w:rsidRPr="00004BA8">
        <w:t>manifesté leur intérêt pour</w:t>
      </w:r>
      <w:r w:rsidRPr="00004BA8">
        <w:t xml:space="preserve"> la mise en place d</w:t>
      </w:r>
      <w:r w:rsidR="00737A90" w:rsidRPr="00004BA8">
        <w:t>’</w:t>
      </w:r>
      <w:r w:rsidRPr="00004BA8">
        <w:t xml:space="preserve">un système permettant de clarifier les </w:t>
      </w:r>
      <w:r w:rsidR="00C52A4D" w:rsidRPr="00004BA8">
        <w:t>questions</w:t>
      </w:r>
      <w:r w:rsidRPr="00004BA8">
        <w:t xml:space="preserve"> techniques </w:t>
      </w:r>
      <w:r w:rsidR="00C52A4D" w:rsidRPr="00004BA8">
        <w:t>mineures</w:t>
      </w:r>
      <w:r w:rsidR="00D468B7" w:rsidRPr="00004BA8">
        <w:t>,</w:t>
      </w:r>
      <w:r w:rsidR="00C52A4D" w:rsidRPr="00004BA8">
        <w:t xml:space="preserve"> </w:t>
      </w:r>
      <w:r w:rsidRPr="00004BA8">
        <w:t>avant que les candidatures ne soient soumises au Comité. S</w:t>
      </w:r>
      <w:r w:rsidR="00737A90" w:rsidRPr="00004BA8">
        <w:t>’</w:t>
      </w:r>
      <w:r w:rsidRPr="00004BA8">
        <w:t xml:space="preserve">appuyant sur les discussions des sessions précédentes, le Comité a présenté lors de sa treizième session une nouvelle procédure expérimentale pour le cycle 2019, le « dialogue provisoire en amont ». </w:t>
      </w:r>
      <w:r w:rsidRPr="00004BA8">
        <w:rPr>
          <w:rStyle w:val="Hyperlink"/>
          <w:color w:val="auto"/>
          <w:u w:val="none"/>
        </w:rPr>
        <w:t>Il a également décidé de poursuivre sa réflexion sur un mécanisme de « dialogue »</w:t>
      </w:r>
      <w:r w:rsidRPr="00004BA8">
        <w:t xml:space="preserve"> approprié </w:t>
      </w:r>
      <w:r w:rsidR="00D468B7" w:rsidRPr="00004BA8">
        <w:t xml:space="preserve">afin d’améliorer </w:t>
      </w:r>
      <w:r w:rsidRPr="00004BA8">
        <w:t>la transparence et la crédibilité du processus d</w:t>
      </w:r>
      <w:r w:rsidR="00737A90" w:rsidRPr="00004BA8">
        <w:t>’</w:t>
      </w:r>
      <w:r w:rsidRPr="00004BA8">
        <w:t xml:space="preserve">évaluation </w:t>
      </w:r>
      <w:r w:rsidRPr="00004BA8">
        <w:rPr>
          <w:rStyle w:val="Hyperlink"/>
        </w:rPr>
        <w:t>(</w:t>
      </w:r>
      <w:hyperlink r:id="rId37" w:history="1">
        <w:r w:rsidRPr="00004BA8">
          <w:rPr>
            <w:rStyle w:val="Hyperlink"/>
          </w:rPr>
          <w:t>décision 13.COM 10</w:t>
        </w:r>
      </w:hyperlink>
      <w:r w:rsidR="00C52A4D" w:rsidRPr="00004BA8">
        <w:rPr>
          <w:rStyle w:val="Hyperlink"/>
          <w:color w:val="auto"/>
          <w:u w:val="none"/>
        </w:rPr>
        <w:t xml:space="preserve"> </w:t>
      </w:r>
      <w:r w:rsidRPr="00004BA8">
        <w:rPr>
          <w:rStyle w:val="Hyperlink"/>
          <w:color w:val="auto"/>
          <w:u w:val="none"/>
        </w:rPr>
        <w:t xml:space="preserve">et </w:t>
      </w:r>
      <w:hyperlink r:id="rId38" w:history="1">
        <w:r w:rsidRPr="00004BA8">
          <w:rPr>
            <w:rStyle w:val="Hyperlink"/>
          </w:rPr>
          <w:t>décision 13.COM 16</w:t>
        </w:r>
      </w:hyperlink>
      <w:r w:rsidRPr="00004BA8">
        <w:t>). Ce</w:t>
      </w:r>
      <w:r w:rsidR="00C52A4D" w:rsidRPr="00004BA8">
        <w:t xml:space="preserve">la </w:t>
      </w:r>
      <w:r w:rsidRPr="00004BA8">
        <w:t>perm</w:t>
      </w:r>
      <w:r w:rsidR="00C52A4D" w:rsidRPr="00004BA8">
        <w:t>et</w:t>
      </w:r>
      <w:r w:rsidRPr="00004BA8">
        <w:t xml:space="preserve"> à l</w:t>
      </w:r>
      <w:r w:rsidR="00737A90" w:rsidRPr="00004BA8">
        <w:t>’</w:t>
      </w:r>
      <w:r w:rsidRPr="00004BA8">
        <w:t>Organe d</w:t>
      </w:r>
      <w:r w:rsidR="00737A90" w:rsidRPr="00004BA8">
        <w:t>’</w:t>
      </w:r>
      <w:r w:rsidRPr="00004BA8">
        <w:t>évaluation d</w:t>
      </w:r>
      <w:r w:rsidR="00737A90" w:rsidRPr="00004BA8">
        <w:t>’</w:t>
      </w:r>
      <w:r w:rsidRPr="00004BA8">
        <w:t>initier un échange lorsqu</w:t>
      </w:r>
      <w:r w:rsidR="00737A90" w:rsidRPr="00004BA8">
        <w:t>’</w:t>
      </w:r>
      <w:r w:rsidRPr="00004BA8">
        <w:t>il estime qu</w:t>
      </w:r>
      <w:r w:rsidR="00737A90" w:rsidRPr="00004BA8">
        <w:t>’</w:t>
      </w:r>
      <w:r w:rsidRPr="00004BA8">
        <w:t>un court processus de question</w:t>
      </w:r>
      <w:r w:rsidR="00C52A4D" w:rsidRPr="00004BA8">
        <w:t>s</w:t>
      </w:r>
      <w:r w:rsidRPr="00004BA8">
        <w:t>-réponse</w:t>
      </w:r>
      <w:r w:rsidR="00C52A4D" w:rsidRPr="00004BA8">
        <w:t>s</w:t>
      </w:r>
      <w:r w:rsidRPr="00004BA8">
        <w:t xml:space="preserve"> avec l</w:t>
      </w:r>
      <w:r w:rsidR="00737A90" w:rsidRPr="00004BA8">
        <w:t>’</w:t>
      </w:r>
      <w:r w:rsidRPr="00004BA8">
        <w:t xml:space="preserve">État soumissionnaire pourrait permettre de déterminer si la candidature satisfait au(x) critère(s) concerné(s). </w:t>
      </w:r>
      <w:r w:rsidRPr="00C90266">
        <w:t>La quatorzième session du Comité a fait le bilan de cette expérience de dialogue provisoire en amont</w:t>
      </w:r>
      <w:r w:rsidR="00D468B7" w:rsidRPr="00C90266">
        <w:t>,</w:t>
      </w:r>
      <w:r w:rsidRPr="00C90266">
        <w:t xml:space="preserve"> afin de présenter </w:t>
      </w:r>
      <w:r w:rsidR="00C52A4D" w:rsidRPr="00C90266">
        <w:t xml:space="preserve">d’éventuels </w:t>
      </w:r>
      <w:r w:rsidRPr="00C90266">
        <w:t>amendements aux Directives opérationnelles à la huitième session de l</w:t>
      </w:r>
      <w:r w:rsidR="00737A90" w:rsidRPr="00C90266">
        <w:t>’</w:t>
      </w:r>
      <w:r w:rsidRPr="00C90266">
        <w:t>Assemblée générale des États parties en 2020</w:t>
      </w:r>
      <w:r w:rsidR="00004BA8">
        <w:t>.</w:t>
      </w:r>
    </w:p>
    <w:p w14:paraId="4133978E" w14:textId="6DCC6389" w:rsidR="000D6D64" w:rsidRPr="00C10217" w:rsidRDefault="007421FC">
      <w:pPr>
        <w:pStyle w:val="Marge"/>
        <w:numPr>
          <w:ilvl w:val="0"/>
          <w:numId w:val="19"/>
        </w:numPr>
        <w:spacing w:after="120"/>
        <w:ind w:left="567" w:hanging="567"/>
        <w:rPr>
          <w:rFonts w:cs="Arial"/>
        </w:rPr>
      </w:pPr>
      <w:r w:rsidRPr="00C10217">
        <w:lastRenderedPageBreak/>
        <w:t>À l</w:t>
      </w:r>
      <w:r w:rsidR="00737A90" w:rsidRPr="00C10217">
        <w:t>’</w:t>
      </w:r>
      <w:r w:rsidRPr="00C10217">
        <w:t>heure actuelle, il n</w:t>
      </w:r>
      <w:r w:rsidR="00737A90" w:rsidRPr="00C10217">
        <w:t>’</w:t>
      </w:r>
      <w:r w:rsidRPr="00C10217">
        <w:t>existe aucun mécanisme permettant au Secrétariat d</w:t>
      </w:r>
      <w:r w:rsidR="00737A90" w:rsidRPr="00C10217">
        <w:t>’</w:t>
      </w:r>
      <w:r w:rsidRPr="00C10217">
        <w:t>attirer l</w:t>
      </w:r>
      <w:r w:rsidR="00737A90" w:rsidRPr="00C10217">
        <w:t>’</w:t>
      </w:r>
      <w:r w:rsidRPr="00C10217">
        <w:t xml:space="preserve">attention du Comité sur le nombre croissant de correspondances reçues </w:t>
      </w:r>
      <w:r w:rsidR="001B35BB" w:rsidRPr="00C10217">
        <w:t xml:space="preserve">concernant l’évolution de la situation </w:t>
      </w:r>
      <w:r w:rsidRPr="00C10217">
        <w:t xml:space="preserve">des éléments inscrits sur les listes de la Convention. Lors de sa treizième session, le Comité a reconnu la nécessité </w:t>
      </w:r>
      <w:r w:rsidR="001B35BB" w:rsidRPr="00C10217">
        <w:t>de réfléchir au</w:t>
      </w:r>
      <w:r w:rsidRPr="00C10217">
        <w:t xml:space="preserve"> suivi des éléments inscrits, </w:t>
      </w:r>
      <w:r w:rsidRPr="00C10217">
        <w:rPr>
          <w:color w:val="000000"/>
        </w:rPr>
        <w:t>dans le cadre d</w:t>
      </w:r>
      <w:r w:rsidR="00737A90" w:rsidRPr="00C10217">
        <w:rPr>
          <w:color w:val="000000"/>
        </w:rPr>
        <w:t>’</w:t>
      </w:r>
      <w:r w:rsidRPr="00C10217">
        <w:rPr>
          <w:color w:val="000000"/>
        </w:rPr>
        <w:t>une réflexion plus large sur les mécanismes d</w:t>
      </w:r>
      <w:r w:rsidR="00737A90" w:rsidRPr="00C10217">
        <w:rPr>
          <w:color w:val="000000"/>
        </w:rPr>
        <w:t>’</w:t>
      </w:r>
      <w:r w:rsidRPr="00C10217">
        <w:rPr>
          <w:color w:val="000000"/>
        </w:rPr>
        <w:t>inscription sur les listes de la Convention</w:t>
      </w:r>
      <w:r w:rsidRPr="00C10217">
        <w:t xml:space="preserve">. </w:t>
      </w:r>
      <w:r w:rsidRPr="00C10217">
        <w:rPr>
          <w:szCs w:val="22"/>
        </w:rPr>
        <w:t>Lors de sa quatorzième session, le Comité a examiné le cas du carnaval d</w:t>
      </w:r>
      <w:r w:rsidR="00737A90" w:rsidRPr="00C10217">
        <w:rPr>
          <w:szCs w:val="22"/>
        </w:rPr>
        <w:t>’</w:t>
      </w:r>
      <w:r w:rsidRPr="00C10217">
        <w:rPr>
          <w:szCs w:val="22"/>
        </w:rPr>
        <w:t>Alost (Belgique), élément inscrit en 2010 sur la Liste représentative, à la demande du Bureau</w:t>
      </w:r>
      <w:r w:rsidR="00F42FDD" w:rsidRPr="00C10217">
        <w:rPr>
          <w:szCs w:val="22"/>
        </w:rPr>
        <w:t>. Ayant considéré que l’élément ne répond plus aux critères d</w:t>
      </w:r>
      <w:r w:rsidR="002659F4" w:rsidRPr="00C10217">
        <w:rPr>
          <w:szCs w:val="22"/>
        </w:rPr>
        <w:t>’</w:t>
      </w:r>
      <w:r w:rsidR="00F42FDD" w:rsidRPr="00C10217">
        <w:rPr>
          <w:szCs w:val="22"/>
        </w:rPr>
        <w:t>inscription R.1 et R.2 et ayant pris note de la note verbale du Royaume de Belgique (en date du 5 décembre 2019)</w:t>
      </w:r>
      <w:r w:rsidR="00761DE1" w:rsidRPr="00C10217">
        <w:rPr>
          <w:szCs w:val="22"/>
        </w:rPr>
        <w:t>,</w:t>
      </w:r>
      <w:r w:rsidR="00F42FDD" w:rsidRPr="00C10217">
        <w:rPr>
          <w:szCs w:val="22"/>
        </w:rPr>
        <w:t xml:space="preserve"> le Comité </w:t>
      </w:r>
      <w:r w:rsidR="00004BA8" w:rsidRPr="00C10217">
        <w:rPr>
          <w:szCs w:val="22"/>
        </w:rPr>
        <w:t xml:space="preserve">a décidé </w:t>
      </w:r>
      <w:r w:rsidRPr="00C10217">
        <w:rPr>
          <w:szCs w:val="22"/>
        </w:rPr>
        <w:t xml:space="preserve">de retirer </w:t>
      </w:r>
      <w:r w:rsidR="00F42FDD" w:rsidRPr="00C10217">
        <w:rPr>
          <w:szCs w:val="22"/>
        </w:rPr>
        <w:t xml:space="preserve">cet </w:t>
      </w:r>
      <w:r w:rsidRPr="00C10217">
        <w:rPr>
          <w:szCs w:val="22"/>
        </w:rPr>
        <w:t xml:space="preserve">élément de </w:t>
      </w:r>
      <w:r w:rsidR="00F42FDD" w:rsidRPr="00C10217">
        <w:rPr>
          <w:szCs w:val="22"/>
        </w:rPr>
        <w:t xml:space="preserve">la </w:t>
      </w:r>
      <w:r w:rsidRPr="00C10217">
        <w:rPr>
          <w:szCs w:val="22"/>
        </w:rPr>
        <w:t>Liste conformément au paragraphe 40 des Directives opérationnelles</w:t>
      </w:r>
      <w:r w:rsidRPr="00C10217">
        <w:t>.</w:t>
      </w:r>
    </w:p>
    <w:p w14:paraId="7349EEDC" w14:textId="2B092BAB" w:rsidR="0041309D" w:rsidRPr="00C10217" w:rsidRDefault="001B35BB">
      <w:pPr>
        <w:pStyle w:val="Marge"/>
        <w:numPr>
          <w:ilvl w:val="0"/>
          <w:numId w:val="19"/>
        </w:numPr>
        <w:spacing w:after="120"/>
        <w:ind w:left="567" w:hanging="567"/>
      </w:pPr>
      <w:r w:rsidRPr="00C10217">
        <w:t>L</w:t>
      </w:r>
      <w:r w:rsidR="00C865F4" w:rsidRPr="00C10217">
        <w:t xml:space="preserve">e Comité a </w:t>
      </w:r>
      <w:r w:rsidRPr="00C10217">
        <w:t xml:space="preserve">parallèlement </w:t>
      </w:r>
      <w:r w:rsidR="00C865F4" w:rsidRPr="00C10217">
        <w:t>initié lors de sa treizième session une réflexion à long terme (jusqu</w:t>
      </w:r>
      <w:r w:rsidR="00737A90" w:rsidRPr="00C10217">
        <w:t>’</w:t>
      </w:r>
      <w:r w:rsidR="00C865F4" w:rsidRPr="00C10217">
        <w:t>en 2022) sur les mécanismes d</w:t>
      </w:r>
      <w:r w:rsidR="00737A90" w:rsidRPr="00C10217">
        <w:t>’</w:t>
      </w:r>
      <w:r w:rsidR="00C865F4" w:rsidRPr="00C10217">
        <w:t xml:space="preserve">inscription sur les listes de la Convention avec le soutien du </w:t>
      </w:r>
      <w:r w:rsidR="00DC454B" w:rsidRPr="00C10217">
        <w:t>G</w:t>
      </w:r>
      <w:r w:rsidR="00C865F4" w:rsidRPr="00C10217">
        <w:t>ouvernement du Japon. Cette initiative vise entre autres à réfléchir à la nature et aux objectifs des listes et du registre de la Convention, ainsi qu</w:t>
      </w:r>
      <w:r w:rsidR="00737A90" w:rsidRPr="00C10217">
        <w:t>’</w:t>
      </w:r>
      <w:r w:rsidR="00C865F4" w:rsidRPr="00C10217">
        <w:t xml:space="preserve">à la pertinence des différents critères de chaque mécanisme. </w:t>
      </w:r>
      <w:r w:rsidRPr="00C10217">
        <w:t>La révision</w:t>
      </w:r>
      <w:r w:rsidR="00C865F4" w:rsidRPr="00C10217">
        <w:t xml:space="preserve"> de la méthodologie employée pour l</w:t>
      </w:r>
      <w:r w:rsidR="00737A90" w:rsidRPr="00C10217">
        <w:t>’</w:t>
      </w:r>
      <w:r w:rsidR="00C865F4" w:rsidRPr="00C10217">
        <w:t>évaluation</w:t>
      </w:r>
      <w:r w:rsidRPr="00C10217">
        <w:t xml:space="preserve"> et l’examen</w:t>
      </w:r>
      <w:r w:rsidR="00C865F4" w:rsidRPr="00C10217">
        <w:t xml:space="preserve"> des candidatures est un élément important de cette réflexion. La quatorzième session du Comité a </w:t>
      </w:r>
      <w:r w:rsidRPr="00C10217">
        <w:t>fait des progrès à cet égard</w:t>
      </w:r>
      <w:r w:rsidR="00C865F4" w:rsidRPr="00C10217">
        <w:t xml:space="preserve">, en dressant </w:t>
      </w:r>
      <w:r w:rsidRPr="00C10217">
        <w:t>une</w:t>
      </w:r>
      <w:r w:rsidR="00C865F4" w:rsidRPr="00C10217">
        <w:t xml:space="preserve"> liste de sujets à traiter pendant la première réunion d</w:t>
      </w:r>
      <w:r w:rsidR="00737A90" w:rsidRPr="00C10217">
        <w:t>’</w:t>
      </w:r>
      <w:r w:rsidR="00C865F4" w:rsidRPr="00C10217">
        <w:t>experts qui aura lieu début 2020.</w:t>
      </w:r>
    </w:p>
    <w:p w14:paraId="78D25951" w14:textId="63212012" w:rsidR="00305C1A" w:rsidRPr="00C10217" w:rsidRDefault="00A02E3D" w:rsidP="00A01791">
      <w:pPr>
        <w:pStyle w:val="Marge"/>
        <w:numPr>
          <w:ilvl w:val="0"/>
          <w:numId w:val="19"/>
        </w:numPr>
        <w:spacing w:after="120"/>
        <w:ind w:left="567" w:hanging="567"/>
      </w:pPr>
      <w:r w:rsidRPr="00C10217">
        <w:t>L</w:t>
      </w:r>
      <w:r w:rsidR="00251DF3" w:rsidRPr="00C10217">
        <w:t>e Comité (pour les demandes supérieures à 100 000 dollars des États-Unis) ou le Bureau (pour les demandes jusqu</w:t>
      </w:r>
      <w:r w:rsidR="00737A90" w:rsidRPr="00C10217">
        <w:t>’</w:t>
      </w:r>
      <w:r w:rsidR="00251DF3" w:rsidRPr="00C10217">
        <w:t>à 100 000 dollars des États-Unis et les demandes d</w:t>
      </w:r>
      <w:r w:rsidR="00737A90" w:rsidRPr="00C10217">
        <w:t>’</w:t>
      </w:r>
      <w:r w:rsidR="00251DF3" w:rsidRPr="00C10217">
        <w:t xml:space="preserve">urgence) ont approuvé un total de </w:t>
      </w:r>
      <w:r w:rsidR="00004BA8" w:rsidRPr="00C10217">
        <w:t xml:space="preserve">26 </w:t>
      </w:r>
      <w:r w:rsidR="00251DF3" w:rsidRPr="00C10217">
        <w:t>demandes d</w:t>
      </w:r>
      <w:r w:rsidR="00737A90" w:rsidRPr="00C10217">
        <w:t>’</w:t>
      </w:r>
      <w:r w:rsidR="00251DF3" w:rsidRPr="00C10217">
        <w:t xml:space="preserve">assistance internationale sur </w:t>
      </w:r>
      <w:r w:rsidR="00004BA8" w:rsidRPr="00C10217">
        <w:t>37</w:t>
      </w:r>
      <w:r w:rsidR="00251DF3" w:rsidRPr="00C10217">
        <w:t xml:space="preserve">, pour un montant total de </w:t>
      </w:r>
      <w:r w:rsidR="002659F4" w:rsidRPr="00C10217">
        <w:t>2 </w:t>
      </w:r>
      <w:r w:rsidR="00004BA8" w:rsidRPr="00C10217">
        <w:t>451</w:t>
      </w:r>
      <w:r w:rsidR="002659F4" w:rsidRPr="00C10217">
        <w:t> </w:t>
      </w:r>
      <w:r w:rsidR="00004BA8" w:rsidRPr="00C10217">
        <w:t>208</w:t>
      </w:r>
      <w:r w:rsidR="00251DF3" w:rsidRPr="00C10217">
        <w:t> dollars des États-Unis (voir également le</w:t>
      </w:r>
      <w:r w:rsidR="008B1E86" w:rsidRPr="00C10217">
        <w:t>s</w:t>
      </w:r>
      <w:r w:rsidR="00251DF3" w:rsidRPr="00C10217">
        <w:t xml:space="preserve"> document</w:t>
      </w:r>
      <w:r w:rsidR="008B1E86" w:rsidRPr="00C10217">
        <w:t>s</w:t>
      </w:r>
      <w:r w:rsidR="00251DF3" w:rsidRPr="00C10217">
        <w:t xml:space="preserve"> </w:t>
      </w:r>
      <w:hyperlink r:id="rId39" w:history="1">
        <w:r w:rsidR="00F63AA3" w:rsidRPr="00C10217">
          <w:rPr>
            <w:rStyle w:val="Hyperlink"/>
          </w:rPr>
          <w:t>ITH</w:t>
        </w:r>
        <w:r w:rsidR="00251DF3" w:rsidRPr="00C10217">
          <w:rPr>
            <w:rStyle w:val="Hyperlink"/>
          </w:rPr>
          <w:t>/</w:t>
        </w:r>
        <w:r w:rsidR="00F63AA3" w:rsidRPr="00C10217">
          <w:rPr>
            <w:rStyle w:val="Hyperlink"/>
          </w:rPr>
          <w:t>18</w:t>
        </w:r>
        <w:r w:rsidR="00251DF3" w:rsidRPr="00C10217">
          <w:rPr>
            <w:rStyle w:val="Hyperlink"/>
          </w:rPr>
          <w:t>/13.COM/7.c</w:t>
        </w:r>
      </w:hyperlink>
      <w:r w:rsidR="00251DF3" w:rsidRPr="00C10217">
        <w:t xml:space="preserve"> et </w:t>
      </w:r>
      <w:hyperlink r:id="rId40" w:history="1">
        <w:r w:rsidR="00251DF3" w:rsidRPr="00C10217">
          <w:rPr>
            <w:rStyle w:val="Hyperlink"/>
          </w:rPr>
          <w:t>LHE/19/14.COM/9.b</w:t>
        </w:r>
      </w:hyperlink>
      <w:r w:rsidR="00251DF3" w:rsidRPr="00C10217">
        <w:t xml:space="preserve"> qui rend</w:t>
      </w:r>
      <w:r w:rsidR="008B1E86" w:rsidRPr="00C10217">
        <w:t>ent</w:t>
      </w:r>
      <w:r w:rsidR="00251DF3" w:rsidRPr="00C10217">
        <w:t xml:space="preserve"> compte de l</w:t>
      </w:r>
      <w:r w:rsidR="00737A90" w:rsidRPr="00C10217">
        <w:t>’</w:t>
      </w:r>
      <w:r w:rsidR="00251DF3" w:rsidRPr="00C10217">
        <w:t>utilisation de l</w:t>
      </w:r>
      <w:r w:rsidR="00737A90" w:rsidRPr="00C10217">
        <w:t>’</w:t>
      </w:r>
      <w:r w:rsidR="00251DF3" w:rsidRPr="00C10217">
        <w:t xml:space="preserve">assistance internationale par les États parties). Au total, </w:t>
      </w:r>
      <w:r w:rsidR="00004BA8" w:rsidRPr="00C10217">
        <w:t>21</w:t>
      </w:r>
      <w:r w:rsidR="00251DF3" w:rsidRPr="00C10217">
        <w:t xml:space="preserve"> pays ont reçu une assistance financière du Fonds pendant </w:t>
      </w:r>
      <w:r w:rsidRPr="00C10217">
        <w:t xml:space="preserve">la </w:t>
      </w:r>
      <w:r w:rsidR="00251DF3" w:rsidRPr="00C10217">
        <w:t>période</w:t>
      </w:r>
      <w:r w:rsidRPr="00C10217">
        <w:t xml:space="preserve"> considérée</w:t>
      </w:r>
      <w:r w:rsidR="00251DF3" w:rsidRPr="00C10217">
        <w:t xml:space="preserve">. </w:t>
      </w:r>
      <w:r w:rsidR="008B1E86" w:rsidRPr="00C10217">
        <w:t>Tel qu’il en a été rendu compte</w:t>
      </w:r>
      <w:r w:rsidR="00251DF3" w:rsidRPr="00C10217">
        <w:t xml:space="preserve"> </w:t>
      </w:r>
      <w:r w:rsidR="008B1E86" w:rsidRPr="00C10217">
        <w:t>à</w:t>
      </w:r>
      <w:r w:rsidR="00251DF3" w:rsidRPr="00C10217">
        <w:t xml:space="preserve"> la quatorzième session du Comité (</w:t>
      </w:r>
      <w:r w:rsidR="00251DF3" w:rsidRPr="00C10217">
        <w:rPr>
          <w:snapToGrid/>
          <w:szCs w:val="22"/>
        </w:rPr>
        <w:t>documents</w:t>
      </w:r>
      <w:r w:rsidR="00E8058E" w:rsidRPr="00C10217">
        <w:rPr>
          <w:snapToGrid/>
          <w:szCs w:val="22"/>
        </w:rPr>
        <w:t> </w:t>
      </w:r>
      <w:hyperlink r:id="rId41" w:history="1">
        <w:r w:rsidR="00251DF3" w:rsidRPr="00C10217">
          <w:rPr>
            <w:rStyle w:val="Hyperlink"/>
            <w:snapToGrid/>
            <w:szCs w:val="22"/>
          </w:rPr>
          <w:t>LHE</w:t>
        </w:r>
        <w:r w:rsidR="00251DF3" w:rsidRPr="00C10217">
          <w:rPr>
            <w:rStyle w:val="Hyperlink"/>
            <w:bCs/>
            <w:snapToGrid/>
            <w:szCs w:val="22"/>
          </w:rPr>
          <w:t>/19/14.COM</w:t>
        </w:r>
        <w:r w:rsidR="00251DF3" w:rsidRPr="00C10217">
          <w:rPr>
            <w:rStyle w:val="Hyperlink"/>
            <w:bCs/>
            <w:szCs w:val="22"/>
          </w:rPr>
          <w:t>/7</w:t>
        </w:r>
      </w:hyperlink>
      <w:r w:rsidR="00251DF3" w:rsidRPr="00C10217">
        <w:rPr>
          <w:bCs/>
          <w:szCs w:val="22"/>
        </w:rPr>
        <w:t xml:space="preserve"> et </w:t>
      </w:r>
      <w:hyperlink r:id="rId42" w:history="1">
        <w:r w:rsidR="00251DF3" w:rsidRPr="00C10217">
          <w:rPr>
            <w:rStyle w:val="Hyperlink"/>
            <w:bCs/>
            <w:szCs w:val="22"/>
          </w:rPr>
          <w:t>LHE/19/14.COM/INF.7</w:t>
        </w:r>
      </w:hyperlink>
      <w:r w:rsidR="00251DF3" w:rsidRPr="00C10217">
        <w:rPr>
          <w:bCs/>
          <w:snapToGrid/>
          <w:szCs w:val="22"/>
        </w:rPr>
        <w:t xml:space="preserve">), </w:t>
      </w:r>
      <w:r w:rsidR="00251DF3" w:rsidRPr="00C10217">
        <w:t>les États parties utilisent nettement plus les mécanismes d</w:t>
      </w:r>
      <w:r w:rsidR="00737A90" w:rsidRPr="00C10217">
        <w:t>’</w:t>
      </w:r>
      <w:r w:rsidR="00251DF3" w:rsidRPr="00C10217">
        <w:t>assistance internationale</w:t>
      </w:r>
      <w:r w:rsidR="00A93867" w:rsidRPr="00C10217">
        <w:t>.</w:t>
      </w:r>
    </w:p>
    <w:sectPr w:rsidR="00305C1A" w:rsidRPr="00C10217" w:rsidSect="00E74E32">
      <w:headerReference w:type="even" r:id="rId43"/>
      <w:headerReference w:type="default" r:id="rId44"/>
      <w:headerReference w:type="first" r:id="rId4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929AF" w14:textId="77777777" w:rsidR="00EF0911" w:rsidRDefault="00EF0911" w:rsidP="00655736">
      <w:r>
        <w:separator/>
      </w:r>
    </w:p>
    <w:p w14:paraId="1E5102E8" w14:textId="77777777" w:rsidR="00EF0911" w:rsidRDefault="00EF0911"/>
    <w:p w14:paraId="24E93A27" w14:textId="77777777" w:rsidR="00EF0911" w:rsidRDefault="00EF0911" w:rsidP="002E58D4"/>
    <w:p w14:paraId="2268A2AB" w14:textId="77777777" w:rsidR="00EF0911" w:rsidRDefault="00EF0911" w:rsidP="002E58D4"/>
    <w:p w14:paraId="23352BF3" w14:textId="77777777" w:rsidR="00EF0911" w:rsidRDefault="00EF0911" w:rsidP="002E58D4"/>
  </w:endnote>
  <w:endnote w:type="continuationSeparator" w:id="0">
    <w:p w14:paraId="45593568" w14:textId="77777777" w:rsidR="00EF0911" w:rsidRDefault="00EF0911" w:rsidP="00655736">
      <w:r>
        <w:continuationSeparator/>
      </w:r>
    </w:p>
    <w:p w14:paraId="0A62C322" w14:textId="77777777" w:rsidR="00EF0911" w:rsidRDefault="00EF0911"/>
    <w:p w14:paraId="09E4957E" w14:textId="77777777" w:rsidR="00EF0911" w:rsidRDefault="00EF0911" w:rsidP="002E58D4"/>
    <w:p w14:paraId="2147C7B6" w14:textId="77777777" w:rsidR="00EF0911" w:rsidRDefault="00EF0911" w:rsidP="002E58D4"/>
    <w:p w14:paraId="59C548CA" w14:textId="77777777" w:rsidR="00EF0911" w:rsidRDefault="00EF09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E0FA0" w14:textId="77777777" w:rsidR="00EF0911" w:rsidRDefault="00EF0911" w:rsidP="00655736">
      <w:r>
        <w:separator/>
      </w:r>
    </w:p>
    <w:p w14:paraId="71AA253E" w14:textId="77777777" w:rsidR="00EF0911" w:rsidRDefault="00EF0911"/>
    <w:p w14:paraId="2763BD9A" w14:textId="77777777" w:rsidR="00EF0911" w:rsidRDefault="00EF0911" w:rsidP="002E58D4"/>
    <w:p w14:paraId="386D7D03" w14:textId="77777777" w:rsidR="00EF0911" w:rsidRDefault="00EF0911" w:rsidP="002E58D4"/>
    <w:p w14:paraId="5B619B2E" w14:textId="77777777" w:rsidR="00EF0911" w:rsidRDefault="00EF0911" w:rsidP="002E58D4"/>
  </w:footnote>
  <w:footnote w:type="continuationSeparator" w:id="0">
    <w:p w14:paraId="533D6FC6" w14:textId="77777777" w:rsidR="00EF0911" w:rsidRDefault="00EF0911" w:rsidP="00655736">
      <w:r>
        <w:continuationSeparator/>
      </w:r>
    </w:p>
    <w:p w14:paraId="76F5E0DC" w14:textId="77777777" w:rsidR="00EF0911" w:rsidRDefault="00EF0911"/>
    <w:p w14:paraId="51C04145" w14:textId="77777777" w:rsidR="00EF0911" w:rsidRDefault="00EF0911" w:rsidP="002E58D4"/>
    <w:p w14:paraId="5794DCE4" w14:textId="77777777" w:rsidR="00EF0911" w:rsidRDefault="00EF0911" w:rsidP="002E58D4"/>
    <w:p w14:paraId="04EAF518" w14:textId="77777777" w:rsidR="00EF0911" w:rsidRDefault="00EF0911"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190EC" w14:textId="0CEFDB01" w:rsidR="00601E5D" w:rsidRPr="002E58D4" w:rsidRDefault="00601E5D" w:rsidP="00461168">
    <w:pPr>
      <w:pStyle w:val="Header"/>
      <w:rPr>
        <w:rFonts w:ascii="Arial" w:hAnsi="Arial" w:cs="Arial"/>
      </w:rPr>
    </w:pPr>
    <w:r>
      <w:rPr>
        <w:rFonts w:ascii="Arial" w:hAnsi="Arial"/>
        <w:sz w:val="20"/>
        <w:szCs w:val="20"/>
      </w:rPr>
      <w:t>LHE/19/14.COM/ 5.a</w:t>
    </w:r>
    <w:r w:rsidR="00DF786B">
      <w:rPr>
        <w:rFonts w:ascii="Arial" w:hAnsi="Arial"/>
        <w:sz w:val="20"/>
        <w:szCs w:val="20"/>
      </w:rPr>
      <w:t xml:space="preserve"> </w:t>
    </w:r>
    <w:proofErr w:type="spellStart"/>
    <w:r w:rsidR="00DF786B">
      <w:rPr>
        <w:rFonts w:ascii="Arial" w:hAnsi="Arial"/>
        <w:sz w:val="20"/>
        <w:szCs w:val="20"/>
      </w:rPr>
      <w:t>Rev</w:t>
    </w:r>
    <w:proofErr w:type="spellEnd"/>
    <w:r w:rsidR="00C90266">
      <w:rPr>
        <w:rFonts w:ascii="Arial" w:hAnsi="Arial"/>
        <w:sz w:val="20"/>
        <w:szCs w:val="20"/>
      </w:rPr>
      <w:t>.</w:t>
    </w:r>
    <w:r>
      <w:rPr>
        <w:rFonts w:ascii="Arial" w:hAnsi="Arial"/>
        <w:sz w:val="20"/>
        <w:szCs w:val="20"/>
      </w:rPr>
      <w:t xml:space="preserve">– page </w:t>
    </w:r>
    <w:r w:rsidRPr="00EF563B">
      <w:rPr>
        <w:rStyle w:val="PageNumber"/>
        <w:rFonts w:ascii="Arial" w:hAnsi="Arial" w:cs="Arial"/>
        <w:sz w:val="20"/>
        <w:szCs w:val="20"/>
      </w:rPr>
      <w:fldChar w:fldCharType="begin"/>
    </w:r>
    <w:r w:rsidRPr="00EF563B">
      <w:rPr>
        <w:rStyle w:val="PageNumber"/>
        <w:rFonts w:ascii="Arial" w:hAnsi="Arial" w:cs="Arial"/>
        <w:sz w:val="20"/>
        <w:szCs w:val="20"/>
      </w:rPr>
      <w:instrText xml:space="preserve"> </w:instrText>
    </w:r>
    <w:r>
      <w:rPr>
        <w:rStyle w:val="PageNumber"/>
        <w:rFonts w:ascii="Arial" w:hAnsi="Arial" w:cs="Arial"/>
        <w:sz w:val="20"/>
        <w:szCs w:val="20"/>
      </w:rPr>
      <w:instrText>PAGE</w:instrText>
    </w:r>
    <w:r w:rsidRPr="00EF563B">
      <w:rPr>
        <w:rStyle w:val="PageNumber"/>
        <w:rFonts w:ascii="Arial" w:hAnsi="Arial" w:cs="Arial"/>
        <w:sz w:val="20"/>
        <w:szCs w:val="20"/>
      </w:rPr>
      <w:instrText xml:space="preserve"> </w:instrText>
    </w:r>
    <w:r w:rsidRPr="00EF563B">
      <w:rPr>
        <w:rStyle w:val="PageNumber"/>
        <w:rFonts w:ascii="Arial" w:hAnsi="Arial" w:cs="Arial"/>
        <w:sz w:val="20"/>
        <w:szCs w:val="20"/>
      </w:rPr>
      <w:fldChar w:fldCharType="separate"/>
    </w:r>
    <w:r w:rsidR="003E409B">
      <w:rPr>
        <w:rStyle w:val="PageNumber"/>
        <w:rFonts w:ascii="Arial" w:hAnsi="Arial" w:cs="Arial"/>
        <w:noProof/>
        <w:sz w:val="20"/>
        <w:szCs w:val="20"/>
      </w:rPr>
      <w:t>8</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D793A" w14:textId="2F56BF59" w:rsidR="00601E5D" w:rsidRPr="00BC3420" w:rsidRDefault="00601E5D" w:rsidP="00461168">
    <w:pPr>
      <w:pStyle w:val="Header"/>
      <w:jc w:val="right"/>
      <w:rPr>
        <w:rFonts w:ascii="Arial" w:hAnsi="Arial" w:cs="Arial"/>
      </w:rPr>
    </w:pPr>
    <w:r>
      <w:rPr>
        <w:rFonts w:ascii="Arial" w:hAnsi="Arial"/>
        <w:sz w:val="20"/>
        <w:szCs w:val="20"/>
      </w:rPr>
      <w:t>LHE/19/14.COM/5.a</w:t>
    </w:r>
    <w:r w:rsidR="00DF786B">
      <w:rPr>
        <w:rFonts w:ascii="Arial" w:hAnsi="Arial"/>
        <w:sz w:val="20"/>
        <w:szCs w:val="20"/>
      </w:rPr>
      <w:t xml:space="preserve"> </w:t>
    </w:r>
    <w:proofErr w:type="spellStart"/>
    <w:r w:rsidR="00DF786B">
      <w:rPr>
        <w:rFonts w:ascii="Arial" w:hAnsi="Arial"/>
        <w:sz w:val="20"/>
        <w:szCs w:val="20"/>
      </w:rPr>
      <w:t>Rev</w:t>
    </w:r>
    <w:proofErr w:type="spellEnd"/>
    <w:r w:rsidR="00C90266">
      <w:rPr>
        <w:rFonts w:ascii="Arial" w:hAnsi="Arial"/>
        <w:sz w:val="20"/>
        <w:szCs w:val="20"/>
      </w:rPr>
      <w:t>.</w:t>
    </w:r>
    <w:r>
      <w:rPr>
        <w:rFonts w:ascii="Arial" w:hAnsi="Arial"/>
        <w:sz w:val="20"/>
        <w:szCs w:val="20"/>
      </w:rPr>
      <w:t xml:space="preserve">– page </w:t>
    </w:r>
    <w:r w:rsidRPr="00EF563B">
      <w:rPr>
        <w:rStyle w:val="PageNumber"/>
        <w:rFonts w:ascii="Arial" w:hAnsi="Arial" w:cs="Arial"/>
        <w:sz w:val="20"/>
        <w:szCs w:val="20"/>
      </w:rPr>
      <w:fldChar w:fldCharType="begin"/>
    </w:r>
    <w:r w:rsidRPr="00EF563B">
      <w:rPr>
        <w:rStyle w:val="PageNumber"/>
        <w:rFonts w:ascii="Arial" w:hAnsi="Arial" w:cs="Arial"/>
        <w:sz w:val="20"/>
        <w:szCs w:val="20"/>
      </w:rPr>
      <w:instrText xml:space="preserve"> </w:instrText>
    </w:r>
    <w:r>
      <w:rPr>
        <w:rStyle w:val="PageNumber"/>
        <w:rFonts w:ascii="Arial" w:hAnsi="Arial" w:cs="Arial"/>
        <w:sz w:val="20"/>
        <w:szCs w:val="20"/>
      </w:rPr>
      <w:instrText>PAGE</w:instrText>
    </w:r>
    <w:r w:rsidRPr="00EF563B">
      <w:rPr>
        <w:rStyle w:val="PageNumber"/>
        <w:rFonts w:ascii="Arial" w:hAnsi="Arial" w:cs="Arial"/>
        <w:sz w:val="20"/>
        <w:szCs w:val="20"/>
      </w:rPr>
      <w:instrText xml:space="preserve"> </w:instrText>
    </w:r>
    <w:r w:rsidRPr="00EF563B">
      <w:rPr>
        <w:rStyle w:val="PageNumber"/>
        <w:rFonts w:ascii="Arial" w:hAnsi="Arial" w:cs="Arial"/>
        <w:sz w:val="20"/>
        <w:szCs w:val="20"/>
      </w:rPr>
      <w:fldChar w:fldCharType="separate"/>
    </w:r>
    <w:r w:rsidR="003E409B">
      <w:rPr>
        <w:rStyle w:val="PageNumber"/>
        <w:rFonts w:ascii="Arial" w:hAnsi="Arial" w:cs="Arial"/>
        <w:noProof/>
        <w:sz w:val="20"/>
        <w:szCs w:val="20"/>
      </w:rPr>
      <w:t>7</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6D600" w14:textId="77777777" w:rsidR="00601E5D" w:rsidRPr="008B64DF" w:rsidRDefault="00601E5D">
    <w:pPr>
      <w:pStyle w:val="Header"/>
      <w:rPr>
        <w:sz w:val="22"/>
        <w:szCs w:val="22"/>
      </w:rPr>
    </w:pPr>
    <w:r>
      <w:rPr>
        <w:noProof/>
      </w:rPr>
      <w:drawing>
        <wp:anchor distT="0" distB="0" distL="114300" distR="114300" simplePos="0" relativeHeight="251657728" behindDoc="0" locked="0" layoutInCell="1" allowOverlap="1" wp14:anchorId="21E7BDAD" wp14:editId="52646D5D">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CC819" w14:textId="77777777" w:rsidR="00601E5D" w:rsidRPr="008F09EC" w:rsidRDefault="00601E5D" w:rsidP="008F09EC">
    <w:pPr>
      <w:pStyle w:val="Header"/>
      <w:spacing w:after="520"/>
      <w:jc w:val="right"/>
      <w:rPr>
        <w:rFonts w:ascii="Arial" w:hAnsi="Arial" w:cs="Arial"/>
        <w:b/>
        <w:sz w:val="44"/>
        <w:szCs w:val="44"/>
      </w:rPr>
    </w:pPr>
    <w:r>
      <w:rPr>
        <w:rFonts w:ascii="Arial" w:hAnsi="Arial"/>
        <w:b/>
        <w:sz w:val="44"/>
        <w:szCs w:val="44"/>
      </w:rPr>
      <w:t>14 COM</w:t>
    </w:r>
  </w:p>
  <w:p w14:paraId="3AF51191" w14:textId="39E78052" w:rsidR="00601E5D" w:rsidRPr="00A01791" w:rsidRDefault="00601E5D" w:rsidP="008F09EC">
    <w:pPr>
      <w:jc w:val="right"/>
      <w:rPr>
        <w:rFonts w:ascii="Arial" w:hAnsi="Arial" w:cs="Arial"/>
        <w:b/>
        <w:sz w:val="22"/>
        <w:szCs w:val="22"/>
      </w:rPr>
    </w:pPr>
    <w:r w:rsidRPr="00A01791">
      <w:rPr>
        <w:rFonts w:ascii="Arial" w:hAnsi="Arial"/>
        <w:b/>
        <w:sz w:val="22"/>
        <w:szCs w:val="22"/>
      </w:rPr>
      <w:t>LHE/19/14.COM/</w:t>
    </w:r>
    <w:proofErr w:type="gramStart"/>
    <w:r w:rsidRPr="00A01791">
      <w:rPr>
        <w:rFonts w:ascii="Arial" w:hAnsi="Arial"/>
        <w:b/>
        <w:sz w:val="22"/>
        <w:szCs w:val="22"/>
      </w:rPr>
      <w:t>5</w:t>
    </w:r>
    <w:r w:rsidR="00A76E8C" w:rsidRPr="00A01791">
      <w:rPr>
        <w:rFonts w:ascii="Arial" w:hAnsi="Arial"/>
        <w:b/>
        <w:sz w:val="22"/>
        <w:szCs w:val="22"/>
      </w:rPr>
      <w:t>.</w:t>
    </w:r>
    <w:r w:rsidRPr="00A01791">
      <w:rPr>
        <w:rFonts w:ascii="Arial" w:hAnsi="Arial"/>
        <w:b/>
        <w:sz w:val="22"/>
        <w:szCs w:val="22"/>
      </w:rPr>
      <w:t>a</w:t>
    </w:r>
    <w:proofErr w:type="gramEnd"/>
    <w:r w:rsidR="00DF786B">
      <w:rPr>
        <w:rFonts w:ascii="Arial" w:hAnsi="Arial"/>
        <w:b/>
        <w:sz w:val="22"/>
        <w:szCs w:val="22"/>
      </w:rPr>
      <w:t xml:space="preserve"> </w:t>
    </w:r>
    <w:proofErr w:type="spellStart"/>
    <w:r w:rsidR="00491F01">
      <w:rPr>
        <w:rFonts w:ascii="Arial" w:hAnsi="Arial"/>
        <w:b/>
        <w:sz w:val="22"/>
        <w:szCs w:val="22"/>
      </w:rPr>
      <w:t>Rev</w:t>
    </w:r>
    <w:proofErr w:type="spellEnd"/>
    <w:r w:rsidR="00C90266">
      <w:rPr>
        <w:rFonts w:ascii="Arial" w:hAnsi="Arial"/>
        <w:b/>
        <w:sz w:val="22"/>
        <w:szCs w:val="22"/>
      </w:rPr>
      <w:t>.</w:t>
    </w:r>
  </w:p>
  <w:p w14:paraId="66AFC123" w14:textId="7963C0E4" w:rsidR="00601E5D" w:rsidRPr="005158FF" w:rsidRDefault="00491F01" w:rsidP="007E60C6">
    <w:pPr>
      <w:jc w:val="right"/>
      <w:rPr>
        <w:rFonts w:ascii="Arial" w:eastAsiaTheme="minorEastAsia" w:hAnsi="Arial" w:cs="Arial"/>
        <w:b/>
        <w:sz w:val="22"/>
        <w:szCs w:val="22"/>
      </w:rPr>
    </w:pPr>
    <w:r>
      <w:rPr>
        <w:rFonts w:ascii="Arial" w:hAnsi="Arial"/>
        <w:b/>
        <w:sz w:val="22"/>
        <w:szCs w:val="22"/>
      </w:rPr>
      <w:t>Bogotá</w:t>
    </w:r>
    <w:r w:rsidR="00601E5D" w:rsidRPr="00A01791">
      <w:rPr>
        <w:rFonts w:ascii="Arial" w:hAnsi="Arial"/>
        <w:b/>
        <w:sz w:val="22"/>
        <w:szCs w:val="22"/>
      </w:rPr>
      <w:t xml:space="preserve">, </w:t>
    </w:r>
    <w:r w:rsidR="00A01791" w:rsidRPr="00A01791">
      <w:rPr>
        <w:rFonts w:ascii="Arial" w:hAnsi="Arial"/>
        <w:b/>
        <w:sz w:val="22"/>
        <w:szCs w:val="22"/>
      </w:rPr>
      <w:t xml:space="preserve">le </w:t>
    </w:r>
    <w:r>
      <w:rPr>
        <w:rFonts w:ascii="Arial" w:hAnsi="Arial"/>
        <w:b/>
        <w:sz w:val="22"/>
        <w:szCs w:val="22"/>
      </w:rPr>
      <w:t>14 décembre</w:t>
    </w:r>
    <w:r w:rsidR="00601E5D" w:rsidRPr="00A01791">
      <w:rPr>
        <w:rFonts w:ascii="Arial" w:hAnsi="Arial"/>
        <w:b/>
        <w:sz w:val="22"/>
        <w:szCs w:val="22"/>
      </w:rPr>
      <w:t> 2019</w:t>
    </w:r>
  </w:p>
  <w:p w14:paraId="7F915745" w14:textId="13438938" w:rsidR="00601E5D" w:rsidRPr="0020150F" w:rsidRDefault="00601E5D" w:rsidP="007E60C6">
    <w:pPr>
      <w:jc w:val="right"/>
      <w:rPr>
        <w:rFonts w:ascii="Arial" w:hAnsi="Arial" w:cs="Arial"/>
        <w:b/>
        <w:sz w:val="22"/>
        <w:szCs w:val="22"/>
      </w:rPr>
    </w:pPr>
    <w:r>
      <w:rPr>
        <w:rFonts w:ascii="Arial" w:hAnsi="Arial"/>
        <w:b/>
        <w:sz w:val="22"/>
        <w:szCs w:val="22"/>
      </w:rPr>
      <w:t xml:space="preserve">Original : </w:t>
    </w:r>
    <w:r w:rsidR="00CA5027">
      <w:rPr>
        <w:rFonts w:ascii="Arial" w:hAnsi="Arial"/>
        <w:b/>
        <w:sz w:val="22"/>
        <w:szCs w:val="22"/>
      </w:rPr>
      <w:t>anglais</w:t>
    </w:r>
  </w:p>
  <w:p w14:paraId="05CDE011" w14:textId="77777777" w:rsidR="00601E5D" w:rsidRPr="008B64DF" w:rsidRDefault="00601E5D">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2E411C8"/>
    <w:multiLevelType w:val="hybridMultilevel"/>
    <w:tmpl w:val="AFC481B0"/>
    <w:lvl w:ilvl="0" w:tplc="CF1ACF60">
      <w:start w:val="1"/>
      <w:numFmt w:val="low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CC2477"/>
    <w:multiLevelType w:val="hybridMultilevel"/>
    <w:tmpl w:val="510489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125944"/>
    <w:multiLevelType w:val="hybridMultilevel"/>
    <w:tmpl w:val="8BA26BC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B401E05"/>
    <w:multiLevelType w:val="hybridMultilevel"/>
    <w:tmpl w:val="55563DA0"/>
    <w:lvl w:ilvl="0" w:tplc="86807812">
      <w:start w:val="1"/>
      <w:numFmt w:val="decimal"/>
      <w:lvlText w:val="%1."/>
      <w:lvlJc w:val="left"/>
      <w:pPr>
        <w:ind w:left="1080" w:hanging="360"/>
      </w:pPr>
      <w:rPr>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25EA28CF"/>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AB35019"/>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AC30BD2"/>
    <w:multiLevelType w:val="hybridMultilevel"/>
    <w:tmpl w:val="2F02E984"/>
    <w:lvl w:ilvl="0" w:tplc="DFC6575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10C38EE"/>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8E51B9"/>
    <w:multiLevelType w:val="hybridMultilevel"/>
    <w:tmpl w:val="19D0B72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15:restartNumberingAfterBreak="0">
    <w:nsid w:val="4CAB7CDD"/>
    <w:multiLevelType w:val="multilevel"/>
    <w:tmpl w:val="BEE007D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eastAsia="SimSu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4"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6" w15:restartNumberingAfterBreak="0">
    <w:nsid w:val="61A66CD2"/>
    <w:multiLevelType w:val="hybridMultilevel"/>
    <w:tmpl w:val="E4E02C4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967AB"/>
    <w:multiLevelType w:val="hybridMultilevel"/>
    <w:tmpl w:val="BCDE3CF4"/>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1" w15:restartNumberingAfterBreak="0">
    <w:nsid w:val="75E7005D"/>
    <w:multiLevelType w:val="hybridMultilevel"/>
    <w:tmpl w:val="C6902EA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16"/>
  </w:num>
  <w:num w:numId="3">
    <w:abstractNumId w:val="7"/>
  </w:num>
  <w:num w:numId="4">
    <w:abstractNumId w:val="32"/>
  </w:num>
  <w:num w:numId="5">
    <w:abstractNumId w:val="27"/>
  </w:num>
  <w:num w:numId="6">
    <w:abstractNumId w:val="5"/>
  </w:num>
  <w:num w:numId="7">
    <w:abstractNumId w:val="8"/>
  </w:num>
  <w:num w:numId="8">
    <w:abstractNumId w:val="21"/>
  </w:num>
  <w:num w:numId="9">
    <w:abstractNumId w:val="15"/>
  </w:num>
  <w:num w:numId="10">
    <w:abstractNumId w:val="17"/>
  </w:num>
  <w:num w:numId="11">
    <w:abstractNumId w:val="14"/>
  </w:num>
  <w:num w:numId="12">
    <w:abstractNumId w:val="11"/>
  </w:num>
  <w:num w:numId="13">
    <w:abstractNumId w:val="24"/>
  </w:num>
  <w:num w:numId="14">
    <w:abstractNumId w:val="10"/>
  </w:num>
  <w:num w:numId="15">
    <w:abstractNumId w:val="29"/>
  </w:num>
  <w:num w:numId="16">
    <w:abstractNumId w:val="23"/>
  </w:num>
  <w:num w:numId="17">
    <w:abstractNumId w:val="17"/>
    <w:lvlOverride w:ilvl="0">
      <w:startOverride w:val="1"/>
    </w:lvlOverride>
  </w:num>
  <w:num w:numId="18">
    <w:abstractNumId w:val="0"/>
  </w:num>
  <w:num w:numId="19">
    <w:abstractNumId w:val="13"/>
  </w:num>
  <w:num w:numId="20">
    <w:abstractNumId w:val="1"/>
  </w:num>
  <w:num w:numId="21">
    <w:abstractNumId w:val="2"/>
  </w:num>
  <w:num w:numId="22">
    <w:abstractNumId w:val="9"/>
  </w:num>
  <w:num w:numId="23">
    <w:abstractNumId w:val="19"/>
  </w:num>
  <w:num w:numId="24">
    <w:abstractNumId w:val="31"/>
  </w:num>
  <w:num w:numId="25">
    <w:abstractNumId w:val="26"/>
  </w:num>
  <w:num w:numId="26">
    <w:abstractNumId w:val="28"/>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
  </w:num>
  <w:num w:numId="30">
    <w:abstractNumId w:val="30"/>
  </w:num>
  <w:num w:numId="31">
    <w:abstractNumId w:val="4"/>
  </w:num>
  <w:num w:numId="32">
    <w:abstractNumId w:val="18"/>
  </w:num>
  <w:num w:numId="33">
    <w:abstractNumId w:val="2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6" w:nlCheck="1" w:checkStyle="0"/>
  <w:activeWritingStyle w:appName="MSWord" w:lang="fr-FR" w:vendorID="64" w:dllVersion="4096" w:nlCheck="1" w:checkStyle="0"/>
  <w:activeWritingStyle w:appName="MSWord" w:lang="fr-FR" w:vendorID="64" w:dllVersion="131078"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2C"/>
    <w:rsid w:val="0000123E"/>
    <w:rsid w:val="00001926"/>
    <w:rsid w:val="00004BA8"/>
    <w:rsid w:val="000110DC"/>
    <w:rsid w:val="00020BFC"/>
    <w:rsid w:val="00022428"/>
    <w:rsid w:val="00022FEE"/>
    <w:rsid w:val="00023FEE"/>
    <w:rsid w:val="000253A8"/>
    <w:rsid w:val="00026083"/>
    <w:rsid w:val="000263BA"/>
    <w:rsid w:val="00026E37"/>
    <w:rsid w:val="0003530D"/>
    <w:rsid w:val="00035A20"/>
    <w:rsid w:val="000378C4"/>
    <w:rsid w:val="00042178"/>
    <w:rsid w:val="00046A4F"/>
    <w:rsid w:val="0005176E"/>
    <w:rsid w:val="000527DF"/>
    <w:rsid w:val="00064482"/>
    <w:rsid w:val="0006586C"/>
    <w:rsid w:val="0006697C"/>
    <w:rsid w:val="00073080"/>
    <w:rsid w:val="00077AB7"/>
    <w:rsid w:val="00080132"/>
    <w:rsid w:val="00081BA3"/>
    <w:rsid w:val="00081CD8"/>
    <w:rsid w:val="0008329C"/>
    <w:rsid w:val="00090863"/>
    <w:rsid w:val="000A15FC"/>
    <w:rsid w:val="000A5132"/>
    <w:rsid w:val="000A7F0E"/>
    <w:rsid w:val="000B535B"/>
    <w:rsid w:val="000C4043"/>
    <w:rsid w:val="000C75F8"/>
    <w:rsid w:val="000D11D1"/>
    <w:rsid w:val="000D6D64"/>
    <w:rsid w:val="000E6CD7"/>
    <w:rsid w:val="000E6E46"/>
    <w:rsid w:val="000F3A3F"/>
    <w:rsid w:val="0010569D"/>
    <w:rsid w:val="001254EF"/>
    <w:rsid w:val="00131BFF"/>
    <w:rsid w:val="00134565"/>
    <w:rsid w:val="00136E90"/>
    <w:rsid w:val="00141A0E"/>
    <w:rsid w:val="00141ED3"/>
    <w:rsid w:val="0014449D"/>
    <w:rsid w:val="00152C6F"/>
    <w:rsid w:val="001535A2"/>
    <w:rsid w:val="00161AF1"/>
    <w:rsid w:val="00164D56"/>
    <w:rsid w:val="00165170"/>
    <w:rsid w:val="00167B10"/>
    <w:rsid w:val="00176239"/>
    <w:rsid w:val="001765D9"/>
    <w:rsid w:val="001820C5"/>
    <w:rsid w:val="001836DC"/>
    <w:rsid w:val="00187758"/>
    <w:rsid w:val="00190E47"/>
    <w:rsid w:val="0019212C"/>
    <w:rsid w:val="0019264E"/>
    <w:rsid w:val="00196C1B"/>
    <w:rsid w:val="0019785C"/>
    <w:rsid w:val="001A766C"/>
    <w:rsid w:val="001B0F73"/>
    <w:rsid w:val="001B35BB"/>
    <w:rsid w:val="001B7D3F"/>
    <w:rsid w:val="001C0AAD"/>
    <w:rsid w:val="001E2EDD"/>
    <w:rsid w:val="001E5168"/>
    <w:rsid w:val="001F2CE7"/>
    <w:rsid w:val="001F371A"/>
    <w:rsid w:val="0020150F"/>
    <w:rsid w:val="00202150"/>
    <w:rsid w:val="0021023A"/>
    <w:rsid w:val="00211DAB"/>
    <w:rsid w:val="00222606"/>
    <w:rsid w:val="00222A2D"/>
    <w:rsid w:val="002237C1"/>
    <w:rsid w:val="00230B10"/>
    <w:rsid w:val="00231E10"/>
    <w:rsid w:val="002407AF"/>
    <w:rsid w:val="00242BD4"/>
    <w:rsid w:val="0025133B"/>
    <w:rsid w:val="00251DF3"/>
    <w:rsid w:val="002627E5"/>
    <w:rsid w:val="002659F4"/>
    <w:rsid w:val="00275C41"/>
    <w:rsid w:val="00280D62"/>
    <w:rsid w:val="002952F3"/>
    <w:rsid w:val="002A6C11"/>
    <w:rsid w:val="002A6F73"/>
    <w:rsid w:val="002B4EAA"/>
    <w:rsid w:val="002C0442"/>
    <w:rsid w:val="002C0D14"/>
    <w:rsid w:val="002D419A"/>
    <w:rsid w:val="002E3D25"/>
    <w:rsid w:val="002E58D4"/>
    <w:rsid w:val="002F0013"/>
    <w:rsid w:val="00304A69"/>
    <w:rsid w:val="00305C1A"/>
    <w:rsid w:val="00311421"/>
    <w:rsid w:val="00322647"/>
    <w:rsid w:val="0032314B"/>
    <w:rsid w:val="00326C36"/>
    <w:rsid w:val="00336285"/>
    <w:rsid w:val="003459A2"/>
    <w:rsid w:val="00360AAB"/>
    <w:rsid w:val="00366018"/>
    <w:rsid w:val="00373F3B"/>
    <w:rsid w:val="00377593"/>
    <w:rsid w:val="003817AA"/>
    <w:rsid w:val="003845BE"/>
    <w:rsid w:val="003867F8"/>
    <w:rsid w:val="00392BAE"/>
    <w:rsid w:val="003A13FC"/>
    <w:rsid w:val="003B3D4F"/>
    <w:rsid w:val="003C1678"/>
    <w:rsid w:val="003C55C6"/>
    <w:rsid w:val="003D069C"/>
    <w:rsid w:val="003D06B7"/>
    <w:rsid w:val="003D22DC"/>
    <w:rsid w:val="003D3F0B"/>
    <w:rsid w:val="003E07D8"/>
    <w:rsid w:val="003E2A08"/>
    <w:rsid w:val="003E409B"/>
    <w:rsid w:val="003F113A"/>
    <w:rsid w:val="00404931"/>
    <w:rsid w:val="0040607F"/>
    <w:rsid w:val="0041309D"/>
    <w:rsid w:val="004239C7"/>
    <w:rsid w:val="0042563F"/>
    <w:rsid w:val="00435D7B"/>
    <w:rsid w:val="00440F9B"/>
    <w:rsid w:val="00441DF6"/>
    <w:rsid w:val="004421E5"/>
    <w:rsid w:val="00443880"/>
    <w:rsid w:val="00452284"/>
    <w:rsid w:val="004539A8"/>
    <w:rsid w:val="00455647"/>
    <w:rsid w:val="00457C02"/>
    <w:rsid w:val="0046050A"/>
    <w:rsid w:val="00460D49"/>
    <w:rsid w:val="00461168"/>
    <w:rsid w:val="00464A4D"/>
    <w:rsid w:val="00464BB3"/>
    <w:rsid w:val="004679D4"/>
    <w:rsid w:val="00467FBE"/>
    <w:rsid w:val="00471B11"/>
    <w:rsid w:val="00475AD3"/>
    <w:rsid w:val="0047629A"/>
    <w:rsid w:val="004811FB"/>
    <w:rsid w:val="00486948"/>
    <w:rsid w:val="00491AF3"/>
    <w:rsid w:val="00491F01"/>
    <w:rsid w:val="00495C25"/>
    <w:rsid w:val="0049705E"/>
    <w:rsid w:val="004A37D5"/>
    <w:rsid w:val="004A4CE7"/>
    <w:rsid w:val="004A5DE0"/>
    <w:rsid w:val="004B60A7"/>
    <w:rsid w:val="004E3CF1"/>
    <w:rsid w:val="004E4029"/>
    <w:rsid w:val="004F0554"/>
    <w:rsid w:val="004F1B00"/>
    <w:rsid w:val="00505C6C"/>
    <w:rsid w:val="005125B4"/>
    <w:rsid w:val="005158FF"/>
    <w:rsid w:val="00516D71"/>
    <w:rsid w:val="00520476"/>
    <w:rsid w:val="00525839"/>
    <w:rsid w:val="00526B7B"/>
    <w:rsid w:val="005308CE"/>
    <w:rsid w:val="0053798F"/>
    <w:rsid w:val="00546D05"/>
    <w:rsid w:val="0055441E"/>
    <w:rsid w:val="00561083"/>
    <w:rsid w:val="0056551E"/>
    <w:rsid w:val="00567813"/>
    <w:rsid w:val="0057439C"/>
    <w:rsid w:val="00580843"/>
    <w:rsid w:val="00581BCD"/>
    <w:rsid w:val="00584FB7"/>
    <w:rsid w:val="005A7D5F"/>
    <w:rsid w:val="005B0127"/>
    <w:rsid w:val="005B5689"/>
    <w:rsid w:val="005C094D"/>
    <w:rsid w:val="005C44D2"/>
    <w:rsid w:val="005C4B73"/>
    <w:rsid w:val="005C7CFF"/>
    <w:rsid w:val="005C7D11"/>
    <w:rsid w:val="005D3ACD"/>
    <w:rsid w:val="005D4B14"/>
    <w:rsid w:val="005D70D1"/>
    <w:rsid w:val="005D7B33"/>
    <w:rsid w:val="005E0C8E"/>
    <w:rsid w:val="005E513C"/>
    <w:rsid w:val="005E577C"/>
    <w:rsid w:val="005F37F9"/>
    <w:rsid w:val="00600D93"/>
    <w:rsid w:val="00601E5D"/>
    <w:rsid w:val="00603979"/>
    <w:rsid w:val="0061616D"/>
    <w:rsid w:val="00616C7B"/>
    <w:rsid w:val="006226E9"/>
    <w:rsid w:val="006238BD"/>
    <w:rsid w:val="00623EDD"/>
    <w:rsid w:val="00627C5C"/>
    <w:rsid w:val="00650BD1"/>
    <w:rsid w:val="00655736"/>
    <w:rsid w:val="00663B8D"/>
    <w:rsid w:val="00667C06"/>
    <w:rsid w:val="00674F9F"/>
    <w:rsid w:val="00677375"/>
    <w:rsid w:val="00683955"/>
    <w:rsid w:val="00685E86"/>
    <w:rsid w:val="006923BD"/>
    <w:rsid w:val="00696C8D"/>
    <w:rsid w:val="006A26AE"/>
    <w:rsid w:val="006A2AC2"/>
    <w:rsid w:val="006A3617"/>
    <w:rsid w:val="006A36B3"/>
    <w:rsid w:val="006B5001"/>
    <w:rsid w:val="006C07AF"/>
    <w:rsid w:val="006C3776"/>
    <w:rsid w:val="006C3A64"/>
    <w:rsid w:val="006D21D9"/>
    <w:rsid w:val="006D2536"/>
    <w:rsid w:val="006D76BC"/>
    <w:rsid w:val="006E283A"/>
    <w:rsid w:val="006E369F"/>
    <w:rsid w:val="006E46E4"/>
    <w:rsid w:val="006E7D82"/>
    <w:rsid w:val="006F0B2D"/>
    <w:rsid w:val="006F7ED5"/>
    <w:rsid w:val="00703BC0"/>
    <w:rsid w:val="00704C6B"/>
    <w:rsid w:val="00717AAB"/>
    <w:rsid w:val="00717DBD"/>
    <w:rsid w:val="00720302"/>
    <w:rsid w:val="00733E52"/>
    <w:rsid w:val="00737A90"/>
    <w:rsid w:val="00741016"/>
    <w:rsid w:val="007421FC"/>
    <w:rsid w:val="00742733"/>
    <w:rsid w:val="00743497"/>
    <w:rsid w:val="007461EA"/>
    <w:rsid w:val="007503C4"/>
    <w:rsid w:val="007537C5"/>
    <w:rsid w:val="007538E0"/>
    <w:rsid w:val="00761DE1"/>
    <w:rsid w:val="00762780"/>
    <w:rsid w:val="00764CF9"/>
    <w:rsid w:val="00764F85"/>
    <w:rsid w:val="00770A6C"/>
    <w:rsid w:val="00780ABB"/>
    <w:rsid w:val="00784B8C"/>
    <w:rsid w:val="00784F53"/>
    <w:rsid w:val="00787E47"/>
    <w:rsid w:val="007A47A8"/>
    <w:rsid w:val="007B0238"/>
    <w:rsid w:val="007B5D3C"/>
    <w:rsid w:val="007C6E69"/>
    <w:rsid w:val="007D4439"/>
    <w:rsid w:val="007E5FCD"/>
    <w:rsid w:val="007E60C6"/>
    <w:rsid w:val="007F5F4A"/>
    <w:rsid w:val="007F6C75"/>
    <w:rsid w:val="007F7875"/>
    <w:rsid w:val="00800D3C"/>
    <w:rsid w:val="00804684"/>
    <w:rsid w:val="0080490C"/>
    <w:rsid w:val="008064F0"/>
    <w:rsid w:val="00814A1B"/>
    <w:rsid w:val="00814DCA"/>
    <w:rsid w:val="00823A11"/>
    <w:rsid w:val="00824EF7"/>
    <w:rsid w:val="008252BB"/>
    <w:rsid w:val="00826FE1"/>
    <w:rsid w:val="0082768D"/>
    <w:rsid w:val="00830E08"/>
    <w:rsid w:val="0084306C"/>
    <w:rsid w:val="00844980"/>
    <w:rsid w:val="0085414A"/>
    <w:rsid w:val="0085559F"/>
    <w:rsid w:val="0085597D"/>
    <w:rsid w:val="008614AC"/>
    <w:rsid w:val="0086269D"/>
    <w:rsid w:val="00863302"/>
    <w:rsid w:val="00863E90"/>
    <w:rsid w:val="00865AB9"/>
    <w:rsid w:val="008678BE"/>
    <w:rsid w:val="008712A2"/>
    <w:rsid w:val="00871C8F"/>
    <w:rsid w:val="008724E5"/>
    <w:rsid w:val="00884A9D"/>
    <w:rsid w:val="008852E7"/>
    <w:rsid w:val="008875DA"/>
    <w:rsid w:val="008945C9"/>
    <w:rsid w:val="008946CE"/>
    <w:rsid w:val="008A20A6"/>
    <w:rsid w:val="008A4E1E"/>
    <w:rsid w:val="008A673E"/>
    <w:rsid w:val="008B1E86"/>
    <w:rsid w:val="008B64DF"/>
    <w:rsid w:val="008C0E44"/>
    <w:rsid w:val="008C296C"/>
    <w:rsid w:val="008D4305"/>
    <w:rsid w:val="008D47EA"/>
    <w:rsid w:val="008E418A"/>
    <w:rsid w:val="008F09EC"/>
    <w:rsid w:val="0091145F"/>
    <w:rsid w:val="00913D86"/>
    <w:rsid w:val="00914F76"/>
    <w:rsid w:val="00915832"/>
    <w:rsid w:val="009163A7"/>
    <w:rsid w:val="00916EF8"/>
    <w:rsid w:val="00922E3E"/>
    <w:rsid w:val="00932958"/>
    <w:rsid w:val="00933C6B"/>
    <w:rsid w:val="00950F68"/>
    <w:rsid w:val="00955C56"/>
    <w:rsid w:val="00962119"/>
    <w:rsid w:val="00965242"/>
    <w:rsid w:val="0096761E"/>
    <w:rsid w:val="00971903"/>
    <w:rsid w:val="00971BED"/>
    <w:rsid w:val="00971F19"/>
    <w:rsid w:val="00974249"/>
    <w:rsid w:val="00974A8E"/>
    <w:rsid w:val="00985364"/>
    <w:rsid w:val="009A0099"/>
    <w:rsid w:val="009A0B84"/>
    <w:rsid w:val="009A18CD"/>
    <w:rsid w:val="009A749A"/>
    <w:rsid w:val="009B341D"/>
    <w:rsid w:val="009B5302"/>
    <w:rsid w:val="009B5C34"/>
    <w:rsid w:val="009B6BF1"/>
    <w:rsid w:val="009C237B"/>
    <w:rsid w:val="009C4978"/>
    <w:rsid w:val="009C5994"/>
    <w:rsid w:val="009D14DE"/>
    <w:rsid w:val="009D716D"/>
    <w:rsid w:val="009E1B50"/>
    <w:rsid w:val="009E35F0"/>
    <w:rsid w:val="009E60BA"/>
    <w:rsid w:val="00A01791"/>
    <w:rsid w:val="00A02E3D"/>
    <w:rsid w:val="00A06274"/>
    <w:rsid w:val="00A12558"/>
    <w:rsid w:val="00A13903"/>
    <w:rsid w:val="00A21B42"/>
    <w:rsid w:val="00A231F7"/>
    <w:rsid w:val="00A3400C"/>
    <w:rsid w:val="00A34ED5"/>
    <w:rsid w:val="00A36050"/>
    <w:rsid w:val="00A41682"/>
    <w:rsid w:val="00A420A4"/>
    <w:rsid w:val="00A45DBF"/>
    <w:rsid w:val="00A61C6E"/>
    <w:rsid w:val="00A63CD5"/>
    <w:rsid w:val="00A64E8A"/>
    <w:rsid w:val="00A72D2D"/>
    <w:rsid w:val="00A755A2"/>
    <w:rsid w:val="00A76E8C"/>
    <w:rsid w:val="00A837A0"/>
    <w:rsid w:val="00A84F25"/>
    <w:rsid w:val="00A90761"/>
    <w:rsid w:val="00A93804"/>
    <w:rsid w:val="00A93867"/>
    <w:rsid w:val="00AA0A58"/>
    <w:rsid w:val="00AA1B34"/>
    <w:rsid w:val="00AA4509"/>
    <w:rsid w:val="00AA686E"/>
    <w:rsid w:val="00AA729B"/>
    <w:rsid w:val="00AA75B0"/>
    <w:rsid w:val="00AA7858"/>
    <w:rsid w:val="00AB2C36"/>
    <w:rsid w:val="00AB4BEA"/>
    <w:rsid w:val="00AB5525"/>
    <w:rsid w:val="00AC050D"/>
    <w:rsid w:val="00AD05D7"/>
    <w:rsid w:val="00AD1A86"/>
    <w:rsid w:val="00AD6B1C"/>
    <w:rsid w:val="00AE103E"/>
    <w:rsid w:val="00AF0A07"/>
    <w:rsid w:val="00AF5AE5"/>
    <w:rsid w:val="00AF625E"/>
    <w:rsid w:val="00AF721B"/>
    <w:rsid w:val="00B028EA"/>
    <w:rsid w:val="00B067EE"/>
    <w:rsid w:val="00B1131C"/>
    <w:rsid w:val="00B119FC"/>
    <w:rsid w:val="00B152B1"/>
    <w:rsid w:val="00B17A14"/>
    <w:rsid w:val="00B2464C"/>
    <w:rsid w:val="00B32AC0"/>
    <w:rsid w:val="00B36322"/>
    <w:rsid w:val="00B36526"/>
    <w:rsid w:val="00B406C5"/>
    <w:rsid w:val="00B408AF"/>
    <w:rsid w:val="00B43974"/>
    <w:rsid w:val="00B52828"/>
    <w:rsid w:val="00B541DE"/>
    <w:rsid w:val="00B561DB"/>
    <w:rsid w:val="00B67C07"/>
    <w:rsid w:val="00B7355C"/>
    <w:rsid w:val="00B75666"/>
    <w:rsid w:val="00B90701"/>
    <w:rsid w:val="00B90C1D"/>
    <w:rsid w:val="00B94C73"/>
    <w:rsid w:val="00B97938"/>
    <w:rsid w:val="00B97968"/>
    <w:rsid w:val="00BA666E"/>
    <w:rsid w:val="00BB1D82"/>
    <w:rsid w:val="00BC3420"/>
    <w:rsid w:val="00BC5A5C"/>
    <w:rsid w:val="00BD3A24"/>
    <w:rsid w:val="00BD52C9"/>
    <w:rsid w:val="00BD548A"/>
    <w:rsid w:val="00BD67E7"/>
    <w:rsid w:val="00BE2426"/>
    <w:rsid w:val="00BE30AA"/>
    <w:rsid w:val="00BE6354"/>
    <w:rsid w:val="00BF1BF1"/>
    <w:rsid w:val="00BF7BF2"/>
    <w:rsid w:val="00C01060"/>
    <w:rsid w:val="00C07E00"/>
    <w:rsid w:val="00C10217"/>
    <w:rsid w:val="00C21955"/>
    <w:rsid w:val="00C23758"/>
    <w:rsid w:val="00C247FF"/>
    <w:rsid w:val="00C305EB"/>
    <w:rsid w:val="00C358C4"/>
    <w:rsid w:val="00C377F5"/>
    <w:rsid w:val="00C42396"/>
    <w:rsid w:val="00C52A4D"/>
    <w:rsid w:val="00C56583"/>
    <w:rsid w:val="00C61C10"/>
    <w:rsid w:val="00C70EA7"/>
    <w:rsid w:val="00C728A6"/>
    <w:rsid w:val="00C7516E"/>
    <w:rsid w:val="00C77031"/>
    <w:rsid w:val="00C80645"/>
    <w:rsid w:val="00C80A1D"/>
    <w:rsid w:val="00C865F4"/>
    <w:rsid w:val="00C86EE0"/>
    <w:rsid w:val="00C90266"/>
    <w:rsid w:val="00C92F0D"/>
    <w:rsid w:val="00CA3CF7"/>
    <w:rsid w:val="00CA5027"/>
    <w:rsid w:val="00CC0C78"/>
    <w:rsid w:val="00CE51C4"/>
    <w:rsid w:val="00CF0D86"/>
    <w:rsid w:val="00CF3E89"/>
    <w:rsid w:val="00CF77AE"/>
    <w:rsid w:val="00D01888"/>
    <w:rsid w:val="00D03ABA"/>
    <w:rsid w:val="00D124DD"/>
    <w:rsid w:val="00D17A18"/>
    <w:rsid w:val="00D203C8"/>
    <w:rsid w:val="00D21888"/>
    <w:rsid w:val="00D24877"/>
    <w:rsid w:val="00D33D28"/>
    <w:rsid w:val="00D36C48"/>
    <w:rsid w:val="00D36EB8"/>
    <w:rsid w:val="00D41599"/>
    <w:rsid w:val="00D442A0"/>
    <w:rsid w:val="00D468B7"/>
    <w:rsid w:val="00D522D1"/>
    <w:rsid w:val="00D527DA"/>
    <w:rsid w:val="00D5474A"/>
    <w:rsid w:val="00D551F4"/>
    <w:rsid w:val="00D67BB5"/>
    <w:rsid w:val="00D75D42"/>
    <w:rsid w:val="00D827FD"/>
    <w:rsid w:val="00D85D64"/>
    <w:rsid w:val="00D915B6"/>
    <w:rsid w:val="00D97012"/>
    <w:rsid w:val="00D97DF7"/>
    <w:rsid w:val="00DA1C31"/>
    <w:rsid w:val="00DA36ED"/>
    <w:rsid w:val="00DA49C5"/>
    <w:rsid w:val="00DB4A84"/>
    <w:rsid w:val="00DC0F3C"/>
    <w:rsid w:val="00DC454B"/>
    <w:rsid w:val="00DD7159"/>
    <w:rsid w:val="00DE253B"/>
    <w:rsid w:val="00DE34F1"/>
    <w:rsid w:val="00DF3219"/>
    <w:rsid w:val="00DF4942"/>
    <w:rsid w:val="00DF786B"/>
    <w:rsid w:val="00E1091C"/>
    <w:rsid w:val="00E209AE"/>
    <w:rsid w:val="00E22288"/>
    <w:rsid w:val="00E23273"/>
    <w:rsid w:val="00E232F6"/>
    <w:rsid w:val="00E34D32"/>
    <w:rsid w:val="00E3665C"/>
    <w:rsid w:val="00E377A9"/>
    <w:rsid w:val="00E43997"/>
    <w:rsid w:val="00E447ED"/>
    <w:rsid w:val="00E5614B"/>
    <w:rsid w:val="00E60B9D"/>
    <w:rsid w:val="00E627B1"/>
    <w:rsid w:val="00E62B4C"/>
    <w:rsid w:val="00E637CC"/>
    <w:rsid w:val="00E74E32"/>
    <w:rsid w:val="00E77C5A"/>
    <w:rsid w:val="00E8058E"/>
    <w:rsid w:val="00E833E9"/>
    <w:rsid w:val="00E8782D"/>
    <w:rsid w:val="00E936B9"/>
    <w:rsid w:val="00E9376C"/>
    <w:rsid w:val="00E946F1"/>
    <w:rsid w:val="00E956AC"/>
    <w:rsid w:val="00E9767F"/>
    <w:rsid w:val="00EA4C64"/>
    <w:rsid w:val="00EA602C"/>
    <w:rsid w:val="00EA635E"/>
    <w:rsid w:val="00EC6926"/>
    <w:rsid w:val="00ED20A6"/>
    <w:rsid w:val="00ED3691"/>
    <w:rsid w:val="00ED37A1"/>
    <w:rsid w:val="00ED482B"/>
    <w:rsid w:val="00EE2DB7"/>
    <w:rsid w:val="00EF0911"/>
    <w:rsid w:val="00F03119"/>
    <w:rsid w:val="00F134B7"/>
    <w:rsid w:val="00F22894"/>
    <w:rsid w:val="00F3516B"/>
    <w:rsid w:val="00F359DA"/>
    <w:rsid w:val="00F36907"/>
    <w:rsid w:val="00F37180"/>
    <w:rsid w:val="00F42FDD"/>
    <w:rsid w:val="00F46213"/>
    <w:rsid w:val="00F536F4"/>
    <w:rsid w:val="00F576CB"/>
    <w:rsid w:val="00F57AA3"/>
    <w:rsid w:val="00F603EA"/>
    <w:rsid w:val="00F60D8B"/>
    <w:rsid w:val="00F61D4C"/>
    <w:rsid w:val="00F626A5"/>
    <w:rsid w:val="00F63033"/>
    <w:rsid w:val="00F63322"/>
    <w:rsid w:val="00F63AA3"/>
    <w:rsid w:val="00F73482"/>
    <w:rsid w:val="00F74EAD"/>
    <w:rsid w:val="00F83734"/>
    <w:rsid w:val="00F90617"/>
    <w:rsid w:val="00F91299"/>
    <w:rsid w:val="00F91A9D"/>
    <w:rsid w:val="00F91F70"/>
    <w:rsid w:val="00F937EC"/>
    <w:rsid w:val="00F93AE4"/>
    <w:rsid w:val="00FA703C"/>
    <w:rsid w:val="00FA7FFA"/>
    <w:rsid w:val="00FB356B"/>
    <w:rsid w:val="00FB630D"/>
    <w:rsid w:val="00FC1C89"/>
    <w:rsid w:val="00FC2940"/>
    <w:rsid w:val="00FC2CD0"/>
    <w:rsid w:val="00FC4715"/>
    <w:rsid w:val="00FC4AD3"/>
    <w:rsid w:val="00FC6971"/>
    <w:rsid w:val="00FD1226"/>
    <w:rsid w:val="00FE3F03"/>
    <w:rsid w:val="00FF088F"/>
    <w:rsid w:val="00FF2F0F"/>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16EE5B74"/>
  <w15:docId w15:val="{7BB2AE87-B04C-47D8-BE75-16B95893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420"/>
    <w:rPr>
      <w:rFonts w:ascii="Times New Roman" w:eastAsia="Times New Roman" w:hAnsi="Times New Roman"/>
      <w:sz w:val="24"/>
      <w:szCs w:val="24"/>
    </w:rPr>
  </w:style>
  <w:style w:type="paragraph" w:styleId="Heading1">
    <w:name w:val="heading 1"/>
    <w:basedOn w:val="Normal"/>
    <w:next w:val="Normal"/>
    <w:link w:val="Heading1Char"/>
    <w:uiPriority w:val="9"/>
    <w:rsid w:val="00F734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qFormat/>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customStyle="1" w:styleId="COMPara">
    <w:name w:val="COM Para"/>
    <w:qFormat/>
    <w:rsid w:val="00E8782D"/>
    <w:pPr>
      <w:spacing w:after="120"/>
      <w:ind w:left="567" w:hanging="567"/>
    </w:pPr>
    <w:rPr>
      <w:rFonts w:ascii="Arial" w:eastAsia="Times New Roman" w:hAnsi="Arial" w:cs="Arial"/>
      <w:snapToGrid w:val="0"/>
      <w:sz w:val="22"/>
      <w:szCs w:val="22"/>
      <w:lang w:eastAsia="en-US"/>
    </w:rPr>
  </w:style>
  <w:style w:type="paragraph" w:customStyle="1" w:styleId="c">
    <w:name w:val="(c)"/>
    <w:basedOn w:val="Normal"/>
    <w:rsid w:val="00E232F6"/>
    <w:pPr>
      <w:tabs>
        <w:tab w:val="left" w:pos="1701"/>
      </w:tabs>
      <w:spacing w:after="240"/>
      <w:ind w:left="1701" w:hanging="567"/>
      <w:jc w:val="both"/>
    </w:pPr>
    <w:rPr>
      <w:rFonts w:ascii="Arial" w:hAnsi="Arial"/>
      <w:lang w:bidi="fr-FR"/>
    </w:rPr>
  </w:style>
  <w:style w:type="character" w:customStyle="1" w:styleId="hps">
    <w:name w:val="hps"/>
    <w:rsid w:val="00305C1A"/>
  </w:style>
  <w:style w:type="character" w:styleId="Strong">
    <w:name w:val="Strong"/>
    <w:basedOn w:val="DefaultParagraphFont"/>
    <w:uiPriority w:val="22"/>
    <w:qFormat/>
    <w:rsid w:val="00305C1A"/>
    <w:rPr>
      <w:b/>
      <w:bCs/>
    </w:rPr>
  </w:style>
  <w:style w:type="character" w:styleId="FollowedHyperlink">
    <w:name w:val="FollowedHyperlink"/>
    <w:basedOn w:val="DefaultParagraphFont"/>
    <w:uiPriority w:val="99"/>
    <w:semiHidden/>
    <w:unhideWhenUsed/>
    <w:rsid w:val="00914F76"/>
    <w:rPr>
      <w:color w:val="800080" w:themeColor="followedHyperlink"/>
      <w:u w:val="single"/>
    </w:rPr>
  </w:style>
  <w:style w:type="paragraph" w:styleId="Revision">
    <w:name w:val="Revision"/>
    <w:hidden/>
    <w:uiPriority w:val="99"/>
    <w:semiHidden/>
    <w:rsid w:val="00D01888"/>
    <w:rPr>
      <w:rFonts w:ascii="Times New Roman" w:eastAsia="Times New Roman" w:hAnsi="Times New Roman"/>
      <w:sz w:val="24"/>
      <w:szCs w:val="24"/>
    </w:rPr>
  </w:style>
  <w:style w:type="paragraph" w:customStyle="1" w:styleId="BODYTEXT">
    <w:name w:val="¬BODY TEXT"/>
    <w:basedOn w:val="Normal"/>
    <w:qFormat/>
    <w:rsid w:val="00D827FD"/>
    <w:pPr>
      <w:numPr>
        <w:numId w:val="26"/>
      </w:numPr>
      <w:tabs>
        <w:tab w:val="left" w:pos="709"/>
        <w:tab w:val="left" w:pos="1418"/>
        <w:tab w:val="left" w:pos="2126"/>
        <w:tab w:val="left" w:pos="2835"/>
      </w:tabs>
      <w:snapToGrid w:val="0"/>
      <w:spacing w:before="240" w:after="120"/>
      <w:jc w:val="both"/>
    </w:pPr>
    <w:rPr>
      <w:rFonts w:ascii="Arial" w:eastAsia="Calibri" w:hAnsi="Arial" w:cs="Arial"/>
      <w:color w:val="000000"/>
      <w:sz w:val="22"/>
      <w:szCs w:val="22"/>
    </w:rPr>
  </w:style>
  <w:style w:type="character" w:customStyle="1" w:styleId="Heading1Char">
    <w:name w:val="Heading 1 Char"/>
    <w:basedOn w:val="DefaultParagraphFont"/>
    <w:link w:val="Heading1"/>
    <w:uiPriority w:val="9"/>
    <w:rsid w:val="00F73482"/>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unhideWhenUsed/>
    <w:rsid w:val="00475AD3"/>
    <w:pPr>
      <w:spacing w:before="60" w:after="60"/>
      <w:jc w:val="both"/>
    </w:pPr>
    <w:rPr>
      <w:rFonts w:ascii="Arial" w:hAnsi="Arial"/>
      <w:sz w:val="20"/>
      <w:szCs w:val="20"/>
    </w:rPr>
  </w:style>
  <w:style w:type="character" w:customStyle="1" w:styleId="FootnoteTextChar">
    <w:name w:val="Footnote Text Char"/>
    <w:basedOn w:val="DefaultParagraphFont"/>
    <w:link w:val="FootnoteText"/>
    <w:uiPriority w:val="99"/>
    <w:rsid w:val="00475AD3"/>
    <w:rPr>
      <w:rFonts w:ascii="Arial" w:eastAsia="Times New Roman" w:hAnsi="Arial"/>
    </w:rPr>
  </w:style>
  <w:style w:type="character" w:styleId="FootnoteReference">
    <w:name w:val="footnote reference"/>
    <w:uiPriority w:val="99"/>
    <w:unhideWhenUsed/>
    <w:rsid w:val="00475AD3"/>
    <w:rPr>
      <w:vertAlign w:val="superscript"/>
    </w:rPr>
  </w:style>
  <w:style w:type="character" w:customStyle="1" w:styleId="ac">
    <w:name w:val="ac"/>
    <w:basedOn w:val="DefaultParagraphFont"/>
    <w:rsid w:val="00677375"/>
  </w:style>
  <w:style w:type="paragraph" w:styleId="CommentText">
    <w:name w:val="annotation text"/>
    <w:basedOn w:val="Normal"/>
    <w:link w:val="CommentTextChar"/>
    <w:uiPriority w:val="99"/>
    <w:semiHidden/>
    <w:unhideWhenUsed/>
    <w:rPr>
      <w:sz w:val="20"/>
      <w:szCs w:val="20"/>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2150"/>
    <w:rPr>
      <w:b/>
      <w:bCs/>
    </w:rPr>
  </w:style>
  <w:style w:type="character" w:customStyle="1" w:styleId="CommentTextChar">
    <w:name w:val="Comment Text Char"/>
    <w:basedOn w:val="DefaultParagraphFont"/>
    <w:link w:val="CommentText"/>
    <w:uiPriority w:val="99"/>
    <w:semiHidden/>
    <w:rsid w:val="00202150"/>
    <w:rPr>
      <w:rFonts w:ascii="Times New Roman" w:eastAsia="Times New Roman" w:hAnsi="Times New Roman"/>
    </w:rPr>
  </w:style>
  <w:style w:type="character" w:customStyle="1" w:styleId="CommentSubjectChar">
    <w:name w:val="Comment Subject Char"/>
    <w:basedOn w:val="CommentTextChar"/>
    <w:link w:val="CommentSubject"/>
    <w:uiPriority w:val="99"/>
    <w:semiHidden/>
    <w:rsid w:val="00202150"/>
    <w:rPr>
      <w:rFonts w:ascii="Times New Roman" w:eastAsia="Times New Roman" w:hAnsi="Times New Roman"/>
      <w:b/>
      <w:bCs/>
    </w:rPr>
  </w:style>
  <w:style w:type="paragraph" w:styleId="PlainText">
    <w:name w:val="Plain Text"/>
    <w:basedOn w:val="Normal"/>
    <w:link w:val="PlainTextChar"/>
    <w:uiPriority w:val="99"/>
    <w:semiHidden/>
    <w:unhideWhenUsed/>
    <w:rsid w:val="0084306C"/>
    <w:rPr>
      <w:rFonts w:ascii="Calibri" w:eastAsiaTheme="minorEastAsia" w:hAnsi="Calibri" w:cstheme="minorBidi"/>
      <w:sz w:val="22"/>
      <w:szCs w:val="21"/>
      <w:lang w:eastAsia="ja-JP"/>
    </w:rPr>
  </w:style>
  <w:style w:type="character" w:customStyle="1" w:styleId="PlainTextChar">
    <w:name w:val="Plain Text Char"/>
    <w:basedOn w:val="DefaultParagraphFont"/>
    <w:link w:val="PlainText"/>
    <w:uiPriority w:val="99"/>
    <w:semiHidden/>
    <w:rsid w:val="0084306C"/>
    <w:rPr>
      <w:rFonts w:eastAsiaTheme="minorEastAsia" w:cstheme="minorBidi"/>
      <w:sz w:val="22"/>
      <w:szCs w:val="21"/>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80231">
      <w:bodyDiv w:val="1"/>
      <w:marLeft w:val="0"/>
      <w:marRight w:val="0"/>
      <w:marTop w:val="0"/>
      <w:marBottom w:val="0"/>
      <w:divBdr>
        <w:top w:val="none" w:sz="0" w:space="0" w:color="auto"/>
        <w:left w:val="none" w:sz="0" w:space="0" w:color="auto"/>
        <w:bottom w:val="none" w:sz="0" w:space="0" w:color="auto"/>
        <w:right w:val="none" w:sz="0" w:space="0" w:color="auto"/>
      </w:divBdr>
    </w:div>
    <w:div w:id="797915143">
      <w:bodyDiv w:val="1"/>
      <w:marLeft w:val="0"/>
      <w:marRight w:val="0"/>
      <w:marTop w:val="0"/>
      <w:marBottom w:val="0"/>
      <w:divBdr>
        <w:top w:val="none" w:sz="0" w:space="0" w:color="auto"/>
        <w:left w:val="none" w:sz="0" w:space="0" w:color="auto"/>
        <w:bottom w:val="none" w:sz="0" w:space="0" w:color="auto"/>
        <w:right w:val="none" w:sz="0" w:space="0" w:color="auto"/>
      </w:divBdr>
    </w:div>
    <w:div w:id="827743236">
      <w:bodyDiv w:val="1"/>
      <w:marLeft w:val="0"/>
      <w:marRight w:val="0"/>
      <w:marTop w:val="0"/>
      <w:marBottom w:val="0"/>
      <w:divBdr>
        <w:top w:val="none" w:sz="0" w:space="0" w:color="auto"/>
        <w:left w:val="none" w:sz="0" w:space="0" w:color="auto"/>
        <w:bottom w:val="none" w:sz="0" w:space="0" w:color="auto"/>
        <w:right w:val="none" w:sz="0" w:space="0" w:color="auto"/>
      </w:divBdr>
    </w:div>
    <w:div w:id="1293318399">
      <w:bodyDiv w:val="1"/>
      <w:marLeft w:val="0"/>
      <w:marRight w:val="0"/>
      <w:marTop w:val="0"/>
      <w:marBottom w:val="0"/>
      <w:divBdr>
        <w:top w:val="none" w:sz="0" w:space="0" w:color="auto"/>
        <w:left w:val="none" w:sz="0" w:space="0" w:color="auto"/>
        <w:bottom w:val="none" w:sz="0" w:space="0" w:color="auto"/>
        <w:right w:val="none" w:sz="0" w:space="0" w:color="auto"/>
      </w:divBdr>
    </w:div>
    <w:div w:id="1779638937">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7016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6.GA/5?dec=decisions&amp;ref_decision=6.GA" TargetMode="External"/><Relationship Id="rId13" Type="http://schemas.openxmlformats.org/officeDocument/2006/relationships/hyperlink" Target="https://ich.unesco.org/doc/src/LHE-19-14.COM-5.b-FR.docx" TargetMode="External"/><Relationship Id="rId18" Type="http://schemas.openxmlformats.org/officeDocument/2006/relationships/hyperlink" Target="https://ich.unesco.org/doc/src/ITH-18-7.GA-12-FR.docx" TargetMode="External"/><Relationship Id="rId26" Type="http://schemas.openxmlformats.org/officeDocument/2006/relationships/hyperlink" Target="https://ich.unesco.org/doc/src/LHE-19-14.COM-13-FR.docx" TargetMode="External"/><Relationship Id="rId39" Type="http://schemas.openxmlformats.org/officeDocument/2006/relationships/hyperlink" Target="https://ich.unesco.org/doc/src/ITH-18-13.COM-7.c-FR.docx" TargetMode="External"/><Relationship Id="rId3" Type="http://schemas.openxmlformats.org/officeDocument/2006/relationships/styles" Target="styles.xml"/><Relationship Id="rId21" Type="http://schemas.openxmlformats.org/officeDocument/2006/relationships/hyperlink" Target="https://ich.unesco.org/doc/src/LHE-19-14.COM-5.b-FR.docx" TargetMode="External"/><Relationship Id="rId34" Type="http://schemas.openxmlformats.org/officeDocument/2006/relationships/hyperlink" Target="https://ich.unesco.org/doc/src/ITH-18-13.COM-7.a_Rev.-FR.docx" TargetMode="External"/><Relationship Id="rId42" Type="http://schemas.openxmlformats.org/officeDocument/2006/relationships/hyperlink" Target="https://ich.unesco.org/doc/src/LHE-19-14.COM-INF.10-FR.docx"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h.unesco.org/doc/src/ITH-18-13.COM-5_Rev.-FR.docx" TargetMode="External"/><Relationship Id="rId17" Type="http://schemas.openxmlformats.org/officeDocument/2006/relationships/hyperlink" Target="https://ich.unesco.org/doc/src/LHE-19-14.COM-19-FR.docx" TargetMode="External"/><Relationship Id="rId25" Type="http://schemas.openxmlformats.org/officeDocument/2006/relationships/hyperlink" Target="https://ich.unesco.org/fr/decisions/13.COM/11?dec=decisions&amp;ref_decision=13.COM" TargetMode="External"/><Relationship Id="rId33" Type="http://schemas.openxmlformats.org/officeDocument/2006/relationships/hyperlink" Target="https://ich.unesco.org/doc/src/ITH-18-13.COM-8-FR.docx" TargetMode="External"/><Relationship Id="rId38" Type="http://schemas.openxmlformats.org/officeDocument/2006/relationships/hyperlink" Target="https://ich.unesco.org/fr/Decisions/13.COM/1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doc/src/ITH-18-13.COM-17-FR.docx" TargetMode="External"/><Relationship Id="rId20" Type="http://schemas.openxmlformats.org/officeDocument/2006/relationships/hyperlink" Target="https://ich.unesco.org/fr/Decisions/12.COM/7" TargetMode="External"/><Relationship Id="rId29" Type="http://schemas.openxmlformats.org/officeDocument/2006/relationships/hyperlink" Target="https://ich.unesco.org/doc/src/LHE-19-14.COM-7-FR.docx" TargetMode="External"/><Relationship Id="rId41" Type="http://schemas.openxmlformats.org/officeDocument/2006/relationships/hyperlink" Target="https://ich.unesco.org/doc/src/LHE-19-14.COM-7-FR.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19-14.COM-9.a-FR.docx" TargetMode="External"/><Relationship Id="rId24" Type="http://schemas.openxmlformats.org/officeDocument/2006/relationships/hyperlink" Target="https://ich.unesco.org/fr/Decisions/13.COM/8" TargetMode="External"/><Relationship Id="rId32" Type="http://schemas.openxmlformats.org/officeDocument/2006/relationships/hyperlink" Target="https://ich.unesco.org/fr/convention" TargetMode="External"/><Relationship Id="rId37" Type="http://schemas.openxmlformats.org/officeDocument/2006/relationships/hyperlink" Target="https://ich.unesco.org/fr/Decisions/13.COM/10" TargetMode="External"/><Relationship Id="rId40" Type="http://schemas.openxmlformats.org/officeDocument/2006/relationships/hyperlink" Target="https://ich.unesco.org/doc/src/LHE-19-14.COM-9.b-FR.docx"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LHE-19-14.COM-19-FR.docx" TargetMode="External"/><Relationship Id="rId23" Type="http://schemas.openxmlformats.org/officeDocument/2006/relationships/hyperlink" Target="https://ich.unesco.org/doc/src/ITH-18-7.GA-9-FR.docx" TargetMode="External"/><Relationship Id="rId28" Type="http://schemas.openxmlformats.org/officeDocument/2006/relationships/hyperlink" Target="https://ich.unesco.org/doc/src/LHE-19-14.COM-5.b-FR.docx" TargetMode="External"/><Relationship Id="rId36" Type="http://schemas.openxmlformats.org/officeDocument/2006/relationships/hyperlink" Target="https://ich.unesco.org/doc/src/LHE-19-14.COM-9.a-FR.docx" TargetMode="External"/><Relationship Id="rId10" Type="http://schemas.openxmlformats.org/officeDocument/2006/relationships/hyperlink" Target="https://ich.unesco.org/doc/src/ITH-18-13.COM-7.b-FR.docx" TargetMode="External"/><Relationship Id="rId19" Type="http://schemas.openxmlformats.org/officeDocument/2006/relationships/hyperlink" Target="https://ich.unesco.org/doc/src/ITH-18-7.GA-9-FR.docx" TargetMode="External"/><Relationship Id="rId31" Type="http://schemas.openxmlformats.org/officeDocument/2006/relationships/hyperlink" Target="https://ich.unesco.org/doc/src/LHE-19-14.COM-6-FR.docx"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doc/src/ITH-18-13.COM-7.a_Rev.-FR.docx" TargetMode="External"/><Relationship Id="rId14" Type="http://schemas.openxmlformats.org/officeDocument/2006/relationships/hyperlink" Target="https://ich.unesco.org/doc/src/LHE-19-14.COM-7-FR.docx" TargetMode="External"/><Relationship Id="rId22" Type="http://schemas.openxmlformats.org/officeDocument/2006/relationships/hyperlink" Target="https://ich.unesco.org/fr/recherches-sur-la-convention-de-2003-00945" TargetMode="External"/><Relationship Id="rId27" Type="http://schemas.openxmlformats.org/officeDocument/2006/relationships/hyperlink" Target="https://ich.unesco.org/doc/src/ITH-18-13.COM-INF.5.1-FR.docx" TargetMode="External"/><Relationship Id="rId30" Type="http://schemas.openxmlformats.org/officeDocument/2006/relationships/hyperlink" Target="https://ich.unesco.org/doc/src/LHE-19-14.COM-7-FR.docx" TargetMode="External"/><Relationship Id="rId35" Type="http://schemas.openxmlformats.org/officeDocument/2006/relationships/hyperlink" Target="https://ich.unesco.org/doc/src/ITH-18-13.COM-7.b-FR.docx" TargetMode="External"/><Relationship Id="rId43"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62E1C-346C-49D5-8F5C-2D072259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8</Pages>
  <Words>4233</Words>
  <Characters>23283</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Constantinou, Elena</cp:lastModifiedBy>
  <cp:revision>85</cp:revision>
  <cp:lastPrinted>2019-12-14T18:08:00Z</cp:lastPrinted>
  <dcterms:created xsi:type="dcterms:W3CDTF">2019-11-07T18:32:00Z</dcterms:created>
  <dcterms:modified xsi:type="dcterms:W3CDTF">2020-01-16T15:57:00Z</dcterms:modified>
</cp:coreProperties>
</file>