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CCC95" w14:textId="77777777" w:rsidR="00BC3420" w:rsidRPr="006406C1" w:rsidRDefault="00BC3420" w:rsidP="00BC3420">
      <w:pPr>
        <w:spacing w:before="1440"/>
        <w:jc w:val="center"/>
        <w:rPr>
          <w:rFonts w:ascii="Arial" w:hAnsi="Arial" w:cs="Arial"/>
          <w:b/>
          <w:sz w:val="22"/>
          <w:szCs w:val="22"/>
        </w:rPr>
      </w:pPr>
      <w:r w:rsidRPr="006406C1">
        <w:rPr>
          <w:rFonts w:ascii="Arial" w:hAnsi="Arial" w:cs="Arial"/>
          <w:b/>
          <w:sz w:val="22"/>
          <w:szCs w:val="22"/>
        </w:rPr>
        <w:t>CONVENTION FOR THE SAFEGUARDING OF THE</w:t>
      </w:r>
      <w:r w:rsidRPr="006406C1">
        <w:rPr>
          <w:rFonts w:ascii="Arial" w:hAnsi="Arial" w:cs="Arial"/>
          <w:b/>
          <w:sz w:val="22"/>
          <w:szCs w:val="22"/>
        </w:rPr>
        <w:br/>
        <w:t>INTANGIBLE CULTURAL HERITAGE</w:t>
      </w:r>
    </w:p>
    <w:p w14:paraId="59C126AD" w14:textId="77777777" w:rsidR="00BC3420" w:rsidRPr="00CA7D7A" w:rsidRDefault="00BC3420" w:rsidP="00BC3420">
      <w:pPr>
        <w:spacing w:before="1200"/>
        <w:jc w:val="center"/>
        <w:rPr>
          <w:rFonts w:ascii="Arial" w:hAnsi="Arial" w:cs="Arial"/>
          <w:b/>
          <w:sz w:val="22"/>
          <w:szCs w:val="22"/>
        </w:rPr>
      </w:pPr>
      <w:r w:rsidRPr="00CA7D7A">
        <w:rPr>
          <w:rFonts w:ascii="Arial" w:hAnsi="Arial" w:cs="Arial"/>
          <w:b/>
          <w:sz w:val="22"/>
          <w:szCs w:val="22"/>
        </w:rPr>
        <w:t>INTERGOVERNMENTAL COMMITTEE FOR THE</w:t>
      </w:r>
      <w:r w:rsidRPr="00CA7D7A">
        <w:rPr>
          <w:rFonts w:ascii="Arial" w:hAnsi="Arial" w:cs="Arial"/>
          <w:b/>
          <w:sz w:val="22"/>
          <w:szCs w:val="22"/>
        </w:rPr>
        <w:br/>
        <w:t>SAFEGUARDING OF THE INTANGIBLE CULTURAL HERITAGE</w:t>
      </w:r>
    </w:p>
    <w:p w14:paraId="61F59DAD" w14:textId="77777777" w:rsidR="00BC3420" w:rsidRPr="00CA7D7A" w:rsidRDefault="008F09EC" w:rsidP="008F09EC">
      <w:pPr>
        <w:spacing w:before="840"/>
        <w:jc w:val="center"/>
        <w:rPr>
          <w:rFonts w:ascii="Arial" w:hAnsi="Arial" w:cs="Arial"/>
          <w:b/>
          <w:sz w:val="22"/>
          <w:szCs w:val="22"/>
        </w:rPr>
      </w:pPr>
      <w:r w:rsidRPr="00CA7D7A">
        <w:rPr>
          <w:rFonts w:ascii="Arial" w:hAnsi="Arial" w:cs="Arial"/>
          <w:b/>
          <w:sz w:val="22"/>
          <w:szCs w:val="22"/>
        </w:rPr>
        <w:t>Fourteenth session</w:t>
      </w:r>
    </w:p>
    <w:p w14:paraId="26AEE618" w14:textId="77777777" w:rsidR="00A61C6E" w:rsidRPr="00614378" w:rsidRDefault="008F09EC" w:rsidP="008F09EC">
      <w:pPr>
        <w:jc w:val="center"/>
        <w:rPr>
          <w:rFonts w:ascii="Arial" w:hAnsi="Arial" w:cs="Arial"/>
          <w:b/>
          <w:sz w:val="22"/>
          <w:szCs w:val="22"/>
        </w:rPr>
      </w:pPr>
      <w:r w:rsidRPr="00CA7D7A">
        <w:rPr>
          <w:rFonts w:ascii="Arial" w:hAnsi="Arial" w:cs="Arial"/>
          <w:b/>
          <w:sz w:val="22"/>
          <w:szCs w:val="22"/>
        </w:rPr>
        <w:t>Bogotá, Republic of Colombia</w:t>
      </w:r>
    </w:p>
    <w:p w14:paraId="1EBDDDF1" w14:textId="77777777" w:rsidR="00BC3420" w:rsidRPr="00614378" w:rsidRDefault="008F09EC" w:rsidP="008F09EC">
      <w:pPr>
        <w:jc w:val="center"/>
        <w:rPr>
          <w:rFonts w:ascii="Arial" w:eastAsiaTheme="minorEastAsia" w:hAnsi="Arial" w:cs="Arial"/>
          <w:b/>
          <w:sz w:val="22"/>
          <w:szCs w:val="22"/>
        </w:rPr>
      </w:pPr>
      <w:r w:rsidRPr="00614378">
        <w:rPr>
          <w:rFonts w:ascii="Arial" w:hAnsi="Arial" w:cs="Arial"/>
          <w:b/>
          <w:sz w:val="22"/>
          <w:szCs w:val="22"/>
        </w:rPr>
        <w:t>9 to 14 December 2019</w:t>
      </w:r>
    </w:p>
    <w:p w14:paraId="74F83B5E" w14:textId="77777777" w:rsidR="008F09EC" w:rsidRPr="00E60E46" w:rsidRDefault="008F09EC" w:rsidP="008F09EC">
      <w:pPr>
        <w:pStyle w:val="Sansinterligne2"/>
        <w:spacing w:before="1200"/>
        <w:jc w:val="center"/>
        <w:rPr>
          <w:rFonts w:ascii="Arial" w:hAnsi="Arial" w:cs="Arial"/>
          <w:b/>
          <w:sz w:val="22"/>
          <w:szCs w:val="22"/>
        </w:rPr>
      </w:pPr>
      <w:r w:rsidRPr="00623A89">
        <w:rPr>
          <w:rFonts w:ascii="Arial" w:hAnsi="Arial" w:cs="Arial"/>
          <w:b/>
          <w:sz w:val="22"/>
          <w:szCs w:val="22"/>
          <w:u w:val="single"/>
        </w:rPr>
        <w:t>Item 5.a of the Provisional Agenda</w:t>
      </w:r>
      <w:r w:rsidRPr="00623A89">
        <w:rPr>
          <w:rFonts w:ascii="Arial" w:hAnsi="Arial" w:cs="Arial"/>
          <w:b/>
          <w:sz w:val="22"/>
          <w:szCs w:val="22"/>
        </w:rPr>
        <w:t>:</w:t>
      </w:r>
    </w:p>
    <w:p w14:paraId="720A76A9" w14:textId="77777777" w:rsidR="00E8782D" w:rsidRPr="00E60E46" w:rsidRDefault="00E8782D" w:rsidP="002318BB">
      <w:pPr>
        <w:pStyle w:val="Sansinterligne2"/>
        <w:spacing w:after="960"/>
        <w:jc w:val="center"/>
        <w:rPr>
          <w:rFonts w:ascii="Arial" w:hAnsi="Arial" w:cs="Arial"/>
          <w:b/>
          <w:sz w:val="22"/>
          <w:szCs w:val="22"/>
        </w:rPr>
      </w:pPr>
      <w:r w:rsidRPr="00623A89">
        <w:rPr>
          <w:rFonts w:ascii="Arial" w:hAnsi="Arial" w:cs="Arial"/>
          <w:b/>
          <w:sz w:val="22"/>
          <w:szCs w:val="22"/>
        </w:rPr>
        <w:t>Report by the Committee to the General Assembly</w:t>
      </w:r>
      <w:r w:rsidRPr="00623A89">
        <w:rPr>
          <w:rFonts w:ascii="Arial" w:hAnsi="Arial" w:cs="Arial"/>
          <w:b/>
          <w:sz w:val="22"/>
          <w:szCs w:val="22"/>
        </w:rPr>
        <w:br/>
        <w:t>on its activities (January 2018 to December 2019)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E60E46" w14:paraId="519A0860" w14:textId="77777777" w:rsidTr="00EE2DB7">
        <w:trPr>
          <w:jc w:val="center"/>
        </w:trPr>
        <w:tc>
          <w:tcPr>
            <w:tcW w:w="7825" w:type="dxa"/>
            <w:vAlign w:val="center"/>
          </w:tcPr>
          <w:p w14:paraId="544B31B9" w14:textId="12F900CF" w:rsidR="00F46213" w:rsidRPr="00623A89" w:rsidRDefault="00F46213" w:rsidP="002318BB">
            <w:pPr>
              <w:pStyle w:val="Sansinterligne1"/>
              <w:spacing w:before="120" w:after="120"/>
              <w:jc w:val="center"/>
              <w:rPr>
                <w:rFonts w:ascii="Arial" w:hAnsi="Arial" w:cs="Arial"/>
                <w:b/>
                <w:sz w:val="22"/>
                <w:szCs w:val="22"/>
              </w:rPr>
            </w:pPr>
            <w:r w:rsidRPr="00623A89">
              <w:rPr>
                <w:rFonts w:ascii="Arial" w:hAnsi="Arial" w:cs="Arial"/>
                <w:b/>
                <w:sz w:val="22"/>
                <w:szCs w:val="22"/>
              </w:rPr>
              <w:t>Summary</w:t>
            </w:r>
          </w:p>
          <w:p w14:paraId="167738CB" w14:textId="6E93EC64" w:rsidR="00E8782D" w:rsidRPr="00E60E46" w:rsidRDefault="00E8782D" w:rsidP="00E8782D">
            <w:pPr>
              <w:pStyle w:val="Sansinterligne1"/>
              <w:jc w:val="both"/>
              <w:rPr>
                <w:rFonts w:ascii="Arial" w:hAnsi="Arial" w:cs="Arial"/>
                <w:bCs/>
                <w:sz w:val="22"/>
                <w:szCs w:val="22"/>
              </w:rPr>
            </w:pPr>
            <w:r w:rsidRPr="00623A89">
              <w:rPr>
                <w:rFonts w:ascii="Arial" w:hAnsi="Arial" w:cs="Arial"/>
                <w:sz w:val="22"/>
                <w:szCs w:val="22"/>
              </w:rPr>
              <w:t>Article 30.1 of the 2003 Convention for the Safeguarding of the Intangible Cultural Heritage states that ‘</w:t>
            </w:r>
            <w:r w:rsidR="00C42892" w:rsidRPr="00623A89">
              <w:rPr>
                <w:rFonts w:ascii="Arial" w:hAnsi="Arial" w:cs="Arial"/>
                <w:sz w:val="22"/>
                <w:szCs w:val="22"/>
              </w:rPr>
              <w:t xml:space="preserve">On </w:t>
            </w:r>
            <w:r w:rsidRPr="00623A89">
              <w:rPr>
                <w:rFonts w:ascii="Arial" w:hAnsi="Arial" w:cs="Arial"/>
                <w:sz w:val="22"/>
                <w:szCs w:val="22"/>
              </w:rPr>
              <w:t>the basis of its activities [...] the Committee shall submit a report to the General Assembly at each of its sessions.’ This document contains a draft report on the Committee</w:t>
            </w:r>
            <w:r w:rsidR="001A530E" w:rsidRPr="00623A89">
              <w:rPr>
                <w:rFonts w:ascii="Arial" w:hAnsi="Arial" w:cs="Arial"/>
                <w:sz w:val="22"/>
                <w:szCs w:val="22"/>
              </w:rPr>
              <w:t>’s</w:t>
            </w:r>
            <w:r w:rsidRPr="00623A89">
              <w:rPr>
                <w:rFonts w:ascii="Arial" w:hAnsi="Arial" w:cs="Arial"/>
                <w:sz w:val="22"/>
                <w:szCs w:val="22"/>
              </w:rPr>
              <w:t xml:space="preserve"> activities from January</w:t>
            </w:r>
            <w:r w:rsidR="00D54AD9">
              <w:rPr>
                <w:rFonts w:ascii="Arial" w:hAnsi="Arial" w:cs="Arial"/>
                <w:sz w:val="22"/>
                <w:szCs w:val="22"/>
              </w:rPr>
              <w:t xml:space="preserve"> </w:t>
            </w:r>
            <w:r w:rsidRPr="00623A89">
              <w:rPr>
                <w:rFonts w:ascii="Arial" w:hAnsi="Arial" w:cs="Arial"/>
                <w:sz w:val="22"/>
                <w:szCs w:val="22"/>
              </w:rPr>
              <w:t>2018 to De</w:t>
            </w:r>
            <w:r w:rsidR="00D54AD9">
              <w:rPr>
                <w:rFonts w:ascii="Arial" w:hAnsi="Arial" w:cs="Arial"/>
                <w:sz w:val="22"/>
                <w:szCs w:val="22"/>
              </w:rPr>
              <w:t>cember </w:t>
            </w:r>
            <w:r w:rsidRPr="00623A89">
              <w:rPr>
                <w:rFonts w:ascii="Arial" w:hAnsi="Arial" w:cs="Arial"/>
                <w:sz w:val="22"/>
                <w:szCs w:val="22"/>
              </w:rPr>
              <w:t>2019</w:t>
            </w:r>
            <w:r w:rsidR="001A530E" w:rsidRPr="00623A89">
              <w:rPr>
                <w:rFonts w:ascii="Arial" w:hAnsi="Arial" w:cs="Arial"/>
                <w:sz w:val="22"/>
                <w:szCs w:val="22"/>
              </w:rPr>
              <w:t>,</w:t>
            </w:r>
            <w:r w:rsidRPr="00623A89">
              <w:rPr>
                <w:rFonts w:ascii="Arial" w:hAnsi="Arial" w:cs="Arial"/>
                <w:sz w:val="22"/>
                <w:szCs w:val="22"/>
              </w:rPr>
              <w:t xml:space="preserve"> </w:t>
            </w:r>
            <w:r w:rsidR="001A530E" w:rsidRPr="00623A89">
              <w:rPr>
                <w:rFonts w:ascii="Arial" w:hAnsi="Arial" w:cs="Arial"/>
                <w:sz w:val="22"/>
                <w:szCs w:val="22"/>
              </w:rPr>
              <w:t xml:space="preserve">which </w:t>
            </w:r>
            <w:r w:rsidRPr="00623A89">
              <w:rPr>
                <w:rFonts w:ascii="Arial" w:hAnsi="Arial" w:cs="Arial"/>
                <w:sz w:val="22"/>
                <w:szCs w:val="22"/>
              </w:rPr>
              <w:t xml:space="preserve">the Committee may wish to present to </w:t>
            </w:r>
            <w:r w:rsidRPr="002300C4">
              <w:rPr>
                <w:rFonts w:ascii="Arial" w:hAnsi="Arial" w:cs="Arial"/>
                <w:sz w:val="22"/>
                <w:szCs w:val="22"/>
              </w:rPr>
              <w:t xml:space="preserve">the </w:t>
            </w:r>
            <w:r w:rsidR="0055441E" w:rsidRPr="001566EB">
              <w:rPr>
                <w:rFonts w:ascii="Arial" w:hAnsi="Arial" w:cs="Arial"/>
                <w:sz w:val="22"/>
                <w:szCs w:val="22"/>
              </w:rPr>
              <w:t>eighth</w:t>
            </w:r>
            <w:r w:rsidR="0055441E" w:rsidRPr="00623A89">
              <w:rPr>
                <w:rFonts w:ascii="Arial" w:hAnsi="Arial" w:cs="Arial"/>
                <w:sz w:val="22"/>
                <w:szCs w:val="22"/>
              </w:rPr>
              <w:t xml:space="preserve"> </w:t>
            </w:r>
            <w:r w:rsidRPr="00623A89">
              <w:rPr>
                <w:rFonts w:ascii="Arial" w:hAnsi="Arial" w:cs="Arial"/>
                <w:sz w:val="22"/>
                <w:szCs w:val="22"/>
              </w:rPr>
              <w:t>session of the General Assembly.</w:t>
            </w:r>
          </w:p>
          <w:p w14:paraId="76CA7FE9" w14:textId="745C924A" w:rsidR="008F09EC" w:rsidRPr="00E60E46" w:rsidRDefault="00E8782D" w:rsidP="00AC017B">
            <w:pPr>
              <w:pStyle w:val="Sansinterligne2"/>
              <w:spacing w:before="200" w:after="200"/>
              <w:ind w:right="284"/>
              <w:jc w:val="both"/>
              <w:rPr>
                <w:rFonts w:ascii="Arial" w:hAnsi="Arial" w:cs="Arial"/>
                <w:b/>
                <w:sz w:val="22"/>
                <w:szCs w:val="22"/>
              </w:rPr>
            </w:pPr>
            <w:r w:rsidRPr="00623A89">
              <w:rPr>
                <w:rFonts w:ascii="Arial" w:hAnsi="Arial" w:cs="Arial"/>
                <w:b/>
                <w:bCs/>
                <w:sz w:val="22"/>
                <w:szCs w:val="22"/>
              </w:rPr>
              <w:t>Decision required</w:t>
            </w:r>
            <w:r w:rsidRPr="00623A89">
              <w:rPr>
                <w:rFonts w:ascii="Arial" w:hAnsi="Arial" w:cs="Arial"/>
                <w:sz w:val="22"/>
                <w:szCs w:val="22"/>
              </w:rPr>
              <w:t xml:space="preserve">: </w:t>
            </w:r>
            <w:r w:rsidRPr="00623A89">
              <w:rPr>
                <w:rFonts w:ascii="Arial" w:hAnsi="Arial" w:cs="Arial"/>
                <w:bCs/>
                <w:sz w:val="22"/>
                <w:szCs w:val="22"/>
              </w:rPr>
              <w:t xml:space="preserve">paragraph </w:t>
            </w:r>
            <w:r w:rsidR="00AC017B">
              <w:rPr>
                <w:rFonts w:ascii="Arial" w:hAnsi="Arial" w:cs="Arial"/>
                <w:bCs/>
                <w:sz w:val="22"/>
                <w:szCs w:val="22"/>
              </w:rPr>
              <w:t>3</w:t>
            </w:r>
          </w:p>
        </w:tc>
      </w:tr>
    </w:tbl>
    <w:p w14:paraId="43DB2EFA" w14:textId="5A8F4FE5" w:rsidR="00E8782D" w:rsidRPr="00623A89" w:rsidRDefault="00BC3420" w:rsidP="00C42892">
      <w:pPr>
        <w:pStyle w:val="Marge"/>
        <w:numPr>
          <w:ilvl w:val="0"/>
          <w:numId w:val="18"/>
        </w:numPr>
        <w:tabs>
          <w:tab w:val="clear" w:pos="720"/>
        </w:tabs>
        <w:spacing w:after="120"/>
        <w:ind w:left="567" w:hanging="567"/>
        <w:rPr>
          <w:rFonts w:cs="Arial"/>
          <w:szCs w:val="22"/>
        </w:rPr>
      </w:pPr>
      <w:r w:rsidRPr="00623A89">
        <w:rPr>
          <w:rFonts w:cs="Arial"/>
        </w:rPr>
        <w:br w:type="page"/>
      </w:r>
      <w:r w:rsidRPr="00623A89">
        <w:rPr>
          <w:rFonts w:cs="Arial"/>
          <w:szCs w:val="22"/>
        </w:rPr>
        <w:lastRenderedPageBreak/>
        <w:t>Article 30.1 of the 2003 Convention for the Safeguarding of the Intangible Cultural Heritage states that ‘</w:t>
      </w:r>
      <w:r w:rsidR="00C42892" w:rsidRPr="00623A89">
        <w:rPr>
          <w:rFonts w:cs="Arial"/>
          <w:szCs w:val="22"/>
        </w:rPr>
        <w:t xml:space="preserve">On </w:t>
      </w:r>
      <w:r w:rsidRPr="00623A89">
        <w:rPr>
          <w:rFonts w:cs="Arial"/>
          <w:szCs w:val="22"/>
        </w:rPr>
        <w:t>the basis of its activities [...] the Committee shall submit a report to the General Assembly at each of its sessions.’ Article 30.2 continues that ‘T</w:t>
      </w:r>
      <w:r w:rsidR="001A530E" w:rsidRPr="00623A89">
        <w:rPr>
          <w:rFonts w:cs="Arial"/>
          <w:szCs w:val="22"/>
        </w:rPr>
        <w:t xml:space="preserve">he </w:t>
      </w:r>
      <w:r w:rsidR="00683955" w:rsidRPr="00623A89">
        <w:rPr>
          <w:rFonts w:cs="Arial"/>
          <w:szCs w:val="22"/>
        </w:rPr>
        <w:t>report shall be brought to the attention of the General Conference of UNESCO</w:t>
      </w:r>
      <w:r w:rsidR="006F7ED5" w:rsidRPr="00623A89">
        <w:rPr>
          <w:rFonts w:cs="Arial"/>
          <w:szCs w:val="22"/>
        </w:rPr>
        <w:t>.</w:t>
      </w:r>
      <w:r w:rsidR="001A530E" w:rsidRPr="00623A89">
        <w:rPr>
          <w:rFonts w:cs="Arial"/>
          <w:szCs w:val="22"/>
        </w:rPr>
        <w:t>’</w:t>
      </w:r>
      <w:r w:rsidR="00683955" w:rsidRPr="00623A89" w:rsidDel="00683955">
        <w:rPr>
          <w:rFonts w:cs="Arial"/>
          <w:szCs w:val="22"/>
        </w:rPr>
        <w:t xml:space="preserve"> </w:t>
      </w:r>
      <w:r w:rsidR="00F63033" w:rsidRPr="00623A89">
        <w:rPr>
          <w:rFonts w:cs="Arial"/>
          <w:szCs w:val="22"/>
        </w:rPr>
        <w:t>The period covered by this report is January 2018 to December 2019. This calendar follows</w:t>
      </w:r>
      <w:r w:rsidR="00E8782D" w:rsidRPr="00623A89">
        <w:rPr>
          <w:rFonts w:cs="Arial"/>
          <w:szCs w:val="22"/>
        </w:rPr>
        <w:t xml:space="preserve"> </w:t>
      </w:r>
      <w:hyperlink r:id="rId8" w:history="1">
        <w:r w:rsidR="00E8782D" w:rsidRPr="00EF6CD6">
          <w:rPr>
            <w:rStyle w:val="Hyperlink"/>
            <w:rFonts w:cs="Arial"/>
            <w:szCs w:val="22"/>
          </w:rPr>
          <w:t>Resolution </w:t>
        </w:r>
        <w:r w:rsidR="00C80A1D" w:rsidRPr="00EF6CD6">
          <w:rPr>
            <w:rStyle w:val="Hyperlink"/>
            <w:rFonts w:cs="Arial"/>
            <w:szCs w:val="22"/>
          </w:rPr>
          <w:t>6</w:t>
        </w:r>
        <w:r w:rsidR="00E8782D" w:rsidRPr="00EF6CD6">
          <w:rPr>
            <w:rStyle w:val="Hyperlink"/>
            <w:rFonts w:cs="Arial"/>
            <w:szCs w:val="22"/>
          </w:rPr>
          <w:t>.GA 5</w:t>
        </w:r>
      </w:hyperlink>
      <w:r w:rsidR="001A530E" w:rsidRPr="00623A89">
        <w:rPr>
          <w:rFonts w:cs="Arial"/>
          <w:szCs w:val="22"/>
        </w:rPr>
        <w:t>,</w:t>
      </w:r>
      <w:r w:rsidR="00E8782D" w:rsidRPr="00623A89">
        <w:rPr>
          <w:rFonts w:cs="Arial"/>
          <w:szCs w:val="22"/>
        </w:rPr>
        <w:t xml:space="preserve"> </w:t>
      </w:r>
      <w:r w:rsidR="00F63033" w:rsidRPr="00623A89">
        <w:rPr>
          <w:rFonts w:cs="Arial"/>
          <w:szCs w:val="22"/>
        </w:rPr>
        <w:t xml:space="preserve">whereby </w:t>
      </w:r>
      <w:r w:rsidR="00E8782D" w:rsidRPr="00623A89">
        <w:rPr>
          <w:rFonts w:cs="Arial"/>
          <w:szCs w:val="22"/>
        </w:rPr>
        <w:t>the General Assembly requested that the Committee use</w:t>
      </w:r>
      <w:r w:rsidR="00F63033" w:rsidRPr="00623A89">
        <w:rPr>
          <w:rFonts w:cs="Arial"/>
          <w:szCs w:val="22"/>
        </w:rPr>
        <w:t xml:space="preserve"> </w:t>
      </w:r>
      <w:r w:rsidR="00E8782D" w:rsidRPr="00623A89">
        <w:rPr>
          <w:rFonts w:cs="Arial"/>
          <w:szCs w:val="22"/>
        </w:rPr>
        <w:t xml:space="preserve">a biennium calendar year for future reports. This report will need to be updated </w:t>
      </w:r>
      <w:r w:rsidR="00D17A18" w:rsidRPr="00623A89">
        <w:rPr>
          <w:rFonts w:cs="Arial"/>
          <w:szCs w:val="22"/>
        </w:rPr>
        <w:t xml:space="preserve">by the Secretariat </w:t>
      </w:r>
      <w:r w:rsidR="00E8782D" w:rsidRPr="00623A89">
        <w:rPr>
          <w:rFonts w:cs="Arial"/>
          <w:szCs w:val="22"/>
        </w:rPr>
        <w:t>with additional information about the results of the fourteenth session of the Committee.</w:t>
      </w:r>
    </w:p>
    <w:p w14:paraId="766D000D" w14:textId="77777777" w:rsidR="00F63033" w:rsidRPr="00623A89" w:rsidRDefault="00E8782D" w:rsidP="00E8782D">
      <w:pPr>
        <w:pStyle w:val="Marge"/>
        <w:numPr>
          <w:ilvl w:val="0"/>
          <w:numId w:val="18"/>
        </w:numPr>
        <w:tabs>
          <w:tab w:val="clear" w:pos="720"/>
        </w:tabs>
        <w:spacing w:after="120"/>
        <w:ind w:left="567" w:hanging="567"/>
        <w:rPr>
          <w:rFonts w:cs="Arial"/>
          <w:szCs w:val="22"/>
        </w:rPr>
      </w:pPr>
      <w:r w:rsidRPr="00623A89">
        <w:rPr>
          <w:rFonts w:cs="Arial"/>
          <w:szCs w:val="22"/>
        </w:rPr>
        <w:t xml:space="preserve">This report should be read in conjunction with the </w:t>
      </w:r>
      <w:r w:rsidR="00F63033" w:rsidRPr="00623A89">
        <w:rPr>
          <w:rFonts w:cs="Arial"/>
          <w:szCs w:val="22"/>
        </w:rPr>
        <w:t>following:</w:t>
      </w:r>
    </w:p>
    <w:p w14:paraId="092E624E" w14:textId="357C7ECE" w:rsidR="00F63033" w:rsidRPr="001566EB" w:rsidRDefault="001A530E" w:rsidP="00EF6CD6">
      <w:pPr>
        <w:pStyle w:val="Marge"/>
        <w:numPr>
          <w:ilvl w:val="0"/>
          <w:numId w:val="31"/>
        </w:numPr>
        <w:spacing w:after="120"/>
        <w:ind w:left="1134" w:hanging="567"/>
        <w:rPr>
          <w:rFonts w:cs="Arial"/>
          <w:szCs w:val="22"/>
        </w:rPr>
      </w:pPr>
      <w:r w:rsidRPr="001566EB">
        <w:rPr>
          <w:rFonts w:cs="Arial"/>
          <w:szCs w:val="22"/>
        </w:rPr>
        <w:t xml:space="preserve">the </w:t>
      </w:r>
      <w:r w:rsidR="00E8782D" w:rsidRPr="001566EB">
        <w:rPr>
          <w:rFonts w:cs="Arial"/>
          <w:szCs w:val="22"/>
        </w:rPr>
        <w:t xml:space="preserve">reports of States Parties on the implementation of the Convention and on the current status of elements inscribed on the Representative List </w:t>
      </w:r>
      <w:r w:rsidRPr="001566EB">
        <w:rPr>
          <w:rFonts w:cs="Arial"/>
          <w:szCs w:val="22"/>
        </w:rPr>
        <w:t xml:space="preserve">of the Intangible Cultural Heritage of Humanity </w:t>
      </w:r>
      <w:r w:rsidR="00E8782D" w:rsidRPr="001566EB">
        <w:rPr>
          <w:rFonts w:cs="Arial"/>
          <w:szCs w:val="22"/>
        </w:rPr>
        <w:t>(</w:t>
      </w:r>
      <w:hyperlink r:id="rId9" w:history="1">
        <w:r w:rsidR="00E8782D" w:rsidRPr="001566EB">
          <w:rPr>
            <w:rStyle w:val="Hyperlink"/>
            <w:rFonts w:cs="Arial"/>
            <w:szCs w:val="22"/>
          </w:rPr>
          <w:t>document ITH/18/13.COM/7.a</w:t>
        </w:r>
      </w:hyperlink>
      <w:r w:rsidR="00E8782D" w:rsidRPr="001566EB">
        <w:rPr>
          <w:rFonts w:cs="Arial"/>
          <w:szCs w:val="22"/>
        </w:rPr>
        <w:t>)</w:t>
      </w:r>
      <w:r w:rsidRPr="001566EB">
        <w:rPr>
          <w:rFonts w:cs="Arial"/>
          <w:szCs w:val="22"/>
        </w:rPr>
        <w:t>;</w:t>
      </w:r>
    </w:p>
    <w:p w14:paraId="02DB72FC" w14:textId="2E465A31" w:rsidR="00F63033" w:rsidRPr="001566EB" w:rsidRDefault="00E8782D" w:rsidP="00EF6CD6">
      <w:pPr>
        <w:pStyle w:val="Marge"/>
        <w:numPr>
          <w:ilvl w:val="0"/>
          <w:numId w:val="31"/>
        </w:numPr>
        <w:spacing w:after="120"/>
        <w:ind w:left="1134" w:hanging="567"/>
        <w:rPr>
          <w:rFonts w:cs="Arial"/>
          <w:szCs w:val="22"/>
        </w:rPr>
      </w:pPr>
      <w:r w:rsidRPr="001566EB">
        <w:rPr>
          <w:rFonts w:cs="Arial"/>
          <w:szCs w:val="22"/>
        </w:rPr>
        <w:t>the reports of States Parties on the current status of elements inscribed on the</w:t>
      </w:r>
      <w:r w:rsidR="001A530E" w:rsidRPr="001566EB">
        <w:rPr>
          <w:rFonts w:cs="Arial"/>
          <w:szCs w:val="22"/>
        </w:rPr>
        <w:t xml:space="preserve"> List of Intangible Cultural Heritage in Need of</w:t>
      </w:r>
      <w:r w:rsidRPr="001566EB">
        <w:rPr>
          <w:rFonts w:cs="Arial"/>
          <w:szCs w:val="22"/>
        </w:rPr>
        <w:t xml:space="preserve"> Urgent Safeguarding (</w:t>
      </w:r>
      <w:r w:rsidRPr="00CE0462">
        <w:rPr>
          <w:rFonts w:cs="Arial"/>
          <w:szCs w:val="22"/>
        </w:rPr>
        <w:t>document</w:t>
      </w:r>
      <w:r w:rsidR="005D4660" w:rsidRPr="00CE0462">
        <w:rPr>
          <w:rFonts w:cs="Arial"/>
          <w:szCs w:val="22"/>
        </w:rPr>
        <w:t>s</w:t>
      </w:r>
      <w:r w:rsidRPr="00CE0462">
        <w:rPr>
          <w:rFonts w:cs="Arial"/>
          <w:szCs w:val="22"/>
        </w:rPr>
        <w:t> </w:t>
      </w:r>
      <w:hyperlink r:id="rId10" w:history="1">
        <w:r w:rsidRPr="00CE0462">
          <w:rPr>
            <w:rStyle w:val="Hyperlink"/>
            <w:rFonts w:cs="Arial"/>
            <w:szCs w:val="22"/>
          </w:rPr>
          <w:t>ITH/18/13.COM/7.b</w:t>
        </w:r>
      </w:hyperlink>
      <w:r w:rsidRPr="001566EB">
        <w:rPr>
          <w:rFonts w:cs="Arial"/>
          <w:szCs w:val="22"/>
        </w:rPr>
        <w:t xml:space="preserve"> </w:t>
      </w:r>
      <w:r w:rsidR="001746B7" w:rsidRPr="00CE0462">
        <w:rPr>
          <w:rFonts w:cs="Arial"/>
          <w:szCs w:val="22"/>
        </w:rPr>
        <w:t xml:space="preserve">and </w:t>
      </w:r>
      <w:hyperlink r:id="rId11" w:history="1">
        <w:r w:rsidRPr="00CE0462">
          <w:rPr>
            <w:rStyle w:val="Hyperlink"/>
            <w:rFonts w:cs="Arial"/>
            <w:szCs w:val="22"/>
          </w:rPr>
          <w:t>LHE/19/14.COM/9.a</w:t>
        </w:r>
      </w:hyperlink>
      <w:r w:rsidRPr="00CE0462">
        <w:rPr>
          <w:rFonts w:cs="Arial"/>
          <w:szCs w:val="22"/>
        </w:rPr>
        <w:t>)</w:t>
      </w:r>
      <w:r w:rsidR="001A530E" w:rsidRPr="00CE0462">
        <w:rPr>
          <w:rFonts w:cs="Arial"/>
          <w:szCs w:val="22"/>
        </w:rPr>
        <w:t>;</w:t>
      </w:r>
    </w:p>
    <w:p w14:paraId="5F7ACC54" w14:textId="0CD9AE17" w:rsidR="00F63033" w:rsidRPr="006406C1" w:rsidRDefault="00E8782D" w:rsidP="00EF6CD6">
      <w:pPr>
        <w:pStyle w:val="Marge"/>
        <w:numPr>
          <w:ilvl w:val="0"/>
          <w:numId w:val="31"/>
        </w:numPr>
        <w:spacing w:after="120"/>
        <w:ind w:left="1134" w:hanging="567"/>
        <w:rPr>
          <w:rFonts w:cs="Arial"/>
          <w:szCs w:val="22"/>
        </w:rPr>
      </w:pPr>
      <w:r w:rsidRPr="006406C1">
        <w:rPr>
          <w:rFonts w:cs="Arial"/>
          <w:szCs w:val="22"/>
        </w:rPr>
        <w:t xml:space="preserve">the </w:t>
      </w:r>
      <w:r w:rsidR="00871927">
        <w:rPr>
          <w:rFonts w:cs="Arial"/>
          <w:szCs w:val="22"/>
        </w:rPr>
        <w:t>r</w:t>
      </w:r>
      <w:r w:rsidRPr="006406C1">
        <w:rPr>
          <w:rFonts w:cs="Arial"/>
          <w:szCs w:val="22"/>
        </w:rPr>
        <w:t>eport of the Secretariat on its activities (document</w:t>
      </w:r>
      <w:r w:rsidR="005D4660">
        <w:rPr>
          <w:rFonts w:cs="Arial"/>
          <w:szCs w:val="22"/>
        </w:rPr>
        <w:t>s</w:t>
      </w:r>
      <w:r w:rsidR="001746B7">
        <w:rPr>
          <w:rFonts w:cs="Arial"/>
          <w:szCs w:val="22"/>
        </w:rPr>
        <w:t> </w:t>
      </w:r>
      <w:hyperlink r:id="rId12" w:history="1">
        <w:r w:rsidRPr="006406C1">
          <w:rPr>
            <w:rStyle w:val="Hyperlink"/>
            <w:rFonts w:cs="Arial"/>
            <w:szCs w:val="22"/>
          </w:rPr>
          <w:t>ITH/18/13.COM/5</w:t>
        </w:r>
      </w:hyperlink>
      <w:r w:rsidR="00AC017B">
        <w:rPr>
          <w:rFonts w:cs="Arial"/>
          <w:szCs w:val="22"/>
        </w:rPr>
        <w:t xml:space="preserve"> and</w:t>
      </w:r>
      <w:r w:rsidR="001746B7">
        <w:rPr>
          <w:rFonts w:cs="Arial"/>
          <w:szCs w:val="22"/>
        </w:rPr>
        <w:t xml:space="preserve"> </w:t>
      </w:r>
      <w:hyperlink r:id="rId13" w:history="1">
        <w:r w:rsidRPr="00CE0462">
          <w:rPr>
            <w:rFonts w:cs="Arial"/>
            <w:color w:val="0000FF"/>
            <w:szCs w:val="22"/>
            <w:u w:val="single"/>
          </w:rPr>
          <w:t>LHE/19/14.COM/5.b</w:t>
        </w:r>
      </w:hyperlink>
      <w:r w:rsidRPr="00CE0462">
        <w:rPr>
          <w:rFonts w:cs="Arial"/>
          <w:szCs w:val="22"/>
        </w:rPr>
        <w:t>)</w:t>
      </w:r>
      <w:r w:rsidR="001A530E" w:rsidRPr="00CE0462">
        <w:rPr>
          <w:rFonts w:cs="Arial"/>
          <w:szCs w:val="22"/>
        </w:rPr>
        <w:t>;</w:t>
      </w:r>
    </w:p>
    <w:p w14:paraId="45150969" w14:textId="44D8E189" w:rsidR="00F63033" w:rsidRPr="00CA7D7A" w:rsidRDefault="00E8782D" w:rsidP="00EF6CD6">
      <w:pPr>
        <w:pStyle w:val="Marge"/>
        <w:numPr>
          <w:ilvl w:val="0"/>
          <w:numId w:val="31"/>
        </w:numPr>
        <w:spacing w:after="120"/>
        <w:ind w:left="1134" w:hanging="567"/>
        <w:rPr>
          <w:rFonts w:cs="Arial"/>
          <w:szCs w:val="22"/>
        </w:rPr>
      </w:pPr>
      <w:r w:rsidRPr="00CA7D7A">
        <w:rPr>
          <w:rFonts w:cs="Arial"/>
          <w:szCs w:val="22"/>
        </w:rPr>
        <w:t xml:space="preserve">the financial report of the Intangible Cultural Heritage Fund (as an annex to </w:t>
      </w:r>
      <w:hyperlink r:id="rId14" w:history="1">
        <w:r w:rsidRPr="00CE0462">
          <w:rPr>
            <w:rStyle w:val="Hyperlink"/>
            <w:rFonts w:cs="Arial"/>
            <w:szCs w:val="22"/>
          </w:rPr>
          <w:t>document</w:t>
        </w:r>
        <w:r w:rsidR="008F2A14" w:rsidRPr="00CE0462">
          <w:rPr>
            <w:rStyle w:val="Hyperlink"/>
            <w:rFonts w:cs="Arial"/>
            <w:szCs w:val="22"/>
          </w:rPr>
          <w:t> </w:t>
        </w:r>
        <w:r w:rsidRPr="00CE0462">
          <w:rPr>
            <w:rStyle w:val="Hyperlink"/>
            <w:rFonts w:cs="Arial"/>
            <w:szCs w:val="22"/>
          </w:rPr>
          <w:t>LHE/19/14.COM/7</w:t>
        </w:r>
      </w:hyperlink>
      <w:r w:rsidRPr="00CE0462">
        <w:rPr>
          <w:rFonts w:cs="Arial"/>
          <w:szCs w:val="22"/>
        </w:rPr>
        <w:t>)</w:t>
      </w:r>
      <w:r w:rsidR="001A530E" w:rsidRPr="00CE0462">
        <w:rPr>
          <w:rFonts w:cs="Arial"/>
          <w:szCs w:val="22"/>
        </w:rPr>
        <w:t>;</w:t>
      </w:r>
    </w:p>
    <w:p w14:paraId="4AA5FDD1" w14:textId="54CF3D4F" w:rsidR="00E8782D" w:rsidRPr="006406C1" w:rsidRDefault="00E8782D" w:rsidP="00EF6CD6">
      <w:pPr>
        <w:pStyle w:val="Marge"/>
        <w:numPr>
          <w:ilvl w:val="0"/>
          <w:numId w:val="31"/>
        </w:numPr>
        <w:spacing w:after="120"/>
        <w:ind w:left="1134" w:hanging="567"/>
        <w:rPr>
          <w:rFonts w:cs="Arial"/>
          <w:szCs w:val="22"/>
        </w:rPr>
      </w:pPr>
      <w:r w:rsidRPr="00CA7D7A">
        <w:rPr>
          <w:rFonts w:cs="Arial"/>
          <w:szCs w:val="22"/>
        </w:rPr>
        <w:t>the follow-up</w:t>
      </w:r>
      <w:r w:rsidRPr="00614378">
        <w:rPr>
          <w:rFonts w:cs="Arial"/>
          <w:szCs w:val="22"/>
        </w:rPr>
        <w:t xml:space="preserve"> on the implementation of the relevant recommendations of the Open-Ended Working Group on the Governance, Procedures and Working Methods of the Governing Bodies of UNESCO (</w:t>
      </w:r>
      <w:hyperlink r:id="rId15" w:history="1">
        <w:r w:rsidRPr="00CE0462">
          <w:rPr>
            <w:rStyle w:val="Hyperlink"/>
            <w:rFonts w:cs="Arial"/>
            <w:szCs w:val="22"/>
          </w:rPr>
          <w:t>document</w:t>
        </w:r>
        <w:r w:rsidR="008F2A14" w:rsidRPr="00CE0462">
          <w:rPr>
            <w:rStyle w:val="Hyperlink"/>
            <w:rFonts w:cs="Arial"/>
            <w:szCs w:val="22"/>
          </w:rPr>
          <w:t> </w:t>
        </w:r>
        <w:r w:rsidRPr="00CE0462">
          <w:rPr>
            <w:rStyle w:val="Hyperlink"/>
            <w:rFonts w:cs="Arial"/>
            <w:szCs w:val="22"/>
          </w:rPr>
          <w:t>LHE/19/14.COM/</w:t>
        </w:r>
        <w:r w:rsidR="009C3718" w:rsidRPr="00CE0462">
          <w:rPr>
            <w:rStyle w:val="Hyperlink"/>
            <w:rFonts w:cs="Arial"/>
            <w:szCs w:val="22"/>
          </w:rPr>
          <w:t>19</w:t>
        </w:r>
      </w:hyperlink>
      <w:r w:rsidRPr="00CE0462">
        <w:rPr>
          <w:rFonts w:cs="Arial"/>
          <w:szCs w:val="22"/>
        </w:rPr>
        <w:t>).</w:t>
      </w:r>
    </w:p>
    <w:p w14:paraId="5D072253" w14:textId="77777777" w:rsidR="00E8782D" w:rsidRPr="00CA7D7A" w:rsidRDefault="00E8782D" w:rsidP="00E8782D">
      <w:pPr>
        <w:pStyle w:val="COMPara"/>
        <w:numPr>
          <w:ilvl w:val="0"/>
          <w:numId w:val="18"/>
        </w:numPr>
        <w:ind w:left="567" w:hanging="567"/>
      </w:pPr>
      <w:r w:rsidRPr="00CA7D7A">
        <w:t>The Committee may wish to adopt the following decision:</w:t>
      </w:r>
    </w:p>
    <w:p w14:paraId="75BCBD77" w14:textId="77777777" w:rsidR="00E8782D" w:rsidRPr="00CA7D7A" w:rsidRDefault="00E232F6" w:rsidP="00E8782D">
      <w:pPr>
        <w:pStyle w:val="COMTitleDecision"/>
        <w:rPr>
          <w:rFonts w:eastAsiaTheme="minorEastAsia"/>
        </w:rPr>
      </w:pPr>
      <w:r w:rsidRPr="00CA7D7A">
        <w:t>DRAFT DECISION 14.COM 5.a</w:t>
      </w:r>
    </w:p>
    <w:p w14:paraId="64BD6CF9" w14:textId="77777777" w:rsidR="00E8782D" w:rsidRPr="00CA7D7A" w:rsidRDefault="00E8782D" w:rsidP="00E8782D">
      <w:pPr>
        <w:pStyle w:val="COMPreambulaDecisions"/>
        <w:rPr>
          <w:rFonts w:eastAsia="SimSun"/>
        </w:rPr>
      </w:pPr>
      <w:r w:rsidRPr="00CA7D7A">
        <w:t>The Committee,</w:t>
      </w:r>
    </w:p>
    <w:p w14:paraId="520A7847" w14:textId="7BB86FF4" w:rsidR="00E8782D" w:rsidRPr="00614378" w:rsidRDefault="00E8782D" w:rsidP="00E8782D">
      <w:pPr>
        <w:pStyle w:val="COMParaDecision"/>
        <w:jc w:val="left"/>
      </w:pPr>
      <w:r w:rsidRPr="00CA7D7A">
        <w:t>Having examined</w:t>
      </w:r>
      <w:r w:rsidRPr="00614378">
        <w:rPr>
          <w:u w:val="none"/>
        </w:rPr>
        <w:t xml:space="preserve"> document LHE/19/14.COM/5.a</w:t>
      </w:r>
      <w:r w:rsidR="00754DC2">
        <w:rPr>
          <w:u w:val="none"/>
        </w:rPr>
        <w:t xml:space="preserve"> Rev.</w:t>
      </w:r>
      <w:r w:rsidRPr="00614378">
        <w:rPr>
          <w:u w:val="none"/>
        </w:rPr>
        <w:t>,</w:t>
      </w:r>
    </w:p>
    <w:p w14:paraId="76B5243D" w14:textId="77777777" w:rsidR="00E8782D" w:rsidRPr="00614378" w:rsidRDefault="00E8782D" w:rsidP="00E8782D">
      <w:pPr>
        <w:pStyle w:val="COMParaDecision"/>
        <w:jc w:val="left"/>
      </w:pPr>
      <w:r w:rsidRPr="00614378">
        <w:t>Recalling</w:t>
      </w:r>
      <w:r w:rsidRPr="00614378">
        <w:rPr>
          <w:u w:val="none"/>
        </w:rPr>
        <w:t xml:space="preserve"> Article 30 of the Convention,</w:t>
      </w:r>
    </w:p>
    <w:p w14:paraId="1E3C404F" w14:textId="4E4FBCE4" w:rsidR="00E8782D" w:rsidRPr="00E60E46" w:rsidRDefault="00E8782D" w:rsidP="00E8782D">
      <w:pPr>
        <w:pStyle w:val="COMParaDecision"/>
        <w:jc w:val="left"/>
      </w:pPr>
      <w:r w:rsidRPr="00E60E46">
        <w:t>Welcomes</w:t>
      </w:r>
      <w:r w:rsidRPr="00E60E46">
        <w:rPr>
          <w:u w:val="none"/>
        </w:rPr>
        <w:t xml:space="preserve"> the three States that have ratified the Convention since January</w:t>
      </w:r>
      <w:r w:rsidR="00B028EA" w:rsidRPr="00E60E46">
        <w:rPr>
          <w:u w:val="none"/>
        </w:rPr>
        <w:t xml:space="preserve"> 2018</w:t>
      </w:r>
      <w:r w:rsidRPr="00E60E46">
        <w:rPr>
          <w:u w:val="none"/>
        </w:rPr>
        <w:t>;</w:t>
      </w:r>
    </w:p>
    <w:p w14:paraId="78EC1FA8" w14:textId="3A772AF2" w:rsidR="00683955" w:rsidRPr="00E60E46" w:rsidRDefault="00E8782D" w:rsidP="00E8782D">
      <w:pPr>
        <w:pStyle w:val="COMParaDecision"/>
        <w:jc w:val="left"/>
      </w:pPr>
      <w:r w:rsidRPr="00E60E46">
        <w:t>Adopts</w:t>
      </w:r>
      <w:r w:rsidRPr="00E60E46">
        <w:rPr>
          <w:u w:val="none"/>
        </w:rPr>
        <w:t xml:space="preserve"> the report on its activities </w:t>
      </w:r>
      <w:r w:rsidR="00B97968" w:rsidRPr="00E60E46">
        <w:rPr>
          <w:u w:val="none"/>
        </w:rPr>
        <w:t xml:space="preserve">undertaken </w:t>
      </w:r>
      <w:r w:rsidRPr="00E60E46">
        <w:rPr>
          <w:u w:val="none"/>
        </w:rPr>
        <w:t>in 2018 and 2019</w:t>
      </w:r>
      <w:r w:rsidR="00683955" w:rsidRPr="00E60E46">
        <w:rPr>
          <w:u w:val="none"/>
        </w:rPr>
        <w:t xml:space="preserve"> </w:t>
      </w:r>
      <w:r w:rsidR="00683955" w:rsidRPr="000D5412">
        <w:rPr>
          <w:u w:val="none"/>
        </w:rPr>
        <w:t xml:space="preserve">and </w:t>
      </w:r>
      <w:r w:rsidR="00683955" w:rsidRPr="000D5412">
        <w:t>requests</w:t>
      </w:r>
      <w:r w:rsidR="00683955" w:rsidRPr="000D5412">
        <w:rPr>
          <w:u w:val="none"/>
        </w:rPr>
        <w:t xml:space="preserve"> that the Secretariat </w:t>
      </w:r>
      <w:r w:rsidR="001B7AC4" w:rsidRPr="000D5412">
        <w:rPr>
          <w:u w:val="none"/>
        </w:rPr>
        <w:t xml:space="preserve">present it </w:t>
      </w:r>
      <w:r w:rsidR="00BE1A11" w:rsidRPr="000D5412">
        <w:rPr>
          <w:u w:val="none"/>
        </w:rPr>
        <w:t>for examination by</w:t>
      </w:r>
      <w:r w:rsidR="00683955" w:rsidRPr="000D5412">
        <w:rPr>
          <w:u w:val="none"/>
        </w:rPr>
        <w:t xml:space="preserve"> </w:t>
      </w:r>
      <w:r w:rsidR="009E35F0" w:rsidRPr="000D5412">
        <w:rPr>
          <w:u w:val="none"/>
        </w:rPr>
        <w:t>the eighth session of the General Assembly</w:t>
      </w:r>
      <w:r w:rsidR="00366018" w:rsidRPr="00BE1A11">
        <w:rPr>
          <w:u w:val="none"/>
        </w:rPr>
        <w:t>.</w:t>
      </w:r>
    </w:p>
    <w:p w14:paraId="10472F2D" w14:textId="77777777" w:rsidR="00E232F6" w:rsidRPr="001566EB" w:rsidRDefault="00E232F6" w:rsidP="002318BB">
      <w:pPr>
        <w:pageBreakBefore/>
        <w:spacing w:after="240"/>
        <w:jc w:val="center"/>
        <w:rPr>
          <w:rFonts w:ascii="Arial" w:hAnsi="Arial" w:cs="Arial"/>
          <w:sz w:val="22"/>
          <w:szCs w:val="22"/>
        </w:rPr>
      </w:pPr>
      <w:r w:rsidRPr="002300C4">
        <w:rPr>
          <w:rFonts w:ascii="Arial" w:hAnsi="Arial" w:cs="Arial"/>
          <w:b/>
          <w:bCs/>
          <w:sz w:val="22"/>
          <w:szCs w:val="22"/>
          <w:u w:val="single"/>
        </w:rPr>
        <w:lastRenderedPageBreak/>
        <w:t>ANNEX</w:t>
      </w:r>
    </w:p>
    <w:p w14:paraId="15E99CCE" w14:textId="77777777" w:rsidR="00E232F6" w:rsidRPr="001566EB" w:rsidRDefault="00E232F6" w:rsidP="00E232F6">
      <w:pPr>
        <w:spacing w:after="360"/>
        <w:jc w:val="center"/>
        <w:rPr>
          <w:rFonts w:ascii="Arial" w:hAnsi="Arial" w:cs="Arial"/>
          <w:sz w:val="22"/>
          <w:szCs w:val="22"/>
        </w:rPr>
      </w:pPr>
      <w:r w:rsidRPr="006406C1">
        <w:rPr>
          <w:rFonts w:ascii="Arial" w:hAnsi="Arial" w:cs="Arial"/>
          <w:b/>
          <w:bCs/>
          <w:sz w:val="22"/>
          <w:szCs w:val="22"/>
        </w:rPr>
        <w:t>Draft report by the Committee to the General Assembly on its activities</w:t>
      </w:r>
    </w:p>
    <w:p w14:paraId="3E313AF1" w14:textId="04D0DC68" w:rsidR="00E232F6" w:rsidRPr="006406C1" w:rsidRDefault="00E232F6" w:rsidP="00976F22">
      <w:pPr>
        <w:pStyle w:val="Marge"/>
        <w:numPr>
          <w:ilvl w:val="0"/>
          <w:numId w:val="19"/>
        </w:numPr>
        <w:tabs>
          <w:tab w:val="clear" w:pos="502"/>
          <w:tab w:val="num" w:pos="567"/>
        </w:tabs>
        <w:spacing w:after="120"/>
        <w:ind w:left="567" w:hanging="567"/>
        <w:rPr>
          <w:rFonts w:cs="Arial"/>
          <w:szCs w:val="22"/>
        </w:rPr>
      </w:pPr>
      <w:r w:rsidRPr="006406C1">
        <w:rPr>
          <w:rFonts w:cs="Arial"/>
          <w:szCs w:val="22"/>
        </w:rPr>
        <w:t xml:space="preserve">The functions of the Committee are set out in the 2003 Convention for the Safeguarding of the Intangible Cultural Heritage, in particular in Article 7. This report follows the order of functions set out </w:t>
      </w:r>
      <w:r w:rsidR="00C42892" w:rsidRPr="006406C1">
        <w:rPr>
          <w:rFonts w:cs="Arial"/>
          <w:szCs w:val="22"/>
        </w:rPr>
        <w:t>in that article</w:t>
      </w:r>
      <w:r w:rsidRPr="006406C1">
        <w:rPr>
          <w:rFonts w:cs="Arial"/>
          <w:szCs w:val="22"/>
        </w:rPr>
        <w:t>.</w:t>
      </w:r>
    </w:p>
    <w:p w14:paraId="01AEFA8F" w14:textId="0D7AA802" w:rsidR="00322647" w:rsidRPr="00147BE7" w:rsidRDefault="00E232F6" w:rsidP="00976F22">
      <w:pPr>
        <w:pStyle w:val="Marge"/>
        <w:numPr>
          <w:ilvl w:val="0"/>
          <w:numId w:val="19"/>
        </w:numPr>
        <w:tabs>
          <w:tab w:val="clear" w:pos="502"/>
          <w:tab w:val="num" w:pos="567"/>
        </w:tabs>
        <w:spacing w:after="120"/>
        <w:ind w:left="567" w:hanging="567"/>
        <w:rPr>
          <w:rFonts w:cs="Arial"/>
          <w:szCs w:val="22"/>
        </w:rPr>
      </w:pPr>
      <w:r w:rsidRPr="00CA7D7A">
        <w:rPr>
          <w:rFonts w:cs="Arial"/>
          <w:szCs w:val="22"/>
        </w:rPr>
        <w:t xml:space="preserve">In 2018, the General Assembly renewed half of the </w:t>
      </w:r>
      <w:r w:rsidR="0037757E">
        <w:rPr>
          <w:rFonts w:cs="Arial"/>
          <w:szCs w:val="22"/>
        </w:rPr>
        <w:t>24</w:t>
      </w:r>
      <w:r w:rsidRPr="00CA7D7A">
        <w:rPr>
          <w:rFonts w:cs="Arial"/>
          <w:szCs w:val="22"/>
        </w:rPr>
        <w:t xml:space="preserve"> members of the Committee by electing </w:t>
      </w:r>
      <w:r w:rsidR="00755A7D">
        <w:rPr>
          <w:rFonts w:cs="Arial"/>
          <w:szCs w:val="22"/>
        </w:rPr>
        <w:t>12</w:t>
      </w:r>
      <w:r w:rsidRPr="00CA7D7A">
        <w:rPr>
          <w:rFonts w:cs="Arial"/>
          <w:szCs w:val="22"/>
        </w:rPr>
        <w:t xml:space="preserve"> States Parties to serve a term of four years. The </w:t>
      </w:r>
      <w:r w:rsidR="0037757E">
        <w:rPr>
          <w:rFonts w:cs="Arial"/>
          <w:szCs w:val="22"/>
        </w:rPr>
        <w:t>24</w:t>
      </w:r>
      <w:r w:rsidRPr="00CA7D7A">
        <w:rPr>
          <w:rFonts w:cs="Arial"/>
          <w:szCs w:val="22"/>
        </w:rPr>
        <w:t xml:space="preserve"> members of the Committee, during the period June 2018 to June 2020, were: Armenia, Austria, Azerbaijan</w:t>
      </w:r>
      <w:r w:rsidR="00C92F0D" w:rsidRPr="00CA7D7A">
        <w:rPr>
          <w:rFonts w:cs="Arial"/>
          <w:szCs w:val="22"/>
        </w:rPr>
        <w:t>*</w:t>
      </w:r>
      <w:r w:rsidRPr="00CA7D7A">
        <w:rPr>
          <w:rFonts w:cs="Arial"/>
          <w:szCs w:val="22"/>
        </w:rPr>
        <w:t>, Cameroon</w:t>
      </w:r>
      <w:r w:rsidR="00C92F0D" w:rsidRPr="00614378">
        <w:rPr>
          <w:rFonts w:cs="Arial"/>
          <w:szCs w:val="22"/>
        </w:rPr>
        <w:t>*</w:t>
      </w:r>
      <w:r w:rsidRPr="00614378">
        <w:rPr>
          <w:rFonts w:cs="Arial"/>
          <w:szCs w:val="22"/>
        </w:rPr>
        <w:t>, China</w:t>
      </w:r>
      <w:r w:rsidR="0037757E">
        <w:rPr>
          <w:rFonts w:cs="Arial"/>
          <w:szCs w:val="22"/>
        </w:rPr>
        <w:t>*</w:t>
      </w:r>
      <w:r w:rsidRPr="00614378">
        <w:rPr>
          <w:rFonts w:cs="Arial"/>
          <w:szCs w:val="22"/>
        </w:rPr>
        <w:t>, Colombia, Cuba, Cyprus, Djibouti</w:t>
      </w:r>
      <w:r w:rsidR="00C92F0D" w:rsidRPr="00614378">
        <w:rPr>
          <w:rFonts w:cs="Arial"/>
          <w:szCs w:val="22"/>
        </w:rPr>
        <w:t>*</w:t>
      </w:r>
      <w:r w:rsidRPr="00614378">
        <w:rPr>
          <w:rFonts w:cs="Arial"/>
          <w:szCs w:val="22"/>
        </w:rPr>
        <w:t>, Guatemala, Jamaica</w:t>
      </w:r>
      <w:r w:rsidR="00C92F0D" w:rsidRPr="00614378">
        <w:rPr>
          <w:rFonts w:cs="Arial"/>
          <w:szCs w:val="22"/>
        </w:rPr>
        <w:t>*</w:t>
      </w:r>
      <w:r w:rsidRPr="00614378">
        <w:rPr>
          <w:rFonts w:cs="Arial"/>
          <w:szCs w:val="22"/>
        </w:rPr>
        <w:t>, Japan</w:t>
      </w:r>
      <w:r w:rsidR="00C92F0D" w:rsidRPr="002300C4">
        <w:rPr>
          <w:rFonts w:cs="Arial"/>
          <w:szCs w:val="22"/>
        </w:rPr>
        <w:t>*</w:t>
      </w:r>
      <w:r w:rsidRPr="002300C4">
        <w:rPr>
          <w:rFonts w:cs="Arial"/>
          <w:szCs w:val="22"/>
        </w:rPr>
        <w:t>, Kazakhstan</w:t>
      </w:r>
      <w:r w:rsidR="00C92F0D" w:rsidRPr="002300C4">
        <w:rPr>
          <w:rFonts w:cs="Arial"/>
          <w:szCs w:val="22"/>
        </w:rPr>
        <w:t>*</w:t>
      </w:r>
      <w:r w:rsidRPr="002300C4">
        <w:rPr>
          <w:rFonts w:cs="Arial"/>
          <w:szCs w:val="22"/>
        </w:rPr>
        <w:t>, Kuwait</w:t>
      </w:r>
      <w:r w:rsidR="00C92F0D" w:rsidRPr="002300C4">
        <w:rPr>
          <w:rFonts w:cs="Arial"/>
          <w:szCs w:val="22"/>
        </w:rPr>
        <w:t>*</w:t>
      </w:r>
      <w:r w:rsidRPr="002300C4">
        <w:rPr>
          <w:rFonts w:cs="Arial"/>
          <w:szCs w:val="22"/>
        </w:rPr>
        <w:t>, Lebanon, Mauritius, the Netherlands</w:t>
      </w:r>
      <w:r w:rsidR="00C92F0D" w:rsidRPr="002300C4">
        <w:rPr>
          <w:rFonts w:cs="Arial"/>
          <w:szCs w:val="22"/>
        </w:rPr>
        <w:t>*</w:t>
      </w:r>
      <w:r w:rsidRPr="002300C4">
        <w:rPr>
          <w:rFonts w:cs="Arial"/>
          <w:szCs w:val="22"/>
        </w:rPr>
        <w:t>, Palestine, the Philippines, Poland</w:t>
      </w:r>
      <w:r w:rsidR="00C92F0D" w:rsidRPr="00147BE7">
        <w:rPr>
          <w:rFonts w:cs="Arial"/>
          <w:szCs w:val="22"/>
        </w:rPr>
        <w:t>*</w:t>
      </w:r>
      <w:r w:rsidRPr="00147BE7">
        <w:rPr>
          <w:rFonts w:cs="Arial"/>
          <w:szCs w:val="22"/>
        </w:rPr>
        <w:t>, Senegal, Sri Lanka</w:t>
      </w:r>
      <w:r w:rsidR="00C92F0D" w:rsidRPr="00147BE7">
        <w:rPr>
          <w:rFonts w:cs="Arial"/>
          <w:szCs w:val="22"/>
        </w:rPr>
        <w:t>*</w:t>
      </w:r>
      <w:r w:rsidRPr="00147BE7">
        <w:rPr>
          <w:rFonts w:cs="Arial"/>
          <w:szCs w:val="22"/>
        </w:rPr>
        <w:t>, Togo</w:t>
      </w:r>
      <w:r w:rsidR="00C92F0D" w:rsidRPr="00147BE7">
        <w:rPr>
          <w:rFonts w:cs="Arial"/>
          <w:szCs w:val="22"/>
        </w:rPr>
        <w:t>*</w:t>
      </w:r>
      <w:r w:rsidRPr="00147BE7">
        <w:rPr>
          <w:rFonts w:cs="Arial"/>
          <w:szCs w:val="22"/>
        </w:rPr>
        <w:t xml:space="preserve"> and Zambia</w:t>
      </w:r>
      <w:r w:rsidR="00C92F0D" w:rsidRPr="00147BE7">
        <w:rPr>
          <w:rFonts w:cs="Arial"/>
          <w:szCs w:val="22"/>
        </w:rPr>
        <w:t xml:space="preserve"> </w:t>
      </w:r>
      <w:r w:rsidR="00C92F0D" w:rsidRPr="001566EB">
        <w:rPr>
          <w:rFonts w:cs="Arial"/>
          <w:szCs w:val="22"/>
        </w:rPr>
        <w:t>(those committee members indicated with an asterisk ha</w:t>
      </w:r>
      <w:r w:rsidR="000A61F7" w:rsidRPr="001566EB">
        <w:rPr>
          <w:rFonts w:cs="Arial"/>
          <w:szCs w:val="22"/>
        </w:rPr>
        <w:t>ve</w:t>
      </w:r>
      <w:r w:rsidR="00C92F0D" w:rsidRPr="001566EB">
        <w:rPr>
          <w:rFonts w:cs="Arial"/>
          <w:szCs w:val="22"/>
        </w:rPr>
        <w:t xml:space="preserve"> a mandate between 2018 and 2022; the mandate for those without an asterisk is between 2016 and 2020)</w:t>
      </w:r>
      <w:r w:rsidRPr="00147BE7">
        <w:rPr>
          <w:rFonts w:cs="Arial"/>
          <w:szCs w:val="22"/>
        </w:rPr>
        <w:t>.</w:t>
      </w:r>
    </w:p>
    <w:p w14:paraId="30CEEC9C" w14:textId="1A53010B" w:rsidR="00E232F6" w:rsidRPr="00147BE7" w:rsidRDefault="00E232F6" w:rsidP="00976F22">
      <w:pPr>
        <w:pStyle w:val="Marge"/>
        <w:numPr>
          <w:ilvl w:val="0"/>
          <w:numId w:val="19"/>
        </w:numPr>
        <w:tabs>
          <w:tab w:val="clear" w:pos="502"/>
          <w:tab w:val="num" w:pos="567"/>
        </w:tabs>
        <w:spacing w:after="120"/>
        <w:ind w:left="567" w:hanging="567"/>
        <w:rPr>
          <w:rFonts w:cs="Arial"/>
          <w:szCs w:val="22"/>
        </w:rPr>
      </w:pPr>
      <w:r w:rsidRPr="00147BE7">
        <w:rPr>
          <w:rFonts w:cs="Arial"/>
          <w:szCs w:val="22"/>
        </w:rPr>
        <w:t>During the reporting period, the Committee met twice: in Port Louis, Republic of Mauritius, from 26 November to 1 December</w:t>
      </w:r>
      <w:r w:rsidR="00DB7B26" w:rsidRPr="00147BE7">
        <w:rPr>
          <w:rFonts w:cs="Arial"/>
          <w:szCs w:val="22"/>
        </w:rPr>
        <w:t> </w:t>
      </w:r>
      <w:r w:rsidRPr="00147BE7">
        <w:rPr>
          <w:rFonts w:cs="Arial"/>
          <w:szCs w:val="22"/>
        </w:rPr>
        <w:t xml:space="preserve">2018 for its thirteenth session (13.COM), and in Bogotá, </w:t>
      </w:r>
      <w:r w:rsidR="00FE3F03" w:rsidRPr="001566EB">
        <w:rPr>
          <w:rFonts w:cs="Arial"/>
          <w:szCs w:val="22"/>
        </w:rPr>
        <w:t>Republic of</w:t>
      </w:r>
      <w:r w:rsidR="00FE3F03" w:rsidRPr="00147BE7">
        <w:rPr>
          <w:rFonts w:cs="Arial"/>
          <w:szCs w:val="22"/>
        </w:rPr>
        <w:t xml:space="preserve"> </w:t>
      </w:r>
      <w:r w:rsidRPr="00147BE7">
        <w:rPr>
          <w:rFonts w:cs="Arial"/>
          <w:szCs w:val="22"/>
        </w:rPr>
        <w:t>Colombia, from 9 to 14</w:t>
      </w:r>
      <w:r w:rsidR="00DB7B26" w:rsidRPr="00147BE7">
        <w:rPr>
          <w:rFonts w:cs="Arial"/>
          <w:szCs w:val="22"/>
        </w:rPr>
        <w:t> </w:t>
      </w:r>
      <w:r w:rsidRPr="00147BE7">
        <w:rPr>
          <w:rFonts w:cs="Arial"/>
          <w:szCs w:val="22"/>
        </w:rPr>
        <w:t>December</w:t>
      </w:r>
      <w:r w:rsidR="00DB7B26" w:rsidRPr="00147BE7">
        <w:rPr>
          <w:rFonts w:cs="Arial"/>
          <w:szCs w:val="22"/>
        </w:rPr>
        <w:t> </w:t>
      </w:r>
      <w:r w:rsidRPr="00147BE7">
        <w:rPr>
          <w:rFonts w:cs="Arial"/>
          <w:szCs w:val="22"/>
        </w:rPr>
        <w:t>2019 for its fourteenth session (14.COM).</w:t>
      </w:r>
    </w:p>
    <w:p w14:paraId="0D57DA0B" w14:textId="0EB3D74B" w:rsidR="00176239" w:rsidRPr="00B460B1" w:rsidRDefault="00E232F6" w:rsidP="00976F22">
      <w:pPr>
        <w:pStyle w:val="Marge"/>
        <w:numPr>
          <w:ilvl w:val="0"/>
          <w:numId w:val="19"/>
        </w:numPr>
        <w:tabs>
          <w:tab w:val="clear" w:pos="502"/>
          <w:tab w:val="num" w:pos="567"/>
        </w:tabs>
        <w:spacing w:after="120"/>
        <w:ind w:left="567" w:hanging="567"/>
        <w:rPr>
          <w:rFonts w:cs="Arial"/>
          <w:szCs w:val="22"/>
        </w:rPr>
      </w:pPr>
      <w:r w:rsidRPr="00147BE7">
        <w:rPr>
          <w:rFonts w:cs="Arial"/>
          <w:szCs w:val="22"/>
        </w:rPr>
        <w:t xml:space="preserve">The Bureau of the thirteenth session of the Committee was elected at the end of the twelfth session in December 2017 in </w:t>
      </w:r>
      <w:proofErr w:type="spellStart"/>
      <w:r w:rsidRPr="00147BE7">
        <w:rPr>
          <w:rFonts w:cs="Arial"/>
          <w:szCs w:val="22"/>
        </w:rPr>
        <w:t>Jeju</w:t>
      </w:r>
      <w:proofErr w:type="spellEnd"/>
      <w:r w:rsidRPr="00147BE7">
        <w:rPr>
          <w:rFonts w:cs="Arial"/>
          <w:szCs w:val="22"/>
        </w:rPr>
        <w:t xml:space="preserve"> Island, Republic of Korea, and was composed of: H.E. Mr </w:t>
      </w:r>
      <w:proofErr w:type="spellStart"/>
      <w:r w:rsidRPr="00147BE7">
        <w:rPr>
          <w:rFonts w:cs="Arial"/>
          <w:szCs w:val="22"/>
        </w:rPr>
        <w:t>Prithvi</w:t>
      </w:r>
      <w:r w:rsidRPr="00B460B1">
        <w:rPr>
          <w:rFonts w:cs="Arial"/>
          <w:szCs w:val="22"/>
        </w:rPr>
        <w:t>rajsing</w:t>
      </w:r>
      <w:proofErr w:type="spellEnd"/>
      <w:r w:rsidRPr="00B460B1">
        <w:rPr>
          <w:rFonts w:cs="Arial"/>
          <w:szCs w:val="22"/>
        </w:rPr>
        <w:t xml:space="preserve"> </w:t>
      </w:r>
      <w:proofErr w:type="spellStart"/>
      <w:r w:rsidRPr="00B460B1">
        <w:rPr>
          <w:rFonts w:cs="Arial"/>
          <w:szCs w:val="22"/>
        </w:rPr>
        <w:t>Roopun</w:t>
      </w:r>
      <w:proofErr w:type="spellEnd"/>
      <w:r w:rsidRPr="00B460B1">
        <w:rPr>
          <w:rFonts w:cs="Arial"/>
          <w:szCs w:val="22"/>
        </w:rPr>
        <w:t xml:space="preserve"> (Republic of Mauritius) as Chairperson; Cyprus, Armenia, Guatemala, the Philippines and Lebanon as Vice-Chair</w:t>
      </w:r>
      <w:r w:rsidR="00FE3F03" w:rsidRPr="00B460B1">
        <w:rPr>
          <w:rFonts w:cs="Arial"/>
          <w:szCs w:val="22"/>
        </w:rPr>
        <w:t>persons</w:t>
      </w:r>
      <w:r w:rsidRPr="00B460B1">
        <w:rPr>
          <w:rFonts w:cs="Arial"/>
          <w:szCs w:val="22"/>
        </w:rPr>
        <w:t xml:space="preserve">; and Ms Gabriele </w:t>
      </w:r>
      <w:proofErr w:type="spellStart"/>
      <w:r w:rsidRPr="00B460B1">
        <w:rPr>
          <w:rFonts w:cs="Arial"/>
          <w:szCs w:val="22"/>
        </w:rPr>
        <w:t>Detschmann</w:t>
      </w:r>
      <w:proofErr w:type="spellEnd"/>
      <w:r w:rsidRPr="00B460B1">
        <w:rPr>
          <w:rFonts w:cs="Arial"/>
          <w:szCs w:val="22"/>
        </w:rPr>
        <w:t xml:space="preserve"> (Austria) as Rapporteur.</w:t>
      </w:r>
    </w:p>
    <w:p w14:paraId="7E549968" w14:textId="2E4A546F" w:rsidR="00E232F6" w:rsidRPr="00722641" w:rsidRDefault="00E232F6" w:rsidP="00976F22">
      <w:pPr>
        <w:pStyle w:val="Marge"/>
        <w:numPr>
          <w:ilvl w:val="0"/>
          <w:numId w:val="19"/>
        </w:numPr>
        <w:tabs>
          <w:tab w:val="clear" w:pos="502"/>
          <w:tab w:val="num" w:pos="567"/>
        </w:tabs>
        <w:spacing w:after="120"/>
        <w:ind w:left="567" w:hanging="567"/>
        <w:rPr>
          <w:rFonts w:cs="Arial"/>
          <w:szCs w:val="22"/>
        </w:rPr>
      </w:pPr>
      <w:r w:rsidRPr="00B460B1">
        <w:rPr>
          <w:rFonts w:cs="Arial"/>
          <w:szCs w:val="22"/>
        </w:rPr>
        <w:t>The Bureau of the fourteenth session of the Committee was elected at the end of the thirteenth session in December 2018 in Port Louis, Republic of Mauritius, and was composed of: Ms</w:t>
      </w:r>
      <w:r w:rsidR="00C21090">
        <w:rPr>
          <w:rFonts w:cs="Arial"/>
          <w:szCs w:val="22"/>
        </w:rPr>
        <w:t> </w:t>
      </w:r>
      <w:proofErr w:type="spellStart"/>
      <w:r w:rsidRPr="00B460B1">
        <w:rPr>
          <w:rFonts w:cs="Arial"/>
          <w:szCs w:val="22"/>
        </w:rPr>
        <w:t>María</w:t>
      </w:r>
      <w:proofErr w:type="spellEnd"/>
      <w:r w:rsidRPr="00B460B1">
        <w:rPr>
          <w:rFonts w:cs="Arial"/>
          <w:szCs w:val="22"/>
        </w:rPr>
        <w:t xml:space="preserve"> Claudia Lopez </w:t>
      </w:r>
      <w:proofErr w:type="spellStart"/>
      <w:r w:rsidRPr="00B460B1">
        <w:rPr>
          <w:rFonts w:cs="Arial"/>
          <w:szCs w:val="22"/>
        </w:rPr>
        <w:t>Sorzano</w:t>
      </w:r>
      <w:proofErr w:type="spellEnd"/>
      <w:r w:rsidRPr="00B460B1">
        <w:rPr>
          <w:rFonts w:cs="Arial"/>
          <w:szCs w:val="22"/>
        </w:rPr>
        <w:t xml:space="preserve"> (</w:t>
      </w:r>
      <w:r w:rsidR="00FE3F03" w:rsidRPr="001566EB">
        <w:rPr>
          <w:rFonts w:cs="Arial"/>
          <w:szCs w:val="22"/>
        </w:rPr>
        <w:t>Republic of</w:t>
      </w:r>
      <w:r w:rsidR="00FE3F03" w:rsidRPr="00147BE7">
        <w:rPr>
          <w:rFonts w:cs="Arial"/>
          <w:szCs w:val="22"/>
        </w:rPr>
        <w:t xml:space="preserve"> </w:t>
      </w:r>
      <w:r w:rsidRPr="00147BE7">
        <w:rPr>
          <w:rFonts w:cs="Arial"/>
          <w:szCs w:val="22"/>
        </w:rPr>
        <w:t xml:space="preserve">Colombia) as Chairperson; Austria, Poland, the Philippines, </w:t>
      </w:r>
      <w:r w:rsidRPr="00722641">
        <w:rPr>
          <w:rFonts w:cs="Arial"/>
          <w:szCs w:val="22"/>
        </w:rPr>
        <w:t>Zambia and Palestine as Vice-Chair</w:t>
      </w:r>
      <w:r w:rsidR="00FE3F03" w:rsidRPr="00722641">
        <w:rPr>
          <w:rFonts w:cs="Arial"/>
          <w:szCs w:val="22"/>
        </w:rPr>
        <w:t>person</w:t>
      </w:r>
      <w:r w:rsidRPr="00722641">
        <w:rPr>
          <w:rFonts w:cs="Arial"/>
          <w:szCs w:val="22"/>
        </w:rPr>
        <w:t>s; and Mr Bernard Jankee (Jamaica) as Rapporteur</w:t>
      </w:r>
      <w:r w:rsidR="000A61F7" w:rsidRPr="00722641">
        <w:rPr>
          <w:rFonts w:cs="Arial"/>
          <w:szCs w:val="22"/>
        </w:rPr>
        <w:t>.</w:t>
      </w:r>
    </w:p>
    <w:p w14:paraId="7C9E538A" w14:textId="4A16EB66" w:rsidR="00E232F6" w:rsidRPr="004B0D54" w:rsidRDefault="00E232F6" w:rsidP="00976F22">
      <w:pPr>
        <w:pStyle w:val="Marge"/>
        <w:numPr>
          <w:ilvl w:val="0"/>
          <w:numId w:val="19"/>
        </w:numPr>
        <w:tabs>
          <w:tab w:val="clear" w:pos="502"/>
          <w:tab w:val="num" w:pos="567"/>
        </w:tabs>
        <w:spacing w:after="120"/>
        <w:ind w:left="567" w:hanging="567"/>
        <w:rPr>
          <w:rFonts w:cs="Arial"/>
          <w:szCs w:val="22"/>
        </w:rPr>
      </w:pPr>
      <w:r w:rsidRPr="00722641">
        <w:rPr>
          <w:rFonts w:cs="Arial"/>
          <w:szCs w:val="22"/>
        </w:rPr>
        <w:t xml:space="preserve">The Bureau met </w:t>
      </w:r>
      <w:r w:rsidR="00216A14">
        <w:rPr>
          <w:rFonts w:cs="Arial"/>
          <w:szCs w:val="22"/>
        </w:rPr>
        <w:t>from Tuesday to Saturday</w:t>
      </w:r>
      <w:r w:rsidR="0037757E">
        <w:rPr>
          <w:rFonts w:cs="Arial"/>
          <w:szCs w:val="22"/>
        </w:rPr>
        <w:t xml:space="preserve"> </w:t>
      </w:r>
      <w:r w:rsidRPr="00722641">
        <w:rPr>
          <w:rFonts w:cs="Arial"/>
          <w:szCs w:val="22"/>
        </w:rPr>
        <w:t xml:space="preserve">during the sessions of the Committee. During the reporting period, it also met </w:t>
      </w:r>
      <w:r w:rsidRPr="004B0D54">
        <w:rPr>
          <w:rFonts w:cs="Arial"/>
          <w:szCs w:val="22"/>
        </w:rPr>
        <w:t>six times</w:t>
      </w:r>
      <w:r w:rsidRPr="00722641">
        <w:rPr>
          <w:rFonts w:cs="Arial"/>
          <w:szCs w:val="22"/>
        </w:rPr>
        <w:t xml:space="preserve"> at UNESCO Headquarters</w:t>
      </w:r>
      <w:r w:rsidR="00C42892" w:rsidRPr="00722641">
        <w:rPr>
          <w:rFonts w:cs="Arial"/>
          <w:szCs w:val="22"/>
        </w:rPr>
        <w:t>, on</w:t>
      </w:r>
      <w:r w:rsidRPr="00722641">
        <w:rPr>
          <w:rFonts w:cs="Arial"/>
          <w:szCs w:val="22"/>
        </w:rPr>
        <w:t>: 22</w:t>
      </w:r>
      <w:r w:rsidR="00DB7B26" w:rsidRPr="00722641">
        <w:rPr>
          <w:rFonts w:cs="Arial"/>
          <w:szCs w:val="22"/>
        </w:rPr>
        <w:t> </w:t>
      </w:r>
      <w:r w:rsidRPr="00722641">
        <w:rPr>
          <w:rFonts w:cs="Arial"/>
          <w:szCs w:val="22"/>
        </w:rPr>
        <w:t>March</w:t>
      </w:r>
      <w:r w:rsidR="00DB7B26" w:rsidRPr="00722641">
        <w:rPr>
          <w:rFonts w:cs="Arial"/>
          <w:szCs w:val="22"/>
        </w:rPr>
        <w:t> </w:t>
      </w:r>
      <w:r w:rsidRPr="00722641">
        <w:rPr>
          <w:rFonts w:cs="Arial"/>
          <w:szCs w:val="22"/>
        </w:rPr>
        <w:t>2018 (13.COM 1.BUR)</w:t>
      </w:r>
      <w:r w:rsidR="000A61F7" w:rsidRPr="00722641">
        <w:rPr>
          <w:rFonts w:cs="Arial"/>
          <w:szCs w:val="22"/>
        </w:rPr>
        <w:t>;</w:t>
      </w:r>
      <w:r w:rsidRPr="00722641">
        <w:rPr>
          <w:rFonts w:cs="Arial"/>
          <w:szCs w:val="22"/>
        </w:rPr>
        <w:t xml:space="preserve"> 7</w:t>
      </w:r>
      <w:r w:rsidR="00DB7B26" w:rsidRPr="00722641">
        <w:rPr>
          <w:rFonts w:cs="Arial"/>
          <w:szCs w:val="22"/>
        </w:rPr>
        <w:t> </w:t>
      </w:r>
      <w:r w:rsidRPr="00722641">
        <w:rPr>
          <w:rFonts w:cs="Arial"/>
          <w:szCs w:val="22"/>
        </w:rPr>
        <w:t>June</w:t>
      </w:r>
      <w:r w:rsidR="00DB7B26" w:rsidRPr="00722641">
        <w:rPr>
          <w:rFonts w:cs="Arial"/>
          <w:szCs w:val="22"/>
        </w:rPr>
        <w:t> </w:t>
      </w:r>
      <w:r w:rsidRPr="00722641">
        <w:rPr>
          <w:rFonts w:cs="Arial"/>
          <w:szCs w:val="22"/>
        </w:rPr>
        <w:t>2018 (13.COM 2.BUR)</w:t>
      </w:r>
      <w:r w:rsidR="000A61F7" w:rsidRPr="00216A14">
        <w:rPr>
          <w:rFonts w:cs="Arial"/>
          <w:szCs w:val="22"/>
        </w:rPr>
        <w:t>;</w:t>
      </w:r>
      <w:r w:rsidRPr="00216A14">
        <w:rPr>
          <w:rFonts w:cs="Arial"/>
          <w:szCs w:val="22"/>
        </w:rPr>
        <w:t xml:space="preserve"> 2</w:t>
      </w:r>
      <w:r w:rsidR="00DB7B26" w:rsidRPr="00216A14">
        <w:rPr>
          <w:rFonts w:cs="Arial"/>
          <w:szCs w:val="22"/>
        </w:rPr>
        <w:t> </w:t>
      </w:r>
      <w:r w:rsidRPr="00216A14">
        <w:rPr>
          <w:rFonts w:cs="Arial"/>
          <w:szCs w:val="22"/>
        </w:rPr>
        <w:t>October</w:t>
      </w:r>
      <w:r w:rsidR="00DB7B26" w:rsidRPr="00216A14">
        <w:rPr>
          <w:rFonts w:cs="Arial"/>
          <w:szCs w:val="22"/>
        </w:rPr>
        <w:t> </w:t>
      </w:r>
      <w:r w:rsidRPr="00216A14">
        <w:rPr>
          <w:rFonts w:cs="Arial"/>
          <w:szCs w:val="22"/>
        </w:rPr>
        <w:t>2018 (13.COM 3.BUR)</w:t>
      </w:r>
      <w:r w:rsidR="000A61F7" w:rsidRPr="00216A14">
        <w:rPr>
          <w:rFonts w:cs="Arial"/>
          <w:szCs w:val="22"/>
        </w:rPr>
        <w:t>;</w:t>
      </w:r>
      <w:r w:rsidRPr="00216A14">
        <w:rPr>
          <w:rFonts w:cs="Arial"/>
          <w:szCs w:val="22"/>
        </w:rPr>
        <w:t xml:space="preserve"> 21</w:t>
      </w:r>
      <w:r w:rsidR="00DB7B26" w:rsidRPr="00216A14">
        <w:rPr>
          <w:rFonts w:cs="Arial"/>
          <w:szCs w:val="22"/>
        </w:rPr>
        <w:t> </w:t>
      </w:r>
      <w:r w:rsidRPr="00216A14">
        <w:rPr>
          <w:rFonts w:cs="Arial"/>
          <w:szCs w:val="22"/>
        </w:rPr>
        <w:t>March</w:t>
      </w:r>
      <w:r w:rsidR="00DB7B26" w:rsidRPr="00216A14">
        <w:rPr>
          <w:rFonts w:cs="Arial"/>
          <w:szCs w:val="22"/>
        </w:rPr>
        <w:t> </w:t>
      </w:r>
      <w:r w:rsidRPr="00216A14">
        <w:rPr>
          <w:rFonts w:cs="Arial"/>
          <w:szCs w:val="22"/>
        </w:rPr>
        <w:t>2019 (14.COM 1.BUR)</w:t>
      </w:r>
      <w:r w:rsidR="000A61F7" w:rsidRPr="00216A14">
        <w:rPr>
          <w:rFonts w:cs="Arial"/>
          <w:szCs w:val="22"/>
        </w:rPr>
        <w:t>;</w:t>
      </w:r>
      <w:r w:rsidRPr="00216A14">
        <w:rPr>
          <w:rFonts w:cs="Arial"/>
          <w:szCs w:val="22"/>
        </w:rPr>
        <w:t xml:space="preserve"> 18</w:t>
      </w:r>
      <w:r w:rsidR="00DB7B26" w:rsidRPr="00216A14">
        <w:rPr>
          <w:rFonts w:cs="Arial"/>
          <w:szCs w:val="22"/>
        </w:rPr>
        <w:t> </w:t>
      </w:r>
      <w:r w:rsidRPr="00216A14">
        <w:rPr>
          <w:rFonts w:cs="Arial"/>
          <w:szCs w:val="22"/>
        </w:rPr>
        <w:t>June</w:t>
      </w:r>
      <w:r w:rsidR="00DB7B26" w:rsidRPr="00216A14">
        <w:rPr>
          <w:rFonts w:cs="Arial"/>
          <w:szCs w:val="22"/>
        </w:rPr>
        <w:t> </w:t>
      </w:r>
      <w:r w:rsidRPr="00216A14">
        <w:rPr>
          <w:rFonts w:cs="Arial"/>
          <w:szCs w:val="22"/>
        </w:rPr>
        <w:t>2019 (14.COM 2.BUR) and 3</w:t>
      </w:r>
      <w:r w:rsidR="00DB7B26" w:rsidRPr="00216A14">
        <w:rPr>
          <w:rFonts w:cs="Arial"/>
          <w:szCs w:val="22"/>
        </w:rPr>
        <w:t> </w:t>
      </w:r>
      <w:r w:rsidRPr="00216A14">
        <w:rPr>
          <w:rFonts w:cs="Arial"/>
          <w:szCs w:val="22"/>
        </w:rPr>
        <w:t>October</w:t>
      </w:r>
      <w:r w:rsidR="00DB7B26" w:rsidRPr="00216A14">
        <w:rPr>
          <w:rFonts w:cs="Arial"/>
          <w:szCs w:val="22"/>
        </w:rPr>
        <w:t> </w:t>
      </w:r>
      <w:r w:rsidRPr="00216A14">
        <w:rPr>
          <w:rFonts w:cs="Arial"/>
          <w:szCs w:val="22"/>
        </w:rPr>
        <w:t xml:space="preserve">2019 (14.COM 4.BUR). In addition, </w:t>
      </w:r>
      <w:r w:rsidR="000B4F65" w:rsidRPr="00216A14">
        <w:rPr>
          <w:rFonts w:cs="Arial"/>
          <w:szCs w:val="22"/>
        </w:rPr>
        <w:t xml:space="preserve">an </w:t>
      </w:r>
      <w:r w:rsidRPr="00216A14">
        <w:rPr>
          <w:rFonts w:cs="Arial"/>
          <w:szCs w:val="22"/>
        </w:rPr>
        <w:t>electronic consultation</w:t>
      </w:r>
      <w:r w:rsidR="000B4F65" w:rsidRPr="00216A14">
        <w:rPr>
          <w:rFonts w:cs="Arial"/>
          <w:szCs w:val="22"/>
        </w:rPr>
        <w:t xml:space="preserve"> </w:t>
      </w:r>
      <w:r w:rsidRPr="00216A14">
        <w:rPr>
          <w:rFonts w:cs="Arial"/>
          <w:szCs w:val="22"/>
        </w:rPr>
        <w:t>w</w:t>
      </w:r>
      <w:r w:rsidR="000B4F65" w:rsidRPr="00216A14">
        <w:rPr>
          <w:rFonts w:cs="Arial"/>
          <w:szCs w:val="22"/>
        </w:rPr>
        <w:t>as</w:t>
      </w:r>
      <w:r w:rsidRPr="00216A14">
        <w:rPr>
          <w:rFonts w:cs="Arial"/>
          <w:szCs w:val="22"/>
        </w:rPr>
        <w:t xml:space="preserve"> held in September</w:t>
      </w:r>
      <w:r w:rsidR="00DB7B26" w:rsidRPr="00216A14">
        <w:rPr>
          <w:rFonts w:cs="Arial"/>
          <w:szCs w:val="22"/>
        </w:rPr>
        <w:t> </w:t>
      </w:r>
      <w:r w:rsidRPr="00216A14">
        <w:rPr>
          <w:rFonts w:cs="Arial"/>
          <w:szCs w:val="22"/>
        </w:rPr>
        <w:t>2019 (14.COM 3.BUR).</w:t>
      </w:r>
    </w:p>
    <w:p w14:paraId="60C7CEFA" w14:textId="63B5BBCE" w:rsidR="00B67C07" w:rsidRPr="00C21090" w:rsidRDefault="00E232F6" w:rsidP="00976F22">
      <w:pPr>
        <w:pStyle w:val="Marge"/>
        <w:numPr>
          <w:ilvl w:val="0"/>
          <w:numId w:val="19"/>
        </w:numPr>
        <w:tabs>
          <w:tab w:val="clear" w:pos="502"/>
          <w:tab w:val="num" w:pos="567"/>
        </w:tabs>
        <w:spacing w:after="120"/>
        <w:ind w:left="567" w:hanging="567"/>
        <w:rPr>
          <w:rFonts w:cs="Arial"/>
          <w:szCs w:val="22"/>
        </w:rPr>
      </w:pPr>
      <w:r w:rsidRPr="00C21090">
        <w:rPr>
          <w:rFonts w:cs="Arial"/>
          <w:szCs w:val="22"/>
        </w:rPr>
        <w:t xml:space="preserve">During the reporting period, the Committee and its Bureau examined a total of </w:t>
      </w:r>
      <w:r w:rsidR="0024638A" w:rsidRPr="00C21090">
        <w:rPr>
          <w:rFonts w:cs="Arial"/>
          <w:szCs w:val="22"/>
        </w:rPr>
        <w:t>86</w:t>
      </w:r>
      <w:r w:rsidRPr="00C21090">
        <w:rPr>
          <w:rFonts w:cs="Arial"/>
          <w:szCs w:val="22"/>
        </w:rPr>
        <w:t xml:space="preserve"> items</w:t>
      </w:r>
      <w:r w:rsidR="00871927" w:rsidRPr="00C21090">
        <w:rPr>
          <w:rFonts w:cs="Arial"/>
          <w:szCs w:val="22"/>
        </w:rPr>
        <w:t xml:space="preserve"> </w:t>
      </w:r>
      <w:r w:rsidRPr="00C21090">
        <w:rPr>
          <w:rFonts w:cs="Arial"/>
          <w:szCs w:val="22"/>
        </w:rPr>
        <w:t xml:space="preserve">inscribed on their agendas, which were accompanied by </w:t>
      </w:r>
      <w:r w:rsidR="00025B0A" w:rsidRPr="00C21090">
        <w:rPr>
          <w:rFonts w:cs="Arial"/>
          <w:szCs w:val="22"/>
        </w:rPr>
        <w:t>89</w:t>
      </w:r>
      <w:r w:rsidRPr="00C21090">
        <w:rPr>
          <w:rFonts w:cs="Arial"/>
          <w:szCs w:val="22"/>
        </w:rPr>
        <w:t xml:space="preserve"> working documents or information documents and </w:t>
      </w:r>
      <w:bookmarkStart w:id="0" w:name="_Hlk27160440"/>
      <w:r w:rsidR="0037757E" w:rsidRPr="00C21090">
        <w:rPr>
          <w:rFonts w:cs="Arial"/>
          <w:szCs w:val="22"/>
        </w:rPr>
        <w:t>12</w:t>
      </w:r>
      <w:r w:rsidRPr="00C21090">
        <w:rPr>
          <w:rFonts w:cs="Arial"/>
          <w:szCs w:val="22"/>
        </w:rPr>
        <w:t xml:space="preserve"> </w:t>
      </w:r>
      <w:bookmarkEnd w:id="0"/>
      <w:r w:rsidRPr="00C21090">
        <w:rPr>
          <w:rFonts w:cs="Arial"/>
          <w:szCs w:val="22"/>
        </w:rPr>
        <w:t>nominations</w:t>
      </w:r>
      <w:r w:rsidR="008C06BA" w:rsidRPr="00C21090">
        <w:rPr>
          <w:rFonts w:cs="Arial"/>
          <w:szCs w:val="22"/>
        </w:rPr>
        <w:t xml:space="preserve"> for the Urgent Safeguarding List</w:t>
      </w:r>
      <w:r w:rsidRPr="00C21090">
        <w:rPr>
          <w:rFonts w:cs="Arial"/>
          <w:szCs w:val="22"/>
        </w:rPr>
        <w:t>,</w:t>
      </w:r>
      <w:r w:rsidR="008C06BA" w:rsidRPr="00C21090">
        <w:rPr>
          <w:rFonts w:cs="Arial"/>
          <w:szCs w:val="22"/>
        </w:rPr>
        <w:t xml:space="preserve"> </w:t>
      </w:r>
      <w:r w:rsidR="0037757E" w:rsidRPr="00C21090">
        <w:rPr>
          <w:rFonts w:cs="Arial"/>
          <w:szCs w:val="22"/>
        </w:rPr>
        <w:t>78</w:t>
      </w:r>
      <w:r w:rsidR="008C06BA" w:rsidRPr="00C21090">
        <w:rPr>
          <w:rFonts w:cs="Arial"/>
          <w:szCs w:val="22"/>
        </w:rPr>
        <w:t xml:space="preserve"> nominations for the Representative List, </w:t>
      </w:r>
      <w:r w:rsidR="0037757E" w:rsidRPr="00C21090">
        <w:rPr>
          <w:rFonts w:cs="Arial"/>
          <w:szCs w:val="22"/>
        </w:rPr>
        <w:t>3</w:t>
      </w:r>
      <w:r w:rsidR="008C06BA" w:rsidRPr="00C21090">
        <w:rPr>
          <w:rFonts w:cs="Arial"/>
          <w:szCs w:val="22"/>
        </w:rPr>
        <w:t xml:space="preserve"> proposals for good safeguarding practices, </w:t>
      </w:r>
      <w:r w:rsidR="0024638A" w:rsidRPr="00C21090">
        <w:rPr>
          <w:rFonts w:cs="Arial"/>
          <w:szCs w:val="22"/>
        </w:rPr>
        <w:t>37</w:t>
      </w:r>
      <w:r w:rsidRPr="00C21090">
        <w:rPr>
          <w:rFonts w:cs="Arial"/>
          <w:szCs w:val="22"/>
        </w:rPr>
        <w:t xml:space="preserve"> requests for International Assistance, reports submitted by States Parties and </w:t>
      </w:r>
      <w:r w:rsidR="0037757E" w:rsidRPr="00C21090">
        <w:rPr>
          <w:rFonts w:cs="Arial"/>
          <w:szCs w:val="22"/>
        </w:rPr>
        <w:t>63</w:t>
      </w:r>
      <w:r w:rsidRPr="00C21090">
        <w:rPr>
          <w:rFonts w:cs="Arial"/>
          <w:szCs w:val="22"/>
        </w:rPr>
        <w:t xml:space="preserve"> requests for accreditation or renewal from non-governmental organizations</w:t>
      </w:r>
      <w:r w:rsidR="002E0C0C" w:rsidRPr="00C21090">
        <w:rPr>
          <w:rFonts w:cs="Arial"/>
          <w:szCs w:val="22"/>
        </w:rPr>
        <w:t xml:space="preserve"> (hereafter, NGOs)</w:t>
      </w:r>
      <w:r w:rsidRPr="00C21090">
        <w:rPr>
          <w:rFonts w:cs="Arial"/>
          <w:szCs w:val="22"/>
        </w:rPr>
        <w:t>.</w:t>
      </w:r>
      <w:r w:rsidR="00867B25" w:rsidRPr="00C21090">
        <w:rPr>
          <w:rFonts w:cs="Arial"/>
          <w:szCs w:val="22"/>
        </w:rPr>
        <w:t xml:space="preserve"> The Committee</w:t>
      </w:r>
      <w:r w:rsidR="00E64C78" w:rsidRPr="00C21090">
        <w:rPr>
          <w:rFonts w:cs="Arial"/>
          <w:szCs w:val="22"/>
        </w:rPr>
        <w:t xml:space="preserve"> took note of the</w:t>
      </w:r>
      <w:r w:rsidR="00867B25" w:rsidRPr="00C21090">
        <w:rPr>
          <w:rFonts w:cs="Arial"/>
          <w:szCs w:val="22"/>
        </w:rPr>
        <w:t xml:space="preserve"> reflect</w:t>
      </w:r>
      <w:r w:rsidR="00E64C78" w:rsidRPr="00C21090">
        <w:rPr>
          <w:rFonts w:cs="Arial"/>
          <w:szCs w:val="22"/>
        </w:rPr>
        <w:t>ion</w:t>
      </w:r>
      <w:r w:rsidR="00867B25" w:rsidRPr="00C21090">
        <w:rPr>
          <w:rFonts w:cs="Arial"/>
          <w:szCs w:val="22"/>
        </w:rPr>
        <w:t xml:space="preserve"> on the participation of non-governmental organizations in the implementation of the Convention.</w:t>
      </w:r>
    </w:p>
    <w:p w14:paraId="1AA5FE2A" w14:textId="0AE5C072" w:rsidR="00C21090" w:rsidRPr="00C21090" w:rsidRDefault="000A61F7" w:rsidP="00C21090">
      <w:pPr>
        <w:pStyle w:val="Marge"/>
        <w:numPr>
          <w:ilvl w:val="0"/>
          <w:numId w:val="19"/>
        </w:numPr>
        <w:tabs>
          <w:tab w:val="clear" w:pos="502"/>
          <w:tab w:val="num" w:pos="567"/>
        </w:tabs>
        <w:spacing w:after="120"/>
        <w:ind w:left="567" w:hanging="567"/>
        <w:rPr>
          <w:rFonts w:cs="Arial"/>
          <w:szCs w:val="22"/>
        </w:rPr>
      </w:pPr>
      <w:r w:rsidRPr="00C21090">
        <w:rPr>
          <w:rFonts w:cs="Arial"/>
          <w:szCs w:val="22"/>
        </w:rPr>
        <w:t>At its fourteenth session, t</w:t>
      </w:r>
      <w:r w:rsidR="00DE253B" w:rsidRPr="00C21090">
        <w:rPr>
          <w:rFonts w:cs="Arial"/>
          <w:szCs w:val="22"/>
        </w:rPr>
        <w:t xml:space="preserve">he Committee elected the members of the </w:t>
      </w:r>
      <w:r w:rsidR="009B341D" w:rsidRPr="00C21090">
        <w:rPr>
          <w:rFonts w:cs="Arial"/>
          <w:szCs w:val="22"/>
        </w:rPr>
        <w:t>Bureau of the fifteenth</w:t>
      </w:r>
      <w:r w:rsidRPr="00C21090">
        <w:rPr>
          <w:rFonts w:cs="Arial"/>
          <w:szCs w:val="22"/>
        </w:rPr>
        <w:t xml:space="preserve"> session</w:t>
      </w:r>
      <w:r w:rsidR="00DE253B" w:rsidRPr="00C21090">
        <w:rPr>
          <w:rFonts w:cs="Arial"/>
          <w:szCs w:val="22"/>
        </w:rPr>
        <w:t>, and</w:t>
      </w:r>
      <w:r w:rsidR="00C21090" w:rsidRPr="00C21090">
        <w:rPr>
          <w:rFonts w:cs="Arial"/>
          <w:szCs w:val="22"/>
        </w:rPr>
        <w:t xml:space="preserve"> was composed of: H.E. Ms Olivia Grange (Jamaica) as Chairperson; the Netherlands, Azerbaijan, China, Djibouti and Kuwa</w:t>
      </w:r>
      <w:r w:rsidR="004E3D5B">
        <w:rPr>
          <w:rFonts w:cs="Arial"/>
          <w:szCs w:val="22"/>
        </w:rPr>
        <w:t>it as Vice-Chairpersons; and Mr</w:t>
      </w:r>
      <w:bookmarkStart w:id="1" w:name="_GoBack"/>
      <w:bookmarkEnd w:id="1"/>
      <w:r w:rsidR="00C21090" w:rsidRPr="00C21090">
        <w:rPr>
          <w:rFonts w:cs="Arial"/>
          <w:szCs w:val="22"/>
        </w:rPr>
        <w:t xml:space="preserve"> </w:t>
      </w:r>
      <w:proofErr w:type="spellStart"/>
      <w:r w:rsidR="00C21090" w:rsidRPr="00C21090">
        <w:rPr>
          <w:rFonts w:cs="Arial"/>
          <w:szCs w:val="22"/>
        </w:rPr>
        <w:t>Askar</w:t>
      </w:r>
      <w:proofErr w:type="spellEnd"/>
      <w:r w:rsidR="00C21090" w:rsidRPr="00C21090">
        <w:rPr>
          <w:rFonts w:cs="Arial"/>
          <w:szCs w:val="22"/>
        </w:rPr>
        <w:t xml:space="preserve"> </w:t>
      </w:r>
      <w:proofErr w:type="spellStart"/>
      <w:r w:rsidR="00C21090" w:rsidRPr="00C21090">
        <w:rPr>
          <w:rFonts w:cs="Arial"/>
          <w:szCs w:val="22"/>
        </w:rPr>
        <w:t>Abdrakhmanov</w:t>
      </w:r>
      <w:proofErr w:type="spellEnd"/>
      <w:r w:rsidR="00C21090" w:rsidRPr="00C21090">
        <w:rPr>
          <w:rFonts w:cs="Arial"/>
          <w:szCs w:val="22"/>
        </w:rPr>
        <w:t xml:space="preserve"> (Kazakhstan) as Rapporteur.</w:t>
      </w:r>
    </w:p>
    <w:p w14:paraId="1BF45645" w14:textId="77777777" w:rsidR="00AA0A58" w:rsidRPr="00CA7D7A" w:rsidRDefault="00AA0A58" w:rsidP="00976F22">
      <w:pPr>
        <w:keepNext/>
        <w:numPr>
          <w:ilvl w:val="0"/>
          <w:numId w:val="20"/>
        </w:numPr>
        <w:tabs>
          <w:tab w:val="num" w:pos="567"/>
        </w:tabs>
        <w:spacing w:before="360" w:after="240"/>
        <w:ind w:left="567" w:hanging="567"/>
        <w:jc w:val="both"/>
        <w:rPr>
          <w:rFonts w:ascii="Arial" w:hAnsi="Arial" w:cs="Arial"/>
          <w:b/>
          <w:sz w:val="22"/>
          <w:szCs w:val="22"/>
        </w:rPr>
      </w:pPr>
      <w:r w:rsidRPr="00CA7D7A">
        <w:rPr>
          <w:rFonts w:ascii="Arial" w:hAnsi="Arial" w:cs="Arial"/>
          <w:b/>
          <w:sz w:val="22"/>
          <w:szCs w:val="22"/>
        </w:rPr>
        <w:lastRenderedPageBreak/>
        <w:t xml:space="preserve">Promoting the objectives of the Convention, encouraging and monitoring its implementation, and providing guidance on safeguarding measures and good practices </w:t>
      </w:r>
      <w:r w:rsidRPr="00CA7D7A">
        <w:rPr>
          <w:rFonts w:ascii="Arial" w:hAnsi="Arial" w:cs="Arial"/>
          <w:sz w:val="22"/>
          <w:szCs w:val="22"/>
        </w:rPr>
        <w:t>(Article 7[a] and 7[b])</w:t>
      </w:r>
    </w:p>
    <w:p w14:paraId="079E4C5E" w14:textId="77777777" w:rsidR="00AA0A58" w:rsidRPr="001566EB" w:rsidRDefault="00AA0A58" w:rsidP="00976F22">
      <w:pPr>
        <w:pStyle w:val="ListParagraph"/>
        <w:keepNext/>
        <w:numPr>
          <w:ilvl w:val="0"/>
          <w:numId w:val="21"/>
        </w:numPr>
        <w:tabs>
          <w:tab w:val="num" w:pos="567"/>
        </w:tabs>
        <w:spacing w:before="240" w:after="120"/>
        <w:ind w:left="567" w:hanging="567"/>
        <w:rPr>
          <w:rFonts w:ascii="Arial" w:hAnsi="Arial" w:cs="Arial"/>
          <w:b/>
          <w:sz w:val="22"/>
          <w:szCs w:val="22"/>
        </w:rPr>
      </w:pPr>
      <w:r w:rsidRPr="00CA7D7A">
        <w:rPr>
          <w:rFonts w:ascii="Arial" w:hAnsi="Arial" w:cs="Arial"/>
          <w:b/>
          <w:sz w:val="22"/>
          <w:szCs w:val="22"/>
        </w:rPr>
        <w:t>Ratification</w:t>
      </w:r>
    </w:p>
    <w:p w14:paraId="7B66396E" w14:textId="0EDBC778" w:rsidR="00AA0A58" w:rsidRPr="00E64C78" w:rsidRDefault="00AA0A58" w:rsidP="00AB7D43">
      <w:pPr>
        <w:pStyle w:val="Marge"/>
        <w:numPr>
          <w:ilvl w:val="0"/>
          <w:numId w:val="19"/>
        </w:numPr>
        <w:tabs>
          <w:tab w:val="clear" w:pos="502"/>
          <w:tab w:val="num" w:pos="567"/>
        </w:tabs>
        <w:spacing w:after="120"/>
        <w:ind w:left="567" w:hanging="567"/>
        <w:rPr>
          <w:rFonts w:cs="Arial"/>
          <w:szCs w:val="22"/>
        </w:rPr>
      </w:pPr>
      <w:r w:rsidRPr="006406C1">
        <w:rPr>
          <w:rFonts w:cs="Arial"/>
          <w:szCs w:val="22"/>
        </w:rPr>
        <w:t xml:space="preserve">Three States (Kiribati, Singapore, Solomon Islands) ratified the Convention between </w:t>
      </w:r>
      <w:r w:rsidRPr="00E64C78">
        <w:rPr>
          <w:rFonts w:cs="Arial"/>
          <w:szCs w:val="22"/>
        </w:rPr>
        <w:t>January</w:t>
      </w:r>
      <w:r w:rsidR="00DB7B26" w:rsidRPr="00E64C78">
        <w:rPr>
          <w:rFonts w:cs="Arial"/>
          <w:szCs w:val="22"/>
        </w:rPr>
        <w:t> </w:t>
      </w:r>
      <w:r w:rsidRPr="00791CF3">
        <w:rPr>
          <w:rFonts w:cs="Arial"/>
          <w:szCs w:val="22"/>
        </w:rPr>
        <w:t>2018 and December</w:t>
      </w:r>
      <w:r w:rsidR="00DB7B26" w:rsidRPr="00791CF3">
        <w:rPr>
          <w:rFonts w:cs="Arial"/>
          <w:szCs w:val="22"/>
        </w:rPr>
        <w:t> </w:t>
      </w:r>
      <w:r w:rsidRPr="00791CF3">
        <w:rPr>
          <w:rFonts w:cs="Arial"/>
          <w:szCs w:val="22"/>
        </w:rPr>
        <w:t xml:space="preserve">2019. At the end of 2019, </w:t>
      </w:r>
      <w:r w:rsidRPr="004B0D54">
        <w:rPr>
          <w:rFonts w:cs="Arial"/>
          <w:szCs w:val="22"/>
        </w:rPr>
        <w:t>178</w:t>
      </w:r>
      <w:r w:rsidRPr="00E64C78">
        <w:rPr>
          <w:rFonts w:cs="Arial"/>
          <w:szCs w:val="22"/>
        </w:rPr>
        <w:t xml:space="preserve"> States were parties to the Convention.</w:t>
      </w:r>
    </w:p>
    <w:p w14:paraId="1BB638A9" w14:textId="77777777" w:rsidR="00460D49" w:rsidRPr="00136A26" w:rsidRDefault="00460D49" w:rsidP="00460D49">
      <w:pPr>
        <w:pStyle w:val="ListParagraph"/>
        <w:keepNext/>
        <w:numPr>
          <w:ilvl w:val="0"/>
          <w:numId w:val="21"/>
        </w:numPr>
        <w:spacing w:before="240" w:after="120"/>
        <w:ind w:left="567" w:hanging="567"/>
        <w:contextualSpacing w:val="0"/>
        <w:rPr>
          <w:rFonts w:ascii="Arial" w:hAnsi="Arial" w:cs="Arial"/>
          <w:b/>
          <w:sz w:val="22"/>
          <w:szCs w:val="22"/>
        </w:rPr>
      </w:pPr>
      <w:r w:rsidRPr="00136A26">
        <w:rPr>
          <w:rFonts w:ascii="Arial" w:hAnsi="Arial" w:cs="Arial"/>
          <w:b/>
          <w:sz w:val="22"/>
          <w:szCs w:val="22"/>
        </w:rPr>
        <w:t>Sound governance facilitated by enhanced knowledge management services</w:t>
      </w:r>
    </w:p>
    <w:p w14:paraId="47D25927" w14:textId="763BEE49" w:rsidR="00E5614B" w:rsidRPr="00C5187E" w:rsidRDefault="007A47A8" w:rsidP="00976F22">
      <w:pPr>
        <w:pStyle w:val="Marge"/>
        <w:numPr>
          <w:ilvl w:val="0"/>
          <w:numId w:val="19"/>
        </w:numPr>
        <w:tabs>
          <w:tab w:val="clear" w:pos="502"/>
          <w:tab w:val="num" w:pos="567"/>
        </w:tabs>
        <w:spacing w:after="120"/>
        <w:ind w:left="567" w:hanging="567"/>
        <w:rPr>
          <w:rFonts w:cs="Arial"/>
          <w:szCs w:val="22"/>
        </w:rPr>
      </w:pPr>
      <w:r w:rsidRPr="00C5187E">
        <w:rPr>
          <w:rFonts w:cs="Arial"/>
          <w:szCs w:val="22"/>
        </w:rPr>
        <w:t>T</w:t>
      </w:r>
      <w:r w:rsidR="00DA1C31" w:rsidRPr="00C5187E">
        <w:rPr>
          <w:rFonts w:cs="Arial"/>
          <w:szCs w:val="22"/>
        </w:rPr>
        <w:t xml:space="preserve">he sound governance of the Convention </w:t>
      </w:r>
      <w:r w:rsidRPr="00C5187E">
        <w:rPr>
          <w:rFonts w:cs="Arial"/>
          <w:szCs w:val="22"/>
        </w:rPr>
        <w:t>continues to be a priority for the Committee</w:t>
      </w:r>
      <w:r w:rsidR="002E0C0C" w:rsidRPr="00C5187E">
        <w:rPr>
          <w:rFonts w:cs="Arial"/>
          <w:szCs w:val="22"/>
        </w:rPr>
        <w:t>,</w:t>
      </w:r>
      <w:r w:rsidRPr="00C5187E">
        <w:rPr>
          <w:rFonts w:cs="Arial"/>
          <w:szCs w:val="22"/>
        </w:rPr>
        <w:t xml:space="preserve"> which is committed to seek</w:t>
      </w:r>
      <w:r w:rsidR="002E0C0C" w:rsidRPr="00C5187E">
        <w:rPr>
          <w:rFonts w:cs="Arial"/>
          <w:szCs w:val="22"/>
        </w:rPr>
        <w:t>ing</w:t>
      </w:r>
      <w:r w:rsidR="00DA1C31" w:rsidRPr="00C5187E">
        <w:rPr>
          <w:rFonts w:cs="Arial"/>
          <w:szCs w:val="22"/>
        </w:rPr>
        <w:t xml:space="preserve"> possible improvements to that end. </w:t>
      </w:r>
      <w:r w:rsidR="00FB4511" w:rsidRPr="00C5187E">
        <w:rPr>
          <w:rFonts w:cs="Arial"/>
          <w:szCs w:val="22"/>
        </w:rPr>
        <w:t>To support these functions</w:t>
      </w:r>
      <w:r w:rsidR="00C01060" w:rsidRPr="00C5187E">
        <w:rPr>
          <w:rFonts w:cs="Arial"/>
          <w:szCs w:val="22"/>
        </w:rPr>
        <w:t>, the Bureau of the Committee allocated a total of US$338,512 – i.e.</w:t>
      </w:r>
      <w:r w:rsidR="002E0C0C" w:rsidRPr="00C5187E">
        <w:rPr>
          <w:rFonts w:cs="Arial"/>
          <w:szCs w:val="22"/>
        </w:rPr>
        <w:t>,</w:t>
      </w:r>
      <w:r w:rsidR="00C01060" w:rsidRPr="00C5187E">
        <w:rPr>
          <w:rFonts w:cs="Arial"/>
          <w:szCs w:val="22"/>
        </w:rPr>
        <w:t xml:space="preserve"> 20 per</w:t>
      </w:r>
      <w:r w:rsidR="002E0C0C" w:rsidRPr="00C5187E">
        <w:rPr>
          <w:rFonts w:cs="Arial"/>
          <w:szCs w:val="22"/>
        </w:rPr>
        <w:t xml:space="preserve"> </w:t>
      </w:r>
      <w:r w:rsidR="00C01060" w:rsidRPr="00C5187E">
        <w:rPr>
          <w:rFonts w:cs="Arial"/>
          <w:szCs w:val="22"/>
        </w:rPr>
        <w:t>cent of the line ‘other functions of the Committee’ – for the period January</w:t>
      </w:r>
      <w:r w:rsidR="00DB7B26" w:rsidRPr="00C5187E">
        <w:rPr>
          <w:rFonts w:cs="Arial"/>
          <w:szCs w:val="22"/>
        </w:rPr>
        <w:t> </w:t>
      </w:r>
      <w:r w:rsidR="00C01060" w:rsidRPr="00C5187E">
        <w:rPr>
          <w:rFonts w:cs="Arial"/>
          <w:szCs w:val="22"/>
        </w:rPr>
        <w:t>2018 to December</w:t>
      </w:r>
      <w:r w:rsidR="00DB7B26" w:rsidRPr="00C5187E">
        <w:rPr>
          <w:rFonts w:cs="Arial"/>
          <w:szCs w:val="22"/>
        </w:rPr>
        <w:t> </w:t>
      </w:r>
      <w:r w:rsidR="00C01060" w:rsidRPr="00C5187E">
        <w:rPr>
          <w:rFonts w:cs="Arial"/>
          <w:szCs w:val="22"/>
        </w:rPr>
        <w:t>2019</w:t>
      </w:r>
      <w:r w:rsidR="002E0C0C" w:rsidRPr="00C5187E">
        <w:rPr>
          <w:rFonts w:cs="Arial"/>
          <w:szCs w:val="22"/>
        </w:rPr>
        <w:t>. A</w:t>
      </w:r>
      <w:r w:rsidR="00460D49" w:rsidRPr="00C5187E">
        <w:rPr>
          <w:rFonts w:cs="Arial"/>
          <w:szCs w:val="22"/>
        </w:rPr>
        <w:t>t its thirteenth</w:t>
      </w:r>
      <w:r w:rsidR="00916EF8" w:rsidRPr="00C5187E">
        <w:rPr>
          <w:rFonts w:cs="Arial"/>
          <w:szCs w:val="22"/>
        </w:rPr>
        <w:t xml:space="preserve"> and fourteenth sessions</w:t>
      </w:r>
      <w:r w:rsidR="002E0C0C" w:rsidRPr="00C5187E">
        <w:rPr>
          <w:rFonts w:cs="Arial"/>
          <w:szCs w:val="22"/>
        </w:rPr>
        <w:t>, the Committee examined</w:t>
      </w:r>
      <w:r w:rsidR="00460D49" w:rsidRPr="00C5187E">
        <w:rPr>
          <w:rFonts w:cs="Arial"/>
          <w:szCs w:val="22"/>
        </w:rPr>
        <w:t xml:space="preserve"> the follow-up </w:t>
      </w:r>
      <w:r w:rsidR="009C3718" w:rsidRPr="00C5187E">
        <w:rPr>
          <w:rFonts w:cs="Arial"/>
          <w:szCs w:val="22"/>
        </w:rPr>
        <w:t xml:space="preserve">on </w:t>
      </w:r>
      <w:r w:rsidR="00460D49" w:rsidRPr="00C5187E">
        <w:rPr>
          <w:rFonts w:cs="Arial"/>
          <w:szCs w:val="22"/>
        </w:rPr>
        <w:t xml:space="preserve">the implementation of the relevant recommendations of the Open-Ended Working Group on </w:t>
      </w:r>
      <w:r w:rsidR="009C3718" w:rsidRPr="00C5187E">
        <w:rPr>
          <w:rFonts w:cs="Arial"/>
          <w:szCs w:val="22"/>
        </w:rPr>
        <w:t xml:space="preserve">the </w:t>
      </w:r>
      <w:r w:rsidR="00460D49" w:rsidRPr="00C5187E">
        <w:rPr>
          <w:rFonts w:cs="Arial"/>
          <w:szCs w:val="22"/>
        </w:rPr>
        <w:t>Governance</w:t>
      </w:r>
      <w:r w:rsidR="009C3718" w:rsidRPr="00C5187E">
        <w:rPr>
          <w:rFonts w:cs="Arial"/>
          <w:szCs w:val="22"/>
        </w:rPr>
        <w:t>, procedures and working methods of the Governing Bodies of UNESCO</w:t>
      </w:r>
      <w:r w:rsidR="00460D49" w:rsidRPr="00C5187E">
        <w:rPr>
          <w:rFonts w:cs="Arial"/>
          <w:szCs w:val="22"/>
        </w:rPr>
        <w:t xml:space="preserve"> (document</w:t>
      </w:r>
      <w:r w:rsidR="002E0C0C" w:rsidRPr="00C5187E">
        <w:rPr>
          <w:rFonts w:cs="Arial"/>
          <w:szCs w:val="22"/>
        </w:rPr>
        <w:t>s</w:t>
      </w:r>
      <w:r w:rsidR="00460D49" w:rsidRPr="00C5187E">
        <w:rPr>
          <w:rFonts w:cs="Arial"/>
          <w:szCs w:val="22"/>
        </w:rPr>
        <w:t> </w:t>
      </w:r>
      <w:hyperlink r:id="rId16" w:history="1">
        <w:r w:rsidR="00460D49" w:rsidRPr="00C5187E">
          <w:rPr>
            <w:rStyle w:val="Hyperlink"/>
            <w:rFonts w:cs="Arial"/>
            <w:szCs w:val="22"/>
          </w:rPr>
          <w:t>ITH/18/13.COM/17</w:t>
        </w:r>
      </w:hyperlink>
      <w:r w:rsidR="00505C6C" w:rsidRPr="00C5187E">
        <w:rPr>
          <w:rStyle w:val="Hyperlink"/>
          <w:rFonts w:cs="Arial"/>
          <w:color w:val="auto"/>
          <w:szCs w:val="22"/>
          <w:u w:val="none"/>
        </w:rPr>
        <w:t xml:space="preserve"> and </w:t>
      </w:r>
      <w:hyperlink r:id="rId17" w:history="1">
        <w:r w:rsidR="00FA46A0" w:rsidRPr="00C5187E">
          <w:rPr>
            <w:rStyle w:val="Hyperlink"/>
            <w:rFonts w:cs="Arial"/>
            <w:szCs w:val="22"/>
          </w:rPr>
          <w:t>LHE</w:t>
        </w:r>
        <w:r w:rsidR="00505C6C" w:rsidRPr="00C5187E">
          <w:rPr>
            <w:rStyle w:val="Hyperlink"/>
            <w:rFonts w:cs="Arial"/>
            <w:szCs w:val="22"/>
          </w:rPr>
          <w:t>/19/14.COM</w:t>
        </w:r>
        <w:r w:rsidR="00152C6F" w:rsidRPr="00C5187E">
          <w:rPr>
            <w:rStyle w:val="Hyperlink"/>
            <w:rFonts w:cs="Arial"/>
            <w:szCs w:val="22"/>
          </w:rPr>
          <w:t>/19</w:t>
        </w:r>
      </w:hyperlink>
      <w:r w:rsidR="00460D49" w:rsidRPr="00C5187E">
        <w:rPr>
          <w:rFonts w:cs="Arial"/>
          <w:szCs w:val="22"/>
        </w:rPr>
        <w:t>)</w:t>
      </w:r>
      <w:r w:rsidR="004E4029" w:rsidRPr="00C5187E">
        <w:rPr>
          <w:rFonts w:cs="Arial"/>
          <w:szCs w:val="22"/>
        </w:rPr>
        <w:t>, which were endorsed by the thirty-</w:t>
      </w:r>
      <w:r w:rsidR="001B7AC4" w:rsidRPr="00C5187E">
        <w:rPr>
          <w:rFonts w:cs="Arial"/>
          <w:szCs w:val="22"/>
        </w:rPr>
        <w:t>eight</w:t>
      </w:r>
      <w:r w:rsidR="0037757E" w:rsidRPr="00C5187E">
        <w:rPr>
          <w:rFonts w:cs="Arial"/>
          <w:szCs w:val="22"/>
        </w:rPr>
        <w:t>h</w:t>
      </w:r>
      <w:r w:rsidR="001B7AC4" w:rsidRPr="00C5187E">
        <w:rPr>
          <w:rFonts w:cs="Arial"/>
          <w:szCs w:val="22"/>
        </w:rPr>
        <w:t xml:space="preserve"> </w:t>
      </w:r>
      <w:r w:rsidR="004E4029" w:rsidRPr="00C5187E">
        <w:rPr>
          <w:rFonts w:cs="Arial"/>
          <w:szCs w:val="22"/>
        </w:rPr>
        <w:t>session of the General Conference</w:t>
      </w:r>
      <w:r w:rsidR="00460D49" w:rsidRPr="00C5187E">
        <w:rPr>
          <w:rFonts w:cs="Arial"/>
          <w:szCs w:val="22"/>
        </w:rPr>
        <w:t xml:space="preserve"> </w:t>
      </w:r>
      <w:r w:rsidR="002E0C0C" w:rsidRPr="00C5187E">
        <w:rPr>
          <w:rFonts w:cs="Arial"/>
          <w:szCs w:val="22"/>
        </w:rPr>
        <w:t>in 201</w:t>
      </w:r>
      <w:r w:rsidR="001B7AC4" w:rsidRPr="00C5187E">
        <w:rPr>
          <w:rFonts w:cs="Arial"/>
          <w:szCs w:val="22"/>
        </w:rPr>
        <w:t>5</w:t>
      </w:r>
      <w:r w:rsidR="002E0C0C" w:rsidRPr="00C5187E">
        <w:rPr>
          <w:rFonts w:cs="Arial"/>
          <w:szCs w:val="22"/>
        </w:rPr>
        <w:t xml:space="preserve"> </w:t>
      </w:r>
      <w:r w:rsidR="004E4029" w:rsidRPr="00C5187E">
        <w:rPr>
          <w:rFonts w:cs="Arial"/>
          <w:szCs w:val="22"/>
        </w:rPr>
        <w:t xml:space="preserve">(38C/Resolution 101). In general, actions </w:t>
      </w:r>
      <w:r w:rsidRPr="00C5187E">
        <w:rPr>
          <w:rFonts w:cs="Arial"/>
          <w:szCs w:val="22"/>
        </w:rPr>
        <w:t>had been</w:t>
      </w:r>
      <w:r w:rsidR="004E4029" w:rsidRPr="00C5187E">
        <w:rPr>
          <w:rFonts w:cs="Arial"/>
          <w:szCs w:val="22"/>
        </w:rPr>
        <w:t xml:space="preserve"> taken to move a number of recommendations towards the status ‘closed’ or ‘ongoing’. </w:t>
      </w:r>
      <w:r w:rsidR="002E0C0C" w:rsidRPr="00C5187E">
        <w:rPr>
          <w:rFonts w:cs="Arial"/>
          <w:szCs w:val="22"/>
        </w:rPr>
        <w:t>In b</w:t>
      </w:r>
      <w:r w:rsidR="00B561DB" w:rsidRPr="00C5187E">
        <w:rPr>
          <w:rFonts w:cs="Arial"/>
          <w:szCs w:val="22"/>
        </w:rPr>
        <w:t xml:space="preserve">etween these two sessions of </w:t>
      </w:r>
      <w:r w:rsidR="004E4029" w:rsidRPr="00C5187E">
        <w:rPr>
          <w:rFonts w:cs="Arial"/>
          <w:szCs w:val="22"/>
        </w:rPr>
        <w:t>the Committee</w:t>
      </w:r>
      <w:r w:rsidR="00B561DB" w:rsidRPr="00C5187E">
        <w:rPr>
          <w:rFonts w:cs="Arial"/>
          <w:szCs w:val="22"/>
        </w:rPr>
        <w:t>,</w:t>
      </w:r>
      <w:r w:rsidR="004E4029" w:rsidRPr="00C5187E">
        <w:rPr>
          <w:rFonts w:cs="Arial"/>
          <w:szCs w:val="22"/>
        </w:rPr>
        <w:t xml:space="preserve"> </w:t>
      </w:r>
      <w:r w:rsidR="00460D49" w:rsidRPr="00C5187E">
        <w:rPr>
          <w:rFonts w:cs="Arial"/>
          <w:szCs w:val="22"/>
        </w:rPr>
        <w:t xml:space="preserve">the status of the recommendations </w:t>
      </w:r>
      <w:r w:rsidR="004E4029" w:rsidRPr="00C5187E">
        <w:rPr>
          <w:rFonts w:cs="Arial"/>
          <w:szCs w:val="22"/>
        </w:rPr>
        <w:t>w</w:t>
      </w:r>
      <w:r w:rsidR="00751242" w:rsidRPr="00C5187E">
        <w:rPr>
          <w:rFonts w:cs="Arial"/>
          <w:szCs w:val="22"/>
        </w:rPr>
        <w:t>as</w:t>
      </w:r>
      <w:r w:rsidR="004E4029" w:rsidRPr="00C5187E">
        <w:rPr>
          <w:rFonts w:cs="Arial"/>
          <w:szCs w:val="22"/>
        </w:rPr>
        <w:t xml:space="preserve"> further discussed </w:t>
      </w:r>
      <w:r w:rsidR="00460D49" w:rsidRPr="00C5187E">
        <w:rPr>
          <w:rFonts w:cs="Arial"/>
          <w:szCs w:val="22"/>
        </w:rPr>
        <w:t>during the seventh session of the General Assembly in June</w:t>
      </w:r>
      <w:r w:rsidR="00DB7B26" w:rsidRPr="00C5187E">
        <w:rPr>
          <w:rFonts w:cs="Arial"/>
          <w:szCs w:val="22"/>
        </w:rPr>
        <w:t xml:space="preserve"> </w:t>
      </w:r>
      <w:r w:rsidR="00460D49" w:rsidRPr="00C5187E">
        <w:rPr>
          <w:rFonts w:cs="Arial"/>
          <w:szCs w:val="22"/>
        </w:rPr>
        <w:t>2018 (</w:t>
      </w:r>
      <w:r w:rsidR="008978E1" w:rsidRPr="00C5187E">
        <w:rPr>
          <w:rFonts w:cs="Arial"/>
          <w:szCs w:val="22"/>
        </w:rPr>
        <w:t>Resolution </w:t>
      </w:r>
      <w:hyperlink r:id="rId18" w:history="1">
        <w:r w:rsidR="00460D49" w:rsidRPr="00C5187E">
          <w:rPr>
            <w:rStyle w:val="Hyperlink"/>
            <w:rFonts w:cs="Arial"/>
            <w:szCs w:val="22"/>
          </w:rPr>
          <w:t>ITH/18/7.GA/12</w:t>
        </w:r>
      </w:hyperlink>
      <w:r w:rsidR="00460D49" w:rsidRPr="00C5187E">
        <w:rPr>
          <w:rFonts w:cs="Arial"/>
          <w:szCs w:val="22"/>
        </w:rPr>
        <w:t xml:space="preserve">). At its fourteenth session, the Committee </w:t>
      </w:r>
      <w:r w:rsidR="00B561DB" w:rsidRPr="00C5187E">
        <w:rPr>
          <w:rFonts w:cs="Arial"/>
          <w:szCs w:val="22"/>
        </w:rPr>
        <w:t xml:space="preserve">also </w:t>
      </w:r>
      <w:r w:rsidR="00E5614B" w:rsidRPr="00C5187E">
        <w:rPr>
          <w:rFonts w:cs="Arial"/>
          <w:szCs w:val="22"/>
        </w:rPr>
        <w:t xml:space="preserve">took note that the General Assembly at its eighth session </w:t>
      </w:r>
      <w:r w:rsidR="002E0C0C" w:rsidRPr="00C5187E">
        <w:rPr>
          <w:rFonts w:cs="Arial"/>
          <w:szCs w:val="22"/>
        </w:rPr>
        <w:t xml:space="preserve">would </w:t>
      </w:r>
      <w:r w:rsidR="00E5614B" w:rsidRPr="00C5187E">
        <w:rPr>
          <w:rFonts w:cs="Arial"/>
          <w:szCs w:val="22"/>
        </w:rPr>
        <w:t>discuss the preparation of the C/4 and C/5 with reference to Recommendation</w:t>
      </w:r>
      <w:r w:rsidR="008358B6" w:rsidRPr="00C5187E">
        <w:rPr>
          <w:rFonts w:cs="Arial"/>
          <w:szCs w:val="22"/>
        </w:rPr>
        <w:t> </w:t>
      </w:r>
      <w:r w:rsidR="00E5614B" w:rsidRPr="00C5187E">
        <w:rPr>
          <w:rFonts w:cs="Arial"/>
          <w:szCs w:val="22"/>
        </w:rPr>
        <w:t>74.</w:t>
      </w:r>
    </w:p>
    <w:p w14:paraId="3BFCD907" w14:textId="250826EC" w:rsidR="00985364" w:rsidRPr="00C5187E" w:rsidRDefault="00475AD3" w:rsidP="00976F22">
      <w:pPr>
        <w:pStyle w:val="ListParagraph"/>
        <w:numPr>
          <w:ilvl w:val="0"/>
          <w:numId w:val="19"/>
        </w:numPr>
        <w:tabs>
          <w:tab w:val="clear" w:pos="502"/>
          <w:tab w:val="num" w:pos="567"/>
        </w:tabs>
        <w:spacing w:after="120"/>
        <w:ind w:left="567" w:hanging="567"/>
        <w:contextualSpacing w:val="0"/>
        <w:jc w:val="both"/>
        <w:rPr>
          <w:rFonts w:ascii="Arial" w:hAnsi="Arial" w:cs="Arial"/>
          <w:sz w:val="22"/>
          <w:szCs w:val="22"/>
        </w:rPr>
      </w:pPr>
      <w:r w:rsidRPr="00CA10FB">
        <w:rPr>
          <w:rFonts w:ascii="Arial" w:hAnsi="Arial" w:cs="Arial"/>
          <w:snapToGrid w:val="0"/>
          <w:sz w:val="22"/>
          <w:szCs w:val="22"/>
          <w:lang w:eastAsia="en-US"/>
        </w:rPr>
        <w:t xml:space="preserve">In its </w:t>
      </w:r>
      <w:hyperlink r:id="rId19" w:history="1">
        <w:r w:rsidRPr="00CA10FB">
          <w:rPr>
            <w:rStyle w:val="Hyperlink"/>
            <w:rFonts w:ascii="Arial" w:hAnsi="Arial" w:cs="Arial"/>
            <w:snapToGrid w:val="0"/>
            <w:sz w:val="22"/>
            <w:szCs w:val="22"/>
            <w:lang w:eastAsia="en-US"/>
          </w:rPr>
          <w:t>Resolution</w:t>
        </w:r>
        <w:r w:rsidR="0044753C" w:rsidRPr="00CA10FB">
          <w:rPr>
            <w:rStyle w:val="Hyperlink"/>
            <w:rFonts w:ascii="Arial" w:hAnsi="Arial" w:cs="Arial"/>
            <w:snapToGrid w:val="0"/>
            <w:sz w:val="22"/>
            <w:szCs w:val="22"/>
            <w:lang w:eastAsia="en-US"/>
          </w:rPr>
          <w:t> </w:t>
        </w:r>
        <w:r w:rsidRPr="00CA10FB">
          <w:rPr>
            <w:rStyle w:val="Hyperlink"/>
            <w:rFonts w:ascii="Arial" w:hAnsi="Arial" w:cs="Arial"/>
            <w:snapToGrid w:val="0"/>
            <w:sz w:val="22"/>
            <w:szCs w:val="22"/>
            <w:lang w:eastAsia="en-US"/>
          </w:rPr>
          <w:t>7.GA 9</w:t>
        </w:r>
      </w:hyperlink>
      <w:r w:rsidRPr="00CA10FB">
        <w:rPr>
          <w:rFonts w:ascii="Arial" w:hAnsi="Arial" w:cs="Arial"/>
          <w:snapToGrid w:val="0"/>
          <w:sz w:val="22"/>
          <w:szCs w:val="22"/>
          <w:lang w:eastAsia="en-US"/>
        </w:rPr>
        <w:t xml:space="preserve">, the General Assembly approved a plan for the use of the resources of the Intangible Cultural Heritage Fund </w:t>
      </w:r>
      <w:r w:rsidR="001B7AC4" w:rsidRPr="0037757E">
        <w:rPr>
          <w:rFonts w:ascii="Arial" w:hAnsi="Arial" w:cs="Arial"/>
          <w:snapToGrid w:val="0"/>
          <w:sz w:val="22"/>
          <w:szCs w:val="22"/>
          <w:lang w:eastAsia="en-US"/>
        </w:rPr>
        <w:t>(</w:t>
      </w:r>
      <w:r w:rsidRPr="0037757E">
        <w:rPr>
          <w:rFonts w:ascii="Arial" w:hAnsi="Arial" w:cs="Arial"/>
          <w:snapToGrid w:val="0"/>
          <w:sz w:val="22"/>
          <w:szCs w:val="22"/>
          <w:lang w:eastAsia="en-US"/>
        </w:rPr>
        <w:t>hereafter the Fund</w:t>
      </w:r>
      <w:r w:rsidR="001B7AC4" w:rsidRPr="0037757E">
        <w:rPr>
          <w:rFonts w:cs="Arial"/>
          <w:szCs w:val="22"/>
        </w:rPr>
        <w:t>)</w:t>
      </w:r>
      <w:r w:rsidRPr="0037757E">
        <w:rPr>
          <w:rFonts w:ascii="Arial" w:hAnsi="Arial" w:cs="Arial"/>
          <w:snapToGrid w:val="0"/>
          <w:sz w:val="22"/>
          <w:szCs w:val="22"/>
          <w:lang w:eastAsia="en-US"/>
        </w:rPr>
        <w:t xml:space="preserve"> for the period 1</w:t>
      </w:r>
      <w:r w:rsidR="00DB7B26" w:rsidRPr="0037757E">
        <w:rPr>
          <w:rFonts w:cs="Arial"/>
          <w:szCs w:val="22"/>
        </w:rPr>
        <w:t> </w:t>
      </w:r>
      <w:r w:rsidRPr="0037757E">
        <w:rPr>
          <w:rFonts w:ascii="Arial" w:hAnsi="Arial" w:cs="Arial"/>
          <w:snapToGrid w:val="0"/>
          <w:sz w:val="22"/>
          <w:szCs w:val="22"/>
          <w:lang w:eastAsia="en-US"/>
        </w:rPr>
        <w:t>January</w:t>
      </w:r>
      <w:r w:rsidR="00DB7B26" w:rsidRPr="0037757E">
        <w:rPr>
          <w:rFonts w:cs="Arial"/>
          <w:szCs w:val="22"/>
        </w:rPr>
        <w:t> </w:t>
      </w:r>
      <w:r w:rsidRPr="0037757E">
        <w:rPr>
          <w:rFonts w:ascii="Arial" w:hAnsi="Arial" w:cs="Arial"/>
          <w:snapToGrid w:val="0"/>
          <w:sz w:val="22"/>
          <w:szCs w:val="22"/>
          <w:lang w:eastAsia="en-US"/>
        </w:rPr>
        <w:t>2018 to 31</w:t>
      </w:r>
      <w:r w:rsidR="00DB7B26" w:rsidRPr="0037757E">
        <w:rPr>
          <w:rFonts w:cs="Arial"/>
          <w:szCs w:val="22"/>
        </w:rPr>
        <w:t> </w:t>
      </w:r>
      <w:r w:rsidRPr="0037757E">
        <w:rPr>
          <w:rFonts w:ascii="Arial" w:hAnsi="Arial" w:cs="Arial"/>
          <w:snapToGrid w:val="0"/>
          <w:sz w:val="22"/>
          <w:szCs w:val="22"/>
          <w:lang w:eastAsia="en-US"/>
        </w:rPr>
        <w:t>December</w:t>
      </w:r>
      <w:r w:rsidR="00DB7B26" w:rsidRPr="0037757E">
        <w:rPr>
          <w:rFonts w:cs="Arial"/>
          <w:szCs w:val="22"/>
        </w:rPr>
        <w:t> </w:t>
      </w:r>
      <w:r w:rsidRPr="0037757E">
        <w:rPr>
          <w:rFonts w:ascii="Arial" w:hAnsi="Arial" w:cs="Arial"/>
          <w:snapToGrid w:val="0"/>
          <w:sz w:val="22"/>
          <w:szCs w:val="22"/>
          <w:lang w:eastAsia="en-US"/>
        </w:rPr>
        <w:t>2019, which devoted 20 per</w:t>
      </w:r>
      <w:r w:rsidR="002E0C0C" w:rsidRPr="0037757E">
        <w:rPr>
          <w:rFonts w:ascii="Arial" w:hAnsi="Arial" w:cs="Arial"/>
          <w:snapToGrid w:val="0"/>
          <w:sz w:val="22"/>
          <w:szCs w:val="22"/>
          <w:lang w:eastAsia="en-US"/>
        </w:rPr>
        <w:t xml:space="preserve"> </w:t>
      </w:r>
      <w:r w:rsidRPr="0037757E">
        <w:rPr>
          <w:rFonts w:ascii="Arial" w:hAnsi="Arial" w:cs="Arial"/>
          <w:snapToGrid w:val="0"/>
          <w:sz w:val="22"/>
          <w:szCs w:val="22"/>
          <w:lang w:eastAsia="en-US"/>
        </w:rPr>
        <w:t>cent of the budget (US$1,718,184) to ‘other functions of the Committee’</w:t>
      </w:r>
      <w:r w:rsidRPr="0037757E">
        <w:rPr>
          <w:rFonts w:ascii="Arial" w:hAnsi="Arial" w:cs="Arial"/>
          <w:sz w:val="22"/>
          <w:szCs w:val="22"/>
        </w:rPr>
        <w:t xml:space="preserve">. By its </w:t>
      </w:r>
      <w:hyperlink r:id="rId20" w:history="1">
        <w:r w:rsidRPr="00CA10FB">
          <w:rPr>
            <w:rStyle w:val="Hyperlink"/>
            <w:rFonts w:ascii="Arial" w:hAnsi="Arial" w:cs="Arial"/>
            <w:sz w:val="22"/>
            <w:szCs w:val="22"/>
          </w:rPr>
          <w:t>Decision</w:t>
        </w:r>
        <w:r w:rsidR="0044753C" w:rsidRPr="00CA10FB">
          <w:rPr>
            <w:rStyle w:val="Hyperlink"/>
            <w:rFonts w:ascii="Arial" w:hAnsi="Arial" w:cs="Arial"/>
            <w:sz w:val="22"/>
            <w:szCs w:val="22"/>
          </w:rPr>
          <w:t> </w:t>
        </w:r>
        <w:r w:rsidRPr="00CA10FB">
          <w:rPr>
            <w:rStyle w:val="Hyperlink"/>
            <w:rFonts w:ascii="Arial" w:hAnsi="Arial" w:cs="Arial"/>
            <w:sz w:val="22"/>
            <w:szCs w:val="22"/>
          </w:rPr>
          <w:t>12.COM 7</w:t>
        </w:r>
      </w:hyperlink>
      <w:r w:rsidRPr="00CA10FB">
        <w:rPr>
          <w:rFonts w:ascii="Arial" w:hAnsi="Arial" w:cs="Arial"/>
          <w:sz w:val="22"/>
          <w:szCs w:val="22"/>
        </w:rPr>
        <w:t xml:space="preserve">, the Committee delegated to its Bureau the authority to decide upon the utilization of the funds allocated under this line of the Plan, based on specific proposals to be prepared by the Secretariat. </w:t>
      </w:r>
      <w:r w:rsidR="00830E08" w:rsidRPr="00CA10FB">
        <w:rPr>
          <w:rFonts w:ascii="Arial" w:hAnsi="Arial" w:cs="Arial"/>
          <w:sz w:val="22"/>
          <w:szCs w:val="22"/>
        </w:rPr>
        <w:t>Accordingly, in June</w:t>
      </w:r>
      <w:r w:rsidR="00DB7B26" w:rsidRPr="00CA10FB">
        <w:rPr>
          <w:rFonts w:cs="Arial"/>
          <w:szCs w:val="22"/>
        </w:rPr>
        <w:t> </w:t>
      </w:r>
      <w:r w:rsidR="00830E08" w:rsidRPr="0037757E">
        <w:rPr>
          <w:rFonts w:ascii="Arial" w:hAnsi="Arial" w:cs="Arial"/>
          <w:sz w:val="22"/>
          <w:szCs w:val="22"/>
        </w:rPr>
        <w:t xml:space="preserve">2018 </w:t>
      </w:r>
      <w:r w:rsidR="002E0C0C" w:rsidRPr="0037757E">
        <w:rPr>
          <w:rFonts w:ascii="Arial" w:hAnsi="Arial" w:cs="Arial"/>
          <w:sz w:val="22"/>
          <w:szCs w:val="22"/>
        </w:rPr>
        <w:t xml:space="preserve">the Bureau </w:t>
      </w:r>
      <w:r w:rsidR="00830E08" w:rsidRPr="0037757E">
        <w:rPr>
          <w:rFonts w:ascii="Arial" w:hAnsi="Arial" w:cs="Arial"/>
          <w:sz w:val="22"/>
          <w:szCs w:val="22"/>
        </w:rPr>
        <w:t xml:space="preserve">approved it for the period </w:t>
      </w:r>
      <w:r w:rsidR="00830E08" w:rsidRPr="0037757E">
        <w:rPr>
          <w:rFonts w:ascii="Arial" w:hAnsi="Arial" w:cs="Arial"/>
          <w:snapToGrid w:val="0"/>
          <w:sz w:val="22"/>
          <w:szCs w:val="22"/>
          <w:lang w:eastAsia="en-US"/>
        </w:rPr>
        <w:t>1</w:t>
      </w:r>
      <w:r w:rsidR="00DB7B26" w:rsidRPr="0037757E">
        <w:rPr>
          <w:rFonts w:cs="Arial"/>
          <w:szCs w:val="22"/>
        </w:rPr>
        <w:t> </w:t>
      </w:r>
      <w:r w:rsidR="00830E08" w:rsidRPr="0037757E">
        <w:rPr>
          <w:rFonts w:ascii="Arial" w:hAnsi="Arial" w:cs="Arial"/>
          <w:snapToGrid w:val="0"/>
          <w:sz w:val="22"/>
          <w:szCs w:val="22"/>
          <w:lang w:eastAsia="en-US"/>
        </w:rPr>
        <w:t>January</w:t>
      </w:r>
      <w:r w:rsidR="00DB7B26" w:rsidRPr="0037757E">
        <w:rPr>
          <w:rFonts w:cs="Arial"/>
          <w:szCs w:val="22"/>
        </w:rPr>
        <w:t> </w:t>
      </w:r>
      <w:r w:rsidR="00830E08" w:rsidRPr="0037757E">
        <w:rPr>
          <w:rFonts w:ascii="Arial" w:hAnsi="Arial" w:cs="Arial"/>
          <w:snapToGrid w:val="0"/>
          <w:sz w:val="22"/>
          <w:szCs w:val="22"/>
          <w:lang w:eastAsia="en-US"/>
        </w:rPr>
        <w:t>2018 to 31</w:t>
      </w:r>
      <w:r w:rsidR="00DB7B26" w:rsidRPr="0037757E">
        <w:rPr>
          <w:rFonts w:cs="Arial"/>
          <w:szCs w:val="22"/>
        </w:rPr>
        <w:t> </w:t>
      </w:r>
      <w:r w:rsidR="00830E08" w:rsidRPr="0037757E">
        <w:rPr>
          <w:rFonts w:ascii="Arial" w:hAnsi="Arial" w:cs="Arial"/>
          <w:snapToGrid w:val="0"/>
          <w:sz w:val="22"/>
          <w:szCs w:val="22"/>
          <w:lang w:eastAsia="en-US"/>
        </w:rPr>
        <w:t>December</w:t>
      </w:r>
      <w:r w:rsidR="00DB7B26" w:rsidRPr="0037757E">
        <w:rPr>
          <w:rFonts w:cs="Arial"/>
          <w:szCs w:val="22"/>
        </w:rPr>
        <w:t> </w:t>
      </w:r>
      <w:r w:rsidR="00830E08" w:rsidRPr="0037757E">
        <w:rPr>
          <w:rFonts w:ascii="Arial" w:hAnsi="Arial" w:cs="Arial"/>
          <w:snapToGrid w:val="0"/>
          <w:sz w:val="22"/>
          <w:szCs w:val="22"/>
          <w:lang w:eastAsia="en-US"/>
        </w:rPr>
        <w:t>2019</w:t>
      </w:r>
      <w:r w:rsidR="00F36907" w:rsidRPr="0037757E">
        <w:rPr>
          <w:rFonts w:ascii="Arial" w:hAnsi="Arial" w:cs="Arial"/>
          <w:sz w:val="22"/>
          <w:szCs w:val="22"/>
        </w:rPr>
        <w:t xml:space="preserve">. </w:t>
      </w:r>
      <w:r w:rsidRPr="0037757E">
        <w:rPr>
          <w:rFonts w:ascii="Arial" w:hAnsi="Arial" w:cs="Arial"/>
          <w:sz w:val="22"/>
          <w:szCs w:val="22"/>
        </w:rPr>
        <w:t>Detailed information on the results of these activities up to June</w:t>
      </w:r>
      <w:r w:rsidR="00DB7B26" w:rsidRPr="0037757E">
        <w:rPr>
          <w:rFonts w:cs="Arial"/>
          <w:szCs w:val="22"/>
        </w:rPr>
        <w:t> </w:t>
      </w:r>
      <w:r w:rsidRPr="0037757E">
        <w:rPr>
          <w:rFonts w:ascii="Arial" w:hAnsi="Arial" w:cs="Arial"/>
          <w:sz w:val="22"/>
          <w:szCs w:val="22"/>
        </w:rPr>
        <w:t>2019 is included in the report of the Secretariat to the Committee (</w:t>
      </w:r>
      <w:hyperlink r:id="rId21" w:history="1">
        <w:r w:rsidRPr="00CA10FB">
          <w:rPr>
            <w:rStyle w:val="Hyperlink"/>
            <w:rFonts w:ascii="Arial" w:hAnsi="Arial" w:cs="Arial"/>
            <w:sz w:val="22"/>
            <w:szCs w:val="22"/>
          </w:rPr>
          <w:t>document</w:t>
        </w:r>
        <w:r w:rsidR="0044753C" w:rsidRPr="00CA10FB">
          <w:rPr>
            <w:rStyle w:val="Hyperlink"/>
            <w:rFonts w:ascii="Arial" w:hAnsi="Arial" w:cs="Arial"/>
            <w:sz w:val="22"/>
            <w:szCs w:val="22"/>
          </w:rPr>
          <w:t> </w:t>
        </w:r>
        <w:r w:rsidRPr="00CA10FB">
          <w:rPr>
            <w:rStyle w:val="Hyperlink"/>
            <w:rFonts w:ascii="Arial" w:hAnsi="Arial" w:cs="Arial"/>
            <w:sz w:val="22"/>
            <w:szCs w:val="22"/>
          </w:rPr>
          <w:t>LHE/19/14.COM/5.b</w:t>
        </w:r>
      </w:hyperlink>
      <w:r w:rsidRPr="00CA10FB">
        <w:rPr>
          <w:rFonts w:ascii="Arial" w:hAnsi="Arial" w:cs="Arial"/>
          <w:sz w:val="22"/>
          <w:szCs w:val="22"/>
        </w:rPr>
        <w:t>).</w:t>
      </w:r>
      <w:r w:rsidR="00AA1B34" w:rsidRPr="00CA10FB">
        <w:rPr>
          <w:rFonts w:ascii="Arial" w:hAnsi="Arial" w:cs="Arial"/>
          <w:sz w:val="22"/>
          <w:szCs w:val="22"/>
        </w:rPr>
        <w:t xml:space="preserve"> </w:t>
      </w:r>
      <w:r w:rsidR="00D5474A" w:rsidRPr="00C5187E">
        <w:rPr>
          <w:rFonts w:ascii="Arial" w:hAnsi="Arial" w:cs="Arial"/>
          <w:sz w:val="22"/>
          <w:szCs w:val="22"/>
        </w:rPr>
        <w:t>In addition, t</w:t>
      </w:r>
      <w:r w:rsidR="00932958" w:rsidRPr="00C5187E">
        <w:rPr>
          <w:rFonts w:ascii="Arial" w:hAnsi="Arial" w:cs="Arial"/>
          <w:sz w:val="22"/>
          <w:szCs w:val="22"/>
        </w:rPr>
        <w:t xml:space="preserve">he fourteenth session </w:t>
      </w:r>
      <w:r w:rsidR="00AA1B34" w:rsidRPr="00C5187E">
        <w:rPr>
          <w:rFonts w:ascii="Arial" w:hAnsi="Arial" w:cs="Arial"/>
          <w:sz w:val="22"/>
          <w:szCs w:val="22"/>
        </w:rPr>
        <w:t>of the Committee approved a draft plan for the use of the resources of the Intangible Cultural Heritage Fund for the period 1</w:t>
      </w:r>
      <w:r w:rsidR="00B460B1" w:rsidRPr="00C5187E">
        <w:rPr>
          <w:rFonts w:cs="Arial"/>
          <w:szCs w:val="22"/>
        </w:rPr>
        <w:t> </w:t>
      </w:r>
      <w:r w:rsidR="00AA1B34" w:rsidRPr="00C5187E">
        <w:rPr>
          <w:rFonts w:ascii="Arial" w:hAnsi="Arial" w:cs="Arial"/>
          <w:sz w:val="22"/>
          <w:szCs w:val="22"/>
        </w:rPr>
        <w:t>January</w:t>
      </w:r>
      <w:r w:rsidR="00B460B1" w:rsidRPr="00C5187E">
        <w:rPr>
          <w:rFonts w:cs="Arial"/>
          <w:szCs w:val="22"/>
        </w:rPr>
        <w:t> </w:t>
      </w:r>
      <w:r w:rsidR="00AA1B34" w:rsidRPr="00C5187E">
        <w:rPr>
          <w:rFonts w:ascii="Arial" w:hAnsi="Arial" w:cs="Arial"/>
          <w:sz w:val="22"/>
          <w:szCs w:val="22"/>
        </w:rPr>
        <w:t>2020 to 31</w:t>
      </w:r>
      <w:r w:rsidR="00B460B1" w:rsidRPr="00C5187E">
        <w:rPr>
          <w:rFonts w:cs="Arial"/>
          <w:szCs w:val="22"/>
        </w:rPr>
        <w:t> </w:t>
      </w:r>
      <w:r w:rsidR="00AA1B34" w:rsidRPr="00C5187E">
        <w:rPr>
          <w:rFonts w:ascii="Arial" w:hAnsi="Arial" w:cs="Arial"/>
          <w:sz w:val="22"/>
          <w:szCs w:val="22"/>
        </w:rPr>
        <w:t>December</w:t>
      </w:r>
      <w:r w:rsidR="00B460B1" w:rsidRPr="00C5187E">
        <w:rPr>
          <w:rFonts w:cs="Arial"/>
          <w:szCs w:val="22"/>
        </w:rPr>
        <w:t> </w:t>
      </w:r>
      <w:r w:rsidR="00AA1B34" w:rsidRPr="00C5187E">
        <w:rPr>
          <w:rFonts w:ascii="Arial" w:hAnsi="Arial" w:cs="Arial"/>
          <w:sz w:val="22"/>
          <w:szCs w:val="22"/>
        </w:rPr>
        <w:t>2021 and the first semester of 2022, to be submitted to the General Assembly for its approval.</w:t>
      </w:r>
    </w:p>
    <w:p w14:paraId="402464DC" w14:textId="1B50BBB5" w:rsidR="006C3A64" w:rsidRPr="00CA7D7A" w:rsidRDefault="00985364" w:rsidP="00976F22">
      <w:pPr>
        <w:pStyle w:val="ListParagraph"/>
        <w:numPr>
          <w:ilvl w:val="0"/>
          <w:numId w:val="19"/>
        </w:numPr>
        <w:tabs>
          <w:tab w:val="clear" w:pos="502"/>
          <w:tab w:val="num" w:pos="567"/>
        </w:tabs>
        <w:spacing w:after="120"/>
        <w:ind w:left="567" w:hanging="567"/>
        <w:contextualSpacing w:val="0"/>
        <w:jc w:val="both"/>
        <w:rPr>
          <w:rFonts w:ascii="Arial" w:hAnsi="Arial" w:cs="Arial"/>
          <w:sz w:val="22"/>
          <w:szCs w:val="22"/>
        </w:rPr>
      </w:pPr>
      <w:r w:rsidRPr="002300C4">
        <w:rPr>
          <w:rFonts w:ascii="Arial" w:hAnsi="Arial" w:cs="Arial"/>
          <w:snapToGrid w:val="0"/>
          <w:sz w:val="22"/>
          <w:szCs w:val="22"/>
          <w:lang w:eastAsia="en-US"/>
        </w:rPr>
        <w:t xml:space="preserve">Under the reporting period, </w:t>
      </w:r>
      <w:r w:rsidR="002E0C0C" w:rsidRPr="002300C4">
        <w:rPr>
          <w:rFonts w:ascii="Arial" w:hAnsi="Arial" w:cs="Arial"/>
          <w:snapToGrid w:val="0"/>
          <w:sz w:val="22"/>
          <w:szCs w:val="22"/>
          <w:lang w:eastAsia="en-US"/>
        </w:rPr>
        <w:t xml:space="preserve">many improvements were made to </w:t>
      </w:r>
      <w:r w:rsidRPr="006B6396">
        <w:rPr>
          <w:rFonts w:ascii="Arial" w:hAnsi="Arial" w:cs="Arial"/>
          <w:sz w:val="22"/>
          <w:szCs w:val="22"/>
        </w:rPr>
        <w:t xml:space="preserve">the </w:t>
      </w:r>
      <w:r w:rsidR="006C3A64" w:rsidRPr="006B6396">
        <w:rPr>
          <w:rFonts w:ascii="Arial" w:hAnsi="Arial" w:cs="Arial"/>
          <w:sz w:val="22"/>
          <w:szCs w:val="22"/>
        </w:rPr>
        <w:t>knowledge management services</w:t>
      </w:r>
      <w:r w:rsidR="00751242" w:rsidRPr="006B6396">
        <w:rPr>
          <w:rFonts w:ascii="Arial" w:hAnsi="Arial" w:cs="Arial"/>
          <w:sz w:val="22"/>
          <w:szCs w:val="22"/>
        </w:rPr>
        <w:t xml:space="preserve"> of the Convention</w:t>
      </w:r>
      <w:r w:rsidR="002E0C0C" w:rsidRPr="006B6396">
        <w:rPr>
          <w:rFonts w:ascii="Arial" w:hAnsi="Arial" w:cs="Arial"/>
          <w:sz w:val="22"/>
          <w:szCs w:val="22"/>
        </w:rPr>
        <w:t>,</w:t>
      </w:r>
      <w:r w:rsidRPr="006B6396">
        <w:rPr>
          <w:rFonts w:ascii="Arial" w:hAnsi="Arial" w:cs="Arial"/>
          <w:sz w:val="22"/>
          <w:szCs w:val="22"/>
        </w:rPr>
        <w:t xml:space="preserve"> with new functionalities made available to</w:t>
      </w:r>
      <w:r w:rsidRPr="00147BE7">
        <w:rPr>
          <w:rFonts w:ascii="Arial" w:hAnsi="Arial" w:cs="Arial"/>
          <w:sz w:val="22"/>
          <w:szCs w:val="22"/>
        </w:rPr>
        <w:t xml:space="preserve"> facilitate the sound and improved governance of the Convention. </w:t>
      </w:r>
      <w:r w:rsidR="002E0C0C" w:rsidRPr="00147BE7">
        <w:rPr>
          <w:rFonts w:ascii="Arial" w:hAnsi="Arial" w:cs="Arial"/>
          <w:sz w:val="22"/>
          <w:szCs w:val="22"/>
        </w:rPr>
        <w:t>T</w:t>
      </w:r>
      <w:r w:rsidRPr="00147BE7">
        <w:rPr>
          <w:rFonts w:ascii="Arial" w:hAnsi="Arial" w:cs="Arial"/>
          <w:sz w:val="22"/>
          <w:szCs w:val="22"/>
        </w:rPr>
        <w:t xml:space="preserve">he main achievements </w:t>
      </w:r>
      <w:r w:rsidR="002E0C0C" w:rsidRPr="00147BE7">
        <w:rPr>
          <w:rFonts w:ascii="Arial" w:hAnsi="Arial" w:cs="Arial"/>
          <w:sz w:val="22"/>
          <w:szCs w:val="22"/>
        </w:rPr>
        <w:t>included</w:t>
      </w:r>
      <w:r w:rsidRPr="00147BE7">
        <w:rPr>
          <w:rFonts w:ascii="Arial" w:hAnsi="Arial" w:cs="Arial"/>
          <w:sz w:val="22"/>
          <w:szCs w:val="22"/>
        </w:rPr>
        <w:t xml:space="preserve"> the online reporting interface to support the reformed periodic reporting mechanism</w:t>
      </w:r>
      <w:r w:rsidR="002E0C0C" w:rsidRPr="00147BE7">
        <w:rPr>
          <w:rFonts w:ascii="Arial" w:hAnsi="Arial" w:cs="Arial"/>
          <w:sz w:val="22"/>
          <w:szCs w:val="22"/>
        </w:rPr>
        <w:t xml:space="preserve">, </w:t>
      </w:r>
      <w:r w:rsidRPr="00147BE7">
        <w:rPr>
          <w:rFonts w:ascii="Arial" w:hAnsi="Arial" w:cs="Arial"/>
          <w:sz w:val="22"/>
          <w:szCs w:val="22"/>
        </w:rPr>
        <w:t>as well as the renewal of accredited NGOs. The Arabic version of the</w:t>
      </w:r>
      <w:r w:rsidR="002E0C0C" w:rsidRPr="00147BE7">
        <w:rPr>
          <w:rFonts w:ascii="Arial" w:hAnsi="Arial" w:cs="Arial"/>
          <w:sz w:val="22"/>
          <w:szCs w:val="22"/>
        </w:rPr>
        <w:t xml:space="preserve"> website of the</w:t>
      </w:r>
      <w:r w:rsidRPr="00147BE7">
        <w:rPr>
          <w:rFonts w:ascii="Arial" w:hAnsi="Arial" w:cs="Arial"/>
          <w:sz w:val="22"/>
          <w:szCs w:val="22"/>
        </w:rPr>
        <w:t xml:space="preserve"> Convention was also launched. Furthermore, inscribed elements, safeguarding projects and accredited NGOs were indexed and datasets </w:t>
      </w:r>
      <w:r w:rsidR="002E0C0C" w:rsidRPr="00147BE7">
        <w:rPr>
          <w:rFonts w:ascii="Arial" w:hAnsi="Arial" w:cs="Arial"/>
          <w:sz w:val="22"/>
          <w:szCs w:val="22"/>
        </w:rPr>
        <w:t>can now be searched</w:t>
      </w:r>
      <w:r w:rsidRPr="00147BE7">
        <w:rPr>
          <w:rFonts w:ascii="Arial" w:hAnsi="Arial" w:cs="Arial"/>
          <w:sz w:val="22"/>
          <w:szCs w:val="22"/>
        </w:rPr>
        <w:t xml:space="preserve"> by content-related criteria and </w:t>
      </w:r>
      <w:r w:rsidR="002E0C0C" w:rsidRPr="00147BE7">
        <w:rPr>
          <w:rFonts w:ascii="Arial" w:hAnsi="Arial" w:cs="Arial"/>
          <w:sz w:val="22"/>
          <w:szCs w:val="22"/>
        </w:rPr>
        <w:t>downloaded</w:t>
      </w:r>
      <w:r w:rsidRPr="00147BE7">
        <w:rPr>
          <w:rFonts w:ascii="Arial" w:hAnsi="Arial" w:cs="Arial"/>
          <w:sz w:val="22"/>
          <w:szCs w:val="22"/>
        </w:rPr>
        <w:t xml:space="preserve"> to allow </w:t>
      </w:r>
      <w:r w:rsidR="002E0C0C" w:rsidRPr="00147BE7">
        <w:rPr>
          <w:rFonts w:ascii="Arial" w:hAnsi="Arial" w:cs="Arial"/>
          <w:sz w:val="22"/>
          <w:szCs w:val="22"/>
        </w:rPr>
        <w:t xml:space="preserve">for </w:t>
      </w:r>
      <w:r w:rsidRPr="00147BE7">
        <w:rPr>
          <w:rFonts w:ascii="Arial" w:hAnsi="Arial" w:cs="Arial"/>
          <w:sz w:val="22"/>
          <w:szCs w:val="22"/>
        </w:rPr>
        <w:t>external analysis. Another tool launched</w:t>
      </w:r>
      <w:r w:rsidR="002E0C0C" w:rsidRPr="00147BE7">
        <w:rPr>
          <w:rFonts w:ascii="Arial" w:hAnsi="Arial" w:cs="Arial"/>
          <w:sz w:val="22"/>
          <w:szCs w:val="22"/>
        </w:rPr>
        <w:t xml:space="preserve"> –</w:t>
      </w:r>
      <w:r w:rsidRPr="00147BE7">
        <w:rPr>
          <w:rFonts w:ascii="Arial" w:hAnsi="Arial" w:cs="Arial"/>
          <w:sz w:val="22"/>
          <w:szCs w:val="22"/>
        </w:rPr>
        <w:t xml:space="preserve"> </w:t>
      </w:r>
      <w:r w:rsidRPr="00E60E46">
        <w:rPr>
          <w:rFonts w:ascii="Arial" w:hAnsi="Arial" w:cs="Arial"/>
          <w:color w:val="000000"/>
          <w:sz w:val="22"/>
          <w:szCs w:val="22"/>
          <w:shd w:val="clear" w:color="auto" w:fill="FFFFFF"/>
        </w:rPr>
        <w:t xml:space="preserve">the </w:t>
      </w:r>
      <w:hyperlink r:id="rId22" w:history="1">
        <w:r w:rsidRPr="006406C1">
          <w:rPr>
            <w:rStyle w:val="Hyperlink"/>
            <w:rFonts w:ascii="Arial" w:eastAsiaTheme="minorHAnsi" w:hAnsi="Arial" w:cs="Arial"/>
            <w:sz w:val="22"/>
            <w:szCs w:val="22"/>
            <w:lang w:val="en-US"/>
          </w:rPr>
          <w:t>Intangible Cultural Heritage Convention Research Bibliography</w:t>
        </w:r>
      </w:hyperlink>
      <w:r w:rsidRPr="006406C1">
        <w:rPr>
          <w:rFonts w:ascii="Arial" w:hAnsi="Arial" w:cs="Arial"/>
          <w:sz w:val="22"/>
          <w:szCs w:val="22"/>
        </w:rPr>
        <w:t xml:space="preserve"> </w:t>
      </w:r>
      <w:r w:rsidR="002E0C0C" w:rsidRPr="006406C1">
        <w:rPr>
          <w:rFonts w:ascii="Arial" w:hAnsi="Arial" w:cs="Arial"/>
          <w:sz w:val="22"/>
          <w:szCs w:val="22"/>
        </w:rPr>
        <w:t xml:space="preserve">– </w:t>
      </w:r>
      <w:r w:rsidRPr="006406C1">
        <w:rPr>
          <w:rFonts w:ascii="Arial" w:hAnsi="Arial" w:cs="Arial"/>
          <w:sz w:val="22"/>
          <w:szCs w:val="22"/>
        </w:rPr>
        <w:t>provides an interactive b</w:t>
      </w:r>
      <w:r w:rsidRPr="00CA7D7A">
        <w:rPr>
          <w:rFonts w:ascii="Arial" w:hAnsi="Arial" w:cs="Arial"/>
          <w:sz w:val="22"/>
          <w:szCs w:val="22"/>
        </w:rPr>
        <w:t>ibliography of research references related to the Co</w:t>
      </w:r>
      <w:r w:rsidR="00C01060" w:rsidRPr="00CA7D7A">
        <w:rPr>
          <w:rFonts w:ascii="Arial" w:hAnsi="Arial" w:cs="Arial"/>
          <w:sz w:val="22"/>
          <w:szCs w:val="22"/>
        </w:rPr>
        <w:t>nvention and its implementation</w:t>
      </w:r>
      <w:r w:rsidR="006C3A64" w:rsidRPr="00CA7D7A">
        <w:rPr>
          <w:rFonts w:ascii="Arial" w:hAnsi="Arial" w:cs="Arial"/>
          <w:sz w:val="22"/>
          <w:szCs w:val="22"/>
        </w:rPr>
        <w:t>.</w:t>
      </w:r>
    </w:p>
    <w:p w14:paraId="5C7BCCA9" w14:textId="49AFBAA2" w:rsidR="00932958" w:rsidRPr="00C5187E" w:rsidRDefault="00C15F1C" w:rsidP="00976F22">
      <w:pPr>
        <w:pStyle w:val="ListParagraph"/>
        <w:numPr>
          <w:ilvl w:val="0"/>
          <w:numId w:val="19"/>
        </w:numPr>
        <w:tabs>
          <w:tab w:val="clear" w:pos="502"/>
          <w:tab w:val="num" w:pos="567"/>
        </w:tabs>
        <w:spacing w:after="120"/>
        <w:ind w:left="567" w:hanging="567"/>
        <w:contextualSpacing w:val="0"/>
        <w:jc w:val="both"/>
        <w:rPr>
          <w:rFonts w:ascii="Arial" w:hAnsi="Arial" w:cs="Arial"/>
          <w:snapToGrid w:val="0"/>
          <w:sz w:val="22"/>
          <w:szCs w:val="22"/>
          <w:lang w:eastAsia="en-US"/>
        </w:rPr>
      </w:pPr>
      <w:r>
        <w:rPr>
          <w:rFonts w:ascii="Arial" w:hAnsi="Arial"/>
          <w:snapToGrid w:val="0"/>
          <w:sz w:val="22"/>
          <w:szCs w:val="22"/>
          <w:lang w:eastAsia="en-US"/>
        </w:rPr>
        <w:t xml:space="preserve">As </w:t>
      </w:r>
      <w:r w:rsidR="00D62386">
        <w:rPr>
          <w:rFonts w:ascii="Arial" w:hAnsi="Arial"/>
          <w:snapToGrid w:val="0"/>
          <w:sz w:val="22"/>
          <w:szCs w:val="22"/>
          <w:lang w:eastAsia="en-US"/>
        </w:rPr>
        <w:t>for</w:t>
      </w:r>
      <w:r>
        <w:rPr>
          <w:rFonts w:ascii="Arial" w:hAnsi="Arial"/>
          <w:snapToGrid w:val="0"/>
          <w:sz w:val="22"/>
          <w:szCs w:val="22"/>
          <w:lang w:eastAsia="en-US"/>
        </w:rPr>
        <w:t xml:space="preserve"> the reform of the Periodic Reporting mechanism that was initiated by the adoption of the overall results framework for the Convention (</w:t>
      </w:r>
      <w:hyperlink r:id="rId23" w:history="1">
        <w:r w:rsidRPr="001B7AC4">
          <w:rPr>
            <w:rStyle w:val="Hyperlink"/>
            <w:rFonts w:ascii="Arial" w:hAnsi="Arial"/>
            <w:snapToGrid w:val="0"/>
            <w:sz w:val="22"/>
            <w:szCs w:val="22"/>
            <w:lang w:eastAsia="en-US"/>
          </w:rPr>
          <w:t>Resolution</w:t>
        </w:r>
        <w:r w:rsidR="00CB15A0">
          <w:rPr>
            <w:rStyle w:val="Hyperlink"/>
            <w:rFonts w:ascii="Arial" w:hAnsi="Arial"/>
            <w:snapToGrid w:val="0"/>
            <w:sz w:val="22"/>
            <w:szCs w:val="22"/>
            <w:lang w:eastAsia="en-US"/>
          </w:rPr>
          <w:t> </w:t>
        </w:r>
        <w:r w:rsidRPr="001B7AC4">
          <w:rPr>
            <w:rStyle w:val="Hyperlink"/>
            <w:rFonts w:ascii="Arial" w:hAnsi="Arial"/>
            <w:snapToGrid w:val="0"/>
            <w:sz w:val="22"/>
            <w:szCs w:val="22"/>
            <w:lang w:eastAsia="en-US"/>
          </w:rPr>
          <w:t>7.GA 9</w:t>
        </w:r>
      </w:hyperlink>
      <w:r>
        <w:rPr>
          <w:rFonts w:ascii="Arial" w:hAnsi="Arial"/>
          <w:snapToGrid w:val="0"/>
          <w:sz w:val="22"/>
          <w:szCs w:val="22"/>
          <w:lang w:eastAsia="en-US"/>
        </w:rPr>
        <w:t>), t</w:t>
      </w:r>
      <w:r w:rsidRPr="00336285">
        <w:rPr>
          <w:rFonts w:ascii="Arial" w:hAnsi="Arial"/>
          <w:snapToGrid w:val="0"/>
          <w:sz w:val="22"/>
          <w:szCs w:val="22"/>
          <w:lang w:eastAsia="en-US"/>
        </w:rPr>
        <w:t>he Committee</w:t>
      </w:r>
      <w:r w:rsidRPr="004679D4">
        <w:rPr>
          <w:rFonts w:ascii="Arial" w:hAnsi="Arial"/>
          <w:snapToGrid w:val="0"/>
          <w:sz w:val="22"/>
          <w:szCs w:val="22"/>
          <w:lang w:eastAsia="en-US"/>
        </w:rPr>
        <w:t xml:space="preserve"> at its thirteenth session then took a further step by adopting the calendar for the first regional cycle of reporting under the Convention (</w:t>
      </w:r>
      <w:hyperlink r:id="rId24" w:history="1">
        <w:r w:rsidRPr="00B87483">
          <w:rPr>
            <w:rStyle w:val="Hyperlink"/>
            <w:rFonts w:ascii="Arial" w:hAnsi="Arial" w:cs="Arial"/>
            <w:sz w:val="22"/>
            <w:szCs w:val="22"/>
          </w:rPr>
          <w:t>Decision</w:t>
        </w:r>
        <w:r w:rsidR="00CB15A0">
          <w:rPr>
            <w:rStyle w:val="Hyperlink"/>
            <w:rFonts w:ascii="Arial" w:hAnsi="Arial" w:cs="Arial"/>
            <w:sz w:val="22"/>
            <w:szCs w:val="22"/>
          </w:rPr>
          <w:t> </w:t>
        </w:r>
        <w:r w:rsidRPr="00B87483">
          <w:rPr>
            <w:rStyle w:val="Hyperlink"/>
            <w:rFonts w:ascii="Arial" w:hAnsi="Arial" w:cs="Arial"/>
            <w:sz w:val="22"/>
            <w:szCs w:val="22"/>
          </w:rPr>
          <w:t>13.COM 8</w:t>
        </w:r>
      </w:hyperlink>
      <w:r w:rsidRPr="00B87483">
        <w:rPr>
          <w:rStyle w:val="Hyperlink"/>
          <w:rFonts w:ascii="Arial" w:hAnsi="Arial" w:cs="Arial"/>
          <w:sz w:val="22"/>
          <w:szCs w:val="22"/>
        </w:rPr>
        <w:t>)</w:t>
      </w:r>
      <w:r w:rsidRPr="00336285">
        <w:rPr>
          <w:rFonts w:ascii="Arial" w:hAnsi="Arial"/>
          <w:snapToGrid w:val="0"/>
          <w:sz w:val="22"/>
          <w:szCs w:val="22"/>
          <w:lang w:eastAsia="en-US"/>
        </w:rPr>
        <w:t>.</w:t>
      </w:r>
      <w:r>
        <w:rPr>
          <w:rFonts w:ascii="Arial" w:hAnsi="Arial"/>
          <w:snapToGrid w:val="0"/>
          <w:sz w:val="22"/>
          <w:szCs w:val="22"/>
          <w:lang w:eastAsia="en-US"/>
        </w:rPr>
        <w:t xml:space="preserve"> </w:t>
      </w:r>
      <w:r w:rsidR="00D915B6" w:rsidRPr="00C5187E">
        <w:rPr>
          <w:rFonts w:ascii="Arial" w:hAnsi="Arial" w:cs="Arial"/>
          <w:snapToGrid w:val="0"/>
          <w:sz w:val="22"/>
          <w:szCs w:val="22"/>
          <w:lang w:eastAsia="en-US"/>
        </w:rPr>
        <w:t xml:space="preserve">At its fourteenth session, the Committee </w:t>
      </w:r>
      <w:r w:rsidR="00E1678D" w:rsidRPr="00C5187E">
        <w:rPr>
          <w:rFonts w:ascii="Arial" w:hAnsi="Arial" w:cs="Arial"/>
          <w:snapToGrid w:val="0"/>
          <w:sz w:val="22"/>
          <w:szCs w:val="22"/>
          <w:lang w:eastAsia="en-US"/>
        </w:rPr>
        <w:t>took note of</w:t>
      </w:r>
      <w:r w:rsidR="00D915B6" w:rsidRPr="00C5187E">
        <w:rPr>
          <w:rFonts w:ascii="Arial" w:hAnsi="Arial" w:cs="Arial"/>
          <w:snapToGrid w:val="0"/>
          <w:sz w:val="22"/>
          <w:szCs w:val="22"/>
          <w:lang w:eastAsia="en-US"/>
        </w:rPr>
        <w:t xml:space="preserve"> the </w:t>
      </w:r>
      <w:r w:rsidR="004A526D" w:rsidRPr="00C5187E">
        <w:rPr>
          <w:rFonts w:ascii="Arial" w:hAnsi="Arial" w:cs="Arial"/>
          <w:snapToGrid w:val="0"/>
          <w:sz w:val="22"/>
          <w:szCs w:val="22"/>
          <w:lang w:eastAsia="en-US"/>
        </w:rPr>
        <w:t xml:space="preserve">following </w:t>
      </w:r>
      <w:r w:rsidR="00D915B6" w:rsidRPr="00C5187E">
        <w:rPr>
          <w:rFonts w:ascii="Arial" w:hAnsi="Arial" w:cs="Arial"/>
          <w:snapToGrid w:val="0"/>
          <w:sz w:val="22"/>
          <w:szCs w:val="22"/>
          <w:lang w:eastAsia="en-US"/>
        </w:rPr>
        <w:t xml:space="preserve">actions undertaken </w:t>
      </w:r>
      <w:r w:rsidR="007538E0" w:rsidRPr="00C5187E">
        <w:rPr>
          <w:rFonts w:ascii="Arial" w:hAnsi="Arial" w:cs="Arial"/>
          <w:snapToGrid w:val="0"/>
          <w:sz w:val="22"/>
          <w:szCs w:val="22"/>
          <w:lang w:eastAsia="en-US"/>
        </w:rPr>
        <w:t>by the Secretariat</w:t>
      </w:r>
      <w:r w:rsidR="00E1678D" w:rsidRPr="00C5187E">
        <w:rPr>
          <w:rFonts w:ascii="Arial" w:hAnsi="Arial" w:cs="Arial"/>
          <w:snapToGrid w:val="0"/>
          <w:sz w:val="22"/>
          <w:szCs w:val="22"/>
          <w:lang w:val="en-US" w:eastAsia="en-US"/>
        </w:rPr>
        <w:t>:</w:t>
      </w:r>
      <w:r w:rsidR="007538E0" w:rsidRPr="00C5187E">
        <w:rPr>
          <w:rFonts w:ascii="Arial" w:hAnsi="Arial" w:cs="Arial"/>
          <w:snapToGrid w:val="0"/>
          <w:sz w:val="22"/>
          <w:szCs w:val="22"/>
          <w:lang w:eastAsia="en-US"/>
        </w:rPr>
        <w:t xml:space="preserve"> </w:t>
      </w:r>
      <w:r w:rsidR="00D915B6" w:rsidRPr="00C5187E">
        <w:rPr>
          <w:rFonts w:ascii="Arial" w:hAnsi="Arial" w:cs="Arial"/>
          <w:snapToGrid w:val="0"/>
          <w:sz w:val="22"/>
          <w:szCs w:val="22"/>
          <w:lang w:eastAsia="en-US"/>
        </w:rPr>
        <w:t xml:space="preserve">a) the revision of reporting Form ICH-10 and its online version; b) the production of a set of </w:t>
      </w:r>
      <w:r w:rsidR="00D62386" w:rsidRPr="00C5187E">
        <w:rPr>
          <w:rFonts w:ascii="Arial" w:hAnsi="Arial" w:cs="Arial"/>
          <w:snapToGrid w:val="0"/>
          <w:sz w:val="22"/>
          <w:szCs w:val="22"/>
          <w:lang w:eastAsia="en-US"/>
        </w:rPr>
        <w:t>26</w:t>
      </w:r>
      <w:r w:rsidR="00D915B6" w:rsidRPr="00C5187E">
        <w:rPr>
          <w:rFonts w:ascii="Arial" w:hAnsi="Arial" w:cs="Arial"/>
          <w:snapToGrid w:val="0"/>
          <w:sz w:val="22"/>
          <w:szCs w:val="22"/>
          <w:lang w:eastAsia="en-US"/>
        </w:rPr>
        <w:t xml:space="preserve"> guidance notes; </w:t>
      </w:r>
      <w:r w:rsidR="00D915B6" w:rsidRPr="00C5187E">
        <w:rPr>
          <w:rFonts w:ascii="Arial" w:hAnsi="Arial" w:cs="Arial"/>
          <w:snapToGrid w:val="0"/>
          <w:sz w:val="22"/>
          <w:szCs w:val="22"/>
          <w:lang w:eastAsia="en-US"/>
        </w:rPr>
        <w:lastRenderedPageBreak/>
        <w:t xml:space="preserve">and c) the development of a capacity-building approach and related materials to assist reporting States. </w:t>
      </w:r>
      <w:r w:rsidR="007538E0" w:rsidRPr="00C5187E">
        <w:rPr>
          <w:rFonts w:ascii="Arial" w:hAnsi="Arial" w:cs="Arial"/>
          <w:snapToGrid w:val="0"/>
          <w:sz w:val="22"/>
          <w:szCs w:val="22"/>
          <w:lang w:eastAsia="en-US"/>
        </w:rPr>
        <w:t>T</w:t>
      </w:r>
      <w:r w:rsidR="00D915B6" w:rsidRPr="00C5187E">
        <w:rPr>
          <w:rFonts w:ascii="Arial" w:hAnsi="Arial" w:cs="Arial"/>
          <w:snapToGrid w:val="0"/>
          <w:sz w:val="22"/>
          <w:szCs w:val="22"/>
          <w:lang w:eastAsia="en-US"/>
        </w:rPr>
        <w:t>hese actions benefitted from the support of the Republic of Korea</w:t>
      </w:r>
      <w:r w:rsidR="007538E0" w:rsidRPr="00C5187E">
        <w:rPr>
          <w:rFonts w:ascii="Arial" w:hAnsi="Arial" w:cs="Arial"/>
          <w:snapToGrid w:val="0"/>
          <w:sz w:val="22"/>
          <w:szCs w:val="22"/>
          <w:lang w:eastAsia="en-US"/>
        </w:rPr>
        <w:t xml:space="preserve"> (US$300,000)</w:t>
      </w:r>
      <w:r w:rsidR="00E4059C" w:rsidRPr="00C5187E">
        <w:rPr>
          <w:rFonts w:ascii="Arial" w:hAnsi="Arial" w:cs="Arial"/>
          <w:snapToGrid w:val="0"/>
          <w:sz w:val="22"/>
          <w:szCs w:val="22"/>
          <w:lang w:eastAsia="en-US"/>
        </w:rPr>
        <w:t>.</w:t>
      </w:r>
    </w:p>
    <w:p w14:paraId="523AC917" w14:textId="77777777" w:rsidR="00305C1A" w:rsidRPr="001566EB" w:rsidRDefault="00305C1A" w:rsidP="00976F22">
      <w:pPr>
        <w:pStyle w:val="ListParagraph"/>
        <w:keepNext/>
        <w:numPr>
          <w:ilvl w:val="0"/>
          <w:numId w:val="21"/>
        </w:numPr>
        <w:tabs>
          <w:tab w:val="num" w:pos="567"/>
        </w:tabs>
        <w:spacing w:before="240" w:after="120"/>
        <w:ind w:left="567" w:hanging="567"/>
        <w:contextualSpacing w:val="0"/>
        <w:rPr>
          <w:rFonts w:ascii="Arial" w:hAnsi="Arial" w:cs="Arial"/>
          <w:b/>
          <w:sz w:val="22"/>
          <w:szCs w:val="22"/>
        </w:rPr>
      </w:pPr>
      <w:r w:rsidRPr="002300C4">
        <w:rPr>
          <w:rFonts w:ascii="Arial" w:hAnsi="Arial" w:cs="Arial"/>
          <w:b/>
          <w:sz w:val="22"/>
          <w:szCs w:val="22"/>
        </w:rPr>
        <w:t>Strengthening the capacity-building programme and guidelines on safeguarding measures and good practices</w:t>
      </w:r>
    </w:p>
    <w:p w14:paraId="54DC0998" w14:textId="1EC79557" w:rsidR="0084306C" w:rsidRPr="00B460B1" w:rsidRDefault="00305C1A" w:rsidP="00976F22">
      <w:pPr>
        <w:pStyle w:val="Marge"/>
        <w:numPr>
          <w:ilvl w:val="0"/>
          <w:numId w:val="19"/>
        </w:numPr>
        <w:tabs>
          <w:tab w:val="clear" w:pos="502"/>
          <w:tab w:val="num" w:pos="567"/>
        </w:tabs>
        <w:spacing w:after="120"/>
        <w:ind w:left="567" w:hanging="567"/>
        <w:rPr>
          <w:rFonts w:cs="Arial"/>
          <w:szCs w:val="22"/>
        </w:rPr>
      </w:pPr>
      <w:r w:rsidRPr="006406C1">
        <w:rPr>
          <w:rFonts w:cs="Arial"/>
          <w:szCs w:val="22"/>
        </w:rPr>
        <w:t>The Committee continues to consider capacity building</w:t>
      </w:r>
      <w:r w:rsidR="004A526D" w:rsidRPr="006406C1">
        <w:rPr>
          <w:rFonts w:cs="Arial"/>
          <w:szCs w:val="22"/>
        </w:rPr>
        <w:t xml:space="preserve"> to be</w:t>
      </w:r>
      <w:r w:rsidRPr="00CA7D7A">
        <w:rPr>
          <w:rFonts w:cs="Arial"/>
          <w:szCs w:val="22"/>
        </w:rPr>
        <w:t xml:space="preserve"> </w:t>
      </w:r>
      <w:r w:rsidR="00E946F1" w:rsidRPr="00CA7D7A">
        <w:rPr>
          <w:rFonts w:cs="Arial"/>
          <w:szCs w:val="22"/>
        </w:rPr>
        <w:t xml:space="preserve">crucial and </w:t>
      </w:r>
      <w:r w:rsidR="004A4CE7" w:rsidRPr="00CA7D7A">
        <w:rPr>
          <w:rFonts w:cs="Arial"/>
          <w:szCs w:val="22"/>
        </w:rPr>
        <w:t>maintains it</w:t>
      </w:r>
      <w:r w:rsidR="00FB630D" w:rsidRPr="00CA7D7A">
        <w:rPr>
          <w:rFonts w:cs="Arial"/>
          <w:szCs w:val="22"/>
        </w:rPr>
        <w:t xml:space="preserve"> as </w:t>
      </w:r>
      <w:r w:rsidR="004A4CE7" w:rsidRPr="00CA7D7A">
        <w:rPr>
          <w:rFonts w:cs="Arial"/>
          <w:szCs w:val="22"/>
        </w:rPr>
        <w:t xml:space="preserve">the objective of </w:t>
      </w:r>
      <w:r w:rsidR="00FB630D" w:rsidRPr="00614378">
        <w:rPr>
          <w:rFonts w:cs="Arial"/>
          <w:szCs w:val="22"/>
        </w:rPr>
        <w:t>one of the two global funding priorities of the Convention</w:t>
      </w:r>
      <w:r w:rsidR="004A4CE7" w:rsidRPr="00614378">
        <w:rPr>
          <w:rFonts w:cs="Arial"/>
          <w:szCs w:val="22"/>
        </w:rPr>
        <w:t>, ‘Strengthening capacities to safeguard intangible cultural heritage and contribute to sustainable development</w:t>
      </w:r>
      <w:r w:rsidR="004A526D" w:rsidRPr="00614378">
        <w:rPr>
          <w:rFonts w:cs="Arial"/>
          <w:szCs w:val="22"/>
        </w:rPr>
        <w:t>’</w:t>
      </w:r>
      <w:r w:rsidR="004A4CE7" w:rsidRPr="00614378">
        <w:rPr>
          <w:rFonts w:cs="Arial"/>
          <w:szCs w:val="22"/>
        </w:rPr>
        <w:t>.</w:t>
      </w:r>
      <w:r w:rsidR="00FB630D" w:rsidRPr="00614378">
        <w:rPr>
          <w:rFonts w:cs="Arial"/>
          <w:szCs w:val="22"/>
        </w:rPr>
        <w:t xml:space="preserve"> T</w:t>
      </w:r>
      <w:r w:rsidR="004A4CE7" w:rsidRPr="00614378">
        <w:rPr>
          <w:rFonts w:cs="Arial"/>
          <w:szCs w:val="22"/>
        </w:rPr>
        <w:t>his</w:t>
      </w:r>
      <w:r w:rsidR="00FB630D" w:rsidRPr="00614378">
        <w:rPr>
          <w:rFonts w:cs="Arial"/>
          <w:szCs w:val="22"/>
        </w:rPr>
        <w:t xml:space="preserve"> is because </w:t>
      </w:r>
      <w:r w:rsidR="004A526D" w:rsidRPr="002300C4">
        <w:rPr>
          <w:rFonts w:cs="Arial"/>
          <w:szCs w:val="22"/>
        </w:rPr>
        <w:t xml:space="preserve">the </w:t>
      </w:r>
      <w:r w:rsidRPr="002300C4">
        <w:rPr>
          <w:rFonts w:cs="Arial"/>
          <w:szCs w:val="22"/>
        </w:rPr>
        <w:t xml:space="preserve">effective implementation of the Convention depends on a thorough knowledge and understanding of the Convention and its concepts, measures and mechanisms. </w:t>
      </w:r>
      <w:r w:rsidR="00FB630D" w:rsidRPr="002300C4">
        <w:rPr>
          <w:rFonts w:cs="Arial"/>
          <w:szCs w:val="22"/>
        </w:rPr>
        <w:t>Consequently</w:t>
      </w:r>
      <w:r w:rsidRPr="00B460B1">
        <w:rPr>
          <w:rFonts w:cs="Arial"/>
          <w:szCs w:val="22"/>
        </w:rPr>
        <w:t xml:space="preserve">, </w:t>
      </w:r>
      <w:r w:rsidRPr="001566EB">
        <w:rPr>
          <w:rFonts w:cs="Arial"/>
          <w:szCs w:val="22"/>
        </w:rPr>
        <w:t>the Bureau of the Committee allocated a total of US$619,150 – i.e.</w:t>
      </w:r>
      <w:r w:rsidR="00751242" w:rsidRPr="001566EB">
        <w:rPr>
          <w:rFonts w:cs="Arial"/>
          <w:szCs w:val="22"/>
        </w:rPr>
        <w:t>,</w:t>
      </w:r>
      <w:r w:rsidRPr="001566EB">
        <w:rPr>
          <w:rFonts w:cs="Arial"/>
          <w:szCs w:val="22"/>
        </w:rPr>
        <w:t xml:space="preserve"> 36 per</w:t>
      </w:r>
      <w:r w:rsidR="004A526D" w:rsidRPr="001566EB">
        <w:rPr>
          <w:rFonts w:cs="Arial"/>
          <w:szCs w:val="22"/>
        </w:rPr>
        <w:t xml:space="preserve"> </w:t>
      </w:r>
      <w:r w:rsidRPr="001566EB">
        <w:rPr>
          <w:rFonts w:cs="Arial"/>
          <w:szCs w:val="22"/>
        </w:rPr>
        <w:t>cent of the line ‘other functions of the Committee’ – for the period January</w:t>
      </w:r>
      <w:r w:rsidR="00B460B1" w:rsidRPr="00147BE7">
        <w:rPr>
          <w:rFonts w:cs="Arial"/>
          <w:szCs w:val="22"/>
        </w:rPr>
        <w:t> </w:t>
      </w:r>
      <w:r w:rsidRPr="001566EB">
        <w:rPr>
          <w:rFonts w:cs="Arial"/>
          <w:szCs w:val="22"/>
        </w:rPr>
        <w:t>2018 to December</w:t>
      </w:r>
      <w:r w:rsidR="00B460B1" w:rsidRPr="00147BE7">
        <w:rPr>
          <w:rFonts w:cs="Arial"/>
          <w:szCs w:val="22"/>
        </w:rPr>
        <w:t> </w:t>
      </w:r>
      <w:r w:rsidRPr="001566EB">
        <w:rPr>
          <w:rFonts w:cs="Arial"/>
          <w:szCs w:val="22"/>
        </w:rPr>
        <w:t>2019</w:t>
      </w:r>
      <w:r w:rsidRPr="00B460B1">
        <w:rPr>
          <w:rFonts w:cs="Arial"/>
          <w:szCs w:val="22"/>
        </w:rPr>
        <w:t>.</w:t>
      </w:r>
      <w:r w:rsidRPr="00147BE7">
        <w:rPr>
          <w:rFonts w:cs="Arial"/>
          <w:szCs w:val="22"/>
        </w:rPr>
        <w:t xml:space="preserve"> Activities </w:t>
      </w:r>
      <w:r w:rsidR="00FB630D" w:rsidRPr="00147BE7">
        <w:rPr>
          <w:rFonts w:cs="Arial"/>
          <w:szCs w:val="22"/>
        </w:rPr>
        <w:t>undertaken</w:t>
      </w:r>
      <w:r w:rsidRPr="00147BE7">
        <w:rPr>
          <w:rFonts w:cs="Arial"/>
          <w:szCs w:val="22"/>
        </w:rPr>
        <w:t xml:space="preserve"> under this line </w:t>
      </w:r>
      <w:r w:rsidR="004A526D" w:rsidRPr="00147BE7">
        <w:rPr>
          <w:rFonts w:cs="Arial"/>
          <w:szCs w:val="22"/>
        </w:rPr>
        <w:t xml:space="preserve">were </w:t>
      </w:r>
      <w:r w:rsidRPr="00147BE7">
        <w:rPr>
          <w:rFonts w:cs="Arial"/>
          <w:szCs w:val="22"/>
        </w:rPr>
        <w:t xml:space="preserve">aimed at meeting a number of cross-cutting needs, in particular: </w:t>
      </w:r>
      <w:r w:rsidRPr="00147BE7">
        <w:rPr>
          <w:rStyle w:val="hps"/>
          <w:rFonts w:cs="Arial"/>
          <w:szCs w:val="22"/>
        </w:rPr>
        <w:t>(</w:t>
      </w:r>
      <w:proofErr w:type="spellStart"/>
      <w:r w:rsidRPr="00147BE7">
        <w:rPr>
          <w:rStyle w:val="hps"/>
          <w:rFonts w:cs="Arial"/>
          <w:szCs w:val="22"/>
        </w:rPr>
        <w:t>i</w:t>
      </w:r>
      <w:proofErr w:type="spellEnd"/>
      <w:r w:rsidRPr="00147BE7">
        <w:rPr>
          <w:rStyle w:val="hps"/>
          <w:rFonts w:cs="Arial"/>
          <w:szCs w:val="22"/>
        </w:rPr>
        <w:t xml:space="preserve">) strengthening the network of facilitators; (ii) developing adequate content, formats and materials; (iii) monitoring, evaluating and adapting the strategy; </w:t>
      </w:r>
      <w:r w:rsidRPr="00B460B1">
        <w:rPr>
          <w:rFonts w:cs="Arial"/>
          <w:szCs w:val="22"/>
        </w:rPr>
        <w:t>and (</w:t>
      </w:r>
      <w:r w:rsidR="00081BA3" w:rsidRPr="00B460B1">
        <w:rPr>
          <w:rFonts w:cs="Arial"/>
          <w:szCs w:val="22"/>
        </w:rPr>
        <w:t>i</w:t>
      </w:r>
      <w:r w:rsidRPr="00B460B1">
        <w:rPr>
          <w:rFonts w:cs="Arial"/>
          <w:szCs w:val="22"/>
        </w:rPr>
        <w:t>v) strengthening networks and partnerships with higher education institutions</w:t>
      </w:r>
      <w:r w:rsidR="005D7B33" w:rsidRPr="00B460B1">
        <w:rPr>
          <w:rFonts w:cs="Arial"/>
          <w:szCs w:val="22"/>
        </w:rPr>
        <w:t>.</w:t>
      </w:r>
    </w:p>
    <w:p w14:paraId="3EBB88B1" w14:textId="2266CA0F" w:rsidR="00275C41" w:rsidRPr="001566EB" w:rsidRDefault="00275C41" w:rsidP="009C05A0">
      <w:pPr>
        <w:pStyle w:val="ListParagraph"/>
        <w:keepNext/>
        <w:numPr>
          <w:ilvl w:val="0"/>
          <w:numId w:val="21"/>
        </w:numPr>
        <w:spacing w:before="240" w:after="120"/>
        <w:ind w:left="567" w:hanging="567"/>
        <w:contextualSpacing w:val="0"/>
        <w:jc w:val="both"/>
        <w:rPr>
          <w:rFonts w:ascii="Arial" w:hAnsi="Arial" w:cs="Arial"/>
          <w:b/>
          <w:sz w:val="22"/>
          <w:szCs w:val="22"/>
        </w:rPr>
      </w:pPr>
      <w:r w:rsidRPr="00B460B1">
        <w:rPr>
          <w:rFonts w:ascii="Arial" w:hAnsi="Arial" w:cs="Arial"/>
          <w:b/>
          <w:sz w:val="22"/>
          <w:szCs w:val="22"/>
        </w:rPr>
        <w:t>Integration of intangible cultural heritage into development plans, policies and programmes</w:t>
      </w:r>
    </w:p>
    <w:p w14:paraId="6F9D3945" w14:textId="5A7C601C" w:rsidR="00814A1B" w:rsidRPr="00147BE7" w:rsidRDefault="007C6E69" w:rsidP="00976F22">
      <w:pPr>
        <w:pStyle w:val="Marge"/>
        <w:numPr>
          <w:ilvl w:val="0"/>
          <w:numId w:val="19"/>
        </w:numPr>
        <w:tabs>
          <w:tab w:val="clear" w:pos="502"/>
          <w:tab w:val="num" w:pos="567"/>
        </w:tabs>
        <w:spacing w:after="120"/>
        <w:ind w:left="567" w:hanging="567"/>
        <w:rPr>
          <w:rFonts w:cs="Arial"/>
          <w:szCs w:val="22"/>
        </w:rPr>
      </w:pPr>
      <w:r w:rsidRPr="006406C1">
        <w:rPr>
          <w:rFonts w:cs="Arial"/>
          <w:szCs w:val="22"/>
        </w:rPr>
        <w:t xml:space="preserve">Integrating intangible cultural heritage into development plans, policies and programmes is key to promoting the objectives of the Convention in the context of the 2030 Sustainable Development Agenda. </w:t>
      </w:r>
      <w:r w:rsidRPr="001566EB">
        <w:rPr>
          <w:rFonts w:cs="Arial"/>
          <w:szCs w:val="22"/>
        </w:rPr>
        <w:t>T</w:t>
      </w:r>
      <w:r w:rsidR="00305C1A" w:rsidRPr="001566EB">
        <w:rPr>
          <w:rFonts w:cs="Arial"/>
          <w:szCs w:val="22"/>
        </w:rPr>
        <w:t>he Bureau of the Committee allocate</w:t>
      </w:r>
      <w:r w:rsidR="0091145F" w:rsidRPr="001566EB">
        <w:rPr>
          <w:rFonts w:cs="Arial"/>
          <w:szCs w:val="22"/>
        </w:rPr>
        <w:t>d</w:t>
      </w:r>
      <w:r w:rsidR="00305C1A" w:rsidRPr="001566EB">
        <w:rPr>
          <w:rFonts w:cs="Arial"/>
          <w:szCs w:val="22"/>
        </w:rPr>
        <w:t xml:space="preserve"> a total of US$286,600 </w:t>
      </w:r>
      <w:r w:rsidRPr="001566EB">
        <w:rPr>
          <w:rFonts w:cs="Arial"/>
          <w:szCs w:val="22"/>
        </w:rPr>
        <w:t>in this regard</w:t>
      </w:r>
      <w:r w:rsidR="00305C1A" w:rsidRPr="001566EB">
        <w:rPr>
          <w:rFonts w:cs="Arial"/>
          <w:szCs w:val="22"/>
        </w:rPr>
        <w:t xml:space="preserve"> – i.e.</w:t>
      </w:r>
      <w:r w:rsidR="004A526D" w:rsidRPr="001566EB">
        <w:rPr>
          <w:rFonts w:cs="Arial"/>
          <w:szCs w:val="22"/>
        </w:rPr>
        <w:t>,</w:t>
      </w:r>
      <w:r w:rsidR="00305C1A" w:rsidRPr="001566EB">
        <w:rPr>
          <w:rFonts w:cs="Arial"/>
          <w:szCs w:val="22"/>
        </w:rPr>
        <w:t xml:space="preserve"> 17 per</w:t>
      </w:r>
      <w:r w:rsidR="004A526D" w:rsidRPr="001566EB">
        <w:rPr>
          <w:rFonts w:cs="Arial"/>
          <w:szCs w:val="22"/>
        </w:rPr>
        <w:t xml:space="preserve"> </w:t>
      </w:r>
      <w:r w:rsidR="00305C1A" w:rsidRPr="001566EB">
        <w:rPr>
          <w:rFonts w:cs="Arial"/>
          <w:szCs w:val="22"/>
        </w:rPr>
        <w:t>cent of the line ‘other functions of the Committee’ for the period 2018–</w:t>
      </w:r>
      <w:r w:rsidR="009C05A0">
        <w:t> </w:t>
      </w:r>
      <w:r w:rsidR="00305C1A" w:rsidRPr="001566EB">
        <w:rPr>
          <w:rFonts w:cs="Arial"/>
          <w:szCs w:val="22"/>
        </w:rPr>
        <w:t xml:space="preserve">2019, </w:t>
      </w:r>
      <w:r w:rsidRPr="001566EB">
        <w:rPr>
          <w:rFonts w:cs="Arial"/>
          <w:szCs w:val="22"/>
        </w:rPr>
        <w:t>as compared to</w:t>
      </w:r>
      <w:r w:rsidR="00305C1A" w:rsidRPr="001566EB">
        <w:rPr>
          <w:rFonts w:cs="Arial"/>
          <w:szCs w:val="22"/>
        </w:rPr>
        <w:t xml:space="preserve"> 3 per</w:t>
      </w:r>
      <w:r w:rsidR="004A526D" w:rsidRPr="001566EB">
        <w:rPr>
          <w:rFonts w:cs="Arial"/>
          <w:szCs w:val="22"/>
        </w:rPr>
        <w:t xml:space="preserve"> </w:t>
      </w:r>
      <w:r w:rsidR="00305C1A" w:rsidRPr="001566EB">
        <w:rPr>
          <w:rFonts w:cs="Arial"/>
          <w:szCs w:val="22"/>
        </w:rPr>
        <w:t>cent for the period 2016–2017</w:t>
      </w:r>
      <w:r w:rsidRPr="00B33C5B">
        <w:rPr>
          <w:rFonts w:cs="Arial"/>
          <w:szCs w:val="22"/>
        </w:rPr>
        <w:t>.</w:t>
      </w:r>
      <w:r w:rsidRPr="00B33C5B">
        <w:rPr>
          <w:rFonts w:cs="Arial"/>
          <w:szCs w:val="22"/>
          <w:lang w:val="en-US"/>
        </w:rPr>
        <w:t xml:space="preserve"> </w:t>
      </w:r>
      <w:r w:rsidR="000110DC" w:rsidRPr="00B33C5B">
        <w:rPr>
          <w:rFonts w:cs="Arial"/>
          <w:szCs w:val="22"/>
          <w:lang w:val="en-US"/>
        </w:rPr>
        <w:t>Ongoing actions under this allocation ha</w:t>
      </w:r>
      <w:r w:rsidR="004A526D" w:rsidRPr="001566EB">
        <w:rPr>
          <w:rFonts w:cs="Arial"/>
          <w:szCs w:val="22"/>
          <w:lang w:val="en-US"/>
        </w:rPr>
        <w:t>ve</w:t>
      </w:r>
      <w:r w:rsidR="000110DC" w:rsidRPr="001566EB">
        <w:rPr>
          <w:rFonts w:cs="Arial"/>
          <w:szCs w:val="22"/>
          <w:lang w:val="en-US"/>
        </w:rPr>
        <w:t xml:space="preserve"> already demonstrated</w:t>
      </w:r>
      <w:r w:rsidRPr="001566EB">
        <w:rPr>
          <w:rFonts w:cs="Arial"/>
          <w:szCs w:val="22"/>
          <w:lang w:val="en-US"/>
        </w:rPr>
        <w:t xml:space="preserve"> </w:t>
      </w:r>
      <w:r w:rsidR="009C237B" w:rsidRPr="001566EB">
        <w:rPr>
          <w:rFonts w:cs="Arial"/>
          <w:szCs w:val="22"/>
          <w:lang w:val="en-US"/>
        </w:rPr>
        <w:t>that the implementation of the</w:t>
      </w:r>
      <w:r w:rsidR="009C237B" w:rsidRPr="002300C4">
        <w:rPr>
          <w:rFonts w:cs="Arial"/>
          <w:szCs w:val="22"/>
          <w:lang w:val="en-US"/>
        </w:rPr>
        <w:t xml:space="preserve"> Convention takes place within a larger international context and </w:t>
      </w:r>
      <w:r w:rsidRPr="00147BE7">
        <w:rPr>
          <w:rFonts w:cs="Arial"/>
          <w:szCs w:val="22"/>
          <w:lang w:val="en-US"/>
        </w:rPr>
        <w:t>that the safeguarding of intangible cultural heritage can meaningfully contribute to a number of sustainable development goals</w:t>
      </w:r>
      <w:r w:rsidR="00E0716D" w:rsidRPr="00147BE7">
        <w:rPr>
          <w:rFonts w:cs="Arial"/>
          <w:szCs w:val="22"/>
          <w:lang w:val="en-US"/>
        </w:rPr>
        <w:t>.</w:t>
      </w:r>
    </w:p>
    <w:p w14:paraId="34414AE7" w14:textId="576B2D2F" w:rsidR="00305C1A" w:rsidRPr="00614378" w:rsidRDefault="009A0099" w:rsidP="00976F22">
      <w:pPr>
        <w:pStyle w:val="Marge"/>
        <w:numPr>
          <w:ilvl w:val="0"/>
          <w:numId w:val="19"/>
        </w:numPr>
        <w:tabs>
          <w:tab w:val="clear" w:pos="502"/>
          <w:tab w:val="num" w:pos="567"/>
        </w:tabs>
        <w:spacing w:after="120"/>
        <w:ind w:left="567" w:hanging="567"/>
        <w:rPr>
          <w:rFonts w:cs="Arial"/>
          <w:szCs w:val="22"/>
        </w:rPr>
      </w:pPr>
      <w:r w:rsidRPr="00147BE7">
        <w:rPr>
          <w:rFonts w:cs="Arial"/>
          <w:szCs w:val="22"/>
        </w:rPr>
        <w:t>Within the framework of the second global funding priority of the Convention, ‘Safeguarding Intangible Cultural Heritage in formal and non-formal education (2018</w:t>
      </w:r>
      <w:r w:rsidRPr="006406C1">
        <w:rPr>
          <w:rFonts w:cs="Arial"/>
          <w:szCs w:val="22"/>
        </w:rPr>
        <w:t>–2021)’, a series of initiatives were taken to promote</w:t>
      </w:r>
      <w:r w:rsidR="00814A1B" w:rsidRPr="00CA7D7A">
        <w:rPr>
          <w:rFonts w:cs="Arial"/>
          <w:szCs w:val="22"/>
          <w:lang w:val="en-US"/>
        </w:rPr>
        <w:t xml:space="preserve"> </w:t>
      </w:r>
      <w:r w:rsidR="00814A1B" w:rsidRPr="006B6396">
        <w:rPr>
          <w:rFonts w:cs="Arial"/>
          <w:szCs w:val="22"/>
          <w:lang w:val="en-US"/>
        </w:rPr>
        <w:t>transmission thro</w:t>
      </w:r>
      <w:r w:rsidR="00814A1B" w:rsidRPr="006B6396">
        <w:rPr>
          <w:rFonts w:cs="Arial"/>
          <w:szCs w:val="22"/>
        </w:rPr>
        <w:t>ugh formal and non-formal education</w:t>
      </w:r>
      <w:r w:rsidR="00814A1B" w:rsidRPr="00CA7D7A">
        <w:rPr>
          <w:rFonts w:cs="Arial"/>
          <w:szCs w:val="22"/>
        </w:rPr>
        <w:t xml:space="preserve"> as a safeguarding measure</w:t>
      </w:r>
      <w:r w:rsidRPr="00614378">
        <w:rPr>
          <w:rFonts w:cs="Arial"/>
          <w:szCs w:val="22"/>
        </w:rPr>
        <w:t xml:space="preserve"> </w:t>
      </w:r>
      <w:r w:rsidR="00231E10" w:rsidRPr="00614378">
        <w:rPr>
          <w:rFonts w:cs="Arial"/>
          <w:szCs w:val="22"/>
        </w:rPr>
        <w:t xml:space="preserve">in </w:t>
      </w:r>
      <w:r w:rsidR="00B87483">
        <w:rPr>
          <w:rFonts w:cs="Arial"/>
          <w:szCs w:val="22"/>
        </w:rPr>
        <w:t xml:space="preserve">line with </w:t>
      </w:r>
      <w:r w:rsidRPr="00614378">
        <w:rPr>
          <w:rFonts w:cs="Arial"/>
          <w:szCs w:val="22"/>
        </w:rPr>
        <w:t>Article 2 of the Convention</w:t>
      </w:r>
      <w:r w:rsidR="00814A1B" w:rsidRPr="00614378">
        <w:rPr>
          <w:rFonts w:cs="Arial"/>
          <w:szCs w:val="22"/>
        </w:rPr>
        <w:t>.</w:t>
      </w:r>
    </w:p>
    <w:p w14:paraId="00218440" w14:textId="4C0CFF52" w:rsidR="00CF77AE" w:rsidRPr="00C5187E" w:rsidRDefault="00B87483" w:rsidP="00976F22">
      <w:pPr>
        <w:pStyle w:val="Marge"/>
        <w:numPr>
          <w:ilvl w:val="0"/>
          <w:numId w:val="19"/>
        </w:numPr>
        <w:tabs>
          <w:tab w:val="clear" w:pos="502"/>
          <w:tab w:val="num" w:pos="567"/>
        </w:tabs>
        <w:spacing w:after="120"/>
        <w:ind w:left="567" w:hanging="567"/>
        <w:rPr>
          <w:rFonts w:cs="Arial"/>
          <w:bCs/>
          <w:szCs w:val="22"/>
        </w:rPr>
      </w:pPr>
      <w:r>
        <w:rPr>
          <w:rFonts w:cs="Arial"/>
          <w:bCs/>
          <w:szCs w:val="22"/>
        </w:rPr>
        <w:t xml:space="preserve">The </w:t>
      </w:r>
      <w:r w:rsidR="009F3C62" w:rsidRPr="00A21B42">
        <w:rPr>
          <w:rFonts w:cs="Arial"/>
          <w:bCs/>
          <w:szCs w:val="22"/>
        </w:rPr>
        <w:t xml:space="preserve">Committee has been undertaking a reflection on </w:t>
      </w:r>
      <w:r w:rsidR="009F3C62" w:rsidRPr="006B6396">
        <w:rPr>
          <w:rFonts w:cs="Arial"/>
          <w:bCs/>
          <w:szCs w:val="22"/>
        </w:rPr>
        <w:t xml:space="preserve">intangible cultural heritage in emergencies over the past several cycles. </w:t>
      </w:r>
      <w:r w:rsidR="009F3C62" w:rsidRPr="006B6396">
        <w:rPr>
          <w:rFonts w:cs="Arial"/>
          <w:szCs w:val="22"/>
        </w:rPr>
        <w:t>In 2018, the Committee felt that the tim</w:t>
      </w:r>
      <w:r w:rsidR="009F3C62" w:rsidRPr="00A21B42">
        <w:rPr>
          <w:rFonts w:cs="Arial"/>
          <w:szCs w:val="22"/>
        </w:rPr>
        <w:t>e had come to define operational modalities for the safeguarding of intangible cultural heritage in emergencies (</w:t>
      </w:r>
      <w:hyperlink r:id="rId25" w:history="1">
        <w:r w:rsidR="009F3C62" w:rsidRPr="00A21B42">
          <w:rPr>
            <w:rStyle w:val="Hyperlink"/>
            <w:rFonts w:cs="Arial"/>
            <w:szCs w:val="22"/>
          </w:rPr>
          <w:t>Decision</w:t>
        </w:r>
        <w:r w:rsidR="002C7264">
          <w:rPr>
            <w:rStyle w:val="Hyperlink"/>
            <w:rFonts w:cs="Arial"/>
            <w:szCs w:val="22"/>
          </w:rPr>
          <w:t> </w:t>
        </w:r>
        <w:r w:rsidR="009F3C62" w:rsidRPr="00A21B42">
          <w:rPr>
            <w:rStyle w:val="Hyperlink"/>
            <w:rFonts w:cs="Arial"/>
            <w:szCs w:val="22"/>
          </w:rPr>
          <w:t>13.COM 11</w:t>
        </w:r>
      </w:hyperlink>
      <w:r w:rsidR="009F3C62" w:rsidRPr="00A21B42">
        <w:rPr>
          <w:rFonts w:cs="Arial"/>
          <w:szCs w:val="22"/>
        </w:rPr>
        <w:t>). Consequently, an individual expert meeting was convened in May 2019</w:t>
      </w:r>
      <w:r w:rsidR="009F3C62">
        <w:rPr>
          <w:rFonts w:cs="Arial"/>
          <w:szCs w:val="22"/>
        </w:rPr>
        <w:t>, with the support of the Government of China,</w:t>
      </w:r>
      <w:r w:rsidR="009F3C62" w:rsidRPr="00A21B42">
        <w:rPr>
          <w:rFonts w:cs="Arial"/>
          <w:szCs w:val="22"/>
        </w:rPr>
        <w:t xml:space="preserve"> to conceptualize and transform the knowledge and experience acquired into methodological guidance for States Parties, or for any other relevant national or international stakeholders’. Upon examining the findings of the meeting (</w:t>
      </w:r>
      <w:hyperlink r:id="rId26" w:history="1">
        <w:r w:rsidR="009F3C62" w:rsidRPr="009C05A0">
          <w:rPr>
            <w:rStyle w:val="Hyperlink"/>
          </w:rPr>
          <w:t>document</w:t>
        </w:r>
        <w:r w:rsidR="002C7264" w:rsidRPr="009C05A0">
          <w:rPr>
            <w:rStyle w:val="Hyperlink"/>
          </w:rPr>
          <w:t> </w:t>
        </w:r>
        <w:r w:rsidR="009F3C62" w:rsidRPr="009C05A0">
          <w:rPr>
            <w:rStyle w:val="Hyperlink"/>
          </w:rPr>
          <w:t>LHE/19/14.COM/</w:t>
        </w:r>
        <w:r w:rsidR="009C3718" w:rsidRPr="009C05A0">
          <w:rPr>
            <w:rStyle w:val="Hyperlink"/>
          </w:rPr>
          <w:t>13</w:t>
        </w:r>
      </w:hyperlink>
      <w:r w:rsidR="009F3C62" w:rsidRPr="009C05A0">
        <w:t>),</w:t>
      </w:r>
      <w:r w:rsidR="009F3C62">
        <w:t xml:space="preserve"> the Committee </w:t>
      </w:r>
      <w:r w:rsidR="002C7264">
        <w:t xml:space="preserve">at its fourteenth session </w:t>
      </w:r>
      <w:r w:rsidR="009F3C62" w:rsidRPr="00C5187E">
        <w:t xml:space="preserve">endorsed the operational principles and modalities for safeguarding intangible cultural heritage in emergencies and asked the Secretariat to present </w:t>
      </w:r>
      <w:r w:rsidR="00140AD7" w:rsidRPr="00C5187E">
        <w:t>them</w:t>
      </w:r>
      <w:r w:rsidR="009F3C62" w:rsidRPr="00C5187E">
        <w:t xml:space="preserve"> for examination by the General Assembly at its eighth session in June 2020.</w:t>
      </w:r>
    </w:p>
    <w:p w14:paraId="453586F7" w14:textId="77777777" w:rsidR="00305C1A" w:rsidRPr="002300C4" w:rsidRDefault="00305C1A" w:rsidP="00976F22">
      <w:pPr>
        <w:pStyle w:val="ListParagraph"/>
        <w:keepNext/>
        <w:numPr>
          <w:ilvl w:val="0"/>
          <w:numId w:val="21"/>
        </w:numPr>
        <w:tabs>
          <w:tab w:val="num" w:pos="567"/>
        </w:tabs>
        <w:spacing w:before="240" w:after="120"/>
        <w:ind w:left="567" w:hanging="567"/>
        <w:contextualSpacing w:val="0"/>
        <w:rPr>
          <w:rFonts w:ascii="Arial" w:hAnsi="Arial" w:cs="Arial"/>
          <w:b/>
          <w:sz w:val="22"/>
          <w:szCs w:val="22"/>
        </w:rPr>
      </w:pPr>
      <w:r w:rsidRPr="002300C4">
        <w:rPr>
          <w:rFonts w:ascii="Arial" w:hAnsi="Arial" w:cs="Arial"/>
          <w:b/>
          <w:sz w:val="22"/>
          <w:szCs w:val="22"/>
        </w:rPr>
        <w:t>Raising awareness and outreach</w:t>
      </w:r>
    </w:p>
    <w:p w14:paraId="388CF2C9" w14:textId="343F0B63" w:rsidR="009E60BA" w:rsidRPr="006670C4" w:rsidRDefault="005D7B33" w:rsidP="00976F22">
      <w:pPr>
        <w:pStyle w:val="Marge"/>
        <w:numPr>
          <w:ilvl w:val="0"/>
          <w:numId w:val="19"/>
        </w:numPr>
        <w:tabs>
          <w:tab w:val="clear" w:pos="502"/>
          <w:tab w:val="num" w:pos="567"/>
        </w:tabs>
        <w:spacing w:after="120"/>
        <w:ind w:left="567" w:hanging="567"/>
        <w:rPr>
          <w:rFonts w:cs="Arial"/>
          <w:szCs w:val="22"/>
        </w:rPr>
      </w:pPr>
      <w:r w:rsidRPr="006670C4">
        <w:rPr>
          <w:rFonts w:cs="Arial"/>
          <w:szCs w:val="22"/>
        </w:rPr>
        <w:t>Promoting the objectives of the Convention could be understood as a safeguarding action in itself, as defined in Article 2.3 of the Convention.</w:t>
      </w:r>
      <w:r w:rsidR="005C44D2" w:rsidRPr="006670C4">
        <w:rPr>
          <w:rFonts w:cs="Arial"/>
          <w:szCs w:val="22"/>
        </w:rPr>
        <w:t xml:space="preserve"> </w:t>
      </w:r>
      <w:r w:rsidR="009E60BA" w:rsidRPr="006670C4">
        <w:rPr>
          <w:rFonts w:cs="Arial"/>
          <w:szCs w:val="22"/>
        </w:rPr>
        <w:t xml:space="preserve">Developing strategic and effective institutional partnerships is also key to achieving the objectives of the Conventions. </w:t>
      </w:r>
      <w:r w:rsidR="005C44D2" w:rsidRPr="006670C4">
        <w:rPr>
          <w:rFonts w:cs="Arial"/>
          <w:szCs w:val="22"/>
        </w:rPr>
        <w:t>With these points in mind,</w:t>
      </w:r>
      <w:r w:rsidR="00F63322" w:rsidRPr="006670C4">
        <w:rPr>
          <w:rFonts w:cs="Arial"/>
          <w:szCs w:val="22"/>
        </w:rPr>
        <w:t xml:space="preserve"> t</w:t>
      </w:r>
      <w:r w:rsidR="00305C1A" w:rsidRPr="006670C4">
        <w:rPr>
          <w:rFonts w:cs="Arial"/>
          <w:szCs w:val="22"/>
        </w:rPr>
        <w:t>he Bureau allocated a total of US$473,922 for the period January</w:t>
      </w:r>
      <w:r w:rsidR="00B33C5B" w:rsidRPr="006670C4">
        <w:rPr>
          <w:rFonts w:cs="Arial"/>
          <w:szCs w:val="22"/>
        </w:rPr>
        <w:t> </w:t>
      </w:r>
      <w:r w:rsidR="00305C1A" w:rsidRPr="006670C4">
        <w:rPr>
          <w:rFonts w:cs="Arial"/>
          <w:szCs w:val="22"/>
        </w:rPr>
        <w:t>2018 to December</w:t>
      </w:r>
      <w:r w:rsidR="00B33C5B" w:rsidRPr="006670C4">
        <w:rPr>
          <w:rFonts w:cs="Arial"/>
          <w:szCs w:val="22"/>
        </w:rPr>
        <w:t> </w:t>
      </w:r>
      <w:r w:rsidR="00305C1A" w:rsidRPr="006670C4">
        <w:rPr>
          <w:rFonts w:cs="Arial"/>
          <w:szCs w:val="22"/>
        </w:rPr>
        <w:t xml:space="preserve">2019 to support the Secretariat’s initiative </w:t>
      </w:r>
      <w:r w:rsidR="009E60BA" w:rsidRPr="006670C4">
        <w:rPr>
          <w:rFonts w:cs="Arial"/>
          <w:szCs w:val="22"/>
        </w:rPr>
        <w:t>in these two areas</w:t>
      </w:r>
      <w:r w:rsidR="00305C1A" w:rsidRPr="006670C4">
        <w:rPr>
          <w:rFonts w:cs="Arial"/>
          <w:szCs w:val="22"/>
        </w:rPr>
        <w:t>.</w:t>
      </w:r>
    </w:p>
    <w:p w14:paraId="1C2189C6" w14:textId="1F4B5EA9" w:rsidR="00360AAB" w:rsidRPr="004B0D54" w:rsidRDefault="00022FEE" w:rsidP="00976F22">
      <w:pPr>
        <w:pStyle w:val="Marge"/>
        <w:numPr>
          <w:ilvl w:val="0"/>
          <w:numId w:val="19"/>
        </w:numPr>
        <w:tabs>
          <w:tab w:val="clear" w:pos="502"/>
          <w:tab w:val="num" w:pos="567"/>
        </w:tabs>
        <w:spacing w:after="120"/>
        <w:ind w:left="567" w:hanging="567"/>
        <w:rPr>
          <w:rFonts w:cs="Arial"/>
          <w:szCs w:val="22"/>
        </w:rPr>
      </w:pPr>
      <w:r w:rsidRPr="006670C4">
        <w:rPr>
          <w:rFonts w:cs="Arial"/>
          <w:szCs w:val="22"/>
        </w:rPr>
        <w:t>Document</w:t>
      </w:r>
      <w:r w:rsidR="00481309" w:rsidRPr="006670C4">
        <w:rPr>
          <w:rFonts w:cs="Arial"/>
          <w:szCs w:val="22"/>
        </w:rPr>
        <w:t>s</w:t>
      </w:r>
      <w:r w:rsidRPr="006670C4">
        <w:rPr>
          <w:rFonts w:cs="Arial"/>
          <w:szCs w:val="22"/>
        </w:rPr>
        <w:t xml:space="preserve"> </w:t>
      </w:r>
      <w:hyperlink r:id="rId27" w:history="1">
        <w:r w:rsidRPr="006670C4">
          <w:rPr>
            <w:rStyle w:val="Hyperlink"/>
            <w:rFonts w:cs="Arial"/>
            <w:szCs w:val="22"/>
          </w:rPr>
          <w:t>ITH/18/13.COM/INF.5.1</w:t>
        </w:r>
      </w:hyperlink>
      <w:r w:rsidRPr="006670C4">
        <w:rPr>
          <w:rFonts w:cs="Arial"/>
          <w:szCs w:val="22"/>
        </w:rPr>
        <w:t xml:space="preserve"> </w:t>
      </w:r>
      <w:r w:rsidR="00F63322" w:rsidRPr="006670C4">
        <w:rPr>
          <w:rFonts w:cs="Arial"/>
          <w:szCs w:val="22"/>
        </w:rPr>
        <w:t xml:space="preserve">and </w:t>
      </w:r>
      <w:hyperlink r:id="rId28" w:history="1">
        <w:r w:rsidR="001904BF" w:rsidRPr="006670C4">
          <w:rPr>
            <w:rStyle w:val="Hyperlink"/>
            <w:rFonts w:cs="Arial"/>
            <w:szCs w:val="22"/>
          </w:rPr>
          <w:t>LHE</w:t>
        </w:r>
        <w:r w:rsidR="00F63322" w:rsidRPr="006670C4">
          <w:rPr>
            <w:rStyle w:val="Hyperlink"/>
            <w:rFonts w:cs="Arial"/>
            <w:szCs w:val="22"/>
          </w:rPr>
          <w:t>/19/14.COM/5.b</w:t>
        </w:r>
      </w:hyperlink>
      <w:r w:rsidR="00F63322" w:rsidRPr="006670C4">
        <w:rPr>
          <w:rFonts w:cs="Arial"/>
          <w:szCs w:val="22"/>
        </w:rPr>
        <w:t xml:space="preserve"> </w:t>
      </w:r>
      <w:r w:rsidRPr="006670C4">
        <w:rPr>
          <w:rFonts w:cs="Arial"/>
          <w:szCs w:val="22"/>
        </w:rPr>
        <w:t>provide</w:t>
      </w:r>
      <w:r w:rsidR="005D70D1" w:rsidRPr="006670C4">
        <w:rPr>
          <w:rFonts w:cs="Arial"/>
          <w:szCs w:val="22"/>
        </w:rPr>
        <w:t>d</w:t>
      </w:r>
      <w:r w:rsidRPr="006670C4">
        <w:rPr>
          <w:rFonts w:cs="Arial"/>
          <w:szCs w:val="22"/>
        </w:rPr>
        <w:t xml:space="preserve"> the Committee with an update on the progress with the communication activities implemented by the Secretariat from January to June</w:t>
      </w:r>
      <w:r w:rsidR="00B33C5B" w:rsidRPr="006670C4">
        <w:rPr>
          <w:rFonts w:cs="Arial"/>
          <w:szCs w:val="22"/>
        </w:rPr>
        <w:t> </w:t>
      </w:r>
      <w:r w:rsidRPr="006670C4">
        <w:rPr>
          <w:rFonts w:cs="Arial"/>
          <w:szCs w:val="22"/>
        </w:rPr>
        <w:t>2018</w:t>
      </w:r>
      <w:r w:rsidR="00F63322" w:rsidRPr="006670C4">
        <w:rPr>
          <w:rFonts w:cs="Arial"/>
          <w:szCs w:val="22"/>
        </w:rPr>
        <w:t xml:space="preserve"> and </w:t>
      </w:r>
      <w:r w:rsidR="00751242" w:rsidRPr="006670C4">
        <w:rPr>
          <w:rFonts w:cs="Arial"/>
          <w:szCs w:val="22"/>
        </w:rPr>
        <w:t xml:space="preserve">from </w:t>
      </w:r>
      <w:r w:rsidR="00F63322" w:rsidRPr="006670C4">
        <w:rPr>
          <w:rFonts w:cs="Arial"/>
          <w:szCs w:val="22"/>
        </w:rPr>
        <w:t>January</w:t>
      </w:r>
      <w:r w:rsidR="00B33C5B" w:rsidRPr="006670C4">
        <w:rPr>
          <w:rFonts w:cs="Arial"/>
          <w:szCs w:val="22"/>
        </w:rPr>
        <w:t> </w:t>
      </w:r>
      <w:r w:rsidR="00F63322" w:rsidRPr="006670C4">
        <w:rPr>
          <w:rFonts w:cs="Arial"/>
          <w:szCs w:val="22"/>
        </w:rPr>
        <w:t>2018 to June</w:t>
      </w:r>
      <w:r w:rsidR="00B33C5B" w:rsidRPr="006670C4">
        <w:rPr>
          <w:rFonts w:cs="Arial"/>
          <w:szCs w:val="22"/>
        </w:rPr>
        <w:t> </w:t>
      </w:r>
      <w:r w:rsidR="00F63322" w:rsidRPr="006670C4">
        <w:rPr>
          <w:rFonts w:cs="Arial"/>
          <w:szCs w:val="22"/>
        </w:rPr>
        <w:t>2019</w:t>
      </w:r>
      <w:r w:rsidR="00481309" w:rsidRPr="006670C4">
        <w:rPr>
          <w:rFonts w:cs="Arial"/>
          <w:szCs w:val="22"/>
        </w:rPr>
        <w:t>,</w:t>
      </w:r>
      <w:r w:rsidR="00F63322" w:rsidRPr="006670C4">
        <w:rPr>
          <w:rFonts w:cs="Arial"/>
          <w:szCs w:val="22"/>
        </w:rPr>
        <w:t xml:space="preserve"> respectively.</w:t>
      </w:r>
      <w:r w:rsidRPr="006670C4">
        <w:rPr>
          <w:rFonts w:cs="Arial"/>
          <w:szCs w:val="22"/>
        </w:rPr>
        <w:t xml:space="preserve"> </w:t>
      </w:r>
      <w:r w:rsidR="00481309" w:rsidRPr="006670C4">
        <w:rPr>
          <w:rFonts w:cs="Arial"/>
          <w:szCs w:val="22"/>
        </w:rPr>
        <w:t>A</w:t>
      </w:r>
      <w:r w:rsidR="00064482" w:rsidRPr="006670C4">
        <w:rPr>
          <w:rFonts w:cs="Arial"/>
          <w:szCs w:val="22"/>
        </w:rPr>
        <w:t xml:space="preserve">t its thirteenth and </w:t>
      </w:r>
      <w:r w:rsidR="00064482" w:rsidRPr="004B0D54">
        <w:rPr>
          <w:rFonts w:cs="Arial"/>
          <w:szCs w:val="22"/>
        </w:rPr>
        <w:lastRenderedPageBreak/>
        <w:t>fourteenth session</w:t>
      </w:r>
      <w:r w:rsidR="00770A6C" w:rsidRPr="004B0D54">
        <w:rPr>
          <w:rFonts w:cs="Arial"/>
          <w:szCs w:val="22"/>
        </w:rPr>
        <w:t>s</w:t>
      </w:r>
      <w:r w:rsidR="00481309" w:rsidRPr="006670C4">
        <w:rPr>
          <w:rFonts w:cs="Arial"/>
          <w:szCs w:val="22"/>
        </w:rPr>
        <w:t xml:space="preserve">, the Committee </w:t>
      </w:r>
      <w:r w:rsidR="00064482" w:rsidRPr="006670C4">
        <w:rPr>
          <w:rFonts w:cs="Arial"/>
          <w:szCs w:val="22"/>
        </w:rPr>
        <w:t>witnessed the effectiveness of</w:t>
      </w:r>
      <w:r w:rsidR="00770A6C" w:rsidRPr="006670C4">
        <w:rPr>
          <w:rFonts w:cs="Arial"/>
          <w:szCs w:val="22"/>
        </w:rPr>
        <w:t xml:space="preserve"> </w:t>
      </w:r>
      <w:r w:rsidR="00481309" w:rsidRPr="006670C4">
        <w:rPr>
          <w:rFonts w:cs="Arial"/>
          <w:szCs w:val="22"/>
        </w:rPr>
        <w:t>these</w:t>
      </w:r>
      <w:r w:rsidR="00770A6C" w:rsidRPr="006670C4">
        <w:rPr>
          <w:rFonts w:cs="Arial"/>
          <w:szCs w:val="22"/>
        </w:rPr>
        <w:t xml:space="preserve"> communication actions in supporting the development of new thematic areas under the Convention – intangible cultural heritage and indigenous peoples</w:t>
      </w:r>
      <w:r w:rsidR="00751242" w:rsidRPr="006670C4">
        <w:rPr>
          <w:rFonts w:cs="Arial"/>
          <w:szCs w:val="22"/>
        </w:rPr>
        <w:t>,</w:t>
      </w:r>
      <w:r w:rsidR="00770A6C" w:rsidRPr="006670C4">
        <w:rPr>
          <w:rFonts w:cs="Arial"/>
          <w:szCs w:val="22"/>
        </w:rPr>
        <w:t xml:space="preserve"> and intangible cultural heritage and education</w:t>
      </w:r>
      <w:r w:rsidR="00E0716D" w:rsidRPr="006670C4">
        <w:rPr>
          <w:rFonts w:cs="Arial"/>
          <w:szCs w:val="22"/>
        </w:rPr>
        <w:t>; a renewed brochure was also issued for the capacity-building programme</w:t>
      </w:r>
      <w:r w:rsidR="00481309" w:rsidRPr="006670C4">
        <w:rPr>
          <w:rFonts w:cs="Arial"/>
          <w:szCs w:val="22"/>
        </w:rPr>
        <w:t>.</w:t>
      </w:r>
      <w:r w:rsidR="00770A6C" w:rsidRPr="006670C4">
        <w:rPr>
          <w:rFonts w:cs="Arial"/>
          <w:szCs w:val="22"/>
        </w:rPr>
        <w:t xml:space="preserve"> </w:t>
      </w:r>
      <w:r w:rsidR="00481309" w:rsidRPr="006670C4">
        <w:rPr>
          <w:rFonts w:cs="Arial"/>
          <w:szCs w:val="22"/>
        </w:rPr>
        <w:t>T</w:t>
      </w:r>
      <w:r w:rsidR="005D70D1" w:rsidRPr="006670C4">
        <w:rPr>
          <w:rFonts w:cs="Arial"/>
          <w:szCs w:val="22"/>
        </w:rPr>
        <w:t>hese</w:t>
      </w:r>
      <w:r w:rsidR="005D70D1" w:rsidRPr="006670C4">
        <w:rPr>
          <w:rFonts w:cs="Arial"/>
          <w:szCs w:val="22"/>
          <w:lang w:val="en-US"/>
        </w:rPr>
        <w:t xml:space="preserve"> actions also contributed to broadening the outreach of the Convention to a wider</w:t>
      </w:r>
      <w:r w:rsidR="00481309" w:rsidRPr="006670C4">
        <w:rPr>
          <w:rFonts w:cs="Arial"/>
          <w:szCs w:val="22"/>
          <w:lang w:val="en-US"/>
        </w:rPr>
        <w:t>,</w:t>
      </w:r>
      <w:r w:rsidR="005D70D1" w:rsidRPr="006670C4">
        <w:rPr>
          <w:rFonts w:cs="Arial"/>
          <w:szCs w:val="22"/>
          <w:lang w:val="en-US"/>
        </w:rPr>
        <w:t xml:space="preserve"> untapped </w:t>
      </w:r>
      <w:r w:rsidR="005D70D1" w:rsidRPr="005D6B01">
        <w:rPr>
          <w:rFonts w:cs="Arial"/>
          <w:szCs w:val="22"/>
          <w:lang w:val="en-US"/>
        </w:rPr>
        <w:t>audience (i.e. youth, indigenous peoples).</w:t>
      </w:r>
    </w:p>
    <w:p w14:paraId="06734614" w14:textId="3EDE756D" w:rsidR="00022FEE" w:rsidRPr="00C5187E" w:rsidRDefault="009E60BA" w:rsidP="00976F22">
      <w:pPr>
        <w:pStyle w:val="Marge"/>
        <w:numPr>
          <w:ilvl w:val="0"/>
          <w:numId w:val="19"/>
        </w:numPr>
        <w:tabs>
          <w:tab w:val="clear" w:pos="502"/>
          <w:tab w:val="num" w:pos="567"/>
        </w:tabs>
        <w:spacing w:after="120"/>
        <w:ind w:left="567" w:hanging="567"/>
        <w:rPr>
          <w:rFonts w:cs="Arial"/>
          <w:szCs w:val="22"/>
        </w:rPr>
      </w:pPr>
      <w:r w:rsidRPr="005D6B01">
        <w:rPr>
          <w:rStyle w:val="hps"/>
          <w:rFonts w:cs="Arial"/>
          <w:szCs w:val="22"/>
        </w:rPr>
        <w:t xml:space="preserve">Following the indications </w:t>
      </w:r>
      <w:r w:rsidR="00481309" w:rsidRPr="005D6B01">
        <w:rPr>
          <w:rStyle w:val="hps"/>
          <w:rFonts w:cs="Arial"/>
          <w:szCs w:val="22"/>
        </w:rPr>
        <w:t>provided</w:t>
      </w:r>
      <w:r w:rsidRPr="005D6B01">
        <w:rPr>
          <w:rStyle w:val="hps"/>
          <w:rFonts w:cs="Arial"/>
          <w:szCs w:val="22"/>
        </w:rPr>
        <w:t xml:space="preserve"> by t</w:t>
      </w:r>
      <w:r w:rsidR="00360AAB" w:rsidRPr="005D6B01">
        <w:rPr>
          <w:rStyle w:val="hps"/>
          <w:rFonts w:cs="Arial"/>
          <w:szCs w:val="22"/>
        </w:rPr>
        <w:t>he Committee at its twelfth</w:t>
      </w:r>
      <w:r w:rsidRPr="00216A14">
        <w:rPr>
          <w:rStyle w:val="hps"/>
          <w:rFonts w:cs="Arial"/>
          <w:szCs w:val="22"/>
        </w:rPr>
        <w:t xml:space="preserve"> session, t</w:t>
      </w:r>
      <w:r w:rsidR="00360AAB" w:rsidRPr="00216A14">
        <w:rPr>
          <w:rStyle w:val="hps"/>
          <w:rFonts w:cs="Arial"/>
          <w:szCs w:val="22"/>
        </w:rPr>
        <w:t xml:space="preserve">he Secretariat and the </w:t>
      </w:r>
      <w:r w:rsidRPr="00CA10FB">
        <w:rPr>
          <w:rStyle w:val="hps"/>
          <w:rFonts w:cs="Arial"/>
          <w:szCs w:val="22"/>
        </w:rPr>
        <w:t>informal ad hoc working group</w:t>
      </w:r>
      <w:r w:rsidR="00360AAB" w:rsidRPr="00CA10FB">
        <w:rPr>
          <w:rStyle w:val="hps"/>
          <w:rFonts w:cs="Arial"/>
          <w:szCs w:val="22"/>
        </w:rPr>
        <w:t xml:space="preserve"> reflect</w:t>
      </w:r>
      <w:r w:rsidRPr="005D6B01">
        <w:rPr>
          <w:rStyle w:val="hps"/>
          <w:rFonts w:cs="Arial"/>
          <w:szCs w:val="22"/>
        </w:rPr>
        <w:t>ed</w:t>
      </w:r>
      <w:r w:rsidR="00360AAB" w:rsidRPr="005D6B01">
        <w:rPr>
          <w:rStyle w:val="hps"/>
          <w:rFonts w:cs="Arial"/>
          <w:szCs w:val="22"/>
        </w:rPr>
        <w:t xml:space="preserve">, in consultation with accredited NGOs, on the possible ways in which the participation of NGOs under the 2003 Convention could be further enhanced and how this would be reflected in the accreditation and renewal mechanisms of NGOs. Based on the results of the electronic consultation undertaken by the Secretariat in 2018 and the debates of the Committee at its thirteenth session, a consultation meeting was organized </w:t>
      </w:r>
      <w:r w:rsidR="00481309" w:rsidRPr="005D6B01">
        <w:rPr>
          <w:rStyle w:val="hps"/>
          <w:rFonts w:cs="Arial"/>
          <w:szCs w:val="22"/>
        </w:rPr>
        <w:t>i</w:t>
      </w:r>
      <w:r w:rsidR="00360AAB" w:rsidRPr="005D6B01">
        <w:rPr>
          <w:rStyle w:val="hps"/>
          <w:rFonts w:cs="Arial"/>
          <w:szCs w:val="22"/>
        </w:rPr>
        <w:t>n April</w:t>
      </w:r>
      <w:r w:rsidR="00B33C5B" w:rsidRPr="005D6B01">
        <w:rPr>
          <w:rFonts w:cs="Arial"/>
          <w:szCs w:val="22"/>
        </w:rPr>
        <w:t> </w:t>
      </w:r>
      <w:r w:rsidR="00360AAB" w:rsidRPr="005D6B01">
        <w:rPr>
          <w:rStyle w:val="hps"/>
          <w:rFonts w:cs="Arial"/>
          <w:szCs w:val="22"/>
        </w:rPr>
        <w:t xml:space="preserve">2019 at UNESCO Headquarters. </w:t>
      </w:r>
      <w:r w:rsidR="00360AAB" w:rsidRPr="00C5187E">
        <w:rPr>
          <w:rStyle w:val="hps"/>
          <w:rFonts w:cs="Arial"/>
          <w:szCs w:val="22"/>
        </w:rPr>
        <w:t xml:space="preserve">At its fourteenth session, the Committee examined the results of the </w:t>
      </w:r>
      <w:r w:rsidRPr="00C5187E">
        <w:rPr>
          <w:rStyle w:val="hps"/>
          <w:rFonts w:cs="Arial"/>
          <w:szCs w:val="22"/>
        </w:rPr>
        <w:t>reflection</w:t>
      </w:r>
      <w:r w:rsidR="0094493B" w:rsidRPr="00C5187E">
        <w:rPr>
          <w:rStyle w:val="hps"/>
          <w:rFonts w:cs="Arial"/>
          <w:szCs w:val="22"/>
        </w:rPr>
        <w:t>.</w:t>
      </w:r>
    </w:p>
    <w:p w14:paraId="6256D9D4" w14:textId="18D3B20C" w:rsidR="000253A8" w:rsidRPr="00976F22" w:rsidRDefault="000253A8" w:rsidP="00EE2DB7">
      <w:pPr>
        <w:keepNext/>
        <w:numPr>
          <w:ilvl w:val="0"/>
          <w:numId w:val="20"/>
        </w:numPr>
        <w:spacing w:before="360" w:after="240"/>
        <w:ind w:left="567" w:hanging="567"/>
        <w:rPr>
          <w:rFonts w:ascii="Arial" w:hAnsi="Arial" w:cs="Arial"/>
          <w:sz w:val="22"/>
          <w:szCs w:val="22"/>
        </w:rPr>
      </w:pPr>
      <w:r w:rsidRPr="001566EB">
        <w:rPr>
          <w:rFonts w:ascii="Arial" w:hAnsi="Arial" w:cs="Arial"/>
          <w:b/>
          <w:sz w:val="22"/>
          <w:szCs w:val="22"/>
        </w:rPr>
        <w:t xml:space="preserve">Preparation of a draft plan for the use of the resources of the Fund and increasing the </w:t>
      </w:r>
      <w:r w:rsidR="00481309" w:rsidRPr="00976F22">
        <w:rPr>
          <w:rFonts w:ascii="Arial" w:hAnsi="Arial" w:cs="Arial"/>
          <w:b/>
          <w:sz w:val="22"/>
          <w:szCs w:val="22"/>
        </w:rPr>
        <w:t xml:space="preserve">resources of the </w:t>
      </w:r>
      <w:r w:rsidRPr="00976F22">
        <w:rPr>
          <w:rFonts w:ascii="Arial" w:hAnsi="Arial" w:cs="Arial"/>
          <w:b/>
          <w:sz w:val="22"/>
          <w:szCs w:val="22"/>
        </w:rPr>
        <w:t>Fund</w:t>
      </w:r>
      <w:r w:rsidRPr="00976F22">
        <w:rPr>
          <w:rFonts w:ascii="Arial" w:hAnsi="Arial" w:cs="Arial"/>
          <w:sz w:val="22"/>
          <w:szCs w:val="22"/>
        </w:rPr>
        <w:t xml:space="preserve"> (Articles 7[c] and 7[d])</w:t>
      </w:r>
    </w:p>
    <w:p w14:paraId="38EF76ED" w14:textId="5A914A78" w:rsidR="00305C1A" w:rsidRPr="008C06BA" w:rsidRDefault="00305C1A" w:rsidP="00976F22">
      <w:pPr>
        <w:pStyle w:val="Marge"/>
        <w:numPr>
          <w:ilvl w:val="0"/>
          <w:numId w:val="19"/>
        </w:numPr>
        <w:tabs>
          <w:tab w:val="clear" w:pos="502"/>
          <w:tab w:val="num" w:pos="567"/>
        </w:tabs>
        <w:spacing w:after="120"/>
        <w:ind w:left="567" w:hanging="567"/>
        <w:rPr>
          <w:rFonts w:cs="Arial"/>
          <w:szCs w:val="22"/>
        </w:rPr>
      </w:pPr>
      <w:r w:rsidRPr="00976F22">
        <w:rPr>
          <w:rFonts w:cs="Arial"/>
          <w:szCs w:val="22"/>
        </w:rPr>
        <w:t>The Committee shall submit to the eighth session of the General Assembly a plan for the use of the resources of the Fund for the period 1 January 2020 to 31</w:t>
      </w:r>
      <w:r w:rsidR="00B33C5B" w:rsidRPr="00976F22">
        <w:rPr>
          <w:rFonts w:cs="Arial"/>
          <w:szCs w:val="22"/>
        </w:rPr>
        <w:t> </w:t>
      </w:r>
      <w:r w:rsidRPr="00976F22">
        <w:rPr>
          <w:rFonts w:cs="Arial"/>
          <w:szCs w:val="22"/>
        </w:rPr>
        <w:t>December</w:t>
      </w:r>
      <w:r w:rsidR="00B33C5B" w:rsidRPr="00976F22">
        <w:rPr>
          <w:rFonts w:cs="Arial"/>
          <w:szCs w:val="22"/>
        </w:rPr>
        <w:t> </w:t>
      </w:r>
      <w:r w:rsidRPr="00976F22">
        <w:rPr>
          <w:rFonts w:cs="Arial"/>
          <w:szCs w:val="22"/>
        </w:rPr>
        <w:t xml:space="preserve">2021 and for the first six months of 2022. This plan </w:t>
      </w:r>
      <w:r w:rsidR="00B87483" w:rsidRPr="00976F22">
        <w:rPr>
          <w:rFonts w:cs="Arial"/>
          <w:szCs w:val="22"/>
        </w:rPr>
        <w:t xml:space="preserve">has been conceived </w:t>
      </w:r>
      <w:r w:rsidRPr="00976F22">
        <w:rPr>
          <w:rFonts w:cs="Arial"/>
          <w:szCs w:val="22"/>
        </w:rPr>
        <w:t xml:space="preserve">in </w:t>
      </w:r>
      <w:r w:rsidR="004E3CF1" w:rsidRPr="00976F22">
        <w:rPr>
          <w:rFonts w:cs="Arial"/>
          <w:szCs w:val="22"/>
        </w:rPr>
        <w:t>continuation of</w:t>
      </w:r>
      <w:r w:rsidRPr="00976F22">
        <w:rPr>
          <w:rFonts w:cs="Arial"/>
          <w:szCs w:val="22"/>
        </w:rPr>
        <w:t xml:space="preserve"> the approach adopted </w:t>
      </w:r>
      <w:r w:rsidRPr="008C06BA">
        <w:rPr>
          <w:rFonts w:cs="Arial"/>
          <w:szCs w:val="22"/>
        </w:rPr>
        <w:t xml:space="preserve">for the period 2018–2019. The largest percentage continues to be dedicated to International Assistance. </w:t>
      </w:r>
      <w:r w:rsidR="0082768D" w:rsidRPr="008C06BA">
        <w:rPr>
          <w:rFonts w:cs="Arial"/>
          <w:szCs w:val="22"/>
        </w:rPr>
        <w:t>See</w:t>
      </w:r>
      <w:r w:rsidRPr="008C06BA">
        <w:rPr>
          <w:rFonts w:cs="Arial"/>
          <w:szCs w:val="22"/>
        </w:rPr>
        <w:t xml:space="preserve"> </w:t>
      </w:r>
      <w:hyperlink r:id="rId29" w:history="1">
        <w:r w:rsidRPr="008C06BA">
          <w:rPr>
            <w:rStyle w:val="Hyperlink"/>
            <w:rFonts w:cs="Arial"/>
            <w:szCs w:val="22"/>
          </w:rPr>
          <w:t>document</w:t>
        </w:r>
        <w:r w:rsidR="0044753C" w:rsidRPr="008C06BA">
          <w:rPr>
            <w:rStyle w:val="Hyperlink"/>
            <w:rFonts w:cs="Arial"/>
            <w:szCs w:val="22"/>
          </w:rPr>
          <w:t> </w:t>
        </w:r>
        <w:r w:rsidRPr="008C06BA">
          <w:rPr>
            <w:rStyle w:val="Hyperlink"/>
            <w:rFonts w:cs="Arial"/>
            <w:szCs w:val="22"/>
          </w:rPr>
          <w:t>LHE/19/14.COM/7</w:t>
        </w:r>
      </w:hyperlink>
      <w:r w:rsidR="0082768D" w:rsidRPr="008C06BA">
        <w:rPr>
          <w:rFonts w:cs="Arial"/>
          <w:szCs w:val="22"/>
        </w:rPr>
        <w:t xml:space="preserve"> for the plan.</w:t>
      </w:r>
    </w:p>
    <w:p w14:paraId="55B244ED" w14:textId="375A7902" w:rsidR="00305C1A" w:rsidRPr="00C5187E" w:rsidRDefault="00305C1A" w:rsidP="00976F22">
      <w:pPr>
        <w:pStyle w:val="Marge"/>
        <w:numPr>
          <w:ilvl w:val="0"/>
          <w:numId w:val="19"/>
        </w:numPr>
        <w:tabs>
          <w:tab w:val="clear" w:pos="502"/>
          <w:tab w:val="num" w:pos="567"/>
        </w:tabs>
        <w:spacing w:after="120"/>
        <w:ind w:left="567" w:hanging="567"/>
        <w:rPr>
          <w:rFonts w:cs="Arial"/>
          <w:szCs w:val="22"/>
        </w:rPr>
      </w:pPr>
      <w:r w:rsidRPr="008C06BA">
        <w:rPr>
          <w:rFonts w:cs="Arial"/>
          <w:szCs w:val="22"/>
        </w:rPr>
        <w:t xml:space="preserve">During the reporting period, supplementary voluntary contributions </w:t>
      </w:r>
      <w:r w:rsidRPr="00C5187E">
        <w:rPr>
          <w:rFonts w:cs="Arial"/>
          <w:szCs w:val="22"/>
        </w:rPr>
        <w:t>of</w:t>
      </w:r>
      <w:r w:rsidR="001701F6" w:rsidRPr="00C5187E">
        <w:rPr>
          <w:rFonts w:cs="Arial"/>
          <w:szCs w:val="22"/>
        </w:rPr>
        <w:t xml:space="preserve"> </w:t>
      </w:r>
      <w:r w:rsidRPr="00C5187E">
        <w:rPr>
          <w:rFonts w:cs="Arial"/>
          <w:szCs w:val="22"/>
        </w:rPr>
        <w:t>US$</w:t>
      </w:r>
      <w:r w:rsidR="008C06BA" w:rsidRPr="00C5187E">
        <w:rPr>
          <w:rFonts w:cs="Arial"/>
          <w:szCs w:val="22"/>
        </w:rPr>
        <w:t>528,349</w:t>
      </w:r>
      <w:r w:rsidRPr="00C5187E">
        <w:rPr>
          <w:rFonts w:cs="Arial"/>
          <w:szCs w:val="22"/>
        </w:rPr>
        <w:t xml:space="preserve"> from </w:t>
      </w:r>
      <w:r w:rsidR="005A2B56" w:rsidRPr="00C5187E">
        <w:rPr>
          <w:rFonts w:cs="Arial"/>
          <w:szCs w:val="22"/>
        </w:rPr>
        <w:t xml:space="preserve">China, Japan, the Netherlands and Switzerland </w:t>
      </w:r>
      <w:r w:rsidRPr="00C5187E">
        <w:rPr>
          <w:rFonts w:cs="Arial"/>
          <w:szCs w:val="22"/>
        </w:rPr>
        <w:t xml:space="preserve">were made to the Fund to finance </w:t>
      </w:r>
      <w:r w:rsidR="005A2B56" w:rsidRPr="00C5187E">
        <w:rPr>
          <w:rFonts w:cs="Arial"/>
          <w:szCs w:val="22"/>
        </w:rPr>
        <w:t>four</w:t>
      </w:r>
      <w:r w:rsidRPr="00C5187E">
        <w:rPr>
          <w:rFonts w:cs="Arial"/>
          <w:szCs w:val="22"/>
        </w:rPr>
        <w:t xml:space="preserve"> different projects. The Sub-Fund of the Fund, devoted exclusively to enhancing the human capacities of the Secretariat, also received contributions of US$</w:t>
      </w:r>
      <w:r w:rsidR="008C06BA" w:rsidRPr="00C5187E">
        <w:rPr>
          <w:rFonts w:cs="Arial"/>
          <w:szCs w:val="22"/>
        </w:rPr>
        <w:t>76,90</w:t>
      </w:r>
      <w:r w:rsidR="005B1F97" w:rsidRPr="00C5187E">
        <w:rPr>
          <w:rFonts w:cs="Arial"/>
          <w:szCs w:val="22"/>
        </w:rPr>
        <w:t>8</w:t>
      </w:r>
      <w:r w:rsidRPr="00C5187E">
        <w:rPr>
          <w:rFonts w:cs="Arial"/>
          <w:szCs w:val="22"/>
        </w:rPr>
        <w:t xml:space="preserve"> during the same period</w:t>
      </w:r>
      <w:r w:rsidR="005A2B56" w:rsidRPr="00C5187E">
        <w:rPr>
          <w:rFonts w:cs="Arial"/>
          <w:szCs w:val="22"/>
        </w:rPr>
        <w:t xml:space="preserve"> from</w:t>
      </w:r>
      <w:r w:rsidR="008C06BA" w:rsidRPr="00C5187E">
        <w:rPr>
          <w:rFonts w:cs="Arial"/>
          <w:szCs w:val="22"/>
        </w:rPr>
        <w:t xml:space="preserve"> Kazakhstan,</w:t>
      </w:r>
      <w:r w:rsidR="005A2B56" w:rsidRPr="00C5187E">
        <w:rPr>
          <w:rFonts w:cs="Arial"/>
          <w:szCs w:val="22"/>
        </w:rPr>
        <w:t xml:space="preserve"> </w:t>
      </w:r>
      <w:r w:rsidR="008C06BA" w:rsidRPr="00C5187E">
        <w:rPr>
          <w:rFonts w:cs="Arial"/>
          <w:szCs w:val="22"/>
        </w:rPr>
        <w:t>Monaco, Montenegro and Sweden</w:t>
      </w:r>
      <w:r w:rsidRPr="00C5187E">
        <w:rPr>
          <w:rFonts w:cs="Arial"/>
          <w:szCs w:val="22"/>
        </w:rPr>
        <w:t>.</w:t>
      </w:r>
    </w:p>
    <w:p w14:paraId="330B2857" w14:textId="4463356D" w:rsidR="00305C1A" w:rsidRPr="00976F22" w:rsidRDefault="00305C1A" w:rsidP="00976F22">
      <w:pPr>
        <w:pStyle w:val="Marge"/>
        <w:numPr>
          <w:ilvl w:val="0"/>
          <w:numId w:val="19"/>
        </w:numPr>
        <w:tabs>
          <w:tab w:val="clear" w:pos="502"/>
          <w:tab w:val="num" w:pos="567"/>
        </w:tabs>
        <w:spacing w:after="120"/>
        <w:ind w:left="567" w:hanging="567"/>
        <w:rPr>
          <w:rFonts w:cs="Arial"/>
          <w:szCs w:val="22"/>
        </w:rPr>
      </w:pPr>
      <w:r w:rsidRPr="00976F22">
        <w:rPr>
          <w:rFonts w:cs="Arial"/>
          <w:color w:val="0000FF"/>
          <w:szCs w:val="22"/>
          <w:u w:val="single"/>
        </w:rPr>
        <w:t>Document</w:t>
      </w:r>
      <w:r w:rsidR="0044753C">
        <w:rPr>
          <w:rFonts w:cs="Arial"/>
          <w:color w:val="0000FF"/>
          <w:szCs w:val="22"/>
          <w:u w:val="single"/>
        </w:rPr>
        <w:t> </w:t>
      </w:r>
      <w:hyperlink r:id="rId30" w:history="1">
        <w:r w:rsidRPr="00976F22">
          <w:rPr>
            <w:rStyle w:val="Hyperlink"/>
            <w:rFonts w:cs="Arial"/>
            <w:color w:val="0000FF"/>
            <w:szCs w:val="22"/>
          </w:rPr>
          <w:t>LHE/19/14.COM/7</w:t>
        </w:r>
      </w:hyperlink>
      <w:r w:rsidRPr="00976F22">
        <w:rPr>
          <w:rFonts w:cs="Arial"/>
          <w:szCs w:val="22"/>
        </w:rPr>
        <w:t xml:space="preserve"> includes, in Annex II (a), a list of such contributions for the period 1 January 2018 to 30</w:t>
      </w:r>
      <w:r w:rsidR="001566EB" w:rsidRPr="00976F22">
        <w:rPr>
          <w:rFonts w:cs="Arial"/>
          <w:szCs w:val="22"/>
        </w:rPr>
        <w:t> </w:t>
      </w:r>
      <w:r w:rsidRPr="00976F22">
        <w:rPr>
          <w:rFonts w:cs="Arial"/>
          <w:szCs w:val="22"/>
        </w:rPr>
        <w:t>June</w:t>
      </w:r>
      <w:r w:rsidR="001566EB" w:rsidRPr="00976F22">
        <w:rPr>
          <w:rFonts w:cs="Arial"/>
          <w:szCs w:val="22"/>
        </w:rPr>
        <w:t> </w:t>
      </w:r>
      <w:r w:rsidRPr="00976F22">
        <w:rPr>
          <w:rFonts w:cs="Arial"/>
          <w:szCs w:val="22"/>
        </w:rPr>
        <w:t>2019 as well as a statement of income and expenditures in Annex II. Document</w:t>
      </w:r>
      <w:r w:rsidR="0044753C">
        <w:rPr>
          <w:rFonts w:cs="Arial"/>
          <w:szCs w:val="22"/>
        </w:rPr>
        <w:t> </w:t>
      </w:r>
      <w:hyperlink r:id="rId31" w:history="1">
        <w:r w:rsidRPr="00976F22">
          <w:rPr>
            <w:rStyle w:val="Hyperlink"/>
            <w:rFonts w:cs="Arial"/>
            <w:szCs w:val="22"/>
          </w:rPr>
          <w:t>LHE/19/14.COM/6</w:t>
        </w:r>
      </w:hyperlink>
      <w:r w:rsidRPr="00976F22">
        <w:rPr>
          <w:rFonts w:cs="Arial"/>
          <w:szCs w:val="22"/>
        </w:rPr>
        <w:t xml:space="preserve"> includes, in Annex I, a list of voluntary contributions received </w:t>
      </w:r>
      <w:r w:rsidR="00481309" w:rsidRPr="00976F22">
        <w:rPr>
          <w:rFonts w:cs="Arial"/>
          <w:szCs w:val="22"/>
        </w:rPr>
        <w:t xml:space="preserve">to </w:t>
      </w:r>
      <w:r w:rsidRPr="00976F22">
        <w:rPr>
          <w:rFonts w:cs="Arial"/>
          <w:szCs w:val="22"/>
        </w:rPr>
        <w:t xml:space="preserve">the Fund and the Sub-Funds since the </w:t>
      </w:r>
      <w:r w:rsidR="004E3CF1" w:rsidRPr="00976F22">
        <w:rPr>
          <w:rFonts w:cs="Arial"/>
          <w:szCs w:val="22"/>
        </w:rPr>
        <w:t xml:space="preserve">thirteenth </w:t>
      </w:r>
      <w:r w:rsidRPr="00976F22">
        <w:rPr>
          <w:rFonts w:cs="Arial"/>
          <w:szCs w:val="22"/>
        </w:rPr>
        <w:t>session of the Committee, for the period October</w:t>
      </w:r>
      <w:r w:rsidR="001566EB" w:rsidRPr="00976F22">
        <w:rPr>
          <w:rFonts w:cs="Arial"/>
          <w:szCs w:val="22"/>
        </w:rPr>
        <w:t> </w:t>
      </w:r>
      <w:r w:rsidRPr="00976F22">
        <w:rPr>
          <w:rFonts w:cs="Arial"/>
          <w:szCs w:val="22"/>
        </w:rPr>
        <w:t>2018 to October</w:t>
      </w:r>
      <w:r w:rsidR="001566EB" w:rsidRPr="00976F22">
        <w:rPr>
          <w:rFonts w:cs="Arial"/>
          <w:szCs w:val="22"/>
        </w:rPr>
        <w:t> </w:t>
      </w:r>
      <w:r w:rsidRPr="00976F22">
        <w:rPr>
          <w:rFonts w:cs="Arial"/>
          <w:szCs w:val="22"/>
        </w:rPr>
        <w:t>2019.</w:t>
      </w:r>
    </w:p>
    <w:p w14:paraId="4E176F31" w14:textId="77777777" w:rsidR="00305C1A" w:rsidRPr="00614378" w:rsidRDefault="00305C1A" w:rsidP="0094758D">
      <w:pPr>
        <w:keepNext/>
        <w:numPr>
          <w:ilvl w:val="0"/>
          <w:numId w:val="20"/>
        </w:numPr>
        <w:tabs>
          <w:tab w:val="clear" w:pos="720"/>
        </w:tabs>
        <w:spacing w:before="360" w:after="240"/>
        <w:ind w:left="567" w:hanging="567"/>
        <w:jc w:val="both"/>
        <w:rPr>
          <w:rFonts w:ascii="Arial" w:hAnsi="Arial" w:cs="Arial"/>
          <w:b/>
          <w:sz w:val="22"/>
          <w:szCs w:val="22"/>
        </w:rPr>
      </w:pPr>
      <w:r w:rsidRPr="00976F22">
        <w:rPr>
          <w:rFonts w:ascii="Arial" w:hAnsi="Arial" w:cs="Arial"/>
          <w:b/>
          <w:sz w:val="22"/>
          <w:szCs w:val="22"/>
        </w:rPr>
        <w:t>Preparation of the Operational Directives for the</w:t>
      </w:r>
      <w:r w:rsidRPr="00614378">
        <w:rPr>
          <w:rFonts w:ascii="Arial" w:hAnsi="Arial" w:cs="Arial"/>
          <w:b/>
          <w:sz w:val="22"/>
          <w:szCs w:val="22"/>
        </w:rPr>
        <w:t xml:space="preserve"> implementation of the Convention</w:t>
      </w:r>
      <w:r w:rsidRPr="00614378">
        <w:rPr>
          <w:rFonts w:ascii="Arial" w:hAnsi="Arial" w:cs="Arial"/>
          <w:sz w:val="22"/>
          <w:szCs w:val="22"/>
        </w:rPr>
        <w:t xml:space="preserve"> (Article 7[e])</w:t>
      </w:r>
    </w:p>
    <w:p w14:paraId="74117F9E" w14:textId="77777777" w:rsidR="00305C1A" w:rsidRPr="00614378" w:rsidRDefault="00305C1A" w:rsidP="00EA135D">
      <w:pPr>
        <w:pStyle w:val="Marge"/>
        <w:numPr>
          <w:ilvl w:val="0"/>
          <w:numId w:val="19"/>
        </w:numPr>
        <w:tabs>
          <w:tab w:val="clear" w:pos="502"/>
          <w:tab w:val="num" w:pos="567"/>
        </w:tabs>
        <w:spacing w:after="120"/>
        <w:ind w:left="567" w:hanging="567"/>
        <w:rPr>
          <w:rFonts w:eastAsia="Arial" w:cs="Arial"/>
          <w:i/>
          <w:szCs w:val="22"/>
        </w:rPr>
      </w:pPr>
      <w:r w:rsidRPr="00614378">
        <w:rPr>
          <w:rFonts w:cs="Arial"/>
          <w:szCs w:val="22"/>
        </w:rPr>
        <w:t>During the reporting period, the Committee recommended that the General Assembly approve new directives or amendments to the Operational Directives for the implementation of the Convention on the following questions:</w:t>
      </w:r>
    </w:p>
    <w:p w14:paraId="5E59C1EA" w14:textId="0F706625" w:rsidR="00305C1A" w:rsidRPr="00E60E46" w:rsidRDefault="00305C1A" w:rsidP="00EA135D">
      <w:pPr>
        <w:pStyle w:val="Marge"/>
        <w:numPr>
          <w:ilvl w:val="0"/>
          <w:numId w:val="22"/>
        </w:numPr>
        <w:tabs>
          <w:tab w:val="num" w:pos="567"/>
        </w:tabs>
        <w:spacing w:after="60"/>
        <w:ind w:left="851" w:hanging="284"/>
        <w:rPr>
          <w:rFonts w:eastAsia="Arial" w:cs="Arial"/>
          <w:szCs w:val="22"/>
        </w:rPr>
      </w:pPr>
      <w:r w:rsidRPr="002300C4">
        <w:rPr>
          <w:rFonts w:cs="Arial"/>
          <w:szCs w:val="22"/>
        </w:rPr>
        <w:t>Periodic reporting mechanism to move towards a regional cycle of national reporting</w:t>
      </w:r>
      <w:r w:rsidR="00743497" w:rsidRPr="002300C4">
        <w:rPr>
          <w:rFonts w:cs="Arial"/>
          <w:szCs w:val="22"/>
        </w:rPr>
        <w:t>;</w:t>
      </w:r>
    </w:p>
    <w:p w14:paraId="34710F0A" w14:textId="0788153E" w:rsidR="00C247FF" w:rsidRPr="00C5187E" w:rsidRDefault="00C247FF" w:rsidP="00EA135D">
      <w:pPr>
        <w:pStyle w:val="Marge"/>
        <w:numPr>
          <w:ilvl w:val="0"/>
          <w:numId w:val="22"/>
        </w:numPr>
        <w:tabs>
          <w:tab w:val="num" w:pos="567"/>
        </w:tabs>
        <w:spacing w:after="60"/>
        <w:ind w:left="851" w:hanging="284"/>
        <w:rPr>
          <w:rFonts w:cs="Arial"/>
          <w:szCs w:val="22"/>
        </w:rPr>
      </w:pPr>
      <w:r w:rsidRPr="00C5187E">
        <w:rPr>
          <w:rFonts w:cs="Arial"/>
          <w:szCs w:val="22"/>
        </w:rPr>
        <w:t xml:space="preserve">Dialogue </w:t>
      </w:r>
      <w:r w:rsidR="00B87483" w:rsidRPr="00C5187E">
        <w:rPr>
          <w:rFonts w:cs="Arial"/>
          <w:szCs w:val="22"/>
        </w:rPr>
        <w:t xml:space="preserve">process </w:t>
      </w:r>
      <w:r w:rsidRPr="00C5187E">
        <w:rPr>
          <w:rFonts w:cs="Arial"/>
          <w:szCs w:val="22"/>
        </w:rPr>
        <w:t>and possible amendments to the Operational Directives to be presented to the eighth session of the General Assembly of the States Parties in 2020</w:t>
      </w:r>
      <w:r w:rsidR="00743497" w:rsidRPr="00C5187E">
        <w:rPr>
          <w:rFonts w:cs="Arial"/>
          <w:szCs w:val="22"/>
        </w:rPr>
        <w:t>.</w:t>
      </w:r>
    </w:p>
    <w:p w14:paraId="705AD516" w14:textId="77777777" w:rsidR="00305C1A" w:rsidRPr="00E60E46" w:rsidRDefault="00305C1A" w:rsidP="00EA135D">
      <w:pPr>
        <w:keepNext/>
        <w:numPr>
          <w:ilvl w:val="0"/>
          <w:numId w:val="20"/>
        </w:numPr>
        <w:tabs>
          <w:tab w:val="clear" w:pos="720"/>
          <w:tab w:val="num" w:pos="567"/>
        </w:tabs>
        <w:spacing w:before="360" w:after="240"/>
        <w:ind w:left="567" w:hanging="567"/>
        <w:rPr>
          <w:rFonts w:ascii="Arial" w:hAnsi="Arial" w:cs="Arial"/>
          <w:b/>
          <w:sz w:val="22"/>
          <w:szCs w:val="22"/>
        </w:rPr>
      </w:pPr>
      <w:r w:rsidRPr="002300C4">
        <w:rPr>
          <w:rFonts w:ascii="Arial" w:hAnsi="Arial" w:cs="Arial"/>
          <w:b/>
          <w:sz w:val="22"/>
          <w:szCs w:val="22"/>
        </w:rPr>
        <w:t>Examination of periodic reports</w:t>
      </w:r>
      <w:r w:rsidRPr="002300C4">
        <w:rPr>
          <w:rFonts w:ascii="Arial" w:hAnsi="Arial" w:cs="Arial"/>
          <w:sz w:val="22"/>
          <w:szCs w:val="22"/>
        </w:rPr>
        <w:t xml:space="preserve"> (Article 7[f])</w:t>
      </w:r>
    </w:p>
    <w:p w14:paraId="0AFCFE62" w14:textId="52341ADF" w:rsidR="00305C1A" w:rsidRPr="00C5187E" w:rsidRDefault="00305C1A" w:rsidP="00EA135D">
      <w:pPr>
        <w:pStyle w:val="Marge"/>
        <w:numPr>
          <w:ilvl w:val="0"/>
          <w:numId w:val="19"/>
        </w:numPr>
        <w:tabs>
          <w:tab w:val="clear" w:pos="502"/>
          <w:tab w:val="num" w:pos="567"/>
        </w:tabs>
        <w:spacing w:after="120"/>
        <w:ind w:left="567" w:hanging="567"/>
        <w:rPr>
          <w:rFonts w:cs="Arial"/>
          <w:szCs w:val="22"/>
        </w:rPr>
      </w:pPr>
      <w:r w:rsidRPr="00C5187E">
        <w:rPr>
          <w:rFonts w:cs="Arial"/>
          <w:szCs w:val="22"/>
        </w:rPr>
        <w:t xml:space="preserve">The </w:t>
      </w:r>
      <w:hyperlink r:id="rId32" w:history="1">
        <w:r w:rsidRPr="00C5187E">
          <w:rPr>
            <w:rFonts w:cs="Arial"/>
            <w:color w:val="0000FF"/>
            <w:szCs w:val="22"/>
            <w:u w:val="single"/>
          </w:rPr>
          <w:t>Convention</w:t>
        </w:r>
      </w:hyperlink>
      <w:r w:rsidRPr="00C5187E">
        <w:rPr>
          <w:rFonts w:cs="Arial"/>
          <w:szCs w:val="22"/>
        </w:rPr>
        <w:t xml:space="preserve"> provides, in Article 29, that States Parties shall submit to the Committee reports on legislative, regulatory and other measures taken for the implementation of the Convention, and in Article 30 that ‘On the basis of its activities and the reports by States Parties […] the Committee shall submit a report to the General Assembly.’ During the reporting period, the Committee examined </w:t>
      </w:r>
      <w:r w:rsidR="00140AD7" w:rsidRPr="00C5187E">
        <w:rPr>
          <w:rFonts w:cs="Arial"/>
          <w:szCs w:val="22"/>
        </w:rPr>
        <w:t>32</w:t>
      </w:r>
      <w:r w:rsidRPr="00C5187E">
        <w:rPr>
          <w:rFonts w:cs="Arial"/>
          <w:szCs w:val="22"/>
        </w:rPr>
        <w:t xml:space="preserve"> reports by States Parties on the implementation of the Convention at the national level in 2018 and </w:t>
      </w:r>
      <w:r w:rsidR="00140AD7" w:rsidRPr="00C5187E">
        <w:rPr>
          <w:rFonts w:cs="Arial"/>
          <w:szCs w:val="22"/>
        </w:rPr>
        <w:t>20</w:t>
      </w:r>
      <w:r w:rsidRPr="00C5187E">
        <w:rPr>
          <w:rFonts w:cs="Arial"/>
          <w:szCs w:val="22"/>
        </w:rPr>
        <w:t xml:space="preserve"> reports on the status of elements inscribed on the </w:t>
      </w:r>
      <w:r w:rsidR="00481309" w:rsidRPr="00C5187E">
        <w:rPr>
          <w:rFonts w:cs="Arial"/>
          <w:szCs w:val="22"/>
        </w:rPr>
        <w:t xml:space="preserve">List of Intangible Cultural Heritage in Need of Urgent Safeguarding (hereinafter, the </w:t>
      </w:r>
      <w:r w:rsidRPr="00C5187E">
        <w:rPr>
          <w:rFonts w:cs="Arial"/>
          <w:szCs w:val="22"/>
        </w:rPr>
        <w:t xml:space="preserve">Urgent </w:t>
      </w:r>
      <w:r w:rsidRPr="00C5187E">
        <w:rPr>
          <w:rFonts w:cs="Arial"/>
          <w:szCs w:val="22"/>
        </w:rPr>
        <w:lastRenderedPageBreak/>
        <w:t>Safeguarding List</w:t>
      </w:r>
      <w:r w:rsidR="00481309" w:rsidRPr="00C5187E">
        <w:rPr>
          <w:rFonts w:cs="Arial"/>
          <w:szCs w:val="22"/>
        </w:rPr>
        <w:t xml:space="preserve">) </w:t>
      </w:r>
      <w:r w:rsidRPr="00C5187E">
        <w:rPr>
          <w:rFonts w:cs="Arial"/>
          <w:szCs w:val="22"/>
        </w:rPr>
        <w:t>(</w:t>
      </w:r>
      <w:r w:rsidR="00140AD7" w:rsidRPr="00C5187E">
        <w:rPr>
          <w:rFonts w:cs="Arial"/>
          <w:szCs w:val="22"/>
        </w:rPr>
        <w:t>16</w:t>
      </w:r>
      <w:r w:rsidRPr="00C5187E">
        <w:rPr>
          <w:rFonts w:cs="Arial"/>
          <w:szCs w:val="22"/>
        </w:rPr>
        <w:t xml:space="preserve"> in 2018 and </w:t>
      </w:r>
      <w:r w:rsidR="00140AD7" w:rsidRPr="00C5187E">
        <w:rPr>
          <w:rFonts w:cs="Arial"/>
          <w:szCs w:val="22"/>
        </w:rPr>
        <w:t>4</w:t>
      </w:r>
      <w:r w:rsidRPr="00C5187E">
        <w:rPr>
          <w:rFonts w:cs="Arial"/>
          <w:szCs w:val="22"/>
        </w:rPr>
        <w:t xml:space="preserve"> in 2019).</w:t>
      </w:r>
      <w:r w:rsidRPr="00C5187E">
        <w:rPr>
          <w:rFonts w:cs="Arial"/>
          <w:i/>
          <w:szCs w:val="22"/>
        </w:rPr>
        <w:t xml:space="preserve"> </w:t>
      </w:r>
      <w:r w:rsidRPr="00C5187E">
        <w:rPr>
          <w:rFonts w:cs="Arial"/>
          <w:szCs w:val="22"/>
        </w:rPr>
        <w:t xml:space="preserve">Due to the change in the periodic reporting mechanism, the submission of periodic reports on the implementation of the Convention and on elements inscribed on the </w:t>
      </w:r>
      <w:r w:rsidR="00481309" w:rsidRPr="00C5187E">
        <w:rPr>
          <w:rFonts w:cs="Arial"/>
          <w:szCs w:val="22"/>
        </w:rPr>
        <w:t xml:space="preserve">Representative List of the Intangible Cultural Heritage of Humanity (hereinafter, the </w:t>
      </w:r>
      <w:r w:rsidRPr="00C5187E">
        <w:rPr>
          <w:rFonts w:cs="Arial"/>
          <w:szCs w:val="22"/>
        </w:rPr>
        <w:t>Representative List</w:t>
      </w:r>
      <w:r w:rsidR="00481309" w:rsidRPr="00C5187E">
        <w:rPr>
          <w:rFonts w:cs="Arial"/>
          <w:szCs w:val="22"/>
        </w:rPr>
        <w:t>)</w:t>
      </w:r>
      <w:r w:rsidRPr="00C5187E">
        <w:rPr>
          <w:rFonts w:cs="Arial"/>
          <w:szCs w:val="22"/>
        </w:rPr>
        <w:t xml:space="preserve"> has been suspended for the deadlines of 15 December</w:t>
      </w:r>
      <w:r w:rsidR="001566EB" w:rsidRPr="00C5187E">
        <w:rPr>
          <w:rFonts w:cs="Arial"/>
          <w:szCs w:val="22"/>
        </w:rPr>
        <w:t> </w:t>
      </w:r>
      <w:r w:rsidRPr="00C5187E">
        <w:rPr>
          <w:rFonts w:cs="Arial"/>
          <w:szCs w:val="22"/>
        </w:rPr>
        <w:t>2018 and 2019, including for overdue reports (</w:t>
      </w:r>
      <w:hyperlink r:id="rId33" w:history="1">
        <w:r w:rsidRPr="00C5187E">
          <w:rPr>
            <w:rStyle w:val="Hyperlink"/>
          </w:rPr>
          <w:t>document</w:t>
        </w:r>
        <w:r w:rsidR="001C4A24" w:rsidRPr="00C5187E">
          <w:rPr>
            <w:rStyle w:val="Hyperlink"/>
            <w:rFonts w:cs="Arial"/>
            <w:szCs w:val="22"/>
          </w:rPr>
          <w:t> </w:t>
        </w:r>
        <w:r w:rsidRPr="00C5187E">
          <w:rPr>
            <w:rStyle w:val="Hyperlink"/>
          </w:rPr>
          <w:t>ITH/18/13.COM/8</w:t>
        </w:r>
      </w:hyperlink>
      <w:r w:rsidRPr="00C5187E">
        <w:rPr>
          <w:rFonts w:cs="Arial"/>
          <w:bCs/>
          <w:szCs w:val="22"/>
        </w:rPr>
        <w:t xml:space="preserve">). </w:t>
      </w:r>
      <w:r w:rsidRPr="00C5187E">
        <w:rPr>
          <w:rFonts w:cs="Arial"/>
          <w:szCs w:val="22"/>
        </w:rPr>
        <w:t>For the time being, the change in the periodic reporting mechanism will not affect the procedure for reporting on the status of elements inscribed on the Urgent Safeguarding</w:t>
      </w:r>
      <w:r w:rsidR="00481309" w:rsidRPr="00C5187E">
        <w:rPr>
          <w:rFonts w:cs="Arial"/>
          <w:szCs w:val="22"/>
        </w:rPr>
        <w:t xml:space="preserve"> List</w:t>
      </w:r>
      <w:r w:rsidRPr="00C5187E">
        <w:rPr>
          <w:rFonts w:cs="Arial"/>
          <w:szCs w:val="22"/>
        </w:rPr>
        <w:t>. A detailed overview and abstracts for each report can be found in the related working documents of the Committee: documents</w:t>
      </w:r>
      <w:r w:rsidR="0044753C" w:rsidRPr="00C5187E">
        <w:rPr>
          <w:rFonts w:cs="Arial"/>
          <w:szCs w:val="22"/>
        </w:rPr>
        <w:t xml:space="preserve"> </w:t>
      </w:r>
      <w:hyperlink r:id="rId34" w:history="1">
        <w:r w:rsidRPr="00C5187E">
          <w:rPr>
            <w:rStyle w:val="Hyperlink"/>
            <w:rFonts w:cs="Arial"/>
            <w:szCs w:val="22"/>
          </w:rPr>
          <w:t>ITH/18/13.COM/7.a</w:t>
        </w:r>
      </w:hyperlink>
      <w:r w:rsidRPr="00C5187E">
        <w:rPr>
          <w:rFonts w:cs="Arial"/>
          <w:szCs w:val="22"/>
        </w:rPr>
        <w:t xml:space="preserve">, </w:t>
      </w:r>
      <w:hyperlink r:id="rId35" w:history="1">
        <w:r w:rsidRPr="00C5187E">
          <w:rPr>
            <w:rStyle w:val="Hyperlink"/>
            <w:rFonts w:cs="Arial"/>
            <w:szCs w:val="22"/>
          </w:rPr>
          <w:t>ITH/18/13.COM/7.b</w:t>
        </w:r>
      </w:hyperlink>
      <w:r w:rsidR="00EA390C" w:rsidRPr="00C5187E">
        <w:rPr>
          <w:rFonts w:cs="Arial"/>
          <w:szCs w:val="22"/>
        </w:rPr>
        <w:t xml:space="preserve"> and</w:t>
      </w:r>
      <w:r w:rsidRPr="00C5187E">
        <w:rPr>
          <w:rFonts w:cs="Arial"/>
          <w:szCs w:val="22"/>
        </w:rPr>
        <w:t xml:space="preserve"> </w:t>
      </w:r>
      <w:hyperlink r:id="rId36" w:history="1">
        <w:r w:rsidRPr="00C5187E">
          <w:rPr>
            <w:rStyle w:val="Hyperlink"/>
            <w:rFonts w:cs="Arial"/>
            <w:szCs w:val="22"/>
          </w:rPr>
          <w:t>LHE/19/14.COM/9.a</w:t>
        </w:r>
      </w:hyperlink>
      <w:r w:rsidRPr="00C5187E">
        <w:rPr>
          <w:rFonts w:cs="Arial"/>
          <w:szCs w:val="22"/>
        </w:rPr>
        <w:t>.</w:t>
      </w:r>
    </w:p>
    <w:p w14:paraId="26B7A927" w14:textId="77777777" w:rsidR="00914F76" w:rsidRPr="00E60E46" w:rsidRDefault="00914F76" w:rsidP="00914F76">
      <w:pPr>
        <w:keepNext/>
        <w:numPr>
          <w:ilvl w:val="0"/>
          <w:numId w:val="20"/>
        </w:numPr>
        <w:tabs>
          <w:tab w:val="clear" w:pos="720"/>
        </w:tabs>
        <w:spacing w:before="360" w:after="240"/>
        <w:ind w:left="567" w:hanging="567"/>
        <w:rPr>
          <w:rFonts w:ascii="Arial" w:hAnsi="Arial" w:cs="Arial"/>
          <w:b/>
          <w:sz w:val="22"/>
          <w:szCs w:val="22"/>
        </w:rPr>
      </w:pPr>
      <w:r w:rsidRPr="00147BE7">
        <w:rPr>
          <w:rFonts w:ascii="Arial" w:hAnsi="Arial" w:cs="Arial"/>
          <w:b/>
          <w:sz w:val="22"/>
          <w:szCs w:val="22"/>
        </w:rPr>
        <w:t>Inscriptions on the Lists of the Convention, selection of good safeguarding practices and granting of International Assistance</w:t>
      </w:r>
      <w:r w:rsidRPr="00B460B1">
        <w:rPr>
          <w:rFonts w:ascii="Arial" w:hAnsi="Arial" w:cs="Arial"/>
          <w:sz w:val="22"/>
          <w:szCs w:val="22"/>
        </w:rPr>
        <w:t xml:space="preserve"> (Article 7[g])</w:t>
      </w:r>
    </w:p>
    <w:p w14:paraId="6EE115CE" w14:textId="620147A2" w:rsidR="00326C36" w:rsidRPr="00C5187E" w:rsidRDefault="00914F76" w:rsidP="00EA135D">
      <w:pPr>
        <w:pStyle w:val="Marge"/>
        <w:numPr>
          <w:ilvl w:val="0"/>
          <w:numId w:val="19"/>
        </w:numPr>
        <w:tabs>
          <w:tab w:val="clear" w:pos="502"/>
          <w:tab w:val="num" w:pos="567"/>
        </w:tabs>
        <w:spacing w:after="120"/>
        <w:ind w:left="567" w:hanging="567"/>
        <w:rPr>
          <w:rFonts w:cs="Arial"/>
          <w:i/>
          <w:szCs w:val="22"/>
        </w:rPr>
      </w:pPr>
      <w:r w:rsidRPr="00C5187E">
        <w:rPr>
          <w:rFonts w:cs="Arial"/>
          <w:szCs w:val="22"/>
        </w:rPr>
        <w:t xml:space="preserve">During the reporting period, the Committee examined 102 files and inscribed a total of </w:t>
      </w:r>
      <w:r w:rsidR="00EB5DD2" w:rsidRPr="00C5187E">
        <w:rPr>
          <w:rFonts w:cs="Arial"/>
          <w:szCs w:val="22"/>
        </w:rPr>
        <w:t>78</w:t>
      </w:r>
      <w:r w:rsidRPr="00C5187E">
        <w:rPr>
          <w:rFonts w:cs="Arial"/>
          <w:szCs w:val="22"/>
        </w:rPr>
        <w:t xml:space="preserve"> elements on the Lists of the Convention: </w:t>
      </w:r>
      <w:r w:rsidR="00EB5DD2" w:rsidRPr="00C5187E">
        <w:rPr>
          <w:rFonts w:cs="Arial"/>
          <w:szCs w:val="22"/>
        </w:rPr>
        <w:t>12</w:t>
      </w:r>
      <w:r w:rsidRPr="00C5187E">
        <w:rPr>
          <w:rFonts w:cs="Arial"/>
          <w:szCs w:val="22"/>
        </w:rPr>
        <w:t xml:space="preserve"> on the Urgent Safeguarding </w:t>
      </w:r>
      <w:r w:rsidR="00EA390C" w:rsidRPr="00C5187E">
        <w:rPr>
          <w:rFonts w:cs="Arial"/>
          <w:szCs w:val="22"/>
        </w:rPr>
        <w:t xml:space="preserve">List </w:t>
      </w:r>
      <w:r w:rsidRPr="00C5187E">
        <w:rPr>
          <w:rFonts w:cs="Arial"/>
          <w:szCs w:val="22"/>
        </w:rPr>
        <w:t xml:space="preserve">and </w:t>
      </w:r>
      <w:r w:rsidR="00EB5DD2" w:rsidRPr="00C5187E">
        <w:rPr>
          <w:rFonts w:cs="Arial"/>
          <w:szCs w:val="22"/>
        </w:rPr>
        <w:t>66</w:t>
      </w:r>
      <w:r w:rsidRPr="00C5187E">
        <w:rPr>
          <w:rFonts w:cs="Arial"/>
          <w:szCs w:val="22"/>
        </w:rPr>
        <w:t xml:space="preserve"> on the Representative List.</w:t>
      </w:r>
      <w:r w:rsidR="006406C1" w:rsidRPr="00C5187E">
        <w:rPr>
          <w:rFonts w:cs="Arial"/>
          <w:szCs w:val="22"/>
        </w:rPr>
        <w:t xml:space="preserve"> T</w:t>
      </w:r>
      <w:r w:rsidRPr="00C5187E">
        <w:rPr>
          <w:rFonts w:cs="Arial"/>
          <w:szCs w:val="22"/>
        </w:rPr>
        <w:t xml:space="preserve">he Committee also selected </w:t>
      </w:r>
      <w:r w:rsidR="00EB5DD2" w:rsidRPr="00C5187E">
        <w:rPr>
          <w:rFonts w:cs="Arial"/>
          <w:szCs w:val="22"/>
        </w:rPr>
        <w:t>3</w:t>
      </w:r>
      <w:r w:rsidR="00CA3763" w:rsidRPr="00C5187E">
        <w:rPr>
          <w:rFonts w:cs="Arial"/>
          <w:szCs w:val="22"/>
        </w:rPr>
        <w:t xml:space="preserve"> </w:t>
      </w:r>
      <w:r w:rsidRPr="00C5187E">
        <w:rPr>
          <w:rFonts w:cs="Arial"/>
          <w:szCs w:val="22"/>
        </w:rPr>
        <w:t xml:space="preserve">good safeguarding practices. </w:t>
      </w:r>
      <w:r w:rsidRPr="00C5187E">
        <w:rPr>
          <w:rStyle w:val="ac"/>
          <w:rFonts w:cs="Arial"/>
          <w:szCs w:val="22"/>
        </w:rPr>
        <w:t>At</w:t>
      </w:r>
      <w:r w:rsidRPr="00C5187E">
        <w:rPr>
          <w:rFonts w:cs="Arial"/>
          <w:szCs w:val="22"/>
        </w:rPr>
        <w:t xml:space="preserve"> its thirteenth </w:t>
      </w:r>
      <w:r w:rsidR="007A47A8" w:rsidRPr="00C5187E">
        <w:rPr>
          <w:rFonts w:cs="Arial"/>
          <w:szCs w:val="22"/>
        </w:rPr>
        <w:t xml:space="preserve">and fourteenth </w:t>
      </w:r>
      <w:r w:rsidRPr="00C5187E">
        <w:rPr>
          <w:rFonts w:cs="Arial"/>
          <w:szCs w:val="22"/>
        </w:rPr>
        <w:t>session</w:t>
      </w:r>
      <w:r w:rsidR="007A47A8" w:rsidRPr="00C5187E">
        <w:rPr>
          <w:rFonts w:cs="Arial"/>
          <w:szCs w:val="22"/>
        </w:rPr>
        <w:t>s</w:t>
      </w:r>
      <w:r w:rsidRPr="00C5187E">
        <w:rPr>
          <w:rFonts w:cs="Arial"/>
          <w:szCs w:val="22"/>
        </w:rPr>
        <w:t xml:space="preserve">, the Committee approved one International Assistance request for an amount of US$213,260 and </w:t>
      </w:r>
      <w:r w:rsidR="00EB5DD2" w:rsidRPr="00C5187E">
        <w:rPr>
          <w:rFonts w:cs="Arial"/>
          <w:szCs w:val="22"/>
        </w:rPr>
        <w:t>one</w:t>
      </w:r>
      <w:r w:rsidRPr="00C5187E">
        <w:rPr>
          <w:rFonts w:cs="Arial"/>
          <w:szCs w:val="22"/>
        </w:rPr>
        <w:t xml:space="preserve"> International Assistance request for a total amount of </w:t>
      </w:r>
      <w:r w:rsidR="00DD0CB6" w:rsidRPr="00C5187E">
        <w:rPr>
          <w:rFonts w:cs="Arial"/>
          <w:szCs w:val="22"/>
        </w:rPr>
        <w:t>US$387,770</w:t>
      </w:r>
      <w:r w:rsidR="007A47A8" w:rsidRPr="00C5187E">
        <w:rPr>
          <w:rFonts w:cs="Arial"/>
          <w:szCs w:val="22"/>
        </w:rPr>
        <w:t>, respectively</w:t>
      </w:r>
      <w:r w:rsidRPr="00C5187E">
        <w:rPr>
          <w:rFonts w:cs="Arial"/>
          <w:szCs w:val="22"/>
        </w:rPr>
        <w:t xml:space="preserve">. </w:t>
      </w:r>
      <w:r w:rsidR="003A13FC" w:rsidRPr="00C5187E">
        <w:rPr>
          <w:rFonts w:cs="Arial"/>
          <w:szCs w:val="22"/>
        </w:rPr>
        <w:t xml:space="preserve">Furthermore, </w:t>
      </w:r>
      <w:r w:rsidR="003A13FC" w:rsidRPr="00C5187E">
        <w:rPr>
          <w:rFonts w:cs="Arial"/>
          <w:szCs w:val="22"/>
          <w:lang w:val="en-US"/>
        </w:rPr>
        <w:t>t</w:t>
      </w:r>
      <w:r w:rsidR="00222606" w:rsidRPr="00C5187E">
        <w:rPr>
          <w:rFonts w:cs="Arial"/>
          <w:szCs w:val="22"/>
          <w:lang w:val="en-US"/>
        </w:rPr>
        <w:t>he unprecedented inscription by the thirteenth session of the Committee of ‘Traditional Korean wrestling (</w:t>
      </w:r>
      <w:proofErr w:type="spellStart"/>
      <w:r w:rsidR="00222606" w:rsidRPr="00C5187E">
        <w:rPr>
          <w:rFonts w:cs="Arial"/>
          <w:szCs w:val="22"/>
          <w:lang w:val="en-US"/>
        </w:rPr>
        <w:t>Ssirum</w:t>
      </w:r>
      <w:proofErr w:type="spellEnd"/>
      <w:r w:rsidR="00222606" w:rsidRPr="00C5187E">
        <w:rPr>
          <w:rFonts w:cs="Arial"/>
          <w:szCs w:val="22"/>
          <w:lang w:val="en-US"/>
        </w:rPr>
        <w:t>/</w:t>
      </w:r>
      <w:proofErr w:type="spellStart"/>
      <w:r w:rsidR="00222606" w:rsidRPr="00C5187E">
        <w:rPr>
          <w:rFonts w:cs="Arial"/>
          <w:szCs w:val="22"/>
          <w:lang w:val="en-US"/>
        </w:rPr>
        <w:t>Ssireum</w:t>
      </w:r>
      <w:proofErr w:type="spellEnd"/>
      <w:r w:rsidR="00222606" w:rsidRPr="00C5187E">
        <w:rPr>
          <w:rFonts w:cs="Arial"/>
          <w:szCs w:val="22"/>
          <w:lang w:val="en-US"/>
        </w:rPr>
        <w:t xml:space="preserve">)’ on the Representative List as a joined nomination by the Democratic People’s Republic of Korea and the Republic of Korea demonstrated the role that UNESCO can play in contributing to the </w:t>
      </w:r>
      <w:r w:rsidR="00491AF3" w:rsidRPr="00C5187E">
        <w:rPr>
          <w:rFonts w:cs="Arial"/>
          <w:szCs w:val="22"/>
          <w:lang w:val="en-US"/>
        </w:rPr>
        <w:t xml:space="preserve">regional </w:t>
      </w:r>
      <w:r w:rsidR="00CA3763" w:rsidRPr="00C5187E">
        <w:rPr>
          <w:rFonts w:cs="Arial"/>
          <w:szCs w:val="22"/>
          <w:lang w:val="en-US"/>
        </w:rPr>
        <w:t xml:space="preserve">and global </w:t>
      </w:r>
      <w:r w:rsidR="00222606" w:rsidRPr="00C5187E">
        <w:rPr>
          <w:rFonts w:cs="Arial"/>
          <w:szCs w:val="22"/>
          <w:lang w:val="en-US"/>
        </w:rPr>
        <w:t xml:space="preserve">peace </w:t>
      </w:r>
      <w:r w:rsidR="00B87483" w:rsidRPr="00C5187E">
        <w:rPr>
          <w:rFonts w:cs="Arial"/>
          <w:szCs w:val="22"/>
          <w:lang w:val="en-US"/>
        </w:rPr>
        <w:t xml:space="preserve">building </w:t>
      </w:r>
      <w:r w:rsidR="00222606" w:rsidRPr="00C5187E">
        <w:rPr>
          <w:rFonts w:cs="Arial"/>
          <w:szCs w:val="22"/>
          <w:lang w:val="en-US"/>
        </w:rPr>
        <w:t>through culture.</w:t>
      </w:r>
    </w:p>
    <w:p w14:paraId="605A1A3D" w14:textId="584B5169" w:rsidR="000D6D64" w:rsidRDefault="0025133B" w:rsidP="00EA135D">
      <w:pPr>
        <w:pStyle w:val="Marge"/>
        <w:numPr>
          <w:ilvl w:val="0"/>
          <w:numId w:val="19"/>
        </w:numPr>
        <w:tabs>
          <w:tab w:val="clear" w:pos="502"/>
          <w:tab w:val="num" w:pos="567"/>
        </w:tabs>
        <w:spacing w:after="120"/>
        <w:ind w:left="567" w:hanging="567"/>
        <w:rPr>
          <w:rFonts w:cs="Arial"/>
          <w:szCs w:val="22"/>
        </w:rPr>
      </w:pPr>
      <w:r w:rsidRPr="00147BE7">
        <w:rPr>
          <w:rFonts w:cs="Arial"/>
          <w:szCs w:val="22"/>
        </w:rPr>
        <w:t xml:space="preserve">Since at least 2016, States Parties have </w:t>
      </w:r>
      <w:r w:rsidR="00EA390C" w:rsidRPr="00147BE7">
        <w:rPr>
          <w:rFonts w:cs="Arial"/>
          <w:szCs w:val="22"/>
        </w:rPr>
        <w:t>expressed</w:t>
      </w:r>
      <w:r w:rsidRPr="00147BE7">
        <w:rPr>
          <w:rFonts w:cs="Arial"/>
          <w:szCs w:val="22"/>
        </w:rPr>
        <w:t xml:space="preserve"> their </w:t>
      </w:r>
      <w:r w:rsidR="00CB6990">
        <w:rPr>
          <w:rFonts w:cs="Arial"/>
          <w:szCs w:val="22"/>
        </w:rPr>
        <w:t>interest in establishing</w:t>
      </w:r>
      <w:r w:rsidRPr="00147BE7">
        <w:rPr>
          <w:rFonts w:cs="Arial"/>
          <w:szCs w:val="22"/>
        </w:rPr>
        <w:t xml:space="preserve"> a system t</w:t>
      </w:r>
      <w:r w:rsidR="00EA390C" w:rsidRPr="00147BE7">
        <w:rPr>
          <w:rFonts w:cs="Arial"/>
          <w:szCs w:val="22"/>
        </w:rPr>
        <w:t>hat</w:t>
      </w:r>
      <w:r w:rsidRPr="00147BE7">
        <w:rPr>
          <w:rFonts w:cs="Arial"/>
          <w:szCs w:val="22"/>
        </w:rPr>
        <w:t xml:space="preserve"> </w:t>
      </w:r>
      <w:r w:rsidR="00EA390C" w:rsidRPr="00147BE7">
        <w:rPr>
          <w:rFonts w:cs="Arial"/>
          <w:szCs w:val="22"/>
        </w:rPr>
        <w:t>clarifies</w:t>
      </w:r>
      <w:r w:rsidRPr="00147BE7">
        <w:rPr>
          <w:rFonts w:cs="Arial"/>
          <w:szCs w:val="22"/>
        </w:rPr>
        <w:t xml:space="preserve"> minor technical issues before nominations are presented to the Committee. Building on discussions at earlier sessions, the Committee </w:t>
      </w:r>
      <w:r w:rsidR="0090486B" w:rsidRPr="00147BE7">
        <w:rPr>
          <w:rFonts w:cs="Arial"/>
          <w:szCs w:val="22"/>
        </w:rPr>
        <w:t xml:space="preserve">at its thirteenth session </w:t>
      </w:r>
      <w:r w:rsidRPr="00147BE7">
        <w:rPr>
          <w:rFonts w:cs="Arial"/>
          <w:szCs w:val="22"/>
        </w:rPr>
        <w:t>introduced a new experimental procedure for the 2019 cycle called the ‘provisional upstream</w:t>
      </w:r>
      <w:r w:rsidR="00630ACB">
        <w:rPr>
          <w:rFonts w:cs="Arial"/>
          <w:szCs w:val="22"/>
        </w:rPr>
        <w:t xml:space="preserve"> dialogue</w:t>
      </w:r>
      <w:r w:rsidRPr="00B460B1">
        <w:rPr>
          <w:rFonts w:cs="Arial"/>
          <w:szCs w:val="22"/>
        </w:rPr>
        <w:t xml:space="preserve">’ </w:t>
      </w:r>
      <w:r w:rsidR="00CA3763" w:rsidRPr="00B460B1">
        <w:rPr>
          <w:rStyle w:val="Hyperlink"/>
          <w:rFonts w:cs="Arial"/>
          <w:color w:val="auto"/>
          <w:szCs w:val="22"/>
          <w:u w:val="none"/>
        </w:rPr>
        <w:t xml:space="preserve">and decided to further reflect on an appropriate ‘dialogue’ mechanism </w:t>
      </w:r>
      <w:r w:rsidR="00CA3763" w:rsidRPr="00B460B1">
        <w:rPr>
          <w:rFonts w:cs="Arial"/>
          <w:szCs w:val="22"/>
        </w:rPr>
        <w:t xml:space="preserve">to enhance the transparency and credibility of the evaluation process </w:t>
      </w:r>
      <w:r w:rsidR="00CA3763" w:rsidRPr="00B460B1">
        <w:rPr>
          <w:rStyle w:val="Hyperlink"/>
          <w:rFonts w:cs="Arial"/>
          <w:szCs w:val="22"/>
        </w:rPr>
        <w:t>(</w:t>
      </w:r>
      <w:hyperlink r:id="rId37" w:history="1">
        <w:r w:rsidR="00CA3763" w:rsidRPr="006406C1">
          <w:rPr>
            <w:rStyle w:val="Hyperlink"/>
            <w:rFonts w:cs="Arial"/>
            <w:szCs w:val="22"/>
          </w:rPr>
          <w:t>Decision</w:t>
        </w:r>
        <w:r w:rsidR="0044753C">
          <w:rPr>
            <w:rStyle w:val="Hyperlink"/>
            <w:rFonts w:cs="Arial"/>
            <w:szCs w:val="22"/>
          </w:rPr>
          <w:t> </w:t>
        </w:r>
        <w:r w:rsidR="00CA3763" w:rsidRPr="006406C1">
          <w:rPr>
            <w:rStyle w:val="Hyperlink"/>
            <w:rFonts w:cs="Arial"/>
            <w:szCs w:val="22"/>
          </w:rPr>
          <w:t>13.COM 10</w:t>
        </w:r>
      </w:hyperlink>
      <w:r w:rsidR="00CA3763" w:rsidRPr="008B5155">
        <w:rPr>
          <w:rStyle w:val="Hyperlink"/>
          <w:rFonts w:cs="Arial"/>
          <w:color w:val="auto"/>
          <w:szCs w:val="22"/>
          <w:u w:val="none"/>
        </w:rPr>
        <w:t xml:space="preserve"> and </w:t>
      </w:r>
      <w:hyperlink r:id="rId38" w:history="1">
        <w:r w:rsidR="00CA3763" w:rsidRPr="006406C1">
          <w:rPr>
            <w:rStyle w:val="Hyperlink"/>
            <w:rFonts w:cs="Arial"/>
            <w:szCs w:val="22"/>
          </w:rPr>
          <w:t>Decision</w:t>
        </w:r>
        <w:r w:rsidR="0044753C">
          <w:rPr>
            <w:rStyle w:val="Hyperlink"/>
            <w:rFonts w:cs="Arial"/>
            <w:szCs w:val="22"/>
          </w:rPr>
          <w:t> </w:t>
        </w:r>
        <w:r w:rsidR="00CA3763" w:rsidRPr="006406C1">
          <w:rPr>
            <w:rStyle w:val="Hyperlink"/>
            <w:rFonts w:cs="Arial"/>
            <w:szCs w:val="22"/>
          </w:rPr>
          <w:t>13.COM 16</w:t>
        </w:r>
      </w:hyperlink>
      <w:r w:rsidR="00C2293E">
        <w:rPr>
          <w:rStyle w:val="Hyperlink"/>
          <w:rFonts w:cs="Arial"/>
          <w:szCs w:val="22"/>
        </w:rPr>
        <w:t>)</w:t>
      </w:r>
      <w:r w:rsidRPr="006406C1">
        <w:rPr>
          <w:rFonts w:cs="Arial"/>
          <w:szCs w:val="22"/>
        </w:rPr>
        <w:t xml:space="preserve">. This allowed the Evaluation Body to initiate a written exchange when it considers that a short question and answer process with the submitting State might clarify whether the nomination met the criterion concerned. </w:t>
      </w:r>
      <w:r w:rsidR="00D97012" w:rsidRPr="004B0D54">
        <w:rPr>
          <w:rFonts w:cs="Arial"/>
          <w:szCs w:val="22"/>
        </w:rPr>
        <w:t xml:space="preserve">The fourteenth session of the Committee took </w:t>
      </w:r>
      <w:r w:rsidR="007E5FCD" w:rsidRPr="004B0D54">
        <w:rPr>
          <w:rFonts w:cs="Arial"/>
          <w:szCs w:val="22"/>
        </w:rPr>
        <w:t xml:space="preserve">stock of </w:t>
      </w:r>
      <w:r w:rsidR="00D97012" w:rsidRPr="004B0D54">
        <w:rPr>
          <w:rFonts w:cs="Arial"/>
          <w:szCs w:val="22"/>
        </w:rPr>
        <w:t xml:space="preserve">the experience with </w:t>
      </w:r>
      <w:r w:rsidR="007E5FCD" w:rsidRPr="004B0D54">
        <w:rPr>
          <w:rFonts w:cs="Arial"/>
          <w:szCs w:val="22"/>
        </w:rPr>
        <w:t xml:space="preserve">this provisional </w:t>
      </w:r>
      <w:r w:rsidR="00D97012" w:rsidRPr="004B0D54">
        <w:rPr>
          <w:rFonts w:cs="Arial"/>
          <w:szCs w:val="22"/>
        </w:rPr>
        <w:t xml:space="preserve">upstream </w:t>
      </w:r>
      <w:r w:rsidR="007E5FCD" w:rsidRPr="004B0D54">
        <w:rPr>
          <w:rFonts w:cs="Arial"/>
          <w:szCs w:val="22"/>
        </w:rPr>
        <w:t xml:space="preserve">dialogue </w:t>
      </w:r>
      <w:r w:rsidR="00464A4D" w:rsidRPr="004B0D54">
        <w:rPr>
          <w:rFonts w:cs="Arial"/>
          <w:szCs w:val="22"/>
        </w:rPr>
        <w:t>process</w:t>
      </w:r>
      <w:r w:rsidR="001E2B83" w:rsidRPr="004B0D54">
        <w:rPr>
          <w:rFonts w:cs="Arial"/>
          <w:szCs w:val="22"/>
        </w:rPr>
        <w:t>,</w:t>
      </w:r>
      <w:r w:rsidR="00464A4D" w:rsidRPr="004B0D54">
        <w:rPr>
          <w:rFonts w:cs="Arial"/>
          <w:szCs w:val="22"/>
        </w:rPr>
        <w:t xml:space="preserve"> </w:t>
      </w:r>
      <w:r w:rsidR="007E5FCD" w:rsidRPr="004B0D54">
        <w:rPr>
          <w:rFonts w:cs="Arial"/>
          <w:szCs w:val="22"/>
        </w:rPr>
        <w:t>with a view to presenting possible amendments to the Operational Directives to the eighth session of the General Assembly of the States Parties in 2020</w:t>
      </w:r>
      <w:r w:rsidR="00D97012" w:rsidRPr="00722641">
        <w:rPr>
          <w:rFonts w:cs="Arial"/>
          <w:szCs w:val="22"/>
        </w:rPr>
        <w:t>.</w:t>
      </w:r>
    </w:p>
    <w:p w14:paraId="5D32CCB1" w14:textId="203718C1" w:rsidR="00363DA0" w:rsidRPr="00C5187E" w:rsidRDefault="00B87483" w:rsidP="00EA135D">
      <w:pPr>
        <w:pStyle w:val="Marge"/>
        <w:numPr>
          <w:ilvl w:val="0"/>
          <w:numId w:val="19"/>
        </w:numPr>
        <w:tabs>
          <w:tab w:val="clear" w:pos="502"/>
          <w:tab w:val="num" w:pos="567"/>
        </w:tabs>
        <w:spacing w:after="120"/>
        <w:ind w:left="567" w:hanging="567"/>
        <w:rPr>
          <w:rFonts w:cs="Arial"/>
        </w:rPr>
      </w:pPr>
      <w:r w:rsidRPr="00C5187E">
        <w:rPr>
          <w:rFonts w:cs="Arial"/>
          <w:szCs w:val="22"/>
        </w:rPr>
        <w:t>There is n</w:t>
      </w:r>
      <w:r w:rsidR="00363DA0" w:rsidRPr="00C5187E">
        <w:rPr>
          <w:rFonts w:cs="Arial"/>
          <w:szCs w:val="22"/>
        </w:rPr>
        <w:t xml:space="preserve">o mechanism currently </w:t>
      </w:r>
      <w:r w:rsidRPr="00C5187E">
        <w:rPr>
          <w:rFonts w:cs="Arial"/>
          <w:szCs w:val="22"/>
        </w:rPr>
        <w:t xml:space="preserve">in place </w:t>
      </w:r>
      <w:r w:rsidR="00363DA0" w:rsidRPr="00C5187E">
        <w:rPr>
          <w:rFonts w:cs="Arial"/>
          <w:szCs w:val="22"/>
        </w:rPr>
        <w:t>allowing the Secretariat to bring to the attention of the Committee the increasing number of correspondence received concerning the changing conditions of the status of elements inscribed on the Lists of the Convention. At its thirteenth session, the Committee recognized the need to reflect on the follow-up of inscribed elements</w:t>
      </w:r>
      <w:r w:rsidR="00363DA0" w:rsidRPr="00C5187E">
        <w:rPr>
          <w:color w:val="000000"/>
        </w:rPr>
        <w:t xml:space="preserve"> as part of the broader reflection on the listing mechanisms of the Convention</w:t>
      </w:r>
      <w:r w:rsidR="00363DA0" w:rsidRPr="00C5187E">
        <w:rPr>
          <w:rFonts w:cs="Arial"/>
          <w:szCs w:val="22"/>
        </w:rPr>
        <w:t xml:space="preserve">. </w:t>
      </w:r>
      <w:bookmarkStart w:id="2" w:name="_Hlk27204985"/>
      <w:r w:rsidR="00363DA0" w:rsidRPr="00C5187E">
        <w:rPr>
          <w:rFonts w:cs="Arial"/>
          <w:szCs w:val="22"/>
        </w:rPr>
        <w:t>The fourteenth session of the Committee examined the case of the Aalst Carnival (Belgium), an element inscribed in 2010 on the Representative List</w:t>
      </w:r>
      <w:r w:rsidR="00140AD7" w:rsidRPr="00C5187E">
        <w:rPr>
          <w:rFonts w:cs="Arial"/>
          <w:szCs w:val="22"/>
        </w:rPr>
        <w:t>,</w:t>
      </w:r>
      <w:r w:rsidR="00363DA0" w:rsidRPr="00C5187E">
        <w:rPr>
          <w:rFonts w:cs="Arial"/>
          <w:szCs w:val="22"/>
        </w:rPr>
        <w:t xml:space="preserve"> at the request of the Bureau</w:t>
      </w:r>
      <w:r w:rsidR="00C01D05" w:rsidRPr="00C5187E">
        <w:rPr>
          <w:rFonts w:cs="Arial"/>
          <w:szCs w:val="22"/>
        </w:rPr>
        <w:t xml:space="preserve">. Having considered that the element no longer meets the inscription criteria R.1 and R.2 and taking note of </w:t>
      </w:r>
      <w:r w:rsidR="00E1678D" w:rsidRPr="00C5187E">
        <w:rPr>
          <w:rFonts w:cs="Arial"/>
          <w:szCs w:val="22"/>
        </w:rPr>
        <w:t>the</w:t>
      </w:r>
      <w:r w:rsidR="00C01D05" w:rsidRPr="00C5187E">
        <w:rPr>
          <w:rFonts w:cs="Arial"/>
          <w:szCs w:val="22"/>
        </w:rPr>
        <w:t xml:space="preserve"> </w:t>
      </w:r>
      <w:r w:rsidR="00C01D05" w:rsidRPr="00C5187E">
        <w:rPr>
          <w:rFonts w:cs="Arial"/>
          <w:i/>
          <w:szCs w:val="22"/>
        </w:rPr>
        <w:t xml:space="preserve">note </w:t>
      </w:r>
      <w:proofErr w:type="spellStart"/>
      <w:r w:rsidR="00C01D05" w:rsidRPr="00C5187E">
        <w:rPr>
          <w:rFonts w:cs="Arial"/>
          <w:i/>
          <w:szCs w:val="22"/>
        </w:rPr>
        <w:t>verbale</w:t>
      </w:r>
      <w:proofErr w:type="spellEnd"/>
      <w:r w:rsidR="00C01D05" w:rsidRPr="00C5187E">
        <w:rPr>
          <w:rFonts w:cs="Arial"/>
          <w:szCs w:val="22"/>
        </w:rPr>
        <w:t xml:space="preserve"> from the Kingdom of Belgium </w:t>
      </w:r>
      <w:r w:rsidR="00C01D05" w:rsidRPr="00C5187E">
        <w:rPr>
          <w:rFonts w:cs="Arial"/>
          <w:szCs w:val="22"/>
          <w:lang w:val="en-US"/>
        </w:rPr>
        <w:t>(dated 5 December, 2019)</w:t>
      </w:r>
      <w:r w:rsidR="00C01D05" w:rsidRPr="00C5187E">
        <w:rPr>
          <w:rFonts w:cs="Arial"/>
          <w:szCs w:val="22"/>
        </w:rPr>
        <w:t>, the Committee decided</w:t>
      </w:r>
      <w:r w:rsidR="00216A14" w:rsidRPr="00C5187E">
        <w:rPr>
          <w:rFonts w:cs="Arial"/>
          <w:szCs w:val="22"/>
        </w:rPr>
        <w:t xml:space="preserve"> to remove the element</w:t>
      </w:r>
      <w:r w:rsidR="00363DA0" w:rsidRPr="00C5187E">
        <w:rPr>
          <w:rFonts w:cs="Arial"/>
          <w:szCs w:val="22"/>
        </w:rPr>
        <w:t xml:space="preserve"> from that List in </w:t>
      </w:r>
      <w:r w:rsidRPr="00C5187E">
        <w:rPr>
          <w:rFonts w:cs="Arial"/>
          <w:szCs w:val="22"/>
        </w:rPr>
        <w:t>line with</w:t>
      </w:r>
      <w:r w:rsidR="00363DA0" w:rsidRPr="00C5187E">
        <w:rPr>
          <w:rFonts w:cs="Arial"/>
          <w:szCs w:val="22"/>
        </w:rPr>
        <w:t xml:space="preserve"> paragraph 40 of the Operational Directives.</w:t>
      </w:r>
    </w:p>
    <w:bookmarkEnd w:id="2"/>
    <w:p w14:paraId="76342BC1" w14:textId="35025F94" w:rsidR="0041309D" w:rsidRPr="00A91430" w:rsidRDefault="00C865F4" w:rsidP="00EA135D">
      <w:pPr>
        <w:pStyle w:val="Marge"/>
        <w:numPr>
          <w:ilvl w:val="0"/>
          <w:numId w:val="19"/>
        </w:numPr>
        <w:tabs>
          <w:tab w:val="clear" w:pos="502"/>
          <w:tab w:val="num" w:pos="567"/>
        </w:tabs>
        <w:spacing w:after="120"/>
        <w:ind w:left="567" w:hanging="567"/>
        <w:rPr>
          <w:rFonts w:cs="Arial"/>
          <w:szCs w:val="22"/>
        </w:rPr>
      </w:pPr>
      <w:r w:rsidRPr="00614378">
        <w:rPr>
          <w:rFonts w:cs="Arial"/>
          <w:szCs w:val="22"/>
        </w:rPr>
        <w:t>At the same time</w:t>
      </w:r>
      <w:r w:rsidR="000D6D64" w:rsidRPr="00614378">
        <w:rPr>
          <w:rFonts w:cs="Arial"/>
          <w:szCs w:val="22"/>
        </w:rPr>
        <w:t xml:space="preserve">, </w:t>
      </w:r>
      <w:r w:rsidR="00EA390C" w:rsidRPr="002300C4">
        <w:rPr>
          <w:rFonts w:cs="Arial"/>
          <w:szCs w:val="22"/>
        </w:rPr>
        <w:t xml:space="preserve">at its thirteenth session </w:t>
      </w:r>
      <w:r w:rsidR="000D6D64" w:rsidRPr="002300C4">
        <w:rPr>
          <w:rFonts w:cs="Arial"/>
          <w:szCs w:val="22"/>
        </w:rPr>
        <w:t xml:space="preserve">the Committee </w:t>
      </w:r>
      <w:r w:rsidRPr="002300C4">
        <w:rPr>
          <w:rFonts w:cs="Arial"/>
          <w:szCs w:val="22"/>
        </w:rPr>
        <w:t>launched a long-</w:t>
      </w:r>
      <w:r w:rsidR="000D6D64" w:rsidRPr="002300C4">
        <w:rPr>
          <w:rFonts w:cs="Arial"/>
          <w:szCs w:val="22"/>
        </w:rPr>
        <w:t>term</w:t>
      </w:r>
      <w:r w:rsidRPr="002300C4">
        <w:rPr>
          <w:rFonts w:cs="Arial"/>
          <w:szCs w:val="22"/>
        </w:rPr>
        <w:t xml:space="preserve"> reflection</w:t>
      </w:r>
      <w:r w:rsidR="00A41682" w:rsidRPr="002300C4">
        <w:rPr>
          <w:rFonts w:cs="Arial"/>
          <w:szCs w:val="22"/>
        </w:rPr>
        <w:t xml:space="preserve"> until</w:t>
      </w:r>
      <w:r w:rsidRPr="002300C4">
        <w:rPr>
          <w:rFonts w:cs="Arial"/>
          <w:szCs w:val="22"/>
        </w:rPr>
        <w:t xml:space="preserve"> 202</w:t>
      </w:r>
      <w:r w:rsidR="00E60E46" w:rsidRPr="002300C4">
        <w:rPr>
          <w:rFonts w:cs="Arial"/>
          <w:szCs w:val="22"/>
        </w:rPr>
        <w:t>2</w:t>
      </w:r>
      <w:r w:rsidRPr="00147BE7">
        <w:rPr>
          <w:rFonts w:cs="Arial"/>
          <w:szCs w:val="22"/>
        </w:rPr>
        <w:t xml:space="preserve"> on the </w:t>
      </w:r>
      <w:r w:rsidR="00EA390C" w:rsidRPr="00147BE7">
        <w:rPr>
          <w:rFonts w:cs="Arial"/>
          <w:szCs w:val="22"/>
        </w:rPr>
        <w:t>l</w:t>
      </w:r>
      <w:r w:rsidRPr="00147BE7">
        <w:rPr>
          <w:rFonts w:cs="Arial"/>
          <w:szCs w:val="22"/>
        </w:rPr>
        <w:t>isting mechanisms of the Convention</w:t>
      </w:r>
      <w:r w:rsidR="00EA390C" w:rsidRPr="00147BE7">
        <w:rPr>
          <w:rFonts w:cs="Arial"/>
          <w:szCs w:val="22"/>
        </w:rPr>
        <w:t>,</w:t>
      </w:r>
      <w:r w:rsidRPr="00147BE7">
        <w:rPr>
          <w:rFonts w:cs="Arial"/>
          <w:szCs w:val="22"/>
        </w:rPr>
        <w:t xml:space="preserve"> with the support of the Government of Japan. The overall aim of the initiative is to reflect, </w:t>
      </w:r>
      <w:r w:rsidRPr="00147BE7">
        <w:rPr>
          <w:rFonts w:cs="Arial"/>
          <w:i/>
          <w:szCs w:val="22"/>
        </w:rPr>
        <w:t>inter alia</w:t>
      </w:r>
      <w:r w:rsidRPr="00147BE7">
        <w:rPr>
          <w:rFonts w:cs="Arial"/>
          <w:szCs w:val="22"/>
        </w:rPr>
        <w:t xml:space="preserve">, on the nature and purposes of the Lists and the Register of the Convention as well as on the relevance of the various criteria for </w:t>
      </w:r>
      <w:r w:rsidRPr="00A91430">
        <w:rPr>
          <w:rFonts w:cs="Arial"/>
          <w:szCs w:val="22"/>
        </w:rPr>
        <w:t xml:space="preserve">each of these mechanisms. The review of the methodology for the evaluation and examination of nominations </w:t>
      </w:r>
      <w:r w:rsidR="00B87483" w:rsidRPr="008C06BA">
        <w:rPr>
          <w:rFonts w:cs="Arial"/>
          <w:szCs w:val="22"/>
        </w:rPr>
        <w:t xml:space="preserve">is </w:t>
      </w:r>
      <w:r w:rsidRPr="008C06BA">
        <w:rPr>
          <w:rFonts w:cs="Arial"/>
          <w:szCs w:val="22"/>
        </w:rPr>
        <w:t>an i</w:t>
      </w:r>
      <w:r w:rsidR="00A41682" w:rsidRPr="00CA10FB">
        <w:rPr>
          <w:rFonts w:cs="Arial"/>
          <w:szCs w:val="22"/>
        </w:rPr>
        <w:t>mportant part of the reflection</w:t>
      </w:r>
      <w:r w:rsidR="00EA390C" w:rsidRPr="00CA10FB">
        <w:rPr>
          <w:rFonts w:cs="Arial"/>
          <w:szCs w:val="22"/>
        </w:rPr>
        <w:t>.</w:t>
      </w:r>
      <w:r w:rsidR="00363DA0" w:rsidRPr="00CA10FB">
        <w:rPr>
          <w:rFonts w:cs="Arial"/>
          <w:szCs w:val="22"/>
        </w:rPr>
        <w:t xml:space="preserve"> </w:t>
      </w:r>
      <w:r w:rsidR="00363DA0" w:rsidRPr="004B0D54">
        <w:t xml:space="preserve">The fourteenth session of the Committee </w:t>
      </w:r>
      <w:r w:rsidR="00B87483" w:rsidRPr="004B0D54">
        <w:t>made progress in this regard</w:t>
      </w:r>
      <w:r w:rsidR="00363DA0" w:rsidRPr="004B0D54">
        <w:t>, by indicating a series of topics to be dealt with during the first expert meeting to be held in early 2020.</w:t>
      </w:r>
    </w:p>
    <w:p w14:paraId="4A7F93B5" w14:textId="0FE4BE77" w:rsidR="00305C1A" w:rsidRPr="00C5187E" w:rsidRDefault="00251DF3" w:rsidP="00EA135D">
      <w:pPr>
        <w:pStyle w:val="Marge"/>
        <w:numPr>
          <w:ilvl w:val="0"/>
          <w:numId w:val="19"/>
        </w:numPr>
        <w:tabs>
          <w:tab w:val="clear" w:pos="502"/>
          <w:tab w:val="num" w:pos="567"/>
        </w:tabs>
        <w:spacing w:after="120"/>
        <w:ind w:left="567" w:hanging="567"/>
        <w:rPr>
          <w:rFonts w:cs="Arial"/>
          <w:szCs w:val="22"/>
        </w:rPr>
      </w:pPr>
      <w:r w:rsidRPr="00C5187E">
        <w:rPr>
          <w:rFonts w:cs="Arial"/>
          <w:szCs w:val="22"/>
        </w:rPr>
        <w:lastRenderedPageBreak/>
        <w:t xml:space="preserve">The Committee (for requests greater than US$100,000) or the Bureau (for requests up to US$100,000 and emergency requests) approved a total of </w:t>
      </w:r>
      <w:r w:rsidR="00CA10FB" w:rsidRPr="00C5187E">
        <w:rPr>
          <w:rFonts w:cs="Arial"/>
          <w:szCs w:val="22"/>
        </w:rPr>
        <w:t>26</w:t>
      </w:r>
      <w:r w:rsidRPr="00C5187E">
        <w:rPr>
          <w:rFonts w:cs="Arial"/>
          <w:szCs w:val="22"/>
        </w:rPr>
        <w:t xml:space="preserve"> of </w:t>
      </w:r>
      <w:r w:rsidR="00CA10FB" w:rsidRPr="00C5187E">
        <w:rPr>
          <w:rFonts w:cs="Arial"/>
          <w:szCs w:val="22"/>
        </w:rPr>
        <w:t>37</w:t>
      </w:r>
      <w:r w:rsidRPr="00C5187E">
        <w:rPr>
          <w:rFonts w:cs="Arial"/>
          <w:szCs w:val="22"/>
        </w:rPr>
        <w:t xml:space="preserve"> requests for International Assistance</w:t>
      </w:r>
      <w:r w:rsidR="00EA390C" w:rsidRPr="00C5187E">
        <w:rPr>
          <w:rFonts w:cs="Arial"/>
          <w:szCs w:val="22"/>
        </w:rPr>
        <w:t>,</w:t>
      </w:r>
      <w:r w:rsidRPr="00C5187E">
        <w:rPr>
          <w:rFonts w:cs="Arial"/>
          <w:szCs w:val="22"/>
        </w:rPr>
        <w:t xml:space="preserve"> for a total amount of </w:t>
      </w:r>
      <w:r w:rsidR="0044753C" w:rsidRPr="00C5187E">
        <w:rPr>
          <w:rFonts w:cs="Arial"/>
          <w:szCs w:val="22"/>
        </w:rPr>
        <w:t>US$</w:t>
      </w:r>
      <w:r w:rsidR="00216A14" w:rsidRPr="00C5187E">
        <w:rPr>
          <w:rFonts w:cs="Arial"/>
          <w:szCs w:val="22"/>
        </w:rPr>
        <w:t>2,451,208</w:t>
      </w:r>
      <w:r w:rsidR="00EA390C" w:rsidRPr="00C5187E">
        <w:rPr>
          <w:rFonts w:cs="Arial"/>
          <w:szCs w:val="22"/>
        </w:rPr>
        <w:t xml:space="preserve">, </w:t>
      </w:r>
      <w:r w:rsidRPr="00C5187E">
        <w:rPr>
          <w:rFonts w:cs="Arial"/>
          <w:szCs w:val="22"/>
        </w:rPr>
        <w:t>during the reporting period (see also document</w:t>
      </w:r>
      <w:r w:rsidR="00EA390C" w:rsidRPr="00C5187E">
        <w:rPr>
          <w:rFonts w:cs="Arial"/>
          <w:szCs w:val="22"/>
        </w:rPr>
        <w:t>s</w:t>
      </w:r>
      <w:r w:rsidRPr="00C5187E">
        <w:rPr>
          <w:rFonts w:cs="Arial"/>
          <w:szCs w:val="22"/>
        </w:rPr>
        <w:t xml:space="preserve"> </w:t>
      </w:r>
      <w:hyperlink r:id="rId39" w:history="1">
        <w:r w:rsidR="00EA779E" w:rsidRPr="00C5187E">
          <w:rPr>
            <w:rStyle w:val="Hyperlink"/>
            <w:rFonts w:cs="Arial"/>
            <w:szCs w:val="22"/>
          </w:rPr>
          <w:t>ITH</w:t>
        </w:r>
        <w:r w:rsidR="00311421" w:rsidRPr="00C5187E">
          <w:rPr>
            <w:rStyle w:val="Hyperlink"/>
            <w:rFonts w:cs="Arial"/>
            <w:szCs w:val="22"/>
          </w:rPr>
          <w:t>/1</w:t>
        </w:r>
        <w:r w:rsidR="005064D1" w:rsidRPr="00C5187E">
          <w:rPr>
            <w:rStyle w:val="Hyperlink"/>
            <w:rFonts w:cs="Arial"/>
            <w:szCs w:val="22"/>
          </w:rPr>
          <w:t>8</w:t>
        </w:r>
        <w:r w:rsidR="00311421" w:rsidRPr="00C5187E">
          <w:rPr>
            <w:rStyle w:val="Hyperlink"/>
            <w:rFonts w:cs="Arial"/>
            <w:szCs w:val="22"/>
          </w:rPr>
          <w:t>/13.COM</w:t>
        </w:r>
        <w:r w:rsidR="00516D71" w:rsidRPr="00C5187E">
          <w:rPr>
            <w:rStyle w:val="Hyperlink"/>
            <w:rFonts w:cs="Arial"/>
            <w:szCs w:val="22"/>
          </w:rPr>
          <w:t>/7.c</w:t>
        </w:r>
      </w:hyperlink>
      <w:r w:rsidR="00311421" w:rsidRPr="00C5187E">
        <w:rPr>
          <w:rFonts w:cs="Arial"/>
          <w:szCs w:val="22"/>
        </w:rPr>
        <w:t xml:space="preserve"> and </w:t>
      </w:r>
      <w:hyperlink r:id="rId40" w:history="1">
        <w:r w:rsidRPr="00C5187E">
          <w:rPr>
            <w:rStyle w:val="Hyperlink"/>
            <w:rFonts w:cs="Arial"/>
            <w:szCs w:val="22"/>
          </w:rPr>
          <w:t>LHE/19/14.COM/</w:t>
        </w:r>
        <w:r w:rsidR="00AB5525" w:rsidRPr="00C5187E">
          <w:rPr>
            <w:rStyle w:val="Hyperlink"/>
            <w:rFonts w:cs="Arial"/>
            <w:szCs w:val="22"/>
          </w:rPr>
          <w:t>9</w:t>
        </w:r>
        <w:r w:rsidRPr="00C5187E">
          <w:rPr>
            <w:rStyle w:val="Hyperlink"/>
            <w:rFonts w:cs="Arial"/>
            <w:szCs w:val="22"/>
          </w:rPr>
          <w:t>.</w:t>
        </w:r>
        <w:r w:rsidR="00AB5525" w:rsidRPr="00C5187E">
          <w:rPr>
            <w:rStyle w:val="Hyperlink"/>
            <w:rFonts w:cs="Arial"/>
            <w:szCs w:val="22"/>
          </w:rPr>
          <w:t>b</w:t>
        </w:r>
      </w:hyperlink>
      <w:r w:rsidRPr="00C5187E">
        <w:rPr>
          <w:rFonts w:cs="Arial"/>
          <w:szCs w:val="22"/>
        </w:rPr>
        <w:t xml:space="preserve"> for the report on the use of International Assistance by States Parties). A total of</w:t>
      </w:r>
      <w:r w:rsidR="00CA10FB" w:rsidRPr="00C5187E">
        <w:rPr>
          <w:rFonts w:cs="Arial"/>
          <w:szCs w:val="22"/>
        </w:rPr>
        <w:t xml:space="preserve"> 21</w:t>
      </w:r>
      <w:r w:rsidRPr="00C5187E">
        <w:rPr>
          <w:rFonts w:cs="Arial"/>
          <w:szCs w:val="22"/>
        </w:rPr>
        <w:t xml:space="preserve"> countries received financial assistance from the Fund during the reporting period. As reported to the fourteenth session of the Committee (</w:t>
      </w:r>
      <w:r w:rsidRPr="00C5187E">
        <w:rPr>
          <w:rFonts w:cs="Arial"/>
          <w:snapToGrid/>
          <w:szCs w:val="22"/>
        </w:rPr>
        <w:t>document</w:t>
      </w:r>
      <w:r w:rsidR="001E2B83" w:rsidRPr="00C5187E">
        <w:rPr>
          <w:rFonts w:cs="Arial"/>
          <w:snapToGrid/>
          <w:szCs w:val="22"/>
        </w:rPr>
        <w:t>s</w:t>
      </w:r>
      <w:r w:rsidRPr="00C5187E">
        <w:rPr>
          <w:rFonts w:cs="Arial"/>
          <w:snapToGrid/>
          <w:szCs w:val="22"/>
        </w:rPr>
        <w:t xml:space="preserve"> </w:t>
      </w:r>
      <w:hyperlink r:id="rId41" w:history="1">
        <w:r w:rsidRPr="00C5187E">
          <w:rPr>
            <w:rStyle w:val="Hyperlink"/>
            <w:rFonts w:cs="Arial"/>
            <w:snapToGrid/>
            <w:szCs w:val="22"/>
          </w:rPr>
          <w:t>LHE</w:t>
        </w:r>
        <w:r w:rsidRPr="00C5187E">
          <w:rPr>
            <w:rStyle w:val="Hyperlink"/>
            <w:rFonts w:cs="Arial"/>
            <w:bCs/>
            <w:snapToGrid/>
            <w:szCs w:val="22"/>
          </w:rPr>
          <w:t>/19/14.COM/7</w:t>
        </w:r>
      </w:hyperlink>
      <w:r w:rsidRPr="00C5187E">
        <w:rPr>
          <w:rFonts w:cs="Arial"/>
          <w:bCs/>
          <w:snapToGrid/>
          <w:szCs w:val="22"/>
        </w:rPr>
        <w:t xml:space="preserve"> and </w:t>
      </w:r>
      <w:hyperlink r:id="rId42" w:history="1">
        <w:r w:rsidRPr="00C5187E">
          <w:rPr>
            <w:rStyle w:val="Hyperlink"/>
            <w:rFonts w:cs="Arial"/>
            <w:bCs/>
            <w:snapToGrid/>
            <w:szCs w:val="22"/>
          </w:rPr>
          <w:t>LHE/19/14.COM/INF.7</w:t>
        </w:r>
      </w:hyperlink>
      <w:r w:rsidRPr="00C5187E">
        <w:rPr>
          <w:rFonts w:cs="Arial"/>
          <w:bCs/>
          <w:snapToGrid/>
          <w:szCs w:val="22"/>
        </w:rPr>
        <w:t>)</w:t>
      </w:r>
      <w:r w:rsidR="00EA390C" w:rsidRPr="00C5187E">
        <w:rPr>
          <w:rFonts w:cs="Arial"/>
          <w:bCs/>
          <w:snapToGrid/>
          <w:szCs w:val="22"/>
        </w:rPr>
        <w:t>,</w:t>
      </w:r>
      <w:r w:rsidRPr="00C5187E">
        <w:rPr>
          <w:rFonts w:cs="Arial"/>
          <w:bCs/>
          <w:snapToGrid/>
          <w:szCs w:val="22"/>
        </w:rPr>
        <w:t xml:space="preserve"> </w:t>
      </w:r>
      <w:r w:rsidRPr="00C5187E">
        <w:rPr>
          <w:rFonts w:cs="Arial"/>
          <w:szCs w:val="22"/>
        </w:rPr>
        <w:t xml:space="preserve">States Parties </w:t>
      </w:r>
      <w:r w:rsidR="00A41682" w:rsidRPr="00C5187E">
        <w:rPr>
          <w:rFonts w:cs="Arial"/>
          <w:szCs w:val="22"/>
        </w:rPr>
        <w:t xml:space="preserve">have </w:t>
      </w:r>
      <w:r w:rsidR="001E2B83" w:rsidRPr="00C5187E">
        <w:rPr>
          <w:rFonts w:cs="Arial"/>
          <w:szCs w:val="22"/>
        </w:rPr>
        <w:t>come</w:t>
      </w:r>
      <w:r w:rsidR="00A41682" w:rsidRPr="00C5187E">
        <w:rPr>
          <w:rFonts w:cs="Arial"/>
          <w:szCs w:val="22"/>
        </w:rPr>
        <w:t xml:space="preserve"> to </w:t>
      </w:r>
      <w:r w:rsidRPr="00C5187E">
        <w:rPr>
          <w:rFonts w:cs="Arial"/>
          <w:szCs w:val="22"/>
        </w:rPr>
        <w:t xml:space="preserve">make significantly </w:t>
      </w:r>
      <w:r w:rsidR="00EA390C" w:rsidRPr="00C5187E">
        <w:rPr>
          <w:rFonts w:cs="Arial"/>
          <w:szCs w:val="22"/>
        </w:rPr>
        <w:t>greater</w:t>
      </w:r>
      <w:r w:rsidRPr="00C5187E">
        <w:rPr>
          <w:rFonts w:cs="Arial"/>
          <w:szCs w:val="22"/>
        </w:rPr>
        <w:t xml:space="preserve"> use of the International Assistance mechanisms.</w:t>
      </w:r>
    </w:p>
    <w:sectPr w:rsidR="00305C1A" w:rsidRPr="00C5187E" w:rsidSect="00E74E32">
      <w:headerReference w:type="even" r:id="rId43"/>
      <w:headerReference w:type="default" r:id="rId44"/>
      <w:headerReference w:type="first" r:id="rId4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ED047" w14:textId="77777777" w:rsidR="0039119F" w:rsidRDefault="0039119F" w:rsidP="00655736">
      <w:r>
        <w:separator/>
      </w:r>
    </w:p>
    <w:p w14:paraId="0609290F" w14:textId="77777777" w:rsidR="0039119F" w:rsidRDefault="0039119F"/>
    <w:p w14:paraId="2878E244" w14:textId="77777777" w:rsidR="0039119F" w:rsidRDefault="0039119F" w:rsidP="002E58D4"/>
    <w:p w14:paraId="408D1EEC" w14:textId="77777777" w:rsidR="0039119F" w:rsidRDefault="0039119F" w:rsidP="002E58D4"/>
    <w:p w14:paraId="00E823DF" w14:textId="77777777" w:rsidR="0039119F" w:rsidRDefault="0039119F" w:rsidP="002E58D4"/>
  </w:endnote>
  <w:endnote w:type="continuationSeparator" w:id="0">
    <w:p w14:paraId="08B10B1D" w14:textId="77777777" w:rsidR="0039119F" w:rsidRDefault="0039119F" w:rsidP="00655736">
      <w:r>
        <w:continuationSeparator/>
      </w:r>
    </w:p>
    <w:p w14:paraId="0B0403F9" w14:textId="77777777" w:rsidR="0039119F" w:rsidRDefault="0039119F"/>
    <w:p w14:paraId="34190FEB" w14:textId="77777777" w:rsidR="0039119F" w:rsidRDefault="0039119F" w:rsidP="002E58D4"/>
    <w:p w14:paraId="40848782" w14:textId="77777777" w:rsidR="0039119F" w:rsidRDefault="0039119F" w:rsidP="002E58D4"/>
    <w:p w14:paraId="374F5799" w14:textId="77777777" w:rsidR="0039119F" w:rsidRDefault="0039119F"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25A05" w14:textId="77777777" w:rsidR="0039119F" w:rsidRDefault="0039119F" w:rsidP="00655736">
      <w:r>
        <w:separator/>
      </w:r>
    </w:p>
    <w:p w14:paraId="26D442D1" w14:textId="77777777" w:rsidR="0039119F" w:rsidRDefault="0039119F"/>
    <w:p w14:paraId="38140CF7" w14:textId="77777777" w:rsidR="0039119F" w:rsidRDefault="0039119F" w:rsidP="002E58D4"/>
    <w:p w14:paraId="74422CAE" w14:textId="77777777" w:rsidR="0039119F" w:rsidRDefault="0039119F" w:rsidP="002E58D4"/>
    <w:p w14:paraId="29B8FDF5" w14:textId="77777777" w:rsidR="0039119F" w:rsidRDefault="0039119F" w:rsidP="002E58D4"/>
  </w:footnote>
  <w:footnote w:type="continuationSeparator" w:id="0">
    <w:p w14:paraId="6C884851" w14:textId="77777777" w:rsidR="0039119F" w:rsidRDefault="0039119F" w:rsidP="00655736">
      <w:r>
        <w:continuationSeparator/>
      </w:r>
    </w:p>
    <w:p w14:paraId="434B2D35" w14:textId="77777777" w:rsidR="0039119F" w:rsidRDefault="0039119F"/>
    <w:p w14:paraId="361225BE" w14:textId="77777777" w:rsidR="0039119F" w:rsidRDefault="0039119F" w:rsidP="002E58D4"/>
    <w:p w14:paraId="713EBB8B" w14:textId="77777777" w:rsidR="0039119F" w:rsidRDefault="0039119F" w:rsidP="002E58D4"/>
    <w:p w14:paraId="0EADB551" w14:textId="77777777" w:rsidR="0039119F" w:rsidRDefault="0039119F"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835D" w14:textId="5B4FDFD5" w:rsidR="00C42892" w:rsidRPr="002E58D4" w:rsidRDefault="00C42892" w:rsidP="00461168">
    <w:pPr>
      <w:pStyle w:val="Header"/>
      <w:rPr>
        <w:rFonts w:ascii="Arial" w:hAnsi="Arial" w:cs="Arial"/>
      </w:rPr>
    </w:pPr>
    <w:r>
      <w:rPr>
        <w:rFonts w:ascii="Arial" w:hAnsi="Arial"/>
        <w:sz w:val="20"/>
        <w:szCs w:val="20"/>
      </w:rPr>
      <w:t>LHE/19/14.COM/ 5</w:t>
    </w:r>
    <w:r w:rsidR="001904BF">
      <w:rPr>
        <w:rFonts w:ascii="Arial" w:hAnsi="Arial"/>
        <w:sz w:val="20"/>
        <w:szCs w:val="20"/>
      </w:rPr>
      <w:t>.</w:t>
    </w:r>
    <w:r>
      <w:rPr>
        <w:rFonts w:ascii="Arial" w:hAnsi="Arial"/>
        <w:sz w:val="20"/>
        <w:szCs w:val="20"/>
      </w:rPr>
      <w:t>a</w:t>
    </w:r>
    <w:r w:rsidR="004B0D54">
      <w:rPr>
        <w:rFonts w:ascii="Arial" w:hAnsi="Arial"/>
        <w:sz w:val="20"/>
        <w:szCs w:val="20"/>
      </w:rPr>
      <w:t xml:space="preserve"> Rev.</w:t>
    </w:r>
    <w:r>
      <w:rPr>
        <w:rFonts w:ascii="Arial" w:hAnsi="Arial"/>
        <w:sz w:val="20"/>
        <w:szCs w:val="20"/>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rPr>
      <w:instrText xml:space="preserve"> </w:instrText>
    </w:r>
    <w:r>
      <w:rPr>
        <w:rStyle w:val="PageNumber"/>
        <w:rFonts w:ascii="Arial" w:hAnsi="Arial" w:cs="Arial"/>
        <w:sz w:val="20"/>
        <w:szCs w:val="20"/>
      </w:rPr>
      <w:instrText>PAGE</w:instrText>
    </w:r>
    <w:r w:rsidRPr="00EF563B">
      <w:rPr>
        <w:rStyle w:val="PageNumber"/>
        <w:rFonts w:ascii="Arial" w:hAnsi="Arial" w:cs="Arial"/>
        <w:sz w:val="20"/>
        <w:szCs w:val="20"/>
      </w:rPr>
      <w:instrText xml:space="preserve"> </w:instrText>
    </w:r>
    <w:r w:rsidRPr="00EF563B">
      <w:rPr>
        <w:rStyle w:val="PageNumber"/>
        <w:rFonts w:ascii="Arial" w:hAnsi="Arial" w:cs="Arial"/>
        <w:sz w:val="20"/>
        <w:szCs w:val="20"/>
      </w:rPr>
      <w:fldChar w:fldCharType="separate"/>
    </w:r>
    <w:r w:rsidR="004E3D5B">
      <w:rPr>
        <w:rStyle w:val="PageNumber"/>
        <w:rFonts w:ascii="Arial" w:hAnsi="Arial" w:cs="Arial"/>
        <w:noProof/>
        <w:sz w:val="20"/>
        <w:szCs w:val="20"/>
      </w:rPr>
      <w:t>8</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5E16" w14:textId="5CC0E2E6" w:rsidR="00C42892" w:rsidRPr="00BC3420" w:rsidRDefault="00C42892" w:rsidP="00461168">
    <w:pPr>
      <w:pStyle w:val="Header"/>
      <w:jc w:val="right"/>
      <w:rPr>
        <w:rFonts w:ascii="Arial" w:hAnsi="Arial" w:cs="Arial"/>
      </w:rPr>
    </w:pPr>
    <w:r>
      <w:rPr>
        <w:rFonts w:ascii="Arial" w:hAnsi="Arial"/>
        <w:sz w:val="20"/>
        <w:szCs w:val="20"/>
      </w:rPr>
      <w:t>LHE/19/14.COM/5</w:t>
    </w:r>
    <w:r w:rsidR="001904BF">
      <w:rPr>
        <w:rFonts w:ascii="Arial" w:hAnsi="Arial"/>
        <w:sz w:val="20"/>
        <w:szCs w:val="20"/>
      </w:rPr>
      <w:t>.</w:t>
    </w:r>
    <w:r>
      <w:rPr>
        <w:rFonts w:ascii="Arial" w:hAnsi="Arial"/>
        <w:sz w:val="20"/>
        <w:szCs w:val="20"/>
      </w:rPr>
      <w:t>a</w:t>
    </w:r>
    <w:r w:rsidR="00155B51">
      <w:rPr>
        <w:rFonts w:ascii="Arial" w:hAnsi="Arial"/>
        <w:sz w:val="20"/>
        <w:szCs w:val="20"/>
      </w:rPr>
      <w:t xml:space="preserve"> Rev.</w:t>
    </w:r>
    <w:r>
      <w:rPr>
        <w:rFonts w:ascii="Arial" w:hAnsi="Arial"/>
        <w:sz w:val="20"/>
        <w:szCs w:val="20"/>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rPr>
      <w:instrText xml:space="preserve"> </w:instrText>
    </w:r>
    <w:r>
      <w:rPr>
        <w:rStyle w:val="PageNumber"/>
        <w:rFonts w:ascii="Arial" w:hAnsi="Arial" w:cs="Arial"/>
        <w:sz w:val="20"/>
        <w:szCs w:val="20"/>
      </w:rPr>
      <w:instrText>PAGE</w:instrText>
    </w:r>
    <w:r w:rsidRPr="00EF563B">
      <w:rPr>
        <w:rStyle w:val="PageNumber"/>
        <w:rFonts w:ascii="Arial" w:hAnsi="Arial" w:cs="Arial"/>
        <w:sz w:val="20"/>
        <w:szCs w:val="20"/>
      </w:rPr>
      <w:instrText xml:space="preserve"> </w:instrText>
    </w:r>
    <w:r w:rsidRPr="00EF563B">
      <w:rPr>
        <w:rStyle w:val="PageNumber"/>
        <w:rFonts w:ascii="Arial" w:hAnsi="Arial" w:cs="Arial"/>
        <w:sz w:val="20"/>
        <w:szCs w:val="20"/>
      </w:rPr>
      <w:fldChar w:fldCharType="separate"/>
    </w:r>
    <w:r w:rsidR="004E3D5B">
      <w:rPr>
        <w:rStyle w:val="PageNumber"/>
        <w:rFonts w:ascii="Arial" w:hAnsi="Arial" w:cs="Arial"/>
        <w:noProof/>
        <w:sz w:val="20"/>
        <w:szCs w:val="20"/>
      </w:rPr>
      <w:t>7</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544C" w14:textId="0BD13004" w:rsidR="00C42892" w:rsidRPr="008B64DF" w:rsidRDefault="005B05C8">
    <w:pPr>
      <w:pStyle w:val="Header"/>
      <w:rPr>
        <w:sz w:val="22"/>
        <w:szCs w:val="22"/>
      </w:rPr>
    </w:pPr>
    <w:r>
      <w:rPr>
        <w:noProof/>
        <w:lang w:val="fr-FR"/>
      </w:rPr>
      <w:drawing>
        <wp:anchor distT="0" distB="0" distL="114300" distR="114300" simplePos="0" relativeHeight="251659776" behindDoc="0" locked="0" layoutInCell="1" allowOverlap="1" wp14:anchorId="6D58CC02" wp14:editId="3BD083A1">
          <wp:simplePos x="0" y="0"/>
          <wp:positionH relativeFrom="column">
            <wp:posOffset>-577850</wp:posOffset>
          </wp:positionH>
          <wp:positionV relativeFrom="paragraph">
            <wp:posOffset>5080</wp:posOffset>
          </wp:positionV>
          <wp:extent cx="2228215" cy="1367790"/>
          <wp:effectExtent l="0" t="0" r="635" b="3810"/>
          <wp:wrapNone/>
          <wp:docPr id="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99E63" w14:textId="77777777" w:rsidR="00C42892" w:rsidRPr="008F09EC" w:rsidRDefault="00C42892" w:rsidP="008F09EC">
    <w:pPr>
      <w:pStyle w:val="Header"/>
      <w:spacing w:after="520"/>
      <w:jc w:val="right"/>
      <w:rPr>
        <w:rFonts w:ascii="Arial" w:hAnsi="Arial" w:cs="Arial"/>
        <w:b/>
        <w:sz w:val="44"/>
        <w:szCs w:val="44"/>
      </w:rPr>
    </w:pPr>
    <w:r>
      <w:rPr>
        <w:rFonts w:ascii="Arial" w:hAnsi="Arial"/>
        <w:b/>
        <w:sz w:val="44"/>
        <w:szCs w:val="44"/>
      </w:rPr>
      <w:t>14 COM</w:t>
    </w:r>
  </w:p>
  <w:p w14:paraId="7C9DE6F8" w14:textId="30AFD7BC" w:rsidR="00C42892" w:rsidRPr="005158FF" w:rsidRDefault="00C42892" w:rsidP="008F09EC">
    <w:pPr>
      <w:jc w:val="right"/>
      <w:rPr>
        <w:rFonts w:ascii="Arial" w:hAnsi="Arial" w:cs="Arial"/>
        <w:b/>
        <w:sz w:val="22"/>
        <w:szCs w:val="22"/>
      </w:rPr>
    </w:pPr>
    <w:r>
      <w:rPr>
        <w:rFonts w:ascii="Arial" w:hAnsi="Arial"/>
        <w:b/>
        <w:sz w:val="22"/>
        <w:szCs w:val="22"/>
      </w:rPr>
      <w:t>LHE/19/14.COM/5</w:t>
    </w:r>
    <w:r w:rsidR="001904BF">
      <w:rPr>
        <w:rFonts w:ascii="Arial" w:hAnsi="Arial"/>
        <w:b/>
        <w:sz w:val="22"/>
        <w:szCs w:val="22"/>
      </w:rPr>
      <w:t>.</w:t>
    </w:r>
    <w:r>
      <w:rPr>
        <w:rFonts w:ascii="Arial" w:hAnsi="Arial"/>
        <w:b/>
        <w:sz w:val="22"/>
        <w:szCs w:val="22"/>
      </w:rPr>
      <w:t>a</w:t>
    </w:r>
    <w:r w:rsidR="00155B51">
      <w:rPr>
        <w:rFonts w:ascii="Arial" w:hAnsi="Arial"/>
        <w:b/>
        <w:sz w:val="22"/>
        <w:szCs w:val="22"/>
      </w:rPr>
      <w:t xml:space="preserve"> Rev.</w:t>
    </w:r>
  </w:p>
  <w:p w14:paraId="50B2C256" w14:textId="040D8244" w:rsidR="00C42892" w:rsidRPr="005158FF" w:rsidRDefault="00155B51" w:rsidP="007E60C6">
    <w:pPr>
      <w:jc w:val="right"/>
      <w:rPr>
        <w:rFonts w:ascii="Arial" w:eastAsiaTheme="minorEastAsia" w:hAnsi="Arial" w:cs="Arial"/>
        <w:b/>
        <w:sz w:val="22"/>
        <w:szCs w:val="22"/>
      </w:rPr>
    </w:pPr>
    <w:r w:rsidRPr="00CA7D7A">
      <w:rPr>
        <w:rFonts w:ascii="Arial" w:hAnsi="Arial" w:cs="Arial"/>
        <w:b/>
        <w:sz w:val="22"/>
        <w:szCs w:val="22"/>
      </w:rPr>
      <w:t>Bogotá</w:t>
    </w:r>
    <w:r w:rsidR="00C42892" w:rsidRPr="00F77F6B">
      <w:rPr>
        <w:rFonts w:ascii="Arial" w:hAnsi="Arial"/>
        <w:b/>
        <w:sz w:val="22"/>
        <w:szCs w:val="22"/>
      </w:rPr>
      <w:t xml:space="preserve">, </w:t>
    </w:r>
    <w:r>
      <w:rPr>
        <w:rFonts w:ascii="Arial" w:hAnsi="Arial"/>
        <w:b/>
        <w:sz w:val="22"/>
        <w:szCs w:val="22"/>
      </w:rPr>
      <w:t>14</w:t>
    </w:r>
    <w:r w:rsidR="00871927" w:rsidRPr="00F77F6B">
      <w:rPr>
        <w:rFonts w:ascii="Arial" w:hAnsi="Arial"/>
        <w:b/>
        <w:sz w:val="22"/>
        <w:szCs w:val="22"/>
      </w:rPr>
      <w:t xml:space="preserve"> </w:t>
    </w:r>
    <w:r>
      <w:rPr>
        <w:rFonts w:ascii="Arial" w:hAnsi="Arial"/>
        <w:b/>
        <w:sz w:val="22"/>
        <w:szCs w:val="22"/>
      </w:rPr>
      <w:t>Dec</w:t>
    </w:r>
    <w:r w:rsidR="00871927" w:rsidRPr="00F77F6B">
      <w:rPr>
        <w:rFonts w:ascii="Arial" w:hAnsi="Arial"/>
        <w:b/>
        <w:sz w:val="22"/>
        <w:szCs w:val="22"/>
      </w:rPr>
      <w:t xml:space="preserve">ember </w:t>
    </w:r>
    <w:r w:rsidR="00C42892" w:rsidRPr="00F77F6B">
      <w:rPr>
        <w:rFonts w:ascii="Arial" w:hAnsi="Arial"/>
        <w:b/>
        <w:sz w:val="22"/>
        <w:szCs w:val="22"/>
      </w:rPr>
      <w:t>2019</w:t>
    </w:r>
  </w:p>
  <w:p w14:paraId="74D63C06" w14:textId="733238D3" w:rsidR="00C42892" w:rsidRPr="0020150F" w:rsidRDefault="00C42892" w:rsidP="007E60C6">
    <w:pPr>
      <w:jc w:val="right"/>
      <w:rPr>
        <w:rFonts w:ascii="Arial" w:hAnsi="Arial" w:cs="Arial"/>
        <w:b/>
        <w:sz w:val="22"/>
        <w:szCs w:val="22"/>
      </w:rPr>
    </w:pPr>
    <w:r>
      <w:rPr>
        <w:rFonts w:ascii="Arial" w:hAnsi="Arial"/>
        <w:b/>
        <w:sz w:val="22"/>
        <w:szCs w:val="22"/>
      </w:rPr>
      <w:t xml:space="preserve">Original: </w:t>
    </w:r>
    <w:r w:rsidR="007D632C">
      <w:rPr>
        <w:rFonts w:ascii="Arial" w:hAnsi="Arial"/>
        <w:b/>
        <w:sz w:val="22"/>
        <w:szCs w:val="22"/>
      </w:rPr>
      <w:t>English</w:t>
    </w:r>
  </w:p>
  <w:p w14:paraId="59C9A9C4" w14:textId="77777777" w:rsidR="00C42892" w:rsidRPr="008B64DF" w:rsidRDefault="00C4289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CC2477"/>
    <w:multiLevelType w:val="hybridMultilevel"/>
    <w:tmpl w:val="51048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125944"/>
    <w:multiLevelType w:val="hybridMultilevel"/>
    <w:tmpl w:val="8BA26B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B401E05"/>
    <w:multiLevelType w:val="hybridMultilevel"/>
    <w:tmpl w:val="55563DA0"/>
    <w:lvl w:ilvl="0" w:tplc="86807812">
      <w:start w:val="1"/>
      <w:numFmt w:val="decimal"/>
      <w:lvlText w:val="%1."/>
      <w:lvlJc w:val="left"/>
      <w:pPr>
        <w:ind w:left="1080" w:hanging="360"/>
      </w:pPr>
      <w:rPr>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5EA28CF"/>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B35019"/>
    <w:multiLevelType w:val="multilevel"/>
    <w:tmpl w:val="F4A297D4"/>
    <w:lvl w:ilvl="0">
      <w:start w:val="1"/>
      <w:numFmt w:val="decimal"/>
      <w:lvlText w:val="%1."/>
      <w:lvlJc w:val="left"/>
      <w:pPr>
        <w:tabs>
          <w:tab w:val="num" w:pos="502"/>
        </w:tabs>
        <w:ind w:left="502"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0C38EE"/>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8E51B9"/>
    <w:multiLevelType w:val="hybridMultilevel"/>
    <w:tmpl w:val="19D0B7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CAB7CDD"/>
    <w:multiLevelType w:val="multilevel"/>
    <w:tmpl w:val="BEE007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SimSu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15:restartNumberingAfterBreak="0">
    <w:nsid w:val="61A66CD2"/>
    <w:multiLevelType w:val="hybridMultilevel"/>
    <w:tmpl w:val="E4E02C4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967AB"/>
    <w:multiLevelType w:val="hybridMultilevel"/>
    <w:tmpl w:val="BCDE3CF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75E7005D"/>
    <w:multiLevelType w:val="hybridMultilevel"/>
    <w:tmpl w:val="C6902EA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16"/>
  </w:num>
  <w:num w:numId="3">
    <w:abstractNumId w:val="7"/>
  </w:num>
  <w:num w:numId="4">
    <w:abstractNumId w:val="32"/>
  </w:num>
  <w:num w:numId="5">
    <w:abstractNumId w:val="27"/>
  </w:num>
  <w:num w:numId="6">
    <w:abstractNumId w:val="5"/>
  </w:num>
  <w:num w:numId="7">
    <w:abstractNumId w:val="8"/>
  </w:num>
  <w:num w:numId="8">
    <w:abstractNumId w:val="21"/>
  </w:num>
  <w:num w:numId="9">
    <w:abstractNumId w:val="15"/>
  </w:num>
  <w:num w:numId="10">
    <w:abstractNumId w:val="17"/>
  </w:num>
  <w:num w:numId="11">
    <w:abstractNumId w:val="14"/>
  </w:num>
  <w:num w:numId="12">
    <w:abstractNumId w:val="11"/>
  </w:num>
  <w:num w:numId="13">
    <w:abstractNumId w:val="24"/>
  </w:num>
  <w:num w:numId="14">
    <w:abstractNumId w:val="10"/>
  </w:num>
  <w:num w:numId="15">
    <w:abstractNumId w:val="29"/>
  </w:num>
  <w:num w:numId="16">
    <w:abstractNumId w:val="23"/>
  </w:num>
  <w:num w:numId="17">
    <w:abstractNumId w:val="17"/>
    <w:lvlOverride w:ilvl="0">
      <w:startOverride w:val="1"/>
    </w:lvlOverride>
  </w:num>
  <w:num w:numId="18">
    <w:abstractNumId w:val="0"/>
  </w:num>
  <w:num w:numId="19">
    <w:abstractNumId w:val="13"/>
  </w:num>
  <w:num w:numId="20">
    <w:abstractNumId w:val="1"/>
  </w:num>
  <w:num w:numId="21">
    <w:abstractNumId w:val="2"/>
  </w:num>
  <w:num w:numId="22">
    <w:abstractNumId w:val="9"/>
  </w:num>
  <w:num w:numId="23">
    <w:abstractNumId w:val="19"/>
  </w:num>
  <w:num w:numId="24">
    <w:abstractNumId w:val="31"/>
  </w:num>
  <w:num w:numId="25">
    <w:abstractNumId w:val="26"/>
  </w:num>
  <w:num w:numId="26">
    <w:abstractNumId w:val="2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num>
  <w:num w:numId="30">
    <w:abstractNumId w:val="30"/>
  </w:num>
  <w:num w:numId="31">
    <w:abstractNumId w:val="4"/>
  </w:num>
  <w:num w:numId="32">
    <w:abstractNumId w:val="18"/>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2C"/>
    <w:rsid w:val="000110DC"/>
    <w:rsid w:val="00020BFC"/>
    <w:rsid w:val="00022428"/>
    <w:rsid w:val="00022FEE"/>
    <w:rsid w:val="00023FEE"/>
    <w:rsid w:val="000253A8"/>
    <w:rsid w:val="00025AD9"/>
    <w:rsid w:val="00025B0A"/>
    <w:rsid w:val="000263BA"/>
    <w:rsid w:val="00026E37"/>
    <w:rsid w:val="0003530D"/>
    <w:rsid w:val="000378C4"/>
    <w:rsid w:val="00042178"/>
    <w:rsid w:val="00046A4F"/>
    <w:rsid w:val="0005176E"/>
    <w:rsid w:val="00064482"/>
    <w:rsid w:val="0006697C"/>
    <w:rsid w:val="00073080"/>
    <w:rsid w:val="00077AB7"/>
    <w:rsid w:val="00080132"/>
    <w:rsid w:val="00081BA3"/>
    <w:rsid w:val="00081CD8"/>
    <w:rsid w:val="0008329C"/>
    <w:rsid w:val="000A15FC"/>
    <w:rsid w:val="000A61F7"/>
    <w:rsid w:val="000A786A"/>
    <w:rsid w:val="000A7F0E"/>
    <w:rsid w:val="000B4F65"/>
    <w:rsid w:val="000C4043"/>
    <w:rsid w:val="000C4924"/>
    <w:rsid w:val="000D5412"/>
    <w:rsid w:val="000D6D64"/>
    <w:rsid w:val="000E6CD7"/>
    <w:rsid w:val="000E6E46"/>
    <w:rsid w:val="000F3A3F"/>
    <w:rsid w:val="0010569D"/>
    <w:rsid w:val="00110D16"/>
    <w:rsid w:val="001254EF"/>
    <w:rsid w:val="00131BFF"/>
    <w:rsid w:val="00134565"/>
    <w:rsid w:val="00136A26"/>
    <w:rsid w:val="00136E90"/>
    <w:rsid w:val="00140AD7"/>
    <w:rsid w:val="00141A0E"/>
    <w:rsid w:val="00147BE7"/>
    <w:rsid w:val="00152C6F"/>
    <w:rsid w:val="001535A2"/>
    <w:rsid w:val="00155B51"/>
    <w:rsid w:val="001566EB"/>
    <w:rsid w:val="00161AF1"/>
    <w:rsid w:val="00164D56"/>
    <w:rsid w:val="00165170"/>
    <w:rsid w:val="00167B10"/>
    <w:rsid w:val="001701F6"/>
    <w:rsid w:val="001746B7"/>
    <w:rsid w:val="00176239"/>
    <w:rsid w:val="001765D9"/>
    <w:rsid w:val="0018357D"/>
    <w:rsid w:val="001836DC"/>
    <w:rsid w:val="001904BF"/>
    <w:rsid w:val="00190E47"/>
    <w:rsid w:val="0019212C"/>
    <w:rsid w:val="0019264E"/>
    <w:rsid w:val="00196C1B"/>
    <w:rsid w:val="001A530E"/>
    <w:rsid w:val="001A766C"/>
    <w:rsid w:val="001B0F73"/>
    <w:rsid w:val="001B7AC4"/>
    <w:rsid w:val="001B7D3F"/>
    <w:rsid w:val="001C0AAD"/>
    <w:rsid w:val="001C4A24"/>
    <w:rsid w:val="001E2B83"/>
    <w:rsid w:val="001E2EDD"/>
    <w:rsid w:val="001F2CE7"/>
    <w:rsid w:val="001F371A"/>
    <w:rsid w:val="002000E1"/>
    <w:rsid w:val="0020150F"/>
    <w:rsid w:val="00202150"/>
    <w:rsid w:val="00211DAB"/>
    <w:rsid w:val="00216A14"/>
    <w:rsid w:val="00222606"/>
    <w:rsid w:val="00222A2D"/>
    <w:rsid w:val="002300C4"/>
    <w:rsid w:val="002318BB"/>
    <w:rsid w:val="00231E10"/>
    <w:rsid w:val="00235185"/>
    <w:rsid w:val="002407AF"/>
    <w:rsid w:val="00242BD4"/>
    <w:rsid w:val="0024638A"/>
    <w:rsid w:val="0024641F"/>
    <w:rsid w:val="0025133B"/>
    <w:rsid w:val="00251DF3"/>
    <w:rsid w:val="00272AE4"/>
    <w:rsid w:val="00275C41"/>
    <w:rsid w:val="00280D62"/>
    <w:rsid w:val="002952F3"/>
    <w:rsid w:val="002A6C11"/>
    <w:rsid w:val="002A6F73"/>
    <w:rsid w:val="002A7D5A"/>
    <w:rsid w:val="002B4EAA"/>
    <w:rsid w:val="002C0442"/>
    <w:rsid w:val="002C0D14"/>
    <w:rsid w:val="002C7264"/>
    <w:rsid w:val="002D419A"/>
    <w:rsid w:val="002E0C0C"/>
    <w:rsid w:val="002E3D25"/>
    <w:rsid w:val="002E58D4"/>
    <w:rsid w:val="002F0013"/>
    <w:rsid w:val="002F7DF3"/>
    <w:rsid w:val="00305C1A"/>
    <w:rsid w:val="00311421"/>
    <w:rsid w:val="00322647"/>
    <w:rsid w:val="00326C36"/>
    <w:rsid w:val="00360AAB"/>
    <w:rsid w:val="00363DA0"/>
    <w:rsid w:val="00366018"/>
    <w:rsid w:val="00373F3B"/>
    <w:rsid w:val="0037757E"/>
    <w:rsid w:val="003817AA"/>
    <w:rsid w:val="003845BE"/>
    <w:rsid w:val="0039119F"/>
    <w:rsid w:val="003A13FC"/>
    <w:rsid w:val="003A42EB"/>
    <w:rsid w:val="003A723D"/>
    <w:rsid w:val="003C1678"/>
    <w:rsid w:val="003C55C6"/>
    <w:rsid w:val="003C7299"/>
    <w:rsid w:val="003D069C"/>
    <w:rsid w:val="003D22DC"/>
    <w:rsid w:val="003E07D8"/>
    <w:rsid w:val="003E2A08"/>
    <w:rsid w:val="003F113A"/>
    <w:rsid w:val="0040607F"/>
    <w:rsid w:val="0041309D"/>
    <w:rsid w:val="004239C7"/>
    <w:rsid w:val="0042563F"/>
    <w:rsid w:val="0043675C"/>
    <w:rsid w:val="00440F9B"/>
    <w:rsid w:val="00441DF6"/>
    <w:rsid w:val="004421E5"/>
    <w:rsid w:val="00443880"/>
    <w:rsid w:val="0044753C"/>
    <w:rsid w:val="00452284"/>
    <w:rsid w:val="004539A8"/>
    <w:rsid w:val="00455647"/>
    <w:rsid w:val="0046050A"/>
    <w:rsid w:val="00460D49"/>
    <w:rsid w:val="00461168"/>
    <w:rsid w:val="00464627"/>
    <w:rsid w:val="00464A4D"/>
    <w:rsid w:val="00467FBE"/>
    <w:rsid w:val="00471B11"/>
    <w:rsid w:val="00475AD3"/>
    <w:rsid w:val="0047629A"/>
    <w:rsid w:val="004811FB"/>
    <w:rsid w:val="00481309"/>
    <w:rsid w:val="0048160D"/>
    <w:rsid w:val="00486948"/>
    <w:rsid w:val="00491AF3"/>
    <w:rsid w:val="00495C25"/>
    <w:rsid w:val="0049705E"/>
    <w:rsid w:val="004A37D5"/>
    <w:rsid w:val="004A4CE7"/>
    <w:rsid w:val="004A526D"/>
    <w:rsid w:val="004A5DE0"/>
    <w:rsid w:val="004A5E2C"/>
    <w:rsid w:val="004A79F7"/>
    <w:rsid w:val="004B0D54"/>
    <w:rsid w:val="004D09A2"/>
    <w:rsid w:val="004E23DE"/>
    <w:rsid w:val="004E3CF1"/>
    <w:rsid w:val="004E3D5B"/>
    <w:rsid w:val="004E4029"/>
    <w:rsid w:val="004E7C2D"/>
    <w:rsid w:val="004F1B00"/>
    <w:rsid w:val="00505C6C"/>
    <w:rsid w:val="005064D1"/>
    <w:rsid w:val="005125B4"/>
    <w:rsid w:val="005158FF"/>
    <w:rsid w:val="00516D71"/>
    <w:rsid w:val="00520476"/>
    <w:rsid w:val="00526B7B"/>
    <w:rsid w:val="005308CE"/>
    <w:rsid w:val="0053798F"/>
    <w:rsid w:val="00546D05"/>
    <w:rsid w:val="00553FA8"/>
    <w:rsid w:val="0055441E"/>
    <w:rsid w:val="0056551E"/>
    <w:rsid w:val="00567813"/>
    <w:rsid w:val="0057439C"/>
    <w:rsid w:val="005803A9"/>
    <w:rsid w:val="00581BCD"/>
    <w:rsid w:val="005938ED"/>
    <w:rsid w:val="005A2B56"/>
    <w:rsid w:val="005A7D5F"/>
    <w:rsid w:val="005B0127"/>
    <w:rsid w:val="005B05C8"/>
    <w:rsid w:val="005B1F97"/>
    <w:rsid w:val="005B4AF0"/>
    <w:rsid w:val="005C094D"/>
    <w:rsid w:val="005C44D2"/>
    <w:rsid w:val="005C4B73"/>
    <w:rsid w:val="005C7CFF"/>
    <w:rsid w:val="005C7D11"/>
    <w:rsid w:val="005D3ACD"/>
    <w:rsid w:val="005D4660"/>
    <w:rsid w:val="005D4B14"/>
    <w:rsid w:val="005D6B01"/>
    <w:rsid w:val="005D70D1"/>
    <w:rsid w:val="005D7B33"/>
    <w:rsid w:val="005E0C8E"/>
    <w:rsid w:val="005E513C"/>
    <w:rsid w:val="005E577C"/>
    <w:rsid w:val="005F6D46"/>
    <w:rsid w:val="00600955"/>
    <w:rsid w:val="00600D93"/>
    <w:rsid w:val="00614378"/>
    <w:rsid w:val="00616C7B"/>
    <w:rsid w:val="006226E9"/>
    <w:rsid w:val="00623A89"/>
    <w:rsid w:val="00623EDD"/>
    <w:rsid w:val="00627C5C"/>
    <w:rsid w:val="00630ACB"/>
    <w:rsid w:val="006406C1"/>
    <w:rsid w:val="00650BD1"/>
    <w:rsid w:val="00655736"/>
    <w:rsid w:val="00663B8D"/>
    <w:rsid w:val="006670C4"/>
    <w:rsid w:val="00667C06"/>
    <w:rsid w:val="00677375"/>
    <w:rsid w:val="00683955"/>
    <w:rsid w:val="006923BD"/>
    <w:rsid w:val="00696C8D"/>
    <w:rsid w:val="006A26AE"/>
    <w:rsid w:val="006A2AC2"/>
    <w:rsid w:val="006A3617"/>
    <w:rsid w:val="006A36B3"/>
    <w:rsid w:val="006B5001"/>
    <w:rsid w:val="006B6396"/>
    <w:rsid w:val="006C07AF"/>
    <w:rsid w:val="006C2CEA"/>
    <w:rsid w:val="006C3A64"/>
    <w:rsid w:val="006D21D9"/>
    <w:rsid w:val="006D2536"/>
    <w:rsid w:val="006D76BC"/>
    <w:rsid w:val="006E2C22"/>
    <w:rsid w:val="006E369F"/>
    <w:rsid w:val="006E46E4"/>
    <w:rsid w:val="006E7D82"/>
    <w:rsid w:val="006F0B2D"/>
    <w:rsid w:val="006F7ED5"/>
    <w:rsid w:val="00703BC0"/>
    <w:rsid w:val="00704C6B"/>
    <w:rsid w:val="00717AAB"/>
    <w:rsid w:val="00717DBD"/>
    <w:rsid w:val="00722641"/>
    <w:rsid w:val="00733E52"/>
    <w:rsid w:val="00741016"/>
    <w:rsid w:val="00743497"/>
    <w:rsid w:val="007503C4"/>
    <w:rsid w:val="00751242"/>
    <w:rsid w:val="007538E0"/>
    <w:rsid w:val="00754DC2"/>
    <w:rsid w:val="00755A7D"/>
    <w:rsid w:val="00764CF9"/>
    <w:rsid w:val="00764F85"/>
    <w:rsid w:val="00770A6C"/>
    <w:rsid w:val="00784B8C"/>
    <w:rsid w:val="00784F53"/>
    <w:rsid w:val="00787E47"/>
    <w:rsid w:val="00791CF3"/>
    <w:rsid w:val="007A47A8"/>
    <w:rsid w:val="007B0238"/>
    <w:rsid w:val="007C6E69"/>
    <w:rsid w:val="007D4439"/>
    <w:rsid w:val="007D632C"/>
    <w:rsid w:val="007E5FCD"/>
    <w:rsid w:val="007E60C6"/>
    <w:rsid w:val="007F5F4A"/>
    <w:rsid w:val="007F6C75"/>
    <w:rsid w:val="00800D3C"/>
    <w:rsid w:val="00804684"/>
    <w:rsid w:val="008064F0"/>
    <w:rsid w:val="00814A1B"/>
    <w:rsid w:val="00814DCA"/>
    <w:rsid w:val="00823A11"/>
    <w:rsid w:val="00824EF7"/>
    <w:rsid w:val="008252BB"/>
    <w:rsid w:val="0082768D"/>
    <w:rsid w:val="00830E08"/>
    <w:rsid w:val="008358B6"/>
    <w:rsid w:val="0084306C"/>
    <w:rsid w:val="00844980"/>
    <w:rsid w:val="0085414A"/>
    <w:rsid w:val="0085559F"/>
    <w:rsid w:val="0085597D"/>
    <w:rsid w:val="008614AC"/>
    <w:rsid w:val="0086269D"/>
    <w:rsid w:val="00863302"/>
    <w:rsid w:val="00863E90"/>
    <w:rsid w:val="00865AB9"/>
    <w:rsid w:val="008678BE"/>
    <w:rsid w:val="00867B25"/>
    <w:rsid w:val="008712A2"/>
    <w:rsid w:val="0087177A"/>
    <w:rsid w:val="00871927"/>
    <w:rsid w:val="00871C8F"/>
    <w:rsid w:val="008724E5"/>
    <w:rsid w:val="00882471"/>
    <w:rsid w:val="00884A9D"/>
    <w:rsid w:val="008852E7"/>
    <w:rsid w:val="008945C9"/>
    <w:rsid w:val="00895499"/>
    <w:rsid w:val="008978E1"/>
    <w:rsid w:val="008A20A6"/>
    <w:rsid w:val="008A4E1E"/>
    <w:rsid w:val="008A673E"/>
    <w:rsid w:val="008A7452"/>
    <w:rsid w:val="008B5155"/>
    <w:rsid w:val="008B64DF"/>
    <w:rsid w:val="008C06BA"/>
    <w:rsid w:val="008C0E44"/>
    <w:rsid w:val="008C296C"/>
    <w:rsid w:val="008D4305"/>
    <w:rsid w:val="008D47EA"/>
    <w:rsid w:val="008F09EC"/>
    <w:rsid w:val="008F2A14"/>
    <w:rsid w:val="0090486B"/>
    <w:rsid w:val="0091145F"/>
    <w:rsid w:val="00912622"/>
    <w:rsid w:val="00913D86"/>
    <w:rsid w:val="00914F76"/>
    <w:rsid w:val="00915832"/>
    <w:rsid w:val="009163A7"/>
    <w:rsid w:val="00916EF8"/>
    <w:rsid w:val="00922E3E"/>
    <w:rsid w:val="00930936"/>
    <w:rsid w:val="00932958"/>
    <w:rsid w:val="00933C6B"/>
    <w:rsid w:val="0094493B"/>
    <w:rsid w:val="00945047"/>
    <w:rsid w:val="0094758D"/>
    <w:rsid w:val="00950F68"/>
    <w:rsid w:val="00955C56"/>
    <w:rsid w:val="00956B4C"/>
    <w:rsid w:val="00962119"/>
    <w:rsid w:val="00965242"/>
    <w:rsid w:val="0096761E"/>
    <w:rsid w:val="00971903"/>
    <w:rsid w:val="00971BED"/>
    <w:rsid w:val="00971F19"/>
    <w:rsid w:val="00974249"/>
    <w:rsid w:val="00974A8E"/>
    <w:rsid w:val="00976F22"/>
    <w:rsid w:val="00983786"/>
    <w:rsid w:val="00985364"/>
    <w:rsid w:val="00997EA7"/>
    <w:rsid w:val="009A0099"/>
    <w:rsid w:val="009A0B84"/>
    <w:rsid w:val="009A18CD"/>
    <w:rsid w:val="009A640C"/>
    <w:rsid w:val="009A749A"/>
    <w:rsid w:val="009B341D"/>
    <w:rsid w:val="009B5302"/>
    <w:rsid w:val="009B5C34"/>
    <w:rsid w:val="009B6BF1"/>
    <w:rsid w:val="009C05A0"/>
    <w:rsid w:val="009C237B"/>
    <w:rsid w:val="009C3718"/>
    <w:rsid w:val="009C4978"/>
    <w:rsid w:val="009C5994"/>
    <w:rsid w:val="009D14DE"/>
    <w:rsid w:val="009E1B50"/>
    <w:rsid w:val="009E35F0"/>
    <w:rsid w:val="009E60BA"/>
    <w:rsid w:val="009F3C62"/>
    <w:rsid w:val="00A0706D"/>
    <w:rsid w:val="00A12558"/>
    <w:rsid w:val="00A13903"/>
    <w:rsid w:val="00A21B42"/>
    <w:rsid w:val="00A231F7"/>
    <w:rsid w:val="00A34ED5"/>
    <w:rsid w:val="00A41682"/>
    <w:rsid w:val="00A420A4"/>
    <w:rsid w:val="00A45DBF"/>
    <w:rsid w:val="00A61C6E"/>
    <w:rsid w:val="00A63CD5"/>
    <w:rsid w:val="00A64E8A"/>
    <w:rsid w:val="00A755A2"/>
    <w:rsid w:val="00A837A0"/>
    <w:rsid w:val="00A90761"/>
    <w:rsid w:val="00A91430"/>
    <w:rsid w:val="00A93804"/>
    <w:rsid w:val="00AA0A58"/>
    <w:rsid w:val="00AA1B34"/>
    <w:rsid w:val="00AA2848"/>
    <w:rsid w:val="00AA686E"/>
    <w:rsid w:val="00AA729B"/>
    <w:rsid w:val="00AA75B0"/>
    <w:rsid w:val="00AB2C36"/>
    <w:rsid w:val="00AB4BEA"/>
    <w:rsid w:val="00AB5525"/>
    <w:rsid w:val="00AB7D43"/>
    <w:rsid w:val="00AC017B"/>
    <w:rsid w:val="00AD1A86"/>
    <w:rsid w:val="00AD6B1C"/>
    <w:rsid w:val="00AE103E"/>
    <w:rsid w:val="00AE4745"/>
    <w:rsid w:val="00AF0A07"/>
    <w:rsid w:val="00AF3203"/>
    <w:rsid w:val="00AF5AE5"/>
    <w:rsid w:val="00AF625E"/>
    <w:rsid w:val="00AF721B"/>
    <w:rsid w:val="00AF7C39"/>
    <w:rsid w:val="00B028EA"/>
    <w:rsid w:val="00B067EE"/>
    <w:rsid w:val="00B119FC"/>
    <w:rsid w:val="00B152B1"/>
    <w:rsid w:val="00B17D3B"/>
    <w:rsid w:val="00B2464C"/>
    <w:rsid w:val="00B270BD"/>
    <w:rsid w:val="00B32AC0"/>
    <w:rsid w:val="00B33C5B"/>
    <w:rsid w:val="00B36322"/>
    <w:rsid w:val="00B406C5"/>
    <w:rsid w:val="00B408AF"/>
    <w:rsid w:val="00B43974"/>
    <w:rsid w:val="00B460B1"/>
    <w:rsid w:val="00B52828"/>
    <w:rsid w:val="00B561DB"/>
    <w:rsid w:val="00B67C07"/>
    <w:rsid w:val="00B73272"/>
    <w:rsid w:val="00B7355C"/>
    <w:rsid w:val="00B75666"/>
    <w:rsid w:val="00B87483"/>
    <w:rsid w:val="00B90701"/>
    <w:rsid w:val="00B94C73"/>
    <w:rsid w:val="00B97938"/>
    <w:rsid w:val="00B97968"/>
    <w:rsid w:val="00BA666E"/>
    <w:rsid w:val="00BC3420"/>
    <w:rsid w:val="00BD3A24"/>
    <w:rsid w:val="00BD52C9"/>
    <w:rsid w:val="00BD548A"/>
    <w:rsid w:val="00BE1A11"/>
    <w:rsid w:val="00BE2426"/>
    <w:rsid w:val="00BE30AA"/>
    <w:rsid w:val="00BE6354"/>
    <w:rsid w:val="00BF7BF2"/>
    <w:rsid w:val="00C01060"/>
    <w:rsid w:val="00C01D05"/>
    <w:rsid w:val="00C07E00"/>
    <w:rsid w:val="00C15F1C"/>
    <w:rsid w:val="00C21090"/>
    <w:rsid w:val="00C21955"/>
    <w:rsid w:val="00C2293E"/>
    <w:rsid w:val="00C23758"/>
    <w:rsid w:val="00C2429D"/>
    <w:rsid w:val="00C247FF"/>
    <w:rsid w:val="00C358C4"/>
    <w:rsid w:val="00C377F5"/>
    <w:rsid w:val="00C42892"/>
    <w:rsid w:val="00C453F7"/>
    <w:rsid w:val="00C5187E"/>
    <w:rsid w:val="00C56583"/>
    <w:rsid w:val="00C61C10"/>
    <w:rsid w:val="00C70EA7"/>
    <w:rsid w:val="00C7516E"/>
    <w:rsid w:val="00C77031"/>
    <w:rsid w:val="00C80645"/>
    <w:rsid w:val="00C80A1D"/>
    <w:rsid w:val="00C865F4"/>
    <w:rsid w:val="00C86EE0"/>
    <w:rsid w:val="00C900EA"/>
    <w:rsid w:val="00C92F0D"/>
    <w:rsid w:val="00CA10FB"/>
    <w:rsid w:val="00CA3763"/>
    <w:rsid w:val="00CA3CF7"/>
    <w:rsid w:val="00CA7D7A"/>
    <w:rsid w:val="00CB15A0"/>
    <w:rsid w:val="00CB6990"/>
    <w:rsid w:val="00CC532B"/>
    <w:rsid w:val="00CC694C"/>
    <w:rsid w:val="00CE0462"/>
    <w:rsid w:val="00CF0D86"/>
    <w:rsid w:val="00CF3E89"/>
    <w:rsid w:val="00CF77AE"/>
    <w:rsid w:val="00D01888"/>
    <w:rsid w:val="00D124DD"/>
    <w:rsid w:val="00D17A18"/>
    <w:rsid w:val="00D203C8"/>
    <w:rsid w:val="00D24877"/>
    <w:rsid w:val="00D33D28"/>
    <w:rsid w:val="00D36C48"/>
    <w:rsid w:val="00D36EB8"/>
    <w:rsid w:val="00D442A0"/>
    <w:rsid w:val="00D522D1"/>
    <w:rsid w:val="00D5474A"/>
    <w:rsid w:val="00D54AD9"/>
    <w:rsid w:val="00D62386"/>
    <w:rsid w:val="00D67BB5"/>
    <w:rsid w:val="00D75D42"/>
    <w:rsid w:val="00D827FD"/>
    <w:rsid w:val="00D85D64"/>
    <w:rsid w:val="00D915B6"/>
    <w:rsid w:val="00D97012"/>
    <w:rsid w:val="00D97DF7"/>
    <w:rsid w:val="00DA1C31"/>
    <w:rsid w:val="00DA347D"/>
    <w:rsid w:val="00DA36ED"/>
    <w:rsid w:val="00DA49C5"/>
    <w:rsid w:val="00DB4A84"/>
    <w:rsid w:val="00DB7B26"/>
    <w:rsid w:val="00DC0F3C"/>
    <w:rsid w:val="00DD0CB6"/>
    <w:rsid w:val="00DE253B"/>
    <w:rsid w:val="00DE34F1"/>
    <w:rsid w:val="00DF3219"/>
    <w:rsid w:val="00DF4942"/>
    <w:rsid w:val="00E0716D"/>
    <w:rsid w:val="00E1091C"/>
    <w:rsid w:val="00E1678D"/>
    <w:rsid w:val="00E22288"/>
    <w:rsid w:val="00E23273"/>
    <w:rsid w:val="00E232F6"/>
    <w:rsid w:val="00E23951"/>
    <w:rsid w:val="00E34D32"/>
    <w:rsid w:val="00E4059C"/>
    <w:rsid w:val="00E43997"/>
    <w:rsid w:val="00E5614B"/>
    <w:rsid w:val="00E60B9D"/>
    <w:rsid w:val="00E60E46"/>
    <w:rsid w:val="00E627B1"/>
    <w:rsid w:val="00E62B4C"/>
    <w:rsid w:val="00E637CC"/>
    <w:rsid w:val="00E64C78"/>
    <w:rsid w:val="00E74E32"/>
    <w:rsid w:val="00E77C5A"/>
    <w:rsid w:val="00E8782D"/>
    <w:rsid w:val="00E936B9"/>
    <w:rsid w:val="00E9376C"/>
    <w:rsid w:val="00E946F1"/>
    <w:rsid w:val="00E956AC"/>
    <w:rsid w:val="00E9767F"/>
    <w:rsid w:val="00EA135D"/>
    <w:rsid w:val="00EA390C"/>
    <w:rsid w:val="00EA4C64"/>
    <w:rsid w:val="00EA602C"/>
    <w:rsid w:val="00EA635E"/>
    <w:rsid w:val="00EA779E"/>
    <w:rsid w:val="00EB5DD2"/>
    <w:rsid w:val="00EC3318"/>
    <w:rsid w:val="00EC6926"/>
    <w:rsid w:val="00ED20A6"/>
    <w:rsid w:val="00ED3691"/>
    <w:rsid w:val="00ED37A1"/>
    <w:rsid w:val="00ED482B"/>
    <w:rsid w:val="00EE2DB7"/>
    <w:rsid w:val="00EE49F9"/>
    <w:rsid w:val="00EF6CD6"/>
    <w:rsid w:val="00F134B7"/>
    <w:rsid w:val="00F36907"/>
    <w:rsid w:val="00F37180"/>
    <w:rsid w:val="00F46213"/>
    <w:rsid w:val="00F50B70"/>
    <w:rsid w:val="00F536F4"/>
    <w:rsid w:val="00F576CB"/>
    <w:rsid w:val="00F603EA"/>
    <w:rsid w:val="00F60D8B"/>
    <w:rsid w:val="00F61D4C"/>
    <w:rsid w:val="00F63033"/>
    <w:rsid w:val="00F63322"/>
    <w:rsid w:val="00F643D0"/>
    <w:rsid w:val="00F717B3"/>
    <w:rsid w:val="00F73482"/>
    <w:rsid w:val="00F74EAD"/>
    <w:rsid w:val="00F77F6B"/>
    <w:rsid w:val="00F83734"/>
    <w:rsid w:val="00F91A9D"/>
    <w:rsid w:val="00F91F70"/>
    <w:rsid w:val="00F937EC"/>
    <w:rsid w:val="00FA46A0"/>
    <w:rsid w:val="00FA7FFA"/>
    <w:rsid w:val="00FB356B"/>
    <w:rsid w:val="00FB4511"/>
    <w:rsid w:val="00FB630D"/>
    <w:rsid w:val="00FC2940"/>
    <w:rsid w:val="00FC4715"/>
    <w:rsid w:val="00FC4AD3"/>
    <w:rsid w:val="00FC571F"/>
    <w:rsid w:val="00FC6971"/>
    <w:rsid w:val="00FD1226"/>
    <w:rsid w:val="00FE3F03"/>
    <w:rsid w:val="00FF2F0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4BD6950"/>
  <w15:docId w15:val="{7BB2AE87-B04C-47D8-BE75-16B95893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F734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customStyle="1" w:styleId="COMPara">
    <w:name w:val="COM Para"/>
    <w:qFormat/>
    <w:rsid w:val="00E8782D"/>
    <w:pPr>
      <w:spacing w:after="120"/>
      <w:ind w:left="567" w:hanging="567"/>
    </w:pPr>
    <w:rPr>
      <w:rFonts w:ascii="Arial" w:eastAsia="Times New Roman" w:hAnsi="Arial" w:cs="Arial"/>
      <w:snapToGrid w:val="0"/>
      <w:sz w:val="22"/>
      <w:szCs w:val="22"/>
      <w:lang w:eastAsia="en-US"/>
    </w:rPr>
  </w:style>
  <w:style w:type="paragraph" w:customStyle="1" w:styleId="c">
    <w:name w:val="(c)"/>
    <w:basedOn w:val="Normal"/>
    <w:rsid w:val="00E232F6"/>
    <w:pPr>
      <w:tabs>
        <w:tab w:val="left" w:pos="1701"/>
      </w:tabs>
      <w:spacing w:after="240"/>
      <w:ind w:left="1701" w:hanging="567"/>
      <w:jc w:val="both"/>
    </w:pPr>
    <w:rPr>
      <w:rFonts w:ascii="Arial" w:hAnsi="Arial"/>
      <w:lang w:bidi="fr-FR"/>
    </w:rPr>
  </w:style>
  <w:style w:type="character" w:customStyle="1" w:styleId="hps">
    <w:name w:val="hps"/>
    <w:rsid w:val="00305C1A"/>
  </w:style>
  <w:style w:type="character" w:styleId="Strong">
    <w:name w:val="Strong"/>
    <w:basedOn w:val="DefaultParagraphFont"/>
    <w:uiPriority w:val="22"/>
    <w:qFormat/>
    <w:rsid w:val="00305C1A"/>
    <w:rPr>
      <w:b/>
      <w:bCs/>
    </w:rPr>
  </w:style>
  <w:style w:type="character" w:styleId="FollowedHyperlink">
    <w:name w:val="FollowedHyperlink"/>
    <w:basedOn w:val="DefaultParagraphFont"/>
    <w:uiPriority w:val="99"/>
    <w:semiHidden/>
    <w:unhideWhenUsed/>
    <w:rsid w:val="00914F76"/>
    <w:rPr>
      <w:color w:val="800080" w:themeColor="followedHyperlink"/>
      <w:u w:val="single"/>
    </w:rPr>
  </w:style>
  <w:style w:type="paragraph" w:styleId="Revision">
    <w:name w:val="Revision"/>
    <w:hidden/>
    <w:uiPriority w:val="99"/>
    <w:semiHidden/>
    <w:rsid w:val="00D01888"/>
    <w:rPr>
      <w:rFonts w:ascii="Times New Roman" w:eastAsia="Times New Roman" w:hAnsi="Times New Roman"/>
      <w:sz w:val="24"/>
      <w:szCs w:val="24"/>
    </w:rPr>
  </w:style>
  <w:style w:type="paragraph" w:customStyle="1" w:styleId="BODYTEXT">
    <w:name w:val="¬BODY TEXT"/>
    <w:basedOn w:val="Normal"/>
    <w:qFormat/>
    <w:rsid w:val="00D827FD"/>
    <w:pPr>
      <w:numPr>
        <w:numId w:val="26"/>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rPr>
  </w:style>
  <w:style w:type="character" w:customStyle="1" w:styleId="Heading1Char">
    <w:name w:val="Heading 1 Char"/>
    <w:basedOn w:val="DefaultParagraphFont"/>
    <w:link w:val="Heading1"/>
    <w:uiPriority w:val="9"/>
    <w:rsid w:val="00F73482"/>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unhideWhenUsed/>
    <w:rsid w:val="00475AD3"/>
    <w:pPr>
      <w:spacing w:before="60" w:after="60"/>
      <w:jc w:val="both"/>
    </w:pPr>
    <w:rPr>
      <w:rFonts w:ascii="Arial" w:hAnsi="Arial"/>
      <w:sz w:val="20"/>
      <w:szCs w:val="20"/>
    </w:rPr>
  </w:style>
  <w:style w:type="character" w:customStyle="1" w:styleId="FootnoteTextChar">
    <w:name w:val="Footnote Text Char"/>
    <w:basedOn w:val="DefaultParagraphFont"/>
    <w:link w:val="FootnoteText"/>
    <w:uiPriority w:val="99"/>
    <w:rsid w:val="00475AD3"/>
    <w:rPr>
      <w:rFonts w:ascii="Arial" w:eastAsia="Times New Roman" w:hAnsi="Arial"/>
    </w:rPr>
  </w:style>
  <w:style w:type="character" w:styleId="FootnoteReference">
    <w:name w:val="footnote reference"/>
    <w:uiPriority w:val="99"/>
    <w:unhideWhenUsed/>
    <w:rsid w:val="00475AD3"/>
    <w:rPr>
      <w:vertAlign w:val="superscript"/>
    </w:rPr>
  </w:style>
  <w:style w:type="character" w:customStyle="1" w:styleId="ac">
    <w:name w:val="ac"/>
    <w:basedOn w:val="DefaultParagraphFont"/>
    <w:rsid w:val="00677375"/>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2150"/>
    <w:rPr>
      <w:b/>
      <w:bCs/>
    </w:rPr>
  </w:style>
  <w:style w:type="character" w:customStyle="1" w:styleId="CommentTextChar">
    <w:name w:val="Comment Text Char"/>
    <w:basedOn w:val="DefaultParagraphFont"/>
    <w:link w:val="CommentText"/>
    <w:uiPriority w:val="99"/>
    <w:semiHidden/>
    <w:rsid w:val="00202150"/>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202150"/>
    <w:rPr>
      <w:rFonts w:ascii="Times New Roman" w:eastAsia="Times New Roman" w:hAnsi="Times New Roman"/>
      <w:b/>
      <w:bCs/>
    </w:rPr>
  </w:style>
  <w:style w:type="paragraph" w:styleId="PlainText">
    <w:name w:val="Plain Text"/>
    <w:basedOn w:val="Normal"/>
    <w:link w:val="PlainTextChar"/>
    <w:uiPriority w:val="99"/>
    <w:semiHidden/>
    <w:unhideWhenUsed/>
    <w:rsid w:val="0084306C"/>
    <w:rPr>
      <w:rFonts w:ascii="Calibri" w:eastAsiaTheme="minorEastAsia" w:hAnsi="Calibri" w:cstheme="minorBidi"/>
      <w:sz w:val="22"/>
      <w:szCs w:val="21"/>
      <w:lang w:val="fr-FR" w:eastAsia="ja-JP"/>
    </w:rPr>
  </w:style>
  <w:style w:type="character" w:customStyle="1" w:styleId="PlainTextChar">
    <w:name w:val="Plain Text Char"/>
    <w:basedOn w:val="DefaultParagraphFont"/>
    <w:link w:val="PlainText"/>
    <w:uiPriority w:val="99"/>
    <w:semiHidden/>
    <w:rsid w:val="0084306C"/>
    <w:rPr>
      <w:rFonts w:eastAsiaTheme="minorEastAsia" w:cstheme="minorBidi"/>
      <w:sz w:val="22"/>
      <w:szCs w:val="21"/>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80231">
      <w:bodyDiv w:val="1"/>
      <w:marLeft w:val="0"/>
      <w:marRight w:val="0"/>
      <w:marTop w:val="0"/>
      <w:marBottom w:val="0"/>
      <w:divBdr>
        <w:top w:val="none" w:sz="0" w:space="0" w:color="auto"/>
        <w:left w:val="none" w:sz="0" w:space="0" w:color="auto"/>
        <w:bottom w:val="none" w:sz="0" w:space="0" w:color="auto"/>
        <w:right w:val="none" w:sz="0" w:space="0" w:color="auto"/>
      </w:divBdr>
    </w:div>
    <w:div w:id="797915143">
      <w:bodyDiv w:val="1"/>
      <w:marLeft w:val="0"/>
      <w:marRight w:val="0"/>
      <w:marTop w:val="0"/>
      <w:marBottom w:val="0"/>
      <w:divBdr>
        <w:top w:val="none" w:sz="0" w:space="0" w:color="auto"/>
        <w:left w:val="none" w:sz="0" w:space="0" w:color="auto"/>
        <w:bottom w:val="none" w:sz="0" w:space="0" w:color="auto"/>
        <w:right w:val="none" w:sz="0" w:space="0" w:color="auto"/>
      </w:divBdr>
    </w:div>
    <w:div w:id="827743236">
      <w:bodyDiv w:val="1"/>
      <w:marLeft w:val="0"/>
      <w:marRight w:val="0"/>
      <w:marTop w:val="0"/>
      <w:marBottom w:val="0"/>
      <w:divBdr>
        <w:top w:val="none" w:sz="0" w:space="0" w:color="auto"/>
        <w:left w:val="none" w:sz="0" w:space="0" w:color="auto"/>
        <w:bottom w:val="none" w:sz="0" w:space="0" w:color="auto"/>
        <w:right w:val="none" w:sz="0" w:space="0" w:color="auto"/>
      </w:divBdr>
    </w:div>
    <w:div w:id="1293318399">
      <w:bodyDiv w:val="1"/>
      <w:marLeft w:val="0"/>
      <w:marRight w:val="0"/>
      <w:marTop w:val="0"/>
      <w:marBottom w:val="0"/>
      <w:divBdr>
        <w:top w:val="none" w:sz="0" w:space="0" w:color="auto"/>
        <w:left w:val="none" w:sz="0" w:space="0" w:color="auto"/>
        <w:bottom w:val="none" w:sz="0" w:space="0" w:color="auto"/>
        <w:right w:val="none" w:sz="0" w:space="0" w:color="auto"/>
      </w:divBdr>
    </w:div>
    <w:div w:id="177963893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016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6.GA/5" TargetMode="External"/><Relationship Id="rId13" Type="http://schemas.openxmlformats.org/officeDocument/2006/relationships/hyperlink" Target="https://ich.unesco.org/doc/src/LHE-19-14.COM-5.b-EN.docx" TargetMode="External"/><Relationship Id="rId18" Type="http://schemas.openxmlformats.org/officeDocument/2006/relationships/hyperlink" Target="https://ich.unesco.org/doc/src/ITH-18-7.GA-12-EN.docx" TargetMode="External"/><Relationship Id="rId26" Type="http://schemas.openxmlformats.org/officeDocument/2006/relationships/hyperlink" Target="https://ich.unesco.org/doc/src/LHE-19-14.COM-13-EN.docx" TargetMode="External"/><Relationship Id="rId39" Type="http://schemas.openxmlformats.org/officeDocument/2006/relationships/hyperlink" Target="https://ich.unesco.org/doc/src/ITH-18-13.COM-7.c-EN.docx" TargetMode="External"/><Relationship Id="rId3" Type="http://schemas.openxmlformats.org/officeDocument/2006/relationships/styles" Target="styles.xml"/><Relationship Id="rId21" Type="http://schemas.openxmlformats.org/officeDocument/2006/relationships/hyperlink" Target="https://ich.unesco.org/doc/src/LHE-19-14.COM-5.b-EN.docx" TargetMode="External"/><Relationship Id="rId34" Type="http://schemas.openxmlformats.org/officeDocument/2006/relationships/hyperlink" Target="https://ich.unesco.org/doc/src/ITH-18-13.COM-7.a_Rev.-EN.docx" TargetMode="External"/><Relationship Id="rId42" Type="http://schemas.openxmlformats.org/officeDocument/2006/relationships/hyperlink" Target="https://ich.unesco.org/doc/src/LHE-19-14.COM-INF.10-EN.doc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ITH-18-13.COM-5_Rev.-EN.docx" TargetMode="External"/><Relationship Id="rId17" Type="http://schemas.openxmlformats.org/officeDocument/2006/relationships/hyperlink" Target="https://ich.unesco.org/doc/src/LHE-19-14.COM-19-EN.docx" TargetMode="External"/><Relationship Id="rId25" Type="http://schemas.openxmlformats.org/officeDocument/2006/relationships/hyperlink" Target="https://ich.unesco.org/en/Decisions/13.COM/11" TargetMode="External"/><Relationship Id="rId33" Type="http://schemas.openxmlformats.org/officeDocument/2006/relationships/hyperlink" Target="https://ich.unesco.org/doc/src/ITH-18-13.COM-8-EN.docx" TargetMode="External"/><Relationship Id="rId38" Type="http://schemas.openxmlformats.org/officeDocument/2006/relationships/hyperlink" Target="https://ich.unesco.org/en/Decisions/13.COM/1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ITH-18-13.COM-17-EN.docx" TargetMode="External"/><Relationship Id="rId20" Type="http://schemas.openxmlformats.org/officeDocument/2006/relationships/hyperlink" Target="https://ich.unesco.org/en/Decisions/12.COM/7" TargetMode="External"/><Relationship Id="rId29" Type="http://schemas.openxmlformats.org/officeDocument/2006/relationships/hyperlink" Target="https://ich.unesco.org/doc/src/LHE-19-14.COM-7-EN.docx" TargetMode="External"/><Relationship Id="rId41" Type="http://schemas.openxmlformats.org/officeDocument/2006/relationships/hyperlink" Target="https://ich.unesco.org/doc/src/LHE-19-14.COM-7-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19-14.COM-9.a-EN.docx" TargetMode="External"/><Relationship Id="rId24" Type="http://schemas.openxmlformats.org/officeDocument/2006/relationships/hyperlink" Target="https://ich.unesco.org/en/Decisions/13.COM/8" TargetMode="External"/><Relationship Id="rId32" Type="http://schemas.openxmlformats.org/officeDocument/2006/relationships/hyperlink" Target="https://ich.unesco.org/en/convention" TargetMode="External"/><Relationship Id="rId37" Type="http://schemas.openxmlformats.org/officeDocument/2006/relationships/hyperlink" Target="https://ich.unesco.org/en/Decisions/13.COM/10" TargetMode="External"/><Relationship Id="rId40" Type="http://schemas.openxmlformats.org/officeDocument/2006/relationships/hyperlink" Target="https://ich.unesco.org/doc/src/LHE-19-14.COM-9.b-EN.doc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19-14.COM-19-EN.docx" TargetMode="External"/><Relationship Id="rId23" Type="http://schemas.openxmlformats.org/officeDocument/2006/relationships/hyperlink" Target="https://ich.unesco.org/doc/src/ITH-18-7.GA-9-EN.docx" TargetMode="External"/><Relationship Id="rId28" Type="http://schemas.openxmlformats.org/officeDocument/2006/relationships/hyperlink" Target="https://ich.unesco.org/doc/src/LHE-19-14.COM-5.b-EN.docx" TargetMode="External"/><Relationship Id="rId36" Type="http://schemas.openxmlformats.org/officeDocument/2006/relationships/hyperlink" Target="https://ich.unesco.org/doc/src/LHE-19-14.COM-9.a-EN.docx" TargetMode="External"/><Relationship Id="rId10" Type="http://schemas.openxmlformats.org/officeDocument/2006/relationships/hyperlink" Target="https://ich.unesco.org/doc/src/ITH-18-13.COM-7.b-EN.docx" TargetMode="External"/><Relationship Id="rId19" Type="http://schemas.openxmlformats.org/officeDocument/2006/relationships/hyperlink" Target="https://ich.unesco.org/doc/src/ITH-18-7.GA-9-EN.docx" TargetMode="External"/><Relationship Id="rId31" Type="http://schemas.openxmlformats.org/officeDocument/2006/relationships/hyperlink" Target="https://ich.unesco.org/doc/src/LHE-19-14.COM-6-EN.docx"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ITH-18-13.COM-7.a_Rev.-EN.docx" TargetMode="External"/><Relationship Id="rId14" Type="http://schemas.openxmlformats.org/officeDocument/2006/relationships/hyperlink" Target="https://ich.unesco.org/doc/src/LHE-19-14.COM-7-EN.docx" TargetMode="External"/><Relationship Id="rId22" Type="http://schemas.openxmlformats.org/officeDocument/2006/relationships/hyperlink" Target="https://ich.unesco.org/en/research-references-on-2003-convention-implementation-00945" TargetMode="External"/><Relationship Id="rId27" Type="http://schemas.openxmlformats.org/officeDocument/2006/relationships/hyperlink" Target="https://ich.unesco.org/doc/src/ITH-18-13.COM-INF.5.1-EN.docx" TargetMode="External"/><Relationship Id="rId30" Type="http://schemas.openxmlformats.org/officeDocument/2006/relationships/hyperlink" Target="https://ich.unesco.org/doc/src/LHE-19-14.COM-7-EN.docx" TargetMode="External"/><Relationship Id="rId35" Type="http://schemas.openxmlformats.org/officeDocument/2006/relationships/hyperlink" Target="https://ich.unesco.org/doc/src/ITH-18-13.COM-7.b-EN.docx" TargetMode="External"/><Relationship Id="rId43"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31DD-E8DF-41CE-AF33-0A7A9A0C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1516</TotalTime>
  <Pages>8</Pages>
  <Words>3983</Words>
  <Characters>21910</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Constantinou, Elena</cp:lastModifiedBy>
  <cp:revision>98</cp:revision>
  <cp:lastPrinted>2019-12-14T18:08:00Z</cp:lastPrinted>
  <dcterms:created xsi:type="dcterms:W3CDTF">2019-11-04T10:21:00Z</dcterms:created>
  <dcterms:modified xsi:type="dcterms:W3CDTF">2020-01-16T16:00:00Z</dcterms:modified>
</cp:coreProperties>
</file>