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037CA" w14:textId="76BD624A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</w:t>
      </w:r>
      <w:r w:rsidR="00F83405">
        <w:rPr>
          <w:rFonts w:ascii="Arial" w:hAnsi="Arial" w:cs="Arial"/>
          <w:b/>
          <w:sz w:val="22"/>
          <w:szCs w:val="22"/>
          <w:lang w:val="en-GB"/>
        </w:rPr>
        <w:t>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6F08DFB4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427ADEE2" w14:textId="5832BFE5" w:rsidR="00EC6F8D" w:rsidRPr="00293C60" w:rsidRDefault="00BA4EFD" w:rsidP="00EC6F8D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Fourteenth</w:t>
      </w:r>
      <w:r w:rsidR="00EC6F8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EC6F8D" w:rsidRPr="00293C60">
        <w:rPr>
          <w:rFonts w:ascii="Arial" w:hAnsi="Arial" w:cs="Arial"/>
          <w:b/>
          <w:sz w:val="22"/>
          <w:szCs w:val="22"/>
          <w:lang w:val="en-GB"/>
        </w:rPr>
        <w:t>session</w:t>
      </w:r>
    </w:p>
    <w:p w14:paraId="7EC5540C" w14:textId="41AEA374" w:rsidR="00AD4CB6" w:rsidRPr="00F83405" w:rsidRDefault="00BA4EFD" w:rsidP="0007013D">
      <w:pPr>
        <w:jc w:val="center"/>
        <w:rPr>
          <w:rFonts w:ascii="Arial" w:eastAsia="Malgun Gothic" w:hAnsi="Arial" w:cs="Arial"/>
          <w:b/>
          <w:sz w:val="22"/>
          <w:szCs w:val="22"/>
          <w:lang w:val="en-GB" w:eastAsia="ko-KR"/>
        </w:rPr>
      </w:pPr>
      <w:r>
        <w:rPr>
          <w:rFonts w:ascii="Arial" w:eastAsia="Malgun Gothic" w:hAnsi="Arial" w:cs="Arial"/>
          <w:b/>
          <w:sz w:val="22"/>
          <w:szCs w:val="22"/>
          <w:lang w:val="en-GB" w:eastAsia="ko-KR"/>
        </w:rPr>
        <w:t>Bogot</w:t>
      </w:r>
      <w:r w:rsidR="0007013D" w:rsidRPr="0007013D">
        <w:rPr>
          <w:rFonts w:ascii="Arial" w:eastAsia="Malgun Gothic" w:hAnsi="Arial" w:cs="Arial"/>
          <w:b/>
          <w:sz w:val="22"/>
          <w:szCs w:val="22"/>
          <w:lang w:val="en-GB" w:eastAsia="ko-KR"/>
        </w:rPr>
        <w:t>á</w:t>
      </w:r>
      <w:r w:rsidR="00F83405">
        <w:rPr>
          <w:rFonts w:ascii="Arial" w:eastAsia="Malgun Gothic" w:hAnsi="Arial" w:cs="Arial" w:hint="eastAsia"/>
          <w:b/>
          <w:sz w:val="22"/>
          <w:szCs w:val="22"/>
          <w:lang w:val="en-GB" w:eastAsia="ko-KR"/>
        </w:rPr>
        <w:t xml:space="preserve">, Republic of </w:t>
      </w:r>
      <w:r>
        <w:rPr>
          <w:rFonts w:ascii="Arial" w:eastAsia="Malgun Gothic" w:hAnsi="Arial" w:cs="Arial"/>
          <w:b/>
          <w:sz w:val="22"/>
          <w:szCs w:val="22"/>
          <w:lang w:val="en-GB" w:eastAsia="ko-KR"/>
        </w:rPr>
        <w:t>Colombia</w:t>
      </w:r>
    </w:p>
    <w:p w14:paraId="7336494A" w14:textId="32CBBC6C" w:rsidR="00EC6F8D" w:rsidRPr="00F83405" w:rsidRDefault="00BA4EFD" w:rsidP="00BA4EFD">
      <w:pPr>
        <w:jc w:val="center"/>
        <w:rPr>
          <w:rFonts w:ascii="Arial" w:eastAsia="Malgun Gothic" w:hAnsi="Arial" w:cs="Arial"/>
          <w:b/>
          <w:sz w:val="22"/>
          <w:szCs w:val="22"/>
          <w:lang w:val="en-GB" w:eastAsia="ko-KR"/>
        </w:rPr>
      </w:pPr>
      <w:proofErr w:type="gramStart"/>
      <w:r>
        <w:rPr>
          <w:rFonts w:ascii="Arial" w:hAnsi="Arial" w:cs="Arial"/>
          <w:b/>
          <w:sz w:val="22"/>
          <w:szCs w:val="22"/>
          <w:lang w:val="en-GB"/>
        </w:rPr>
        <w:t>9</w:t>
      </w:r>
      <w:proofErr w:type="gramEnd"/>
      <w:r w:rsidR="00D8250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EC6F8D" w:rsidRPr="00EC6F8D">
        <w:rPr>
          <w:rFonts w:ascii="Arial" w:hAnsi="Arial" w:cs="Arial"/>
          <w:b/>
          <w:sz w:val="22"/>
          <w:szCs w:val="22"/>
          <w:lang w:val="en-GB"/>
        </w:rPr>
        <w:t xml:space="preserve">to </w:t>
      </w:r>
      <w:r>
        <w:rPr>
          <w:rFonts w:ascii="Arial" w:hAnsi="Arial" w:cs="Arial"/>
          <w:b/>
          <w:sz w:val="22"/>
          <w:szCs w:val="22"/>
          <w:lang w:val="en-GB"/>
        </w:rPr>
        <w:t>14</w:t>
      </w:r>
      <w:r w:rsidR="00371DB5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F83405">
        <w:rPr>
          <w:rFonts w:ascii="Arial" w:hAnsi="Arial" w:cs="Arial"/>
          <w:b/>
          <w:sz w:val="22"/>
          <w:szCs w:val="22"/>
          <w:lang w:val="en-GB"/>
        </w:rPr>
        <w:t>December 201</w:t>
      </w:r>
      <w:r>
        <w:rPr>
          <w:rFonts w:ascii="Arial" w:eastAsia="Malgun Gothic" w:hAnsi="Arial" w:cs="Arial"/>
          <w:b/>
          <w:sz w:val="22"/>
          <w:szCs w:val="22"/>
          <w:lang w:val="en-GB" w:eastAsia="ko-KR"/>
        </w:rPr>
        <w:t>9</w:t>
      </w:r>
    </w:p>
    <w:p w14:paraId="04A6A2AF" w14:textId="77777777" w:rsidR="00EC6F8D" w:rsidRPr="00293C60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3526B3">
        <w:rPr>
          <w:rFonts w:ascii="Arial" w:hAnsi="Arial" w:cs="Arial"/>
          <w:b/>
          <w:sz w:val="22"/>
          <w:szCs w:val="22"/>
          <w:u w:val="single"/>
          <w:lang w:val="en-GB"/>
        </w:rPr>
        <w:t>2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of the Provisional Agenda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07BBBE5D" w14:textId="77777777" w:rsidR="00EC6F8D" w:rsidRPr="00293C60" w:rsidRDefault="003526B3" w:rsidP="00EC6F8D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526B3">
        <w:rPr>
          <w:rFonts w:ascii="Arial" w:hAnsi="Arial" w:cs="Arial"/>
          <w:b/>
          <w:sz w:val="22"/>
          <w:szCs w:val="22"/>
          <w:lang w:val="en-GB"/>
        </w:rPr>
        <w:t>Adoption of the agenda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E22E8D" w14:paraId="560373C3" w14:textId="77777777" w:rsidTr="00EC6F8D">
        <w:trPr>
          <w:jc w:val="center"/>
        </w:trPr>
        <w:tc>
          <w:tcPr>
            <w:tcW w:w="5670" w:type="dxa"/>
            <w:vAlign w:val="center"/>
          </w:tcPr>
          <w:p w14:paraId="48829E65" w14:textId="77777777" w:rsidR="00EC6F8D" w:rsidRPr="00293C60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3526B3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</w:tr>
    </w:tbl>
    <w:p w14:paraId="5D7CEF55" w14:textId="77777777" w:rsidR="003526B3" w:rsidRPr="003065A8" w:rsidRDefault="00655736" w:rsidP="00223882">
      <w:pPr>
        <w:pStyle w:val="COMPara"/>
        <w:jc w:val="both"/>
      </w:pPr>
      <w:r w:rsidRPr="00414643">
        <w:br w:type="page"/>
      </w:r>
      <w:r w:rsidR="003526B3" w:rsidRPr="003065A8">
        <w:lastRenderedPageBreak/>
        <w:t>The Committee may wish to adopt the following decision:</w:t>
      </w:r>
    </w:p>
    <w:p w14:paraId="1CF67483" w14:textId="67228E6D" w:rsidR="003526B3" w:rsidRPr="00FD624F" w:rsidRDefault="003526B3" w:rsidP="00223882">
      <w:pPr>
        <w:pStyle w:val="COMTitleDecision"/>
        <w:spacing w:before="360" w:after="240"/>
        <w:rPr>
          <w:rFonts w:eastAsia="SimSun"/>
        </w:rPr>
      </w:pPr>
      <w:r>
        <w:t>DRAFT DECISION 1</w:t>
      </w:r>
      <w:r w:rsidR="00BA4EFD">
        <w:rPr>
          <w:rFonts w:eastAsia="Malgun Gothic"/>
          <w:lang w:eastAsia="ko-KR"/>
        </w:rPr>
        <w:t>4</w:t>
      </w:r>
      <w:r>
        <w:t>.COM</w:t>
      </w:r>
      <w:r w:rsidRPr="00FD624F">
        <w:t xml:space="preserve"> </w:t>
      </w:r>
      <w:r>
        <w:t>2</w:t>
      </w:r>
    </w:p>
    <w:p w14:paraId="35E076E5" w14:textId="77777777" w:rsidR="003526B3" w:rsidRPr="00285BB4" w:rsidRDefault="003526B3" w:rsidP="00223882">
      <w:pPr>
        <w:pStyle w:val="COMPreambulaDecisions"/>
        <w:rPr>
          <w:rFonts w:eastAsia="SimSun"/>
        </w:rPr>
      </w:pPr>
      <w:r w:rsidRPr="00285BB4">
        <w:t>The Committee,</w:t>
      </w:r>
    </w:p>
    <w:p w14:paraId="7F3DF698" w14:textId="3BF44F58" w:rsidR="003526B3" w:rsidRDefault="003526B3" w:rsidP="0005091A">
      <w:pPr>
        <w:pStyle w:val="COMParaDecision"/>
        <w:rPr>
          <w:u w:val="none"/>
        </w:rPr>
      </w:pPr>
      <w:r w:rsidRPr="00345CB4">
        <w:t>Having examined</w:t>
      </w:r>
      <w:r w:rsidRPr="00C815F7">
        <w:rPr>
          <w:u w:val="none"/>
        </w:rPr>
        <w:t xml:space="preserve"> </w:t>
      </w:r>
      <w:r w:rsidR="0005091A">
        <w:rPr>
          <w:u w:val="none"/>
        </w:rPr>
        <w:t>D</w:t>
      </w:r>
      <w:r w:rsidRPr="003065A8">
        <w:rPr>
          <w:u w:val="none"/>
        </w:rPr>
        <w:t>oc</w:t>
      </w:r>
      <w:r>
        <w:rPr>
          <w:u w:val="none"/>
        </w:rPr>
        <w:t xml:space="preserve">ument </w:t>
      </w:r>
      <w:r w:rsidR="00DB547C">
        <w:rPr>
          <w:u w:val="none"/>
        </w:rPr>
        <w:t>LHE</w:t>
      </w:r>
      <w:r>
        <w:rPr>
          <w:u w:val="none"/>
        </w:rPr>
        <w:t>/1</w:t>
      </w:r>
      <w:r w:rsidR="00BA4EFD">
        <w:rPr>
          <w:rFonts w:eastAsia="Malgun Gothic"/>
          <w:u w:val="none"/>
          <w:lang w:eastAsia="ko-KR"/>
        </w:rPr>
        <w:t>9</w:t>
      </w:r>
      <w:r>
        <w:rPr>
          <w:u w:val="none"/>
        </w:rPr>
        <w:t>/1</w:t>
      </w:r>
      <w:r w:rsidR="00BA4EFD">
        <w:rPr>
          <w:rFonts w:eastAsia="Malgun Gothic"/>
          <w:u w:val="none"/>
          <w:lang w:eastAsia="ko-KR"/>
        </w:rPr>
        <w:t>4</w:t>
      </w:r>
      <w:r w:rsidRPr="003065A8">
        <w:rPr>
          <w:u w:val="none"/>
        </w:rPr>
        <w:t>.COM/2</w:t>
      </w:r>
      <w:r w:rsidR="005B7756">
        <w:rPr>
          <w:u w:val="none"/>
        </w:rPr>
        <w:t xml:space="preserve"> Rev.</w:t>
      </w:r>
      <w:bookmarkStart w:id="0" w:name="_GoBack"/>
      <w:bookmarkEnd w:id="0"/>
      <w:r w:rsidRPr="003065A8">
        <w:rPr>
          <w:u w:val="none"/>
        </w:rPr>
        <w:t>,</w:t>
      </w:r>
    </w:p>
    <w:p w14:paraId="072A2965" w14:textId="6F79EC04" w:rsidR="003526B3" w:rsidRPr="002925D4" w:rsidRDefault="003526B3" w:rsidP="00A30988">
      <w:pPr>
        <w:pStyle w:val="COMParaDecision"/>
      </w:pPr>
      <w:r>
        <w:t>Adopts</w:t>
      </w:r>
      <w:r w:rsidRPr="00AD4CB6">
        <w:rPr>
          <w:u w:val="none"/>
        </w:rPr>
        <w:t xml:space="preserve"> the agenda of its </w:t>
      </w:r>
      <w:r w:rsidR="00BA4EFD">
        <w:rPr>
          <w:u w:val="none"/>
        </w:rPr>
        <w:t>fourteenth</w:t>
      </w:r>
      <w:r w:rsidRPr="00AD4CB6">
        <w:rPr>
          <w:u w:val="none"/>
        </w:rPr>
        <w:t xml:space="preserve"> session (</w:t>
      </w:r>
      <w:proofErr w:type="spellStart"/>
      <w:r w:rsidR="00D37A24">
        <w:rPr>
          <w:u w:val="none"/>
        </w:rPr>
        <w:t>Bogo</w:t>
      </w:r>
      <w:r w:rsidR="00BA4EFD">
        <w:rPr>
          <w:rFonts w:eastAsia="Malgun Gothic"/>
          <w:u w:val="none"/>
          <w:lang w:eastAsia="ko-KR"/>
        </w:rPr>
        <w:t>t</w:t>
      </w:r>
      <w:proofErr w:type="spellEnd"/>
      <w:r w:rsidR="00D37A24" w:rsidRPr="00D37A24">
        <w:rPr>
          <w:rFonts w:eastAsia="Malgun Gothic"/>
          <w:bCs/>
          <w:u w:val="none"/>
          <w:lang w:val="en-US" w:eastAsia="ko-KR"/>
        </w:rPr>
        <w:t>á</w:t>
      </w:r>
      <w:r w:rsidRPr="00AD4CB6">
        <w:rPr>
          <w:u w:val="none"/>
        </w:rPr>
        <w:t xml:space="preserve">, </w:t>
      </w:r>
      <w:r w:rsidR="00F83405">
        <w:rPr>
          <w:rFonts w:eastAsia="Malgun Gothic" w:hint="eastAsia"/>
          <w:u w:val="none"/>
          <w:lang w:eastAsia="ko-KR"/>
        </w:rPr>
        <w:t xml:space="preserve">Republic of </w:t>
      </w:r>
      <w:r w:rsidR="00BA4EFD">
        <w:rPr>
          <w:rFonts w:eastAsia="Malgun Gothic"/>
          <w:u w:val="none"/>
          <w:lang w:eastAsia="ko-KR"/>
        </w:rPr>
        <w:t>Colombia</w:t>
      </w:r>
      <w:r w:rsidRPr="00AD4CB6">
        <w:rPr>
          <w:u w:val="none"/>
        </w:rPr>
        <w:t xml:space="preserve">, </w:t>
      </w:r>
      <w:r w:rsidR="00BA4EFD">
        <w:rPr>
          <w:u w:val="none"/>
        </w:rPr>
        <w:t>9</w:t>
      </w:r>
      <w:r w:rsidR="00A30988" w:rsidRPr="00AD4CB6">
        <w:rPr>
          <w:u w:val="none"/>
        </w:rPr>
        <w:t> </w:t>
      </w:r>
      <w:r w:rsidR="00F83405">
        <w:rPr>
          <w:u w:val="none"/>
        </w:rPr>
        <w:t>to</w:t>
      </w:r>
      <w:r w:rsidR="00A30988" w:rsidRPr="00AD4CB6">
        <w:rPr>
          <w:u w:val="none"/>
        </w:rPr>
        <w:t> </w:t>
      </w:r>
      <w:r w:rsidR="00BA4EFD">
        <w:rPr>
          <w:u w:val="none"/>
        </w:rPr>
        <w:t>14</w:t>
      </w:r>
      <w:r w:rsidR="00EC7BA8" w:rsidRPr="00AD4CB6">
        <w:rPr>
          <w:u w:val="none"/>
        </w:rPr>
        <w:t> </w:t>
      </w:r>
      <w:r w:rsidRPr="00AD4CB6">
        <w:rPr>
          <w:u w:val="none"/>
        </w:rPr>
        <w:t>D</w:t>
      </w:r>
      <w:r w:rsidR="000755D8" w:rsidRPr="00AD4CB6">
        <w:rPr>
          <w:u w:val="none"/>
        </w:rPr>
        <w:t>ecember </w:t>
      </w:r>
      <w:r w:rsidR="00F83405">
        <w:rPr>
          <w:u w:val="none"/>
        </w:rPr>
        <w:t>201</w:t>
      </w:r>
      <w:r w:rsidR="00BA4EFD">
        <w:rPr>
          <w:rFonts w:eastAsia="Malgun Gothic"/>
          <w:u w:val="none"/>
          <w:lang w:eastAsia="ko-KR"/>
        </w:rPr>
        <w:t>9</w:t>
      </w:r>
      <w:r w:rsidRPr="00AD4CB6">
        <w:rPr>
          <w:u w:val="none"/>
        </w:rPr>
        <w:t>) as follows:</w:t>
      </w:r>
    </w:p>
    <w:p w14:paraId="7782CB0D" w14:textId="77777777" w:rsidR="003526B3" w:rsidRPr="00353D32" w:rsidRDefault="003526B3" w:rsidP="009C2013">
      <w:pPr>
        <w:tabs>
          <w:tab w:val="left" w:pos="1134"/>
        </w:tabs>
        <w:spacing w:before="360" w:after="240"/>
        <w:ind w:left="1134" w:hanging="567"/>
        <w:outlineLvl w:val="0"/>
        <w:rPr>
          <w:rFonts w:ascii="Arial" w:eastAsia="SimSun" w:hAnsi="Arial" w:cs="Arial"/>
          <w:b/>
          <w:noProof/>
          <w:sz w:val="22"/>
          <w:szCs w:val="22"/>
          <w:lang w:val="en-GB"/>
        </w:rPr>
      </w:pPr>
      <w:r>
        <w:rPr>
          <w:rFonts w:ascii="Arial" w:eastAsia="SimSun" w:hAnsi="Arial" w:cs="Arial"/>
          <w:b/>
          <w:noProof/>
          <w:sz w:val="22"/>
          <w:szCs w:val="22"/>
          <w:lang w:val="en-GB"/>
        </w:rPr>
        <w:t>Agenda</w:t>
      </w:r>
    </w:p>
    <w:p w14:paraId="6FB496E0" w14:textId="77777777" w:rsidR="003526B3" w:rsidRPr="004C4757" w:rsidRDefault="003526B3" w:rsidP="004C4757">
      <w:pPr>
        <w:pStyle w:val="COMParaDecision"/>
        <w:numPr>
          <w:ilvl w:val="0"/>
          <w:numId w:val="37"/>
        </w:numPr>
        <w:spacing w:after="160"/>
        <w:ind w:left="1134" w:hanging="567"/>
        <w:rPr>
          <w:noProof/>
          <w:u w:val="none"/>
        </w:rPr>
      </w:pPr>
      <w:r w:rsidRPr="004C4757">
        <w:rPr>
          <w:noProof/>
          <w:u w:val="none"/>
        </w:rPr>
        <w:t>Opening</w:t>
      </w:r>
    </w:p>
    <w:p w14:paraId="7E0CF19A" w14:textId="77777777" w:rsidR="003526B3" w:rsidRPr="004C4757" w:rsidRDefault="003526B3" w:rsidP="004C4757">
      <w:pPr>
        <w:pStyle w:val="COMParaDecision"/>
        <w:spacing w:after="160"/>
        <w:rPr>
          <w:noProof/>
          <w:u w:val="none"/>
        </w:rPr>
      </w:pPr>
      <w:r w:rsidRPr="004C4757">
        <w:rPr>
          <w:noProof/>
          <w:u w:val="none"/>
        </w:rPr>
        <w:t>Adoption of the agenda</w:t>
      </w:r>
    </w:p>
    <w:p w14:paraId="519DA63E" w14:textId="77777777" w:rsidR="003526B3" w:rsidRPr="004C4757" w:rsidRDefault="003526B3" w:rsidP="004C4757">
      <w:pPr>
        <w:pStyle w:val="COMParaDecision"/>
        <w:spacing w:after="160"/>
        <w:rPr>
          <w:noProof/>
          <w:u w:val="none"/>
        </w:rPr>
      </w:pPr>
      <w:r w:rsidRPr="004C4757">
        <w:rPr>
          <w:noProof/>
          <w:u w:val="none"/>
        </w:rPr>
        <w:t>Observers</w:t>
      </w:r>
    </w:p>
    <w:p w14:paraId="27FF77C2" w14:textId="52448525" w:rsidR="003526B3" w:rsidRPr="004C4757" w:rsidRDefault="003526B3" w:rsidP="004C4757">
      <w:pPr>
        <w:pStyle w:val="COMParaDecision"/>
        <w:spacing w:after="160"/>
        <w:rPr>
          <w:noProof/>
          <w:u w:val="none"/>
        </w:rPr>
      </w:pPr>
      <w:r w:rsidRPr="004C4757">
        <w:rPr>
          <w:noProof/>
          <w:u w:val="none"/>
        </w:rPr>
        <w:t xml:space="preserve">Adoption of the summary records of the </w:t>
      </w:r>
      <w:r w:rsidR="00D1272F" w:rsidRPr="004C4757">
        <w:rPr>
          <w:rFonts w:eastAsia="Malgun Gothic"/>
          <w:noProof/>
          <w:u w:val="none"/>
          <w:lang w:eastAsia="ko-KR"/>
        </w:rPr>
        <w:t>thirteenth</w:t>
      </w:r>
      <w:r w:rsidRPr="004C4757">
        <w:rPr>
          <w:noProof/>
          <w:u w:val="none"/>
        </w:rPr>
        <w:t xml:space="preserve"> session of the Committee</w:t>
      </w:r>
    </w:p>
    <w:p w14:paraId="7D04C905" w14:textId="3485815D" w:rsidR="00DA133E" w:rsidRPr="004C4757" w:rsidRDefault="00DA133E" w:rsidP="004C4757">
      <w:pPr>
        <w:pStyle w:val="COMParaDecision"/>
        <w:spacing w:after="160"/>
        <w:rPr>
          <w:noProof/>
          <w:u w:val="none"/>
        </w:rPr>
      </w:pPr>
      <w:r w:rsidRPr="004C4757">
        <w:rPr>
          <w:noProof/>
          <w:u w:val="none"/>
        </w:rPr>
        <w:t xml:space="preserve">Reports of the Committee and </w:t>
      </w:r>
      <w:r w:rsidR="004461C9" w:rsidRPr="004C4757">
        <w:rPr>
          <w:noProof/>
          <w:u w:val="none"/>
        </w:rPr>
        <w:t xml:space="preserve">the </w:t>
      </w:r>
      <w:r w:rsidRPr="004C4757">
        <w:rPr>
          <w:noProof/>
          <w:u w:val="none"/>
        </w:rPr>
        <w:t>Secretariat</w:t>
      </w:r>
    </w:p>
    <w:p w14:paraId="3BA0AE04" w14:textId="3B6A843D" w:rsidR="00DA133E" w:rsidRPr="004C4757" w:rsidRDefault="00DA133E" w:rsidP="004C4757">
      <w:pPr>
        <w:pStyle w:val="COMParaDecision"/>
        <w:numPr>
          <w:ilvl w:val="0"/>
          <w:numId w:val="38"/>
        </w:numPr>
        <w:spacing w:after="160"/>
        <w:ind w:left="1701" w:hanging="567"/>
        <w:rPr>
          <w:noProof/>
          <w:u w:val="none"/>
        </w:rPr>
      </w:pPr>
      <w:r w:rsidRPr="004C4757">
        <w:rPr>
          <w:noProof/>
          <w:u w:val="none"/>
        </w:rPr>
        <w:t xml:space="preserve">Report by the Committee to the General Assembly on its activities </w:t>
      </w:r>
      <w:r w:rsidRPr="004C4757">
        <w:rPr>
          <w:noProof/>
          <w:u w:val="none"/>
        </w:rPr>
        <w:br/>
        <w:t>(</w:t>
      </w:r>
      <w:r w:rsidR="00CB7432" w:rsidRPr="004C4757">
        <w:rPr>
          <w:noProof/>
          <w:u w:val="none"/>
        </w:rPr>
        <w:t xml:space="preserve">January </w:t>
      </w:r>
      <w:r w:rsidRPr="004C4757">
        <w:rPr>
          <w:noProof/>
          <w:u w:val="none"/>
        </w:rPr>
        <w:t>201</w:t>
      </w:r>
      <w:r w:rsidR="004C4757" w:rsidRPr="004C4757">
        <w:rPr>
          <w:noProof/>
          <w:u w:val="none"/>
        </w:rPr>
        <w:t>8</w:t>
      </w:r>
      <w:r w:rsidRPr="004C4757">
        <w:rPr>
          <w:noProof/>
          <w:u w:val="none"/>
        </w:rPr>
        <w:t xml:space="preserve"> to </w:t>
      </w:r>
      <w:r w:rsidR="00CB7432" w:rsidRPr="004C4757">
        <w:rPr>
          <w:noProof/>
          <w:u w:val="none"/>
        </w:rPr>
        <w:t>December</w:t>
      </w:r>
      <w:r w:rsidRPr="004C4757">
        <w:rPr>
          <w:noProof/>
          <w:u w:val="none"/>
        </w:rPr>
        <w:t xml:space="preserve"> </w:t>
      </w:r>
      <w:r w:rsidR="00CB7432" w:rsidRPr="004C4757">
        <w:rPr>
          <w:noProof/>
          <w:u w:val="none"/>
        </w:rPr>
        <w:t>201</w:t>
      </w:r>
      <w:r w:rsidR="004C4757" w:rsidRPr="004C4757">
        <w:rPr>
          <w:rFonts w:eastAsia="Malgun Gothic"/>
          <w:noProof/>
          <w:u w:val="none"/>
          <w:lang w:eastAsia="ko-KR"/>
        </w:rPr>
        <w:t>9</w:t>
      </w:r>
      <w:r w:rsidRPr="004C4757">
        <w:rPr>
          <w:noProof/>
          <w:u w:val="none"/>
        </w:rPr>
        <w:t>)</w:t>
      </w:r>
    </w:p>
    <w:p w14:paraId="1E40AA32" w14:textId="1CD238D2" w:rsidR="00DA133E" w:rsidRPr="004C4757" w:rsidRDefault="00DA133E" w:rsidP="004C4757">
      <w:pPr>
        <w:pStyle w:val="COMParaDecision"/>
        <w:numPr>
          <w:ilvl w:val="0"/>
          <w:numId w:val="38"/>
        </w:numPr>
        <w:spacing w:after="160"/>
        <w:ind w:left="1701" w:hanging="567"/>
        <w:rPr>
          <w:noProof/>
          <w:u w:val="none"/>
        </w:rPr>
      </w:pPr>
      <w:r w:rsidRPr="004C4757">
        <w:rPr>
          <w:noProof/>
          <w:u w:val="none"/>
        </w:rPr>
        <w:t>Report by the Secretariat on its activities</w:t>
      </w:r>
      <w:r w:rsidR="00D37A24">
        <w:rPr>
          <w:noProof/>
          <w:u w:val="none"/>
        </w:rPr>
        <w:t xml:space="preserve"> (January 2018 to June 2019)</w:t>
      </w:r>
    </w:p>
    <w:p w14:paraId="31CDF25E" w14:textId="247C1647" w:rsidR="00DA133E" w:rsidRPr="004C4757" w:rsidRDefault="00DA133E" w:rsidP="004C4757">
      <w:pPr>
        <w:pStyle w:val="COMParaDecision"/>
        <w:spacing w:after="160"/>
        <w:rPr>
          <w:noProof/>
          <w:u w:val="none"/>
        </w:rPr>
      </w:pPr>
      <w:r w:rsidRPr="004C4757">
        <w:rPr>
          <w:noProof/>
          <w:u w:val="none"/>
        </w:rPr>
        <w:t>Intangible Cultural Heritage Fund</w:t>
      </w:r>
      <w:r w:rsidR="004C4757" w:rsidRPr="004C4757">
        <w:rPr>
          <w:noProof/>
          <w:u w:val="none"/>
        </w:rPr>
        <w:t>: voluntary supplementary contributions and other issues</w:t>
      </w:r>
    </w:p>
    <w:p w14:paraId="44D7CE73" w14:textId="063CF687" w:rsidR="00DA133E" w:rsidRPr="004C4757" w:rsidRDefault="00DA133E" w:rsidP="004C4757">
      <w:pPr>
        <w:pStyle w:val="COMParaDecision"/>
        <w:spacing w:after="160"/>
        <w:rPr>
          <w:noProof/>
          <w:u w:val="none"/>
        </w:rPr>
      </w:pPr>
      <w:r w:rsidRPr="004C4757">
        <w:rPr>
          <w:noProof/>
          <w:u w:val="none"/>
        </w:rPr>
        <w:t xml:space="preserve">Draft plan for the use of the resources of the Intangible Cultural Heritage Fund </w:t>
      </w:r>
      <w:r w:rsidRPr="004C4757">
        <w:rPr>
          <w:noProof/>
          <w:u w:val="none"/>
        </w:rPr>
        <w:br/>
        <w:t>in 20</w:t>
      </w:r>
      <w:r w:rsidR="004C4757" w:rsidRPr="004C4757">
        <w:rPr>
          <w:noProof/>
          <w:u w:val="none"/>
        </w:rPr>
        <w:t>20–2021</w:t>
      </w:r>
    </w:p>
    <w:p w14:paraId="683E43B9" w14:textId="33603DE7" w:rsidR="002635A3" w:rsidRDefault="00926FFF" w:rsidP="00926FFF">
      <w:pPr>
        <w:pStyle w:val="COMParaDecision"/>
        <w:spacing w:after="160"/>
        <w:rPr>
          <w:noProof/>
          <w:u w:val="none"/>
          <w:lang w:eastAsia="en-US"/>
        </w:rPr>
      </w:pPr>
      <w:r>
        <w:rPr>
          <w:noProof/>
          <w:u w:val="none"/>
          <w:lang w:eastAsia="en-US"/>
        </w:rPr>
        <w:t xml:space="preserve">Reform of the periodic reporting mechanism </w:t>
      </w:r>
    </w:p>
    <w:p w14:paraId="2617E480" w14:textId="77777777" w:rsidR="003526B3" w:rsidRPr="004C4757" w:rsidRDefault="003526B3" w:rsidP="004C4757">
      <w:pPr>
        <w:pStyle w:val="COMParaDecision"/>
        <w:spacing w:after="160"/>
        <w:rPr>
          <w:noProof/>
          <w:u w:val="none"/>
        </w:rPr>
      </w:pPr>
      <w:r w:rsidRPr="004C4757">
        <w:rPr>
          <w:noProof/>
          <w:u w:val="none"/>
        </w:rPr>
        <w:t>Reports of States Parties</w:t>
      </w:r>
    </w:p>
    <w:p w14:paraId="6CB3686A" w14:textId="0BC3DE53" w:rsidR="00865C84" w:rsidRPr="004C4757" w:rsidRDefault="00865C84" w:rsidP="007C0663">
      <w:pPr>
        <w:pStyle w:val="COMParaDecision"/>
        <w:numPr>
          <w:ilvl w:val="0"/>
          <w:numId w:val="39"/>
        </w:numPr>
        <w:spacing w:after="160"/>
        <w:ind w:left="1701" w:hanging="567"/>
        <w:rPr>
          <w:u w:val="none"/>
          <w:lang w:val="en-US"/>
        </w:rPr>
      </w:pPr>
      <w:r w:rsidRPr="004C4757">
        <w:rPr>
          <w:u w:val="none"/>
          <w:lang w:val="en-US"/>
        </w:rPr>
        <w:t xml:space="preserve">Examination of the reports of States Parties on the current status of elements inscribed on the List of Intangible Cultural </w:t>
      </w:r>
      <w:r w:rsidRPr="004C4757">
        <w:rPr>
          <w:noProof/>
          <w:u w:val="none"/>
        </w:rPr>
        <w:t>Heritage</w:t>
      </w:r>
      <w:r w:rsidRPr="004C4757">
        <w:rPr>
          <w:u w:val="none"/>
          <w:lang w:val="en-US"/>
        </w:rPr>
        <w:t xml:space="preserve"> in Need of Urgent Safeguarding</w:t>
      </w:r>
    </w:p>
    <w:p w14:paraId="06A50A00" w14:textId="77777777" w:rsidR="004C4757" w:rsidRPr="004C4757" w:rsidRDefault="004C4757" w:rsidP="007C0663">
      <w:pPr>
        <w:pStyle w:val="COMParaDecision"/>
        <w:numPr>
          <w:ilvl w:val="0"/>
          <w:numId w:val="39"/>
        </w:numPr>
        <w:spacing w:after="160"/>
        <w:ind w:left="1701" w:hanging="567"/>
        <w:rPr>
          <w:u w:val="none"/>
          <w:lang w:val="en"/>
        </w:rPr>
      </w:pPr>
      <w:r w:rsidRPr="004C4757">
        <w:rPr>
          <w:noProof/>
          <w:u w:val="none"/>
        </w:rPr>
        <w:t>Reports of States Parties on the use of International Assistance from the Intangible Cultural Heritage Fund</w:t>
      </w:r>
    </w:p>
    <w:p w14:paraId="76BE1060" w14:textId="7F7B27D7" w:rsidR="003526B3" w:rsidRPr="004C4757" w:rsidRDefault="003526B3" w:rsidP="004C4757">
      <w:pPr>
        <w:pStyle w:val="COMParaDecision"/>
        <w:spacing w:after="160"/>
        <w:rPr>
          <w:noProof/>
          <w:u w:val="none"/>
        </w:rPr>
      </w:pPr>
      <w:r w:rsidRPr="004C4757">
        <w:rPr>
          <w:noProof/>
          <w:u w:val="none"/>
        </w:rPr>
        <w:t>Report of the Evaluation Body on its work in 201</w:t>
      </w:r>
      <w:r w:rsidR="004C4757" w:rsidRPr="004C4757">
        <w:rPr>
          <w:rFonts w:eastAsia="Malgun Gothic"/>
          <w:noProof/>
          <w:u w:val="none"/>
          <w:lang w:eastAsia="ko-KR"/>
        </w:rPr>
        <w:t>9</w:t>
      </w:r>
    </w:p>
    <w:p w14:paraId="74871DF2" w14:textId="77777777" w:rsidR="003526B3" w:rsidRPr="004C4757" w:rsidRDefault="003526B3" w:rsidP="007C0663">
      <w:pPr>
        <w:pStyle w:val="COMParaDecision"/>
        <w:numPr>
          <w:ilvl w:val="0"/>
          <w:numId w:val="40"/>
        </w:numPr>
        <w:spacing w:after="160"/>
        <w:ind w:left="1701" w:hanging="567"/>
        <w:rPr>
          <w:noProof/>
          <w:u w:val="none"/>
        </w:rPr>
      </w:pPr>
      <w:r w:rsidRPr="004C4757">
        <w:rPr>
          <w:noProof/>
          <w:u w:val="none"/>
        </w:rPr>
        <w:t>Examination of nominations for inscription on the List of Intangible Cultural Heritage in Need of Urgent Safeguarding</w:t>
      </w:r>
    </w:p>
    <w:p w14:paraId="7E94BC7B" w14:textId="77777777" w:rsidR="003526B3" w:rsidRPr="004C4757" w:rsidRDefault="003526B3" w:rsidP="007C0663">
      <w:pPr>
        <w:pStyle w:val="COMParaDecision"/>
        <w:numPr>
          <w:ilvl w:val="0"/>
          <w:numId w:val="40"/>
        </w:numPr>
        <w:spacing w:after="160"/>
        <w:ind w:left="1701" w:hanging="567"/>
        <w:rPr>
          <w:noProof/>
          <w:u w:val="none"/>
        </w:rPr>
      </w:pPr>
      <w:r w:rsidRPr="004C4757">
        <w:rPr>
          <w:noProof/>
          <w:u w:val="none"/>
        </w:rPr>
        <w:t>Examination of nominations for inscription on the Representative List of the Intangible Cultural Heritage of Humanity</w:t>
      </w:r>
    </w:p>
    <w:p w14:paraId="641A3D59" w14:textId="77777777" w:rsidR="004C4757" w:rsidRPr="004C4757" w:rsidRDefault="004C4757" w:rsidP="007C0663">
      <w:pPr>
        <w:pStyle w:val="COMParaDecision"/>
        <w:numPr>
          <w:ilvl w:val="0"/>
          <w:numId w:val="40"/>
        </w:numPr>
        <w:spacing w:after="160"/>
        <w:ind w:left="1701" w:hanging="567"/>
        <w:rPr>
          <w:rFonts w:eastAsia="Malgun Gothic"/>
          <w:noProof/>
          <w:u w:val="none"/>
          <w:lang w:eastAsia="ko-KR"/>
        </w:rPr>
      </w:pPr>
      <w:r w:rsidRPr="004C4757">
        <w:rPr>
          <w:noProof/>
          <w:u w:val="none"/>
        </w:rPr>
        <w:t>Examination of</w:t>
      </w:r>
      <w:r w:rsidRPr="004C4757">
        <w:rPr>
          <w:rFonts w:eastAsia="Malgun Gothic" w:hint="eastAsia"/>
          <w:noProof/>
          <w:u w:val="none"/>
          <w:lang w:eastAsia="ko-KR"/>
        </w:rPr>
        <w:t xml:space="preserve"> proposals to the</w:t>
      </w:r>
      <w:r w:rsidRPr="004C4757">
        <w:rPr>
          <w:noProof/>
          <w:u w:val="none"/>
        </w:rPr>
        <w:t xml:space="preserve"> </w:t>
      </w:r>
      <w:r w:rsidRPr="004C4757">
        <w:rPr>
          <w:rFonts w:eastAsia="Malgun Gothic" w:hint="eastAsia"/>
          <w:noProof/>
          <w:u w:val="none"/>
          <w:lang w:eastAsia="ko-KR"/>
        </w:rPr>
        <w:t>Register of Good Safeguarding Practices</w:t>
      </w:r>
    </w:p>
    <w:p w14:paraId="2B0FA65B" w14:textId="77777777" w:rsidR="00D94F0F" w:rsidRPr="004C4757" w:rsidRDefault="00D94F0F" w:rsidP="007C0663">
      <w:pPr>
        <w:pStyle w:val="COMParaDecision"/>
        <w:numPr>
          <w:ilvl w:val="0"/>
          <w:numId w:val="40"/>
        </w:numPr>
        <w:spacing w:after="160"/>
        <w:ind w:left="1701" w:hanging="567"/>
        <w:rPr>
          <w:rFonts w:eastAsia="Malgun Gothic"/>
          <w:noProof/>
          <w:u w:val="none"/>
          <w:lang w:eastAsia="ko-KR"/>
        </w:rPr>
      </w:pPr>
      <w:r w:rsidRPr="004C4757">
        <w:rPr>
          <w:rFonts w:eastAsia="Malgun Gothic" w:hint="eastAsia"/>
          <w:noProof/>
          <w:u w:val="none"/>
          <w:lang w:eastAsia="ko-KR"/>
        </w:rPr>
        <w:t>Examination of requests for International Assistance</w:t>
      </w:r>
    </w:p>
    <w:p w14:paraId="7E0C29EB" w14:textId="1AFB8834" w:rsidR="00527F17" w:rsidRPr="00DD5C18" w:rsidRDefault="00527F17" w:rsidP="00AB0607">
      <w:pPr>
        <w:pStyle w:val="COMParaDecision"/>
        <w:spacing w:after="160"/>
        <w:rPr>
          <w:noProof/>
          <w:u w:val="none"/>
          <w:lang w:eastAsia="en-US"/>
        </w:rPr>
      </w:pPr>
      <w:r w:rsidRPr="00DD5C18">
        <w:rPr>
          <w:noProof/>
          <w:u w:val="none"/>
          <w:lang w:eastAsia="en-US"/>
        </w:rPr>
        <w:t>Modification of the name of an inscribed element</w:t>
      </w:r>
    </w:p>
    <w:p w14:paraId="55A3EFD3" w14:textId="75ACB798" w:rsidR="00AB0607" w:rsidRDefault="00AB0607" w:rsidP="00AB0607">
      <w:pPr>
        <w:pStyle w:val="COMParaDecision"/>
        <w:spacing w:after="160"/>
        <w:rPr>
          <w:noProof/>
          <w:u w:val="none"/>
          <w:lang w:eastAsia="en-US"/>
        </w:rPr>
      </w:pPr>
      <w:r>
        <w:rPr>
          <w:noProof/>
          <w:u w:val="none"/>
          <w:lang w:eastAsia="en-US"/>
        </w:rPr>
        <w:t>F</w:t>
      </w:r>
      <w:r w:rsidRPr="00AB0607">
        <w:rPr>
          <w:noProof/>
          <w:u w:val="none"/>
          <w:lang w:val="en-US" w:eastAsia="en-US"/>
        </w:rPr>
        <w:t xml:space="preserve">ollow-up </w:t>
      </w:r>
      <w:r w:rsidR="00387DD5" w:rsidRPr="00AB0607">
        <w:rPr>
          <w:noProof/>
          <w:u w:val="none"/>
          <w:lang w:val="en-US" w:eastAsia="en-US"/>
        </w:rPr>
        <w:t>o</w:t>
      </w:r>
      <w:r w:rsidR="00387DD5">
        <w:rPr>
          <w:noProof/>
          <w:u w:val="none"/>
          <w:lang w:val="en-US" w:eastAsia="en-US"/>
        </w:rPr>
        <w:t>n</w:t>
      </w:r>
      <w:r w:rsidR="00387DD5" w:rsidRPr="00AB0607">
        <w:rPr>
          <w:noProof/>
          <w:u w:val="none"/>
          <w:lang w:val="en-US" w:eastAsia="en-US"/>
        </w:rPr>
        <w:t xml:space="preserve"> </w:t>
      </w:r>
      <w:r w:rsidRPr="00AB0607">
        <w:rPr>
          <w:noProof/>
          <w:u w:val="none"/>
          <w:lang w:val="en-US" w:eastAsia="en-US"/>
        </w:rPr>
        <w:t xml:space="preserve">elements </w:t>
      </w:r>
      <w:r w:rsidR="00B11069" w:rsidRPr="00AB0607">
        <w:rPr>
          <w:noProof/>
          <w:u w:val="none"/>
          <w:lang w:val="en-US" w:eastAsia="en-US"/>
        </w:rPr>
        <w:t xml:space="preserve">inscribed </w:t>
      </w:r>
      <w:r w:rsidRPr="00AB0607">
        <w:rPr>
          <w:noProof/>
          <w:u w:val="none"/>
          <w:lang w:val="en-US" w:eastAsia="en-US"/>
        </w:rPr>
        <w:t>on the Lists of the Convention</w:t>
      </w:r>
    </w:p>
    <w:p w14:paraId="42024B4F" w14:textId="470D2AA3" w:rsidR="00926FFF" w:rsidRDefault="00926FFF" w:rsidP="00C149F9">
      <w:pPr>
        <w:pStyle w:val="COMParaDecision"/>
        <w:spacing w:after="160"/>
        <w:rPr>
          <w:noProof/>
          <w:u w:val="none"/>
          <w:lang w:eastAsia="en-US"/>
        </w:rPr>
      </w:pPr>
      <w:r w:rsidRPr="004C4757">
        <w:rPr>
          <w:noProof/>
          <w:u w:val="none"/>
          <w:lang w:eastAsia="en-US"/>
        </w:rPr>
        <w:t>Intangible cultural heritage in emergencies</w:t>
      </w:r>
    </w:p>
    <w:p w14:paraId="65D22A45" w14:textId="6BB2B623" w:rsidR="009678B4" w:rsidRPr="004C4757" w:rsidRDefault="00D37A24" w:rsidP="00C149F9">
      <w:pPr>
        <w:pStyle w:val="COMParaDecision"/>
        <w:spacing w:after="160"/>
        <w:rPr>
          <w:noProof/>
          <w:u w:val="none"/>
          <w:lang w:eastAsia="en-US"/>
        </w:rPr>
      </w:pPr>
      <w:r>
        <w:rPr>
          <w:noProof/>
          <w:u w:val="none"/>
          <w:lang w:eastAsia="en-US"/>
        </w:rPr>
        <w:t>Reflection</w:t>
      </w:r>
      <w:r w:rsidR="009678B4">
        <w:rPr>
          <w:noProof/>
          <w:u w:val="none"/>
          <w:lang w:eastAsia="en-US"/>
        </w:rPr>
        <w:t xml:space="preserve"> on</w:t>
      </w:r>
      <w:r w:rsidR="00B11069">
        <w:rPr>
          <w:noProof/>
          <w:u w:val="none"/>
          <w:lang w:eastAsia="en-US"/>
        </w:rPr>
        <w:t xml:space="preserve"> the</w:t>
      </w:r>
      <w:r w:rsidR="009678B4">
        <w:rPr>
          <w:noProof/>
          <w:u w:val="none"/>
          <w:lang w:eastAsia="en-US"/>
        </w:rPr>
        <w:t xml:space="preserve"> listin</w:t>
      </w:r>
      <w:r w:rsidR="00C95558">
        <w:rPr>
          <w:noProof/>
          <w:u w:val="none"/>
          <w:lang w:eastAsia="en-US"/>
        </w:rPr>
        <w:t>g</w:t>
      </w:r>
      <w:r w:rsidR="00C149F9">
        <w:rPr>
          <w:noProof/>
          <w:u w:val="none"/>
          <w:lang w:eastAsia="en-US"/>
        </w:rPr>
        <w:t xml:space="preserve"> mechanism</w:t>
      </w:r>
      <w:r w:rsidR="00C62094">
        <w:rPr>
          <w:noProof/>
          <w:u w:val="none"/>
          <w:lang w:eastAsia="en-US"/>
        </w:rPr>
        <w:t>s</w:t>
      </w:r>
      <w:r w:rsidR="00C149F9">
        <w:rPr>
          <w:noProof/>
          <w:u w:val="none"/>
          <w:lang w:eastAsia="en-US"/>
        </w:rPr>
        <w:t xml:space="preserve"> of the Convention</w:t>
      </w:r>
    </w:p>
    <w:p w14:paraId="545C0F84" w14:textId="77777777" w:rsidR="00926FFF" w:rsidRDefault="00926FFF" w:rsidP="00926FFF">
      <w:pPr>
        <w:pStyle w:val="COMParaDecision"/>
        <w:spacing w:after="160"/>
        <w:rPr>
          <w:noProof/>
          <w:u w:val="none"/>
          <w:lang w:eastAsia="en-US"/>
        </w:rPr>
      </w:pPr>
      <w:r w:rsidRPr="002635A3">
        <w:rPr>
          <w:noProof/>
          <w:u w:val="none"/>
          <w:lang w:val="en-US" w:eastAsia="en-US"/>
        </w:rPr>
        <w:lastRenderedPageBreak/>
        <w:t xml:space="preserve">Reflection on the participation of </w:t>
      </w:r>
      <w:r w:rsidRPr="004C4757">
        <w:rPr>
          <w:noProof/>
          <w:u w:val="none"/>
          <w:lang w:eastAsia="en-US"/>
        </w:rPr>
        <w:t>non-governmental organizations</w:t>
      </w:r>
      <w:r w:rsidRPr="002635A3">
        <w:rPr>
          <w:noProof/>
          <w:u w:val="none"/>
          <w:lang w:val="en-US" w:eastAsia="en-US"/>
        </w:rPr>
        <w:t xml:space="preserve"> in the implementation of the Convention</w:t>
      </w:r>
    </w:p>
    <w:p w14:paraId="6E302329" w14:textId="25775D5E" w:rsidR="003259EB" w:rsidRPr="004C4757" w:rsidRDefault="003259EB" w:rsidP="004C4757">
      <w:pPr>
        <w:pStyle w:val="COMParaDecision"/>
        <w:spacing w:after="160"/>
        <w:rPr>
          <w:noProof/>
          <w:u w:val="none"/>
          <w:lang w:eastAsia="en-US"/>
        </w:rPr>
      </w:pPr>
      <w:r w:rsidRPr="004C4757">
        <w:rPr>
          <w:noProof/>
          <w:u w:val="none"/>
          <w:lang w:eastAsia="en-US"/>
        </w:rPr>
        <w:t>Report of th</w:t>
      </w:r>
      <w:r w:rsidR="00263C1E" w:rsidRPr="004C4757">
        <w:rPr>
          <w:noProof/>
          <w:u w:val="none"/>
          <w:lang w:eastAsia="en-US"/>
        </w:rPr>
        <w:t xml:space="preserve">e informal </w:t>
      </w:r>
      <w:r w:rsidR="004461C9" w:rsidRPr="004C4757">
        <w:rPr>
          <w:noProof/>
          <w:u w:val="none"/>
          <w:lang w:eastAsia="en-US"/>
        </w:rPr>
        <w:t xml:space="preserve">ad </w:t>
      </w:r>
      <w:r w:rsidR="00263C1E" w:rsidRPr="004C4757">
        <w:rPr>
          <w:noProof/>
          <w:u w:val="none"/>
          <w:lang w:eastAsia="en-US"/>
        </w:rPr>
        <w:t xml:space="preserve">hoc </w:t>
      </w:r>
      <w:r w:rsidR="00BE0602">
        <w:rPr>
          <w:noProof/>
          <w:u w:val="none"/>
          <w:lang w:eastAsia="en-US"/>
        </w:rPr>
        <w:t xml:space="preserve">open-ended </w:t>
      </w:r>
      <w:r w:rsidR="004461C9" w:rsidRPr="004C4757">
        <w:rPr>
          <w:noProof/>
          <w:u w:val="none"/>
          <w:lang w:eastAsia="en-US"/>
        </w:rPr>
        <w:t>working group</w:t>
      </w:r>
    </w:p>
    <w:p w14:paraId="066EEC11" w14:textId="3ABDDB88" w:rsidR="00091C86" w:rsidRPr="004C4757" w:rsidRDefault="00091C86" w:rsidP="004C4757">
      <w:pPr>
        <w:pStyle w:val="COMParaDecision"/>
        <w:spacing w:after="160"/>
        <w:rPr>
          <w:noProof/>
          <w:u w:val="none"/>
          <w:lang w:eastAsia="en-US"/>
        </w:rPr>
      </w:pPr>
      <w:r w:rsidRPr="004C4757">
        <w:rPr>
          <w:noProof/>
          <w:u w:val="none"/>
          <w:lang w:eastAsia="en-US"/>
        </w:rPr>
        <w:t>Accreditation of new non-governmental organizations and review of accredited non-governmental organizations</w:t>
      </w:r>
    </w:p>
    <w:p w14:paraId="192A69F0" w14:textId="1FAD56A1" w:rsidR="003526B3" w:rsidRDefault="003526B3" w:rsidP="007C0663">
      <w:pPr>
        <w:pStyle w:val="COMParaDecision"/>
        <w:spacing w:after="160"/>
        <w:rPr>
          <w:noProof/>
          <w:u w:val="none"/>
          <w:lang w:eastAsia="en-US"/>
        </w:rPr>
      </w:pPr>
      <w:r w:rsidRPr="004C4757">
        <w:rPr>
          <w:noProof/>
          <w:u w:val="none"/>
          <w:lang w:eastAsia="en-US"/>
        </w:rPr>
        <w:t>Establishment of the Evaluation Body for the 20</w:t>
      </w:r>
      <w:r w:rsidR="007C0663">
        <w:rPr>
          <w:noProof/>
          <w:u w:val="none"/>
          <w:lang w:eastAsia="en-US"/>
        </w:rPr>
        <w:t>20</w:t>
      </w:r>
      <w:r w:rsidRPr="004C4757">
        <w:rPr>
          <w:noProof/>
          <w:u w:val="none"/>
          <w:lang w:eastAsia="en-US"/>
        </w:rPr>
        <w:t xml:space="preserve"> cycle</w:t>
      </w:r>
    </w:p>
    <w:p w14:paraId="51503D97" w14:textId="7C619077" w:rsidR="001C6BAC" w:rsidRPr="001C6BAC" w:rsidRDefault="001C6BAC" w:rsidP="001C6BAC">
      <w:pPr>
        <w:pStyle w:val="COMParaDecision"/>
        <w:rPr>
          <w:noProof/>
          <w:u w:val="none"/>
          <w:lang w:eastAsia="en-US"/>
        </w:rPr>
      </w:pPr>
      <w:r w:rsidRPr="001C6BAC">
        <w:rPr>
          <w:noProof/>
          <w:u w:val="none"/>
          <w:lang w:eastAsia="en-US"/>
        </w:rPr>
        <w:t>Follow-up on the implementation of the relevant recommendations of the Open-Ended Working Group on the Governance, Procedures and Working Methods of the Governing Bodies of UNESCO</w:t>
      </w:r>
      <w:r>
        <w:rPr>
          <w:noProof/>
          <w:u w:val="none"/>
          <w:lang w:eastAsia="en-US"/>
        </w:rPr>
        <w:t xml:space="preserve"> (39 C/Resolution 87)</w:t>
      </w:r>
    </w:p>
    <w:p w14:paraId="3996CF87" w14:textId="611645D6" w:rsidR="003526B3" w:rsidRPr="004C4757" w:rsidRDefault="003526B3" w:rsidP="007C0663">
      <w:pPr>
        <w:pStyle w:val="COMParaDecision"/>
        <w:spacing w:after="160"/>
        <w:rPr>
          <w:noProof/>
          <w:u w:val="none"/>
          <w:lang w:eastAsia="en-US"/>
        </w:rPr>
      </w:pPr>
      <w:r w:rsidRPr="004C4757">
        <w:rPr>
          <w:noProof/>
          <w:u w:val="none"/>
          <w:lang w:eastAsia="en-US"/>
        </w:rPr>
        <w:t xml:space="preserve">Date and venue of the </w:t>
      </w:r>
      <w:r w:rsidR="007C0663">
        <w:rPr>
          <w:rFonts w:eastAsia="Malgun Gothic"/>
          <w:noProof/>
          <w:u w:val="none"/>
          <w:lang w:eastAsia="ko-KR"/>
        </w:rPr>
        <w:t>fifteenth</w:t>
      </w:r>
      <w:r w:rsidRPr="004C4757">
        <w:rPr>
          <w:noProof/>
          <w:u w:val="none"/>
          <w:lang w:eastAsia="en-US"/>
        </w:rPr>
        <w:t xml:space="preserve"> session of the Committee</w:t>
      </w:r>
    </w:p>
    <w:p w14:paraId="69A44362" w14:textId="34266574" w:rsidR="003526B3" w:rsidRPr="004C4757" w:rsidRDefault="003526B3" w:rsidP="007C0663">
      <w:pPr>
        <w:pStyle w:val="COMParaDecision"/>
        <w:spacing w:after="160"/>
        <w:rPr>
          <w:noProof/>
          <w:u w:val="none"/>
          <w:lang w:eastAsia="en-US"/>
        </w:rPr>
      </w:pPr>
      <w:r w:rsidRPr="004C4757">
        <w:rPr>
          <w:noProof/>
          <w:u w:val="none"/>
          <w:lang w:eastAsia="en-US"/>
        </w:rPr>
        <w:t xml:space="preserve">Election of the members of the Bureau of the </w:t>
      </w:r>
      <w:r w:rsidR="007C0663">
        <w:rPr>
          <w:rFonts w:eastAsia="Malgun Gothic"/>
          <w:noProof/>
          <w:u w:val="none"/>
          <w:lang w:eastAsia="ko-KR"/>
        </w:rPr>
        <w:t>fifteenth</w:t>
      </w:r>
      <w:r w:rsidRPr="004C4757">
        <w:rPr>
          <w:noProof/>
          <w:u w:val="none"/>
          <w:lang w:eastAsia="en-US"/>
        </w:rPr>
        <w:t xml:space="preserve"> session of the Committee</w:t>
      </w:r>
    </w:p>
    <w:p w14:paraId="5DBA0288" w14:textId="77777777" w:rsidR="003526B3" w:rsidRPr="004C4757" w:rsidRDefault="003526B3" w:rsidP="004C4757">
      <w:pPr>
        <w:pStyle w:val="COMParaDecision"/>
        <w:spacing w:after="160"/>
        <w:rPr>
          <w:noProof/>
          <w:u w:val="none"/>
          <w:lang w:eastAsia="en-US"/>
        </w:rPr>
      </w:pPr>
      <w:r w:rsidRPr="004C4757">
        <w:rPr>
          <w:noProof/>
          <w:u w:val="none"/>
          <w:lang w:eastAsia="en-US"/>
        </w:rPr>
        <w:t>Other business</w:t>
      </w:r>
    </w:p>
    <w:p w14:paraId="440005E1" w14:textId="77777777" w:rsidR="003526B3" w:rsidRPr="004C4757" w:rsidRDefault="003526B3" w:rsidP="004C4757">
      <w:pPr>
        <w:pStyle w:val="COMParaDecision"/>
        <w:spacing w:after="160"/>
        <w:rPr>
          <w:noProof/>
          <w:u w:val="none"/>
          <w:lang w:eastAsia="en-US"/>
        </w:rPr>
      </w:pPr>
      <w:r w:rsidRPr="004C4757">
        <w:rPr>
          <w:noProof/>
          <w:u w:val="none"/>
          <w:lang w:eastAsia="en-US"/>
        </w:rPr>
        <w:t>Adoption of the list of decisions</w:t>
      </w:r>
    </w:p>
    <w:p w14:paraId="4FEE66D9" w14:textId="77777777" w:rsidR="003526B3" w:rsidRPr="004C4757" w:rsidRDefault="003526B3" w:rsidP="004C4757">
      <w:pPr>
        <w:pStyle w:val="COMParaDecision"/>
        <w:spacing w:after="160"/>
        <w:rPr>
          <w:noProof/>
          <w:u w:val="none"/>
          <w:lang w:eastAsia="en-US"/>
        </w:rPr>
      </w:pPr>
      <w:r w:rsidRPr="004C4757">
        <w:rPr>
          <w:noProof/>
          <w:u w:val="none"/>
          <w:lang w:eastAsia="en-US"/>
        </w:rPr>
        <w:t>Closure</w:t>
      </w:r>
    </w:p>
    <w:p w14:paraId="07EC7212" w14:textId="77777777" w:rsidR="00D8250F" w:rsidRDefault="00D8250F" w:rsidP="009C2013">
      <w:pPr>
        <w:pStyle w:val="COMPara"/>
        <w:numPr>
          <w:ilvl w:val="0"/>
          <w:numId w:val="0"/>
        </w:numPr>
      </w:pPr>
    </w:p>
    <w:sectPr w:rsidR="00D8250F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A4CFE3" w16cid:durableId="20AE14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89A3D" w14:textId="77777777" w:rsidR="004833D9" w:rsidRDefault="004833D9" w:rsidP="00655736">
      <w:r>
        <w:separator/>
      </w:r>
    </w:p>
  </w:endnote>
  <w:endnote w:type="continuationSeparator" w:id="0">
    <w:p w14:paraId="797D0E15" w14:textId="77777777" w:rsidR="004833D9" w:rsidRDefault="004833D9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3B15E" w14:textId="77777777" w:rsidR="004833D9" w:rsidRDefault="004833D9" w:rsidP="00655736">
      <w:r>
        <w:separator/>
      </w:r>
    </w:p>
  </w:footnote>
  <w:footnote w:type="continuationSeparator" w:id="0">
    <w:p w14:paraId="2C4C19BF" w14:textId="77777777" w:rsidR="004833D9" w:rsidRDefault="004833D9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76BCB" w14:textId="31065A58" w:rsidR="00D95C4C" w:rsidRPr="00C23A97" w:rsidRDefault="00FE60EB" w:rsidP="00BA4EFD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</w:t>
    </w:r>
    <w:r w:rsidR="00D8250F">
      <w:rPr>
        <w:rFonts w:ascii="Arial" w:hAnsi="Arial" w:cs="Arial"/>
        <w:sz w:val="20"/>
        <w:szCs w:val="20"/>
        <w:lang w:val="en-GB"/>
      </w:rPr>
      <w:t>/1</w:t>
    </w:r>
    <w:r w:rsidR="00BA4EFD">
      <w:rPr>
        <w:rFonts w:ascii="Arial" w:hAnsi="Arial" w:cs="Arial"/>
        <w:sz w:val="20"/>
        <w:szCs w:val="20"/>
        <w:lang w:val="en-GB"/>
      </w:rPr>
      <w:t>9</w:t>
    </w:r>
    <w:r w:rsidR="00D8250F">
      <w:rPr>
        <w:rFonts w:ascii="Arial" w:hAnsi="Arial" w:cs="Arial"/>
        <w:sz w:val="20"/>
        <w:szCs w:val="20"/>
        <w:lang w:val="en-GB"/>
      </w:rPr>
      <w:t>/1</w:t>
    </w:r>
    <w:r w:rsidR="00BA4EFD">
      <w:rPr>
        <w:rFonts w:ascii="Arial" w:hAnsi="Arial" w:cs="Arial"/>
        <w:sz w:val="20"/>
        <w:szCs w:val="20"/>
        <w:lang w:val="en-GB"/>
      </w:rPr>
      <w:t>4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 w:rsidR="003526B3">
      <w:rPr>
        <w:rFonts w:ascii="Arial" w:hAnsi="Arial" w:cs="Arial"/>
        <w:sz w:val="20"/>
        <w:szCs w:val="20"/>
        <w:lang w:val="en-GB"/>
      </w:rPr>
      <w:t>2</w:t>
    </w:r>
    <w:r w:rsidR="00527F17">
      <w:rPr>
        <w:rFonts w:ascii="Arial" w:hAnsi="Arial" w:cs="Arial"/>
        <w:sz w:val="20"/>
        <w:szCs w:val="20"/>
        <w:lang w:val="en-GB"/>
      </w:rPr>
      <w:t xml:space="preserve"> </w:t>
    </w:r>
    <w:r w:rsidR="00527F17" w:rsidRPr="00DD5C18">
      <w:rPr>
        <w:rFonts w:ascii="Arial" w:hAnsi="Arial" w:cs="Arial"/>
        <w:sz w:val="20"/>
        <w:szCs w:val="20"/>
        <w:lang w:val="en-GB"/>
      </w:rPr>
      <w:t>Rev</w:t>
    </w:r>
    <w:r w:rsidR="00527F17">
      <w:rPr>
        <w:rFonts w:ascii="Arial" w:hAnsi="Arial" w:cs="Arial"/>
        <w:sz w:val="20"/>
        <w:szCs w:val="20"/>
        <w:lang w:val="en-GB"/>
      </w:rPr>
      <w:t>.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9C6B29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70955" w14:textId="227787A1" w:rsidR="00D95C4C" w:rsidRPr="0063300C" w:rsidRDefault="00FE60EB" w:rsidP="00BA4EF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</w:t>
    </w:r>
    <w:r w:rsidR="00D8250F">
      <w:rPr>
        <w:rFonts w:ascii="Arial" w:hAnsi="Arial" w:cs="Arial"/>
        <w:sz w:val="20"/>
        <w:szCs w:val="20"/>
        <w:lang w:val="en-GB"/>
      </w:rPr>
      <w:t>/1</w:t>
    </w:r>
    <w:r w:rsidR="00BA4EFD">
      <w:rPr>
        <w:rFonts w:ascii="Arial" w:hAnsi="Arial" w:cs="Arial"/>
        <w:sz w:val="20"/>
        <w:szCs w:val="20"/>
        <w:lang w:val="en-GB"/>
      </w:rPr>
      <w:t>9</w:t>
    </w:r>
    <w:r w:rsidR="00D8250F">
      <w:rPr>
        <w:rFonts w:ascii="Arial" w:hAnsi="Arial" w:cs="Arial"/>
        <w:sz w:val="20"/>
        <w:szCs w:val="20"/>
        <w:lang w:val="en-GB"/>
      </w:rPr>
      <w:t>/1</w:t>
    </w:r>
    <w:r w:rsidR="00BA4EFD">
      <w:rPr>
        <w:rFonts w:ascii="Arial" w:hAnsi="Arial" w:cs="Arial"/>
        <w:sz w:val="20"/>
        <w:szCs w:val="20"/>
        <w:lang w:val="en-GB"/>
      </w:rPr>
      <w:t>4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1E29F9">
      <w:rPr>
        <w:rFonts w:ascii="Arial" w:hAnsi="Arial" w:cs="Arial"/>
        <w:sz w:val="20"/>
        <w:szCs w:val="20"/>
        <w:lang w:val="en-GB"/>
      </w:rPr>
      <w:t>2</w:t>
    </w:r>
    <w:r w:rsidR="00527F17">
      <w:rPr>
        <w:rFonts w:ascii="Arial" w:hAnsi="Arial" w:cs="Arial"/>
        <w:sz w:val="20"/>
        <w:szCs w:val="20"/>
        <w:lang w:val="en-GB"/>
      </w:rPr>
      <w:t xml:space="preserve"> </w:t>
    </w:r>
    <w:r w:rsidR="00527F17" w:rsidRPr="00DD5C18">
      <w:rPr>
        <w:rFonts w:ascii="Arial" w:hAnsi="Arial" w:cs="Arial"/>
        <w:sz w:val="20"/>
        <w:szCs w:val="20"/>
        <w:lang w:val="en-GB"/>
      </w:rPr>
      <w:t>Rev</w:t>
    </w:r>
    <w:r w:rsidR="00527F17">
      <w:rPr>
        <w:rFonts w:ascii="Arial" w:hAnsi="Arial" w:cs="Arial"/>
        <w:sz w:val="20"/>
        <w:szCs w:val="20"/>
        <w:lang w:val="en-GB"/>
      </w:rPr>
      <w:t>.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–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9C6B29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914AE" w14:textId="77777777" w:rsidR="00D95C4C" w:rsidRPr="00F32C23" w:rsidRDefault="00955877">
    <w:pPr>
      <w:pStyle w:val="Header"/>
      <w:rPr>
        <w:lang w:val="en-GB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B3AC30" wp14:editId="07E14D70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1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B2F54" w14:textId="4CA3C5D7" w:rsidR="00D95C4C" w:rsidRPr="00F30DC6" w:rsidRDefault="00BA4EFD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>
      <w:rPr>
        <w:rFonts w:ascii="Arial" w:eastAsia="Malgun Gothic" w:hAnsi="Arial" w:cs="Arial" w:hint="eastAsia"/>
        <w:b/>
        <w:sz w:val="44"/>
        <w:szCs w:val="44"/>
        <w:lang w:val="en-GB" w:eastAsia="ko-KR"/>
      </w:rPr>
      <w:t>1</w:t>
    </w:r>
    <w:r>
      <w:rPr>
        <w:rFonts w:ascii="Arial" w:eastAsia="Malgun Gothic" w:hAnsi="Arial" w:cs="Arial"/>
        <w:b/>
        <w:sz w:val="44"/>
        <w:szCs w:val="44"/>
        <w:lang w:val="en-GB" w:eastAsia="ko-KR"/>
      </w:rPr>
      <w:t>4</w:t>
    </w:r>
    <w:r w:rsidR="00EC6F8D" w:rsidRPr="00F30DC6">
      <w:rPr>
        <w:rFonts w:ascii="Arial" w:hAnsi="Arial" w:cs="Arial"/>
        <w:b/>
        <w:sz w:val="44"/>
        <w:szCs w:val="44"/>
        <w:lang w:val="en-GB"/>
      </w:rPr>
      <w:t xml:space="preserve"> COM</w:t>
    </w:r>
  </w:p>
  <w:p w14:paraId="6EB3745E" w14:textId="135FE8F8" w:rsidR="00D95C4C" w:rsidRPr="00F83405" w:rsidRDefault="0038760C" w:rsidP="00BA4EFD">
    <w:pPr>
      <w:jc w:val="right"/>
      <w:rPr>
        <w:rFonts w:ascii="Arial" w:eastAsia="Malgun Gothic" w:hAnsi="Arial" w:cs="Arial"/>
        <w:b/>
        <w:sz w:val="22"/>
        <w:szCs w:val="22"/>
        <w:lang w:val="en-GB" w:eastAsia="ko-KR"/>
      </w:rPr>
    </w:pPr>
    <w:r>
      <w:rPr>
        <w:rFonts w:ascii="Arial" w:hAnsi="Arial" w:cs="Arial"/>
        <w:b/>
        <w:sz w:val="22"/>
        <w:szCs w:val="22"/>
        <w:lang w:val="en-GB"/>
      </w:rPr>
      <w:t>LHE</w:t>
    </w:r>
    <w:r w:rsidR="00D8250F">
      <w:rPr>
        <w:rFonts w:ascii="Arial" w:hAnsi="Arial" w:cs="Arial"/>
        <w:b/>
        <w:sz w:val="22"/>
        <w:szCs w:val="22"/>
        <w:lang w:val="en-GB"/>
      </w:rPr>
      <w:t>/1</w:t>
    </w:r>
    <w:r w:rsidR="00BA4EFD">
      <w:rPr>
        <w:rFonts w:ascii="Arial" w:hAnsi="Arial" w:cs="Arial"/>
        <w:b/>
        <w:sz w:val="22"/>
        <w:szCs w:val="22"/>
        <w:lang w:val="en-GB"/>
      </w:rPr>
      <w:t>9</w:t>
    </w:r>
    <w:r w:rsidR="00D95C4C" w:rsidRPr="009D5428">
      <w:rPr>
        <w:rFonts w:ascii="Arial" w:hAnsi="Arial" w:cs="Arial"/>
        <w:b/>
        <w:sz w:val="22"/>
        <w:szCs w:val="22"/>
        <w:lang w:val="en-GB"/>
      </w:rPr>
      <w:t>/</w:t>
    </w:r>
    <w:r w:rsidR="00D8250F">
      <w:rPr>
        <w:rFonts w:ascii="Arial" w:hAnsi="Arial" w:cs="Arial"/>
        <w:b/>
        <w:sz w:val="22"/>
        <w:szCs w:val="22"/>
        <w:lang w:val="en-GB"/>
      </w:rPr>
      <w:t>1</w:t>
    </w:r>
    <w:r w:rsidR="00BA4EFD">
      <w:rPr>
        <w:rFonts w:ascii="Arial" w:hAnsi="Arial" w:cs="Arial"/>
        <w:b/>
        <w:sz w:val="22"/>
        <w:szCs w:val="22"/>
        <w:lang w:val="en-GB"/>
      </w:rPr>
      <w:t>4</w:t>
    </w:r>
    <w:r w:rsidR="00D95C4C" w:rsidRPr="009D5428">
      <w:rPr>
        <w:rFonts w:ascii="Arial" w:hAnsi="Arial" w:cs="Arial"/>
        <w:b/>
        <w:sz w:val="22"/>
        <w:szCs w:val="22"/>
        <w:lang w:val="en-GB"/>
      </w:rPr>
      <w:t>.</w:t>
    </w:r>
    <w:r w:rsidR="00EC6F8D" w:rsidRPr="009D5428">
      <w:rPr>
        <w:rFonts w:ascii="Arial" w:hAnsi="Arial" w:cs="Arial"/>
        <w:b/>
        <w:sz w:val="22"/>
        <w:szCs w:val="22"/>
        <w:lang w:val="en-GB"/>
      </w:rPr>
      <w:t>COM</w:t>
    </w:r>
    <w:r w:rsidR="00D95C4C" w:rsidRPr="009D5428">
      <w:rPr>
        <w:rFonts w:ascii="Arial" w:hAnsi="Arial" w:cs="Arial"/>
        <w:b/>
        <w:sz w:val="22"/>
        <w:szCs w:val="22"/>
        <w:lang w:val="en-GB"/>
      </w:rPr>
      <w:t>/</w:t>
    </w:r>
    <w:r w:rsidR="003526B3">
      <w:rPr>
        <w:rFonts w:ascii="Arial" w:hAnsi="Arial" w:cs="Arial"/>
        <w:b/>
        <w:sz w:val="22"/>
        <w:szCs w:val="22"/>
        <w:lang w:val="en-GB"/>
      </w:rPr>
      <w:t>2</w:t>
    </w:r>
    <w:r w:rsidR="00527F17">
      <w:rPr>
        <w:rFonts w:ascii="Arial" w:hAnsi="Arial" w:cs="Arial"/>
        <w:b/>
        <w:sz w:val="22"/>
        <w:szCs w:val="22"/>
        <w:lang w:val="en-GB"/>
      </w:rPr>
      <w:t xml:space="preserve"> </w:t>
    </w:r>
    <w:r w:rsidR="00527F17" w:rsidRPr="00DD5C18">
      <w:rPr>
        <w:rFonts w:ascii="Arial" w:hAnsi="Arial" w:cs="Arial"/>
        <w:b/>
        <w:sz w:val="22"/>
        <w:szCs w:val="22"/>
        <w:lang w:val="en-GB"/>
      </w:rPr>
      <w:t>Rev.</w:t>
    </w:r>
  </w:p>
  <w:p w14:paraId="75842598" w14:textId="018788EF" w:rsidR="00D95C4C" w:rsidRPr="00F83405" w:rsidRDefault="00D95C4C" w:rsidP="00482181">
    <w:pPr>
      <w:jc w:val="right"/>
      <w:rPr>
        <w:rFonts w:ascii="Arial" w:eastAsia="Malgun Gothic" w:hAnsi="Arial" w:cs="Arial"/>
        <w:b/>
        <w:sz w:val="22"/>
        <w:szCs w:val="22"/>
        <w:lang w:val="en-GB" w:eastAsia="ko-KR"/>
      </w:rPr>
    </w:pPr>
    <w:r w:rsidRPr="009C2013">
      <w:rPr>
        <w:rFonts w:ascii="Arial" w:hAnsi="Arial" w:cs="Arial"/>
        <w:b/>
        <w:sz w:val="22"/>
        <w:szCs w:val="22"/>
        <w:lang w:val="en-GB"/>
      </w:rPr>
      <w:t xml:space="preserve">Paris, </w:t>
    </w:r>
    <w:r w:rsidR="005B7756">
      <w:rPr>
        <w:rFonts w:ascii="Arial" w:hAnsi="Arial" w:cs="Arial"/>
        <w:b/>
        <w:sz w:val="22"/>
        <w:szCs w:val="22"/>
        <w:lang w:val="en-GB"/>
      </w:rPr>
      <w:t>19</w:t>
    </w:r>
    <w:r w:rsidR="00527F17" w:rsidRPr="00DD5C18">
      <w:rPr>
        <w:rFonts w:ascii="Arial" w:eastAsia="Malgun Gothic" w:hAnsi="Arial" w:cs="Arial"/>
        <w:b/>
        <w:sz w:val="22"/>
        <w:szCs w:val="22"/>
        <w:lang w:val="en-GB" w:eastAsia="ko-KR"/>
      </w:rPr>
      <w:t xml:space="preserve"> </w:t>
    </w:r>
    <w:r w:rsidR="00482181">
      <w:rPr>
        <w:rFonts w:ascii="Arial" w:eastAsia="Malgun Gothic" w:hAnsi="Arial" w:cs="Arial"/>
        <w:b/>
        <w:sz w:val="22"/>
        <w:szCs w:val="22"/>
        <w:lang w:val="en-GB" w:eastAsia="ko-KR"/>
      </w:rPr>
      <w:t>September</w:t>
    </w:r>
    <w:r w:rsidR="00482181" w:rsidRPr="00DD5C18">
      <w:rPr>
        <w:rFonts w:ascii="Arial" w:hAnsi="Arial" w:cs="Arial"/>
        <w:b/>
        <w:sz w:val="22"/>
        <w:szCs w:val="22"/>
        <w:lang w:val="en-GB"/>
      </w:rPr>
      <w:t xml:space="preserve"> </w:t>
    </w:r>
    <w:r w:rsidR="00F83405">
      <w:rPr>
        <w:rFonts w:ascii="Arial" w:hAnsi="Arial" w:cs="Arial"/>
        <w:b/>
        <w:sz w:val="22"/>
        <w:szCs w:val="22"/>
        <w:lang w:val="en-GB"/>
      </w:rPr>
      <w:t>201</w:t>
    </w:r>
    <w:r w:rsidR="00BA4EFD">
      <w:rPr>
        <w:rFonts w:ascii="Arial" w:eastAsia="Malgun Gothic" w:hAnsi="Arial" w:cs="Arial"/>
        <w:b/>
        <w:sz w:val="22"/>
        <w:szCs w:val="22"/>
        <w:lang w:val="en-GB" w:eastAsia="ko-KR"/>
      </w:rPr>
      <w:t>9</w:t>
    </w:r>
  </w:p>
  <w:p w14:paraId="69A32457" w14:textId="77777777" w:rsidR="00D95C4C" w:rsidRPr="00F32C23" w:rsidRDefault="00D95C4C" w:rsidP="000048ED">
    <w:pPr>
      <w:jc w:val="right"/>
      <w:rPr>
        <w:rFonts w:ascii="Arial" w:hAnsi="Arial" w:cs="Arial"/>
        <w:b/>
        <w:sz w:val="22"/>
        <w:szCs w:val="22"/>
        <w:lang w:val="en-GB"/>
      </w:rPr>
    </w:pPr>
    <w:r w:rsidRPr="00F32C23">
      <w:rPr>
        <w:rFonts w:ascii="Arial" w:hAnsi="Arial" w:cs="Arial"/>
        <w:b/>
        <w:sz w:val="22"/>
        <w:szCs w:val="22"/>
        <w:lang w:val="en-GB"/>
      </w:rPr>
      <w:t xml:space="preserve">Original: </w:t>
    </w:r>
    <w:r w:rsidR="003526B3">
      <w:rPr>
        <w:rFonts w:ascii="Arial" w:hAnsi="Arial" w:cs="Arial"/>
        <w:b/>
        <w:sz w:val="22"/>
        <w:szCs w:val="22"/>
        <w:lang w:val="en-GB"/>
      </w:rPr>
      <w:t>English</w:t>
    </w:r>
  </w:p>
  <w:p w14:paraId="32B5FBA4" w14:textId="77777777" w:rsidR="00D95C4C" w:rsidRPr="00F32C23" w:rsidRDefault="00D95C4C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4EC450F"/>
    <w:multiLevelType w:val="hybridMultilevel"/>
    <w:tmpl w:val="0BA4D3D8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55E7A20"/>
    <w:multiLevelType w:val="hybridMultilevel"/>
    <w:tmpl w:val="D2FA3780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5F30C3A"/>
    <w:multiLevelType w:val="hybridMultilevel"/>
    <w:tmpl w:val="921A7DBE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4"/>
  </w:num>
  <w:num w:numId="5">
    <w:abstractNumId w:val="13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6"/>
    <w:lvlOverride w:ilvl="0">
      <w:startOverride w:val="1"/>
    </w:lvlOverride>
  </w:num>
  <w:num w:numId="38">
    <w:abstractNumId w:val="10"/>
  </w:num>
  <w:num w:numId="39">
    <w:abstractNumId w:val="11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B3"/>
    <w:rsid w:val="000002F1"/>
    <w:rsid w:val="000048ED"/>
    <w:rsid w:val="00004D16"/>
    <w:rsid w:val="00011389"/>
    <w:rsid w:val="00041A66"/>
    <w:rsid w:val="0005091A"/>
    <w:rsid w:val="0005176E"/>
    <w:rsid w:val="00067098"/>
    <w:rsid w:val="0007013D"/>
    <w:rsid w:val="000755D8"/>
    <w:rsid w:val="000765F7"/>
    <w:rsid w:val="00076923"/>
    <w:rsid w:val="00077AB7"/>
    <w:rsid w:val="00081CD8"/>
    <w:rsid w:val="00091C86"/>
    <w:rsid w:val="000A7F0E"/>
    <w:rsid w:val="000B1C8F"/>
    <w:rsid w:val="000C0D61"/>
    <w:rsid w:val="000F3A3F"/>
    <w:rsid w:val="000F57B2"/>
    <w:rsid w:val="00102557"/>
    <w:rsid w:val="00102A27"/>
    <w:rsid w:val="001302F5"/>
    <w:rsid w:val="00164D56"/>
    <w:rsid w:val="00167B10"/>
    <w:rsid w:val="0017402F"/>
    <w:rsid w:val="001817F5"/>
    <w:rsid w:val="00186140"/>
    <w:rsid w:val="00196C1B"/>
    <w:rsid w:val="001B0F73"/>
    <w:rsid w:val="001C2DB7"/>
    <w:rsid w:val="001C6BAC"/>
    <w:rsid w:val="001D4E27"/>
    <w:rsid w:val="001D5C04"/>
    <w:rsid w:val="001E29F9"/>
    <w:rsid w:val="00212D7D"/>
    <w:rsid w:val="00222A2D"/>
    <w:rsid w:val="00223029"/>
    <w:rsid w:val="0022334F"/>
    <w:rsid w:val="00223882"/>
    <w:rsid w:val="00234745"/>
    <w:rsid w:val="002407AF"/>
    <w:rsid w:val="002635A3"/>
    <w:rsid w:val="00263C1E"/>
    <w:rsid w:val="00272E0E"/>
    <w:rsid w:val="002838A5"/>
    <w:rsid w:val="00285BB4"/>
    <w:rsid w:val="002C09E3"/>
    <w:rsid w:val="002F5834"/>
    <w:rsid w:val="00303AC6"/>
    <w:rsid w:val="00321A01"/>
    <w:rsid w:val="003259EB"/>
    <w:rsid w:val="00344B58"/>
    <w:rsid w:val="00345CB4"/>
    <w:rsid w:val="003526B3"/>
    <w:rsid w:val="00371DB5"/>
    <w:rsid w:val="00375D42"/>
    <w:rsid w:val="0038760C"/>
    <w:rsid w:val="00387DD5"/>
    <w:rsid w:val="003D069C"/>
    <w:rsid w:val="003D7646"/>
    <w:rsid w:val="003E1FC1"/>
    <w:rsid w:val="003F113A"/>
    <w:rsid w:val="003F3E63"/>
    <w:rsid w:val="00407480"/>
    <w:rsid w:val="00414643"/>
    <w:rsid w:val="004266CA"/>
    <w:rsid w:val="004421E5"/>
    <w:rsid w:val="004461C9"/>
    <w:rsid w:val="00452284"/>
    <w:rsid w:val="00457C8E"/>
    <w:rsid w:val="00482181"/>
    <w:rsid w:val="004833D9"/>
    <w:rsid w:val="004856CA"/>
    <w:rsid w:val="0049705E"/>
    <w:rsid w:val="004A34A0"/>
    <w:rsid w:val="004C4757"/>
    <w:rsid w:val="005008A8"/>
    <w:rsid w:val="00526B7B"/>
    <w:rsid w:val="00527F17"/>
    <w:rsid w:val="005308CE"/>
    <w:rsid w:val="0057439C"/>
    <w:rsid w:val="005952AF"/>
    <w:rsid w:val="005B0127"/>
    <w:rsid w:val="005B6C4C"/>
    <w:rsid w:val="005B7756"/>
    <w:rsid w:val="005B792D"/>
    <w:rsid w:val="005B7A35"/>
    <w:rsid w:val="005C4B73"/>
    <w:rsid w:val="005D0484"/>
    <w:rsid w:val="005E1D2B"/>
    <w:rsid w:val="005E7074"/>
    <w:rsid w:val="005F2BAF"/>
    <w:rsid w:val="00600D93"/>
    <w:rsid w:val="0063300C"/>
    <w:rsid w:val="00634404"/>
    <w:rsid w:val="00655223"/>
    <w:rsid w:val="00655736"/>
    <w:rsid w:val="00663B8D"/>
    <w:rsid w:val="00696C8D"/>
    <w:rsid w:val="006A2AC2"/>
    <w:rsid w:val="006A3617"/>
    <w:rsid w:val="006B16E2"/>
    <w:rsid w:val="006E46E4"/>
    <w:rsid w:val="006F5365"/>
    <w:rsid w:val="00707811"/>
    <w:rsid w:val="007177F7"/>
    <w:rsid w:val="00717DA5"/>
    <w:rsid w:val="00724C9A"/>
    <w:rsid w:val="00744484"/>
    <w:rsid w:val="00747566"/>
    <w:rsid w:val="00757E94"/>
    <w:rsid w:val="00773188"/>
    <w:rsid w:val="00783782"/>
    <w:rsid w:val="00784228"/>
    <w:rsid w:val="00784B8C"/>
    <w:rsid w:val="007879E1"/>
    <w:rsid w:val="007A2027"/>
    <w:rsid w:val="007C0663"/>
    <w:rsid w:val="007D33A0"/>
    <w:rsid w:val="007F68DA"/>
    <w:rsid w:val="007F7652"/>
    <w:rsid w:val="00801794"/>
    <w:rsid w:val="00823A11"/>
    <w:rsid w:val="008512EF"/>
    <w:rsid w:val="0085405E"/>
    <w:rsid w:val="0085414A"/>
    <w:rsid w:val="0086269D"/>
    <w:rsid w:val="0086543A"/>
    <w:rsid w:val="00865B60"/>
    <w:rsid w:val="00865C84"/>
    <w:rsid w:val="008724E5"/>
    <w:rsid w:val="00884A9D"/>
    <w:rsid w:val="0088512B"/>
    <w:rsid w:val="0089094B"/>
    <w:rsid w:val="008A2B2D"/>
    <w:rsid w:val="008A4E1E"/>
    <w:rsid w:val="008A5752"/>
    <w:rsid w:val="008C296C"/>
    <w:rsid w:val="008D4137"/>
    <w:rsid w:val="008D4305"/>
    <w:rsid w:val="008D7DFC"/>
    <w:rsid w:val="008E1A85"/>
    <w:rsid w:val="008E497A"/>
    <w:rsid w:val="00906620"/>
    <w:rsid w:val="009163A7"/>
    <w:rsid w:val="00926FFF"/>
    <w:rsid w:val="0094176E"/>
    <w:rsid w:val="00946D0B"/>
    <w:rsid w:val="00955877"/>
    <w:rsid w:val="009678B4"/>
    <w:rsid w:val="009A18CD"/>
    <w:rsid w:val="009C2013"/>
    <w:rsid w:val="009C6B29"/>
    <w:rsid w:val="009C7AED"/>
    <w:rsid w:val="009D5428"/>
    <w:rsid w:val="00A0402F"/>
    <w:rsid w:val="00A12558"/>
    <w:rsid w:val="00A13903"/>
    <w:rsid w:val="00A30988"/>
    <w:rsid w:val="00A34ED5"/>
    <w:rsid w:val="00A45DBF"/>
    <w:rsid w:val="00A727DE"/>
    <w:rsid w:val="00A755A2"/>
    <w:rsid w:val="00A776E2"/>
    <w:rsid w:val="00AA4873"/>
    <w:rsid w:val="00AA6660"/>
    <w:rsid w:val="00AB0607"/>
    <w:rsid w:val="00AB2C36"/>
    <w:rsid w:val="00AB6DDE"/>
    <w:rsid w:val="00AB70B6"/>
    <w:rsid w:val="00AD1A86"/>
    <w:rsid w:val="00AD4CB6"/>
    <w:rsid w:val="00AE01CD"/>
    <w:rsid w:val="00AE103E"/>
    <w:rsid w:val="00AE421D"/>
    <w:rsid w:val="00AF0A07"/>
    <w:rsid w:val="00AF4AEC"/>
    <w:rsid w:val="00AF625E"/>
    <w:rsid w:val="00B023BE"/>
    <w:rsid w:val="00B11069"/>
    <w:rsid w:val="00B56F25"/>
    <w:rsid w:val="00B8323C"/>
    <w:rsid w:val="00B87A2E"/>
    <w:rsid w:val="00BA4EFD"/>
    <w:rsid w:val="00BB04AF"/>
    <w:rsid w:val="00BB171E"/>
    <w:rsid w:val="00BD52C9"/>
    <w:rsid w:val="00BE0602"/>
    <w:rsid w:val="00BE6354"/>
    <w:rsid w:val="00C12180"/>
    <w:rsid w:val="00C138D1"/>
    <w:rsid w:val="00C149F9"/>
    <w:rsid w:val="00C23A97"/>
    <w:rsid w:val="00C23BB1"/>
    <w:rsid w:val="00C2641B"/>
    <w:rsid w:val="00C62094"/>
    <w:rsid w:val="00C64855"/>
    <w:rsid w:val="00C70EA7"/>
    <w:rsid w:val="00C7516E"/>
    <w:rsid w:val="00C75770"/>
    <w:rsid w:val="00C815F7"/>
    <w:rsid w:val="00C86897"/>
    <w:rsid w:val="00C95558"/>
    <w:rsid w:val="00CA30E9"/>
    <w:rsid w:val="00CA56BB"/>
    <w:rsid w:val="00CB5923"/>
    <w:rsid w:val="00CB7432"/>
    <w:rsid w:val="00CC2637"/>
    <w:rsid w:val="00D00B2B"/>
    <w:rsid w:val="00D1272F"/>
    <w:rsid w:val="00D16ECB"/>
    <w:rsid w:val="00D24877"/>
    <w:rsid w:val="00D2622B"/>
    <w:rsid w:val="00D37A24"/>
    <w:rsid w:val="00D55C49"/>
    <w:rsid w:val="00D63BBF"/>
    <w:rsid w:val="00D73125"/>
    <w:rsid w:val="00D8250F"/>
    <w:rsid w:val="00D94F0F"/>
    <w:rsid w:val="00D95C4C"/>
    <w:rsid w:val="00DA133E"/>
    <w:rsid w:val="00DA36ED"/>
    <w:rsid w:val="00DB547C"/>
    <w:rsid w:val="00DD5C18"/>
    <w:rsid w:val="00DE34F1"/>
    <w:rsid w:val="00DE6160"/>
    <w:rsid w:val="00DF4942"/>
    <w:rsid w:val="00E22E8D"/>
    <w:rsid w:val="00E41C5C"/>
    <w:rsid w:val="00E44746"/>
    <w:rsid w:val="00E627B1"/>
    <w:rsid w:val="00E70169"/>
    <w:rsid w:val="00E9376C"/>
    <w:rsid w:val="00E94579"/>
    <w:rsid w:val="00EA335E"/>
    <w:rsid w:val="00EA528C"/>
    <w:rsid w:val="00EA5791"/>
    <w:rsid w:val="00EB7ECC"/>
    <w:rsid w:val="00EC6F8D"/>
    <w:rsid w:val="00EC7BA8"/>
    <w:rsid w:val="00ED7B05"/>
    <w:rsid w:val="00EF34E2"/>
    <w:rsid w:val="00F0510E"/>
    <w:rsid w:val="00F120D3"/>
    <w:rsid w:val="00F30DC6"/>
    <w:rsid w:val="00F32C23"/>
    <w:rsid w:val="00F5153A"/>
    <w:rsid w:val="00F53DE9"/>
    <w:rsid w:val="00F576CB"/>
    <w:rsid w:val="00F628E3"/>
    <w:rsid w:val="00F7035D"/>
    <w:rsid w:val="00F71A02"/>
    <w:rsid w:val="00F83405"/>
    <w:rsid w:val="00FA0D63"/>
    <w:rsid w:val="00FA396C"/>
    <w:rsid w:val="00FD1226"/>
    <w:rsid w:val="00FE3DBC"/>
    <w:rsid w:val="00FE60EB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EC3DE08"/>
  <w15:docId w15:val="{32FDA455-2E1B-410D-87CF-78CECAAE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51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5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53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53A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rsid w:val="00941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2D538-7D42-4244-ADC8-FEE1B754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426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Constantinou, Elena</cp:lastModifiedBy>
  <cp:revision>6</cp:revision>
  <cp:lastPrinted>2019-09-12T08:18:00Z</cp:lastPrinted>
  <dcterms:created xsi:type="dcterms:W3CDTF">2019-09-19T08:39:00Z</dcterms:created>
  <dcterms:modified xsi:type="dcterms:W3CDTF">2019-09-19T13:08:00Z</dcterms:modified>
</cp:coreProperties>
</file>