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9CE54" w14:textId="77777777" w:rsidR="00EC6F8D" w:rsidRPr="00293C60" w:rsidRDefault="00EC6F8D" w:rsidP="00EC6F8D">
      <w:pPr>
        <w:spacing w:before="1440"/>
        <w:jc w:val="center"/>
        <w:rPr>
          <w:rFonts w:ascii="Arial" w:hAnsi="Arial" w:cs="Arial"/>
          <w:b/>
          <w:sz w:val="22"/>
          <w:szCs w:val="22"/>
        </w:rPr>
      </w:pPr>
      <w:r>
        <w:rPr>
          <w:rFonts w:ascii="Arial" w:hAnsi="Arial"/>
          <w:b/>
          <w:sz w:val="22"/>
          <w:szCs w:val="22"/>
        </w:rPr>
        <w:t>CONVENTION POUR LA SAUVEGARDE DU</w:t>
      </w:r>
      <w:r>
        <w:rPr>
          <w:rFonts w:ascii="Arial" w:hAnsi="Arial"/>
          <w:b/>
          <w:sz w:val="22"/>
          <w:szCs w:val="22"/>
        </w:rPr>
        <w:br/>
        <w:t>PATRIMOINE CULTUREL IMMATÉRIEL</w:t>
      </w:r>
    </w:p>
    <w:p w14:paraId="7D9D4A8C" w14:textId="77777777" w:rsidR="00EC6F8D" w:rsidRPr="00293C60" w:rsidRDefault="00EC6F8D" w:rsidP="00EC6F8D">
      <w:pPr>
        <w:spacing w:before="1200"/>
        <w:jc w:val="center"/>
        <w:rPr>
          <w:rFonts w:ascii="Arial" w:hAnsi="Arial" w:cs="Arial"/>
          <w:b/>
          <w:sz w:val="22"/>
          <w:szCs w:val="22"/>
        </w:rPr>
      </w:pPr>
      <w:r>
        <w:rPr>
          <w:rFonts w:ascii="Arial" w:hAnsi="Arial"/>
          <w:b/>
          <w:sz w:val="22"/>
          <w:szCs w:val="22"/>
        </w:rPr>
        <w:t>COMITÉ INTERGOUVERNEMENTAL DE</w:t>
      </w:r>
      <w:r>
        <w:rPr>
          <w:rFonts w:ascii="Arial" w:hAnsi="Arial"/>
          <w:b/>
          <w:sz w:val="22"/>
          <w:szCs w:val="22"/>
        </w:rPr>
        <w:br/>
        <w:t>SAUVEGARDE DU PATRIMOINE CULTUREL IMMATÉRIEL</w:t>
      </w:r>
    </w:p>
    <w:p w14:paraId="1641DB7E" w14:textId="77777777" w:rsidR="00EC6F8D" w:rsidRPr="00293C60" w:rsidRDefault="00EA7F1D" w:rsidP="001D14FE">
      <w:pPr>
        <w:spacing w:before="840"/>
        <w:jc w:val="center"/>
        <w:rPr>
          <w:rFonts w:ascii="Arial" w:hAnsi="Arial" w:cs="Arial"/>
          <w:b/>
          <w:sz w:val="22"/>
          <w:szCs w:val="22"/>
        </w:rPr>
      </w:pPr>
      <w:r>
        <w:rPr>
          <w:rFonts w:ascii="Arial" w:hAnsi="Arial"/>
          <w:b/>
          <w:sz w:val="22"/>
          <w:szCs w:val="22"/>
        </w:rPr>
        <w:t>Quatorzième ses</w:t>
      </w:r>
      <w:bookmarkStart w:id="0" w:name="_GoBack"/>
      <w:bookmarkEnd w:id="0"/>
      <w:r>
        <w:rPr>
          <w:rFonts w:ascii="Arial" w:hAnsi="Arial"/>
          <w:b/>
          <w:sz w:val="22"/>
          <w:szCs w:val="22"/>
        </w:rPr>
        <w:t>sion</w:t>
      </w:r>
    </w:p>
    <w:p w14:paraId="778E2359" w14:textId="77777777" w:rsidR="00EA7F1D" w:rsidRPr="00F83405" w:rsidRDefault="00EA7F1D" w:rsidP="00EA7F1D">
      <w:pPr>
        <w:jc w:val="center"/>
        <w:rPr>
          <w:rFonts w:ascii="Arial" w:eastAsia="Malgun Gothic" w:hAnsi="Arial" w:cs="Arial"/>
          <w:b/>
          <w:sz w:val="22"/>
          <w:szCs w:val="22"/>
        </w:rPr>
      </w:pPr>
      <w:r>
        <w:rPr>
          <w:rFonts w:ascii="Arial" w:hAnsi="Arial"/>
          <w:b/>
          <w:sz w:val="22"/>
          <w:szCs w:val="22"/>
        </w:rPr>
        <w:t>Bogotá, République de Colombie</w:t>
      </w:r>
    </w:p>
    <w:p w14:paraId="22EEFE7A" w14:textId="77777777" w:rsidR="00EC6F8D" w:rsidRPr="00337CEB" w:rsidRDefault="00EA7F1D" w:rsidP="001D14FE">
      <w:pPr>
        <w:jc w:val="center"/>
        <w:rPr>
          <w:rFonts w:ascii="Arial" w:eastAsiaTheme="minorEastAsia" w:hAnsi="Arial" w:cs="Arial"/>
          <w:b/>
          <w:sz w:val="22"/>
          <w:szCs w:val="22"/>
        </w:rPr>
      </w:pPr>
      <w:r>
        <w:rPr>
          <w:rFonts w:ascii="Arial" w:hAnsi="Arial"/>
          <w:b/>
          <w:sz w:val="22"/>
          <w:szCs w:val="22"/>
        </w:rPr>
        <w:t>9 – 14 décembre 2019</w:t>
      </w:r>
    </w:p>
    <w:p w14:paraId="45A54C96" w14:textId="77777777" w:rsidR="00EC6F8D" w:rsidRPr="00293C60" w:rsidRDefault="00EC6F8D" w:rsidP="003417E5">
      <w:pPr>
        <w:pStyle w:val="Sansinterligne2"/>
        <w:spacing w:before="1200"/>
        <w:jc w:val="center"/>
        <w:rPr>
          <w:rFonts w:ascii="Arial" w:hAnsi="Arial" w:cs="Arial"/>
          <w:b/>
          <w:sz w:val="22"/>
          <w:szCs w:val="22"/>
        </w:rPr>
      </w:pPr>
      <w:r>
        <w:rPr>
          <w:rFonts w:ascii="Arial" w:hAnsi="Arial"/>
          <w:b/>
          <w:sz w:val="22"/>
          <w:szCs w:val="22"/>
          <w:u w:val="single"/>
        </w:rPr>
        <w:t>Point 19 de l’ordre du jour provisoire</w:t>
      </w:r>
      <w:r>
        <w:rPr>
          <w:rFonts w:ascii="Arial" w:hAnsi="Arial"/>
          <w:b/>
          <w:sz w:val="22"/>
          <w:szCs w:val="22"/>
        </w:rPr>
        <w:t> :</w:t>
      </w:r>
    </w:p>
    <w:p w14:paraId="7177EE28" w14:textId="77777777" w:rsidR="00EC6F8D" w:rsidRPr="00293C60" w:rsidRDefault="00910B30" w:rsidP="00AC000C">
      <w:pPr>
        <w:pStyle w:val="Sansinterligne2"/>
        <w:spacing w:after="1200"/>
        <w:jc w:val="center"/>
        <w:rPr>
          <w:rFonts w:ascii="Arial" w:hAnsi="Arial" w:cs="Arial"/>
          <w:b/>
          <w:sz w:val="22"/>
          <w:szCs w:val="22"/>
        </w:rPr>
      </w:pPr>
      <w:r>
        <w:rPr>
          <w:rFonts w:ascii="Arial" w:hAnsi="Arial"/>
          <w:b/>
          <w:sz w:val="22"/>
          <w:szCs w:val="22"/>
        </w:rPr>
        <w:t>Suivi de la mise en œuvre des recommandations pertinentes du</w:t>
      </w:r>
      <w:r>
        <w:rPr>
          <w:rFonts w:ascii="Arial" w:hAnsi="Arial"/>
          <w:b/>
          <w:sz w:val="22"/>
          <w:szCs w:val="22"/>
        </w:rPr>
        <w:br/>
        <w:t>Groupe de travail à composition non limitée sur la gouvernance, les procédures et les méthodes de travail des organes directeurs de l’UNESCO (résolution 39 C/87)</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9B7C08" w14:paraId="601FBB48" w14:textId="77777777" w:rsidTr="00EC6F8D">
        <w:trPr>
          <w:jc w:val="center"/>
        </w:trPr>
        <w:tc>
          <w:tcPr>
            <w:tcW w:w="5670" w:type="dxa"/>
            <w:vAlign w:val="center"/>
          </w:tcPr>
          <w:p w14:paraId="20F8624E" w14:textId="77777777" w:rsidR="00EC6F8D" w:rsidRPr="00293C60" w:rsidRDefault="00EC6F8D" w:rsidP="00CA56BB">
            <w:pPr>
              <w:pStyle w:val="Sansinterligne1"/>
              <w:spacing w:before="200" w:after="200"/>
              <w:jc w:val="center"/>
              <w:rPr>
                <w:rFonts w:ascii="Arial" w:hAnsi="Arial" w:cs="Arial"/>
                <w:b/>
                <w:sz w:val="22"/>
                <w:szCs w:val="22"/>
              </w:rPr>
            </w:pPr>
            <w:r>
              <w:rPr>
                <w:rFonts w:ascii="Arial" w:hAnsi="Arial"/>
                <w:b/>
                <w:sz w:val="22"/>
                <w:szCs w:val="22"/>
              </w:rPr>
              <w:t>Résumé</w:t>
            </w:r>
          </w:p>
          <w:p w14:paraId="73E001DB" w14:textId="29130D02" w:rsidR="009B7C08" w:rsidRPr="00AC000C" w:rsidRDefault="009B7C08" w:rsidP="009925A3">
            <w:pPr>
              <w:pStyle w:val="Sansinterligne2"/>
              <w:spacing w:after="120"/>
              <w:jc w:val="both"/>
              <w:rPr>
                <w:rFonts w:ascii="Arial" w:hAnsi="Arial" w:cs="Arial"/>
                <w:bCs/>
                <w:sz w:val="22"/>
                <w:szCs w:val="22"/>
              </w:rPr>
            </w:pPr>
            <w:r>
              <w:rPr>
                <w:rFonts w:ascii="Arial" w:hAnsi="Arial"/>
                <w:sz w:val="22"/>
                <w:szCs w:val="22"/>
              </w:rPr>
              <w:t xml:space="preserve">À l’occasion de sa trente-neuvième session, par la résolution 39 C/87, la Conférence générale a invité les organes directeurs des différents organes à mettre en œuvre les recommandations sur la gouvernance de l’UNESCO, </w:t>
            </w:r>
            <w:r w:rsidR="009925A3">
              <w:rPr>
                <w:rFonts w:ascii="Arial" w:hAnsi="Arial"/>
                <w:sz w:val="22"/>
                <w:szCs w:val="22"/>
              </w:rPr>
              <w:t xml:space="preserve">qu’elle a </w:t>
            </w:r>
            <w:r>
              <w:rPr>
                <w:rFonts w:ascii="Arial" w:hAnsi="Arial"/>
                <w:sz w:val="22"/>
                <w:szCs w:val="22"/>
              </w:rPr>
              <w:t xml:space="preserve">approuvées par la même résolution. Le présent document fait le point sur l’état d’avancement de la mise en œuvre de </w:t>
            </w:r>
            <w:r w:rsidR="009925A3">
              <w:rPr>
                <w:rFonts w:ascii="Arial" w:hAnsi="Arial"/>
                <w:sz w:val="22"/>
                <w:szCs w:val="22"/>
              </w:rPr>
              <w:t xml:space="preserve">des </w:t>
            </w:r>
            <w:r>
              <w:rPr>
                <w:rFonts w:ascii="Arial" w:hAnsi="Arial"/>
                <w:sz w:val="22"/>
                <w:szCs w:val="22"/>
              </w:rPr>
              <w:t>recommandations applicables aux organes directeurs de la Convention de 2003 par rapport à l’état d’avancement présenté à la septième session de l’Assemblée générale et mis à jour lors de la treizième session du Comité.</w:t>
            </w:r>
          </w:p>
          <w:p w14:paraId="73B41F3F" w14:textId="1493B9A7" w:rsidR="00EC6F8D" w:rsidRPr="009B7C08" w:rsidRDefault="009B7C08" w:rsidP="00534C43">
            <w:pPr>
              <w:pStyle w:val="Sansinterligne2"/>
              <w:spacing w:before="200" w:after="200"/>
              <w:jc w:val="both"/>
              <w:rPr>
                <w:rFonts w:ascii="Arial" w:hAnsi="Arial" w:cs="Arial"/>
                <w:bCs/>
                <w:sz w:val="22"/>
                <w:szCs w:val="22"/>
              </w:rPr>
            </w:pPr>
            <w:r>
              <w:rPr>
                <w:rFonts w:ascii="Arial" w:hAnsi="Arial"/>
                <w:b/>
                <w:sz w:val="22"/>
                <w:szCs w:val="22"/>
              </w:rPr>
              <w:t>Décision requise :</w:t>
            </w:r>
            <w:r>
              <w:rPr>
                <w:rFonts w:ascii="Arial" w:hAnsi="Arial"/>
                <w:bCs/>
                <w:sz w:val="22"/>
                <w:szCs w:val="22"/>
              </w:rPr>
              <w:t xml:space="preserve"> paragraphe </w:t>
            </w:r>
            <w:r w:rsidR="00534C43">
              <w:rPr>
                <w:rFonts w:ascii="Arial" w:hAnsi="Arial"/>
                <w:bCs/>
                <w:sz w:val="22"/>
                <w:szCs w:val="22"/>
              </w:rPr>
              <w:t>8</w:t>
            </w:r>
          </w:p>
        </w:tc>
      </w:tr>
    </w:tbl>
    <w:p w14:paraId="3C609BB0" w14:textId="6EB2D01B" w:rsidR="007633B9" w:rsidRDefault="00655736" w:rsidP="002E69F4">
      <w:pPr>
        <w:pStyle w:val="ListParagraph"/>
        <w:numPr>
          <w:ilvl w:val="0"/>
          <w:numId w:val="5"/>
        </w:numPr>
        <w:spacing w:after="120"/>
        <w:ind w:left="567" w:hanging="567"/>
        <w:contextualSpacing w:val="0"/>
        <w:jc w:val="both"/>
        <w:rPr>
          <w:rFonts w:ascii="Arial" w:hAnsi="Arial" w:cs="Arial"/>
          <w:snapToGrid w:val="0"/>
          <w:sz w:val="22"/>
          <w:szCs w:val="22"/>
        </w:rPr>
      </w:pPr>
      <w:r>
        <w:br w:type="page"/>
      </w:r>
      <w:r>
        <w:rPr>
          <w:rFonts w:ascii="Arial" w:hAnsi="Arial"/>
          <w:snapToGrid w:val="0"/>
          <w:sz w:val="22"/>
          <w:szCs w:val="22"/>
        </w:rPr>
        <w:lastRenderedPageBreak/>
        <w:t>Lors de sa trente-neuvième session en 2017, la Conférence générale a approuvé un ensemble de recommandations sur la</w:t>
      </w:r>
      <w:r w:rsidR="002E69F4">
        <w:rPr>
          <w:rFonts w:ascii="Arial" w:hAnsi="Arial"/>
          <w:snapToGrid w:val="0"/>
          <w:sz w:val="22"/>
          <w:szCs w:val="22"/>
        </w:rPr>
        <w:t xml:space="preserve"> </w:t>
      </w:r>
      <w:r>
        <w:rPr>
          <w:rFonts w:ascii="Arial" w:hAnsi="Arial"/>
          <w:snapToGrid w:val="0"/>
          <w:sz w:val="22"/>
          <w:szCs w:val="22"/>
        </w:rPr>
        <w:t>gouvernance, les procédures et les méthodes de travail des organes directeurs de l’UNESCO (</w:t>
      </w:r>
      <w:hyperlink r:id="rId8" w:history="1">
        <w:r w:rsidR="00534C43">
          <w:rPr>
            <w:rStyle w:val="Hyperlink"/>
            <w:rFonts w:ascii="Arial" w:hAnsi="Arial"/>
            <w:sz w:val="22"/>
            <w:szCs w:val="22"/>
          </w:rPr>
          <w:t>résolution 39 C/87</w:t>
        </w:r>
      </w:hyperlink>
      <w:r>
        <w:rPr>
          <w:rFonts w:ascii="Arial" w:hAnsi="Arial"/>
          <w:snapToGrid w:val="0"/>
          <w:sz w:val="22"/>
          <w:szCs w:val="22"/>
        </w:rPr>
        <w:t>). Ces recommandations s’appuient sur le travail du Groupe de travail à composition non limitée sur la gouvernance, les procédures et les méthodes de travail des organes directeurs de l’UNESCO (</w:t>
      </w:r>
      <w:hyperlink r:id="rId9" w:history="1">
        <w:r w:rsidRPr="00713435">
          <w:rPr>
            <w:rFonts w:ascii="Arial" w:hAnsi="Arial" w:cs="Arial"/>
            <w:sz w:val="22"/>
            <w:szCs w:val="22"/>
          </w:rPr>
          <w:t>document</w:t>
        </w:r>
        <w:r w:rsidRPr="00FF6EA1">
          <w:rPr>
            <w:rStyle w:val="Hyperlink"/>
            <w:rFonts w:ascii="Arial" w:hAnsi="Arial" w:cs="Arial"/>
            <w:snapToGrid w:val="0"/>
            <w:sz w:val="22"/>
            <w:szCs w:val="22"/>
          </w:rPr>
          <w:t> 39 </w:t>
        </w:r>
        <w:r>
          <w:rPr>
            <w:rStyle w:val="Hyperlink"/>
            <w:rFonts w:ascii="Arial" w:hAnsi="Arial"/>
            <w:snapToGrid w:val="0"/>
            <w:sz w:val="22"/>
            <w:szCs w:val="22"/>
          </w:rPr>
          <w:t>C/70</w:t>
        </w:r>
      </w:hyperlink>
      <w:r>
        <w:rPr>
          <w:rFonts w:ascii="Arial" w:hAnsi="Arial"/>
          <w:sz w:val="22"/>
          <w:szCs w:val="22"/>
        </w:rPr>
        <w:t>), que</w:t>
      </w:r>
      <w:r>
        <w:rPr>
          <w:rFonts w:ascii="Arial" w:hAnsi="Arial"/>
          <w:snapToGrid w:val="0"/>
          <w:sz w:val="22"/>
          <w:szCs w:val="22"/>
        </w:rPr>
        <w:t xml:space="preserve"> la Conférence générale a créé dans l’objectif d’exploiter les possibilités de renforcer la synergie, l’harmonisation, l’efficacité et l’impact. Par cette même résolution, la Conférence générale a invité le Conseil exécutif, la Directrice générale et les organes directeurs des différents organes</w:t>
      </w:r>
      <w:r w:rsidR="002E69F4">
        <w:rPr>
          <w:rFonts w:ascii="Arial" w:hAnsi="Arial"/>
          <w:snapToGrid w:val="0"/>
          <w:sz w:val="22"/>
          <w:szCs w:val="22"/>
        </w:rPr>
        <w:t xml:space="preserve"> examinés par le Groupe de travail à composition non limitée </w:t>
      </w:r>
      <w:r>
        <w:rPr>
          <w:rFonts w:ascii="Arial" w:hAnsi="Arial"/>
          <w:snapToGrid w:val="0"/>
          <w:sz w:val="22"/>
          <w:szCs w:val="22"/>
        </w:rPr>
        <w:t>à mettre en œuvre ces recommandations, selon le cas.</w:t>
      </w:r>
    </w:p>
    <w:p w14:paraId="6141834E" w14:textId="4FF9B8A2" w:rsidR="00D2779D" w:rsidRDefault="00D2779D">
      <w:pPr>
        <w:pStyle w:val="ListParagraph"/>
        <w:numPr>
          <w:ilvl w:val="0"/>
          <w:numId w:val="5"/>
        </w:numPr>
        <w:spacing w:after="120"/>
        <w:ind w:left="567" w:hanging="567"/>
        <w:contextualSpacing w:val="0"/>
        <w:jc w:val="both"/>
        <w:rPr>
          <w:rFonts w:ascii="Arial" w:hAnsi="Arial" w:cs="Arial"/>
          <w:snapToGrid w:val="0"/>
          <w:sz w:val="22"/>
          <w:szCs w:val="22"/>
        </w:rPr>
      </w:pPr>
      <w:r>
        <w:rPr>
          <w:rFonts w:ascii="Arial" w:hAnsi="Arial"/>
          <w:snapToGrid w:val="0"/>
          <w:sz w:val="22"/>
          <w:szCs w:val="22"/>
        </w:rPr>
        <w:t>Les organes directeurs de la Convention de 2003 ont déjà traité cette question à deux reprises</w:t>
      </w:r>
      <w:r w:rsidR="00FF6EA1">
        <w:rPr>
          <w:rFonts w:ascii="Arial" w:hAnsi="Arial"/>
          <w:snapToGrid w:val="0"/>
          <w:sz w:val="22"/>
          <w:szCs w:val="22"/>
        </w:rPr>
        <w:t> :</w:t>
      </w:r>
    </w:p>
    <w:p w14:paraId="29573568" w14:textId="7CE8A2B7" w:rsidR="00FC61F8" w:rsidRPr="0038712E" w:rsidRDefault="00D2779D" w:rsidP="0038712E">
      <w:pPr>
        <w:pStyle w:val="ListParagraph"/>
        <w:spacing w:after="120"/>
        <w:ind w:left="567"/>
        <w:contextualSpacing w:val="0"/>
        <w:jc w:val="both"/>
        <w:rPr>
          <w:rFonts w:ascii="Arial" w:hAnsi="Arial" w:cs="Arial"/>
          <w:snapToGrid w:val="0"/>
          <w:sz w:val="22"/>
          <w:szCs w:val="22"/>
        </w:rPr>
      </w:pPr>
      <w:r>
        <w:rPr>
          <w:rStyle w:val="Hyperlink"/>
          <w:rFonts w:ascii="Arial" w:hAnsi="Arial"/>
          <w:b/>
          <w:snapToGrid w:val="0"/>
          <w:color w:val="auto"/>
          <w:sz w:val="22"/>
          <w:szCs w:val="22"/>
          <w:u w:val="none"/>
        </w:rPr>
        <w:t>7.GA</w:t>
      </w:r>
      <w:r>
        <w:rPr>
          <w:rStyle w:val="Hyperlink"/>
          <w:rFonts w:ascii="Arial" w:hAnsi="Arial"/>
          <w:snapToGrid w:val="0"/>
          <w:color w:val="auto"/>
          <w:sz w:val="22"/>
          <w:szCs w:val="22"/>
          <w:u w:val="none"/>
        </w:rPr>
        <w:t> : L</w:t>
      </w:r>
      <w:r>
        <w:rPr>
          <w:rFonts w:ascii="Arial" w:hAnsi="Arial"/>
          <w:snapToGrid w:val="0"/>
          <w:sz w:val="22"/>
          <w:szCs w:val="22"/>
        </w:rPr>
        <w:t xml:space="preserve">a septième session de l’Assemblée générale a examiné l’état de mise en œuvre de chaque recommandation du Groupe de travail à composition non limitée </w:t>
      </w:r>
      <w:r w:rsidR="00534C43">
        <w:rPr>
          <w:rFonts w:ascii="Arial" w:hAnsi="Arial"/>
          <w:snapToGrid w:val="0"/>
          <w:sz w:val="22"/>
          <w:szCs w:val="22"/>
        </w:rPr>
        <w:t>(</w:t>
      </w:r>
      <w:hyperlink r:id="rId10" w:history="1">
        <w:r w:rsidRPr="00713435">
          <w:rPr>
            <w:rFonts w:ascii="Arial" w:hAnsi="Arial" w:cs="Arial"/>
            <w:sz w:val="22"/>
            <w:szCs w:val="22"/>
          </w:rPr>
          <w:t>document</w:t>
        </w:r>
        <w:r w:rsidR="00FF6EA1" w:rsidRPr="00713435">
          <w:t> </w:t>
        </w:r>
        <w:r w:rsidRPr="00FF6EA1">
          <w:rPr>
            <w:rStyle w:val="Hyperlink"/>
            <w:rFonts w:ascii="Arial" w:hAnsi="Arial"/>
            <w:snapToGrid w:val="0"/>
            <w:sz w:val="22"/>
            <w:szCs w:val="22"/>
          </w:rPr>
          <w:t>ITH/18/7.GA/12</w:t>
        </w:r>
      </w:hyperlink>
      <w:r>
        <w:rPr>
          <w:rFonts w:ascii="Arial" w:hAnsi="Arial"/>
          <w:snapToGrid w:val="0"/>
          <w:sz w:val="22"/>
          <w:szCs w:val="22"/>
        </w:rPr>
        <w:t xml:space="preserve">). À cette occasion, l’Assemblée a également abordé le suivi des recommandations émises par le Commissaire aux comptes dans son rapport de 2015 pour améliorer la gouvernance des programmes, comités et organes intergouvernementaux des </w:t>
      </w:r>
      <w:r w:rsidR="00534C43">
        <w:rPr>
          <w:rFonts w:ascii="Arial" w:hAnsi="Arial"/>
          <w:snapToGrid w:val="0"/>
          <w:sz w:val="22"/>
          <w:szCs w:val="22"/>
        </w:rPr>
        <w:t>conventions</w:t>
      </w:r>
      <w:r>
        <w:rPr>
          <w:rFonts w:ascii="Arial" w:hAnsi="Arial"/>
          <w:snapToGrid w:val="0"/>
          <w:sz w:val="22"/>
          <w:szCs w:val="22"/>
        </w:rPr>
        <w:t>. Il s’agissait de gommer les disparités entre les règlements intérieurs des différents organes des conventions culturelles de l’UNESCO (</w:t>
      </w:r>
      <w:hyperlink r:id="rId11" w:history="1">
        <w:r>
          <w:rPr>
            <w:rStyle w:val="Hyperlink"/>
            <w:rFonts w:ascii="Arial" w:hAnsi="Arial"/>
            <w:snapToGrid w:val="0"/>
            <w:sz w:val="22"/>
            <w:szCs w:val="22"/>
          </w:rPr>
          <w:t>ITH/18/7.GA/13</w:t>
        </w:r>
      </w:hyperlink>
      <w:r>
        <w:rPr>
          <w:rFonts w:ascii="Arial" w:hAnsi="Arial"/>
          <w:snapToGrid w:val="0"/>
          <w:sz w:val="22"/>
          <w:szCs w:val="22"/>
        </w:rPr>
        <w:t>).</w:t>
      </w:r>
    </w:p>
    <w:p w14:paraId="11A8AA1B" w14:textId="566877CC" w:rsidR="00974B2A" w:rsidRDefault="00D2779D" w:rsidP="0038712E">
      <w:pPr>
        <w:pStyle w:val="ListParagraph"/>
        <w:spacing w:after="120"/>
        <w:ind w:left="567"/>
        <w:contextualSpacing w:val="0"/>
        <w:jc w:val="both"/>
        <w:rPr>
          <w:rFonts w:ascii="Arial" w:hAnsi="Arial" w:cs="Arial"/>
          <w:snapToGrid w:val="0"/>
          <w:sz w:val="22"/>
          <w:szCs w:val="22"/>
        </w:rPr>
      </w:pPr>
      <w:r>
        <w:rPr>
          <w:rStyle w:val="Hyperlink"/>
          <w:rFonts w:ascii="Arial" w:hAnsi="Arial"/>
          <w:b/>
          <w:snapToGrid w:val="0"/>
          <w:color w:val="auto"/>
          <w:sz w:val="22"/>
          <w:szCs w:val="22"/>
          <w:u w:val="none"/>
        </w:rPr>
        <w:t>13</w:t>
      </w:r>
      <w:r>
        <w:t>.</w:t>
      </w:r>
      <w:r>
        <w:rPr>
          <w:rFonts w:ascii="Arial" w:hAnsi="Arial"/>
          <w:b/>
          <w:snapToGrid w:val="0"/>
          <w:sz w:val="22"/>
          <w:szCs w:val="22"/>
        </w:rPr>
        <w:t>COM</w:t>
      </w:r>
      <w:r>
        <w:rPr>
          <w:rFonts w:ascii="Arial" w:hAnsi="Arial"/>
          <w:snapToGrid w:val="0"/>
          <w:sz w:val="22"/>
          <w:szCs w:val="22"/>
        </w:rPr>
        <w:t xml:space="preserve"> : La treizième session du Comité a de nouveau examiné l’état de mise en œuvre de chacune des recommandations du Groupe de travail à composition non limitée, en se concentrant sur celles dont le statut a évolué (voir le </w:t>
      </w:r>
      <w:r>
        <w:rPr>
          <w:rFonts w:ascii="Arial" w:hAnsi="Arial"/>
          <w:sz w:val="22"/>
          <w:szCs w:val="22"/>
        </w:rPr>
        <w:t xml:space="preserve">document </w:t>
      </w:r>
      <w:hyperlink r:id="rId12" w:history="1">
        <w:r>
          <w:rPr>
            <w:rStyle w:val="Hyperlink"/>
            <w:rFonts w:ascii="Arial" w:hAnsi="Arial"/>
            <w:snapToGrid w:val="0"/>
            <w:sz w:val="22"/>
            <w:szCs w:val="22"/>
            <w:u w:val="none"/>
          </w:rPr>
          <w:t>I</w:t>
        </w:r>
        <w:r w:rsidRPr="00713435">
          <w:rPr>
            <w:rStyle w:val="Hyperlink"/>
            <w:rFonts w:ascii="Arial" w:hAnsi="Arial"/>
            <w:snapToGrid w:val="0"/>
            <w:sz w:val="22"/>
            <w:szCs w:val="22"/>
          </w:rPr>
          <w:t>TH/18/13.COM/16</w:t>
        </w:r>
      </w:hyperlink>
      <w:r>
        <w:t xml:space="preserve">). </w:t>
      </w:r>
      <w:r>
        <w:rPr>
          <w:rFonts w:ascii="Arial" w:hAnsi="Arial"/>
          <w:snapToGrid w:val="0"/>
          <w:sz w:val="22"/>
          <w:szCs w:val="22"/>
        </w:rPr>
        <w:t xml:space="preserve">Le Comité a également décidé d’inscrire à l’ordre du jour de sa quatorzième session un point sur le suivi de </w:t>
      </w:r>
      <w:r w:rsidR="00147641">
        <w:rPr>
          <w:rFonts w:ascii="Arial" w:hAnsi="Arial"/>
          <w:snapToGrid w:val="0"/>
          <w:sz w:val="22"/>
          <w:szCs w:val="22"/>
        </w:rPr>
        <w:t xml:space="preserve">cette </w:t>
      </w:r>
      <w:r>
        <w:rPr>
          <w:rFonts w:ascii="Arial" w:hAnsi="Arial"/>
          <w:snapToGrid w:val="0"/>
          <w:sz w:val="22"/>
          <w:szCs w:val="22"/>
        </w:rPr>
        <w:t>mise en œuvre</w:t>
      </w:r>
      <w:r w:rsidR="00147641">
        <w:rPr>
          <w:rFonts w:ascii="Arial" w:hAnsi="Arial"/>
          <w:snapToGrid w:val="0"/>
          <w:sz w:val="22"/>
          <w:szCs w:val="22"/>
        </w:rPr>
        <w:t xml:space="preserve"> </w:t>
      </w:r>
      <w:hyperlink r:id="rId13" w:history="1">
        <w:r>
          <w:rPr>
            <w:rFonts w:ascii="Arial" w:hAnsi="Arial"/>
            <w:sz w:val="22"/>
            <w:szCs w:val="22"/>
          </w:rPr>
          <w:t>(document</w:t>
        </w:r>
        <w:r>
          <w:t> </w:t>
        </w:r>
        <w:r>
          <w:rPr>
            <w:rStyle w:val="Hyperlink"/>
            <w:rFonts w:ascii="Arial" w:hAnsi="Arial"/>
            <w:snapToGrid w:val="0"/>
            <w:sz w:val="22"/>
            <w:szCs w:val="22"/>
          </w:rPr>
          <w:t>ITH/18/13.COM/17</w:t>
        </w:r>
      </w:hyperlink>
      <w:r>
        <w:rPr>
          <w:rFonts w:ascii="Arial" w:hAnsi="Arial"/>
          <w:snapToGrid w:val="0"/>
          <w:sz w:val="22"/>
          <w:szCs w:val="22"/>
        </w:rPr>
        <w:t>). Lors de cette même session, le Comité a encouragé les États parties à tenir compte des recommandations du groupe de travail informel ad hoc afin de promouvoir le suivi des recommandations de la résolution 39 C/87.</w:t>
      </w:r>
    </w:p>
    <w:p w14:paraId="0E9280B0" w14:textId="144B1C14" w:rsidR="00483650" w:rsidRPr="00FB6498" w:rsidRDefault="00483650" w:rsidP="000D080B">
      <w:pPr>
        <w:pStyle w:val="ListParagraph"/>
        <w:numPr>
          <w:ilvl w:val="0"/>
          <w:numId w:val="5"/>
        </w:numPr>
        <w:spacing w:after="120"/>
        <w:ind w:left="567" w:hanging="567"/>
        <w:contextualSpacing w:val="0"/>
        <w:jc w:val="both"/>
        <w:rPr>
          <w:rFonts w:ascii="Arial" w:hAnsi="Arial" w:cs="Arial"/>
          <w:snapToGrid w:val="0"/>
          <w:sz w:val="22"/>
          <w:szCs w:val="22"/>
        </w:rPr>
      </w:pPr>
      <w:r>
        <w:rPr>
          <w:rFonts w:ascii="Arial" w:hAnsi="Arial"/>
          <w:snapToGrid w:val="0"/>
          <w:sz w:val="22"/>
          <w:szCs w:val="22"/>
        </w:rPr>
        <w:t>À la demande du Président de la Conférence générale, le Secrétariat a présenté à la Conférence générale les documents </w:t>
      </w:r>
      <w:hyperlink r:id="rId14" w:history="1">
        <w:r w:rsidRPr="00713435">
          <w:rPr>
            <w:rStyle w:val="Hyperlink"/>
            <w:rFonts w:ascii="Arial" w:hAnsi="Arial"/>
            <w:sz w:val="22"/>
            <w:szCs w:val="22"/>
          </w:rPr>
          <w:t>ITH/18/7.GA/12</w:t>
        </w:r>
      </w:hyperlink>
      <w:r w:rsidR="00147641">
        <w:rPr>
          <w:rStyle w:val="Hyperlink"/>
          <w:rFonts w:ascii="Arial" w:hAnsi="Arial"/>
          <w:sz w:val="22"/>
          <w:szCs w:val="22"/>
        </w:rPr>
        <w:t xml:space="preserve"> </w:t>
      </w:r>
      <w:r>
        <w:rPr>
          <w:rFonts w:ascii="Arial" w:hAnsi="Arial"/>
          <w:snapToGrid w:val="0"/>
          <w:sz w:val="22"/>
          <w:szCs w:val="22"/>
        </w:rPr>
        <w:t xml:space="preserve">et </w:t>
      </w:r>
      <w:hyperlink r:id="rId15" w:history="1">
        <w:r w:rsidRPr="00713435">
          <w:rPr>
            <w:rStyle w:val="Hyperlink"/>
            <w:rFonts w:ascii="Arial" w:hAnsi="Arial"/>
            <w:sz w:val="22"/>
            <w:szCs w:val="22"/>
          </w:rPr>
          <w:t>ITH/18/7.GA/13</w:t>
        </w:r>
      </w:hyperlink>
      <w:r w:rsidR="00147641">
        <w:rPr>
          <w:rFonts w:ascii="Arial" w:hAnsi="Arial"/>
          <w:snapToGrid w:val="0"/>
          <w:sz w:val="22"/>
          <w:szCs w:val="22"/>
        </w:rPr>
        <w:t xml:space="preserve">. </w:t>
      </w:r>
      <w:r>
        <w:rPr>
          <w:rFonts w:ascii="Arial" w:hAnsi="Arial"/>
          <w:snapToGrid w:val="0"/>
          <w:sz w:val="22"/>
          <w:szCs w:val="22"/>
        </w:rPr>
        <w:t>Dans le même temps, l’état de mise en œuvre des recommandations a été présenté par un Vice-Président de la treizième session du Comité au Groupe de travail à composition non limitée sur la gouvernance à l’occasion d’une réunion du groupe le 27 mars 2019. En outre, un court rapport au format standardisé a été soumis au Secrétariat de la Conférence générale</w:t>
      </w:r>
      <w:r w:rsidR="000D080B">
        <w:rPr>
          <w:rFonts w:ascii="Arial" w:hAnsi="Arial"/>
          <w:snapToGrid w:val="0"/>
          <w:sz w:val="22"/>
          <w:szCs w:val="22"/>
        </w:rPr>
        <w:t xml:space="preserve"> </w:t>
      </w:r>
      <w:r>
        <w:rPr>
          <w:rFonts w:ascii="Arial" w:hAnsi="Arial"/>
          <w:snapToGrid w:val="0"/>
          <w:sz w:val="22"/>
          <w:szCs w:val="22"/>
        </w:rPr>
        <w:t>en août 2019.</w:t>
      </w:r>
    </w:p>
    <w:p w14:paraId="255FA03A" w14:textId="31FE7C92" w:rsidR="009B7C08" w:rsidRPr="00EE4900" w:rsidRDefault="00F54979" w:rsidP="00142998">
      <w:pPr>
        <w:pStyle w:val="ListParagraph"/>
        <w:numPr>
          <w:ilvl w:val="0"/>
          <w:numId w:val="5"/>
        </w:numPr>
        <w:spacing w:after="120"/>
        <w:ind w:left="567" w:hanging="567"/>
        <w:contextualSpacing w:val="0"/>
        <w:jc w:val="both"/>
        <w:rPr>
          <w:rFonts w:ascii="Arial" w:hAnsi="Arial" w:cs="Arial"/>
          <w:snapToGrid w:val="0"/>
          <w:sz w:val="22"/>
          <w:szCs w:val="22"/>
        </w:rPr>
      </w:pPr>
      <w:r>
        <w:rPr>
          <w:rFonts w:ascii="Arial" w:hAnsi="Arial"/>
          <w:sz w:val="22"/>
          <w:szCs w:val="22"/>
        </w:rPr>
        <w:t xml:space="preserve">Comme </w:t>
      </w:r>
      <w:r w:rsidR="00BE765D">
        <w:rPr>
          <w:rFonts w:ascii="Arial" w:hAnsi="Arial"/>
          <w:sz w:val="22"/>
          <w:szCs w:val="22"/>
        </w:rPr>
        <w:t>pour les documents précédents</w:t>
      </w:r>
      <w:r>
        <w:rPr>
          <w:rFonts w:ascii="Arial" w:hAnsi="Arial"/>
          <w:sz w:val="22"/>
          <w:szCs w:val="22"/>
        </w:rPr>
        <w:t xml:space="preserve">, l’annexe de celui-ci présente l’état de la mise en œuvre des recommandations applicables aux organes directeurs de la Convention de 2003. Il s’agit d’une mise à jour de l’état présenté à la </w:t>
      </w:r>
      <w:r w:rsidR="00147641">
        <w:rPr>
          <w:rFonts w:ascii="Arial" w:hAnsi="Arial"/>
          <w:sz w:val="22"/>
          <w:szCs w:val="22"/>
        </w:rPr>
        <w:t>treizième session du Comité</w:t>
      </w:r>
      <w:r>
        <w:rPr>
          <w:rFonts w:ascii="Arial" w:hAnsi="Arial"/>
          <w:sz w:val="22"/>
          <w:szCs w:val="22"/>
        </w:rPr>
        <w:t xml:space="preserve">. Là encore, pour chacune des recommandations sélectionnées, il est également précisé </w:t>
      </w:r>
      <w:r>
        <w:rPr>
          <w:rFonts w:ascii="Arial" w:hAnsi="Arial"/>
          <w:snapToGrid w:val="0"/>
          <w:sz w:val="22"/>
          <w:szCs w:val="22"/>
        </w:rPr>
        <w:t>à laquelle des quatre catégories suivantes elle appartient :</w:t>
      </w:r>
    </w:p>
    <w:p w14:paraId="6092A510" w14:textId="3E674E47" w:rsidR="009B7C08" w:rsidRDefault="009B7C08" w:rsidP="00AF132E">
      <w:pPr>
        <w:pStyle w:val="COMPara"/>
        <w:numPr>
          <w:ilvl w:val="0"/>
          <w:numId w:val="6"/>
        </w:numPr>
        <w:ind w:left="1134" w:hanging="567"/>
        <w:jc w:val="both"/>
      </w:pPr>
      <w:r>
        <w:rPr>
          <w:b/>
        </w:rPr>
        <w:t>Mise en œuvre achevée</w:t>
      </w:r>
      <w:r>
        <w:t xml:space="preserve"> : les pratiques et/ou règles actuelles sont conformes </w:t>
      </w:r>
      <w:r w:rsidR="00AF132E">
        <w:t xml:space="preserve">aux </w:t>
      </w:r>
      <w:r>
        <w:t>recommandation</w:t>
      </w:r>
      <w:r w:rsidR="00AF132E">
        <w:t>s</w:t>
      </w:r>
      <w:r>
        <w:t xml:space="preserve">, aucune autre action n’est </w:t>
      </w:r>
      <w:r w:rsidR="00BE765D">
        <w:t xml:space="preserve">par conséquent </w:t>
      </w:r>
      <w:r>
        <w:t>nécessaire. Par ailleurs, le Secrétariat considère que ses pratiques dans certains domaines couverts par les recommandations peuvent être reconnues comme des bonnes pratiques (</w:t>
      </w:r>
      <w:r w:rsidR="00142998">
        <w:t>17 </w:t>
      </w:r>
      <w:r>
        <w:t>recommandations dont 4 bonnes pratiques) ;</w:t>
      </w:r>
    </w:p>
    <w:p w14:paraId="74D34867" w14:textId="77777777" w:rsidR="009B7C08" w:rsidRDefault="009B7C08" w:rsidP="00974C6E">
      <w:pPr>
        <w:pStyle w:val="COMPara"/>
        <w:numPr>
          <w:ilvl w:val="0"/>
          <w:numId w:val="6"/>
        </w:numPr>
        <w:ind w:left="1134" w:hanging="567"/>
        <w:jc w:val="both"/>
      </w:pPr>
      <w:r>
        <w:rPr>
          <w:b/>
        </w:rPr>
        <w:t>Action en cours</w:t>
      </w:r>
      <w:r>
        <w:t> : une action a déjà été lancée par le Secrétariat (sept recommandations dont une bonne pratique) ;</w:t>
      </w:r>
    </w:p>
    <w:p w14:paraId="688D7F57" w14:textId="0B04EDDA" w:rsidR="009B7C08" w:rsidRDefault="009B7C08" w:rsidP="00142998">
      <w:pPr>
        <w:pStyle w:val="COMPara"/>
        <w:numPr>
          <w:ilvl w:val="0"/>
          <w:numId w:val="6"/>
        </w:numPr>
        <w:ind w:left="1134" w:hanging="567"/>
        <w:jc w:val="both"/>
      </w:pPr>
      <w:r>
        <w:rPr>
          <w:b/>
        </w:rPr>
        <w:t>Action proposée</w:t>
      </w:r>
      <w:r>
        <w:t> : une action est proposée pour la mise en œuvre de ces recommandations (</w:t>
      </w:r>
      <w:r w:rsidR="00142998">
        <w:t>une </w:t>
      </w:r>
      <w:r>
        <w:t>recommandation) ;</w:t>
      </w:r>
    </w:p>
    <w:p w14:paraId="175B2A6A" w14:textId="57257858" w:rsidR="009B7C08" w:rsidRDefault="009B7C08" w:rsidP="000D080B">
      <w:pPr>
        <w:pStyle w:val="COMPara"/>
        <w:numPr>
          <w:ilvl w:val="0"/>
          <w:numId w:val="6"/>
        </w:numPr>
        <w:ind w:left="1134" w:hanging="567"/>
        <w:jc w:val="both"/>
      </w:pPr>
      <w:r>
        <w:rPr>
          <w:b/>
        </w:rPr>
        <w:t>Action nécessaire des États parties</w:t>
      </w:r>
      <w:r>
        <w:t xml:space="preserve"> : </w:t>
      </w:r>
      <w:r w:rsidR="00F739E1">
        <w:t xml:space="preserve">la responsabilité de </w:t>
      </w:r>
      <w:r>
        <w:t>la mise en œuvre de ces recommandations relève des États parties (</w:t>
      </w:r>
      <w:r w:rsidR="000D080B">
        <w:t xml:space="preserve">trois </w:t>
      </w:r>
      <w:r>
        <w:t>recommandations).</w:t>
      </w:r>
    </w:p>
    <w:p w14:paraId="1F76D703" w14:textId="77777777" w:rsidR="00075A92" w:rsidRDefault="002E44DD" w:rsidP="00F739E1">
      <w:pPr>
        <w:pStyle w:val="COMPara"/>
        <w:numPr>
          <w:ilvl w:val="0"/>
          <w:numId w:val="5"/>
        </w:numPr>
        <w:ind w:left="567" w:hanging="567"/>
        <w:jc w:val="both"/>
      </w:pPr>
      <w:r>
        <w:t xml:space="preserve">Le tableau ci-dessous présente l’évolution de l’état de mise en œuvre par rapport à celui présenté lors de la treizième session du Comité. De façon générale, des actions ont été </w:t>
      </w:r>
      <w:r>
        <w:lastRenderedPageBreak/>
        <w:t>menées pour faire évoluer</w:t>
      </w:r>
      <w:r w:rsidR="00BE765D">
        <w:t xml:space="preserve"> </w:t>
      </w:r>
      <w:r>
        <w:t>un certain nombre de recommandations vers le statut « mise en œuvre achevée » ou « action en cours ».</w:t>
      </w:r>
    </w:p>
    <w:tbl>
      <w:tblPr>
        <w:tblStyle w:val="TableGrid"/>
        <w:tblW w:w="0" w:type="auto"/>
        <w:tblInd w:w="567" w:type="dxa"/>
        <w:tblLook w:val="04A0" w:firstRow="1" w:lastRow="0" w:firstColumn="1" w:lastColumn="0" w:noHBand="0" w:noVBand="1"/>
      </w:tblPr>
      <w:tblGrid>
        <w:gridCol w:w="1980"/>
        <w:gridCol w:w="3540"/>
        <w:gridCol w:w="3541"/>
      </w:tblGrid>
      <w:tr w:rsidR="00FA06B4" w:rsidRPr="002E44DD" w14:paraId="689617A2" w14:textId="77777777" w:rsidTr="0038712E">
        <w:trPr>
          <w:cantSplit/>
        </w:trPr>
        <w:tc>
          <w:tcPr>
            <w:tcW w:w="1980" w:type="dxa"/>
            <w:shd w:val="clear" w:color="auto" w:fill="F2F2F2" w:themeFill="background1" w:themeFillShade="F2"/>
          </w:tcPr>
          <w:p w14:paraId="2D2351E7" w14:textId="77777777" w:rsidR="002E44DD" w:rsidRDefault="00AD0B6B" w:rsidP="002E44DD">
            <w:pPr>
              <w:pStyle w:val="COMPara"/>
              <w:numPr>
                <w:ilvl w:val="0"/>
                <w:numId w:val="0"/>
              </w:numPr>
              <w:jc w:val="both"/>
            </w:pPr>
            <w:r>
              <w:t>État</w:t>
            </w:r>
          </w:p>
        </w:tc>
        <w:tc>
          <w:tcPr>
            <w:tcW w:w="3540" w:type="dxa"/>
            <w:shd w:val="clear" w:color="auto" w:fill="F2F2F2" w:themeFill="background1" w:themeFillShade="F2"/>
          </w:tcPr>
          <w:p w14:paraId="3F09CD28" w14:textId="77777777" w:rsidR="002E44DD" w:rsidRPr="00EC628C" w:rsidRDefault="00D750ED" w:rsidP="002E44DD">
            <w:pPr>
              <w:pStyle w:val="COMPara"/>
              <w:numPr>
                <w:ilvl w:val="0"/>
                <w:numId w:val="0"/>
              </w:numPr>
              <w:jc w:val="both"/>
            </w:pPr>
            <w:r>
              <w:t>Présenté lors de la session 13.COM</w:t>
            </w:r>
          </w:p>
        </w:tc>
        <w:tc>
          <w:tcPr>
            <w:tcW w:w="3541" w:type="dxa"/>
            <w:shd w:val="clear" w:color="auto" w:fill="F2F2F2" w:themeFill="background1" w:themeFillShade="F2"/>
          </w:tcPr>
          <w:p w14:paraId="761040E2" w14:textId="77777777" w:rsidR="002E44DD" w:rsidRPr="00EC628C" w:rsidRDefault="00AD0B6B">
            <w:pPr>
              <w:pStyle w:val="COMPara"/>
              <w:numPr>
                <w:ilvl w:val="0"/>
                <w:numId w:val="0"/>
              </w:numPr>
              <w:jc w:val="both"/>
            </w:pPr>
            <w:r>
              <w:t>Présenté lors de la session 14.COM</w:t>
            </w:r>
          </w:p>
        </w:tc>
      </w:tr>
      <w:tr w:rsidR="00207EEB" w:rsidRPr="00D750ED" w14:paraId="08372CF0" w14:textId="77777777" w:rsidTr="0038712E">
        <w:trPr>
          <w:cantSplit/>
        </w:trPr>
        <w:tc>
          <w:tcPr>
            <w:tcW w:w="1980" w:type="dxa"/>
          </w:tcPr>
          <w:p w14:paraId="611593AA" w14:textId="77777777" w:rsidR="00207EEB" w:rsidRDefault="00207EEB" w:rsidP="00207EEB">
            <w:pPr>
              <w:pStyle w:val="COMPara"/>
              <w:numPr>
                <w:ilvl w:val="0"/>
                <w:numId w:val="0"/>
              </w:numPr>
              <w:jc w:val="both"/>
            </w:pPr>
            <w:r>
              <w:t>Mise en œuvre achevée</w:t>
            </w:r>
          </w:p>
        </w:tc>
        <w:tc>
          <w:tcPr>
            <w:tcW w:w="3540" w:type="dxa"/>
          </w:tcPr>
          <w:p w14:paraId="13CEDD97" w14:textId="77777777" w:rsidR="00207EEB" w:rsidRDefault="00207EEB" w:rsidP="00207EEB">
            <w:pPr>
              <w:pStyle w:val="COMPara"/>
              <w:numPr>
                <w:ilvl w:val="0"/>
                <w:numId w:val="0"/>
              </w:numPr>
            </w:pPr>
            <w:r>
              <w:t>12 recommandations dont 4 bonnes pratiques</w:t>
            </w:r>
          </w:p>
          <w:p w14:paraId="0217B4DD" w14:textId="77777777" w:rsidR="00207EEB" w:rsidRPr="005E778C" w:rsidRDefault="00207EEB" w:rsidP="00207EEB">
            <w:pPr>
              <w:pStyle w:val="COMPara"/>
              <w:numPr>
                <w:ilvl w:val="0"/>
                <w:numId w:val="0"/>
              </w:numPr>
              <w:jc w:val="both"/>
              <w:rPr>
                <w:sz w:val="20"/>
                <w:szCs w:val="20"/>
              </w:rPr>
            </w:pPr>
            <w:r>
              <w:rPr>
                <w:sz w:val="18"/>
                <w:szCs w:val="18"/>
              </w:rPr>
              <w:t>(56, 57, 59, 61, 62, 69, 70, 73, 78, 79, 99, 101)</w:t>
            </w:r>
          </w:p>
        </w:tc>
        <w:tc>
          <w:tcPr>
            <w:tcW w:w="3541" w:type="dxa"/>
          </w:tcPr>
          <w:p w14:paraId="62822EF1" w14:textId="77777777" w:rsidR="00207EEB" w:rsidRPr="00474F57" w:rsidRDefault="00207EEB" w:rsidP="00207EEB">
            <w:pPr>
              <w:pStyle w:val="COMPara"/>
              <w:numPr>
                <w:ilvl w:val="0"/>
                <w:numId w:val="0"/>
              </w:numPr>
            </w:pPr>
            <w:r>
              <w:t>17 recommandations dont 4 bonnes pratiques</w:t>
            </w:r>
          </w:p>
          <w:p w14:paraId="374FB749" w14:textId="77777777" w:rsidR="00207EEB" w:rsidRPr="00D750ED" w:rsidRDefault="00207EEB" w:rsidP="00207EEB">
            <w:pPr>
              <w:pStyle w:val="COMPara"/>
              <w:numPr>
                <w:ilvl w:val="0"/>
                <w:numId w:val="0"/>
              </w:numPr>
              <w:jc w:val="both"/>
              <w:rPr>
                <w:sz w:val="18"/>
                <w:szCs w:val="18"/>
                <w:highlight w:val="yellow"/>
              </w:rPr>
            </w:pPr>
            <w:r>
              <w:rPr>
                <w:sz w:val="18"/>
                <w:szCs w:val="18"/>
              </w:rPr>
              <w:t>(56, 57, 59, 61, 62, 68, 69, 70, 71, 73, 76, 78, 79, 80, 94, 99, 101)</w:t>
            </w:r>
          </w:p>
        </w:tc>
      </w:tr>
      <w:tr w:rsidR="00207EEB" w:rsidRPr="00207EEB" w14:paraId="7DF5BBBF" w14:textId="77777777" w:rsidTr="0038712E">
        <w:trPr>
          <w:cantSplit/>
        </w:trPr>
        <w:tc>
          <w:tcPr>
            <w:tcW w:w="1980" w:type="dxa"/>
          </w:tcPr>
          <w:p w14:paraId="47C39641" w14:textId="77777777" w:rsidR="00207EEB" w:rsidRDefault="00207EEB" w:rsidP="00207EEB">
            <w:pPr>
              <w:pStyle w:val="COMPara"/>
              <w:numPr>
                <w:ilvl w:val="0"/>
                <w:numId w:val="0"/>
              </w:numPr>
              <w:jc w:val="both"/>
            </w:pPr>
            <w:r>
              <w:t>Action en cours</w:t>
            </w:r>
          </w:p>
        </w:tc>
        <w:tc>
          <w:tcPr>
            <w:tcW w:w="3540" w:type="dxa"/>
          </w:tcPr>
          <w:p w14:paraId="356815C1" w14:textId="77777777" w:rsidR="00207EEB" w:rsidRDefault="00207EEB" w:rsidP="00207EEB">
            <w:pPr>
              <w:pStyle w:val="COMPara"/>
              <w:numPr>
                <w:ilvl w:val="0"/>
                <w:numId w:val="0"/>
              </w:numPr>
            </w:pPr>
            <w:r>
              <w:t>7 recommandations dont 1 bonne pratique</w:t>
            </w:r>
          </w:p>
          <w:p w14:paraId="7517544B" w14:textId="77777777" w:rsidR="00207EEB" w:rsidRDefault="00207EEB" w:rsidP="00207EEB">
            <w:pPr>
              <w:pStyle w:val="COMPara"/>
              <w:numPr>
                <w:ilvl w:val="0"/>
                <w:numId w:val="0"/>
              </w:numPr>
              <w:jc w:val="both"/>
            </w:pPr>
            <w:r>
              <w:rPr>
                <w:sz w:val="18"/>
                <w:szCs w:val="18"/>
              </w:rPr>
              <w:t>(58, 65, 71, 76, 94, 96, 100)</w:t>
            </w:r>
          </w:p>
        </w:tc>
        <w:tc>
          <w:tcPr>
            <w:tcW w:w="3541" w:type="dxa"/>
          </w:tcPr>
          <w:p w14:paraId="1B09B084" w14:textId="77777777" w:rsidR="00207EEB" w:rsidRPr="00474F57" w:rsidRDefault="00207EEB" w:rsidP="00207EEB">
            <w:pPr>
              <w:pStyle w:val="COMPara"/>
              <w:numPr>
                <w:ilvl w:val="0"/>
                <w:numId w:val="0"/>
              </w:numPr>
            </w:pPr>
            <w:r>
              <w:t>7 recommandations dont 1 bonne pratique</w:t>
            </w:r>
          </w:p>
          <w:p w14:paraId="5DC587C0" w14:textId="77777777" w:rsidR="00207EEB" w:rsidRPr="00D750ED" w:rsidRDefault="00207EEB" w:rsidP="00207EEB">
            <w:pPr>
              <w:pStyle w:val="COMPara"/>
              <w:numPr>
                <w:ilvl w:val="0"/>
                <w:numId w:val="0"/>
              </w:numPr>
              <w:jc w:val="both"/>
              <w:rPr>
                <w:sz w:val="18"/>
                <w:szCs w:val="18"/>
                <w:highlight w:val="yellow"/>
              </w:rPr>
            </w:pPr>
            <w:r>
              <w:rPr>
                <w:sz w:val="18"/>
                <w:szCs w:val="18"/>
              </w:rPr>
              <w:t>(58, 65, 66, 67, 74, 96, 100)</w:t>
            </w:r>
          </w:p>
        </w:tc>
      </w:tr>
      <w:tr w:rsidR="00207EEB" w:rsidRPr="002E44DD" w14:paraId="049BEFAB" w14:textId="77777777" w:rsidTr="0038712E">
        <w:trPr>
          <w:cantSplit/>
        </w:trPr>
        <w:tc>
          <w:tcPr>
            <w:tcW w:w="1980" w:type="dxa"/>
          </w:tcPr>
          <w:p w14:paraId="573076E9" w14:textId="77777777" w:rsidR="00207EEB" w:rsidRDefault="00207EEB" w:rsidP="00207EEB">
            <w:pPr>
              <w:pStyle w:val="COMPara"/>
              <w:numPr>
                <w:ilvl w:val="0"/>
                <w:numId w:val="0"/>
              </w:numPr>
              <w:jc w:val="both"/>
            </w:pPr>
            <w:r>
              <w:t>Action proposée</w:t>
            </w:r>
          </w:p>
        </w:tc>
        <w:tc>
          <w:tcPr>
            <w:tcW w:w="3540" w:type="dxa"/>
          </w:tcPr>
          <w:p w14:paraId="794EB177" w14:textId="77777777" w:rsidR="00207EEB" w:rsidRDefault="00207EEB" w:rsidP="00207EEB">
            <w:pPr>
              <w:pStyle w:val="COMPara"/>
              <w:numPr>
                <w:ilvl w:val="0"/>
                <w:numId w:val="0"/>
              </w:numPr>
              <w:jc w:val="both"/>
            </w:pPr>
            <w:r>
              <w:t>3 recommandations</w:t>
            </w:r>
          </w:p>
          <w:p w14:paraId="5AFB26DA" w14:textId="77777777" w:rsidR="00207EEB" w:rsidRDefault="00207EEB" w:rsidP="00207EEB">
            <w:pPr>
              <w:pStyle w:val="COMPara"/>
              <w:numPr>
                <w:ilvl w:val="0"/>
                <w:numId w:val="0"/>
              </w:numPr>
              <w:jc w:val="both"/>
            </w:pPr>
            <w:r>
              <w:rPr>
                <w:sz w:val="18"/>
                <w:szCs w:val="18"/>
              </w:rPr>
              <w:t>(66, 67, 97)</w:t>
            </w:r>
          </w:p>
        </w:tc>
        <w:tc>
          <w:tcPr>
            <w:tcW w:w="3541" w:type="dxa"/>
          </w:tcPr>
          <w:p w14:paraId="700E6683" w14:textId="77777777" w:rsidR="00207EEB" w:rsidRPr="00474F57" w:rsidRDefault="00207EEB" w:rsidP="00207EEB">
            <w:pPr>
              <w:pStyle w:val="COMPara"/>
              <w:numPr>
                <w:ilvl w:val="0"/>
                <w:numId w:val="0"/>
              </w:numPr>
              <w:jc w:val="both"/>
            </w:pPr>
            <w:r>
              <w:t>1 recommandation</w:t>
            </w:r>
          </w:p>
          <w:p w14:paraId="737FB050" w14:textId="77777777" w:rsidR="00207EEB" w:rsidRPr="00D750ED" w:rsidRDefault="00207EEB" w:rsidP="00207EEB">
            <w:pPr>
              <w:pStyle w:val="COMPara"/>
              <w:numPr>
                <w:ilvl w:val="0"/>
                <w:numId w:val="0"/>
              </w:numPr>
              <w:jc w:val="both"/>
              <w:rPr>
                <w:highlight w:val="yellow"/>
              </w:rPr>
            </w:pPr>
            <w:r>
              <w:rPr>
                <w:sz w:val="18"/>
                <w:szCs w:val="18"/>
              </w:rPr>
              <w:t>(97)</w:t>
            </w:r>
          </w:p>
        </w:tc>
      </w:tr>
      <w:tr w:rsidR="00207EEB" w:rsidRPr="002E44DD" w14:paraId="75BF5C23" w14:textId="77777777" w:rsidTr="0038712E">
        <w:trPr>
          <w:cantSplit/>
        </w:trPr>
        <w:tc>
          <w:tcPr>
            <w:tcW w:w="1980" w:type="dxa"/>
          </w:tcPr>
          <w:p w14:paraId="6D46174F" w14:textId="77777777" w:rsidR="00207EEB" w:rsidRDefault="00207EEB" w:rsidP="00207EEB">
            <w:pPr>
              <w:pStyle w:val="COMPara"/>
              <w:numPr>
                <w:ilvl w:val="0"/>
                <w:numId w:val="0"/>
              </w:numPr>
              <w:jc w:val="both"/>
            </w:pPr>
            <w:r>
              <w:t>Action nécessaire des États parties</w:t>
            </w:r>
          </w:p>
        </w:tc>
        <w:tc>
          <w:tcPr>
            <w:tcW w:w="3540" w:type="dxa"/>
          </w:tcPr>
          <w:p w14:paraId="34F927A3" w14:textId="77777777" w:rsidR="00207EEB" w:rsidRDefault="00207EEB" w:rsidP="00207EEB">
            <w:pPr>
              <w:pStyle w:val="COMPara"/>
              <w:numPr>
                <w:ilvl w:val="0"/>
                <w:numId w:val="0"/>
              </w:numPr>
              <w:jc w:val="both"/>
            </w:pPr>
            <w:r>
              <w:t>4 recommandations</w:t>
            </w:r>
          </w:p>
          <w:p w14:paraId="55726E75" w14:textId="77777777" w:rsidR="00207EEB" w:rsidRDefault="00207EEB" w:rsidP="00207EEB">
            <w:pPr>
              <w:pStyle w:val="COMPara"/>
              <w:numPr>
                <w:ilvl w:val="0"/>
                <w:numId w:val="0"/>
              </w:numPr>
              <w:jc w:val="both"/>
            </w:pPr>
            <w:r>
              <w:rPr>
                <w:sz w:val="18"/>
                <w:szCs w:val="18"/>
              </w:rPr>
              <w:t>(60, 64, 68, 107)</w:t>
            </w:r>
          </w:p>
        </w:tc>
        <w:tc>
          <w:tcPr>
            <w:tcW w:w="3541" w:type="dxa"/>
          </w:tcPr>
          <w:p w14:paraId="22045AF8" w14:textId="77777777" w:rsidR="00207EEB" w:rsidRPr="00474F57" w:rsidRDefault="00207EEB" w:rsidP="00207EEB">
            <w:pPr>
              <w:pStyle w:val="COMPara"/>
              <w:numPr>
                <w:ilvl w:val="0"/>
                <w:numId w:val="0"/>
              </w:numPr>
              <w:jc w:val="both"/>
            </w:pPr>
            <w:r>
              <w:t>3 recommandations</w:t>
            </w:r>
          </w:p>
          <w:p w14:paraId="1C22951E" w14:textId="77777777" w:rsidR="00207EEB" w:rsidRPr="00D750ED" w:rsidRDefault="00207EEB" w:rsidP="00207EEB">
            <w:pPr>
              <w:pStyle w:val="COMPara"/>
              <w:numPr>
                <w:ilvl w:val="0"/>
                <w:numId w:val="0"/>
              </w:numPr>
              <w:jc w:val="both"/>
              <w:rPr>
                <w:highlight w:val="yellow"/>
              </w:rPr>
            </w:pPr>
            <w:r>
              <w:rPr>
                <w:sz w:val="18"/>
                <w:szCs w:val="18"/>
              </w:rPr>
              <w:t>(60, 64, 107)</w:t>
            </w:r>
          </w:p>
        </w:tc>
      </w:tr>
    </w:tbl>
    <w:p w14:paraId="493EAC6A" w14:textId="56AAB445" w:rsidR="00F4640A" w:rsidRDefault="00F4640A" w:rsidP="000D080B">
      <w:pPr>
        <w:pStyle w:val="ListParagraph"/>
        <w:numPr>
          <w:ilvl w:val="0"/>
          <w:numId w:val="5"/>
        </w:numPr>
        <w:spacing w:before="240" w:after="120"/>
        <w:ind w:left="567" w:hanging="567"/>
        <w:contextualSpacing w:val="0"/>
        <w:jc w:val="both"/>
        <w:rPr>
          <w:rFonts w:ascii="Arial" w:hAnsi="Arial" w:cs="Arial"/>
          <w:snapToGrid w:val="0"/>
          <w:sz w:val="22"/>
          <w:szCs w:val="22"/>
        </w:rPr>
      </w:pPr>
      <w:r>
        <w:rPr>
          <w:rFonts w:ascii="Arial" w:hAnsi="Arial"/>
          <w:snapToGrid w:val="0"/>
          <w:sz w:val="22"/>
          <w:szCs w:val="22"/>
        </w:rPr>
        <w:t xml:space="preserve">Comme le montrent le tableau ci-dessus et l’annexe, un grand nombre des recommandations ont fait l’objet des actions de suivi appropriées et sont désormais pleinement mises en œuvre. Par ailleurs, plusieurs mesures d’atténuation ont été prises pour la plupart des </w:t>
      </w:r>
      <w:r w:rsidR="00F739E1">
        <w:rPr>
          <w:rFonts w:ascii="Arial" w:hAnsi="Arial"/>
          <w:snapToGrid w:val="0"/>
          <w:sz w:val="22"/>
          <w:szCs w:val="22"/>
        </w:rPr>
        <w:t xml:space="preserve">recommandations </w:t>
      </w:r>
      <w:r w:rsidR="000D080B">
        <w:rPr>
          <w:rFonts w:ascii="Arial" w:hAnsi="Arial"/>
          <w:snapToGrid w:val="0"/>
          <w:sz w:val="22"/>
          <w:szCs w:val="22"/>
        </w:rPr>
        <w:t>restantes</w:t>
      </w:r>
      <w:r>
        <w:rPr>
          <w:rFonts w:ascii="Arial" w:hAnsi="Arial"/>
          <w:snapToGrid w:val="0"/>
          <w:sz w:val="22"/>
          <w:szCs w:val="22"/>
        </w:rPr>
        <w:t>. Cela étant, un certain nombre de problèmes nécessitent encore de la part des États parties des actions à long terme. En général, cet examen permet de conclure que les organ</w:t>
      </w:r>
      <w:r w:rsidR="005805DD">
        <w:rPr>
          <w:rFonts w:ascii="Arial" w:hAnsi="Arial"/>
          <w:snapToGrid w:val="0"/>
          <w:sz w:val="22"/>
          <w:szCs w:val="22"/>
        </w:rPr>
        <w:t xml:space="preserve">es directeurs </w:t>
      </w:r>
      <w:r>
        <w:rPr>
          <w:rFonts w:ascii="Arial" w:hAnsi="Arial"/>
          <w:snapToGrid w:val="0"/>
          <w:sz w:val="22"/>
          <w:szCs w:val="22"/>
        </w:rPr>
        <w:t>et le Secrétariat ont accompli des progrès réguliers pour favoriser la bonne gouvernance de la Convention de 2003</w:t>
      </w:r>
      <w:r w:rsidR="001A3FB4">
        <w:rPr>
          <w:rFonts w:ascii="Arial" w:hAnsi="Arial"/>
          <w:snapToGrid w:val="0"/>
          <w:sz w:val="22"/>
          <w:szCs w:val="22"/>
        </w:rPr>
        <w:t>.</w:t>
      </w:r>
    </w:p>
    <w:p w14:paraId="04694889" w14:textId="77777777" w:rsidR="00F40207" w:rsidRDefault="00942946" w:rsidP="0038712E">
      <w:pPr>
        <w:pStyle w:val="ListParagraph"/>
        <w:numPr>
          <w:ilvl w:val="0"/>
          <w:numId w:val="5"/>
        </w:numPr>
        <w:spacing w:before="240" w:after="120"/>
        <w:ind w:left="567" w:hanging="567"/>
        <w:contextualSpacing w:val="0"/>
        <w:jc w:val="both"/>
        <w:rPr>
          <w:rFonts w:ascii="Arial" w:hAnsi="Arial" w:cs="Arial"/>
          <w:snapToGrid w:val="0"/>
          <w:sz w:val="22"/>
          <w:szCs w:val="22"/>
        </w:rPr>
      </w:pPr>
      <w:r>
        <w:rPr>
          <w:rFonts w:ascii="Arial" w:hAnsi="Arial"/>
          <w:snapToGrid w:val="0"/>
          <w:sz w:val="22"/>
          <w:szCs w:val="22"/>
        </w:rPr>
        <w:t>Deux points méritent une attention particulière :</w:t>
      </w:r>
    </w:p>
    <w:p w14:paraId="56106412" w14:textId="1D714945" w:rsidR="00F9493B" w:rsidRPr="0038712E" w:rsidRDefault="001B0925" w:rsidP="0038712E">
      <w:pPr>
        <w:pStyle w:val="ListParagraph"/>
        <w:spacing w:after="120"/>
        <w:ind w:left="567"/>
        <w:contextualSpacing w:val="0"/>
        <w:jc w:val="both"/>
        <w:rPr>
          <w:rFonts w:ascii="Arial" w:hAnsi="Arial" w:cs="Arial"/>
          <w:snapToGrid w:val="0"/>
          <w:sz w:val="22"/>
          <w:szCs w:val="22"/>
        </w:rPr>
      </w:pPr>
      <w:r>
        <w:rPr>
          <w:rFonts w:ascii="Arial" w:hAnsi="Arial"/>
          <w:snapToGrid w:val="0"/>
          <w:sz w:val="22"/>
          <w:szCs w:val="22"/>
          <w:u w:val="single"/>
        </w:rPr>
        <w:t>a. Harmonisation</w:t>
      </w:r>
      <w:r>
        <w:rPr>
          <w:rFonts w:ascii="Arial" w:hAnsi="Arial"/>
          <w:snapToGrid w:val="0"/>
          <w:sz w:val="22"/>
          <w:szCs w:val="22"/>
        </w:rPr>
        <w:t> : plusieurs recommandations (66, 68 et 71, par exemple) concernent la demande faite par l’Assemblée générale lors de sa septième session (</w:t>
      </w:r>
      <w:hyperlink r:id="rId16" w:history="1">
        <w:r>
          <w:rPr>
            <w:rStyle w:val="Hyperlink"/>
            <w:rFonts w:ascii="Arial" w:hAnsi="Arial"/>
            <w:snapToGrid w:val="0"/>
            <w:sz w:val="22"/>
            <w:szCs w:val="22"/>
          </w:rPr>
          <w:t>résolution 7.GA 13</w:t>
        </w:r>
      </w:hyperlink>
      <w:r>
        <w:rPr>
          <w:rFonts w:ascii="Arial" w:hAnsi="Arial"/>
          <w:snapToGrid w:val="0"/>
          <w:sz w:val="22"/>
          <w:szCs w:val="22"/>
        </w:rPr>
        <w:t xml:space="preserve">) au sujet de « l’harmonisation ». L’Assemblée générale a souligné l’importance d’une harmonisation des règlements intérieurs des organes directeurs des six conventions culturelles, ainsi que le rôle </w:t>
      </w:r>
      <w:r w:rsidR="005805DD">
        <w:rPr>
          <w:rFonts w:ascii="Arial" w:hAnsi="Arial"/>
          <w:snapToGrid w:val="0"/>
          <w:sz w:val="22"/>
          <w:szCs w:val="22"/>
        </w:rPr>
        <w:t xml:space="preserve">essentiel </w:t>
      </w:r>
      <w:r>
        <w:rPr>
          <w:rFonts w:ascii="Arial" w:hAnsi="Arial"/>
          <w:snapToGrid w:val="0"/>
          <w:sz w:val="22"/>
          <w:szCs w:val="22"/>
        </w:rPr>
        <w:t>du Secteur de la culture à cet égard. Elle a demandé au Secrétariat « en consultation avec les États parties, de soumettre un ensemble de projets d’amendements consolidé qui sera examiné lors de la huitième session de l’Assemblée générale en 2020 ». Après l’adoption de cette résolution, les Secrétariats des Conventions de 1972, 2003 et 2005 ont lancé une analyse comparative des règlements intérieurs de leurs organes. La coordination au sein du Secteur de la culture doit encore être élargie pour inclure les Conventions de 1954, 1970 et 2001.</w:t>
      </w:r>
    </w:p>
    <w:p w14:paraId="4DDBD823" w14:textId="50FCA233" w:rsidR="00F40207" w:rsidRPr="0038712E" w:rsidRDefault="001B0925" w:rsidP="00D75B9D">
      <w:pPr>
        <w:pStyle w:val="ListParagraph"/>
        <w:spacing w:before="240" w:after="120"/>
        <w:ind w:left="567"/>
        <w:contextualSpacing w:val="0"/>
        <w:jc w:val="both"/>
        <w:rPr>
          <w:rFonts w:ascii="Arial" w:hAnsi="Arial" w:cs="Arial"/>
          <w:snapToGrid w:val="0"/>
          <w:sz w:val="22"/>
          <w:szCs w:val="22"/>
          <w:u w:val="single"/>
        </w:rPr>
      </w:pPr>
      <w:r>
        <w:rPr>
          <w:rFonts w:ascii="Arial" w:hAnsi="Arial"/>
          <w:snapToGrid w:val="0"/>
          <w:sz w:val="22"/>
          <w:szCs w:val="22"/>
          <w:u w:val="single"/>
        </w:rPr>
        <w:t>b. Adéquation avec les grandes priorités de l’UNESCO</w:t>
      </w:r>
      <w:r w:rsidR="005805DD">
        <w:rPr>
          <w:rFonts w:ascii="Arial" w:hAnsi="Arial"/>
          <w:snapToGrid w:val="0"/>
          <w:sz w:val="22"/>
          <w:szCs w:val="22"/>
          <w:u w:val="single"/>
        </w:rPr>
        <w:t> :</w:t>
      </w:r>
      <w:r>
        <w:rPr>
          <w:rFonts w:ascii="Arial" w:hAnsi="Arial"/>
          <w:snapToGrid w:val="0"/>
          <w:sz w:val="22"/>
          <w:szCs w:val="22"/>
        </w:rPr>
        <w:t xml:space="preserve"> C’est la première fois que le Secrétariat rend compte de la mise en œuvre de la recommandation 74. Cela s’explique par le fait que, dans le cadre du Pilier 3 du processus de transformation stratégique initié par la Directrice générale, le Secrétariat inscrira à l’ordre du jour de la huitième session de l’Assemblée générale en 2020 un point dédié à cette question, dans le cadre du processus de consultation en vue de la préparation </w:t>
      </w:r>
      <w:r w:rsidR="00D75B9D">
        <w:rPr>
          <w:rFonts w:ascii="Arial" w:hAnsi="Arial"/>
          <w:snapToGrid w:val="0"/>
          <w:sz w:val="22"/>
          <w:szCs w:val="22"/>
        </w:rPr>
        <w:t>de la nouvelle Stratégie à moyen terme (</w:t>
      </w:r>
      <w:r>
        <w:rPr>
          <w:rFonts w:ascii="Arial" w:hAnsi="Arial"/>
          <w:snapToGrid w:val="0"/>
          <w:sz w:val="22"/>
          <w:szCs w:val="22"/>
        </w:rPr>
        <w:t>document </w:t>
      </w:r>
      <w:r w:rsidR="00D75B9D">
        <w:rPr>
          <w:rFonts w:ascii="Arial" w:hAnsi="Arial"/>
          <w:snapToGrid w:val="0"/>
          <w:sz w:val="22"/>
          <w:szCs w:val="22"/>
        </w:rPr>
        <w:t>41</w:t>
      </w:r>
      <w:r>
        <w:rPr>
          <w:rFonts w:ascii="Arial" w:hAnsi="Arial"/>
          <w:snapToGrid w:val="0"/>
          <w:sz w:val="22"/>
          <w:szCs w:val="22"/>
        </w:rPr>
        <w:t>C/4</w:t>
      </w:r>
      <w:r w:rsidR="00D75B9D">
        <w:rPr>
          <w:rFonts w:ascii="Arial" w:hAnsi="Arial"/>
          <w:snapToGrid w:val="0"/>
          <w:sz w:val="22"/>
          <w:szCs w:val="22"/>
        </w:rPr>
        <w:t xml:space="preserve">) et du </w:t>
      </w:r>
      <w:r w:rsidR="005805DD">
        <w:rPr>
          <w:rFonts w:ascii="Arial" w:hAnsi="Arial"/>
          <w:snapToGrid w:val="0"/>
          <w:sz w:val="22"/>
          <w:szCs w:val="22"/>
        </w:rPr>
        <w:t>P</w:t>
      </w:r>
      <w:r w:rsidR="00D75B9D">
        <w:rPr>
          <w:rFonts w:ascii="Arial" w:hAnsi="Arial"/>
          <w:snapToGrid w:val="0"/>
          <w:sz w:val="22"/>
          <w:szCs w:val="22"/>
        </w:rPr>
        <w:t>rojet de programme et de budget 2022-2025 (document</w:t>
      </w:r>
      <w:r w:rsidR="009C7044">
        <w:rPr>
          <w:rFonts w:ascii="Arial" w:hAnsi="Arial"/>
          <w:snapToGrid w:val="0"/>
          <w:sz w:val="22"/>
          <w:szCs w:val="22"/>
        </w:rPr>
        <w:t xml:space="preserve"> </w:t>
      </w:r>
      <w:r w:rsidR="00D75B9D">
        <w:rPr>
          <w:rFonts w:ascii="Arial" w:hAnsi="Arial"/>
          <w:snapToGrid w:val="0"/>
          <w:sz w:val="22"/>
          <w:szCs w:val="22"/>
        </w:rPr>
        <w:t>41</w:t>
      </w:r>
      <w:r>
        <w:rPr>
          <w:rFonts w:ascii="Arial" w:hAnsi="Arial"/>
          <w:snapToGrid w:val="0"/>
          <w:sz w:val="22"/>
          <w:szCs w:val="22"/>
        </w:rPr>
        <w:t>C/5</w:t>
      </w:r>
      <w:r w:rsidR="00D75B9D">
        <w:rPr>
          <w:rFonts w:ascii="Arial" w:hAnsi="Arial"/>
          <w:snapToGrid w:val="0"/>
          <w:sz w:val="22"/>
          <w:szCs w:val="22"/>
        </w:rPr>
        <w:t>)</w:t>
      </w:r>
      <w:r>
        <w:rPr>
          <w:rFonts w:ascii="Arial" w:hAnsi="Arial"/>
          <w:snapToGrid w:val="0"/>
          <w:sz w:val="22"/>
          <w:szCs w:val="22"/>
        </w:rPr>
        <w:t>.</w:t>
      </w:r>
    </w:p>
    <w:p w14:paraId="05FF8924" w14:textId="77777777" w:rsidR="009B7C08" w:rsidRPr="005A4A42" w:rsidRDefault="009B7C08" w:rsidP="005E778C">
      <w:pPr>
        <w:keepNext/>
        <w:numPr>
          <w:ilvl w:val="0"/>
          <w:numId w:val="5"/>
        </w:numPr>
        <w:spacing w:before="240" w:after="120"/>
        <w:ind w:left="567" w:hanging="567"/>
        <w:jc w:val="both"/>
        <w:rPr>
          <w:rFonts w:ascii="Arial" w:eastAsia="SimSun" w:hAnsi="Arial" w:cs="Arial"/>
          <w:sz w:val="22"/>
          <w:szCs w:val="22"/>
        </w:rPr>
      </w:pPr>
      <w:r>
        <w:rPr>
          <w:rFonts w:ascii="Arial" w:hAnsi="Arial"/>
          <w:sz w:val="22"/>
        </w:rPr>
        <w:t>Le Comité souhaitera peut-être adopter la décision suivante :</w:t>
      </w:r>
    </w:p>
    <w:p w14:paraId="373CD610" w14:textId="77777777" w:rsidR="009B7C08" w:rsidRDefault="009B7C08" w:rsidP="005141A0">
      <w:pPr>
        <w:pStyle w:val="GATitleResolution"/>
      </w:pPr>
      <w:r>
        <w:t>PROJET DE DÉCISION 14.COM 19</w:t>
      </w:r>
    </w:p>
    <w:p w14:paraId="33ECEF31" w14:textId="77777777" w:rsidR="009B7C08" w:rsidRPr="005A4A42" w:rsidRDefault="009B7C08" w:rsidP="005141A0">
      <w:pPr>
        <w:pStyle w:val="GAPreambulaResolution"/>
        <w:rPr>
          <w:rFonts w:eastAsia="SimSun"/>
        </w:rPr>
      </w:pPr>
      <w:r>
        <w:t>Le Comité,</w:t>
      </w:r>
    </w:p>
    <w:p w14:paraId="23A0FA4D" w14:textId="77777777" w:rsidR="009B7C08" w:rsidRPr="00345CB4" w:rsidRDefault="009B7C08" w:rsidP="005141A0">
      <w:pPr>
        <w:pStyle w:val="COMParaDecision"/>
        <w:jc w:val="left"/>
      </w:pPr>
      <w:r>
        <w:t>Ayant examiné</w:t>
      </w:r>
      <w:r>
        <w:rPr>
          <w:u w:val="none"/>
        </w:rPr>
        <w:t xml:space="preserve"> le document LHE/19/14.COM/19 et son annexe,</w:t>
      </w:r>
    </w:p>
    <w:p w14:paraId="71AF2B18" w14:textId="77777777" w:rsidR="009B7C08" w:rsidRPr="00345CB4" w:rsidRDefault="009B7C08" w:rsidP="00D6399B">
      <w:pPr>
        <w:pStyle w:val="COMParaDecision"/>
      </w:pPr>
      <w:r>
        <w:lastRenderedPageBreak/>
        <w:t>Rappelant</w:t>
      </w:r>
      <w:r>
        <w:rPr>
          <w:u w:val="none"/>
        </w:rPr>
        <w:t xml:space="preserve"> les documents </w:t>
      </w:r>
      <w:hyperlink r:id="rId17" w:history="1">
        <w:r w:rsidRPr="00DE1D64">
          <w:rPr>
            <w:rStyle w:val="Hyperlink"/>
          </w:rPr>
          <w:t>ITH/18/13.COM/17</w:t>
        </w:r>
      </w:hyperlink>
      <w:r>
        <w:rPr>
          <w:u w:val="none"/>
        </w:rPr>
        <w:t xml:space="preserve">, </w:t>
      </w:r>
      <w:hyperlink r:id="rId18" w:history="1">
        <w:r>
          <w:rPr>
            <w:rStyle w:val="Hyperlink"/>
          </w:rPr>
          <w:t>ITH/18/7.GA/12</w:t>
        </w:r>
      </w:hyperlink>
      <w:r>
        <w:rPr>
          <w:u w:val="none"/>
        </w:rPr>
        <w:t xml:space="preserve"> et </w:t>
      </w:r>
      <w:hyperlink r:id="rId19" w:history="1">
        <w:r>
          <w:rPr>
            <w:rStyle w:val="Hyperlink"/>
          </w:rPr>
          <w:t>ITH/18/7.GA/13</w:t>
        </w:r>
      </w:hyperlink>
      <w:r>
        <w:rPr>
          <w:u w:val="none"/>
        </w:rPr>
        <w:t xml:space="preserve">, les décisions </w:t>
      </w:r>
      <w:hyperlink r:id="rId20" w:history="1">
        <w:r>
          <w:rPr>
            <w:rStyle w:val="Hyperlink"/>
          </w:rPr>
          <w:t>12.COM 13</w:t>
        </w:r>
      </w:hyperlink>
      <w:r w:rsidR="00DE1D64">
        <w:t xml:space="preserve"> </w:t>
      </w:r>
      <w:r>
        <w:rPr>
          <w:u w:val="none"/>
        </w:rPr>
        <w:t xml:space="preserve">et </w:t>
      </w:r>
      <w:hyperlink r:id="rId21" w:history="1">
        <w:r>
          <w:rPr>
            <w:rStyle w:val="Hyperlink"/>
          </w:rPr>
          <w:t>12.COM 16</w:t>
        </w:r>
      </w:hyperlink>
      <w:r>
        <w:rPr>
          <w:u w:val="none"/>
        </w:rPr>
        <w:t xml:space="preserve"> et les résolutions </w:t>
      </w:r>
      <w:hyperlink r:id="rId22" w:history="1">
        <w:r>
          <w:rPr>
            <w:rStyle w:val="Hyperlink"/>
          </w:rPr>
          <w:t>7.GA 12</w:t>
        </w:r>
      </w:hyperlink>
      <w:r>
        <w:rPr>
          <w:u w:val="none"/>
        </w:rPr>
        <w:t xml:space="preserve">, </w:t>
      </w:r>
      <w:hyperlink r:id="rId23" w:history="1">
        <w:r>
          <w:rPr>
            <w:rStyle w:val="Hyperlink"/>
          </w:rPr>
          <w:t>7.GA 13</w:t>
        </w:r>
      </w:hyperlink>
      <w:r>
        <w:rPr>
          <w:u w:val="none"/>
        </w:rPr>
        <w:t xml:space="preserve"> et </w:t>
      </w:r>
      <w:hyperlink r:id="rId24" w:history="1">
        <w:r>
          <w:rPr>
            <w:rStyle w:val="Hyperlink"/>
          </w:rPr>
          <w:t>6.GA 11</w:t>
        </w:r>
      </w:hyperlink>
      <w:r>
        <w:rPr>
          <w:u w:val="none"/>
        </w:rPr>
        <w:t>,</w:t>
      </w:r>
    </w:p>
    <w:p w14:paraId="681530BA" w14:textId="459D052C" w:rsidR="009B7C08" w:rsidRPr="00942976" w:rsidRDefault="009B7C08" w:rsidP="009B7C08">
      <w:pPr>
        <w:pStyle w:val="COMParaDecision"/>
        <w:jc w:val="left"/>
      </w:pPr>
      <w:r>
        <w:t>Rappelant également</w:t>
      </w:r>
      <w:r w:rsidR="008100DD">
        <w:rPr>
          <w:u w:val="none"/>
        </w:rPr>
        <w:t xml:space="preserve"> la </w:t>
      </w:r>
      <w:hyperlink r:id="rId25" w:history="1">
        <w:r w:rsidR="008100DD" w:rsidRPr="008100DD">
          <w:rPr>
            <w:rStyle w:val="Hyperlink"/>
          </w:rPr>
          <w:t>r</w:t>
        </w:r>
        <w:r w:rsidRPr="008100DD">
          <w:rPr>
            <w:rStyle w:val="Hyperlink"/>
          </w:rPr>
          <w:t>ésolution 39 C/87</w:t>
        </w:r>
      </w:hyperlink>
      <w:r>
        <w:rPr>
          <w:u w:val="none"/>
        </w:rPr>
        <w:t>,</w:t>
      </w:r>
    </w:p>
    <w:p w14:paraId="0FFB36E6" w14:textId="77777777" w:rsidR="004D7A1E" w:rsidRPr="00EE4900" w:rsidRDefault="009B7C08" w:rsidP="009B7C08">
      <w:pPr>
        <w:pStyle w:val="COMParaDecision"/>
      </w:pPr>
      <w:r>
        <w:t>Prend note</w:t>
      </w:r>
      <w:r>
        <w:rPr>
          <w:u w:val="none"/>
        </w:rPr>
        <w:t xml:space="preserve"> de l’état de la mise en œuvre des recommandations sur la gouvernance d’après le travail du Groupe de travail à composition non limitée sur la gouvernance, les procédures et les méthodes de travail des organes directeurs de l’UNESCO qui sont pertinentes pour les organes directeurs de la Convention de 2003 ;</w:t>
      </w:r>
    </w:p>
    <w:p w14:paraId="3375DB8A" w14:textId="77777777" w:rsidR="008E3187" w:rsidRPr="0038712E" w:rsidRDefault="000E542F" w:rsidP="00473183">
      <w:pPr>
        <w:pStyle w:val="COMParaDecision"/>
      </w:pPr>
      <w:r>
        <w:t>Encourage</w:t>
      </w:r>
      <w:r>
        <w:rPr>
          <w:u w:val="none"/>
        </w:rPr>
        <w:t xml:space="preserve"> le Secteur de la culture à poursuivre ses efforts pour harmoniser les règlements intérieurs des organes directeurs des six conventions culturelles conformément à la </w:t>
      </w:r>
      <w:hyperlink r:id="rId26" w:history="1">
        <w:r>
          <w:rPr>
            <w:rStyle w:val="Hyperlink"/>
          </w:rPr>
          <w:t>résolution 7.GA 13</w:t>
        </w:r>
      </w:hyperlink>
      <w:r>
        <w:rPr>
          <w:u w:val="none"/>
        </w:rPr>
        <w:t> ;</w:t>
      </w:r>
    </w:p>
    <w:p w14:paraId="4B7409A2" w14:textId="3425B454" w:rsidR="00BF20B7" w:rsidRPr="0038712E" w:rsidRDefault="00BF20B7" w:rsidP="00BE6434">
      <w:pPr>
        <w:pStyle w:val="COMParaDecision"/>
      </w:pPr>
      <w:r>
        <w:t>Prend également note</w:t>
      </w:r>
      <w:r>
        <w:rPr>
          <w:u w:val="none"/>
        </w:rPr>
        <w:t xml:space="preserve"> que l’Assemblée générale </w:t>
      </w:r>
      <w:r>
        <w:rPr>
          <w:snapToGrid w:val="0"/>
          <w:u w:val="none"/>
        </w:rPr>
        <w:t>abordera</w:t>
      </w:r>
      <w:r w:rsidR="00BE6434">
        <w:rPr>
          <w:snapToGrid w:val="0"/>
          <w:u w:val="none"/>
        </w:rPr>
        <w:t xml:space="preserve"> à sa huitième session</w:t>
      </w:r>
      <w:r>
        <w:rPr>
          <w:snapToGrid w:val="0"/>
          <w:u w:val="none"/>
        </w:rPr>
        <w:t xml:space="preserve"> la préparation </w:t>
      </w:r>
      <w:r w:rsidR="00BE6434">
        <w:rPr>
          <w:snapToGrid w:val="0"/>
          <w:u w:val="none"/>
        </w:rPr>
        <w:t xml:space="preserve">de la nouvelle </w:t>
      </w:r>
      <w:r w:rsidR="00DE1D64">
        <w:rPr>
          <w:snapToGrid w:val="0"/>
          <w:u w:val="none"/>
        </w:rPr>
        <w:t>S</w:t>
      </w:r>
      <w:r w:rsidR="009C7044">
        <w:rPr>
          <w:snapToGrid w:val="0"/>
          <w:u w:val="none"/>
        </w:rPr>
        <w:t xml:space="preserve">tratégie à moyen </w:t>
      </w:r>
      <w:r w:rsidR="00BE6434">
        <w:rPr>
          <w:snapToGrid w:val="0"/>
          <w:u w:val="none"/>
        </w:rPr>
        <w:t>terme 2022-2029 (</w:t>
      </w:r>
      <w:r>
        <w:rPr>
          <w:snapToGrid w:val="0"/>
          <w:u w:val="none"/>
        </w:rPr>
        <w:t>document </w:t>
      </w:r>
      <w:r w:rsidR="00BE6434">
        <w:rPr>
          <w:snapToGrid w:val="0"/>
          <w:u w:val="none"/>
        </w:rPr>
        <w:t>41</w:t>
      </w:r>
      <w:r w:rsidR="00264F7E">
        <w:rPr>
          <w:snapToGrid w:val="0"/>
          <w:u w:val="none"/>
        </w:rPr>
        <w:t xml:space="preserve"> </w:t>
      </w:r>
      <w:r>
        <w:rPr>
          <w:snapToGrid w:val="0"/>
          <w:u w:val="none"/>
        </w:rPr>
        <w:t>C/4</w:t>
      </w:r>
      <w:r w:rsidR="00BE6434">
        <w:rPr>
          <w:snapToGrid w:val="0"/>
          <w:u w:val="none"/>
        </w:rPr>
        <w:t>)</w:t>
      </w:r>
      <w:r>
        <w:rPr>
          <w:snapToGrid w:val="0"/>
          <w:u w:val="none"/>
        </w:rPr>
        <w:t xml:space="preserve"> et </w:t>
      </w:r>
      <w:r w:rsidR="00BE6434">
        <w:rPr>
          <w:snapToGrid w:val="0"/>
          <w:u w:val="none"/>
        </w:rPr>
        <w:t xml:space="preserve">le </w:t>
      </w:r>
      <w:r w:rsidR="00002054">
        <w:rPr>
          <w:snapToGrid w:val="0"/>
          <w:u w:val="none"/>
        </w:rPr>
        <w:t>P</w:t>
      </w:r>
      <w:r w:rsidR="00BE6434">
        <w:rPr>
          <w:snapToGrid w:val="0"/>
          <w:u w:val="none"/>
        </w:rPr>
        <w:t>rojet de programme et de budget 2022-2025 (Document 41</w:t>
      </w:r>
      <w:r w:rsidR="00264F7E">
        <w:rPr>
          <w:snapToGrid w:val="0"/>
          <w:u w:val="none"/>
        </w:rPr>
        <w:t xml:space="preserve"> </w:t>
      </w:r>
      <w:r>
        <w:rPr>
          <w:snapToGrid w:val="0"/>
          <w:u w:val="none"/>
        </w:rPr>
        <w:t>C/5</w:t>
      </w:r>
      <w:r w:rsidR="00BE6434">
        <w:rPr>
          <w:snapToGrid w:val="0"/>
          <w:u w:val="none"/>
        </w:rPr>
        <w:t>)</w:t>
      </w:r>
      <w:r>
        <w:rPr>
          <w:u w:val="none"/>
        </w:rPr>
        <w:t xml:space="preserve"> en tenant compte de la </w:t>
      </w:r>
      <w:r>
        <w:rPr>
          <w:snapToGrid w:val="0"/>
        </w:rPr>
        <w:t>Recommandation</w:t>
      </w:r>
      <w:r>
        <w:rPr>
          <w:snapToGrid w:val="0"/>
          <w:u w:val="none"/>
        </w:rPr>
        <w:t> 74</w:t>
      </w:r>
      <w:r w:rsidR="009C7044">
        <w:rPr>
          <w:snapToGrid w:val="0"/>
          <w:u w:val="none"/>
        </w:rPr>
        <w:t xml:space="preserve"> des recommandations en question</w:t>
      </w:r>
      <w:r>
        <w:rPr>
          <w:snapToGrid w:val="0"/>
          <w:u w:val="none"/>
        </w:rPr>
        <w:t xml:space="preserve"> ; </w:t>
      </w:r>
    </w:p>
    <w:p w14:paraId="3DA27726" w14:textId="123961BF" w:rsidR="00D15312" w:rsidRPr="00EE4900" w:rsidRDefault="00D15312" w:rsidP="00264F7E">
      <w:pPr>
        <w:pStyle w:val="COMParaDecision"/>
      </w:pPr>
      <w:r>
        <w:t>Considère</w:t>
      </w:r>
      <w:r>
        <w:rPr>
          <w:u w:val="none"/>
        </w:rPr>
        <w:t xml:space="preserve"> que des progrès suffisants ont été accomplis dans le suivi de la mise en œuvre des recommandations pertinentes du Groupe de travail à composition non limitée susmentionné nécessitant l’attention du Comité, et </w:t>
      </w:r>
      <w:r>
        <w:t>demande</w:t>
      </w:r>
      <w:r>
        <w:rPr>
          <w:u w:val="none"/>
        </w:rPr>
        <w:t xml:space="preserve"> au Secrétariat de continuer à rendre </w:t>
      </w:r>
      <w:r w:rsidR="00614BDD">
        <w:rPr>
          <w:u w:val="none"/>
        </w:rPr>
        <w:t>compte, quand</w:t>
      </w:r>
      <w:r w:rsidR="00BE6434">
        <w:rPr>
          <w:u w:val="none"/>
        </w:rPr>
        <w:t xml:space="preserve"> cela s’avère nécessaire</w:t>
      </w:r>
      <w:r w:rsidR="00871915">
        <w:rPr>
          <w:u w:val="none"/>
        </w:rPr>
        <w:t xml:space="preserve">, des progrès quant </w:t>
      </w:r>
      <w:r w:rsidR="00264F7E">
        <w:rPr>
          <w:u w:val="none"/>
        </w:rPr>
        <w:t xml:space="preserve">à l’état de la mise en </w:t>
      </w:r>
      <w:r w:rsidR="008100DD">
        <w:rPr>
          <w:u w:val="none"/>
        </w:rPr>
        <w:t>œuvre</w:t>
      </w:r>
      <w:r w:rsidR="00871915">
        <w:rPr>
          <w:u w:val="none"/>
        </w:rPr>
        <w:t xml:space="preserve"> des recommandations</w:t>
      </w:r>
      <w:r>
        <w:rPr>
          <w:u w:val="none"/>
        </w:rPr>
        <w:t>.</w:t>
      </w:r>
    </w:p>
    <w:p w14:paraId="1CC1CAD8" w14:textId="77777777" w:rsidR="009B7C08" w:rsidRPr="008E3187" w:rsidRDefault="009B7C08" w:rsidP="00EE4900">
      <w:pPr>
        <w:pStyle w:val="COMParaDecision"/>
        <w:numPr>
          <w:ilvl w:val="0"/>
          <w:numId w:val="0"/>
        </w:numPr>
        <w:ind w:left="567"/>
        <w:jc w:val="left"/>
      </w:pPr>
    </w:p>
    <w:p w14:paraId="518F725F" w14:textId="77777777" w:rsidR="009B7C08" w:rsidRPr="00711C46" w:rsidRDefault="009B7C08" w:rsidP="009B7C08">
      <w:pPr>
        <w:rPr>
          <w:rFonts w:ascii="Arial" w:hAnsi="Arial" w:cs="Arial"/>
          <w:snapToGrid w:val="0"/>
          <w:sz w:val="22"/>
          <w:szCs w:val="22"/>
          <w:lang w:eastAsia="en-US"/>
        </w:rPr>
        <w:sectPr w:rsidR="009B7C08" w:rsidRPr="00711C46" w:rsidSect="00EA7F1D">
          <w:headerReference w:type="even" r:id="rId27"/>
          <w:headerReference w:type="default" r:id="rId28"/>
          <w:headerReference w:type="first" r:id="rId29"/>
          <w:pgSz w:w="11906" w:h="16838" w:code="9"/>
          <w:pgMar w:top="1418" w:right="1134" w:bottom="993" w:left="1134" w:header="397" w:footer="284" w:gutter="0"/>
          <w:cols w:space="708"/>
          <w:titlePg/>
          <w:docGrid w:linePitch="360"/>
        </w:sectPr>
      </w:pPr>
    </w:p>
    <w:p w14:paraId="07237F4E" w14:textId="77777777" w:rsidR="009B7C08" w:rsidRDefault="009B7C08" w:rsidP="009B7C08">
      <w:pPr>
        <w:spacing w:after="240"/>
        <w:jc w:val="center"/>
        <w:rPr>
          <w:rFonts w:ascii="Arial" w:hAnsi="Arial" w:cs="Arial"/>
          <w:b/>
          <w:snapToGrid w:val="0"/>
          <w:sz w:val="22"/>
          <w:szCs w:val="22"/>
        </w:rPr>
      </w:pPr>
      <w:r>
        <w:rPr>
          <w:rFonts w:ascii="Arial" w:hAnsi="Arial"/>
          <w:b/>
          <w:snapToGrid w:val="0"/>
          <w:sz w:val="22"/>
          <w:szCs w:val="22"/>
        </w:rPr>
        <w:lastRenderedPageBreak/>
        <w:t>ANNEXE</w:t>
      </w:r>
    </w:p>
    <w:p w14:paraId="77D7902D" w14:textId="77777777" w:rsidR="009B7C08" w:rsidRPr="00472AC3" w:rsidRDefault="009B7C08" w:rsidP="009B7C08">
      <w:pPr>
        <w:spacing w:after="120"/>
        <w:jc w:val="center"/>
        <w:rPr>
          <w:rFonts w:ascii="Arial" w:hAnsi="Arial" w:cs="Arial"/>
          <w:b/>
          <w:smallCaps/>
          <w:snapToGrid w:val="0"/>
          <w:sz w:val="22"/>
          <w:szCs w:val="22"/>
        </w:rPr>
      </w:pPr>
      <w:r>
        <w:rPr>
          <w:rFonts w:ascii="Arial" w:hAnsi="Arial"/>
          <w:b/>
          <w:smallCaps/>
          <w:snapToGrid w:val="0"/>
          <w:sz w:val="22"/>
          <w:szCs w:val="22"/>
        </w:rPr>
        <w:t>Recommandations du groupe de travail à composition non limitée sur la gouvernance, les procédures et les méthodes de travail des organes directeurs de l’UNESCO</w:t>
      </w:r>
    </w:p>
    <w:p w14:paraId="23C2FB12" w14:textId="77777777" w:rsidR="009B7C08" w:rsidRPr="00472AC3" w:rsidRDefault="009B7C08" w:rsidP="009B7C08">
      <w:pPr>
        <w:spacing w:after="240"/>
        <w:jc w:val="center"/>
        <w:rPr>
          <w:rFonts w:ascii="Arial" w:hAnsi="Arial" w:cs="Arial"/>
          <w:smallCaps/>
          <w:snapToGrid w:val="0"/>
          <w:sz w:val="22"/>
          <w:szCs w:val="22"/>
        </w:rPr>
      </w:pPr>
      <w:r>
        <w:rPr>
          <w:rFonts w:ascii="Arial" w:hAnsi="Arial"/>
          <w:b/>
          <w:smallCaps/>
          <w:snapToGrid w:val="0"/>
          <w:sz w:val="22"/>
          <w:szCs w:val="22"/>
        </w:rPr>
        <w:t>Partie 2. Structure, composition et méthode de travail des organes internationaux et intergouvernementaux (OII) de l’UNESCO</w:t>
      </w:r>
      <w:r>
        <w:rPr>
          <w:rStyle w:val="FootnoteReference"/>
          <w:rFonts w:ascii="Arial" w:hAnsi="Arial" w:cs="Arial"/>
          <w:b/>
          <w:smallCaps/>
          <w:snapToGrid w:val="0"/>
          <w:sz w:val="22"/>
          <w:szCs w:val="22"/>
          <w:lang w:val="en-GB" w:eastAsia="en-US"/>
        </w:rPr>
        <w:footnoteReference w:id="2"/>
      </w:r>
    </w:p>
    <w:tbl>
      <w:tblPr>
        <w:tblStyle w:val="TableGrid"/>
        <w:tblW w:w="5000" w:type="pct"/>
        <w:tblLook w:val="04A0" w:firstRow="1" w:lastRow="0" w:firstColumn="1" w:lastColumn="0" w:noHBand="0" w:noVBand="1"/>
      </w:tblPr>
      <w:tblGrid>
        <w:gridCol w:w="5946"/>
        <w:gridCol w:w="8330"/>
      </w:tblGrid>
      <w:tr w:rsidR="009B7C08" w:rsidRPr="00985ABE" w14:paraId="1B56A187" w14:textId="77777777" w:rsidTr="00FE5797">
        <w:trPr>
          <w:trHeight w:val="340"/>
          <w:tblHeader/>
        </w:trPr>
        <w:tc>
          <w:tcPr>
            <w:tcW w:w="5946" w:type="dxa"/>
            <w:vAlign w:val="center"/>
          </w:tcPr>
          <w:p w14:paraId="0A26AA99" w14:textId="77777777" w:rsidR="009B7C08" w:rsidRPr="00985ABE" w:rsidRDefault="009B7C08" w:rsidP="00B04CDE">
            <w:pPr>
              <w:rPr>
                <w:rFonts w:ascii="Arial" w:hAnsi="Arial" w:cs="Arial"/>
                <w:b/>
                <w:snapToGrid w:val="0"/>
                <w:sz w:val="22"/>
                <w:szCs w:val="22"/>
              </w:rPr>
            </w:pPr>
            <w:r>
              <w:rPr>
                <w:rFonts w:ascii="Arial" w:hAnsi="Arial"/>
                <w:b/>
                <w:snapToGrid w:val="0"/>
                <w:sz w:val="22"/>
                <w:szCs w:val="22"/>
              </w:rPr>
              <w:t>Recommandation</w:t>
            </w:r>
          </w:p>
        </w:tc>
        <w:tc>
          <w:tcPr>
            <w:tcW w:w="8330" w:type="dxa"/>
            <w:vAlign w:val="center"/>
          </w:tcPr>
          <w:p w14:paraId="086B66E2" w14:textId="77777777" w:rsidR="009B7C08" w:rsidRPr="00985ABE" w:rsidRDefault="009B7C08" w:rsidP="00B04CDE">
            <w:pPr>
              <w:rPr>
                <w:rFonts w:ascii="Arial" w:hAnsi="Arial" w:cs="Arial"/>
                <w:b/>
                <w:snapToGrid w:val="0"/>
                <w:sz w:val="22"/>
                <w:szCs w:val="22"/>
              </w:rPr>
            </w:pPr>
            <w:r>
              <w:rPr>
                <w:rFonts w:ascii="Arial" w:hAnsi="Arial"/>
                <w:b/>
                <w:snapToGrid w:val="0"/>
                <w:sz w:val="22"/>
                <w:szCs w:val="22"/>
              </w:rPr>
              <w:t>État</w:t>
            </w:r>
          </w:p>
        </w:tc>
      </w:tr>
      <w:tr w:rsidR="009B7C08" w:rsidRPr="0038712E" w14:paraId="673ADD3B" w14:textId="77777777" w:rsidTr="00FE5797">
        <w:trPr>
          <w:trHeight w:val="340"/>
        </w:trPr>
        <w:tc>
          <w:tcPr>
            <w:tcW w:w="14276" w:type="dxa"/>
            <w:gridSpan w:val="2"/>
            <w:shd w:val="clear" w:color="auto" w:fill="D9D9D9" w:themeFill="background1" w:themeFillShade="D9"/>
            <w:vAlign w:val="center"/>
          </w:tcPr>
          <w:p w14:paraId="657F7F13" w14:textId="77777777" w:rsidR="009B7C08" w:rsidRPr="00C366E0" w:rsidRDefault="009B7C08" w:rsidP="00B04CDE">
            <w:pPr>
              <w:tabs>
                <w:tab w:val="left" w:pos="555"/>
              </w:tabs>
              <w:rPr>
                <w:rFonts w:ascii="Arial" w:hAnsi="Arial" w:cs="Arial"/>
                <w:bCs/>
                <w:smallCaps/>
                <w:snapToGrid w:val="0"/>
                <w:sz w:val="22"/>
                <w:szCs w:val="22"/>
              </w:rPr>
            </w:pPr>
            <w:r>
              <w:rPr>
                <w:rFonts w:ascii="Arial" w:hAnsi="Arial"/>
                <w:b/>
                <w:smallCaps/>
                <w:snapToGrid w:val="0"/>
                <w:sz w:val="22"/>
                <w:szCs w:val="22"/>
              </w:rPr>
              <w:t>B.</w:t>
            </w:r>
            <w:r>
              <w:rPr>
                <w:rFonts w:ascii="Arial" w:hAnsi="Arial"/>
                <w:b/>
                <w:smallCaps/>
                <w:snapToGrid w:val="0"/>
                <w:sz w:val="22"/>
                <w:szCs w:val="22"/>
              </w:rPr>
              <w:tab/>
              <w:t>Recommandations générales à tous les organes internationaux et intergouvernementaux (OII)</w:t>
            </w:r>
          </w:p>
        </w:tc>
      </w:tr>
      <w:tr w:rsidR="009B7C08" w:rsidRPr="0038712E" w14:paraId="1517021F" w14:textId="77777777" w:rsidTr="00FE5797">
        <w:trPr>
          <w:trHeight w:val="340"/>
        </w:trPr>
        <w:tc>
          <w:tcPr>
            <w:tcW w:w="14276" w:type="dxa"/>
            <w:gridSpan w:val="2"/>
            <w:shd w:val="clear" w:color="auto" w:fill="F2F2F2" w:themeFill="background1" w:themeFillShade="F2"/>
            <w:vAlign w:val="center"/>
          </w:tcPr>
          <w:p w14:paraId="58461EC3" w14:textId="77777777" w:rsidR="009B7C08" w:rsidRPr="00C366E0" w:rsidRDefault="009B7C08" w:rsidP="00B04CDE">
            <w:pPr>
              <w:tabs>
                <w:tab w:val="left" w:pos="555"/>
              </w:tabs>
              <w:rPr>
                <w:rFonts w:ascii="Arial" w:hAnsi="Arial" w:cs="Arial"/>
                <w:bCs/>
                <w:smallCaps/>
                <w:snapToGrid w:val="0"/>
                <w:sz w:val="22"/>
                <w:szCs w:val="22"/>
              </w:rPr>
            </w:pPr>
            <w:r>
              <w:rPr>
                <w:rFonts w:ascii="Arial" w:hAnsi="Arial"/>
                <w:b/>
                <w:snapToGrid w:val="0"/>
                <w:sz w:val="22"/>
                <w:szCs w:val="22"/>
              </w:rPr>
              <w:t>Efficacité (mandat, composition, structure, règlement intérieur, méthodes de travail)</w:t>
            </w:r>
          </w:p>
        </w:tc>
      </w:tr>
      <w:tr w:rsidR="009B7C08" w:rsidRPr="0038712E" w14:paraId="18D8E461" w14:textId="77777777" w:rsidTr="00FE5797">
        <w:tc>
          <w:tcPr>
            <w:tcW w:w="5946" w:type="dxa"/>
          </w:tcPr>
          <w:p w14:paraId="2EB92C97" w14:textId="77777777" w:rsidR="009B7C08" w:rsidRPr="00E863FC" w:rsidRDefault="009B7C08" w:rsidP="00A741D3">
            <w:pPr>
              <w:pStyle w:val="ListParagraph"/>
              <w:numPr>
                <w:ilvl w:val="0"/>
                <w:numId w:val="8"/>
              </w:numPr>
              <w:tabs>
                <w:tab w:val="left" w:pos="567"/>
              </w:tabs>
              <w:spacing w:after="120"/>
              <w:ind w:left="567" w:hanging="567"/>
              <w:contextualSpacing w:val="0"/>
              <w:jc w:val="both"/>
              <w:rPr>
                <w:rFonts w:ascii="Arial" w:hAnsi="Arial" w:cs="Arial"/>
                <w:snapToGrid w:val="0"/>
                <w:sz w:val="22"/>
                <w:szCs w:val="22"/>
              </w:rPr>
            </w:pPr>
            <w:r>
              <w:rPr>
                <w:rFonts w:ascii="Arial" w:hAnsi="Arial"/>
                <w:snapToGrid w:val="0"/>
                <w:sz w:val="22"/>
                <w:szCs w:val="22"/>
              </w:rPr>
              <w:t>Les OII sont invités à actualiser leurs mandats, le cas échéant, y compris leurs objectifs et leurs programmes pour plus de cohérence par rapport aux priorités approuvées du C/5 et une meilleure prise en compte des évolutions planétaires actuelles, telles que le Programme de développement durable à l'horizon 2030 et l’Accord de Paris sur les changements climatiques.</w:t>
            </w:r>
          </w:p>
          <w:p w14:paraId="10F061B8" w14:textId="77777777" w:rsidR="009B7C08" w:rsidRPr="00E863FC" w:rsidRDefault="009B7C08" w:rsidP="00B04CDE">
            <w:pPr>
              <w:tabs>
                <w:tab w:val="left" w:pos="567"/>
              </w:tabs>
              <w:spacing w:after="120"/>
              <w:jc w:val="both"/>
              <w:rPr>
                <w:rFonts w:ascii="Arial" w:hAnsi="Arial" w:cs="Arial"/>
                <w:snapToGrid w:val="0"/>
                <w:sz w:val="22"/>
                <w:szCs w:val="22"/>
              </w:rPr>
            </w:pPr>
            <w:r>
              <w:rPr>
                <w:rFonts w:ascii="Arial" w:hAnsi="Arial"/>
                <w:b/>
                <w:bCs/>
                <w:snapToGrid w:val="0"/>
                <w:sz w:val="22"/>
                <w:szCs w:val="22"/>
              </w:rPr>
              <w:t>Mise en œuvre achevée</w:t>
            </w:r>
          </w:p>
        </w:tc>
        <w:tc>
          <w:tcPr>
            <w:tcW w:w="8330" w:type="dxa"/>
          </w:tcPr>
          <w:p w14:paraId="70E1808B" w14:textId="77777777" w:rsidR="009B7C08" w:rsidRPr="0038712E" w:rsidRDefault="003E7952" w:rsidP="00A741D3">
            <w:pPr>
              <w:pStyle w:val="ListParagraph"/>
              <w:numPr>
                <w:ilvl w:val="0"/>
                <w:numId w:val="7"/>
              </w:numPr>
              <w:spacing w:after="120"/>
              <w:ind w:left="357" w:hanging="357"/>
              <w:contextualSpacing w:val="0"/>
              <w:jc w:val="both"/>
              <w:rPr>
                <w:rFonts w:ascii="Arial" w:hAnsi="Arial" w:cs="Arial"/>
                <w:b/>
                <w:snapToGrid w:val="0"/>
                <w:sz w:val="22"/>
                <w:szCs w:val="22"/>
              </w:rPr>
            </w:pPr>
            <w:r>
              <w:rPr>
                <w:rFonts w:ascii="Arial" w:hAnsi="Arial"/>
                <w:b/>
                <w:snapToGrid w:val="0"/>
                <w:sz w:val="22"/>
                <w:szCs w:val="22"/>
              </w:rPr>
              <w:t xml:space="preserve">Achevée depuis 7.GA </w:t>
            </w:r>
            <w:r>
              <w:rPr>
                <w:rFonts w:ascii="Arial" w:hAnsi="Arial"/>
                <w:sz w:val="20"/>
                <w:szCs w:val="20"/>
              </w:rPr>
              <w:t xml:space="preserve">(Voir le document </w:t>
            </w:r>
            <w:hyperlink r:id="rId30" w:history="1">
              <w:r w:rsidRPr="002B2890">
                <w:rPr>
                  <w:rStyle w:val="Hyperlink"/>
                  <w:rFonts w:ascii="Arial" w:hAnsi="Arial"/>
                  <w:sz w:val="20"/>
                  <w:szCs w:val="20"/>
                </w:rPr>
                <w:t>ITH/18/7.GA/12</w:t>
              </w:r>
            </w:hyperlink>
            <w:r>
              <w:rPr>
                <w:rFonts w:ascii="Arial" w:hAnsi="Arial"/>
                <w:sz w:val="20"/>
                <w:szCs w:val="20"/>
              </w:rPr>
              <w:t>)</w:t>
            </w:r>
          </w:p>
          <w:p w14:paraId="160D5740" w14:textId="77777777" w:rsidR="009B7C08" w:rsidRPr="00711C46" w:rsidRDefault="009B7C08" w:rsidP="0038712E">
            <w:pPr>
              <w:spacing w:after="120"/>
              <w:ind w:left="357"/>
              <w:jc w:val="both"/>
              <w:rPr>
                <w:rFonts w:ascii="Arial" w:hAnsi="Arial" w:cs="Arial"/>
                <w:snapToGrid w:val="0"/>
                <w:sz w:val="22"/>
                <w:szCs w:val="22"/>
                <w:lang w:eastAsia="en-US"/>
              </w:rPr>
            </w:pPr>
          </w:p>
        </w:tc>
      </w:tr>
      <w:tr w:rsidR="009B7C08" w:rsidRPr="0038712E" w14:paraId="6E1885E2" w14:textId="77777777" w:rsidTr="00FE5797">
        <w:tc>
          <w:tcPr>
            <w:tcW w:w="5946" w:type="dxa"/>
          </w:tcPr>
          <w:p w14:paraId="53BE2492" w14:textId="77777777" w:rsidR="009B7C08" w:rsidRPr="00E863FC" w:rsidRDefault="009B7C08" w:rsidP="00A741D3">
            <w:pPr>
              <w:pStyle w:val="ListParagraph"/>
              <w:numPr>
                <w:ilvl w:val="0"/>
                <w:numId w:val="8"/>
              </w:numPr>
              <w:tabs>
                <w:tab w:val="left" w:pos="567"/>
              </w:tabs>
              <w:spacing w:after="120"/>
              <w:ind w:left="567" w:hanging="567"/>
              <w:contextualSpacing w:val="0"/>
              <w:jc w:val="both"/>
              <w:rPr>
                <w:rFonts w:ascii="Arial" w:hAnsi="Arial" w:cs="Arial"/>
                <w:snapToGrid w:val="0"/>
                <w:sz w:val="22"/>
                <w:szCs w:val="22"/>
              </w:rPr>
            </w:pPr>
            <w:r>
              <w:rPr>
                <w:rFonts w:ascii="Arial" w:hAnsi="Arial"/>
                <w:snapToGrid w:val="0"/>
                <w:sz w:val="22"/>
                <w:szCs w:val="22"/>
              </w:rPr>
              <w:t>Afin de promouvoir la diversité et l’ouverture, il est recommandé de limiter à deux, sur une base volontaire, le nombre de mandats consécutifs pour les OII qui ne fixent actuellement aucune limite en la matière.</w:t>
            </w:r>
          </w:p>
          <w:p w14:paraId="408DCBE2" w14:textId="77777777" w:rsidR="009B7C08" w:rsidRPr="00E863FC" w:rsidRDefault="009B7C08" w:rsidP="00B04CDE">
            <w:pPr>
              <w:tabs>
                <w:tab w:val="left" w:pos="567"/>
              </w:tabs>
              <w:spacing w:after="120"/>
              <w:jc w:val="both"/>
              <w:rPr>
                <w:rFonts w:ascii="Arial" w:hAnsi="Arial" w:cs="Arial"/>
                <w:snapToGrid w:val="0"/>
                <w:sz w:val="22"/>
                <w:szCs w:val="22"/>
              </w:rPr>
            </w:pPr>
            <w:r>
              <w:rPr>
                <w:rFonts w:ascii="Arial" w:hAnsi="Arial"/>
                <w:b/>
                <w:bCs/>
                <w:snapToGrid w:val="0"/>
                <w:sz w:val="22"/>
                <w:szCs w:val="22"/>
              </w:rPr>
              <w:t>Mise en œuvre achevée</w:t>
            </w:r>
          </w:p>
        </w:tc>
        <w:tc>
          <w:tcPr>
            <w:tcW w:w="8330" w:type="dxa"/>
          </w:tcPr>
          <w:p w14:paraId="1AD36496" w14:textId="77777777" w:rsidR="00726ADA" w:rsidRPr="00A22328" w:rsidRDefault="003E7952" w:rsidP="00726ADA">
            <w:pPr>
              <w:pStyle w:val="ListParagraph"/>
              <w:numPr>
                <w:ilvl w:val="0"/>
                <w:numId w:val="7"/>
              </w:numPr>
              <w:spacing w:after="120"/>
              <w:ind w:left="357" w:hanging="357"/>
              <w:contextualSpacing w:val="0"/>
              <w:jc w:val="both"/>
              <w:rPr>
                <w:rFonts w:ascii="Arial" w:hAnsi="Arial" w:cs="Arial"/>
                <w:b/>
                <w:snapToGrid w:val="0"/>
                <w:sz w:val="22"/>
                <w:szCs w:val="22"/>
              </w:rPr>
            </w:pPr>
            <w:r>
              <w:rPr>
                <w:rFonts w:ascii="Arial" w:hAnsi="Arial"/>
                <w:b/>
                <w:snapToGrid w:val="0"/>
                <w:sz w:val="22"/>
                <w:szCs w:val="22"/>
              </w:rPr>
              <w:t xml:space="preserve">Achevée depuis 7.GA </w:t>
            </w:r>
            <w:r>
              <w:rPr>
                <w:rFonts w:ascii="Arial" w:hAnsi="Arial"/>
                <w:sz w:val="20"/>
                <w:szCs w:val="20"/>
              </w:rPr>
              <w:t xml:space="preserve">(Voir le document </w:t>
            </w:r>
            <w:hyperlink r:id="rId31" w:history="1">
              <w:r w:rsidRPr="002B2890">
                <w:rPr>
                  <w:rStyle w:val="Hyperlink"/>
                  <w:rFonts w:ascii="Arial" w:hAnsi="Arial"/>
                  <w:sz w:val="20"/>
                  <w:szCs w:val="20"/>
                </w:rPr>
                <w:t>ITH/18/7.GA/12</w:t>
              </w:r>
            </w:hyperlink>
            <w:r>
              <w:rPr>
                <w:rFonts w:ascii="Arial" w:hAnsi="Arial"/>
                <w:sz w:val="20"/>
                <w:szCs w:val="20"/>
              </w:rPr>
              <w:t>)</w:t>
            </w:r>
          </w:p>
          <w:p w14:paraId="3AC68CE8" w14:textId="77777777" w:rsidR="009B7C08" w:rsidRPr="00711C46" w:rsidRDefault="009B7C08" w:rsidP="0038712E">
            <w:pPr>
              <w:spacing w:after="120"/>
              <w:jc w:val="both"/>
              <w:rPr>
                <w:rFonts w:ascii="Arial" w:hAnsi="Arial" w:cs="Arial"/>
                <w:snapToGrid w:val="0"/>
                <w:sz w:val="22"/>
                <w:szCs w:val="22"/>
                <w:lang w:eastAsia="en-US"/>
              </w:rPr>
            </w:pPr>
          </w:p>
        </w:tc>
      </w:tr>
      <w:tr w:rsidR="009B7C08" w:rsidRPr="0038712E" w14:paraId="472512C8" w14:textId="77777777" w:rsidTr="00FE5797">
        <w:tc>
          <w:tcPr>
            <w:tcW w:w="5946" w:type="dxa"/>
          </w:tcPr>
          <w:p w14:paraId="3DD514A1" w14:textId="77777777" w:rsidR="009B7C08" w:rsidRPr="00E863FC" w:rsidRDefault="009B7C08" w:rsidP="00A741D3">
            <w:pPr>
              <w:pStyle w:val="ListParagraph"/>
              <w:numPr>
                <w:ilvl w:val="0"/>
                <w:numId w:val="8"/>
              </w:numPr>
              <w:tabs>
                <w:tab w:val="left" w:pos="567"/>
              </w:tabs>
              <w:spacing w:after="120"/>
              <w:ind w:left="567" w:hanging="567"/>
              <w:contextualSpacing w:val="0"/>
              <w:jc w:val="both"/>
              <w:rPr>
                <w:rFonts w:ascii="Arial" w:hAnsi="Arial" w:cs="Arial"/>
                <w:snapToGrid w:val="0"/>
                <w:sz w:val="22"/>
                <w:szCs w:val="22"/>
              </w:rPr>
            </w:pPr>
            <w:r>
              <w:rPr>
                <w:rFonts w:ascii="Arial" w:hAnsi="Arial"/>
                <w:snapToGrid w:val="0"/>
                <w:sz w:val="22"/>
                <w:szCs w:val="22"/>
              </w:rPr>
              <w:t>D’une manière générale, il est recommandé de limiter à deux le nombre de mandats consécutifs des membres dans tous les bureaux.</w:t>
            </w:r>
          </w:p>
          <w:p w14:paraId="32854320" w14:textId="77777777" w:rsidR="009B7C08" w:rsidRPr="00E863FC" w:rsidRDefault="006337E7" w:rsidP="00B04CDE">
            <w:pPr>
              <w:tabs>
                <w:tab w:val="left" w:pos="567"/>
              </w:tabs>
              <w:spacing w:after="120"/>
              <w:jc w:val="both"/>
              <w:rPr>
                <w:rFonts w:ascii="Arial" w:hAnsi="Arial" w:cs="Arial"/>
                <w:snapToGrid w:val="0"/>
                <w:sz w:val="22"/>
                <w:szCs w:val="22"/>
              </w:rPr>
            </w:pPr>
            <w:r>
              <w:rPr>
                <w:rFonts w:ascii="Arial" w:hAnsi="Arial"/>
                <w:b/>
                <w:bCs/>
                <w:sz w:val="22"/>
                <w:szCs w:val="22"/>
              </w:rPr>
              <w:t>Action en cours</w:t>
            </w:r>
          </w:p>
        </w:tc>
        <w:tc>
          <w:tcPr>
            <w:tcW w:w="8330" w:type="dxa"/>
          </w:tcPr>
          <w:p w14:paraId="3D6CE5E9" w14:textId="77777777" w:rsidR="009B7C08" w:rsidRDefault="009B7C08" w:rsidP="00A741D3">
            <w:pPr>
              <w:pStyle w:val="ListParagraph"/>
              <w:numPr>
                <w:ilvl w:val="0"/>
                <w:numId w:val="7"/>
              </w:numPr>
              <w:spacing w:after="120"/>
              <w:ind w:left="357" w:hanging="357"/>
              <w:contextualSpacing w:val="0"/>
              <w:jc w:val="both"/>
              <w:rPr>
                <w:rFonts w:ascii="Arial" w:hAnsi="Arial" w:cs="Arial"/>
                <w:snapToGrid w:val="0"/>
                <w:sz w:val="22"/>
                <w:szCs w:val="22"/>
              </w:rPr>
            </w:pPr>
            <w:r>
              <w:rPr>
                <w:rFonts w:ascii="Arial" w:hAnsi="Arial"/>
                <w:snapToGrid w:val="0"/>
                <w:sz w:val="22"/>
                <w:szCs w:val="22"/>
              </w:rPr>
              <w:t>Conformément à l’</w:t>
            </w:r>
            <w:hyperlink r:id="rId32" w:anchor="Rule13" w:history="1">
              <w:r>
                <w:rPr>
                  <w:rStyle w:val="Hyperlink"/>
                  <w:rFonts w:ascii="Arial" w:hAnsi="Arial"/>
                  <w:snapToGrid w:val="0"/>
                  <w:sz w:val="22"/>
                  <w:szCs w:val="22"/>
                </w:rPr>
                <w:t>article 13</w:t>
              </w:r>
            </w:hyperlink>
            <w:r>
              <w:rPr>
                <w:rFonts w:ascii="Arial" w:hAnsi="Arial"/>
                <w:snapToGrid w:val="0"/>
                <w:sz w:val="22"/>
                <w:szCs w:val="22"/>
              </w:rPr>
              <w:t xml:space="preserve"> du Règlement intérieur du Comité, les membres du Bureau « sont immédiatement rééligibles pour un deuxième mandat sous condition que le pays qu’ils représentent continue d’être État membre du Comité au moins jusqu’à la fin du mandat renouvelé ».</w:t>
            </w:r>
          </w:p>
          <w:p w14:paraId="15BCF9D5" w14:textId="77777777" w:rsidR="009B7C08" w:rsidRDefault="009B7C08" w:rsidP="00A741D3">
            <w:pPr>
              <w:pStyle w:val="ListParagraph"/>
              <w:numPr>
                <w:ilvl w:val="0"/>
                <w:numId w:val="7"/>
              </w:numPr>
              <w:spacing w:after="120"/>
              <w:ind w:left="357" w:hanging="357"/>
              <w:contextualSpacing w:val="0"/>
              <w:jc w:val="both"/>
              <w:rPr>
                <w:rFonts w:ascii="Arial" w:hAnsi="Arial" w:cs="Arial"/>
                <w:snapToGrid w:val="0"/>
                <w:sz w:val="22"/>
                <w:szCs w:val="22"/>
              </w:rPr>
            </w:pPr>
            <w:r>
              <w:rPr>
                <w:rFonts w:ascii="Arial" w:hAnsi="Arial"/>
                <w:snapToGrid w:val="0"/>
                <w:sz w:val="22"/>
                <w:szCs w:val="22"/>
              </w:rPr>
              <w:t xml:space="preserve">Bien que le Règlement intérieur de l’Assemblée générale ne précise pas la durée du mandat des membres de son Bureau, en pratique les membres effectuent </w:t>
            </w:r>
            <w:r>
              <w:rPr>
                <w:rFonts w:ascii="Arial" w:hAnsi="Arial"/>
                <w:snapToGrid w:val="0"/>
                <w:sz w:val="22"/>
                <w:szCs w:val="22"/>
              </w:rPr>
              <w:lastRenderedPageBreak/>
              <w:t xml:space="preserve">seulement un mandat (voir le document </w:t>
            </w:r>
            <w:hyperlink r:id="rId33" w:history="1">
              <w:r>
                <w:rPr>
                  <w:rStyle w:val="Hyperlink"/>
                  <w:rFonts w:ascii="Arial" w:hAnsi="Arial"/>
                  <w:snapToGrid w:val="0"/>
                  <w:sz w:val="22"/>
                  <w:szCs w:val="22"/>
                </w:rPr>
                <w:t>ITH/18/7.GA/2</w:t>
              </w:r>
            </w:hyperlink>
            <w:r>
              <w:rPr>
                <w:rFonts w:ascii="Arial" w:hAnsi="Arial"/>
                <w:snapToGrid w:val="0"/>
                <w:sz w:val="22"/>
                <w:szCs w:val="22"/>
              </w:rPr>
              <w:t xml:space="preserve"> dans lequel figure la liste des membres du Bureau pour les sessions précédentes).</w:t>
            </w:r>
          </w:p>
          <w:p w14:paraId="0DC92039" w14:textId="77777777" w:rsidR="009B7C08" w:rsidRDefault="009B7C08" w:rsidP="00A741D3">
            <w:pPr>
              <w:pStyle w:val="ListParagraph"/>
              <w:numPr>
                <w:ilvl w:val="0"/>
                <w:numId w:val="7"/>
              </w:numPr>
              <w:spacing w:after="120"/>
              <w:ind w:left="357" w:hanging="357"/>
              <w:contextualSpacing w:val="0"/>
              <w:jc w:val="both"/>
              <w:rPr>
                <w:rFonts w:ascii="Arial" w:hAnsi="Arial" w:cs="Arial"/>
                <w:snapToGrid w:val="0"/>
                <w:sz w:val="22"/>
                <w:szCs w:val="22"/>
              </w:rPr>
            </w:pPr>
            <w:r>
              <w:rPr>
                <w:rFonts w:ascii="Arial" w:hAnsi="Arial"/>
                <w:snapToGrid w:val="0"/>
                <w:sz w:val="22"/>
                <w:szCs w:val="22"/>
              </w:rPr>
              <w:t>L’Assemblée générale pourrait choisir de modifier son Règlement intérieur pour tenir compte de cette recommandation ou bien poursuivre la pratique actuelle.</w:t>
            </w:r>
          </w:p>
          <w:p w14:paraId="77E5D4E3" w14:textId="77777777" w:rsidR="00310F56" w:rsidRPr="00D13D5A" w:rsidRDefault="00D13D5A" w:rsidP="00473183">
            <w:pPr>
              <w:pStyle w:val="ListParagraph"/>
              <w:numPr>
                <w:ilvl w:val="0"/>
                <w:numId w:val="7"/>
              </w:numPr>
              <w:spacing w:after="120"/>
              <w:ind w:left="357" w:hanging="357"/>
              <w:contextualSpacing w:val="0"/>
              <w:jc w:val="both"/>
              <w:rPr>
                <w:rFonts w:ascii="Arial" w:hAnsi="Arial" w:cs="Arial"/>
                <w:snapToGrid w:val="0"/>
                <w:sz w:val="22"/>
                <w:szCs w:val="22"/>
              </w:rPr>
            </w:pPr>
            <w:r>
              <w:rPr>
                <w:rFonts w:ascii="Arial" w:hAnsi="Arial"/>
                <w:snapToGrid w:val="0"/>
                <w:sz w:val="22"/>
                <w:szCs w:val="22"/>
              </w:rPr>
              <w:t>Conformément aux résolutions </w:t>
            </w:r>
            <w:hyperlink r:id="rId34" w:history="1">
              <w:r>
                <w:rPr>
                  <w:rStyle w:val="Hyperlink"/>
                  <w:rFonts w:ascii="Arial" w:hAnsi="Arial"/>
                  <w:snapToGrid w:val="0"/>
                  <w:sz w:val="22"/>
                  <w:szCs w:val="22"/>
                </w:rPr>
                <w:t>7.GA 12</w:t>
              </w:r>
            </w:hyperlink>
            <w:r>
              <w:rPr>
                <w:rFonts w:ascii="Arial" w:hAnsi="Arial"/>
                <w:snapToGrid w:val="0"/>
                <w:sz w:val="22"/>
                <w:szCs w:val="22"/>
              </w:rPr>
              <w:t xml:space="preserve"> et </w:t>
            </w:r>
            <w:hyperlink r:id="rId35" w:history="1">
              <w:r>
                <w:rPr>
                  <w:rStyle w:val="Hyperlink"/>
                  <w:rFonts w:ascii="Arial" w:hAnsi="Arial"/>
                  <w:snapToGrid w:val="0"/>
                  <w:sz w:val="22"/>
                  <w:szCs w:val="22"/>
                </w:rPr>
                <w:t>7.GA 13</w:t>
              </w:r>
            </w:hyperlink>
            <w:r>
              <w:rPr>
                <w:rFonts w:ascii="Arial" w:hAnsi="Arial"/>
                <w:snapToGrid w:val="0"/>
                <w:sz w:val="22"/>
                <w:szCs w:val="22"/>
              </w:rPr>
              <w:t>, une révision du Règlement intérieur de l’Assemblée générale sera présentée à la huitième session de l’Assemblée générale en juin 2020.</w:t>
            </w:r>
          </w:p>
        </w:tc>
      </w:tr>
      <w:tr w:rsidR="009B7C08" w:rsidRPr="0038712E" w14:paraId="53FB3A26" w14:textId="77777777" w:rsidTr="00FE5797">
        <w:tc>
          <w:tcPr>
            <w:tcW w:w="5946" w:type="dxa"/>
          </w:tcPr>
          <w:p w14:paraId="744E687B" w14:textId="59056BC1" w:rsidR="009B7C08" w:rsidRPr="0049025A" w:rsidRDefault="009B7C08" w:rsidP="00A741D3">
            <w:pPr>
              <w:pStyle w:val="ListParagraph"/>
              <w:numPr>
                <w:ilvl w:val="0"/>
                <w:numId w:val="8"/>
              </w:numPr>
              <w:spacing w:after="120"/>
              <w:ind w:left="567" w:hanging="567"/>
              <w:contextualSpacing w:val="0"/>
              <w:jc w:val="both"/>
              <w:rPr>
                <w:rFonts w:ascii="Arial" w:hAnsi="Arial" w:cs="Arial"/>
                <w:snapToGrid w:val="0"/>
                <w:sz w:val="22"/>
                <w:szCs w:val="22"/>
              </w:rPr>
            </w:pPr>
            <w:r>
              <w:rPr>
                <w:rFonts w:ascii="Arial" w:hAnsi="Arial"/>
                <w:snapToGrid w:val="0"/>
                <w:sz w:val="22"/>
                <w:szCs w:val="22"/>
              </w:rPr>
              <w:lastRenderedPageBreak/>
              <w:t xml:space="preserve">Par souci d’économie, de cohérence et </w:t>
            </w:r>
            <w:r w:rsidR="002B2890">
              <w:rPr>
                <w:rFonts w:ascii="Arial" w:hAnsi="Arial"/>
                <w:snapToGrid w:val="0"/>
                <w:sz w:val="22"/>
                <w:szCs w:val="22"/>
              </w:rPr>
              <w:t>d’</w:t>
            </w:r>
            <w:r>
              <w:rPr>
                <w:rFonts w:ascii="Arial" w:hAnsi="Arial"/>
                <w:snapToGrid w:val="0"/>
                <w:sz w:val="22"/>
                <w:szCs w:val="22"/>
              </w:rPr>
              <w:t>harmonisation, il est recommandé que les OII et la Conférence générale envisagent de rajuster en taille la composition des organes.</w:t>
            </w:r>
          </w:p>
          <w:p w14:paraId="7F0B311D" w14:textId="77777777" w:rsidR="009B7C08" w:rsidRPr="0049025A" w:rsidRDefault="009B7C08" w:rsidP="00B04CDE">
            <w:pPr>
              <w:spacing w:after="120"/>
              <w:jc w:val="both"/>
              <w:rPr>
                <w:rFonts w:ascii="Arial" w:hAnsi="Arial" w:cs="Arial"/>
                <w:snapToGrid w:val="0"/>
                <w:sz w:val="22"/>
                <w:szCs w:val="22"/>
              </w:rPr>
            </w:pPr>
            <w:r>
              <w:rPr>
                <w:rFonts w:ascii="Arial" w:hAnsi="Arial"/>
                <w:b/>
                <w:bCs/>
                <w:sz w:val="22"/>
                <w:szCs w:val="22"/>
              </w:rPr>
              <w:t>Mise en œuvre achevée</w:t>
            </w:r>
          </w:p>
        </w:tc>
        <w:tc>
          <w:tcPr>
            <w:tcW w:w="8330" w:type="dxa"/>
          </w:tcPr>
          <w:p w14:paraId="6B681E3E" w14:textId="77777777" w:rsidR="00726ADA" w:rsidRPr="00A22328" w:rsidRDefault="003E7952" w:rsidP="00726ADA">
            <w:pPr>
              <w:pStyle w:val="ListParagraph"/>
              <w:numPr>
                <w:ilvl w:val="0"/>
                <w:numId w:val="7"/>
              </w:numPr>
              <w:spacing w:after="120"/>
              <w:ind w:left="357" w:hanging="357"/>
              <w:contextualSpacing w:val="0"/>
              <w:jc w:val="both"/>
              <w:rPr>
                <w:rFonts w:ascii="Arial" w:hAnsi="Arial" w:cs="Arial"/>
                <w:b/>
                <w:snapToGrid w:val="0"/>
                <w:sz w:val="22"/>
                <w:szCs w:val="22"/>
              </w:rPr>
            </w:pPr>
            <w:r>
              <w:rPr>
                <w:rFonts w:ascii="Arial" w:hAnsi="Arial"/>
                <w:b/>
                <w:snapToGrid w:val="0"/>
                <w:sz w:val="22"/>
                <w:szCs w:val="22"/>
              </w:rPr>
              <w:t xml:space="preserve">Achevée depuis 7.GA </w:t>
            </w:r>
            <w:r>
              <w:rPr>
                <w:rFonts w:ascii="Arial" w:hAnsi="Arial"/>
                <w:sz w:val="20"/>
                <w:szCs w:val="20"/>
              </w:rPr>
              <w:t xml:space="preserve">(Voir le document </w:t>
            </w:r>
            <w:hyperlink r:id="rId36" w:history="1">
              <w:r w:rsidRPr="002B2890">
                <w:rPr>
                  <w:rStyle w:val="Hyperlink"/>
                  <w:rFonts w:ascii="Arial" w:hAnsi="Arial"/>
                  <w:sz w:val="20"/>
                  <w:szCs w:val="20"/>
                </w:rPr>
                <w:t>ITH/18/7.GA/12</w:t>
              </w:r>
            </w:hyperlink>
            <w:r>
              <w:rPr>
                <w:rFonts w:ascii="Arial" w:hAnsi="Arial"/>
                <w:sz w:val="20"/>
                <w:szCs w:val="20"/>
              </w:rPr>
              <w:t>)</w:t>
            </w:r>
          </w:p>
          <w:p w14:paraId="145D2258" w14:textId="77777777" w:rsidR="009B7C08" w:rsidRPr="00711C46" w:rsidRDefault="009B7C08" w:rsidP="0038712E">
            <w:pPr>
              <w:spacing w:after="120"/>
              <w:jc w:val="both"/>
              <w:rPr>
                <w:snapToGrid w:val="0"/>
                <w:lang w:eastAsia="en-US"/>
              </w:rPr>
            </w:pPr>
          </w:p>
        </w:tc>
      </w:tr>
      <w:tr w:rsidR="009B7C08" w:rsidRPr="0038712E" w14:paraId="59D0AD24" w14:textId="77777777" w:rsidTr="00FE5797">
        <w:tc>
          <w:tcPr>
            <w:tcW w:w="5946" w:type="dxa"/>
          </w:tcPr>
          <w:p w14:paraId="67F295C6" w14:textId="77777777" w:rsidR="009B7C08" w:rsidRPr="00874122" w:rsidRDefault="009B7C08" w:rsidP="00A741D3">
            <w:pPr>
              <w:pStyle w:val="ListParagraph"/>
              <w:numPr>
                <w:ilvl w:val="0"/>
                <w:numId w:val="8"/>
              </w:numPr>
              <w:spacing w:after="120"/>
              <w:ind w:left="567" w:hanging="567"/>
              <w:contextualSpacing w:val="0"/>
              <w:jc w:val="both"/>
              <w:rPr>
                <w:rFonts w:ascii="Arial" w:hAnsi="Arial" w:cs="Arial"/>
                <w:snapToGrid w:val="0"/>
                <w:sz w:val="22"/>
                <w:szCs w:val="22"/>
              </w:rPr>
            </w:pPr>
            <w:r>
              <w:rPr>
                <w:rFonts w:ascii="Arial" w:hAnsi="Arial"/>
                <w:snapToGrid w:val="0"/>
                <w:sz w:val="22"/>
                <w:szCs w:val="22"/>
              </w:rPr>
              <w:t>Les nominations et les décisions doivent être moins politisées et leur politisation doit être maîtrisée.</w:t>
            </w:r>
          </w:p>
          <w:p w14:paraId="6068C231" w14:textId="77777777" w:rsidR="009B7C08" w:rsidRPr="00874122" w:rsidRDefault="009B7C08" w:rsidP="002D38E3">
            <w:pPr>
              <w:spacing w:after="120"/>
              <w:jc w:val="both"/>
              <w:rPr>
                <w:rFonts w:ascii="Arial" w:hAnsi="Arial" w:cs="Arial"/>
                <w:snapToGrid w:val="0"/>
                <w:sz w:val="22"/>
                <w:szCs w:val="22"/>
              </w:rPr>
            </w:pPr>
            <w:r>
              <w:rPr>
                <w:rFonts w:ascii="Arial" w:hAnsi="Arial"/>
                <w:b/>
                <w:bCs/>
                <w:sz w:val="22"/>
                <w:szCs w:val="22"/>
              </w:rPr>
              <w:t>Action nécessaire des États parties</w:t>
            </w:r>
          </w:p>
        </w:tc>
        <w:tc>
          <w:tcPr>
            <w:tcW w:w="8330" w:type="dxa"/>
          </w:tcPr>
          <w:p w14:paraId="2DEEB5E8" w14:textId="77777777" w:rsidR="009B7C08" w:rsidRPr="00D13D5A" w:rsidRDefault="000271E7" w:rsidP="00A741D3">
            <w:pPr>
              <w:pStyle w:val="ListParagraph"/>
              <w:numPr>
                <w:ilvl w:val="0"/>
                <w:numId w:val="7"/>
              </w:numPr>
              <w:spacing w:after="120"/>
              <w:ind w:left="351" w:hanging="284"/>
              <w:contextualSpacing w:val="0"/>
              <w:jc w:val="both"/>
              <w:rPr>
                <w:rFonts w:ascii="Arial" w:hAnsi="Arial" w:cs="Arial"/>
                <w:snapToGrid w:val="0"/>
                <w:sz w:val="22"/>
                <w:szCs w:val="22"/>
              </w:rPr>
            </w:pPr>
            <w:r>
              <w:rPr>
                <w:rFonts w:ascii="Arial" w:hAnsi="Arial"/>
                <w:snapToGrid w:val="0"/>
                <w:sz w:val="22"/>
                <w:szCs w:val="22"/>
              </w:rPr>
              <w:t>C’est principalement aux États parties que revient la responsabilité de la mise en œuvre de cette recommandation.</w:t>
            </w:r>
          </w:p>
          <w:p w14:paraId="39C55288" w14:textId="77777777" w:rsidR="009B7C08" w:rsidRPr="00D13D5A" w:rsidRDefault="009B7C08" w:rsidP="00A741D3">
            <w:pPr>
              <w:pStyle w:val="ListParagraph"/>
              <w:numPr>
                <w:ilvl w:val="0"/>
                <w:numId w:val="7"/>
              </w:numPr>
              <w:spacing w:after="120"/>
              <w:ind w:left="351" w:hanging="284"/>
              <w:contextualSpacing w:val="0"/>
              <w:jc w:val="both"/>
              <w:rPr>
                <w:rFonts w:ascii="Arial" w:hAnsi="Arial" w:cs="Arial"/>
                <w:sz w:val="22"/>
                <w:szCs w:val="22"/>
              </w:rPr>
            </w:pPr>
            <w:r>
              <w:rPr>
                <w:rFonts w:ascii="Arial" w:hAnsi="Arial"/>
                <w:snapToGrid w:val="0"/>
                <w:sz w:val="22"/>
                <w:szCs w:val="22"/>
              </w:rPr>
              <w:t>Dans le même temps, il convient de noter que lors de sa onzième session, le Comité a créé un groupe de travail informel ad hoc pour traiter la question de la politisation. Ce groupe a été formé en particulier pour examiner les enjeux liés au processus de dialogue et de consultation entre l’Organe d’évaluation et les États soumissionnaires et au processus de prise de décisions par le Comité concernant les candidatures, les propositions et les demandes ; ainsi que toute autre question permettant de renforcer la mise en œuvre de la Convention. Lors de sa douzième session, le Comité a examiné le rapport de ce groupe et a décidé de le soumettre à la septième session de l’Assemblée générale (document </w:t>
            </w:r>
            <w:hyperlink r:id="rId37" w:history="1">
              <w:r>
                <w:rPr>
                  <w:rStyle w:val="Hyperlink"/>
                  <w:rFonts w:ascii="Arial" w:hAnsi="Arial"/>
                  <w:snapToGrid w:val="0"/>
                  <w:sz w:val="22"/>
                  <w:szCs w:val="22"/>
                </w:rPr>
                <w:t>ITH/18/7.GA/6</w:t>
              </w:r>
            </w:hyperlink>
            <w:r>
              <w:rPr>
                <w:rFonts w:ascii="Arial" w:hAnsi="Arial"/>
                <w:snapToGrid w:val="0"/>
                <w:sz w:val="22"/>
                <w:szCs w:val="22"/>
              </w:rPr>
              <w:t>).</w:t>
            </w:r>
          </w:p>
          <w:p w14:paraId="61FC0FA9" w14:textId="35B89BA1" w:rsidR="009B7C08" w:rsidRPr="00D13D5A" w:rsidRDefault="009B7C08" w:rsidP="000562D3">
            <w:pPr>
              <w:pStyle w:val="GAPara"/>
              <w:keepLines/>
              <w:numPr>
                <w:ilvl w:val="0"/>
                <w:numId w:val="7"/>
              </w:numPr>
              <w:ind w:left="352" w:hanging="284"/>
              <w:jc w:val="both"/>
            </w:pPr>
            <w:r>
              <w:t>En outre, par sa décision </w:t>
            </w:r>
            <w:hyperlink r:id="rId38" w:history="1">
              <w:r w:rsidR="00C873A5">
                <w:rPr>
                  <w:rStyle w:val="Hyperlink"/>
                </w:rPr>
                <w:t>12.COM 13</w:t>
              </w:r>
            </w:hyperlink>
            <w:r>
              <w:t xml:space="preserve">, le Comité a décidé de </w:t>
            </w:r>
            <w:r w:rsidR="000D080B">
              <w:t xml:space="preserve">maintenir </w:t>
            </w:r>
            <w:r>
              <w:t>en 2018 le groupe de travail informel ad hoc, qui est désormais à composition non limitée et dont le mandat a été élargi.</w:t>
            </w:r>
          </w:p>
          <w:p w14:paraId="1DF1A196" w14:textId="645E92C8" w:rsidR="00DC57A9" w:rsidRDefault="00A83002" w:rsidP="00410EB1">
            <w:pPr>
              <w:pStyle w:val="GAPara"/>
              <w:keepNext/>
              <w:keepLines/>
              <w:numPr>
                <w:ilvl w:val="0"/>
                <w:numId w:val="7"/>
              </w:numPr>
              <w:ind w:left="317" w:hanging="357"/>
              <w:jc w:val="both"/>
              <w:rPr>
                <w:b/>
                <w:u w:val="single"/>
              </w:rPr>
            </w:pPr>
            <w:r>
              <w:rPr>
                <w:b/>
                <w:u w:val="single"/>
              </w:rPr>
              <w:lastRenderedPageBreak/>
              <w:t>Mise à jour :</w:t>
            </w:r>
            <w:r>
              <w:rPr>
                <w:u w:val="single"/>
              </w:rPr>
              <w:t xml:space="preserve"> Le rapport du groupe de travail informel à composition non limitée a été présenté à la treizième session du Comité ; les recommandations du groupe de travail informel ad hoc figurant dans l’annexe du document </w:t>
            </w:r>
            <w:hyperlink r:id="rId39" w:history="1">
              <w:r>
                <w:rPr>
                  <w:rStyle w:val="Hyperlink"/>
                </w:rPr>
                <w:t>ITH/18/13.COM/16</w:t>
              </w:r>
            </w:hyperlink>
            <w:r>
              <w:rPr>
                <w:u w:val="single"/>
              </w:rPr>
              <w:t xml:space="preserve"> ont également été approuvées. Le rapport sur les travaux du groupe en 2019 est présenté à cette session du Comité (annexe du </w:t>
            </w:r>
            <w:r w:rsidRPr="00BB3B29">
              <w:rPr>
                <w:u w:val="single"/>
              </w:rPr>
              <w:t xml:space="preserve">document </w:t>
            </w:r>
            <w:hyperlink r:id="rId40" w:history="1">
              <w:r w:rsidR="00D262EB" w:rsidRPr="00BB3B29">
                <w:rPr>
                  <w:rStyle w:val="Hyperlink"/>
                </w:rPr>
                <w:t>LHE/19/14.COM/16</w:t>
              </w:r>
            </w:hyperlink>
            <w:r w:rsidRPr="00BB3B29">
              <w:rPr>
                <w:u w:val="single"/>
              </w:rPr>
              <w:t>).</w:t>
            </w:r>
            <w:r>
              <w:rPr>
                <w:u w:val="single"/>
              </w:rPr>
              <w:t xml:space="preserve"> En outre, conformément à la décision </w:t>
            </w:r>
            <w:hyperlink r:id="rId41" w:history="1">
              <w:r>
                <w:rPr>
                  <w:rStyle w:val="Hyperlink"/>
                </w:rPr>
                <w:t>13.COM 10</w:t>
              </w:r>
            </w:hyperlink>
            <w:r>
              <w:rPr>
                <w:u w:val="single"/>
              </w:rPr>
              <w:t xml:space="preserve">, le mécanisme </w:t>
            </w:r>
            <w:r w:rsidR="00A96F2A">
              <w:rPr>
                <w:u w:val="single"/>
              </w:rPr>
              <w:t xml:space="preserve">provisoire </w:t>
            </w:r>
            <w:r>
              <w:rPr>
                <w:u w:val="single"/>
              </w:rPr>
              <w:t xml:space="preserve">de dialogue provisoire en amont a été </w:t>
            </w:r>
            <w:r w:rsidR="00A96F2A">
              <w:rPr>
                <w:u w:val="single"/>
              </w:rPr>
              <w:t xml:space="preserve">introduit </w:t>
            </w:r>
            <w:r w:rsidR="00614BDD">
              <w:rPr>
                <w:u w:val="single"/>
              </w:rPr>
              <w:t>au cours du</w:t>
            </w:r>
            <w:r w:rsidR="00A96F2A">
              <w:rPr>
                <w:u w:val="single"/>
              </w:rPr>
              <w:t xml:space="preserve"> </w:t>
            </w:r>
            <w:r>
              <w:rPr>
                <w:u w:val="single"/>
              </w:rPr>
              <w:t>cycle 2019.</w:t>
            </w:r>
          </w:p>
        </w:tc>
      </w:tr>
      <w:tr w:rsidR="009B7C08" w:rsidRPr="0038712E" w14:paraId="213DF0E3" w14:textId="77777777" w:rsidTr="00FE5797">
        <w:tc>
          <w:tcPr>
            <w:tcW w:w="5946" w:type="dxa"/>
          </w:tcPr>
          <w:p w14:paraId="358F1A04" w14:textId="77777777" w:rsidR="009B7C08" w:rsidRPr="00874122" w:rsidRDefault="009B7C08" w:rsidP="00A741D3">
            <w:pPr>
              <w:pStyle w:val="ListParagraph"/>
              <w:numPr>
                <w:ilvl w:val="0"/>
                <w:numId w:val="8"/>
              </w:numPr>
              <w:spacing w:after="120"/>
              <w:ind w:left="567" w:hanging="567"/>
              <w:contextualSpacing w:val="0"/>
              <w:jc w:val="both"/>
              <w:rPr>
                <w:rFonts w:ascii="Arial" w:hAnsi="Arial" w:cs="Arial"/>
                <w:snapToGrid w:val="0"/>
                <w:sz w:val="22"/>
                <w:szCs w:val="22"/>
              </w:rPr>
            </w:pPr>
            <w:r>
              <w:rPr>
                <w:rFonts w:ascii="Arial" w:hAnsi="Arial"/>
                <w:snapToGrid w:val="0"/>
                <w:sz w:val="22"/>
                <w:szCs w:val="22"/>
              </w:rPr>
              <w:lastRenderedPageBreak/>
              <w:t>Afin d’accroître la visibilité et l’efficacité de l’action des OII, il est recommandé de diffuser les informations plus efficacement grâce à une mise à jour et à l’amélioration des sites Web et de la communication en direction de tous les acteurs concernés, notamment les États membres et leurs commissions nationales.</w:t>
            </w:r>
          </w:p>
          <w:p w14:paraId="4DE5E06C" w14:textId="77777777" w:rsidR="009B7C08" w:rsidRPr="00874122" w:rsidRDefault="009B7C08" w:rsidP="004D1E97">
            <w:pPr>
              <w:spacing w:after="120"/>
              <w:rPr>
                <w:rFonts w:ascii="Arial" w:hAnsi="Arial" w:cs="Arial"/>
                <w:snapToGrid w:val="0"/>
                <w:sz w:val="22"/>
                <w:szCs w:val="22"/>
              </w:rPr>
            </w:pPr>
            <w:r>
              <w:rPr>
                <w:rFonts w:ascii="Arial" w:hAnsi="Arial"/>
                <w:b/>
                <w:bCs/>
                <w:snapToGrid w:val="0"/>
                <w:sz w:val="22"/>
                <w:szCs w:val="22"/>
              </w:rPr>
              <w:t>Mise en œuvre achevée</w:t>
            </w:r>
            <w:r>
              <w:rPr>
                <w:rFonts w:ascii="Arial" w:hAnsi="Arial"/>
                <w:b/>
                <w:bCs/>
              </w:rPr>
              <w:br/>
            </w:r>
            <w:r>
              <w:rPr>
                <w:rFonts w:ascii="Arial" w:hAnsi="Arial"/>
                <w:b/>
                <w:bCs/>
                <w:snapToGrid w:val="0"/>
                <w:sz w:val="22"/>
                <w:szCs w:val="22"/>
              </w:rPr>
              <w:t>(Bonne pratique)</w:t>
            </w:r>
          </w:p>
        </w:tc>
        <w:tc>
          <w:tcPr>
            <w:tcW w:w="8330" w:type="dxa"/>
          </w:tcPr>
          <w:p w14:paraId="06DF6854" w14:textId="77777777" w:rsidR="00726ADA" w:rsidRPr="00A22328" w:rsidRDefault="003E7952" w:rsidP="00726ADA">
            <w:pPr>
              <w:pStyle w:val="ListParagraph"/>
              <w:numPr>
                <w:ilvl w:val="0"/>
                <w:numId w:val="7"/>
              </w:numPr>
              <w:spacing w:after="120"/>
              <w:ind w:left="357" w:hanging="357"/>
              <w:contextualSpacing w:val="0"/>
              <w:jc w:val="both"/>
              <w:rPr>
                <w:rFonts w:ascii="Arial" w:hAnsi="Arial" w:cs="Arial"/>
                <w:b/>
                <w:snapToGrid w:val="0"/>
                <w:sz w:val="22"/>
                <w:szCs w:val="22"/>
              </w:rPr>
            </w:pPr>
            <w:r>
              <w:rPr>
                <w:rFonts w:ascii="Arial" w:hAnsi="Arial"/>
                <w:b/>
                <w:snapToGrid w:val="0"/>
                <w:sz w:val="22"/>
                <w:szCs w:val="22"/>
              </w:rPr>
              <w:t xml:space="preserve">Achevée depuis 7.GA </w:t>
            </w:r>
            <w:r>
              <w:rPr>
                <w:rFonts w:ascii="Arial" w:hAnsi="Arial"/>
                <w:sz w:val="20"/>
                <w:szCs w:val="20"/>
              </w:rPr>
              <w:t xml:space="preserve">(Voir le document </w:t>
            </w:r>
            <w:hyperlink r:id="rId42" w:history="1">
              <w:r w:rsidRPr="00C873A5">
                <w:rPr>
                  <w:rStyle w:val="Hyperlink"/>
                  <w:rFonts w:ascii="Arial" w:hAnsi="Arial"/>
                  <w:sz w:val="20"/>
                  <w:szCs w:val="20"/>
                </w:rPr>
                <w:t>ITH/18/7.GA/12</w:t>
              </w:r>
            </w:hyperlink>
            <w:r>
              <w:rPr>
                <w:rFonts w:ascii="Arial" w:hAnsi="Arial"/>
                <w:sz w:val="20"/>
                <w:szCs w:val="20"/>
              </w:rPr>
              <w:t>)</w:t>
            </w:r>
          </w:p>
          <w:p w14:paraId="43B210DE" w14:textId="77777777" w:rsidR="009B7C08" w:rsidRPr="00711C46" w:rsidRDefault="009B7C08" w:rsidP="0038712E">
            <w:pPr>
              <w:pStyle w:val="ListParagraph"/>
              <w:spacing w:after="120"/>
              <w:ind w:left="357"/>
              <w:contextualSpacing w:val="0"/>
              <w:jc w:val="both"/>
              <w:rPr>
                <w:rFonts w:ascii="Arial" w:hAnsi="Arial" w:cs="Arial"/>
                <w:snapToGrid w:val="0"/>
                <w:sz w:val="22"/>
                <w:szCs w:val="22"/>
                <w:lang w:eastAsia="en-US"/>
              </w:rPr>
            </w:pPr>
          </w:p>
        </w:tc>
      </w:tr>
      <w:tr w:rsidR="009B7C08" w:rsidRPr="0038712E" w14:paraId="0193E7BD" w14:textId="77777777" w:rsidTr="00FE5797">
        <w:tc>
          <w:tcPr>
            <w:tcW w:w="5946" w:type="dxa"/>
          </w:tcPr>
          <w:p w14:paraId="604EFEF1" w14:textId="48CC29F8" w:rsidR="009B7C08" w:rsidRPr="0000757E" w:rsidRDefault="009B7C08" w:rsidP="00264F7E">
            <w:pPr>
              <w:pStyle w:val="ListParagraph"/>
              <w:numPr>
                <w:ilvl w:val="0"/>
                <w:numId w:val="8"/>
              </w:numPr>
              <w:spacing w:after="120"/>
              <w:ind w:left="567" w:hanging="567"/>
              <w:contextualSpacing w:val="0"/>
              <w:jc w:val="both"/>
              <w:rPr>
                <w:rFonts w:ascii="Arial" w:hAnsi="Arial" w:cs="Arial"/>
                <w:snapToGrid w:val="0"/>
                <w:sz w:val="22"/>
                <w:szCs w:val="22"/>
              </w:rPr>
            </w:pPr>
            <w:r>
              <w:rPr>
                <w:rFonts w:ascii="Arial" w:hAnsi="Arial"/>
                <w:snapToGrid w:val="0"/>
                <w:sz w:val="22"/>
                <w:szCs w:val="22"/>
              </w:rPr>
              <w:t xml:space="preserve">Il est recommandé d’élaborer et de diffuser </w:t>
            </w:r>
            <w:r w:rsidR="00863AC8">
              <w:rPr>
                <w:rFonts w:ascii="Arial" w:hAnsi="Arial"/>
                <w:snapToGrid w:val="0"/>
                <w:sz w:val="22"/>
                <w:szCs w:val="22"/>
              </w:rPr>
              <w:t xml:space="preserve">à un stade </w:t>
            </w:r>
            <w:r w:rsidR="00A96F2A">
              <w:rPr>
                <w:rFonts w:ascii="Arial" w:hAnsi="Arial"/>
                <w:snapToGrid w:val="0"/>
                <w:sz w:val="22"/>
                <w:szCs w:val="22"/>
              </w:rPr>
              <w:t xml:space="preserve">plus </w:t>
            </w:r>
            <w:r w:rsidR="00264F7E">
              <w:rPr>
                <w:rFonts w:ascii="Arial" w:hAnsi="Arial"/>
                <w:snapToGrid w:val="0"/>
                <w:sz w:val="22"/>
                <w:szCs w:val="22"/>
              </w:rPr>
              <w:t xml:space="preserve">avancé </w:t>
            </w:r>
            <w:r>
              <w:rPr>
                <w:rFonts w:ascii="Arial" w:hAnsi="Arial"/>
                <w:snapToGrid w:val="0"/>
                <w:sz w:val="22"/>
                <w:szCs w:val="22"/>
              </w:rPr>
              <w:t>les projets d’ordre du jour et les calendriers préliminaires, et ce principalement en utilisant le même modèle, avec des hyperliens renvoyant vers les documents à adopter/</w:t>
            </w:r>
            <w:r w:rsidR="00264F7E">
              <w:rPr>
                <w:rFonts w:ascii="Arial" w:hAnsi="Arial"/>
                <w:snapToGrid w:val="0"/>
                <w:sz w:val="22"/>
                <w:szCs w:val="22"/>
              </w:rPr>
              <w:t xml:space="preserve">discuter </w:t>
            </w:r>
            <w:r>
              <w:rPr>
                <w:rFonts w:ascii="Arial" w:hAnsi="Arial"/>
                <w:snapToGrid w:val="0"/>
                <w:sz w:val="22"/>
                <w:szCs w:val="22"/>
              </w:rPr>
              <w:t>en séance.</w:t>
            </w:r>
          </w:p>
          <w:p w14:paraId="51975285" w14:textId="77777777" w:rsidR="009B7C08" w:rsidRPr="0000757E" w:rsidRDefault="009B7C08" w:rsidP="00B04CDE">
            <w:pPr>
              <w:pStyle w:val="ListParagraph"/>
              <w:spacing w:after="120"/>
              <w:ind w:left="0"/>
              <w:contextualSpacing w:val="0"/>
              <w:rPr>
                <w:rFonts w:ascii="Arial" w:hAnsi="Arial" w:cs="Arial"/>
                <w:snapToGrid w:val="0"/>
                <w:sz w:val="22"/>
                <w:szCs w:val="22"/>
              </w:rPr>
            </w:pPr>
            <w:r>
              <w:rPr>
                <w:rFonts w:ascii="Arial" w:hAnsi="Arial"/>
                <w:b/>
                <w:bCs/>
                <w:snapToGrid w:val="0"/>
                <w:sz w:val="22"/>
                <w:szCs w:val="22"/>
              </w:rPr>
              <w:t>Mise en œuvre achevée</w:t>
            </w:r>
            <w:r>
              <w:rPr>
                <w:rFonts w:ascii="Arial" w:hAnsi="Arial"/>
                <w:b/>
                <w:bCs/>
              </w:rPr>
              <w:br/>
            </w:r>
            <w:r>
              <w:rPr>
                <w:rFonts w:ascii="Arial" w:hAnsi="Arial"/>
                <w:b/>
                <w:bCs/>
                <w:snapToGrid w:val="0"/>
                <w:sz w:val="22"/>
                <w:szCs w:val="22"/>
              </w:rPr>
              <w:t>(Bonne pratique)</w:t>
            </w:r>
          </w:p>
        </w:tc>
        <w:tc>
          <w:tcPr>
            <w:tcW w:w="8330" w:type="dxa"/>
          </w:tcPr>
          <w:p w14:paraId="35459288" w14:textId="77777777" w:rsidR="00726ADA" w:rsidRPr="00A22328" w:rsidRDefault="003E7952" w:rsidP="00726ADA">
            <w:pPr>
              <w:pStyle w:val="ListParagraph"/>
              <w:numPr>
                <w:ilvl w:val="0"/>
                <w:numId w:val="7"/>
              </w:numPr>
              <w:spacing w:after="120"/>
              <w:ind w:left="357" w:hanging="357"/>
              <w:contextualSpacing w:val="0"/>
              <w:jc w:val="both"/>
              <w:rPr>
                <w:rFonts w:ascii="Arial" w:hAnsi="Arial" w:cs="Arial"/>
                <w:b/>
                <w:snapToGrid w:val="0"/>
                <w:sz w:val="22"/>
                <w:szCs w:val="22"/>
              </w:rPr>
            </w:pPr>
            <w:r>
              <w:rPr>
                <w:rFonts w:ascii="Arial" w:hAnsi="Arial"/>
                <w:b/>
                <w:snapToGrid w:val="0"/>
                <w:sz w:val="22"/>
                <w:szCs w:val="22"/>
              </w:rPr>
              <w:t xml:space="preserve">Achevée depuis 7.GA </w:t>
            </w:r>
            <w:r>
              <w:rPr>
                <w:rFonts w:ascii="Arial" w:hAnsi="Arial"/>
                <w:sz w:val="20"/>
                <w:szCs w:val="20"/>
              </w:rPr>
              <w:t xml:space="preserve">(Voir le document </w:t>
            </w:r>
            <w:hyperlink r:id="rId43" w:history="1">
              <w:r w:rsidRPr="00C873A5">
                <w:rPr>
                  <w:rStyle w:val="Hyperlink"/>
                  <w:rFonts w:ascii="Arial" w:hAnsi="Arial"/>
                  <w:sz w:val="20"/>
                  <w:szCs w:val="20"/>
                </w:rPr>
                <w:t>ITH/18/7.GA/12</w:t>
              </w:r>
            </w:hyperlink>
            <w:r>
              <w:rPr>
                <w:rFonts w:ascii="Arial" w:hAnsi="Arial"/>
                <w:sz w:val="20"/>
                <w:szCs w:val="20"/>
              </w:rPr>
              <w:t>)</w:t>
            </w:r>
          </w:p>
          <w:p w14:paraId="4913398E" w14:textId="77777777" w:rsidR="009B7C08" w:rsidRPr="00711C46" w:rsidRDefault="009B7C08" w:rsidP="0038712E">
            <w:pPr>
              <w:pStyle w:val="ListParagraph"/>
              <w:spacing w:after="120"/>
              <w:ind w:left="357"/>
              <w:contextualSpacing w:val="0"/>
              <w:jc w:val="both"/>
              <w:rPr>
                <w:rFonts w:ascii="Arial" w:hAnsi="Arial" w:cs="Arial"/>
                <w:snapToGrid w:val="0"/>
                <w:sz w:val="22"/>
                <w:szCs w:val="22"/>
                <w:lang w:eastAsia="en-US"/>
              </w:rPr>
            </w:pPr>
          </w:p>
        </w:tc>
      </w:tr>
      <w:tr w:rsidR="009B7C08" w:rsidRPr="0038712E" w14:paraId="1E47CB1D" w14:textId="77777777" w:rsidTr="00FE5797">
        <w:tc>
          <w:tcPr>
            <w:tcW w:w="5946" w:type="dxa"/>
          </w:tcPr>
          <w:p w14:paraId="222DE766" w14:textId="77777777" w:rsidR="009B7C08" w:rsidRPr="00874122" w:rsidRDefault="009B7C08" w:rsidP="00A741D3">
            <w:pPr>
              <w:pStyle w:val="ListParagraph"/>
              <w:numPr>
                <w:ilvl w:val="0"/>
                <w:numId w:val="10"/>
              </w:numPr>
              <w:spacing w:after="120"/>
              <w:ind w:left="567" w:hanging="567"/>
              <w:contextualSpacing w:val="0"/>
              <w:jc w:val="both"/>
              <w:rPr>
                <w:rFonts w:ascii="Arial" w:hAnsi="Arial" w:cs="Arial"/>
                <w:snapToGrid w:val="0"/>
                <w:sz w:val="22"/>
                <w:szCs w:val="22"/>
              </w:rPr>
            </w:pPr>
            <w:r>
              <w:rPr>
                <w:rFonts w:ascii="Arial" w:hAnsi="Arial"/>
                <w:snapToGrid w:val="0"/>
                <w:sz w:val="22"/>
                <w:szCs w:val="22"/>
              </w:rPr>
              <w:t>Il conviendrait de mener des consultations informelles ouvertes sur les projets de décision afin de promouvoir un processus décisionnel plus inclusif et efficace.</w:t>
            </w:r>
          </w:p>
          <w:p w14:paraId="5612EE33" w14:textId="77777777" w:rsidR="009B7C08" w:rsidRPr="00874122" w:rsidRDefault="009B7C08" w:rsidP="00B04CDE">
            <w:pPr>
              <w:spacing w:after="120"/>
              <w:jc w:val="both"/>
              <w:rPr>
                <w:rFonts w:ascii="Arial" w:hAnsi="Arial" w:cs="Arial"/>
                <w:snapToGrid w:val="0"/>
                <w:sz w:val="22"/>
                <w:szCs w:val="22"/>
              </w:rPr>
            </w:pPr>
            <w:r>
              <w:rPr>
                <w:rFonts w:ascii="Arial" w:hAnsi="Arial"/>
                <w:b/>
                <w:bCs/>
                <w:sz w:val="22"/>
                <w:szCs w:val="22"/>
              </w:rPr>
              <w:t>Action nécessaire des États parties</w:t>
            </w:r>
          </w:p>
        </w:tc>
        <w:tc>
          <w:tcPr>
            <w:tcW w:w="8330" w:type="dxa"/>
          </w:tcPr>
          <w:p w14:paraId="2F48FE12" w14:textId="77777777" w:rsidR="009B7C08" w:rsidRPr="0049025A" w:rsidRDefault="009B7C08" w:rsidP="00A741D3">
            <w:pPr>
              <w:pStyle w:val="ListParagraph"/>
              <w:numPr>
                <w:ilvl w:val="0"/>
                <w:numId w:val="7"/>
              </w:numPr>
              <w:spacing w:after="120"/>
              <w:ind w:left="357" w:hanging="357"/>
              <w:contextualSpacing w:val="0"/>
              <w:jc w:val="both"/>
              <w:rPr>
                <w:rFonts w:ascii="Arial" w:hAnsi="Arial" w:cs="Arial"/>
                <w:snapToGrid w:val="0"/>
                <w:sz w:val="22"/>
                <w:szCs w:val="22"/>
              </w:rPr>
            </w:pPr>
            <w:r>
              <w:rPr>
                <w:rFonts w:ascii="Arial" w:hAnsi="Arial"/>
                <w:snapToGrid w:val="0"/>
                <w:sz w:val="22"/>
                <w:szCs w:val="22"/>
              </w:rPr>
              <w:t>C’est aux États parties que revient la responsabilité de la mise en œuvre de cette recommandation.</w:t>
            </w:r>
          </w:p>
        </w:tc>
      </w:tr>
      <w:tr w:rsidR="009B7C08" w:rsidRPr="0038712E" w14:paraId="484FD8D2" w14:textId="77777777" w:rsidTr="00FE5797">
        <w:tc>
          <w:tcPr>
            <w:tcW w:w="5946" w:type="dxa"/>
          </w:tcPr>
          <w:p w14:paraId="4347D174" w14:textId="77777777" w:rsidR="009B7C08" w:rsidRPr="0049025A" w:rsidRDefault="009B7C08" w:rsidP="000562D3">
            <w:pPr>
              <w:pStyle w:val="ListParagraph"/>
              <w:pageBreakBefore/>
              <w:numPr>
                <w:ilvl w:val="0"/>
                <w:numId w:val="10"/>
              </w:numPr>
              <w:spacing w:after="120"/>
              <w:ind w:left="567" w:hanging="567"/>
              <w:contextualSpacing w:val="0"/>
              <w:jc w:val="both"/>
              <w:rPr>
                <w:rFonts w:ascii="Arial" w:hAnsi="Arial" w:cs="Arial"/>
                <w:snapToGrid w:val="0"/>
                <w:sz w:val="22"/>
                <w:szCs w:val="22"/>
              </w:rPr>
            </w:pPr>
            <w:r>
              <w:rPr>
                <w:rFonts w:ascii="Arial" w:hAnsi="Arial"/>
                <w:snapToGrid w:val="0"/>
                <w:sz w:val="22"/>
                <w:szCs w:val="22"/>
              </w:rPr>
              <w:lastRenderedPageBreak/>
              <w:t>Il est recommandé d’amender le Règlement intérieur des OII, le cas échéant, de manière à avancer la date limite fixée pour la présentation des candidatures à leurs organes subsidiaires, de 48 heures à sept jours avant la date des scrutins.</w:t>
            </w:r>
          </w:p>
          <w:p w14:paraId="353B38A4" w14:textId="77777777" w:rsidR="009B7C08" w:rsidRPr="0049025A" w:rsidRDefault="006337E7" w:rsidP="000562D3">
            <w:pPr>
              <w:pageBreakBefore/>
              <w:spacing w:after="120"/>
              <w:jc w:val="both"/>
              <w:rPr>
                <w:rFonts w:ascii="Arial" w:hAnsi="Arial" w:cs="Arial"/>
                <w:snapToGrid w:val="0"/>
                <w:sz w:val="22"/>
                <w:szCs w:val="22"/>
              </w:rPr>
            </w:pPr>
            <w:r>
              <w:rPr>
                <w:rFonts w:ascii="Arial" w:hAnsi="Arial"/>
                <w:b/>
                <w:bCs/>
                <w:sz w:val="22"/>
                <w:szCs w:val="22"/>
              </w:rPr>
              <w:t>Action en cours</w:t>
            </w:r>
          </w:p>
        </w:tc>
        <w:tc>
          <w:tcPr>
            <w:tcW w:w="8330" w:type="dxa"/>
          </w:tcPr>
          <w:p w14:paraId="3BF8BBD4" w14:textId="30ACBAFB" w:rsidR="009B7C08" w:rsidRPr="00CC62BD" w:rsidRDefault="00FD4FDE" w:rsidP="000562D3">
            <w:pPr>
              <w:pStyle w:val="ListParagraph"/>
              <w:pageBreakBefore/>
              <w:numPr>
                <w:ilvl w:val="0"/>
                <w:numId w:val="7"/>
              </w:numPr>
              <w:spacing w:after="120"/>
              <w:ind w:left="357" w:hanging="357"/>
              <w:contextualSpacing w:val="0"/>
              <w:jc w:val="both"/>
              <w:rPr>
                <w:rFonts w:ascii="Arial" w:hAnsi="Arial" w:cs="Arial"/>
                <w:snapToGrid w:val="0"/>
                <w:sz w:val="22"/>
                <w:szCs w:val="22"/>
              </w:rPr>
            </w:pPr>
            <w:r>
              <w:rPr>
                <w:rFonts w:ascii="Arial" w:hAnsi="Arial"/>
                <w:snapToGrid w:val="0"/>
                <w:sz w:val="22"/>
                <w:szCs w:val="22"/>
              </w:rPr>
              <w:t>L’</w:t>
            </w:r>
            <w:hyperlink r:id="rId44" w:anchor="Rule14" w:history="1">
              <w:r>
                <w:rPr>
                  <w:rStyle w:val="Hyperlink"/>
                  <w:rFonts w:ascii="Arial" w:hAnsi="Arial"/>
                  <w:snapToGrid w:val="0"/>
                  <w:sz w:val="22"/>
                  <w:szCs w:val="22"/>
                </w:rPr>
                <w:t>article 14.4</w:t>
              </w:r>
            </w:hyperlink>
            <w:r>
              <w:rPr>
                <w:rFonts w:ascii="Arial" w:hAnsi="Arial"/>
                <w:snapToGrid w:val="0"/>
                <w:sz w:val="22"/>
                <w:szCs w:val="22"/>
              </w:rPr>
              <w:t xml:space="preserve"> du Règlement intérieur de l’Assemblée générale stipule que « la liste des candidatures est finalisée trois jours ouvrables avant l’ouverture de l’Assemblée générale. Aucune candidature ne sera acceptée pendant les trois jours ouvrables précédant l’ouverture de l’Assemblée »</w:t>
            </w:r>
            <w:r w:rsidR="00410EB1">
              <w:rPr>
                <w:rFonts w:ascii="Arial" w:hAnsi="Arial"/>
                <w:snapToGrid w:val="0"/>
                <w:sz w:val="22"/>
                <w:szCs w:val="22"/>
              </w:rPr>
              <w:t>.</w:t>
            </w:r>
          </w:p>
          <w:p w14:paraId="504A7C19" w14:textId="77777777" w:rsidR="009B7C08" w:rsidRPr="00CC62BD" w:rsidRDefault="009B7C08" w:rsidP="000562D3">
            <w:pPr>
              <w:pStyle w:val="ListParagraph"/>
              <w:pageBreakBefore/>
              <w:numPr>
                <w:ilvl w:val="0"/>
                <w:numId w:val="7"/>
              </w:numPr>
              <w:spacing w:after="120"/>
              <w:ind w:left="357" w:hanging="357"/>
              <w:contextualSpacing w:val="0"/>
              <w:jc w:val="both"/>
              <w:rPr>
                <w:rFonts w:ascii="Arial" w:hAnsi="Arial" w:cs="Arial"/>
                <w:snapToGrid w:val="0"/>
                <w:sz w:val="22"/>
                <w:szCs w:val="22"/>
              </w:rPr>
            </w:pPr>
            <w:r>
              <w:rPr>
                <w:rFonts w:ascii="Arial" w:hAnsi="Arial"/>
                <w:snapToGrid w:val="0"/>
                <w:sz w:val="22"/>
                <w:szCs w:val="22"/>
              </w:rPr>
              <w:t>En outre, conformément à l’</w:t>
            </w:r>
            <w:hyperlink r:id="rId45" w:anchor="Rule14" w:history="1">
              <w:r>
                <w:rPr>
                  <w:rStyle w:val="Hyperlink"/>
                  <w:rFonts w:ascii="Arial" w:hAnsi="Arial"/>
                  <w:snapToGrid w:val="0"/>
                  <w:sz w:val="22"/>
                  <w:szCs w:val="22"/>
                </w:rPr>
                <w:t>article 14.3</w:t>
              </w:r>
            </w:hyperlink>
            <w:r>
              <w:rPr>
                <w:rFonts w:ascii="Arial" w:hAnsi="Arial"/>
                <w:snapToGrid w:val="0"/>
                <w:sz w:val="22"/>
                <w:szCs w:val="22"/>
              </w:rPr>
              <w:t>, « aucun paiement de contributions obligatoires et volontaires au Fonds (ayant pour but de présenter une candidature au Comité) ne peut être accepté pendant la semaine précédant l’ouverture de l’Assemblée ».</w:t>
            </w:r>
          </w:p>
          <w:p w14:paraId="54879AE1" w14:textId="77777777" w:rsidR="009B7C08" w:rsidRPr="00CC62BD" w:rsidRDefault="009B7C08" w:rsidP="000562D3">
            <w:pPr>
              <w:pStyle w:val="ListParagraph"/>
              <w:pageBreakBefore/>
              <w:numPr>
                <w:ilvl w:val="0"/>
                <w:numId w:val="7"/>
              </w:numPr>
              <w:spacing w:after="120"/>
              <w:ind w:left="357" w:hanging="357"/>
              <w:contextualSpacing w:val="0"/>
              <w:jc w:val="both"/>
              <w:rPr>
                <w:rFonts w:ascii="Arial" w:hAnsi="Arial" w:cs="Arial"/>
                <w:snapToGrid w:val="0"/>
                <w:sz w:val="22"/>
                <w:szCs w:val="22"/>
              </w:rPr>
            </w:pPr>
            <w:r>
              <w:rPr>
                <w:rFonts w:ascii="Arial" w:hAnsi="Arial"/>
                <w:snapToGrid w:val="0"/>
                <w:sz w:val="22"/>
                <w:szCs w:val="22"/>
              </w:rPr>
              <w:t>L’Assemblée générale pourrait choisir de modifier son Règlement intérieur ou bien poursuivre la pratique actuelle.</w:t>
            </w:r>
          </w:p>
          <w:p w14:paraId="714D94BC" w14:textId="77777777" w:rsidR="00310F56" w:rsidRPr="00CC62BD" w:rsidRDefault="003C6AF7" w:rsidP="000562D3">
            <w:pPr>
              <w:pStyle w:val="ListParagraph"/>
              <w:pageBreakBefore/>
              <w:numPr>
                <w:ilvl w:val="0"/>
                <w:numId w:val="7"/>
              </w:numPr>
              <w:spacing w:after="120"/>
              <w:ind w:left="357" w:hanging="357"/>
              <w:contextualSpacing w:val="0"/>
              <w:jc w:val="both"/>
              <w:rPr>
                <w:rFonts w:ascii="Arial" w:hAnsi="Arial" w:cs="Arial"/>
                <w:snapToGrid w:val="0"/>
                <w:sz w:val="22"/>
                <w:szCs w:val="22"/>
              </w:rPr>
            </w:pPr>
            <w:r>
              <w:rPr>
                <w:rFonts w:ascii="Arial" w:hAnsi="Arial"/>
                <w:snapToGrid w:val="0"/>
                <w:sz w:val="22"/>
                <w:szCs w:val="22"/>
              </w:rPr>
              <w:t>Conformément aux résolutions </w:t>
            </w:r>
            <w:hyperlink r:id="rId46" w:history="1">
              <w:r>
                <w:rPr>
                  <w:rStyle w:val="Hyperlink"/>
                  <w:rFonts w:ascii="Arial" w:hAnsi="Arial"/>
                  <w:snapToGrid w:val="0"/>
                  <w:sz w:val="22"/>
                  <w:szCs w:val="22"/>
                </w:rPr>
                <w:t>7.GA 12</w:t>
              </w:r>
            </w:hyperlink>
            <w:r>
              <w:rPr>
                <w:rFonts w:ascii="Arial" w:hAnsi="Arial"/>
                <w:snapToGrid w:val="0"/>
                <w:sz w:val="22"/>
                <w:szCs w:val="22"/>
              </w:rPr>
              <w:t xml:space="preserve"> et </w:t>
            </w:r>
            <w:hyperlink r:id="rId47" w:history="1">
              <w:r>
                <w:rPr>
                  <w:rStyle w:val="Hyperlink"/>
                  <w:rFonts w:ascii="Arial" w:hAnsi="Arial"/>
                  <w:snapToGrid w:val="0"/>
                  <w:sz w:val="22"/>
                  <w:szCs w:val="22"/>
                </w:rPr>
                <w:t>7.GA 13</w:t>
              </w:r>
            </w:hyperlink>
            <w:r>
              <w:rPr>
                <w:rFonts w:ascii="Arial" w:hAnsi="Arial"/>
                <w:snapToGrid w:val="0"/>
                <w:sz w:val="22"/>
                <w:szCs w:val="22"/>
              </w:rPr>
              <w:t>, une révision du Règlement intérieur de l’Assemblée générale sera présentée à la huitième session de l’Assemblée générale en 2020.</w:t>
            </w:r>
          </w:p>
        </w:tc>
      </w:tr>
      <w:tr w:rsidR="009B7C08" w:rsidRPr="0038712E" w14:paraId="71BF0BCB" w14:textId="77777777" w:rsidTr="00FE5797">
        <w:trPr>
          <w:trHeight w:val="340"/>
        </w:trPr>
        <w:tc>
          <w:tcPr>
            <w:tcW w:w="14276" w:type="dxa"/>
            <w:gridSpan w:val="2"/>
            <w:shd w:val="clear" w:color="auto" w:fill="F2F2F2" w:themeFill="background1" w:themeFillShade="F2"/>
            <w:vAlign w:val="center"/>
          </w:tcPr>
          <w:p w14:paraId="3A3DD91D" w14:textId="77777777" w:rsidR="009B7C08" w:rsidRPr="0050450D" w:rsidRDefault="009B7C08" w:rsidP="00B04CDE">
            <w:pPr>
              <w:keepNext/>
              <w:rPr>
                <w:rFonts w:ascii="Arial" w:hAnsi="Arial" w:cs="Arial"/>
                <w:b/>
                <w:snapToGrid w:val="0"/>
                <w:sz w:val="22"/>
                <w:szCs w:val="22"/>
              </w:rPr>
            </w:pPr>
            <w:r>
              <w:rPr>
                <w:rFonts w:ascii="Arial" w:hAnsi="Arial"/>
                <w:b/>
                <w:snapToGrid w:val="0"/>
                <w:sz w:val="22"/>
                <w:szCs w:val="22"/>
              </w:rPr>
              <w:t>Harmonisation (rôle des bureaux, transparence)</w:t>
            </w:r>
          </w:p>
        </w:tc>
      </w:tr>
      <w:tr w:rsidR="009B7C08" w:rsidRPr="0038712E" w14:paraId="36C1E11A" w14:textId="77777777" w:rsidTr="00FE5797">
        <w:tc>
          <w:tcPr>
            <w:tcW w:w="5946" w:type="dxa"/>
          </w:tcPr>
          <w:p w14:paraId="493457EB" w14:textId="77777777" w:rsidR="009B7C08" w:rsidRPr="00874122" w:rsidRDefault="009B7C08" w:rsidP="00A741D3">
            <w:pPr>
              <w:pStyle w:val="ListParagraph"/>
              <w:numPr>
                <w:ilvl w:val="0"/>
                <w:numId w:val="10"/>
              </w:numPr>
              <w:spacing w:after="120"/>
              <w:ind w:left="567" w:hanging="567"/>
              <w:contextualSpacing w:val="0"/>
              <w:jc w:val="both"/>
              <w:rPr>
                <w:rFonts w:ascii="Arial" w:hAnsi="Arial" w:cs="Arial"/>
                <w:snapToGrid w:val="0"/>
                <w:sz w:val="22"/>
                <w:szCs w:val="22"/>
              </w:rPr>
            </w:pPr>
            <w:r>
              <w:rPr>
                <w:rFonts w:ascii="Arial" w:hAnsi="Arial"/>
                <w:snapToGrid w:val="0"/>
                <w:sz w:val="22"/>
                <w:szCs w:val="22"/>
              </w:rPr>
              <w:t>Le rôle, la composition et les procédures des bureaux, ainsi que leurs membres, doivent être clarifiés et harmonisés par une codification dans les statuts et règlements intérieurs ou par la définition de directives générales pour tous les OII, en collaboration étroite avec le Secrétariat.</w:t>
            </w:r>
          </w:p>
          <w:p w14:paraId="781D9EDF" w14:textId="77777777" w:rsidR="009B7C08" w:rsidRPr="00874122" w:rsidRDefault="009A1312">
            <w:pPr>
              <w:spacing w:after="120"/>
              <w:jc w:val="both"/>
              <w:rPr>
                <w:rFonts w:ascii="Arial" w:hAnsi="Arial" w:cs="Arial"/>
                <w:snapToGrid w:val="0"/>
                <w:sz w:val="22"/>
                <w:szCs w:val="22"/>
              </w:rPr>
            </w:pPr>
            <w:r>
              <w:rPr>
                <w:rFonts w:ascii="Arial" w:hAnsi="Arial"/>
                <w:b/>
                <w:bCs/>
                <w:sz w:val="22"/>
                <w:szCs w:val="22"/>
              </w:rPr>
              <w:t>Action en cours</w:t>
            </w:r>
          </w:p>
        </w:tc>
        <w:tc>
          <w:tcPr>
            <w:tcW w:w="8330" w:type="dxa"/>
          </w:tcPr>
          <w:p w14:paraId="2364BC50" w14:textId="77777777" w:rsidR="009B7C08" w:rsidRPr="0049025A" w:rsidRDefault="009B7C08" w:rsidP="00A741D3">
            <w:pPr>
              <w:pStyle w:val="ListParagraph"/>
              <w:numPr>
                <w:ilvl w:val="0"/>
                <w:numId w:val="7"/>
              </w:numPr>
              <w:spacing w:after="120"/>
              <w:ind w:left="357" w:hanging="357"/>
              <w:contextualSpacing w:val="0"/>
              <w:jc w:val="both"/>
              <w:rPr>
                <w:rFonts w:ascii="Arial" w:hAnsi="Arial" w:cs="Arial"/>
                <w:snapToGrid w:val="0"/>
                <w:sz w:val="22"/>
                <w:szCs w:val="22"/>
              </w:rPr>
            </w:pPr>
            <w:r>
              <w:rPr>
                <w:rFonts w:ascii="Arial" w:hAnsi="Arial"/>
                <w:snapToGrid w:val="0"/>
                <w:sz w:val="22"/>
                <w:szCs w:val="22"/>
              </w:rPr>
              <w:t>Alors que l’</w:t>
            </w:r>
            <w:hyperlink r:id="rId48" w:anchor="Rule12" w:history="1">
              <w:r>
                <w:rPr>
                  <w:rStyle w:val="Hyperlink"/>
                  <w:rFonts w:ascii="Arial" w:hAnsi="Arial"/>
                  <w:snapToGrid w:val="0"/>
                  <w:sz w:val="22"/>
                  <w:szCs w:val="22"/>
                </w:rPr>
                <w:t>article 12</w:t>
              </w:r>
            </w:hyperlink>
            <w:r>
              <w:rPr>
                <w:rFonts w:ascii="Arial" w:hAnsi="Arial"/>
                <w:snapToGrid w:val="0"/>
                <w:sz w:val="22"/>
                <w:szCs w:val="22"/>
              </w:rPr>
              <w:t xml:space="preserve"> du Règlement intérieur du Comité définit le rôle du Bureau du Comité, le rôle du Bureau de l’Assemblée générale n’est pas décrit dans le Règlement intérieur de l’Assemblée. Ni le Règlement intérieur du Comité ni celui de l’Assemblée générale ne précisent la composition de leurs bureaux respectifs.</w:t>
            </w:r>
          </w:p>
          <w:p w14:paraId="6A9900BB" w14:textId="77777777" w:rsidR="009B7C08" w:rsidRDefault="009B7C08" w:rsidP="00A741D3">
            <w:pPr>
              <w:pStyle w:val="ListParagraph"/>
              <w:numPr>
                <w:ilvl w:val="0"/>
                <w:numId w:val="7"/>
              </w:numPr>
              <w:spacing w:after="120"/>
              <w:ind w:left="357" w:hanging="357"/>
              <w:contextualSpacing w:val="0"/>
              <w:jc w:val="both"/>
              <w:rPr>
                <w:rFonts w:ascii="Arial" w:hAnsi="Arial" w:cs="Arial"/>
                <w:snapToGrid w:val="0"/>
                <w:sz w:val="22"/>
                <w:szCs w:val="22"/>
              </w:rPr>
            </w:pPr>
            <w:r>
              <w:rPr>
                <w:rFonts w:ascii="Arial" w:hAnsi="Arial"/>
                <w:snapToGrid w:val="0"/>
                <w:sz w:val="22"/>
                <w:szCs w:val="22"/>
              </w:rPr>
              <w:t>L’Assemblée générale pourrait choisir de modifier son Règlement intérieur pour préciser le rôle et la composition de son Bureau ou bien poursuivre la pratique actuelle.</w:t>
            </w:r>
          </w:p>
          <w:p w14:paraId="0ABE0491" w14:textId="2679D21D" w:rsidR="009B7C08" w:rsidRPr="0049025A" w:rsidRDefault="009A1312" w:rsidP="00410EB1">
            <w:pPr>
              <w:pStyle w:val="ListParagraph"/>
              <w:numPr>
                <w:ilvl w:val="0"/>
                <w:numId w:val="7"/>
              </w:numPr>
              <w:spacing w:after="120"/>
              <w:ind w:left="357" w:hanging="357"/>
              <w:contextualSpacing w:val="0"/>
              <w:jc w:val="both"/>
              <w:rPr>
                <w:rFonts w:ascii="Arial" w:hAnsi="Arial" w:cs="Arial"/>
                <w:snapToGrid w:val="0"/>
                <w:sz w:val="22"/>
                <w:szCs w:val="22"/>
              </w:rPr>
            </w:pPr>
            <w:r>
              <w:rPr>
                <w:rFonts w:ascii="Arial" w:hAnsi="Arial"/>
                <w:snapToGrid w:val="0"/>
                <w:sz w:val="22"/>
                <w:szCs w:val="22"/>
              </w:rPr>
              <w:t>Conformément aux résolutions </w:t>
            </w:r>
            <w:hyperlink r:id="rId49" w:history="1">
              <w:r>
                <w:rPr>
                  <w:rStyle w:val="Hyperlink"/>
                  <w:rFonts w:ascii="Arial" w:hAnsi="Arial"/>
                  <w:snapToGrid w:val="0"/>
                  <w:sz w:val="22"/>
                  <w:szCs w:val="22"/>
                </w:rPr>
                <w:t>7.GA 12</w:t>
              </w:r>
            </w:hyperlink>
            <w:r>
              <w:rPr>
                <w:rFonts w:ascii="Arial" w:hAnsi="Arial"/>
                <w:snapToGrid w:val="0"/>
                <w:sz w:val="22"/>
                <w:szCs w:val="22"/>
              </w:rPr>
              <w:t xml:space="preserve"> et </w:t>
            </w:r>
            <w:hyperlink r:id="rId50" w:history="1">
              <w:r>
                <w:rPr>
                  <w:rStyle w:val="Hyperlink"/>
                  <w:rFonts w:ascii="Arial" w:hAnsi="Arial"/>
                  <w:snapToGrid w:val="0"/>
                  <w:sz w:val="22"/>
                  <w:szCs w:val="22"/>
                </w:rPr>
                <w:t>7.GA 13</w:t>
              </w:r>
            </w:hyperlink>
            <w:r>
              <w:rPr>
                <w:rFonts w:ascii="Arial" w:hAnsi="Arial"/>
                <w:snapToGrid w:val="0"/>
                <w:sz w:val="22"/>
                <w:szCs w:val="22"/>
              </w:rPr>
              <w:t>, une révision du Règlement intérieur de l’Assemblée générale sera présentée à la huitième session de l’Assemblée générale en 2020.</w:t>
            </w:r>
          </w:p>
        </w:tc>
      </w:tr>
      <w:tr w:rsidR="009B7C08" w:rsidRPr="007523AD" w14:paraId="4031FF9E" w14:textId="77777777" w:rsidTr="00FE5797">
        <w:tc>
          <w:tcPr>
            <w:tcW w:w="5946" w:type="dxa"/>
          </w:tcPr>
          <w:p w14:paraId="46E585A6" w14:textId="7817920E" w:rsidR="009B7C08" w:rsidRPr="00874122" w:rsidRDefault="009B7C08" w:rsidP="00264F7E">
            <w:pPr>
              <w:pStyle w:val="ListParagraph"/>
              <w:numPr>
                <w:ilvl w:val="0"/>
                <w:numId w:val="10"/>
              </w:numPr>
              <w:spacing w:after="120"/>
              <w:ind w:left="567" w:hanging="567"/>
              <w:contextualSpacing w:val="0"/>
              <w:jc w:val="both"/>
              <w:rPr>
                <w:rFonts w:ascii="Arial" w:hAnsi="Arial" w:cs="Arial"/>
                <w:snapToGrid w:val="0"/>
                <w:sz w:val="22"/>
                <w:szCs w:val="22"/>
              </w:rPr>
            </w:pPr>
            <w:r>
              <w:rPr>
                <w:rFonts w:ascii="Arial" w:hAnsi="Arial"/>
                <w:snapToGrid w:val="0"/>
                <w:sz w:val="22"/>
                <w:szCs w:val="22"/>
              </w:rPr>
              <w:t>Il est suggéré que la composition des bureaux soit fixée, dans une mesure aussi compatible que possible avec les mandats de chaque OII, à six membres au maximum (un président, un rapporteur et quatre vice-présidents issus des six groupes électoraux).</w:t>
            </w:r>
          </w:p>
          <w:p w14:paraId="6E451E06" w14:textId="77777777" w:rsidR="009B7C08" w:rsidRPr="00874122" w:rsidRDefault="009A1312" w:rsidP="00B04CDE">
            <w:pPr>
              <w:spacing w:after="120"/>
              <w:jc w:val="both"/>
              <w:rPr>
                <w:rFonts w:ascii="Arial" w:hAnsi="Arial" w:cs="Arial"/>
                <w:snapToGrid w:val="0"/>
                <w:sz w:val="22"/>
                <w:szCs w:val="22"/>
              </w:rPr>
            </w:pPr>
            <w:r>
              <w:rPr>
                <w:rFonts w:ascii="Arial" w:hAnsi="Arial"/>
                <w:b/>
                <w:bCs/>
                <w:sz w:val="22"/>
                <w:szCs w:val="22"/>
              </w:rPr>
              <w:t>Action en cours</w:t>
            </w:r>
          </w:p>
        </w:tc>
        <w:tc>
          <w:tcPr>
            <w:tcW w:w="8330" w:type="dxa"/>
          </w:tcPr>
          <w:p w14:paraId="6C9DBB85" w14:textId="77777777" w:rsidR="009B7C08" w:rsidRDefault="009B7C08" w:rsidP="00A741D3">
            <w:pPr>
              <w:pStyle w:val="ListParagraph"/>
              <w:numPr>
                <w:ilvl w:val="0"/>
                <w:numId w:val="7"/>
              </w:numPr>
              <w:spacing w:after="120"/>
              <w:ind w:left="357" w:hanging="357"/>
              <w:contextualSpacing w:val="0"/>
              <w:jc w:val="both"/>
              <w:rPr>
                <w:rFonts w:ascii="Arial" w:hAnsi="Arial" w:cs="Arial"/>
                <w:snapToGrid w:val="0"/>
                <w:sz w:val="22"/>
                <w:szCs w:val="22"/>
              </w:rPr>
            </w:pPr>
            <w:r>
              <w:rPr>
                <w:rFonts w:ascii="Arial" w:hAnsi="Arial"/>
                <w:snapToGrid w:val="0"/>
                <w:sz w:val="22"/>
                <w:szCs w:val="22"/>
              </w:rPr>
              <w:t>En pratique, aussi bien pour l’Assemblée générale que pour le Comité, la composition du Bureau est fixée à sept membres au maximum (un(e) président(e), un rapporteur et quatre ou cinq vice-président(e)s). En revanche, ni le Règlement intérieur du Comité ni celui de l’Assemblée générale ne précisent la composition de leurs bureaux respectifs.</w:t>
            </w:r>
          </w:p>
          <w:p w14:paraId="7A2FDA85" w14:textId="77777777" w:rsidR="00236BBD" w:rsidRPr="00CC62BD" w:rsidRDefault="009A1312" w:rsidP="0039162F">
            <w:pPr>
              <w:pStyle w:val="ListParagraph"/>
              <w:numPr>
                <w:ilvl w:val="0"/>
                <w:numId w:val="7"/>
              </w:numPr>
              <w:spacing w:after="120"/>
              <w:ind w:left="357" w:hanging="357"/>
              <w:contextualSpacing w:val="0"/>
              <w:jc w:val="both"/>
              <w:rPr>
                <w:rFonts w:ascii="Arial" w:hAnsi="Arial" w:cs="Arial"/>
                <w:snapToGrid w:val="0"/>
                <w:sz w:val="22"/>
                <w:szCs w:val="22"/>
              </w:rPr>
            </w:pPr>
            <w:r>
              <w:rPr>
                <w:rFonts w:ascii="Arial" w:hAnsi="Arial"/>
                <w:snapToGrid w:val="0"/>
                <w:sz w:val="22"/>
                <w:szCs w:val="22"/>
              </w:rPr>
              <w:lastRenderedPageBreak/>
              <w:t>Conformément aux résolutions </w:t>
            </w:r>
            <w:hyperlink r:id="rId51" w:history="1">
              <w:r>
                <w:rPr>
                  <w:rStyle w:val="Hyperlink"/>
                  <w:rFonts w:ascii="Arial" w:hAnsi="Arial"/>
                  <w:snapToGrid w:val="0"/>
                  <w:sz w:val="22"/>
                  <w:szCs w:val="22"/>
                </w:rPr>
                <w:t>7.GA 12</w:t>
              </w:r>
            </w:hyperlink>
            <w:r>
              <w:rPr>
                <w:rFonts w:ascii="Arial" w:hAnsi="Arial"/>
                <w:snapToGrid w:val="0"/>
                <w:sz w:val="22"/>
                <w:szCs w:val="22"/>
              </w:rPr>
              <w:t xml:space="preserve"> et </w:t>
            </w:r>
            <w:hyperlink r:id="rId52" w:history="1">
              <w:r>
                <w:rPr>
                  <w:rStyle w:val="Hyperlink"/>
                  <w:rFonts w:ascii="Arial" w:hAnsi="Arial"/>
                  <w:snapToGrid w:val="0"/>
                  <w:sz w:val="22"/>
                  <w:szCs w:val="22"/>
                </w:rPr>
                <w:t>7.GA 13</w:t>
              </w:r>
            </w:hyperlink>
            <w:r>
              <w:rPr>
                <w:rFonts w:ascii="Arial" w:hAnsi="Arial"/>
                <w:snapToGrid w:val="0"/>
                <w:sz w:val="22"/>
                <w:szCs w:val="22"/>
              </w:rPr>
              <w:t>, une révision du Règlement intérieur de l’Assemblée générale sera présentée à la huitième session de l’Assemblée générale en 2020.</w:t>
            </w:r>
          </w:p>
          <w:p w14:paraId="18DF0E3D" w14:textId="77777777" w:rsidR="009B7C08" w:rsidRPr="0049025A" w:rsidRDefault="009B7C08" w:rsidP="00A741D3">
            <w:pPr>
              <w:pStyle w:val="ListParagraph"/>
              <w:numPr>
                <w:ilvl w:val="0"/>
                <w:numId w:val="7"/>
              </w:numPr>
              <w:spacing w:after="120"/>
              <w:ind w:left="357" w:hanging="357"/>
              <w:contextualSpacing w:val="0"/>
              <w:jc w:val="both"/>
              <w:rPr>
                <w:rFonts w:ascii="Arial" w:hAnsi="Arial" w:cs="Arial"/>
                <w:snapToGrid w:val="0"/>
                <w:sz w:val="22"/>
                <w:szCs w:val="22"/>
              </w:rPr>
            </w:pPr>
            <w:r>
              <w:rPr>
                <w:rFonts w:ascii="Arial" w:hAnsi="Arial"/>
                <w:snapToGrid w:val="0"/>
                <w:sz w:val="22"/>
                <w:szCs w:val="22"/>
              </w:rPr>
              <w:t>Voir la recommandation 66</w:t>
            </w:r>
          </w:p>
        </w:tc>
      </w:tr>
      <w:tr w:rsidR="009B7C08" w:rsidRPr="001231F4" w14:paraId="245DCE55" w14:textId="77777777" w:rsidTr="00FE5797">
        <w:tc>
          <w:tcPr>
            <w:tcW w:w="5946" w:type="dxa"/>
          </w:tcPr>
          <w:p w14:paraId="592838D9" w14:textId="23B8A13B" w:rsidR="009B7C08" w:rsidRPr="00874122" w:rsidRDefault="009B7C08" w:rsidP="00A741D3">
            <w:pPr>
              <w:pStyle w:val="ListParagraph"/>
              <w:numPr>
                <w:ilvl w:val="0"/>
                <w:numId w:val="10"/>
              </w:numPr>
              <w:spacing w:after="120"/>
              <w:ind w:left="567" w:hanging="567"/>
              <w:contextualSpacing w:val="0"/>
              <w:jc w:val="both"/>
              <w:rPr>
                <w:rFonts w:ascii="Arial" w:hAnsi="Arial" w:cs="Arial"/>
                <w:snapToGrid w:val="0"/>
                <w:sz w:val="22"/>
                <w:szCs w:val="22"/>
              </w:rPr>
            </w:pPr>
            <w:r>
              <w:rPr>
                <w:rFonts w:ascii="Arial" w:hAnsi="Arial"/>
                <w:snapToGrid w:val="0"/>
                <w:sz w:val="22"/>
                <w:szCs w:val="22"/>
              </w:rPr>
              <w:lastRenderedPageBreak/>
              <w:t>Le caractère intergouvernemental des bureaux devrait être réaffirmé tout en conservant la participation des experts. À cet effet, il est recommandé de diffuser auprès de tous les organes directeurs et OII les directives ci-jointes (</w:t>
            </w:r>
            <w:hyperlink r:id="rId53" w:anchor="page=25" w:history="1">
              <w:r>
                <w:rPr>
                  <w:rStyle w:val="Hyperlink"/>
                  <w:rFonts w:ascii="Arial" w:hAnsi="Arial"/>
                  <w:sz w:val="22"/>
                </w:rPr>
                <w:t>appendice 2</w:t>
              </w:r>
            </w:hyperlink>
            <w:r>
              <w:rPr>
                <w:rFonts w:ascii="Arial" w:hAnsi="Arial"/>
                <w:snapToGrid w:val="0"/>
                <w:sz w:val="22"/>
                <w:szCs w:val="22"/>
              </w:rPr>
              <w:t>)</w:t>
            </w:r>
            <w:r w:rsidR="00264F7E">
              <w:rPr>
                <w:rFonts w:ascii="Arial" w:hAnsi="Arial"/>
                <w:snapToGrid w:val="0"/>
                <w:sz w:val="22"/>
                <w:szCs w:val="22"/>
              </w:rPr>
              <w:t xml:space="preserve"> relatives aux responsabilités des membres de bureaux</w:t>
            </w:r>
            <w:r>
              <w:rPr>
                <w:rFonts w:ascii="Arial" w:hAnsi="Arial"/>
                <w:snapToGrid w:val="0"/>
                <w:sz w:val="22"/>
                <w:szCs w:val="22"/>
              </w:rPr>
              <w:t>.</w:t>
            </w:r>
          </w:p>
          <w:p w14:paraId="7719BE9C" w14:textId="77777777" w:rsidR="009B7C08" w:rsidRPr="00874122" w:rsidRDefault="009A1312" w:rsidP="00B04CDE">
            <w:pPr>
              <w:spacing w:after="120"/>
              <w:jc w:val="both"/>
              <w:rPr>
                <w:rFonts w:ascii="Arial" w:hAnsi="Arial" w:cs="Arial"/>
                <w:snapToGrid w:val="0"/>
                <w:sz w:val="22"/>
                <w:szCs w:val="22"/>
              </w:rPr>
            </w:pPr>
            <w:r>
              <w:rPr>
                <w:rFonts w:ascii="Arial" w:hAnsi="Arial"/>
                <w:b/>
                <w:bCs/>
                <w:sz w:val="22"/>
                <w:szCs w:val="22"/>
              </w:rPr>
              <w:t>Mise en œuvre achevée</w:t>
            </w:r>
          </w:p>
        </w:tc>
        <w:tc>
          <w:tcPr>
            <w:tcW w:w="8330" w:type="dxa"/>
          </w:tcPr>
          <w:p w14:paraId="31B26873" w14:textId="00974202" w:rsidR="006337E7" w:rsidRPr="0038712E" w:rsidRDefault="009B7C08" w:rsidP="00410EB1">
            <w:pPr>
              <w:pStyle w:val="ListParagraph"/>
              <w:numPr>
                <w:ilvl w:val="0"/>
                <w:numId w:val="7"/>
              </w:numPr>
              <w:spacing w:after="120"/>
              <w:ind w:left="357" w:hanging="357"/>
              <w:contextualSpacing w:val="0"/>
              <w:jc w:val="both"/>
              <w:rPr>
                <w:rFonts w:ascii="Arial" w:hAnsi="Arial" w:cs="Arial"/>
                <w:snapToGrid w:val="0"/>
                <w:sz w:val="22"/>
                <w:szCs w:val="22"/>
              </w:rPr>
            </w:pPr>
            <w:r>
              <w:rPr>
                <w:rFonts w:ascii="Arial" w:hAnsi="Arial"/>
                <w:snapToGrid w:val="0"/>
                <w:sz w:val="22"/>
                <w:szCs w:val="22"/>
              </w:rPr>
              <w:t xml:space="preserve">Par sa </w:t>
            </w:r>
            <w:hyperlink r:id="rId54" w:history="1">
              <w:r>
                <w:rPr>
                  <w:rStyle w:val="Hyperlink"/>
                  <w:rFonts w:ascii="Arial" w:hAnsi="Arial"/>
                  <w:snapToGrid w:val="0"/>
                  <w:sz w:val="22"/>
                  <w:szCs w:val="22"/>
                </w:rPr>
                <w:t>décision 12.COM 16</w:t>
              </w:r>
            </w:hyperlink>
            <w:r>
              <w:rPr>
                <w:rFonts w:ascii="Arial" w:hAnsi="Arial"/>
                <w:snapToGrid w:val="0"/>
                <w:sz w:val="22"/>
                <w:szCs w:val="22"/>
              </w:rPr>
              <w:t>, le Comité a invité le Bureau à mener ses travaux en conformité avec les principes directeurs concernant les responsabilités des représentants des groupes électoraux au sein des bureaux.</w:t>
            </w:r>
          </w:p>
        </w:tc>
      </w:tr>
      <w:tr w:rsidR="009B7C08" w:rsidRPr="001231F4" w14:paraId="04E8D75E" w14:textId="77777777" w:rsidTr="00FE5797">
        <w:tc>
          <w:tcPr>
            <w:tcW w:w="5946" w:type="dxa"/>
          </w:tcPr>
          <w:p w14:paraId="3DC16274" w14:textId="77777777" w:rsidR="009B7C08" w:rsidRPr="00874122" w:rsidRDefault="009B7C08" w:rsidP="00A741D3">
            <w:pPr>
              <w:pStyle w:val="ListParagraph"/>
              <w:numPr>
                <w:ilvl w:val="0"/>
                <w:numId w:val="10"/>
              </w:numPr>
              <w:spacing w:after="120"/>
              <w:ind w:left="567" w:hanging="567"/>
              <w:contextualSpacing w:val="0"/>
              <w:jc w:val="both"/>
              <w:rPr>
                <w:rFonts w:ascii="Arial" w:hAnsi="Arial" w:cs="Arial"/>
                <w:snapToGrid w:val="0"/>
                <w:sz w:val="22"/>
                <w:szCs w:val="22"/>
              </w:rPr>
            </w:pPr>
            <w:r>
              <w:rPr>
                <w:rFonts w:ascii="Arial" w:hAnsi="Arial"/>
                <w:snapToGrid w:val="0"/>
                <w:sz w:val="22"/>
                <w:szCs w:val="22"/>
              </w:rPr>
              <w:t>Les documents concernant les réunions de bureaux devraient être publiés en ligne avant la tenue desdites réunions ; les conclusions, notamment les rapports des réunions des bureaux, devraient être communiquées à tous les membres et, le cas échéant, à toutes les délégations permanentes dans les meilleurs délais.</w:t>
            </w:r>
          </w:p>
          <w:p w14:paraId="3EEAD23C" w14:textId="77777777" w:rsidR="009B7C08" w:rsidRPr="00874122" w:rsidRDefault="009B7C08" w:rsidP="004D1E97">
            <w:pPr>
              <w:spacing w:after="120"/>
              <w:rPr>
                <w:rFonts w:ascii="Arial" w:hAnsi="Arial" w:cs="Arial"/>
                <w:snapToGrid w:val="0"/>
                <w:sz w:val="22"/>
                <w:szCs w:val="22"/>
              </w:rPr>
            </w:pPr>
            <w:r>
              <w:rPr>
                <w:rFonts w:ascii="Arial" w:hAnsi="Arial"/>
                <w:b/>
                <w:bCs/>
                <w:snapToGrid w:val="0"/>
                <w:sz w:val="22"/>
                <w:szCs w:val="22"/>
              </w:rPr>
              <w:t>Mise en œuvre achevée</w:t>
            </w:r>
            <w:r>
              <w:rPr>
                <w:rFonts w:ascii="Arial" w:hAnsi="Arial"/>
                <w:b/>
                <w:bCs/>
              </w:rPr>
              <w:br/>
            </w:r>
            <w:r>
              <w:rPr>
                <w:rFonts w:ascii="Arial" w:hAnsi="Arial"/>
                <w:b/>
                <w:bCs/>
                <w:snapToGrid w:val="0"/>
                <w:sz w:val="22"/>
                <w:szCs w:val="22"/>
              </w:rPr>
              <w:t>(Bonne pratique)</w:t>
            </w:r>
          </w:p>
        </w:tc>
        <w:tc>
          <w:tcPr>
            <w:tcW w:w="8330" w:type="dxa"/>
          </w:tcPr>
          <w:p w14:paraId="51901652" w14:textId="77777777" w:rsidR="00726ADA" w:rsidRPr="00A22328" w:rsidRDefault="0086739C" w:rsidP="00726ADA">
            <w:pPr>
              <w:pStyle w:val="ListParagraph"/>
              <w:numPr>
                <w:ilvl w:val="0"/>
                <w:numId w:val="7"/>
              </w:numPr>
              <w:spacing w:after="120"/>
              <w:ind w:left="357" w:hanging="357"/>
              <w:contextualSpacing w:val="0"/>
              <w:jc w:val="both"/>
              <w:rPr>
                <w:rFonts w:ascii="Arial" w:hAnsi="Arial" w:cs="Arial"/>
                <w:b/>
                <w:snapToGrid w:val="0"/>
                <w:sz w:val="22"/>
                <w:szCs w:val="22"/>
              </w:rPr>
            </w:pPr>
            <w:r>
              <w:rPr>
                <w:rFonts w:ascii="Arial" w:hAnsi="Arial"/>
                <w:b/>
                <w:snapToGrid w:val="0"/>
                <w:sz w:val="22"/>
                <w:szCs w:val="22"/>
              </w:rPr>
              <w:t xml:space="preserve">Achevée depuis 7.GA </w:t>
            </w:r>
            <w:r>
              <w:rPr>
                <w:rFonts w:ascii="Arial" w:hAnsi="Arial"/>
                <w:sz w:val="20"/>
                <w:szCs w:val="20"/>
              </w:rPr>
              <w:t xml:space="preserve">(Voir le document </w:t>
            </w:r>
            <w:hyperlink r:id="rId55" w:history="1">
              <w:r w:rsidRPr="00C873A5">
                <w:rPr>
                  <w:rStyle w:val="Hyperlink"/>
                  <w:rFonts w:ascii="Arial" w:hAnsi="Arial"/>
                  <w:sz w:val="20"/>
                  <w:szCs w:val="20"/>
                </w:rPr>
                <w:t>ITH/18/7.GA/12</w:t>
              </w:r>
            </w:hyperlink>
            <w:r>
              <w:rPr>
                <w:rFonts w:ascii="Arial" w:hAnsi="Arial"/>
                <w:sz w:val="20"/>
                <w:szCs w:val="20"/>
              </w:rPr>
              <w:t>)</w:t>
            </w:r>
          </w:p>
          <w:p w14:paraId="1FB52F6B" w14:textId="77777777" w:rsidR="009B7C08" w:rsidRPr="00711C46" w:rsidRDefault="009B7C08" w:rsidP="0038712E">
            <w:pPr>
              <w:spacing w:after="120"/>
              <w:jc w:val="both"/>
              <w:rPr>
                <w:rFonts w:ascii="Arial" w:hAnsi="Arial" w:cs="Arial"/>
                <w:snapToGrid w:val="0"/>
                <w:sz w:val="22"/>
                <w:szCs w:val="22"/>
                <w:lang w:eastAsia="en-US"/>
              </w:rPr>
            </w:pPr>
          </w:p>
        </w:tc>
      </w:tr>
      <w:tr w:rsidR="009B7C08" w:rsidRPr="001231F4" w14:paraId="02AC69D8" w14:textId="77777777" w:rsidTr="00FE5797">
        <w:tc>
          <w:tcPr>
            <w:tcW w:w="5946" w:type="dxa"/>
          </w:tcPr>
          <w:p w14:paraId="739AED2A" w14:textId="77777777" w:rsidR="009B7C08" w:rsidRPr="00874122" w:rsidRDefault="009B7C08" w:rsidP="00A741D3">
            <w:pPr>
              <w:pStyle w:val="ListParagraph"/>
              <w:numPr>
                <w:ilvl w:val="0"/>
                <w:numId w:val="10"/>
              </w:numPr>
              <w:spacing w:after="120"/>
              <w:ind w:left="567" w:hanging="567"/>
              <w:contextualSpacing w:val="0"/>
              <w:jc w:val="both"/>
              <w:rPr>
                <w:rFonts w:ascii="Arial" w:hAnsi="Arial" w:cs="Arial"/>
                <w:snapToGrid w:val="0"/>
                <w:sz w:val="22"/>
                <w:szCs w:val="22"/>
              </w:rPr>
            </w:pPr>
            <w:r>
              <w:rPr>
                <w:rFonts w:ascii="Arial" w:hAnsi="Arial"/>
                <w:snapToGrid w:val="0"/>
                <w:sz w:val="22"/>
                <w:szCs w:val="22"/>
              </w:rPr>
              <w:t>Dans la mesure du possible, les élections des bureaux devraient se tenir peu de temps après les élections destinées à pourvoir les sièges au sein des différents organes pendant la Conférence générale, afin d’éviter que siègent dans les bureaux des États membres qui ne feraient plus partie des OII concernés.</w:t>
            </w:r>
          </w:p>
          <w:p w14:paraId="1989510E" w14:textId="77777777" w:rsidR="009B7C08" w:rsidRPr="00874122" w:rsidRDefault="009B7C08" w:rsidP="00B04CDE">
            <w:pPr>
              <w:spacing w:after="120"/>
              <w:jc w:val="both"/>
              <w:rPr>
                <w:rFonts w:ascii="Arial" w:hAnsi="Arial" w:cs="Arial"/>
                <w:snapToGrid w:val="0"/>
                <w:sz w:val="22"/>
                <w:szCs w:val="22"/>
              </w:rPr>
            </w:pPr>
            <w:r>
              <w:rPr>
                <w:rFonts w:ascii="Arial" w:hAnsi="Arial"/>
                <w:b/>
                <w:bCs/>
                <w:snapToGrid w:val="0"/>
                <w:sz w:val="22"/>
                <w:szCs w:val="22"/>
              </w:rPr>
              <w:t>Mise en œuvre achevée</w:t>
            </w:r>
          </w:p>
        </w:tc>
        <w:tc>
          <w:tcPr>
            <w:tcW w:w="8330" w:type="dxa"/>
          </w:tcPr>
          <w:p w14:paraId="43F75609" w14:textId="77777777" w:rsidR="009B7C08" w:rsidRPr="0049025A" w:rsidRDefault="0086739C" w:rsidP="00A741D3">
            <w:pPr>
              <w:pStyle w:val="ListParagraph"/>
              <w:numPr>
                <w:ilvl w:val="0"/>
                <w:numId w:val="7"/>
              </w:numPr>
              <w:spacing w:after="120"/>
              <w:ind w:left="357" w:hanging="357"/>
              <w:contextualSpacing w:val="0"/>
              <w:jc w:val="both"/>
              <w:rPr>
                <w:rFonts w:ascii="Arial" w:hAnsi="Arial" w:cs="Arial"/>
                <w:snapToGrid w:val="0"/>
                <w:sz w:val="22"/>
                <w:szCs w:val="22"/>
              </w:rPr>
            </w:pPr>
            <w:r>
              <w:rPr>
                <w:rFonts w:ascii="Arial" w:hAnsi="Arial"/>
                <w:b/>
                <w:snapToGrid w:val="0"/>
                <w:sz w:val="22"/>
                <w:szCs w:val="22"/>
              </w:rPr>
              <w:t xml:space="preserve">Achevée depuis 7.GA </w:t>
            </w:r>
            <w:r>
              <w:rPr>
                <w:rFonts w:ascii="Arial" w:hAnsi="Arial"/>
                <w:sz w:val="20"/>
                <w:szCs w:val="20"/>
              </w:rPr>
              <w:t xml:space="preserve">(Voir le document </w:t>
            </w:r>
            <w:hyperlink r:id="rId56" w:history="1">
              <w:r w:rsidRPr="00C873A5">
                <w:rPr>
                  <w:rStyle w:val="Hyperlink"/>
                  <w:rFonts w:ascii="Arial" w:hAnsi="Arial"/>
                  <w:sz w:val="20"/>
                  <w:szCs w:val="20"/>
                </w:rPr>
                <w:t>ITH/18/7.GA/12</w:t>
              </w:r>
            </w:hyperlink>
            <w:r>
              <w:rPr>
                <w:rFonts w:ascii="Arial" w:hAnsi="Arial"/>
                <w:sz w:val="20"/>
                <w:szCs w:val="20"/>
              </w:rPr>
              <w:t>)</w:t>
            </w:r>
          </w:p>
        </w:tc>
      </w:tr>
      <w:tr w:rsidR="009B7C08" w:rsidRPr="001231F4" w14:paraId="6FC4333F" w14:textId="77777777" w:rsidTr="00FE5797">
        <w:tc>
          <w:tcPr>
            <w:tcW w:w="5946" w:type="dxa"/>
          </w:tcPr>
          <w:p w14:paraId="2B653D64" w14:textId="77777777" w:rsidR="009B7C08" w:rsidRPr="00874122" w:rsidRDefault="009B7C08" w:rsidP="000562D3">
            <w:pPr>
              <w:pStyle w:val="ListParagraph"/>
              <w:pageBreakBefore/>
              <w:numPr>
                <w:ilvl w:val="0"/>
                <w:numId w:val="10"/>
              </w:numPr>
              <w:spacing w:after="120"/>
              <w:ind w:left="567" w:hanging="567"/>
              <w:contextualSpacing w:val="0"/>
              <w:jc w:val="both"/>
              <w:rPr>
                <w:rFonts w:ascii="Arial" w:hAnsi="Arial" w:cs="Arial"/>
                <w:snapToGrid w:val="0"/>
                <w:sz w:val="22"/>
                <w:szCs w:val="22"/>
              </w:rPr>
            </w:pPr>
            <w:r>
              <w:rPr>
                <w:rFonts w:ascii="Arial" w:hAnsi="Arial"/>
                <w:snapToGrid w:val="0"/>
                <w:sz w:val="22"/>
                <w:szCs w:val="22"/>
              </w:rPr>
              <w:lastRenderedPageBreak/>
              <w:t>Dans la mesure du possible, les réunions des bureaux devraient être ouvertes aux observateurs et leurs méthodes de travail rendues plus transparentes.</w:t>
            </w:r>
          </w:p>
          <w:p w14:paraId="65F0E877" w14:textId="77777777" w:rsidR="009B7C08" w:rsidRPr="00874122" w:rsidRDefault="00373083" w:rsidP="000562D3">
            <w:pPr>
              <w:pageBreakBefore/>
              <w:spacing w:after="120"/>
              <w:jc w:val="both"/>
              <w:rPr>
                <w:rFonts w:ascii="Arial" w:hAnsi="Arial" w:cs="Arial"/>
                <w:snapToGrid w:val="0"/>
                <w:sz w:val="22"/>
                <w:szCs w:val="22"/>
              </w:rPr>
            </w:pPr>
            <w:r>
              <w:rPr>
                <w:rFonts w:ascii="Arial" w:hAnsi="Arial"/>
                <w:b/>
                <w:bCs/>
                <w:sz w:val="22"/>
                <w:szCs w:val="22"/>
              </w:rPr>
              <w:t xml:space="preserve">Mise en œuvre achevée </w:t>
            </w:r>
          </w:p>
        </w:tc>
        <w:tc>
          <w:tcPr>
            <w:tcW w:w="8330" w:type="dxa"/>
          </w:tcPr>
          <w:p w14:paraId="6613047B" w14:textId="54244E70" w:rsidR="009B7C08" w:rsidRDefault="009B7C08" w:rsidP="000562D3">
            <w:pPr>
              <w:pStyle w:val="ListParagraph"/>
              <w:pageBreakBefore/>
              <w:numPr>
                <w:ilvl w:val="0"/>
                <w:numId w:val="7"/>
              </w:numPr>
              <w:spacing w:after="120"/>
              <w:ind w:left="357" w:hanging="357"/>
              <w:contextualSpacing w:val="0"/>
              <w:jc w:val="both"/>
              <w:rPr>
                <w:rFonts w:ascii="Arial" w:hAnsi="Arial" w:cs="Arial"/>
                <w:snapToGrid w:val="0"/>
                <w:sz w:val="22"/>
                <w:szCs w:val="22"/>
              </w:rPr>
            </w:pPr>
            <w:r>
              <w:rPr>
                <w:rFonts w:ascii="Arial" w:hAnsi="Arial"/>
                <w:snapToGrid w:val="0"/>
                <w:sz w:val="22"/>
                <w:szCs w:val="22"/>
              </w:rPr>
              <w:t xml:space="preserve">Il n'y a aucune disposition à cet effet dans le Règlement intérieur de l'Assemblée générale. Toutefois, en pratique, les réunions du Bureau de l’Assemblée générale sont ouvertes aux observateurs. L’Assemblée générale pourrait </w:t>
            </w:r>
            <w:r w:rsidR="000D6243">
              <w:rPr>
                <w:rFonts w:ascii="Arial" w:hAnsi="Arial"/>
                <w:snapToGrid w:val="0"/>
                <w:sz w:val="22"/>
                <w:szCs w:val="22"/>
              </w:rPr>
              <w:t xml:space="preserve">décider </w:t>
            </w:r>
            <w:r>
              <w:rPr>
                <w:rFonts w:ascii="Arial" w:hAnsi="Arial"/>
                <w:snapToGrid w:val="0"/>
                <w:sz w:val="22"/>
                <w:szCs w:val="22"/>
              </w:rPr>
              <w:t>de modifier son Règlement intérieur pour tenir compte de cette recommandation ou bien poursuivre la pratique actuelle.</w:t>
            </w:r>
          </w:p>
          <w:p w14:paraId="029FC811" w14:textId="542E9DE1" w:rsidR="00310F56" w:rsidRPr="00373083" w:rsidRDefault="00E02E4E" w:rsidP="000562D3">
            <w:pPr>
              <w:pStyle w:val="ListParagraph"/>
              <w:pageBreakBefore/>
              <w:numPr>
                <w:ilvl w:val="0"/>
                <w:numId w:val="7"/>
              </w:numPr>
              <w:spacing w:after="120"/>
              <w:ind w:left="357" w:hanging="357"/>
              <w:contextualSpacing w:val="0"/>
              <w:jc w:val="both"/>
              <w:rPr>
                <w:rFonts w:ascii="Arial" w:hAnsi="Arial" w:cs="Arial"/>
                <w:snapToGrid w:val="0"/>
                <w:sz w:val="22"/>
                <w:szCs w:val="22"/>
              </w:rPr>
            </w:pPr>
            <w:r>
              <w:rPr>
                <w:rFonts w:ascii="Arial" w:hAnsi="Arial"/>
                <w:snapToGrid w:val="0"/>
                <w:sz w:val="22"/>
                <w:szCs w:val="22"/>
              </w:rPr>
              <w:t>Conformément aux résolutions </w:t>
            </w:r>
            <w:hyperlink r:id="rId57" w:history="1">
              <w:r>
                <w:rPr>
                  <w:rStyle w:val="Hyperlink"/>
                  <w:rFonts w:ascii="Arial" w:hAnsi="Arial"/>
                  <w:snapToGrid w:val="0"/>
                  <w:sz w:val="22"/>
                  <w:szCs w:val="22"/>
                </w:rPr>
                <w:t>7.GA 12</w:t>
              </w:r>
            </w:hyperlink>
            <w:r>
              <w:rPr>
                <w:rFonts w:ascii="Arial" w:hAnsi="Arial"/>
                <w:snapToGrid w:val="0"/>
                <w:sz w:val="22"/>
                <w:szCs w:val="22"/>
              </w:rPr>
              <w:t xml:space="preserve"> et </w:t>
            </w:r>
            <w:hyperlink r:id="rId58" w:history="1">
              <w:r>
                <w:rPr>
                  <w:rStyle w:val="Hyperlink"/>
                  <w:rFonts w:ascii="Arial" w:hAnsi="Arial"/>
                  <w:snapToGrid w:val="0"/>
                  <w:sz w:val="22"/>
                  <w:szCs w:val="22"/>
                </w:rPr>
                <w:t>7.GA 13</w:t>
              </w:r>
            </w:hyperlink>
            <w:r>
              <w:rPr>
                <w:rFonts w:ascii="Arial" w:hAnsi="Arial"/>
                <w:snapToGrid w:val="0"/>
                <w:sz w:val="22"/>
                <w:szCs w:val="22"/>
              </w:rPr>
              <w:t>, une révision du Règlement intérieur de l’Assemblée générale sera présentée à la huitième session de l’Assemblée générale</w:t>
            </w:r>
            <w:r w:rsidR="00410EB1">
              <w:rPr>
                <w:rFonts w:ascii="Arial" w:hAnsi="Arial"/>
                <w:snapToGrid w:val="0"/>
                <w:sz w:val="22"/>
                <w:szCs w:val="22"/>
              </w:rPr>
              <w:t>.</w:t>
            </w:r>
          </w:p>
          <w:p w14:paraId="46CADE6F" w14:textId="048C0AF2" w:rsidR="009B7C08" w:rsidRPr="0049025A" w:rsidRDefault="009B7C08" w:rsidP="00410EB1">
            <w:pPr>
              <w:pStyle w:val="ListParagraph"/>
              <w:pageBreakBefore/>
              <w:numPr>
                <w:ilvl w:val="0"/>
                <w:numId w:val="7"/>
              </w:numPr>
              <w:spacing w:after="120"/>
              <w:ind w:left="357" w:hanging="357"/>
              <w:contextualSpacing w:val="0"/>
              <w:jc w:val="both"/>
              <w:rPr>
                <w:rFonts w:ascii="Arial" w:hAnsi="Arial" w:cs="Arial"/>
                <w:snapToGrid w:val="0"/>
                <w:sz w:val="22"/>
                <w:szCs w:val="22"/>
              </w:rPr>
            </w:pPr>
            <w:r>
              <w:rPr>
                <w:rFonts w:ascii="Arial" w:hAnsi="Arial"/>
                <w:snapToGrid w:val="0"/>
                <w:sz w:val="22"/>
                <w:szCs w:val="22"/>
              </w:rPr>
              <w:t>Conformément à l'</w:t>
            </w:r>
            <w:hyperlink r:id="rId59" w:anchor="Rule12" w:history="1">
              <w:r>
                <w:rPr>
                  <w:rStyle w:val="Hyperlink"/>
                  <w:rFonts w:ascii="Arial" w:hAnsi="Arial"/>
                  <w:snapToGrid w:val="0"/>
                  <w:sz w:val="22"/>
                  <w:szCs w:val="22"/>
                </w:rPr>
                <w:t>article 12.4</w:t>
              </w:r>
            </w:hyperlink>
            <w:r>
              <w:rPr>
                <w:rFonts w:ascii="Arial" w:hAnsi="Arial"/>
                <w:snapToGrid w:val="0"/>
                <w:sz w:val="22"/>
                <w:szCs w:val="22"/>
              </w:rPr>
              <w:t xml:space="preserve"> du Règlement intérieur du Comité, « [les réunions du Bureau du Comité] sont ouvertes aux États membres du Comité et aux États parties à la Convention en tant qu’observateurs, sauf si le Bureau en décide autrement. Les observateurs ne peuvent intervenir devant le Bureau qu’avec l’accord préalable du Président »</w:t>
            </w:r>
          </w:p>
        </w:tc>
      </w:tr>
      <w:tr w:rsidR="009B7C08" w:rsidRPr="001231F4" w14:paraId="5D7D8142" w14:textId="77777777" w:rsidTr="00FE5797">
        <w:tc>
          <w:tcPr>
            <w:tcW w:w="5946" w:type="dxa"/>
          </w:tcPr>
          <w:p w14:paraId="54EEF072" w14:textId="77777777" w:rsidR="009B7C08" w:rsidRPr="0000757E" w:rsidRDefault="009B7C08" w:rsidP="00B04CDE">
            <w:pPr>
              <w:pStyle w:val="ListParagraph"/>
              <w:spacing w:after="120"/>
              <w:ind w:left="567" w:hanging="567"/>
              <w:contextualSpacing w:val="0"/>
              <w:jc w:val="both"/>
              <w:rPr>
                <w:rFonts w:ascii="Arial" w:hAnsi="Arial" w:cs="Arial"/>
                <w:snapToGrid w:val="0"/>
                <w:sz w:val="22"/>
                <w:szCs w:val="22"/>
              </w:rPr>
            </w:pPr>
            <w:r>
              <w:rPr>
                <w:rFonts w:ascii="Arial" w:hAnsi="Arial"/>
                <w:snapToGrid w:val="0"/>
                <w:sz w:val="22"/>
                <w:szCs w:val="22"/>
              </w:rPr>
              <w:t>73.</w:t>
            </w:r>
            <w:r>
              <w:rPr>
                <w:rFonts w:ascii="Arial" w:hAnsi="Arial"/>
                <w:snapToGrid w:val="0"/>
                <w:sz w:val="22"/>
                <w:szCs w:val="22"/>
              </w:rPr>
              <w:tab/>
              <w:t>Il conviendrait d’adopter, dans tous les documents de l’UNESCO, un langage neutre du point de vue du genre.</w:t>
            </w:r>
          </w:p>
          <w:p w14:paraId="6D8B294B" w14:textId="77777777" w:rsidR="009B7C08" w:rsidRPr="00874122" w:rsidRDefault="00334F6F" w:rsidP="00B04CDE">
            <w:pPr>
              <w:spacing w:after="120"/>
              <w:jc w:val="both"/>
              <w:rPr>
                <w:rFonts w:ascii="Arial" w:hAnsi="Arial" w:cs="Arial"/>
                <w:snapToGrid w:val="0"/>
                <w:sz w:val="22"/>
                <w:szCs w:val="22"/>
              </w:rPr>
            </w:pPr>
            <w:r>
              <w:rPr>
                <w:rFonts w:ascii="Arial" w:hAnsi="Arial"/>
                <w:b/>
                <w:bCs/>
                <w:sz w:val="22"/>
                <w:szCs w:val="22"/>
              </w:rPr>
              <w:t>Mise en œuvre achevée</w:t>
            </w:r>
          </w:p>
        </w:tc>
        <w:tc>
          <w:tcPr>
            <w:tcW w:w="8330" w:type="dxa"/>
          </w:tcPr>
          <w:p w14:paraId="0EBC00F5" w14:textId="77777777" w:rsidR="00310F56" w:rsidRPr="00373083" w:rsidRDefault="00D262EB" w:rsidP="001B1D24">
            <w:pPr>
              <w:pStyle w:val="ListParagraph"/>
              <w:numPr>
                <w:ilvl w:val="0"/>
                <w:numId w:val="7"/>
              </w:numPr>
              <w:spacing w:after="120"/>
              <w:ind w:left="357" w:hanging="357"/>
              <w:contextualSpacing w:val="0"/>
              <w:jc w:val="both"/>
              <w:rPr>
                <w:rFonts w:ascii="Arial" w:hAnsi="Arial" w:cs="Arial"/>
                <w:snapToGrid w:val="0"/>
                <w:sz w:val="22"/>
                <w:szCs w:val="22"/>
              </w:rPr>
            </w:pPr>
            <w:r w:rsidRPr="004D1E97">
              <w:rPr>
                <w:rFonts w:ascii="Arial" w:hAnsi="Arial"/>
                <w:b/>
                <w:snapToGrid w:val="0"/>
                <w:sz w:val="22"/>
                <w:szCs w:val="22"/>
              </w:rPr>
              <w:t>Achevée depuis 13.COM</w:t>
            </w:r>
            <w:r w:rsidR="00C7656F" w:rsidRPr="00410EB1">
              <w:rPr>
                <w:rFonts w:ascii="Arial" w:hAnsi="Arial"/>
                <w:b/>
                <w:snapToGrid w:val="0"/>
                <w:sz w:val="22"/>
                <w:szCs w:val="22"/>
              </w:rPr>
              <w:t xml:space="preserve"> </w:t>
            </w:r>
            <w:r w:rsidR="00C7656F">
              <w:rPr>
                <w:rFonts w:ascii="Arial" w:hAnsi="Arial"/>
                <w:sz w:val="20"/>
                <w:szCs w:val="20"/>
              </w:rPr>
              <w:t xml:space="preserve">(Voir le document </w:t>
            </w:r>
            <w:hyperlink r:id="rId60" w:history="1">
              <w:r w:rsidR="00C7656F" w:rsidRPr="00C873A5">
                <w:rPr>
                  <w:rStyle w:val="Hyperlink"/>
                  <w:rFonts w:ascii="Arial" w:hAnsi="Arial"/>
                  <w:sz w:val="20"/>
                  <w:szCs w:val="20"/>
                </w:rPr>
                <w:t>ITH/18/13.COM/17</w:t>
              </w:r>
            </w:hyperlink>
            <w:r w:rsidR="00C7656F">
              <w:rPr>
                <w:rFonts w:ascii="Arial" w:hAnsi="Arial"/>
                <w:sz w:val="20"/>
                <w:szCs w:val="20"/>
              </w:rPr>
              <w:t>)</w:t>
            </w:r>
          </w:p>
        </w:tc>
      </w:tr>
      <w:tr w:rsidR="009B7C08" w:rsidRPr="001231F4" w14:paraId="214CB536" w14:textId="77777777" w:rsidTr="00FE5797">
        <w:trPr>
          <w:trHeight w:val="340"/>
        </w:trPr>
        <w:tc>
          <w:tcPr>
            <w:tcW w:w="14276" w:type="dxa"/>
            <w:gridSpan w:val="2"/>
            <w:shd w:val="clear" w:color="auto" w:fill="F2F2F2" w:themeFill="background1" w:themeFillShade="F2"/>
          </w:tcPr>
          <w:p w14:paraId="32D49B0B" w14:textId="77777777" w:rsidR="009B7C08" w:rsidRPr="0050450D" w:rsidRDefault="009B7C08" w:rsidP="00B04CDE">
            <w:pPr>
              <w:keepNext/>
              <w:rPr>
                <w:rFonts w:ascii="Arial" w:hAnsi="Arial" w:cs="Arial"/>
                <w:b/>
                <w:snapToGrid w:val="0"/>
                <w:sz w:val="22"/>
                <w:szCs w:val="22"/>
              </w:rPr>
            </w:pPr>
            <w:r>
              <w:rPr>
                <w:rFonts w:ascii="Arial" w:hAnsi="Arial"/>
                <w:b/>
                <w:snapToGrid w:val="0"/>
                <w:sz w:val="22"/>
                <w:szCs w:val="22"/>
              </w:rPr>
              <w:t>Adéquation avec les grandes priorités de l’UNESCO</w:t>
            </w:r>
          </w:p>
        </w:tc>
      </w:tr>
      <w:tr w:rsidR="003E12EF" w:rsidRPr="001231F4" w14:paraId="32218D37" w14:textId="77777777" w:rsidTr="00FE5797">
        <w:tc>
          <w:tcPr>
            <w:tcW w:w="5946" w:type="dxa"/>
          </w:tcPr>
          <w:p w14:paraId="16D0A5A5" w14:textId="7B695062" w:rsidR="003E12EF" w:rsidRPr="0038712E" w:rsidRDefault="003E12EF" w:rsidP="0038712E">
            <w:pPr>
              <w:pStyle w:val="ListParagraph"/>
              <w:numPr>
                <w:ilvl w:val="0"/>
                <w:numId w:val="24"/>
              </w:numPr>
              <w:spacing w:after="120"/>
              <w:ind w:left="593" w:hanging="593"/>
              <w:contextualSpacing w:val="0"/>
              <w:jc w:val="both"/>
              <w:rPr>
                <w:rFonts w:ascii="Arial" w:hAnsi="Arial" w:cs="Arial"/>
                <w:snapToGrid w:val="0"/>
                <w:sz w:val="22"/>
                <w:szCs w:val="22"/>
              </w:rPr>
            </w:pPr>
            <w:r>
              <w:rPr>
                <w:rFonts w:ascii="Arial" w:hAnsi="Arial"/>
                <w:sz w:val="21"/>
                <w:szCs w:val="21"/>
              </w:rPr>
              <w:t>Tous les OII devraient avoir la possibilité de soumettre des contributions formelles à la Stratégie à moyen terme (C/4), ainsi qu’au Projet de programme et de budget (C/5)</w:t>
            </w:r>
            <w:r w:rsidR="00264F7E">
              <w:rPr>
                <w:rFonts w:ascii="Arial" w:hAnsi="Arial"/>
                <w:sz w:val="21"/>
                <w:szCs w:val="21"/>
              </w:rPr>
              <w:t>,</w:t>
            </w:r>
            <w:r>
              <w:rPr>
                <w:rFonts w:ascii="Arial" w:hAnsi="Arial"/>
                <w:sz w:val="21"/>
                <w:szCs w:val="21"/>
              </w:rPr>
              <w:t xml:space="preserve"> de l’UNESCO.</w:t>
            </w:r>
          </w:p>
          <w:p w14:paraId="5D6F7A4A" w14:textId="77777777" w:rsidR="00F40207" w:rsidRPr="0038712E" w:rsidRDefault="00F40207" w:rsidP="0038712E">
            <w:pPr>
              <w:spacing w:after="120"/>
              <w:jc w:val="both"/>
              <w:rPr>
                <w:rFonts w:ascii="Arial" w:hAnsi="Arial" w:cs="Arial"/>
                <w:snapToGrid w:val="0"/>
                <w:sz w:val="22"/>
                <w:szCs w:val="22"/>
              </w:rPr>
            </w:pPr>
            <w:r>
              <w:rPr>
                <w:rFonts w:ascii="Arial" w:hAnsi="Arial"/>
                <w:b/>
                <w:bCs/>
                <w:sz w:val="22"/>
                <w:szCs w:val="22"/>
              </w:rPr>
              <w:t>Action en cours</w:t>
            </w:r>
          </w:p>
        </w:tc>
        <w:tc>
          <w:tcPr>
            <w:tcW w:w="8330" w:type="dxa"/>
          </w:tcPr>
          <w:p w14:paraId="18B35070" w14:textId="77777777" w:rsidR="003E12EF" w:rsidRPr="0038712E" w:rsidRDefault="003E12EF">
            <w:pPr>
              <w:pStyle w:val="ListParagraph"/>
              <w:numPr>
                <w:ilvl w:val="0"/>
                <w:numId w:val="7"/>
              </w:numPr>
              <w:spacing w:after="120"/>
              <w:ind w:left="357" w:hanging="357"/>
              <w:contextualSpacing w:val="0"/>
              <w:jc w:val="both"/>
              <w:rPr>
                <w:rFonts w:ascii="Arial" w:hAnsi="Arial" w:cs="Arial"/>
                <w:b/>
                <w:snapToGrid w:val="0"/>
                <w:sz w:val="22"/>
                <w:szCs w:val="22"/>
                <w:u w:val="single"/>
              </w:rPr>
            </w:pPr>
            <w:r>
              <w:rPr>
                <w:rFonts w:ascii="Arial" w:hAnsi="Arial"/>
                <w:b/>
                <w:snapToGrid w:val="0"/>
                <w:sz w:val="22"/>
                <w:szCs w:val="22"/>
                <w:u w:val="single"/>
              </w:rPr>
              <w:t>Mise à jour :</w:t>
            </w:r>
            <w:r>
              <w:rPr>
                <w:rFonts w:ascii="Arial" w:hAnsi="Arial"/>
                <w:snapToGrid w:val="0"/>
                <w:sz w:val="22"/>
                <w:szCs w:val="22"/>
                <w:u w:val="single"/>
              </w:rPr>
              <w:t xml:space="preserve"> Conformément à la recommandation 74 et dans le cadre du Pilier 3 du processus de transformation stratégique initié par la Directrice générale, un point dédié à cette question sera inscrit à l’ordre du jour de la huitième session de l’Assemblée générale en 2020, dans le cadre du processus de consultation en vue de la préparation des documents C/4 et C/5.</w:t>
            </w:r>
          </w:p>
        </w:tc>
      </w:tr>
      <w:tr w:rsidR="009B7C08" w:rsidRPr="001231F4" w14:paraId="3ACD17C6" w14:textId="77777777" w:rsidTr="00FE5797">
        <w:tc>
          <w:tcPr>
            <w:tcW w:w="5946" w:type="dxa"/>
          </w:tcPr>
          <w:p w14:paraId="4C33371E" w14:textId="77777777" w:rsidR="009B7C08" w:rsidRPr="00324032" w:rsidRDefault="009B7C08" w:rsidP="007458A9">
            <w:pPr>
              <w:pStyle w:val="ListParagraph"/>
              <w:pageBreakBefore/>
              <w:numPr>
                <w:ilvl w:val="0"/>
                <w:numId w:val="25"/>
              </w:numPr>
              <w:spacing w:after="120"/>
              <w:ind w:left="595" w:hanging="567"/>
              <w:contextualSpacing w:val="0"/>
              <w:jc w:val="both"/>
              <w:rPr>
                <w:rFonts w:ascii="Arial" w:hAnsi="Arial" w:cs="Arial"/>
                <w:snapToGrid w:val="0"/>
                <w:sz w:val="22"/>
                <w:szCs w:val="22"/>
              </w:rPr>
            </w:pPr>
            <w:r>
              <w:rPr>
                <w:rFonts w:ascii="Arial" w:hAnsi="Arial"/>
                <w:snapToGrid w:val="0"/>
                <w:sz w:val="22"/>
                <w:szCs w:val="22"/>
              </w:rPr>
              <w:lastRenderedPageBreak/>
              <w:t>Les séances d’orientation destinées aux nouveaux membres des OII, en particulier les présidents et les membres de bureaux, devraient être institutionnalisées et prévoir une présentation des cadres du C/4 et du C/5. À cette fin, un petit guide pratique recensant les bonnes pratiques et les acronymes pourrait être produit afin d’aider les membres à se familiariser avec les méthodes de travail et les mécanismes du C/4 et du C/5.</w:t>
            </w:r>
          </w:p>
          <w:p w14:paraId="63D66651" w14:textId="77777777" w:rsidR="009B7C08" w:rsidRPr="002D38E3" w:rsidRDefault="002B27AB" w:rsidP="004D1E97">
            <w:pPr>
              <w:keepNext/>
              <w:keepLines/>
              <w:spacing w:after="120"/>
              <w:jc w:val="both"/>
              <w:rPr>
                <w:rFonts w:ascii="Arial" w:hAnsi="Arial" w:cs="Arial"/>
                <w:b/>
                <w:bCs/>
                <w:snapToGrid w:val="0"/>
                <w:sz w:val="22"/>
                <w:szCs w:val="22"/>
                <w:highlight w:val="yellow"/>
              </w:rPr>
            </w:pPr>
            <w:r>
              <w:rPr>
                <w:rFonts w:ascii="Arial" w:hAnsi="Arial"/>
                <w:b/>
                <w:bCs/>
                <w:snapToGrid w:val="0"/>
                <w:sz w:val="22"/>
                <w:szCs w:val="22"/>
              </w:rPr>
              <w:t>Mise en œuvre achevée</w:t>
            </w:r>
          </w:p>
        </w:tc>
        <w:tc>
          <w:tcPr>
            <w:tcW w:w="8330" w:type="dxa"/>
          </w:tcPr>
          <w:p w14:paraId="33202B43" w14:textId="77777777" w:rsidR="009B7C08" w:rsidRPr="00E02E4E" w:rsidRDefault="009B7C08" w:rsidP="00A741D3">
            <w:pPr>
              <w:pStyle w:val="ListParagraph"/>
              <w:numPr>
                <w:ilvl w:val="0"/>
                <w:numId w:val="7"/>
              </w:numPr>
              <w:spacing w:after="120"/>
              <w:ind w:left="357" w:hanging="357"/>
              <w:contextualSpacing w:val="0"/>
              <w:jc w:val="both"/>
              <w:rPr>
                <w:rFonts w:ascii="Arial" w:hAnsi="Arial" w:cs="Arial"/>
                <w:snapToGrid w:val="0"/>
                <w:sz w:val="22"/>
                <w:szCs w:val="22"/>
              </w:rPr>
            </w:pPr>
            <w:r>
              <w:rPr>
                <w:rFonts w:ascii="Arial" w:hAnsi="Arial"/>
                <w:snapToGrid w:val="0"/>
                <w:sz w:val="22"/>
                <w:szCs w:val="22"/>
              </w:rPr>
              <w:t>En ce qui concerne l’Assemblée générale, le Secrétariat envoie, à chaque nouvel État partie à la Convention, une lettre de bienvenue qui attire son attention sur les Textes fondamentaux de la Convention et lui communique les coordonnées des responsables désignés pour le soutenir. Le Président est élu à l’ouverture de chaque session et, par conséquent, ne reçoit aucune orientation préalable.</w:t>
            </w:r>
          </w:p>
          <w:p w14:paraId="74286A26" w14:textId="0FE1F4C9" w:rsidR="009B7C08" w:rsidRPr="00E02E4E" w:rsidRDefault="009B7C08" w:rsidP="00A741D3">
            <w:pPr>
              <w:pStyle w:val="ListParagraph"/>
              <w:numPr>
                <w:ilvl w:val="0"/>
                <w:numId w:val="7"/>
              </w:numPr>
              <w:spacing w:after="120"/>
              <w:ind w:left="357" w:hanging="357"/>
              <w:contextualSpacing w:val="0"/>
              <w:jc w:val="both"/>
              <w:rPr>
                <w:rFonts w:ascii="Arial" w:hAnsi="Arial" w:cs="Arial"/>
                <w:snapToGrid w:val="0"/>
                <w:sz w:val="22"/>
                <w:szCs w:val="22"/>
              </w:rPr>
            </w:pPr>
            <w:r>
              <w:rPr>
                <w:rFonts w:ascii="Arial" w:hAnsi="Arial"/>
                <w:snapToGrid w:val="0"/>
                <w:sz w:val="22"/>
                <w:szCs w:val="22"/>
              </w:rPr>
              <w:t xml:space="preserve">Concernant le Comité, lors d’une mission préparatoire dans le pays hôte (en mars/avril chaque année), le Secrétaire tient des </w:t>
            </w:r>
            <w:r w:rsidR="000D6243">
              <w:rPr>
                <w:rFonts w:ascii="Arial" w:hAnsi="Arial"/>
                <w:snapToGrid w:val="0"/>
                <w:sz w:val="22"/>
                <w:szCs w:val="22"/>
              </w:rPr>
              <w:t xml:space="preserve">entretiens directs </w:t>
            </w:r>
            <w:r>
              <w:rPr>
                <w:rFonts w:ascii="Arial" w:hAnsi="Arial"/>
                <w:snapToGrid w:val="0"/>
                <w:sz w:val="22"/>
                <w:szCs w:val="22"/>
              </w:rPr>
              <w:t>avec le Président sur les points de l’ordre du jour, le rôle du Président, le Règlement intérieur du Comité et les méthodes de travail.</w:t>
            </w:r>
          </w:p>
          <w:p w14:paraId="4D7D3894" w14:textId="77777777" w:rsidR="009B7C08" w:rsidRPr="00E02E4E" w:rsidRDefault="009B7C08" w:rsidP="00A741D3">
            <w:pPr>
              <w:pStyle w:val="ListParagraph"/>
              <w:numPr>
                <w:ilvl w:val="0"/>
                <w:numId w:val="7"/>
              </w:numPr>
              <w:spacing w:after="120"/>
              <w:ind w:left="357" w:hanging="357"/>
              <w:contextualSpacing w:val="0"/>
              <w:jc w:val="both"/>
              <w:rPr>
                <w:rFonts w:ascii="Arial" w:hAnsi="Arial" w:cs="Arial"/>
                <w:snapToGrid w:val="0"/>
                <w:sz w:val="22"/>
                <w:szCs w:val="22"/>
              </w:rPr>
            </w:pPr>
            <w:r>
              <w:rPr>
                <w:rFonts w:ascii="Arial" w:hAnsi="Arial"/>
                <w:snapToGrid w:val="0"/>
                <w:sz w:val="22"/>
                <w:szCs w:val="22"/>
              </w:rPr>
              <w:t>Pour les États membres du Comité, une séance d’orientation est organisée à la veille de l’ouverture de la session du Comité chaque année paire lorsque des nouveaux membres du Comité sont élus. En outre, une session d’information et d’échange portant sur la session à venir du Comité est organisée chaque année en octobre. Afin de permettre aux membres du Comité de comprendre les tâches et responsabilités qui leur incombent rapidement suite à leur élection, le Secrétariat pourrait partager des notes d’information avec les nouveaux membres du Comité.</w:t>
            </w:r>
          </w:p>
          <w:p w14:paraId="57F05A82" w14:textId="77777777" w:rsidR="00026A2B" w:rsidRPr="00E02E4E" w:rsidRDefault="00026A2B" w:rsidP="004D1E97">
            <w:pPr>
              <w:pStyle w:val="ListParagraph"/>
              <w:keepNext/>
              <w:keepLines/>
              <w:numPr>
                <w:ilvl w:val="0"/>
                <w:numId w:val="7"/>
              </w:numPr>
              <w:spacing w:after="120"/>
              <w:ind w:left="357" w:hanging="357"/>
              <w:contextualSpacing w:val="0"/>
              <w:jc w:val="both"/>
              <w:rPr>
                <w:rFonts w:ascii="Arial" w:hAnsi="Arial" w:cs="Arial"/>
                <w:snapToGrid w:val="0"/>
                <w:sz w:val="22"/>
                <w:szCs w:val="22"/>
              </w:rPr>
            </w:pPr>
            <w:r>
              <w:rPr>
                <w:rFonts w:ascii="Arial" w:hAnsi="Arial"/>
                <w:snapToGrid w:val="0"/>
                <w:sz w:val="22"/>
                <w:szCs w:val="22"/>
              </w:rPr>
              <w:t>À la suite de l’élection des douze nouveaux membres du Comité, en juin 2018, le Secrétariat a envoyé à ces nouveaux membres un document de présentation générale sur la Convention de 2003 ; en outre, une séance d’orientation a été organisée pendant la session d’information et d’échange qui s’est tenue le 2 octobre 2018, concernant la treizième session du Comité.</w:t>
            </w:r>
          </w:p>
        </w:tc>
      </w:tr>
      <w:tr w:rsidR="009B7C08" w:rsidRPr="00C2060D" w14:paraId="090BE3D8" w14:textId="77777777" w:rsidTr="00FE5797">
        <w:trPr>
          <w:trHeight w:val="340"/>
        </w:trPr>
        <w:tc>
          <w:tcPr>
            <w:tcW w:w="14276" w:type="dxa"/>
            <w:gridSpan w:val="2"/>
            <w:tcBorders>
              <w:right w:val="single" w:sz="4" w:space="0" w:color="auto"/>
            </w:tcBorders>
            <w:shd w:val="clear" w:color="auto" w:fill="F2F2F2" w:themeFill="background1" w:themeFillShade="F2"/>
            <w:vAlign w:val="center"/>
          </w:tcPr>
          <w:p w14:paraId="6915EC01" w14:textId="77777777" w:rsidR="009B7C08" w:rsidRPr="003E5477" w:rsidRDefault="009B7C08" w:rsidP="00B04CDE">
            <w:pPr>
              <w:keepNext/>
              <w:rPr>
                <w:rFonts w:ascii="Arial" w:hAnsi="Arial" w:cs="Arial"/>
                <w:b/>
                <w:snapToGrid w:val="0"/>
                <w:sz w:val="22"/>
                <w:szCs w:val="22"/>
              </w:rPr>
            </w:pPr>
            <w:r>
              <w:rPr>
                <w:rFonts w:ascii="Arial" w:hAnsi="Arial"/>
                <w:b/>
                <w:snapToGrid w:val="0"/>
                <w:sz w:val="22"/>
                <w:szCs w:val="22"/>
              </w:rPr>
              <w:t>Cohérence, coordination et synergies</w:t>
            </w:r>
          </w:p>
        </w:tc>
      </w:tr>
      <w:tr w:rsidR="009B7C08" w:rsidRPr="006918D4" w14:paraId="6E7EEB59" w14:textId="77777777" w:rsidTr="00FE5797">
        <w:tc>
          <w:tcPr>
            <w:tcW w:w="5946" w:type="dxa"/>
          </w:tcPr>
          <w:p w14:paraId="28308427" w14:textId="4DA6B36B" w:rsidR="009B7C08" w:rsidRDefault="009B7C08" w:rsidP="006D318C">
            <w:pPr>
              <w:pStyle w:val="ListParagraph"/>
              <w:numPr>
                <w:ilvl w:val="0"/>
                <w:numId w:val="12"/>
              </w:numPr>
              <w:spacing w:after="120"/>
              <w:ind w:left="567" w:hanging="567"/>
              <w:contextualSpacing w:val="0"/>
              <w:jc w:val="both"/>
              <w:rPr>
                <w:rFonts w:ascii="Arial" w:hAnsi="Arial" w:cs="Arial"/>
                <w:snapToGrid w:val="0"/>
                <w:sz w:val="22"/>
                <w:szCs w:val="22"/>
              </w:rPr>
            </w:pPr>
            <w:r>
              <w:rPr>
                <w:rFonts w:ascii="Arial" w:hAnsi="Arial"/>
                <w:snapToGrid w:val="0"/>
                <w:sz w:val="22"/>
                <w:szCs w:val="22"/>
              </w:rPr>
              <w:t xml:space="preserve">Le recours à différentes langues reste un objectif majeur </w:t>
            </w:r>
            <w:r w:rsidR="006D318C">
              <w:rPr>
                <w:rFonts w:ascii="Arial" w:hAnsi="Arial"/>
                <w:snapToGrid w:val="0"/>
                <w:sz w:val="22"/>
                <w:szCs w:val="22"/>
              </w:rPr>
              <w:t>pour assurer</w:t>
            </w:r>
            <w:r>
              <w:rPr>
                <w:rFonts w:ascii="Arial" w:hAnsi="Arial"/>
                <w:snapToGrid w:val="0"/>
                <w:sz w:val="22"/>
                <w:szCs w:val="22"/>
              </w:rPr>
              <w:t xml:space="preserve"> l’inclusion et de l’efficacité.</w:t>
            </w:r>
          </w:p>
          <w:p w14:paraId="684A85DC" w14:textId="77777777" w:rsidR="009B7C08" w:rsidRPr="00E863FC" w:rsidRDefault="009B7C08" w:rsidP="00B04CDE">
            <w:pPr>
              <w:spacing w:after="120"/>
              <w:jc w:val="both"/>
              <w:rPr>
                <w:rFonts w:ascii="Arial" w:hAnsi="Arial" w:cs="Arial"/>
                <w:snapToGrid w:val="0"/>
                <w:sz w:val="22"/>
                <w:szCs w:val="22"/>
              </w:rPr>
            </w:pPr>
            <w:r>
              <w:rPr>
                <w:rFonts w:ascii="Arial" w:hAnsi="Arial"/>
                <w:b/>
                <w:bCs/>
                <w:snapToGrid w:val="0"/>
                <w:sz w:val="22"/>
                <w:szCs w:val="22"/>
              </w:rPr>
              <w:t>Mise en œuvre achevée</w:t>
            </w:r>
          </w:p>
        </w:tc>
        <w:tc>
          <w:tcPr>
            <w:tcW w:w="8330" w:type="dxa"/>
          </w:tcPr>
          <w:p w14:paraId="0DFE43E2" w14:textId="29C70167" w:rsidR="009B7C08" w:rsidRPr="00333D58" w:rsidRDefault="0086739C" w:rsidP="00A741D3">
            <w:pPr>
              <w:pStyle w:val="ListParagraph"/>
              <w:numPr>
                <w:ilvl w:val="0"/>
                <w:numId w:val="7"/>
              </w:numPr>
              <w:spacing w:after="120"/>
              <w:ind w:left="357" w:hanging="357"/>
              <w:contextualSpacing w:val="0"/>
              <w:jc w:val="both"/>
              <w:rPr>
                <w:rFonts w:ascii="Arial" w:hAnsi="Arial" w:cs="Arial"/>
                <w:snapToGrid w:val="0"/>
                <w:sz w:val="22"/>
                <w:szCs w:val="22"/>
              </w:rPr>
            </w:pPr>
            <w:r>
              <w:rPr>
                <w:rFonts w:ascii="Arial" w:hAnsi="Arial"/>
                <w:b/>
                <w:snapToGrid w:val="0"/>
                <w:sz w:val="22"/>
                <w:szCs w:val="22"/>
              </w:rPr>
              <w:t xml:space="preserve">Achevée depuis 7.GA </w:t>
            </w:r>
            <w:r w:rsidR="0022167C">
              <w:rPr>
                <w:rFonts w:ascii="Arial" w:hAnsi="Arial"/>
                <w:sz w:val="20"/>
                <w:szCs w:val="20"/>
              </w:rPr>
              <w:t xml:space="preserve">(Voir le document </w:t>
            </w:r>
            <w:hyperlink r:id="rId61" w:history="1">
              <w:r w:rsidR="0022167C" w:rsidRPr="00C873A5">
                <w:rPr>
                  <w:rStyle w:val="Hyperlink"/>
                  <w:rFonts w:ascii="Arial" w:hAnsi="Arial"/>
                  <w:sz w:val="20"/>
                  <w:szCs w:val="20"/>
                </w:rPr>
                <w:t>ITH/18/7.GA/12</w:t>
              </w:r>
            </w:hyperlink>
            <w:r w:rsidR="0022167C">
              <w:rPr>
                <w:rFonts w:ascii="Arial" w:hAnsi="Arial"/>
                <w:sz w:val="20"/>
                <w:szCs w:val="20"/>
              </w:rPr>
              <w:t>)</w:t>
            </w:r>
          </w:p>
        </w:tc>
      </w:tr>
      <w:tr w:rsidR="009B7C08" w:rsidRPr="001231F4" w14:paraId="7E51F1C2" w14:textId="77777777" w:rsidTr="00FE5797">
        <w:tc>
          <w:tcPr>
            <w:tcW w:w="5946" w:type="dxa"/>
          </w:tcPr>
          <w:p w14:paraId="1617A2A8" w14:textId="77777777" w:rsidR="009B7C08" w:rsidRDefault="009B7C08" w:rsidP="00A741D3">
            <w:pPr>
              <w:pStyle w:val="ListParagraph"/>
              <w:keepNext/>
              <w:numPr>
                <w:ilvl w:val="0"/>
                <w:numId w:val="12"/>
              </w:numPr>
              <w:spacing w:after="120"/>
              <w:ind w:left="561" w:hanging="561"/>
              <w:contextualSpacing w:val="0"/>
              <w:jc w:val="both"/>
              <w:rPr>
                <w:rFonts w:ascii="Arial" w:hAnsi="Arial" w:cs="Arial"/>
                <w:snapToGrid w:val="0"/>
                <w:sz w:val="22"/>
                <w:szCs w:val="22"/>
              </w:rPr>
            </w:pPr>
            <w:r>
              <w:rPr>
                <w:rFonts w:ascii="Arial" w:hAnsi="Arial"/>
                <w:snapToGrid w:val="0"/>
                <w:sz w:val="22"/>
                <w:szCs w:val="22"/>
              </w:rPr>
              <w:lastRenderedPageBreak/>
              <w:t>Il est demandé aux OII et à leurs secrétariats d’améliorer la coordination de la planification des réunions afin d’éviter les chevauchements.</w:t>
            </w:r>
          </w:p>
          <w:p w14:paraId="23C7BB1C" w14:textId="77777777" w:rsidR="009B7C08" w:rsidRPr="00E863FC" w:rsidRDefault="009B7C08" w:rsidP="00B04CDE">
            <w:pPr>
              <w:spacing w:after="120"/>
              <w:jc w:val="both"/>
              <w:rPr>
                <w:rFonts w:ascii="Arial" w:hAnsi="Arial" w:cs="Arial"/>
                <w:snapToGrid w:val="0"/>
                <w:sz w:val="22"/>
                <w:szCs w:val="22"/>
              </w:rPr>
            </w:pPr>
            <w:r>
              <w:rPr>
                <w:rFonts w:ascii="Arial" w:hAnsi="Arial"/>
                <w:b/>
                <w:bCs/>
                <w:snapToGrid w:val="0"/>
                <w:sz w:val="22"/>
                <w:szCs w:val="22"/>
              </w:rPr>
              <w:t>Mise en œuvre achevée</w:t>
            </w:r>
          </w:p>
        </w:tc>
        <w:tc>
          <w:tcPr>
            <w:tcW w:w="8330" w:type="dxa"/>
            <w:tcBorders>
              <w:right w:val="single" w:sz="4" w:space="0" w:color="auto"/>
            </w:tcBorders>
          </w:tcPr>
          <w:p w14:paraId="4061DDDD" w14:textId="77777777" w:rsidR="00726ADA" w:rsidRPr="00A22328" w:rsidRDefault="0086739C" w:rsidP="00726ADA">
            <w:pPr>
              <w:pStyle w:val="ListParagraph"/>
              <w:numPr>
                <w:ilvl w:val="0"/>
                <w:numId w:val="7"/>
              </w:numPr>
              <w:spacing w:after="120"/>
              <w:ind w:left="357" w:hanging="357"/>
              <w:contextualSpacing w:val="0"/>
              <w:jc w:val="both"/>
              <w:rPr>
                <w:rFonts w:ascii="Arial" w:hAnsi="Arial" w:cs="Arial"/>
                <w:b/>
                <w:snapToGrid w:val="0"/>
                <w:sz w:val="22"/>
                <w:szCs w:val="22"/>
              </w:rPr>
            </w:pPr>
            <w:r>
              <w:rPr>
                <w:rFonts w:ascii="Arial" w:hAnsi="Arial"/>
                <w:b/>
                <w:snapToGrid w:val="0"/>
                <w:sz w:val="22"/>
                <w:szCs w:val="22"/>
              </w:rPr>
              <w:t xml:space="preserve">Achevée depuis 7.GA </w:t>
            </w:r>
            <w:r>
              <w:rPr>
                <w:rFonts w:ascii="Arial" w:hAnsi="Arial"/>
                <w:sz w:val="20"/>
                <w:szCs w:val="20"/>
              </w:rPr>
              <w:t xml:space="preserve">(Voir le document </w:t>
            </w:r>
            <w:hyperlink r:id="rId62" w:history="1">
              <w:r w:rsidRPr="00C873A5">
                <w:rPr>
                  <w:rStyle w:val="Hyperlink"/>
                  <w:rFonts w:ascii="Arial" w:hAnsi="Arial"/>
                  <w:sz w:val="20"/>
                  <w:szCs w:val="20"/>
                </w:rPr>
                <w:t>ITH/18/7.GA/12</w:t>
              </w:r>
            </w:hyperlink>
            <w:r>
              <w:rPr>
                <w:rFonts w:ascii="Arial" w:hAnsi="Arial"/>
                <w:sz w:val="20"/>
                <w:szCs w:val="20"/>
              </w:rPr>
              <w:t>)</w:t>
            </w:r>
          </w:p>
          <w:p w14:paraId="05894613" w14:textId="77777777" w:rsidR="009B7C08" w:rsidRPr="00711C46" w:rsidRDefault="009B7C08" w:rsidP="0038712E">
            <w:pPr>
              <w:spacing w:after="120"/>
              <w:jc w:val="both"/>
              <w:rPr>
                <w:rFonts w:ascii="Arial" w:hAnsi="Arial" w:cs="Arial"/>
                <w:snapToGrid w:val="0"/>
                <w:sz w:val="22"/>
                <w:szCs w:val="22"/>
                <w:lang w:eastAsia="en-US"/>
              </w:rPr>
            </w:pPr>
          </w:p>
        </w:tc>
      </w:tr>
      <w:tr w:rsidR="002E0C25" w:rsidRPr="003E5477" w14:paraId="33C92EAF" w14:textId="77777777" w:rsidTr="00CA7E77">
        <w:trPr>
          <w:trHeight w:val="340"/>
        </w:trPr>
        <w:tc>
          <w:tcPr>
            <w:tcW w:w="14276" w:type="dxa"/>
            <w:gridSpan w:val="2"/>
            <w:tcBorders>
              <w:right w:val="single" w:sz="4" w:space="0" w:color="auto"/>
            </w:tcBorders>
            <w:shd w:val="clear" w:color="auto" w:fill="F2F2F2" w:themeFill="background1" w:themeFillShade="F2"/>
            <w:vAlign w:val="center"/>
          </w:tcPr>
          <w:p w14:paraId="28B49BC9" w14:textId="0F3DEF55" w:rsidR="002E0C25" w:rsidRPr="003E5477" w:rsidRDefault="00264F7E" w:rsidP="00CA7E77">
            <w:pPr>
              <w:keepNext/>
              <w:rPr>
                <w:rFonts w:ascii="Arial" w:hAnsi="Arial" w:cs="Arial"/>
                <w:b/>
                <w:snapToGrid w:val="0"/>
                <w:sz w:val="22"/>
                <w:szCs w:val="22"/>
              </w:rPr>
            </w:pPr>
            <w:r>
              <w:rPr>
                <w:rFonts w:ascii="Arial" w:hAnsi="Arial"/>
                <w:b/>
                <w:snapToGrid w:val="0"/>
                <w:sz w:val="22"/>
                <w:szCs w:val="22"/>
              </w:rPr>
              <w:t xml:space="preserve">Bonnes </w:t>
            </w:r>
            <w:r w:rsidR="002E0C25">
              <w:rPr>
                <w:rFonts w:ascii="Arial" w:hAnsi="Arial"/>
                <w:b/>
                <w:snapToGrid w:val="0"/>
                <w:sz w:val="22"/>
                <w:szCs w:val="22"/>
              </w:rPr>
              <w:t>pratiques</w:t>
            </w:r>
          </w:p>
        </w:tc>
      </w:tr>
      <w:tr w:rsidR="002E0C25" w:rsidRPr="00333D58" w14:paraId="4CC93B1D" w14:textId="77777777" w:rsidTr="00CA7E77">
        <w:tc>
          <w:tcPr>
            <w:tcW w:w="5946" w:type="dxa"/>
          </w:tcPr>
          <w:p w14:paraId="4810C00C" w14:textId="75B5AC7F" w:rsidR="002E0C25" w:rsidRDefault="002E0C25" w:rsidP="00264F7E">
            <w:pPr>
              <w:pStyle w:val="ListParagraph"/>
              <w:numPr>
                <w:ilvl w:val="0"/>
                <w:numId w:val="12"/>
              </w:numPr>
              <w:spacing w:after="120"/>
              <w:ind w:left="567" w:hanging="567"/>
              <w:contextualSpacing w:val="0"/>
              <w:jc w:val="both"/>
              <w:rPr>
                <w:rFonts w:ascii="Arial" w:hAnsi="Arial" w:cs="Arial"/>
                <w:snapToGrid w:val="0"/>
                <w:sz w:val="22"/>
                <w:szCs w:val="22"/>
              </w:rPr>
            </w:pPr>
            <w:r>
              <w:rPr>
                <w:rFonts w:ascii="Arial" w:hAnsi="Arial"/>
                <w:snapToGrid w:val="0"/>
                <w:sz w:val="22"/>
                <w:szCs w:val="22"/>
              </w:rPr>
              <w:t xml:space="preserve">Les </w:t>
            </w:r>
            <w:r w:rsidR="00264F7E">
              <w:rPr>
                <w:rFonts w:ascii="Arial" w:hAnsi="Arial"/>
                <w:snapToGrid w:val="0"/>
                <w:sz w:val="22"/>
                <w:szCs w:val="22"/>
              </w:rPr>
              <w:t xml:space="preserve">bonnes </w:t>
            </w:r>
            <w:r>
              <w:rPr>
                <w:rFonts w:ascii="Arial" w:hAnsi="Arial"/>
                <w:snapToGrid w:val="0"/>
                <w:sz w:val="22"/>
                <w:szCs w:val="22"/>
              </w:rPr>
              <w:t>pratiques devraient être partagées</w:t>
            </w:r>
            <w:r w:rsidR="00264F7E">
              <w:rPr>
                <w:rFonts w:ascii="Arial" w:hAnsi="Arial"/>
                <w:snapToGrid w:val="0"/>
                <w:sz w:val="22"/>
                <w:szCs w:val="22"/>
              </w:rPr>
              <w:t xml:space="preserve"> et </w:t>
            </w:r>
            <w:r>
              <w:rPr>
                <w:rFonts w:ascii="Arial" w:hAnsi="Arial"/>
                <w:snapToGrid w:val="0"/>
                <w:sz w:val="22"/>
                <w:szCs w:val="22"/>
              </w:rPr>
              <w:t xml:space="preserve">reproduites </w:t>
            </w:r>
            <w:r w:rsidR="00264F7E">
              <w:rPr>
                <w:rFonts w:ascii="Arial" w:hAnsi="Arial"/>
                <w:snapToGrid w:val="0"/>
                <w:sz w:val="22"/>
                <w:szCs w:val="22"/>
              </w:rPr>
              <w:t>ou</w:t>
            </w:r>
            <w:r>
              <w:rPr>
                <w:rFonts w:ascii="Arial" w:hAnsi="Arial"/>
                <w:snapToGrid w:val="0"/>
                <w:sz w:val="22"/>
                <w:szCs w:val="22"/>
              </w:rPr>
              <w:t xml:space="preserve">, si nécessaire, </w:t>
            </w:r>
            <w:r w:rsidR="00264F7E">
              <w:rPr>
                <w:rFonts w:ascii="Arial" w:hAnsi="Arial"/>
                <w:snapToGrid w:val="0"/>
                <w:sz w:val="22"/>
                <w:szCs w:val="22"/>
              </w:rPr>
              <w:t xml:space="preserve">adaptées en fonction </w:t>
            </w:r>
            <w:r>
              <w:rPr>
                <w:rFonts w:ascii="Arial" w:hAnsi="Arial"/>
                <w:snapToGrid w:val="0"/>
                <w:sz w:val="22"/>
                <w:szCs w:val="22"/>
              </w:rPr>
              <w:t xml:space="preserve"> des </w:t>
            </w:r>
            <w:r w:rsidR="00264F7E">
              <w:rPr>
                <w:rFonts w:ascii="Arial" w:hAnsi="Arial"/>
                <w:snapToGrid w:val="0"/>
                <w:sz w:val="22"/>
                <w:szCs w:val="22"/>
              </w:rPr>
              <w:t xml:space="preserve">particularités de chaque organe </w:t>
            </w:r>
            <w:r>
              <w:rPr>
                <w:rFonts w:ascii="Arial" w:hAnsi="Arial"/>
                <w:snapToGrid w:val="0"/>
                <w:sz w:val="22"/>
                <w:szCs w:val="22"/>
              </w:rPr>
              <w:t xml:space="preserve">afin de promouvoir </w:t>
            </w:r>
            <w:r w:rsidR="00264F7E">
              <w:rPr>
                <w:rFonts w:ascii="Arial" w:hAnsi="Arial"/>
                <w:snapToGrid w:val="0"/>
                <w:sz w:val="22"/>
                <w:szCs w:val="22"/>
              </w:rPr>
              <w:t xml:space="preserve">des </w:t>
            </w:r>
            <w:r>
              <w:rPr>
                <w:rFonts w:ascii="Arial" w:hAnsi="Arial"/>
                <w:snapToGrid w:val="0"/>
                <w:sz w:val="22"/>
                <w:szCs w:val="22"/>
              </w:rPr>
              <w:t xml:space="preserve">mécanismes de gouvernance </w:t>
            </w:r>
            <w:r w:rsidR="00264F7E">
              <w:rPr>
                <w:rFonts w:ascii="Arial" w:hAnsi="Arial"/>
                <w:snapToGrid w:val="0"/>
                <w:sz w:val="22"/>
                <w:szCs w:val="22"/>
              </w:rPr>
              <w:t>favorisant</w:t>
            </w:r>
            <w:r>
              <w:rPr>
                <w:rFonts w:ascii="Arial" w:hAnsi="Arial"/>
                <w:snapToGrid w:val="0"/>
                <w:sz w:val="22"/>
                <w:szCs w:val="22"/>
              </w:rPr>
              <w:t xml:space="preserve"> </w:t>
            </w:r>
            <w:r w:rsidR="00264F7E">
              <w:rPr>
                <w:rFonts w:ascii="Arial" w:hAnsi="Arial"/>
                <w:snapToGrid w:val="0"/>
                <w:sz w:val="22"/>
                <w:szCs w:val="22"/>
              </w:rPr>
              <w:t xml:space="preserve">des </w:t>
            </w:r>
            <w:r>
              <w:rPr>
                <w:rFonts w:ascii="Arial" w:hAnsi="Arial"/>
                <w:snapToGrid w:val="0"/>
                <w:sz w:val="22"/>
                <w:szCs w:val="22"/>
              </w:rPr>
              <w:t>stratégies et plans d’action ancrés dans le C/4 et le C/5.</w:t>
            </w:r>
          </w:p>
          <w:p w14:paraId="45A46958" w14:textId="77777777" w:rsidR="002E0C25" w:rsidRPr="00E863FC" w:rsidRDefault="002E0C25" w:rsidP="00CA7E77">
            <w:pPr>
              <w:spacing w:after="120"/>
              <w:jc w:val="both"/>
              <w:rPr>
                <w:rFonts w:ascii="Arial" w:hAnsi="Arial" w:cs="Arial"/>
                <w:snapToGrid w:val="0"/>
                <w:sz w:val="22"/>
                <w:szCs w:val="22"/>
              </w:rPr>
            </w:pPr>
            <w:r>
              <w:rPr>
                <w:rFonts w:ascii="Arial" w:hAnsi="Arial"/>
                <w:b/>
                <w:bCs/>
                <w:snapToGrid w:val="0"/>
                <w:sz w:val="22"/>
                <w:szCs w:val="22"/>
              </w:rPr>
              <w:t>Mise en œuvre achevée</w:t>
            </w:r>
          </w:p>
        </w:tc>
        <w:tc>
          <w:tcPr>
            <w:tcW w:w="8330" w:type="dxa"/>
          </w:tcPr>
          <w:p w14:paraId="4F6A3EC4" w14:textId="77777777" w:rsidR="00D262EB" w:rsidRDefault="002E0C25" w:rsidP="004D1E97">
            <w:pPr>
              <w:pStyle w:val="ListParagraph"/>
              <w:numPr>
                <w:ilvl w:val="0"/>
                <w:numId w:val="7"/>
              </w:numPr>
              <w:spacing w:after="120"/>
              <w:ind w:left="357" w:hanging="357"/>
              <w:contextualSpacing w:val="0"/>
              <w:jc w:val="both"/>
              <w:rPr>
                <w:rFonts w:ascii="Arial" w:hAnsi="Arial" w:cs="Arial"/>
                <w:bCs/>
                <w:snapToGrid w:val="0"/>
                <w:sz w:val="22"/>
                <w:szCs w:val="22"/>
              </w:rPr>
            </w:pPr>
            <w:r>
              <w:rPr>
                <w:rFonts w:ascii="Arial" w:hAnsi="Arial"/>
                <w:bCs/>
                <w:snapToGrid w:val="0"/>
                <w:sz w:val="22"/>
                <w:szCs w:val="22"/>
              </w:rPr>
              <w:t xml:space="preserve">L’Assemblée générale, lors de sa septième session en 2018, a </w:t>
            </w:r>
            <w:r w:rsidR="008A3E6D">
              <w:rPr>
                <w:rFonts w:ascii="Arial" w:hAnsi="Arial"/>
                <w:bCs/>
                <w:snapToGrid w:val="0"/>
                <w:sz w:val="22"/>
                <w:szCs w:val="22"/>
              </w:rPr>
              <w:t>a</w:t>
            </w:r>
            <w:r>
              <w:rPr>
                <w:rFonts w:ascii="Arial" w:hAnsi="Arial"/>
                <w:bCs/>
                <w:snapToGrid w:val="0"/>
                <w:sz w:val="22"/>
                <w:szCs w:val="22"/>
              </w:rPr>
              <w:t xml:space="preserve">dopté </w:t>
            </w:r>
            <w:r w:rsidR="008A3E6D">
              <w:rPr>
                <w:rFonts w:ascii="Arial" w:hAnsi="Arial"/>
                <w:bCs/>
                <w:snapToGrid w:val="0"/>
                <w:sz w:val="22"/>
                <w:szCs w:val="22"/>
              </w:rPr>
              <w:t>un cadre global de résultats pour la Convention de 2003. L’initiative de développer un tel cadre a été reconnue par le groupe de travail sur la gouvernance comme étant une bonne pratique. Le Cadre de suivi de la mise en œuvre de la Convention de 2005 pour la protection et la promotion de la diversité des expressions culturelles a constitué une source d’inspiration pour l’</w:t>
            </w:r>
            <w:r w:rsidR="008C1115">
              <w:rPr>
                <w:rFonts w:ascii="Arial" w:hAnsi="Arial"/>
                <w:bCs/>
                <w:snapToGrid w:val="0"/>
                <w:sz w:val="22"/>
                <w:szCs w:val="22"/>
              </w:rPr>
              <w:t>élaboration du cadre global de résultats de la Convention de 2003.</w:t>
            </w:r>
          </w:p>
          <w:p w14:paraId="39F6D153" w14:textId="2522B55A" w:rsidR="00D262EB" w:rsidRDefault="008C1115" w:rsidP="004D1E97">
            <w:pPr>
              <w:pStyle w:val="ListParagraph"/>
              <w:numPr>
                <w:ilvl w:val="0"/>
                <w:numId w:val="7"/>
              </w:numPr>
              <w:spacing w:after="120"/>
              <w:ind w:left="357" w:hanging="357"/>
              <w:contextualSpacing w:val="0"/>
              <w:jc w:val="both"/>
              <w:rPr>
                <w:rFonts w:ascii="Arial" w:hAnsi="Arial" w:cs="Arial"/>
                <w:bCs/>
                <w:snapToGrid w:val="0"/>
                <w:sz w:val="22"/>
                <w:szCs w:val="22"/>
              </w:rPr>
            </w:pPr>
            <w:r>
              <w:rPr>
                <w:rFonts w:ascii="Arial" w:hAnsi="Arial"/>
                <w:bCs/>
                <w:snapToGrid w:val="0"/>
                <w:sz w:val="22"/>
                <w:szCs w:val="22"/>
              </w:rPr>
              <w:t>Inspirées de la Convention de 1972, les Directives opérationnelles de la Convention de 2003</w:t>
            </w:r>
            <w:r w:rsidR="00264F7E">
              <w:rPr>
                <w:rFonts w:ascii="Arial" w:hAnsi="Arial"/>
                <w:bCs/>
                <w:snapToGrid w:val="0"/>
                <w:sz w:val="22"/>
                <w:szCs w:val="22"/>
              </w:rPr>
              <w:t xml:space="preserve"> </w:t>
            </w:r>
            <w:r>
              <w:rPr>
                <w:rFonts w:ascii="Arial" w:hAnsi="Arial"/>
                <w:bCs/>
                <w:snapToGrid w:val="0"/>
                <w:sz w:val="22"/>
                <w:szCs w:val="22"/>
              </w:rPr>
              <w:t>ont été amendées en 2018 afin de permettre aux États parties de soumettre leurs rapports tous les six ans selon un principe de rotation régionale</w:t>
            </w:r>
            <w:r w:rsidR="009C7044">
              <w:rPr>
                <w:rFonts w:ascii="Arial" w:hAnsi="Arial"/>
                <w:bCs/>
                <w:snapToGrid w:val="0"/>
                <w:sz w:val="22"/>
                <w:szCs w:val="22"/>
              </w:rPr>
              <w:t xml:space="preserve"> </w:t>
            </w:r>
            <w:r>
              <w:rPr>
                <w:rFonts w:ascii="Arial" w:hAnsi="Arial"/>
                <w:bCs/>
                <w:snapToGrid w:val="0"/>
                <w:sz w:val="22"/>
                <w:szCs w:val="22"/>
              </w:rPr>
              <w:t>(et non à compter de l’année de ratification). Le renforcement des capacités à l’échelle régionale sera mis en place pour aider les États dans la préparation de leurs rapports.</w:t>
            </w:r>
          </w:p>
        </w:tc>
      </w:tr>
      <w:tr w:rsidR="009B7C08" w:rsidRPr="001231F4" w14:paraId="5C0D004A" w14:textId="77777777" w:rsidTr="00FE5797">
        <w:trPr>
          <w:trHeight w:val="454"/>
        </w:trPr>
        <w:tc>
          <w:tcPr>
            <w:tcW w:w="14276" w:type="dxa"/>
            <w:gridSpan w:val="2"/>
            <w:tcBorders>
              <w:right w:val="single" w:sz="4" w:space="0" w:color="auto"/>
            </w:tcBorders>
            <w:shd w:val="clear" w:color="auto" w:fill="D9D9D9" w:themeFill="background1" w:themeFillShade="D9"/>
            <w:vAlign w:val="center"/>
          </w:tcPr>
          <w:p w14:paraId="5EED98D5" w14:textId="55A77461" w:rsidR="009B7C08" w:rsidRPr="003E5477" w:rsidRDefault="009B7C08" w:rsidP="00B04CDE">
            <w:pPr>
              <w:keepNext/>
              <w:tabs>
                <w:tab w:val="left" w:pos="555"/>
              </w:tabs>
              <w:rPr>
                <w:rFonts w:ascii="Arial" w:hAnsi="Arial" w:cs="Arial"/>
                <w:b/>
                <w:smallCaps/>
                <w:snapToGrid w:val="0"/>
                <w:sz w:val="22"/>
                <w:szCs w:val="22"/>
              </w:rPr>
            </w:pPr>
            <w:r>
              <w:rPr>
                <w:rFonts w:ascii="Arial" w:hAnsi="Arial"/>
                <w:b/>
                <w:smallCaps/>
                <w:snapToGrid w:val="0"/>
                <w:sz w:val="22"/>
                <w:szCs w:val="22"/>
              </w:rPr>
              <w:t>E.</w:t>
            </w:r>
            <w:r>
              <w:rPr>
                <w:rFonts w:ascii="Arial" w:hAnsi="Arial"/>
                <w:b/>
                <w:smallCaps/>
                <w:snapToGrid w:val="0"/>
                <w:sz w:val="22"/>
                <w:szCs w:val="22"/>
              </w:rPr>
              <w:tab/>
              <w:t>Recommandations spécifiques à</w:t>
            </w:r>
            <w:r w:rsidR="00264F7E">
              <w:rPr>
                <w:rFonts w:ascii="Arial" w:hAnsi="Arial"/>
                <w:b/>
                <w:smallCaps/>
                <w:snapToGrid w:val="0"/>
                <w:sz w:val="22"/>
                <w:szCs w:val="22"/>
              </w:rPr>
              <w:t xml:space="preserve">ux </w:t>
            </w:r>
            <w:r>
              <w:rPr>
                <w:rFonts w:ascii="Arial" w:hAnsi="Arial"/>
                <w:b/>
                <w:smallCaps/>
                <w:snapToGrid w:val="0"/>
                <w:sz w:val="22"/>
                <w:szCs w:val="22"/>
              </w:rPr>
              <w:t>conventions de l’UNESCO</w:t>
            </w:r>
          </w:p>
        </w:tc>
      </w:tr>
      <w:tr w:rsidR="009B7C08" w:rsidRPr="00985ABE" w14:paraId="6108AB5C" w14:textId="77777777" w:rsidTr="00FE5797">
        <w:trPr>
          <w:trHeight w:val="340"/>
        </w:trPr>
        <w:tc>
          <w:tcPr>
            <w:tcW w:w="14276" w:type="dxa"/>
            <w:gridSpan w:val="2"/>
            <w:tcBorders>
              <w:right w:val="single" w:sz="4" w:space="0" w:color="auto"/>
            </w:tcBorders>
            <w:shd w:val="clear" w:color="auto" w:fill="F2F2F2" w:themeFill="background1" w:themeFillShade="F2"/>
            <w:vAlign w:val="center"/>
          </w:tcPr>
          <w:p w14:paraId="79D0F9B6" w14:textId="77777777" w:rsidR="009B7C08" w:rsidRPr="003E5477" w:rsidRDefault="009B7C08" w:rsidP="00B04CDE">
            <w:pPr>
              <w:keepNext/>
              <w:rPr>
                <w:rFonts w:ascii="Arial" w:hAnsi="Arial" w:cs="Arial"/>
                <w:b/>
                <w:snapToGrid w:val="0"/>
                <w:sz w:val="22"/>
                <w:szCs w:val="22"/>
              </w:rPr>
            </w:pPr>
            <w:r>
              <w:rPr>
                <w:rFonts w:ascii="Arial" w:hAnsi="Arial"/>
                <w:b/>
                <w:snapToGrid w:val="0"/>
                <w:sz w:val="22"/>
                <w:szCs w:val="22"/>
              </w:rPr>
              <w:t>Conventions relatives à la culture</w:t>
            </w:r>
          </w:p>
        </w:tc>
      </w:tr>
      <w:tr w:rsidR="009B7C08" w:rsidRPr="001231F4" w14:paraId="1002982C" w14:textId="77777777" w:rsidTr="00FE5797">
        <w:tc>
          <w:tcPr>
            <w:tcW w:w="5946" w:type="dxa"/>
          </w:tcPr>
          <w:p w14:paraId="24A2C629" w14:textId="14288AFA" w:rsidR="009B7C08" w:rsidRPr="00942976" w:rsidRDefault="009B7C08" w:rsidP="006D318C">
            <w:pPr>
              <w:spacing w:after="120"/>
              <w:ind w:left="567" w:hanging="567"/>
              <w:jc w:val="both"/>
              <w:rPr>
                <w:rFonts w:ascii="Arial" w:hAnsi="Arial" w:cs="Arial"/>
                <w:snapToGrid w:val="0"/>
                <w:sz w:val="22"/>
                <w:szCs w:val="22"/>
              </w:rPr>
            </w:pPr>
            <w:r>
              <w:rPr>
                <w:rFonts w:ascii="Arial" w:hAnsi="Arial"/>
                <w:snapToGrid w:val="0"/>
                <w:sz w:val="22"/>
                <w:szCs w:val="22"/>
              </w:rPr>
              <w:t>94.</w:t>
            </w:r>
            <w:r>
              <w:rPr>
                <w:rFonts w:ascii="Arial" w:hAnsi="Arial"/>
                <w:snapToGrid w:val="0"/>
                <w:sz w:val="22"/>
                <w:szCs w:val="22"/>
              </w:rPr>
              <w:tab/>
              <w:t>Un meilleur équilibre en termes d’allocation équitable des ressources humaines et financières à toutes les conventions est souhaité, compte tenu de leur importance au regard du mandat de l’UNESCO. Toutes les conventions relatives à la culture ont besoin de ressources supplémentaires pour remplir pleinement leurs objectifs.</w:t>
            </w:r>
          </w:p>
          <w:p w14:paraId="1398CF4A" w14:textId="77777777" w:rsidR="009B7C08" w:rsidRPr="00E863FC" w:rsidRDefault="001C242F" w:rsidP="00B04CDE">
            <w:pPr>
              <w:spacing w:after="120"/>
              <w:jc w:val="both"/>
              <w:rPr>
                <w:rFonts w:ascii="Arial" w:hAnsi="Arial" w:cs="Arial"/>
                <w:snapToGrid w:val="0"/>
                <w:sz w:val="22"/>
                <w:szCs w:val="22"/>
                <w:highlight w:val="cyan"/>
              </w:rPr>
            </w:pPr>
            <w:r>
              <w:rPr>
                <w:rFonts w:ascii="Arial" w:hAnsi="Arial"/>
                <w:b/>
                <w:bCs/>
                <w:sz w:val="22"/>
                <w:szCs w:val="22"/>
              </w:rPr>
              <w:t>Mise en œuvre achevée</w:t>
            </w:r>
          </w:p>
        </w:tc>
        <w:tc>
          <w:tcPr>
            <w:tcW w:w="8330" w:type="dxa"/>
            <w:tcBorders>
              <w:right w:val="single" w:sz="4" w:space="0" w:color="auto"/>
            </w:tcBorders>
          </w:tcPr>
          <w:p w14:paraId="68550CCB" w14:textId="726E274A" w:rsidR="009B7C08" w:rsidRPr="00E02E4E" w:rsidRDefault="009B7C08" w:rsidP="00AC000C">
            <w:pPr>
              <w:pStyle w:val="ListParagraph"/>
              <w:numPr>
                <w:ilvl w:val="0"/>
                <w:numId w:val="7"/>
              </w:numPr>
              <w:spacing w:after="120"/>
              <w:ind w:left="357" w:hanging="357"/>
              <w:contextualSpacing w:val="0"/>
              <w:jc w:val="both"/>
              <w:rPr>
                <w:rFonts w:ascii="Arial" w:hAnsi="Arial" w:cs="Arial"/>
                <w:snapToGrid w:val="0"/>
                <w:sz w:val="22"/>
                <w:szCs w:val="22"/>
              </w:rPr>
            </w:pPr>
            <w:r>
              <w:rPr>
                <w:rFonts w:ascii="Arial" w:hAnsi="Arial"/>
                <w:snapToGrid w:val="0"/>
                <w:sz w:val="22"/>
                <w:szCs w:val="22"/>
              </w:rPr>
              <w:t xml:space="preserve">Les États parties sont directement responsables de la mise en œuvre de cette recommandation. Toutefois, le Secrétariat a mis en lumière la nécessité de renforcer les ressources humaines du Secrétariat pour mettre en œuvre les mécanismes d’assistance internationale du Fonds, et notamment pour assurer leur suivi efficace (voir le </w:t>
            </w:r>
            <w:hyperlink r:id="rId63" w:history="1">
              <w:r w:rsidR="00BB3B29">
                <w:rPr>
                  <w:rStyle w:val="Hyperlink"/>
                  <w:rFonts w:ascii="Arial" w:hAnsi="Arial"/>
                  <w:snapToGrid w:val="0"/>
                  <w:sz w:val="22"/>
                  <w:szCs w:val="22"/>
                </w:rPr>
                <w:t>document ITH/17/</w:t>
              </w:r>
              <w:r>
                <w:rPr>
                  <w:rStyle w:val="Hyperlink"/>
                  <w:rFonts w:ascii="Arial" w:hAnsi="Arial"/>
                  <w:snapToGrid w:val="0"/>
                  <w:sz w:val="22"/>
                  <w:szCs w:val="22"/>
                </w:rPr>
                <w:t>12.COM/7</w:t>
              </w:r>
            </w:hyperlink>
            <w:r>
              <w:rPr>
                <w:rFonts w:ascii="Arial" w:hAnsi="Arial"/>
                <w:snapToGrid w:val="0"/>
                <w:sz w:val="22"/>
                <w:szCs w:val="22"/>
              </w:rPr>
              <w:t>). En réaction, le Comité a recommandé à l’Assemblée générale d’approuver la création de trois nouveaux postes à durée déterminée financés à l’aide de fonds extrabudgétaires (</w:t>
            </w:r>
            <w:hyperlink r:id="rId64" w:history="1">
              <w:r>
                <w:rPr>
                  <w:rStyle w:val="Hyperlink"/>
                  <w:rFonts w:ascii="Arial" w:hAnsi="Arial"/>
                  <w:snapToGrid w:val="0"/>
                  <w:sz w:val="22"/>
                  <w:szCs w:val="22"/>
                </w:rPr>
                <w:t>décision 12.COM 7</w:t>
              </w:r>
            </w:hyperlink>
            <w:r>
              <w:rPr>
                <w:rStyle w:val="Hyperlink"/>
                <w:rFonts w:ascii="Arial" w:hAnsi="Arial"/>
                <w:snapToGrid w:val="0"/>
                <w:color w:val="auto"/>
                <w:sz w:val="22"/>
                <w:szCs w:val="22"/>
                <w:u w:val="none"/>
              </w:rPr>
              <w:t>)</w:t>
            </w:r>
            <w:r>
              <w:rPr>
                <w:rFonts w:ascii="Arial" w:hAnsi="Arial"/>
                <w:snapToGrid w:val="0"/>
                <w:sz w:val="22"/>
                <w:szCs w:val="22"/>
              </w:rPr>
              <w:t>.</w:t>
            </w:r>
          </w:p>
          <w:p w14:paraId="21D8A974" w14:textId="77777777" w:rsidR="001C242F" w:rsidRPr="001C242F" w:rsidRDefault="00B266CF" w:rsidP="007458A9">
            <w:pPr>
              <w:pStyle w:val="ListParagraph"/>
              <w:keepLines/>
              <w:numPr>
                <w:ilvl w:val="0"/>
                <w:numId w:val="7"/>
              </w:numPr>
              <w:spacing w:after="120"/>
              <w:ind w:left="357" w:hanging="357"/>
              <w:contextualSpacing w:val="0"/>
              <w:jc w:val="both"/>
              <w:rPr>
                <w:rFonts w:ascii="Arial" w:hAnsi="Arial" w:cs="Arial"/>
                <w:snapToGrid w:val="0"/>
                <w:sz w:val="22"/>
                <w:szCs w:val="22"/>
              </w:rPr>
            </w:pPr>
            <w:r>
              <w:rPr>
                <w:rFonts w:ascii="Arial" w:hAnsi="Arial"/>
                <w:snapToGrid w:val="0"/>
                <w:sz w:val="22"/>
                <w:szCs w:val="22"/>
              </w:rPr>
              <w:lastRenderedPageBreak/>
              <w:t>Lors de sa septième session en juin 2018, l’Assemblée générale a approuvé la création de trois postes à durée déterminée financés à l’aide de fonds extrabudgétaires, notamment par le Fonds du patrimoine culturel immatériel pour la mise en œuvre des mécanismes de l’assistance internationale relevant du Fonds.</w:t>
            </w:r>
          </w:p>
          <w:p w14:paraId="0FE99B97" w14:textId="77777777" w:rsidR="008E2FC2" w:rsidRPr="00CC62BD" w:rsidRDefault="001C242F">
            <w:pPr>
              <w:pStyle w:val="ListParagraph"/>
              <w:numPr>
                <w:ilvl w:val="0"/>
                <w:numId w:val="7"/>
              </w:numPr>
              <w:spacing w:after="120"/>
              <w:ind w:left="357" w:hanging="357"/>
              <w:contextualSpacing w:val="0"/>
              <w:jc w:val="both"/>
              <w:rPr>
                <w:rFonts w:ascii="Arial" w:hAnsi="Arial" w:cs="Arial"/>
                <w:snapToGrid w:val="0"/>
                <w:sz w:val="22"/>
                <w:szCs w:val="22"/>
                <w:u w:val="single"/>
              </w:rPr>
            </w:pPr>
            <w:r>
              <w:rPr>
                <w:rFonts w:ascii="Arial" w:hAnsi="Arial"/>
                <w:b/>
                <w:snapToGrid w:val="0"/>
                <w:sz w:val="22"/>
                <w:szCs w:val="22"/>
                <w:u w:val="single"/>
              </w:rPr>
              <w:t>Mise à jour</w:t>
            </w:r>
            <w:r>
              <w:rPr>
                <w:rFonts w:ascii="Arial" w:hAnsi="Arial"/>
                <w:snapToGrid w:val="0"/>
                <w:sz w:val="22"/>
                <w:szCs w:val="22"/>
                <w:u w:val="single"/>
              </w:rPr>
              <w:t> : Le processus de recrutement est terminé et les titulaires des postes sont entrés en fonction.</w:t>
            </w:r>
          </w:p>
        </w:tc>
      </w:tr>
      <w:tr w:rsidR="009B7C08" w:rsidRPr="001231F4" w14:paraId="1500A5A4" w14:textId="77777777" w:rsidTr="00FE5797">
        <w:tc>
          <w:tcPr>
            <w:tcW w:w="5946" w:type="dxa"/>
          </w:tcPr>
          <w:p w14:paraId="4E9478D2" w14:textId="3DCDC5F9" w:rsidR="009B7C08" w:rsidRPr="00942976" w:rsidRDefault="009B7C08" w:rsidP="000562D3">
            <w:pPr>
              <w:keepNext/>
              <w:spacing w:after="120"/>
              <w:ind w:left="567" w:hanging="567"/>
              <w:jc w:val="both"/>
              <w:rPr>
                <w:rFonts w:ascii="Arial" w:hAnsi="Arial" w:cs="Arial"/>
                <w:snapToGrid w:val="0"/>
                <w:sz w:val="22"/>
                <w:szCs w:val="22"/>
              </w:rPr>
            </w:pPr>
            <w:r>
              <w:rPr>
                <w:rFonts w:ascii="Arial" w:hAnsi="Arial"/>
                <w:snapToGrid w:val="0"/>
                <w:sz w:val="22"/>
                <w:szCs w:val="22"/>
              </w:rPr>
              <w:lastRenderedPageBreak/>
              <w:t>96.</w:t>
            </w:r>
            <w:r>
              <w:rPr>
                <w:rFonts w:ascii="Arial" w:hAnsi="Arial"/>
                <w:snapToGrid w:val="0"/>
                <w:sz w:val="22"/>
                <w:szCs w:val="22"/>
              </w:rPr>
              <w:tab/>
              <w:t xml:space="preserve">Les organes directeurs des conventions sont invités, par voie de larges consultations, à étudier de façon plus approfondie, le cas échéant, l’harmonisation des règlements intérieurs et la cohérence des procédures de prise de décisions, en tenant compte de leurs mandats respectifs et de leurs particularités. Ils peuvent s’inspirer des </w:t>
            </w:r>
            <w:r w:rsidR="00A100AE">
              <w:rPr>
                <w:rFonts w:ascii="Arial" w:hAnsi="Arial"/>
                <w:snapToGrid w:val="0"/>
                <w:sz w:val="22"/>
                <w:szCs w:val="22"/>
              </w:rPr>
              <w:t xml:space="preserve">meilleures </w:t>
            </w:r>
            <w:r>
              <w:rPr>
                <w:rFonts w:ascii="Arial" w:hAnsi="Arial"/>
                <w:snapToGrid w:val="0"/>
                <w:sz w:val="22"/>
                <w:szCs w:val="22"/>
              </w:rPr>
              <w:t>pratiques des traités environnementaux/PNUE pour développer des synergies en matière d’organisation, de partage de l’information et de rationalisation des coûts.</w:t>
            </w:r>
          </w:p>
          <w:p w14:paraId="30EBE9E8" w14:textId="77777777" w:rsidR="009B7C08" w:rsidRPr="00E863FC" w:rsidRDefault="00334F6F" w:rsidP="00E02E4E">
            <w:pPr>
              <w:spacing w:after="120"/>
              <w:jc w:val="both"/>
              <w:rPr>
                <w:rFonts w:ascii="Arial" w:hAnsi="Arial" w:cs="Arial"/>
                <w:snapToGrid w:val="0"/>
                <w:sz w:val="22"/>
                <w:szCs w:val="22"/>
                <w:highlight w:val="cyan"/>
              </w:rPr>
            </w:pPr>
            <w:r>
              <w:rPr>
                <w:rFonts w:ascii="Arial" w:hAnsi="Arial"/>
                <w:b/>
                <w:bCs/>
                <w:sz w:val="22"/>
                <w:szCs w:val="22"/>
              </w:rPr>
              <w:t xml:space="preserve">Action en cours </w:t>
            </w:r>
          </w:p>
        </w:tc>
        <w:tc>
          <w:tcPr>
            <w:tcW w:w="8330" w:type="dxa"/>
          </w:tcPr>
          <w:p w14:paraId="6579260C" w14:textId="77777777" w:rsidR="009B7C08" w:rsidRPr="00E02E4E" w:rsidRDefault="009B7C08" w:rsidP="00A741D3">
            <w:pPr>
              <w:pStyle w:val="ListParagraph"/>
              <w:numPr>
                <w:ilvl w:val="0"/>
                <w:numId w:val="7"/>
              </w:numPr>
              <w:spacing w:after="120"/>
              <w:ind w:left="357" w:hanging="357"/>
              <w:contextualSpacing w:val="0"/>
              <w:jc w:val="both"/>
              <w:rPr>
                <w:rFonts w:ascii="Arial" w:hAnsi="Arial" w:cs="Arial"/>
                <w:snapToGrid w:val="0"/>
                <w:sz w:val="22"/>
                <w:szCs w:val="22"/>
              </w:rPr>
            </w:pPr>
            <w:r>
              <w:rPr>
                <w:rFonts w:ascii="Arial" w:hAnsi="Arial"/>
                <w:snapToGrid w:val="0"/>
                <w:sz w:val="22"/>
                <w:szCs w:val="22"/>
              </w:rPr>
              <w:t xml:space="preserve">Par sa </w:t>
            </w:r>
            <w:hyperlink r:id="rId65" w:history="1">
              <w:r>
                <w:rPr>
                  <w:rStyle w:val="Hyperlink"/>
                  <w:rFonts w:ascii="Arial" w:hAnsi="Arial"/>
                  <w:snapToGrid w:val="0"/>
                  <w:sz w:val="22"/>
                  <w:szCs w:val="22"/>
                </w:rPr>
                <w:t>résolution 6.GA 11</w:t>
              </w:r>
            </w:hyperlink>
            <w:r>
              <w:rPr>
                <w:rFonts w:ascii="Arial" w:hAnsi="Arial"/>
                <w:snapToGrid w:val="0"/>
                <w:sz w:val="22"/>
                <w:szCs w:val="22"/>
              </w:rPr>
              <w:t>, l’Assemblée générale a invité les États parties à proposer des modifications à son Règlement intérieur afin d’améliorer la cohérence des règlements intérieurs des différents organes des conventions culturelles de l’UNESCO. Un point concernant l’examen des propositions reçues a figuré à l’ordre du jour de la septième session de l’Assemblée générale (voir le document </w:t>
            </w:r>
            <w:hyperlink r:id="rId66" w:history="1">
              <w:r>
                <w:rPr>
                  <w:rStyle w:val="Hyperlink"/>
                  <w:rFonts w:ascii="Arial" w:hAnsi="Arial"/>
                  <w:snapToGrid w:val="0"/>
                  <w:sz w:val="22"/>
                  <w:szCs w:val="22"/>
                </w:rPr>
                <w:t>ITH/18/7.GA/13</w:t>
              </w:r>
            </w:hyperlink>
            <w:r>
              <w:rPr>
                <w:rFonts w:ascii="Arial" w:hAnsi="Arial"/>
                <w:snapToGrid w:val="0"/>
                <w:sz w:val="22"/>
                <w:szCs w:val="22"/>
              </w:rPr>
              <w:t>).</w:t>
            </w:r>
          </w:p>
          <w:p w14:paraId="73B5801C" w14:textId="77777777" w:rsidR="00B341EF" w:rsidRPr="00E02E4E" w:rsidRDefault="00236BBD" w:rsidP="00A92A51">
            <w:pPr>
              <w:pStyle w:val="ListParagraph"/>
              <w:numPr>
                <w:ilvl w:val="0"/>
                <w:numId w:val="7"/>
              </w:numPr>
              <w:spacing w:after="120"/>
              <w:ind w:left="357" w:hanging="357"/>
              <w:contextualSpacing w:val="0"/>
              <w:jc w:val="both"/>
              <w:rPr>
                <w:rFonts w:ascii="Arial" w:hAnsi="Arial" w:cs="Arial"/>
                <w:snapToGrid w:val="0"/>
                <w:sz w:val="22"/>
                <w:szCs w:val="22"/>
              </w:rPr>
            </w:pPr>
            <w:r>
              <w:rPr>
                <w:rFonts w:ascii="Arial" w:hAnsi="Arial"/>
                <w:snapToGrid w:val="0"/>
                <w:sz w:val="22"/>
                <w:szCs w:val="22"/>
              </w:rPr>
              <w:t>À la suite des résolutions </w:t>
            </w:r>
            <w:hyperlink r:id="rId67" w:history="1">
              <w:r>
                <w:rPr>
                  <w:rStyle w:val="Hyperlink"/>
                  <w:rFonts w:ascii="Arial" w:hAnsi="Arial"/>
                  <w:snapToGrid w:val="0"/>
                  <w:sz w:val="22"/>
                  <w:szCs w:val="22"/>
                </w:rPr>
                <w:t>7.GA 12</w:t>
              </w:r>
            </w:hyperlink>
            <w:r>
              <w:rPr>
                <w:rFonts w:ascii="Arial" w:hAnsi="Arial"/>
                <w:snapToGrid w:val="0"/>
                <w:sz w:val="22"/>
                <w:szCs w:val="22"/>
              </w:rPr>
              <w:t xml:space="preserve"> et </w:t>
            </w:r>
            <w:hyperlink r:id="rId68" w:history="1">
              <w:r>
                <w:rPr>
                  <w:rStyle w:val="Hyperlink"/>
                  <w:rFonts w:ascii="Arial" w:hAnsi="Arial"/>
                  <w:snapToGrid w:val="0"/>
                  <w:sz w:val="22"/>
                  <w:szCs w:val="22"/>
                </w:rPr>
                <w:t>7.GA 13</w:t>
              </w:r>
            </w:hyperlink>
            <w:r>
              <w:rPr>
                <w:rFonts w:ascii="Arial" w:hAnsi="Arial"/>
                <w:snapToGrid w:val="0"/>
                <w:sz w:val="22"/>
                <w:szCs w:val="22"/>
              </w:rPr>
              <w:t>, une révision du Règlement intérieur de l’Assemblée générale sera présentée à la huitième session de l’Assemblée générale en 2020.</w:t>
            </w:r>
          </w:p>
        </w:tc>
      </w:tr>
      <w:tr w:rsidR="009B7C08" w:rsidRPr="001231F4" w14:paraId="2627DA8C" w14:textId="77777777" w:rsidTr="00FE5797">
        <w:tc>
          <w:tcPr>
            <w:tcW w:w="5946" w:type="dxa"/>
          </w:tcPr>
          <w:p w14:paraId="54DF349B" w14:textId="2799E1E5" w:rsidR="009B7C08" w:rsidRPr="00942976" w:rsidRDefault="009B7C08" w:rsidP="006D318C">
            <w:pPr>
              <w:spacing w:after="120"/>
              <w:ind w:left="567" w:hanging="567"/>
              <w:jc w:val="both"/>
              <w:rPr>
                <w:rFonts w:ascii="Arial" w:hAnsi="Arial" w:cs="Arial"/>
                <w:snapToGrid w:val="0"/>
                <w:sz w:val="22"/>
                <w:szCs w:val="22"/>
              </w:rPr>
            </w:pPr>
            <w:r>
              <w:rPr>
                <w:rFonts w:ascii="Arial" w:hAnsi="Arial"/>
                <w:snapToGrid w:val="0"/>
                <w:sz w:val="22"/>
                <w:szCs w:val="22"/>
              </w:rPr>
              <w:t>97.</w:t>
            </w:r>
            <w:r>
              <w:rPr>
                <w:rFonts w:ascii="Arial" w:hAnsi="Arial"/>
                <w:snapToGrid w:val="0"/>
                <w:sz w:val="22"/>
                <w:szCs w:val="22"/>
              </w:rPr>
              <w:tab/>
              <w:t>Les réunions des présidents des comités des conventions culturelles pourraient être plus interactives et axées sur l’action. Les présidents devraient travailler ensemble de manière stratégique pour aborder les thèmes et les défis communs, étudier des réponses communes et envisager une coopération.</w:t>
            </w:r>
          </w:p>
          <w:p w14:paraId="11F208B6" w14:textId="28B4AB57" w:rsidR="009B7C08" w:rsidRPr="00E863FC" w:rsidRDefault="00871915" w:rsidP="0011706D">
            <w:pPr>
              <w:spacing w:after="120"/>
              <w:jc w:val="both"/>
              <w:rPr>
                <w:rFonts w:ascii="Arial" w:hAnsi="Arial" w:cs="Arial"/>
                <w:snapToGrid w:val="0"/>
                <w:sz w:val="22"/>
                <w:szCs w:val="22"/>
                <w:highlight w:val="cyan"/>
              </w:rPr>
            </w:pPr>
            <w:r>
              <w:rPr>
                <w:rFonts w:ascii="Arial" w:hAnsi="Arial"/>
                <w:b/>
                <w:bCs/>
                <w:sz w:val="22"/>
                <w:szCs w:val="22"/>
              </w:rPr>
              <w:t xml:space="preserve">Mise </w:t>
            </w:r>
            <w:r w:rsidR="0011706D">
              <w:rPr>
                <w:rFonts w:ascii="Arial" w:hAnsi="Arial"/>
                <w:b/>
                <w:bCs/>
                <w:sz w:val="22"/>
                <w:szCs w:val="22"/>
              </w:rPr>
              <w:t>en</w:t>
            </w:r>
            <w:r>
              <w:rPr>
                <w:rFonts w:ascii="Arial" w:hAnsi="Arial"/>
                <w:b/>
                <w:bCs/>
                <w:sz w:val="22"/>
                <w:szCs w:val="22"/>
              </w:rPr>
              <w:t xml:space="preserve"> œuvre achevée</w:t>
            </w:r>
          </w:p>
        </w:tc>
        <w:tc>
          <w:tcPr>
            <w:tcW w:w="8330" w:type="dxa"/>
          </w:tcPr>
          <w:p w14:paraId="0D44DEE6" w14:textId="12DB1CAB" w:rsidR="009B7C08" w:rsidRPr="00942976" w:rsidRDefault="00871915" w:rsidP="00A741D3">
            <w:pPr>
              <w:pStyle w:val="ListParagraph"/>
              <w:numPr>
                <w:ilvl w:val="0"/>
                <w:numId w:val="7"/>
              </w:numPr>
              <w:spacing w:after="120"/>
              <w:ind w:left="357" w:hanging="357"/>
              <w:contextualSpacing w:val="0"/>
              <w:jc w:val="both"/>
              <w:rPr>
                <w:rFonts w:ascii="Arial" w:hAnsi="Arial" w:cs="Arial"/>
                <w:snapToGrid w:val="0"/>
                <w:sz w:val="22"/>
                <w:szCs w:val="22"/>
              </w:rPr>
            </w:pPr>
            <w:r>
              <w:rPr>
                <w:rFonts w:ascii="Arial" w:hAnsi="Arial"/>
                <w:snapToGrid w:val="0"/>
                <w:sz w:val="22"/>
                <w:szCs w:val="22"/>
              </w:rPr>
              <w:t xml:space="preserve">Les Présidents des six conventions culturelles </w:t>
            </w:r>
            <w:r w:rsidR="00614BDD">
              <w:rPr>
                <w:rFonts w:ascii="Arial" w:hAnsi="Arial"/>
                <w:snapToGrid w:val="0"/>
                <w:sz w:val="22"/>
                <w:szCs w:val="22"/>
              </w:rPr>
              <w:t xml:space="preserve">de l’UNESCO </w:t>
            </w:r>
            <w:r>
              <w:rPr>
                <w:rFonts w:ascii="Arial" w:hAnsi="Arial"/>
                <w:snapToGrid w:val="0"/>
                <w:sz w:val="22"/>
                <w:szCs w:val="22"/>
              </w:rPr>
              <w:t>se sont réunis à deux reprises, en 2015 et en 2016</w:t>
            </w:r>
            <w:r w:rsidR="009B7C08">
              <w:rPr>
                <w:rFonts w:ascii="Arial" w:hAnsi="Arial"/>
                <w:snapToGrid w:val="0"/>
                <w:sz w:val="22"/>
                <w:szCs w:val="22"/>
              </w:rPr>
              <w:t>.</w:t>
            </w:r>
          </w:p>
        </w:tc>
      </w:tr>
      <w:tr w:rsidR="009B7C08" w:rsidRPr="001231F4" w14:paraId="73E5A19B" w14:textId="77777777" w:rsidTr="00FE5797">
        <w:tc>
          <w:tcPr>
            <w:tcW w:w="5946" w:type="dxa"/>
          </w:tcPr>
          <w:p w14:paraId="61F80127" w14:textId="7D0871AB" w:rsidR="00D262EB" w:rsidRDefault="009B7C08" w:rsidP="00BB3B29">
            <w:pPr>
              <w:pStyle w:val="ListParagraph"/>
              <w:numPr>
                <w:ilvl w:val="0"/>
                <w:numId w:val="13"/>
              </w:numPr>
              <w:spacing w:after="120"/>
              <w:ind w:left="567" w:hanging="567"/>
              <w:contextualSpacing w:val="0"/>
              <w:jc w:val="both"/>
              <w:rPr>
                <w:rFonts w:ascii="Arial" w:hAnsi="Arial" w:cs="Arial"/>
                <w:snapToGrid w:val="0"/>
                <w:sz w:val="22"/>
                <w:szCs w:val="22"/>
              </w:rPr>
            </w:pPr>
            <w:r>
              <w:rPr>
                <w:rFonts w:ascii="Arial" w:hAnsi="Arial"/>
                <w:snapToGrid w:val="0"/>
                <w:sz w:val="22"/>
                <w:szCs w:val="22"/>
              </w:rPr>
              <w:t xml:space="preserve">Les mesures de transparence et de </w:t>
            </w:r>
            <w:r w:rsidRPr="00FF6EA1">
              <w:rPr>
                <w:rFonts w:ascii="Arial" w:hAnsi="Arial"/>
                <w:snapToGrid w:val="0"/>
                <w:sz w:val="22"/>
                <w:szCs w:val="22"/>
              </w:rPr>
              <w:t>reddition de comptes</w:t>
            </w:r>
            <w:r w:rsidRPr="006D318C">
              <w:rPr>
                <w:rFonts w:ascii="Arial" w:hAnsi="Arial"/>
                <w:snapToGrid w:val="0"/>
                <w:sz w:val="22"/>
                <w:szCs w:val="22"/>
              </w:rPr>
              <w:t xml:space="preserve"> </w:t>
            </w:r>
            <w:r>
              <w:rPr>
                <w:rFonts w:ascii="Arial" w:hAnsi="Arial"/>
                <w:snapToGrid w:val="0"/>
                <w:sz w:val="22"/>
                <w:szCs w:val="22"/>
              </w:rPr>
              <w:t>pourraient être améliorées, notamment la diffusion des procès-verbaux/principaux résultats des réunions des bureaux.</w:t>
            </w:r>
          </w:p>
          <w:p w14:paraId="02511C46" w14:textId="77777777" w:rsidR="00D262EB" w:rsidRDefault="009B7C08" w:rsidP="004D1E97">
            <w:pPr>
              <w:keepNext/>
              <w:keepLines/>
              <w:spacing w:after="120"/>
              <w:rPr>
                <w:rFonts w:ascii="Arial" w:hAnsi="Arial" w:cs="Arial"/>
                <w:snapToGrid w:val="0"/>
                <w:sz w:val="22"/>
                <w:szCs w:val="22"/>
              </w:rPr>
            </w:pPr>
            <w:r>
              <w:rPr>
                <w:rFonts w:ascii="Arial" w:hAnsi="Arial"/>
                <w:b/>
                <w:bCs/>
                <w:snapToGrid w:val="0"/>
                <w:sz w:val="22"/>
                <w:szCs w:val="22"/>
              </w:rPr>
              <w:t>Mise en œuvre achevée</w:t>
            </w:r>
            <w:r>
              <w:rPr>
                <w:rFonts w:ascii="Arial" w:hAnsi="Arial"/>
                <w:b/>
                <w:bCs/>
              </w:rPr>
              <w:br/>
            </w:r>
            <w:r>
              <w:rPr>
                <w:rFonts w:ascii="Arial" w:hAnsi="Arial"/>
                <w:b/>
                <w:bCs/>
                <w:snapToGrid w:val="0"/>
                <w:sz w:val="22"/>
                <w:szCs w:val="22"/>
              </w:rPr>
              <w:t>(Bonne pratique)</w:t>
            </w:r>
          </w:p>
        </w:tc>
        <w:tc>
          <w:tcPr>
            <w:tcW w:w="8330" w:type="dxa"/>
          </w:tcPr>
          <w:p w14:paraId="7CB65A81" w14:textId="77777777" w:rsidR="00726ADA" w:rsidRPr="00A22328" w:rsidRDefault="0000468C" w:rsidP="00726ADA">
            <w:pPr>
              <w:pStyle w:val="ListParagraph"/>
              <w:numPr>
                <w:ilvl w:val="0"/>
                <w:numId w:val="7"/>
              </w:numPr>
              <w:spacing w:after="120"/>
              <w:ind w:left="357" w:hanging="357"/>
              <w:contextualSpacing w:val="0"/>
              <w:jc w:val="both"/>
              <w:rPr>
                <w:rFonts w:ascii="Arial" w:hAnsi="Arial" w:cs="Arial"/>
                <w:b/>
                <w:snapToGrid w:val="0"/>
                <w:sz w:val="22"/>
                <w:szCs w:val="22"/>
              </w:rPr>
            </w:pPr>
            <w:r>
              <w:rPr>
                <w:rFonts w:ascii="Arial" w:hAnsi="Arial"/>
                <w:b/>
                <w:snapToGrid w:val="0"/>
                <w:sz w:val="22"/>
                <w:szCs w:val="22"/>
              </w:rPr>
              <w:t xml:space="preserve">Achevée depuis 7.GA </w:t>
            </w:r>
            <w:r>
              <w:rPr>
                <w:rFonts w:ascii="Arial" w:hAnsi="Arial"/>
                <w:sz w:val="20"/>
                <w:szCs w:val="20"/>
              </w:rPr>
              <w:t xml:space="preserve">(Voir le document </w:t>
            </w:r>
            <w:hyperlink r:id="rId69" w:history="1">
              <w:r w:rsidRPr="00C873A5">
                <w:rPr>
                  <w:rStyle w:val="Hyperlink"/>
                  <w:rFonts w:ascii="Arial" w:hAnsi="Arial"/>
                  <w:sz w:val="20"/>
                  <w:szCs w:val="20"/>
                </w:rPr>
                <w:t>ITH/18/7.GA/12</w:t>
              </w:r>
            </w:hyperlink>
            <w:r>
              <w:rPr>
                <w:rFonts w:ascii="Arial" w:hAnsi="Arial"/>
                <w:sz w:val="20"/>
                <w:szCs w:val="20"/>
              </w:rPr>
              <w:t>)</w:t>
            </w:r>
          </w:p>
          <w:p w14:paraId="7ABB0617" w14:textId="77777777" w:rsidR="00DC57A9" w:rsidRDefault="00DC57A9" w:rsidP="004D1E97">
            <w:pPr>
              <w:pStyle w:val="ListParagraph"/>
              <w:spacing w:after="120"/>
              <w:ind w:left="357"/>
              <w:contextualSpacing w:val="0"/>
              <w:jc w:val="both"/>
              <w:rPr>
                <w:rFonts w:ascii="Arial" w:hAnsi="Arial" w:cs="Arial"/>
                <w:snapToGrid w:val="0"/>
                <w:sz w:val="22"/>
                <w:szCs w:val="22"/>
                <w:lang w:eastAsia="en-US"/>
              </w:rPr>
            </w:pPr>
          </w:p>
        </w:tc>
      </w:tr>
      <w:tr w:rsidR="009B7C08" w:rsidRPr="001231F4" w14:paraId="3A916DA7" w14:textId="77777777" w:rsidTr="00FE5797">
        <w:tc>
          <w:tcPr>
            <w:tcW w:w="5946" w:type="dxa"/>
          </w:tcPr>
          <w:p w14:paraId="4B759DE3" w14:textId="77777777" w:rsidR="009B7C08" w:rsidRDefault="009B7C08" w:rsidP="00A741D3">
            <w:pPr>
              <w:pStyle w:val="ListParagraph"/>
              <w:numPr>
                <w:ilvl w:val="0"/>
                <w:numId w:val="13"/>
              </w:numPr>
              <w:spacing w:after="120"/>
              <w:ind w:left="562" w:hanging="562"/>
              <w:contextualSpacing w:val="0"/>
              <w:jc w:val="both"/>
              <w:rPr>
                <w:rFonts w:ascii="Arial" w:hAnsi="Arial" w:cs="Arial"/>
                <w:snapToGrid w:val="0"/>
                <w:sz w:val="22"/>
                <w:szCs w:val="22"/>
              </w:rPr>
            </w:pPr>
            <w:r>
              <w:rPr>
                <w:rFonts w:ascii="Arial" w:hAnsi="Arial"/>
                <w:snapToGrid w:val="0"/>
                <w:sz w:val="22"/>
                <w:szCs w:val="22"/>
              </w:rPr>
              <w:lastRenderedPageBreak/>
              <w:t>Le renforcement des capacités et la formation commune à toutes les conventions culturelles devraient être améliorés.</w:t>
            </w:r>
          </w:p>
          <w:p w14:paraId="7A36DA90" w14:textId="77777777" w:rsidR="00DC57A9" w:rsidRDefault="009B7C08" w:rsidP="004D1E97">
            <w:pPr>
              <w:spacing w:after="120"/>
              <w:rPr>
                <w:rFonts w:ascii="Arial" w:hAnsi="Arial" w:cs="Arial"/>
                <w:snapToGrid w:val="0"/>
                <w:sz w:val="22"/>
                <w:szCs w:val="22"/>
              </w:rPr>
            </w:pPr>
            <w:r>
              <w:rPr>
                <w:rFonts w:ascii="Arial" w:hAnsi="Arial"/>
                <w:b/>
                <w:bCs/>
                <w:sz w:val="22"/>
                <w:szCs w:val="22"/>
              </w:rPr>
              <w:t>Action en cours</w:t>
            </w:r>
            <w:r>
              <w:rPr>
                <w:rFonts w:ascii="Arial" w:hAnsi="Arial"/>
                <w:b/>
                <w:bCs/>
                <w:sz w:val="22"/>
                <w:szCs w:val="22"/>
              </w:rPr>
              <w:br/>
            </w:r>
            <w:r>
              <w:rPr>
                <w:rFonts w:ascii="Arial" w:hAnsi="Arial"/>
                <w:b/>
                <w:bCs/>
                <w:snapToGrid w:val="0"/>
                <w:sz w:val="22"/>
                <w:szCs w:val="22"/>
              </w:rPr>
              <w:t>(Bonne pratique)</w:t>
            </w:r>
          </w:p>
        </w:tc>
        <w:tc>
          <w:tcPr>
            <w:tcW w:w="8330" w:type="dxa"/>
          </w:tcPr>
          <w:p w14:paraId="256BC2FF" w14:textId="77777777" w:rsidR="00726ADA" w:rsidRPr="00A22328" w:rsidRDefault="0000468C" w:rsidP="00726ADA">
            <w:pPr>
              <w:pStyle w:val="ListParagraph"/>
              <w:numPr>
                <w:ilvl w:val="0"/>
                <w:numId w:val="7"/>
              </w:numPr>
              <w:spacing w:after="120"/>
              <w:ind w:left="357" w:hanging="357"/>
              <w:contextualSpacing w:val="0"/>
              <w:jc w:val="both"/>
              <w:rPr>
                <w:rFonts w:ascii="Arial" w:hAnsi="Arial" w:cs="Arial"/>
                <w:b/>
                <w:snapToGrid w:val="0"/>
                <w:sz w:val="22"/>
                <w:szCs w:val="22"/>
              </w:rPr>
            </w:pPr>
            <w:r>
              <w:rPr>
                <w:rFonts w:ascii="Arial" w:hAnsi="Arial"/>
                <w:b/>
                <w:snapToGrid w:val="0"/>
                <w:sz w:val="22"/>
                <w:szCs w:val="22"/>
              </w:rPr>
              <w:t xml:space="preserve">Achevée depuis 7.GA </w:t>
            </w:r>
            <w:r>
              <w:rPr>
                <w:rFonts w:ascii="Arial" w:hAnsi="Arial"/>
                <w:sz w:val="20"/>
                <w:szCs w:val="20"/>
              </w:rPr>
              <w:t xml:space="preserve">(Voir le document </w:t>
            </w:r>
            <w:hyperlink r:id="rId70" w:history="1">
              <w:r w:rsidRPr="00C873A5">
                <w:rPr>
                  <w:rStyle w:val="Hyperlink"/>
                  <w:rFonts w:ascii="Arial" w:hAnsi="Arial"/>
                  <w:sz w:val="20"/>
                  <w:szCs w:val="20"/>
                </w:rPr>
                <w:t>ITH/18/7.GA/12</w:t>
              </w:r>
            </w:hyperlink>
            <w:r>
              <w:rPr>
                <w:rFonts w:ascii="Arial" w:hAnsi="Arial"/>
                <w:sz w:val="20"/>
                <w:szCs w:val="20"/>
              </w:rPr>
              <w:t>)</w:t>
            </w:r>
          </w:p>
          <w:p w14:paraId="32246DB4" w14:textId="77777777" w:rsidR="00DC57A9" w:rsidRDefault="00DC57A9" w:rsidP="004D1E97">
            <w:pPr>
              <w:pStyle w:val="ListParagraph"/>
              <w:spacing w:after="120"/>
              <w:ind w:left="357"/>
              <w:contextualSpacing w:val="0"/>
              <w:jc w:val="both"/>
              <w:rPr>
                <w:rFonts w:ascii="Arial" w:hAnsi="Arial" w:cs="Arial"/>
                <w:snapToGrid w:val="0"/>
                <w:sz w:val="22"/>
                <w:szCs w:val="22"/>
                <w:lang w:eastAsia="en-US"/>
              </w:rPr>
            </w:pPr>
          </w:p>
        </w:tc>
      </w:tr>
      <w:tr w:rsidR="009B7C08" w:rsidRPr="001231F4" w14:paraId="4C2972D9" w14:textId="77777777" w:rsidTr="00FE5797">
        <w:tc>
          <w:tcPr>
            <w:tcW w:w="5946" w:type="dxa"/>
          </w:tcPr>
          <w:p w14:paraId="782882A5" w14:textId="77777777" w:rsidR="009B7C08" w:rsidRPr="0049025A" w:rsidRDefault="009B7C08" w:rsidP="00A741D3">
            <w:pPr>
              <w:pStyle w:val="ListParagraph"/>
              <w:numPr>
                <w:ilvl w:val="0"/>
                <w:numId w:val="13"/>
              </w:numPr>
              <w:spacing w:after="120"/>
              <w:ind w:left="562" w:hanging="562"/>
              <w:contextualSpacing w:val="0"/>
              <w:jc w:val="both"/>
              <w:rPr>
                <w:rFonts w:ascii="Arial" w:hAnsi="Arial" w:cs="Arial"/>
                <w:snapToGrid w:val="0"/>
                <w:sz w:val="22"/>
                <w:szCs w:val="22"/>
              </w:rPr>
            </w:pPr>
            <w:r>
              <w:rPr>
                <w:rFonts w:ascii="Arial" w:hAnsi="Arial"/>
                <w:snapToGrid w:val="0"/>
                <w:sz w:val="22"/>
                <w:szCs w:val="22"/>
              </w:rPr>
              <w:t>Les organes directeurs des conventions et leurs secrétariats sont encouragés à élaborer des stratégies de ratification adaptées.</w:t>
            </w:r>
          </w:p>
          <w:p w14:paraId="4528F21F" w14:textId="77777777" w:rsidR="009B7C08" w:rsidRPr="0049025A" w:rsidRDefault="009B7C08" w:rsidP="00B04CDE">
            <w:pPr>
              <w:spacing w:after="120"/>
              <w:jc w:val="both"/>
              <w:rPr>
                <w:rFonts w:ascii="Arial" w:hAnsi="Arial" w:cs="Arial"/>
                <w:snapToGrid w:val="0"/>
                <w:sz w:val="22"/>
                <w:szCs w:val="22"/>
              </w:rPr>
            </w:pPr>
            <w:r>
              <w:rPr>
                <w:rFonts w:ascii="Arial" w:hAnsi="Arial"/>
                <w:b/>
                <w:bCs/>
                <w:snapToGrid w:val="0"/>
                <w:sz w:val="22"/>
                <w:szCs w:val="22"/>
              </w:rPr>
              <w:t>Mise en œuvre achevée</w:t>
            </w:r>
          </w:p>
        </w:tc>
        <w:tc>
          <w:tcPr>
            <w:tcW w:w="8330" w:type="dxa"/>
          </w:tcPr>
          <w:p w14:paraId="4EDD649B" w14:textId="77777777" w:rsidR="0000468C" w:rsidRPr="0038712E" w:rsidRDefault="0000468C" w:rsidP="00A741D3">
            <w:pPr>
              <w:pStyle w:val="ListParagraph"/>
              <w:numPr>
                <w:ilvl w:val="0"/>
                <w:numId w:val="7"/>
              </w:numPr>
              <w:spacing w:after="120"/>
              <w:ind w:left="357" w:hanging="357"/>
              <w:contextualSpacing w:val="0"/>
              <w:jc w:val="both"/>
              <w:rPr>
                <w:rFonts w:ascii="Arial" w:hAnsi="Arial" w:cs="Arial"/>
                <w:snapToGrid w:val="0"/>
                <w:sz w:val="22"/>
                <w:szCs w:val="22"/>
              </w:rPr>
            </w:pPr>
            <w:r>
              <w:rPr>
                <w:rFonts w:ascii="Arial" w:hAnsi="Arial"/>
                <w:b/>
                <w:snapToGrid w:val="0"/>
                <w:sz w:val="22"/>
                <w:szCs w:val="22"/>
              </w:rPr>
              <w:t xml:space="preserve">Achevée depuis 7.GA </w:t>
            </w:r>
            <w:r>
              <w:rPr>
                <w:rFonts w:ascii="Arial" w:hAnsi="Arial"/>
                <w:sz w:val="20"/>
                <w:szCs w:val="20"/>
              </w:rPr>
              <w:t xml:space="preserve">(Voir le document </w:t>
            </w:r>
            <w:hyperlink r:id="rId71" w:history="1">
              <w:r w:rsidRPr="00C873A5">
                <w:rPr>
                  <w:rStyle w:val="Hyperlink"/>
                  <w:rFonts w:ascii="Arial" w:hAnsi="Arial"/>
                  <w:sz w:val="20"/>
                  <w:szCs w:val="20"/>
                </w:rPr>
                <w:t>ITH/18/7.GA/12</w:t>
              </w:r>
            </w:hyperlink>
            <w:r>
              <w:rPr>
                <w:rFonts w:ascii="Arial" w:hAnsi="Arial"/>
                <w:sz w:val="20"/>
                <w:szCs w:val="20"/>
              </w:rPr>
              <w:t>)</w:t>
            </w:r>
          </w:p>
          <w:p w14:paraId="1E6963E1" w14:textId="77777777" w:rsidR="00B341EF" w:rsidRPr="0000468C" w:rsidRDefault="00B341EF">
            <w:pPr>
              <w:pStyle w:val="ListParagraph"/>
              <w:numPr>
                <w:ilvl w:val="0"/>
                <w:numId w:val="7"/>
              </w:numPr>
              <w:spacing w:after="120"/>
              <w:ind w:left="357" w:hanging="357"/>
              <w:contextualSpacing w:val="0"/>
              <w:jc w:val="both"/>
              <w:rPr>
                <w:rFonts w:ascii="Arial" w:hAnsi="Arial" w:cs="Arial"/>
                <w:snapToGrid w:val="0"/>
                <w:sz w:val="22"/>
                <w:szCs w:val="22"/>
                <w:u w:val="single"/>
              </w:rPr>
            </w:pPr>
            <w:r>
              <w:rPr>
                <w:rFonts w:ascii="Arial" w:hAnsi="Arial"/>
                <w:b/>
                <w:snapToGrid w:val="0"/>
                <w:sz w:val="22"/>
                <w:szCs w:val="22"/>
                <w:u w:val="single"/>
              </w:rPr>
              <w:t>Mise à jour</w:t>
            </w:r>
            <w:r>
              <w:rPr>
                <w:rFonts w:ascii="Arial" w:hAnsi="Arial"/>
                <w:snapToGrid w:val="0"/>
                <w:sz w:val="22"/>
                <w:szCs w:val="22"/>
                <w:u w:val="single"/>
              </w:rPr>
              <w:t> : le nombre d’États parties à la Convention de 2003 est de 178 (octobre 2018). La ratification est donc presque universelle.</w:t>
            </w:r>
          </w:p>
        </w:tc>
      </w:tr>
      <w:tr w:rsidR="009B7C08" w:rsidRPr="001231F4" w14:paraId="2AEE18C9" w14:textId="77777777" w:rsidTr="00FE5797">
        <w:trPr>
          <w:trHeight w:val="340"/>
        </w:trPr>
        <w:tc>
          <w:tcPr>
            <w:tcW w:w="14276" w:type="dxa"/>
            <w:gridSpan w:val="2"/>
            <w:tcBorders>
              <w:right w:val="single" w:sz="4" w:space="0" w:color="auto"/>
            </w:tcBorders>
            <w:shd w:val="clear" w:color="auto" w:fill="F2F2F2" w:themeFill="background1" w:themeFillShade="F2"/>
            <w:vAlign w:val="center"/>
          </w:tcPr>
          <w:p w14:paraId="6D27CCF1" w14:textId="77777777" w:rsidR="009B7C08" w:rsidRPr="0049025A" w:rsidRDefault="009B7C08" w:rsidP="00B04CDE">
            <w:pPr>
              <w:keepNext/>
              <w:rPr>
                <w:rFonts w:ascii="Arial" w:hAnsi="Arial" w:cs="Arial"/>
                <w:b/>
                <w:snapToGrid w:val="0"/>
                <w:sz w:val="22"/>
                <w:szCs w:val="22"/>
              </w:rPr>
            </w:pPr>
            <w:r>
              <w:rPr>
                <w:rFonts w:ascii="Arial" w:hAnsi="Arial"/>
                <w:b/>
                <w:snapToGrid w:val="0"/>
                <w:sz w:val="22"/>
                <w:szCs w:val="22"/>
              </w:rPr>
              <w:t>Convention pour la sauvegarde du patrimoine culturel immatériel (2003)</w:t>
            </w:r>
          </w:p>
        </w:tc>
      </w:tr>
      <w:tr w:rsidR="009B7C08" w:rsidRPr="00E02E4E" w14:paraId="5588421C" w14:textId="77777777" w:rsidTr="00FE5797">
        <w:tc>
          <w:tcPr>
            <w:tcW w:w="5946" w:type="dxa"/>
          </w:tcPr>
          <w:p w14:paraId="0B39ABC4" w14:textId="77777777" w:rsidR="009B7C08" w:rsidRPr="0000757E" w:rsidRDefault="009B7C08" w:rsidP="00B04CDE">
            <w:pPr>
              <w:spacing w:after="120"/>
              <w:ind w:left="567" w:hanging="567"/>
              <w:jc w:val="both"/>
              <w:rPr>
                <w:rFonts w:ascii="Arial" w:hAnsi="Arial" w:cs="Arial"/>
                <w:snapToGrid w:val="0"/>
                <w:sz w:val="22"/>
                <w:szCs w:val="22"/>
              </w:rPr>
            </w:pPr>
            <w:r>
              <w:rPr>
                <w:rFonts w:ascii="Arial" w:hAnsi="Arial"/>
                <w:snapToGrid w:val="0"/>
                <w:sz w:val="22"/>
                <w:szCs w:val="22"/>
              </w:rPr>
              <w:t>107.</w:t>
            </w:r>
            <w:r>
              <w:rPr>
                <w:rFonts w:ascii="Arial" w:hAnsi="Arial"/>
                <w:snapToGrid w:val="0"/>
                <w:sz w:val="22"/>
                <w:szCs w:val="22"/>
              </w:rPr>
              <w:tab/>
              <w:t>Les procédures décisionnelles et la crédibilité du Comité doivent être renforcées, compte dûment tenu du Groupe de travail ad hoc constitué pour traiter ces questions.</w:t>
            </w:r>
          </w:p>
          <w:p w14:paraId="3E7F4263" w14:textId="77777777" w:rsidR="009B7C08" w:rsidRPr="0000757E" w:rsidRDefault="0000468C">
            <w:pPr>
              <w:spacing w:after="120"/>
              <w:jc w:val="both"/>
              <w:rPr>
                <w:rFonts w:ascii="Arial" w:hAnsi="Arial" w:cs="Arial"/>
                <w:snapToGrid w:val="0"/>
                <w:sz w:val="22"/>
                <w:szCs w:val="22"/>
              </w:rPr>
            </w:pPr>
            <w:r>
              <w:rPr>
                <w:rFonts w:ascii="Arial" w:hAnsi="Arial"/>
                <w:b/>
                <w:bCs/>
                <w:sz w:val="22"/>
                <w:szCs w:val="22"/>
              </w:rPr>
              <w:t>Action nécessaire des États parties</w:t>
            </w:r>
          </w:p>
        </w:tc>
        <w:tc>
          <w:tcPr>
            <w:tcW w:w="8330" w:type="dxa"/>
            <w:tcBorders>
              <w:right w:val="single" w:sz="4" w:space="0" w:color="auto"/>
            </w:tcBorders>
          </w:tcPr>
          <w:p w14:paraId="3322B50B" w14:textId="77777777" w:rsidR="00E02E4E" w:rsidRPr="0038712E" w:rsidRDefault="009B7C08">
            <w:pPr>
              <w:pStyle w:val="ListParagraph"/>
              <w:numPr>
                <w:ilvl w:val="0"/>
                <w:numId w:val="7"/>
              </w:numPr>
              <w:spacing w:after="120"/>
              <w:ind w:left="357" w:hanging="357"/>
              <w:contextualSpacing w:val="0"/>
              <w:jc w:val="both"/>
              <w:rPr>
                <w:rFonts w:ascii="Arial" w:hAnsi="Arial" w:cs="Arial"/>
                <w:snapToGrid w:val="0"/>
                <w:sz w:val="22"/>
                <w:szCs w:val="22"/>
              </w:rPr>
            </w:pPr>
            <w:r>
              <w:rPr>
                <w:rFonts w:ascii="Arial" w:hAnsi="Arial"/>
                <w:snapToGrid w:val="0"/>
                <w:sz w:val="22"/>
                <w:szCs w:val="22"/>
              </w:rPr>
              <w:t>Voir la recommandation 60</w:t>
            </w:r>
          </w:p>
        </w:tc>
      </w:tr>
    </w:tbl>
    <w:p w14:paraId="675D0137" w14:textId="77777777" w:rsidR="00404512" w:rsidRDefault="00404512" w:rsidP="00EE4900">
      <w:pPr>
        <w:rPr>
          <w:rFonts w:ascii="Arial" w:hAnsi="Arial" w:cs="Arial"/>
          <w:snapToGrid w:val="0"/>
          <w:sz w:val="22"/>
          <w:szCs w:val="22"/>
          <w:lang w:val="en-GB" w:eastAsia="en-US"/>
        </w:rPr>
      </w:pPr>
    </w:p>
    <w:sectPr w:rsidR="00404512" w:rsidSect="00404512">
      <w:headerReference w:type="even" r:id="rId72"/>
      <w:headerReference w:type="default" r:id="rId73"/>
      <w:headerReference w:type="first" r:id="rId74"/>
      <w:pgSz w:w="16838" w:h="11906" w:orient="landscape" w:code="9"/>
      <w:pgMar w:top="1134" w:right="1418" w:bottom="1134" w:left="1134"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AE40F" w14:textId="77777777" w:rsidR="00EC5C14" w:rsidRDefault="00EC5C14" w:rsidP="00655736">
      <w:r>
        <w:separator/>
      </w:r>
    </w:p>
  </w:endnote>
  <w:endnote w:type="continuationSeparator" w:id="0">
    <w:p w14:paraId="16ADBD05" w14:textId="77777777" w:rsidR="00EC5C14" w:rsidRDefault="00EC5C14" w:rsidP="00655736">
      <w:r>
        <w:continuationSeparator/>
      </w:r>
    </w:p>
  </w:endnote>
  <w:endnote w:type="continuationNotice" w:id="1">
    <w:p w14:paraId="06B11BE2" w14:textId="77777777" w:rsidR="00EC5C14" w:rsidRDefault="00EC5C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E4820" w14:textId="77777777" w:rsidR="00EC5C14" w:rsidRDefault="00EC5C14" w:rsidP="00655736">
      <w:r>
        <w:separator/>
      </w:r>
    </w:p>
  </w:footnote>
  <w:footnote w:type="continuationSeparator" w:id="0">
    <w:p w14:paraId="69C11F12" w14:textId="77777777" w:rsidR="00EC5C14" w:rsidRDefault="00EC5C14" w:rsidP="00655736">
      <w:r>
        <w:continuationSeparator/>
      </w:r>
    </w:p>
  </w:footnote>
  <w:footnote w:type="continuationNotice" w:id="1">
    <w:p w14:paraId="0190EE6A" w14:textId="77777777" w:rsidR="00EC5C14" w:rsidRDefault="00EC5C14"/>
  </w:footnote>
  <w:footnote w:id="2">
    <w:p w14:paraId="47C08C8C" w14:textId="77777777" w:rsidR="006918D4" w:rsidRPr="006409D7" w:rsidRDefault="006918D4" w:rsidP="009B7C08">
      <w:pPr>
        <w:pStyle w:val="FootnoteText"/>
        <w:tabs>
          <w:tab w:val="left" w:pos="567"/>
        </w:tabs>
        <w:ind w:left="567" w:hanging="567"/>
        <w:rPr>
          <w:rFonts w:ascii="Arial" w:eastAsiaTheme="minorEastAsia" w:hAnsi="Arial" w:cs="Arial"/>
          <w:sz w:val="18"/>
          <w:szCs w:val="18"/>
        </w:rPr>
      </w:pPr>
      <w:r w:rsidRPr="007458A9">
        <w:rPr>
          <w:rStyle w:val="FootnoteReference"/>
          <w:rFonts w:ascii="Arial" w:hAnsi="Arial" w:cs="Arial"/>
          <w:sz w:val="18"/>
          <w:szCs w:val="18"/>
        </w:rPr>
        <w:footnoteRef/>
      </w:r>
      <w:r w:rsidRPr="007458A9">
        <w:rPr>
          <w:rFonts w:ascii="Arial" w:hAnsi="Arial"/>
          <w:sz w:val="18"/>
          <w:szCs w:val="18"/>
          <w:vertAlign w:val="superscript"/>
        </w:rPr>
        <w:t>.</w:t>
      </w:r>
      <w:r>
        <w:rPr>
          <w:rFonts w:ascii="Arial" w:hAnsi="Arial"/>
          <w:sz w:val="18"/>
          <w:szCs w:val="18"/>
        </w:rPr>
        <w:t xml:space="preserve"> </w:t>
      </w:r>
      <w:r>
        <w:rPr>
          <w:rFonts w:ascii="Arial" w:hAnsi="Arial"/>
          <w:sz w:val="18"/>
          <w:szCs w:val="18"/>
        </w:rPr>
        <w:tab/>
        <w:t>Pour voir l’ensemble des recommandations, y compris la Partie 1 concernant les organes directeurs de l’UNESCO (Conférence générale et Conseil exécutif), consultez les documents 39 C/20 (</w:t>
      </w:r>
      <w:hyperlink r:id="rId1" w:history="1">
        <w:r>
          <w:rPr>
            <w:rStyle w:val="Hyperlink"/>
            <w:rFonts w:ascii="Arial" w:hAnsi="Arial"/>
            <w:sz w:val="18"/>
            <w:szCs w:val="18"/>
          </w:rPr>
          <w:t>http://unesdoc.unesco.org/images/0025/002590/259081f.pdf</w:t>
        </w:r>
      </w:hyperlink>
      <w:r>
        <w:rPr>
          <w:rFonts w:ascii="Arial" w:hAnsi="Arial"/>
          <w:sz w:val="18"/>
          <w:szCs w:val="18"/>
        </w:rPr>
        <w:t>) et 39 C/70 (</w:t>
      </w:r>
      <w:hyperlink r:id="rId2" w:history="1">
        <w:r>
          <w:rPr>
            <w:rStyle w:val="Hyperlink"/>
            <w:rFonts w:ascii="Arial" w:hAnsi="Arial"/>
            <w:sz w:val="18"/>
            <w:szCs w:val="18"/>
          </w:rPr>
          <w:t>http://unesdoc.unesco.org/images/0026/002600/260089F.pdf</w:t>
        </w:r>
      </w:hyperlink>
      <w:r>
        <w:rPr>
          <w:rStyle w:val="Hyperlink"/>
          <w:rFonts w:ascii="Arial" w:hAnsi="Arial"/>
          <w:color w:val="auto"/>
          <w:sz w:val="18"/>
          <w:szCs w:val="18"/>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191BB" w14:textId="0E74FD23" w:rsidR="006918D4" w:rsidRPr="00C23A97" w:rsidRDefault="006918D4">
    <w:pPr>
      <w:pStyle w:val="Header"/>
      <w:rPr>
        <w:rFonts w:ascii="Arial" w:hAnsi="Arial" w:cs="Arial"/>
      </w:rPr>
    </w:pPr>
    <w:r>
      <w:rPr>
        <w:rFonts w:ascii="Arial" w:hAnsi="Arial"/>
        <w:sz w:val="20"/>
        <w:szCs w:val="20"/>
      </w:rPr>
      <w:t xml:space="preserve">LHE/19/14.COM/19 – page </w:t>
    </w:r>
    <w:r w:rsidR="00D262EB" w:rsidRPr="00C23A97">
      <w:rPr>
        <w:rStyle w:val="PageNumber"/>
        <w:rFonts w:ascii="Arial" w:hAnsi="Arial" w:cs="Arial"/>
        <w:sz w:val="20"/>
        <w:szCs w:val="20"/>
      </w:rPr>
      <w:fldChar w:fldCharType="begin"/>
    </w:r>
    <w:r w:rsidRPr="00C23A97">
      <w:rPr>
        <w:rStyle w:val="PageNumber"/>
        <w:rFonts w:ascii="Arial" w:hAnsi="Arial" w:cs="Arial"/>
        <w:sz w:val="20"/>
        <w:szCs w:val="20"/>
      </w:rPr>
      <w:instrText xml:space="preserve"> PAGE </w:instrText>
    </w:r>
    <w:r w:rsidR="00D262EB" w:rsidRPr="00C23A97">
      <w:rPr>
        <w:rStyle w:val="PageNumber"/>
        <w:rFonts w:ascii="Arial" w:hAnsi="Arial" w:cs="Arial"/>
        <w:sz w:val="20"/>
        <w:szCs w:val="20"/>
      </w:rPr>
      <w:fldChar w:fldCharType="separate"/>
    </w:r>
    <w:r w:rsidR="00692F73">
      <w:rPr>
        <w:rStyle w:val="PageNumber"/>
        <w:rFonts w:ascii="Arial" w:hAnsi="Arial" w:cs="Arial"/>
        <w:noProof/>
        <w:sz w:val="20"/>
        <w:szCs w:val="20"/>
      </w:rPr>
      <w:t>4</w:t>
    </w:r>
    <w:r w:rsidR="00D262EB" w:rsidRPr="00C23A97">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AF3FC" w14:textId="411DDC3A" w:rsidR="006918D4" w:rsidRPr="0063300C" w:rsidRDefault="006918D4" w:rsidP="0063300C">
    <w:pPr>
      <w:pStyle w:val="Header"/>
      <w:jc w:val="right"/>
      <w:rPr>
        <w:rFonts w:ascii="Arial" w:hAnsi="Arial" w:cs="Arial"/>
      </w:rPr>
    </w:pPr>
    <w:r>
      <w:rPr>
        <w:rFonts w:ascii="Arial" w:hAnsi="Arial"/>
        <w:sz w:val="20"/>
        <w:szCs w:val="20"/>
      </w:rPr>
      <w:t xml:space="preserve">LHE/19/14.COM/19 – page </w:t>
    </w:r>
    <w:r w:rsidR="00D262EB" w:rsidRPr="0063300C">
      <w:rPr>
        <w:rStyle w:val="PageNumber"/>
        <w:rFonts w:ascii="Arial" w:hAnsi="Arial" w:cs="Arial"/>
        <w:sz w:val="20"/>
        <w:szCs w:val="20"/>
      </w:rPr>
      <w:fldChar w:fldCharType="begin"/>
    </w:r>
    <w:r w:rsidRPr="0063300C">
      <w:rPr>
        <w:rStyle w:val="PageNumber"/>
        <w:rFonts w:ascii="Arial" w:hAnsi="Arial" w:cs="Arial"/>
        <w:sz w:val="20"/>
        <w:szCs w:val="20"/>
      </w:rPr>
      <w:instrText xml:space="preserve"> PAGE </w:instrText>
    </w:r>
    <w:r w:rsidR="00D262EB" w:rsidRPr="0063300C">
      <w:rPr>
        <w:rStyle w:val="PageNumber"/>
        <w:rFonts w:ascii="Arial" w:hAnsi="Arial" w:cs="Arial"/>
        <w:sz w:val="20"/>
        <w:szCs w:val="20"/>
      </w:rPr>
      <w:fldChar w:fldCharType="separate"/>
    </w:r>
    <w:r w:rsidR="00692F73">
      <w:rPr>
        <w:rStyle w:val="PageNumber"/>
        <w:rFonts w:ascii="Arial" w:hAnsi="Arial" w:cs="Arial"/>
        <w:noProof/>
        <w:sz w:val="20"/>
        <w:szCs w:val="20"/>
      </w:rPr>
      <w:t>3</w:t>
    </w:r>
    <w:r w:rsidR="00D262EB" w:rsidRPr="0063300C">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B8D26" w14:textId="77777777" w:rsidR="006918D4" w:rsidRPr="008724E5" w:rsidRDefault="006918D4">
    <w:pPr>
      <w:pStyle w:val="Header"/>
    </w:pPr>
  </w:p>
  <w:p w14:paraId="7522BE7F" w14:textId="77777777" w:rsidR="006918D4" w:rsidRPr="00711C46" w:rsidRDefault="006918D4" w:rsidP="007C0E13">
    <w:pPr>
      <w:pStyle w:val="Header"/>
      <w:spacing w:after="520"/>
      <w:jc w:val="right"/>
      <w:rPr>
        <w:rFonts w:ascii="Arial" w:hAnsi="Arial" w:cs="Arial"/>
        <w:b/>
        <w:sz w:val="44"/>
        <w:szCs w:val="44"/>
        <w:lang w:val="pt-PT"/>
      </w:rPr>
    </w:pPr>
    <w:r w:rsidRPr="00711C46">
      <w:rPr>
        <w:rFonts w:ascii="Arial" w:hAnsi="Arial"/>
        <w:b/>
        <w:sz w:val="44"/>
        <w:szCs w:val="44"/>
        <w:lang w:val="pt-PT"/>
      </w:rPr>
      <w:t>14 COM</w:t>
    </w:r>
  </w:p>
  <w:p w14:paraId="50F30A38" w14:textId="77777777" w:rsidR="006918D4" w:rsidRPr="00711C46" w:rsidRDefault="00E24E8A" w:rsidP="007C0E13">
    <w:pPr>
      <w:jc w:val="right"/>
      <w:rPr>
        <w:rFonts w:ascii="Arial" w:hAnsi="Arial" w:cs="Arial"/>
        <w:b/>
        <w:sz w:val="22"/>
        <w:szCs w:val="22"/>
        <w:lang w:val="pt-PT"/>
      </w:rPr>
    </w:pPr>
    <w:r w:rsidRPr="00E24E8A">
      <w:rPr>
        <w:rFonts w:ascii="Arial" w:hAnsi="Arial"/>
        <w:b/>
        <w:noProof/>
        <w:sz w:val="22"/>
        <w:szCs w:val="22"/>
        <w:lang w:eastAsia="ja-JP"/>
      </w:rPr>
      <w:drawing>
        <wp:anchor distT="0" distB="0" distL="114300" distR="114300" simplePos="0" relativeHeight="251661824" behindDoc="0" locked="0" layoutInCell="1" allowOverlap="1" wp14:anchorId="5AE0F1E3" wp14:editId="02AC6BD5">
          <wp:simplePos x="0" y="0"/>
          <wp:positionH relativeFrom="page">
            <wp:posOffset>343814</wp:posOffset>
          </wp:positionH>
          <wp:positionV relativeFrom="page">
            <wp:posOffset>138989</wp:posOffset>
          </wp:positionV>
          <wp:extent cx="2039671" cy="1528877"/>
          <wp:effectExtent l="0" t="0" r="1270" b="0"/>
          <wp:wrapNone/>
          <wp:docPr id="2"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600" cy="1530000"/>
                  </a:xfrm>
                  <a:prstGeom prst="rect">
                    <a:avLst/>
                  </a:prstGeom>
                  <a:noFill/>
                  <a:ln>
                    <a:noFill/>
                  </a:ln>
                </pic:spPr>
              </pic:pic>
            </a:graphicData>
          </a:graphic>
        </wp:anchor>
      </w:drawing>
    </w:r>
    <w:r w:rsidR="006918D4" w:rsidRPr="00711C46">
      <w:rPr>
        <w:rFonts w:ascii="Arial" w:hAnsi="Arial"/>
        <w:b/>
        <w:sz w:val="22"/>
        <w:szCs w:val="22"/>
        <w:lang w:val="pt-PT"/>
      </w:rPr>
      <w:t>LHE/19/14.COM/19</w:t>
    </w:r>
  </w:p>
  <w:p w14:paraId="16DBD865" w14:textId="681786F4" w:rsidR="006918D4" w:rsidRPr="00711C46" w:rsidRDefault="006918D4" w:rsidP="00AC000C">
    <w:pPr>
      <w:jc w:val="right"/>
      <w:rPr>
        <w:rFonts w:ascii="Arial" w:eastAsiaTheme="minorEastAsia" w:hAnsi="Arial" w:cs="Arial"/>
        <w:b/>
        <w:sz w:val="22"/>
        <w:szCs w:val="22"/>
        <w:lang w:val="pt-PT"/>
      </w:rPr>
    </w:pPr>
    <w:r w:rsidRPr="00711C46">
      <w:rPr>
        <w:rFonts w:ascii="Arial" w:hAnsi="Arial"/>
        <w:b/>
        <w:sz w:val="22"/>
        <w:szCs w:val="22"/>
        <w:lang w:val="pt-PT"/>
      </w:rPr>
      <w:t xml:space="preserve">Paris, </w:t>
    </w:r>
    <w:r w:rsidR="00E24E8A" w:rsidRPr="00711C46">
      <w:rPr>
        <w:rFonts w:ascii="Arial" w:hAnsi="Arial"/>
        <w:b/>
        <w:sz w:val="22"/>
        <w:szCs w:val="22"/>
        <w:lang w:val="pt-PT"/>
      </w:rPr>
      <w:t>le</w:t>
    </w:r>
    <w:r w:rsidR="00692F73">
      <w:rPr>
        <w:rFonts w:ascii="Arial" w:hAnsi="Arial"/>
        <w:b/>
        <w:sz w:val="22"/>
        <w:szCs w:val="22"/>
        <w:lang w:val="pt-PT"/>
      </w:rPr>
      <w:t xml:space="preserve"> 7</w:t>
    </w:r>
    <w:r w:rsidR="00E24E8A">
      <w:rPr>
        <w:rFonts w:ascii="Arial" w:hAnsi="Arial"/>
        <w:b/>
        <w:sz w:val="22"/>
        <w:szCs w:val="22"/>
        <w:lang w:val="pt-PT"/>
      </w:rPr>
      <w:t xml:space="preserve"> novembre</w:t>
    </w:r>
    <w:r w:rsidR="00E24E8A" w:rsidRPr="00711C46">
      <w:rPr>
        <w:rFonts w:ascii="Arial" w:hAnsi="Arial"/>
        <w:b/>
        <w:sz w:val="22"/>
        <w:szCs w:val="22"/>
        <w:lang w:val="pt-PT"/>
      </w:rPr>
      <w:t xml:space="preserve"> </w:t>
    </w:r>
    <w:r w:rsidRPr="00711C46">
      <w:rPr>
        <w:rFonts w:ascii="Arial" w:hAnsi="Arial"/>
        <w:b/>
        <w:sz w:val="22"/>
        <w:szCs w:val="22"/>
        <w:lang w:val="pt-PT"/>
      </w:rPr>
      <w:t>2019</w:t>
    </w:r>
  </w:p>
  <w:p w14:paraId="0B094A33" w14:textId="77777777" w:rsidR="006918D4" w:rsidRPr="00F32C23" w:rsidRDefault="006918D4" w:rsidP="007C0E13">
    <w:pPr>
      <w:jc w:val="right"/>
      <w:rPr>
        <w:rFonts w:ascii="Arial" w:hAnsi="Arial" w:cs="Arial"/>
        <w:b/>
        <w:sz w:val="22"/>
        <w:szCs w:val="22"/>
      </w:rPr>
    </w:pPr>
    <w:r>
      <w:rPr>
        <w:rFonts w:ascii="Arial" w:hAnsi="Arial"/>
        <w:b/>
        <w:sz w:val="22"/>
        <w:szCs w:val="22"/>
      </w:rPr>
      <w:t>Original : anglais</w:t>
    </w:r>
  </w:p>
  <w:p w14:paraId="7E704025" w14:textId="77777777" w:rsidR="006918D4" w:rsidRPr="00C23A97" w:rsidRDefault="006918D4" w:rsidP="00B04CDE">
    <w:pPr>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F0CC5" w14:textId="74E239F1" w:rsidR="006918D4" w:rsidRPr="00C23A97" w:rsidRDefault="006918D4" w:rsidP="001D14FE">
    <w:pPr>
      <w:pStyle w:val="Header"/>
      <w:rPr>
        <w:rFonts w:ascii="Arial" w:hAnsi="Arial" w:cs="Arial"/>
      </w:rPr>
    </w:pPr>
    <w:r>
      <w:rPr>
        <w:rFonts w:ascii="Arial" w:hAnsi="Arial"/>
        <w:sz w:val="20"/>
        <w:szCs w:val="20"/>
      </w:rPr>
      <w:t xml:space="preserve">LHE/19/14.COM/19 – page </w:t>
    </w:r>
    <w:r w:rsidR="00D262EB" w:rsidRPr="00910B30">
      <w:rPr>
        <w:rStyle w:val="PageNumber"/>
        <w:rFonts w:ascii="Arial" w:hAnsi="Arial" w:cs="Arial"/>
        <w:sz w:val="20"/>
        <w:szCs w:val="20"/>
      </w:rPr>
      <w:fldChar w:fldCharType="begin"/>
    </w:r>
    <w:r w:rsidRPr="00910B30">
      <w:rPr>
        <w:rStyle w:val="PageNumber"/>
        <w:rFonts w:ascii="Arial" w:hAnsi="Arial" w:cs="Arial"/>
        <w:sz w:val="20"/>
        <w:szCs w:val="20"/>
      </w:rPr>
      <w:instrText xml:space="preserve"> PAGE </w:instrText>
    </w:r>
    <w:r w:rsidR="00D262EB" w:rsidRPr="00910B30">
      <w:rPr>
        <w:rStyle w:val="PageNumber"/>
        <w:rFonts w:ascii="Arial" w:hAnsi="Arial" w:cs="Arial"/>
        <w:sz w:val="20"/>
        <w:szCs w:val="20"/>
      </w:rPr>
      <w:fldChar w:fldCharType="separate"/>
    </w:r>
    <w:r w:rsidR="00692F73">
      <w:rPr>
        <w:rStyle w:val="PageNumber"/>
        <w:rFonts w:ascii="Arial" w:hAnsi="Arial" w:cs="Arial"/>
        <w:noProof/>
        <w:sz w:val="20"/>
        <w:szCs w:val="20"/>
      </w:rPr>
      <w:t>14</w:t>
    </w:r>
    <w:r w:rsidR="00D262EB" w:rsidRPr="00910B30">
      <w:rPr>
        <w:rStyle w:val="PageNumber"/>
        <w:rFonts w:ascii="Arial" w:hAnsi="Arial" w:cs="Arial"/>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40F03" w14:textId="6FAD0714" w:rsidR="006918D4" w:rsidRPr="0063300C" w:rsidRDefault="006918D4" w:rsidP="001D14FE">
    <w:pPr>
      <w:pStyle w:val="Header"/>
      <w:jc w:val="right"/>
      <w:rPr>
        <w:rFonts w:ascii="Arial" w:hAnsi="Arial" w:cs="Arial"/>
      </w:rPr>
    </w:pPr>
    <w:r>
      <w:rPr>
        <w:rFonts w:ascii="Arial" w:hAnsi="Arial"/>
        <w:sz w:val="20"/>
        <w:szCs w:val="20"/>
      </w:rPr>
      <w:t xml:space="preserve">LHE/19/14.COM/19 – page </w:t>
    </w:r>
    <w:r w:rsidR="00D262EB" w:rsidRPr="0063300C">
      <w:rPr>
        <w:rStyle w:val="PageNumber"/>
        <w:rFonts w:ascii="Arial" w:hAnsi="Arial" w:cs="Arial"/>
        <w:sz w:val="20"/>
        <w:szCs w:val="20"/>
      </w:rPr>
      <w:fldChar w:fldCharType="begin"/>
    </w:r>
    <w:r w:rsidRPr="0063300C">
      <w:rPr>
        <w:rStyle w:val="PageNumber"/>
        <w:rFonts w:ascii="Arial" w:hAnsi="Arial" w:cs="Arial"/>
        <w:sz w:val="20"/>
        <w:szCs w:val="20"/>
      </w:rPr>
      <w:instrText xml:space="preserve"> PAGE </w:instrText>
    </w:r>
    <w:r w:rsidR="00D262EB" w:rsidRPr="0063300C">
      <w:rPr>
        <w:rStyle w:val="PageNumber"/>
        <w:rFonts w:ascii="Arial" w:hAnsi="Arial" w:cs="Arial"/>
        <w:sz w:val="20"/>
        <w:szCs w:val="20"/>
      </w:rPr>
      <w:fldChar w:fldCharType="separate"/>
    </w:r>
    <w:r w:rsidR="00692F73">
      <w:rPr>
        <w:rStyle w:val="PageNumber"/>
        <w:rFonts w:ascii="Arial" w:hAnsi="Arial" w:cs="Arial"/>
        <w:noProof/>
        <w:sz w:val="20"/>
        <w:szCs w:val="20"/>
      </w:rPr>
      <w:t>13</w:t>
    </w:r>
    <w:r w:rsidR="00D262EB" w:rsidRPr="0063300C">
      <w:rPr>
        <w:rStyle w:val="PageNumber"/>
        <w:rFonts w:ascii="Arial" w:hAnsi="Arial" w:cs="Arial"/>
        <w:sz w:val="20"/>
        <w:szCs w:val="2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AB27A" w14:textId="77777777" w:rsidR="006918D4" w:rsidRPr="00E95AE2" w:rsidRDefault="006918D4">
    <w:pPr>
      <w:pStyle w:val="Header"/>
      <w:rPr>
        <w:sz w:val="22"/>
        <w:szCs w:val="22"/>
      </w:rPr>
    </w:pPr>
    <w:r>
      <w:rPr>
        <w:noProof/>
        <w:lang w:eastAsia="ja-JP"/>
      </w:rPr>
      <w:drawing>
        <wp:anchor distT="0" distB="0" distL="114300" distR="114300" simplePos="0" relativeHeight="251657728" behindDoc="0" locked="0" layoutInCell="1" allowOverlap="1" wp14:anchorId="2BB1801B" wp14:editId="538C485A">
          <wp:simplePos x="0" y="0"/>
          <wp:positionH relativeFrom="column">
            <wp:posOffset>-567690</wp:posOffset>
          </wp:positionH>
          <wp:positionV relativeFrom="paragraph">
            <wp:posOffset>3810</wp:posOffset>
          </wp:positionV>
          <wp:extent cx="2228215" cy="1367790"/>
          <wp:effectExtent l="0" t="0" r="635" b="3810"/>
          <wp:wrapNone/>
          <wp:docPr id="1"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anchor>
      </w:drawing>
    </w:r>
  </w:p>
  <w:p w14:paraId="418DBE26" w14:textId="77777777" w:rsidR="006918D4" w:rsidRPr="00711C46" w:rsidRDefault="006918D4" w:rsidP="001D14FE">
    <w:pPr>
      <w:pStyle w:val="Header"/>
      <w:spacing w:after="520"/>
      <w:jc w:val="right"/>
      <w:rPr>
        <w:rFonts w:ascii="Arial" w:hAnsi="Arial" w:cs="Arial"/>
        <w:b/>
        <w:sz w:val="44"/>
        <w:szCs w:val="44"/>
        <w:lang w:val="pt-PT"/>
      </w:rPr>
    </w:pPr>
    <w:r w:rsidRPr="00711C46">
      <w:rPr>
        <w:rFonts w:ascii="Arial" w:hAnsi="Arial"/>
        <w:b/>
        <w:sz w:val="44"/>
        <w:szCs w:val="44"/>
        <w:lang w:val="pt-PT"/>
      </w:rPr>
      <w:t>13 COM</w:t>
    </w:r>
  </w:p>
  <w:p w14:paraId="75C48ABF" w14:textId="77777777" w:rsidR="006918D4" w:rsidRPr="00711C46" w:rsidRDefault="006918D4" w:rsidP="001D14FE">
    <w:pPr>
      <w:jc w:val="right"/>
      <w:rPr>
        <w:rFonts w:ascii="Arial" w:hAnsi="Arial" w:cs="Arial"/>
        <w:b/>
        <w:sz w:val="22"/>
        <w:szCs w:val="22"/>
        <w:lang w:val="pt-PT"/>
      </w:rPr>
    </w:pPr>
    <w:r w:rsidRPr="00711C46">
      <w:rPr>
        <w:rFonts w:ascii="Arial" w:hAnsi="Arial"/>
        <w:b/>
        <w:sz w:val="22"/>
        <w:szCs w:val="22"/>
        <w:lang w:val="pt-PT"/>
      </w:rPr>
      <w:t>ITH/18/13.COM/17</w:t>
    </w:r>
  </w:p>
  <w:p w14:paraId="100BC484" w14:textId="77777777" w:rsidR="006918D4" w:rsidRPr="00711C46" w:rsidRDefault="006918D4" w:rsidP="00655736">
    <w:pPr>
      <w:jc w:val="right"/>
      <w:rPr>
        <w:rFonts w:ascii="Arial" w:eastAsiaTheme="minorEastAsia" w:hAnsi="Arial" w:cs="Arial"/>
        <w:b/>
        <w:sz w:val="22"/>
        <w:szCs w:val="22"/>
        <w:lang w:val="pt-PT"/>
      </w:rPr>
    </w:pPr>
    <w:r w:rsidRPr="00711C46">
      <w:rPr>
        <w:rFonts w:ascii="Arial" w:hAnsi="Arial"/>
        <w:b/>
        <w:sz w:val="22"/>
        <w:szCs w:val="22"/>
        <w:lang w:val="pt-PT"/>
      </w:rPr>
      <w:t>Paris, le</w:t>
    </w:r>
    <w:r w:rsidRPr="00711C46">
      <w:rPr>
        <w:rFonts w:ascii="Arial" w:hAnsi="Arial"/>
        <w:b/>
        <w:sz w:val="22"/>
        <w:szCs w:val="22"/>
        <w:highlight w:val="yellow"/>
        <w:lang w:val="pt-PT"/>
      </w:rPr>
      <w:t>xxxxxx</w:t>
    </w:r>
    <w:r w:rsidRPr="00711C46">
      <w:rPr>
        <w:rFonts w:ascii="Arial" w:hAnsi="Arial"/>
        <w:b/>
        <w:sz w:val="22"/>
        <w:szCs w:val="22"/>
        <w:lang w:val="pt-PT"/>
      </w:rPr>
      <w:t xml:space="preserve"> 2018</w:t>
    </w:r>
  </w:p>
  <w:p w14:paraId="2E7EAAA3" w14:textId="77777777" w:rsidR="006918D4" w:rsidRPr="00F32C23" w:rsidRDefault="006918D4" w:rsidP="000048ED">
    <w:pPr>
      <w:jc w:val="right"/>
      <w:rPr>
        <w:rFonts w:ascii="Arial" w:hAnsi="Arial" w:cs="Arial"/>
        <w:b/>
        <w:sz w:val="22"/>
        <w:szCs w:val="22"/>
      </w:rPr>
    </w:pPr>
    <w:r>
      <w:rPr>
        <w:rFonts w:ascii="Arial" w:hAnsi="Arial"/>
        <w:b/>
        <w:sz w:val="22"/>
        <w:szCs w:val="22"/>
      </w:rPr>
      <w:t>Original : anglais</w:t>
    </w:r>
  </w:p>
  <w:p w14:paraId="4C64E8E9" w14:textId="77777777" w:rsidR="006918D4" w:rsidRPr="00E95AE2" w:rsidRDefault="006918D4">
    <w:pPr>
      <w:pStyle w:val="Header"/>
      <w:rPr>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807A4"/>
    <w:multiLevelType w:val="hybridMultilevel"/>
    <w:tmpl w:val="DC6481BC"/>
    <w:lvl w:ilvl="0" w:tplc="0409000F">
      <w:start w:val="1"/>
      <w:numFmt w:val="decimal"/>
      <w:lvlText w:val="%1."/>
      <w:lvlJc w:val="left"/>
      <w:pPr>
        <w:ind w:left="6390" w:hanging="360"/>
      </w:pPr>
      <w:rPr>
        <w:rFonts w:hint="default"/>
      </w:rPr>
    </w:lvl>
    <w:lvl w:ilvl="1" w:tplc="04090019">
      <w:start w:val="1"/>
      <w:numFmt w:val="lowerLetter"/>
      <w:lvlText w:val="%2."/>
      <w:lvlJc w:val="left"/>
      <w:pPr>
        <w:ind w:left="7110" w:hanging="360"/>
      </w:pPr>
    </w:lvl>
    <w:lvl w:ilvl="2" w:tplc="0409001B" w:tentative="1">
      <w:start w:val="1"/>
      <w:numFmt w:val="lowerRoman"/>
      <w:lvlText w:val="%3."/>
      <w:lvlJc w:val="right"/>
      <w:pPr>
        <w:ind w:left="7830" w:hanging="180"/>
      </w:pPr>
    </w:lvl>
    <w:lvl w:ilvl="3" w:tplc="0409000F" w:tentative="1">
      <w:start w:val="1"/>
      <w:numFmt w:val="decimal"/>
      <w:lvlText w:val="%4."/>
      <w:lvlJc w:val="left"/>
      <w:pPr>
        <w:ind w:left="8550" w:hanging="360"/>
      </w:pPr>
    </w:lvl>
    <w:lvl w:ilvl="4" w:tplc="04090019" w:tentative="1">
      <w:start w:val="1"/>
      <w:numFmt w:val="lowerLetter"/>
      <w:lvlText w:val="%5."/>
      <w:lvlJc w:val="left"/>
      <w:pPr>
        <w:ind w:left="9270" w:hanging="360"/>
      </w:pPr>
    </w:lvl>
    <w:lvl w:ilvl="5" w:tplc="0409001B" w:tentative="1">
      <w:start w:val="1"/>
      <w:numFmt w:val="lowerRoman"/>
      <w:lvlText w:val="%6."/>
      <w:lvlJc w:val="right"/>
      <w:pPr>
        <w:ind w:left="9990" w:hanging="180"/>
      </w:pPr>
    </w:lvl>
    <w:lvl w:ilvl="6" w:tplc="0409000F" w:tentative="1">
      <w:start w:val="1"/>
      <w:numFmt w:val="decimal"/>
      <w:lvlText w:val="%7."/>
      <w:lvlJc w:val="left"/>
      <w:pPr>
        <w:ind w:left="10710" w:hanging="360"/>
      </w:pPr>
    </w:lvl>
    <w:lvl w:ilvl="7" w:tplc="04090019" w:tentative="1">
      <w:start w:val="1"/>
      <w:numFmt w:val="lowerLetter"/>
      <w:lvlText w:val="%8."/>
      <w:lvlJc w:val="left"/>
      <w:pPr>
        <w:ind w:left="11430" w:hanging="360"/>
      </w:pPr>
    </w:lvl>
    <w:lvl w:ilvl="8" w:tplc="0409001B" w:tentative="1">
      <w:start w:val="1"/>
      <w:numFmt w:val="lowerRoman"/>
      <w:lvlText w:val="%9."/>
      <w:lvlJc w:val="right"/>
      <w:pPr>
        <w:ind w:left="12150" w:hanging="180"/>
      </w:pPr>
    </w:lvl>
  </w:abstractNum>
  <w:abstractNum w:abstractNumId="1" w15:restartNumberingAfterBreak="0">
    <w:nsid w:val="057A5BCF"/>
    <w:multiLevelType w:val="hybridMultilevel"/>
    <w:tmpl w:val="BF743752"/>
    <w:lvl w:ilvl="0" w:tplc="88103CC2">
      <w:start w:val="1"/>
      <w:numFmt w:val="lowerRoman"/>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2BF51875"/>
    <w:multiLevelType w:val="hybridMultilevel"/>
    <w:tmpl w:val="6C94C1E0"/>
    <w:lvl w:ilvl="0" w:tplc="E92838C2">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F3467D"/>
    <w:multiLevelType w:val="hybridMultilevel"/>
    <w:tmpl w:val="EB9EB046"/>
    <w:lvl w:ilvl="0" w:tplc="83AE2352">
      <w:start w:val="74"/>
      <w:numFmt w:val="decimal"/>
      <w:lvlText w:val="%1."/>
      <w:lvlJc w:val="left"/>
      <w:pPr>
        <w:ind w:left="206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14C76A9"/>
    <w:multiLevelType w:val="hybridMultilevel"/>
    <w:tmpl w:val="3A5EB622"/>
    <w:lvl w:ilvl="0" w:tplc="2F540118">
      <w:start w:val="1"/>
      <w:numFmt w:val="lowerRoman"/>
      <w:lvlText w:val="%1."/>
      <w:lvlJc w:val="left"/>
      <w:pPr>
        <w:ind w:left="1077" w:hanging="72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6"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ECF45F3"/>
    <w:multiLevelType w:val="multilevel"/>
    <w:tmpl w:val="794A9D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3961D47"/>
    <w:multiLevelType w:val="hybridMultilevel"/>
    <w:tmpl w:val="D360CBCA"/>
    <w:lvl w:ilvl="0" w:tplc="A3381420">
      <w:start w:val="78"/>
      <w:numFmt w:val="decimal"/>
      <w:lvlText w:val="%1."/>
      <w:lvlJc w:val="left"/>
      <w:pPr>
        <w:ind w:left="20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A22308"/>
    <w:multiLevelType w:val="hybridMultilevel"/>
    <w:tmpl w:val="297AB420"/>
    <w:lvl w:ilvl="0" w:tplc="AFB64EC8">
      <w:start w:val="64"/>
      <w:numFmt w:val="decimal"/>
      <w:lvlText w:val="%1."/>
      <w:lvlJc w:val="left"/>
      <w:pPr>
        <w:ind w:left="20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0D7580"/>
    <w:multiLevelType w:val="hybridMultilevel"/>
    <w:tmpl w:val="1DF4A484"/>
    <w:lvl w:ilvl="0" w:tplc="3C02A516">
      <w:start w:val="76"/>
      <w:numFmt w:val="decimal"/>
      <w:lvlText w:val="%1."/>
      <w:lvlJc w:val="left"/>
      <w:pPr>
        <w:ind w:left="20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7E20C1"/>
    <w:multiLevelType w:val="hybridMultilevel"/>
    <w:tmpl w:val="8960B5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9CA3193"/>
    <w:multiLevelType w:val="hybridMultilevel"/>
    <w:tmpl w:val="369C82DA"/>
    <w:lvl w:ilvl="0" w:tplc="0126783A">
      <w:start w:val="99"/>
      <w:numFmt w:val="decimal"/>
      <w:lvlText w:val="%1."/>
      <w:lvlJc w:val="left"/>
      <w:pPr>
        <w:ind w:left="63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184D43"/>
    <w:multiLevelType w:val="hybridMultilevel"/>
    <w:tmpl w:val="AA62FE4C"/>
    <w:lvl w:ilvl="0" w:tplc="560C8DD6">
      <w:start w:val="76"/>
      <w:numFmt w:val="decimal"/>
      <w:lvlText w:val="%1."/>
      <w:lvlJc w:val="left"/>
      <w:pPr>
        <w:ind w:left="206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6D50F71"/>
    <w:multiLevelType w:val="hybridMultilevel"/>
    <w:tmpl w:val="129E9DF0"/>
    <w:lvl w:ilvl="0" w:tplc="84E82C4C">
      <w:start w:val="56"/>
      <w:numFmt w:val="decimal"/>
      <w:lvlText w:val="%1."/>
      <w:lvlJc w:val="left"/>
      <w:pPr>
        <w:ind w:left="20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8"/>
  </w:num>
  <w:num w:numId="5">
    <w:abstractNumId w:val="0"/>
  </w:num>
  <w:num w:numId="6">
    <w:abstractNumId w:val="1"/>
  </w:num>
  <w:num w:numId="7">
    <w:abstractNumId w:val="3"/>
  </w:num>
  <w:num w:numId="8">
    <w:abstractNumId w:val="16"/>
  </w:num>
  <w:num w:numId="9">
    <w:abstractNumId w:val="5"/>
  </w:num>
  <w:num w:numId="10">
    <w:abstractNumId w:val="11"/>
  </w:num>
  <w:num w:numId="11">
    <w:abstractNumId w:val="12"/>
  </w:num>
  <w:num w:numId="12">
    <w:abstractNumId w:val="10"/>
  </w:num>
  <w:num w:numId="13">
    <w:abstractNumId w:val="14"/>
  </w:num>
  <w:num w:numId="14">
    <w:abstractNumId w:val="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3"/>
  </w:num>
  <w:num w:numId="24">
    <w:abstractNumId w:val="4"/>
  </w:num>
  <w:num w:numId="25">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r-FR" w:vendorID="64" w:dllVersion="131078" w:nlCheck="1" w:checkStyle="0"/>
  <w:activeWritingStyle w:appName="MSWord" w:lang="pt-PT" w:vendorID="64" w:dllVersion="131078"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378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42"/>
    <w:rsid w:val="00002054"/>
    <w:rsid w:val="0000468C"/>
    <w:rsid w:val="000048ED"/>
    <w:rsid w:val="0000768A"/>
    <w:rsid w:val="00025677"/>
    <w:rsid w:val="00025CEC"/>
    <w:rsid w:val="00026A2B"/>
    <w:rsid w:val="00026F5D"/>
    <w:rsid w:val="000271E7"/>
    <w:rsid w:val="00037790"/>
    <w:rsid w:val="00041A66"/>
    <w:rsid w:val="000428DD"/>
    <w:rsid w:val="00047B77"/>
    <w:rsid w:val="0005176E"/>
    <w:rsid w:val="00053A91"/>
    <w:rsid w:val="000562D3"/>
    <w:rsid w:val="00057F53"/>
    <w:rsid w:val="00064F3A"/>
    <w:rsid w:val="000754AF"/>
    <w:rsid w:val="00075A92"/>
    <w:rsid w:val="000765F7"/>
    <w:rsid w:val="00077AB7"/>
    <w:rsid w:val="00081CD8"/>
    <w:rsid w:val="00083838"/>
    <w:rsid w:val="00095C32"/>
    <w:rsid w:val="000971FD"/>
    <w:rsid w:val="000A67DC"/>
    <w:rsid w:val="000A7F0E"/>
    <w:rsid w:val="000B1C8F"/>
    <w:rsid w:val="000B4451"/>
    <w:rsid w:val="000C0D61"/>
    <w:rsid w:val="000C5989"/>
    <w:rsid w:val="000D080B"/>
    <w:rsid w:val="000D6243"/>
    <w:rsid w:val="000D7530"/>
    <w:rsid w:val="000E542F"/>
    <w:rsid w:val="000F3A3F"/>
    <w:rsid w:val="0010105C"/>
    <w:rsid w:val="00102557"/>
    <w:rsid w:val="001039E0"/>
    <w:rsid w:val="00106F0A"/>
    <w:rsid w:val="0011706D"/>
    <w:rsid w:val="001231F4"/>
    <w:rsid w:val="00127C55"/>
    <w:rsid w:val="00142998"/>
    <w:rsid w:val="00147641"/>
    <w:rsid w:val="00164D56"/>
    <w:rsid w:val="00165BA5"/>
    <w:rsid w:val="00167B10"/>
    <w:rsid w:val="00170443"/>
    <w:rsid w:val="00170D00"/>
    <w:rsid w:val="00173039"/>
    <w:rsid w:val="00173262"/>
    <w:rsid w:val="0017402F"/>
    <w:rsid w:val="0018294A"/>
    <w:rsid w:val="00196C1B"/>
    <w:rsid w:val="001A0799"/>
    <w:rsid w:val="001A35D6"/>
    <w:rsid w:val="001A3FB4"/>
    <w:rsid w:val="001A50F7"/>
    <w:rsid w:val="001A6302"/>
    <w:rsid w:val="001B0925"/>
    <w:rsid w:val="001B0F73"/>
    <w:rsid w:val="001B1D24"/>
    <w:rsid w:val="001C242F"/>
    <w:rsid w:val="001C2DB7"/>
    <w:rsid w:val="001C48F8"/>
    <w:rsid w:val="001D10C5"/>
    <w:rsid w:val="001D14FE"/>
    <w:rsid w:val="001D5C04"/>
    <w:rsid w:val="001E4A3D"/>
    <w:rsid w:val="001F26CF"/>
    <w:rsid w:val="002008AE"/>
    <w:rsid w:val="00205B30"/>
    <w:rsid w:val="00207EEB"/>
    <w:rsid w:val="00211D8C"/>
    <w:rsid w:val="002136D5"/>
    <w:rsid w:val="0022167C"/>
    <w:rsid w:val="00222A2D"/>
    <w:rsid w:val="00223029"/>
    <w:rsid w:val="0022344C"/>
    <w:rsid w:val="0022413F"/>
    <w:rsid w:val="00224A14"/>
    <w:rsid w:val="0023436D"/>
    <w:rsid w:val="00234745"/>
    <w:rsid w:val="002351A6"/>
    <w:rsid w:val="00236BBD"/>
    <w:rsid w:val="002377DB"/>
    <w:rsid w:val="002407AF"/>
    <w:rsid w:val="00244BBA"/>
    <w:rsid w:val="0025748D"/>
    <w:rsid w:val="00261EEA"/>
    <w:rsid w:val="00264F7E"/>
    <w:rsid w:val="0027466B"/>
    <w:rsid w:val="002838A5"/>
    <w:rsid w:val="00285BB4"/>
    <w:rsid w:val="0029706C"/>
    <w:rsid w:val="002B059B"/>
    <w:rsid w:val="002B27AB"/>
    <w:rsid w:val="002B2890"/>
    <w:rsid w:val="002B3C73"/>
    <w:rsid w:val="002B642E"/>
    <w:rsid w:val="002C09E3"/>
    <w:rsid w:val="002D0591"/>
    <w:rsid w:val="002D06E3"/>
    <w:rsid w:val="002D38E3"/>
    <w:rsid w:val="002E0C25"/>
    <w:rsid w:val="002E44DD"/>
    <w:rsid w:val="002E69F4"/>
    <w:rsid w:val="002F0489"/>
    <w:rsid w:val="002F35C9"/>
    <w:rsid w:val="002F6C64"/>
    <w:rsid w:val="003025EF"/>
    <w:rsid w:val="00302B42"/>
    <w:rsid w:val="0030594B"/>
    <w:rsid w:val="00305AD5"/>
    <w:rsid w:val="00310F56"/>
    <w:rsid w:val="0033460F"/>
    <w:rsid w:val="00334F6F"/>
    <w:rsid w:val="00337CEB"/>
    <w:rsid w:val="003417E5"/>
    <w:rsid w:val="00341F12"/>
    <w:rsid w:val="00344B58"/>
    <w:rsid w:val="0034539A"/>
    <w:rsid w:val="00345CB4"/>
    <w:rsid w:val="0034611B"/>
    <w:rsid w:val="00350C2F"/>
    <w:rsid w:val="00354500"/>
    <w:rsid w:val="00354523"/>
    <w:rsid w:val="00367601"/>
    <w:rsid w:val="00370A48"/>
    <w:rsid w:val="00373083"/>
    <w:rsid w:val="00375D42"/>
    <w:rsid w:val="00376821"/>
    <w:rsid w:val="00386736"/>
    <w:rsid w:val="0038712E"/>
    <w:rsid w:val="0039162F"/>
    <w:rsid w:val="003C6AF7"/>
    <w:rsid w:val="003D0369"/>
    <w:rsid w:val="003D069C"/>
    <w:rsid w:val="003D7646"/>
    <w:rsid w:val="003E12EF"/>
    <w:rsid w:val="003E7952"/>
    <w:rsid w:val="003F0447"/>
    <w:rsid w:val="003F113A"/>
    <w:rsid w:val="003F3E63"/>
    <w:rsid w:val="003F6AAD"/>
    <w:rsid w:val="00404512"/>
    <w:rsid w:val="00406B9E"/>
    <w:rsid w:val="00407480"/>
    <w:rsid w:val="00410EB1"/>
    <w:rsid w:val="00414643"/>
    <w:rsid w:val="004356D1"/>
    <w:rsid w:val="004421E5"/>
    <w:rsid w:val="00444E26"/>
    <w:rsid w:val="00452284"/>
    <w:rsid w:val="004552E5"/>
    <w:rsid w:val="00457C8E"/>
    <w:rsid w:val="0046114D"/>
    <w:rsid w:val="004614F2"/>
    <w:rsid w:val="00473183"/>
    <w:rsid w:val="00483650"/>
    <w:rsid w:val="004856CA"/>
    <w:rsid w:val="00487E67"/>
    <w:rsid w:val="0049705E"/>
    <w:rsid w:val="004A34A0"/>
    <w:rsid w:val="004B0683"/>
    <w:rsid w:val="004B19FF"/>
    <w:rsid w:val="004B3BFE"/>
    <w:rsid w:val="004B502B"/>
    <w:rsid w:val="004D1E97"/>
    <w:rsid w:val="004D7A1E"/>
    <w:rsid w:val="004E28E5"/>
    <w:rsid w:val="004E693C"/>
    <w:rsid w:val="004F5795"/>
    <w:rsid w:val="005008A8"/>
    <w:rsid w:val="005141A0"/>
    <w:rsid w:val="00514D10"/>
    <w:rsid w:val="00522C6D"/>
    <w:rsid w:val="00524679"/>
    <w:rsid w:val="00526B7B"/>
    <w:rsid w:val="005308CE"/>
    <w:rsid w:val="00530AF1"/>
    <w:rsid w:val="0053318C"/>
    <w:rsid w:val="00534C43"/>
    <w:rsid w:val="00544D20"/>
    <w:rsid w:val="00560EE6"/>
    <w:rsid w:val="00561E4C"/>
    <w:rsid w:val="00564EBA"/>
    <w:rsid w:val="0057439C"/>
    <w:rsid w:val="00575F8F"/>
    <w:rsid w:val="005805DD"/>
    <w:rsid w:val="00596779"/>
    <w:rsid w:val="005B0127"/>
    <w:rsid w:val="005B3194"/>
    <w:rsid w:val="005B4056"/>
    <w:rsid w:val="005B7A35"/>
    <w:rsid w:val="005B7C4E"/>
    <w:rsid w:val="005C032F"/>
    <w:rsid w:val="005C4B73"/>
    <w:rsid w:val="005D2A8B"/>
    <w:rsid w:val="005E1D16"/>
    <w:rsid w:val="005E1D2B"/>
    <w:rsid w:val="005E5FF3"/>
    <w:rsid w:val="005E7074"/>
    <w:rsid w:val="005E778C"/>
    <w:rsid w:val="005F1445"/>
    <w:rsid w:val="005F2A8E"/>
    <w:rsid w:val="005F2BAF"/>
    <w:rsid w:val="005F4D27"/>
    <w:rsid w:val="00600D93"/>
    <w:rsid w:val="00614BDD"/>
    <w:rsid w:val="0061763E"/>
    <w:rsid w:val="006211ED"/>
    <w:rsid w:val="0062661B"/>
    <w:rsid w:val="006300F5"/>
    <w:rsid w:val="0063300C"/>
    <w:rsid w:val="006337E7"/>
    <w:rsid w:val="006501D3"/>
    <w:rsid w:val="00653F1C"/>
    <w:rsid w:val="00655736"/>
    <w:rsid w:val="006618BE"/>
    <w:rsid w:val="00663B8D"/>
    <w:rsid w:val="006661AF"/>
    <w:rsid w:val="00667A75"/>
    <w:rsid w:val="00673907"/>
    <w:rsid w:val="00683466"/>
    <w:rsid w:val="006840D3"/>
    <w:rsid w:val="006918D4"/>
    <w:rsid w:val="00692F73"/>
    <w:rsid w:val="00696C8D"/>
    <w:rsid w:val="006A01C9"/>
    <w:rsid w:val="006A2AC2"/>
    <w:rsid w:val="006A3617"/>
    <w:rsid w:val="006B729F"/>
    <w:rsid w:val="006C398B"/>
    <w:rsid w:val="006C4F56"/>
    <w:rsid w:val="006D2AC8"/>
    <w:rsid w:val="006D30F8"/>
    <w:rsid w:val="006D318C"/>
    <w:rsid w:val="006E11B7"/>
    <w:rsid w:val="006E46E4"/>
    <w:rsid w:val="006E4BA7"/>
    <w:rsid w:val="00703C30"/>
    <w:rsid w:val="00705B84"/>
    <w:rsid w:val="00707A99"/>
    <w:rsid w:val="00711C46"/>
    <w:rsid w:val="00712C7B"/>
    <w:rsid w:val="00713435"/>
    <w:rsid w:val="00715E42"/>
    <w:rsid w:val="00717DA5"/>
    <w:rsid w:val="00726ADA"/>
    <w:rsid w:val="00730099"/>
    <w:rsid w:val="0073043D"/>
    <w:rsid w:val="00731ED9"/>
    <w:rsid w:val="007339FC"/>
    <w:rsid w:val="0073514F"/>
    <w:rsid w:val="00742244"/>
    <w:rsid w:val="00744484"/>
    <w:rsid w:val="007458A9"/>
    <w:rsid w:val="00747566"/>
    <w:rsid w:val="00760578"/>
    <w:rsid w:val="007633B9"/>
    <w:rsid w:val="0076683D"/>
    <w:rsid w:val="007705AC"/>
    <w:rsid w:val="0077135B"/>
    <w:rsid w:val="00773188"/>
    <w:rsid w:val="00773EEB"/>
    <w:rsid w:val="0078112B"/>
    <w:rsid w:val="00783782"/>
    <w:rsid w:val="00784B8C"/>
    <w:rsid w:val="0078716D"/>
    <w:rsid w:val="007879E1"/>
    <w:rsid w:val="00792CEB"/>
    <w:rsid w:val="007941BE"/>
    <w:rsid w:val="007A3538"/>
    <w:rsid w:val="007A6397"/>
    <w:rsid w:val="007B3206"/>
    <w:rsid w:val="007C0E13"/>
    <w:rsid w:val="007C455D"/>
    <w:rsid w:val="007C7A42"/>
    <w:rsid w:val="007D1063"/>
    <w:rsid w:val="007D2272"/>
    <w:rsid w:val="007D6E39"/>
    <w:rsid w:val="007D7905"/>
    <w:rsid w:val="007D7BAB"/>
    <w:rsid w:val="007F0991"/>
    <w:rsid w:val="007F46D1"/>
    <w:rsid w:val="007F5839"/>
    <w:rsid w:val="0080193B"/>
    <w:rsid w:val="008100DD"/>
    <w:rsid w:val="00811ADE"/>
    <w:rsid w:val="008204EF"/>
    <w:rsid w:val="0082066D"/>
    <w:rsid w:val="00820B9C"/>
    <w:rsid w:val="0082153B"/>
    <w:rsid w:val="00823A11"/>
    <w:rsid w:val="00823F1D"/>
    <w:rsid w:val="008240F2"/>
    <w:rsid w:val="00826E82"/>
    <w:rsid w:val="00830962"/>
    <w:rsid w:val="00830E6F"/>
    <w:rsid w:val="0085405E"/>
    <w:rsid w:val="0085414A"/>
    <w:rsid w:val="00854209"/>
    <w:rsid w:val="0086269D"/>
    <w:rsid w:val="00863AC8"/>
    <w:rsid w:val="0086543A"/>
    <w:rsid w:val="0086739C"/>
    <w:rsid w:val="00871915"/>
    <w:rsid w:val="008724E5"/>
    <w:rsid w:val="00880511"/>
    <w:rsid w:val="00884A9D"/>
    <w:rsid w:val="0088512B"/>
    <w:rsid w:val="008A2B2D"/>
    <w:rsid w:val="008A3E6D"/>
    <w:rsid w:val="008A4E1E"/>
    <w:rsid w:val="008A5C2D"/>
    <w:rsid w:val="008C0556"/>
    <w:rsid w:val="008C1115"/>
    <w:rsid w:val="008C296C"/>
    <w:rsid w:val="008C4921"/>
    <w:rsid w:val="008C503F"/>
    <w:rsid w:val="008D0D0F"/>
    <w:rsid w:val="008D4305"/>
    <w:rsid w:val="008E00A0"/>
    <w:rsid w:val="008E181D"/>
    <w:rsid w:val="008E1A85"/>
    <w:rsid w:val="008E2FC2"/>
    <w:rsid w:val="008E3187"/>
    <w:rsid w:val="008F2203"/>
    <w:rsid w:val="00905394"/>
    <w:rsid w:val="0091055A"/>
    <w:rsid w:val="00910B30"/>
    <w:rsid w:val="009112ED"/>
    <w:rsid w:val="009163A7"/>
    <w:rsid w:val="00926610"/>
    <w:rsid w:val="00942946"/>
    <w:rsid w:val="00946D0B"/>
    <w:rsid w:val="0095252E"/>
    <w:rsid w:val="00955877"/>
    <w:rsid w:val="009562A5"/>
    <w:rsid w:val="00956E8B"/>
    <w:rsid w:val="00957128"/>
    <w:rsid w:val="00964339"/>
    <w:rsid w:val="009732FB"/>
    <w:rsid w:val="00974B2A"/>
    <w:rsid w:val="00974C6E"/>
    <w:rsid w:val="009925A3"/>
    <w:rsid w:val="00992B89"/>
    <w:rsid w:val="009977A8"/>
    <w:rsid w:val="009A1312"/>
    <w:rsid w:val="009A18CD"/>
    <w:rsid w:val="009A4013"/>
    <w:rsid w:val="009B7C08"/>
    <w:rsid w:val="009C1317"/>
    <w:rsid w:val="009C5278"/>
    <w:rsid w:val="009C7044"/>
    <w:rsid w:val="009D5428"/>
    <w:rsid w:val="009E2C50"/>
    <w:rsid w:val="009E74D0"/>
    <w:rsid w:val="009F0428"/>
    <w:rsid w:val="00A100AE"/>
    <w:rsid w:val="00A12558"/>
    <w:rsid w:val="00A13903"/>
    <w:rsid w:val="00A1446D"/>
    <w:rsid w:val="00A14BE4"/>
    <w:rsid w:val="00A34ED5"/>
    <w:rsid w:val="00A442B6"/>
    <w:rsid w:val="00A45DBF"/>
    <w:rsid w:val="00A50D4E"/>
    <w:rsid w:val="00A53E6C"/>
    <w:rsid w:val="00A57F54"/>
    <w:rsid w:val="00A6251C"/>
    <w:rsid w:val="00A62E9A"/>
    <w:rsid w:val="00A741D3"/>
    <w:rsid w:val="00A755A2"/>
    <w:rsid w:val="00A83002"/>
    <w:rsid w:val="00A843EE"/>
    <w:rsid w:val="00A84746"/>
    <w:rsid w:val="00A92A51"/>
    <w:rsid w:val="00A96C3E"/>
    <w:rsid w:val="00A96F2A"/>
    <w:rsid w:val="00AA6660"/>
    <w:rsid w:val="00AB2C36"/>
    <w:rsid w:val="00AB6DDE"/>
    <w:rsid w:val="00AB70B6"/>
    <w:rsid w:val="00AC000C"/>
    <w:rsid w:val="00AC370B"/>
    <w:rsid w:val="00AD0B6B"/>
    <w:rsid w:val="00AD1A86"/>
    <w:rsid w:val="00AD1B42"/>
    <w:rsid w:val="00AE103E"/>
    <w:rsid w:val="00AE1D84"/>
    <w:rsid w:val="00AF0A07"/>
    <w:rsid w:val="00AF132E"/>
    <w:rsid w:val="00AF2E1D"/>
    <w:rsid w:val="00AF4AEC"/>
    <w:rsid w:val="00AF625E"/>
    <w:rsid w:val="00B0094D"/>
    <w:rsid w:val="00B016F9"/>
    <w:rsid w:val="00B04CDE"/>
    <w:rsid w:val="00B07CEE"/>
    <w:rsid w:val="00B1372C"/>
    <w:rsid w:val="00B155BE"/>
    <w:rsid w:val="00B2011F"/>
    <w:rsid w:val="00B23BBA"/>
    <w:rsid w:val="00B266CF"/>
    <w:rsid w:val="00B26DD7"/>
    <w:rsid w:val="00B341EF"/>
    <w:rsid w:val="00B42D0F"/>
    <w:rsid w:val="00B44D76"/>
    <w:rsid w:val="00B47FEC"/>
    <w:rsid w:val="00B50E79"/>
    <w:rsid w:val="00B53647"/>
    <w:rsid w:val="00B7330A"/>
    <w:rsid w:val="00B734F2"/>
    <w:rsid w:val="00B90255"/>
    <w:rsid w:val="00BA7F29"/>
    <w:rsid w:val="00BB04AF"/>
    <w:rsid w:val="00BB3B29"/>
    <w:rsid w:val="00BB75A1"/>
    <w:rsid w:val="00BB7A06"/>
    <w:rsid w:val="00BC6998"/>
    <w:rsid w:val="00BD1CC3"/>
    <w:rsid w:val="00BD52C9"/>
    <w:rsid w:val="00BE5F5C"/>
    <w:rsid w:val="00BE6354"/>
    <w:rsid w:val="00BE6434"/>
    <w:rsid w:val="00BE765D"/>
    <w:rsid w:val="00BE7715"/>
    <w:rsid w:val="00BE7847"/>
    <w:rsid w:val="00BF20B7"/>
    <w:rsid w:val="00BF242D"/>
    <w:rsid w:val="00C00289"/>
    <w:rsid w:val="00C02F42"/>
    <w:rsid w:val="00C038A0"/>
    <w:rsid w:val="00C111B3"/>
    <w:rsid w:val="00C12926"/>
    <w:rsid w:val="00C138D1"/>
    <w:rsid w:val="00C1747C"/>
    <w:rsid w:val="00C22E6A"/>
    <w:rsid w:val="00C23A97"/>
    <w:rsid w:val="00C27AFD"/>
    <w:rsid w:val="00C32846"/>
    <w:rsid w:val="00C330C7"/>
    <w:rsid w:val="00C50091"/>
    <w:rsid w:val="00C56349"/>
    <w:rsid w:val="00C64855"/>
    <w:rsid w:val="00C70EA7"/>
    <w:rsid w:val="00C71D1C"/>
    <w:rsid w:val="00C727C9"/>
    <w:rsid w:val="00C7433F"/>
    <w:rsid w:val="00C7516E"/>
    <w:rsid w:val="00C75770"/>
    <w:rsid w:val="00C7656F"/>
    <w:rsid w:val="00C813C5"/>
    <w:rsid w:val="00C860A2"/>
    <w:rsid w:val="00C873A5"/>
    <w:rsid w:val="00CA56BB"/>
    <w:rsid w:val="00CA6401"/>
    <w:rsid w:val="00CB0542"/>
    <w:rsid w:val="00CB0C0B"/>
    <w:rsid w:val="00CB5E2C"/>
    <w:rsid w:val="00CC1893"/>
    <w:rsid w:val="00CC4689"/>
    <w:rsid w:val="00CC4DEC"/>
    <w:rsid w:val="00CC62BD"/>
    <w:rsid w:val="00CD4B28"/>
    <w:rsid w:val="00CF1756"/>
    <w:rsid w:val="00CF7DCA"/>
    <w:rsid w:val="00D00B2B"/>
    <w:rsid w:val="00D13D5A"/>
    <w:rsid w:val="00D15312"/>
    <w:rsid w:val="00D20BD8"/>
    <w:rsid w:val="00D24877"/>
    <w:rsid w:val="00D262EB"/>
    <w:rsid w:val="00D2779D"/>
    <w:rsid w:val="00D3082A"/>
    <w:rsid w:val="00D44A4B"/>
    <w:rsid w:val="00D4777F"/>
    <w:rsid w:val="00D50224"/>
    <w:rsid w:val="00D515E2"/>
    <w:rsid w:val="00D5469E"/>
    <w:rsid w:val="00D55E04"/>
    <w:rsid w:val="00D61CD2"/>
    <w:rsid w:val="00D6399B"/>
    <w:rsid w:val="00D72650"/>
    <w:rsid w:val="00D74C5D"/>
    <w:rsid w:val="00D750ED"/>
    <w:rsid w:val="00D75B9D"/>
    <w:rsid w:val="00D8075A"/>
    <w:rsid w:val="00D8250F"/>
    <w:rsid w:val="00D82535"/>
    <w:rsid w:val="00D95C4C"/>
    <w:rsid w:val="00DA191C"/>
    <w:rsid w:val="00DA2BCF"/>
    <w:rsid w:val="00DA36ED"/>
    <w:rsid w:val="00DB215D"/>
    <w:rsid w:val="00DC2A8A"/>
    <w:rsid w:val="00DC57A9"/>
    <w:rsid w:val="00DD2277"/>
    <w:rsid w:val="00DE1D64"/>
    <w:rsid w:val="00DE34F1"/>
    <w:rsid w:val="00DE4737"/>
    <w:rsid w:val="00DE4AA9"/>
    <w:rsid w:val="00DE6160"/>
    <w:rsid w:val="00DE744D"/>
    <w:rsid w:val="00DF1845"/>
    <w:rsid w:val="00DF3BC0"/>
    <w:rsid w:val="00DF4942"/>
    <w:rsid w:val="00DF651D"/>
    <w:rsid w:val="00E02E4E"/>
    <w:rsid w:val="00E07816"/>
    <w:rsid w:val="00E14908"/>
    <w:rsid w:val="00E22F29"/>
    <w:rsid w:val="00E2382C"/>
    <w:rsid w:val="00E244E1"/>
    <w:rsid w:val="00E24E8A"/>
    <w:rsid w:val="00E354E6"/>
    <w:rsid w:val="00E46250"/>
    <w:rsid w:val="00E627B1"/>
    <w:rsid w:val="00E62BB5"/>
    <w:rsid w:val="00E63922"/>
    <w:rsid w:val="00E70169"/>
    <w:rsid w:val="00E82EFC"/>
    <w:rsid w:val="00E9376C"/>
    <w:rsid w:val="00E95AE2"/>
    <w:rsid w:val="00EA335E"/>
    <w:rsid w:val="00EA528C"/>
    <w:rsid w:val="00EA580C"/>
    <w:rsid w:val="00EA7F1D"/>
    <w:rsid w:val="00EC5C14"/>
    <w:rsid w:val="00EC628C"/>
    <w:rsid w:val="00EC6DCA"/>
    <w:rsid w:val="00EC6F8D"/>
    <w:rsid w:val="00EE4900"/>
    <w:rsid w:val="00EE49F4"/>
    <w:rsid w:val="00EE60E8"/>
    <w:rsid w:val="00EF2ED6"/>
    <w:rsid w:val="00EF34E2"/>
    <w:rsid w:val="00EF6AE6"/>
    <w:rsid w:val="00F0253F"/>
    <w:rsid w:val="00F0634F"/>
    <w:rsid w:val="00F06CBA"/>
    <w:rsid w:val="00F102F7"/>
    <w:rsid w:val="00F11269"/>
    <w:rsid w:val="00F16604"/>
    <w:rsid w:val="00F2550C"/>
    <w:rsid w:val="00F25F99"/>
    <w:rsid w:val="00F30DC6"/>
    <w:rsid w:val="00F32C23"/>
    <w:rsid w:val="00F35BC4"/>
    <w:rsid w:val="00F37AB6"/>
    <w:rsid w:val="00F40207"/>
    <w:rsid w:val="00F41EFC"/>
    <w:rsid w:val="00F41FA6"/>
    <w:rsid w:val="00F43176"/>
    <w:rsid w:val="00F445DE"/>
    <w:rsid w:val="00F44F49"/>
    <w:rsid w:val="00F4640A"/>
    <w:rsid w:val="00F466D2"/>
    <w:rsid w:val="00F50137"/>
    <w:rsid w:val="00F520ED"/>
    <w:rsid w:val="00F52C56"/>
    <w:rsid w:val="00F53DE9"/>
    <w:rsid w:val="00F54979"/>
    <w:rsid w:val="00F576CB"/>
    <w:rsid w:val="00F7009E"/>
    <w:rsid w:val="00F7035D"/>
    <w:rsid w:val="00F71A02"/>
    <w:rsid w:val="00F739E1"/>
    <w:rsid w:val="00F93C00"/>
    <w:rsid w:val="00F94836"/>
    <w:rsid w:val="00F9493B"/>
    <w:rsid w:val="00FA06B4"/>
    <w:rsid w:val="00FA0D63"/>
    <w:rsid w:val="00FB6E64"/>
    <w:rsid w:val="00FC1E9A"/>
    <w:rsid w:val="00FC55CD"/>
    <w:rsid w:val="00FC61F8"/>
    <w:rsid w:val="00FD1226"/>
    <w:rsid w:val="00FD4FDE"/>
    <w:rsid w:val="00FE0D1B"/>
    <w:rsid w:val="00FE31A1"/>
    <w:rsid w:val="00FE5797"/>
    <w:rsid w:val="00FF2321"/>
    <w:rsid w:val="00FF4830"/>
    <w:rsid w:val="00FF54B6"/>
    <w:rsid w:val="00FF6EA1"/>
  </w:rsids>
  <m:mathPr>
    <m:mathFont m:val="Cambria Math"/>
    <m:brkBin m:val="before"/>
    <m:brkBinSub m:val="--"/>
    <m:smallFrac/>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3F745232"/>
  <w15:docId w15:val="{BF7702F3-F45C-4D27-ADCE-4DDC07E0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rsid w:val="009B7C0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aliases w:val="COM Heading,GA Heading"/>
    <w:basedOn w:val="Normal"/>
    <w:next w:val="Normal"/>
    <w:link w:val="Heading4Char"/>
    <w:qFormat/>
    <w:rsid w:val="00F71A02"/>
    <w:pPr>
      <w:keepNext/>
      <w:keepLines/>
      <w:numPr>
        <w:numId w:val="4"/>
      </w:numPr>
      <w:tabs>
        <w:tab w:val="left" w:pos="567"/>
      </w:tabs>
      <w:snapToGrid w:val="0"/>
      <w:spacing w:after="240"/>
      <w:ind w:left="567" w:hanging="567"/>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fr-FR"/>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fr-FR"/>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fr-FR"/>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GA Heading Char"/>
    <w:link w:val="Heading4"/>
    <w:rsid w:val="00F71A02"/>
    <w:rPr>
      <w:rFonts w:ascii="Arial" w:eastAsia="Times New Roman" w:hAnsi="Arial"/>
      <w:b/>
      <w:bCs/>
      <w:snapToGrid w:val="0"/>
      <w:sz w:val="22"/>
      <w:szCs w:val="24"/>
      <w:lang w:val="fr-FR"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2"/>
      </w:numPr>
      <w:spacing w:after="120"/>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uiPriority w:val="99"/>
    <w:qFormat/>
    <w:rsid w:val="00345CB4"/>
    <w:pPr>
      <w:numPr>
        <w:numId w:val="3"/>
      </w:numPr>
      <w:autoSpaceDE w:val="0"/>
      <w:autoSpaceDN w:val="0"/>
      <w:adjustRightInd w:val="0"/>
      <w:spacing w:after="120"/>
      <w:ind w:left="1134" w:hanging="567"/>
      <w:jc w:val="both"/>
    </w:pPr>
    <w:rPr>
      <w:rFonts w:ascii="Arial" w:eastAsia="SimSun" w:hAnsi="Arial" w:cs="Arial"/>
      <w:sz w:val="22"/>
      <w:szCs w:val="22"/>
      <w:u w:val="single"/>
    </w:rPr>
  </w:style>
  <w:style w:type="table" w:customStyle="1" w:styleId="TableGrid1">
    <w:name w:val="Table Grid1"/>
    <w:basedOn w:val="TableNormal"/>
    <w:next w:val="TableGrid"/>
    <w:uiPriority w:val="59"/>
    <w:rsid w:val="00E95A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10B30"/>
    <w:pPr>
      <w:ind w:left="720"/>
      <w:contextualSpacing/>
    </w:pPr>
  </w:style>
  <w:style w:type="paragraph" w:styleId="FootnoteText">
    <w:name w:val="footnote text"/>
    <w:basedOn w:val="Normal"/>
    <w:link w:val="FootnoteTextChar"/>
    <w:uiPriority w:val="99"/>
    <w:semiHidden/>
    <w:unhideWhenUsed/>
    <w:rsid w:val="00910B30"/>
    <w:rPr>
      <w:sz w:val="20"/>
      <w:szCs w:val="20"/>
    </w:rPr>
  </w:style>
  <w:style w:type="character" w:customStyle="1" w:styleId="FootnoteTextChar">
    <w:name w:val="Footnote Text Char"/>
    <w:basedOn w:val="DefaultParagraphFont"/>
    <w:link w:val="FootnoteText"/>
    <w:uiPriority w:val="99"/>
    <w:semiHidden/>
    <w:rsid w:val="00910B30"/>
    <w:rPr>
      <w:rFonts w:ascii="Times New Roman" w:eastAsia="Times New Roman" w:hAnsi="Times New Roman"/>
    </w:rPr>
  </w:style>
  <w:style w:type="character" w:styleId="FootnoteReference">
    <w:name w:val="footnote reference"/>
    <w:basedOn w:val="DefaultParagraphFont"/>
    <w:uiPriority w:val="99"/>
    <w:semiHidden/>
    <w:unhideWhenUsed/>
    <w:rsid w:val="00910B30"/>
    <w:rPr>
      <w:vertAlign w:val="superscript"/>
    </w:rPr>
  </w:style>
  <w:style w:type="character" w:styleId="Hyperlink">
    <w:name w:val="Hyperlink"/>
    <w:basedOn w:val="DefaultParagraphFont"/>
    <w:uiPriority w:val="99"/>
    <w:unhideWhenUsed/>
    <w:rsid w:val="00910B30"/>
    <w:rPr>
      <w:color w:val="0000FF" w:themeColor="hyperlink"/>
      <w:u w:val="single"/>
    </w:rPr>
  </w:style>
  <w:style w:type="character" w:customStyle="1" w:styleId="Heading3Char">
    <w:name w:val="Heading 3 Char"/>
    <w:basedOn w:val="DefaultParagraphFont"/>
    <w:link w:val="Heading3"/>
    <w:uiPriority w:val="9"/>
    <w:semiHidden/>
    <w:rsid w:val="009B7C08"/>
    <w:rPr>
      <w:rFonts w:asciiTheme="majorHAnsi" w:eastAsiaTheme="majorEastAsia" w:hAnsiTheme="majorHAnsi" w:cstheme="majorBidi"/>
      <w:color w:val="243F60" w:themeColor="accent1" w:themeShade="7F"/>
      <w:sz w:val="24"/>
      <w:szCs w:val="24"/>
    </w:rPr>
  </w:style>
  <w:style w:type="paragraph" w:customStyle="1" w:styleId="GAPara">
    <w:name w:val="GA Para"/>
    <w:qFormat/>
    <w:rsid w:val="009B7C08"/>
    <w:pPr>
      <w:spacing w:after="120"/>
      <w:ind w:left="720" w:hanging="360"/>
    </w:pPr>
    <w:rPr>
      <w:rFonts w:ascii="Arial" w:eastAsia="Times New Roman" w:hAnsi="Arial" w:cs="Arial"/>
      <w:snapToGrid w:val="0"/>
      <w:sz w:val="22"/>
      <w:szCs w:val="22"/>
      <w:lang w:eastAsia="en-US"/>
    </w:rPr>
  </w:style>
  <w:style w:type="paragraph" w:customStyle="1" w:styleId="GATitleResolution">
    <w:name w:val="GA Title Resolution"/>
    <w:basedOn w:val="Normal"/>
    <w:qFormat/>
    <w:rsid w:val="009B7C08"/>
    <w:pPr>
      <w:keepNext/>
      <w:spacing w:before="240" w:after="120"/>
      <w:ind w:left="567"/>
      <w:jc w:val="both"/>
    </w:pPr>
    <w:rPr>
      <w:rFonts w:ascii="Arial" w:hAnsi="Arial" w:cs="Arial"/>
      <w:b/>
      <w:sz w:val="22"/>
      <w:szCs w:val="22"/>
    </w:rPr>
  </w:style>
  <w:style w:type="paragraph" w:customStyle="1" w:styleId="GAPreambulaResolution">
    <w:name w:val="GA Preambula Resolution"/>
    <w:basedOn w:val="Normal"/>
    <w:qFormat/>
    <w:rsid w:val="009B7C08"/>
    <w:pPr>
      <w:keepNext/>
      <w:spacing w:after="120"/>
      <w:ind w:left="567"/>
      <w:jc w:val="both"/>
    </w:pPr>
    <w:rPr>
      <w:rFonts w:ascii="Arial" w:hAnsi="Arial" w:cs="Arial"/>
      <w:sz w:val="22"/>
      <w:szCs w:val="22"/>
    </w:rPr>
  </w:style>
  <w:style w:type="paragraph" w:customStyle="1" w:styleId="GAParaResolution">
    <w:name w:val="GA Para Resolution"/>
    <w:basedOn w:val="Normal"/>
    <w:qFormat/>
    <w:rsid w:val="009B7C08"/>
    <w:pPr>
      <w:autoSpaceDE w:val="0"/>
      <w:autoSpaceDN w:val="0"/>
      <w:adjustRightInd w:val="0"/>
      <w:spacing w:after="120"/>
      <w:ind w:left="1287" w:hanging="360"/>
      <w:jc w:val="both"/>
    </w:pPr>
    <w:rPr>
      <w:rFonts w:ascii="Arial" w:eastAsia="SimSun" w:hAnsi="Arial" w:cs="Arial"/>
      <w:sz w:val="22"/>
      <w:szCs w:val="22"/>
      <w:u w:val="single"/>
    </w:rPr>
  </w:style>
  <w:style w:type="character" w:styleId="CommentReference">
    <w:name w:val="annotation reference"/>
    <w:basedOn w:val="DefaultParagraphFont"/>
    <w:uiPriority w:val="99"/>
    <w:semiHidden/>
    <w:unhideWhenUsed/>
    <w:rsid w:val="009B7C08"/>
    <w:rPr>
      <w:sz w:val="16"/>
      <w:szCs w:val="16"/>
    </w:rPr>
  </w:style>
  <w:style w:type="paragraph" w:styleId="CommentText">
    <w:name w:val="annotation text"/>
    <w:basedOn w:val="Normal"/>
    <w:link w:val="CommentTextChar"/>
    <w:uiPriority w:val="99"/>
    <w:semiHidden/>
    <w:unhideWhenUsed/>
    <w:rsid w:val="009B7C08"/>
    <w:rPr>
      <w:sz w:val="20"/>
      <w:szCs w:val="20"/>
    </w:rPr>
  </w:style>
  <w:style w:type="character" w:customStyle="1" w:styleId="CommentTextChar">
    <w:name w:val="Comment Text Char"/>
    <w:basedOn w:val="DefaultParagraphFont"/>
    <w:link w:val="CommentText"/>
    <w:uiPriority w:val="99"/>
    <w:semiHidden/>
    <w:rsid w:val="009B7C0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B7C08"/>
    <w:rPr>
      <w:b/>
      <w:bCs/>
    </w:rPr>
  </w:style>
  <w:style w:type="character" w:customStyle="1" w:styleId="CommentSubjectChar">
    <w:name w:val="Comment Subject Char"/>
    <w:basedOn w:val="CommentTextChar"/>
    <w:link w:val="CommentSubject"/>
    <w:uiPriority w:val="99"/>
    <w:semiHidden/>
    <w:rsid w:val="009B7C08"/>
    <w:rPr>
      <w:rFonts w:ascii="Times New Roman" w:eastAsia="Times New Roman" w:hAnsi="Times New Roman"/>
      <w:b/>
      <w:bCs/>
    </w:rPr>
  </w:style>
  <w:style w:type="character" w:styleId="FollowedHyperlink">
    <w:name w:val="FollowedHyperlink"/>
    <w:basedOn w:val="DefaultParagraphFont"/>
    <w:uiPriority w:val="99"/>
    <w:semiHidden/>
    <w:unhideWhenUsed/>
    <w:rsid w:val="009B7C08"/>
    <w:rPr>
      <w:color w:val="800080" w:themeColor="followedHyperlink"/>
      <w:u w:val="single"/>
    </w:rPr>
  </w:style>
  <w:style w:type="paragraph" w:styleId="Revision">
    <w:name w:val="Revision"/>
    <w:hidden/>
    <w:uiPriority w:val="99"/>
    <w:semiHidden/>
    <w:rsid w:val="009B7C08"/>
    <w:rPr>
      <w:rFonts w:ascii="Times New Roman" w:eastAsia="Times New Roman" w:hAnsi="Times New Roman"/>
      <w:sz w:val="24"/>
      <w:szCs w:val="24"/>
    </w:rPr>
  </w:style>
  <w:style w:type="paragraph" w:customStyle="1" w:styleId="Texteduscnario">
    <w:name w:val="Texte du scénario"/>
    <w:basedOn w:val="Normal"/>
    <w:qFormat/>
    <w:rsid w:val="00C27AFD"/>
    <w:pPr>
      <w:spacing w:after="240" w:line="360" w:lineRule="auto"/>
      <w:jc w:val="both"/>
    </w:pPr>
    <w:rPr>
      <w:rFonts w:ascii="Arial" w:eastAsia="SimSun" w:hAnsi="Arial" w:cs="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16991655">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55922835">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ch.unesco.org/doc/src/ITH-18-13.COM-17-FR.docx" TargetMode="External"/><Relationship Id="rId18" Type="http://schemas.openxmlformats.org/officeDocument/2006/relationships/hyperlink" Target="https://ich.unesco.org/doc/src/ITH-18-7.GA-12-FR.docx" TargetMode="External"/><Relationship Id="rId26" Type="http://schemas.openxmlformats.org/officeDocument/2006/relationships/hyperlink" Target="https://ich.unesco.org/fr/Resolutions/7.GA/13" TargetMode="External"/><Relationship Id="rId39" Type="http://schemas.openxmlformats.org/officeDocument/2006/relationships/hyperlink" Target="https://ich.unesco.org/doc/src/ITH-18-13.COM-16-FR.docx" TargetMode="External"/><Relationship Id="rId21" Type="http://schemas.openxmlformats.org/officeDocument/2006/relationships/hyperlink" Target="https://ich.unesco.org/fr/Decisions/12.COM/16" TargetMode="External"/><Relationship Id="rId34" Type="http://schemas.openxmlformats.org/officeDocument/2006/relationships/hyperlink" Target="https://ich.unesco.org/fr/Resolutions/7.GA/12" TargetMode="External"/><Relationship Id="rId42" Type="http://schemas.openxmlformats.org/officeDocument/2006/relationships/hyperlink" Target="https://ich.unesco.org/doc/src/ITH-18-7.GA-12-FR.docx" TargetMode="External"/><Relationship Id="rId47" Type="http://schemas.openxmlformats.org/officeDocument/2006/relationships/hyperlink" Target="https://ich.unesco.org/fr/Resolutions/7.GA/13" TargetMode="External"/><Relationship Id="rId50" Type="http://schemas.openxmlformats.org/officeDocument/2006/relationships/hyperlink" Target="https://ich.unesco.org/fr/Resolutions/7.GA/13" TargetMode="External"/><Relationship Id="rId55" Type="http://schemas.openxmlformats.org/officeDocument/2006/relationships/hyperlink" Target="https://ich.unesco.org/doc/src/ITH-18-7.GA-12-FR.docx" TargetMode="External"/><Relationship Id="rId63" Type="http://schemas.openxmlformats.org/officeDocument/2006/relationships/hyperlink" Target="https://ich.unesco.org/doc/src/ITH-17-12.COM-7-FR.docx" TargetMode="External"/><Relationship Id="rId68" Type="http://schemas.openxmlformats.org/officeDocument/2006/relationships/hyperlink" Target="https://ich.unesco.org/fr/Resolutions/7.GA/13"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ich.unesco.org/doc/src/ITH-18-7.GA-12-FR.docx" TargetMode="External"/><Relationship Id="rId2" Type="http://schemas.openxmlformats.org/officeDocument/2006/relationships/numbering" Target="numbering.xml"/><Relationship Id="rId16" Type="http://schemas.openxmlformats.org/officeDocument/2006/relationships/hyperlink" Target="https://ich.unesco.org/fr/Resolutions/7.GA/13" TargetMode="External"/><Relationship Id="rId29" Type="http://schemas.openxmlformats.org/officeDocument/2006/relationships/header" Target="header3.xml"/><Relationship Id="rId11" Type="http://schemas.openxmlformats.org/officeDocument/2006/relationships/hyperlink" Target="https://ich.unesco.org/doc/src/ITH-18-7.GA-13-FR.docx" TargetMode="External"/><Relationship Id="rId24" Type="http://schemas.openxmlformats.org/officeDocument/2006/relationships/hyperlink" Target="https://ich.unesco.org/fr/Resolutions/6.GA/11" TargetMode="External"/><Relationship Id="rId32" Type="http://schemas.openxmlformats.org/officeDocument/2006/relationships/hyperlink" Target="https://ich.unesco.org/fr/reglement-com" TargetMode="External"/><Relationship Id="rId37" Type="http://schemas.openxmlformats.org/officeDocument/2006/relationships/hyperlink" Target="https://ich.unesco.org/doc/src/ITH-18-7.GA-6-FR.docx" TargetMode="External"/><Relationship Id="rId40" Type="http://schemas.openxmlformats.org/officeDocument/2006/relationships/hyperlink" Target="https://ich.unesco.org/doc/src/LHE-19-14.COM-16-FR.docx" TargetMode="External"/><Relationship Id="rId45" Type="http://schemas.openxmlformats.org/officeDocument/2006/relationships/hyperlink" Target="https://ich.unesco.org/fr/reglement-ag" TargetMode="External"/><Relationship Id="rId53" Type="http://schemas.openxmlformats.org/officeDocument/2006/relationships/hyperlink" Target="http://unesdoc.unesco.org/images/0025/002590/259081f.pdf" TargetMode="External"/><Relationship Id="rId58" Type="http://schemas.openxmlformats.org/officeDocument/2006/relationships/hyperlink" Target="https://ich.unesco.org/fr/Resolutions/7.GA/13" TargetMode="External"/><Relationship Id="rId66" Type="http://schemas.openxmlformats.org/officeDocument/2006/relationships/hyperlink" Target="https://ich.unesco.org/doc/src/ITH-18-7.GA-13-FR.docx" TargetMode="External"/><Relationship Id="rId7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ich.unesco.org/doc/src/ITH-18-7.GA-13-FR.docx" TargetMode="External"/><Relationship Id="rId23" Type="http://schemas.openxmlformats.org/officeDocument/2006/relationships/hyperlink" Target="https://ich.unesco.org/fr/Resolutions/7.GA/13" TargetMode="External"/><Relationship Id="rId28" Type="http://schemas.openxmlformats.org/officeDocument/2006/relationships/header" Target="header2.xml"/><Relationship Id="rId36" Type="http://schemas.openxmlformats.org/officeDocument/2006/relationships/hyperlink" Target="https://ich.unesco.org/doc/src/ITH-18-7.GA-12-FR.docx" TargetMode="External"/><Relationship Id="rId49" Type="http://schemas.openxmlformats.org/officeDocument/2006/relationships/hyperlink" Target="https://ich.unesco.org/fr/Resolutions/7.GA/12" TargetMode="External"/><Relationship Id="rId57" Type="http://schemas.openxmlformats.org/officeDocument/2006/relationships/hyperlink" Target="https://ich.unesco.org/fr/Resolutions/7.GA/12" TargetMode="External"/><Relationship Id="rId61" Type="http://schemas.openxmlformats.org/officeDocument/2006/relationships/hyperlink" Target="https://ich.unesco.org/doc/src/ITH-18-7.GA-12-FR.docx" TargetMode="External"/><Relationship Id="rId10" Type="http://schemas.openxmlformats.org/officeDocument/2006/relationships/hyperlink" Target="https://ich.unesco.org/doc/src/ITH-18-7.GA-12-FR.docx" TargetMode="External"/><Relationship Id="rId19" Type="http://schemas.openxmlformats.org/officeDocument/2006/relationships/hyperlink" Target="https://ich.unesco.org/doc/src/ITH-18-7.GA-13-FR.docx" TargetMode="External"/><Relationship Id="rId31" Type="http://schemas.openxmlformats.org/officeDocument/2006/relationships/hyperlink" Target="https://ich.unesco.org/doc/src/ITH-18-7.GA-12-FR.docx" TargetMode="External"/><Relationship Id="rId44" Type="http://schemas.openxmlformats.org/officeDocument/2006/relationships/hyperlink" Target="https://ich.unesco.org/fr/reglement-ag" TargetMode="External"/><Relationship Id="rId52" Type="http://schemas.openxmlformats.org/officeDocument/2006/relationships/hyperlink" Target="https://ich.unesco.org/fr/Resolutions/7.GA/13" TargetMode="External"/><Relationship Id="rId60" Type="http://schemas.openxmlformats.org/officeDocument/2006/relationships/hyperlink" Target="https://ich.unesco.org/doc/src/ITH-18-13.COM-17-FR.docx" TargetMode="External"/><Relationship Id="rId65" Type="http://schemas.openxmlformats.org/officeDocument/2006/relationships/hyperlink" Target="https://ich.unesco.org/fr/Resolutions/6.GA/11" TargetMode="External"/><Relationship Id="rId73"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unesdoc.unesco.org/images/0026/002600/260089f.pdf" TargetMode="External"/><Relationship Id="rId14" Type="http://schemas.openxmlformats.org/officeDocument/2006/relationships/hyperlink" Target="https://ich.unesco.org/doc/src/ITH-18-7.GA-12-FR.docx" TargetMode="External"/><Relationship Id="rId22" Type="http://schemas.openxmlformats.org/officeDocument/2006/relationships/hyperlink" Target="https://ich.unesco.org/fr/Resolutions/7.GA/12" TargetMode="External"/><Relationship Id="rId27" Type="http://schemas.openxmlformats.org/officeDocument/2006/relationships/header" Target="header1.xml"/><Relationship Id="rId30" Type="http://schemas.openxmlformats.org/officeDocument/2006/relationships/hyperlink" Target="https://ich.unesco.org/doc/src/ITH-18-7.GA-12-FR.docx" TargetMode="External"/><Relationship Id="rId35" Type="http://schemas.openxmlformats.org/officeDocument/2006/relationships/hyperlink" Target="https://ich.unesco.org/fr/Resolutions/7.GA/13" TargetMode="External"/><Relationship Id="rId43" Type="http://schemas.openxmlformats.org/officeDocument/2006/relationships/hyperlink" Target="https://ich.unesco.org/doc/src/ITH-18-7.GA-12-FR.docx" TargetMode="External"/><Relationship Id="rId48" Type="http://schemas.openxmlformats.org/officeDocument/2006/relationships/hyperlink" Target="https://ich.unesco.org/fr/reglement-com" TargetMode="External"/><Relationship Id="rId56" Type="http://schemas.openxmlformats.org/officeDocument/2006/relationships/hyperlink" Target="https://ich.unesco.org/doc/src/ITH-18-7.GA-12-FR.docx" TargetMode="External"/><Relationship Id="rId64" Type="http://schemas.openxmlformats.org/officeDocument/2006/relationships/hyperlink" Target="https://ich.unesco.org/fr/Decisions/12.COM/7" TargetMode="External"/><Relationship Id="rId69" Type="http://schemas.openxmlformats.org/officeDocument/2006/relationships/hyperlink" Target="https://ich.unesco.org/doc/src/ITH-18-7.GA-12-FR.docx" TargetMode="External"/><Relationship Id="rId8" Type="http://schemas.openxmlformats.org/officeDocument/2006/relationships/hyperlink" Target="https://en.unesco.org/sites/default/files/39c-res87-governance-fre.pdf" TargetMode="External"/><Relationship Id="rId51" Type="http://schemas.openxmlformats.org/officeDocument/2006/relationships/hyperlink" Target="https://ich.unesco.org/fr/Resolutions/7.GA/12" TargetMode="External"/><Relationship Id="rId72" Type="http://schemas.openxmlformats.org/officeDocument/2006/relationships/header" Target="header4.xml"/><Relationship Id="rId3" Type="http://schemas.openxmlformats.org/officeDocument/2006/relationships/styles" Target="styles.xml"/><Relationship Id="rId12" Type="http://schemas.openxmlformats.org/officeDocument/2006/relationships/hyperlink" Target="https://ich.unesco.org/doc/src/ITH-18-13.COM-16-FR.docx" TargetMode="External"/><Relationship Id="rId17" Type="http://schemas.openxmlformats.org/officeDocument/2006/relationships/hyperlink" Target="https://ich.unesco.org/doc/src/ITH-18-13.COM-17-FR.docx" TargetMode="External"/><Relationship Id="rId25" Type="http://schemas.openxmlformats.org/officeDocument/2006/relationships/hyperlink" Target="https://en.unesco.org/sites/default/files/39c-res87-governance-fre.pdf" TargetMode="External"/><Relationship Id="rId33" Type="http://schemas.openxmlformats.org/officeDocument/2006/relationships/hyperlink" Target="https://ich.unesco.org/doc/src/ITH-18-7.GA-2-FR.docx" TargetMode="External"/><Relationship Id="rId38" Type="http://schemas.openxmlformats.org/officeDocument/2006/relationships/hyperlink" Target="https://ich.unesco.org/fr/Decisions/12.COM/13" TargetMode="External"/><Relationship Id="rId46" Type="http://schemas.openxmlformats.org/officeDocument/2006/relationships/hyperlink" Target="https://ich.unesco.org/fr/Resolutions/7.GA/12" TargetMode="External"/><Relationship Id="rId59" Type="http://schemas.openxmlformats.org/officeDocument/2006/relationships/hyperlink" Target="https://ich.unesco.org/fr/reglement-com" TargetMode="External"/><Relationship Id="rId67" Type="http://schemas.openxmlformats.org/officeDocument/2006/relationships/hyperlink" Target="https://ich.unesco.org/fr/Resolutions/7.GA/12" TargetMode="External"/><Relationship Id="rId20" Type="http://schemas.openxmlformats.org/officeDocument/2006/relationships/hyperlink" Target="https://ich.unesco.org/fr/Decisions/12.COM/13" TargetMode="External"/><Relationship Id="rId41" Type="http://schemas.openxmlformats.org/officeDocument/2006/relationships/hyperlink" Target="https://ich.unesco.org/fr/Decisions/13.COM/10" TargetMode="External"/><Relationship Id="rId54" Type="http://schemas.openxmlformats.org/officeDocument/2006/relationships/hyperlink" Target="https://ich.unesco.org/fr/Decisions/12.COM/16" TargetMode="External"/><Relationship Id="rId62" Type="http://schemas.openxmlformats.org/officeDocument/2006/relationships/hyperlink" Target="https://ich.unesco.org/doc/src/ITH-18-7.GA-12-FR.docx" TargetMode="External"/><Relationship Id="rId70" Type="http://schemas.openxmlformats.org/officeDocument/2006/relationships/hyperlink" Target="https://ich.unesco.org/doc/src/ITH-18-7.GA-12-FR.docx"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unesdoc.unesco.org/images/0026/002600/260089f.pdf" TargetMode="External"/><Relationship Id="rId1" Type="http://schemas.openxmlformats.org/officeDocument/2006/relationships/hyperlink" Target="http://unesdoc.unesco.org/images/0025/002590/259081f.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96D34-7034-43E1-B261-FC0731685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14</Pages>
  <Words>5065</Words>
  <Characters>27863</Characters>
  <Application>Microsoft Office Word</Application>
  <DocSecurity>0</DocSecurity>
  <Lines>232</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32863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Thibault, Alice</cp:lastModifiedBy>
  <cp:revision>9</cp:revision>
  <cp:lastPrinted>2019-11-05T15:10:00Z</cp:lastPrinted>
  <dcterms:created xsi:type="dcterms:W3CDTF">2019-11-06T07:49:00Z</dcterms:created>
  <dcterms:modified xsi:type="dcterms:W3CDTF">2019-11-07T06:30:00Z</dcterms:modified>
</cp:coreProperties>
</file>