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E9611" w14:textId="2A1F819B"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w:t>
      </w:r>
      <w:r w:rsidR="005E778C">
        <w:rPr>
          <w:rFonts w:ascii="Arial" w:hAnsi="Arial" w:cs="Arial"/>
          <w:b/>
          <w:sz w:val="22"/>
          <w:szCs w:val="22"/>
          <w:lang w:val="en-GB"/>
        </w:rPr>
        <w:t>ION FOR THE SAFEGUARDING OF THE</w:t>
      </w:r>
      <w:r w:rsidRPr="00293C60">
        <w:rPr>
          <w:rFonts w:ascii="Arial" w:hAnsi="Arial" w:cs="Arial"/>
          <w:b/>
          <w:sz w:val="22"/>
          <w:szCs w:val="22"/>
          <w:lang w:val="en-GB"/>
        </w:rPr>
        <w:br/>
        <w:t>INTANGIBLE CULTURAL HERITAGE</w:t>
      </w:r>
    </w:p>
    <w:p w14:paraId="184FE12C"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bookmarkStart w:id="0" w:name="_GoBack"/>
      <w:bookmarkEnd w:id="0"/>
      <w:r w:rsidRPr="00293C60">
        <w:rPr>
          <w:rFonts w:ascii="Arial" w:hAnsi="Arial" w:cs="Arial"/>
          <w:b/>
          <w:sz w:val="22"/>
          <w:szCs w:val="22"/>
          <w:lang w:val="en-GB"/>
        </w:rPr>
        <w:br/>
        <w:t>SAFEGUARDING OF THE INTANGIBLE CULTURAL HERITAGE</w:t>
      </w:r>
    </w:p>
    <w:p w14:paraId="4B7E040A" w14:textId="73F3B7F4" w:rsidR="00EC6F8D" w:rsidRPr="00293C60" w:rsidRDefault="00EA7F1D" w:rsidP="001D14FE">
      <w:pPr>
        <w:spacing w:before="840"/>
        <w:jc w:val="center"/>
        <w:rPr>
          <w:rFonts w:ascii="Arial" w:hAnsi="Arial" w:cs="Arial"/>
          <w:b/>
          <w:sz w:val="22"/>
          <w:szCs w:val="22"/>
          <w:lang w:val="en-GB"/>
        </w:rPr>
      </w:pPr>
      <w:r>
        <w:rPr>
          <w:rFonts w:ascii="Arial" w:eastAsiaTheme="minorEastAsia" w:hAnsi="Arial" w:cs="Arial"/>
          <w:b/>
          <w:sz w:val="22"/>
          <w:szCs w:val="22"/>
          <w:lang w:val="en-GB" w:eastAsia="ko-KR"/>
        </w:rPr>
        <w:t>Fourteenth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7C8D777D" w14:textId="77777777" w:rsidR="00EA7F1D" w:rsidRPr="00F83405" w:rsidRDefault="00EA7F1D" w:rsidP="00EA7F1D">
      <w:pPr>
        <w:jc w:val="center"/>
        <w:rPr>
          <w:rFonts w:ascii="Arial" w:eastAsia="Malgun Gothic" w:hAnsi="Arial" w:cs="Arial"/>
          <w:b/>
          <w:sz w:val="22"/>
          <w:szCs w:val="22"/>
          <w:lang w:val="en-GB" w:eastAsia="ko-KR"/>
        </w:rPr>
      </w:pPr>
      <w:r>
        <w:rPr>
          <w:rFonts w:ascii="Arial" w:eastAsia="Malgun Gothic" w:hAnsi="Arial" w:cs="Arial"/>
          <w:b/>
          <w:sz w:val="22"/>
          <w:szCs w:val="22"/>
          <w:lang w:val="en-GB" w:eastAsia="ko-KR"/>
        </w:rPr>
        <w:t>Bogot</w:t>
      </w:r>
      <w:r w:rsidRPr="0007013D">
        <w:rPr>
          <w:rFonts w:ascii="Arial" w:eastAsia="Malgun Gothic" w:hAnsi="Arial" w:cs="Arial"/>
          <w:b/>
          <w:sz w:val="22"/>
          <w:szCs w:val="22"/>
          <w:lang w:val="en-GB" w:eastAsia="ko-KR"/>
        </w:rPr>
        <w:t>á</w:t>
      </w:r>
      <w:r>
        <w:rPr>
          <w:rFonts w:ascii="Arial" w:eastAsia="Malgun Gothic" w:hAnsi="Arial" w:cs="Arial" w:hint="eastAsia"/>
          <w:b/>
          <w:sz w:val="22"/>
          <w:szCs w:val="22"/>
          <w:lang w:val="en-GB" w:eastAsia="ko-KR"/>
        </w:rPr>
        <w:t xml:space="preserve">, Republic of </w:t>
      </w:r>
      <w:r>
        <w:rPr>
          <w:rFonts w:ascii="Arial" w:eastAsia="Malgun Gothic" w:hAnsi="Arial" w:cs="Arial"/>
          <w:b/>
          <w:sz w:val="22"/>
          <w:szCs w:val="22"/>
          <w:lang w:val="en-GB" w:eastAsia="ko-KR"/>
        </w:rPr>
        <w:t>Colombia</w:t>
      </w:r>
    </w:p>
    <w:p w14:paraId="5BD7E7F9" w14:textId="4E0F03C0" w:rsidR="00EC6F8D" w:rsidRPr="00337CEB" w:rsidRDefault="00EA7F1D" w:rsidP="001D14FE">
      <w:pPr>
        <w:jc w:val="center"/>
        <w:rPr>
          <w:rFonts w:ascii="Arial" w:eastAsiaTheme="minorEastAsia" w:hAnsi="Arial" w:cs="Arial"/>
          <w:b/>
          <w:sz w:val="22"/>
          <w:szCs w:val="22"/>
          <w:lang w:val="en-GB" w:eastAsia="ko-KR"/>
        </w:rPr>
      </w:pPr>
      <w:proofErr w:type="gramStart"/>
      <w:r>
        <w:rPr>
          <w:rFonts w:ascii="Arial" w:eastAsiaTheme="minorEastAsia" w:hAnsi="Arial" w:cs="Arial"/>
          <w:b/>
          <w:sz w:val="22"/>
          <w:szCs w:val="22"/>
          <w:lang w:val="en-GB" w:eastAsia="ko-KR"/>
        </w:rPr>
        <w:t>9</w:t>
      </w:r>
      <w:proofErr w:type="gramEnd"/>
      <w:r w:rsidR="001D14FE">
        <w:rPr>
          <w:rFonts w:ascii="Arial" w:eastAsiaTheme="minorEastAsia" w:hAnsi="Arial" w:cs="Arial"/>
          <w:b/>
          <w:sz w:val="22"/>
          <w:szCs w:val="22"/>
          <w:lang w:val="en-GB" w:eastAsia="ko-KR"/>
        </w:rPr>
        <w:t xml:space="preserve"> </w:t>
      </w:r>
      <w:r w:rsidR="00EC6F8D" w:rsidRPr="00EC6F8D">
        <w:rPr>
          <w:rFonts w:ascii="Arial" w:hAnsi="Arial" w:cs="Arial"/>
          <w:b/>
          <w:sz w:val="22"/>
          <w:szCs w:val="22"/>
          <w:lang w:val="en-GB"/>
        </w:rPr>
        <w:t xml:space="preserve">to </w:t>
      </w:r>
      <w:r w:rsidR="001D14FE">
        <w:rPr>
          <w:rFonts w:ascii="Arial" w:hAnsi="Arial" w:cs="Arial"/>
          <w:b/>
          <w:sz w:val="22"/>
          <w:szCs w:val="22"/>
          <w:lang w:val="en-GB"/>
        </w:rPr>
        <w:t>1</w:t>
      </w:r>
      <w:r>
        <w:rPr>
          <w:rFonts w:ascii="Arial" w:hAnsi="Arial" w:cs="Arial"/>
          <w:b/>
          <w:sz w:val="22"/>
          <w:szCs w:val="22"/>
          <w:lang w:val="en-GB"/>
        </w:rPr>
        <w:t>4</w:t>
      </w:r>
      <w:r w:rsidR="00337CEB">
        <w:rPr>
          <w:rFonts w:ascii="Arial" w:hAnsi="Arial" w:cs="Arial"/>
          <w:b/>
          <w:sz w:val="22"/>
          <w:szCs w:val="22"/>
          <w:lang w:val="en-GB"/>
        </w:rPr>
        <w:t xml:space="preserve"> December 201</w:t>
      </w:r>
      <w:r>
        <w:rPr>
          <w:rFonts w:ascii="Arial" w:eastAsiaTheme="minorEastAsia" w:hAnsi="Arial" w:cs="Arial"/>
          <w:b/>
          <w:sz w:val="22"/>
          <w:szCs w:val="22"/>
          <w:lang w:val="en-GB" w:eastAsia="ko-KR"/>
        </w:rPr>
        <w:t>9</w:t>
      </w:r>
    </w:p>
    <w:p w14:paraId="04EB19F2" w14:textId="2CDEDF43" w:rsidR="00EC6F8D" w:rsidRPr="00293C60" w:rsidRDefault="00EC6F8D" w:rsidP="00EC6F8D">
      <w:pPr>
        <w:pStyle w:val="Sansinterligne2"/>
        <w:spacing w:before="1200"/>
        <w:jc w:val="center"/>
        <w:rPr>
          <w:rFonts w:ascii="Arial" w:hAnsi="Arial" w:cs="Arial"/>
          <w:b/>
          <w:sz w:val="22"/>
          <w:szCs w:val="22"/>
          <w:lang w:val="en-GB"/>
        </w:rPr>
      </w:pPr>
      <w:r w:rsidRPr="00992B89">
        <w:rPr>
          <w:rFonts w:ascii="Arial" w:hAnsi="Arial" w:cs="Arial"/>
          <w:b/>
          <w:sz w:val="22"/>
          <w:szCs w:val="22"/>
          <w:u w:val="single"/>
          <w:lang w:val="en-GB"/>
        </w:rPr>
        <w:t xml:space="preserve">Item </w:t>
      </w:r>
      <w:r w:rsidR="00C525CA" w:rsidRPr="00992B89">
        <w:rPr>
          <w:rFonts w:ascii="Arial" w:hAnsi="Arial" w:cs="Arial"/>
          <w:b/>
          <w:sz w:val="22"/>
          <w:szCs w:val="22"/>
          <w:u w:val="single"/>
          <w:lang w:val="en-GB"/>
        </w:rPr>
        <w:t>1</w:t>
      </w:r>
      <w:r w:rsidR="00C525CA">
        <w:rPr>
          <w:rFonts w:ascii="Arial" w:hAnsi="Arial" w:cs="Arial"/>
          <w:b/>
          <w:sz w:val="22"/>
          <w:szCs w:val="22"/>
          <w:u w:val="single"/>
          <w:lang w:val="en-GB"/>
        </w:rPr>
        <w:t>9</w:t>
      </w:r>
      <w:r w:rsidR="00C525CA" w:rsidRPr="00992B89">
        <w:rPr>
          <w:rFonts w:ascii="Arial" w:hAnsi="Arial" w:cs="Arial"/>
          <w:b/>
          <w:sz w:val="22"/>
          <w:szCs w:val="22"/>
          <w:u w:val="single"/>
          <w:lang w:val="en-GB"/>
        </w:rPr>
        <w:t xml:space="preserve"> </w:t>
      </w:r>
      <w:r w:rsidRPr="00992B89">
        <w:rPr>
          <w:rFonts w:ascii="Arial" w:hAnsi="Arial" w:cs="Arial"/>
          <w:b/>
          <w:sz w:val="22"/>
          <w:szCs w:val="22"/>
          <w:u w:val="single"/>
          <w:lang w:val="en-GB"/>
        </w:rPr>
        <w:t>of the Provisional Agenda</w:t>
      </w:r>
      <w:r w:rsidRPr="00293C60">
        <w:rPr>
          <w:rFonts w:ascii="Arial" w:hAnsi="Arial" w:cs="Arial"/>
          <w:b/>
          <w:sz w:val="22"/>
          <w:szCs w:val="22"/>
          <w:lang w:val="en-GB"/>
        </w:rPr>
        <w:t>:</w:t>
      </w:r>
    </w:p>
    <w:p w14:paraId="4A4F0E43" w14:textId="6538B3B2" w:rsidR="00EC6F8D" w:rsidRPr="00293C60" w:rsidRDefault="00910B30" w:rsidP="00AC000C">
      <w:pPr>
        <w:pStyle w:val="Sansinterligne2"/>
        <w:spacing w:after="1200"/>
        <w:jc w:val="center"/>
        <w:rPr>
          <w:rFonts w:ascii="Arial" w:hAnsi="Arial" w:cs="Arial"/>
          <w:b/>
          <w:sz w:val="22"/>
          <w:szCs w:val="22"/>
          <w:lang w:val="en-GB"/>
        </w:rPr>
      </w:pPr>
      <w:r w:rsidRPr="00910B30">
        <w:rPr>
          <w:rFonts w:ascii="Arial" w:hAnsi="Arial" w:cs="Arial"/>
          <w:b/>
          <w:sz w:val="22"/>
          <w:szCs w:val="22"/>
          <w:lang w:val="en-GB"/>
        </w:rPr>
        <w:t xml:space="preserve">Follow-up on </w:t>
      </w:r>
      <w:r w:rsidR="00FE31A1">
        <w:rPr>
          <w:rFonts w:ascii="Arial" w:hAnsi="Arial" w:cs="Arial"/>
          <w:b/>
          <w:sz w:val="22"/>
          <w:szCs w:val="22"/>
          <w:lang w:val="en-GB"/>
        </w:rPr>
        <w:t xml:space="preserve">the </w:t>
      </w:r>
      <w:r w:rsidRPr="00910B30">
        <w:rPr>
          <w:rFonts w:ascii="Arial" w:hAnsi="Arial" w:cs="Arial"/>
          <w:b/>
          <w:sz w:val="22"/>
          <w:szCs w:val="22"/>
          <w:lang w:val="en-GB"/>
        </w:rPr>
        <w:t xml:space="preserve">implementation of </w:t>
      </w:r>
      <w:r w:rsidR="00AC000C">
        <w:rPr>
          <w:rFonts w:ascii="Arial" w:hAnsi="Arial" w:cs="Arial"/>
          <w:b/>
          <w:sz w:val="22"/>
          <w:szCs w:val="22"/>
          <w:lang w:val="en-GB"/>
        </w:rPr>
        <w:t>the relevant recommendations of</w:t>
      </w:r>
      <w:r w:rsidR="00AC000C">
        <w:rPr>
          <w:rFonts w:ascii="Arial" w:hAnsi="Arial" w:cs="Arial"/>
          <w:b/>
          <w:sz w:val="22"/>
          <w:szCs w:val="22"/>
          <w:lang w:val="en-GB"/>
        </w:rPr>
        <w:br/>
      </w:r>
      <w:r w:rsidRPr="00910B30">
        <w:rPr>
          <w:rFonts w:ascii="Arial" w:hAnsi="Arial" w:cs="Arial"/>
          <w:b/>
          <w:sz w:val="22"/>
          <w:szCs w:val="22"/>
          <w:lang w:val="en-GB"/>
        </w:rPr>
        <w:t>the Open-Ended Working Group on the Governance, Procedures and Working Methods of the Governing Bodies of UNESCO</w:t>
      </w:r>
      <w:r w:rsidR="00B734F2">
        <w:rPr>
          <w:rFonts w:ascii="Arial" w:hAnsi="Arial" w:cs="Arial"/>
          <w:b/>
          <w:sz w:val="22"/>
          <w:szCs w:val="22"/>
          <w:lang w:val="en-GB"/>
        </w:rPr>
        <w:t xml:space="preserve"> </w:t>
      </w:r>
      <w:r w:rsidR="00B734F2" w:rsidRPr="00B734F2">
        <w:rPr>
          <w:rFonts w:ascii="Arial" w:hAnsi="Arial" w:cs="Arial"/>
          <w:b/>
          <w:sz w:val="22"/>
          <w:szCs w:val="22"/>
          <w:lang w:val="en-GB"/>
        </w:rPr>
        <w:t>(39 C/Resolution 87)</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9B7C08" w14:paraId="5D0EB090" w14:textId="77777777" w:rsidTr="00EC6F8D">
        <w:trPr>
          <w:jc w:val="center"/>
        </w:trPr>
        <w:tc>
          <w:tcPr>
            <w:tcW w:w="5670" w:type="dxa"/>
            <w:vAlign w:val="center"/>
          </w:tcPr>
          <w:p w14:paraId="55E306C4"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018772A9" w14:textId="1972D97C" w:rsidR="009B7C08" w:rsidRPr="00AC000C" w:rsidRDefault="009B7C08" w:rsidP="005E778C">
            <w:pPr>
              <w:pStyle w:val="Sansinterligne2"/>
              <w:spacing w:after="120"/>
              <w:jc w:val="both"/>
              <w:rPr>
                <w:rFonts w:ascii="Arial" w:hAnsi="Arial" w:cs="Arial"/>
                <w:bCs/>
                <w:sz w:val="22"/>
                <w:szCs w:val="22"/>
                <w:lang w:val="en-GB"/>
              </w:rPr>
            </w:pPr>
            <w:r w:rsidRPr="00EA7F1D">
              <w:rPr>
                <w:rFonts w:ascii="Arial" w:hAnsi="Arial" w:cs="Arial"/>
                <w:sz w:val="22"/>
                <w:szCs w:val="22"/>
                <w:lang w:val="en-GB"/>
              </w:rPr>
              <w:t xml:space="preserve">At its thirty-ninth session, by 39 C/Resolution 87, the General Conference invited the governing bodies of the different organs to implement </w:t>
            </w:r>
            <w:r w:rsidR="00FE0D1B" w:rsidRPr="00EA7F1D">
              <w:rPr>
                <w:rFonts w:ascii="Arial" w:hAnsi="Arial" w:cs="Arial"/>
                <w:sz w:val="22"/>
                <w:szCs w:val="22"/>
                <w:lang w:val="en-GB"/>
              </w:rPr>
              <w:t>the</w:t>
            </w:r>
            <w:r w:rsidRPr="00EA7F1D">
              <w:rPr>
                <w:rFonts w:ascii="Arial" w:hAnsi="Arial" w:cs="Arial"/>
                <w:sz w:val="22"/>
                <w:szCs w:val="22"/>
                <w:lang w:val="en-GB"/>
              </w:rPr>
              <w:t xml:space="preserve"> recommendations on the </w:t>
            </w:r>
            <w:r w:rsidR="006D2AC8" w:rsidRPr="00EA7F1D">
              <w:rPr>
                <w:rFonts w:ascii="Arial" w:hAnsi="Arial" w:cs="Arial"/>
                <w:sz w:val="22"/>
                <w:szCs w:val="22"/>
                <w:lang w:val="en-GB"/>
              </w:rPr>
              <w:t>g</w:t>
            </w:r>
            <w:r w:rsidRPr="00EA7F1D">
              <w:rPr>
                <w:rFonts w:ascii="Arial" w:hAnsi="Arial" w:cs="Arial"/>
                <w:sz w:val="22"/>
                <w:szCs w:val="22"/>
                <w:lang w:val="en-GB"/>
              </w:rPr>
              <w:t>overnance of UNESCO</w:t>
            </w:r>
            <w:r w:rsidR="00F0634F" w:rsidRPr="00EA7F1D">
              <w:rPr>
                <w:rFonts w:ascii="Arial" w:hAnsi="Arial" w:cs="Arial"/>
                <w:sz w:val="22"/>
                <w:szCs w:val="22"/>
                <w:lang w:val="en-GB"/>
              </w:rPr>
              <w:t>, which</w:t>
            </w:r>
            <w:r w:rsidRPr="00EA7F1D">
              <w:rPr>
                <w:rFonts w:ascii="Arial" w:hAnsi="Arial" w:cs="Arial"/>
                <w:sz w:val="22"/>
                <w:szCs w:val="22"/>
                <w:lang w:val="en-GB"/>
              </w:rPr>
              <w:t xml:space="preserve"> </w:t>
            </w:r>
            <w:r w:rsidR="005B7C4E" w:rsidRPr="00EA7F1D">
              <w:rPr>
                <w:rFonts w:ascii="Arial" w:hAnsi="Arial" w:cs="Arial"/>
                <w:sz w:val="22"/>
                <w:szCs w:val="22"/>
                <w:lang w:val="en-GB"/>
              </w:rPr>
              <w:t xml:space="preserve">it </w:t>
            </w:r>
            <w:r w:rsidR="00EE60E8" w:rsidRPr="00EA7F1D">
              <w:rPr>
                <w:rFonts w:ascii="Arial" w:hAnsi="Arial" w:cs="Arial"/>
                <w:sz w:val="22"/>
                <w:szCs w:val="22"/>
                <w:lang w:val="en-GB"/>
              </w:rPr>
              <w:t>endorsed</w:t>
            </w:r>
            <w:r w:rsidR="005B7C4E" w:rsidRPr="00EA7F1D">
              <w:rPr>
                <w:rFonts w:ascii="Arial" w:hAnsi="Arial" w:cs="Arial"/>
                <w:sz w:val="22"/>
                <w:szCs w:val="22"/>
                <w:lang w:val="en-GB"/>
              </w:rPr>
              <w:t xml:space="preserve"> by the same Resolution</w:t>
            </w:r>
            <w:r w:rsidRPr="00EA7F1D">
              <w:rPr>
                <w:rFonts w:ascii="Arial" w:hAnsi="Arial" w:cs="Arial"/>
                <w:sz w:val="22"/>
                <w:szCs w:val="22"/>
                <w:lang w:val="en-GB"/>
              </w:rPr>
              <w:t xml:space="preserve">. This </w:t>
            </w:r>
            <w:r w:rsidR="005B7C4E" w:rsidRPr="00EA7F1D">
              <w:rPr>
                <w:rFonts w:ascii="Arial" w:hAnsi="Arial" w:cs="Arial"/>
                <w:sz w:val="22"/>
                <w:szCs w:val="22"/>
                <w:lang w:val="en-GB"/>
              </w:rPr>
              <w:t xml:space="preserve">document </w:t>
            </w:r>
            <w:r w:rsidR="0078716D" w:rsidRPr="00EA7F1D">
              <w:rPr>
                <w:rFonts w:ascii="Arial" w:hAnsi="Arial" w:cs="Arial"/>
                <w:sz w:val="22"/>
                <w:szCs w:val="22"/>
                <w:lang w:val="en-GB"/>
              </w:rPr>
              <w:t>provides an update</w:t>
            </w:r>
            <w:r w:rsidR="005B7C4E" w:rsidRPr="00EA7F1D">
              <w:rPr>
                <w:rFonts w:ascii="Arial" w:hAnsi="Arial" w:cs="Arial"/>
                <w:sz w:val="22"/>
                <w:szCs w:val="22"/>
                <w:lang w:val="en-GB"/>
              </w:rPr>
              <w:t xml:space="preserve"> </w:t>
            </w:r>
            <w:r w:rsidR="00FE0D1B" w:rsidRPr="00EA7F1D">
              <w:rPr>
                <w:rFonts w:ascii="Arial" w:hAnsi="Arial" w:cs="Arial"/>
                <w:sz w:val="22"/>
                <w:szCs w:val="22"/>
                <w:lang w:val="en-GB"/>
              </w:rPr>
              <w:t>on the status of the implementation of those recommendations</w:t>
            </w:r>
            <w:r w:rsidRPr="00EA7F1D">
              <w:rPr>
                <w:rFonts w:ascii="Arial" w:hAnsi="Arial" w:cs="Arial"/>
                <w:sz w:val="22"/>
                <w:szCs w:val="22"/>
                <w:lang w:val="en-GB"/>
              </w:rPr>
              <w:t xml:space="preserve"> </w:t>
            </w:r>
            <w:r w:rsidR="00FE0D1B" w:rsidRPr="00EA7F1D">
              <w:rPr>
                <w:rFonts w:ascii="Arial" w:hAnsi="Arial" w:cs="Arial"/>
                <w:sz w:val="22"/>
                <w:szCs w:val="22"/>
                <w:lang w:val="en-GB"/>
              </w:rPr>
              <w:t>that are relevant to the governing bodies of the 2003</w:t>
            </w:r>
            <w:r w:rsidR="005E778C" w:rsidRPr="00EA7F1D">
              <w:rPr>
                <w:rFonts w:ascii="Arial" w:hAnsi="Arial" w:cs="Arial"/>
                <w:sz w:val="22"/>
                <w:szCs w:val="22"/>
                <w:lang w:val="en-GB"/>
              </w:rPr>
              <w:t> </w:t>
            </w:r>
            <w:r w:rsidR="00FE0D1B" w:rsidRPr="00EA7F1D">
              <w:rPr>
                <w:rFonts w:ascii="Arial" w:hAnsi="Arial" w:cs="Arial"/>
                <w:sz w:val="22"/>
                <w:szCs w:val="22"/>
                <w:lang w:val="en-GB"/>
              </w:rPr>
              <w:t>Convention in relation to the status</w:t>
            </w:r>
            <w:r w:rsidR="005B7C4E" w:rsidRPr="00EA7F1D">
              <w:rPr>
                <w:rFonts w:ascii="Arial" w:hAnsi="Arial" w:cs="Arial"/>
                <w:sz w:val="22"/>
                <w:szCs w:val="22"/>
                <w:lang w:val="en-GB"/>
              </w:rPr>
              <w:t xml:space="preserve"> </w:t>
            </w:r>
            <w:r w:rsidRPr="00EA7F1D">
              <w:rPr>
                <w:rFonts w:ascii="Arial" w:hAnsi="Arial" w:cs="Arial"/>
                <w:sz w:val="22"/>
                <w:szCs w:val="22"/>
                <w:lang w:val="en-GB"/>
              </w:rPr>
              <w:t>presented</w:t>
            </w:r>
            <w:r w:rsidR="005E778C" w:rsidRPr="00EA7F1D">
              <w:rPr>
                <w:rFonts w:ascii="Arial" w:hAnsi="Arial" w:cs="Arial"/>
                <w:sz w:val="22"/>
                <w:szCs w:val="22"/>
                <w:lang w:val="en-GB"/>
              </w:rPr>
              <w:t xml:space="preserve"> </w:t>
            </w:r>
            <w:r w:rsidRPr="00EA7F1D">
              <w:rPr>
                <w:rFonts w:ascii="Arial" w:hAnsi="Arial" w:cs="Arial"/>
                <w:sz w:val="22"/>
                <w:szCs w:val="22"/>
                <w:lang w:val="en-GB"/>
              </w:rPr>
              <w:t xml:space="preserve">to the seventh </w:t>
            </w:r>
            <w:r w:rsidR="00FE0D1B" w:rsidRPr="00EA7F1D">
              <w:rPr>
                <w:rFonts w:ascii="Arial" w:hAnsi="Arial" w:cs="Arial"/>
                <w:sz w:val="22"/>
                <w:szCs w:val="22"/>
                <w:lang w:val="en-GB"/>
              </w:rPr>
              <w:t xml:space="preserve">session of the General </w:t>
            </w:r>
            <w:r w:rsidR="00FE0D1B" w:rsidRPr="00373083">
              <w:rPr>
                <w:rFonts w:ascii="Arial" w:hAnsi="Arial" w:cs="Arial"/>
                <w:sz w:val="22"/>
                <w:szCs w:val="22"/>
                <w:lang w:val="en-GB"/>
              </w:rPr>
              <w:t>Assembly</w:t>
            </w:r>
            <w:r w:rsidR="00EA7F1D" w:rsidRPr="00373083">
              <w:rPr>
                <w:rFonts w:ascii="Arial" w:hAnsi="Arial" w:cs="Arial"/>
                <w:sz w:val="22"/>
                <w:szCs w:val="22"/>
                <w:lang w:val="en-GB"/>
              </w:rPr>
              <w:t xml:space="preserve"> and updated at the thirteenth session of the Committee</w:t>
            </w:r>
            <w:r w:rsidRPr="00373083">
              <w:rPr>
                <w:rFonts w:ascii="Arial" w:hAnsi="Arial" w:cs="Arial"/>
                <w:sz w:val="22"/>
                <w:szCs w:val="22"/>
                <w:lang w:val="en-GB"/>
              </w:rPr>
              <w:t>.</w:t>
            </w:r>
          </w:p>
          <w:p w14:paraId="44466E9F" w14:textId="7D27C5FB" w:rsidR="00EC6F8D" w:rsidRPr="009B7C08" w:rsidRDefault="009B7C08">
            <w:pPr>
              <w:pStyle w:val="Sansinterligne2"/>
              <w:spacing w:before="200" w:after="200"/>
              <w:jc w:val="both"/>
              <w:rPr>
                <w:rFonts w:ascii="Arial" w:hAnsi="Arial" w:cs="Arial"/>
                <w:bCs/>
                <w:sz w:val="22"/>
                <w:szCs w:val="22"/>
                <w:lang w:val="en-GB"/>
              </w:rPr>
            </w:pPr>
            <w:r w:rsidRPr="00C21D96">
              <w:rPr>
                <w:rFonts w:ascii="Arial" w:hAnsi="Arial" w:cs="Arial"/>
                <w:b/>
                <w:sz w:val="22"/>
                <w:szCs w:val="22"/>
                <w:lang w:val="en-GB"/>
              </w:rPr>
              <w:t xml:space="preserve">Decision required: </w:t>
            </w:r>
            <w:r w:rsidRPr="00362E48">
              <w:rPr>
                <w:rFonts w:ascii="Arial" w:hAnsi="Arial" w:cs="Arial"/>
                <w:bCs/>
                <w:sz w:val="22"/>
                <w:szCs w:val="22"/>
                <w:lang w:val="en-GB"/>
              </w:rPr>
              <w:t xml:space="preserve">paragraph </w:t>
            </w:r>
            <w:r w:rsidR="00C525CA">
              <w:rPr>
                <w:rFonts w:ascii="Arial" w:hAnsi="Arial" w:cs="Arial"/>
                <w:bCs/>
                <w:sz w:val="22"/>
                <w:szCs w:val="22"/>
                <w:lang w:val="en-GB"/>
              </w:rPr>
              <w:t>8</w:t>
            </w:r>
          </w:p>
        </w:tc>
      </w:tr>
    </w:tbl>
    <w:p w14:paraId="150BC101" w14:textId="3F675E25" w:rsidR="007633B9" w:rsidRDefault="00655736" w:rsidP="00974C6E">
      <w:pPr>
        <w:pStyle w:val="ListParagraph"/>
        <w:numPr>
          <w:ilvl w:val="0"/>
          <w:numId w:val="5"/>
        </w:numPr>
        <w:spacing w:after="120"/>
        <w:ind w:left="567" w:hanging="567"/>
        <w:contextualSpacing w:val="0"/>
        <w:jc w:val="both"/>
        <w:rPr>
          <w:rFonts w:ascii="Arial" w:hAnsi="Arial" w:cs="Arial"/>
          <w:snapToGrid w:val="0"/>
          <w:sz w:val="22"/>
          <w:szCs w:val="22"/>
          <w:lang w:val="en-GB" w:eastAsia="en-US"/>
        </w:rPr>
      </w:pPr>
      <w:r w:rsidRPr="00910B30">
        <w:rPr>
          <w:lang w:val="en-US"/>
        </w:rPr>
        <w:br w:type="page"/>
      </w:r>
      <w:r w:rsidR="009B7C08" w:rsidRPr="00D515E2">
        <w:rPr>
          <w:rFonts w:ascii="Arial" w:hAnsi="Arial" w:cs="Arial"/>
          <w:snapToGrid w:val="0"/>
          <w:sz w:val="22"/>
          <w:szCs w:val="22"/>
          <w:lang w:val="en-GB" w:eastAsia="en-US"/>
        </w:rPr>
        <w:lastRenderedPageBreak/>
        <w:t xml:space="preserve">At its thirty-ninth session in 2017, the General Conference </w:t>
      </w:r>
      <w:r w:rsidR="00EE60E8">
        <w:rPr>
          <w:rFonts w:ascii="Arial" w:hAnsi="Arial" w:cs="Arial"/>
          <w:snapToGrid w:val="0"/>
          <w:sz w:val="22"/>
          <w:szCs w:val="22"/>
          <w:lang w:val="en-GB" w:eastAsia="en-US"/>
        </w:rPr>
        <w:t>endorsed</w:t>
      </w:r>
      <w:r w:rsidR="005B4056" w:rsidRPr="00EE60E8">
        <w:rPr>
          <w:rFonts w:ascii="Arial" w:hAnsi="Arial" w:cs="Arial"/>
          <w:snapToGrid w:val="0"/>
          <w:sz w:val="22"/>
          <w:szCs w:val="22"/>
          <w:lang w:val="en-GB" w:eastAsia="en-US"/>
        </w:rPr>
        <w:t xml:space="preserve"> a set of </w:t>
      </w:r>
      <w:r w:rsidR="0061763E" w:rsidRPr="00EE60E8">
        <w:rPr>
          <w:rFonts w:ascii="Arial" w:hAnsi="Arial" w:cs="Arial"/>
          <w:snapToGrid w:val="0"/>
          <w:sz w:val="22"/>
          <w:szCs w:val="22"/>
          <w:lang w:val="en-GB" w:eastAsia="en-US"/>
        </w:rPr>
        <w:t>recommendation</w:t>
      </w:r>
      <w:r w:rsidR="00FF54B6" w:rsidRPr="00EE60E8">
        <w:rPr>
          <w:rFonts w:ascii="Arial" w:hAnsi="Arial" w:cs="Arial"/>
          <w:snapToGrid w:val="0"/>
          <w:sz w:val="22"/>
          <w:szCs w:val="22"/>
          <w:lang w:val="en-GB" w:eastAsia="en-US"/>
        </w:rPr>
        <w:t>s</w:t>
      </w:r>
      <w:r w:rsidR="0061763E" w:rsidRPr="00EE60E8">
        <w:rPr>
          <w:rFonts w:ascii="Arial" w:hAnsi="Arial" w:cs="Arial"/>
          <w:snapToGrid w:val="0"/>
          <w:sz w:val="22"/>
          <w:szCs w:val="22"/>
          <w:lang w:val="en-GB" w:eastAsia="en-US"/>
        </w:rPr>
        <w:t xml:space="preserve"> on the</w:t>
      </w:r>
      <w:r w:rsidR="0061763E" w:rsidRPr="00D515E2">
        <w:rPr>
          <w:rFonts w:ascii="Arial" w:hAnsi="Arial" w:cs="Arial"/>
          <w:sz w:val="22"/>
          <w:szCs w:val="22"/>
          <w:lang w:val="en-US"/>
        </w:rPr>
        <w:t xml:space="preserve"> </w:t>
      </w:r>
      <w:r w:rsidR="005F2A8E" w:rsidRPr="00EE60E8">
        <w:rPr>
          <w:rFonts w:ascii="Arial" w:hAnsi="Arial" w:cs="Arial"/>
          <w:snapToGrid w:val="0"/>
          <w:sz w:val="22"/>
          <w:szCs w:val="22"/>
          <w:lang w:val="en-GB" w:eastAsia="en-US"/>
        </w:rPr>
        <w:t>governance, procedures and working methods of the governing b</w:t>
      </w:r>
      <w:r w:rsidR="0061763E" w:rsidRPr="00EE60E8">
        <w:rPr>
          <w:rFonts w:ascii="Arial" w:hAnsi="Arial" w:cs="Arial"/>
          <w:snapToGrid w:val="0"/>
          <w:sz w:val="22"/>
          <w:szCs w:val="22"/>
          <w:lang w:val="en-GB" w:eastAsia="en-US"/>
        </w:rPr>
        <w:t>odies of UNESCO</w:t>
      </w:r>
      <w:r w:rsidR="004F5795" w:rsidRPr="00EE60E8">
        <w:rPr>
          <w:rFonts w:ascii="Arial" w:hAnsi="Arial" w:cs="Arial"/>
          <w:snapToGrid w:val="0"/>
          <w:sz w:val="22"/>
          <w:szCs w:val="22"/>
          <w:lang w:val="en-GB" w:eastAsia="en-US"/>
        </w:rPr>
        <w:t xml:space="preserve"> (</w:t>
      </w:r>
      <w:hyperlink r:id="rId8" w:history="1">
        <w:r w:rsidR="00FF54B6" w:rsidRPr="00F52C56">
          <w:rPr>
            <w:rStyle w:val="Hyperlink"/>
            <w:rFonts w:ascii="Arial" w:hAnsi="Arial" w:cs="Arial"/>
            <w:sz w:val="22"/>
            <w:szCs w:val="22"/>
            <w:lang w:val="en-US"/>
          </w:rPr>
          <w:t>39</w:t>
        </w:r>
        <w:r w:rsidR="005F2A8E" w:rsidRPr="00F52C56">
          <w:rPr>
            <w:rStyle w:val="Hyperlink"/>
            <w:rFonts w:ascii="Arial" w:hAnsi="Arial" w:cs="Arial"/>
            <w:snapToGrid w:val="0"/>
            <w:sz w:val="22"/>
            <w:szCs w:val="22"/>
            <w:lang w:val="en-GB" w:eastAsia="en-US"/>
          </w:rPr>
          <w:t> </w:t>
        </w:r>
        <w:r w:rsidR="00FF54B6" w:rsidRPr="00F52C56">
          <w:rPr>
            <w:rStyle w:val="Hyperlink"/>
            <w:rFonts w:ascii="Arial" w:hAnsi="Arial" w:cs="Arial"/>
            <w:sz w:val="22"/>
            <w:szCs w:val="22"/>
            <w:lang w:val="en-US"/>
          </w:rPr>
          <w:t>C/Resolution 87</w:t>
        </w:r>
      </w:hyperlink>
      <w:r w:rsidR="00FF54B6" w:rsidRPr="00F52C56">
        <w:rPr>
          <w:rFonts w:ascii="Arial" w:hAnsi="Arial" w:cs="Arial"/>
          <w:snapToGrid w:val="0"/>
          <w:sz w:val="22"/>
          <w:szCs w:val="22"/>
          <w:lang w:val="en-GB" w:eastAsia="en-US"/>
        </w:rPr>
        <w:t>). T</w:t>
      </w:r>
      <w:r w:rsidR="00FF54B6" w:rsidRPr="00EE60E8">
        <w:rPr>
          <w:rFonts w:ascii="Arial" w:hAnsi="Arial" w:cs="Arial"/>
          <w:snapToGrid w:val="0"/>
          <w:sz w:val="22"/>
          <w:szCs w:val="22"/>
          <w:lang w:val="en-GB" w:eastAsia="en-US"/>
        </w:rPr>
        <w:t xml:space="preserve">hese recommendations are based on the work of the Open-Ended Working Group </w:t>
      </w:r>
      <w:r w:rsidR="005141A0" w:rsidRPr="00EE60E8">
        <w:rPr>
          <w:rFonts w:ascii="Arial" w:hAnsi="Arial" w:cs="Arial"/>
          <w:snapToGrid w:val="0"/>
          <w:sz w:val="22"/>
          <w:szCs w:val="22"/>
          <w:lang w:val="en-GB" w:eastAsia="en-US"/>
        </w:rPr>
        <w:t xml:space="preserve">on the Governance, Procedures and Working Methods of the Governing Bodies of UNESCO </w:t>
      </w:r>
      <w:r w:rsidR="00FF54B6" w:rsidRPr="00EE60E8">
        <w:rPr>
          <w:rFonts w:ascii="Arial" w:hAnsi="Arial" w:cs="Arial"/>
          <w:snapToGrid w:val="0"/>
          <w:sz w:val="22"/>
          <w:szCs w:val="22"/>
          <w:lang w:val="en-GB" w:eastAsia="en-US"/>
        </w:rPr>
        <w:t>(</w:t>
      </w:r>
      <w:hyperlink r:id="rId9" w:history="1">
        <w:r w:rsidR="00AD1B42" w:rsidRPr="006F47AE">
          <w:rPr>
            <w:rFonts w:ascii="Arial" w:hAnsi="Arial" w:cs="Arial"/>
            <w:sz w:val="22"/>
            <w:szCs w:val="22"/>
            <w:lang w:val="en-US"/>
          </w:rPr>
          <w:t>d</w:t>
        </w:r>
        <w:r w:rsidR="00FF54B6" w:rsidRPr="006F47AE">
          <w:rPr>
            <w:rFonts w:ascii="Arial" w:hAnsi="Arial" w:cs="Arial"/>
            <w:sz w:val="22"/>
            <w:szCs w:val="22"/>
            <w:lang w:val="en-US"/>
          </w:rPr>
          <w:t>ocument</w:t>
        </w:r>
        <w:r w:rsidR="00FF54B6" w:rsidRPr="00EE60E8">
          <w:rPr>
            <w:rStyle w:val="Hyperlink"/>
            <w:rFonts w:ascii="Arial" w:hAnsi="Arial" w:cs="Arial"/>
            <w:snapToGrid w:val="0"/>
            <w:sz w:val="22"/>
            <w:szCs w:val="22"/>
            <w:lang w:val="en-GB" w:eastAsia="en-US"/>
          </w:rPr>
          <w:t> 39 C/70</w:t>
        </w:r>
      </w:hyperlink>
      <w:r w:rsidR="00FF54B6" w:rsidRPr="00D515E2">
        <w:rPr>
          <w:rFonts w:ascii="Arial" w:hAnsi="Arial" w:cs="Arial"/>
          <w:sz w:val="22"/>
          <w:szCs w:val="22"/>
          <w:lang w:val="en-US"/>
        </w:rPr>
        <w:t>)</w:t>
      </w:r>
      <w:r w:rsidR="00173039">
        <w:rPr>
          <w:rFonts w:ascii="Arial" w:hAnsi="Arial" w:cs="Arial"/>
          <w:sz w:val="22"/>
          <w:szCs w:val="22"/>
          <w:lang w:val="en-US"/>
        </w:rPr>
        <w:t>,</w:t>
      </w:r>
      <w:r w:rsidR="002D0591">
        <w:rPr>
          <w:rFonts w:ascii="Arial" w:hAnsi="Arial" w:cs="Arial"/>
          <w:sz w:val="22"/>
          <w:szCs w:val="22"/>
          <w:lang w:val="en-US"/>
        </w:rPr>
        <w:t xml:space="preserve"> </w:t>
      </w:r>
      <w:r w:rsidR="00173039">
        <w:rPr>
          <w:rFonts w:ascii="Arial" w:hAnsi="Arial" w:cs="Arial"/>
          <w:sz w:val="22"/>
          <w:szCs w:val="22"/>
          <w:lang w:val="en-US"/>
        </w:rPr>
        <w:t>which</w:t>
      </w:r>
      <w:r w:rsidR="002D0591">
        <w:rPr>
          <w:rFonts w:ascii="Arial" w:hAnsi="Arial" w:cs="Arial"/>
          <w:sz w:val="22"/>
          <w:szCs w:val="22"/>
          <w:lang w:val="en-US"/>
        </w:rPr>
        <w:t xml:space="preserve"> </w:t>
      </w:r>
      <w:r w:rsidR="00FF54B6" w:rsidRPr="00EE60E8">
        <w:rPr>
          <w:rFonts w:ascii="Arial" w:hAnsi="Arial" w:cs="Arial"/>
          <w:snapToGrid w:val="0"/>
          <w:sz w:val="22"/>
          <w:szCs w:val="22"/>
          <w:lang w:val="en-GB" w:eastAsia="en-US"/>
        </w:rPr>
        <w:t>the General Conference created with the objective of harnessing the potential for greater synergy, harmonization, efficiency and impact.</w:t>
      </w:r>
      <w:r w:rsidR="0080193B">
        <w:rPr>
          <w:rFonts w:ascii="Arial" w:hAnsi="Arial" w:cs="Arial"/>
          <w:snapToGrid w:val="0"/>
          <w:sz w:val="22"/>
          <w:szCs w:val="22"/>
          <w:lang w:val="en-GB" w:eastAsia="en-US"/>
        </w:rPr>
        <w:t xml:space="preserve"> By that same Resolution, the General Conference invited the Executive Board, the Director-General and the governing bodies</w:t>
      </w:r>
      <w:r w:rsidR="00EF3414">
        <w:rPr>
          <w:rFonts w:ascii="Arial" w:hAnsi="Arial" w:cs="Arial"/>
          <w:snapToGrid w:val="0"/>
          <w:sz w:val="22"/>
          <w:szCs w:val="22"/>
          <w:lang w:val="en-GB" w:eastAsia="en-US"/>
        </w:rPr>
        <w:t xml:space="preserve"> </w:t>
      </w:r>
      <w:r w:rsidR="00C25A54">
        <w:rPr>
          <w:rFonts w:ascii="Arial" w:hAnsi="Arial" w:cs="Arial"/>
          <w:snapToGrid w:val="0"/>
          <w:sz w:val="22"/>
          <w:szCs w:val="22"/>
          <w:lang w:val="en-GB" w:eastAsia="en-US"/>
        </w:rPr>
        <w:t xml:space="preserve">– </w:t>
      </w:r>
      <w:r w:rsidR="00EF3414" w:rsidRPr="00926863">
        <w:rPr>
          <w:rFonts w:ascii="Arial" w:hAnsi="Arial" w:cs="Arial"/>
          <w:snapToGrid w:val="0"/>
          <w:sz w:val="22"/>
          <w:szCs w:val="22"/>
          <w:lang w:val="en-GB" w:eastAsia="en-US"/>
        </w:rPr>
        <w:t>examined</w:t>
      </w:r>
      <w:r w:rsidR="00C25A54" w:rsidRPr="001A1AFE">
        <w:rPr>
          <w:rFonts w:ascii="Arial" w:hAnsi="Arial" w:cs="Arial"/>
          <w:snapToGrid w:val="0"/>
          <w:sz w:val="22"/>
          <w:szCs w:val="22"/>
          <w:lang w:val="en-GB" w:eastAsia="en-US"/>
        </w:rPr>
        <w:t xml:space="preserve"> </w:t>
      </w:r>
      <w:r w:rsidR="00EF3414" w:rsidRPr="00926863">
        <w:rPr>
          <w:rFonts w:ascii="Arial" w:hAnsi="Arial" w:cs="Arial"/>
          <w:snapToGrid w:val="0"/>
          <w:sz w:val="22"/>
          <w:szCs w:val="22"/>
          <w:lang w:val="en-GB" w:eastAsia="en-US"/>
        </w:rPr>
        <w:t>by the Open-Ended Working Group</w:t>
      </w:r>
      <w:r w:rsidR="00080E14">
        <w:rPr>
          <w:rFonts w:ascii="Arial" w:hAnsi="Arial" w:cs="Arial"/>
          <w:snapToGrid w:val="0"/>
          <w:sz w:val="22"/>
          <w:szCs w:val="22"/>
          <w:lang w:val="en-GB" w:eastAsia="en-US"/>
        </w:rPr>
        <w:t xml:space="preserve"> </w:t>
      </w:r>
      <w:r w:rsidR="00C25A54">
        <w:rPr>
          <w:rFonts w:ascii="Arial" w:hAnsi="Arial" w:cs="Arial"/>
          <w:snapToGrid w:val="0"/>
          <w:sz w:val="22"/>
          <w:szCs w:val="22"/>
          <w:lang w:val="en-GB" w:eastAsia="en-US"/>
        </w:rPr>
        <w:t xml:space="preserve">– </w:t>
      </w:r>
      <w:r w:rsidR="0080193B">
        <w:rPr>
          <w:rFonts w:ascii="Arial" w:hAnsi="Arial" w:cs="Arial"/>
          <w:snapToGrid w:val="0"/>
          <w:sz w:val="22"/>
          <w:szCs w:val="22"/>
          <w:lang w:val="en-GB" w:eastAsia="en-US"/>
        </w:rPr>
        <w:t>to implement those recommendations, as appropriate.</w:t>
      </w:r>
    </w:p>
    <w:p w14:paraId="496DE40D" w14:textId="4B3859AE" w:rsidR="00D2779D" w:rsidRDefault="00D2779D">
      <w:pPr>
        <w:pStyle w:val="ListParagraph"/>
        <w:numPr>
          <w:ilvl w:val="0"/>
          <w:numId w:val="5"/>
        </w:numPr>
        <w:spacing w:after="120"/>
        <w:ind w:left="567" w:hanging="567"/>
        <w:contextualSpacing w:val="0"/>
        <w:jc w:val="both"/>
        <w:rPr>
          <w:rFonts w:ascii="Arial" w:hAnsi="Arial" w:cs="Arial"/>
          <w:snapToGrid w:val="0"/>
          <w:sz w:val="22"/>
          <w:szCs w:val="22"/>
          <w:lang w:val="en-GB" w:eastAsia="en-US"/>
        </w:rPr>
      </w:pPr>
      <w:r>
        <w:rPr>
          <w:rFonts w:ascii="Arial" w:hAnsi="Arial" w:cs="Arial"/>
          <w:snapToGrid w:val="0"/>
          <w:sz w:val="22"/>
          <w:szCs w:val="22"/>
          <w:lang w:val="en-GB" w:eastAsia="en-US"/>
        </w:rPr>
        <w:t xml:space="preserve">The issue was examined by the governing bodies of the 2003 Convention </w:t>
      </w:r>
      <w:r w:rsidR="00257E26">
        <w:rPr>
          <w:rFonts w:ascii="Arial" w:hAnsi="Arial" w:cs="Arial"/>
          <w:snapToGrid w:val="0"/>
          <w:sz w:val="22"/>
          <w:szCs w:val="22"/>
          <w:lang w:val="en-GB" w:eastAsia="en-US"/>
        </w:rPr>
        <w:t>on</w:t>
      </w:r>
      <w:r>
        <w:rPr>
          <w:rFonts w:ascii="Arial" w:hAnsi="Arial" w:cs="Arial"/>
          <w:snapToGrid w:val="0"/>
          <w:sz w:val="22"/>
          <w:szCs w:val="22"/>
          <w:lang w:val="en-GB" w:eastAsia="en-US"/>
        </w:rPr>
        <w:t xml:space="preserve"> </w:t>
      </w:r>
      <w:r w:rsidR="00386736">
        <w:rPr>
          <w:rFonts w:ascii="Arial" w:hAnsi="Arial" w:cs="Arial"/>
          <w:snapToGrid w:val="0"/>
          <w:sz w:val="22"/>
          <w:szCs w:val="22"/>
          <w:lang w:val="en-GB" w:eastAsia="en-US"/>
        </w:rPr>
        <w:t xml:space="preserve">two previous </w:t>
      </w:r>
      <w:r w:rsidR="001D10C5">
        <w:rPr>
          <w:rFonts w:ascii="Arial" w:hAnsi="Arial" w:cs="Arial"/>
          <w:snapToGrid w:val="0"/>
          <w:sz w:val="22"/>
          <w:szCs w:val="22"/>
          <w:lang w:val="en-GB" w:eastAsia="en-US"/>
        </w:rPr>
        <w:t>occasions</w:t>
      </w:r>
      <w:r>
        <w:rPr>
          <w:rFonts w:ascii="Arial" w:hAnsi="Arial" w:cs="Arial"/>
          <w:snapToGrid w:val="0"/>
          <w:sz w:val="22"/>
          <w:szCs w:val="22"/>
          <w:lang w:val="en-GB" w:eastAsia="en-US"/>
        </w:rPr>
        <w:t>:</w:t>
      </w:r>
    </w:p>
    <w:p w14:paraId="23DFCA56" w14:textId="578688FE" w:rsidR="00FC61F8" w:rsidRPr="00362E48" w:rsidRDefault="00D2779D" w:rsidP="00362E48">
      <w:pPr>
        <w:pStyle w:val="ListParagraph"/>
        <w:spacing w:after="120"/>
        <w:ind w:left="567"/>
        <w:contextualSpacing w:val="0"/>
        <w:jc w:val="both"/>
        <w:rPr>
          <w:rFonts w:ascii="Arial" w:hAnsi="Arial" w:cs="Arial"/>
          <w:snapToGrid w:val="0"/>
          <w:sz w:val="22"/>
          <w:szCs w:val="22"/>
          <w:lang w:val="en-GB" w:eastAsia="en-US"/>
        </w:rPr>
      </w:pPr>
      <w:proofErr w:type="gramStart"/>
      <w:r w:rsidRPr="00362E48">
        <w:rPr>
          <w:rStyle w:val="Hyperlink"/>
          <w:rFonts w:ascii="Arial" w:hAnsi="Arial" w:cs="Arial"/>
          <w:b/>
          <w:snapToGrid w:val="0"/>
          <w:color w:val="auto"/>
          <w:sz w:val="22"/>
          <w:szCs w:val="22"/>
          <w:u w:val="none"/>
          <w:lang w:val="en-GB" w:eastAsia="en-US"/>
        </w:rPr>
        <w:t>7.GA</w:t>
      </w:r>
      <w:proofErr w:type="gramEnd"/>
      <w:r>
        <w:rPr>
          <w:rStyle w:val="Hyperlink"/>
          <w:rFonts w:ascii="Arial" w:hAnsi="Arial" w:cs="Arial"/>
          <w:snapToGrid w:val="0"/>
          <w:color w:val="auto"/>
          <w:sz w:val="22"/>
          <w:szCs w:val="22"/>
          <w:u w:val="none"/>
          <w:lang w:val="en-GB" w:eastAsia="en-US"/>
        </w:rPr>
        <w:t xml:space="preserve">: </w:t>
      </w:r>
      <w:r w:rsidR="004B502B" w:rsidRPr="00362E48">
        <w:rPr>
          <w:rStyle w:val="Hyperlink"/>
          <w:rFonts w:ascii="Arial" w:hAnsi="Arial" w:cs="Arial"/>
          <w:snapToGrid w:val="0"/>
          <w:color w:val="auto"/>
          <w:sz w:val="22"/>
          <w:szCs w:val="22"/>
          <w:u w:val="none"/>
          <w:lang w:val="en-GB" w:eastAsia="en-US"/>
        </w:rPr>
        <w:t>T</w:t>
      </w:r>
      <w:r w:rsidR="004B502B" w:rsidRPr="004B502B">
        <w:rPr>
          <w:rFonts w:ascii="Arial" w:hAnsi="Arial" w:cs="Arial"/>
          <w:snapToGrid w:val="0"/>
          <w:sz w:val="22"/>
          <w:szCs w:val="22"/>
          <w:lang w:val="en-GB" w:eastAsia="en-US"/>
        </w:rPr>
        <w:t xml:space="preserve">he </w:t>
      </w:r>
      <w:r w:rsidR="004B502B" w:rsidRPr="007D7905">
        <w:rPr>
          <w:rFonts w:ascii="Arial" w:hAnsi="Arial" w:cs="Arial"/>
          <w:snapToGrid w:val="0"/>
          <w:sz w:val="22"/>
          <w:szCs w:val="22"/>
          <w:lang w:val="en-GB" w:eastAsia="en-US"/>
        </w:rPr>
        <w:t>seventh session of the General Assembly</w:t>
      </w:r>
      <w:r w:rsidR="004B502B">
        <w:rPr>
          <w:rFonts w:ascii="Arial" w:hAnsi="Arial" w:cs="Arial"/>
          <w:snapToGrid w:val="0"/>
          <w:sz w:val="22"/>
          <w:szCs w:val="22"/>
          <w:lang w:val="en-GB" w:eastAsia="en-US"/>
        </w:rPr>
        <w:t xml:space="preserve"> </w:t>
      </w:r>
      <w:r w:rsidR="00830E6F">
        <w:rPr>
          <w:rFonts w:ascii="Arial" w:hAnsi="Arial" w:cs="Arial"/>
          <w:snapToGrid w:val="0"/>
          <w:sz w:val="22"/>
          <w:szCs w:val="22"/>
          <w:lang w:val="en-GB" w:eastAsia="en-US"/>
        </w:rPr>
        <w:t xml:space="preserve">reviewed </w:t>
      </w:r>
      <w:r w:rsidR="00A6251C">
        <w:rPr>
          <w:rFonts w:ascii="Arial" w:hAnsi="Arial" w:cs="Arial"/>
          <w:snapToGrid w:val="0"/>
          <w:sz w:val="22"/>
          <w:szCs w:val="22"/>
          <w:lang w:val="en-GB" w:eastAsia="en-US"/>
        </w:rPr>
        <w:t>the status</w:t>
      </w:r>
      <w:r w:rsidR="00830E6F">
        <w:rPr>
          <w:rFonts w:ascii="Arial" w:hAnsi="Arial" w:cs="Arial"/>
          <w:snapToGrid w:val="0"/>
          <w:sz w:val="22"/>
          <w:szCs w:val="22"/>
          <w:lang w:val="en-GB" w:eastAsia="en-US"/>
        </w:rPr>
        <w:t xml:space="preserve"> of </w:t>
      </w:r>
      <w:r w:rsidR="00830E6F" w:rsidRPr="00673907">
        <w:rPr>
          <w:rFonts w:ascii="Arial" w:hAnsi="Arial" w:cs="Arial"/>
          <w:snapToGrid w:val="0"/>
          <w:sz w:val="22"/>
          <w:szCs w:val="22"/>
          <w:lang w:val="en-GB" w:eastAsia="en-US"/>
        </w:rPr>
        <w:t>each recommendation of the Open-Ended Working Group</w:t>
      </w:r>
      <w:r w:rsidR="00830E6F" w:rsidRPr="00EE027E">
        <w:rPr>
          <w:rFonts w:ascii="Arial" w:hAnsi="Arial" w:cs="Arial"/>
          <w:snapToGrid w:val="0"/>
          <w:sz w:val="22"/>
          <w:szCs w:val="22"/>
          <w:lang w:val="en-GB" w:eastAsia="en-US"/>
        </w:rPr>
        <w:t xml:space="preserve"> </w:t>
      </w:r>
      <w:r w:rsidR="00830E6F" w:rsidRPr="00DF3BC0">
        <w:rPr>
          <w:rFonts w:ascii="Arial" w:hAnsi="Arial" w:cs="Arial"/>
          <w:snapToGrid w:val="0"/>
          <w:sz w:val="22"/>
          <w:szCs w:val="22"/>
          <w:lang w:val="en-GB" w:eastAsia="en-US"/>
        </w:rPr>
        <w:t>(</w:t>
      </w:r>
      <w:hyperlink r:id="rId10" w:history="1">
        <w:r w:rsidR="00830E6F" w:rsidRPr="00531215">
          <w:rPr>
            <w:rFonts w:ascii="Arial" w:hAnsi="Arial" w:cs="Arial"/>
            <w:sz w:val="22"/>
            <w:szCs w:val="22"/>
            <w:lang w:val="en-GB" w:eastAsia="en-US"/>
          </w:rPr>
          <w:t>document</w:t>
        </w:r>
        <w:r w:rsidR="00830E6F" w:rsidRPr="00531215">
          <w:rPr>
            <w:rStyle w:val="Hyperlink"/>
            <w:snapToGrid w:val="0"/>
            <w:lang w:val="en-US" w:eastAsia="en-US"/>
          </w:rPr>
          <w:t xml:space="preserve"> </w:t>
        </w:r>
        <w:r w:rsidR="00830E6F" w:rsidRPr="00531215">
          <w:rPr>
            <w:rStyle w:val="Hyperlink"/>
            <w:rFonts w:ascii="Arial" w:hAnsi="Arial" w:cs="Arial"/>
            <w:snapToGrid w:val="0"/>
            <w:sz w:val="22"/>
            <w:szCs w:val="22"/>
            <w:lang w:val="en-US" w:eastAsia="en-US"/>
          </w:rPr>
          <w:t>ITH/18/7.GA/12</w:t>
        </w:r>
      </w:hyperlink>
      <w:r w:rsidR="00830E6F" w:rsidRPr="007D7905">
        <w:rPr>
          <w:rFonts w:ascii="Arial" w:hAnsi="Arial" w:cs="Arial"/>
          <w:snapToGrid w:val="0"/>
          <w:sz w:val="22"/>
          <w:szCs w:val="22"/>
          <w:lang w:val="en-GB" w:eastAsia="en-US"/>
        </w:rPr>
        <w:t>).</w:t>
      </w:r>
      <w:r w:rsidR="00C27AFD">
        <w:rPr>
          <w:rFonts w:ascii="Arial" w:hAnsi="Arial" w:cs="Arial"/>
          <w:snapToGrid w:val="0"/>
          <w:sz w:val="22"/>
          <w:szCs w:val="22"/>
          <w:lang w:val="en-GB" w:eastAsia="en-US"/>
        </w:rPr>
        <w:t xml:space="preserve"> </w:t>
      </w:r>
      <w:r w:rsidR="002B059B">
        <w:rPr>
          <w:rFonts w:ascii="Arial" w:hAnsi="Arial" w:cs="Arial"/>
          <w:snapToGrid w:val="0"/>
          <w:sz w:val="22"/>
          <w:szCs w:val="22"/>
          <w:lang w:val="en-GB" w:eastAsia="en-US"/>
        </w:rPr>
        <w:t>When doing so, t</w:t>
      </w:r>
      <w:r w:rsidR="00C27AFD">
        <w:rPr>
          <w:rFonts w:ascii="Arial" w:hAnsi="Arial" w:cs="Arial"/>
          <w:snapToGrid w:val="0"/>
          <w:sz w:val="22"/>
          <w:szCs w:val="22"/>
          <w:lang w:val="en-GB" w:eastAsia="en-US"/>
        </w:rPr>
        <w:t xml:space="preserve">he Assembly </w:t>
      </w:r>
      <w:r w:rsidR="004B3BFE">
        <w:rPr>
          <w:rFonts w:ascii="Arial" w:hAnsi="Arial" w:cs="Arial"/>
          <w:snapToGrid w:val="0"/>
          <w:sz w:val="22"/>
          <w:szCs w:val="22"/>
          <w:lang w:val="en-GB" w:eastAsia="en-US"/>
        </w:rPr>
        <w:t xml:space="preserve">also </w:t>
      </w:r>
      <w:r w:rsidR="00C27AFD">
        <w:rPr>
          <w:rFonts w:ascii="Arial" w:hAnsi="Arial" w:cs="Arial"/>
          <w:snapToGrid w:val="0"/>
          <w:sz w:val="22"/>
          <w:szCs w:val="22"/>
          <w:lang w:val="en-GB" w:eastAsia="en-US"/>
        </w:rPr>
        <w:t xml:space="preserve">discussed the follow-up to the recommendations of the External Auditor’s </w:t>
      </w:r>
      <w:r w:rsidR="002B059B" w:rsidRPr="009A4013">
        <w:rPr>
          <w:rFonts w:ascii="Arial" w:hAnsi="Arial" w:cs="Arial"/>
          <w:snapToGrid w:val="0"/>
          <w:sz w:val="22"/>
          <w:szCs w:val="22"/>
          <w:lang w:val="en-GB" w:eastAsia="en-US"/>
        </w:rPr>
        <w:t xml:space="preserve">2015 </w:t>
      </w:r>
      <w:r w:rsidR="00C27AFD" w:rsidRPr="009A4013">
        <w:rPr>
          <w:rFonts w:ascii="Arial" w:hAnsi="Arial" w:cs="Arial"/>
          <w:snapToGrid w:val="0"/>
          <w:sz w:val="22"/>
          <w:szCs w:val="22"/>
          <w:lang w:val="en-GB" w:eastAsia="en-US"/>
        </w:rPr>
        <w:t>report</w:t>
      </w:r>
      <w:r w:rsidR="00C27AFD">
        <w:rPr>
          <w:rFonts w:ascii="Arial" w:hAnsi="Arial" w:cs="Arial"/>
          <w:snapToGrid w:val="0"/>
          <w:sz w:val="22"/>
          <w:szCs w:val="22"/>
          <w:lang w:val="en-GB" w:eastAsia="en-US"/>
        </w:rPr>
        <w:t xml:space="preserve"> to improve the governance of UNESCO’s intergovernmental programmes, committees and org</w:t>
      </w:r>
      <w:r w:rsidR="002B059B">
        <w:rPr>
          <w:rFonts w:ascii="Arial" w:hAnsi="Arial" w:cs="Arial"/>
          <w:snapToGrid w:val="0"/>
          <w:sz w:val="22"/>
          <w:szCs w:val="22"/>
          <w:lang w:val="en-GB" w:eastAsia="en-US"/>
        </w:rPr>
        <w:t>ans of the Conventions; this concerned the disparity of the rules of procedure of the different organs of the UNESCO conventions in the field of culture</w:t>
      </w:r>
      <w:r w:rsidR="00057F53">
        <w:rPr>
          <w:rFonts w:ascii="Arial" w:hAnsi="Arial" w:cs="Arial"/>
          <w:snapToGrid w:val="0"/>
          <w:sz w:val="22"/>
          <w:szCs w:val="22"/>
          <w:lang w:val="en-GB" w:eastAsia="en-US"/>
        </w:rPr>
        <w:t xml:space="preserve"> (</w:t>
      </w:r>
      <w:hyperlink r:id="rId11" w:history="1">
        <w:r w:rsidR="00057F53" w:rsidRPr="006300F5">
          <w:rPr>
            <w:rStyle w:val="Hyperlink"/>
            <w:rFonts w:ascii="Arial" w:hAnsi="Arial" w:cs="Arial"/>
            <w:snapToGrid w:val="0"/>
            <w:sz w:val="22"/>
            <w:szCs w:val="22"/>
            <w:lang w:val="en-GB" w:eastAsia="en-US"/>
          </w:rPr>
          <w:t>ITH/18/7.GA/13</w:t>
        </w:r>
      </w:hyperlink>
      <w:r w:rsidR="00057F53">
        <w:rPr>
          <w:rFonts w:ascii="Arial" w:hAnsi="Arial" w:cs="Arial"/>
          <w:snapToGrid w:val="0"/>
          <w:sz w:val="22"/>
          <w:szCs w:val="22"/>
          <w:lang w:val="en-GB" w:eastAsia="en-US"/>
        </w:rPr>
        <w:t>)</w:t>
      </w:r>
      <w:r w:rsidR="002B059B">
        <w:rPr>
          <w:rFonts w:ascii="Arial" w:hAnsi="Arial" w:cs="Arial"/>
          <w:snapToGrid w:val="0"/>
          <w:sz w:val="22"/>
          <w:szCs w:val="22"/>
          <w:lang w:val="en-GB" w:eastAsia="en-US"/>
        </w:rPr>
        <w:t>.</w:t>
      </w:r>
    </w:p>
    <w:p w14:paraId="24071881" w14:textId="726EC59E" w:rsidR="00974B2A" w:rsidRDefault="00D2779D" w:rsidP="00362E48">
      <w:pPr>
        <w:pStyle w:val="ListParagraph"/>
        <w:spacing w:after="120"/>
        <w:ind w:left="567"/>
        <w:contextualSpacing w:val="0"/>
        <w:jc w:val="both"/>
        <w:rPr>
          <w:rFonts w:ascii="Arial" w:hAnsi="Arial" w:cs="Arial"/>
          <w:snapToGrid w:val="0"/>
          <w:sz w:val="22"/>
          <w:szCs w:val="22"/>
          <w:lang w:val="en-GB" w:eastAsia="en-US"/>
        </w:rPr>
      </w:pPr>
      <w:r w:rsidRPr="00D2779D">
        <w:rPr>
          <w:rStyle w:val="Hyperlink"/>
          <w:rFonts w:ascii="Arial" w:hAnsi="Arial" w:cs="Arial"/>
          <w:b/>
          <w:snapToGrid w:val="0"/>
          <w:color w:val="auto"/>
          <w:sz w:val="22"/>
          <w:szCs w:val="22"/>
          <w:u w:val="none"/>
          <w:lang w:val="en-GB" w:eastAsia="en-US"/>
        </w:rPr>
        <w:t>13</w:t>
      </w:r>
      <w:r w:rsidRPr="00362E48">
        <w:rPr>
          <w:lang w:val="en-US"/>
        </w:rPr>
        <w:t>.</w:t>
      </w:r>
      <w:r w:rsidRPr="00362E48">
        <w:rPr>
          <w:rFonts w:ascii="Arial" w:hAnsi="Arial" w:cs="Arial"/>
          <w:b/>
          <w:snapToGrid w:val="0"/>
          <w:sz w:val="22"/>
          <w:szCs w:val="22"/>
          <w:lang w:val="en-GB" w:eastAsia="en-US"/>
        </w:rPr>
        <w:t>COM</w:t>
      </w:r>
      <w:r>
        <w:rPr>
          <w:rFonts w:ascii="Arial" w:hAnsi="Arial" w:cs="Arial"/>
          <w:snapToGrid w:val="0"/>
          <w:sz w:val="22"/>
          <w:szCs w:val="22"/>
          <w:lang w:val="en-GB" w:eastAsia="en-US"/>
        </w:rPr>
        <w:t xml:space="preserve">: </w:t>
      </w:r>
      <w:r w:rsidR="0080193B" w:rsidRPr="0080193B">
        <w:rPr>
          <w:rFonts w:ascii="Arial" w:hAnsi="Arial" w:cs="Arial"/>
          <w:snapToGrid w:val="0"/>
          <w:sz w:val="22"/>
          <w:szCs w:val="22"/>
          <w:lang w:val="en-GB" w:eastAsia="en-US"/>
        </w:rPr>
        <w:t xml:space="preserve">The </w:t>
      </w:r>
      <w:r w:rsidR="007D7905" w:rsidRPr="0080193B">
        <w:rPr>
          <w:rFonts w:ascii="Arial" w:hAnsi="Arial" w:cs="Arial"/>
          <w:snapToGrid w:val="0"/>
          <w:sz w:val="22"/>
          <w:szCs w:val="22"/>
          <w:lang w:val="en-GB" w:eastAsia="en-US"/>
        </w:rPr>
        <w:t xml:space="preserve">thirteenth </w:t>
      </w:r>
      <w:r w:rsidR="009B7C08" w:rsidRPr="0080193B">
        <w:rPr>
          <w:rFonts w:ascii="Arial" w:hAnsi="Arial" w:cs="Arial"/>
          <w:snapToGrid w:val="0"/>
          <w:sz w:val="22"/>
          <w:szCs w:val="22"/>
          <w:lang w:val="en-GB" w:eastAsia="en-US"/>
        </w:rPr>
        <w:t xml:space="preserve">session of the Committee </w:t>
      </w:r>
      <w:r w:rsidR="00257E26">
        <w:rPr>
          <w:rFonts w:ascii="Arial" w:hAnsi="Arial" w:cs="Arial"/>
          <w:snapToGrid w:val="0"/>
          <w:sz w:val="22"/>
          <w:szCs w:val="22"/>
          <w:lang w:val="en-GB" w:eastAsia="en-US"/>
        </w:rPr>
        <w:t xml:space="preserve">once again </w:t>
      </w:r>
      <w:r w:rsidR="004B502B">
        <w:rPr>
          <w:rFonts w:ascii="Arial" w:hAnsi="Arial" w:cs="Arial"/>
          <w:snapToGrid w:val="0"/>
          <w:sz w:val="22"/>
          <w:szCs w:val="22"/>
          <w:lang w:val="en-GB" w:eastAsia="en-US"/>
        </w:rPr>
        <w:t>considered</w:t>
      </w:r>
      <w:r w:rsidR="007D2272">
        <w:rPr>
          <w:rFonts w:ascii="Arial" w:hAnsi="Arial" w:cs="Arial"/>
          <w:snapToGrid w:val="0"/>
          <w:sz w:val="22"/>
          <w:szCs w:val="22"/>
          <w:lang w:val="en-GB" w:eastAsia="en-US"/>
        </w:rPr>
        <w:t xml:space="preserve"> </w:t>
      </w:r>
      <w:r w:rsidR="00257E26">
        <w:rPr>
          <w:rFonts w:ascii="Arial" w:hAnsi="Arial" w:cs="Arial"/>
          <w:snapToGrid w:val="0"/>
          <w:sz w:val="22"/>
          <w:szCs w:val="22"/>
          <w:lang w:val="en-GB" w:eastAsia="en-US"/>
        </w:rPr>
        <w:t xml:space="preserve">the </w:t>
      </w:r>
      <w:r w:rsidR="00A6251C">
        <w:rPr>
          <w:rFonts w:ascii="Arial" w:hAnsi="Arial" w:cs="Arial"/>
          <w:snapToGrid w:val="0"/>
          <w:sz w:val="22"/>
          <w:szCs w:val="22"/>
          <w:lang w:val="en-GB" w:eastAsia="en-US"/>
        </w:rPr>
        <w:t>status of each recommendation of the Open-Ended Working Group</w:t>
      </w:r>
      <w:r w:rsidR="00257E26">
        <w:rPr>
          <w:rFonts w:ascii="Arial" w:hAnsi="Arial" w:cs="Arial"/>
          <w:snapToGrid w:val="0"/>
          <w:sz w:val="22"/>
          <w:szCs w:val="22"/>
          <w:lang w:val="en-GB" w:eastAsia="en-US"/>
        </w:rPr>
        <w:t>,</w:t>
      </w:r>
      <w:r w:rsidR="00A6251C">
        <w:rPr>
          <w:rFonts w:ascii="Arial" w:hAnsi="Arial" w:cs="Arial"/>
          <w:snapToGrid w:val="0"/>
          <w:sz w:val="22"/>
          <w:szCs w:val="22"/>
          <w:lang w:val="en-GB" w:eastAsia="en-US"/>
        </w:rPr>
        <w:t xml:space="preserve"> </w:t>
      </w:r>
      <w:r w:rsidR="00A6251C" w:rsidRPr="00920D85">
        <w:rPr>
          <w:rFonts w:ascii="Arial" w:hAnsi="Arial" w:cs="Arial"/>
          <w:snapToGrid w:val="0"/>
          <w:sz w:val="22"/>
          <w:szCs w:val="22"/>
          <w:lang w:val="en-GB" w:eastAsia="en-US"/>
        </w:rPr>
        <w:t xml:space="preserve">with a focus on those recommendations that </w:t>
      </w:r>
      <w:r w:rsidR="00362E48">
        <w:rPr>
          <w:rFonts w:ascii="Arial" w:hAnsi="Arial" w:cs="Arial"/>
          <w:snapToGrid w:val="0"/>
          <w:sz w:val="22"/>
          <w:szCs w:val="22"/>
          <w:lang w:val="en-GB" w:eastAsia="en-US"/>
        </w:rPr>
        <w:t xml:space="preserve">had </w:t>
      </w:r>
      <w:r w:rsidR="00A6251C" w:rsidRPr="00920D85">
        <w:rPr>
          <w:rFonts w:ascii="Arial" w:hAnsi="Arial" w:cs="Arial"/>
          <w:snapToGrid w:val="0"/>
          <w:sz w:val="22"/>
          <w:szCs w:val="22"/>
          <w:lang w:val="en-GB" w:eastAsia="en-US"/>
        </w:rPr>
        <w:t>changed status</w:t>
      </w:r>
      <w:r w:rsidR="007D2272">
        <w:rPr>
          <w:rFonts w:ascii="Arial" w:hAnsi="Arial" w:cs="Arial"/>
          <w:snapToGrid w:val="0"/>
          <w:sz w:val="22"/>
          <w:szCs w:val="22"/>
          <w:lang w:val="en-GB" w:eastAsia="en-US"/>
        </w:rPr>
        <w:t xml:space="preserve"> </w:t>
      </w:r>
      <w:r w:rsidR="007633B9" w:rsidRPr="0080193B">
        <w:rPr>
          <w:rFonts w:ascii="Arial" w:hAnsi="Arial" w:cs="Arial"/>
          <w:snapToGrid w:val="0"/>
          <w:sz w:val="22"/>
          <w:szCs w:val="22"/>
          <w:lang w:val="en-GB" w:eastAsia="en-US"/>
        </w:rPr>
        <w:t xml:space="preserve">(see </w:t>
      </w:r>
      <w:r w:rsidR="007633B9" w:rsidRPr="0080193B">
        <w:rPr>
          <w:rFonts w:ascii="Arial" w:hAnsi="Arial" w:cs="Arial"/>
          <w:sz w:val="22"/>
          <w:szCs w:val="22"/>
          <w:lang w:val="en-US"/>
        </w:rPr>
        <w:t>document</w:t>
      </w:r>
      <w:r w:rsidR="007D7905" w:rsidRPr="0080193B">
        <w:rPr>
          <w:rFonts w:ascii="Arial" w:hAnsi="Arial" w:cs="Arial"/>
          <w:sz w:val="22"/>
          <w:szCs w:val="22"/>
          <w:lang w:val="en-US"/>
        </w:rPr>
        <w:t xml:space="preserve"> </w:t>
      </w:r>
      <w:hyperlink r:id="rId12" w:history="1">
        <w:r w:rsidR="007D7905" w:rsidRPr="00080E14">
          <w:rPr>
            <w:rStyle w:val="Hyperlink"/>
            <w:rFonts w:ascii="Arial" w:hAnsi="Arial" w:cs="Arial"/>
            <w:snapToGrid w:val="0"/>
            <w:sz w:val="22"/>
            <w:szCs w:val="22"/>
            <w:lang w:val="en-GB" w:eastAsia="en-US"/>
          </w:rPr>
          <w:t>ITH/18/13.COM/16</w:t>
        </w:r>
      </w:hyperlink>
      <w:r w:rsidR="007D7905" w:rsidRPr="0080193B">
        <w:rPr>
          <w:lang w:val="en-GB" w:eastAsia="en-US"/>
        </w:rPr>
        <w:t xml:space="preserve">). </w:t>
      </w:r>
      <w:r w:rsidR="007D2272">
        <w:rPr>
          <w:rFonts w:ascii="Arial" w:hAnsi="Arial" w:cs="Arial"/>
          <w:snapToGrid w:val="0"/>
          <w:sz w:val="22"/>
          <w:szCs w:val="22"/>
          <w:lang w:val="en-GB" w:eastAsia="en-US"/>
        </w:rPr>
        <w:t>This</w:t>
      </w:r>
      <w:r w:rsidR="002F35C9">
        <w:rPr>
          <w:rFonts w:ascii="Arial" w:hAnsi="Arial" w:cs="Arial"/>
          <w:snapToGrid w:val="0"/>
          <w:sz w:val="22"/>
          <w:szCs w:val="22"/>
          <w:lang w:val="en-GB" w:eastAsia="en-US"/>
        </w:rPr>
        <w:t xml:space="preserve"> session of the Committee </w:t>
      </w:r>
      <w:r w:rsidR="007D2272">
        <w:rPr>
          <w:rFonts w:ascii="Arial" w:hAnsi="Arial" w:cs="Arial"/>
          <w:snapToGrid w:val="0"/>
          <w:sz w:val="22"/>
          <w:szCs w:val="22"/>
          <w:lang w:val="en-GB" w:eastAsia="en-US"/>
        </w:rPr>
        <w:t xml:space="preserve">also </w:t>
      </w:r>
      <w:r w:rsidR="002F35C9">
        <w:rPr>
          <w:rFonts w:ascii="Arial" w:hAnsi="Arial" w:cs="Arial"/>
          <w:snapToGrid w:val="0"/>
          <w:sz w:val="22"/>
          <w:szCs w:val="22"/>
          <w:lang w:val="en-GB" w:eastAsia="en-US"/>
        </w:rPr>
        <w:t xml:space="preserve">inscribed a follow-up </w:t>
      </w:r>
      <w:r w:rsidR="00257E26">
        <w:rPr>
          <w:rFonts w:ascii="Arial" w:hAnsi="Arial" w:cs="Arial"/>
          <w:snapToGrid w:val="0"/>
          <w:sz w:val="22"/>
          <w:szCs w:val="22"/>
          <w:lang w:val="en-GB" w:eastAsia="en-US"/>
        </w:rPr>
        <w:t>to</w:t>
      </w:r>
      <w:r w:rsidR="00A6251C">
        <w:rPr>
          <w:rFonts w:ascii="Arial" w:hAnsi="Arial" w:cs="Arial"/>
          <w:snapToGrid w:val="0"/>
          <w:sz w:val="22"/>
          <w:szCs w:val="22"/>
          <w:lang w:val="en-GB" w:eastAsia="en-US"/>
        </w:rPr>
        <w:t xml:space="preserve"> this issue</w:t>
      </w:r>
      <w:r w:rsidR="002F35C9">
        <w:rPr>
          <w:rFonts w:ascii="Arial" w:hAnsi="Arial" w:cs="Arial"/>
          <w:snapToGrid w:val="0"/>
          <w:sz w:val="22"/>
          <w:szCs w:val="22"/>
          <w:lang w:val="en-GB" w:eastAsia="en-US"/>
        </w:rPr>
        <w:t xml:space="preserve"> on the agenda of the fourteenth session of the Committee </w:t>
      </w:r>
      <w:hyperlink r:id="rId13" w:history="1">
        <w:r w:rsidR="002F35C9" w:rsidRPr="002D38E3">
          <w:rPr>
            <w:rFonts w:ascii="Arial" w:hAnsi="Arial" w:cs="Arial"/>
            <w:sz w:val="22"/>
            <w:szCs w:val="22"/>
            <w:lang w:val="en-US"/>
          </w:rPr>
          <w:t>(document</w:t>
        </w:r>
        <w:r w:rsidR="002F35C9" w:rsidRPr="002D38E3">
          <w:rPr>
            <w:lang w:val="en-US"/>
          </w:rPr>
          <w:t> </w:t>
        </w:r>
        <w:r w:rsidR="002F35C9" w:rsidRPr="00C71D1C">
          <w:rPr>
            <w:rStyle w:val="Hyperlink"/>
            <w:rFonts w:ascii="Arial" w:hAnsi="Arial" w:cs="Arial"/>
            <w:snapToGrid w:val="0"/>
            <w:sz w:val="22"/>
            <w:szCs w:val="22"/>
            <w:lang w:val="en-GB" w:eastAsia="en-US"/>
          </w:rPr>
          <w:t>ITH/18/13.COM/17</w:t>
        </w:r>
      </w:hyperlink>
      <w:r w:rsidR="002F35C9" w:rsidRPr="00C71D1C">
        <w:rPr>
          <w:rFonts w:ascii="Arial" w:hAnsi="Arial" w:cs="Arial"/>
          <w:snapToGrid w:val="0"/>
          <w:sz w:val="22"/>
          <w:szCs w:val="22"/>
          <w:lang w:val="en-GB" w:eastAsia="en-US"/>
        </w:rPr>
        <w:t>)</w:t>
      </w:r>
      <w:r w:rsidR="002F35C9">
        <w:rPr>
          <w:rFonts w:ascii="Arial" w:hAnsi="Arial" w:cs="Arial"/>
          <w:snapToGrid w:val="0"/>
          <w:sz w:val="22"/>
          <w:szCs w:val="22"/>
          <w:lang w:val="en-GB" w:eastAsia="en-US"/>
        </w:rPr>
        <w:t>.</w:t>
      </w:r>
      <w:r w:rsidR="004356D1">
        <w:rPr>
          <w:rFonts w:ascii="Arial" w:hAnsi="Arial" w:cs="Arial"/>
          <w:snapToGrid w:val="0"/>
          <w:sz w:val="22"/>
          <w:szCs w:val="22"/>
          <w:lang w:val="en-GB" w:eastAsia="en-US"/>
        </w:rPr>
        <w:t xml:space="preserve"> </w:t>
      </w:r>
      <w:r w:rsidR="006661AF">
        <w:rPr>
          <w:rFonts w:ascii="Arial" w:hAnsi="Arial" w:cs="Arial"/>
          <w:snapToGrid w:val="0"/>
          <w:sz w:val="22"/>
          <w:szCs w:val="22"/>
          <w:lang w:val="en-GB" w:eastAsia="en-US"/>
        </w:rPr>
        <w:t xml:space="preserve">At the same session, the </w:t>
      </w:r>
      <w:r w:rsidR="00F35BC4">
        <w:rPr>
          <w:rFonts w:ascii="Arial" w:hAnsi="Arial" w:cs="Arial"/>
          <w:snapToGrid w:val="0"/>
          <w:sz w:val="22"/>
          <w:szCs w:val="22"/>
          <w:lang w:val="en-GB" w:eastAsia="en-US"/>
        </w:rPr>
        <w:t xml:space="preserve">Committee </w:t>
      </w:r>
      <w:r w:rsidR="00D74C5D">
        <w:rPr>
          <w:rFonts w:ascii="Arial" w:hAnsi="Arial" w:cs="Arial"/>
          <w:snapToGrid w:val="0"/>
          <w:sz w:val="22"/>
          <w:szCs w:val="22"/>
          <w:lang w:val="en-GB" w:eastAsia="en-US"/>
        </w:rPr>
        <w:t xml:space="preserve">encouraged States Parties to take into account the recommendations of the informal ad hoc working group with a view to promoting </w:t>
      </w:r>
      <w:r w:rsidR="00257E26">
        <w:rPr>
          <w:rFonts w:ascii="Arial" w:hAnsi="Arial" w:cs="Arial"/>
          <w:snapToGrid w:val="0"/>
          <w:sz w:val="22"/>
          <w:szCs w:val="22"/>
          <w:lang w:val="en-GB" w:eastAsia="en-US"/>
        </w:rPr>
        <w:t xml:space="preserve">the </w:t>
      </w:r>
      <w:r w:rsidR="00D74C5D">
        <w:rPr>
          <w:rFonts w:ascii="Arial" w:hAnsi="Arial" w:cs="Arial"/>
          <w:snapToGrid w:val="0"/>
          <w:sz w:val="22"/>
          <w:szCs w:val="22"/>
          <w:lang w:val="en-GB" w:eastAsia="en-US"/>
        </w:rPr>
        <w:t>follow-up to recommendations in the sense of 39</w:t>
      </w:r>
      <w:r w:rsidR="00EF3414">
        <w:rPr>
          <w:rFonts w:ascii="Arial" w:hAnsi="Arial" w:cs="Arial"/>
          <w:snapToGrid w:val="0"/>
          <w:sz w:val="22"/>
          <w:szCs w:val="22"/>
          <w:lang w:val="en-GB" w:eastAsia="en-US"/>
        </w:rPr>
        <w:t xml:space="preserve"> </w:t>
      </w:r>
      <w:r w:rsidR="00D74C5D">
        <w:rPr>
          <w:rFonts w:ascii="Arial" w:hAnsi="Arial" w:cs="Arial"/>
          <w:snapToGrid w:val="0"/>
          <w:sz w:val="22"/>
          <w:szCs w:val="22"/>
          <w:lang w:val="en-GB" w:eastAsia="en-US"/>
        </w:rPr>
        <w:t>C/Resolution 87.</w:t>
      </w:r>
    </w:p>
    <w:p w14:paraId="08129691" w14:textId="289697DD" w:rsidR="00483650" w:rsidRPr="00FB6498" w:rsidRDefault="00483650" w:rsidP="002D38E3">
      <w:pPr>
        <w:pStyle w:val="ListParagraph"/>
        <w:numPr>
          <w:ilvl w:val="0"/>
          <w:numId w:val="5"/>
        </w:numPr>
        <w:spacing w:after="120"/>
        <w:ind w:left="567" w:hanging="567"/>
        <w:contextualSpacing w:val="0"/>
        <w:jc w:val="both"/>
        <w:rPr>
          <w:rFonts w:ascii="Arial" w:hAnsi="Arial" w:cs="Arial"/>
          <w:snapToGrid w:val="0"/>
          <w:sz w:val="22"/>
          <w:szCs w:val="22"/>
          <w:lang w:val="en-GB" w:eastAsia="en-US"/>
        </w:rPr>
      </w:pPr>
      <w:r w:rsidRPr="002D38E3">
        <w:rPr>
          <w:rFonts w:ascii="Arial" w:hAnsi="Arial" w:cs="Arial"/>
          <w:snapToGrid w:val="0"/>
          <w:sz w:val="22"/>
          <w:szCs w:val="22"/>
          <w:lang w:val="en-GB" w:eastAsia="en-US"/>
        </w:rPr>
        <w:t xml:space="preserve">At </w:t>
      </w:r>
      <w:r w:rsidR="00B734F2" w:rsidRPr="002D38E3">
        <w:rPr>
          <w:rFonts w:ascii="Arial" w:hAnsi="Arial" w:cs="Arial"/>
          <w:snapToGrid w:val="0"/>
          <w:sz w:val="22"/>
          <w:szCs w:val="22"/>
          <w:lang w:val="en-GB" w:eastAsia="en-US"/>
        </w:rPr>
        <w:t xml:space="preserve">the </w:t>
      </w:r>
      <w:r w:rsidRPr="002D38E3">
        <w:rPr>
          <w:rFonts w:ascii="Arial" w:hAnsi="Arial" w:cs="Arial"/>
          <w:snapToGrid w:val="0"/>
          <w:sz w:val="22"/>
          <w:szCs w:val="22"/>
          <w:lang w:val="en-GB" w:eastAsia="en-US"/>
        </w:rPr>
        <w:t>request</w:t>
      </w:r>
      <w:r w:rsidR="00B734F2" w:rsidRPr="002D38E3">
        <w:rPr>
          <w:rFonts w:ascii="Arial" w:hAnsi="Arial" w:cs="Arial"/>
          <w:snapToGrid w:val="0"/>
          <w:sz w:val="22"/>
          <w:szCs w:val="22"/>
          <w:lang w:val="en-GB" w:eastAsia="en-US"/>
        </w:rPr>
        <w:t xml:space="preserve"> of </w:t>
      </w:r>
      <w:r w:rsidR="00257E26">
        <w:rPr>
          <w:rFonts w:ascii="Arial" w:hAnsi="Arial" w:cs="Arial"/>
          <w:snapToGrid w:val="0"/>
          <w:sz w:val="22"/>
          <w:szCs w:val="22"/>
          <w:lang w:val="en-GB" w:eastAsia="en-US"/>
        </w:rPr>
        <w:t xml:space="preserve">the </w:t>
      </w:r>
      <w:r w:rsidR="00B734F2" w:rsidRPr="002D38E3">
        <w:rPr>
          <w:rFonts w:ascii="Arial" w:hAnsi="Arial" w:cs="Arial"/>
          <w:snapToGrid w:val="0"/>
          <w:sz w:val="22"/>
          <w:szCs w:val="22"/>
          <w:lang w:val="en-GB" w:eastAsia="en-US"/>
        </w:rPr>
        <w:t>President of the General Conference</w:t>
      </w:r>
      <w:r w:rsidRPr="002D38E3">
        <w:rPr>
          <w:rFonts w:ascii="Arial" w:hAnsi="Arial" w:cs="Arial"/>
          <w:snapToGrid w:val="0"/>
          <w:sz w:val="22"/>
          <w:szCs w:val="22"/>
          <w:lang w:val="en-GB" w:eastAsia="en-US"/>
        </w:rPr>
        <w:t xml:space="preserve">, </w:t>
      </w:r>
      <w:r w:rsidR="00DF651D" w:rsidRPr="002D38E3">
        <w:rPr>
          <w:rFonts w:ascii="Arial" w:hAnsi="Arial" w:cs="Arial"/>
          <w:snapToGrid w:val="0"/>
          <w:sz w:val="22"/>
          <w:szCs w:val="22"/>
          <w:lang w:val="en-GB" w:eastAsia="en-US"/>
        </w:rPr>
        <w:t xml:space="preserve">the Secretariat </w:t>
      </w:r>
      <w:r w:rsidR="00830E6F">
        <w:rPr>
          <w:rFonts w:ascii="Arial" w:hAnsi="Arial" w:cs="Arial"/>
          <w:snapToGrid w:val="0"/>
          <w:sz w:val="22"/>
          <w:szCs w:val="22"/>
          <w:lang w:val="en-GB" w:eastAsia="en-US"/>
        </w:rPr>
        <w:t xml:space="preserve">provided </w:t>
      </w:r>
      <w:r w:rsidR="00B734F2" w:rsidRPr="002D38E3">
        <w:rPr>
          <w:rFonts w:ascii="Arial" w:hAnsi="Arial" w:cs="Arial"/>
          <w:snapToGrid w:val="0"/>
          <w:sz w:val="22"/>
          <w:szCs w:val="22"/>
          <w:lang w:val="en-GB" w:eastAsia="en-US"/>
        </w:rPr>
        <w:t>document</w:t>
      </w:r>
      <w:r w:rsidR="00B734F2">
        <w:rPr>
          <w:rFonts w:ascii="Arial" w:hAnsi="Arial" w:cs="Arial"/>
          <w:snapToGrid w:val="0"/>
          <w:sz w:val="22"/>
          <w:szCs w:val="22"/>
          <w:lang w:val="en-GB" w:eastAsia="en-US"/>
        </w:rPr>
        <w:t>s</w:t>
      </w:r>
      <w:r w:rsidR="00826E82">
        <w:rPr>
          <w:rFonts w:ascii="Arial" w:hAnsi="Arial" w:cs="Arial"/>
          <w:snapToGrid w:val="0"/>
          <w:sz w:val="22"/>
          <w:szCs w:val="22"/>
          <w:lang w:val="en-GB" w:eastAsia="en-US"/>
        </w:rPr>
        <w:t> </w:t>
      </w:r>
      <w:hyperlink r:id="rId14" w:history="1">
        <w:r w:rsidR="00B734F2" w:rsidRPr="00A83963">
          <w:rPr>
            <w:rStyle w:val="Hyperlink"/>
            <w:rFonts w:ascii="Arial" w:hAnsi="Arial" w:cs="Arial"/>
            <w:sz w:val="22"/>
            <w:szCs w:val="22"/>
            <w:lang w:val="en-US"/>
          </w:rPr>
          <w:t>ITH/18/7.GA/12</w:t>
        </w:r>
      </w:hyperlink>
      <w:r w:rsidR="00B734F2" w:rsidRPr="002D38E3">
        <w:rPr>
          <w:rFonts w:ascii="Arial" w:hAnsi="Arial" w:cs="Arial"/>
          <w:snapToGrid w:val="0"/>
          <w:sz w:val="22"/>
          <w:szCs w:val="22"/>
          <w:lang w:val="en-GB" w:eastAsia="en-US"/>
        </w:rPr>
        <w:t xml:space="preserve"> and </w:t>
      </w:r>
      <w:hyperlink r:id="rId15" w:history="1">
        <w:r w:rsidR="00B734F2" w:rsidRPr="00A83963">
          <w:rPr>
            <w:rStyle w:val="Hyperlink"/>
            <w:rFonts w:ascii="Arial" w:hAnsi="Arial" w:cs="Arial"/>
            <w:sz w:val="22"/>
            <w:szCs w:val="22"/>
            <w:lang w:val="en-US"/>
          </w:rPr>
          <w:t>ITH/18/7.GA/13</w:t>
        </w:r>
      </w:hyperlink>
      <w:r w:rsidRPr="002D38E3">
        <w:rPr>
          <w:rFonts w:ascii="Arial" w:hAnsi="Arial" w:cs="Arial"/>
          <w:snapToGrid w:val="0"/>
          <w:sz w:val="22"/>
          <w:szCs w:val="22"/>
          <w:lang w:val="en-GB" w:eastAsia="en-US"/>
        </w:rPr>
        <w:t xml:space="preserve"> </w:t>
      </w:r>
      <w:r w:rsidR="00B734F2">
        <w:rPr>
          <w:rFonts w:ascii="Arial" w:hAnsi="Arial" w:cs="Arial"/>
          <w:snapToGrid w:val="0"/>
          <w:sz w:val="22"/>
          <w:szCs w:val="22"/>
          <w:lang w:val="en-GB" w:eastAsia="en-US"/>
        </w:rPr>
        <w:t>for the attention of the General Conference</w:t>
      </w:r>
      <w:r>
        <w:rPr>
          <w:rFonts w:ascii="Arial" w:hAnsi="Arial" w:cs="Arial"/>
          <w:snapToGrid w:val="0"/>
          <w:sz w:val="22"/>
          <w:szCs w:val="22"/>
          <w:lang w:val="en-GB" w:eastAsia="en-US"/>
        </w:rPr>
        <w:t xml:space="preserve">. </w:t>
      </w:r>
      <w:r w:rsidR="00DF651D">
        <w:rPr>
          <w:rFonts w:ascii="Arial" w:hAnsi="Arial" w:cs="Arial"/>
          <w:snapToGrid w:val="0"/>
          <w:sz w:val="22"/>
          <w:szCs w:val="22"/>
          <w:lang w:val="en-GB" w:eastAsia="en-US"/>
        </w:rPr>
        <w:t xml:space="preserve">At the same time, </w:t>
      </w:r>
      <w:r w:rsidR="00257E26">
        <w:rPr>
          <w:rFonts w:ascii="Arial" w:hAnsi="Arial" w:cs="Arial"/>
          <w:snapToGrid w:val="0"/>
          <w:sz w:val="22"/>
          <w:szCs w:val="22"/>
          <w:lang w:val="en-GB" w:eastAsia="en-US"/>
        </w:rPr>
        <w:t xml:space="preserve">a Vice-Chairperson of the thirteenth session of the Committee presented </w:t>
      </w:r>
      <w:r w:rsidR="00DF651D">
        <w:rPr>
          <w:rFonts w:ascii="Arial" w:hAnsi="Arial" w:cs="Arial"/>
          <w:snapToGrid w:val="0"/>
          <w:sz w:val="22"/>
          <w:szCs w:val="22"/>
          <w:lang w:val="en-GB" w:eastAsia="en-US"/>
        </w:rPr>
        <w:t>t</w:t>
      </w:r>
      <w:r>
        <w:rPr>
          <w:rFonts w:ascii="Arial" w:hAnsi="Arial" w:cs="Arial"/>
          <w:snapToGrid w:val="0"/>
          <w:sz w:val="22"/>
          <w:szCs w:val="22"/>
          <w:lang w:val="en-GB" w:eastAsia="en-US"/>
        </w:rPr>
        <w:t>he status of the implementation of the recommendations to the open-ended</w:t>
      </w:r>
      <w:r w:rsidRPr="00FB6498">
        <w:rPr>
          <w:rFonts w:ascii="Arial" w:hAnsi="Arial" w:cs="Arial"/>
          <w:snapToGrid w:val="0"/>
          <w:sz w:val="22"/>
          <w:szCs w:val="22"/>
          <w:lang w:val="en-GB" w:eastAsia="en-US"/>
        </w:rPr>
        <w:t xml:space="preserve"> Working Group</w:t>
      </w:r>
      <w:r>
        <w:rPr>
          <w:rFonts w:ascii="Arial" w:hAnsi="Arial" w:cs="Arial"/>
          <w:snapToGrid w:val="0"/>
          <w:sz w:val="22"/>
          <w:szCs w:val="22"/>
          <w:lang w:val="en-GB" w:eastAsia="en-US"/>
        </w:rPr>
        <w:t xml:space="preserve"> on Governance</w:t>
      </w:r>
      <w:r w:rsidRPr="00FB6498">
        <w:rPr>
          <w:rFonts w:ascii="Arial" w:hAnsi="Arial" w:cs="Arial"/>
          <w:snapToGrid w:val="0"/>
          <w:sz w:val="22"/>
          <w:szCs w:val="22"/>
          <w:lang w:val="en-GB" w:eastAsia="en-US"/>
        </w:rPr>
        <w:t xml:space="preserve"> </w:t>
      </w:r>
      <w:r w:rsidR="00DF651D">
        <w:rPr>
          <w:rFonts w:ascii="Arial" w:hAnsi="Arial" w:cs="Arial"/>
          <w:snapToGrid w:val="0"/>
          <w:sz w:val="22"/>
          <w:szCs w:val="22"/>
          <w:lang w:val="en-GB" w:eastAsia="en-US"/>
        </w:rPr>
        <w:t xml:space="preserve">during the group’s meeting </w:t>
      </w:r>
      <w:r w:rsidRPr="00FB6498">
        <w:rPr>
          <w:rFonts w:ascii="Arial" w:hAnsi="Arial" w:cs="Arial"/>
          <w:snapToGrid w:val="0"/>
          <w:sz w:val="22"/>
          <w:szCs w:val="22"/>
          <w:lang w:val="en-GB" w:eastAsia="en-US"/>
        </w:rPr>
        <w:t xml:space="preserve">on 27 March 2019. </w:t>
      </w:r>
      <w:r w:rsidR="00DF651D">
        <w:rPr>
          <w:rFonts w:ascii="Arial" w:hAnsi="Arial" w:cs="Arial"/>
          <w:snapToGrid w:val="0"/>
          <w:sz w:val="22"/>
          <w:szCs w:val="22"/>
          <w:lang w:val="en-GB" w:eastAsia="en-US"/>
        </w:rPr>
        <w:t xml:space="preserve">Furthermore, a short standard format report </w:t>
      </w:r>
      <w:proofErr w:type="gramStart"/>
      <w:r w:rsidR="00DF651D">
        <w:rPr>
          <w:rFonts w:ascii="Arial" w:hAnsi="Arial" w:cs="Arial"/>
          <w:snapToGrid w:val="0"/>
          <w:sz w:val="22"/>
          <w:szCs w:val="22"/>
          <w:lang w:val="en-GB" w:eastAsia="en-US"/>
        </w:rPr>
        <w:t>was submitted</w:t>
      </w:r>
      <w:proofErr w:type="gramEnd"/>
      <w:r w:rsidR="00DF651D">
        <w:rPr>
          <w:rFonts w:ascii="Arial" w:hAnsi="Arial" w:cs="Arial"/>
          <w:snapToGrid w:val="0"/>
          <w:sz w:val="22"/>
          <w:szCs w:val="22"/>
          <w:lang w:val="en-GB" w:eastAsia="en-US"/>
        </w:rPr>
        <w:t xml:space="preserve"> to the Secretariat of the General Conference</w:t>
      </w:r>
      <w:r w:rsidR="00C813C5">
        <w:rPr>
          <w:rFonts w:ascii="Arial" w:hAnsi="Arial" w:cs="Arial"/>
          <w:snapToGrid w:val="0"/>
          <w:sz w:val="22"/>
          <w:szCs w:val="22"/>
          <w:lang w:val="en-GB" w:eastAsia="en-US"/>
        </w:rPr>
        <w:t xml:space="preserve"> </w:t>
      </w:r>
      <w:r w:rsidR="00DF651D">
        <w:rPr>
          <w:rFonts w:ascii="Arial" w:hAnsi="Arial" w:cs="Arial"/>
          <w:snapToGrid w:val="0"/>
          <w:sz w:val="22"/>
          <w:szCs w:val="22"/>
          <w:lang w:val="en-GB" w:eastAsia="en-US"/>
        </w:rPr>
        <w:t>in August 2019.</w:t>
      </w:r>
    </w:p>
    <w:p w14:paraId="27FC1C68" w14:textId="696757F0" w:rsidR="009B7C08" w:rsidRPr="00EE4900" w:rsidRDefault="00F54979" w:rsidP="009E74D0">
      <w:pPr>
        <w:pStyle w:val="ListParagraph"/>
        <w:numPr>
          <w:ilvl w:val="0"/>
          <w:numId w:val="5"/>
        </w:numPr>
        <w:spacing w:after="120"/>
        <w:ind w:left="567" w:hanging="567"/>
        <w:contextualSpacing w:val="0"/>
        <w:jc w:val="both"/>
        <w:rPr>
          <w:rFonts w:ascii="Arial" w:hAnsi="Arial" w:cs="Arial"/>
          <w:snapToGrid w:val="0"/>
          <w:sz w:val="22"/>
          <w:szCs w:val="22"/>
          <w:lang w:val="en-GB" w:eastAsia="en-US"/>
        </w:rPr>
      </w:pPr>
      <w:r>
        <w:rPr>
          <w:rFonts w:ascii="Arial" w:hAnsi="Arial" w:cs="Arial"/>
          <w:sz w:val="22"/>
          <w:szCs w:val="22"/>
          <w:lang w:val="en-GB"/>
        </w:rPr>
        <w:t>As was the case in the</w:t>
      </w:r>
      <w:r w:rsidR="00C813C5">
        <w:rPr>
          <w:rFonts w:ascii="Arial" w:hAnsi="Arial" w:cs="Arial"/>
          <w:sz w:val="22"/>
          <w:szCs w:val="22"/>
          <w:lang w:val="en-GB"/>
        </w:rPr>
        <w:t xml:space="preserve"> previous documents</w:t>
      </w:r>
      <w:r>
        <w:rPr>
          <w:rFonts w:ascii="Arial" w:hAnsi="Arial" w:cs="Arial"/>
          <w:sz w:val="22"/>
          <w:szCs w:val="22"/>
          <w:lang w:val="en-GB"/>
        </w:rPr>
        <w:t>, t</w:t>
      </w:r>
      <w:r w:rsidR="0078716D" w:rsidRPr="00EE4900">
        <w:rPr>
          <w:rFonts w:ascii="Arial" w:hAnsi="Arial" w:cs="Arial"/>
          <w:sz w:val="22"/>
          <w:szCs w:val="22"/>
          <w:lang w:val="en-GB"/>
        </w:rPr>
        <w:t>he annex to this</w:t>
      </w:r>
      <w:r w:rsidR="000D7530" w:rsidRPr="00EE4900">
        <w:rPr>
          <w:rFonts w:ascii="Arial" w:hAnsi="Arial" w:cs="Arial"/>
          <w:sz w:val="22"/>
          <w:szCs w:val="22"/>
          <w:lang w:val="en-GB"/>
        </w:rPr>
        <w:t xml:space="preserve"> document</w:t>
      </w:r>
      <w:r w:rsidR="0078716D" w:rsidRPr="00EE4900">
        <w:rPr>
          <w:rFonts w:ascii="Arial" w:hAnsi="Arial" w:cs="Arial"/>
          <w:sz w:val="22"/>
          <w:szCs w:val="22"/>
          <w:lang w:val="en-GB"/>
        </w:rPr>
        <w:t xml:space="preserve"> report</w:t>
      </w:r>
      <w:r w:rsidR="00FE0D1B" w:rsidRPr="00EE4900">
        <w:rPr>
          <w:rFonts w:ascii="Arial" w:hAnsi="Arial" w:cs="Arial"/>
          <w:sz w:val="22"/>
          <w:szCs w:val="22"/>
          <w:lang w:val="en-GB"/>
        </w:rPr>
        <w:t>s</w:t>
      </w:r>
      <w:r w:rsidR="0078716D" w:rsidRPr="00EE4900">
        <w:rPr>
          <w:rFonts w:ascii="Arial" w:hAnsi="Arial" w:cs="Arial"/>
          <w:sz w:val="22"/>
          <w:szCs w:val="22"/>
          <w:lang w:val="en-GB"/>
        </w:rPr>
        <w:t xml:space="preserve"> on the status of </w:t>
      </w:r>
      <w:r w:rsidR="00257E26">
        <w:rPr>
          <w:rFonts w:ascii="Arial" w:hAnsi="Arial" w:cs="Arial"/>
          <w:sz w:val="22"/>
          <w:szCs w:val="22"/>
          <w:lang w:val="en-GB"/>
        </w:rPr>
        <w:t xml:space="preserve">the </w:t>
      </w:r>
      <w:r w:rsidR="0078716D" w:rsidRPr="00EE4900">
        <w:rPr>
          <w:rFonts w:ascii="Arial" w:hAnsi="Arial" w:cs="Arial"/>
          <w:sz w:val="22"/>
          <w:szCs w:val="22"/>
          <w:lang w:val="en-GB"/>
        </w:rPr>
        <w:t>implementation of the recommendations that are relevant to the governing bodies of the 2003 Convention</w:t>
      </w:r>
      <w:r w:rsidR="0078716D" w:rsidRPr="0022344C">
        <w:rPr>
          <w:rFonts w:ascii="Arial" w:hAnsi="Arial" w:cs="Arial"/>
          <w:sz w:val="22"/>
          <w:szCs w:val="22"/>
          <w:lang w:val="en-GB"/>
        </w:rPr>
        <w:t xml:space="preserve">. </w:t>
      </w:r>
      <w:r w:rsidR="00310F56" w:rsidRPr="0022344C">
        <w:rPr>
          <w:rFonts w:ascii="Arial" w:hAnsi="Arial" w:cs="Arial"/>
          <w:sz w:val="22"/>
          <w:szCs w:val="22"/>
          <w:lang w:val="en-GB"/>
        </w:rPr>
        <w:t>It is an update</w:t>
      </w:r>
      <w:r w:rsidR="0078716D" w:rsidRPr="0022344C">
        <w:rPr>
          <w:rFonts w:ascii="Arial" w:hAnsi="Arial" w:cs="Arial"/>
          <w:sz w:val="22"/>
          <w:szCs w:val="22"/>
          <w:lang w:val="en-GB"/>
        </w:rPr>
        <w:t xml:space="preserve"> </w:t>
      </w:r>
      <w:r w:rsidR="00310F56" w:rsidRPr="0022344C">
        <w:rPr>
          <w:rFonts w:ascii="Arial" w:hAnsi="Arial" w:cs="Arial"/>
          <w:sz w:val="22"/>
          <w:szCs w:val="22"/>
          <w:lang w:val="en-GB"/>
        </w:rPr>
        <w:t>o</w:t>
      </w:r>
      <w:r w:rsidR="00173039" w:rsidRPr="0022344C">
        <w:rPr>
          <w:rFonts w:ascii="Arial" w:hAnsi="Arial" w:cs="Arial"/>
          <w:sz w:val="22"/>
          <w:szCs w:val="22"/>
          <w:lang w:val="en-GB"/>
        </w:rPr>
        <w:t>n</w:t>
      </w:r>
      <w:r w:rsidR="000D7530" w:rsidRPr="0022344C">
        <w:rPr>
          <w:rFonts w:ascii="Arial" w:hAnsi="Arial" w:cs="Arial"/>
          <w:sz w:val="22"/>
          <w:szCs w:val="22"/>
          <w:lang w:val="en-GB"/>
        </w:rPr>
        <w:t xml:space="preserve"> the </w:t>
      </w:r>
      <w:r w:rsidR="00F25F99" w:rsidRPr="0022344C">
        <w:rPr>
          <w:rFonts w:ascii="Arial" w:hAnsi="Arial" w:cs="Arial"/>
          <w:sz w:val="22"/>
          <w:szCs w:val="22"/>
          <w:lang w:val="en-GB"/>
        </w:rPr>
        <w:t>status</w:t>
      </w:r>
      <w:r w:rsidR="000D7530" w:rsidRPr="0022344C">
        <w:rPr>
          <w:rFonts w:ascii="Arial" w:hAnsi="Arial" w:cs="Arial"/>
          <w:sz w:val="22"/>
          <w:szCs w:val="22"/>
          <w:lang w:val="en-GB"/>
        </w:rPr>
        <w:t xml:space="preserve"> presented</w:t>
      </w:r>
      <w:r w:rsidR="009E74D0" w:rsidRPr="0022344C">
        <w:rPr>
          <w:rFonts w:ascii="Arial" w:hAnsi="Arial" w:cs="Arial"/>
          <w:sz w:val="22"/>
          <w:szCs w:val="22"/>
          <w:lang w:val="en-GB"/>
        </w:rPr>
        <w:t xml:space="preserve"> </w:t>
      </w:r>
      <w:r w:rsidR="000D7530" w:rsidRPr="0022344C">
        <w:rPr>
          <w:rFonts w:ascii="Arial" w:hAnsi="Arial" w:cs="Arial"/>
          <w:sz w:val="22"/>
          <w:szCs w:val="22"/>
          <w:lang w:val="en-GB"/>
        </w:rPr>
        <w:t xml:space="preserve">to the </w:t>
      </w:r>
      <w:r w:rsidR="00D750ED" w:rsidRPr="0022344C">
        <w:rPr>
          <w:rFonts w:ascii="Arial" w:hAnsi="Arial" w:cs="Arial"/>
          <w:sz w:val="22"/>
          <w:szCs w:val="22"/>
          <w:lang w:val="en-GB"/>
        </w:rPr>
        <w:t>thirteenth session of the Committee</w:t>
      </w:r>
      <w:r w:rsidR="00F25F99" w:rsidRPr="00EE4900">
        <w:rPr>
          <w:rFonts w:ascii="Arial" w:hAnsi="Arial" w:cs="Arial"/>
          <w:sz w:val="22"/>
          <w:szCs w:val="22"/>
          <w:lang w:val="en-GB"/>
        </w:rPr>
        <w:t>.</w:t>
      </w:r>
      <w:r w:rsidR="007D1063" w:rsidRPr="00EE4900">
        <w:rPr>
          <w:rFonts w:ascii="Arial" w:hAnsi="Arial" w:cs="Arial"/>
          <w:sz w:val="22"/>
          <w:szCs w:val="22"/>
          <w:lang w:val="en-GB"/>
        </w:rPr>
        <w:t xml:space="preserve"> </w:t>
      </w:r>
      <w:r w:rsidR="007D1063" w:rsidRPr="0022344C">
        <w:rPr>
          <w:rFonts w:ascii="Arial" w:hAnsi="Arial" w:cs="Arial"/>
          <w:sz w:val="22"/>
          <w:szCs w:val="22"/>
          <w:lang w:val="en-GB"/>
        </w:rPr>
        <w:t>Once again</w:t>
      </w:r>
      <w:r w:rsidR="00F06CBA" w:rsidRPr="0022344C">
        <w:rPr>
          <w:rFonts w:ascii="Arial" w:hAnsi="Arial" w:cs="Arial"/>
          <w:sz w:val="22"/>
          <w:szCs w:val="22"/>
          <w:lang w:val="en-GB"/>
        </w:rPr>
        <w:t>,</w:t>
      </w:r>
      <w:r w:rsidR="000D7530" w:rsidRPr="0022344C">
        <w:rPr>
          <w:rFonts w:ascii="Arial" w:hAnsi="Arial" w:cs="Arial"/>
          <w:sz w:val="22"/>
          <w:szCs w:val="22"/>
          <w:lang w:val="en-GB"/>
        </w:rPr>
        <w:t xml:space="preserve"> e</w:t>
      </w:r>
      <w:r w:rsidR="009B7C08" w:rsidRPr="0022344C">
        <w:rPr>
          <w:rFonts w:ascii="Arial" w:hAnsi="Arial" w:cs="Arial"/>
          <w:sz w:val="22"/>
          <w:szCs w:val="22"/>
          <w:lang w:val="en-GB"/>
        </w:rPr>
        <w:t xml:space="preserve">ach recommendation </w:t>
      </w:r>
      <w:r w:rsidR="00476FC1" w:rsidRPr="0022344C">
        <w:rPr>
          <w:rFonts w:ascii="Arial" w:hAnsi="Arial" w:cs="Arial"/>
          <w:sz w:val="22"/>
          <w:szCs w:val="22"/>
          <w:lang w:val="en-GB"/>
        </w:rPr>
        <w:t xml:space="preserve">selected </w:t>
      </w:r>
      <w:r w:rsidR="000D7530" w:rsidRPr="0022344C">
        <w:rPr>
          <w:rFonts w:ascii="Arial" w:hAnsi="Arial" w:cs="Arial"/>
          <w:sz w:val="22"/>
          <w:szCs w:val="22"/>
          <w:lang w:val="en-GB"/>
        </w:rPr>
        <w:t>is</w:t>
      </w:r>
      <w:r w:rsidR="009B7C08" w:rsidRPr="0022344C">
        <w:rPr>
          <w:rFonts w:ascii="Arial" w:hAnsi="Arial" w:cs="Arial"/>
          <w:sz w:val="22"/>
          <w:szCs w:val="22"/>
          <w:lang w:val="en-GB"/>
        </w:rPr>
        <w:t xml:space="preserve"> presented with an indication as to which one o</w:t>
      </w:r>
      <w:r w:rsidR="009B7C08" w:rsidRPr="00EE4900">
        <w:rPr>
          <w:rFonts w:ascii="Arial" w:hAnsi="Arial" w:cs="Arial"/>
          <w:snapToGrid w:val="0"/>
          <w:sz w:val="22"/>
          <w:szCs w:val="22"/>
          <w:lang w:val="en-GB" w:eastAsia="en-US"/>
        </w:rPr>
        <w:t>f the four following categories it may belong</w:t>
      </w:r>
      <w:r w:rsidR="00173039">
        <w:rPr>
          <w:rFonts w:ascii="Arial" w:hAnsi="Arial" w:cs="Arial"/>
          <w:snapToGrid w:val="0"/>
          <w:sz w:val="22"/>
          <w:szCs w:val="22"/>
          <w:lang w:val="en-GB" w:eastAsia="en-US"/>
        </w:rPr>
        <w:t xml:space="preserve"> to</w:t>
      </w:r>
      <w:r w:rsidR="009B7C08" w:rsidRPr="00EE4900">
        <w:rPr>
          <w:rFonts w:ascii="Arial" w:hAnsi="Arial" w:cs="Arial"/>
          <w:snapToGrid w:val="0"/>
          <w:sz w:val="22"/>
          <w:szCs w:val="22"/>
          <w:lang w:val="en-GB" w:eastAsia="en-US"/>
        </w:rPr>
        <w:t>:</w:t>
      </w:r>
    </w:p>
    <w:p w14:paraId="0DDA9614" w14:textId="6D1CE6A0" w:rsidR="009B7C08" w:rsidRDefault="009B7C08" w:rsidP="00974C6E">
      <w:pPr>
        <w:pStyle w:val="COMPara"/>
        <w:numPr>
          <w:ilvl w:val="0"/>
          <w:numId w:val="6"/>
        </w:numPr>
        <w:ind w:left="1134" w:hanging="567"/>
        <w:jc w:val="both"/>
      </w:pPr>
      <w:r w:rsidRPr="00E863FC">
        <w:rPr>
          <w:b/>
        </w:rPr>
        <w:t>C</w:t>
      </w:r>
      <w:r>
        <w:rPr>
          <w:b/>
        </w:rPr>
        <w:t>losed</w:t>
      </w:r>
      <w:r w:rsidRPr="00DA2BCF">
        <w:rPr>
          <w:bCs/>
        </w:rPr>
        <w:t>:</w:t>
      </w:r>
      <w:r w:rsidRPr="00E863FC">
        <w:t xml:space="preserve"> </w:t>
      </w:r>
      <w:r>
        <w:t xml:space="preserve">the </w:t>
      </w:r>
      <w:r w:rsidRPr="00E863FC">
        <w:t>current practice and</w:t>
      </w:r>
      <w:r w:rsidRPr="00A27A83">
        <w:t>/or</w:t>
      </w:r>
      <w:r w:rsidRPr="00E863FC">
        <w:t xml:space="preserve"> rules </w:t>
      </w:r>
      <w:r>
        <w:t>comply</w:t>
      </w:r>
      <w:r w:rsidRPr="00E863FC">
        <w:t xml:space="preserve"> with </w:t>
      </w:r>
      <w:r w:rsidR="00476FC1" w:rsidRPr="00E863FC">
        <w:t>th</w:t>
      </w:r>
      <w:r w:rsidR="00476FC1">
        <w:t>e</w:t>
      </w:r>
      <w:r w:rsidR="00476FC1" w:rsidRPr="00E863FC">
        <w:t xml:space="preserve"> </w:t>
      </w:r>
      <w:r w:rsidRPr="00E863FC">
        <w:t>recommendations</w:t>
      </w:r>
      <w:r>
        <w:t xml:space="preserve">, and no further action </w:t>
      </w:r>
      <w:proofErr w:type="gramStart"/>
      <w:r>
        <w:t xml:space="preserve">is </w:t>
      </w:r>
      <w:r w:rsidR="00476FC1">
        <w:t xml:space="preserve">therefore </w:t>
      </w:r>
      <w:r>
        <w:t>needed</w:t>
      </w:r>
      <w:proofErr w:type="gramEnd"/>
      <w:r>
        <w:t xml:space="preserve">. Moreover, the Secretariat considers that its practice in </w:t>
      </w:r>
      <w:r w:rsidR="00257E26">
        <w:t xml:space="preserve">some </w:t>
      </w:r>
      <w:r>
        <w:t>of the areas covered by the recommendations can be highlighted as a good practice (</w:t>
      </w:r>
      <w:r w:rsidR="00D05B86">
        <w:t xml:space="preserve">seventeen </w:t>
      </w:r>
      <w:r>
        <w:t>recommendations</w:t>
      </w:r>
      <w:r w:rsidR="00257E26">
        <w:t>,</w:t>
      </w:r>
      <w:r>
        <w:t xml:space="preserve"> including </w:t>
      </w:r>
      <w:r w:rsidR="00F06CBA">
        <w:t xml:space="preserve">four </w:t>
      </w:r>
      <w:r>
        <w:t>good practices);</w:t>
      </w:r>
    </w:p>
    <w:p w14:paraId="15BC3E02" w14:textId="208A1206" w:rsidR="009B7C08" w:rsidRDefault="009B7C08" w:rsidP="00974C6E">
      <w:pPr>
        <w:pStyle w:val="COMPara"/>
        <w:numPr>
          <w:ilvl w:val="0"/>
          <w:numId w:val="6"/>
        </w:numPr>
        <w:ind w:left="1134" w:hanging="567"/>
        <w:jc w:val="both"/>
      </w:pPr>
      <w:r>
        <w:rPr>
          <w:b/>
        </w:rPr>
        <w:t>Ongoing</w:t>
      </w:r>
      <w:r w:rsidRPr="00DA2BCF">
        <w:rPr>
          <w:bCs/>
        </w:rPr>
        <w:t>:</w:t>
      </w:r>
      <w:r>
        <w:t xml:space="preserve"> action has already been initiated by the Secretariat </w:t>
      </w:r>
      <w:r w:rsidRPr="00C42E47">
        <w:t>(</w:t>
      </w:r>
      <w:r w:rsidR="00F06CBA">
        <w:t xml:space="preserve">seven </w:t>
      </w:r>
      <w:r w:rsidRPr="00C42E47">
        <w:t>recommendations</w:t>
      </w:r>
      <w:r w:rsidR="00257E26">
        <w:t>,</w:t>
      </w:r>
      <w:r w:rsidR="00EC628C">
        <w:t xml:space="preserve"> </w:t>
      </w:r>
      <w:r w:rsidR="00974C6E">
        <w:t>including one</w:t>
      </w:r>
      <w:r w:rsidR="00EE4900">
        <w:t xml:space="preserve"> good practice</w:t>
      </w:r>
      <w:r>
        <w:t>);</w:t>
      </w:r>
    </w:p>
    <w:p w14:paraId="71A383CD" w14:textId="2B01074E" w:rsidR="009B7C08" w:rsidRDefault="009B7C08" w:rsidP="00974C6E">
      <w:pPr>
        <w:pStyle w:val="COMPara"/>
        <w:numPr>
          <w:ilvl w:val="0"/>
          <w:numId w:val="6"/>
        </w:numPr>
        <w:ind w:left="1134" w:hanging="567"/>
        <w:jc w:val="both"/>
      </w:pPr>
      <w:r>
        <w:rPr>
          <w:b/>
        </w:rPr>
        <w:t>Action proposed</w:t>
      </w:r>
      <w:r w:rsidRPr="00E863FC">
        <w:rPr>
          <w:b/>
        </w:rPr>
        <w:t>:</w:t>
      </w:r>
      <w:r w:rsidRPr="00E863FC">
        <w:t xml:space="preserve"> </w:t>
      </w:r>
      <w:r>
        <w:t xml:space="preserve">action is proposed for the implementation of </w:t>
      </w:r>
      <w:r w:rsidR="00257E26">
        <w:t xml:space="preserve">these </w:t>
      </w:r>
      <w:r w:rsidRPr="00E863FC">
        <w:t>recommendations</w:t>
      </w:r>
      <w:r>
        <w:t xml:space="preserve"> (</w:t>
      </w:r>
      <w:r w:rsidR="00A83963">
        <w:t xml:space="preserve">one </w:t>
      </w:r>
      <w:r>
        <w:t>recommendation)</w:t>
      </w:r>
      <w:r w:rsidRPr="00430698">
        <w:t>;</w:t>
      </w:r>
    </w:p>
    <w:p w14:paraId="29044EB4" w14:textId="531C077E" w:rsidR="009B7C08" w:rsidRDefault="009B7C08" w:rsidP="00974C6E">
      <w:pPr>
        <w:pStyle w:val="COMPara"/>
        <w:numPr>
          <w:ilvl w:val="0"/>
          <w:numId w:val="6"/>
        </w:numPr>
        <w:ind w:left="1134" w:hanging="567"/>
        <w:jc w:val="both"/>
      </w:pPr>
      <w:r w:rsidRPr="00942976">
        <w:rPr>
          <w:b/>
        </w:rPr>
        <w:t>Action</w:t>
      </w:r>
      <w:r w:rsidRPr="00602CE1">
        <w:rPr>
          <w:b/>
        </w:rPr>
        <w:t xml:space="preserve"> </w:t>
      </w:r>
      <w:r w:rsidRPr="00942976">
        <w:rPr>
          <w:b/>
        </w:rPr>
        <w:t>required by S</w:t>
      </w:r>
      <w:r w:rsidRPr="00602CE1">
        <w:rPr>
          <w:b/>
        </w:rPr>
        <w:t>tates Parties</w:t>
      </w:r>
      <w:r w:rsidRPr="00FC0138">
        <w:rPr>
          <w:b/>
        </w:rPr>
        <w:t>:</w:t>
      </w:r>
      <w:r>
        <w:t xml:space="preserve"> </w:t>
      </w:r>
      <w:r w:rsidR="00362E48">
        <w:t xml:space="preserve">responsibility for </w:t>
      </w:r>
      <w:r>
        <w:t>the implementation of these recommendations lies with States Parties (</w:t>
      </w:r>
      <w:r w:rsidR="00A83963">
        <w:t xml:space="preserve">three </w:t>
      </w:r>
      <w:r>
        <w:t>recommendations).</w:t>
      </w:r>
    </w:p>
    <w:p w14:paraId="12151507" w14:textId="2AB3FA96" w:rsidR="00075A92" w:rsidRDefault="002E44DD">
      <w:pPr>
        <w:pStyle w:val="COMPara"/>
        <w:numPr>
          <w:ilvl w:val="0"/>
          <w:numId w:val="5"/>
        </w:numPr>
        <w:ind w:left="567" w:hanging="567"/>
        <w:jc w:val="both"/>
      </w:pPr>
      <w:r>
        <w:t xml:space="preserve">The table below indicates the changes </w:t>
      </w:r>
      <w:r w:rsidR="00F06CBA">
        <w:t>in</w:t>
      </w:r>
      <w:r w:rsidR="00957128">
        <w:t xml:space="preserve"> status </w:t>
      </w:r>
      <w:r w:rsidR="00F06CBA">
        <w:t>compared</w:t>
      </w:r>
      <w:r w:rsidR="00957128">
        <w:t xml:space="preserve"> to </w:t>
      </w:r>
      <w:r w:rsidR="00F06CBA">
        <w:t>those</w:t>
      </w:r>
      <w:r w:rsidR="00957128">
        <w:t xml:space="preserve"> presented at </w:t>
      </w:r>
      <w:r w:rsidR="00D750ED" w:rsidRPr="0022344C">
        <w:t>the thirteenth session of the Committee</w:t>
      </w:r>
      <w:r w:rsidR="00957128">
        <w:t xml:space="preserve">. In general, actions </w:t>
      </w:r>
      <w:proofErr w:type="gramStart"/>
      <w:r w:rsidR="00957128">
        <w:t>were taken</w:t>
      </w:r>
      <w:proofErr w:type="gramEnd"/>
      <w:r w:rsidR="00957128">
        <w:t xml:space="preserve"> to </w:t>
      </w:r>
      <w:r w:rsidR="00EF3414">
        <w:t xml:space="preserve">change the status of </w:t>
      </w:r>
      <w:r w:rsidR="00957128">
        <w:t>a number of recommendation</w:t>
      </w:r>
      <w:r w:rsidR="00F06CBA">
        <w:t>s</w:t>
      </w:r>
      <w:r w:rsidR="00957128">
        <w:t xml:space="preserve"> </w:t>
      </w:r>
      <w:r w:rsidR="00EF3414">
        <w:t>to</w:t>
      </w:r>
      <w:r w:rsidR="00957128">
        <w:t xml:space="preserve"> ‘closed’ or ‘ongoing’.</w:t>
      </w:r>
    </w:p>
    <w:tbl>
      <w:tblPr>
        <w:tblStyle w:val="TableGrid"/>
        <w:tblW w:w="0" w:type="auto"/>
        <w:tblInd w:w="567" w:type="dxa"/>
        <w:tblLook w:val="04A0" w:firstRow="1" w:lastRow="0" w:firstColumn="1" w:lastColumn="0" w:noHBand="0" w:noVBand="1"/>
      </w:tblPr>
      <w:tblGrid>
        <w:gridCol w:w="1980"/>
        <w:gridCol w:w="3540"/>
        <w:gridCol w:w="3541"/>
      </w:tblGrid>
      <w:tr w:rsidR="00FA06B4" w:rsidRPr="002E44DD" w14:paraId="529406DB" w14:textId="77777777" w:rsidTr="00362E48">
        <w:trPr>
          <w:cantSplit/>
        </w:trPr>
        <w:tc>
          <w:tcPr>
            <w:tcW w:w="1980" w:type="dxa"/>
            <w:shd w:val="clear" w:color="auto" w:fill="F2F2F2" w:themeFill="background1" w:themeFillShade="F2"/>
          </w:tcPr>
          <w:p w14:paraId="48E11CD1" w14:textId="1ACEBDAC" w:rsidR="002E44DD" w:rsidRDefault="00AD0B6B" w:rsidP="002E44DD">
            <w:pPr>
              <w:pStyle w:val="COMPara"/>
              <w:numPr>
                <w:ilvl w:val="0"/>
                <w:numId w:val="0"/>
              </w:numPr>
              <w:jc w:val="both"/>
            </w:pPr>
            <w:r>
              <w:lastRenderedPageBreak/>
              <w:t>Status</w:t>
            </w:r>
          </w:p>
        </w:tc>
        <w:tc>
          <w:tcPr>
            <w:tcW w:w="3540" w:type="dxa"/>
            <w:shd w:val="clear" w:color="auto" w:fill="F2F2F2" w:themeFill="background1" w:themeFillShade="F2"/>
          </w:tcPr>
          <w:p w14:paraId="7F1B5703" w14:textId="04BA487A" w:rsidR="002E44DD" w:rsidRPr="00EC628C" w:rsidRDefault="00D750ED" w:rsidP="002E44DD">
            <w:pPr>
              <w:pStyle w:val="COMPara"/>
              <w:numPr>
                <w:ilvl w:val="0"/>
                <w:numId w:val="0"/>
              </w:numPr>
              <w:jc w:val="both"/>
            </w:pPr>
            <w:r w:rsidRPr="00EC628C">
              <w:t>As presented at 13</w:t>
            </w:r>
            <w:r>
              <w:t>.</w:t>
            </w:r>
            <w:r w:rsidRPr="00EC628C">
              <w:t>COM</w:t>
            </w:r>
          </w:p>
        </w:tc>
        <w:tc>
          <w:tcPr>
            <w:tcW w:w="3541" w:type="dxa"/>
            <w:shd w:val="clear" w:color="auto" w:fill="F2F2F2" w:themeFill="background1" w:themeFillShade="F2"/>
          </w:tcPr>
          <w:p w14:paraId="56E60D2B" w14:textId="7DD8FDDA" w:rsidR="002E44DD" w:rsidRPr="00EC628C" w:rsidRDefault="00AD0B6B">
            <w:pPr>
              <w:pStyle w:val="COMPara"/>
              <w:numPr>
                <w:ilvl w:val="0"/>
                <w:numId w:val="0"/>
              </w:numPr>
              <w:jc w:val="both"/>
            </w:pPr>
            <w:r w:rsidRPr="00EC628C">
              <w:t>A</w:t>
            </w:r>
            <w:r w:rsidR="00D750ED">
              <w:t>s presented at 14</w:t>
            </w:r>
            <w:r w:rsidR="009732FB">
              <w:t>.</w:t>
            </w:r>
            <w:r w:rsidR="002E44DD" w:rsidRPr="00EC628C">
              <w:t>COM</w:t>
            </w:r>
          </w:p>
        </w:tc>
      </w:tr>
      <w:tr w:rsidR="00207EEB" w:rsidRPr="00D750ED" w14:paraId="46D258D7" w14:textId="77777777" w:rsidTr="00362E48">
        <w:trPr>
          <w:cantSplit/>
        </w:trPr>
        <w:tc>
          <w:tcPr>
            <w:tcW w:w="1980" w:type="dxa"/>
          </w:tcPr>
          <w:p w14:paraId="13D7F067" w14:textId="604C899F" w:rsidR="00207EEB" w:rsidRDefault="00207EEB" w:rsidP="00207EEB">
            <w:pPr>
              <w:pStyle w:val="COMPara"/>
              <w:numPr>
                <w:ilvl w:val="0"/>
                <w:numId w:val="0"/>
              </w:numPr>
              <w:jc w:val="both"/>
            </w:pPr>
            <w:r>
              <w:t>Closed</w:t>
            </w:r>
          </w:p>
        </w:tc>
        <w:tc>
          <w:tcPr>
            <w:tcW w:w="3540" w:type="dxa"/>
          </w:tcPr>
          <w:p w14:paraId="5D89CD26" w14:textId="470516BF" w:rsidR="00207EEB" w:rsidRDefault="00207EEB" w:rsidP="00207EEB">
            <w:pPr>
              <w:pStyle w:val="COMPara"/>
              <w:numPr>
                <w:ilvl w:val="0"/>
                <w:numId w:val="0"/>
              </w:numPr>
            </w:pPr>
            <w:r>
              <w:t>12 recommendations</w:t>
            </w:r>
            <w:r w:rsidR="00257E26">
              <w:t>,</w:t>
            </w:r>
            <w:r>
              <w:t xml:space="preserve"> including 4 good practices</w:t>
            </w:r>
          </w:p>
          <w:p w14:paraId="5E2E6806" w14:textId="1212D5A4" w:rsidR="00207EEB" w:rsidRPr="005E778C" w:rsidRDefault="00207EEB" w:rsidP="00207EEB">
            <w:pPr>
              <w:pStyle w:val="COMPara"/>
              <w:numPr>
                <w:ilvl w:val="0"/>
                <w:numId w:val="0"/>
              </w:numPr>
              <w:jc w:val="both"/>
              <w:rPr>
                <w:sz w:val="20"/>
                <w:szCs w:val="20"/>
              </w:rPr>
            </w:pPr>
            <w:r w:rsidRPr="005E778C">
              <w:rPr>
                <w:sz w:val="18"/>
                <w:szCs w:val="18"/>
              </w:rPr>
              <w:t xml:space="preserve">(56, 57, 59, 61, 62, 69, 70, </w:t>
            </w:r>
            <w:r>
              <w:rPr>
                <w:sz w:val="18"/>
                <w:szCs w:val="18"/>
              </w:rPr>
              <w:t xml:space="preserve">73, </w:t>
            </w:r>
            <w:r w:rsidRPr="005E778C">
              <w:rPr>
                <w:sz w:val="18"/>
                <w:szCs w:val="18"/>
              </w:rPr>
              <w:t>78, 79, 99</w:t>
            </w:r>
            <w:r>
              <w:rPr>
                <w:sz w:val="18"/>
                <w:szCs w:val="18"/>
              </w:rPr>
              <w:t>,</w:t>
            </w:r>
            <w:r w:rsidRPr="005E778C">
              <w:rPr>
                <w:sz w:val="18"/>
                <w:szCs w:val="18"/>
              </w:rPr>
              <w:t xml:space="preserve"> 101)</w:t>
            </w:r>
          </w:p>
        </w:tc>
        <w:tc>
          <w:tcPr>
            <w:tcW w:w="3541" w:type="dxa"/>
          </w:tcPr>
          <w:p w14:paraId="48584732" w14:textId="29466CE3" w:rsidR="00207EEB" w:rsidRPr="00474F57" w:rsidRDefault="00207EEB" w:rsidP="00207EEB">
            <w:pPr>
              <w:pStyle w:val="COMPara"/>
              <w:numPr>
                <w:ilvl w:val="0"/>
                <w:numId w:val="0"/>
              </w:numPr>
            </w:pPr>
            <w:r w:rsidRPr="00474F57">
              <w:t>17 recommendations</w:t>
            </w:r>
            <w:r w:rsidR="00257E26">
              <w:t>,</w:t>
            </w:r>
            <w:r w:rsidRPr="00474F57">
              <w:t xml:space="preserve"> including 4 good practices</w:t>
            </w:r>
          </w:p>
          <w:p w14:paraId="35598865" w14:textId="1DAB8A10" w:rsidR="00207EEB" w:rsidRPr="00D750ED" w:rsidRDefault="00207EEB" w:rsidP="00207EEB">
            <w:pPr>
              <w:pStyle w:val="COMPara"/>
              <w:numPr>
                <w:ilvl w:val="0"/>
                <w:numId w:val="0"/>
              </w:numPr>
              <w:jc w:val="both"/>
              <w:rPr>
                <w:sz w:val="18"/>
                <w:szCs w:val="18"/>
                <w:highlight w:val="yellow"/>
              </w:rPr>
            </w:pPr>
            <w:r w:rsidRPr="00474F57">
              <w:rPr>
                <w:sz w:val="18"/>
                <w:szCs w:val="18"/>
              </w:rPr>
              <w:t>(56, 57, 59, 61, 62, 68, 69, 70, 71, 73, 76, 78, 79, 80, 94, 99, 101)</w:t>
            </w:r>
          </w:p>
        </w:tc>
      </w:tr>
      <w:tr w:rsidR="00207EEB" w:rsidRPr="00207EEB" w14:paraId="2387DC2B" w14:textId="77777777" w:rsidTr="00362E48">
        <w:trPr>
          <w:cantSplit/>
        </w:trPr>
        <w:tc>
          <w:tcPr>
            <w:tcW w:w="1980" w:type="dxa"/>
          </w:tcPr>
          <w:p w14:paraId="0EA71B42" w14:textId="503A721D" w:rsidR="00207EEB" w:rsidRDefault="00207EEB" w:rsidP="00207EEB">
            <w:pPr>
              <w:pStyle w:val="COMPara"/>
              <w:numPr>
                <w:ilvl w:val="0"/>
                <w:numId w:val="0"/>
              </w:numPr>
              <w:jc w:val="both"/>
            </w:pPr>
            <w:r>
              <w:t>Ongoing</w:t>
            </w:r>
          </w:p>
        </w:tc>
        <w:tc>
          <w:tcPr>
            <w:tcW w:w="3540" w:type="dxa"/>
          </w:tcPr>
          <w:p w14:paraId="30ADDCD1" w14:textId="0DCC0F98" w:rsidR="00207EEB" w:rsidRDefault="00207EEB" w:rsidP="00207EEB">
            <w:pPr>
              <w:pStyle w:val="COMPara"/>
              <w:numPr>
                <w:ilvl w:val="0"/>
                <w:numId w:val="0"/>
              </w:numPr>
            </w:pPr>
            <w:r>
              <w:t>7 recommendations</w:t>
            </w:r>
            <w:r w:rsidR="00257E26">
              <w:t>,</w:t>
            </w:r>
            <w:r>
              <w:t xml:space="preserve"> including 1 good practice</w:t>
            </w:r>
          </w:p>
          <w:p w14:paraId="3BCD5CB6" w14:textId="08747D2E" w:rsidR="00207EEB" w:rsidRDefault="00207EEB" w:rsidP="00207EEB">
            <w:pPr>
              <w:pStyle w:val="COMPara"/>
              <w:numPr>
                <w:ilvl w:val="0"/>
                <w:numId w:val="0"/>
              </w:numPr>
              <w:jc w:val="both"/>
            </w:pPr>
            <w:r w:rsidRPr="005E778C">
              <w:rPr>
                <w:sz w:val="18"/>
                <w:szCs w:val="18"/>
              </w:rPr>
              <w:t>(</w:t>
            </w:r>
            <w:r>
              <w:rPr>
                <w:sz w:val="18"/>
                <w:szCs w:val="18"/>
              </w:rPr>
              <w:t xml:space="preserve">58, 65, 71, </w:t>
            </w:r>
            <w:r w:rsidRPr="005E778C">
              <w:rPr>
                <w:sz w:val="18"/>
                <w:szCs w:val="18"/>
              </w:rPr>
              <w:t>76,</w:t>
            </w:r>
            <w:r>
              <w:rPr>
                <w:sz w:val="18"/>
                <w:szCs w:val="18"/>
              </w:rPr>
              <w:t xml:space="preserve"> 94, 96,</w:t>
            </w:r>
            <w:r w:rsidRPr="005E778C">
              <w:rPr>
                <w:sz w:val="18"/>
                <w:szCs w:val="18"/>
              </w:rPr>
              <w:t xml:space="preserve"> 100)</w:t>
            </w:r>
          </w:p>
        </w:tc>
        <w:tc>
          <w:tcPr>
            <w:tcW w:w="3541" w:type="dxa"/>
          </w:tcPr>
          <w:p w14:paraId="4BCCB84D" w14:textId="687EE680" w:rsidR="00207EEB" w:rsidRPr="00474F57" w:rsidRDefault="00207EEB" w:rsidP="00207EEB">
            <w:pPr>
              <w:pStyle w:val="COMPara"/>
              <w:numPr>
                <w:ilvl w:val="0"/>
                <w:numId w:val="0"/>
              </w:numPr>
            </w:pPr>
            <w:r w:rsidRPr="00474F57">
              <w:t>7 recommendations</w:t>
            </w:r>
            <w:r w:rsidR="00257E26">
              <w:t>,</w:t>
            </w:r>
            <w:r w:rsidRPr="00474F57">
              <w:t xml:space="preserve"> including 1 good practice</w:t>
            </w:r>
          </w:p>
          <w:p w14:paraId="506A92A0" w14:textId="3AA5FD0D" w:rsidR="00207EEB" w:rsidRPr="00D750ED" w:rsidRDefault="00207EEB" w:rsidP="00207EEB">
            <w:pPr>
              <w:pStyle w:val="COMPara"/>
              <w:numPr>
                <w:ilvl w:val="0"/>
                <w:numId w:val="0"/>
              </w:numPr>
              <w:jc w:val="both"/>
              <w:rPr>
                <w:sz w:val="18"/>
                <w:szCs w:val="18"/>
                <w:highlight w:val="yellow"/>
              </w:rPr>
            </w:pPr>
            <w:r w:rsidRPr="00474F57">
              <w:rPr>
                <w:sz w:val="18"/>
                <w:szCs w:val="18"/>
              </w:rPr>
              <w:t>(58, 65, 66, 67, 74, 96, 100)</w:t>
            </w:r>
          </w:p>
        </w:tc>
      </w:tr>
      <w:tr w:rsidR="00207EEB" w:rsidRPr="002E44DD" w14:paraId="0FDAB57F" w14:textId="77777777" w:rsidTr="00362E48">
        <w:trPr>
          <w:cantSplit/>
        </w:trPr>
        <w:tc>
          <w:tcPr>
            <w:tcW w:w="1980" w:type="dxa"/>
          </w:tcPr>
          <w:p w14:paraId="2E162182" w14:textId="5EE3C6D7" w:rsidR="00207EEB" w:rsidRDefault="00207EEB" w:rsidP="00207EEB">
            <w:pPr>
              <w:pStyle w:val="COMPara"/>
              <w:numPr>
                <w:ilvl w:val="0"/>
                <w:numId w:val="0"/>
              </w:numPr>
              <w:jc w:val="both"/>
            </w:pPr>
            <w:r>
              <w:t>Action proposed</w:t>
            </w:r>
          </w:p>
        </w:tc>
        <w:tc>
          <w:tcPr>
            <w:tcW w:w="3540" w:type="dxa"/>
          </w:tcPr>
          <w:p w14:paraId="0B82EAF0" w14:textId="170944D5" w:rsidR="00207EEB" w:rsidRDefault="00207EEB" w:rsidP="00207EEB">
            <w:pPr>
              <w:pStyle w:val="COMPara"/>
              <w:numPr>
                <w:ilvl w:val="0"/>
                <w:numId w:val="0"/>
              </w:numPr>
              <w:jc w:val="both"/>
            </w:pPr>
            <w:r>
              <w:t>3 recommendations</w:t>
            </w:r>
          </w:p>
          <w:p w14:paraId="2210416F" w14:textId="1F887E7D" w:rsidR="00207EEB" w:rsidRDefault="00207EEB" w:rsidP="00207EEB">
            <w:pPr>
              <w:pStyle w:val="COMPara"/>
              <w:numPr>
                <w:ilvl w:val="0"/>
                <w:numId w:val="0"/>
              </w:numPr>
              <w:jc w:val="both"/>
            </w:pPr>
            <w:r>
              <w:rPr>
                <w:sz w:val="18"/>
                <w:szCs w:val="18"/>
              </w:rPr>
              <w:t>(66, 67</w:t>
            </w:r>
            <w:r w:rsidRPr="005E778C">
              <w:rPr>
                <w:sz w:val="18"/>
                <w:szCs w:val="18"/>
              </w:rPr>
              <w:t>, 97)</w:t>
            </w:r>
          </w:p>
        </w:tc>
        <w:tc>
          <w:tcPr>
            <w:tcW w:w="3541" w:type="dxa"/>
          </w:tcPr>
          <w:p w14:paraId="13030BB9" w14:textId="77777777" w:rsidR="00207EEB" w:rsidRPr="00474F57" w:rsidRDefault="00207EEB" w:rsidP="00207EEB">
            <w:pPr>
              <w:pStyle w:val="COMPara"/>
              <w:numPr>
                <w:ilvl w:val="0"/>
                <w:numId w:val="0"/>
              </w:numPr>
              <w:jc w:val="both"/>
            </w:pPr>
            <w:r w:rsidRPr="00474F57">
              <w:t>1 recommendation</w:t>
            </w:r>
          </w:p>
          <w:p w14:paraId="64AB048E" w14:textId="214A3B35" w:rsidR="00207EEB" w:rsidRPr="00D750ED" w:rsidRDefault="00207EEB" w:rsidP="00207EEB">
            <w:pPr>
              <w:pStyle w:val="COMPara"/>
              <w:numPr>
                <w:ilvl w:val="0"/>
                <w:numId w:val="0"/>
              </w:numPr>
              <w:jc w:val="both"/>
              <w:rPr>
                <w:highlight w:val="yellow"/>
              </w:rPr>
            </w:pPr>
            <w:r w:rsidRPr="00474F57">
              <w:rPr>
                <w:sz w:val="18"/>
                <w:szCs w:val="18"/>
              </w:rPr>
              <w:t>(97)</w:t>
            </w:r>
          </w:p>
        </w:tc>
      </w:tr>
      <w:tr w:rsidR="00207EEB" w:rsidRPr="002E44DD" w14:paraId="34EF399E" w14:textId="77777777" w:rsidTr="00362E48">
        <w:trPr>
          <w:cantSplit/>
        </w:trPr>
        <w:tc>
          <w:tcPr>
            <w:tcW w:w="1980" w:type="dxa"/>
          </w:tcPr>
          <w:p w14:paraId="547190EB" w14:textId="099E87E1" w:rsidR="00207EEB" w:rsidRDefault="00207EEB" w:rsidP="00207EEB">
            <w:pPr>
              <w:pStyle w:val="COMPara"/>
              <w:numPr>
                <w:ilvl w:val="0"/>
                <w:numId w:val="0"/>
              </w:numPr>
              <w:jc w:val="both"/>
            </w:pPr>
            <w:r>
              <w:t>Action required by States Parties</w:t>
            </w:r>
          </w:p>
        </w:tc>
        <w:tc>
          <w:tcPr>
            <w:tcW w:w="3540" w:type="dxa"/>
          </w:tcPr>
          <w:p w14:paraId="6EFB2D75" w14:textId="749620AB" w:rsidR="00207EEB" w:rsidRDefault="00207EEB" w:rsidP="00207EEB">
            <w:pPr>
              <w:pStyle w:val="COMPara"/>
              <w:numPr>
                <w:ilvl w:val="0"/>
                <w:numId w:val="0"/>
              </w:numPr>
              <w:jc w:val="both"/>
            </w:pPr>
            <w:r>
              <w:t>4 recommendations</w:t>
            </w:r>
          </w:p>
          <w:p w14:paraId="23D161A9" w14:textId="6AB3E1BB" w:rsidR="00207EEB" w:rsidRDefault="00207EEB" w:rsidP="00207EEB">
            <w:pPr>
              <w:pStyle w:val="COMPara"/>
              <w:numPr>
                <w:ilvl w:val="0"/>
                <w:numId w:val="0"/>
              </w:numPr>
              <w:jc w:val="both"/>
            </w:pPr>
            <w:r>
              <w:rPr>
                <w:sz w:val="18"/>
                <w:szCs w:val="18"/>
              </w:rPr>
              <w:t>(60, 64, 68</w:t>
            </w:r>
            <w:r w:rsidRPr="005E778C">
              <w:rPr>
                <w:sz w:val="18"/>
                <w:szCs w:val="18"/>
              </w:rPr>
              <w:t>, 107)</w:t>
            </w:r>
          </w:p>
        </w:tc>
        <w:tc>
          <w:tcPr>
            <w:tcW w:w="3541" w:type="dxa"/>
          </w:tcPr>
          <w:p w14:paraId="38ACBB28" w14:textId="77777777" w:rsidR="00207EEB" w:rsidRPr="00474F57" w:rsidRDefault="00207EEB" w:rsidP="00207EEB">
            <w:pPr>
              <w:pStyle w:val="COMPara"/>
              <w:numPr>
                <w:ilvl w:val="0"/>
                <w:numId w:val="0"/>
              </w:numPr>
              <w:jc w:val="both"/>
            </w:pPr>
            <w:r w:rsidRPr="00474F57">
              <w:t>3 recommendations</w:t>
            </w:r>
          </w:p>
          <w:p w14:paraId="329C6584" w14:textId="7308E1C5" w:rsidR="00207EEB" w:rsidRPr="00D750ED" w:rsidRDefault="00207EEB" w:rsidP="00207EEB">
            <w:pPr>
              <w:pStyle w:val="COMPara"/>
              <w:numPr>
                <w:ilvl w:val="0"/>
                <w:numId w:val="0"/>
              </w:numPr>
              <w:jc w:val="both"/>
              <w:rPr>
                <w:highlight w:val="yellow"/>
              </w:rPr>
            </w:pPr>
            <w:r w:rsidRPr="00474F57">
              <w:rPr>
                <w:sz w:val="18"/>
                <w:szCs w:val="18"/>
              </w:rPr>
              <w:t>(60, 64, 107)</w:t>
            </w:r>
          </w:p>
        </w:tc>
      </w:tr>
    </w:tbl>
    <w:p w14:paraId="07104BE5" w14:textId="1FD8989E" w:rsidR="00F4640A" w:rsidRDefault="00F4640A" w:rsidP="00362E48">
      <w:pPr>
        <w:pStyle w:val="ListParagraph"/>
        <w:numPr>
          <w:ilvl w:val="0"/>
          <w:numId w:val="5"/>
        </w:numPr>
        <w:spacing w:before="240" w:after="120"/>
        <w:ind w:left="567" w:hanging="567"/>
        <w:contextualSpacing w:val="0"/>
        <w:jc w:val="both"/>
        <w:rPr>
          <w:rFonts w:ascii="Arial" w:hAnsi="Arial" w:cs="Arial"/>
          <w:snapToGrid w:val="0"/>
          <w:sz w:val="22"/>
          <w:szCs w:val="22"/>
          <w:lang w:val="en-GB" w:eastAsia="en-US"/>
        </w:rPr>
      </w:pPr>
      <w:r w:rsidRPr="00A22328">
        <w:rPr>
          <w:rFonts w:ascii="Arial" w:hAnsi="Arial" w:cs="Arial"/>
          <w:snapToGrid w:val="0"/>
          <w:sz w:val="22"/>
          <w:szCs w:val="22"/>
          <w:lang w:val="en-GB" w:eastAsia="en-US"/>
        </w:rPr>
        <w:t xml:space="preserve">As shown in </w:t>
      </w:r>
      <w:r>
        <w:rPr>
          <w:rFonts w:ascii="Arial" w:hAnsi="Arial" w:cs="Arial"/>
          <w:snapToGrid w:val="0"/>
          <w:sz w:val="22"/>
          <w:szCs w:val="22"/>
          <w:lang w:val="en-GB" w:eastAsia="en-US"/>
        </w:rPr>
        <w:t xml:space="preserve">the table </w:t>
      </w:r>
      <w:r w:rsidR="00257E26">
        <w:rPr>
          <w:rFonts w:ascii="Arial" w:hAnsi="Arial" w:cs="Arial"/>
          <w:snapToGrid w:val="0"/>
          <w:sz w:val="22"/>
          <w:szCs w:val="22"/>
          <w:lang w:val="en-GB" w:eastAsia="en-US"/>
        </w:rPr>
        <w:t xml:space="preserve">above </w:t>
      </w:r>
      <w:r>
        <w:rPr>
          <w:rFonts w:ascii="Arial" w:hAnsi="Arial" w:cs="Arial"/>
          <w:snapToGrid w:val="0"/>
          <w:sz w:val="22"/>
          <w:szCs w:val="22"/>
          <w:lang w:val="en-GB" w:eastAsia="en-US"/>
        </w:rPr>
        <w:t xml:space="preserve">and in </w:t>
      </w:r>
      <w:r w:rsidRPr="00A22328">
        <w:rPr>
          <w:rFonts w:ascii="Arial" w:hAnsi="Arial" w:cs="Arial"/>
          <w:snapToGrid w:val="0"/>
          <w:sz w:val="22"/>
          <w:szCs w:val="22"/>
          <w:lang w:val="en-GB" w:eastAsia="en-US"/>
        </w:rPr>
        <w:t xml:space="preserve">the Annex, many of the recommendations </w:t>
      </w:r>
      <w:proofErr w:type="gramStart"/>
      <w:r w:rsidRPr="00A22328">
        <w:rPr>
          <w:rFonts w:ascii="Arial" w:hAnsi="Arial" w:cs="Arial"/>
          <w:snapToGrid w:val="0"/>
          <w:sz w:val="22"/>
          <w:szCs w:val="22"/>
          <w:lang w:val="en-GB" w:eastAsia="en-US"/>
        </w:rPr>
        <w:t>are now closed</w:t>
      </w:r>
      <w:proofErr w:type="gramEnd"/>
      <w:r w:rsidRPr="00A22328">
        <w:rPr>
          <w:rFonts w:ascii="Arial" w:hAnsi="Arial" w:cs="Arial"/>
          <w:snapToGrid w:val="0"/>
          <w:sz w:val="22"/>
          <w:szCs w:val="22"/>
          <w:lang w:val="en-GB" w:eastAsia="en-US"/>
        </w:rPr>
        <w:t xml:space="preserve"> after having received appropriate follow</w:t>
      </w:r>
      <w:r w:rsidR="00257E26">
        <w:rPr>
          <w:rFonts w:ascii="Arial" w:hAnsi="Arial" w:cs="Arial"/>
          <w:snapToGrid w:val="0"/>
          <w:sz w:val="22"/>
          <w:szCs w:val="22"/>
          <w:lang w:val="en-GB" w:eastAsia="en-US"/>
        </w:rPr>
        <w:t>-</w:t>
      </w:r>
      <w:r w:rsidRPr="00A22328">
        <w:rPr>
          <w:rFonts w:ascii="Arial" w:hAnsi="Arial" w:cs="Arial"/>
          <w:snapToGrid w:val="0"/>
          <w:sz w:val="22"/>
          <w:szCs w:val="22"/>
          <w:lang w:val="en-GB" w:eastAsia="en-US"/>
        </w:rPr>
        <w:t xml:space="preserve">up actions. Furthermore, </w:t>
      </w:r>
      <w:r>
        <w:rPr>
          <w:rFonts w:ascii="Arial" w:hAnsi="Arial" w:cs="Arial"/>
          <w:snapToGrid w:val="0"/>
          <w:sz w:val="22"/>
          <w:szCs w:val="22"/>
          <w:lang w:val="en-GB" w:eastAsia="en-US"/>
        </w:rPr>
        <w:t xml:space="preserve">a set of </w:t>
      </w:r>
      <w:r w:rsidRPr="00A22328">
        <w:rPr>
          <w:rFonts w:ascii="Arial" w:hAnsi="Arial" w:cs="Arial"/>
          <w:snapToGrid w:val="0"/>
          <w:sz w:val="22"/>
          <w:szCs w:val="22"/>
          <w:lang w:val="en-GB" w:eastAsia="en-US"/>
        </w:rPr>
        <w:t xml:space="preserve">mitigating measures </w:t>
      </w:r>
      <w:proofErr w:type="gramStart"/>
      <w:r w:rsidRPr="00A22328">
        <w:rPr>
          <w:rFonts w:ascii="Arial" w:hAnsi="Arial" w:cs="Arial"/>
          <w:snapToGrid w:val="0"/>
          <w:sz w:val="22"/>
          <w:szCs w:val="22"/>
          <w:lang w:val="en-GB" w:eastAsia="en-US"/>
        </w:rPr>
        <w:t>ha</w:t>
      </w:r>
      <w:r w:rsidR="00257E26">
        <w:rPr>
          <w:rFonts w:ascii="Arial" w:hAnsi="Arial" w:cs="Arial"/>
          <w:snapToGrid w:val="0"/>
          <w:sz w:val="22"/>
          <w:szCs w:val="22"/>
          <w:lang w:val="en-GB" w:eastAsia="en-US"/>
        </w:rPr>
        <w:t>s</w:t>
      </w:r>
      <w:r>
        <w:rPr>
          <w:rFonts w:ascii="Arial" w:hAnsi="Arial" w:cs="Arial"/>
          <w:snapToGrid w:val="0"/>
          <w:sz w:val="22"/>
          <w:szCs w:val="22"/>
          <w:lang w:val="en-GB" w:eastAsia="en-US"/>
        </w:rPr>
        <w:t xml:space="preserve"> already</w:t>
      </w:r>
      <w:r w:rsidRPr="00A22328">
        <w:rPr>
          <w:rFonts w:ascii="Arial" w:hAnsi="Arial" w:cs="Arial"/>
          <w:snapToGrid w:val="0"/>
          <w:sz w:val="22"/>
          <w:szCs w:val="22"/>
          <w:lang w:val="en-GB" w:eastAsia="en-US"/>
        </w:rPr>
        <w:t xml:space="preserve"> been taken</w:t>
      </w:r>
      <w:proofErr w:type="gramEnd"/>
      <w:r w:rsidRPr="00A22328">
        <w:rPr>
          <w:rFonts w:ascii="Arial" w:hAnsi="Arial" w:cs="Arial"/>
          <w:snapToGrid w:val="0"/>
          <w:sz w:val="22"/>
          <w:szCs w:val="22"/>
          <w:lang w:val="en-GB" w:eastAsia="en-US"/>
        </w:rPr>
        <w:t xml:space="preserve"> for most of the </w:t>
      </w:r>
      <w:r w:rsidR="00EF3414">
        <w:rPr>
          <w:rFonts w:ascii="Arial" w:hAnsi="Arial" w:cs="Arial"/>
          <w:snapToGrid w:val="0"/>
          <w:sz w:val="22"/>
          <w:szCs w:val="22"/>
          <w:lang w:val="en-GB" w:eastAsia="en-US"/>
        </w:rPr>
        <w:t>outstanding recommendations</w:t>
      </w:r>
      <w:r w:rsidR="006B729F">
        <w:rPr>
          <w:rFonts w:ascii="Arial" w:hAnsi="Arial" w:cs="Arial"/>
          <w:snapToGrid w:val="0"/>
          <w:sz w:val="22"/>
          <w:szCs w:val="22"/>
          <w:lang w:val="en-GB" w:eastAsia="en-US"/>
        </w:rPr>
        <w:t>. At the same time,</w:t>
      </w:r>
      <w:r>
        <w:rPr>
          <w:rFonts w:ascii="Arial" w:hAnsi="Arial" w:cs="Arial"/>
          <w:snapToGrid w:val="0"/>
          <w:sz w:val="22"/>
          <w:szCs w:val="22"/>
          <w:lang w:val="en-GB" w:eastAsia="en-US"/>
        </w:rPr>
        <w:t xml:space="preserve"> </w:t>
      </w:r>
      <w:r w:rsidR="004D19D9">
        <w:rPr>
          <w:rFonts w:ascii="Arial" w:hAnsi="Arial" w:cs="Arial"/>
          <w:snapToGrid w:val="0"/>
          <w:sz w:val="22"/>
          <w:szCs w:val="22"/>
          <w:lang w:val="en-GB" w:eastAsia="en-US"/>
        </w:rPr>
        <w:t>some</w:t>
      </w:r>
      <w:r>
        <w:rPr>
          <w:rFonts w:ascii="Arial" w:hAnsi="Arial" w:cs="Arial"/>
          <w:snapToGrid w:val="0"/>
          <w:sz w:val="22"/>
          <w:szCs w:val="22"/>
          <w:lang w:val="en-GB" w:eastAsia="en-US"/>
        </w:rPr>
        <w:t xml:space="preserve"> other issues require</w:t>
      </w:r>
      <w:r w:rsidRPr="00A22328">
        <w:rPr>
          <w:rFonts w:ascii="Arial" w:hAnsi="Arial" w:cs="Arial"/>
          <w:snapToGrid w:val="0"/>
          <w:sz w:val="22"/>
          <w:szCs w:val="22"/>
          <w:lang w:val="en-GB" w:eastAsia="en-US"/>
        </w:rPr>
        <w:t xml:space="preserve"> action by States Parties</w:t>
      </w:r>
      <w:r>
        <w:rPr>
          <w:rFonts w:ascii="Arial" w:hAnsi="Arial" w:cs="Arial"/>
          <w:snapToGrid w:val="0"/>
          <w:sz w:val="22"/>
          <w:szCs w:val="22"/>
          <w:lang w:val="en-GB" w:eastAsia="en-US"/>
        </w:rPr>
        <w:t xml:space="preserve"> on a long term-basis</w:t>
      </w:r>
      <w:r w:rsidRPr="00A22328">
        <w:rPr>
          <w:rFonts w:ascii="Arial" w:hAnsi="Arial" w:cs="Arial"/>
          <w:snapToGrid w:val="0"/>
          <w:sz w:val="22"/>
          <w:szCs w:val="22"/>
          <w:lang w:val="en-GB" w:eastAsia="en-US"/>
        </w:rPr>
        <w:t>.</w:t>
      </w:r>
      <w:r>
        <w:rPr>
          <w:rFonts w:ascii="Arial" w:hAnsi="Arial" w:cs="Arial"/>
          <w:snapToGrid w:val="0"/>
          <w:sz w:val="22"/>
          <w:szCs w:val="22"/>
          <w:lang w:val="en-GB" w:eastAsia="en-US"/>
        </w:rPr>
        <w:t xml:space="preserve"> In general</w:t>
      </w:r>
      <w:r w:rsidR="006B729F">
        <w:rPr>
          <w:rFonts w:ascii="Arial" w:hAnsi="Arial" w:cs="Arial"/>
          <w:snapToGrid w:val="0"/>
          <w:sz w:val="22"/>
          <w:szCs w:val="22"/>
          <w:lang w:val="en-GB" w:eastAsia="en-US"/>
        </w:rPr>
        <w:t>,</w:t>
      </w:r>
      <w:r>
        <w:rPr>
          <w:rFonts w:ascii="Arial" w:hAnsi="Arial" w:cs="Arial"/>
          <w:snapToGrid w:val="0"/>
          <w:sz w:val="22"/>
          <w:szCs w:val="22"/>
          <w:lang w:val="en-GB" w:eastAsia="en-US"/>
        </w:rPr>
        <w:t xml:space="preserve"> it </w:t>
      </w:r>
      <w:proofErr w:type="gramStart"/>
      <w:r>
        <w:rPr>
          <w:rFonts w:ascii="Arial" w:hAnsi="Arial" w:cs="Arial"/>
          <w:snapToGrid w:val="0"/>
          <w:sz w:val="22"/>
          <w:szCs w:val="22"/>
          <w:lang w:val="en-GB" w:eastAsia="en-US"/>
        </w:rPr>
        <w:t xml:space="preserve">can </w:t>
      </w:r>
      <w:r w:rsidR="006B729F">
        <w:rPr>
          <w:rFonts w:ascii="Arial" w:hAnsi="Arial" w:cs="Arial"/>
          <w:snapToGrid w:val="0"/>
          <w:sz w:val="22"/>
          <w:szCs w:val="22"/>
          <w:lang w:val="en-GB" w:eastAsia="en-US"/>
        </w:rPr>
        <w:t xml:space="preserve">be </w:t>
      </w:r>
      <w:r>
        <w:rPr>
          <w:rFonts w:ascii="Arial" w:hAnsi="Arial" w:cs="Arial"/>
          <w:snapToGrid w:val="0"/>
          <w:sz w:val="22"/>
          <w:szCs w:val="22"/>
          <w:lang w:val="en-GB" w:eastAsia="en-US"/>
        </w:rPr>
        <w:t>concluded</w:t>
      </w:r>
      <w:proofErr w:type="gramEnd"/>
      <w:r>
        <w:rPr>
          <w:rFonts w:ascii="Arial" w:hAnsi="Arial" w:cs="Arial"/>
          <w:snapToGrid w:val="0"/>
          <w:sz w:val="22"/>
          <w:szCs w:val="22"/>
          <w:lang w:val="en-GB" w:eastAsia="en-US"/>
        </w:rPr>
        <w:t xml:space="preserve"> that </w:t>
      </w:r>
      <w:r w:rsidR="004D19D9">
        <w:rPr>
          <w:rFonts w:ascii="Arial" w:hAnsi="Arial" w:cs="Arial"/>
          <w:snapToGrid w:val="0"/>
          <w:sz w:val="22"/>
          <w:szCs w:val="22"/>
          <w:lang w:val="en-GB" w:eastAsia="en-US"/>
        </w:rPr>
        <w:t xml:space="preserve">the governing bodies and the Secretariat have made </w:t>
      </w:r>
      <w:r w:rsidRPr="00A22328">
        <w:rPr>
          <w:rFonts w:ascii="Arial" w:hAnsi="Arial" w:cs="Arial"/>
          <w:snapToGrid w:val="0"/>
          <w:sz w:val="22"/>
          <w:szCs w:val="22"/>
          <w:lang w:val="en-GB" w:eastAsia="en-US"/>
        </w:rPr>
        <w:t xml:space="preserve">steady progress </w:t>
      </w:r>
      <w:r>
        <w:rPr>
          <w:rFonts w:ascii="Arial" w:hAnsi="Arial" w:cs="Arial"/>
          <w:snapToGrid w:val="0"/>
          <w:sz w:val="22"/>
          <w:szCs w:val="22"/>
          <w:lang w:val="en-GB" w:eastAsia="en-US"/>
        </w:rPr>
        <w:t xml:space="preserve">in contribution </w:t>
      </w:r>
      <w:r w:rsidR="00C7656F">
        <w:rPr>
          <w:rFonts w:ascii="Arial" w:hAnsi="Arial" w:cs="Arial"/>
          <w:snapToGrid w:val="0"/>
          <w:sz w:val="22"/>
          <w:szCs w:val="22"/>
          <w:lang w:val="en-GB" w:eastAsia="en-US"/>
        </w:rPr>
        <w:t xml:space="preserve">to the </w:t>
      </w:r>
      <w:r>
        <w:rPr>
          <w:rFonts w:ascii="Arial" w:hAnsi="Arial" w:cs="Arial"/>
          <w:snapToGrid w:val="0"/>
          <w:sz w:val="22"/>
          <w:szCs w:val="22"/>
          <w:lang w:val="en-GB" w:eastAsia="en-US"/>
        </w:rPr>
        <w:t xml:space="preserve">sound governance </w:t>
      </w:r>
      <w:r w:rsidRPr="00A22328">
        <w:rPr>
          <w:rFonts w:ascii="Arial" w:hAnsi="Arial" w:cs="Arial"/>
          <w:snapToGrid w:val="0"/>
          <w:sz w:val="22"/>
          <w:szCs w:val="22"/>
          <w:lang w:val="en-GB" w:eastAsia="en-US"/>
        </w:rPr>
        <w:t>of the 2003 Convention</w:t>
      </w:r>
      <w:r>
        <w:rPr>
          <w:rFonts w:ascii="Arial" w:hAnsi="Arial" w:cs="Arial"/>
          <w:snapToGrid w:val="0"/>
          <w:sz w:val="22"/>
          <w:szCs w:val="22"/>
          <w:lang w:val="en-GB" w:eastAsia="en-US"/>
        </w:rPr>
        <w:t>.</w:t>
      </w:r>
    </w:p>
    <w:p w14:paraId="0142989B" w14:textId="70CE882F" w:rsidR="00F40207" w:rsidRDefault="00942946" w:rsidP="00362E48">
      <w:pPr>
        <w:pStyle w:val="ListParagraph"/>
        <w:numPr>
          <w:ilvl w:val="0"/>
          <w:numId w:val="5"/>
        </w:numPr>
        <w:spacing w:before="240" w:after="120"/>
        <w:ind w:left="567" w:hanging="567"/>
        <w:contextualSpacing w:val="0"/>
        <w:jc w:val="both"/>
        <w:rPr>
          <w:rFonts w:ascii="Arial" w:hAnsi="Arial" w:cs="Arial"/>
          <w:snapToGrid w:val="0"/>
          <w:sz w:val="22"/>
          <w:szCs w:val="22"/>
          <w:lang w:val="en-GB" w:eastAsia="en-US"/>
        </w:rPr>
      </w:pPr>
      <w:r>
        <w:rPr>
          <w:rFonts w:ascii="Arial" w:hAnsi="Arial" w:cs="Arial"/>
          <w:snapToGrid w:val="0"/>
          <w:sz w:val="22"/>
          <w:szCs w:val="22"/>
          <w:lang w:val="en-GB" w:eastAsia="en-US"/>
        </w:rPr>
        <w:t>The f</w:t>
      </w:r>
      <w:r w:rsidR="002F0489">
        <w:rPr>
          <w:rFonts w:ascii="Arial" w:hAnsi="Arial" w:cs="Arial"/>
          <w:snapToGrid w:val="0"/>
          <w:sz w:val="22"/>
          <w:szCs w:val="22"/>
          <w:lang w:val="en-GB" w:eastAsia="en-US"/>
        </w:rPr>
        <w:t>ollowing</w:t>
      </w:r>
      <w:r w:rsidR="00F40207">
        <w:rPr>
          <w:rFonts w:ascii="Arial" w:hAnsi="Arial" w:cs="Arial"/>
          <w:snapToGrid w:val="0"/>
          <w:sz w:val="22"/>
          <w:szCs w:val="22"/>
          <w:lang w:val="en-GB" w:eastAsia="en-US"/>
        </w:rPr>
        <w:t xml:space="preserve"> </w:t>
      </w:r>
      <w:r w:rsidR="001B0925">
        <w:rPr>
          <w:rFonts w:ascii="Arial" w:hAnsi="Arial" w:cs="Arial"/>
          <w:snapToGrid w:val="0"/>
          <w:sz w:val="22"/>
          <w:szCs w:val="22"/>
          <w:lang w:val="en-GB" w:eastAsia="en-US"/>
        </w:rPr>
        <w:t>t</w:t>
      </w:r>
      <w:r w:rsidR="00F4640A">
        <w:rPr>
          <w:rFonts w:ascii="Arial" w:hAnsi="Arial" w:cs="Arial"/>
          <w:snapToGrid w:val="0"/>
          <w:sz w:val="22"/>
          <w:szCs w:val="22"/>
          <w:lang w:val="en-GB" w:eastAsia="en-US"/>
        </w:rPr>
        <w:t>wo</w:t>
      </w:r>
      <w:r w:rsidR="001B0925">
        <w:rPr>
          <w:rFonts w:ascii="Arial" w:hAnsi="Arial" w:cs="Arial"/>
          <w:snapToGrid w:val="0"/>
          <w:sz w:val="22"/>
          <w:szCs w:val="22"/>
          <w:lang w:val="en-GB" w:eastAsia="en-US"/>
        </w:rPr>
        <w:t xml:space="preserve"> </w:t>
      </w:r>
      <w:r w:rsidR="00F40207">
        <w:rPr>
          <w:rFonts w:ascii="Arial" w:hAnsi="Arial" w:cs="Arial"/>
          <w:snapToGrid w:val="0"/>
          <w:sz w:val="22"/>
          <w:szCs w:val="22"/>
          <w:lang w:val="en-GB" w:eastAsia="en-US"/>
        </w:rPr>
        <w:t>points merit particular attention:</w:t>
      </w:r>
    </w:p>
    <w:p w14:paraId="26C541DF" w14:textId="590FBC27" w:rsidR="00F9493B" w:rsidRPr="00362E48" w:rsidRDefault="001B0925" w:rsidP="00362E48">
      <w:pPr>
        <w:pStyle w:val="ListParagraph"/>
        <w:spacing w:after="120"/>
        <w:ind w:left="567"/>
        <w:contextualSpacing w:val="0"/>
        <w:jc w:val="both"/>
        <w:rPr>
          <w:rFonts w:ascii="Arial" w:hAnsi="Arial" w:cs="Arial"/>
          <w:snapToGrid w:val="0"/>
          <w:sz w:val="22"/>
          <w:szCs w:val="22"/>
          <w:lang w:val="en-GB" w:eastAsia="en-US"/>
        </w:rPr>
      </w:pPr>
      <w:r w:rsidRPr="001B0925">
        <w:rPr>
          <w:rFonts w:ascii="Arial" w:hAnsi="Arial" w:cs="Arial"/>
          <w:snapToGrid w:val="0"/>
          <w:sz w:val="22"/>
          <w:szCs w:val="22"/>
          <w:u w:val="single"/>
          <w:lang w:val="en-GB" w:eastAsia="en-US"/>
        </w:rPr>
        <w:t>a.</w:t>
      </w:r>
      <w:r>
        <w:rPr>
          <w:rFonts w:ascii="Arial" w:hAnsi="Arial" w:cs="Arial"/>
          <w:snapToGrid w:val="0"/>
          <w:sz w:val="22"/>
          <w:szCs w:val="22"/>
          <w:u w:val="single"/>
          <w:lang w:val="en-GB" w:eastAsia="en-US"/>
        </w:rPr>
        <w:t xml:space="preserve"> </w:t>
      </w:r>
      <w:r w:rsidR="0046114D" w:rsidRPr="00362E48">
        <w:rPr>
          <w:rFonts w:ascii="Arial" w:hAnsi="Arial" w:cs="Arial"/>
          <w:snapToGrid w:val="0"/>
          <w:sz w:val="22"/>
          <w:szCs w:val="22"/>
          <w:u w:val="single"/>
          <w:lang w:val="en-GB" w:eastAsia="en-US"/>
        </w:rPr>
        <w:t>Harmoni</w:t>
      </w:r>
      <w:r w:rsidR="00257E26">
        <w:rPr>
          <w:rFonts w:ascii="Arial" w:hAnsi="Arial" w:cs="Arial"/>
          <w:snapToGrid w:val="0"/>
          <w:sz w:val="22"/>
          <w:szCs w:val="22"/>
          <w:u w:val="single"/>
          <w:lang w:val="en-GB" w:eastAsia="en-US"/>
        </w:rPr>
        <w:t>z</w:t>
      </w:r>
      <w:r w:rsidR="0046114D" w:rsidRPr="00362E48">
        <w:rPr>
          <w:rFonts w:ascii="Arial" w:hAnsi="Arial" w:cs="Arial"/>
          <w:snapToGrid w:val="0"/>
          <w:sz w:val="22"/>
          <w:szCs w:val="22"/>
          <w:u w:val="single"/>
          <w:lang w:val="en-GB" w:eastAsia="en-US"/>
        </w:rPr>
        <w:t>ation</w:t>
      </w:r>
      <w:r w:rsidR="0046114D" w:rsidRPr="00362E48">
        <w:rPr>
          <w:rFonts w:ascii="Arial" w:hAnsi="Arial" w:cs="Arial"/>
          <w:snapToGrid w:val="0"/>
          <w:sz w:val="22"/>
          <w:szCs w:val="22"/>
          <w:lang w:val="en-GB" w:eastAsia="en-US"/>
        </w:rPr>
        <w:t xml:space="preserve">: </w:t>
      </w:r>
      <w:r w:rsidR="001A35D6" w:rsidRPr="00362E48">
        <w:rPr>
          <w:rFonts w:ascii="Arial" w:hAnsi="Arial" w:cs="Arial"/>
          <w:snapToGrid w:val="0"/>
          <w:sz w:val="22"/>
          <w:szCs w:val="22"/>
          <w:lang w:val="en-GB" w:eastAsia="en-US"/>
        </w:rPr>
        <w:t>Several recommendations (e.g.</w:t>
      </w:r>
      <w:r w:rsidR="00053A91">
        <w:rPr>
          <w:rFonts w:ascii="Arial" w:hAnsi="Arial" w:cs="Arial"/>
          <w:snapToGrid w:val="0"/>
          <w:sz w:val="22"/>
          <w:szCs w:val="22"/>
          <w:lang w:val="en-GB" w:eastAsia="en-US"/>
        </w:rPr>
        <w:t xml:space="preserve"> 66, 68, 71</w:t>
      </w:r>
      <w:r w:rsidR="001A35D6" w:rsidRPr="00362E48">
        <w:rPr>
          <w:rFonts w:ascii="Arial" w:hAnsi="Arial" w:cs="Arial"/>
          <w:snapToGrid w:val="0"/>
          <w:sz w:val="22"/>
          <w:szCs w:val="22"/>
          <w:lang w:val="en-GB" w:eastAsia="en-US"/>
        </w:rPr>
        <w:t>)</w:t>
      </w:r>
      <w:r w:rsidR="00FC61F8" w:rsidRPr="00362E48">
        <w:rPr>
          <w:rFonts w:ascii="Arial" w:hAnsi="Arial" w:cs="Arial"/>
          <w:snapToGrid w:val="0"/>
          <w:sz w:val="22"/>
          <w:szCs w:val="22"/>
          <w:lang w:val="en-GB" w:eastAsia="en-US"/>
        </w:rPr>
        <w:t xml:space="preserve"> </w:t>
      </w:r>
      <w:r w:rsidR="006C4F56" w:rsidRPr="00362E48">
        <w:rPr>
          <w:rFonts w:ascii="Arial" w:hAnsi="Arial" w:cs="Arial"/>
          <w:snapToGrid w:val="0"/>
          <w:sz w:val="22"/>
          <w:szCs w:val="22"/>
          <w:lang w:val="en-GB" w:eastAsia="en-US"/>
        </w:rPr>
        <w:t>relate to</w:t>
      </w:r>
      <w:r w:rsidR="001A35D6" w:rsidRPr="00362E48">
        <w:rPr>
          <w:rFonts w:ascii="Arial" w:hAnsi="Arial" w:cs="Arial"/>
          <w:snapToGrid w:val="0"/>
          <w:sz w:val="22"/>
          <w:szCs w:val="22"/>
          <w:lang w:val="en-GB" w:eastAsia="en-US"/>
        </w:rPr>
        <w:t xml:space="preserve"> </w:t>
      </w:r>
      <w:r w:rsidR="00FC61F8" w:rsidRPr="00362E48">
        <w:rPr>
          <w:rFonts w:ascii="Arial" w:hAnsi="Arial" w:cs="Arial"/>
          <w:snapToGrid w:val="0"/>
          <w:sz w:val="22"/>
          <w:szCs w:val="22"/>
          <w:lang w:val="en-GB" w:eastAsia="en-US"/>
        </w:rPr>
        <w:t xml:space="preserve">the request made by the seventh session of the General Assembly </w:t>
      </w:r>
      <w:r w:rsidR="0062661B" w:rsidRPr="00362E48">
        <w:rPr>
          <w:rFonts w:ascii="Arial" w:hAnsi="Arial" w:cs="Arial"/>
          <w:snapToGrid w:val="0"/>
          <w:sz w:val="22"/>
          <w:szCs w:val="22"/>
          <w:lang w:val="en-GB" w:eastAsia="en-US"/>
        </w:rPr>
        <w:t>(</w:t>
      </w:r>
      <w:hyperlink r:id="rId16" w:history="1">
        <w:r w:rsidR="00823F1D" w:rsidRPr="00362E48">
          <w:rPr>
            <w:rStyle w:val="Hyperlink"/>
            <w:rFonts w:ascii="Arial" w:hAnsi="Arial" w:cs="Arial"/>
            <w:snapToGrid w:val="0"/>
            <w:sz w:val="22"/>
            <w:szCs w:val="22"/>
            <w:lang w:val="en-GB" w:eastAsia="en-US"/>
          </w:rPr>
          <w:t>Resolution 7.GA 13</w:t>
        </w:r>
      </w:hyperlink>
      <w:r w:rsidR="0062661B" w:rsidRPr="00362E48">
        <w:rPr>
          <w:rFonts w:ascii="Arial" w:hAnsi="Arial" w:cs="Arial"/>
          <w:snapToGrid w:val="0"/>
          <w:sz w:val="22"/>
          <w:szCs w:val="22"/>
          <w:lang w:val="en-GB" w:eastAsia="en-US"/>
        </w:rPr>
        <w:t>) concerning</w:t>
      </w:r>
      <w:r w:rsidR="00FC61F8" w:rsidRPr="00362E48">
        <w:rPr>
          <w:rFonts w:ascii="Arial" w:hAnsi="Arial" w:cs="Arial"/>
          <w:snapToGrid w:val="0"/>
          <w:sz w:val="22"/>
          <w:szCs w:val="22"/>
          <w:lang w:val="en-GB" w:eastAsia="en-US"/>
        </w:rPr>
        <w:t xml:space="preserve"> the issue of ‘harmoni</w:t>
      </w:r>
      <w:r w:rsidR="00257E26">
        <w:rPr>
          <w:rFonts w:ascii="Arial" w:hAnsi="Arial" w:cs="Arial"/>
          <w:snapToGrid w:val="0"/>
          <w:sz w:val="22"/>
          <w:szCs w:val="22"/>
          <w:lang w:val="en-GB" w:eastAsia="en-US"/>
        </w:rPr>
        <w:t>z</w:t>
      </w:r>
      <w:r w:rsidR="00FC61F8" w:rsidRPr="00362E48">
        <w:rPr>
          <w:rFonts w:ascii="Arial" w:hAnsi="Arial" w:cs="Arial"/>
          <w:snapToGrid w:val="0"/>
          <w:sz w:val="22"/>
          <w:szCs w:val="22"/>
          <w:lang w:val="en-GB" w:eastAsia="en-US"/>
        </w:rPr>
        <w:t>ation’.</w:t>
      </w:r>
      <w:r w:rsidR="0062661B" w:rsidRPr="00362E48">
        <w:rPr>
          <w:rFonts w:ascii="Arial" w:hAnsi="Arial" w:cs="Arial"/>
          <w:snapToGrid w:val="0"/>
          <w:sz w:val="22"/>
          <w:szCs w:val="22"/>
          <w:lang w:val="en-GB" w:eastAsia="en-US"/>
        </w:rPr>
        <w:t xml:space="preserve"> </w:t>
      </w:r>
      <w:proofErr w:type="gramStart"/>
      <w:r w:rsidR="0062661B" w:rsidRPr="00362E48">
        <w:rPr>
          <w:rFonts w:ascii="Arial" w:hAnsi="Arial" w:cs="Arial"/>
          <w:snapToGrid w:val="0"/>
          <w:sz w:val="22"/>
          <w:szCs w:val="22"/>
          <w:lang w:val="en-GB" w:eastAsia="en-US"/>
        </w:rPr>
        <w:t xml:space="preserve">The Assembly </w:t>
      </w:r>
      <w:r w:rsidR="00726ADA">
        <w:rPr>
          <w:rFonts w:ascii="Arial" w:hAnsi="Arial" w:cs="Arial"/>
          <w:snapToGrid w:val="0"/>
          <w:sz w:val="22"/>
          <w:szCs w:val="22"/>
          <w:lang w:val="en-GB" w:eastAsia="en-US"/>
        </w:rPr>
        <w:t>underlined</w:t>
      </w:r>
      <w:r w:rsidR="0062661B" w:rsidRPr="00362E48">
        <w:rPr>
          <w:rFonts w:ascii="Arial" w:hAnsi="Arial" w:cs="Arial"/>
          <w:snapToGrid w:val="0"/>
          <w:sz w:val="22"/>
          <w:szCs w:val="22"/>
          <w:lang w:val="en-GB" w:eastAsia="en-US"/>
        </w:rPr>
        <w:t xml:space="preserve"> the importance of harmoni</w:t>
      </w:r>
      <w:r w:rsidR="00257E26">
        <w:rPr>
          <w:rFonts w:ascii="Arial" w:hAnsi="Arial" w:cs="Arial"/>
          <w:snapToGrid w:val="0"/>
          <w:sz w:val="22"/>
          <w:szCs w:val="22"/>
          <w:lang w:val="en-GB" w:eastAsia="en-US"/>
        </w:rPr>
        <w:t>z</w:t>
      </w:r>
      <w:r w:rsidR="0062661B" w:rsidRPr="00362E48">
        <w:rPr>
          <w:rFonts w:ascii="Arial" w:hAnsi="Arial" w:cs="Arial"/>
          <w:snapToGrid w:val="0"/>
          <w:sz w:val="22"/>
          <w:szCs w:val="22"/>
          <w:lang w:val="en-GB" w:eastAsia="en-US"/>
        </w:rPr>
        <w:t xml:space="preserve">ing the rules of procedure of the governing bodies of the six culture conventions; highlighting the crucial role of the Culture Sector in this regard, </w:t>
      </w:r>
      <w:r w:rsidR="00726ADA">
        <w:rPr>
          <w:rFonts w:ascii="Arial" w:hAnsi="Arial" w:cs="Arial"/>
          <w:snapToGrid w:val="0"/>
          <w:sz w:val="22"/>
          <w:szCs w:val="22"/>
          <w:lang w:val="en-GB" w:eastAsia="en-US"/>
        </w:rPr>
        <w:t xml:space="preserve">the General Assembly requested </w:t>
      </w:r>
      <w:r w:rsidR="00257E26">
        <w:rPr>
          <w:rFonts w:ascii="Arial" w:hAnsi="Arial" w:cs="Arial"/>
          <w:snapToGrid w:val="0"/>
          <w:sz w:val="22"/>
          <w:szCs w:val="22"/>
          <w:lang w:val="en-GB" w:eastAsia="en-US"/>
        </w:rPr>
        <w:t xml:space="preserve">that </w:t>
      </w:r>
      <w:r w:rsidR="00726ADA">
        <w:rPr>
          <w:rFonts w:ascii="Arial" w:hAnsi="Arial" w:cs="Arial"/>
          <w:snapToGrid w:val="0"/>
          <w:sz w:val="22"/>
          <w:szCs w:val="22"/>
          <w:lang w:val="en-GB" w:eastAsia="en-US"/>
        </w:rPr>
        <w:t>the Secretariat</w:t>
      </w:r>
      <w:r w:rsidR="0062661B" w:rsidRPr="00362E48">
        <w:rPr>
          <w:rFonts w:ascii="Arial" w:hAnsi="Arial" w:cs="Arial"/>
          <w:snapToGrid w:val="0"/>
          <w:sz w:val="22"/>
          <w:szCs w:val="22"/>
          <w:lang w:val="en-GB" w:eastAsia="en-US"/>
        </w:rPr>
        <w:t xml:space="preserve">, </w:t>
      </w:r>
      <w:r w:rsidR="00C00289" w:rsidRPr="00362E48">
        <w:rPr>
          <w:rFonts w:ascii="Arial" w:hAnsi="Arial" w:cs="Arial"/>
          <w:snapToGrid w:val="0"/>
          <w:sz w:val="22"/>
          <w:szCs w:val="22"/>
          <w:lang w:val="en-GB" w:eastAsia="en-US"/>
        </w:rPr>
        <w:t>‘</w:t>
      </w:r>
      <w:r w:rsidR="0062661B" w:rsidRPr="00362E48">
        <w:rPr>
          <w:rFonts w:ascii="Arial" w:hAnsi="Arial" w:cs="Arial"/>
          <w:snapToGrid w:val="0"/>
          <w:sz w:val="22"/>
          <w:szCs w:val="22"/>
          <w:lang w:val="en-GB" w:eastAsia="en-US"/>
        </w:rPr>
        <w:t>in consultation with States Parties,</w:t>
      </w:r>
      <w:r w:rsidR="006D30F8">
        <w:rPr>
          <w:rFonts w:ascii="Arial" w:hAnsi="Arial" w:cs="Arial"/>
          <w:snapToGrid w:val="0"/>
          <w:sz w:val="22"/>
          <w:szCs w:val="22"/>
          <w:lang w:val="en-GB" w:eastAsia="en-US"/>
        </w:rPr>
        <w:t xml:space="preserve"> </w:t>
      </w:r>
      <w:r w:rsidR="0062661B" w:rsidRPr="00362E48">
        <w:rPr>
          <w:rFonts w:ascii="Arial" w:hAnsi="Arial" w:cs="Arial"/>
          <w:snapToGrid w:val="0"/>
          <w:sz w:val="22"/>
          <w:szCs w:val="22"/>
          <w:lang w:val="en-GB" w:eastAsia="en-US"/>
        </w:rPr>
        <w:t>submit a consolidated set of draft amendments</w:t>
      </w:r>
      <w:r w:rsidR="00C00289" w:rsidRPr="00362E48">
        <w:rPr>
          <w:rFonts w:ascii="Arial" w:hAnsi="Arial" w:cs="Arial"/>
          <w:snapToGrid w:val="0"/>
          <w:sz w:val="22"/>
          <w:szCs w:val="22"/>
          <w:lang w:val="en-GB" w:eastAsia="en-US"/>
        </w:rPr>
        <w:t xml:space="preserve"> for examination by the eighth</w:t>
      </w:r>
      <w:r w:rsidR="0062661B" w:rsidRPr="00362E48">
        <w:rPr>
          <w:rFonts w:ascii="Arial" w:hAnsi="Arial" w:cs="Arial"/>
          <w:snapToGrid w:val="0"/>
          <w:sz w:val="22"/>
          <w:szCs w:val="22"/>
          <w:lang w:val="en-GB" w:eastAsia="en-US"/>
        </w:rPr>
        <w:t xml:space="preserve"> session of the General Assembly</w:t>
      </w:r>
      <w:r w:rsidR="00C00289" w:rsidRPr="00362E48">
        <w:rPr>
          <w:rFonts w:ascii="Arial" w:hAnsi="Arial" w:cs="Arial"/>
          <w:snapToGrid w:val="0"/>
          <w:sz w:val="22"/>
          <w:szCs w:val="22"/>
          <w:lang w:val="en-GB" w:eastAsia="en-US"/>
        </w:rPr>
        <w:t xml:space="preserve"> in 2020’</w:t>
      </w:r>
      <w:r w:rsidR="0062661B" w:rsidRPr="00362E48">
        <w:rPr>
          <w:rFonts w:ascii="Arial" w:hAnsi="Arial" w:cs="Arial"/>
          <w:snapToGrid w:val="0"/>
          <w:sz w:val="22"/>
          <w:szCs w:val="22"/>
          <w:lang w:val="en-GB" w:eastAsia="en-US"/>
        </w:rPr>
        <w:t>.</w:t>
      </w:r>
      <w:proofErr w:type="gramEnd"/>
      <w:r w:rsidR="00F4640A">
        <w:rPr>
          <w:rFonts w:ascii="Arial" w:hAnsi="Arial" w:cs="Arial"/>
          <w:snapToGrid w:val="0"/>
          <w:sz w:val="22"/>
          <w:szCs w:val="22"/>
          <w:lang w:val="en-US" w:eastAsia="en-US"/>
        </w:rPr>
        <w:t xml:space="preserve"> </w:t>
      </w:r>
      <w:r w:rsidR="002B3C73">
        <w:rPr>
          <w:rFonts w:ascii="Arial" w:hAnsi="Arial" w:cs="Arial"/>
          <w:snapToGrid w:val="0"/>
          <w:sz w:val="22"/>
          <w:szCs w:val="22"/>
          <w:lang w:val="en-US" w:eastAsia="en-US"/>
        </w:rPr>
        <w:t>Following that Resolution, the Secretariat</w:t>
      </w:r>
      <w:r w:rsidR="00362E48">
        <w:rPr>
          <w:rFonts w:ascii="Arial" w:hAnsi="Arial" w:cs="Arial"/>
          <w:snapToGrid w:val="0"/>
          <w:sz w:val="22"/>
          <w:szCs w:val="22"/>
          <w:lang w:val="en-US" w:eastAsia="en-US"/>
        </w:rPr>
        <w:t>s</w:t>
      </w:r>
      <w:r w:rsidR="002B3C73">
        <w:rPr>
          <w:rFonts w:ascii="Arial" w:hAnsi="Arial" w:cs="Arial"/>
          <w:snapToGrid w:val="0"/>
          <w:sz w:val="22"/>
          <w:szCs w:val="22"/>
          <w:lang w:val="en-US" w:eastAsia="en-US"/>
        </w:rPr>
        <w:t xml:space="preserve"> of the </w:t>
      </w:r>
      <w:r w:rsidR="00F9493B" w:rsidRPr="009E74D0">
        <w:rPr>
          <w:rFonts w:ascii="Arial" w:hAnsi="Arial" w:cs="Arial"/>
          <w:snapToGrid w:val="0"/>
          <w:sz w:val="22"/>
          <w:szCs w:val="22"/>
          <w:lang w:val="en-GB" w:eastAsia="en-US"/>
        </w:rPr>
        <w:t xml:space="preserve">1972, 2003 and 2005 Conventions </w:t>
      </w:r>
      <w:r w:rsidR="002B3C73">
        <w:rPr>
          <w:rFonts w:ascii="Arial" w:hAnsi="Arial" w:cs="Arial"/>
          <w:snapToGrid w:val="0"/>
          <w:sz w:val="22"/>
          <w:szCs w:val="22"/>
          <w:lang w:val="en-GB" w:eastAsia="en-US"/>
        </w:rPr>
        <w:t xml:space="preserve">undertook an informal comparative analysis of the Rules of Procedures of these instruments. Coordination at the </w:t>
      </w:r>
      <w:r w:rsidR="00257E26">
        <w:rPr>
          <w:rFonts w:ascii="Arial" w:hAnsi="Arial" w:cs="Arial"/>
          <w:snapToGrid w:val="0"/>
          <w:sz w:val="22"/>
          <w:szCs w:val="22"/>
          <w:lang w:val="en-GB" w:eastAsia="en-US"/>
        </w:rPr>
        <w:t xml:space="preserve">level of the </w:t>
      </w:r>
      <w:r w:rsidR="002B3C73">
        <w:rPr>
          <w:rFonts w:ascii="Arial" w:hAnsi="Arial" w:cs="Arial"/>
          <w:snapToGrid w:val="0"/>
          <w:sz w:val="22"/>
          <w:szCs w:val="22"/>
          <w:lang w:val="en-GB" w:eastAsia="en-US"/>
        </w:rPr>
        <w:t xml:space="preserve">Culture Sector </w:t>
      </w:r>
      <w:proofErr w:type="gramStart"/>
      <w:r w:rsidR="002B3C73">
        <w:rPr>
          <w:rFonts w:ascii="Arial" w:hAnsi="Arial" w:cs="Arial"/>
          <w:snapToGrid w:val="0"/>
          <w:sz w:val="22"/>
          <w:szCs w:val="22"/>
          <w:lang w:val="en-GB" w:eastAsia="en-US"/>
        </w:rPr>
        <w:t>is still needed</w:t>
      </w:r>
      <w:proofErr w:type="gramEnd"/>
      <w:r w:rsidR="002B3C73">
        <w:rPr>
          <w:rFonts w:ascii="Arial" w:hAnsi="Arial" w:cs="Arial"/>
          <w:snapToGrid w:val="0"/>
          <w:sz w:val="22"/>
          <w:szCs w:val="22"/>
          <w:lang w:val="en-GB" w:eastAsia="en-US"/>
        </w:rPr>
        <w:t xml:space="preserve"> to extend the analysis </w:t>
      </w:r>
      <w:r w:rsidR="00942946">
        <w:rPr>
          <w:rFonts w:ascii="Arial" w:hAnsi="Arial" w:cs="Arial"/>
          <w:snapToGrid w:val="0"/>
          <w:sz w:val="22"/>
          <w:szCs w:val="22"/>
          <w:lang w:val="en-GB" w:eastAsia="en-US"/>
        </w:rPr>
        <w:t>to include</w:t>
      </w:r>
      <w:r w:rsidR="002B3C73">
        <w:rPr>
          <w:rFonts w:ascii="Arial" w:hAnsi="Arial" w:cs="Arial"/>
          <w:snapToGrid w:val="0"/>
          <w:sz w:val="22"/>
          <w:szCs w:val="22"/>
          <w:lang w:val="en-GB" w:eastAsia="en-US"/>
        </w:rPr>
        <w:t xml:space="preserve"> </w:t>
      </w:r>
      <w:r w:rsidR="00F9493B" w:rsidRPr="009E74D0">
        <w:rPr>
          <w:rFonts w:ascii="Arial" w:hAnsi="Arial" w:cs="Arial"/>
          <w:snapToGrid w:val="0"/>
          <w:sz w:val="22"/>
          <w:szCs w:val="22"/>
          <w:lang w:val="en-GB" w:eastAsia="en-US"/>
        </w:rPr>
        <w:t>the 1954, 1970 and 2001 Conventions.</w:t>
      </w:r>
    </w:p>
    <w:p w14:paraId="4C6BF676" w14:textId="789891F7" w:rsidR="00F40207" w:rsidRPr="00362E48" w:rsidRDefault="001B0925" w:rsidP="00362E48">
      <w:pPr>
        <w:pStyle w:val="ListParagraph"/>
        <w:spacing w:before="240" w:after="120"/>
        <w:ind w:left="567"/>
        <w:contextualSpacing w:val="0"/>
        <w:jc w:val="both"/>
        <w:rPr>
          <w:rFonts w:ascii="Arial" w:hAnsi="Arial" w:cs="Arial"/>
          <w:snapToGrid w:val="0"/>
          <w:sz w:val="22"/>
          <w:szCs w:val="22"/>
          <w:u w:val="single"/>
          <w:lang w:val="en-GB" w:eastAsia="en-US"/>
        </w:rPr>
      </w:pPr>
      <w:r>
        <w:rPr>
          <w:rFonts w:ascii="Arial" w:hAnsi="Arial" w:cs="Arial"/>
          <w:snapToGrid w:val="0"/>
          <w:sz w:val="22"/>
          <w:szCs w:val="22"/>
          <w:u w:val="single"/>
          <w:lang w:val="en-GB" w:eastAsia="en-US"/>
        </w:rPr>
        <w:t xml:space="preserve">b. </w:t>
      </w:r>
      <w:r w:rsidR="00F40207" w:rsidRPr="00362E48">
        <w:rPr>
          <w:rFonts w:ascii="Arial" w:hAnsi="Arial" w:cs="Arial"/>
          <w:snapToGrid w:val="0"/>
          <w:sz w:val="22"/>
          <w:szCs w:val="22"/>
          <w:u w:val="single"/>
          <w:lang w:val="en-GB" w:eastAsia="en-US"/>
        </w:rPr>
        <w:t xml:space="preserve">Alignment with </w:t>
      </w:r>
      <w:r w:rsidR="00257E26">
        <w:rPr>
          <w:rFonts w:ascii="Arial" w:hAnsi="Arial" w:cs="Arial"/>
          <w:snapToGrid w:val="0"/>
          <w:sz w:val="22"/>
          <w:szCs w:val="22"/>
          <w:u w:val="single"/>
          <w:lang w:val="en-GB" w:eastAsia="en-US"/>
        </w:rPr>
        <w:t xml:space="preserve">the </w:t>
      </w:r>
      <w:r w:rsidR="00F40207" w:rsidRPr="00362E48">
        <w:rPr>
          <w:rFonts w:ascii="Arial" w:hAnsi="Arial" w:cs="Arial"/>
          <w:snapToGrid w:val="0"/>
          <w:sz w:val="22"/>
          <w:szCs w:val="22"/>
          <w:u w:val="single"/>
          <w:lang w:val="en-GB" w:eastAsia="en-US"/>
        </w:rPr>
        <w:t>overarching priorities of UNESCO</w:t>
      </w:r>
      <w:r w:rsidR="00F40207">
        <w:rPr>
          <w:rFonts w:ascii="Arial" w:hAnsi="Arial" w:cs="Arial"/>
          <w:snapToGrid w:val="0"/>
          <w:sz w:val="22"/>
          <w:szCs w:val="22"/>
          <w:u w:val="single"/>
          <w:lang w:val="en-GB" w:eastAsia="en-US"/>
        </w:rPr>
        <w:t>:</w:t>
      </w:r>
      <w:r w:rsidR="00F40207" w:rsidRPr="00362E48">
        <w:rPr>
          <w:rFonts w:ascii="Arial" w:hAnsi="Arial" w:cs="Arial"/>
          <w:snapToGrid w:val="0"/>
          <w:sz w:val="22"/>
          <w:szCs w:val="22"/>
          <w:lang w:val="en-GB" w:eastAsia="en-US"/>
        </w:rPr>
        <w:t xml:space="preserve"> </w:t>
      </w:r>
      <w:r w:rsidR="00DC2A8A" w:rsidRPr="00362E48">
        <w:rPr>
          <w:rFonts w:ascii="Arial" w:hAnsi="Arial" w:cs="Arial"/>
          <w:snapToGrid w:val="0"/>
          <w:sz w:val="22"/>
          <w:szCs w:val="22"/>
          <w:lang w:val="en-GB" w:eastAsia="en-US"/>
        </w:rPr>
        <w:t xml:space="preserve">This </w:t>
      </w:r>
      <w:proofErr w:type="gramStart"/>
      <w:r w:rsidR="00DC2A8A" w:rsidRPr="00362E48">
        <w:rPr>
          <w:rFonts w:ascii="Arial" w:hAnsi="Arial" w:cs="Arial"/>
          <w:snapToGrid w:val="0"/>
          <w:sz w:val="22"/>
          <w:szCs w:val="22"/>
          <w:lang w:val="en-GB" w:eastAsia="en-US"/>
        </w:rPr>
        <w:t xml:space="preserve">is </w:t>
      </w:r>
      <w:r w:rsidR="004B0683">
        <w:rPr>
          <w:rFonts w:ascii="Arial" w:hAnsi="Arial" w:cs="Arial"/>
          <w:snapToGrid w:val="0"/>
          <w:sz w:val="22"/>
          <w:szCs w:val="22"/>
          <w:lang w:val="en-GB" w:eastAsia="en-US"/>
        </w:rPr>
        <w:t xml:space="preserve">the </w:t>
      </w:r>
      <w:r w:rsidR="00DC2A8A" w:rsidRPr="00362E48">
        <w:rPr>
          <w:rFonts w:ascii="Arial" w:hAnsi="Arial" w:cs="Arial"/>
          <w:snapToGrid w:val="0"/>
          <w:sz w:val="22"/>
          <w:szCs w:val="22"/>
          <w:lang w:val="en-GB" w:eastAsia="en-US"/>
        </w:rPr>
        <w:t xml:space="preserve">first time </w:t>
      </w:r>
      <w:r w:rsidR="004B0683">
        <w:rPr>
          <w:rFonts w:ascii="Arial" w:hAnsi="Arial" w:cs="Arial"/>
          <w:snapToGrid w:val="0"/>
          <w:sz w:val="22"/>
          <w:szCs w:val="22"/>
          <w:lang w:val="en-GB" w:eastAsia="en-US"/>
        </w:rPr>
        <w:t xml:space="preserve">that </w:t>
      </w:r>
      <w:r w:rsidR="00DC2A8A" w:rsidRPr="00DC2A8A">
        <w:rPr>
          <w:rFonts w:ascii="Arial" w:hAnsi="Arial" w:cs="Arial"/>
          <w:snapToGrid w:val="0"/>
          <w:sz w:val="22"/>
          <w:szCs w:val="22"/>
          <w:lang w:val="en-GB" w:eastAsia="en-US"/>
        </w:rPr>
        <w:t>the Secretariat</w:t>
      </w:r>
      <w:r w:rsidR="00DC2A8A" w:rsidRPr="00362E48">
        <w:rPr>
          <w:rFonts w:ascii="Arial" w:hAnsi="Arial" w:cs="Arial"/>
          <w:snapToGrid w:val="0"/>
          <w:sz w:val="22"/>
          <w:szCs w:val="22"/>
          <w:lang w:val="en-GB" w:eastAsia="en-US"/>
        </w:rPr>
        <w:t xml:space="preserve"> </w:t>
      </w:r>
      <w:r w:rsidR="00257E26">
        <w:rPr>
          <w:rFonts w:ascii="Arial" w:hAnsi="Arial" w:cs="Arial"/>
          <w:snapToGrid w:val="0"/>
          <w:sz w:val="22"/>
          <w:szCs w:val="22"/>
          <w:lang w:val="en-GB" w:eastAsia="en-US"/>
        </w:rPr>
        <w:t>has reported</w:t>
      </w:r>
      <w:proofErr w:type="gramEnd"/>
      <w:r w:rsidR="00DC2A8A" w:rsidRPr="00362E48">
        <w:rPr>
          <w:rFonts w:ascii="Arial" w:hAnsi="Arial" w:cs="Arial"/>
          <w:snapToGrid w:val="0"/>
          <w:sz w:val="22"/>
          <w:szCs w:val="22"/>
          <w:lang w:val="en-GB" w:eastAsia="en-US"/>
        </w:rPr>
        <w:t xml:space="preserve"> on the </w:t>
      </w:r>
      <w:r w:rsidR="00257E26">
        <w:rPr>
          <w:rFonts w:ascii="Arial" w:hAnsi="Arial" w:cs="Arial"/>
          <w:snapToGrid w:val="0"/>
          <w:sz w:val="22"/>
          <w:szCs w:val="22"/>
          <w:lang w:val="en-GB" w:eastAsia="en-US"/>
        </w:rPr>
        <w:t>s</w:t>
      </w:r>
      <w:r w:rsidR="00DC2A8A" w:rsidRPr="00362E48">
        <w:rPr>
          <w:rFonts w:ascii="Arial" w:hAnsi="Arial" w:cs="Arial"/>
          <w:snapToGrid w:val="0"/>
          <w:sz w:val="22"/>
          <w:szCs w:val="22"/>
          <w:lang w:val="en-GB" w:eastAsia="en-US"/>
        </w:rPr>
        <w:t xml:space="preserve">tatus </w:t>
      </w:r>
      <w:r w:rsidR="00DC2A8A" w:rsidRPr="00DC2A8A">
        <w:rPr>
          <w:rFonts w:ascii="Arial" w:hAnsi="Arial" w:cs="Arial"/>
          <w:snapToGrid w:val="0"/>
          <w:sz w:val="22"/>
          <w:szCs w:val="22"/>
          <w:lang w:val="en-GB" w:eastAsia="en-US"/>
        </w:rPr>
        <w:t>of Recommendation</w:t>
      </w:r>
      <w:r w:rsidR="00DC2A8A" w:rsidRPr="00362E48">
        <w:rPr>
          <w:rFonts w:ascii="Arial" w:hAnsi="Arial" w:cs="Arial"/>
          <w:snapToGrid w:val="0"/>
          <w:sz w:val="22"/>
          <w:szCs w:val="22"/>
          <w:lang w:val="en-GB" w:eastAsia="en-US"/>
        </w:rPr>
        <w:t xml:space="preserve"> 74</w:t>
      </w:r>
      <w:r w:rsidR="00DC2A8A">
        <w:rPr>
          <w:rFonts w:ascii="Arial" w:hAnsi="Arial" w:cs="Arial"/>
          <w:snapToGrid w:val="0"/>
          <w:sz w:val="22"/>
          <w:szCs w:val="22"/>
          <w:lang w:val="en-GB" w:eastAsia="en-US"/>
        </w:rPr>
        <w:t>.</w:t>
      </w:r>
      <w:r w:rsidR="00DC2A8A" w:rsidRPr="00362E48">
        <w:rPr>
          <w:rFonts w:ascii="Arial" w:hAnsi="Arial" w:cs="Arial"/>
          <w:snapToGrid w:val="0"/>
          <w:sz w:val="22"/>
          <w:szCs w:val="22"/>
          <w:lang w:val="en-GB" w:eastAsia="en-US"/>
        </w:rPr>
        <w:t xml:space="preserve"> </w:t>
      </w:r>
      <w:proofErr w:type="gramStart"/>
      <w:r w:rsidR="00DC2A8A">
        <w:rPr>
          <w:rFonts w:ascii="Arial" w:hAnsi="Arial" w:cs="Arial"/>
          <w:snapToGrid w:val="0"/>
          <w:sz w:val="22"/>
          <w:szCs w:val="22"/>
          <w:lang w:val="en-GB" w:eastAsia="en-US"/>
        </w:rPr>
        <w:t>This is because</w:t>
      </w:r>
      <w:r w:rsidR="004D19D9">
        <w:rPr>
          <w:rFonts w:ascii="Arial" w:hAnsi="Arial" w:cs="Arial"/>
          <w:snapToGrid w:val="0"/>
          <w:sz w:val="22"/>
          <w:szCs w:val="22"/>
          <w:lang w:val="en-GB" w:eastAsia="en-US"/>
        </w:rPr>
        <w:t>,</w:t>
      </w:r>
      <w:r w:rsidR="00DC2A8A" w:rsidRPr="00362E48">
        <w:rPr>
          <w:rFonts w:ascii="Arial" w:hAnsi="Arial" w:cs="Arial"/>
          <w:snapToGrid w:val="0"/>
          <w:sz w:val="22"/>
          <w:szCs w:val="22"/>
          <w:lang w:val="en-GB" w:eastAsia="en-US"/>
        </w:rPr>
        <w:t xml:space="preserve"> within the framework of Pillar 3 of the Strategic Transformation process initiated by the Director-General, </w:t>
      </w:r>
      <w:r w:rsidR="00DC2A8A">
        <w:rPr>
          <w:rFonts w:ascii="Arial" w:hAnsi="Arial" w:cs="Arial"/>
          <w:snapToGrid w:val="0"/>
          <w:sz w:val="22"/>
          <w:szCs w:val="22"/>
          <w:lang w:val="en-GB" w:eastAsia="en-US"/>
        </w:rPr>
        <w:t xml:space="preserve">the Secretariat </w:t>
      </w:r>
      <w:r w:rsidR="00DC2A8A" w:rsidRPr="005702DA">
        <w:rPr>
          <w:rFonts w:ascii="Arial" w:hAnsi="Arial" w:cs="Arial"/>
          <w:snapToGrid w:val="0"/>
          <w:sz w:val="22"/>
          <w:szCs w:val="22"/>
          <w:lang w:val="en-GB" w:eastAsia="en-US"/>
        </w:rPr>
        <w:t xml:space="preserve">will </w:t>
      </w:r>
      <w:r w:rsidR="00DC2A8A">
        <w:rPr>
          <w:rFonts w:ascii="Arial" w:hAnsi="Arial" w:cs="Arial"/>
          <w:snapToGrid w:val="0"/>
          <w:sz w:val="22"/>
          <w:szCs w:val="22"/>
          <w:lang w:val="en-GB" w:eastAsia="en-US"/>
        </w:rPr>
        <w:t>inscribe a specific</w:t>
      </w:r>
      <w:r w:rsidR="00DC2A8A" w:rsidRPr="00362E48">
        <w:rPr>
          <w:rFonts w:ascii="Arial" w:hAnsi="Arial" w:cs="Arial"/>
          <w:snapToGrid w:val="0"/>
          <w:sz w:val="22"/>
          <w:szCs w:val="22"/>
          <w:lang w:val="en-GB" w:eastAsia="en-US"/>
        </w:rPr>
        <w:t xml:space="preserve"> item </w:t>
      </w:r>
      <w:r w:rsidR="00DC2A8A">
        <w:rPr>
          <w:rFonts w:ascii="Arial" w:hAnsi="Arial" w:cs="Arial"/>
          <w:snapToGrid w:val="0"/>
          <w:sz w:val="22"/>
          <w:szCs w:val="22"/>
          <w:lang w:val="en-GB" w:eastAsia="en-US"/>
        </w:rPr>
        <w:t>on</w:t>
      </w:r>
      <w:r w:rsidR="00DC2A8A" w:rsidRPr="00362E48">
        <w:rPr>
          <w:rFonts w:ascii="Arial" w:hAnsi="Arial" w:cs="Arial"/>
          <w:snapToGrid w:val="0"/>
          <w:sz w:val="22"/>
          <w:szCs w:val="22"/>
          <w:lang w:val="en-GB" w:eastAsia="en-US"/>
        </w:rPr>
        <w:t xml:space="preserve"> the agenda of the </w:t>
      </w:r>
      <w:r w:rsidR="00DC2A8A" w:rsidRPr="00DC2A8A">
        <w:rPr>
          <w:rFonts w:ascii="Arial" w:hAnsi="Arial" w:cs="Arial"/>
          <w:snapToGrid w:val="0"/>
          <w:sz w:val="22"/>
          <w:szCs w:val="22"/>
          <w:lang w:val="en-GB" w:eastAsia="en-US"/>
        </w:rPr>
        <w:t xml:space="preserve">eighth session of the General Assembly, in 2020, </w:t>
      </w:r>
      <w:r w:rsidR="00DC2A8A" w:rsidRPr="00362E48">
        <w:rPr>
          <w:rFonts w:ascii="Arial" w:hAnsi="Arial" w:cs="Arial"/>
          <w:snapToGrid w:val="0"/>
          <w:sz w:val="22"/>
          <w:szCs w:val="22"/>
          <w:lang w:val="en-GB" w:eastAsia="en-US"/>
        </w:rPr>
        <w:t xml:space="preserve">as part of the consultation process on the preparation of the </w:t>
      </w:r>
      <w:r w:rsidR="00EF3414">
        <w:rPr>
          <w:rFonts w:ascii="Arial" w:hAnsi="Arial" w:cs="Arial"/>
          <w:snapToGrid w:val="0"/>
          <w:sz w:val="22"/>
          <w:szCs w:val="22"/>
          <w:lang w:val="en-GB" w:eastAsia="en-US"/>
        </w:rPr>
        <w:t xml:space="preserve">new </w:t>
      </w:r>
      <w:r w:rsidR="00C25A54">
        <w:rPr>
          <w:rFonts w:ascii="Arial" w:hAnsi="Arial" w:cs="Arial"/>
          <w:snapToGrid w:val="0"/>
          <w:sz w:val="22"/>
          <w:szCs w:val="22"/>
          <w:lang w:val="en-GB" w:eastAsia="en-US"/>
        </w:rPr>
        <w:t>Medium</w:t>
      </w:r>
      <w:r w:rsidR="00EF3414">
        <w:rPr>
          <w:rFonts w:ascii="Arial" w:hAnsi="Arial" w:cs="Arial"/>
          <w:snapToGrid w:val="0"/>
          <w:sz w:val="22"/>
          <w:szCs w:val="22"/>
          <w:lang w:val="en-GB" w:eastAsia="en-US"/>
        </w:rPr>
        <w:t>-</w:t>
      </w:r>
      <w:r w:rsidR="00C25A54">
        <w:rPr>
          <w:rFonts w:ascii="Arial" w:hAnsi="Arial" w:cs="Arial"/>
          <w:snapToGrid w:val="0"/>
          <w:sz w:val="22"/>
          <w:szCs w:val="22"/>
          <w:lang w:val="en-GB" w:eastAsia="en-US"/>
        </w:rPr>
        <w:t>T</w:t>
      </w:r>
      <w:r w:rsidR="00EF3414">
        <w:rPr>
          <w:rFonts w:ascii="Arial" w:hAnsi="Arial" w:cs="Arial"/>
          <w:snapToGrid w:val="0"/>
          <w:sz w:val="22"/>
          <w:szCs w:val="22"/>
          <w:lang w:val="en-GB" w:eastAsia="en-US"/>
        </w:rPr>
        <w:t xml:space="preserve">erm </w:t>
      </w:r>
      <w:r w:rsidR="00C25A54">
        <w:rPr>
          <w:rFonts w:ascii="Arial" w:hAnsi="Arial" w:cs="Arial"/>
          <w:snapToGrid w:val="0"/>
          <w:sz w:val="22"/>
          <w:szCs w:val="22"/>
          <w:lang w:val="en-GB" w:eastAsia="en-US"/>
        </w:rPr>
        <w:t>S</w:t>
      </w:r>
      <w:r w:rsidR="00EF3414">
        <w:rPr>
          <w:rFonts w:ascii="Arial" w:hAnsi="Arial" w:cs="Arial"/>
          <w:snapToGrid w:val="0"/>
          <w:sz w:val="22"/>
          <w:szCs w:val="22"/>
          <w:lang w:val="en-GB" w:eastAsia="en-US"/>
        </w:rPr>
        <w:t>trategy 2022-2029 (41/</w:t>
      </w:r>
      <w:r w:rsidR="00DC2A8A" w:rsidRPr="00362E48">
        <w:rPr>
          <w:rFonts w:ascii="Arial" w:hAnsi="Arial" w:cs="Arial"/>
          <w:snapToGrid w:val="0"/>
          <w:sz w:val="22"/>
          <w:szCs w:val="22"/>
          <w:lang w:val="en-GB" w:eastAsia="en-US"/>
        </w:rPr>
        <w:t>C/4</w:t>
      </w:r>
      <w:r w:rsidR="00EF3414">
        <w:rPr>
          <w:rFonts w:ascii="Arial" w:hAnsi="Arial" w:cs="Arial"/>
          <w:snapToGrid w:val="0"/>
          <w:sz w:val="22"/>
          <w:szCs w:val="22"/>
          <w:lang w:val="en-GB" w:eastAsia="en-US"/>
        </w:rPr>
        <w:t>)</w:t>
      </w:r>
      <w:r w:rsidR="00DC2A8A" w:rsidRPr="00362E48">
        <w:rPr>
          <w:rFonts w:ascii="Arial" w:hAnsi="Arial" w:cs="Arial"/>
          <w:snapToGrid w:val="0"/>
          <w:sz w:val="22"/>
          <w:szCs w:val="22"/>
          <w:lang w:val="en-GB" w:eastAsia="en-US"/>
        </w:rPr>
        <w:t xml:space="preserve"> and </w:t>
      </w:r>
      <w:r w:rsidR="00EF3414">
        <w:rPr>
          <w:rFonts w:ascii="Arial" w:hAnsi="Arial" w:cs="Arial"/>
          <w:snapToGrid w:val="0"/>
          <w:sz w:val="22"/>
          <w:szCs w:val="22"/>
          <w:lang w:val="en-GB" w:eastAsia="en-US"/>
        </w:rPr>
        <w:t xml:space="preserve">draft </w:t>
      </w:r>
      <w:r w:rsidR="00C25A54">
        <w:rPr>
          <w:rFonts w:ascii="Arial" w:hAnsi="Arial" w:cs="Arial"/>
          <w:snapToGrid w:val="0"/>
          <w:sz w:val="22"/>
          <w:szCs w:val="22"/>
          <w:lang w:val="en-GB" w:eastAsia="en-US"/>
        </w:rPr>
        <w:t>P</w:t>
      </w:r>
      <w:r w:rsidR="00EF3414">
        <w:rPr>
          <w:rFonts w:ascii="Arial" w:hAnsi="Arial" w:cs="Arial"/>
          <w:snapToGrid w:val="0"/>
          <w:sz w:val="22"/>
          <w:szCs w:val="22"/>
          <w:lang w:val="en-GB" w:eastAsia="en-US"/>
        </w:rPr>
        <w:t xml:space="preserve">rogramme and </w:t>
      </w:r>
      <w:r w:rsidR="00C25A54">
        <w:rPr>
          <w:rFonts w:ascii="Arial" w:hAnsi="Arial" w:cs="Arial"/>
          <w:snapToGrid w:val="0"/>
          <w:sz w:val="22"/>
          <w:szCs w:val="22"/>
          <w:lang w:val="en-GB" w:eastAsia="en-US"/>
        </w:rPr>
        <w:t>B</w:t>
      </w:r>
      <w:r w:rsidR="00EF3414">
        <w:rPr>
          <w:rFonts w:ascii="Arial" w:hAnsi="Arial" w:cs="Arial"/>
          <w:snapToGrid w:val="0"/>
          <w:sz w:val="22"/>
          <w:szCs w:val="22"/>
          <w:lang w:val="en-GB" w:eastAsia="en-US"/>
        </w:rPr>
        <w:t>udget 2022-2025 (41</w:t>
      </w:r>
      <w:r w:rsidR="00DC2A8A" w:rsidRPr="00362E48">
        <w:rPr>
          <w:rFonts w:ascii="Arial" w:hAnsi="Arial" w:cs="Arial"/>
          <w:snapToGrid w:val="0"/>
          <w:sz w:val="22"/>
          <w:szCs w:val="22"/>
          <w:lang w:val="en-GB" w:eastAsia="en-US"/>
        </w:rPr>
        <w:t>C/5</w:t>
      </w:r>
      <w:r w:rsidR="00EF3414">
        <w:rPr>
          <w:rFonts w:ascii="Arial" w:hAnsi="Arial" w:cs="Arial"/>
          <w:snapToGrid w:val="0"/>
          <w:sz w:val="22"/>
          <w:szCs w:val="22"/>
          <w:lang w:val="en-GB" w:eastAsia="en-US"/>
        </w:rPr>
        <w:t>)</w:t>
      </w:r>
      <w:r w:rsidR="00DC2A8A" w:rsidRPr="00362E48">
        <w:rPr>
          <w:rFonts w:ascii="Arial" w:hAnsi="Arial" w:cs="Arial"/>
          <w:snapToGrid w:val="0"/>
          <w:sz w:val="22"/>
          <w:szCs w:val="22"/>
          <w:lang w:val="en-GB" w:eastAsia="en-US"/>
        </w:rPr>
        <w:t>.</w:t>
      </w:r>
      <w:proofErr w:type="gramEnd"/>
    </w:p>
    <w:p w14:paraId="728F33DE" w14:textId="73E343A7" w:rsidR="009B7C08" w:rsidRPr="005A4A42" w:rsidRDefault="009B7C08" w:rsidP="005E778C">
      <w:pPr>
        <w:keepNext/>
        <w:numPr>
          <w:ilvl w:val="0"/>
          <w:numId w:val="5"/>
        </w:numPr>
        <w:spacing w:before="240" w:after="120"/>
        <w:ind w:left="567" w:hanging="567"/>
        <w:jc w:val="both"/>
        <w:rPr>
          <w:rFonts w:ascii="Arial" w:eastAsia="SimSun" w:hAnsi="Arial" w:cs="Arial"/>
          <w:sz w:val="22"/>
          <w:szCs w:val="22"/>
          <w:lang w:val="en-GB"/>
        </w:rPr>
      </w:pPr>
      <w:r w:rsidRPr="005A4A42">
        <w:rPr>
          <w:rFonts w:ascii="Arial" w:hAnsi="Arial"/>
          <w:sz w:val="22"/>
          <w:lang w:val="en-GB"/>
        </w:rPr>
        <w:t xml:space="preserve">The </w:t>
      </w:r>
      <w:r w:rsidR="00A442B6">
        <w:rPr>
          <w:rFonts w:ascii="Arial" w:hAnsi="Arial"/>
          <w:sz w:val="22"/>
          <w:lang w:val="en-GB"/>
        </w:rPr>
        <w:t>Committee</w:t>
      </w:r>
      <w:r w:rsidRPr="005A4A42">
        <w:rPr>
          <w:rFonts w:ascii="Arial" w:hAnsi="Arial"/>
          <w:sz w:val="22"/>
          <w:lang w:val="en-GB"/>
        </w:rPr>
        <w:t xml:space="preserve"> may wish to adopt the following </w:t>
      </w:r>
      <w:r w:rsidR="00A442B6">
        <w:rPr>
          <w:rFonts w:ascii="Arial" w:hAnsi="Arial"/>
          <w:sz w:val="22"/>
          <w:lang w:val="en-GB"/>
        </w:rPr>
        <w:t>decision</w:t>
      </w:r>
      <w:r w:rsidRPr="005A4A42">
        <w:rPr>
          <w:rFonts w:ascii="Arial" w:hAnsi="Arial"/>
          <w:sz w:val="22"/>
          <w:lang w:val="en-GB"/>
        </w:rPr>
        <w:t>:</w:t>
      </w:r>
    </w:p>
    <w:p w14:paraId="7AC5B31F" w14:textId="19C7814F" w:rsidR="009B7C08" w:rsidRDefault="009B7C08" w:rsidP="005141A0">
      <w:pPr>
        <w:pStyle w:val="GATitleResolution"/>
      </w:pPr>
      <w:r>
        <w:t xml:space="preserve">DRAFT </w:t>
      </w:r>
      <w:r w:rsidR="00A442B6">
        <w:t>DECISION 1</w:t>
      </w:r>
      <w:r w:rsidR="00244BBA">
        <w:t>4</w:t>
      </w:r>
      <w:r>
        <w:t>.</w:t>
      </w:r>
      <w:r w:rsidR="00A442B6">
        <w:t>COM</w:t>
      </w:r>
      <w:r>
        <w:t xml:space="preserve"> 1</w:t>
      </w:r>
      <w:r w:rsidR="007C7A42">
        <w:t>9</w:t>
      </w:r>
    </w:p>
    <w:p w14:paraId="0D75A69F" w14:textId="3969C928" w:rsidR="009B7C08" w:rsidRPr="005A4A42" w:rsidRDefault="009B7C08" w:rsidP="005141A0">
      <w:pPr>
        <w:pStyle w:val="GAPreambulaResolution"/>
        <w:rPr>
          <w:rFonts w:eastAsia="SimSun"/>
        </w:rPr>
      </w:pPr>
      <w:r w:rsidRPr="005A4A42">
        <w:t xml:space="preserve">The </w:t>
      </w:r>
      <w:r w:rsidR="00A442B6">
        <w:t>Committee</w:t>
      </w:r>
      <w:r w:rsidRPr="005A4A42">
        <w:t>,</w:t>
      </w:r>
    </w:p>
    <w:p w14:paraId="7585ED10" w14:textId="15B867C7" w:rsidR="009B7C08" w:rsidRPr="00345CB4" w:rsidRDefault="009B7C08" w:rsidP="005141A0">
      <w:pPr>
        <w:pStyle w:val="COMParaDecision"/>
        <w:jc w:val="left"/>
      </w:pPr>
      <w:r w:rsidRPr="00345CB4">
        <w:t>Having examined</w:t>
      </w:r>
      <w:r w:rsidRPr="00F32C23">
        <w:rPr>
          <w:u w:val="none"/>
        </w:rPr>
        <w:t xml:space="preserve"> </w:t>
      </w:r>
      <w:r w:rsidRPr="00A83002">
        <w:rPr>
          <w:u w:val="none"/>
        </w:rPr>
        <w:t xml:space="preserve">document </w:t>
      </w:r>
      <w:r w:rsidR="00244BBA" w:rsidRPr="00A83002">
        <w:rPr>
          <w:u w:val="none"/>
        </w:rPr>
        <w:t>LHE</w:t>
      </w:r>
      <w:r w:rsidRPr="00A83002">
        <w:rPr>
          <w:u w:val="none"/>
        </w:rPr>
        <w:t>/1</w:t>
      </w:r>
      <w:r w:rsidR="00244BBA" w:rsidRPr="00A83002">
        <w:rPr>
          <w:u w:val="none"/>
        </w:rPr>
        <w:t>9</w:t>
      </w:r>
      <w:r w:rsidRPr="00A83002">
        <w:rPr>
          <w:u w:val="none"/>
        </w:rPr>
        <w:t>/</w:t>
      </w:r>
      <w:r w:rsidR="00A442B6" w:rsidRPr="00A83002">
        <w:rPr>
          <w:u w:val="none"/>
        </w:rPr>
        <w:t>1</w:t>
      </w:r>
      <w:r w:rsidR="00244BBA" w:rsidRPr="00A83002">
        <w:rPr>
          <w:u w:val="none"/>
        </w:rPr>
        <w:t>4</w:t>
      </w:r>
      <w:r w:rsidR="00A442B6" w:rsidRPr="00A83002">
        <w:rPr>
          <w:u w:val="none"/>
        </w:rPr>
        <w:t>.COM</w:t>
      </w:r>
      <w:r w:rsidRPr="00A83002">
        <w:rPr>
          <w:u w:val="none"/>
        </w:rPr>
        <w:t>/</w:t>
      </w:r>
      <w:r w:rsidR="00A442B6" w:rsidRPr="00A83002">
        <w:rPr>
          <w:u w:val="none"/>
        </w:rPr>
        <w:t>1</w:t>
      </w:r>
      <w:r w:rsidR="007C7A42">
        <w:rPr>
          <w:u w:val="none"/>
        </w:rPr>
        <w:t>9</w:t>
      </w:r>
      <w:r w:rsidR="00257E26">
        <w:rPr>
          <w:u w:val="none"/>
        </w:rPr>
        <w:t>,</w:t>
      </w:r>
      <w:r>
        <w:rPr>
          <w:u w:val="none"/>
        </w:rPr>
        <w:t xml:space="preserve"> including its annex</w:t>
      </w:r>
      <w:r w:rsidRPr="00F32C23">
        <w:rPr>
          <w:u w:val="none"/>
        </w:rPr>
        <w:t>,</w:t>
      </w:r>
    </w:p>
    <w:p w14:paraId="2F518C00" w14:textId="78CFFD4B" w:rsidR="009B7C08" w:rsidRPr="00345CB4" w:rsidRDefault="009B7C08" w:rsidP="00D6399B">
      <w:pPr>
        <w:pStyle w:val="COMParaDecision"/>
      </w:pPr>
      <w:r w:rsidRPr="00345CB4">
        <w:t>Recalling</w:t>
      </w:r>
      <w:r w:rsidRPr="00F32C23">
        <w:rPr>
          <w:u w:val="none"/>
        </w:rPr>
        <w:t xml:space="preserve"> </w:t>
      </w:r>
      <w:r w:rsidR="00D6399B">
        <w:rPr>
          <w:u w:val="none"/>
        </w:rPr>
        <w:t>documen</w:t>
      </w:r>
      <w:r w:rsidR="00D6399B" w:rsidRPr="00B44D76">
        <w:rPr>
          <w:u w:val="none"/>
        </w:rPr>
        <w:t>t</w:t>
      </w:r>
      <w:r w:rsidR="005E5FF3" w:rsidRPr="00B44D76">
        <w:rPr>
          <w:u w:val="none"/>
        </w:rPr>
        <w:t>s</w:t>
      </w:r>
      <w:r w:rsidR="00244BBA" w:rsidRPr="00244BBA">
        <w:rPr>
          <w:u w:val="none"/>
        </w:rPr>
        <w:t xml:space="preserve"> </w:t>
      </w:r>
      <w:hyperlink r:id="rId17" w:history="1">
        <w:r w:rsidR="00244BBA" w:rsidRPr="00E2070F">
          <w:rPr>
            <w:rStyle w:val="Hyperlink"/>
          </w:rPr>
          <w:t>ITH/18/13.COM/17</w:t>
        </w:r>
      </w:hyperlink>
      <w:r w:rsidR="00244BBA">
        <w:rPr>
          <w:u w:val="none"/>
        </w:rPr>
        <w:t>,</w:t>
      </w:r>
      <w:r w:rsidR="00D6399B" w:rsidRPr="00B44D76">
        <w:rPr>
          <w:u w:val="none"/>
        </w:rPr>
        <w:t xml:space="preserve"> </w:t>
      </w:r>
      <w:hyperlink r:id="rId18" w:history="1">
        <w:r w:rsidR="00D6399B" w:rsidRPr="00B44D76">
          <w:rPr>
            <w:rStyle w:val="Hyperlink"/>
          </w:rPr>
          <w:t>ITH/18/7.GA/12</w:t>
        </w:r>
      </w:hyperlink>
      <w:r w:rsidR="005E5FF3" w:rsidRPr="00B44D76">
        <w:rPr>
          <w:u w:val="none"/>
        </w:rPr>
        <w:t xml:space="preserve"> and </w:t>
      </w:r>
      <w:hyperlink r:id="rId19" w:history="1">
        <w:r w:rsidR="005E5FF3" w:rsidRPr="00B44D76">
          <w:rPr>
            <w:rStyle w:val="Hyperlink"/>
          </w:rPr>
          <w:t>ITH/18/7.GA/13</w:t>
        </w:r>
      </w:hyperlink>
      <w:r w:rsidR="00D6399B">
        <w:rPr>
          <w:u w:val="none"/>
        </w:rPr>
        <w:t xml:space="preserve">, </w:t>
      </w:r>
      <w:r w:rsidRPr="00895E59">
        <w:rPr>
          <w:u w:val="none"/>
        </w:rPr>
        <w:t xml:space="preserve">Decisions </w:t>
      </w:r>
      <w:hyperlink r:id="rId20" w:history="1">
        <w:r w:rsidRPr="00F617CB">
          <w:rPr>
            <w:rStyle w:val="Hyperlink"/>
            <w:lang w:val="en-US"/>
          </w:rPr>
          <w:t>12.COM 1</w:t>
        </w:r>
        <w:r w:rsidRPr="00F617CB">
          <w:rPr>
            <w:rStyle w:val="Hyperlink"/>
          </w:rPr>
          <w:t>3</w:t>
        </w:r>
      </w:hyperlink>
      <w:r w:rsidR="00F06CBA">
        <w:rPr>
          <w:u w:val="none"/>
        </w:rPr>
        <w:t xml:space="preserve"> and</w:t>
      </w:r>
      <w:r w:rsidRPr="00E863FC">
        <w:rPr>
          <w:u w:val="none"/>
        </w:rPr>
        <w:t xml:space="preserve"> </w:t>
      </w:r>
      <w:hyperlink r:id="rId21" w:history="1">
        <w:r w:rsidRPr="00BF7498">
          <w:rPr>
            <w:rStyle w:val="Hyperlink"/>
            <w:lang w:val="en-US"/>
          </w:rPr>
          <w:t>12.COM 16</w:t>
        </w:r>
      </w:hyperlink>
      <w:r w:rsidR="00123801">
        <w:rPr>
          <w:rStyle w:val="Hyperlink"/>
          <w:color w:val="auto"/>
          <w:u w:val="none"/>
          <w:lang w:val="en-US"/>
        </w:rPr>
        <w:t>,</w:t>
      </w:r>
      <w:r>
        <w:rPr>
          <w:u w:val="none"/>
        </w:rPr>
        <w:t xml:space="preserve"> and Resolution</w:t>
      </w:r>
      <w:r w:rsidR="00B0094D">
        <w:rPr>
          <w:u w:val="none"/>
        </w:rPr>
        <w:t>s</w:t>
      </w:r>
      <w:r>
        <w:rPr>
          <w:u w:val="none"/>
        </w:rPr>
        <w:t xml:space="preserve"> </w:t>
      </w:r>
      <w:hyperlink r:id="rId22" w:history="1">
        <w:r w:rsidR="00792CEB" w:rsidRPr="00B0094D">
          <w:rPr>
            <w:rStyle w:val="Hyperlink"/>
            <w:lang w:val="en-US"/>
          </w:rPr>
          <w:t>7.GA 12</w:t>
        </w:r>
      </w:hyperlink>
      <w:r w:rsidR="00792CEB">
        <w:rPr>
          <w:u w:val="none"/>
        </w:rPr>
        <w:t xml:space="preserve">, </w:t>
      </w:r>
      <w:hyperlink r:id="rId23" w:history="1">
        <w:r w:rsidR="00792CEB" w:rsidRPr="00B0094D">
          <w:rPr>
            <w:rStyle w:val="Hyperlink"/>
            <w:lang w:val="en-US"/>
          </w:rPr>
          <w:t>7.GA 13</w:t>
        </w:r>
      </w:hyperlink>
      <w:r w:rsidR="00B0094D">
        <w:rPr>
          <w:u w:val="none"/>
        </w:rPr>
        <w:t xml:space="preserve"> an</w:t>
      </w:r>
      <w:r w:rsidR="00792CEB">
        <w:rPr>
          <w:u w:val="none"/>
        </w:rPr>
        <w:t xml:space="preserve">d </w:t>
      </w:r>
      <w:hyperlink r:id="rId24" w:history="1">
        <w:r w:rsidRPr="0055728A">
          <w:rPr>
            <w:rStyle w:val="Hyperlink"/>
            <w:lang w:val="en-US"/>
          </w:rPr>
          <w:t>6.GA 11</w:t>
        </w:r>
      </w:hyperlink>
      <w:r w:rsidRPr="0055728A">
        <w:rPr>
          <w:u w:val="none"/>
        </w:rPr>
        <w:t>,</w:t>
      </w:r>
    </w:p>
    <w:p w14:paraId="6674AE45" w14:textId="6ADFC0BE" w:rsidR="009B7C08" w:rsidRPr="00942976" w:rsidRDefault="009B7C08" w:rsidP="009B7C08">
      <w:pPr>
        <w:pStyle w:val="COMParaDecision"/>
        <w:jc w:val="left"/>
      </w:pPr>
      <w:r w:rsidRPr="00345CB4">
        <w:t>Further recalling</w:t>
      </w:r>
      <w:r>
        <w:rPr>
          <w:u w:val="none"/>
        </w:rPr>
        <w:t xml:space="preserve"> </w:t>
      </w:r>
      <w:hyperlink r:id="rId25" w:history="1">
        <w:r w:rsidRPr="00E2070F">
          <w:rPr>
            <w:rStyle w:val="Hyperlink"/>
          </w:rPr>
          <w:t>39 C/Resolution</w:t>
        </w:r>
        <w:r w:rsidRPr="00E2070F">
          <w:rPr>
            <w:rStyle w:val="Hyperlink"/>
            <w:lang w:val="en-US"/>
          </w:rPr>
          <w:t> 87</w:t>
        </w:r>
      </w:hyperlink>
      <w:r w:rsidRPr="00F32C23">
        <w:rPr>
          <w:u w:val="none"/>
        </w:rPr>
        <w:t>,</w:t>
      </w:r>
    </w:p>
    <w:p w14:paraId="624334C0" w14:textId="00F5C1AE" w:rsidR="004D7A1E" w:rsidRPr="00EE4900" w:rsidRDefault="009B7C08" w:rsidP="009B7C08">
      <w:pPr>
        <w:pStyle w:val="COMParaDecision"/>
      </w:pPr>
      <w:r>
        <w:t>Takes note</w:t>
      </w:r>
      <w:r w:rsidRPr="00F32C23">
        <w:rPr>
          <w:u w:val="none"/>
        </w:rPr>
        <w:t xml:space="preserve"> </w:t>
      </w:r>
      <w:r w:rsidRPr="005439C3">
        <w:rPr>
          <w:u w:val="none"/>
          <w:lang w:val="en-US"/>
        </w:rPr>
        <w:t xml:space="preserve">of </w:t>
      </w:r>
      <w:r>
        <w:rPr>
          <w:u w:val="none"/>
          <w:lang w:val="en-US"/>
        </w:rPr>
        <w:t xml:space="preserve">the </w:t>
      </w:r>
      <w:r w:rsidR="00792CEB">
        <w:rPr>
          <w:u w:val="none"/>
          <w:lang w:val="en-US"/>
        </w:rPr>
        <w:t>status of the</w:t>
      </w:r>
      <w:r w:rsidRPr="005439C3">
        <w:rPr>
          <w:u w:val="none"/>
          <w:lang w:val="en-US"/>
        </w:rPr>
        <w:t xml:space="preserve"> recommendations</w:t>
      </w:r>
      <w:r w:rsidR="00792CEB">
        <w:rPr>
          <w:u w:val="none"/>
          <w:lang w:val="en-US"/>
        </w:rPr>
        <w:t xml:space="preserve"> on governance based on </w:t>
      </w:r>
      <w:r w:rsidR="00F06CBA">
        <w:rPr>
          <w:u w:val="none"/>
          <w:lang w:val="en-US"/>
        </w:rPr>
        <w:t xml:space="preserve">the </w:t>
      </w:r>
      <w:r w:rsidR="00792CEB">
        <w:rPr>
          <w:u w:val="none"/>
          <w:lang w:val="en-US"/>
        </w:rPr>
        <w:t>work of</w:t>
      </w:r>
      <w:r w:rsidRPr="005439C3">
        <w:rPr>
          <w:u w:val="none"/>
          <w:lang w:val="en-US"/>
        </w:rPr>
        <w:t xml:space="preserve"> the </w:t>
      </w:r>
      <w:r>
        <w:rPr>
          <w:u w:val="none"/>
          <w:lang w:val="en-US"/>
        </w:rPr>
        <w:t xml:space="preserve">Open-Ended Working Group on </w:t>
      </w:r>
      <w:r w:rsidR="00F06CBA">
        <w:rPr>
          <w:u w:val="none"/>
          <w:lang w:val="en-US"/>
        </w:rPr>
        <w:t xml:space="preserve">the </w:t>
      </w:r>
      <w:r>
        <w:rPr>
          <w:u w:val="none"/>
          <w:lang w:val="en-US"/>
        </w:rPr>
        <w:t xml:space="preserve">Governance, Procedures and Working Methods </w:t>
      </w:r>
      <w:r>
        <w:rPr>
          <w:u w:val="none"/>
          <w:lang w:val="en-US"/>
        </w:rPr>
        <w:lastRenderedPageBreak/>
        <w:t>of the Governing Bodies of UNESCO</w:t>
      </w:r>
      <w:r w:rsidR="00C22E6A">
        <w:rPr>
          <w:u w:val="none"/>
          <w:lang w:val="en-US"/>
        </w:rPr>
        <w:t>,</w:t>
      </w:r>
      <w:r w:rsidRPr="005439C3">
        <w:rPr>
          <w:u w:val="none"/>
          <w:lang w:val="en-US"/>
        </w:rPr>
        <w:t xml:space="preserve"> which are </w:t>
      </w:r>
      <w:r>
        <w:rPr>
          <w:u w:val="none"/>
          <w:lang w:val="en-US"/>
        </w:rPr>
        <w:t>relevant</w:t>
      </w:r>
      <w:r w:rsidRPr="005439C3">
        <w:rPr>
          <w:u w:val="none"/>
          <w:lang w:val="en-US"/>
        </w:rPr>
        <w:t xml:space="preserve"> to the governing </w:t>
      </w:r>
      <w:r>
        <w:rPr>
          <w:u w:val="none"/>
          <w:lang w:val="en-US"/>
        </w:rPr>
        <w:t>bodies</w:t>
      </w:r>
      <w:r w:rsidRPr="005439C3">
        <w:rPr>
          <w:u w:val="none"/>
          <w:lang w:val="en-US"/>
        </w:rPr>
        <w:t xml:space="preserve"> of the 2003 Convention</w:t>
      </w:r>
      <w:r w:rsidR="00F06CBA">
        <w:rPr>
          <w:u w:val="none"/>
          <w:lang w:val="en-US"/>
        </w:rPr>
        <w:t>;</w:t>
      </w:r>
    </w:p>
    <w:p w14:paraId="56F70C94" w14:textId="5363A456" w:rsidR="008E3187" w:rsidRPr="00362E48" w:rsidRDefault="000E542F" w:rsidP="00473183">
      <w:pPr>
        <w:pStyle w:val="COMParaDecision"/>
      </w:pPr>
      <w:r>
        <w:t>Encourages</w:t>
      </w:r>
      <w:r w:rsidR="006501D3" w:rsidRPr="00373083">
        <w:rPr>
          <w:u w:val="none"/>
        </w:rPr>
        <w:t xml:space="preserve"> </w:t>
      </w:r>
      <w:r>
        <w:rPr>
          <w:u w:val="none"/>
        </w:rPr>
        <w:t xml:space="preserve">the Culture Sector to continue its efforts </w:t>
      </w:r>
      <w:r w:rsidR="00473183">
        <w:rPr>
          <w:u w:val="none"/>
        </w:rPr>
        <w:t>to</w:t>
      </w:r>
      <w:r w:rsidR="006501D3" w:rsidRPr="006501D3">
        <w:rPr>
          <w:u w:val="none"/>
        </w:rPr>
        <w:t xml:space="preserve"> harmoniz</w:t>
      </w:r>
      <w:r w:rsidR="00473183">
        <w:rPr>
          <w:u w:val="none"/>
        </w:rPr>
        <w:t>e</w:t>
      </w:r>
      <w:r w:rsidR="006501D3" w:rsidRPr="006501D3">
        <w:rPr>
          <w:u w:val="none"/>
        </w:rPr>
        <w:t xml:space="preserve"> the rules of procedure of the governing bodies of the six culture conventions </w:t>
      </w:r>
      <w:r w:rsidR="00BB7A06">
        <w:rPr>
          <w:u w:val="none"/>
        </w:rPr>
        <w:t xml:space="preserve">in </w:t>
      </w:r>
      <w:r w:rsidR="00EF3414">
        <w:rPr>
          <w:u w:val="none"/>
        </w:rPr>
        <w:t>conformity with</w:t>
      </w:r>
      <w:r w:rsidR="006501D3" w:rsidRPr="006501D3">
        <w:rPr>
          <w:u w:val="none"/>
        </w:rPr>
        <w:t xml:space="preserve"> </w:t>
      </w:r>
      <w:hyperlink r:id="rId26" w:history="1">
        <w:r w:rsidR="006501D3" w:rsidRPr="00B44D76">
          <w:rPr>
            <w:rStyle w:val="Hyperlink"/>
          </w:rPr>
          <w:t>Resolution 7.GA 13</w:t>
        </w:r>
      </w:hyperlink>
      <w:r w:rsidR="006501D3">
        <w:rPr>
          <w:u w:val="none"/>
        </w:rPr>
        <w:t>;</w:t>
      </w:r>
    </w:p>
    <w:p w14:paraId="58E196FB" w14:textId="74CEAD2F" w:rsidR="00BF20B7" w:rsidRPr="00362E48" w:rsidRDefault="00BF20B7" w:rsidP="00473183">
      <w:pPr>
        <w:pStyle w:val="COMParaDecision"/>
      </w:pPr>
      <w:r>
        <w:t>Further takes note</w:t>
      </w:r>
      <w:r>
        <w:rPr>
          <w:u w:val="none"/>
        </w:rPr>
        <w:t xml:space="preserve"> that </w:t>
      </w:r>
      <w:r w:rsidR="00257E26">
        <w:rPr>
          <w:u w:val="none"/>
        </w:rPr>
        <w:t xml:space="preserve">at its eighth session </w:t>
      </w:r>
      <w:r>
        <w:rPr>
          <w:u w:val="none"/>
        </w:rPr>
        <w:t xml:space="preserve">the General Assembly </w:t>
      </w:r>
      <w:r w:rsidR="004B0683">
        <w:rPr>
          <w:snapToGrid w:val="0"/>
          <w:u w:val="none"/>
          <w:lang w:eastAsia="en-US"/>
        </w:rPr>
        <w:t xml:space="preserve">will discuss </w:t>
      </w:r>
      <w:r w:rsidR="004B0683" w:rsidRPr="00FE4EAF">
        <w:rPr>
          <w:snapToGrid w:val="0"/>
          <w:u w:val="none"/>
          <w:lang w:eastAsia="en-US"/>
        </w:rPr>
        <w:t xml:space="preserve">the preparation of </w:t>
      </w:r>
      <w:r w:rsidR="00EF3414" w:rsidRPr="001A1AFE">
        <w:rPr>
          <w:snapToGrid w:val="0"/>
          <w:u w:val="none"/>
          <w:lang w:eastAsia="en-US"/>
        </w:rPr>
        <w:t xml:space="preserve">the new </w:t>
      </w:r>
      <w:r w:rsidR="00C25A54">
        <w:rPr>
          <w:snapToGrid w:val="0"/>
          <w:u w:val="none"/>
          <w:lang w:eastAsia="en-US"/>
        </w:rPr>
        <w:t>Medium</w:t>
      </w:r>
      <w:r w:rsidR="00EF3414" w:rsidRPr="001A1AFE">
        <w:rPr>
          <w:snapToGrid w:val="0"/>
          <w:u w:val="none"/>
          <w:lang w:eastAsia="en-US"/>
        </w:rPr>
        <w:t>-</w:t>
      </w:r>
      <w:r w:rsidR="00C25A54">
        <w:rPr>
          <w:snapToGrid w:val="0"/>
          <w:u w:val="none"/>
          <w:lang w:eastAsia="en-US"/>
        </w:rPr>
        <w:t>T</w:t>
      </w:r>
      <w:r w:rsidR="00EF3414" w:rsidRPr="001A1AFE">
        <w:rPr>
          <w:snapToGrid w:val="0"/>
          <w:u w:val="none"/>
          <w:lang w:eastAsia="en-US"/>
        </w:rPr>
        <w:t xml:space="preserve">erm </w:t>
      </w:r>
      <w:r w:rsidR="00C25A54">
        <w:rPr>
          <w:snapToGrid w:val="0"/>
          <w:u w:val="none"/>
          <w:lang w:eastAsia="en-US"/>
        </w:rPr>
        <w:t>S</w:t>
      </w:r>
      <w:r w:rsidR="00C25A54" w:rsidRPr="001A1AFE">
        <w:rPr>
          <w:snapToGrid w:val="0"/>
          <w:u w:val="none"/>
          <w:lang w:eastAsia="en-US"/>
        </w:rPr>
        <w:t xml:space="preserve">trategy </w:t>
      </w:r>
      <w:r w:rsidR="00EF3414" w:rsidRPr="001A1AFE">
        <w:rPr>
          <w:snapToGrid w:val="0"/>
          <w:u w:val="none"/>
          <w:lang w:eastAsia="en-US"/>
        </w:rPr>
        <w:t xml:space="preserve">2022-2029 (41C/4) and draft </w:t>
      </w:r>
      <w:r w:rsidR="00C25A54">
        <w:rPr>
          <w:snapToGrid w:val="0"/>
          <w:u w:val="none"/>
          <w:lang w:eastAsia="en-US"/>
        </w:rPr>
        <w:t>P</w:t>
      </w:r>
      <w:r w:rsidR="00EF3414" w:rsidRPr="001A1AFE">
        <w:rPr>
          <w:snapToGrid w:val="0"/>
          <w:u w:val="none"/>
          <w:lang w:eastAsia="en-US"/>
        </w:rPr>
        <w:t xml:space="preserve">rogramme and </w:t>
      </w:r>
      <w:r w:rsidR="00C25A54">
        <w:rPr>
          <w:snapToGrid w:val="0"/>
          <w:u w:val="none"/>
          <w:lang w:eastAsia="en-US"/>
        </w:rPr>
        <w:t>B</w:t>
      </w:r>
      <w:r w:rsidR="00EF3414" w:rsidRPr="001A1AFE">
        <w:rPr>
          <w:snapToGrid w:val="0"/>
          <w:u w:val="none"/>
          <w:lang w:eastAsia="en-US"/>
        </w:rPr>
        <w:t>udget 2022-2025 (41C/5)</w:t>
      </w:r>
      <w:r w:rsidR="00E2070F" w:rsidRPr="001A1AFE">
        <w:rPr>
          <w:snapToGrid w:val="0"/>
          <w:u w:val="none"/>
          <w:lang w:eastAsia="en-US"/>
        </w:rPr>
        <w:t xml:space="preserve"> </w:t>
      </w:r>
      <w:r w:rsidR="004B0683" w:rsidRPr="00926863">
        <w:rPr>
          <w:u w:val="none"/>
        </w:rPr>
        <w:t>with</w:t>
      </w:r>
      <w:r w:rsidR="004B0683">
        <w:rPr>
          <w:u w:val="none"/>
        </w:rPr>
        <w:t xml:space="preserve"> reference to </w:t>
      </w:r>
      <w:r w:rsidR="004B0683" w:rsidRPr="000B0F08">
        <w:rPr>
          <w:snapToGrid w:val="0"/>
          <w:u w:val="none"/>
          <w:lang w:eastAsia="en-US"/>
        </w:rPr>
        <w:t>Recommendation</w:t>
      </w:r>
      <w:r w:rsidR="004B0683" w:rsidRPr="00362E48">
        <w:rPr>
          <w:snapToGrid w:val="0"/>
          <w:u w:val="none"/>
          <w:lang w:eastAsia="en-US"/>
        </w:rPr>
        <w:t xml:space="preserve"> 74</w:t>
      </w:r>
      <w:r w:rsidR="004B0683">
        <w:rPr>
          <w:snapToGrid w:val="0"/>
          <w:u w:val="none"/>
          <w:lang w:eastAsia="en-US"/>
        </w:rPr>
        <w:t xml:space="preserve"> of the recommendations in question;</w:t>
      </w:r>
    </w:p>
    <w:p w14:paraId="34907427" w14:textId="12F7D060" w:rsidR="00D15312" w:rsidRPr="00EE4900" w:rsidRDefault="00D15312" w:rsidP="00473183">
      <w:pPr>
        <w:pStyle w:val="COMParaDecision"/>
      </w:pPr>
      <w:r>
        <w:t>Considers</w:t>
      </w:r>
      <w:r>
        <w:rPr>
          <w:u w:val="none"/>
        </w:rPr>
        <w:t xml:space="preserve"> that sufficient progress has been made </w:t>
      </w:r>
      <w:r w:rsidR="00123801">
        <w:rPr>
          <w:u w:val="none"/>
        </w:rPr>
        <w:t>with</w:t>
      </w:r>
      <w:r>
        <w:rPr>
          <w:u w:val="none"/>
        </w:rPr>
        <w:t xml:space="preserve"> the follow</w:t>
      </w:r>
      <w:r w:rsidR="002F6C64">
        <w:rPr>
          <w:u w:val="none"/>
        </w:rPr>
        <w:t>-</w:t>
      </w:r>
      <w:r>
        <w:rPr>
          <w:u w:val="none"/>
        </w:rPr>
        <w:t>up on the implementati</w:t>
      </w:r>
      <w:r w:rsidRPr="00920D85">
        <w:rPr>
          <w:u w:val="none"/>
        </w:rPr>
        <w:t xml:space="preserve">on </w:t>
      </w:r>
      <w:r w:rsidRPr="004D19D9">
        <w:rPr>
          <w:u w:val="none"/>
        </w:rPr>
        <w:t>of the relevant recommendations of the above-mentioned Open-Ended Working Group that</w:t>
      </w:r>
      <w:r w:rsidRPr="00444E42">
        <w:rPr>
          <w:u w:val="none"/>
        </w:rPr>
        <w:t xml:space="preserve"> </w:t>
      </w:r>
      <w:r w:rsidRPr="00123801">
        <w:rPr>
          <w:u w:val="none"/>
        </w:rPr>
        <w:t>require</w:t>
      </w:r>
      <w:r w:rsidRPr="000E48F7">
        <w:rPr>
          <w:u w:val="none"/>
        </w:rPr>
        <w:t xml:space="preserve"> </w:t>
      </w:r>
      <w:r w:rsidRPr="00920D85">
        <w:rPr>
          <w:u w:val="none"/>
        </w:rPr>
        <w:t>the attention of the Committee</w:t>
      </w:r>
      <w:r w:rsidR="002B3C73">
        <w:rPr>
          <w:u w:val="none"/>
        </w:rPr>
        <w:t xml:space="preserve"> </w:t>
      </w:r>
      <w:r w:rsidR="00B7330A">
        <w:rPr>
          <w:u w:val="none"/>
        </w:rPr>
        <w:t xml:space="preserve">and </w:t>
      </w:r>
      <w:r w:rsidR="00B7330A" w:rsidRPr="00362E48">
        <w:t>requests</w:t>
      </w:r>
      <w:r w:rsidR="00B7330A">
        <w:rPr>
          <w:u w:val="none"/>
        </w:rPr>
        <w:t xml:space="preserve"> </w:t>
      </w:r>
      <w:r w:rsidR="002F6C64">
        <w:rPr>
          <w:u w:val="none"/>
        </w:rPr>
        <w:t xml:space="preserve">that </w:t>
      </w:r>
      <w:r w:rsidR="00B7330A">
        <w:rPr>
          <w:u w:val="none"/>
        </w:rPr>
        <w:t>the Secretariat</w:t>
      </w:r>
      <w:r w:rsidR="00F4640A">
        <w:rPr>
          <w:u w:val="none"/>
        </w:rPr>
        <w:t xml:space="preserve"> continue </w:t>
      </w:r>
      <w:r w:rsidR="00EF3414">
        <w:rPr>
          <w:u w:val="none"/>
        </w:rPr>
        <w:t xml:space="preserve">reporting </w:t>
      </w:r>
      <w:r w:rsidR="00887131">
        <w:rPr>
          <w:u w:val="none"/>
        </w:rPr>
        <w:t>as and when necessary on further progress regarding the status of recommendations</w:t>
      </w:r>
      <w:r>
        <w:rPr>
          <w:u w:val="none"/>
        </w:rPr>
        <w:t>.</w:t>
      </w:r>
    </w:p>
    <w:p w14:paraId="0BBBCB80" w14:textId="77777777" w:rsidR="009B7C08" w:rsidRPr="008E3187" w:rsidRDefault="009B7C08" w:rsidP="00EE4900">
      <w:pPr>
        <w:pStyle w:val="COMParaDecision"/>
        <w:numPr>
          <w:ilvl w:val="0"/>
          <w:numId w:val="0"/>
        </w:numPr>
        <w:ind w:left="567"/>
        <w:jc w:val="left"/>
      </w:pPr>
    </w:p>
    <w:p w14:paraId="3E7AAAB8" w14:textId="77777777" w:rsidR="009B7C08" w:rsidRDefault="009B7C08" w:rsidP="009B7C08">
      <w:pPr>
        <w:rPr>
          <w:rFonts w:ascii="Arial" w:hAnsi="Arial" w:cs="Arial"/>
          <w:snapToGrid w:val="0"/>
          <w:sz w:val="22"/>
          <w:szCs w:val="22"/>
          <w:lang w:val="en-GB" w:eastAsia="en-US"/>
        </w:rPr>
        <w:sectPr w:rsidR="009B7C08" w:rsidSect="00EA7F1D">
          <w:headerReference w:type="even" r:id="rId27"/>
          <w:headerReference w:type="default" r:id="rId28"/>
          <w:headerReference w:type="first" r:id="rId29"/>
          <w:pgSz w:w="11906" w:h="16838" w:code="9"/>
          <w:pgMar w:top="1418" w:right="1134" w:bottom="993" w:left="1134" w:header="397" w:footer="284" w:gutter="0"/>
          <w:cols w:space="708"/>
          <w:titlePg/>
          <w:docGrid w:linePitch="360"/>
        </w:sectPr>
      </w:pPr>
    </w:p>
    <w:p w14:paraId="02F417AF" w14:textId="7220E600" w:rsidR="009B7C08" w:rsidRDefault="009B7C08" w:rsidP="009B7C08">
      <w:pPr>
        <w:spacing w:after="240"/>
        <w:jc w:val="center"/>
        <w:rPr>
          <w:rFonts w:ascii="Arial" w:hAnsi="Arial" w:cs="Arial"/>
          <w:b/>
          <w:snapToGrid w:val="0"/>
          <w:sz w:val="22"/>
          <w:szCs w:val="22"/>
          <w:lang w:val="en-GB" w:eastAsia="en-US"/>
        </w:rPr>
      </w:pPr>
      <w:r>
        <w:rPr>
          <w:rFonts w:ascii="Arial" w:hAnsi="Arial" w:cs="Arial"/>
          <w:b/>
          <w:snapToGrid w:val="0"/>
          <w:sz w:val="22"/>
          <w:szCs w:val="22"/>
          <w:lang w:val="en-GB" w:eastAsia="en-US"/>
        </w:rPr>
        <w:lastRenderedPageBreak/>
        <w:t>ANNEX</w:t>
      </w:r>
    </w:p>
    <w:p w14:paraId="693D48F2" w14:textId="77777777" w:rsidR="009B7C08" w:rsidRPr="00472AC3" w:rsidRDefault="009B7C08" w:rsidP="009B7C08">
      <w:pPr>
        <w:spacing w:after="120"/>
        <w:jc w:val="center"/>
        <w:rPr>
          <w:rFonts w:ascii="Arial" w:hAnsi="Arial" w:cs="Arial"/>
          <w:b/>
          <w:smallCaps/>
          <w:snapToGrid w:val="0"/>
          <w:sz w:val="22"/>
          <w:szCs w:val="22"/>
          <w:lang w:val="en-GB" w:eastAsia="en-US"/>
        </w:rPr>
      </w:pPr>
      <w:r w:rsidRPr="00472AC3">
        <w:rPr>
          <w:rFonts w:ascii="Arial" w:hAnsi="Arial" w:cs="Arial"/>
          <w:b/>
          <w:smallCaps/>
          <w:snapToGrid w:val="0"/>
          <w:sz w:val="22"/>
          <w:szCs w:val="22"/>
          <w:lang w:val="en-GB" w:eastAsia="en-US"/>
        </w:rPr>
        <w:t xml:space="preserve">Recommendations of the </w:t>
      </w:r>
      <w:r>
        <w:rPr>
          <w:rFonts w:ascii="Arial" w:hAnsi="Arial" w:cs="Arial"/>
          <w:b/>
          <w:smallCaps/>
          <w:snapToGrid w:val="0"/>
          <w:sz w:val="22"/>
          <w:szCs w:val="22"/>
          <w:lang w:val="en-GB" w:eastAsia="en-US"/>
        </w:rPr>
        <w:t xml:space="preserve">Open-Ended </w:t>
      </w:r>
      <w:r w:rsidRPr="00472AC3">
        <w:rPr>
          <w:rFonts w:ascii="Arial" w:hAnsi="Arial" w:cs="Arial"/>
          <w:b/>
          <w:smallCaps/>
          <w:snapToGrid w:val="0"/>
          <w:sz w:val="22"/>
          <w:szCs w:val="22"/>
          <w:lang w:val="en-GB" w:eastAsia="en-US"/>
        </w:rPr>
        <w:t>Working Group on the Governance, Procedures and Working Methods of the Governing Bodies of UNESCO</w:t>
      </w:r>
    </w:p>
    <w:p w14:paraId="6F246AD8" w14:textId="77777777" w:rsidR="009B7C08" w:rsidRPr="00472AC3" w:rsidRDefault="009B7C08" w:rsidP="009B7C08">
      <w:pPr>
        <w:spacing w:after="240"/>
        <w:jc w:val="center"/>
        <w:rPr>
          <w:rFonts w:ascii="Arial" w:hAnsi="Arial" w:cs="Arial"/>
          <w:smallCaps/>
          <w:snapToGrid w:val="0"/>
          <w:sz w:val="22"/>
          <w:szCs w:val="22"/>
          <w:lang w:val="en-GB" w:eastAsia="en-US"/>
        </w:rPr>
      </w:pPr>
      <w:r w:rsidRPr="00472AC3">
        <w:rPr>
          <w:rFonts w:ascii="Arial" w:hAnsi="Arial" w:cs="Arial"/>
          <w:b/>
          <w:smallCaps/>
          <w:snapToGrid w:val="0"/>
          <w:sz w:val="22"/>
          <w:szCs w:val="22"/>
          <w:lang w:val="en-GB" w:eastAsia="en-US"/>
        </w:rPr>
        <w:t>Part 2. Structure, composition and methods of work of UNESCO’s International and Intergovernmental Bodies (IIBs)</w:t>
      </w:r>
      <w:r>
        <w:rPr>
          <w:rStyle w:val="FootnoteReference"/>
          <w:rFonts w:ascii="Arial" w:hAnsi="Arial" w:cs="Arial"/>
          <w:b/>
          <w:smallCaps/>
          <w:snapToGrid w:val="0"/>
          <w:sz w:val="22"/>
          <w:szCs w:val="22"/>
          <w:lang w:val="en-GB" w:eastAsia="en-US"/>
        </w:rPr>
        <w:footnoteReference w:id="2"/>
      </w:r>
    </w:p>
    <w:tbl>
      <w:tblPr>
        <w:tblStyle w:val="TableGrid"/>
        <w:tblW w:w="5000" w:type="pct"/>
        <w:jc w:val="center"/>
        <w:tblLook w:val="04A0" w:firstRow="1" w:lastRow="0" w:firstColumn="1" w:lastColumn="0" w:noHBand="0" w:noVBand="1"/>
      </w:tblPr>
      <w:tblGrid>
        <w:gridCol w:w="5946"/>
        <w:gridCol w:w="8330"/>
      </w:tblGrid>
      <w:tr w:rsidR="009B7C08" w:rsidRPr="00985ABE" w14:paraId="0174712D" w14:textId="77777777" w:rsidTr="001A1AFE">
        <w:trPr>
          <w:trHeight w:val="340"/>
          <w:tblHeader/>
          <w:jc w:val="center"/>
        </w:trPr>
        <w:tc>
          <w:tcPr>
            <w:tcW w:w="5946" w:type="dxa"/>
            <w:vAlign w:val="center"/>
          </w:tcPr>
          <w:p w14:paraId="6323C5C5" w14:textId="77777777" w:rsidR="009B7C08" w:rsidRPr="00985ABE" w:rsidRDefault="009B7C08" w:rsidP="00B04CDE">
            <w:pPr>
              <w:rPr>
                <w:rFonts w:ascii="Arial" w:hAnsi="Arial" w:cs="Arial"/>
                <w:b/>
                <w:snapToGrid w:val="0"/>
                <w:sz w:val="22"/>
                <w:szCs w:val="22"/>
                <w:lang w:val="en-GB" w:eastAsia="en-US"/>
              </w:rPr>
            </w:pPr>
            <w:r w:rsidRPr="00985ABE">
              <w:rPr>
                <w:rFonts w:ascii="Arial" w:hAnsi="Arial" w:cs="Arial"/>
                <w:b/>
                <w:snapToGrid w:val="0"/>
                <w:sz w:val="22"/>
                <w:szCs w:val="22"/>
                <w:lang w:val="en-GB" w:eastAsia="en-US"/>
              </w:rPr>
              <w:t>Recommendation</w:t>
            </w:r>
          </w:p>
        </w:tc>
        <w:tc>
          <w:tcPr>
            <w:tcW w:w="8330" w:type="dxa"/>
            <w:vAlign w:val="center"/>
          </w:tcPr>
          <w:p w14:paraId="6E670695" w14:textId="77777777" w:rsidR="009B7C08" w:rsidRPr="00985ABE" w:rsidRDefault="009B7C08" w:rsidP="00B04CDE">
            <w:pPr>
              <w:rPr>
                <w:rFonts w:ascii="Arial" w:hAnsi="Arial" w:cs="Arial"/>
                <w:b/>
                <w:snapToGrid w:val="0"/>
                <w:sz w:val="22"/>
                <w:szCs w:val="22"/>
                <w:lang w:val="en-GB" w:eastAsia="en-US"/>
              </w:rPr>
            </w:pPr>
            <w:r w:rsidRPr="00985ABE">
              <w:rPr>
                <w:rFonts w:ascii="Arial" w:hAnsi="Arial" w:cs="Arial"/>
                <w:b/>
                <w:snapToGrid w:val="0"/>
                <w:sz w:val="22"/>
                <w:szCs w:val="22"/>
                <w:lang w:val="en-GB" w:eastAsia="en-US"/>
              </w:rPr>
              <w:t>Status</w:t>
            </w:r>
          </w:p>
        </w:tc>
      </w:tr>
      <w:tr w:rsidR="009B7C08" w:rsidRPr="00884518" w14:paraId="3FFBA965" w14:textId="77777777" w:rsidTr="001A1AFE">
        <w:trPr>
          <w:trHeight w:val="340"/>
          <w:jc w:val="center"/>
        </w:trPr>
        <w:tc>
          <w:tcPr>
            <w:tcW w:w="14276" w:type="dxa"/>
            <w:gridSpan w:val="2"/>
            <w:shd w:val="clear" w:color="auto" w:fill="D9D9D9" w:themeFill="background1" w:themeFillShade="D9"/>
            <w:vAlign w:val="center"/>
          </w:tcPr>
          <w:p w14:paraId="6B268650" w14:textId="77777777" w:rsidR="009B7C08" w:rsidRPr="00C366E0" w:rsidRDefault="009B7C08" w:rsidP="00B04CDE">
            <w:pPr>
              <w:tabs>
                <w:tab w:val="left" w:pos="555"/>
              </w:tabs>
              <w:rPr>
                <w:rFonts w:ascii="Arial" w:hAnsi="Arial" w:cs="Arial"/>
                <w:bCs/>
                <w:smallCaps/>
                <w:snapToGrid w:val="0"/>
                <w:sz w:val="22"/>
                <w:szCs w:val="22"/>
                <w:lang w:val="en-GB" w:eastAsia="en-US"/>
              </w:rPr>
            </w:pPr>
            <w:r>
              <w:rPr>
                <w:rFonts w:ascii="Arial" w:hAnsi="Arial" w:cs="Arial"/>
                <w:b/>
                <w:smallCaps/>
                <w:snapToGrid w:val="0"/>
                <w:sz w:val="22"/>
                <w:szCs w:val="22"/>
                <w:lang w:val="en-GB" w:eastAsia="en-US"/>
              </w:rPr>
              <w:t>B.</w:t>
            </w:r>
            <w:r>
              <w:rPr>
                <w:rFonts w:ascii="Arial" w:hAnsi="Arial" w:cs="Arial"/>
                <w:b/>
                <w:smallCaps/>
                <w:snapToGrid w:val="0"/>
                <w:sz w:val="22"/>
                <w:szCs w:val="22"/>
                <w:lang w:val="en-GB" w:eastAsia="en-US"/>
              </w:rPr>
              <w:tab/>
            </w:r>
            <w:r w:rsidRPr="00985ABE">
              <w:rPr>
                <w:rFonts w:ascii="Arial" w:hAnsi="Arial" w:cs="Arial"/>
                <w:b/>
                <w:smallCaps/>
                <w:snapToGrid w:val="0"/>
                <w:sz w:val="22"/>
                <w:szCs w:val="22"/>
                <w:lang w:val="en-GB" w:eastAsia="en-US"/>
              </w:rPr>
              <w:t>General recommendations for all international and intergovernmental bodies (IIBs)</w:t>
            </w:r>
          </w:p>
        </w:tc>
      </w:tr>
      <w:tr w:rsidR="009B7C08" w:rsidRPr="00884518" w14:paraId="38758E15" w14:textId="77777777" w:rsidTr="001A1AFE">
        <w:trPr>
          <w:trHeight w:val="340"/>
          <w:jc w:val="center"/>
        </w:trPr>
        <w:tc>
          <w:tcPr>
            <w:tcW w:w="14276" w:type="dxa"/>
            <w:gridSpan w:val="2"/>
            <w:shd w:val="clear" w:color="auto" w:fill="F2F2F2" w:themeFill="background1" w:themeFillShade="F2"/>
            <w:vAlign w:val="center"/>
          </w:tcPr>
          <w:p w14:paraId="349E5026" w14:textId="44397FA0" w:rsidR="009B7C08" w:rsidRPr="00C366E0" w:rsidRDefault="009B7C08" w:rsidP="00B04CDE">
            <w:pPr>
              <w:tabs>
                <w:tab w:val="left" w:pos="555"/>
              </w:tabs>
              <w:rPr>
                <w:rFonts w:ascii="Arial" w:hAnsi="Arial" w:cs="Arial"/>
                <w:bCs/>
                <w:smallCaps/>
                <w:snapToGrid w:val="0"/>
                <w:sz w:val="22"/>
                <w:szCs w:val="22"/>
                <w:lang w:val="en-GB" w:eastAsia="en-US"/>
              </w:rPr>
            </w:pPr>
            <w:r w:rsidRPr="00985ABE">
              <w:rPr>
                <w:rFonts w:ascii="Arial" w:hAnsi="Arial" w:cs="Arial"/>
                <w:b/>
                <w:snapToGrid w:val="0"/>
                <w:sz w:val="22"/>
                <w:szCs w:val="22"/>
                <w:lang w:val="en-GB" w:eastAsia="en-US"/>
              </w:rPr>
              <w:t>Efficiency (mandate, composition, structure, rules of procedure, method</w:t>
            </w:r>
            <w:r w:rsidR="00876096">
              <w:rPr>
                <w:rFonts w:ascii="Arial" w:hAnsi="Arial" w:cs="Arial"/>
                <w:b/>
                <w:snapToGrid w:val="0"/>
                <w:sz w:val="22"/>
                <w:szCs w:val="22"/>
                <w:lang w:val="en-GB" w:eastAsia="en-US"/>
              </w:rPr>
              <w:t>s</w:t>
            </w:r>
            <w:r w:rsidRPr="00985ABE">
              <w:rPr>
                <w:rFonts w:ascii="Arial" w:hAnsi="Arial" w:cs="Arial"/>
                <w:b/>
                <w:snapToGrid w:val="0"/>
                <w:sz w:val="22"/>
                <w:szCs w:val="22"/>
                <w:lang w:val="en-GB" w:eastAsia="en-US"/>
              </w:rPr>
              <w:t xml:space="preserve"> of work)</w:t>
            </w:r>
          </w:p>
        </w:tc>
      </w:tr>
      <w:tr w:rsidR="009B7C08" w:rsidRPr="00884518" w14:paraId="47774217" w14:textId="77777777" w:rsidTr="001A1AFE">
        <w:trPr>
          <w:jc w:val="center"/>
        </w:trPr>
        <w:tc>
          <w:tcPr>
            <w:tcW w:w="5946" w:type="dxa"/>
          </w:tcPr>
          <w:p w14:paraId="10D89206" w14:textId="599271D9" w:rsidR="009B7C08" w:rsidRPr="00E863FC" w:rsidRDefault="00C25A54" w:rsidP="00A741D3">
            <w:pPr>
              <w:pStyle w:val="ListParagraph"/>
              <w:numPr>
                <w:ilvl w:val="0"/>
                <w:numId w:val="8"/>
              </w:numPr>
              <w:tabs>
                <w:tab w:val="left" w:pos="567"/>
              </w:tabs>
              <w:spacing w:after="120"/>
              <w:ind w:left="567" w:hanging="567"/>
              <w:contextualSpacing w:val="0"/>
              <w:jc w:val="both"/>
              <w:rPr>
                <w:rFonts w:ascii="Arial" w:hAnsi="Arial" w:cs="Arial"/>
                <w:snapToGrid w:val="0"/>
                <w:sz w:val="22"/>
                <w:szCs w:val="22"/>
                <w:lang w:val="en-GB" w:eastAsia="en-US"/>
              </w:rPr>
            </w:pPr>
            <w:r w:rsidRPr="001A1AFE">
              <w:rPr>
                <w:rFonts w:ascii="Arial" w:hAnsi="Arial" w:cs="Arial"/>
                <w:snapToGrid w:val="0"/>
                <w:sz w:val="22"/>
                <w:szCs w:val="22"/>
                <w:lang w:val="en-US" w:eastAsia="en-US"/>
              </w:rPr>
              <w:t xml:space="preserve">IIBs </w:t>
            </w:r>
            <w:proofErr w:type="gramStart"/>
            <w:r w:rsidRPr="001A1AFE">
              <w:rPr>
                <w:rFonts w:ascii="Arial" w:hAnsi="Arial" w:cs="Arial"/>
                <w:snapToGrid w:val="0"/>
                <w:sz w:val="22"/>
                <w:szCs w:val="22"/>
                <w:lang w:val="en-US" w:eastAsia="en-US"/>
              </w:rPr>
              <w:t>are invited</w:t>
            </w:r>
            <w:proofErr w:type="gramEnd"/>
            <w:r w:rsidRPr="001A1AFE">
              <w:rPr>
                <w:rFonts w:ascii="Arial" w:hAnsi="Arial" w:cs="Arial"/>
                <w:snapToGrid w:val="0"/>
                <w:sz w:val="22"/>
                <w:szCs w:val="22"/>
                <w:lang w:val="en-US" w:eastAsia="en-US"/>
              </w:rPr>
              <w:t xml:space="preserve"> to update their mandates, as appropriate, including their objectives and programs, to be more coherent with approved C/5 priorities and responsive to current global developments, such as the 2030 Sustainable Development Agenda and the Paris Agreement on Climate Change.</w:t>
            </w:r>
          </w:p>
          <w:p w14:paraId="5F66B437" w14:textId="77777777" w:rsidR="009B7C08" w:rsidRPr="00E863FC" w:rsidRDefault="009B7C08" w:rsidP="00B04CDE">
            <w:pPr>
              <w:tabs>
                <w:tab w:val="left" w:pos="567"/>
              </w:tabs>
              <w:spacing w:after="120"/>
              <w:jc w:val="both"/>
              <w:rPr>
                <w:rFonts w:ascii="Arial" w:hAnsi="Arial" w:cs="Arial"/>
                <w:snapToGrid w:val="0"/>
                <w:sz w:val="22"/>
                <w:szCs w:val="22"/>
                <w:lang w:val="en-US" w:eastAsia="en-US"/>
              </w:rPr>
            </w:pPr>
            <w:r w:rsidRPr="00BF7498">
              <w:rPr>
                <w:rFonts w:ascii="Arial" w:hAnsi="Arial" w:cs="Arial"/>
                <w:b/>
                <w:bCs/>
                <w:snapToGrid w:val="0"/>
                <w:sz w:val="22"/>
                <w:szCs w:val="22"/>
                <w:lang w:val="en-GB" w:eastAsia="en-US"/>
              </w:rPr>
              <w:t>Closed</w:t>
            </w:r>
          </w:p>
        </w:tc>
        <w:tc>
          <w:tcPr>
            <w:tcW w:w="8330" w:type="dxa"/>
          </w:tcPr>
          <w:p w14:paraId="021C7920" w14:textId="541E3276" w:rsidR="009B7C08" w:rsidRPr="00362E48" w:rsidRDefault="003E7952" w:rsidP="00A741D3">
            <w:pPr>
              <w:pStyle w:val="ListParagraph"/>
              <w:numPr>
                <w:ilvl w:val="0"/>
                <w:numId w:val="7"/>
              </w:numPr>
              <w:spacing w:after="120"/>
              <w:ind w:left="357" w:hanging="357"/>
              <w:contextualSpacing w:val="0"/>
              <w:jc w:val="both"/>
              <w:rPr>
                <w:rFonts w:ascii="Arial" w:hAnsi="Arial" w:cs="Arial"/>
                <w:b/>
                <w:snapToGrid w:val="0"/>
                <w:sz w:val="22"/>
                <w:szCs w:val="22"/>
                <w:lang w:val="en-GB" w:eastAsia="en-US"/>
              </w:rPr>
            </w:pPr>
            <w:r w:rsidRPr="00362E48">
              <w:rPr>
                <w:rFonts w:ascii="Arial" w:hAnsi="Arial" w:cs="Arial"/>
                <w:b/>
                <w:snapToGrid w:val="0"/>
                <w:sz w:val="22"/>
                <w:szCs w:val="22"/>
                <w:lang w:val="en-GB" w:eastAsia="en-US"/>
              </w:rPr>
              <w:t>Closed since 7.GA</w:t>
            </w:r>
            <w:r w:rsidR="00C7656F">
              <w:rPr>
                <w:rFonts w:ascii="Arial" w:hAnsi="Arial" w:cs="Arial"/>
                <w:b/>
                <w:snapToGrid w:val="0"/>
                <w:sz w:val="22"/>
                <w:szCs w:val="22"/>
                <w:lang w:val="en-GB" w:eastAsia="en-US"/>
              </w:rPr>
              <w:t xml:space="preserve"> </w:t>
            </w:r>
            <w:r w:rsidR="00C7656F" w:rsidRPr="00362E48">
              <w:rPr>
                <w:rFonts w:ascii="Arial" w:hAnsi="Arial" w:cs="Arial"/>
                <w:sz w:val="20"/>
                <w:szCs w:val="20"/>
                <w:lang w:val="en-GB"/>
              </w:rPr>
              <w:t xml:space="preserve">(See document </w:t>
            </w:r>
            <w:hyperlink r:id="rId30" w:history="1">
              <w:r w:rsidR="00C7656F" w:rsidRPr="002B4145">
                <w:rPr>
                  <w:rStyle w:val="Hyperlink"/>
                  <w:rFonts w:ascii="Arial" w:hAnsi="Arial" w:cs="Arial"/>
                  <w:sz w:val="20"/>
                  <w:szCs w:val="20"/>
                  <w:lang w:val="en-GB"/>
                </w:rPr>
                <w:t>ITH/18/7.GA/12</w:t>
              </w:r>
            </w:hyperlink>
            <w:r w:rsidR="00C7656F">
              <w:rPr>
                <w:rFonts w:ascii="Arial" w:hAnsi="Arial" w:cs="Arial"/>
                <w:sz w:val="20"/>
                <w:szCs w:val="20"/>
                <w:lang w:val="en-GB"/>
              </w:rPr>
              <w:t>)</w:t>
            </w:r>
          </w:p>
          <w:p w14:paraId="777B123A" w14:textId="3650F349" w:rsidR="009B7C08" w:rsidRPr="00362E48" w:rsidRDefault="009B7C08" w:rsidP="00362E48">
            <w:pPr>
              <w:spacing w:after="120"/>
              <w:ind w:left="357"/>
              <w:jc w:val="both"/>
              <w:rPr>
                <w:rFonts w:ascii="Arial" w:hAnsi="Arial" w:cs="Arial"/>
                <w:snapToGrid w:val="0"/>
                <w:sz w:val="22"/>
                <w:szCs w:val="22"/>
                <w:lang w:val="en-GB" w:eastAsia="en-US"/>
              </w:rPr>
            </w:pPr>
          </w:p>
        </w:tc>
      </w:tr>
      <w:tr w:rsidR="009B7C08" w:rsidRPr="00884518" w14:paraId="6F0A0BD4" w14:textId="77777777" w:rsidTr="001A1AFE">
        <w:trPr>
          <w:jc w:val="center"/>
        </w:trPr>
        <w:tc>
          <w:tcPr>
            <w:tcW w:w="5946" w:type="dxa"/>
          </w:tcPr>
          <w:p w14:paraId="452F527C" w14:textId="43B74DBE" w:rsidR="009B7C08" w:rsidRPr="00E863FC" w:rsidRDefault="00C25A54" w:rsidP="00A741D3">
            <w:pPr>
              <w:pStyle w:val="ListParagraph"/>
              <w:numPr>
                <w:ilvl w:val="0"/>
                <w:numId w:val="8"/>
              </w:numPr>
              <w:tabs>
                <w:tab w:val="left" w:pos="567"/>
              </w:tabs>
              <w:spacing w:after="120"/>
              <w:ind w:left="567" w:hanging="567"/>
              <w:contextualSpacing w:val="0"/>
              <w:jc w:val="both"/>
              <w:rPr>
                <w:rFonts w:ascii="Arial" w:hAnsi="Arial" w:cs="Arial"/>
                <w:snapToGrid w:val="0"/>
                <w:sz w:val="22"/>
                <w:szCs w:val="22"/>
                <w:lang w:val="en-GB" w:eastAsia="en-US"/>
              </w:rPr>
            </w:pPr>
            <w:r w:rsidRPr="001A1AFE">
              <w:rPr>
                <w:rFonts w:ascii="Arial" w:hAnsi="Arial" w:cs="Arial"/>
                <w:snapToGrid w:val="0"/>
                <w:sz w:val="22"/>
                <w:szCs w:val="22"/>
                <w:lang w:val="en-US" w:eastAsia="en-US"/>
              </w:rPr>
              <w:t xml:space="preserve">To promote diversity and inclusivity, voluntary term limits of two consecutive mandates are recommended for </w:t>
            </w:r>
            <w:proofErr w:type="gramStart"/>
            <w:r w:rsidRPr="001A1AFE">
              <w:rPr>
                <w:rFonts w:ascii="Arial" w:hAnsi="Arial" w:cs="Arial"/>
                <w:snapToGrid w:val="0"/>
                <w:sz w:val="22"/>
                <w:szCs w:val="22"/>
                <w:lang w:val="en-US" w:eastAsia="en-US"/>
              </w:rPr>
              <w:t>IIBs which</w:t>
            </w:r>
            <w:proofErr w:type="gramEnd"/>
            <w:r w:rsidRPr="001A1AFE">
              <w:rPr>
                <w:rFonts w:ascii="Arial" w:hAnsi="Arial" w:cs="Arial"/>
                <w:snapToGrid w:val="0"/>
                <w:sz w:val="22"/>
                <w:szCs w:val="22"/>
                <w:lang w:val="en-US" w:eastAsia="en-US"/>
              </w:rPr>
              <w:t xml:space="preserve"> currently do not have term limitations for membership</w:t>
            </w:r>
            <w:r w:rsidR="00F0786E">
              <w:rPr>
                <w:rFonts w:ascii="Arial" w:hAnsi="Arial" w:cs="Arial"/>
                <w:snapToGrid w:val="0"/>
                <w:sz w:val="22"/>
                <w:szCs w:val="22"/>
                <w:lang w:val="en-US" w:eastAsia="en-US"/>
              </w:rPr>
              <w:t>.</w:t>
            </w:r>
          </w:p>
          <w:p w14:paraId="437C28A0" w14:textId="77777777" w:rsidR="009B7C08" w:rsidRPr="00E863FC" w:rsidRDefault="009B7C08" w:rsidP="00B04CDE">
            <w:pPr>
              <w:tabs>
                <w:tab w:val="left" w:pos="567"/>
              </w:tabs>
              <w:spacing w:after="120"/>
              <w:jc w:val="both"/>
              <w:rPr>
                <w:rFonts w:ascii="Arial" w:hAnsi="Arial" w:cs="Arial"/>
                <w:snapToGrid w:val="0"/>
                <w:sz w:val="22"/>
                <w:szCs w:val="22"/>
                <w:lang w:val="en-GB" w:eastAsia="en-US"/>
              </w:rPr>
            </w:pPr>
            <w:r>
              <w:rPr>
                <w:rFonts w:ascii="Arial" w:hAnsi="Arial" w:cs="Arial"/>
                <w:b/>
                <w:bCs/>
                <w:snapToGrid w:val="0"/>
                <w:sz w:val="22"/>
                <w:szCs w:val="22"/>
                <w:lang w:val="en-GB" w:eastAsia="en-US"/>
              </w:rPr>
              <w:t>Closed</w:t>
            </w:r>
          </w:p>
        </w:tc>
        <w:tc>
          <w:tcPr>
            <w:tcW w:w="8330" w:type="dxa"/>
          </w:tcPr>
          <w:p w14:paraId="41F9278B" w14:textId="2987ADA6" w:rsidR="00726ADA" w:rsidRPr="00A22328" w:rsidRDefault="003E7952" w:rsidP="00726ADA">
            <w:pPr>
              <w:pStyle w:val="ListParagraph"/>
              <w:numPr>
                <w:ilvl w:val="0"/>
                <w:numId w:val="7"/>
              </w:numPr>
              <w:spacing w:after="120"/>
              <w:ind w:left="357" w:hanging="357"/>
              <w:contextualSpacing w:val="0"/>
              <w:jc w:val="both"/>
              <w:rPr>
                <w:rFonts w:ascii="Arial" w:hAnsi="Arial" w:cs="Arial"/>
                <w:b/>
                <w:snapToGrid w:val="0"/>
                <w:sz w:val="22"/>
                <w:szCs w:val="22"/>
                <w:lang w:val="en-GB" w:eastAsia="en-US"/>
              </w:rPr>
            </w:pPr>
            <w:r w:rsidRPr="00A22328">
              <w:rPr>
                <w:rFonts w:ascii="Arial" w:hAnsi="Arial" w:cs="Arial"/>
                <w:b/>
                <w:snapToGrid w:val="0"/>
                <w:sz w:val="22"/>
                <w:szCs w:val="22"/>
                <w:lang w:val="en-GB" w:eastAsia="en-US"/>
              </w:rPr>
              <w:t>Closed since 7.GA</w:t>
            </w:r>
            <w:r w:rsidR="00AA7821">
              <w:rPr>
                <w:rFonts w:ascii="Arial" w:hAnsi="Arial" w:cs="Arial"/>
                <w:b/>
                <w:snapToGrid w:val="0"/>
                <w:sz w:val="22"/>
                <w:szCs w:val="22"/>
                <w:lang w:val="en-GB" w:eastAsia="en-US"/>
              </w:rPr>
              <w:t xml:space="preserve"> </w:t>
            </w:r>
            <w:r w:rsidR="00726ADA" w:rsidRPr="00A22328">
              <w:rPr>
                <w:rFonts w:ascii="Arial" w:hAnsi="Arial" w:cs="Arial"/>
                <w:sz w:val="20"/>
                <w:szCs w:val="20"/>
                <w:lang w:val="en-GB"/>
              </w:rPr>
              <w:t xml:space="preserve">(See document </w:t>
            </w:r>
            <w:hyperlink r:id="rId31" w:history="1">
              <w:r w:rsidR="00726ADA" w:rsidRPr="002B4145">
                <w:rPr>
                  <w:rStyle w:val="Hyperlink"/>
                  <w:rFonts w:ascii="Arial" w:hAnsi="Arial" w:cs="Arial"/>
                  <w:sz w:val="20"/>
                  <w:szCs w:val="20"/>
                  <w:lang w:val="en-GB"/>
                </w:rPr>
                <w:t>ITH/18/7.GA/12</w:t>
              </w:r>
            </w:hyperlink>
            <w:r w:rsidR="00726ADA">
              <w:rPr>
                <w:rFonts w:ascii="Arial" w:hAnsi="Arial" w:cs="Arial"/>
                <w:sz w:val="20"/>
                <w:szCs w:val="20"/>
                <w:lang w:val="en-GB"/>
              </w:rPr>
              <w:t>)</w:t>
            </w:r>
          </w:p>
          <w:p w14:paraId="0D2F6A34" w14:textId="31C4BBAE" w:rsidR="009B7C08" w:rsidRPr="00362E48" w:rsidRDefault="009B7C08" w:rsidP="00362E48">
            <w:pPr>
              <w:spacing w:after="120"/>
              <w:jc w:val="both"/>
              <w:rPr>
                <w:rFonts w:ascii="Arial" w:hAnsi="Arial" w:cs="Arial"/>
                <w:snapToGrid w:val="0"/>
                <w:sz w:val="22"/>
                <w:szCs w:val="22"/>
                <w:lang w:val="en-GB" w:eastAsia="en-US"/>
              </w:rPr>
            </w:pPr>
          </w:p>
        </w:tc>
      </w:tr>
      <w:tr w:rsidR="009B7C08" w:rsidRPr="00E874B6" w14:paraId="65D764B8" w14:textId="77777777" w:rsidTr="001A1AFE">
        <w:trPr>
          <w:jc w:val="center"/>
        </w:trPr>
        <w:tc>
          <w:tcPr>
            <w:tcW w:w="5946" w:type="dxa"/>
          </w:tcPr>
          <w:p w14:paraId="6F74B408" w14:textId="0717B018" w:rsidR="009B7C08" w:rsidRPr="001A1AFE" w:rsidRDefault="00C25A54" w:rsidP="00CA1D79">
            <w:pPr>
              <w:pStyle w:val="ListParagraph"/>
              <w:numPr>
                <w:ilvl w:val="0"/>
                <w:numId w:val="8"/>
              </w:numPr>
              <w:tabs>
                <w:tab w:val="left" w:pos="567"/>
              </w:tabs>
              <w:spacing w:after="120"/>
              <w:ind w:left="567" w:hanging="567"/>
              <w:contextualSpacing w:val="0"/>
              <w:jc w:val="both"/>
              <w:rPr>
                <w:rFonts w:ascii="Arial" w:hAnsi="Arial" w:cs="Arial"/>
                <w:snapToGrid w:val="0"/>
                <w:sz w:val="22"/>
                <w:szCs w:val="22"/>
                <w:lang w:val="en-US" w:eastAsia="en-US"/>
              </w:rPr>
            </w:pPr>
            <w:proofErr w:type="gramStart"/>
            <w:r w:rsidRPr="001A1AFE">
              <w:rPr>
                <w:rFonts w:ascii="Arial" w:hAnsi="Arial" w:cs="Arial"/>
                <w:snapToGrid w:val="0"/>
                <w:sz w:val="22"/>
                <w:szCs w:val="22"/>
                <w:lang w:val="en-US" w:eastAsia="en-US"/>
              </w:rPr>
              <w:t>As a general rule</w:t>
            </w:r>
            <w:proofErr w:type="gramEnd"/>
            <w:r w:rsidRPr="001A1AFE">
              <w:rPr>
                <w:rFonts w:ascii="Arial" w:hAnsi="Arial" w:cs="Arial"/>
                <w:snapToGrid w:val="0"/>
                <w:sz w:val="22"/>
                <w:szCs w:val="22"/>
                <w:lang w:val="en-US" w:eastAsia="en-US"/>
              </w:rPr>
              <w:t>, term limits of two consecutive mandates for membership in all Bureaus are recommended.</w:t>
            </w:r>
          </w:p>
          <w:p w14:paraId="6B2B8606" w14:textId="35C40FD4" w:rsidR="009B7C08" w:rsidRPr="00E863FC" w:rsidRDefault="006337E7" w:rsidP="00B04CDE">
            <w:pPr>
              <w:tabs>
                <w:tab w:val="left" w:pos="567"/>
              </w:tabs>
              <w:spacing w:after="120"/>
              <w:jc w:val="both"/>
              <w:rPr>
                <w:rFonts w:ascii="Arial" w:hAnsi="Arial" w:cs="Arial"/>
                <w:snapToGrid w:val="0"/>
                <w:sz w:val="22"/>
                <w:szCs w:val="22"/>
                <w:lang w:val="en-GB" w:eastAsia="en-US"/>
              </w:rPr>
            </w:pPr>
            <w:r>
              <w:rPr>
                <w:rFonts w:ascii="Arial" w:hAnsi="Arial" w:cs="Arial"/>
                <w:b/>
                <w:bCs/>
                <w:sz w:val="22"/>
                <w:szCs w:val="22"/>
                <w:lang w:val="en-GB"/>
              </w:rPr>
              <w:t>Ongoing</w:t>
            </w:r>
          </w:p>
        </w:tc>
        <w:tc>
          <w:tcPr>
            <w:tcW w:w="8330" w:type="dxa"/>
          </w:tcPr>
          <w:p w14:paraId="7FC17C67" w14:textId="77777777" w:rsidR="009B7C08"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Pr>
                <w:rFonts w:ascii="Arial" w:hAnsi="Arial" w:cs="Arial"/>
                <w:snapToGrid w:val="0"/>
                <w:sz w:val="22"/>
                <w:szCs w:val="22"/>
                <w:lang w:val="en-GB" w:eastAsia="en-US"/>
              </w:rPr>
              <w:t xml:space="preserve">In accordance with </w:t>
            </w:r>
            <w:hyperlink r:id="rId32" w:anchor="Rule13" w:history="1">
              <w:r w:rsidRPr="00AD6BFD">
                <w:rPr>
                  <w:rStyle w:val="Hyperlink"/>
                  <w:rFonts w:ascii="Arial" w:hAnsi="Arial" w:cs="Arial"/>
                  <w:snapToGrid w:val="0"/>
                  <w:sz w:val="22"/>
                  <w:szCs w:val="22"/>
                  <w:lang w:val="en-GB" w:eastAsia="en-US"/>
                </w:rPr>
                <w:t>Rule 13</w:t>
              </w:r>
            </w:hyperlink>
            <w:r>
              <w:rPr>
                <w:rFonts w:ascii="Arial" w:hAnsi="Arial" w:cs="Arial"/>
                <w:snapToGrid w:val="0"/>
                <w:sz w:val="22"/>
                <w:szCs w:val="22"/>
                <w:lang w:val="en-GB" w:eastAsia="en-US"/>
              </w:rPr>
              <w:t xml:space="preserve"> of the Rules of Procedure of the Committee, Bureau members ‘shall be eligible for immediate re-election for a second term of office, </w:t>
            </w:r>
            <w:r w:rsidRPr="00FE2205">
              <w:rPr>
                <w:rFonts w:ascii="Arial" w:hAnsi="Arial" w:cs="Arial"/>
                <w:snapToGrid w:val="0"/>
                <w:sz w:val="22"/>
                <w:szCs w:val="22"/>
                <w:lang w:val="en-US" w:eastAsia="en-US"/>
              </w:rPr>
              <w:t>provided that the country that each represents continues to be a State Member of the Committee at least until the end of the new term of office</w:t>
            </w:r>
            <w:r>
              <w:rPr>
                <w:rFonts w:ascii="Arial" w:hAnsi="Arial" w:cs="Arial"/>
                <w:snapToGrid w:val="0"/>
                <w:sz w:val="22"/>
                <w:szCs w:val="22"/>
                <w:lang w:val="en-GB" w:eastAsia="en-US"/>
              </w:rPr>
              <w:t>’.</w:t>
            </w:r>
          </w:p>
          <w:p w14:paraId="3CCE6EBC" w14:textId="3BBAF73A" w:rsidR="009B7C08"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Pr>
                <w:rFonts w:ascii="Arial" w:hAnsi="Arial" w:cs="Arial"/>
                <w:snapToGrid w:val="0"/>
                <w:sz w:val="22"/>
                <w:szCs w:val="22"/>
                <w:lang w:val="en-GB" w:eastAsia="en-US"/>
              </w:rPr>
              <w:t xml:space="preserve">Although the Rules of Procedure of the General Assembly do not stipulate the term of </w:t>
            </w:r>
            <w:r w:rsidRPr="00324032">
              <w:rPr>
                <w:rFonts w:ascii="Arial" w:hAnsi="Arial" w:cs="Arial"/>
                <w:snapToGrid w:val="0"/>
                <w:sz w:val="22"/>
                <w:szCs w:val="22"/>
                <w:lang w:val="en-GB" w:eastAsia="en-US"/>
              </w:rPr>
              <w:t xml:space="preserve">Bureau members, the practice has been for members to serve for only one mandate (see document </w:t>
            </w:r>
            <w:hyperlink r:id="rId33" w:history="1">
              <w:r w:rsidRPr="00324032">
                <w:rPr>
                  <w:rStyle w:val="Hyperlink"/>
                  <w:rFonts w:ascii="Arial" w:hAnsi="Arial" w:cs="Arial"/>
                  <w:snapToGrid w:val="0"/>
                  <w:sz w:val="22"/>
                  <w:szCs w:val="22"/>
                  <w:lang w:val="en-GB" w:eastAsia="en-US"/>
                </w:rPr>
                <w:t>ITH/18/7.GA/2</w:t>
              </w:r>
            </w:hyperlink>
            <w:r w:rsidRPr="00324032">
              <w:rPr>
                <w:rFonts w:ascii="Arial" w:hAnsi="Arial" w:cs="Arial"/>
                <w:snapToGrid w:val="0"/>
                <w:sz w:val="22"/>
                <w:szCs w:val="22"/>
                <w:lang w:val="en-GB" w:eastAsia="en-US"/>
              </w:rPr>
              <w:t xml:space="preserve"> for the list</w:t>
            </w:r>
            <w:r>
              <w:rPr>
                <w:rFonts w:ascii="Arial" w:hAnsi="Arial" w:cs="Arial"/>
                <w:snapToGrid w:val="0"/>
                <w:sz w:val="22"/>
                <w:szCs w:val="22"/>
                <w:lang w:val="en-GB" w:eastAsia="en-US"/>
              </w:rPr>
              <w:t xml:space="preserve"> of Bureau</w:t>
            </w:r>
            <w:r w:rsidR="00BA7F29">
              <w:rPr>
                <w:rFonts w:ascii="Arial" w:hAnsi="Arial" w:cs="Arial"/>
                <w:snapToGrid w:val="0"/>
                <w:sz w:val="22"/>
                <w:szCs w:val="22"/>
                <w:lang w:val="en-GB" w:eastAsia="en-US"/>
              </w:rPr>
              <w:t xml:space="preserve"> members of previous sessions).</w:t>
            </w:r>
          </w:p>
          <w:p w14:paraId="567AEAC0" w14:textId="617E85C2" w:rsidR="009B7C08"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942976">
              <w:rPr>
                <w:rFonts w:ascii="Arial" w:hAnsi="Arial" w:cs="Arial"/>
                <w:snapToGrid w:val="0"/>
                <w:sz w:val="22"/>
                <w:szCs w:val="22"/>
                <w:lang w:val="en-GB" w:eastAsia="en-US"/>
              </w:rPr>
              <w:lastRenderedPageBreak/>
              <w:t>The General Assembly may either decide to amend its Rules of Procedure to reflect this recommendation or continue with the current practice.</w:t>
            </w:r>
          </w:p>
          <w:p w14:paraId="448CBA64" w14:textId="75285A85" w:rsidR="00310F56" w:rsidRPr="00D13D5A" w:rsidRDefault="00D13D5A" w:rsidP="0047318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D13D5A">
              <w:rPr>
                <w:rFonts w:ascii="Arial" w:hAnsi="Arial" w:cs="Arial"/>
                <w:snapToGrid w:val="0"/>
                <w:sz w:val="22"/>
                <w:szCs w:val="22"/>
                <w:lang w:val="en-GB" w:eastAsia="en-US"/>
              </w:rPr>
              <w:t>In</w:t>
            </w:r>
            <w:r w:rsidR="007C0E13" w:rsidRPr="00D13D5A">
              <w:rPr>
                <w:rFonts w:ascii="Arial" w:hAnsi="Arial" w:cs="Arial"/>
                <w:snapToGrid w:val="0"/>
                <w:sz w:val="22"/>
                <w:szCs w:val="22"/>
                <w:lang w:val="en-GB" w:eastAsia="en-US"/>
              </w:rPr>
              <w:t xml:space="preserve"> accordance with</w:t>
            </w:r>
            <w:r w:rsidR="00310F56" w:rsidRPr="00D13D5A">
              <w:rPr>
                <w:rFonts w:ascii="Arial" w:hAnsi="Arial" w:cs="Arial"/>
                <w:snapToGrid w:val="0"/>
                <w:sz w:val="22"/>
                <w:szCs w:val="22"/>
                <w:lang w:val="en-GB" w:eastAsia="en-US"/>
              </w:rPr>
              <w:t xml:space="preserve"> Resolutions </w:t>
            </w:r>
            <w:hyperlink r:id="rId34" w:history="1">
              <w:r w:rsidR="00310F56" w:rsidRPr="002D38E3">
                <w:rPr>
                  <w:rStyle w:val="Hyperlink"/>
                  <w:rFonts w:ascii="Arial" w:hAnsi="Arial" w:cs="Arial"/>
                  <w:snapToGrid w:val="0"/>
                  <w:sz w:val="22"/>
                  <w:szCs w:val="22"/>
                  <w:lang w:val="en-GB" w:eastAsia="en-US"/>
                </w:rPr>
                <w:t>7.GA 12</w:t>
              </w:r>
            </w:hyperlink>
            <w:r w:rsidR="00310F56" w:rsidRPr="00D13D5A">
              <w:rPr>
                <w:rFonts w:ascii="Arial" w:hAnsi="Arial" w:cs="Arial"/>
                <w:snapToGrid w:val="0"/>
                <w:sz w:val="22"/>
                <w:szCs w:val="22"/>
                <w:lang w:val="en-GB" w:eastAsia="en-US"/>
              </w:rPr>
              <w:t xml:space="preserve"> and </w:t>
            </w:r>
            <w:hyperlink r:id="rId35" w:history="1">
              <w:r w:rsidR="00310F56" w:rsidRPr="002D38E3">
                <w:rPr>
                  <w:rStyle w:val="Hyperlink"/>
                  <w:rFonts w:ascii="Arial" w:hAnsi="Arial" w:cs="Arial"/>
                  <w:snapToGrid w:val="0"/>
                  <w:sz w:val="22"/>
                  <w:szCs w:val="22"/>
                  <w:lang w:val="en-GB" w:eastAsia="en-US"/>
                </w:rPr>
                <w:t>7.GA 13</w:t>
              </w:r>
            </w:hyperlink>
            <w:r w:rsidR="00310F56" w:rsidRPr="00373083">
              <w:rPr>
                <w:rFonts w:ascii="Arial" w:hAnsi="Arial" w:cs="Arial"/>
                <w:snapToGrid w:val="0"/>
                <w:sz w:val="22"/>
                <w:szCs w:val="22"/>
                <w:lang w:val="en-GB" w:eastAsia="en-US"/>
              </w:rPr>
              <w:t>, a revised set of the Rules of Procedure</w:t>
            </w:r>
            <w:r w:rsidR="00473183" w:rsidRPr="00373083">
              <w:rPr>
                <w:rFonts w:ascii="Arial" w:hAnsi="Arial" w:cs="Arial"/>
                <w:snapToGrid w:val="0"/>
                <w:sz w:val="22"/>
                <w:szCs w:val="22"/>
                <w:lang w:val="en-GB" w:eastAsia="en-US"/>
              </w:rPr>
              <w:t xml:space="preserve"> of the General Assembly</w:t>
            </w:r>
            <w:r w:rsidR="00310F56" w:rsidRPr="00373083">
              <w:rPr>
                <w:rFonts w:ascii="Arial" w:hAnsi="Arial" w:cs="Arial"/>
                <w:snapToGrid w:val="0"/>
                <w:sz w:val="22"/>
                <w:szCs w:val="22"/>
                <w:lang w:val="en-GB" w:eastAsia="en-US"/>
              </w:rPr>
              <w:t xml:space="preserve"> </w:t>
            </w:r>
            <w:proofErr w:type="gramStart"/>
            <w:r w:rsidR="00310F56" w:rsidRPr="00373083">
              <w:rPr>
                <w:rFonts w:ascii="Arial" w:hAnsi="Arial" w:cs="Arial"/>
                <w:snapToGrid w:val="0"/>
                <w:sz w:val="22"/>
                <w:szCs w:val="22"/>
                <w:lang w:val="en-GB" w:eastAsia="en-US"/>
              </w:rPr>
              <w:t>will be presented</w:t>
            </w:r>
            <w:proofErr w:type="gramEnd"/>
            <w:r w:rsidR="00310F56" w:rsidRPr="00373083">
              <w:rPr>
                <w:rFonts w:ascii="Arial" w:hAnsi="Arial" w:cs="Arial"/>
                <w:snapToGrid w:val="0"/>
                <w:sz w:val="22"/>
                <w:szCs w:val="22"/>
                <w:lang w:val="en-GB" w:eastAsia="en-US"/>
              </w:rPr>
              <w:t xml:space="preserve"> t</w:t>
            </w:r>
            <w:r w:rsidR="00310F56" w:rsidRPr="00D13D5A">
              <w:rPr>
                <w:rFonts w:ascii="Arial" w:hAnsi="Arial" w:cs="Arial"/>
                <w:snapToGrid w:val="0"/>
                <w:sz w:val="22"/>
                <w:szCs w:val="22"/>
                <w:lang w:val="en-GB" w:eastAsia="en-US"/>
              </w:rPr>
              <w:t>o the eighth session of the General Assembly</w:t>
            </w:r>
            <w:r w:rsidR="00236BBD" w:rsidRPr="00D13D5A">
              <w:rPr>
                <w:rFonts w:ascii="Arial" w:hAnsi="Arial" w:cs="Arial"/>
                <w:snapToGrid w:val="0"/>
                <w:sz w:val="22"/>
                <w:szCs w:val="22"/>
                <w:lang w:val="en-GB" w:eastAsia="en-US"/>
              </w:rPr>
              <w:t xml:space="preserve"> </w:t>
            </w:r>
            <w:r w:rsidR="00236BBD" w:rsidRPr="00373083">
              <w:rPr>
                <w:rFonts w:ascii="Arial" w:hAnsi="Arial" w:cs="Arial"/>
                <w:snapToGrid w:val="0"/>
                <w:sz w:val="22"/>
                <w:szCs w:val="22"/>
                <w:lang w:val="en-GB" w:eastAsia="en-US"/>
              </w:rPr>
              <w:t xml:space="preserve">in </w:t>
            </w:r>
            <w:r w:rsidRPr="00373083">
              <w:rPr>
                <w:rFonts w:ascii="Arial" w:hAnsi="Arial" w:cs="Arial"/>
                <w:snapToGrid w:val="0"/>
                <w:sz w:val="22"/>
                <w:szCs w:val="22"/>
                <w:lang w:val="en-GB" w:eastAsia="en-US"/>
              </w:rPr>
              <w:t xml:space="preserve">June </w:t>
            </w:r>
            <w:r w:rsidR="00236BBD" w:rsidRPr="00373083">
              <w:rPr>
                <w:rFonts w:ascii="Arial" w:hAnsi="Arial" w:cs="Arial"/>
                <w:snapToGrid w:val="0"/>
                <w:sz w:val="22"/>
                <w:szCs w:val="22"/>
                <w:lang w:val="en-GB" w:eastAsia="en-US"/>
              </w:rPr>
              <w:t>20</w:t>
            </w:r>
            <w:r w:rsidR="00236BBD" w:rsidRPr="00D13D5A">
              <w:rPr>
                <w:rFonts w:ascii="Arial" w:hAnsi="Arial" w:cs="Arial"/>
                <w:snapToGrid w:val="0"/>
                <w:sz w:val="22"/>
                <w:szCs w:val="22"/>
                <w:lang w:val="en-GB" w:eastAsia="en-US"/>
              </w:rPr>
              <w:t>20</w:t>
            </w:r>
            <w:r w:rsidR="00310F56" w:rsidRPr="00D13D5A">
              <w:rPr>
                <w:rFonts w:ascii="Arial" w:hAnsi="Arial" w:cs="Arial"/>
                <w:snapToGrid w:val="0"/>
                <w:sz w:val="22"/>
                <w:szCs w:val="22"/>
                <w:lang w:val="en-GB" w:eastAsia="en-US"/>
              </w:rPr>
              <w:t>.</w:t>
            </w:r>
          </w:p>
        </w:tc>
      </w:tr>
      <w:tr w:rsidR="009B7C08" w:rsidRPr="00884518" w14:paraId="6212F3D4" w14:textId="77777777" w:rsidTr="001A1AFE">
        <w:trPr>
          <w:jc w:val="center"/>
        </w:trPr>
        <w:tc>
          <w:tcPr>
            <w:tcW w:w="5946" w:type="dxa"/>
          </w:tcPr>
          <w:p w14:paraId="133FD13F" w14:textId="72C0BEC2" w:rsidR="009B7C08" w:rsidRPr="0049025A" w:rsidRDefault="00D62547" w:rsidP="00A741D3">
            <w:pPr>
              <w:pStyle w:val="ListParagraph"/>
              <w:numPr>
                <w:ilvl w:val="0"/>
                <w:numId w:val="8"/>
              </w:numPr>
              <w:spacing w:after="120"/>
              <w:ind w:left="567" w:hanging="567"/>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lastRenderedPageBreak/>
              <w:t xml:space="preserve">For cost-saving, coherence and harmonization purposes, it </w:t>
            </w:r>
            <w:proofErr w:type="gramStart"/>
            <w:r w:rsidRPr="001A1AFE">
              <w:rPr>
                <w:rFonts w:ascii="Arial" w:hAnsi="Arial" w:cs="Arial"/>
                <w:snapToGrid w:val="0"/>
                <w:sz w:val="22"/>
                <w:szCs w:val="22"/>
                <w:lang w:val="en-US" w:eastAsia="en-US"/>
              </w:rPr>
              <w:t>is recommended</w:t>
            </w:r>
            <w:proofErr w:type="gramEnd"/>
            <w:r w:rsidRPr="001A1AFE">
              <w:rPr>
                <w:rFonts w:ascii="Arial" w:hAnsi="Arial" w:cs="Arial"/>
                <w:snapToGrid w:val="0"/>
                <w:sz w:val="22"/>
                <w:szCs w:val="22"/>
                <w:lang w:val="en-US" w:eastAsia="en-US"/>
              </w:rPr>
              <w:t xml:space="preserve"> that IIBs and the General Conference consider “right-sizing” the composition of the IIBs</w:t>
            </w:r>
            <w:r>
              <w:rPr>
                <w:rFonts w:ascii="Arial" w:hAnsi="Arial" w:cs="Arial"/>
                <w:snapToGrid w:val="0"/>
                <w:sz w:val="22"/>
                <w:szCs w:val="22"/>
                <w:lang w:val="en-US" w:eastAsia="en-US"/>
              </w:rPr>
              <w:t>.</w:t>
            </w:r>
          </w:p>
          <w:p w14:paraId="124B0EAB" w14:textId="77777777" w:rsidR="009B7C08" w:rsidRPr="0049025A" w:rsidRDefault="009B7C08" w:rsidP="00B04CDE">
            <w:pPr>
              <w:spacing w:after="120"/>
              <w:jc w:val="both"/>
              <w:rPr>
                <w:rFonts w:ascii="Arial" w:hAnsi="Arial" w:cs="Arial"/>
                <w:snapToGrid w:val="0"/>
                <w:sz w:val="22"/>
                <w:szCs w:val="22"/>
                <w:lang w:val="en-US" w:eastAsia="en-US"/>
              </w:rPr>
            </w:pPr>
            <w:r>
              <w:rPr>
                <w:rFonts w:ascii="Arial" w:hAnsi="Arial" w:cs="Arial"/>
                <w:b/>
                <w:bCs/>
                <w:sz w:val="22"/>
                <w:szCs w:val="22"/>
                <w:lang w:val="en-US"/>
              </w:rPr>
              <w:t>Closed</w:t>
            </w:r>
          </w:p>
        </w:tc>
        <w:tc>
          <w:tcPr>
            <w:tcW w:w="8330" w:type="dxa"/>
          </w:tcPr>
          <w:p w14:paraId="7D7B618A" w14:textId="5D6D9A3B" w:rsidR="00726ADA" w:rsidRPr="00A22328" w:rsidRDefault="003E7952" w:rsidP="00726ADA">
            <w:pPr>
              <w:pStyle w:val="ListParagraph"/>
              <w:numPr>
                <w:ilvl w:val="0"/>
                <w:numId w:val="7"/>
              </w:numPr>
              <w:spacing w:after="120"/>
              <w:ind w:left="357" w:hanging="357"/>
              <w:contextualSpacing w:val="0"/>
              <w:jc w:val="both"/>
              <w:rPr>
                <w:rFonts w:ascii="Arial" w:hAnsi="Arial" w:cs="Arial"/>
                <w:b/>
                <w:snapToGrid w:val="0"/>
                <w:sz w:val="22"/>
                <w:szCs w:val="22"/>
                <w:lang w:val="en-GB" w:eastAsia="en-US"/>
              </w:rPr>
            </w:pPr>
            <w:r w:rsidRPr="00A22328">
              <w:rPr>
                <w:rFonts w:ascii="Arial" w:hAnsi="Arial" w:cs="Arial"/>
                <w:b/>
                <w:snapToGrid w:val="0"/>
                <w:sz w:val="22"/>
                <w:szCs w:val="22"/>
                <w:lang w:val="en-GB" w:eastAsia="en-US"/>
              </w:rPr>
              <w:t>Closed since 7.GA</w:t>
            </w:r>
            <w:r w:rsidR="00726ADA">
              <w:rPr>
                <w:rFonts w:ascii="Arial" w:hAnsi="Arial" w:cs="Arial"/>
                <w:b/>
                <w:snapToGrid w:val="0"/>
                <w:sz w:val="22"/>
                <w:szCs w:val="22"/>
                <w:lang w:val="en-GB" w:eastAsia="en-US"/>
              </w:rPr>
              <w:t xml:space="preserve"> </w:t>
            </w:r>
            <w:r w:rsidR="00726ADA" w:rsidRPr="00A22328">
              <w:rPr>
                <w:rFonts w:ascii="Arial" w:hAnsi="Arial" w:cs="Arial"/>
                <w:sz w:val="20"/>
                <w:szCs w:val="20"/>
                <w:lang w:val="en-GB"/>
              </w:rPr>
              <w:t xml:space="preserve">(See document </w:t>
            </w:r>
            <w:hyperlink r:id="rId36" w:history="1">
              <w:r w:rsidR="00726ADA" w:rsidRPr="002B4145">
                <w:rPr>
                  <w:rStyle w:val="Hyperlink"/>
                  <w:rFonts w:ascii="Arial" w:hAnsi="Arial" w:cs="Arial"/>
                  <w:sz w:val="20"/>
                  <w:szCs w:val="20"/>
                  <w:lang w:val="en-GB"/>
                </w:rPr>
                <w:t>ITH/18/7.GA/12</w:t>
              </w:r>
            </w:hyperlink>
            <w:r w:rsidR="00726ADA">
              <w:rPr>
                <w:rFonts w:ascii="Arial" w:hAnsi="Arial" w:cs="Arial"/>
                <w:sz w:val="20"/>
                <w:szCs w:val="20"/>
                <w:lang w:val="en-GB"/>
              </w:rPr>
              <w:t>)</w:t>
            </w:r>
          </w:p>
          <w:p w14:paraId="647E731C" w14:textId="2EC5890F" w:rsidR="009B7C08" w:rsidRPr="00726ADA" w:rsidRDefault="009B7C08" w:rsidP="00362E48">
            <w:pPr>
              <w:spacing w:after="120"/>
              <w:jc w:val="both"/>
              <w:rPr>
                <w:snapToGrid w:val="0"/>
                <w:lang w:val="en-GB" w:eastAsia="en-US"/>
              </w:rPr>
            </w:pPr>
          </w:p>
        </w:tc>
      </w:tr>
      <w:tr w:rsidR="009B7C08" w:rsidRPr="00E874B6" w14:paraId="1DEB45F9" w14:textId="77777777" w:rsidTr="001A1AFE">
        <w:trPr>
          <w:jc w:val="center"/>
        </w:trPr>
        <w:tc>
          <w:tcPr>
            <w:tcW w:w="5946" w:type="dxa"/>
          </w:tcPr>
          <w:p w14:paraId="0C20F31F" w14:textId="60FC9931" w:rsidR="009B7C08" w:rsidRPr="00874122" w:rsidRDefault="0020010E" w:rsidP="00A741D3">
            <w:pPr>
              <w:pStyle w:val="ListParagraph"/>
              <w:numPr>
                <w:ilvl w:val="0"/>
                <w:numId w:val="8"/>
              </w:numPr>
              <w:spacing w:after="120"/>
              <w:ind w:left="567" w:hanging="567"/>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t>There is a need to reduce and manage politicization of nominations and decisions.</w:t>
            </w:r>
          </w:p>
          <w:p w14:paraId="671B9D56" w14:textId="5B87F93B" w:rsidR="009B7C08" w:rsidRPr="00874122" w:rsidRDefault="009B7C08" w:rsidP="002D38E3">
            <w:pPr>
              <w:spacing w:after="120"/>
              <w:jc w:val="both"/>
              <w:rPr>
                <w:rFonts w:ascii="Arial" w:hAnsi="Arial" w:cs="Arial"/>
                <w:snapToGrid w:val="0"/>
                <w:sz w:val="22"/>
                <w:szCs w:val="22"/>
                <w:lang w:val="en-US" w:eastAsia="en-US"/>
              </w:rPr>
            </w:pPr>
            <w:r w:rsidRPr="00942976">
              <w:rPr>
                <w:rFonts w:ascii="Arial" w:hAnsi="Arial" w:cs="Arial"/>
                <w:b/>
                <w:bCs/>
                <w:sz w:val="22"/>
                <w:szCs w:val="22"/>
                <w:lang w:val="en-US"/>
              </w:rPr>
              <w:t>Action required by States Parties</w:t>
            </w:r>
          </w:p>
        </w:tc>
        <w:tc>
          <w:tcPr>
            <w:tcW w:w="8330" w:type="dxa"/>
          </w:tcPr>
          <w:p w14:paraId="296FEB79" w14:textId="65E9512F" w:rsidR="009B7C08" w:rsidRPr="00D13D5A" w:rsidRDefault="000271E7" w:rsidP="00A741D3">
            <w:pPr>
              <w:pStyle w:val="ListParagraph"/>
              <w:numPr>
                <w:ilvl w:val="0"/>
                <w:numId w:val="7"/>
              </w:numPr>
              <w:spacing w:after="120"/>
              <w:ind w:left="351" w:hanging="284"/>
              <w:contextualSpacing w:val="0"/>
              <w:jc w:val="both"/>
              <w:rPr>
                <w:rFonts w:ascii="Arial" w:hAnsi="Arial" w:cs="Arial"/>
                <w:snapToGrid w:val="0"/>
                <w:sz w:val="22"/>
                <w:szCs w:val="22"/>
                <w:lang w:val="en-US" w:eastAsia="en-US"/>
              </w:rPr>
            </w:pPr>
            <w:r w:rsidRPr="00D13D5A">
              <w:rPr>
                <w:rFonts w:ascii="Arial" w:hAnsi="Arial" w:cs="Arial"/>
                <w:snapToGrid w:val="0"/>
                <w:sz w:val="22"/>
                <w:szCs w:val="22"/>
                <w:lang w:val="en-US" w:eastAsia="en-US"/>
              </w:rPr>
              <w:t>R</w:t>
            </w:r>
            <w:r w:rsidR="009B7C08" w:rsidRPr="00D13D5A">
              <w:rPr>
                <w:rFonts w:ascii="Arial" w:hAnsi="Arial" w:cs="Arial"/>
                <w:snapToGrid w:val="0"/>
                <w:sz w:val="22"/>
                <w:szCs w:val="22"/>
                <w:lang w:val="en-US" w:eastAsia="en-US"/>
              </w:rPr>
              <w:t>esponsibility for the implementation of this recommendation lies primarily with States Parties.</w:t>
            </w:r>
          </w:p>
          <w:p w14:paraId="45A944C4" w14:textId="1D9D374B" w:rsidR="009B7C08" w:rsidRPr="00D13D5A" w:rsidRDefault="009B7C08" w:rsidP="00A741D3">
            <w:pPr>
              <w:pStyle w:val="ListParagraph"/>
              <w:numPr>
                <w:ilvl w:val="0"/>
                <w:numId w:val="7"/>
              </w:numPr>
              <w:spacing w:after="120"/>
              <w:ind w:left="351" w:hanging="284"/>
              <w:contextualSpacing w:val="0"/>
              <w:jc w:val="both"/>
              <w:rPr>
                <w:rFonts w:ascii="Arial" w:hAnsi="Arial" w:cs="Arial"/>
                <w:sz w:val="22"/>
                <w:szCs w:val="22"/>
                <w:lang w:val="en-US"/>
              </w:rPr>
            </w:pPr>
            <w:r w:rsidRPr="00D13D5A">
              <w:rPr>
                <w:rFonts w:ascii="Arial" w:hAnsi="Arial" w:cs="Arial"/>
                <w:snapToGrid w:val="0"/>
                <w:sz w:val="22"/>
                <w:szCs w:val="22"/>
                <w:lang w:val="en-US" w:eastAsia="en-US"/>
              </w:rPr>
              <w:t xml:space="preserve">At the same time, it is worth noting that at its eleventh session the Committee established an informal ad hoc working group to address politicization. In particular, the group </w:t>
            </w:r>
            <w:proofErr w:type="gramStart"/>
            <w:r w:rsidRPr="00D13D5A">
              <w:rPr>
                <w:rFonts w:ascii="Arial" w:hAnsi="Arial" w:cs="Arial"/>
                <w:snapToGrid w:val="0"/>
                <w:sz w:val="22"/>
                <w:szCs w:val="22"/>
                <w:lang w:val="en-US" w:eastAsia="en-US"/>
              </w:rPr>
              <w:t>was formed</w:t>
            </w:r>
            <w:proofErr w:type="gramEnd"/>
            <w:r w:rsidRPr="00D13D5A">
              <w:rPr>
                <w:rFonts w:ascii="Arial" w:hAnsi="Arial" w:cs="Arial"/>
                <w:snapToGrid w:val="0"/>
                <w:sz w:val="22"/>
                <w:szCs w:val="22"/>
                <w:lang w:val="en-US" w:eastAsia="en-US"/>
              </w:rPr>
              <w:t xml:space="preserve"> to examine issues related to the consultation and dialogue process between the Evaluation Body and submitting States, the decision-making process of the Committee on nominations, proposals and requests, as well as any other issue to strengthen the implementation of the Convention. At i</w:t>
            </w:r>
            <w:r w:rsidR="006618BE" w:rsidRPr="00D13D5A">
              <w:rPr>
                <w:rFonts w:ascii="Arial" w:hAnsi="Arial" w:cs="Arial"/>
                <w:snapToGrid w:val="0"/>
                <w:sz w:val="22"/>
                <w:szCs w:val="22"/>
                <w:lang w:val="en-US" w:eastAsia="en-US"/>
              </w:rPr>
              <w:t>t</w:t>
            </w:r>
            <w:r w:rsidRPr="00D13D5A">
              <w:rPr>
                <w:rFonts w:ascii="Arial" w:hAnsi="Arial" w:cs="Arial"/>
                <w:snapToGrid w:val="0"/>
                <w:sz w:val="22"/>
                <w:szCs w:val="22"/>
                <w:lang w:val="en-US" w:eastAsia="en-US"/>
              </w:rPr>
              <w:t xml:space="preserve">s twelfth session, the Committee examined the report of the group and decided to submit it to the </w:t>
            </w:r>
            <w:r w:rsidR="00514D10" w:rsidRPr="00D13D5A">
              <w:rPr>
                <w:rFonts w:ascii="Arial" w:hAnsi="Arial" w:cs="Arial"/>
                <w:snapToGrid w:val="0"/>
                <w:sz w:val="22"/>
                <w:szCs w:val="22"/>
                <w:lang w:val="en-US" w:eastAsia="en-US"/>
              </w:rPr>
              <w:t xml:space="preserve">seventh </w:t>
            </w:r>
            <w:r w:rsidRPr="00D13D5A">
              <w:rPr>
                <w:rFonts w:ascii="Arial" w:hAnsi="Arial" w:cs="Arial"/>
                <w:snapToGrid w:val="0"/>
                <w:sz w:val="22"/>
                <w:szCs w:val="22"/>
                <w:lang w:val="en-US" w:eastAsia="en-US"/>
              </w:rPr>
              <w:t xml:space="preserve">session of the General Assembly (document </w:t>
            </w:r>
            <w:hyperlink r:id="rId37" w:history="1">
              <w:r w:rsidRPr="002D38E3">
                <w:rPr>
                  <w:rStyle w:val="Hyperlink"/>
                  <w:rFonts w:ascii="Arial" w:hAnsi="Arial" w:cs="Arial"/>
                  <w:snapToGrid w:val="0"/>
                  <w:sz w:val="22"/>
                  <w:szCs w:val="22"/>
                  <w:lang w:val="en-GB" w:eastAsia="en-US"/>
                </w:rPr>
                <w:t>ITH/18/7.GA/6</w:t>
              </w:r>
            </w:hyperlink>
            <w:r w:rsidRPr="00D13D5A">
              <w:rPr>
                <w:rFonts w:ascii="Arial" w:hAnsi="Arial" w:cs="Arial"/>
                <w:snapToGrid w:val="0"/>
                <w:sz w:val="22"/>
                <w:szCs w:val="22"/>
                <w:lang w:val="en-US" w:eastAsia="en-US"/>
              </w:rPr>
              <w:t>).</w:t>
            </w:r>
          </w:p>
          <w:p w14:paraId="09BFFBCF" w14:textId="35434FA2" w:rsidR="009B7C08" w:rsidRPr="00D13D5A" w:rsidRDefault="009B7C08" w:rsidP="00A741D3">
            <w:pPr>
              <w:pStyle w:val="GAPara"/>
              <w:numPr>
                <w:ilvl w:val="0"/>
                <w:numId w:val="7"/>
              </w:numPr>
              <w:ind w:left="351" w:hanging="284"/>
              <w:jc w:val="both"/>
            </w:pPr>
            <w:r w:rsidRPr="00D13D5A">
              <w:rPr>
                <w:lang w:val="en-US"/>
              </w:rPr>
              <w:t xml:space="preserve">Furthermore, by its </w:t>
            </w:r>
            <w:hyperlink r:id="rId38" w:history="1">
              <w:r w:rsidRPr="002D38E3">
                <w:rPr>
                  <w:rStyle w:val="Hyperlink"/>
                </w:rPr>
                <w:t>Decision 12.COM 13</w:t>
              </w:r>
            </w:hyperlink>
            <w:r w:rsidRPr="00D13D5A">
              <w:rPr>
                <w:lang w:val="en-US"/>
              </w:rPr>
              <w:t xml:space="preserve">, the Committee decided to continue the informal ad hoc working group in 2018, which </w:t>
            </w:r>
            <w:proofErr w:type="gramStart"/>
            <w:r w:rsidRPr="00D13D5A">
              <w:rPr>
                <w:lang w:val="en-US"/>
              </w:rPr>
              <w:t>was extended</w:t>
            </w:r>
            <w:proofErr w:type="gramEnd"/>
            <w:r w:rsidRPr="00D13D5A">
              <w:rPr>
                <w:lang w:val="en-US"/>
              </w:rPr>
              <w:t xml:space="preserve"> to become open-ended, and </w:t>
            </w:r>
            <w:r w:rsidR="000271E7" w:rsidRPr="00D13D5A">
              <w:rPr>
                <w:lang w:val="en-US"/>
              </w:rPr>
              <w:t>to</w:t>
            </w:r>
            <w:r w:rsidRPr="00D13D5A">
              <w:rPr>
                <w:lang w:val="en-US"/>
              </w:rPr>
              <w:t xml:space="preserve"> expand its mandate.</w:t>
            </w:r>
          </w:p>
          <w:p w14:paraId="252BD731" w14:textId="26418209" w:rsidR="00310F56" w:rsidRPr="00362E48" w:rsidRDefault="00A83002" w:rsidP="000157EF">
            <w:pPr>
              <w:pStyle w:val="GAPara"/>
              <w:numPr>
                <w:ilvl w:val="0"/>
                <w:numId w:val="7"/>
              </w:numPr>
              <w:ind w:left="320"/>
              <w:jc w:val="both"/>
              <w:rPr>
                <w:b/>
                <w:u w:val="single"/>
              </w:rPr>
            </w:pPr>
            <w:r w:rsidRPr="00362E48">
              <w:rPr>
                <w:b/>
                <w:u w:val="single"/>
                <w:lang w:val="en-US"/>
              </w:rPr>
              <w:t>Update:</w:t>
            </w:r>
            <w:r w:rsidRPr="00362E48">
              <w:rPr>
                <w:u w:val="single"/>
                <w:lang w:val="en-US"/>
              </w:rPr>
              <w:t xml:space="preserve"> </w:t>
            </w:r>
            <w:r w:rsidR="00310F56" w:rsidRPr="00362E48">
              <w:rPr>
                <w:u w:val="single"/>
                <w:lang w:val="en-US"/>
              </w:rPr>
              <w:t>The report of the open-</w:t>
            </w:r>
            <w:r w:rsidR="00D13D5A" w:rsidRPr="00362E48">
              <w:rPr>
                <w:u w:val="single"/>
                <w:lang w:val="en-US"/>
              </w:rPr>
              <w:t xml:space="preserve">ended informal working group </w:t>
            </w:r>
            <w:proofErr w:type="gramStart"/>
            <w:r w:rsidR="00D13D5A" w:rsidRPr="00362E48">
              <w:rPr>
                <w:u w:val="single"/>
                <w:lang w:val="en-US"/>
              </w:rPr>
              <w:t>was</w:t>
            </w:r>
            <w:r w:rsidR="00310F56" w:rsidRPr="00362E48">
              <w:rPr>
                <w:u w:val="single"/>
                <w:lang w:val="en-US"/>
              </w:rPr>
              <w:t xml:space="preserve"> presented</w:t>
            </w:r>
            <w:proofErr w:type="gramEnd"/>
            <w:r w:rsidR="00310F56" w:rsidRPr="00362E48">
              <w:rPr>
                <w:u w:val="single"/>
                <w:lang w:val="en-US"/>
              </w:rPr>
              <w:t xml:space="preserve"> </w:t>
            </w:r>
            <w:r w:rsidR="00D13D5A" w:rsidRPr="00362E48">
              <w:rPr>
                <w:u w:val="single"/>
                <w:lang w:val="en-US"/>
              </w:rPr>
              <w:t>to</w:t>
            </w:r>
            <w:r w:rsidR="00310F56" w:rsidRPr="00362E48">
              <w:rPr>
                <w:u w:val="single"/>
                <w:lang w:val="en-US"/>
              </w:rPr>
              <w:t xml:space="preserve"> the </w:t>
            </w:r>
            <w:r w:rsidR="00D13D5A" w:rsidRPr="00362E48">
              <w:rPr>
                <w:u w:val="single"/>
                <w:lang w:val="en-US"/>
              </w:rPr>
              <w:t>thirteenth</w:t>
            </w:r>
            <w:r w:rsidR="00310F56" w:rsidRPr="00362E48">
              <w:rPr>
                <w:u w:val="single"/>
                <w:lang w:val="en-US"/>
              </w:rPr>
              <w:t xml:space="preserve"> session of the Committee</w:t>
            </w:r>
            <w:r w:rsidR="00026F5D" w:rsidRPr="00362E48">
              <w:rPr>
                <w:u w:val="single"/>
                <w:lang w:val="en-US"/>
              </w:rPr>
              <w:t>;</w:t>
            </w:r>
            <w:r w:rsidR="00310F56" w:rsidRPr="00362E48">
              <w:rPr>
                <w:u w:val="single"/>
                <w:lang w:val="en-US"/>
              </w:rPr>
              <w:t xml:space="preserve"> </w:t>
            </w:r>
            <w:r w:rsidR="00D13D5A" w:rsidRPr="00362E48">
              <w:rPr>
                <w:u w:val="single"/>
                <w:lang w:val="en-US"/>
              </w:rPr>
              <w:t>the recommendations of the informal ad hoc working group</w:t>
            </w:r>
            <w:r w:rsidR="00AA7821">
              <w:rPr>
                <w:u w:val="single"/>
                <w:lang w:val="en-US"/>
              </w:rPr>
              <w:t>,</w:t>
            </w:r>
            <w:r w:rsidR="00D13D5A" w:rsidRPr="00362E48">
              <w:rPr>
                <w:u w:val="single"/>
                <w:lang w:val="en-US"/>
              </w:rPr>
              <w:t xml:space="preserve"> as contained in the annex of document </w:t>
            </w:r>
            <w:hyperlink r:id="rId39" w:history="1">
              <w:r w:rsidR="00D13D5A" w:rsidRPr="00362E48">
                <w:rPr>
                  <w:rStyle w:val="Hyperlink"/>
                  <w:lang w:val="en-US"/>
                </w:rPr>
                <w:t>ITH/18/13.COM/16</w:t>
              </w:r>
            </w:hyperlink>
            <w:r w:rsidR="00AA7821" w:rsidRPr="00362E48">
              <w:rPr>
                <w:rStyle w:val="Hyperlink"/>
                <w:color w:val="auto"/>
                <w:lang w:val="en-US"/>
              </w:rPr>
              <w:t>,</w:t>
            </w:r>
            <w:r w:rsidR="00D13D5A" w:rsidRPr="00362E48">
              <w:rPr>
                <w:u w:val="single"/>
                <w:lang w:val="en-US"/>
              </w:rPr>
              <w:t xml:space="preserve"> were </w:t>
            </w:r>
            <w:r w:rsidR="00026F5D" w:rsidRPr="00362E48">
              <w:rPr>
                <w:u w:val="single"/>
                <w:lang w:val="en-US"/>
              </w:rPr>
              <w:t xml:space="preserve">also </w:t>
            </w:r>
            <w:r w:rsidR="00D13D5A" w:rsidRPr="00362E48">
              <w:rPr>
                <w:u w:val="single"/>
                <w:lang w:val="en-US"/>
              </w:rPr>
              <w:t>endorsed.</w:t>
            </w:r>
            <w:r w:rsidR="00B734F2" w:rsidRPr="00362E48">
              <w:rPr>
                <w:u w:val="single"/>
                <w:lang w:val="en-US"/>
              </w:rPr>
              <w:t xml:space="preserve"> The report on the work achieved by the group during 2019 </w:t>
            </w:r>
            <w:proofErr w:type="gramStart"/>
            <w:r w:rsidR="00B734F2" w:rsidRPr="00362E48">
              <w:rPr>
                <w:u w:val="single"/>
                <w:lang w:val="en-US"/>
              </w:rPr>
              <w:t xml:space="preserve">is </w:t>
            </w:r>
            <w:r w:rsidR="00B734F2" w:rsidRPr="00E90A3E">
              <w:rPr>
                <w:u w:val="single"/>
                <w:lang w:val="en-US"/>
              </w:rPr>
              <w:t>presented</w:t>
            </w:r>
            <w:proofErr w:type="gramEnd"/>
            <w:r w:rsidR="00B734F2" w:rsidRPr="00E90A3E">
              <w:rPr>
                <w:u w:val="single"/>
                <w:lang w:val="en-US"/>
              </w:rPr>
              <w:t xml:space="preserve"> at the current session of the Committee (annex of document </w:t>
            </w:r>
            <w:hyperlink r:id="rId40" w:history="1">
              <w:r w:rsidR="00CC4DEC" w:rsidRPr="00E90A3E">
                <w:rPr>
                  <w:rStyle w:val="Hyperlink"/>
                  <w:lang w:val="en-US"/>
                </w:rPr>
                <w:t>LHE</w:t>
              </w:r>
              <w:r w:rsidR="00B734F2" w:rsidRPr="00E90A3E">
                <w:rPr>
                  <w:rStyle w:val="Hyperlink"/>
                  <w:lang w:val="en-US"/>
                </w:rPr>
                <w:t>/19/14.COM/1</w:t>
              </w:r>
              <w:r w:rsidR="00CC4DEC" w:rsidRPr="00E90A3E">
                <w:rPr>
                  <w:rStyle w:val="Hyperlink"/>
                  <w:lang w:val="en-US"/>
                </w:rPr>
                <w:t>6</w:t>
              </w:r>
            </w:hyperlink>
            <w:r w:rsidR="00B734F2" w:rsidRPr="00E90A3E">
              <w:rPr>
                <w:u w:val="single"/>
                <w:lang w:val="en-US"/>
              </w:rPr>
              <w:t>)</w:t>
            </w:r>
            <w:r w:rsidR="00404102" w:rsidRPr="00E90A3E">
              <w:rPr>
                <w:u w:val="single"/>
                <w:lang w:val="en-US"/>
              </w:rPr>
              <w:t>.</w:t>
            </w:r>
            <w:r w:rsidR="00B734F2" w:rsidRPr="00362E48">
              <w:rPr>
                <w:u w:val="single"/>
                <w:lang w:val="en-US"/>
              </w:rPr>
              <w:t xml:space="preserve"> </w:t>
            </w:r>
            <w:r w:rsidR="003E7952" w:rsidRPr="00362E48">
              <w:rPr>
                <w:u w:val="single"/>
                <w:lang w:val="en-US"/>
              </w:rPr>
              <w:t xml:space="preserve">Furthermore, </w:t>
            </w:r>
            <w:r w:rsidR="003E7952" w:rsidRPr="00362E48">
              <w:rPr>
                <w:u w:val="single"/>
              </w:rPr>
              <w:t xml:space="preserve">in accordance with </w:t>
            </w:r>
            <w:hyperlink r:id="rId41" w:history="1">
              <w:r w:rsidR="003E7952" w:rsidRPr="00C7656F">
                <w:rPr>
                  <w:rStyle w:val="Hyperlink"/>
                </w:rPr>
                <w:t>Decision 13.COM 10</w:t>
              </w:r>
            </w:hyperlink>
            <w:r w:rsidR="00451930">
              <w:rPr>
                <w:u w:val="single"/>
              </w:rPr>
              <w:t>,</w:t>
            </w:r>
            <w:r w:rsidR="003E7952" w:rsidRPr="00362E48">
              <w:rPr>
                <w:u w:val="single"/>
              </w:rPr>
              <w:t xml:space="preserve"> the provisional upstream dialogue </w:t>
            </w:r>
            <w:r w:rsidR="001A3D5D">
              <w:rPr>
                <w:u w:val="single"/>
              </w:rPr>
              <w:t>mechanism</w:t>
            </w:r>
            <w:r w:rsidR="001A3D5D" w:rsidRPr="00362E48">
              <w:rPr>
                <w:u w:val="single"/>
              </w:rPr>
              <w:t xml:space="preserve"> </w:t>
            </w:r>
            <w:proofErr w:type="gramStart"/>
            <w:r w:rsidR="003E7952" w:rsidRPr="00362E48">
              <w:rPr>
                <w:u w:val="single"/>
              </w:rPr>
              <w:t>was introduced</w:t>
            </w:r>
            <w:proofErr w:type="gramEnd"/>
            <w:r w:rsidR="003E7952" w:rsidRPr="00362E48">
              <w:rPr>
                <w:u w:val="single"/>
              </w:rPr>
              <w:t xml:space="preserve"> in the 2019 cycle.</w:t>
            </w:r>
          </w:p>
        </w:tc>
      </w:tr>
      <w:tr w:rsidR="009B7C08" w:rsidRPr="00884518" w14:paraId="6C65164F" w14:textId="77777777" w:rsidTr="001A1AFE">
        <w:trPr>
          <w:jc w:val="center"/>
        </w:trPr>
        <w:tc>
          <w:tcPr>
            <w:tcW w:w="5946" w:type="dxa"/>
          </w:tcPr>
          <w:p w14:paraId="65E82CC2" w14:textId="76696A6C" w:rsidR="009B7C08" w:rsidRPr="00874122" w:rsidRDefault="000275B4" w:rsidP="00A741D3">
            <w:pPr>
              <w:pStyle w:val="ListParagraph"/>
              <w:numPr>
                <w:ilvl w:val="0"/>
                <w:numId w:val="8"/>
              </w:numPr>
              <w:spacing w:after="120"/>
              <w:ind w:left="567" w:hanging="567"/>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lastRenderedPageBreak/>
              <w:t xml:space="preserve">To enhance visibility and the effectiveness of the work of the IIBs, more effective information-dissemination </w:t>
            </w:r>
            <w:proofErr w:type="gramStart"/>
            <w:r w:rsidRPr="001A1AFE">
              <w:rPr>
                <w:rFonts w:ascii="Arial" w:hAnsi="Arial" w:cs="Arial"/>
                <w:snapToGrid w:val="0"/>
                <w:sz w:val="22"/>
                <w:szCs w:val="22"/>
                <w:lang w:val="en-US" w:eastAsia="en-US"/>
              </w:rPr>
              <w:t>is recommended</w:t>
            </w:r>
            <w:proofErr w:type="gramEnd"/>
            <w:r w:rsidRPr="001A1AFE">
              <w:rPr>
                <w:rFonts w:ascii="Arial" w:hAnsi="Arial" w:cs="Arial"/>
                <w:snapToGrid w:val="0"/>
                <w:sz w:val="22"/>
                <w:szCs w:val="22"/>
                <w:lang w:val="en-US" w:eastAsia="en-US"/>
              </w:rPr>
              <w:t xml:space="preserve"> through updating and enhancement of websites and outreach to all involved actors, including Member States and their National Commissions.</w:t>
            </w:r>
          </w:p>
          <w:p w14:paraId="1709FD60" w14:textId="77777777" w:rsidR="009B7C08" w:rsidRPr="00874122" w:rsidRDefault="009B7C08" w:rsidP="00B04CDE">
            <w:pPr>
              <w:spacing w:after="120"/>
              <w:jc w:val="both"/>
              <w:rPr>
                <w:rFonts w:ascii="Arial" w:hAnsi="Arial" w:cs="Arial"/>
                <w:snapToGrid w:val="0"/>
                <w:sz w:val="22"/>
                <w:szCs w:val="22"/>
                <w:lang w:val="en-US" w:eastAsia="en-US"/>
              </w:rPr>
            </w:pPr>
            <w:r w:rsidRPr="0049025A">
              <w:rPr>
                <w:rFonts w:ascii="Arial" w:hAnsi="Arial" w:cs="Arial"/>
                <w:b/>
                <w:bCs/>
                <w:snapToGrid w:val="0"/>
                <w:sz w:val="22"/>
                <w:szCs w:val="22"/>
                <w:lang w:val="en-GB" w:eastAsia="en-US"/>
              </w:rPr>
              <w:t>Closed</w:t>
            </w:r>
            <w:r w:rsidRPr="0049025A">
              <w:rPr>
                <w:rFonts w:ascii="Arial" w:hAnsi="Arial" w:cs="Arial"/>
                <w:b/>
                <w:bCs/>
                <w:lang w:val="en-GB"/>
              </w:rPr>
              <w:br/>
            </w:r>
            <w:r w:rsidRPr="0050450D">
              <w:rPr>
                <w:rFonts w:ascii="Arial" w:hAnsi="Arial" w:cs="Arial"/>
                <w:b/>
                <w:bCs/>
                <w:snapToGrid w:val="0"/>
                <w:sz w:val="22"/>
                <w:szCs w:val="22"/>
                <w:lang w:val="en-GB" w:eastAsia="en-US"/>
              </w:rPr>
              <w:t>(Good practice</w:t>
            </w:r>
            <w:r w:rsidRPr="0049025A">
              <w:rPr>
                <w:rFonts w:ascii="Arial" w:hAnsi="Arial" w:cs="Arial"/>
                <w:b/>
                <w:bCs/>
                <w:snapToGrid w:val="0"/>
                <w:sz w:val="22"/>
                <w:szCs w:val="22"/>
                <w:lang w:val="en-GB" w:eastAsia="en-US"/>
              </w:rPr>
              <w:t>)</w:t>
            </w:r>
          </w:p>
        </w:tc>
        <w:tc>
          <w:tcPr>
            <w:tcW w:w="8330" w:type="dxa"/>
          </w:tcPr>
          <w:p w14:paraId="62940293" w14:textId="63E8CBDF" w:rsidR="00726ADA" w:rsidRPr="00A22328" w:rsidRDefault="003E7952" w:rsidP="00726ADA">
            <w:pPr>
              <w:pStyle w:val="ListParagraph"/>
              <w:numPr>
                <w:ilvl w:val="0"/>
                <w:numId w:val="7"/>
              </w:numPr>
              <w:spacing w:after="120"/>
              <w:ind w:left="357" w:hanging="357"/>
              <w:contextualSpacing w:val="0"/>
              <w:jc w:val="both"/>
              <w:rPr>
                <w:rFonts w:ascii="Arial" w:hAnsi="Arial" w:cs="Arial"/>
                <w:b/>
                <w:snapToGrid w:val="0"/>
                <w:sz w:val="22"/>
                <w:szCs w:val="22"/>
                <w:lang w:val="en-GB" w:eastAsia="en-US"/>
              </w:rPr>
            </w:pPr>
            <w:r w:rsidRPr="00A22328">
              <w:rPr>
                <w:rFonts w:ascii="Arial" w:hAnsi="Arial" w:cs="Arial"/>
                <w:b/>
                <w:snapToGrid w:val="0"/>
                <w:sz w:val="22"/>
                <w:szCs w:val="22"/>
                <w:lang w:val="en-GB" w:eastAsia="en-US"/>
              </w:rPr>
              <w:t>Closed since 7.GA</w:t>
            </w:r>
            <w:r w:rsidR="00726ADA">
              <w:rPr>
                <w:rFonts w:ascii="Arial" w:hAnsi="Arial" w:cs="Arial"/>
                <w:b/>
                <w:snapToGrid w:val="0"/>
                <w:sz w:val="22"/>
                <w:szCs w:val="22"/>
                <w:lang w:val="en-GB" w:eastAsia="en-US"/>
              </w:rPr>
              <w:t xml:space="preserve"> </w:t>
            </w:r>
            <w:r w:rsidR="00726ADA" w:rsidRPr="00A22328">
              <w:rPr>
                <w:rFonts w:ascii="Arial" w:hAnsi="Arial" w:cs="Arial"/>
                <w:sz w:val="20"/>
                <w:szCs w:val="20"/>
                <w:lang w:val="en-GB"/>
              </w:rPr>
              <w:t xml:space="preserve">(See document </w:t>
            </w:r>
            <w:hyperlink r:id="rId42" w:history="1">
              <w:r w:rsidR="00726ADA" w:rsidRPr="002B4145">
                <w:rPr>
                  <w:rStyle w:val="Hyperlink"/>
                  <w:rFonts w:ascii="Arial" w:hAnsi="Arial" w:cs="Arial"/>
                  <w:sz w:val="20"/>
                  <w:szCs w:val="20"/>
                  <w:lang w:val="en-GB"/>
                </w:rPr>
                <w:t>ITH/18/7.GA/12</w:t>
              </w:r>
            </w:hyperlink>
            <w:r w:rsidR="00726ADA">
              <w:rPr>
                <w:rFonts w:ascii="Arial" w:hAnsi="Arial" w:cs="Arial"/>
                <w:sz w:val="20"/>
                <w:szCs w:val="20"/>
                <w:lang w:val="en-GB"/>
              </w:rPr>
              <w:t>)</w:t>
            </w:r>
          </w:p>
          <w:p w14:paraId="31D8FCC0" w14:textId="30192F42" w:rsidR="009B7C08" w:rsidRPr="0049025A" w:rsidRDefault="009B7C08" w:rsidP="00362E48">
            <w:pPr>
              <w:pStyle w:val="ListParagraph"/>
              <w:spacing w:after="120"/>
              <w:ind w:left="357"/>
              <w:contextualSpacing w:val="0"/>
              <w:jc w:val="both"/>
              <w:rPr>
                <w:rFonts w:ascii="Arial" w:hAnsi="Arial" w:cs="Arial"/>
                <w:snapToGrid w:val="0"/>
                <w:sz w:val="22"/>
                <w:szCs w:val="22"/>
                <w:lang w:val="en-GB" w:eastAsia="en-US"/>
              </w:rPr>
            </w:pPr>
          </w:p>
        </w:tc>
      </w:tr>
      <w:tr w:rsidR="009B7C08" w:rsidRPr="00884518" w14:paraId="741ACD10" w14:textId="77777777" w:rsidTr="001A1AFE">
        <w:trPr>
          <w:jc w:val="center"/>
        </w:trPr>
        <w:tc>
          <w:tcPr>
            <w:tcW w:w="5946" w:type="dxa"/>
          </w:tcPr>
          <w:p w14:paraId="7D15B641" w14:textId="28C10994" w:rsidR="009B7C08" w:rsidRPr="0000757E" w:rsidRDefault="000275B4" w:rsidP="00A741D3">
            <w:pPr>
              <w:pStyle w:val="ListParagraph"/>
              <w:numPr>
                <w:ilvl w:val="0"/>
                <w:numId w:val="8"/>
              </w:numPr>
              <w:spacing w:after="120"/>
              <w:ind w:left="567" w:hanging="567"/>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t xml:space="preserve">Earlier preparation and dissemination of draft agendas and preliminary timetables, mainly by using the same template containing hyper-links to documents to </w:t>
            </w:r>
            <w:proofErr w:type="gramStart"/>
            <w:r w:rsidRPr="001A1AFE">
              <w:rPr>
                <w:rFonts w:ascii="Arial" w:hAnsi="Arial" w:cs="Arial"/>
                <w:snapToGrid w:val="0"/>
                <w:sz w:val="22"/>
                <w:szCs w:val="22"/>
                <w:lang w:val="en-US" w:eastAsia="en-US"/>
              </w:rPr>
              <w:t>be adopted/discussed</w:t>
            </w:r>
            <w:proofErr w:type="gramEnd"/>
            <w:r w:rsidRPr="001A1AFE">
              <w:rPr>
                <w:rFonts w:ascii="Arial" w:hAnsi="Arial" w:cs="Arial"/>
                <w:snapToGrid w:val="0"/>
                <w:sz w:val="22"/>
                <w:szCs w:val="22"/>
                <w:lang w:val="en-US" w:eastAsia="en-US"/>
              </w:rPr>
              <w:t xml:space="preserve"> in sessions.</w:t>
            </w:r>
          </w:p>
          <w:p w14:paraId="44FDC8A2" w14:textId="77777777" w:rsidR="009B7C08" w:rsidRPr="0000757E" w:rsidRDefault="009B7C08" w:rsidP="00B04CDE">
            <w:pPr>
              <w:pStyle w:val="ListParagraph"/>
              <w:spacing w:after="120"/>
              <w:ind w:left="0"/>
              <w:contextualSpacing w:val="0"/>
              <w:rPr>
                <w:rFonts w:ascii="Arial" w:hAnsi="Arial" w:cs="Arial"/>
                <w:snapToGrid w:val="0"/>
                <w:sz w:val="22"/>
                <w:szCs w:val="22"/>
                <w:lang w:val="en-US" w:eastAsia="en-US"/>
              </w:rPr>
            </w:pPr>
            <w:r w:rsidRPr="0049025A">
              <w:rPr>
                <w:rFonts w:ascii="Arial" w:hAnsi="Arial" w:cs="Arial"/>
                <w:b/>
                <w:bCs/>
                <w:snapToGrid w:val="0"/>
                <w:sz w:val="22"/>
                <w:szCs w:val="22"/>
                <w:lang w:val="en-GB" w:eastAsia="en-US"/>
              </w:rPr>
              <w:t>Closed</w:t>
            </w:r>
            <w:r w:rsidRPr="0049025A">
              <w:rPr>
                <w:rFonts w:ascii="Arial" w:hAnsi="Arial" w:cs="Arial"/>
                <w:b/>
                <w:bCs/>
                <w:lang w:val="en-GB"/>
              </w:rPr>
              <w:br/>
            </w:r>
            <w:r w:rsidRPr="0050450D">
              <w:rPr>
                <w:rFonts w:ascii="Arial" w:hAnsi="Arial" w:cs="Arial"/>
                <w:b/>
                <w:bCs/>
                <w:snapToGrid w:val="0"/>
                <w:sz w:val="22"/>
                <w:szCs w:val="22"/>
                <w:lang w:val="en-GB" w:eastAsia="en-US"/>
              </w:rPr>
              <w:t>(Good practice</w:t>
            </w:r>
            <w:r w:rsidRPr="0049025A">
              <w:rPr>
                <w:rFonts w:ascii="Arial" w:hAnsi="Arial" w:cs="Arial"/>
                <w:b/>
                <w:bCs/>
                <w:snapToGrid w:val="0"/>
                <w:sz w:val="22"/>
                <w:szCs w:val="22"/>
                <w:lang w:val="en-GB" w:eastAsia="en-US"/>
              </w:rPr>
              <w:t>)</w:t>
            </w:r>
          </w:p>
        </w:tc>
        <w:tc>
          <w:tcPr>
            <w:tcW w:w="8330" w:type="dxa"/>
          </w:tcPr>
          <w:p w14:paraId="1379A9C4" w14:textId="52A5FF17" w:rsidR="00726ADA" w:rsidRPr="00A22328" w:rsidRDefault="003E7952" w:rsidP="00726ADA">
            <w:pPr>
              <w:pStyle w:val="ListParagraph"/>
              <w:numPr>
                <w:ilvl w:val="0"/>
                <w:numId w:val="7"/>
              </w:numPr>
              <w:spacing w:after="120"/>
              <w:ind w:left="357" w:hanging="357"/>
              <w:contextualSpacing w:val="0"/>
              <w:jc w:val="both"/>
              <w:rPr>
                <w:rFonts w:ascii="Arial" w:hAnsi="Arial" w:cs="Arial"/>
                <w:b/>
                <w:snapToGrid w:val="0"/>
                <w:sz w:val="22"/>
                <w:szCs w:val="22"/>
                <w:lang w:val="en-GB" w:eastAsia="en-US"/>
              </w:rPr>
            </w:pPr>
            <w:r w:rsidRPr="00A22328">
              <w:rPr>
                <w:rFonts w:ascii="Arial" w:hAnsi="Arial" w:cs="Arial"/>
                <w:b/>
                <w:snapToGrid w:val="0"/>
                <w:sz w:val="22"/>
                <w:szCs w:val="22"/>
                <w:lang w:val="en-GB" w:eastAsia="en-US"/>
              </w:rPr>
              <w:t>Closed since 7.GA</w:t>
            </w:r>
            <w:r w:rsidR="00726ADA">
              <w:rPr>
                <w:rFonts w:ascii="Arial" w:hAnsi="Arial" w:cs="Arial"/>
                <w:b/>
                <w:snapToGrid w:val="0"/>
                <w:sz w:val="22"/>
                <w:szCs w:val="22"/>
                <w:lang w:val="en-GB" w:eastAsia="en-US"/>
              </w:rPr>
              <w:t xml:space="preserve"> </w:t>
            </w:r>
            <w:r w:rsidR="00726ADA" w:rsidRPr="00A22328">
              <w:rPr>
                <w:rFonts w:ascii="Arial" w:hAnsi="Arial" w:cs="Arial"/>
                <w:sz w:val="20"/>
                <w:szCs w:val="20"/>
                <w:lang w:val="en-GB"/>
              </w:rPr>
              <w:t xml:space="preserve">(See document </w:t>
            </w:r>
            <w:hyperlink r:id="rId43" w:history="1">
              <w:r w:rsidR="00726ADA" w:rsidRPr="002B4145">
                <w:rPr>
                  <w:rStyle w:val="Hyperlink"/>
                  <w:rFonts w:ascii="Arial" w:hAnsi="Arial" w:cs="Arial"/>
                  <w:sz w:val="20"/>
                  <w:szCs w:val="20"/>
                  <w:lang w:val="en-GB"/>
                </w:rPr>
                <w:t>ITH/18/7.GA/12</w:t>
              </w:r>
            </w:hyperlink>
            <w:r w:rsidR="00726ADA">
              <w:rPr>
                <w:rFonts w:ascii="Arial" w:hAnsi="Arial" w:cs="Arial"/>
                <w:sz w:val="20"/>
                <w:szCs w:val="20"/>
                <w:lang w:val="en-GB"/>
              </w:rPr>
              <w:t>)</w:t>
            </w:r>
          </w:p>
          <w:p w14:paraId="1E1704AB" w14:textId="68A078B3" w:rsidR="009B7C08" w:rsidRPr="0049025A" w:rsidRDefault="009B7C08" w:rsidP="00362E48">
            <w:pPr>
              <w:pStyle w:val="ListParagraph"/>
              <w:spacing w:after="120"/>
              <w:ind w:left="357"/>
              <w:contextualSpacing w:val="0"/>
              <w:jc w:val="both"/>
              <w:rPr>
                <w:rFonts w:ascii="Arial" w:hAnsi="Arial" w:cs="Arial"/>
                <w:snapToGrid w:val="0"/>
                <w:sz w:val="22"/>
                <w:szCs w:val="22"/>
                <w:lang w:val="en-GB" w:eastAsia="en-US"/>
              </w:rPr>
            </w:pPr>
          </w:p>
        </w:tc>
      </w:tr>
      <w:tr w:rsidR="009B7C08" w:rsidRPr="00884518" w14:paraId="1A43A570" w14:textId="77777777" w:rsidTr="001A1AFE">
        <w:trPr>
          <w:jc w:val="center"/>
        </w:trPr>
        <w:tc>
          <w:tcPr>
            <w:tcW w:w="5946" w:type="dxa"/>
          </w:tcPr>
          <w:p w14:paraId="4339E0D0" w14:textId="10993A8D" w:rsidR="009B7C08" w:rsidRPr="00874122" w:rsidRDefault="000275B4" w:rsidP="00A741D3">
            <w:pPr>
              <w:pStyle w:val="ListParagraph"/>
              <w:numPr>
                <w:ilvl w:val="0"/>
                <w:numId w:val="10"/>
              </w:numPr>
              <w:spacing w:after="120"/>
              <w:ind w:left="567" w:hanging="567"/>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t>Open-ended informal consultations on draft decisions to promote inclusive and effective decision-making</w:t>
            </w:r>
            <w:r w:rsidRPr="001A1AFE">
              <w:rPr>
                <w:lang w:val="en-US"/>
              </w:rPr>
              <w:t>.</w:t>
            </w:r>
          </w:p>
          <w:p w14:paraId="1E726B19" w14:textId="77777777" w:rsidR="009B7C08" w:rsidRPr="00874122" w:rsidRDefault="009B7C08" w:rsidP="00B04CDE">
            <w:pPr>
              <w:spacing w:after="120"/>
              <w:jc w:val="both"/>
              <w:rPr>
                <w:rFonts w:ascii="Arial" w:hAnsi="Arial" w:cs="Arial"/>
                <w:snapToGrid w:val="0"/>
                <w:sz w:val="22"/>
                <w:szCs w:val="22"/>
                <w:lang w:val="en-US" w:eastAsia="en-US"/>
              </w:rPr>
            </w:pPr>
            <w:r w:rsidRPr="00C40C9B">
              <w:rPr>
                <w:rFonts w:ascii="Arial" w:hAnsi="Arial" w:cs="Arial"/>
                <w:b/>
                <w:bCs/>
                <w:sz w:val="22"/>
                <w:szCs w:val="22"/>
                <w:lang w:val="en-US"/>
              </w:rPr>
              <w:t>Action required by States Parties</w:t>
            </w:r>
          </w:p>
        </w:tc>
        <w:tc>
          <w:tcPr>
            <w:tcW w:w="8330" w:type="dxa"/>
          </w:tcPr>
          <w:p w14:paraId="26836843" w14:textId="40C80D74" w:rsidR="009B7C08" w:rsidRPr="0049025A"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Pr>
                <w:rFonts w:ascii="Arial" w:hAnsi="Arial" w:cs="Arial"/>
                <w:snapToGrid w:val="0"/>
                <w:sz w:val="22"/>
                <w:szCs w:val="22"/>
                <w:lang w:val="en-GB" w:eastAsia="en-US"/>
              </w:rPr>
              <w:t xml:space="preserve">Responsibility for the </w:t>
            </w:r>
            <w:r w:rsidRPr="0049025A">
              <w:rPr>
                <w:rFonts w:ascii="Arial" w:hAnsi="Arial" w:cs="Arial"/>
                <w:snapToGrid w:val="0"/>
                <w:sz w:val="22"/>
                <w:szCs w:val="22"/>
                <w:lang w:val="en-GB" w:eastAsia="en-US"/>
              </w:rPr>
              <w:t xml:space="preserve">implementation of this recommendation lies </w:t>
            </w:r>
            <w:r w:rsidR="00BA7F29">
              <w:rPr>
                <w:rFonts w:ascii="Arial" w:hAnsi="Arial" w:cs="Arial"/>
                <w:snapToGrid w:val="0"/>
                <w:sz w:val="22"/>
                <w:szCs w:val="22"/>
                <w:lang w:val="en-GB" w:eastAsia="en-US"/>
              </w:rPr>
              <w:t>with States Parties.</w:t>
            </w:r>
          </w:p>
        </w:tc>
      </w:tr>
      <w:tr w:rsidR="009B7C08" w:rsidRPr="00E874B6" w14:paraId="338DB089" w14:textId="77777777" w:rsidTr="001A1AFE">
        <w:trPr>
          <w:jc w:val="center"/>
        </w:trPr>
        <w:tc>
          <w:tcPr>
            <w:tcW w:w="5946" w:type="dxa"/>
          </w:tcPr>
          <w:p w14:paraId="302E7E06" w14:textId="06C37651" w:rsidR="009B7C08" w:rsidRPr="001A1AFE" w:rsidRDefault="000275B4" w:rsidP="00A741D3">
            <w:pPr>
              <w:pStyle w:val="ListParagraph"/>
              <w:numPr>
                <w:ilvl w:val="0"/>
                <w:numId w:val="10"/>
              </w:numPr>
              <w:spacing w:after="120"/>
              <w:ind w:left="567" w:hanging="567"/>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t>It is recommended that the Rules of Procedure of the IIBs be amended, when relevant, to advance the deadline for submission of candidatures to their subsidiary bodies from 48 hours to seven days before elections.</w:t>
            </w:r>
          </w:p>
          <w:p w14:paraId="02A578D6" w14:textId="3DA974F6" w:rsidR="009B7C08" w:rsidRPr="0049025A" w:rsidRDefault="006337E7" w:rsidP="00B04CDE">
            <w:pPr>
              <w:spacing w:after="120"/>
              <w:jc w:val="both"/>
              <w:rPr>
                <w:rFonts w:ascii="Arial" w:hAnsi="Arial" w:cs="Arial"/>
                <w:snapToGrid w:val="0"/>
                <w:sz w:val="22"/>
                <w:szCs w:val="22"/>
                <w:lang w:val="en-GB" w:eastAsia="en-US"/>
              </w:rPr>
            </w:pPr>
            <w:r>
              <w:rPr>
                <w:rFonts w:ascii="Arial" w:hAnsi="Arial" w:cs="Arial"/>
                <w:b/>
                <w:bCs/>
                <w:sz w:val="22"/>
                <w:szCs w:val="22"/>
                <w:lang w:val="en-GB"/>
              </w:rPr>
              <w:t>Ongoing</w:t>
            </w:r>
          </w:p>
        </w:tc>
        <w:tc>
          <w:tcPr>
            <w:tcW w:w="8330" w:type="dxa"/>
          </w:tcPr>
          <w:p w14:paraId="21195640" w14:textId="77777777" w:rsidR="009B7C08" w:rsidRPr="00CC62BD" w:rsidRDefault="00E874B6"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hyperlink r:id="rId44" w:anchor="Rule14" w:history="1">
              <w:r w:rsidR="009B7C08" w:rsidRPr="002D38E3">
                <w:rPr>
                  <w:rStyle w:val="Hyperlink"/>
                  <w:rFonts w:ascii="Arial" w:hAnsi="Arial" w:cs="Arial"/>
                  <w:snapToGrid w:val="0"/>
                  <w:sz w:val="22"/>
                  <w:szCs w:val="22"/>
                  <w:lang w:val="en-GB" w:eastAsia="en-US"/>
                </w:rPr>
                <w:t>Rule 14.4</w:t>
              </w:r>
            </w:hyperlink>
            <w:r w:rsidR="009B7C08" w:rsidRPr="00CC62BD">
              <w:rPr>
                <w:rFonts w:ascii="Arial" w:hAnsi="Arial" w:cs="Arial"/>
                <w:snapToGrid w:val="0"/>
                <w:sz w:val="22"/>
                <w:szCs w:val="22"/>
                <w:lang w:val="en-GB" w:eastAsia="en-US"/>
              </w:rPr>
              <w:t xml:space="preserve"> of the Rules of Procedure of the General Assembly states that ‘[t]he list of candidatures shall be finalized three working days prior to the opening of the General Assembly. No candidature will be accepted in the three working days preceding the opening of the Assembly.’</w:t>
            </w:r>
          </w:p>
          <w:p w14:paraId="640EAB0B" w14:textId="77777777" w:rsidR="009B7C08" w:rsidRPr="00CC62BD"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CC62BD">
              <w:rPr>
                <w:rFonts w:ascii="Arial" w:hAnsi="Arial" w:cs="Arial"/>
                <w:snapToGrid w:val="0"/>
                <w:sz w:val="22"/>
                <w:szCs w:val="22"/>
                <w:lang w:val="en-GB" w:eastAsia="en-US"/>
              </w:rPr>
              <w:t xml:space="preserve">In addition, according to </w:t>
            </w:r>
            <w:hyperlink r:id="rId45" w:anchor="Rule14" w:history="1">
              <w:r w:rsidRPr="002D38E3">
                <w:rPr>
                  <w:rStyle w:val="Hyperlink"/>
                  <w:rFonts w:ascii="Arial" w:hAnsi="Arial" w:cs="Arial"/>
                  <w:snapToGrid w:val="0"/>
                  <w:sz w:val="22"/>
                  <w:szCs w:val="22"/>
                  <w:lang w:val="en-GB" w:eastAsia="en-US"/>
                </w:rPr>
                <w:t>Rule 14.3</w:t>
              </w:r>
            </w:hyperlink>
            <w:r w:rsidRPr="00CC62BD">
              <w:rPr>
                <w:rFonts w:ascii="Arial" w:hAnsi="Arial" w:cs="Arial"/>
                <w:snapToGrid w:val="0"/>
                <w:sz w:val="22"/>
                <w:szCs w:val="22"/>
                <w:lang w:val="en-GB" w:eastAsia="en-US"/>
              </w:rPr>
              <w:t>, ‘[n]o payments of compulsory and voluntary contributions to the Fund (for the purpose of presenting a candidature to the Committee) will be accepted later than a week before the opening of the Assembly.’</w:t>
            </w:r>
          </w:p>
          <w:p w14:paraId="21C4B504" w14:textId="2F73D407" w:rsidR="009B7C08" w:rsidRPr="00CC62BD"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CC62BD">
              <w:rPr>
                <w:rFonts w:ascii="Arial" w:hAnsi="Arial" w:cs="Arial"/>
                <w:snapToGrid w:val="0"/>
                <w:sz w:val="22"/>
                <w:szCs w:val="22"/>
                <w:lang w:val="en-GB" w:eastAsia="en-US"/>
              </w:rPr>
              <w:t>The General Assembly may decide to amend its Rules of Procedure or to continue with the current practice.</w:t>
            </w:r>
          </w:p>
          <w:p w14:paraId="12612323" w14:textId="56F1F13C" w:rsidR="00310F56" w:rsidRPr="00CC62BD" w:rsidRDefault="003C6AF7" w:rsidP="0047318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CC62BD">
              <w:rPr>
                <w:rFonts w:ascii="Arial" w:hAnsi="Arial" w:cs="Arial"/>
                <w:snapToGrid w:val="0"/>
                <w:sz w:val="22"/>
                <w:szCs w:val="22"/>
                <w:lang w:val="en-GB" w:eastAsia="en-US"/>
              </w:rPr>
              <w:t>I</w:t>
            </w:r>
            <w:r w:rsidR="007C0E13" w:rsidRPr="00CC62BD">
              <w:rPr>
                <w:rFonts w:ascii="Arial" w:hAnsi="Arial" w:cs="Arial"/>
                <w:snapToGrid w:val="0"/>
                <w:sz w:val="22"/>
                <w:szCs w:val="22"/>
                <w:lang w:val="en-GB" w:eastAsia="en-US"/>
              </w:rPr>
              <w:t>n accordance with</w:t>
            </w:r>
            <w:r w:rsidR="00236BBD" w:rsidRPr="00CC62BD">
              <w:rPr>
                <w:rFonts w:ascii="Arial" w:hAnsi="Arial" w:cs="Arial"/>
                <w:snapToGrid w:val="0"/>
                <w:sz w:val="22"/>
                <w:szCs w:val="22"/>
                <w:lang w:val="en-GB" w:eastAsia="en-US"/>
              </w:rPr>
              <w:t xml:space="preserve"> Resolutions </w:t>
            </w:r>
            <w:hyperlink r:id="rId46" w:history="1">
              <w:r w:rsidR="00236BBD" w:rsidRPr="002D38E3">
                <w:rPr>
                  <w:rStyle w:val="Hyperlink"/>
                  <w:rFonts w:ascii="Arial" w:hAnsi="Arial" w:cs="Arial"/>
                  <w:snapToGrid w:val="0"/>
                  <w:sz w:val="22"/>
                  <w:szCs w:val="22"/>
                  <w:lang w:val="en-GB" w:eastAsia="en-US"/>
                </w:rPr>
                <w:t>7.GA 12</w:t>
              </w:r>
            </w:hyperlink>
            <w:r w:rsidR="00236BBD" w:rsidRPr="00CC62BD">
              <w:rPr>
                <w:rFonts w:ascii="Arial" w:hAnsi="Arial" w:cs="Arial"/>
                <w:snapToGrid w:val="0"/>
                <w:sz w:val="22"/>
                <w:szCs w:val="22"/>
                <w:lang w:val="en-GB" w:eastAsia="en-US"/>
              </w:rPr>
              <w:t xml:space="preserve"> and </w:t>
            </w:r>
            <w:hyperlink r:id="rId47" w:history="1">
              <w:r w:rsidR="00236BBD" w:rsidRPr="002D38E3">
                <w:rPr>
                  <w:rStyle w:val="Hyperlink"/>
                  <w:rFonts w:ascii="Arial" w:hAnsi="Arial" w:cs="Arial"/>
                  <w:snapToGrid w:val="0"/>
                  <w:sz w:val="22"/>
                  <w:szCs w:val="22"/>
                  <w:lang w:val="en-GB" w:eastAsia="en-US"/>
                </w:rPr>
                <w:t>7.GA 13</w:t>
              </w:r>
            </w:hyperlink>
            <w:r w:rsidR="00236BBD" w:rsidRPr="00CC62BD">
              <w:rPr>
                <w:rFonts w:ascii="Arial" w:hAnsi="Arial" w:cs="Arial"/>
                <w:snapToGrid w:val="0"/>
                <w:sz w:val="22"/>
                <w:szCs w:val="22"/>
                <w:lang w:val="en-GB" w:eastAsia="en-US"/>
              </w:rPr>
              <w:t xml:space="preserve">, a revised set of the Rules of Procedure </w:t>
            </w:r>
            <w:r w:rsidR="00473183" w:rsidRPr="00CC62BD">
              <w:rPr>
                <w:rFonts w:ascii="Arial" w:hAnsi="Arial" w:cs="Arial"/>
                <w:snapToGrid w:val="0"/>
                <w:sz w:val="22"/>
                <w:szCs w:val="22"/>
                <w:lang w:val="en-GB" w:eastAsia="en-US"/>
              </w:rPr>
              <w:t xml:space="preserve">of the General Assembly </w:t>
            </w:r>
            <w:proofErr w:type="gramStart"/>
            <w:r w:rsidR="00236BBD" w:rsidRPr="00CC62BD">
              <w:rPr>
                <w:rFonts w:ascii="Arial" w:hAnsi="Arial" w:cs="Arial"/>
                <w:snapToGrid w:val="0"/>
                <w:sz w:val="22"/>
                <w:szCs w:val="22"/>
                <w:lang w:val="en-GB" w:eastAsia="en-US"/>
              </w:rPr>
              <w:t>will be presented</w:t>
            </w:r>
            <w:proofErr w:type="gramEnd"/>
            <w:r w:rsidR="00236BBD" w:rsidRPr="00CC62BD">
              <w:rPr>
                <w:rFonts w:ascii="Arial" w:hAnsi="Arial" w:cs="Arial"/>
                <w:snapToGrid w:val="0"/>
                <w:sz w:val="22"/>
                <w:szCs w:val="22"/>
                <w:lang w:val="en-GB" w:eastAsia="en-US"/>
              </w:rPr>
              <w:t xml:space="preserve"> to the eighth session of the General Assembly in 2020.</w:t>
            </w:r>
          </w:p>
        </w:tc>
      </w:tr>
      <w:tr w:rsidR="009B7C08" w:rsidRPr="00E874B6" w14:paraId="4D7B1AA2" w14:textId="77777777" w:rsidTr="001A1AFE">
        <w:trPr>
          <w:trHeight w:val="340"/>
          <w:jc w:val="center"/>
        </w:trPr>
        <w:tc>
          <w:tcPr>
            <w:tcW w:w="14276" w:type="dxa"/>
            <w:gridSpan w:val="2"/>
            <w:shd w:val="clear" w:color="auto" w:fill="F2F2F2" w:themeFill="background1" w:themeFillShade="F2"/>
            <w:vAlign w:val="center"/>
          </w:tcPr>
          <w:p w14:paraId="5DBA41CC" w14:textId="77777777" w:rsidR="009B7C08" w:rsidRPr="0050450D" w:rsidRDefault="009B7C08" w:rsidP="00B04CDE">
            <w:pPr>
              <w:keepNext/>
              <w:rPr>
                <w:rFonts w:ascii="Arial" w:hAnsi="Arial" w:cs="Arial"/>
                <w:b/>
                <w:snapToGrid w:val="0"/>
                <w:sz w:val="22"/>
                <w:szCs w:val="22"/>
                <w:lang w:val="en-GB" w:eastAsia="en-US"/>
              </w:rPr>
            </w:pPr>
            <w:r w:rsidRPr="0049025A">
              <w:rPr>
                <w:rFonts w:ascii="Arial" w:hAnsi="Arial" w:cs="Arial"/>
                <w:b/>
                <w:snapToGrid w:val="0"/>
                <w:sz w:val="22"/>
                <w:szCs w:val="22"/>
                <w:lang w:val="en-GB" w:eastAsia="en-US"/>
              </w:rPr>
              <w:lastRenderedPageBreak/>
              <w:t xml:space="preserve">Harmonization (role of Bureaus, </w:t>
            </w:r>
            <w:r w:rsidRPr="0050450D">
              <w:rPr>
                <w:rFonts w:ascii="Arial" w:hAnsi="Arial" w:cs="Arial"/>
                <w:b/>
                <w:snapToGrid w:val="0"/>
                <w:sz w:val="22"/>
                <w:szCs w:val="22"/>
                <w:lang w:val="en-GB" w:eastAsia="en-US"/>
              </w:rPr>
              <w:t>transparency)</w:t>
            </w:r>
          </w:p>
        </w:tc>
      </w:tr>
      <w:tr w:rsidR="009B7C08" w:rsidRPr="00E874B6" w14:paraId="771A257B" w14:textId="77777777" w:rsidTr="001A1AFE">
        <w:trPr>
          <w:jc w:val="center"/>
        </w:trPr>
        <w:tc>
          <w:tcPr>
            <w:tcW w:w="5946" w:type="dxa"/>
          </w:tcPr>
          <w:p w14:paraId="06B9856F" w14:textId="7D30DD25" w:rsidR="009B7C08" w:rsidRPr="00874122" w:rsidRDefault="000157EF" w:rsidP="00A741D3">
            <w:pPr>
              <w:pStyle w:val="ListParagraph"/>
              <w:numPr>
                <w:ilvl w:val="0"/>
                <w:numId w:val="10"/>
              </w:numPr>
              <w:spacing w:after="120"/>
              <w:ind w:left="567" w:hanging="567"/>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t xml:space="preserve">The role, composition and procedures of Bureaus and their members </w:t>
            </w:r>
            <w:proofErr w:type="gramStart"/>
            <w:r w:rsidRPr="001A1AFE">
              <w:rPr>
                <w:rFonts w:ascii="Arial" w:hAnsi="Arial" w:cs="Arial"/>
                <w:snapToGrid w:val="0"/>
                <w:sz w:val="22"/>
                <w:szCs w:val="22"/>
                <w:lang w:val="en-US" w:eastAsia="en-US"/>
              </w:rPr>
              <w:t>should be clarified and harmonized through codification in rules of procedure/ statutes or development of general guidelines for all IIBs, in close cooperation with the Secretariat</w:t>
            </w:r>
            <w:proofErr w:type="gramEnd"/>
            <w:r w:rsidRPr="001A1AFE">
              <w:rPr>
                <w:rFonts w:ascii="Arial" w:hAnsi="Arial" w:cs="Arial"/>
                <w:snapToGrid w:val="0"/>
                <w:sz w:val="22"/>
                <w:szCs w:val="22"/>
                <w:lang w:val="en-US" w:eastAsia="en-US"/>
              </w:rPr>
              <w:t>.</w:t>
            </w:r>
          </w:p>
          <w:p w14:paraId="164098DE" w14:textId="73216D6B" w:rsidR="009B7C08" w:rsidRPr="00874122" w:rsidRDefault="009A1312">
            <w:pPr>
              <w:spacing w:after="120"/>
              <w:jc w:val="both"/>
              <w:rPr>
                <w:rFonts w:ascii="Arial" w:hAnsi="Arial" w:cs="Arial"/>
                <w:snapToGrid w:val="0"/>
                <w:sz w:val="22"/>
                <w:szCs w:val="22"/>
                <w:lang w:val="en-US" w:eastAsia="en-US"/>
              </w:rPr>
            </w:pPr>
            <w:r w:rsidRPr="00362E48">
              <w:rPr>
                <w:rFonts w:ascii="Arial" w:hAnsi="Arial" w:cs="Arial"/>
                <w:b/>
                <w:bCs/>
                <w:sz w:val="22"/>
                <w:szCs w:val="22"/>
                <w:lang w:val="en-GB"/>
              </w:rPr>
              <w:t>Ongoing</w:t>
            </w:r>
          </w:p>
        </w:tc>
        <w:tc>
          <w:tcPr>
            <w:tcW w:w="8330" w:type="dxa"/>
          </w:tcPr>
          <w:p w14:paraId="47353033" w14:textId="77777777" w:rsidR="009B7C08" w:rsidRPr="0049025A"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49025A">
              <w:rPr>
                <w:rFonts w:ascii="Arial" w:hAnsi="Arial" w:cs="Arial"/>
                <w:snapToGrid w:val="0"/>
                <w:sz w:val="22"/>
                <w:szCs w:val="22"/>
                <w:lang w:val="en-US" w:eastAsia="en-US"/>
              </w:rPr>
              <w:t xml:space="preserve">While </w:t>
            </w:r>
            <w:hyperlink r:id="rId48" w:anchor="Rule12" w:history="1">
              <w:r w:rsidRPr="0049025A">
                <w:rPr>
                  <w:rStyle w:val="Hyperlink"/>
                  <w:rFonts w:ascii="Arial" w:hAnsi="Arial" w:cs="Arial"/>
                  <w:snapToGrid w:val="0"/>
                  <w:sz w:val="22"/>
                  <w:szCs w:val="22"/>
                  <w:lang w:val="en-GB" w:eastAsia="en-US"/>
                </w:rPr>
                <w:t>Rule 12</w:t>
              </w:r>
            </w:hyperlink>
            <w:r w:rsidRPr="0049025A">
              <w:rPr>
                <w:rFonts w:ascii="Arial" w:hAnsi="Arial" w:cs="Arial"/>
                <w:snapToGrid w:val="0"/>
                <w:sz w:val="22"/>
                <w:szCs w:val="22"/>
                <w:lang w:val="en-GB" w:eastAsia="en-US"/>
              </w:rPr>
              <w:t xml:space="preserve"> of the Rules of Procedure of the Committee define</w:t>
            </w:r>
            <w:r>
              <w:rPr>
                <w:rFonts w:ascii="Arial" w:hAnsi="Arial" w:cs="Arial"/>
                <w:snapToGrid w:val="0"/>
                <w:sz w:val="22"/>
                <w:szCs w:val="22"/>
                <w:lang w:val="en-GB" w:eastAsia="en-US"/>
              </w:rPr>
              <w:t>s</w:t>
            </w:r>
            <w:r w:rsidRPr="0049025A">
              <w:rPr>
                <w:rFonts w:ascii="Arial" w:hAnsi="Arial" w:cs="Arial"/>
                <w:snapToGrid w:val="0"/>
                <w:sz w:val="22"/>
                <w:szCs w:val="22"/>
                <w:lang w:val="en-GB" w:eastAsia="en-US"/>
              </w:rPr>
              <w:t xml:space="preserve"> the role of the Bureau of the Committee, the Role of the Bureau of the General Assembly </w:t>
            </w:r>
            <w:proofErr w:type="gramStart"/>
            <w:r w:rsidRPr="0049025A">
              <w:rPr>
                <w:rFonts w:ascii="Arial" w:hAnsi="Arial" w:cs="Arial"/>
                <w:snapToGrid w:val="0"/>
                <w:sz w:val="22"/>
                <w:szCs w:val="22"/>
                <w:lang w:val="en-GB" w:eastAsia="en-US"/>
              </w:rPr>
              <w:t>is not described</w:t>
            </w:r>
            <w:proofErr w:type="gramEnd"/>
            <w:r w:rsidRPr="0049025A">
              <w:rPr>
                <w:rFonts w:ascii="Arial" w:hAnsi="Arial" w:cs="Arial"/>
                <w:snapToGrid w:val="0"/>
                <w:sz w:val="22"/>
                <w:szCs w:val="22"/>
                <w:lang w:val="en-GB" w:eastAsia="en-US"/>
              </w:rPr>
              <w:t xml:space="preserve"> in the Assembly’s Rules of Procedure. </w:t>
            </w:r>
            <w:r>
              <w:rPr>
                <w:rFonts w:ascii="Arial" w:hAnsi="Arial" w:cs="Arial"/>
                <w:snapToGrid w:val="0"/>
                <w:sz w:val="22"/>
                <w:szCs w:val="22"/>
                <w:lang w:val="en-GB" w:eastAsia="en-US"/>
              </w:rPr>
              <w:t>N</w:t>
            </w:r>
            <w:r w:rsidRPr="0049025A">
              <w:rPr>
                <w:rFonts w:ascii="Arial" w:hAnsi="Arial" w:cs="Arial"/>
                <w:snapToGrid w:val="0"/>
                <w:sz w:val="22"/>
                <w:szCs w:val="22"/>
                <w:lang w:val="en-GB" w:eastAsia="en-US"/>
              </w:rPr>
              <w:t>either the Rules of Procedure of the Committee nor those of the General Assembly specify in detail the composition of their respective Bureaus.</w:t>
            </w:r>
          </w:p>
          <w:p w14:paraId="5E86ED2A" w14:textId="77777777" w:rsidR="009B7C08"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874122">
              <w:rPr>
                <w:rFonts w:ascii="Arial" w:hAnsi="Arial" w:cs="Arial"/>
                <w:snapToGrid w:val="0"/>
                <w:sz w:val="22"/>
                <w:szCs w:val="22"/>
                <w:lang w:val="en-GB" w:eastAsia="en-US"/>
              </w:rPr>
              <w:t>The General Assembly may decide to amend its Rules of Procedure to specify the role and composition of its Bureau or continue with the current practice.</w:t>
            </w:r>
          </w:p>
          <w:p w14:paraId="43BE5044" w14:textId="5FB36BBA" w:rsidR="009B7C08" w:rsidRPr="0049025A" w:rsidRDefault="009A1312" w:rsidP="00BA681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CC62BD">
              <w:rPr>
                <w:rFonts w:ascii="Arial" w:hAnsi="Arial" w:cs="Arial"/>
                <w:snapToGrid w:val="0"/>
                <w:sz w:val="22"/>
                <w:szCs w:val="22"/>
                <w:lang w:val="en-GB" w:eastAsia="en-US"/>
              </w:rPr>
              <w:t>In</w:t>
            </w:r>
            <w:r w:rsidR="007C0E13" w:rsidRPr="00CC62BD">
              <w:rPr>
                <w:rFonts w:ascii="Arial" w:hAnsi="Arial" w:cs="Arial"/>
                <w:snapToGrid w:val="0"/>
                <w:sz w:val="22"/>
                <w:szCs w:val="22"/>
                <w:lang w:val="en-GB" w:eastAsia="en-US"/>
              </w:rPr>
              <w:t xml:space="preserve"> accordance with</w:t>
            </w:r>
            <w:r w:rsidR="00236BBD" w:rsidRPr="00CC62BD">
              <w:rPr>
                <w:rFonts w:ascii="Arial" w:hAnsi="Arial" w:cs="Arial"/>
                <w:snapToGrid w:val="0"/>
                <w:sz w:val="22"/>
                <w:szCs w:val="22"/>
                <w:lang w:val="en-GB" w:eastAsia="en-US"/>
              </w:rPr>
              <w:t xml:space="preserve"> Resolutions </w:t>
            </w:r>
            <w:hyperlink r:id="rId49" w:history="1">
              <w:r w:rsidR="00236BBD" w:rsidRPr="002D38E3">
                <w:rPr>
                  <w:rStyle w:val="Hyperlink"/>
                  <w:rFonts w:ascii="Arial" w:hAnsi="Arial" w:cs="Arial"/>
                  <w:snapToGrid w:val="0"/>
                  <w:sz w:val="22"/>
                  <w:szCs w:val="22"/>
                  <w:lang w:val="en-GB" w:eastAsia="en-US"/>
                </w:rPr>
                <w:t>7.GA 12</w:t>
              </w:r>
            </w:hyperlink>
            <w:r w:rsidR="00236BBD" w:rsidRPr="00CC62BD">
              <w:rPr>
                <w:rFonts w:ascii="Arial" w:hAnsi="Arial" w:cs="Arial"/>
                <w:snapToGrid w:val="0"/>
                <w:sz w:val="22"/>
                <w:szCs w:val="22"/>
                <w:lang w:val="en-GB" w:eastAsia="en-US"/>
              </w:rPr>
              <w:t xml:space="preserve"> and </w:t>
            </w:r>
            <w:hyperlink r:id="rId50" w:history="1">
              <w:r w:rsidR="00236BBD" w:rsidRPr="002D38E3">
                <w:rPr>
                  <w:rStyle w:val="Hyperlink"/>
                  <w:rFonts w:ascii="Arial" w:hAnsi="Arial" w:cs="Arial"/>
                  <w:snapToGrid w:val="0"/>
                  <w:sz w:val="22"/>
                  <w:szCs w:val="22"/>
                  <w:lang w:val="en-GB" w:eastAsia="en-US"/>
                </w:rPr>
                <w:t>7.GA 13</w:t>
              </w:r>
            </w:hyperlink>
            <w:r w:rsidR="00236BBD" w:rsidRPr="00CC62BD">
              <w:rPr>
                <w:rFonts w:ascii="Arial" w:hAnsi="Arial" w:cs="Arial"/>
                <w:snapToGrid w:val="0"/>
                <w:sz w:val="22"/>
                <w:szCs w:val="22"/>
                <w:lang w:val="en-GB" w:eastAsia="en-US"/>
              </w:rPr>
              <w:t>, a revised set of the Rules of Procedure</w:t>
            </w:r>
            <w:r w:rsidR="0039162F" w:rsidRPr="00CC62BD">
              <w:rPr>
                <w:rFonts w:ascii="Arial" w:hAnsi="Arial" w:cs="Arial"/>
                <w:snapToGrid w:val="0"/>
                <w:sz w:val="22"/>
                <w:szCs w:val="22"/>
                <w:lang w:val="en-GB" w:eastAsia="en-US"/>
              </w:rPr>
              <w:t xml:space="preserve"> of the General Assembly</w:t>
            </w:r>
            <w:r w:rsidR="00236BBD" w:rsidRPr="00CC62BD">
              <w:rPr>
                <w:rFonts w:ascii="Arial" w:hAnsi="Arial" w:cs="Arial"/>
                <w:snapToGrid w:val="0"/>
                <w:sz w:val="22"/>
                <w:szCs w:val="22"/>
                <w:lang w:val="en-GB" w:eastAsia="en-US"/>
              </w:rPr>
              <w:t xml:space="preserve"> </w:t>
            </w:r>
            <w:proofErr w:type="gramStart"/>
            <w:r w:rsidR="00236BBD" w:rsidRPr="00CC62BD">
              <w:rPr>
                <w:rFonts w:ascii="Arial" w:hAnsi="Arial" w:cs="Arial"/>
                <w:snapToGrid w:val="0"/>
                <w:sz w:val="22"/>
                <w:szCs w:val="22"/>
                <w:lang w:val="en-GB" w:eastAsia="en-US"/>
              </w:rPr>
              <w:t>will be presented</w:t>
            </w:r>
            <w:proofErr w:type="gramEnd"/>
            <w:r w:rsidR="00236BBD" w:rsidRPr="00CC62BD">
              <w:rPr>
                <w:rFonts w:ascii="Arial" w:hAnsi="Arial" w:cs="Arial"/>
                <w:snapToGrid w:val="0"/>
                <w:sz w:val="22"/>
                <w:szCs w:val="22"/>
                <w:lang w:val="en-GB" w:eastAsia="en-US"/>
              </w:rPr>
              <w:t xml:space="preserve"> to the eighth session of the General Assembly in 2020.</w:t>
            </w:r>
          </w:p>
        </w:tc>
      </w:tr>
      <w:tr w:rsidR="009B7C08" w:rsidRPr="007523AD" w14:paraId="04B5DEA9" w14:textId="77777777" w:rsidTr="001A1AFE">
        <w:trPr>
          <w:jc w:val="center"/>
        </w:trPr>
        <w:tc>
          <w:tcPr>
            <w:tcW w:w="5946" w:type="dxa"/>
          </w:tcPr>
          <w:p w14:paraId="411CC549" w14:textId="1E210322" w:rsidR="009B7C08" w:rsidRPr="00874122" w:rsidRDefault="000157EF" w:rsidP="00A741D3">
            <w:pPr>
              <w:pStyle w:val="ListParagraph"/>
              <w:numPr>
                <w:ilvl w:val="0"/>
                <w:numId w:val="10"/>
              </w:numPr>
              <w:spacing w:after="120"/>
              <w:ind w:left="567" w:hanging="567"/>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t xml:space="preserve">It </w:t>
            </w:r>
            <w:proofErr w:type="gramStart"/>
            <w:r w:rsidRPr="001A1AFE">
              <w:rPr>
                <w:rFonts w:ascii="Arial" w:hAnsi="Arial" w:cs="Arial"/>
                <w:snapToGrid w:val="0"/>
                <w:sz w:val="22"/>
                <w:szCs w:val="22"/>
                <w:lang w:val="en-US" w:eastAsia="en-US"/>
              </w:rPr>
              <w:t>is suggested</w:t>
            </w:r>
            <w:proofErr w:type="gramEnd"/>
            <w:r w:rsidRPr="001A1AFE">
              <w:rPr>
                <w:rFonts w:ascii="Arial" w:hAnsi="Arial" w:cs="Arial"/>
                <w:snapToGrid w:val="0"/>
                <w:sz w:val="22"/>
                <w:szCs w:val="22"/>
                <w:lang w:val="en-US" w:eastAsia="en-US"/>
              </w:rPr>
              <w:t xml:space="preserve"> that Bureaus’ composition be set, as much as compatible with individual IIBs’ mandates, at a maximum of six members (Chair, Rapporteur, and four Vice-Presidents from the six Electoral Groups).</w:t>
            </w:r>
          </w:p>
          <w:p w14:paraId="07C9670D" w14:textId="407F17B8" w:rsidR="009B7C08" w:rsidRPr="00874122" w:rsidRDefault="009A1312" w:rsidP="00B04CDE">
            <w:pPr>
              <w:spacing w:after="120"/>
              <w:jc w:val="both"/>
              <w:rPr>
                <w:rFonts w:ascii="Arial" w:hAnsi="Arial" w:cs="Arial"/>
                <w:snapToGrid w:val="0"/>
                <w:sz w:val="22"/>
                <w:szCs w:val="22"/>
                <w:lang w:val="en-US" w:eastAsia="en-US"/>
              </w:rPr>
            </w:pPr>
            <w:r w:rsidRPr="00362E48">
              <w:rPr>
                <w:rFonts w:ascii="Arial" w:hAnsi="Arial" w:cs="Arial"/>
                <w:b/>
                <w:bCs/>
                <w:sz w:val="22"/>
                <w:szCs w:val="22"/>
                <w:lang w:val="en-GB"/>
              </w:rPr>
              <w:t>Ongoing</w:t>
            </w:r>
          </w:p>
        </w:tc>
        <w:tc>
          <w:tcPr>
            <w:tcW w:w="8330" w:type="dxa"/>
          </w:tcPr>
          <w:p w14:paraId="548315EB" w14:textId="77777777" w:rsidR="009B7C08"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Pr>
                <w:rFonts w:ascii="Arial" w:hAnsi="Arial" w:cs="Arial"/>
                <w:snapToGrid w:val="0"/>
                <w:sz w:val="22"/>
                <w:szCs w:val="22"/>
                <w:lang w:val="en-GB" w:eastAsia="en-US"/>
              </w:rPr>
              <w:t>In</w:t>
            </w:r>
            <w:r w:rsidRPr="0049025A">
              <w:rPr>
                <w:rFonts w:ascii="Arial" w:hAnsi="Arial" w:cs="Arial"/>
                <w:snapToGrid w:val="0"/>
                <w:sz w:val="22"/>
                <w:szCs w:val="22"/>
                <w:lang w:val="en-GB" w:eastAsia="en-US"/>
              </w:rPr>
              <w:t xml:space="preserve"> practice, for both the General Assembly and the Committee, the </w:t>
            </w:r>
            <w:r>
              <w:rPr>
                <w:rFonts w:ascii="Arial" w:hAnsi="Arial" w:cs="Arial"/>
                <w:snapToGrid w:val="0"/>
                <w:sz w:val="22"/>
                <w:szCs w:val="22"/>
                <w:lang w:val="en-GB" w:eastAsia="en-US"/>
              </w:rPr>
              <w:t xml:space="preserve">composition of the </w:t>
            </w:r>
            <w:r w:rsidRPr="0049025A">
              <w:rPr>
                <w:rFonts w:ascii="Arial" w:hAnsi="Arial" w:cs="Arial"/>
                <w:snapToGrid w:val="0"/>
                <w:sz w:val="22"/>
                <w:szCs w:val="22"/>
                <w:lang w:val="en-GB" w:eastAsia="en-US"/>
              </w:rPr>
              <w:t>Bureau</w:t>
            </w:r>
            <w:r>
              <w:rPr>
                <w:rFonts w:ascii="Arial" w:hAnsi="Arial" w:cs="Arial"/>
                <w:snapToGrid w:val="0"/>
                <w:sz w:val="22"/>
                <w:szCs w:val="22"/>
                <w:lang w:val="en-GB" w:eastAsia="en-US"/>
              </w:rPr>
              <w:t xml:space="preserve"> </w:t>
            </w:r>
            <w:r w:rsidRPr="0049025A">
              <w:rPr>
                <w:rFonts w:ascii="Arial" w:hAnsi="Arial" w:cs="Arial"/>
                <w:snapToGrid w:val="0"/>
                <w:sz w:val="22"/>
                <w:szCs w:val="22"/>
                <w:lang w:val="en-GB" w:eastAsia="en-US"/>
              </w:rPr>
              <w:t>is set at a maximum of seven members (Chair, Rapporteur, and four or five Vice-Presidents). However, neither the Rules of Procedure of the Committee nor those of the General Assembly specify in detail the composition of their respective Bureaus.</w:t>
            </w:r>
          </w:p>
          <w:p w14:paraId="6BD0C407" w14:textId="53CE2638" w:rsidR="00236BBD" w:rsidRPr="00CC62BD" w:rsidRDefault="009A1312" w:rsidP="0039162F">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CC62BD">
              <w:rPr>
                <w:rFonts w:ascii="Arial" w:hAnsi="Arial" w:cs="Arial"/>
                <w:snapToGrid w:val="0"/>
                <w:sz w:val="22"/>
                <w:szCs w:val="22"/>
                <w:lang w:val="en-GB" w:eastAsia="en-US"/>
              </w:rPr>
              <w:t>In</w:t>
            </w:r>
            <w:r w:rsidR="007C0E13" w:rsidRPr="00CC62BD">
              <w:rPr>
                <w:rFonts w:ascii="Arial" w:hAnsi="Arial" w:cs="Arial"/>
                <w:snapToGrid w:val="0"/>
                <w:sz w:val="22"/>
                <w:szCs w:val="22"/>
                <w:lang w:val="en-GB" w:eastAsia="en-US"/>
              </w:rPr>
              <w:t xml:space="preserve"> accordance with</w:t>
            </w:r>
            <w:r w:rsidR="00236BBD" w:rsidRPr="00CC62BD">
              <w:rPr>
                <w:rFonts w:ascii="Arial" w:hAnsi="Arial" w:cs="Arial"/>
                <w:snapToGrid w:val="0"/>
                <w:sz w:val="22"/>
                <w:szCs w:val="22"/>
                <w:lang w:val="en-GB" w:eastAsia="en-US"/>
              </w:rPr>
              <w:t xml:space="preserve"> Resolutions </w:t>
            </w:r>
            <w:hyperlink r:id="rId51" w:history="1">
              <w:r w:rsidR="00236BBD" w:rsidRPr="002D38E3">
                <w:rPr>
                  <w:rStyle w:val="Hyperlink"/>
                  <w:rFonts w:ascii="Arial" w:hAnsi="Arial" w:cs="Arial"/>
                  <w:snapToGrid w:val="0"/>
                  <w:sz w:val="22"/>
                  <w:szCs w:val="22"/>
                  <w:lang w:val="en-GB" w:eastAsia="en-US"/>
                </w:rPr>
                <w:t>7.GA 12</w:t>
              </w:r>
            </w:hyperlink>
            <w:r w:rsidR="00236BBD" w:rsidRPr="00CC62BD">
              <w:rPr>
                <w:rFonts w:ascii="Arial" w:hAnsi="Arial" w:cs="Arial"/>
                <w:snapToGrid w:val="0"/>
                <w:sz w:val="22"/>
                <w:szCs w:val="22"/>
                <w:lang w:val="en-GB" w:eastAsia="en-US"/>
              </w:rPr>
              <w:t xml:space="preserve"> and </w:t>
            </w:r>
            <w:hyperlink r:id="rId52" w:history="1">
              <w:r w:rsidR="00236BBD" w:rsidRPr="002D38E3">
                <w:rPr>
                  <w:rStyle w:val="Hyperlink"/>
                  <w:rFonts w:ascii="Arial" w:hAnsi="Arial" w:cs="Arial"/>
                  <w:snapToGrid w:val="0"/>
                  <w:sz w:val="22"/>
                  <w:szCs w:val="22"/>
                  <w:lang w:val="en-GB" w:eastAsia="en-US"/>
                </w:rPr>
                <w:t>7.GA 13</w:t>
              </w:r>
            </w:hyperlink>
            <w:r w:rsidR="00236BBD" w:rsidRPr="00CC62BD">
              <w:rPr>
                <w:rFonts w:ascii="Arial" w:hAnsi="Arial" w:cs="Arial"/>
                <w:snapToGrid w:val="0"/>
                <w:sz w:val="22"/>
                <w:szCs w:val="22"/>
                <w:lang w:val="en-GB" w:eastAsia="en-US"/>
              </w:rPr>
              <w:t>, a revised set of the Rules of Procedure</w:t>
            </w:r>
            <w:r w:rsidR="0039162F" w:rsidRPr="00CC62BD">
              <w:rPr>
                <w:rFonts w:ascii="Arial" w:hAnsi="Arial" w:cs="Arial"/>
                <w:snapToGrid w:val="0"/>
                <w:sz w:val="22"/>
                <w:szCs w:val="22"/>
                <w:lang w:val="en-GB" w:eastAsia="en-US"/>
              </w:rPr>
              <w:t xml:space="preserve"> of the General Assembly</w:t>
            </w:r>
            <w:r w:rsidR="00236BBD" w:rsidRPr="00CC62BD">
              <w:rPr>
                <w:rFonts w:ascii="Arial" w:hAnsi="Arial" w:cs="Arial"/>
                <w:snapToGrid w:val="0"/>
                <w:sz w:val="22"/>
                <w:szCs w:val="22"/>
                <w:lang w:val="en-GB" w:eastAsia="en-US"/>
              </w:rPr>
              <w:t xml:space="preserve"> </w:t>
            </w:r>
            <w:proofErr w:type="gramStart"/>
            <w:r w:rsidR="00236BBD" w:rsidRPr="00CC62BD">
              <w:rPr>
                <w:rFonts w:ascii="Arial" w:hAnsi="Arial" w:cs="Arial"/>
                <w:snapToGrid w:val="0"/>
                <w:sz w:val="22"/>
                <w:szCs w:val="22"/>
                <w:lang w:val="en-GB" w:eastAsia="en-US"/>
              </w:rPr>
              <w:t>will be presented</w:t>
            </w:r>
            <w:proofErr w:type="gramEnd"/>
            <w:r w:rsidR="00236BBD" w:rsidRPr="00CC62BD">
              <w:rPr>
                <w:rFonts w:ascii="Arial" w:hAnsi="Arial" w:cs="Arial"/>
                <w:snapToGrid w:val="0"/>
                <w:sz w:val="22"/>
                <w:szCs w:val="22"/>
                <w:lang w:val="en-GB" w:eastAsia="en-US"/>
              </w:rPr>
              <w:t xml:space="preserve"> to the eighth session of the General Assembly in 2020.</w:t>
            </w:r>
          </w:p>
          <w:p w14:paraId="42FD265F" w14:textId="620819C1" w:rsidR="009B7C08" w:rsidRPr="0049025A"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Pr>
                <w:rFonts w:ascii="Arial" w:hAnsi="Arial" w:cs="Arial"/>
                <w:snapToGrid w:val="0"/>
                <w:sz w:val="22"/>
                <w:szCs w:val="22"/>
                <w:lang w:val="en-GB" w:eastAsia="en-US"/>
              </w:rPr>
              <w:t>See recommendation 66.</w:t>
            </w:r>
          </w:p>
        </w:tc>
      </w:tr>
      <w:tr w:rsidR="009B7C08" w:rsidRPr="00884518" w14:paraId="58340221" w14:textId="77777777" w:rsidTr="001A1AFE">
        <w:trPr>
          <w:jc w:val="center"/>
        </w:trPr>
        <w:tc>
          <w:tcPr>
            <w:tcW w:w="5946" w:type="dxa"/>
          </w:tcPr>
          <w:p w14:paraId="502BAC32" w14:textId="2FD83CF2" w:rsidR="009B7C08" w:rsidRPr="00874122" w:rsidRDefault="000157EF" w:rsidP="00A741D3">
            <w:pPr>
              <w:pStyle w:val="ListParagraph"/>
              <w:numPr>
                <w:ilvl w:val="0"/>
                <w:numId w:val="10"/>
              </w:numPr>
              <w:spacing w:after="120"/>
              <w:ind w:left="567" w:hanging="567"/>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t xml:space="preserve">The intergovernmental nature of Bureaus </w:t>
            </w:r>
            <w:proofErr w:type="gramStart"/>
            <w:r w:rsidRPr="001A1AFE">
              <w:rPr>
                <w:rFonts w:ascii="Arial" w:hAnsi="Arial" w:cs="Arial"/>
                <w:snapToGrid w:val="0"/>
                <w:sz w:val="22"/>
                <w:szCs w:val="22"/>
                <w:lang w:val="en-US" w:eastAsia="en-US"/>
              </w:rPr>
              <w:t>should be reaffirmed</w:t>
            </w:r>
            <w:proofErr w:type="gramEnd"/>
            <w:r w:rsidRPr="001A1AFE">
              <w:rPr>
                <w:rFonts w:ascii="Arial" w:hAnsi="Arial" w:cs="Arial"/>
                <w:snapToGrid w:val="0"/>
                <w:sz w:val="22"/>
                <w:szCs w:val="22"/>
                <w:lang w:val="en-US" w:eastAsia="en-US"/>
              </w:rPr>
              <w:t xml:space="preserve"> while maintaining expert engagement. In this regard, the attached guidelines on responsibilities of Bureau members </w:t>
            </w:r>
            <w:proofErr w:type="gramStart"/>
            <w:r w:rsidRPr="001A1AFE">
              <w:rPr>
                <w:rFonts w:ascii="Arial" w:hAnsi="Arial" w:cs="Arial"/>
                <w:snapToGrid w:val="0"/>
                <w:sz w:val="22"/>
                <w:szCs w:val="22"/>
                <w:lang w:val="en-US" w:eastAsia="en-US"/>
              </w:rPr>
              <w:t>are recommended</w:t>
            </w:r>
            <w:proofErr w:type="gramEnd"/>
            <w:r w:rsidRPr="001A1AFE">
              <w:rPr>
                <w:rFonts w:ascii="Arial" w:hAnsi="Arial" w:cs="Arial"/>
                <w:snapToGrid w:val="0"/>
                <w:sz w:val="22"/>
                <w:szCs w:val="22"/>
                <w:lang w:val="en-US" w:eastAsia="en-US"/>
              </w:rPr>
              <w:t xml:space="preserve"> for dissemination to all Governing Bodies and IIBs</w:t>
            </w:r>
            <w:r w:rsidR="009B7C08" w:rsidRPr="00874122">
              <w:rPr>
                <w:rFonts w:ascii="Arial" w:hAnsi="Arial" w:cs="Arial"/>
                <w:snapToGrid w:val="0"/>
                <w:sz w:val="22"/>
                <w:szCs w:val="22"/>
                <w:lang w:val="en-US" w:eastAsia="en-US"/>
              </w:rPr>
              <w:t xml:space="preserve"> (</w:t>
            </w:r>
            <w:hyperlink r:id="rId53" w:anchor="page=25" w:history="1">
              <w:r w:rsidR="009B7C08" w:rsidRPr="00874122">
                <w:rPr>
                  <w:rStyle w:val="Hyperlink"/>
                  <w:rFonts w:ascii="Arial" w:hAnsi="Arial" w:cs="Arial"/>
                  <w:sz w:val="22"/>
                  <w:lang w:val="en-US"/>
                </w:rPr>
                <w:t>appendix 2</w:t>
              </w:r>
            </w:hyperlink>
            <w:r w:rsidR="009B7C08" w:rsidRPr="00874122">
              <w:rPr>
                <w:rFonts w:ascii="Arial" w:hAnsi="Arial" w:cs="Arial"/>
                <w:snapToGrid w:val="0"/>
                <w:sz w:val="22"/>
                <w:szCs w:val="22"/>
                <w:lang w:val="en-US" w:eastAsia="en-US"/>
              </w:rPr>
              <w:t>).</w:t>
            </w:r>
          </w:p>
          <w:p w14:paraId="3679D9D9" w14:textId="6699E86D" w:rsidR="009B7C08" w:rsidRPr="00874122" w:rsidRDefault="009A1312" w:rsidP="00B04CDE">
            <w:pPr>
              <w:spacing w:after="120"/>
              <w:jc w:val="both"/>
              <w:rPr>
                <w:rFonts w:ascii="Arial" w:hAnsi="Arial" w:cs="Arial"/>
                <w:snapToGrid w:val="0"/>
                <w:sz w:val="22"/>
                <w:szCs w:val="22"/>
                <w:lang w:val="en-US" w:eastAsia="en-US"/>
              </w:rPr>
            </w:pPr>
            <w:r w:rsidRPr="00362E48">
              <w:rPr>
                <w:rFonts w:ascii="Arial" w:hAnsi="Arial" w:cs="Arial"/>
                <w:b/>
                <w:bCs/>
                <w:sz w:val="22"/>
                <w:szCs w:val="22"/>
                <w:lang w:val="en-US"/>
              </w:rPr>
              <w:t>Closed</w:t>
            </w:r>
          </w:p>
        </w:tc>
        <w:tc>
          <w:tcPr>
            <w:tcW w:w="8330" w:type="dxa"/>
          </w:tcPr>
          <w:p w14:paraId="7BA731F2" w14:textId="1FC5E5B9" w:rsidR="006337E7" w:rsidRPr="00362E48" w:rsidRDefault="009B7C08" w:rsidP="001A1AFE">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9A1312">
              <w:rPr>
                <w:rFonts w:ascii="Arial" w:hAnsi="Arial" w:cs="Arial"/>
                <w:snapToGrid w:val="0"/>
                <w:sz w:val="22"/>
                <w:szCs w:val="22"/>
                <w:lang w:val="en-GB" w:eastAsia="en-US"/>
              </w:rPr>
              <w:t xml:space="preserve">By its </w:t>
            </w:r>
            <w:hyperlink r:id="rId54" w:history="1">
              <w:r w:rsidRPr="002D38E3">
                <w:rPr>
                  <w:rStyle w:val="Hyperlink"/>
                  <w:rFonts w:ascii="Arial" w:hAnsi="Arial" w:cs="Arial"/>
                  <w:snapToGrid w:val="0"/>
                  <w:sz w:val="22"/>
                  <w:szCs w:val="22"/>
                  <w:lang w:val="en-GB" w:eastAsia="en-US"/>
                </w:rPr>
                <w:t>Decision 12.COM 16</w:t>
              </w:r>
            </w:hyperlink>
            <w:r w:rsidRPr="009A1312">
              <w:rPr>
                <w:rFonts w:ascii="Arial" w:hAnsi="Arial" w:cs="Arial"/>
                <w:snapToGrid w:val="0"/>
                <w:sz w:val="22"/>
                <w:szCs w:val="22"/>
                <w:lang w:val="en-GB" w:eastAsia="en-US"/>
              </w:rPr>
              <w:t xml:space="preserve">, the Committee invited the Bureau to conduct its work in accordance with the </w:t>
            </w:r>
            <w:r w:rsidR="00926863">
              <w:rPr>
                <w:rFonts w:ascii="Arial" w:hAnsi="Arial" w:cs="Arial"/>
                <w:snapToGrid w:val="0"/>
                <w:sz w:val="22"/>
                <w:szCs w:val="22"/>
                <w:lang w:val="en-GB" w:eastAsia="en-US"/>
              </w:rPr>
              <w:t>guiding principles and</w:t>
            </w:r>
            <w:r w:rsidRPr="009A1312">
              <w:rPr>
                <w:rFonts w:ascii="Arial" w:hAnsi="Arial" w:cs="Arial"/>
                <w:snapToGrid w:val="0"/>
                <w:sz w:val="22"/>
                <w:szCs w:val="22"/>
                <w:lang w:val="en-GB" w:eastAsia="en-US"/>
              </w:rPr>
              <w:t xml:space="preserve"> responsibilities of representatives of Electoral Groups in Bureaus.</w:t>
            </w:r>
          </w:p>
        </w:tc>
      </w:tr>
      <w:tr w:rsidR="009B7C08" w:rsidRPr="00884518" w14:paraId="794267DB" w14:textId="77777777" w:rsidTr="001A1AFE">
        <w:trPr>
          <w:jc w:val="center"/>
        </w:trPr>
        <w:tc>
          <w:tcPr>
            <w:tcW w:w="5946" w:type="dxa"/>
          </w:tcPr>
          <w:p w14:paraId="5E429782" w14:textId="5402C034" w:rsidR="009B7C08" w:rsidRPr="00874122" w:rsidRDefault="000157EF" w:rsidP="001A1AFE">
            <w:pPr>
              <w:pStyle w:val="ListParagraph"/>
              <w:pageBreakBefore/>
              <w:numPr>
                <w:ilvl w:val="0"/>
                <w:numId w:val="10"/>
              </w:numPr>
              <w:spacing w:after="120"/>
              <w:ind w:left="567" w:hanging="567"/>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lastRenderedPageBreak/>
              <w:t xml:space="preserve">Documents related to Bureau meetings should appear online before meetings take place; outcomes, including reports of Bureau meetings, </w:t>
            </w:r>
            <w:proofErr w:type="gramStart"/>
            <w:r w:rsidRPr="001A1AFE">
              <w:rPr>
                <w:rFonts w:ascii="Arial" w:hAnsi="Arial" w:cs="Arial"/>
                <w:snapToGrid w:val="0"/>
                <w:sz w:val="22"/>
                <w:szCs w:val="22"/>
                <w:lang w:val="en-US" w:eastAsia="en-US"/>
              </w:rPr>
              <w:t>should be communicated</w:t>
            </w:r>
            <w:proofErr w:type="gramEnd"/>
            <w:r w:rsidRPr="001A1AFE">
              <w:rPr>
                <w:rFonts w:ascii="Arial" w:hAnsi="Arial" w:cs="Arial"/>
                <w:snapToGrid w:val="0"/>
                <w:sz w:val="22"/>
                <w:szCs w:val="22"/>
                <w:lang w:val="en-US" w:eastAsia="en-US"/>
              </w:rPr>
              <w:t xml:space="preserve"> to all members, and as appropriate, all Permanent Delegations, in a timely manner.</w:t>
            </w:r>
          </w:p>
          <w:p w14:paraId="3BBB492B" w14:textId="77777777" w:rsidR="009B7C08" w:rsidRPr="00874122" w:rsidRDefault="009B7C08" w:rsidP="00B04CDE">
            <w:pPr>
              <w:spacing w:after="120"/>
              <w:jc w:val="both"/>
              <w:rPr>
                <w:rFonts w:ascii="Arial" w:hAnsi="Arial" w:cs="Arial"/>
                <w:snapToGrid w:val="0"/>
                <w:sz w:val="22"/>
                <w:szCs w:val="22"/>
                <w:lang w:val="en-US" w:eastAsia="en-US"/>
              </w:rPr>
            </w:pPr>
            <w:r w:rsidRPr="0049025A">
              <w:rPr>
                <w:rFonts w:ascii="Arial" w:hAnsi="Arial" w:cs="Arial"/>
                <w:b/>
                <w:bCs/>
                <w:snapToGrid w:val="0"/>
                <w:sz w:val="22"/>
                <w:szCs w:val="22"/>
                <w:lang w:val="en-GB" w:eastAsia="en-US"/>
              </w:rPr>
              <w:t>Closed</w:t>
            </w:r>
            <w:r w:rsidRPr="0049025A">
              <w:rPr>
                <w:rFonts w:ascii="Arial" w:hAnsi="Arial" w:cs="Arial"/>
                <w:b/>
                <w:bCs/>
                <w:lang w:val="en-GB"/>
              </w:rPr>
              <w:br/>
            </w:r>
            <w:r w:rsidRPr="0049025A">
              <w:rPr>
                <w:rFonts w:ascii="Arial" w:hAnsi="Arial" w:cs="Arial"/>
                <w:b/>
                <w:bCs/>
                <w:snapToGrid w:val="0"/>
                <w:sz w:val="22"/>
                <w:szCs w:val="22"/>
                <w:lang w:val="en-GB" w:eastAsia="en-US"/>
              </w:rPr>
              <w:t>(</w:t>
            </w:r>
            <w:r w:rsidRPr="0050450D">
              <w:rPr>
                <w:rFonts w:ascii="Arial" w:hAnsi="Arial" w:cs="Arial"/>
                <w:b/>
                <w:bCs/>
                <w:snapToGrid w:val="0"/>
                <w:sz w:val="22"/>
                <w:szCs w:val="22"/>
                <w:lang w:val="en-GB" w:eastAsia="en-US"/>
              </w:rPr>
              <w:t>Good practice)</w:t>
            </w:r>
          </w:p>
        </w:tc>
        <w:tc>
          <w:tcPr>
            <w:tcW w:w="8330" w:type="dxa"/>
          </w:tcPr>
          <w:p w14:paraId="63B3B3A1" w14:textId="797279A0" w:rsidR="00726ADA" w:rsidRPr="00A22328" w:rsidRDefault="0086739C" w:rsidP="00726ADA">
            <w:pPr>
              <w:pStyle w:val="ListParagraph"/>
              <w:numPr>
                <w:ilvl w:val="0"/>
                <w:numId w:val="7"/>
              </w:numPr>
              <w:spacing w:after="120"/>
              <w:ind w:left="357" w:hanging="357"/>
              <w:contextualSpacing w:val="0"/>
              <w:jc w:val="both"/>
              <w:rPr>
                <w:rFonts w:ascii="Arial" w:hAnsi="Arial" w:cs="Arial"/>
                <w:b/>
                <w:snapToGrid w:val="0"/>
                <w:sz w:val="22"/>
                <w:szCs w:val="22"/>
                <w:lang w:val="en-GB" w:eastAsia="en-US"/>
              </w:rPr>
            </w:pPr>
            <w:r w:rsidRPr="00A22328">
              <w:rPr>
                <w:rFonts w:ascii="Arial" w:hAnsi="Arial" w:cs="Arial"/>
                <w:b/>
                <w:snapToGrid w:val="0"/>
                <w:sz w:val="22"/>
                <w:szCs w:val="22"/>
                <w:lang w:val="en-GB" w:eastAsia="en-US"/>
              </w:rPr>
              <w:t>Closed since 7.GA</w:t>
            </w:r>
            <w:r w:rsidR="00726ADA">
              <w:rPr>
                <w:rFonts w:ascii="Arial" w:hAnsi="Arial" w:cs="Arial"/>
                <w:b/>
                <w:snapToGrid w:val="0"/>
                <w:sz w:val="22"/>
                <w:szCs w:val="22"/>
                <w:lang w:val="en-GB" w:eastAsia="en-US"/>
              </w:rPr>
              <w:t xml:space="preserve"> </w:t>
            </w:r>
            <w:r w:rsidR="00726ADA" w:rsidRPr="00A22328">
              <w:rPr>
                <w:rFonts w:ascii="Arial" w:hAnsi="Arial" w:cs="Arial"/>
                <w:sz w:val="20"/>
                <w:szCs w:val="20"/>
                <w:lang w:val="en-GB"/>
              </w:rPr>
              <w:t xml:space="preserve">(See document </w:t>
            </w:r>
            <w:hyperlink r:id="rId55" w:history="1">
              <w:r w:rsidR="00726ADA" w:rsidRPr="002B4145">
                <w:rPr>
                  <w:rStyle w:val="Hyperlink"/>
                  <w:rFonts w:ascii="Arial" w:hAnsi="Arial" w:cs="Arial"/>
                  <w:sz w:val="20"/>
                  <w:szCs w:val="20"/>
                  <w:lang w:val="en-GB"/>
                </w:rPr>
                <w:t>ITH/18/7.GA/12</w:t>
              </w:r>
            </w:hyperlink>
            <w:r w:rsidR="00726ADA">
              <w:rPr>
                <w:rFonts w:ascii="Arial" w:hAnsi="Arial" w:cs="Arial"/>
                <w:sz w:val="20"/>
                <w:szCs w:val="20"/>
                <w:lang w:val="en-GB"/>
              </w:rPr>
              <w:t>)</w:t>
            </w:r>
          </w:p>
          <w:p w14:paraId="6E1D6897" w14:textId="682A9251" w:rsidR="009B7C08" w:rsidRPr="00362E48" w:rsidRDefault="009B7C08" w:rsidP="00362E48">
            <w:pPr>
              <w:spacing w:after="120"/>
              <w:jc w:val="both"/>
              <w:rPr>
                <w:rFonts w:ascii="Arial" w:hAnsi="Arial" w:cs="Arial"/>
                <w:snapToGrid w:val="0"/>
                <w:sz w:val="22"/>
                <w:szCs w:val="22"/>
                <w:lang w:val="en-GB" w:eastAsia="en-US"/>
              </w:rPr>
            </w:pPr>
          </w:p>
        </w:tc>
      </w:tr>
      <w:tr w:rsidR="009B7C08" w:rsidRPr="00884518" w14:paraId="1FB934F6" w14:textId="77777777" w:rsidTr="001A1AFE">
        <w:trPr>
          <w:jc w:val="center"/>
        </w:trPr>
        <w:tc>
          <w:tcPr>
            <w:tcW w:w="5946" w:type="dxa"/>
          </w:tcPr>
          <w:p w14:paraId="03973845" w14:textId="41D7AC5D" w:rsidR="009B7C08" w:rsidRPr="00874122" w:rsidRDefault="000157EF" w:rsidP="00A741D3">
            <w:pPr>
              <w:pStyle w:val="ListParagraph"/>
              <w:numPr>
                <w:ilvl w:val="0"/>
                <w:numId w:val="10"/>
              </w:numPr>
              <w:spacing w:after="120"/>
              <w:ind w:left="567" w:hanging="567"/>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t xml:space="preserve">Elections of Bureaus </w:t>
            </w:r>
            <w:proofErr w:type="gramStart"/>
            <w:r w:rsidRPr="001A1AFE">
              <w:rPr>
                <w:rFonts w:ascii="Arial" w:hAnsi="Arial" w:cs="Arial"/>
                <w:snapToGrid w:val="0"/>
                <w:sz w:val="22"/>
                <w:szCs w:val="22"/>
                <w:lang w:val="en-US" w:eastAsia="en-US"/>
              </w:rPr>
              <w:t>should be held</w:t>
            </w:r>
            <w:proofErr w:type="gramEnd"/>
            <w:r w:rsidRPr="001A1AFE">
              <w:rPr>
                <w:rFonts w:ascii="Arial" w:hAnsi="Arial" w:cs="Arial"/>
                <w:snapToGrid w:val="0"/>
                <w:sz w:val="22"/>
                <w:szCs w:val="22"/>
                <w:lang w:val="en-US" w:eastAsia="en-US"/>
              </w:rPr>
              <w:t>, as much as possible, soon after elections for seats on the IIBs conducted at the General Conference, to avoid having Bureau members from Member States, which are no longer members of the IIBs concerned.</w:t>
            </w:r>
          </w:p>
          <w:p w14:paraId="5B565E58" w14:textId="77777777" w:rsidR="009B7C08" w:rsidRPr="00874122" w:rsidRDefault="009B7C08" w:rsidP="00B04CDE">
            <w:pPr>
              <w:spacing w:after="120"/>
              <w:jc w:val="both"/>
              <w:rPr>
                <w:rFonts w:ascii="Arial" w:hAnsi="Arial" w:cs="Arial"/>
                <w:snapToGrid w:val="0"/>
                <w:sz w:val="22"/>
                <w:szCs w:val="22"/>
                <w:lang w:val="en-US" w:eastAsia="en-US"/>
              </w:rPr>
            </w:pPr>
            <w:r w:rsidRPr="0049025A">
              <w:rPr>
                <w:rFonts w:ascii="Arial" w:hAnsi="Arial" w:cs="Arial"/>
                <w:b/>
                <w:bCs/>
                <w:snapToGrid w:val="0"/>
                <w:sz w:val="22"/>
                <w:szCs w:val="22"/>
                <w:lang w:val="en-GB" w:eastAsia="en-US"/>
              </w:rPr>
              <w:t>Closed</w:t>
            </w:r>
          </w:p>
        </w:tc>
        <w:tc>
          <w:tcPr>
            <w:tcW w:w="8330" w:type="dxa"/>
          </w:tcPr>
          <w:p w14:paraId="70B66121" w14:textId="338B7F1F" w:rsidR="009B7C08" w:rsidRPr="0049025A" w:rsidRDefault="0086739C" w:rsidP="00BA681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A22328">
              <w:rPr>
                <w:rFonts w:ascii="Arial" w:hAnsi="Arial" w:cs="Arial"/>
                <w:b/>
                <w:snapToGrid w:val="0"/>
                <w:sz w:val="22"/>
                <w:szCs w:val="22"/>
                <w:lang w:val="en-GB" w:eastAsia="en-US"/>
              </w:rPr>
              <w:t>Closed since 7.GA</w:t>
            </w:r>
            <w:r w:rsidR="00726ADA">
              <w:rPr>
                <w:rFonts w:ascii="Arial" w:hAnsi="Arial" w:cs="Arial"/>
                <w:b/>
                <w:snapToGrid w:val="0"/>
                <w:sz w:val="22"/>
                <w:szCs w:val="22"/>
                <w:lang w:val="en-GB" w:eastAsia="en-US"/>
              </w:rPr>
              <w:t xml:space="preserve"> </w:t>
            </w:r>
            <w:r w:rsidR="00726ADA" w:rsidRPr="00A22328">
              <w:rPr>
                <w:rFonts w:ascii="Arial" w:hAnsi="Arial" w:cs="Arial"/>
                <w:sz w:val="20"/>
                <w:szCs w:val="20"/>
                <w:lang w:val="en-GB"/>
              </w:rPr>
              <w:t xml:space="preserve">(See document </w:t>
            </w:r>
            <w:hyperlink r:id="rId56" w:history="1">
              <w:r w:rsidR="00726ADA" w:rsidRPr="002B4145">
                <w:rPr>
                  <w:rStyle w:val="Hyperlink"/>
                  <w:rFonts w:ascii="Arial" w:hAnsi="Arial" w:cs="Arial"/>
                  <w:sz w:val="20"/>
                  <w:szCs w:val="20"/>
                  <w:lang w:val="en-GB"/>
                </w:rPr>
                <w:t>ITH/18/7.GA/12</w:t>
              </w:r>
            </w:hyperlink>
            <w:r w:rsidR="00726ADA">
              <w:rPr>
                <w:rFonts w:ascii="Arial" w:hAnsi="Arial" w:cs="Arial"/>
                <w:sz w:val="20"/>
                <w:szCs w:val="20"/>
                <w:lang w:val="en-GB"/>
              </w:rPr>
              <w:t>)</w:t>
            </w:r>
          </w:p>
        </w:tc>
      </w:tr>
      <w:tr w:rsidR="009B7C08" w:rsidRPr="00884518" w14:paraId="50F33FEC" w14:textId="77777777" w:rsidTr="001A1AFE">
        <w:trPr>
          <w:jc w:val="center"/>
        </w:trPr>
        <w:tc>
          <w:tcPr>
            <w:tcW w:w="5946" w:type="dxa"/>
          </w:tcPr>
          <w:p w14:paraId="1F319284" w14:textId="3B76AA15" w:rsidR="009B7C08" w:rsidRPr="00874122" w:rsidRDefault="000157EF" w:rsidP="00A741D3">
            <w:pPr>
              <w:pStyle w:val="ListParagraph"/>
              <w:numPr>
                <w:ilvl w:val="0"/>
                <w:numId w:val="10"/>
              </w:numPr>
              <w:spacing w:after="120"/>
              <w:ind w:left="567" w:hanging="567"/>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t>As much as feasible, Bureau meetings should be open to observers and working methods made more transparent.</w:t>
            </w:r>
          </w:p>
          <w:p w14:paraId="4BCEA0ED" w14:textId="1C1C5F3D" w:rsidR="009B7C08" w:rsidRPr="00874122" w:rsidRDefault="00373083" w:rsidP="00373083">
            <w:pPr>
              <w:spacing w:after="120"/>
              <w:jc w:val="both"/>
              <w:rPr>
                <w:rFonts w:ascii="Arial" w:hAnsi="Arial" w:cs="Arial"/>
                <w:snapToGrid w:val="0"/>
                <w:sz w:val="22"/>
                <w:szCs w:val="22"/>
                <w:lang w:val="en-US" w:eastAsia="en-US"/>
              </w:rPr>
            </w:pPr>
            <w:r w:rsidRPr="00362E48">
              <w:rPr>
                <w:rFonts w:ascii="Arial" w:hAnsi="Arial" w:cs="Arial"/>
                <w:b/>
                <w:bCs/>
                <w:sz w:val="22"/>
                <w:szCs w:val="22"/>
                <w:lang w:val="en-GB"/>
              </w:rPr>
              <w:t xml:space="preserve">Closed </w:t>
            </w:r>
          </w:p>
        </w:tc>
        <w:tc>
          <w:tcPr>
            <w:tcW w:w="8330" w:type="dxa"/>
          </w:tcPr>
          <w:p w14:paraId="51008F2B" w14:textId="77777777" w:rsidR="009B7C08"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49025A">
              <w:rPr>
                <w:rFonts w:ascii="Arial" w:hAnsi="Arial" w:cs="Arial"/>
                <w:snapToGrid w:val="0"/>
                <w:sz w:val="22"/>
                <w:szCs w:val="22"/>
                <w:lang w:val="en-GB" w:eastAsia="en-US"/>
              </w:rPr>
              <w:t>There is no relevant rule in the Rules of Procedure of the General Assembly</w:t>
            </w:r>
            <w:r>
              <w:rPr>
                <w:rFonts w:ascii="Arial" w:hAnsi="Arial" w:cs="Arial"/>
                <w:snapToGrid w:val="0"/>
                <w:sz w:val="22"/>
                <w:szCs w:val="22"/>
                <w:lang w:val="en-GB" w:eastAsia="en-US"/>
              </w:rPr>
              <w:t>.</w:t>
            </w:r>
            <w:r w:rsidRPr="0049025A">
              <w:rPr>
                <w:rFonts w:ascii="Arial" w:hAnsi="Arial" w:cs="Arial"/>
                <w:snapToGrid w:val="0"/>
                <w:sz w:val="22"/>
                <w:szCs w:val="22"/>
                <w:lang w:val="en-GB" w:eastAsia="en-US"/>
              </w:rPr>
              <w:t xml:space="preserve"> </w:t>
            </w:r>
            <w:r>
              <w:rPr>
                <w:rFonts w:ascii="Arial" w:hAnsi="Arial" w:cs="Arial"/>
                <w:snapToGrid w:val="0"/>
                <w:sz w:val="22"/>
                <w:szCs w:val="22"/>
                <w:lang w:val="en-GB" w:eastAsia="en-US"/>
              </w:rPr>
              <w:t>H</w:t>
            </w:r>
            <w:r w:rsidRPr="0049025A">
              <w:rPr>
                <w:rFonts w:ascii="Arial" w:hAnsi="Arial" w:cs="Arial"/>
                <w:snapToGrid w:val="0"/>
                <w:sz w:val="22"/>
                <w:szCs w:val="22"/>
                <w:lang w:val="en-GB" w:eastAsia="en-US"/>
              </w:rPr>
              <w:t xml:space="preserve">owever, </w:t>
            </w:r>
            <w:r>
              <w:rPr>
                <w:rFonts w:ascii="Arial" w:hAnsi="Arial" w:cs="Arial"/>
                <w:snapToGrid w:val="0"/>
                <w:sz w:val="22"/>
                <w:szCs w:val="22"/>
                <w:lang w:val="en-GB" w:eastAsia="en-US"/>
              </w:rPr>
              <w:t>in</w:t>
            </w:r>
            <w:r w:rsidRPr="0049025A">
              <w:rPr>
                <w:rFonts w:ascii="Arial" w:hAnsi="Arial" w:cs="Arial"/>
                <w:snapToGrid w:val="0"/>
                <w:sz w:val="22"/>
                <w:szCs w:val="22"/>
                <w:lang w:val="en-GB" w:eastAsia="en-US"/>
              </w:rPr>
              <w:t xml:space="preserve"> practice, the meetings of the Bureau of the General Assembly are open to observers. </w:t>
            </w:r>
            <w:r w:rsidRPr="00874122">
              <w:rPr>
                <w:rFonts w:ascii="Arial" w:hAnsi="Arial" w:cs="Arial"/>
                <w:snapToGrid w:val="0"/>
                <w:sz w:val="22"/>
                <w:szCs w:val="22"/>
                <w:lang w:val="en-GB" w:eastAsia="en-US"/>
              </w:rPr>
              <w:t>The General Assembly may decide to amend its Rules of Procedure to reflect this recommendation or continue with the current practice.</w:t>
            </w:r>
          </w:p>
          <w:p w14:paraId="1D81541E" w14:textId="20BD864B" w:rsidR="00310F56" w:rsidRPr="00373083" w:rsidRDefault="00E02E4E" w:rsidP="0039162F">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373083">
              <w:rPr>
                <w:rFonts w:ascii="Arial" w:hAnsi="Arial" w:cs="Arial"/>
                <w:snapToGrid w:val="0"/>
                <w:sz w:val="22"/>
                <w:szCs w:val="22"/>
                <w:lang w:val="en-GB" w:eastAsia="en-US"/>
              </w:rPr>
              <w:t xml:space="preserve">In </w:t>
            </w:r>
            <w:r w:rsidR="007C0E13" w:rsidRPr="00373083">
              <w:rPr>
                <w:rFonts w:ascii="Arial" w:hAnsi="Arial" w:cs="Arial"/>
                <w:snapToGrid w:val="0"/>
                <w:sz w:val="22"/>
                <w:szCs w:val="22"/>
                <w:lang w:val="en-GB" w:eastAsia="en-US"/>
              </w:rPr>
              <w:t>accordance with</w:t>
            </w:r>
            <w:r w:rsidR="00310F56" w:rsidRPr="00373083">
              <w:rPr>
                <w:rFonts w:ascii="Arial" w:hAnsi="Arial" w:cs="Arial"/>
                <w:snapToGrid w:val="0"/>
                <w:sz w:val="22"/>
                <w:szCs w:val="22"/>
                <w:lang w:val="en-GB" w:eastAsia="en-US"/>
              </w:rPr>
              <w:t xml:space="preserve"> Resolutions </w:t>
            </w:r>
            <w:hyperlink r:id="rId57" w:history="1">
              <w:r w:rsidR="001B1D24" w:rsidRPr="002D38E3">
                <w:rPr>
                  <w:rStyle w:val="Hyperlink"/>
                  <w:rFonts w:ascii="Arial" w:hAnsi="Arial" w:cs="Arial"/>
                  <w:snapToGrid w:val="0"/>
                  <w:sz w:val="22"/>
                  <w:szCs w:val="22"/>
                  <w:lang w:val="en-GB" w:eastAsia="en-US"/>
                </w:rPr>
                <w:t>7.GA </w:t>
              </w:r>
              <w:r w:rsidR="00310F56" w:rsidRPr="002D38E3">
                <w:rPr>
                  <w:rStyle w:val="Hyperlink"/>
                  <w:rFonts w:ascii="Arial" w:hAnsi="Arial" w:cs="Arial"/>
                  <w:snapToGrid w:val="0"/>
                  <w:sz w:val="22"/>
                  <w:szCs w:val="22"/>
                  <w:lang w:val="en-GB" w:eastAsia="en-US"/>
                </w:rPr>
                <w:t>12</w:t>
              </w:r>
            </w:hyperlink>
            <w:r w:rsidR="00310F56" w:rsidRPr="00373083">
              <w:rPr>
                <w:rFonts w:ascii="Arial" w:hAnsi="Arial" w:cs="Arial"/>
                <w:snapToGrid w:val="0"/>
                <w:sz w:val="22"/>
                <w:szCs w:val="22"/>
                <w:lang w:val="en-GB" w:eastAsia="en-US"/>
              </w:rPr>
              <w:t xml:space="preserve"> and </w:t>
            </w:r>
            <w:hyperlink r:id="rId58" w:history="1">
              <w:r w:rsidR="001B1D24" w:rsidRPr="002D38E3">
                <w:rPr>
                  <w:rStyle w:val="Hyperlink"/>
                  <w:rFonts w:ascii="Arial" w:hAnsi="Arial" w:cs="Arial"/>
                  <w:snapToGrid w:val="0"/>
                  <w:sz w:val="22"/>
                  <w:szCs w:val="22"/>
                  <w:lang w:val="en-GB" w:eastAsia="en-US"/>
                </w:rPr>
                <w:t>7.GA </w:t>
              </w:r>
              <w:r w:rsidR="00310F56" w:rsidRPr="002D38E3">
                <w:rPr>
                  <w:rStyle w:val="Hyperlink"/>
                  <w:rFonts w:ascii="Arial" w:hAnsi="Arial" w:cs="Arial"/>
                  <w:snapToGrid w:val="0"/>
                  <w:sz w:val="22"/>
                  <w:szCs w:val="22"/>
                  <w:lang w:val="en-GB" w:eastAsia="en-US"/>
                </w:rPr>
                <w:t>13</w:t>
              </w:r>
            </w:hyperlink>
            <w:r w:rsidR="00310F56" w:rsidRPr="00373083">
              <w:rPr>
                <w:rFonts w:ascii="Arial" w:hAnsi="Arial" w:cs="Arial"/>
                <w:snapToGrid w:val="0"/>
                <w:sz w:val="22"/>
                <w:szCs w:val="22"/>
                <w:lang w:val="en-GB" w:eastAsia="en-US"/>
              </w:rPr>
              <w:t>, a revised set of the Rules of Procedure</w:t>
            </w:r>
            <w:r w:rsidR="0039162F" w:rsidRPr="00373083">
              <w:rPr>
                <w:rFonts w:ascii="Arial" w:hAnsi="Arial" w:cs="Arial"/>
                <w:snapToGrid w:val="0"/>
                <w:sz w:val="22"/>
                <w:szCs w:val="22"/>
                <w:lang w:val="en-GB" w:eastAsia="en-US"/>
              </w:rPr>
              <w:t xml:space="preserve"> of the General Assembly</w:t>
            </w:r>
            <w:r w:rsidR="00310F56" w:rsidRPr="00373083">
              <w:rPr>
                <w:rFonts w:ascii="Arial" w:hAnsi="Arial" w:cs="Arial"/>
                <w:snapToGrid w:val="0"/>
                <w:sz w:val="22"/>
                <w:szCs w:val="22"/>
                <w:lang w:val="en-GB" w:eastAsia="en-US"/>
              </w:rPr>
              <w:t xml:space="preserve"> </w:t>
            </w:r>
            <w:proofErr w:type="gramStart"/>
            <w:r w:rsidR="00310F56" w:rsidRPr="00373083">
              <w:rPr>
                <w:rFonts w:ascii="Arial" w:hAnsi="Arial" w:cs="Arial"/>
                <w:snapToGrid w:val="0"/>
                <w:sz w:val="22"/>
                <w:szCs w:val="22"/>
                <w:lang w:val="en-GB" w:eastAsia="en-US"/>
              </w:rPr>
              <w:t>will be presented</w:t>
            </w:r>
            <w:proofErr w:type="gramEnd"/>
            <w:r w:rsidR="00310F56" w:rsidRPr="00373083">
              <w:rPr>
                <w:rFonts w:ascii="Arial" w:hAnsi="Arial" w:cs="Arial"/>
                <w:snapToGrid w:val="0"/>
                <w:sz w:val="22"/>
                <w:szCs w:val="22"/>
                <w:lang w:val="en-GB" w:eastAsia="en-US"/>
              </w:rPr>
              <w:t xml:space="preserve"> to the eighth session of the General Assembly.</w:t>
            </w:r>
          </w:p>
          <w:p w14:paraId="0584C12B" w14:textId="77777777" w:rsidR="009B7C08" w:rsidRPr="0049025A"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49025A">
              <w:rPr>
                <w:rFonts w:ascii="Arial" w:hAnsi="Arial" w:cs="Arial"/>
                <w:snapToGrid w:val="0"/>
                <w:sz w:val="22"/>
                <w:szCs w:val="22"/>
                <w:lang w:val="en-US" w:eastAsia="en-US"/>
              </w:rPr>
              <w:t xml:space="preserve">According to </w:t>
            </w:r>
            <w:hyperlink r:id="rId59" w:anchor="Rule12" w:history="1">
              <w:r w:rsidRPr="0049025A">
                <w:rPr>
                  <w:rStyle w:val="Hyperlink"/>
                  <w:rFonts w:ascii="Arial" w:hAnsi="Arial" w:cs="Arial"/>
                  <w:snapToGrid w:val="0"/>
                  <w:sz w:val="22"/>
                  <w:szCs w:val="22"/>
                  <w:lang w:val="en-US" w:eastAsia="en-US"/>
                </w:rPr>
                <w:t>Rule 12.4</w:t>
              </w:r>
            </w:hyperlink>
            <w:r w:rsidRPr="0049025A">
              <w:rPr>
                <w:rFonts w:ascii="Arial" w:hAnsi="Arial" w:cs="Arial"/>
                <w:snapToGrid w:val="0"/>
                <w:sz w:val="22"/>
                <w:szCs w:val="22"/>
                <w:lang w:val="en-US" w:eastAsia="en-US"/>
              </w:rPr>
              <w:t xml:space="preserve"> of the Rules of Procedure of the Committee, ‘[t]he meetings of the Bureau of the Committee shall be open to Committee Members and States Parties as observers, unless decided otherwise by the Bureau. Observers may address the Bureau only with the prior consent of the Chairperson.’</w:t>
            </w:r>
          </w:p>
        </w:tc>
      </w:tr>
      <w:tr w:rsidR="009B7C08" w:rsidRPr="00884518" w14:paraId="0582EDDE" w14:textId="77777777" w:rsidTr="001A1AFE">
        <w:trPr>
          <w:jc w:val="center"/>
        </w:trPr>
        <w:tc>
          <w:tcPr>
            <w:tcW w:w="5946" w:type="dxa"/>
          </w:tcPr>
          <w:p w14:paraId="1EE82E82" w14:textId="321CC3F0" w:rsidR="009B7C08" w:rsidRPr="0000757E" w:rsidRDefault="009B7C08" w:rsidP="00B04CDE">
            <w:pPr>
              <w:pStyle w:val="ListParagraph"/>
              <w:spacing w:after="120"/>
              <w:ind w:left="567" w:hanging="567"/>
              <w:contextualSpacing w:val="0"/>
              <w:jc w:val="both"/>
              <w:rPr>
                <w:rFonts w:ascii="Arial" w:hAnsi="Arial" w:cs="Arial"/>
                <w:snapToGrid w:val="0"/>
                <w:sz w:val="22"/>
                <w:szCs w:val="22"/>
                <w:lang w:val="en-US" w:eastAsia="en-US"/>
              </w:rPr>
            </w:pPr>
            <w:proofErr w:type="gramStart"/>
            <w:r>
              <w:rPr>
                <w:rFonts w:ascii="Arial" w:hAnsi="Arial" w:cs="Arial"/>
                <w:snapToGrid w:val="0"/>
                <w:sz w:val="22"/>
                <w:szCs w:val="22"/>
                <w:lang w:val="en-US" w:eastAsia="en-US"/>
              </w:rPr>
              <w:t>73.</w:t>
            </w:r>
            <w:r>
              <w:rPr>
                <w:rFonts w:ascii="Arial" w:hAnsi="Arial" w:cs="Arial"/>
                <w:snapToGrid w:val="0"/>
                <w:sz w:val="22"/>
                <w:szCs w:val="22"/>
                <w:lang w:val="en-US" w:eastAsia="en-US"/>
              </w:rPr>
              <w:tab/>
            </w:r>
            <w:r w:rsidR="000157EF" w:rsidRPr="001A1AFE">
              <w:rPr>
                <w:rFonts w:ascii="Arial" w:hAnsi="Arial" w:cs="Arial"/>
                <w:snapToGrid w:val="0"/>
                <w:sz w:val="22"/>
                <w:szCs w:val="22"/>
                <w:lang w:val="en-US" w:eastAsia="en-US"/>
              </w:rPr>
              <w:t>Gender-neutral language be adopted</w:t>
            </w:r>
            <w:proofErr w:type="gramEnd"/>
            <w:r w:rsidR="000157EF" w:rsidRPr="001A1AFE">
              <w:rPr>
                <w:rFonts w:ascii="Arial" w:hAnsi="Arial" w:cs="Arial"/>
                <w:snapToGrid w:val="0"/>
                <w:sz w:val="22"/>
                <w:szCs w:val="22"/>
                <w:lang w:val="en-US" w:eastAsia="en-US"/>
              </w:rPr>
              <w:t xml:space="preserve"> throughout all UNESCO documents.</w:t>
            </w:r>
          </w:p>
          <w:p w14:paraId="4C4CE8AC" w14:textId="76F6CD19" w:rsidR="009B7C08" w:rsidRPr="00874122" w:rsidRDefault="00334F6F" w:rsidP="00B04CDE">
            <w:pPr>
              <w:spacing w:after="120"/>
              <w:jc w:val="both"/>
              <w:rPr>
                <w:rFonts w:ascii="Arial" w:hAnsi="Arial" w:cs="Arial"/>
                <w:snapToGrid w:val="0"/>
                <w:sz w:val="22"/>
                <w:szCs w:val="22"/>
                <w:lang w:val="en-US" w:eastAsia="en-US"/>
              </w:rPr>
            </w:pPr>
            <w:r>
              <w:rPr>
                <w:rFonts w:ascii="Arial" w:hAnsi="Arial" w:cs="Arial"/>
                <w:b/>
                <w:bCs/>
                <w:sz w:val="22"/>
                <w:szCs w:val="22"/>
                <w:lang w:val="en-GB"/>
              </w:rPr>
              <w:t>Closed</w:t>
            </w:r>
          </w:p>
        </w:tc>
        <w:tc>
          <w:tcPr>
            <w:tcW w:w="8330" w:type="dxa"/>
          </w:tcPr>
          <w:p w14:paraId="7DECEE67" w14:textId="38F32B4C" w:rsidR="00310F56" w:rsidRPr="00373083" w:rsidRDefault="00C7656F" w:rsidP="001B1D24">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1A1AFE">
              <w:rPr>
                <w:rFonts w:ascii="Arial" w:hAnsi="Arial" w:cs="Arial"/>
                <w:b/>
                <w:snapToGrid w:val="0"/>
                <w:sz w:val="22"/>
                <w:szCs w:val="22"/>
                <w:lang w:val="en-US" w:eastAsia="en-US"/>
              </w:rPr>
              <w:t xml:space="preserve">Closed since 13.COM </w:t>
            </w:r>
            <w:r w:rsidRPr="000157EF">
              <w:rPr>
                <w:rFonts w:ascii="Arial" w:hAnsi="Arial" w:cs="Arial"/>
                <w:sz w:val="20"/>
                <w:szCs w:val="20"/>
                <w:lang w:val="en-GB"/>
              </w:rPr>
              <w:t>(See</w:t>
            </w:r>
            <w:r w:rsidRPr="00362E48">
              <w:rPr>
                <w:rFonts w:ascii="Arial" w:hAnsi="Arial" w:cs="Arial"/>
                <w:sz w:val="20"/>
                <w:szCs w:val="20"/>
                <w:lang w:val="en-GB"/>
              </w:rPr>
              <w:t xml:space="preserve"> document </w:t>
            </w:r>
            <w:hyperlink r:id="rId60" w:history="1">
              <w:r w:rsidRPr="000B0492">
                <w:rPr>
                  <w:rStyle w:val="Hyperlink"/>
                  <w:rFonts w:ascii="Arial" w:hAnsi="Arial" w:cs="Arial"/>
                  <w:sz w:val="20"/>
                  <w:szCs w:val="20"/>
                  <w:lang w:val="en-GB"/>
                </w:rPr>
                <w:t>ITH/18/13.COM/17</w:t>
              </w:r>
            </w:hyperlink>
            <w:r w:rsidRPr="000E48F7">
              <w:rPr>
                <w:rFonts w:ascii="Arial" w:hAnsi="Arial" w:cs="Arial"/>
                <w:sz w:val="20"/>
                <w:szCs w:val="20"/>
                <w:lang w:val="en-GB"/>
              </w:rPr>
              <w:t>)</w:t>
            </w:r>
          </w:p>
        </w:tc>
      </w:tr>
      <w:tr w:rsidR="009B7C08" w:rsidRPr="00884518" w14:paraId="1C06998F" w14:textId="77777777" w:rsidTr="001A1AFE">
        <w:trPr>
          <w:trHeight w:val="340"/>
          <w:jc w:val="center"/>
        </w:trPr>
        <w:tc>
          <w:tcPr>
            <w:tcW w:w="14276" w:type="dxa"/>
            <w:gridSpan w:val="2"/>
            <w:shd w:val="clear" w:color="auto" w:fill="F2F2F2" w:themeFill="background1" w:themeFillShade="F2"/>
          </w:tcPr>
          <w:p w14:paraId="0AEC0849" w14:textId="77777777" w:rsidR="009B7C08" w:rsidRPr="0050450D" w:rsidRDefault="009B7C08" w:rsidP="00B04CDE">
            <w:pPr>
              <w:keepNext/>
              <w:rPr>
                <w:rFonts w:ascii="Arial" w:hAnsi="Arial" w:cs="Arial"/>
                <w:b/>
                <w:snapToGrid w:val="0"/>
                <w:sz w:val="22"/>
                <w:szCs w:val="22"/>
                <w:lang w:val="en-GB" w:eastAsia="en-US"/>
              </w:rPr>
            </w:pPr>
            <w:r w:rsidRPr="0049025A">
              <w:rPr>
                <w:rFonts w:ascii="Arial" w:hAnsi="Arial" w:cs="Arial"/>
                <w:b/>
                <w:snapToGrid w:val="0"/>
                <w:sz w:val="22"/>
                <w:szCs w:val="22"/>
                <w:lang w:val="en-GB" w:eastAsia="en-US"/>
              </w:rPr>
              <w:lastRenderedPageBreak/>
              <w:t xml:space="preserve">Alignment with </w:t>
            </w:r>
            <w:r w:rsidRPr="0050450D">
              <w:rPr>
                <w:rFonts w:ascii="Arial" w:hAnsi="Arial" w:cs="Arial"/>
                <w:b/>
                <w:snapToGrid w:val="0"/>
                <w:sz w:val="22"/>
                <w:szCs w:val="22"/>
                <w:lang w:val="en-GB" w:eastAsia="en-US"/>
              </w:rPr>
              <w:t>overarching priorities of UNESCO</w:t>
            </w:r>
          </w:p>
        </w:tc>
      </w:tr>
      <w:tr w:rsidR="003E12EF" w:rsidRPr="00884518" w14:paraId="2AD61224" w14:textId="77777777" w:rsidTr="001A1AFE">
        <w:trPr>
          <w:jc w:val="center"/>
        </w:trPr>
        <w:tc>
          <w:tcPr>
            <w:tcW w:w="5946" w:type="dxa"/>
          </w:tcPr>
          <w:p w14:paraId="2880FCE0" w14:textId="0975549A" w:rsidR="003E12EF" w:rsidRPr="00362E48" w:rsidRDefault="003E12EF" w:rsidP="00362E48">
            <w:pPr>
              <w:pStyle w:val="ListParagraph"/>
              <w:numPr>
                <w:ilvl w:val="0"/>
                <w:numId w:val="24"/>
              </w:numPr>
              <w:spacing w:after="120"/>
              <w:ind w:left="593" w:hanging="593"/>
              <w:contextualSpacing w:val="0"/>
              <w:jc w:val="both"/>
              <w:rPr>
                <w:rFonts w:ascii="Arial" w:hAnsi="Arial" w:cs="Arial"/>
                <w:snapToGrid w:val="0"/>
                <w:sz w:val="22"/>
                <w:szCs w:val="22"/>
                <w:lang w:val="en-US" w:eastAsia="en-US"/>
              </w:rPr>
            </w:pPr>
            <w:r w:rsidRPr="00362E48">
              <w:rPr>
                <w:rFonts w:ascii="Arial" w:hAnsi="Arial" w:cs="Arial"/>
                <w:sz w:val="22"/>
                <w:szCs w:val="22"/>
                <w:lang w:val="en-GB"/>
              </w:rPr>
              <w:t>All IIBs should have the opportunity to submit formal inputs to the mid-term strategy C/4 and the draft Programme and Budget C/5 documents of UNESCO</w:t>
            </w:r>
            <w:r w:rsidR="000E48F7">
              <w:rPr>
                <w:rFonts w:ascii="Arial" w:hAnsi="Arial" w:cs="Arial"/>
                <w:sz w:val="22"/>
                <w:szCs w:val="22"/>
                <w:lang w:val="en-GB"/>
              </w:rPr>
              <w:t>.</w:t>
            </w:r>
          </w:p>
          <w:p w14:paraId="21DF1597" w14:textId="03A1E4D2" w:rsidR="00F40207" w:rsidRPr="00362E48" w:rsidRDefault="00F40207" w:rsidP="00362E48">
            <w:pPr>
              <w:spacing w:after="120"/>
              <w:jc w:val="both"/>
              <w:rPr>
                <w:rFonts w:ascii="Arial" w:hAnsi="Arial" w:cs="Arial"/>
                <w:snapToGrid w:val="0"/>
                <w:sz w:val="22"/>
                <w:szCs w:val="22"/>
                <w:lang w:val="en-US" w:eastAsia="en-US"/>
              </w:rPr>
            </w:pPr>
            <w:r w:rsidRPr="00362E48">
              <w:rPr>
                <w:rFonts w:ascii="Arial" w:hAnsi="Arial" w:cs="Arial"/>
                <w:b/>
                <w:bCs/>
                <w:sz w:val="22"/>
                <w:szCs w:val="22"/>
                <w:lang w:val="en-GB"/>
              </w:rPr>
              <w:t>Ongoing</w:t>
            </w:r>
          </w:p>
        </w:tc>
        <w:tc>
          <w:tcPr>
            <w:tcW w:w="8330" w:type="dxa"/>
          </w:tcPr>
          <w:p w14:paraId="064BF3D6" w14:textId="5B029D94" w:rsidR="003E12EF" w:rsidRPr="00362E48" w:rsidRDefault="003E12EF">
            <w:pPr>
              <w:pStyle w:val="ListParagraph"/>
              <w:numPr>
                <w:ilvl w:val="0"/>
                <w:numId w:val="7"/>
              </w:numPr>
              <w:spacing w:after="120"/>
              <w:ind w:left="357" w:hanging="357"/>
              <w:contextualSpacing w:val="0"/>
              <w:jc w:val="both"/>
              <w:rPr>
                <w:rFonts w:ascii="Arial" w:hAnsi="Arial" w:cs="Arial"/>
                <w:b/>
                <w:snapToGrid w:val="0"/>
                <w:sz w:val="22"/>
                <w:szCs w:val="22"/>
                <w:u w:val="single"/>
                <w:lang w:val="en-US" w:eastAsia="en-US"/>
              </w:rPr>
            </w:pPr>
            <w:r w:rsidRPr="00362E48">
              <w:rPr>
                <w:rFonts w:ascii="Arial" w:hAnsi="Arial" w:cs="Arial"/>
                <w:b/>
                <w:snapToGrid w:val="0"/>
                <w:sz w:val="22"/>
                <w:szCs w:val="22"/>
                <w:u w:val="single"/>
                <w:lang w:val="en-US" w:eastAsia="en-US"/>
              </w:rPr>
              <w:t>Update:</w:t>
            </w:r>
            <w:r w:rsidRPr="00362E48">
              <w:rPr>
                <w:rFonts w:ascii="Arial" w:hAnsi="Arial" w:cs="Arial"/>
                <w:snapToGrid w:val="0"/>
                <w:sz w:val="22"/>
                <w:szCs w:val="22"/>
                <w:u w:val="single"/>
                <w:lang w:val="en-US" w:eastAsia="en-US"/>
              </w:rPr>
              <w:t xml:space="preserve"> </w:t>
            </w:r>
            <w:r w:rsidR="000754AF" w:rsidRPr="00362E48">
              <w:rPr>
                <w:rFonts w:ascii="Arial" w:hAnsi="Arial" w:cs="Arial"/>
                <w:snapToGrid w:val="0"/>
                <w:sz w:val="22"/>
                <w:szCs w:val="22"/>
                <w:u w:val="single"/>
                <w:lang w:val="en-US" w:eastAsia="en-US"/>
              </w:rPr>
              <w:t>In line with Recommendation 74 and w</w:t>
            </w:r>
            <w:r w:rsidRPr="00362E48">
              <w:rPr>
                <w:rFonts w:ascii="Arial" w:hAnsi="Arial" w:cs="Arial"/>
                <w:snapToGrid w:val="0"/>
                <w:sz w:val="22"/>
                <w:szCs w:val="22"/>
                <w:u w:val="single"/>
                <w:lang w:val="en-US" w:eastAsia="en-US"/>
              </w:rPr>
              <w:t xml:space="preserve">ithin the framework of Pillar 3 </w:t>
            </w:r>
            <w:r w:rsidR="000754AF">
              <w:rPr>
                <w:rFonts w:ascii="Arial" w:hAnsi="Arial" w:cs="Arial"/>
                <w:snapToGrid w:val="0"/>
                <w:sz w:val="22"/>
                <w:szCs w:val="22"/>
                <w:u w:val="single"/>
                <w:lang w:val="en-US" w:eastAsia="en-US"/>
              </w:rPr>
              <w:t xml:space="preserve">of </w:t>
            </w:r>
            <w:r w:rsidRPr="00362E48">
              <w:rPr>
                <w:rFonts w:ascii="Arial" w:hAnsi="Arial" w:cs="Arial"/>
                <w:snapToGrid w:val="0"/>
                <w:sz w:val="22"/>
                <w:szCs w:val="22"/>
                <w:u w:val="single"/>
                <w:lang w:val="en-US" w:eastAsia="en-US"/>
              </w:rPr>
              <w:t xml:space="preserve">the Strategic Transformation process initiated by the Director-General, </w:t>
            </w:r>
            <w:r w:rsidR="000754AF">
              <w:rPr>
                <w:rFonts w:ascii="Arial" w:hAnsi="Arial" w:cs="Arial"/>
                <w:snapToGrid w:val="0"/>
                <w:sz w:val="22"/>
                <w:szCs w:val="22"/>
                <w:u w:val="single"/>
                <w:lang w:val="en-US" w:eastAsia="en-US"/>
              </w:rPr>
              <w:t>a</w:t>
            </w:r>
            <w:r w:rsidR="00DC2A8A">
              <w:rPr>
                <w:rFonts w:ascii="Arial" w:hAnsi="Arial" w:cs="Arial"/>
                <w:snapToGrid w:val="0"/>
                <w:sz w:val="22"/>
                <w:szCs w:val="22"/>
                <w:u w:val="single"/>
                <w:lang w:val="en-US" w:eastAsia="en-US"/>
              </w:rPr>
              <w:t xml:space="preserve"> specific</w:t>
            </w:r>
            <w:r w:rsidR="000754AF" w:rsidRPr="00362E48">
              <w:rPr>
                <w:rFonts w:ascii="Arial" w:hAnsi="Arial" w:cs="Arial"/>
                <w:snapToGrid w:val="0"/>
                <w:sz w:val="22"/>
                <w:szCs w:val="22"/>
                <w:u w:val="single"/>
                <w:lang w:val="en-US" w:eastAsia="en-US"/>
              </w:rPr>
              <w:t xml:space="preserve"> item </w:t>
            </w:r>
            <w:r w:rsidR="000754AF">
              <w:rPr>
                <w:rFonts w:ascii="Arial" w:hAnsi="Arial" w:cs="Arial"/>
                <w:snapToGrid w:val="0"/>
                <w:sz w:val="22"/>
                <w:szCs w:val="22"/>
                <w:u w:val="single"/>
                <w:lang w:val="en-US" w:eastAsia="en-US"/>
              </w:rPr>
              <w:t xml:space="preserve">will be </w:t>
            </w:r>
            <w:r w:rsidR="00DC2A8A">
              <w:rPr>
                <w:rFonts w:ascii="Arial" w:hAnsi="Arial" w:cs="Arial"/>
                <w:snapToGrid w:val="0"/>
                <w:sz w:val="22"/>
                <w:szCs w:val="22"/>
                <w:u w:val="single"/>
                <w:lang w:val="en-US" w:eastAsia="en-US"/>
              </w:rPr>
              <w:t>inscribed</w:t>
            </w:r>
            <w:r w:rsidR="000754AF" w:rsidRPr="0040385A">
              <w:rPr>
                <w:rFonts w:ascii="Arial" w:hAnsi="Arial" w:cs="Arial"/>
                <w:snapToGrid w:val="0"/>
                <w:sz w:val="22"/>
                <w:szCs w:val="22"/>
                <w:u w:val="single"/>
                <w:lang w:val="en-US" w:eastAsia="en-US"/>
              </w:rPr>
              <w:t xml:space="preserve"> </w:t>
            </w:r>
            <w:r w:rsidR="00DC2A8A">
              <w:rPr>
                <w:rFonts w:ascii="Arial" w:hAnsi="Arial" w:cs="Arial"/>
                <w:snapToGrid w:val="0"/>
                <w:sz w:val="22"/>
                <w:szCs w:val="22"/>
                <w:u w:val="single"/>
                <w:lang w:val="en-US" w:eastAsia="en-US"/>
              </w:rPr>
              <w:t>on</w:t>
            </w:r>
            <w:r w:rsidR="000754AF" w:rsidRPr="0040385A">
              <w:rPr>
                <w:rFonts w:ascii="Arial" w:hAnsi="Arial" w:cs="Arial"/>
                <w:snapToGrid w:val="0"/>
                <w:sz w:val="22"/>
                <w:szCs w:val="22"/>
                <w:u w:val="single"/>
                <w:lang w:val="en-US" w:eastAsia="en-US"/>
              </w:rPr>
              <w:t xml:space="preserve"> the agenda of the </w:t>
            </w:r>
            <w:r w:rsidR="00DC2A8A">
              <w:rPr>
                <w:rFonts w:ascii="Arial" w:hAnsi="Arial" w:cs="Arial"/>
                <w:snapToGrid w:val="0"/>
                <w:sz w:val="22"/>
                <w:szCs w:val="22"/>
                <w:u w:val="single"/>
                <w:lang w:val="en-US" w:eastAsia="en-US"/>
              </w:rPr>
              <w:t xml:space="preserve">eighth session of the </w:t>
            </w:r>
            <w:r w:rsidR="000754AF" w:rsidRPr="0040385A">
              <w:rPr>
                <w:rFonts w:ascii="Arial" w:hAnsi="Arial" w:cs="Arial"/>
                <w:snapToGrid w:val="0"/>
                <w:sz w:val="22"/>
                <w:szCs w:val="22"/>
                <w:u w:val="single"/>
                <w:lang w:val="en-US" w:eastAsia="en-US"/>
              </w:rPr>
              <w:t>General Assembly</w:t>
            </w:r>
            <w:r w:rsidR="00DC2A8A">
              <w:rPr>
                <w:rFonts w:ascii="Arial" w:hAnsi="Arial" w:cs="Arial"/>
                <w:snapToGrid w:val="0"/>
                <w:sz w:val="22"/>
                <w:szCs w:val="22"/>
                <w:u w:val="single"/>
                <w:lang w:val="en-US" w:eastAsia="en-US"/>
              </w:rPr>
              <w:t xml:space="preserve">, in 2020, </w:t>
            </w:r>
            <w:r w:rsidR="000754AF" w:rsidRPr="00362E48">
              <w:rPr>
                <w:rFonts w:ascii="Arial" w:hAnsi="Arial" w:cs="Arial"/>
                <w:snapToGrid w:val="0"/>
                <w:sz w:val="22"/>
                <w:szCs w:val="22"/>
                <w:u w:val="single"/>
                <w:lang w:val="en-US" w:eastAsia="en-US"/>
              </w:rPr>
              <w:t>as part of the consultation process</w:t>
            </w:r>
            <w:r w:rsidR="000754AF">
              <w:rPr>
                <w:rFonts w:ascii="Arial" w:hAnsi="Arial" w:cs="Arial"/>
                <w:snapToGrid w:val="0"/>
                <w:sz w:val="22"/>
                <w:szCs w:val="22"/>
                <w:u w:val="single"/>
                <w:lang w:val="en-US" w:eastAsia="en-US"/>
              </w:rPr>
              <w:t xml:space="preserve"> </w:t>
            </w:r>
            <w:r w:rsidR="000754AF" w:rsidRPr="00362E48">
              <w:rPr>
                <w:rFonts w:ascii="Arial" w:hAnsi="Arial" w:cs="Arial"/>
                <w:snapToGrid w:val="0"/>
                <w:sz w:val="22"/>
                <w:szCs w:val="22"/>
                <w:u w:val="single"/>
                <w:lang w:val="en-US" w:eastAsia="en-US"/>
              </w:rPr>
              <w:t>on the preparation of the C/4 and C/5.</w:t>
            </w:r>
            <w:r w:rsidR="000754AF" w:rsidRPr="00362E48">
              <w:rPr>
                <w:rFonts w:ascii="Arial" w:hAnsi="Arial" w:cs="Arial"/>
                <w:b/>
                <w:snapToGrid w:val="0"/>
                <w:sz w:val="22"/>
                <w:szCs w:val="22"/>
                <w:u w:val="single"/>
                <w:lang w:val="en-US" w:eastAsia="en-US"/>
              </w:rPr>
              <w:t xml:space="preserve"> </w:t>
            </w:r>
          </w:p>
        </w:tc>
      </w:tr>
      <w:tr w:rsidR="009B7C08" w:rsidRPr="00884518" w14:paraId="14429D69" w14:textId="77777777" w:rsidTr="001A1AFE">
        <w:trPr>
          <w:jc w:val="center"/>
        </w:trPr>
        <w:tc>
          <w:tcPr>
            <w:tcW w:w="5946" w:type="dxa"/>
          </w:tcPr>
          <w:p w14:paraId="443DCFE7" w14:textId="70DF4309" w:rsidR="009B7C08" w:rsidRPr="00324032" w:rsidRDefault="000157EF" w:rsidP="00362E48">
            <w:pPr>
              <w:pStyle w:val="ListParagraph"/>
              <w:numPr>
                <w:ilvl w:val="0"/>
                <w:numId w:val="25"/>
              </w:numPr>
              <w:spacing w:after="120"/>
              <w:ind w:left="593" w:hanging="567"/>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t xml:space="preserve">Orientation sessions for new members of all IIBs, especially for Chairpersons and Bureau members, should be institutionalized and include introduction to the C/4 and C/5 frameworks. To that end, a short user-friendly guidebook including good practices and acronyms </w:t>
            </w:r>
            <w:proofErr w:type="gramStart"/>
            <w:r w:rsidRPr="001A1AFE">
              <w:rPr>
                <w:rFonts w:ascii="Arial" w:hAnsi="Arial" w:cs="Arial"/>
                <w:snapToGrid w:val="0"/>
                <w:sz w:val="22"/>
                <w:szCs w:val="22"/>
                <w:lang w:val="en-US" w:eastAsia="en-US"/>
              </w:rPr>
              <w:t>could be produced</w:t>
            </w:r>
            <w:proofErr w:type="gramEnd"/>
            <w:r w:rsidRPr="001A1AFE">
              <w:rPr>
                <w:rFonts w:ascii="Arial" w:hAnsi="Arial" w:cs="Arial"/>
                <w:snapToGrid w:val="0"/>
                <w:sz w:val="22"/>
                <w:szCs w:val="22"/>
                <w:lang w:val="en-US" w:eastAsia="en-US"/>
              </w:rPr>
              <w:t xml:space="preserve"> to familiarize members with working methods and C/4 and C/5 mechanisms</w:t>
            </w:r>
            <w:r>
              <w:rPr>
                <w:rFonts w:ascii="Arial" w:hAnsi="Arial" w:cs="Arial"/>
                <w:snapToGrid w:val="0"/>
                <w:sz w:val="22"/>
                <w:szCs w:val="22"/>
                <w:lang w:val="en-US" w:eastAsia="en-US"/>
              </w:rPr>
              <w:t>.</w:t>
            </w:r>
          </w:p>
          <w:p w14:paraId="125D994D" w14:textId="18EF1E99" w:rsidR="009B7C08" w:rsidRPr="002D38E3" w:rsidRDefault="002B27AB" w:rsidP="002D38E3">
            <w:pPr>
              <w:spacing w:after="120"/>
              <w:jc w:val="both"/>
              <w:rPr>
                <w:rFonts w:ascii="Arial" w:hAnsi="Arial" w:cs="Arial"/>
                <w:b/>
                <w:bCs/>
                <w:snapToGrid w:val="0"/>
                <w:sz w:val="22"/>
                <w:szCs w:val="22"/>
                <w:highlight w:val="yellow"/>
                <w:lang w:val="en-GB" w:eastAsia="en-US"/>
              </w:rPr>
            </w:pPr>
            <w:r w:rsidRPr="00362E48">
              <w:rPr>
                <w:rFonts w:ascii="Arial" w:hAnsi="Arial" w:cs="Arial"/>
                <w:b/>
                <w:bCs/>
                <w:snapToGrid w:val="0"/>
                <w:sz w:val="22"/>
                <w:szCs w:val="22"/>
                <w:lang w:val="en-GB" w:eastAsia="en-US"/>
              </w:rPr>
              <w:t>C</w:t>
            </w:r>
            <w:r w:rsidR="00E02E4E" w:rsidRPr="00362E48">
              <w:rPr>
                <w:rFonts w:ascii="Arial" w:hAnsi="Arial" w:cs="Arial"/>
                <w:b/>
                <w:bCs/>
                <w:snapToGrid w:val="0"/>
                <w:sz w:val="22"/>
                <w:szCs w:val="22"/>
                <w:lang w:val="en-GB" w:eastAsia="en-US"/>
              </w:rPr>
              <w:t>losed</w:t>
            </w:r>
          </w:p>
        </w:tc>
        <w:tc>
          <w:tcPr>
            <w:tcW w:w="8330" w:type="dxa"/>
          </w:tcPr>
          <w:p w14:paraId="2BCEE448" w14:textId="00CABB03" w:rsidR="009B7C08" w:rsidRPr="00E02E4E"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E02E4E">
              <w:rPr>
                <w:rFonts w:ascii="Arial" w:hAnsi="Arial" w:cs="Arial"/>
                <w:snapToGrid w:val="0"/>
                <w:sz w:val="22"/>
                <w:szCs w:val="22"/>
                <w:lang w:val="en-US" w:eastAsia="en-US"/>
              </w:rPr>
              <w:t xml:space="preserve">With regard to the General Assembly, the Secretariat sends a welcome letter to each new State Party to the Convention, which draws their attention to the Basic Texts of the Convention and </w:t>
            </w:r>
            <w:r w:rsidR="00811ADE" w:rsidRPr="00E02E4E">
              <w:rPr>
                <w:rFonts w:ascii="Arial" w:hAnsi="Arial" w:cs="Arial"/>
                <w:snapToGrid w:val="0"/>
                <w:sz w:val="22"/>
                <w:szCs w:val="22"/>
                <w:lang w:val="en-US" w:eastAsia="en-US"/>
              </w:rPr>
              <w:t xml:space="preserve">provides </w:t>
            </w:r>
            <w:r w:rsidRPr="00E02E4E">
              <w:rPr>
                <w:rFonts w:ascii="Arial" w:hAnsi="Arial" w:cs="Arial"/>
                <w:snapToGrid w:val="0"/>
                <w:sz w:val="22"/>
                <w:szCs w:val="22"/>
                <w:lang w:val="en-US" w:eastAsia="en-US"/>
              </w:rPr>
              <w:t xml:space="preserve">them </w:t>
            </w:r>
            <w:r w:rsidR="00811ADE" w:rsidRPr="00E02E4E">
              <w:rPr>
                <w:rFonts w:ascii="Arial" w:hAnsi="Arial" w:cs="Arial"/>
                <w:snapToGrid w:val="0"/>
                <w:sz w:val="22"/>
                <w:szCs w:val="22"/>
                <w:lang w:val="en-US" w:eastAsia="en-US"/>
              </w:rPr>
              <w:t>with</w:t>
            </w:r>
            <w:r w:rsidRPr="00E02E4E">
              <w:rPr>
                <w:rFonts w:ascii="Arial" w:hAnsi="Arial" w:cs="Arial"/>
                <w:snapToGrid w:val="0"/>
                <w:sz w:val="22"/>
                <w:szCs w:val="22"/>
                <w:lang w:val="en-US" w:eastAsia="en-US"/>
              </w:rPr>
              <w:t xml:space="preserve"> the contact details of the officer designated to support them. The Chairperson </w:t>
            </w:r>
            <w:proofErr w:type="gramStart"/>
            <w:r w:rsidRPr="00E02E4E">
              <w:rPr>
                <w:rFonts w:ascii="Arial" w:hAnsi="Arial" w:cs="Arial"/>
                <w:snapToGrid w:val="0"/>
                <w:sz w:val="22"/>
                <w:szCs w:val="22"/>
                <w:lang w:val="en-US" w:eastAsia="en-US"/>
              </w:rPr>
              <w:t>is elected</w:t>
            </w:r>
            <w:proofErr w:type="gramEnd"/>
            <w:r w:rsidRPr="00E02E4E">
              <w:rPr>
                <w:rFonts w:ascii="Arial" w:hAnsi="Arial" w:cs="Arial"/>
                <w:snapToGrid w:val="0"/>
                <w:sz w:val="22"/>
                <w:szCs w:val="22"/>
                <w:lang w:val="en-US" w:eastAsia="en-US"/>
              </w:rPr>
              <w:t xml:space="preserve"> at the opening of each Session and therefore cannot receive an introduction in advance.</w:t>
            </w:r>
          </w:p>
          <w:p w14:paraId="3B1878AC" w14:textId="1A2C1943" w:rsidR="009B7C08" w:rsidRPr="00E02E4E"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E02E4E">
              <w:rPr>
                <w:rFonts w:ascii="Arial" w:hAnsi="Arial" w:cs="Arial"/>
                <w:snapToGrid w:val="0"/>
                <w:sz w:val="22"/>
                <w:szCs w:val="22"/>
                <w:lang w:val="en-GB" w:eastAsia="en-US"/>
              </w:rPr>
              <w:t xml:space="preserve">Regarding the </w:t>
            </w:r>
            <w:r w:rsidRPr="00E02E4E">
              <w:rPr>
                <w:rFonts w:ascii="Arial" w:hAnsi="Arial" w:cs="Arial"/>
                <w:snapToGrid w:val="0"/>
                <w:sz w:val="22"/>
                <w:szCs w:val="22"/>
                <w:lang w:val="en-US" w:eastAsia="en-US"/>
              </w:rPr>
              <w:t xml:space="preserve">Committee, during a preparatory mission to the Host Country (in March/April each year) the Secretary has face-to-face discussions with the Chairperson on </w:t>
            </w:r>
            <w:r w:rsidR="000E48F7">
              <w:rPr>
                <w:rFonts w:ascii="Arial" w:hAnsi="Arial" w:cs="Arial"/>
                <w:snapToGrid w:val="0"/>
                <w:sz w:val="22"/>
                <w:szCs w:val="22"/>
                <w:lang w:val="en-US" w:eastAsia="en-US"/>
              </w:rPr>
              <w:t xml:space="preserve">the </w:t>
            </w:r>
            <w:r w:rsidRPr="00E02E4E">
              <w:rPr>
                <w:rFonts w:ascii="Arial" w:hAnsi="Arial" w:cs="Arial"/>
                <w:snapToGrid w:val="0"/>
                <w:sz w:val="22"/>
                <w:szCs w:val="22"/>
                <w:lang w:val="en-US" w:eastAsia="en-US"/>
              </w:rPr>
              <w:t>agenda items, the role of the Chairperson, the Rules of Procedure of the Committee and the working methods.</w:t>
            </w:r>
          </w:p>
          <w:p w14:paraId="34DA2225" w14:textId="77777777" w:rsidR="009B7C08" w:rsidRPr="00E02E4E"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E02E4E">
              <w:rPr>
                <w:rFonts w:ascii="Arial" w:hAnsi="Arial" w:cs="Arial"/>
                <w:snapToGrid w:val="0"/>
                <w:sz w:val="22"/>
                <w:szCs w:val="22"/>
                <w:lang w:val="en-US" w:eastAsia="en-US"/>
              </w:rPr>
              <w:t xml:space="preserve">For States Members of the Committee, an orientation session </w:t>
            </w:r>
            <w:proofErr w:type="gramStart"/>
            <w:r w:rsidRPr="00E02E4E">
              <w:rPr>
                <w:rFonts w:ascii="Arial" w:hAnsi="Arial" w:cs="Arial"/>
                <w:snapToGrid w:val="0"/>
                <w:sz w:val="22"/>
                <w:szCs w:val="22"/>
                <w:lang w:val="en-US" w:eastAsia="en-US"/>
              </w:rPr>
              <w:t>is organized</w:t>
            </w:r>
            <w:proofErr w:type="gramEnd"/>
            <w:r w:rsidRPr="00E02E4E">
              <w:rPr>
                <w:rFonts w:ascii="Arial" w:hAnsi="Arial" w:cs="Arial"/>
                <w:snapToGrid w:val="0"/>
                <w:sz w:val="22"/>
                <w:szCs w:val="22"/>
                <w:lang w:val="en-US" w:eastAsia="en-US"/>
              </w:rPr>
              <w:t xml:space="preserve"> on the eve of the opening of the Committee session every even year when new Committee members are elected. Furthermore, an information and exchange session concerning the following Committee session </w:t>
            </w:r>
            <w:proofErr w:type="gramStart"/>
            <w:r w:rsidRPr="00E02E4E">
              <w:rPr>
                <w:rFonts w:ascii="Arial" w:hAnsi="Arial" w:cs="Arial"/>
                <w:snapToGrid w:val="0"/>
                <w:sz w:val="22"/>
                <w:szCs w:val="22"/>
                <w:lang w:val="en-US" w:eastAsia="en-US"/>
              </w:rPr>
              <w:t>is organized</w:t>
            </w:r>
            <w:proofErr w:type="gramEnd"/>
            <w:r w:rsidRPr="00E02E4E">
              <w:rPr>
                <w:rFonts w:ascii="Arial" w:hAnsi="Arial" w:cs="Arial"/>
                <w:snapToGrid w:val="0"/>
                <w:sz w:val="22"/>
                <w:szCs w:val="22"/>
                <w:lang w:val="en-US" w:eastAsia="en-US"/>
              </w:rPr>
              <w:t xml:space="preserve"> each year in October. To enable Committee Members to understand their tasks and responsibilities early after their election, the Secretariat may share relevant briefing documentation with new Committee members.</w:t>
            </w:r>
          </w:p>
          <w:p w14:paraId="2F5CC01B" w14:textId="1068A92D" w:rsidR="00026A2B" w:rsidRPr="00E02E4E" w:rsidRDefault="00026A2B" w:rsidP="00E02E4E">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E02E4E">
              <w:rPr>
                <w:rFonts w:ascii="Arial" w:hAnsi="Arial" w:cs="Arial"/>
                <w:snapToGrid w:val="0"/>
                <w:sz w:val="22"/>
                <w:szCs w:val="22"/>
                <w:lang w:val="en-US" w:eastAsia="en-US"/>
              </w:rPr>
              <w:t>Following the election of the twelv</w:t>
            </w:r>
            <w:r w:rsidR="00BA7F29" w:rsidRPr="00E02E4E">
              <w:rPr>
                <w:rFonts w:ascii="Arial" w:hAnsi="Arial" w:cs="Arial"/>
                <w:snapToGrid w:val="0"/>
                <w:sz w:val="22"/>
                <w:szCs w:val="22"/>
                <w:lang w:val="en-US" w:eastAsia="en-US"/>
              </w:rPr>
              <w:t>e new Committee members in June </w:t>
            </w:r>
            <w:r w:rsidRPr="00E02E4E">
              <w:rPr>
                <w:rFonts w:ascii="Arial" w:hAnsi="Arial" w:cs="Arial"/>
                <w:snapToGrid w:val="0"/>
                <w:sz w:val="22"/>
                <w:szCs w:val="22"/>
                <w:lang w:val="en-US" w:eastAsia="en-US"/>
              </w:rPr>
              <w:t xml:space="preserve">2018, </w:t>
            </w:r>
            <w:r w:rsidR="00E07816" w:rsidRPr="00E02E4E">
              <w:rPr>
                <w:rFonts w:ascii="Arial" w:hAnsi="Arial" w:cs="Arial"/>
                <w:snapToGrid w:val="0"/>
                <w:sz w:val="22"/>
                <w:szCs w:val="22"/>
                <w:lang w:val="en-US" w:eastAsia="en-US"/>
              </w:rPr>
              <w:t xml:space="preserve">the Secretariat sent a </w:t>
            </w:r>
            <w:r w:rsidR="00025677" w:rsidRPr="00E02E4E">
              <w:rPr>
                <w:rFonts w:ascii="Arial" w:hAnsi="Arial" w:cs="Arial"/>
                <w:snapToGrid w:val="0"/>
                <w:sz w:val="22"/>
                <w:szCs w:val="22"/>
                <w:lang w:val="en-US" w:eastAsia="en-US"/>
              </w:rPr>
              <w:t>g</w:t>
            </w:r>
            <w:r w:rsidR="008E2FC2" w:rsidRPr="00E02E4E">
              <w:rPr>
                <w:rFonts w:ascii="Arial" w:hAnsi="Arial" w:cs="Arial"/>
                <w:snapToGrid w:val="0"/>
                <w:sz w:val="22"/>
                <w:szCs w:val="22"/>
                <w:lang w:val="en-US" w:eastAsia="en-US"/>
              </w:rPr>
              <w:t xml:space="preserve">eneral </w:t>
            </w:r>
            <w:r w:rsidR="00025677" w:rsidRPr="00E02E4E">
              <w:rPr>
                <w:rFonts w:ascii="Arial" w:hAnsi="Arial" w:cs="Arial"/>
                <w:snapToGrid w:val="0"/>
                <w:sz w:val="22"/>
                <w:szCs w:val="22"/>
                <w:lang w:val="en-US" w:eastAsia="en-US"/>
              </w:rPr>
              <w:t>i</w:t>
            </w:r>
            <w:r w:rsidR="008E2FC2" w:rsidRPr="00E02E4E">
              <w:rPr>
                <w:rFonts w:ascii="Arial" w:hAnsi="Arial" w:cs="Arial"/>
                <w:snapToGrid w:val="0"/>
                <w:sz w:val="22"/>
                <w:szCs w:val="22"/>
                <w:lang w:val="en-US" w:eastAsia="en-US"/>
              </w:rPr>
              <w:t>ntroduction document</w:t>
            </w:r>
            <w:r w:rsidR="0029706C" w:rsidRPr="00E02E4E">
              <w:rPr>
                <w:rFonts w:ascii="Arial" w:hAnsi="Arial" w:cs="Arial"/>
                <w:snapToGrid w:val="0"/>
                <w:sz w:val="22"/>
                <w:szCs w:val="22"/>
                <w:lang w:val="en-US" w:eastAsia="en-US"/>
              </w:rPr>
              <w:t xml:space="preserve"> on the 2003 Convention to these</w:t>
            </w:r>
            <w:r w:rsidR="008E2FC2" w:rsidRPr="00E02E4E">
              <w:rPr>
                <w:rFonts w:ascii="Arial" w:hAnsi="Arial" w:cs="Arial"/>
                <w:snapToGrid w:val="0"/>
                <w:sz w:val="22"/>
                <w:szCs w:val="22"/>
                <w:lang w:val="en-US" w:eastAsia="en-US"/>
              </w:rPr>
              <w:t xml:space="preserve"> new members</w:t>
            </w:r>
            <w:r w:rsidR="0029706C" w:rsidRPr="00E02E4E">
              <w:rPr>
                <w:rFonts w:ascii="Arial" w:hAnsi="Arial" w:cs="Arial"/>
                <w:snapToGrid w:val="0"/>
                <w:sz w:val="22"/>
                <w:szCs w:val="22"/>
                <w:lang w:val="en-US" w:eastAsia="en-US"/>
              </w:rPr>
              <w:t xml:space="preserve">; in addition, an orientation session was </w:t>
            </w:r>
            <w:r w:rsidR="00811ADE" w:rsidRPr="00E02E4E">
              <w:rPr>
                <w:rFonts w:ascii="Arial" w:hAnsi="Arial" w:cs="Arial"/>
                <w:snapToGrid w:val="0"/>
                <w:sz w:val="22"/>
                <w:szCs w:val="22"/>
                <w:lang w:val="en-US" w:eastAsia="en-US"/>
              </w:rPr>
              <w:t>organized</w:t>
            </w:r>
            <w:r w:rsidR="0029706C" w:rsidRPr="00E02E4E">
              <w:rPr>
                <w:rFonts w:ascii="Arial" w:hAnsi="Arial" w:cs="Arial"/>
                <w:snapToGrid w:val="0"/>
                <w:sz w:val="22"/>
                <w:szCs w:val="22"/>
                <w:lang w:val="en-US" w:eastAsia="en-US"/>
              </w:rPr>
              <w:t xml:space="preserve"> during the exchange and information session, </w:t>
            </w:r>
            <w:r w:rsidR="0029706C" w:rsidRPr="00CC62BD">
              <w:rPr>
                <w:rFonts w:ascii="Arial" w:hAnsi="Arial" w:cs="Arial"/>
                <w:snapToGrid w:val="0"/>
                <w:sz w:val="22"/>
                <w:szCs w:val="22"/>
                <w:lang w:val="en-US" w:eastAsia="en-US"/>
              </w:rPr>
              <w:t>held on 2 October 2018, concerning the thirteenth session of the Committee.</w:t>
            </w:r>
          </w:p>
        </w:tc>
      </w:tr>
      <w:tr w:rsidR="009B7C08" w:rsidRPr="00C2060D" w14:paraId="650CAA3C" w14:textId="77777777" w:rsidTr="001A1AFE">
        <w:trPr>
          <w:trHeight w:val="340"/>
          <w:jc w:val="center"/>
        </w:trPr>
        <w:tc>
          <w:tcPr>
            <w:tcW w:w="14276" w:type="dxa"/>
            <w:gridSpan w:val="2"/>
            <w:tcBorders>
              <w:right w:val="single" w:sz="4" w:space="0" w:color="auto"/>
            </w:tcBorders>
            <w:shd w:val="clear" w:color="auto" w:fill="F2F2F2"/>
            <w:vAlign w:val="center"/>
          </w:tcPr>
          <w:p w14:paraId="5A9D7133" w14:textId="77777777" w:rsidR="009B7C08" w:rsidRPr="003E5477" w:rsidRDefault="009B7C08" w:rsidP="00B04CDE">
            <w:pPr>
              <w:keepNext/>
              <w:rPr>
                <w:rFonts w:ascii="Arial" w:hAnsi="Arial" w:cs="Arial"/>
                <w:b/>
                <w:snapToGrid w:val="0"/>
                <w:sz w:val="22"/>
                <w:szCs w:val="22"/>
                <w:lang w:val="en-GB" w:eastAsia="en-US"/>
              </w:rPr>
            </w:pPr>
            <w:r w:rsidRPr="00A7341F">
              <w:rPr>
                <w:rFonts w:ascii="Arial" w:hAnsi="Arial" w:cs="Arial"/>
                <w:b/>
                <w:snapToGrid w:val="0"/>
                <w:sz w:val="22"/>
                <w:szCs w:val="22"/>
                <w:lang w:val="en-GB" w:eastAsia="en-US"/>
              </w:rPr>
              <w:t>Coherence, coordination and synergies</w:t>
            </w:r>
          </w:p>
        </w:tc>
      </w:tr>
      <w:tr w:rsidR="009B7C08" w:rsidRPr="00884518" w14:paraId="3CC9B07B" w14:textId="77777777" w:rsidTr="001A1AFE">
        <w:trPr>
          <w:jc w:val="center"/>
        </w:trPr>
        <w:tc>
          <w:tcPr>
            <w:tcW w:w="5946" w:type="dxa"/>
          </w:tcPr>
          <w:p w14:paraId="31EBB18A" w14:textId="401B96B2" w:rsidR="009B7C08" w:rsidRDefault="00876096" w:rsidP="00A741D3">
            <w:pPr>
              <w:pStyle w:val="ListParagraph"/>
              <w:numPr>
                <w:ilvl w:val="0"/>
                <w:numId w:val="12"/>
              </w:numPr>
              <w:spacing w:after="120"/>
              <w:ind w:left="567" w:hanging="567"/>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t>Use of languages for inclusivity and effectiveness remains an important objective.</w:t>
            </w:r>
          </w:p>
          <w:p w14:paraId="3A06CAA2" w14:textId="77777777" w:rsidR="009B7C08" w:rsidRPr="00E863FC" w:rsidRDefault="009B7C08" w:rsidP="00B04CDE">
            <w:pPr>
              <w:spacing w:after="120"/>
              <w:jc w:val="both"/>
              <w:rPr>
                <w:rFonts w:ascii="Arial" w:hAnsi="Arial" w:cs="Arial"/>
                <w:snapToGrid w:val="0"/>
                <w:sz w:val="22"/>
                <w:szCs w:val="22"/>
                <w:lang w:val="en-US" w:eastAsia="en-US"/>
              </w:rPr>
            </w:pPr>
            <w:r w:rsidRPr="001C6154">
              <w:rPr>
                <w:rFonts w:ascii="Arial" w:hAnsi="Arial" w:cs="Arial"/>
                <w:b/>
                <w:bCs/>
                <w:snapToGrid w:val="0"/>
                <w:sz w:val="22"/>
                <w:szCs w:val="22"/>
                <w:lang w:val="en-GB" w:eastAsia="en-US"/>
              </w:rPr>
              <w:t>C</w:t>
            </w:r>
            <w:r>
              <w:rPr>
                <w:rFonts w:ascii="Arial" w:hAnsi="Arial" w:cs="Arial"/>
                <w:b/>
                <w:bCs/>
                <w:snapToGrid w:val="0"/>
                <w:sz w:val="22"/>
                <w:szCs w:val="22"/>
                <w:lang w:val="en-GB" w:eastAsia="en-US"/>
              </w:rPr>
              <w:t>losed</w:t>
            </w:r>
          </w:p>
        </w:tc>
        <w:tc>
          <w:tcPr>
            <w:tcW w:w="8330" w:type="dxa"/>
          </w:tcPr>
          <w:p w14:paraId="413F8477" w14:textId="5B96ACA5" w:rsidR="009B7C08" w:rsidRPr="00333D58" w:rsidRDefault="0086739C"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362E48">
              <w:rPr>
                <w:rFonts w:ascii="Arial" w:hAnsi="Arial" w:cs="Arial"/>
                <w:b/>
                <w:snapToGrid w:val="0"/>
                <w:sz w:val="22"/>
                <w:szCs w:val="22"/>
                <w:lang w:val="en-GB" w:eastAsia="en-US"/>
              </w:rPr>
              <w:t>Closed</w:t>
            </w:r>
            <w:r>
              <w:rPr>
                <w:rFonts w:ascii="Arial" w:hAnsi="Arial" w:cs="Arial"/>
                <w:b/>
                <w:snapToGrid w:val="0"/>
                <w:sz w:val="22"/>
                <w:szCs w:val="22"/>
                <w:lang w:val="en-GB" w:eastAsia="en-US"/>
              </w:rPr>
              <w:t xml:space="preserve"> since 7.GA</w:t>
            </w:r>
            <w:r w:rsidRPr="00362E48">
              <w:rPr>
                <w:rFonts w:ascii="Arial" w:hAnsi="Arial" w:cs="Arial"/>
                <w:b/>
                <w:snapToGrid w:val="0"/>
                <w:sz w:val="22"/>
                <w:szCs w:val="22"/>
                <w:lang w:val="en-GB" w:eastAsia="en-US"/>
              </w:rPr>
              <w:t xml:space="preserve"> </w:t>
            </w:r>
            <w:r w:rsidR="003526DE" w:rsidRPr="00920D85">
              <w:rPr>
                <w:rFonts w:ascii="Arial" w:hAnsi="Arial" w:cs="Arial"/>
                <w:sz w:val="20"/>
                <w:szCs w:val="20"/>
                <w:lang w:val="en-GB"/>
              </w:rPr>
              <w:t xml:space="preserve">(See document </w:t>
            </w:r>
            <w:hyperlink r:id="rId61" w:history="1">
              <w:r w:rsidR="003526DE" w:rsidRPr="003526DE">
                <w:rPr>
                  <w:rStyle w:val="Hyperlink"/>
                  <w:rFonts w:ascii="Arial" w:hAnsi="Arial" w:cs="Arial"/>
                  <w:sz w:val="20"/>
                  <w:szCs w:val="20"/>
                  <w:lang w:val="en-GB"/>
                </w:rPr>
                <w:t>ITH/18/7.GA/12</w:t>
              </w:r>
            </w:hyperlink>
            <w:r w:rsidR="003526DE" w:rsidRPr="004D19D9">
              <w:rPr>
                <w:rFonts w:ascii="Arial" w:hAnsi="Arial" w:cs="Arial"/>
                <w:sz w:val="20"/>
                <w:szCs w:val="20"/>
                <w:lang w:val="en-GB"/>
              </w:rPr>
              <w:t>)</w:t>
            </w:r>
          </w:p>
        </w:tc>
      </w:tr>
      <w:tr w:rsidR="009B7C08" w:rsidRPr="00884518" w14:paraId="1F454572" w14:textId="77777777" w:rsidTr="001A1AFE">
        <w:trPr>
          <w:jc w:val="center"/>
        </w:trPr>
        <w:tc>
          <w:tcPr>
            <w:tcW w:w="5946" w:type="dxa"/>
          </w:tcPr>
          <w:p w14:paraId="20844410" w14:textId="19FB07A3" w:rsidR="009B7C08" w:rsidRDefault="00876096" w:rsidP="00A741D3">
            <w:pPr>
              <w:pStyle w:val="ListParagraph"/>
              <w:keepNext/>
              <w:numPr>
                <w:ilvl w:val="0"/>
                <w:numId w:val="12"/>
              </w:numPr>
              <w:spacing w:after="120"/>
              <w:ind w:left="561" w:hanging="561"/>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lastRenderedPageBreak/>
              <w:t xml:space="preserve">IIBs and their Secretariats </w:t>
            </w:r>
            <w:proofErr w:type="gramStart"/>
            <w:r w:rsidRPr="001A1AFE">
              <w:rPr>
                <w:rFonts w:ascii="Arial" w:hAnsi="Arial" w:cs="Arial"/>
                <w:snapToGrid w:val="0"/>
                <w:sz w:val="22"/>
                <w:szCs w:val="22"/>
                <w:lang w:val="en-US" w:eastAsia="en-US"/>
              </w:rPr>
              <w:t>are requested</w:t>
            </w:r>
            <w:proofErr w:type="gramEnd"/>
            <w:r w:rsidRPr="001A1AFE">
              <w:rPr>
                <w:rFonts w:ascii="Arial" w:hAnsi="Arial" w:cs="Arial"/>
                <w:snapToGrid w:val="0"/>
                <w:sz w:val="22"/>
                <w:szCs w:val="22"/>
                <w:lang w:val="en-US" w:eastAsia="en-US"/>
              </w:rPr>
              <w:t xml:space="preserve"> to enhance coordination in scheduling of meetings to avoid overlap</w:t>
            </w:r>
            <w:r w:rsidR="00BA6813">
              <w:rPr>
                <w:rFonts w:ascii="Arial" w:hAnsi="Arial" w:cs="Arial"/>
                <w:snapToGrid w:val="0"/>
                <w:sz w:val="22"/>
                <w:szCs w:val="22"/>
                <w:lang w:val="en-US" w:eastAsia="en-US"/>
              </w:rPr>
              <w:t>.</w:t>
            </w:r>
          </w:p>
          <w:p w14:paraId="0D33EA70" w14:textId="77777777" w:rsidR="009B7C08" w:rsidRPr="00E863FC" w:rsidRDefault="009B7C08" w:rsidP="00B04CDE">
            <w:pPr>
              <w:spacing w:after="120"/>
              <w:jc w:val="both"/>
              <w:rPr>
                <w:rFonts w:ascii="Arial" w:hAnsi="Arial" w:cs="Arial"/>
                <w:snapToGrid w:val="0"/>
                <w:sz w:val="22"/>
                <w:szCs w:val="22"/>
                <w:lang w:val="en-US" w:eastAsia="en-US"/>
              </w:rPr>
            </w:pPr>
            <w:r w:rsidRPr="001C6154">
              <w:rPr>
                <w:rFonts w:ascii="Arial" w:hAnsi="Arial" w:cs="Arial"/>
                <w:b/>
                <w:bCs/>
                <w:snapToGrid w:val="0"/>
                <w:sz w:val="22"/>
                <w:szCs w:val="22"/>
                <w:lang w:val="en-GB" w:eastAsia="en-US"/>
              </w:rPr>
              <w:t>C</w:t>
            </w:r>
            <w:r>
              <w:rPr>
                <w:rFonts w:ascii="Arial" w:hAnsi="Arial" w:cs="Arial"/>
                <w:b/>
                <w:bCs/>
                <w:snapToGrid w:val="0"/>
                <w:sz w:val="22"/>
                <w:szCs w:val="22"/>
                <w:lang w:val="en-GB" w:eastAsia="en-US"/>
              </w:rPr>
              <w:t>losed</w:t>
            </w:r>
          </w:p>
        </w:tc>
        <w:tc>
          <w:tcPr>
            <w:tcW w:w="8330" w:type="dxa"/>
            <w:tcBorders>
              <w:right w:val="single" w:sz="4" w:space="0" w:color="auto"/>
            </w:tcBorders>
          </w:tcPr>
          <w:p w14:paraId="779D4063" w14:textId="1CAB1407" w:rsidR="00726ADA" w:rsidRPr="00A22328" w:rsidRDefault="0086739C" w:rsidP="00726ADA">
            <w:pPr>
              <w:pStyle w:val="ListParagraph"/>
              <w:numPr>
                <w:ilvl w:val="0"/>
                <w:numId w:val="7"/>
              </w:numPr>
              <w:spacing w:after="120"/>
              <w:ind w:left="357" w:hanging="357"/>
              <w:contextualSpacing w:val="0"/>
              <w:jc w:val="both"/>
              <w:rPr>
                <w:rFonts w:ascii="Arial" w:hAnsi="Arial" w:cs="Arial"/>
                <w:b/>
                <w:snapToGrid w:val="0"/>
                <w:sz w:val="22"/>
                <w:szCs w:val="22"/>
                <w:lang w:val="en-GB" w:eastAsia="en-US"/>
              </w:rPr>
            </w:pPr>
            <w:r w:rsidRPr="00A22328">
              <w:rPr>
                <w:rFonts w:ascii="Arial" w:hAnsi="Arial" w:cs="Arial"/>
                <w:b/>
                <w:snapToGrid w:val="0"/>
                <w:sz w:val="22"/>
                <w:szCs w:val="22"/>
                <w:lang w:val="en-GB" w:eastAsia="en-US"/>
              </w:rPr>
              <w:t>Closed</w:t>
            </w:r>
            <w:r>
              <w:rPr>
                <w:rFonts w:ascii="Arial" w:hAnsi="Arial" w:cs="Arial"/>
                <w:b/>
                <w:snapToGrid w:val="0"/>
                <w:sz w:val="22"/>
                <w:szCs w:val="22"/>
                <w:lang w:val="en-GB" w:eastAsia="en-US"/>
              </w:rPr>
              <w:t xml:space="preserve"> since 7.GA</w:t>
            </w:r>
            <w:r w:rsidR="00726ADA">
              <w:rPr>
                <w:rFonts w:ascii="Arial" w:hAnsi="Arial" w:cs="Arial"/>
                <w:snapToGrid w:val="0"/>
                <w:sz w:val="22"/>
                <w:szCs w:val="22"/>
                <w:lang w:val="en-US" w:eastAsia="en-US"/>
              </w:rPr>
              <w:t xml:space="preserve"> </w:t>
            </w:r>
            <w:r w:rsidR="00726ADA" w:rsidRPr="00920D85">
              <w:rPr>
                <w:rFonts w:ascii="Arial" w:hAnsi="Arial" w:cs="Arial"/>
                <w:sz w:val="20"/>
                <w:szCs w:val="20"/>
                <w:lang w:val="en-GB"/>
              </w:rPr>
              <w:t xml:space="preserve">(See document </w:t>
            </w:r>
            <w:hyperlink r:id="rId62" w:history="1">
              <w:r w:rsidR="00726ADA" w:rsidRPr="003526DE">
                <w:rPr>
                  <w:rStyle w:val="Hyperlink"/>
                  <w:rFonts w:ascii="Arial" w:hAnsi="Arial" w:cs="Arial"/>
                  <w:sz w:val="20"/>
                  <w:szCs w:val="20"/>
                  <w:lang w:val="en-GB"/>
                </w:rPr>
                <w:t>ITH/18/7.GA/12</w:t>
              </w:r>
            </w:hyperlink>
            <w:r w:rsidR="00726ADA" w:rsidRPr="004D19D9">
              <w:rPr>
                <w:rFonts w:ascii="Arial" w:hAnsi="Arial" w:cs="Arial"/>
                <w:sz w:val="20"/>
                <w:szCs w:val="20"/>
                <w:lang w:val="en-GB"/>
              </w:rPr>
              <w:t>)</w:t>
            </w:r>
          </w:p>
          <w:p w14:paraId="1BB58F40" w14:textId="32AFB23C" w:rsidR="009B7C08" w:rsidRPr="00362E48" w:rsidRDefault="009B7C08" w:rsidP="00362E48">
            <w:pPr>
              <w:spacing w:after="120"/>
              <w:jc w:val="both"/>
              <w:rPr>
                <w:rFonts w:ascii="Arial" w:hAnsi="Arial" w:cs="Arial"/>
                <w:snapToGrid w:val="0"/>
                <w:sz w:val="22"/>
                <w:szCs w:val="22"/>
                <w:lang w:val="en-GB" w:eastAsia="en-US"/>
              </w:rPr>
            </w:pPr>
          </w:p>
        </w:tc>
      </w:tr>
      <w:tr w:rsidR="00EF3414" w:rsidRPr="00AB6D22" w14:paraId="6AE65808" w14:textId="77777777" w:rsidTr="001A1AFE">
        <w:trPr>
          <w:trHeight w:val="351"/>
          <w:jc w:val="center"/>
        </w:trPr>
        <w:tc>
          <w:tcPr>
            <w:tcW w:w="14276" w:type="dxa"/>
            <w:gridSpan w:val="2"/>
            <w:tcBorders>
              <w:right w:val="single" w:sz="4" w:space="0" w:color="auto"/>
            </w:tcBorders>
            <w:shd w:val="clear" w:color="auto" w:fill="F2F2F2"/>
            <w:vAlign w:val="center"/>
          </w:tcPr>
          <w:p w14:paraId="2A0DB505" w14:textId="138986DF" w:rsidR="00EF3414" w:rsidRPr="00A22328" w:rsidRDefault="00EF3414" w:rsidP="001A1AFE">
            <w:pPr>
              <w:keepNext/>
              <w:rPr>
                <w:rFonts w:ascii="Arial" w:hAnsi="Arial" w:cs="Arial"/>
                <w:b/>
                <w:snapToGrid w:val="0"/>
                <w:sz w:val="22"/>
                <w:szCs w:val="22"/>
                <w:lang w:val="en-GB" w:eastAsia="en-US"/>
              </w:rPr>
            </w:pPr>
            <w:r w:rsidRPr="00C71D1C">
              <w:rPr>
                <w:rFonts w:ascii="Arial" w:hAnsi="Arial" w:cs="Arial"/>
                <w:b/>
                <w:snapToGrid w:val="0"/>
                <w:sz w:val="22"/>
                <w:szCs w:val="22"/>
                <w:lang w:val="en-GB" w:eastAsia="en-US"/>
              </w:rPr>
              <w:t>Best practices</w:t>
            </w:r>
          </w:p>
        </w:tc>
      </w:tr>
      <w:tr w:rsidR="00362E48" w:rsidRPr="00E874B6" w14:paraId="00DBAD9A" w14:textId="77777777" w:rsidTr="001A1AFE">
        <w:trPr>
          <w:jc w:val="center"/>
        </w:trPr>
        <w:tc>
          <w:tcPr>
            <w:tcW w:w="5946" w:type="dxa"/>
          </w:tcPr>
          <w:p w14:paraId="6449C928" w14:textId="3273081F" w:rsidR="00362E48" w:rsidRPr="007D0617" w:rsidRDefault="00876096" w:rsidP="00362E48">
            <w:pPr>
              <w:pStyle w:val="ListParagraph"/>
              <w:keepNext/>
              <w:numPr>
                <w:ilvl w:val="0"/>
                <w:numId w:val="12"/>
              </w:numPr>
              <w:spacing w:after="120"/>
              <w:ind w:left="561" w:hanging="561"/>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t xml:space="preserve">Best practices </w:t>
            </w:r>
            <w:proofErr w:type="gramStart"/>
            <w:r w:rsidRPr="001A1AFE">
              <w:rPr>
                <w:rFonts w:ascii="Arial" w:hAnsi="Arial" w:cs="Arial"/>
                <w:snapToGrid w:val="0"/>
                <w:sz w:val="22"/>
                <w:szCs w:val="22"/>
                <w:lang w:val="en-US" w:eastAsia="en-US"/>
              </w:rPr>
              <w:t>should be shared and replicated or, if necessary, adjusted to reflect specificities with the aim to promote governance mechanisms that facilitate strategies and action plans anchored on the C/4 and C/5</w:t>
            </w:r>
            <w:proofErr w:type="gramEnd"/>
            <w:r>
              <w:rPr>
                <w:rFonts w:ascii="Arial" w:hAnsi="Arial" w:cs="Arial"/>
                <w:snapToGrid w:val="0"/>
                <w:sz w:val="22"/>
                <w:szCs w:val="22"/>
                <w:lang w:val="en-US" w:eastAsia="en-US"/>
              </w:rPr>
              <w:t>.</w:t>
            </w:r>
          </w:p>
          <w:p w14:paraId="24360132" w14:textId="7DB6FF29" w:rsidR="00362E48" w:rsidRPr="000B0F08" w:rsidRDefault="00362E48" w:rsidP="000B0F08">
            <w:pPr>
              <w:keepNext/>
              <w:spacing w:after="120"/>
              <w:jc w:val="both"/>
              <w:rPr>
                <w:rFonts w:ascii="Arial" w:hAnsi="Arial" w:cs="Arial"/>
                <w:snapToGrid w:val="0"/>
                <w:sz w:val="22"/>
                <w:szCs w:val="22"/>
                <w:lang w:val="en-US" w:eastAsia="en-US"/>
              </w:rPr>
            </w:pPr>
            <w:r w:rsidRPr="000B0F08">
              <w:rPr>
                <w:rFonts w:ascii="Arial" w:hAnsi="Arial" w:cs="Arial"/>
                <w:b/>
                <w:bCs/>
                <w:sz w:val="22"/>
                <w:szCs w:val="22"/>
                <w:lang w:val="en-US"/>
              </w:rPr>
              <w:t>Closed</w:t>
            </w:r>
          </w:p>
        </w:tc>
        <w:tc>
          <w:tcPr>
            <w:tcW w:w="8330" w:type="dxa"/>
            <w:tcBorders>
              <w:right w:val="single" w:sz="4" w:space="0" w:color="auto"/>
            </w:tcBorders>
          </w:tcPr>
          <w:p w14:paraId="4D98A17F" w14:textId="788A68E1" w:rsidR="00362E48" w:rsidRPr="00840BA7" w:rsidRDefault="00362E48" w:rsidP="00362E48">
            <w:pPr>
              <w:pStyle w:val="ListParagraph"/>
              <w:numPr>
                <w:ilvl w:val="0"/>
                <w:numId w:val="7"/>
              </w:numPr>
              <w:spacing w:after="120"/>
              <w:ind w:left="357" w:hanging="357"/>
              <w:contextualSpacing w:val="0"/>
              <w:jc w:val="both"/>
              <w:rPr>
                <w:rFonts w:ascii="Arial" w:hAnsi="Arial" w:cs="Arial"/>
                <w:snapToGrid w:val="0"/>
                <w:sz w:val="22"/>
                <w:szCs w:val="22"/>
                <w:lang w:val="en-US" w:eastAsia="en-US"/>
              </w:rPr>
            </w:pPr>
            <w:r w:rsidRPr="00840BA7">
              <w:rPr>
                <w:rFonts w:ascii="Arial" w:hAnsi="Arial" w:cs="Arial"/>
                <w:snapToGrid w:val="0"/>
                <w:sz w:val="22"/>
                <w:szCs w:val="22"/>
                <w:lang w:val="en-US" w:eastAsia="en-US"/>
              </w:rPr>
              <w:t>The General Assembly</w:t>
            </w:r>
            <w:r>
              <w:rPr>
                <w:rFonts w:ascii="Arial" w:hAnsi="Arial" w:cs="Arial"/>
                <w:snapToGrid w:val="0"/>
                <w:sz w:val="22"/>
                <w:szCs w:val="22"/>
                <w:lang w:val="en-US" w:eastAsia="en-US"/>
              </w:rPr>
              <w:t>,</w:t>
            </w:r>
            <w:r w:rsidRPr="00840BA7">
              <w:rPr>
                <w:rFonts w:ascii="Arial" w:hAnsi="Arial" w:cs="Arial"/>
                <w:snapToGrid w:val="0"/>
                <w:sz w:val="22"/>
                <w:szCs w:val="22"/>
                <w:lang w:val="en-US" w:eastAsia="en-US"/>
              </w:rPr>
              <w:t xml:space="preserve"> at it</w:t>
            </w:r>
            <w:r w:rsidR="003526DE">
              <w:rPr>
                <w:rFonts w:ascii="Arial" w:hAnsi="Arial" w:cs="Arial"/>
                <w:snapToGrid w:val="0"/>
                <w:sz w:val="22"/>
                <w:szCs w:val="22"/>
                <w:lang w:val="en-US" w:eastAsia="en-US"/>
              </w:rPr>
              <w:t>s</w:t>
            </w:r>
            <w:r w:rsidRPr="00840BA7">
              <w:rPr>
                <w:rFonts w:ascii="Arial" w:hAnsi="Arial" w:cs="Arial"/>
                <w:snapToGrid w:val="0"/>
                <w:sz w:val="22"/>
                <w:szCs w:val="22"/>
                <w:lang w:val="en-US" w:eastAsia="en-US"/>
              </w:rPr>
              <w:t xml:space="preserve"> seventh session in 2018</w:t>
            </w:r>
            <w:r>
              <w:rPr>
                <w:rFonts w:ascii="Arial" w:hAnsi="Arial" w:cs="Arial"/>
                <w:snapToGrid w:val="0"/>
                <w:sz w:val="22"/>
                <w:szCs w:val="22"/>
                <w:lang w:val="en-US" w:eastAsia="en-US"/>
              </w:rPr>
              <w:t>,</w:t>
            </w:r>
            <w:r w:rsidRPr="00840BA7">
              <w:rPr>
                <w:rFonts w:ascii="Arial" w:hAnsi="Arial" w:cs="Arial"/>
                <w:snapToGrid w:val="0"/>
                <w:sz w:val="22"/>
                <w:szCs w:val="22"/>
                <w:lang w:val="en-US" w:eastAsia="en-US"/>
              </w:rPr>
              <w:t xml:space="preserve"> adopted an overall results framework for the 2003 </w:t>
            </w:r>
            <w:r w:rsidRPr="007D0617">
              <w:rPr>
                <w:rFonts w:ascii="Arial" w:hAnsi="Arial" w:cs="Arial"/>
                <w:snapToGrid w:val="0"/>
                <w:sz w:val="22"/>
                <w:szCs w:val="22"/>
                <w:lang w:val="en-GB" w:eastAsia="en-US"/>
              </w:rPr>
              <w:t>Convention</w:t>
            </w:r>
            <w:r w:rsidRPr="00840BA7">
              <w:rPr>
                <w:rFonts w:ascii="Arial" w:hAnsi="Arial" w:cs="Arial"/>
                <w:snapToGrid w:val="0"/>
                <w:sz w:val="22"/>
                <w:szCs w:val="22"/>
                <w:lang w:val="en-US" w:eastAsia="en-US"/>
              </w:rPr>
              <w:t xml:space="preserve">. The initiative </w:t>
            </w:r>
            <w:r w:rsidRPr="007D0617">
              <w:rPr>
                <w:rFonts w:ascii="Arial" w:hAnsi="Arial" w:cs="Arial"/>
                <w:snapToGrid w:val="0"/>
                <w:sz w:val="22"/>
                <w:szCs w:val="22"/>
                <w:lang w:val="en-US" w:eastAsia="en-US"/>
              </w:rPr>
              <w:t xml:space="preserve">to develop </w:t>
            </w:r>
            <w:r w:rsidRPr="00840BA7">
              <w:rPr>
                <w:rFonts w:ascii="Arial" w:hAnsi="Arial" w:cs="Arial"/>
                <w:snapToGrid w:val="0"/>
                <w:sz w:val="22"/>
                <w:szCs w:val="22"/>
                <w:lang w:val="en-US" w:eastAsia="en-US"/>
              </w:rPr>
              <w:t xml:space="preserve">such framework </w:t>
            </w:r>
            <w:proofErr w:type="gramStart"/>
            <w:r w:rsidRPr="00840BA7">
              <w:rPr>
                <w:rFonts w:ascii="Arial" w:hAnsi="Arial" w:cs="Arial"/>
                <w:snapToGrid w:val="0"/>
                <w:sz w:val="22"/>
                <w:szCs w:val="22"/>
                <w:lang w:val="en-US" w:eastAsia="en-US"/>
              </w:rPr>
              <w:t>was recognized</w:t>
            </w:r>
            <w:proofErr w:type="gramEnd"/>
            <w:r w:rsidRPr="00840BA7">
              <w:rPr>
                <w:rFonts w:ascii="Arial" w:hAnsi="Arial" w:cs="Arial"/>
                <w:snapToGrid w:val="0"/>
                <w:sz w:val="22"/>
                <w:szCs w:val="22"/>
                <w:lang w:val="en-US" w:eastAsia="en-US"/>
              </w:rPr>
              <w:t xml:space="preserve"> as a good practice by the working group on governance. The </w:t>
            </w:r>
            <w:r w:rsidRPr="007D0617">
              <w:rPr>
                <w:rFonts w:ascii="Arial" w:hAnsi="Arial" w:cs="Arial"/>
                <w:snapToGrid w:val="0"/>
                <w:sz w:val="22"/>
                <w:szCs w:val="22"/>
                <w:lang w:val="en-US" w:eastAsia="en-US"/>
              </w:rPr>
              <w:t>Monitoring Framework for the implementation of</w:t>
            </w:r>
            <w:r w:rsidR="00BA5F46">
              <w:rPr>
                <w:rFonts w:ascii="Arial" w:hAnsi="Arial" w:cs="Arial"/>
                <w:snapToGrid w:val="0"/>
                <w:sz w:val="22"/>
                <w:szCs w:val="22"/>
                <w:lang w:val="en-US" w:eastAsia="en-US"/>
              </w:rPr>
              <w:t xml:space="preserve"> the</w:t>
            </w:r>
            <w:r w:rsidRPr="007D0617">
              <w:rPr>
                <w:rFonts w:ascii="Arial" w:hAnsi="Arial" w:cs="Arial"/>
                <w:snapToGrid w:val="0"/>
                <w:sz w:val="22"/>
                <w:szCs w:val="22"/>
                <w:lang w:val="en-US" w:eastAsia="en-US"/>
              </w:rPr>
              <w:t xml:space="preserve"> </w:t>
            </w:r>
            <w:r w:rsidRPr="00840BA7">
              <w:rPr>
                <w:rFonts w:ascii="Arial" w:hAnsi="Arial" w:cs="Arial"/>
                <w:snapToGrid w:val="0"/>
                <w:sz w:val="22"/>
                <w:szCs w:val="22"/>
                <w:lang w:val="en-US" w:eastAsia="en-US"/>
              </w:rPr>
              <w:t xml:space="preserve">2005 Convention for the Protection and Promotion of the Diversity of Cultural Expressions </w:t>
            </w:r>
            <w:r w:rsidRPr="007D0617">
              <w:rPr>
                <w:rFonts w:ascii="Arial" w:hAnsi="Arial" w:cs="Arial"/>
                <w:snapToGrid w:val="0"/>
                <w:sz w:val="22"/>
                <w:szCs w:val="22"/>
                <w:lang w:val="en-US" w:eastAsia="en-US"/>
              </w:rPr>
              <w:t xml:space="preserve">was a source of inspiration </w:t>
            </w:r>
            <w:r>
              <w:rPr>
                <w:rFonts w:ascii="Arial" w:hAnsi="Arial" w:cs="Arial"/>
                <w:snapToGrid w:val="0"/>
                <w:sz w:val="22"/>
                <w:szCs w:val="22"/>
                <w:lang w:val="en-US" w:eastAsia="en-US"/>
              </w:rPr>
              <w:t>for the development of</w:t>
            </w:r>
            <w:r w:rsidRPr="007D0617">
              <w:rPr>
                <w:rFonts w:ascii="Arial" w:hAnsi="Arial" w:cs="Arial"/>
                <w:snapToGrid w:val="0"/>
                <w:sz w:val="22"/>
                <w:szCs w:val="22"/>
                <w:lang w:val="en-US" w:eastAsia="en-US"/>
              </w:rPr>
              <w:t xml:space="preserve"> the overall results framework for </w:t>
            </w:r>
            <w:r w:rsidR="00BA5F46">
              <w:rPr>
                <w:rFonts w:ascii="Arial" w:hAnsi="Arial" w:cs="Arial"/>
                <w:snapToGrid w:val="0"/>
                <w:sz w:val="22"/>
                <w:szCs w:val="22"/>
                <w:lang w:val="en-US" w:eastAsia="en-US"/>
              </w:rPr>
              <w:t xml:space="preserve">the </w:t>
            </w:r>
            <w:r w:rsidRPr="007D0617">
              <w:rPr>
                <w:rFonts w:ascii="Arial" w:hAnsi="Arial" w:cs="Arial"/>
                <w:snapToGrid w:val="0"/>
                <w:sz w:val="22"/>
                <w:szCs w:val="22"/>
                <w:lang w:val="en-US" w:eastAsia="en-US"/>
              </w:rPr>
              <w:t>2003 Convention.</w:t>
            </w:r>
          </w:p>
          <w:p w14:paraId="46D8A917" w14:textId="4314182D" w:rsidR="00362E48" w:rsidRPr="00A22328" w:rsidRDefault="00362E48" w:rsidP="00362E48">
            <w:pPr>
              <w:pStyle w:val="ListParagraph"/>
              <w:numPr>
                <w:ilvl w:val="0"/>
                <w:numId w:val="7"/>
              </w:numPr>
              <w:spacing w:after="120"/>
              <w:ind w:left="357" w:hanging="357"/>
              <w:contextualSpacing w:val="0"/>
              <w:jc w:val="both"/>
              <w:rPr>
                <w:rFonts w:ascii="Arial" w:hAnsi="Arial" w:cs="Arial"/>
                <w:b/>
                <w:snapToGrid w:val="0"/>
                <w:sz w:val="22"/>
                <w:szCs w:val="22"/>
                <w:lang w:val="en-GB" w:eastAsia="en-US"/>
              </w:rPr>
            </w:pPr>
            <w:r w:rsidRPr="00392447">
              <w:rPr>
                <w:rFonts w:ascii="Arial" w:hAnsi="Arial" w:cs="Arial"/>
                <w:snapToGrid w:val="0"/>
                <w:sz w:val="22"/>
                <w:szCs w:val="22"/>
                <w:lang w:val="en-US" w:eastAsia="en-US"/>
              </w:rPr>
              <w:t xml:space="preserve"> Inspired by the 1972 Convention</w:t>
            </w:r>
            <w:r>
              <w:rPr>
                <w:rFonts w:ascii="Arial" w:hAnsi="Arial" w:cs="Arial"/>
                <w:snapToGrid w:val="0"/>
                <w:sz w:val="22"/>
                <w:szCs w:val="22"/>
                <w:lang w:val="en-US" w:eastAsia="en-US"/>
              </w:rPr>
              <w:t>,</w:t>
            </w:r>
            <w:r w:rsidRPr="00392447">
              <w:rPr>
                <w:rFonts w:ascii="Arial" w:hAnsi="Arial" w:cs="Arial"/>
                <w:snapToGrid w:val="0"/>
                <w:sz w:val="22"/>
                <w:szCs w:val="22"/>
                <w:lang w:val="en-US" w:eastAsia="en-US"/>
              </w:rPr>
              <w:t xml:space="preserve"> </w:t>
            </w:r>
            <w:r>
              <w:rPr>
                <w:rFonts w:ascii="Arial" w:hAnsi="Arial" w:cs="Arial"/>
                <w:snapToGrid w:val="0"/>
                <w:sz w:val="22"/>
                <w:szCs w:val="22"/>
                <w:lang w:val="en-US" w:eastAsia="en-US"/>
              </w:rPr>
              <w:t>the Operational Directive</w:t>
            </w:r>
            <w:r w:rsidR="00BA5F46">
              <w:rPr>
                <w:rFonts w:ascii="Arial" w:hAnsi="Arial" w:cs="Arial"/>
                <w:snapToGrid w:val="0"/>
                <w:sz w:val="22"/>
                <w:szCs w:val="22"/>
                <w:lang w:val="en-US" w:eastAsia="en-US"/>
              </w:rPr>
              <w:t>s</w:t>
            </w:r>
            <w:r>
              <w:rPr>
                <w:rFonts w:ascii="Arial" w:hAnsi="Arial" w:cs="Arial"/>
                <w:snapToGrid w:val="0"/>
                <w:sz w:val="22"/>
                <w:szCs w:val="22"/>
                <w:lang w:val="en-US" w:eastAsia="en-US"/>
              </w:rPr>
              <w:t xml:space="preserve"> of the 2003 Convention were amended in 2018 so that </w:t>
            </w:r>
            <w:r w:rsidRPr="00392447">
              <w:rPr>
                <w:rFonts w:ascii="Arial" w:hAnsi="Arial" w:cs="Arial"/>
                <w:snapToGrid w:val="0"/>
                <w:sz w:val="22"/>
                <w:szCs w:val="22"/>
                <w:lang w:val="en-US" w:eastAsia="en-US"/>
              </w:rPr>
              <w:t xml:space="preserve">States Parties submit their report every six years </w:t>
            </w:r>
            <w:proofErr w:type="gramStart"/>
            <w:r w:rsidRPr="00392447">
              <w:rPr>
                <w:rFonts w:ascii="Arial" w:hAnsi="Arial" w:cs="Arial"/>
                <w:snapToGrid w:val="0"/>
                <w:sz w:val="22"/>
                <w:szCs w:val="22"/>
                <w:lang w:val="en-US" w:eastAsia="en-US"/>
              </w:rPr>
              <w:t>on the basis of</w:t>
            </w:r>
            <w:proofErr w:type="gramEnd"/>
            <w:r w:rsidRPr="00392447">
              <w:rPr>
                <w:rFonts w:ascii="Arial" w:hAnsi="Arial" w:cs="Arial"/>
                <w:snapToGrid w:val="0"/>
                <w:sz w:val="22"/>
                <w:szCs w:val="22"/>
                <w:lang w:val="en-US" w:eastAsia="en-US"/>
              </w:rPr>
              <w:t xml:space="preserve"> a system of regional rotation (instead of every six years after their year of ratification). </w:t>
            </w:r>
            <w:r>
              <w:rPr>
                <w:rFonts w:ascii="Arial" w:hAnsi="Arial" w:cs="Arial"/>
                <w:snapToGrid w:val="0"/>
                <w:sz w:val="22"/>
                <w:szCs w:val="22"/>
                <w:lang w:val="en-US" w:eastAsia="en-US"/>
              </w:rPr>
              <w:t xml:space="preserve">Regional </w:t>
            </w:r>
            <w:proofErr w:type="gramStart"/>
            <w:r>
              <w:rPr>
                <w:rFonts w:ascii="Arial" w:hAnsi="Arial" w:cs="Arial"/>
                <w:snapToGrid w:val="0"/>
                <w:sz w:val="22"/>
                <w:szCs w:val="22"/>
                <w:lang w:val="en-US" w:eastAsia="en-US"/>
              </w:rPr>
              <w:t>capacity</w:t>
            </w:r>
            <w:r w:rsidR="00BA5F46">
              <w:rPr>
                <w:rFonts w:ascii="Arial" w:hAnsi="Arial" w:cs="Arial"/>
                <w:snapToGrid w:val="0"/>
                <w:sz w:val="22"/>
                <w:szCs w:val="22"/>
                <w:lang w:val="en-US" w:eastAsia="en-US"/>
              </w:rPr>
              <w:t>-</w:t>
            </w:r>
            <w:r>
              <w:rPr>
                <w:rFonts w:ascii="Arial" w:hAnsi="Arial" w:cs="Arial"/>
                <w:snapToGrid w:val="0"/>
                <w:sz w:val="22"/>
                <w:szCs w:val="22"/>
                <w:lang w:val="en-US" w:eastAsia="en-US"/>
              </w:rPr>
              <w:t>building</w:t>
            </w:r>
            <w:proofErr w:type="gramEnd"/>
            <w:r>
              <w:rPr>
                <w:rFonts w:ascii="Arial" w:hAnsi="Arial" w:cs="Arial"/>
                <w:snapToGrid w:val="0"/>
                <w:sz w:val="22"/>
                <w:szCs w:val="22"/>
                <w:lang w:val="en-US" w:eastAsia="en-US"/>
              </w:rPr>
              <w:t xml:space="preserve"> will be organized </w:t>
            </w:r>
            <w:r w:rsidR="00F37297">
              <w:rPr>
                <w:rFonts w:ascii="Arial" w:hAnsi="Arial" w:cs="Arial"/>
                <w:snapToGrid w:val="0"/>
                <w:sz w:val="22"/>
                <w:szCs w:val="22"/>
                <w:lang w:val="en-US" w:eastAsia="en-US"/>
              </w:rPr>
              <w:t>at</w:t>
            </w:r>
            <w:r w:rsidR="00BA5F46">
              <w:rPr>
                <w:rFonts w:ascii="Arial" w:hAnsi="Arial" w:cs="Arial"/>
                <w:snapToGrid w:val="0"/>
                <w:sz w:val="22"/>
                <w:szCs w:val="22"/>
                <w:lang w:val="en-US" w:eastAsia="en-US"/>
              </w:rPr>
              <w:t xml:space="preserve"> the</w:t>
            </w:r>
            <w:r w:rsidR="00F37297">
              <w:rPr>
                <w:rFonts w:ascii="Arial" w:hAnsi="Arial" w:cs="Arial"/>
                <w:snapToGrid w:val="0"/>
                <w:sz w:val="22"/>
                <w:szCs w:val="22"/>
                <w:lang w:val="en-US" w:eastAsia="en-US"/>
              </w:rPr>
              <w:t xml:space="preserve"> regional level </w:t>
            </w:r>
            <w:r>
              <w:rPr>
                <w:rFonts w:ascii="Arial" w:hAnsi="Arial" w:cs="Arial"/>
                <w:snapToGrid w:val="0"/>
                <w:sz w:val="22"/>
                <w:szCs w:val="22"/>
                <w:lang w:val="en-US" w:eastAsia="en-US"/>
              </w:rPr>
              <w:t>to help States prepare their reports.</w:t>
            </w:r>
          </w:p>
        </w:tc>
      </w:tr>
      <w:tr w:rsidR="009B7C08" w:rsidRPr="00E874B6" w14:paraId="0FDEF0A8" w14:textId="77777777" w:rsidTr="001A1AFE">
        <w:trPr>
          <w:trHeight w:val="454"/>
          <w:jc w:val="center"/>
        </w:trPr>
        <w:tc>
          <w:tcPr>
            <w:tcW w:w="14276" w:type="dxa"/>
            <w:gridSpan w:val="2"/>
            <w:tcBorders>
              <w:right w:val="single" w:sz="4" w:space="0" w:color="auto"/>
            </w:tcBorders>
            <w:shd w:val="clear" w:color="auto" w:fill="D9D9D9" w:themeFill="background1" w:themeFillShade="D9"/>
            <w:vAlign w:val="center"/>
          </w:tcPr>
          <w:p w14:paraId="3F85ECEC" w14:textId="74F03D4D" w:rsidR="009B7C08" w:rsidRPr="003E5477" w:rsidRDefault="009B7C08" w:rsidP="00876096">
            <w:pPr>
              <w:keepNext/>
              <w:tabs>
                <w:tab w:val="left" w:pos="555"/>
              </w:tabs>
              <w:rPr>
                <w:rFonts w:ascii="Arial" w:hAnsi="Arial" w:cs="Arial"/>
                <w:b/>
                <w:smallCaps/>
                <w:snapToGrid w:val="0"/>
                <w:sz w:val="22"/>
                <w:szCs w:val="22"/>
                <w:lang w:val="en-GB" w:eastAsia="en-US"/>
              </w:rPr>
            </w:pPr>
            <w:r>
              <w:rPr>
                <w:rFonts w:ascii="Arial" w:hAnsi="Arial" w:cs="Arial"/>
                <w:b/>
                <w:smallCaps/>
                <w:snapToGrid w:val="0"/>
                <w:sz w:val="22"/>
                <w:szCs w:val="22"/>
                <w:lang w:val="en-GB" w:eastAsia="en-US"/>
              </w:rPr>
              <w:t>E.</w:t>
            </w:r>
            <w:r>
              <w:rPr>
                <w:rFonts w:ascii="Arial" w:hAnsi="Arial" w:cs="Arial"/>
                <w:b/>
                <w:smallCaps/>
                <w:snapToGrid w:val="0"/>
                <w:sz w:val="22"/>
                <w:szCs w:val="22"/>
                <w:lang w:val="en-GB" w:eastAsia="en-US"/>
              </w:rPr>
              <w:tab/>
              <w:t>Specific</w:t>
            </w:r>
            <w:r w:rsidRPr="00985ABE">
              <w:rPr>
                <w:rFonts w:ascii="Arial" w:hAnsi="Arial" w:cs="Arial"/>
                <w:b/>
                <w:smallCaps/>
                <w:snapToGrid w:val="0"/>
                <w:sz w:val="22"/>
                <w:szCs w:val="22"/>
                <w:lang w:val="en-GB" w:eastAsia="en-US"/>
              </w:rPr>
              <w:t xml:space="preserve"> recommendations for </w:t>
            </w:r>
            <w:r>
              <w:rPr>
                <w:rFonts w:ascii="Arial" w:hAnsi="Arial" w:cs="Arial"/>
                <w:b/>
                <w:smallCaps/>
                <w:snapToGrid w:val="0"/>
                <w:sz w:val="22"/>
                <w:szCs w:val="22"/>
                <w:lang w:val="en-GB" w:eastAsia="en-US"/>
              </w:rPr>
              <w:t>the UNESCO Conventions</w:t>
            </w:r>
          </w:p>
        </w:tc>
      </w:tr>
      <w:tr w:rsidR="009B7C08" w:rsidRPr="00985ABE" w14:paraId="32A8308F" w14:textId="77777777" w:rsidTr="001A1AFE">
        <w:trPr>
          <w:trHeight w:val="340"/>
          <w:jc w:val="center"/>
        </w:trPr>
        <w:tc>
          <w:tcPr>
            <w:tcW w:w="14276" w:type="dxa"/>
            <w:gridSpan w:val="2"/>
            <w:tcBorders>
              <w:right w:val="single" w:sz="4" w:space="0" w:color="auto"/>
            </w:tcBorders>
            <w:shd w:val="clear" w:color="auto" w:fill="F2F2F2" w:themeFill="background1" w:themeFillShade="F2"/>
            <w:vAlign w:val="center"/>
          </w:tcPr>
          <w:p w14:paraId="76C3051D" w14:textId="77777777" w:rsidR="009B7C08" w:rsidRPr="003E5477" w:rsidRDefault="009B7C08" w:rsidP="00B04CDE">
            <w:pPr>
              <w:keepNext/>
              <w:rPr>
                <w:rFonts w:ascii="Arial" w:hAnsi="Arial" w:cs="Arial"/>
                <w:b/>
                <w:snapToGrid w:val="0"/>
                <w:sz w:val="22"/>
                <w:szCs w:val="22"/>
                <w:lang w:val="en-GB" w:eastAsia="en-US"/>
              </w:rPr>
            </w:pPr>
            <w:r>
              <w:rPr>
                <w:rFonts w:ascii="Arial" w:hAnsi="Arial" w:cs="Arial"/>
                <w:b/>
                <w:snapToGrid w:val="0"/>
                <w:sz w:val="22"/>
                <w:szCs w:val="22"/>
                <w:lang w:val="en-GB" w:eastAsia="en-US"/>
              </w:rPr>
              <w:t>Cultural Conventions</w:t>
            </w:r>
          </w:p>
        </w:tc>
      </w:tr>
      <w:tr w:rsidR="009B7C08" w:rsidRPr="00E874B6" w14:paraId="434FB022" w14:textId="77777777" w:rsidTr="001A1AFE">
        <w:trPr>
          <w:jc w:val="center"/>
        </w:trPr>
        <w:tc>
          <w:tcPr>
            <w:tcW w:w="5946" w:type="dxa"/>
          </w:tcPr>
          <w:p w14:paraId="795B9DB6" w14:textId="4836B644" w:rsidR="009B7C08" w:rsidRPr="00942976" w:rsidRDefault="009B7C08" w:rsidP="00B04CDE">
            <w:pPr>
              <w:spacing w:after="120"/>
              <w:ind w:left="567" w:hanging="567"/>
              <w:jc w:val="both"/>
              <w:rPr>
                <w:rFonts w:ascii="Arial" w:hAnsi="Arial" w:cs="Arial"/>
                <w:snapToGrid w:val="0"/>
                <w:sz w:val="22"/>
                <w:szCs w:val="22"/>
                <w:lang w:val="en-US" w:eastAsia="en-US"/>
              </w:rPr>
            </w:pPr>
            <w:r w:rsidRPr="00942976">
              <w:rPr>
                <w:rFonts w:ascii="Arial" w:hAnsi="Arial" w:cs="Arial"/>
                <w:snapToGrid w:val="0"/>
                <w:sz w:val="22"/>
                <w:szCs w:val="22"/>
                <w:lang w:val="en-US" w:eastAsia="en-US"/>
              </w:rPr>
              <w:t>94.</w:t>
            </w:r>
            <w:r w:rsidRPr="00942976">
              <w:rPr>
                <w:rFonts w:ascii="Arial" w:hAnsi="Arial" w:cs="Arial"/>
                <w:snapToGrid w:val="0"/>
                <w:sz w:val="22"/>
                <w:szCs w:val="22"/>
                <w:lang w:val="en-US" w:eastAsia="en-US"/>
              </w:rPr>
              <w:tab/>
            </w:r>
            <w:r w:rsidR="00876096" w:rsidRPr="001A1AFE">
              <w:rPr>
                <w:rFonts w:ascii="Arial" w:hAnsi="Arial" w:cs="Arial"/>
                <w:snapToGrid w:val="0"/>
                <w:sz w:val="22"/>
                <w:szCs w:val="22"/>
                <w:lang w:val="en-US" w:eastAsia="en-US"/>
              </w:rPr>
              <w:t>A more balanced approach in terms of equitable financial and human resource allocation for all cultural conventions was called for, considering their importance to the mandate of UNESCO. All cultural conventions are in need of additional resources to fulfill their objectives fully</w:t>
            </w:r>
            <w:r w:rsidR="00876096" w:rsidRPr="001A1AFE">
              <w:rPr>
                <w:lang w:val="en-US"/>
              </w:rPr>
              <w:t>.</w:t>
            </w:r>
          </w:p>
          <w:p w14:paraId="4ABE3F0F" w14:textId="432FCAA5" w:rsidR="009B7C08" w:rsidRPr="00E863FC" w:rsidRDefault="001C242F" w:rsidP="00B04CDE">
            <w:pPr>
              <w:spacing w:after="120"/>
              <w:jc w:val="both"/>
              <w:rPr>
                <w:rFonts w:ascii="Arial" w:hAnsi="Arial" w:cs="Arial"/>
                <w:snapToGrid w:val="0"/>
                <w:sz w:val="22"/>
                <w:szCs w:val="22"/>
                <w:highlight w:val="cyan"/>
                <w:lang w:val="en-US" w:eastAsia="en-US"/>
              </w:rPr>
            </w:pPr>
            <w:r w:rsidRPr="00362E48">
              <w:rPr>
                <w:rFonts w:ascii="Arial" w:hAnsi="Arial" w:cs="Arial"/>
                <w:b/>
                <w:bCs/>
                <w:sz w:val="22"/>
                <w:szCs w:val="22"/>
                <w:lang w:val="en-US"/>
              </w:rPr>
              <w:t>Closed</w:t>
            </w:r>
          </w:p>
        </w:tc>
        <w:tc>
          <w:tcPr>
            <w:tcW w:w="8330" w:type="dxa"/>
            <w:tcBorders>
              <w:right w:val="single" w:sz="4" w:space="0" w:color="auto"/>
            </w:tcBorders>
          </w:tcPr>
          <w:p w14:paraId="7F860AAC" w14:textId="65967CCC" w:rsidR="009B7C08" w:rsidRPr="00E02E4E" w:rsidRDefault="009B7C08" w:rsidP="00AC000C">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E02E4E">
              <w:rPr>
                <w:rFonts w:ascii="Arial" w:hAnsi="Arial" w:cs="Arial"/>
                <w:snapToGrid w:val="0"/>
                <w:sz w:val="22"/>
                <w:szCs w:val="22"/>
                <w:lang w:val="en-GB" w:eastAsia="en-US"/>
              </w:rPr>
              <w:t xml:space="preserve">The implementation of this recommendation is the direct responsibility of States Parties. However, the Secretariat has demonstrated the need to </w:t>
            </w:r>
            <w:r w:rsidRPr="00E02E4E">
              <w:rPr>
                <w:rFonts w:ascii="Arial" w:hAnsi="Arial" w:cs="Arial"/>
                <w:snapToGrid w:val="0"/>
                <w:sz w:val="22"/>
                <w:szCs w:val="22"/>
                <w:lang w:val="en-US" w:eastAsia="en-US"/>
              </w:rPr>
              <w:t xml:space="preserve">enhance </w:t>
            </w:r>
            <w:r w:rsidR="000E48F7">
              <w:rPr>
                <w:rFonts w:ascii="Arial" w:hAnsi="Arial" w:cs="Arial"/>
                <w:snapToGrid w:val="0"/>
                <w:sz w:val="22"/>
                <w:szCs w:val="22"/>
                <w:lang w:val="en-US" w:eastAsia="en-US"/>
              </w:rPr>
              <w:t>its</w:t>
            </w:r>
            <w:r w:rsidR="000E48F7" w:rsidRPr="00E02E4E">
              <w:rPr>
                <w:rFonts w:ascii="Arial" w:hAnsi="Arial" w:cs="Arial"/>
                <w:snapToGrid w:val="0"/>
                <w:sz w:val="22"/>
                <w:szCs w:val="22"/>
                <w:lang w:val="en-US" w:eastAsia="en-US"/>
              </w:rPr>
              <w:t xml:space="preserve"> </w:t>
            </w:r>
            <w:r w:rsidRPr="00E02E4E">
              <w:rPr>
                <w:rFonts w:ascii="Arial" w:hAnsi="Arial" w:cs="Arial"/>
                <w:snapToGrid w:val="0"/>
                <w:sz w:val="22"/>
                <w:szCs w:val="22"/>
                <w:lang w:val="en-US" w:eastAsia="en-US"/>
              </w:rPr>
              <w:t>human resources for the implementation of the International Assistance mechanisms of the Fund, including their effective monitoring</w:t>
            </w:r>
            <w:r w:rsidRPr="00E02E4E">
              <w:rPr>
                <w:rFonts w:ascii="Arial" w:hAnsi="Arial" w:cs="Arial"/>
                <w:snapToGrid w:val="0"/>
                <w:sz w:val="22"/>
                <w:szCs w:val="22"/>
                <w:lang w:val="en-GB" w:eastAsia="en-US"/>
              </w:rPr>
              <w:t xml:space="preserve"> (see </w:t>
            </w:r>
            <w:r w:rsidR="00AC000C" w:rsidRPr="00E02E4E">
              <w:rPr>
                <w:rFonts w:ascii="Arial" w:hAnsi="Arial" w:cs="Arial"/>
                <w:snapToGrid w:val="0"/>
                <w:sz w:val="22"/>
                <w:szCs w:val="22"/>
                <w:lang w:val="en-GB" w:eastAsia="en-US"/>
              </w:rPr>
              <w:t xml:space="preserve">document </w:t>
            </w:r>
            <w:hyperlink r:id="rId63" w:history="1">
              <w:r w:rsidRPr="002D38E3">
                <w:rPr>
                  <w:rStyle w:val="Hyperlink"/>
                  <w:rFonts w:ascii="Arial" w:hAnsi="Arial" w:cs="Arial"/>
                  <w:snapToGrid w:val="0"/>
                  <w:sz w:val="22"/>
                  <w:szCs w:val="22"/>
                  <w:lang w:val="en-GB" w:eastAsia="en-US"/>
                </w:rPr>
                <w:t>ITH/17/12.COM/7</w:t>
              </w:r>
            </w:hyperlink>
            <w:r w:rsidRPr="00E02E4E">
              <w:rPr>
                <w:rFonts w:ascii="Arial" w:hAnsi="Arial" w:cs="Arial"/>
                <w:snapToGrid w:val="0"/>
                <w:sz w:val="22"/>
                <w:szCs w:val="22"/>
                <w:lang w:val="en-GB" w:eastAsia="en-US"/>
              </w:rPr>
              <w:t xml:space="preserve">). In response, the Committee recommended that the General Assembly approve the creation of three new </w:t>
            </w:r>
            <w:proofErr w:type="spellStart"/>
            <w:r w:rsidRPr="00E02E4E">
              <w:rPr>
                <w:rFonts w:ascii="Arial" w:hAnsi="Arial" w:cs="Arial"/>
                <w:snapToGrid w:val="0"/>
                <w:sz w:val="22"/>
                <w:szCs w:val="22"/>
                <w:lang w:val="en-GB" w:eastAsia="en-US"/>
              </w:rPr>
              <w:t>extrabudgetary</w:t>
            </w:r>
            <w:proofErr w:type="spellEnd"/>
            <w:r w:rsidRPr="00E02E4E">
              <w:rPr>
                <w:rFonts w:ascii="Arial" w:hAnsi="Arial" w:cs="Arial"/>
                <w:snapToGrid w:val="0"/>
                <w:sz w:val="22"/>
                <w:szCs w:val="22"/>
                <w:lang w:val="en-GB" w:eastAsia="en-US"/>
              </w:rPr>
              <w:t xml:space="preserve"> fixed-term posts (</w:t>
            </w:r>
            <w:hyperlink r:id="rId64" w:history="1">
              <w:r w:rsidRPr="002D38E3">
                <w:rPr>
                  <w:rStyle w:val="Hyperlink"/>
                  <w:rFonts w:ascii="Arial" w:hAnsi="Arial" w:cs="Arial"/>
                  <w:snapToGrid w:val="0"/>
                  <w:sz w:val="22"/>
                  <w:szCs w:val="22"/>
                  <w:lang w:val="en-GB" w:eastAsia="en-US"/>
                </w:rPr>
                <w:t>Decision 12.COM 7</w:t>
              </w:r>
            </w:hyperlink>
            <w:r w:rsidRPr="00E02E4E">
              <w:rPr>
                <w:rStyle w:val="Hyperlink"/>
                <w:rFonts w:ascii="Arial" w:hAnsi="Arial" w:cs="Arial"/>
                <w:snapToGrid w:val="0"/>
                <w:color w:val="auto"/>
                <w:sz w:val="22"/>
                <w:szCs w:val="22"/>
                <w:u w:val="none"/>
                <w:lang w:val="en-GB" w:eastAsia="en-US"/>
              </w:rPr>
              <w:t>)</w:t>
            </w:r>
            <w:r w:rsidRPr="00E02E4E">
              <w:rPr>
                <w:rFonts w:ascii="Arial" w:hAnsi="Arial" w:cs="Arial"/>
                <w:snapToGrid w:val="0"/>
                <w:sz w:val="22"/>
                <w:szCs w:val="22"/>
                <w:lang w:val="en-GB" w:eastAsia="en-US"/>
              </w:rPr>
              <w:t>.</w:t>
            </w:r>
          </w:p>
          <w:p w14:paraId="17BB1673" w14:textId="77777777" w:rsidR="001C242F" w:rsidRPr="001C242F" w:rsidRDefault="00B266CF" w:rsidP="001A1AFE">
            <w:pPr>
              <w:pStyle w:val="ListParagraph"/>
              <w:keepNext/>
              <w:keepLines/>
              <w:numPr>
                <w:ilvl w:val="0"/>
                <w:numId w:val="7"/>
              </w:numPr>
              <w:spacing w:after="120"/>
              <w:ind w:left="357" w:hanging="357"/>
              <w:contextualSpacing w:val="0"/>
              <w:jc w:val="both"/>
              <w:rPr>
                <w:rFonts w:ascii="Arial" w:hAnsi="Arial" w:cs="Arial"/>
                <w:snapToGrid w:val="0"/>
                <w:sz w:val="22"/>
                <w:szCs w:val="22"/>
                <w:lang w:val="en-GB" w:eastAsia="en-US"/>
              </w:rPr>
            </w:pPr>
            <w:r w:rsidRPr="00E02E4E">
              <w:rPr>
                <w:rFonts w:ascii="Arial" w:hAnsi="Arial" w:cs="Arial"/>
                <w:snapToGrid w:val="0"/>
                <w:sz w:val="22"/>
                <w:szCs w:val="22"/>
                <w:lang w:val="en-US" w:eastAsia="en-US"/>
              </w:rPr>
              <w:lastRenderedPageBreak/>
              <w:t>A</w:t>
            </w:r>
            <w:r w:rsidR="008E2FC2" w:rsidRPr="00E02E4E">
              <w:rPr>
                <w:rFonts w:ascii="Arial" w:hAnsi="Arial" w:cs="Arial"/>
                <w:snapToGrid w:val="0"/>
                <w:sz w:val="22"/>
                <w:szCs w:val="22"/>
                <w:lang w:val="en-US" w:eastAsia="en-US"/>
              </w:rPr>
              <w:t xml:space="preserve">t its seventh session in June 2018, </w:t>
            </w:r>
            <w:r w:rsidRPr="00E02E4E">
              <w:rPr>
                <w:rFonts w:ascii="Arial" w:hAnsi="Arial" w:cs="Arial"/>
                <w:snapToGrid w:val="0"/>
                <w:sz w:val="22"/>
                <w:szCs w:val="22"/>
                <w:lang w:val="en-US" w:eastAsia="en-US"/>
              </w:rPr>
              <w:t xml:space="preserve">the General Assembly </w:t>
            </w:r>
            <w:r w:rsidR="008E2FC2" w:rsidRPr="00E02E4E">
              <w:rPr>
                <w:rFonts w:ascii="Arial" w:hAnsi="Arial" w:cs="Arial"/>
                <w:snapToGrid w:val="0"/>
                <w:sz w:val="22"/>
                <w:szCs w:val="22"/>
                <w:lang w:val="en-US" w:eastAsia="en-US"/>
              </w:rPr>
              <w:t xml:space="preserve">approved the creation of three </w:t>
            </w:r>
            <w:proofErr w:type="spellStart"/>
            <w:r w:rsidR="008E2FC2" w:rsidRPr="00E02E4E">
              <w:rPr>
                <w:rFonts w:ascii="Arial" w:hAnsi="Arial" w:cs="Arial"/>
                <w:snapToGrid w:val="0"/>
                <w:sz w:val="22"/>
                <w:szCs w:val="22"/>
                <w:lang w:val="en-US" w:eastAsia="en-US"/>
              </w:rPr>
              <w:t>extrabudgetary</w:t>
            </w:r>
            <w:proofErr w:type="spellEnd"/>
            <w:r w:rsidR="008E2FC2" w:rsidRPr="00E02E4E">
              <w:rPr>
                <w:rFonts w:ascii="Arial" w:hAnsi="Arial" w:cs="Arial"/>
                <w:snapToGrid w:val="0"/>
                <w:sz w:val="22"/>
                <w:szCs w:val="22"/>
                <w:lang w:val="en-US" w:eastAsia="en-US"/>
              </w:rPr>
              <w:t xml:space="preserve"> fixed-term posts to </w:t>
            </w:r>
            <w:proofErr w:type="gramStart"/>
            <w:r w:rsidR="008E2FC2" w:rsidRPr="00E02E4E">
              <w:rPr>
                <w:rFonts w:ascii="Arial" w:hAnsi="Arial" w:cs="Arial"/>
                <w:snapToGrid w:val="0"/>
                <w:sz w:val="22"/>
                <w:szCs w:val="22"/>
                <w:lang w:val="en-US" w:eastAsia="en-US"/>
              </w:rPr>
              <w:t>be funded</w:t>
            </w:r>
            <w:proofErr w:type="gramEnd"/>
            <w:r w:rsidR="008E2FC2" w:rsidRPr="00E02E4E">
              <w:rPr>
                <w:rFonts w:ascii="Arial" w:hAnsi="Arial" w:cs="Arial"/>
                <w:snapToGrid w:val="0"/>
                <w:sz w:val="22"/>
                <w:szCs w:val="22"/>
                <w:lang w:val="en-US" w:eastAsia="en-US"/>
              </w:rPr>
              <w:t xml:space="preserve"> by the Intangible Cultural Heritage Fund for the implementation of the International Assistance mechanisms of the Fund</w:t>
            </w:r>
            <w:r w:rsidR="001C242F">
              <w:rPr>
                <w:rFonts w:ascii="Arial" w:hAnsi="Arial" w:cs="Arial"/>
                <w:snapToGrid w:val="0"/>
                <w:sz w:val="22"/>
                <w:szCs w:val="22"/>
                <w:lang w:val="en-US" w:eastAsia="en-US"/>
              </w:rPr>
              <w:t>.</w:t>
            </w:r>
          </w:p>
          <w:p w14:paraId="54545BB9" w14:textId="4BC690C1" w:rsidR="008E2FC2" w:rsidRPr="00CC62BD" w:rsidRDefault="001C242F">
            <w:pPr>
              <w:pStyle w:val="ListParagraph"/>
              <w:numPr>
                <w:ilvl w:val="0"/>
                <w:numId w:val="7"/>
              </w:numPr>
              <w:spacing w:after="120"/>
              <w:ind w:left="357" w:hanging="357"/>
              <w:contextualSpacing w:val="0"/>
              <w:jc w:val="both"/>
              <w:rPr>
                <w:rFonts w:ascii="Arial" w:hAnsi="Arial" w:cs="Arial"/>
                <w:snapToGrid w:val="0"/>
                <w:sz w:val="22"/>
                <w:szCs w:val="22"/>
                <w:u w:val="single"/>
                <w:lang w:val="en-GB" w:eastAsia="en-US"/>
              </w:rPr>
            </w:pPr>
            <w:r w:rsidRPr="00362E48">
              <w:rPr>
                <w:rFonts w:ascii="Arial" w:hAnsi="Arial" w:cs="Arial"/>
                <w:b/>
                <w:snapToGrid w:val="0"/>
                <w:sz w:val="22"/>
                <w:szCs w:val="22"/>
                <w:u w:val="single"/>
                <w:lang w:val="en-GB" w:eastAsia="en-US"/>
              </w:rPr>
              <w:t>Update</w:t>
            </w:r>
            <w:r w:rsidRPr="00362E48">
              <w:rPr>
                <w:rFonts w:ascii="Arial" w:hAnsi="Arial" w:cs="Arial"/>
                <w:snapToGrid w:val="0"/>
                <w:sz w:val="22"/>
                <w:szCs w:val="22"/>
                <w:u w:val="single"/>
                <w:lang w:val="en-GB" w:eastAsia="en-US"/>
              </w:rPr>
              <w:t xml:space="preserve">: The recruitment </w:t>
            </w:r>
            <w:r w:rsidR="000E48F7">
              <w:rPr>
                <w:rFonts w:ascii="Arial" w:hAnsi="Arial" w:cs="Arial"/>
                <w:snapToGrid w:val="0"/>
                <w:sz w:val="22"/>
                <w:szCs w:val="22"/>
                <w:u w:val="single"/>
                <w:lang w:val="en-GB" w:eastAsia="en-US"/>
              </w:rPr>
              <w:t xml:space="preserve">process </w:t>
            </w:r>
            <w:proofErr w:type="gramStart"/>
            <w:r w:rsidRPr="00362E48">
              <w:rPr>
                <w:rFonts w:ascii="Arial" w:hAnsi="Arial" w:cs="Arial"/>
                <w:snapToGrid w:val="0"/>
                <w:sz w:val="22"/>
                <w:szCs w:val="22"/>
                <w:u w:val="single"/>
                <w:lang w:val="en-GB" w:eastAsia="en-US"/>
              </w:rPr>
              <w:t>has been finali</w:t>
            </w:r>
            <w:r w:rsidR="000E48F7">
              <w:rPr>
                <w:rFonts w:ascii="Arial" w:hAnsi="Arial" w:cs="Arial"/>
                <w:snapToGrid w:val="0"/>
                <w:sz w:val="22"/>
                <w:szCs w:val="22"/>
                <w:u w:val="single"/>
                <w:lang w:val="en-GB" w:eastAsia="en-US"/>
              </w:rPr>
              <w:t>z</w:t>
            </w:r>
            <w:r w:rsidRPr="00362E48">
              <w:rPr>
                <w:rFonts w:ascii="Arial" w:hAnsi="Arial" w:cs="Arial"/>
                <w:snapToGrid w:val="0"/>
                <w:sz w:val="22"/>
                <w:szCs w:val="22"/>
                <w:u w:val="single"/>
                <w:lang w:val="en-GB" w:eastAsia="en-US"/>
              </w:rPr>
              <w:t>ed</w:t>
            </w:r>
            <w:proofErr w:type="gramEnd"/>
            <w:r w:rsidRPr="00362E48">
              <w:rPr>
                <w:rFonts w:ascii="Arial" w:hAnsi="Arial" w:cs="Arial"/>
                <w:snapToGrid w:val="0"/>
                <w:sz w:val="22"/>
                <w:szCs w:val="22"/>
                <w:u w:val="single"/>
                <w:lang w:val="en-GB" w:eastAsia="en-US"/>
              </w:rPr>
              <w:t xml:space="preserve"> and the incumbents</w:t>
            </w:r>
            <w:r w:rsidR="00742244" w:rsidRPr="00362E48">
              <w:rPr>
                <w:rFonts w:ascii="Arial" w:hAnsi="Arial" w:cs="Arial"/>
                <w:snapToGrid w:val="0"/>
                <w:sz w:val="22"/>
                <w:szCs w:val="22"/>
                <w:u w:val="single"/>
                <w:lang w:val="en-GB" w:eastAsia="en-US"/>
              </w:rPr>
              <w:t xml:space="preserve"> appointed </w:t>
            </w:r>
            <w:r w:rsidR="000E48F7">
              <w:rPr>
                <w:rFonts w:ascii="Arial" w:hAnsi="Arial" w:cs="Arial"/>
                <w:snapToGrid w:val="0"/>
                <w:sz w:val="22"/>
                <w:szCs w:val="22"/>
                <w:u w:val="single"/>
                <w:lang w:val="en-GB" w:eastAsia="en-US"/>
              </w:rPr>
              <w:t>to</w:t>
            </w:r>
            <w:r w:rsidR="00742244" w:rsidRPr="00362E48">
              <w:rPr>
                <w:rFonts w:ascii="Arial" w:hAnsi="Arial" w:cs="Arial"/>
                <w:snapToGrid w:val="0"/>
                <w:sz w:val="22"/>
                <w:szCs w:val="22"/>
                <w:u w:val="single"/>
                <w:lang w:val="en-GB" w:eastAsia="en-US"/>
              </w:rPr>
              <w:t xml:space="preserve"> their respective posts</w:t>
            </w:r>
            <w:r w:rsidRPr="00362E48">
              <w:rPr>
                <w:rFonts w:ascii="Arial" w:hAnsi="Arial" w:cs="Arial"/>
                <w:snapToGrid w:val="0"/>
                <w:sz w:val="22"/>
                <w:szCs w:val="22"/>
                <w:u w:val="single"/>
                <w:lang w:val="en-GB" w:eastAsia="en-US"/>
              </w:rPr>
              <w:t>.</w:t>
            </w:r>
          </w:p>
        </w:tc>
      </w:tr>
      <w:tr w:rsidR="009B7C08" w:rsidRPr="00E874B6" w14:paraId="0456EC87" w14:textId="77777777" w:rsidTr="001A1AFE">
        <w:trPr>
          <w:jc w:val="center"/>
        </w:trPr>
        <w:tc>
          <w:tcPr>
            <w:tcW w:w="5946" w:type="dxa"/>
          </w:tcPr>
          <w:p w14:paraId="6324DFB7" w14:textId="6B894E11" w:rsidR="009B7C08" w:rsidRPr="009B7C7E" w:rsidRDefault="009B7C08" w:rsidP="00B04CDE">
            <w:pPr>
              <w:spacing w:after="120"/>
              <w:ind w:left="567" w:hanging="567"/>
              <w:jc w:val="both"/>
              <w:rPr>
                <w:rFonts w:ascii="Arial" w:hAnsi="Arial" w:cs="Arial"/>
                <w:snapToGrid w:val="0"/>
                <w:sz w:val="22"/>
                <w:szCs w:val="22"/>
                <w:lang w:val="en-US" w:eastAsia="en-US"/>
              </w:rPr>
            </w:pPr>
            <w:r>
              <w:rPr>
                <w:rFonts w:ascii="Arial" w:hAnsi="Arial" w:cs="Arial"/>
                <w:snapToGrid w:val="0"/>
                <w:sz w:val="22"/>
                <w:szCs w:val="22"/>
                <w:lang w:val="en-US" w:eastAsia="en-US"/>
              </w:rPr>
              <w:lastRenderedPageBreak/>
              <w:t>96.</w:t>
            </w:r>
            <w:r>
              <w:rPr>
                <w:rFonts w:ascii="Arial" w:hAnsi="Arial" w:cs="Arial"/>
                <w:snapToGrid w:val="0"/>
                <w:sz w:val="22"/>
                <w:szCs w:val="22"/>
                <w:lang w:val="en-US" w:eastAsia="en-US"/>
              </w:rPr>
              <w:tab/>
            </w:r>
            <w:r w:rsidR="00876096" w:rsidRPr="001A1AFE">
              <w:rPr>
                <w:rFonts w:ascii="Arial" w:hAnsi="Arial" w:cs="Arial"/>
                <w:snapToGrid w:val="0"/>
                <w:sz w:val="22"/>
                <w:szCs w:val="22"/>
                <w:lang w:val="en-US" w:eastAsia="en-US"/>
              </w:rPr>
              <w:t xml:space="preserve">Governing Bodies of the Conventions, through broad consultations, are invited to further explore, as appropriate, harmonization of rules of procedure and coherence in decision-making procedures, taking into account their respective mandates and specificities. They can consider best practices from the environmental treaties/UNEP to further develop synergies in organizational matters, </w:t>
            </w:r>
            <w:proofErr w:type="gramStart"/>
            <w:r w:rsidR="00876096" w:rsidRPr="001A1AFE">
              <w:rPr>
                <w:rFonts w:ascii="Arial" w:hAnsi="Arial" w:cs="Arial"/>
                <w:snapToGrid w:val="0"/>
                <w:sz w:val="22"/>
                <w:szCs w:val="22"/>
                <w:lang w:val="en-US" w:eastAsia="en-US"/>
              </w:rPr>
              <w:t>information-sharing</w:t>
            </w:r>
            <w:proofErr w:type="gramEnd"/>
            <w:r w:rsidR="00876096" w:rsidRPr="001A1AFE">
              <w:rPr>
                <w:rFonts w:ascii="Arial" w:hAnsi="Arial" w:cs="Arial"/>
                <w:snapToGrid w:val="0"/>
                <w:sz w:val="22"/>
                <w:szCs w:val="22"/>
                <w:lang w:val="en-US" w:eastAsia="en-US"/>
              </w:rPr>
              <w:t>, and cost-efficiency.</w:t>
            </w:r>
          </w:p>
          <w:p w14:paraId="18A767BE" w14:textId="290B0719" w:rsidR="009B7C08" w:rsidRPr="00E863FC" w:rsidRDefault="00334F6F" w:rsidP="00E02E4E">
            <w:pPr>
              <w:spacing w:after="120"/>
              <w:jc w:val="both"/>
              <w:rPr>
                <w:rFonts w:ascii="Arial" w:hAnsi="Arial" w:cs="Arial"/>
                <w:snapToGrid w:val="0"/>
                <w:sz w:val="22"/>
                <w:szCs w:val="22"/>
                <w:highlight w:val="cyan"/>
                <w:lang w:val="en-US" w:eastAsia="en-US"/>
              </w:rPr>
            </w:pPr>
            <w:r>
              <w:rPr>
                <w:rFonts w:ascii="Arial" w:hAnsi="Arial" w:cs="Arial"/>
                <w:b/>
                <w:bCs/>
                <w:sz w:val="22"/>
                <w:szCs w:val="22"/>
                <w:lang w:val="en-GB"/>
              </w:rPr>
              <w:t>Ongoing</w:t>
            </w:r>
            <w:r w:rsidR="00E02E4E">
              <w:rPr>
                <w:rFonts w:ascii="Arial" w:hAnsi="Arial" w:cs="Arial"/>
                <w:b/>
                <w:bCs/>
                <w:sz w:val="22"/>
                <w:szCs w:val="22"/>
                <w:lang w:val="en-GB"/>
              </w:rPr>
              <w:t xml:space="preserve"> </w:t>
            </w:r>
          </w:p>
        </w:tc>
        <w:tc>
          <w:tcPr>
            <w:tcW w:w="8330" w:type="dxa"/>
          </w:tcPr>
          <w:p w14:paraId="6943ABF4" w14:textId="7C87A28D" w:rsidR="009B7C08" w:rsidRPr="00E02E4E" w:rsidRDefault="009B7C08"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E02E4E">
              <w:rPr>
                <w:rFonts w:ascii="Arial" w:hAnsi="Arial" w:cs="Arial"/>
                <w:snapToGrid w:val="0"/>
                <w:sz w:val="22"/>
                <w:szCs w:val="22"/>
                <w:lang w:val="en-GB" w:eastAsia="en-US"/>
              </w:rPr>
              <w:t xml:space="preserve">By its </w:t>
            </w:r>
            <w:hyperlink r:id="rId65" w:history="1">
              <w:r w:rsidRPr="002D38E3">
                <w:rPr>
                  <w:rStyle w:val="Hyperlink"/>
                  <w:rFonts w:ascii="Arial" w:hAnsi="Arial" w:cs="Arial"/>
                  <w:snapToGrid w:val="0"/>
                  <w:sz w:val="22"/>
                  <w:szCs w:val="22"/>
                  <w:lang w:val="en-GB" w:eastAsia="en-US"/>
                </w:rPr>
                <w:t>Resolution 6.GA 11</w:t>
              </w:r>
            </w:hyperlink>
            <w:r w:rsidRPr="00E02E4E">
              <w:rPr>
                <w:rFonts w:ascii="Arial" w:hAnsi="Arial" w:cs="Arial"/>
                <w:snapToGrid w:val="0"/>
                <w:sz w:val="22"/>
                <w:szCs w:val="22"/>
                <w:lang w:val="en-GB" w:eastAsia="en-US"/>
              </w:rPr>
              <w:t xml:space="preserve">, the General Assembly invited States Parties to </w:t>
            </w:r>
            <w:r w:rsidRPr="00E02E4E">
              <w:rPr>
                <w:rFonts w:ascii="Arial" w:hAnsi="Arial" w:cs="Arial"/>
                <w:snapToGrid w:val="0"/>
                <w:sz w:val="22"/>
                <w:szCs w:val="22"/>
                <w:lang w:val="en-US" w:eastAsia="en-US"/>
              </w:rPr>
              <w:t>propose modifications to its Rules of Procedure to improve coherence in the rules of procedure of the different organs of the UNESCO cultural conventions.</w:t>
            </w:r>
            <w:r w:rsidRPr="00E02E4E">
              <w:rPr>
                <w:rFonts w:ascii="Arial" w:hAnsi="Arial" w:cs="Arial"/>
                <w:snapToGrid w:val="0"/>
                <w:sz w:val="22"/>
                <w:szCs w:val="22"/>
                <w:lang w:val="en-GB" w:eastAsia="en-US"/>
              </w:rPr>
              <w:t xml:space="preserve"> An item to present the proposals received </w:t>
            </w:r>
            <w:proofErr w:type="gramStart"/>
            <w:r w:rsidR="00AD1B42" w:rsidRPr="00E02E4E">
              <w:rPr>
                <w:rFonts w:ascii="Arial" w:hAnsi="Arial" w:cs="Arial"/>
                <w:snapToGrid w:val="0"/>
                <w:sz w:val="22"/>
                <w:szCs w:val="22"/>
                <w:lang w:val="en-GB" w:eastAsia="en-US"/>
              </w:rPr>
              <w:t>was</w:t>
            </w:r>
            <w:r w:rsidR="00B1372C" w:rsidRPr="00E02E4E">
              <w:rPr>
                <w:rFonts w:ascii="Arial" w:hAnsi="Arial" w:cs="Arial"/>
                <w:snapToGrid w:val="0"/>
                <w:sz w:val="22"/>
                <w:szCs w:val="22"/>
                <w:lang w:val="en-GB" w:eastAsia="en-US"/>
              </w:rPr>
              <w:t xml:space="preserve"> </w:t>
            </w:r>
            <w:r w:rsidRPr="00E02E4E">
              <w:rPr>
                <w:rFonts w:ascii="Arial" w:hAnsi="Arial" w:cs="Arial"/>
                <w:snapToGrid w:val="0"/>
                <w:sz w:val="22"/>
                <w:szCs w:val="22"/>
                <w:lang w:val="en-GB" w:eastAsia="en-US"/>
              </w:rPr>
              <w:t>inscribed</w:t>
            </w:r>
            <w:proofErr w:type="gramEnd"/>
            <w:r w:rsidRPr="00E02E4E">
              <w:rPr>
                <w:rFonts w:ascii="Arial" w:hAnsi="Arial" w:cs="Arial"/>
                <w:snapToGrid w:val="0"/>
                <w:sz w:val="22"/>
                <w:szCs w:val="22"/>
                <w:lang w:val="en-GB" w:eastAsia="en-US"/>
              </w:rPr>
              <w:t xml:space="preserve"> on the agenda of the </w:t>
            </w:r>
            <w:r w:rsidR="00B1372C" w:rsidRPr="00E02E4E">
              <w:rPr>
                <w:rFonts w:ascii="Arial" w:hAnsi="Arial" w:cs="Arial"/>
                <w:snapToGrid w:val="0"/>
                <w:sz w:val="22"/>
                <w:szCs w:val="22"/>
                <w:lang w:val="en-GB" w:eastAsia="en-US"/>
              </w:rPr>
              <w:t>seventh</w:t>
            </w:r>
            <w:r w:rsidR="00AD1B42" w:rsidRPr="00E02E4E">
              <w:rPr>
                <w:rFonts w:ascii="Arial" w:hAnsi="Arial" w:cs="Arial"/>
                <w:snapToGrid w:val="0"/>
                <w:sz w:val="22"/>
                <w:szCs w:val="22"/>
                <w:lang w:val="en-GB" w:eastAsia="en-US"/>
              </w:rPr>
              <w:t xml:space="preserve"> </w:t>
            </w:r>
            <w:r w:rsidRPr="00E02E4E">
              <w:rPr>
                <w:rFonts w:ascii="Arial" w:hAnsi="Arial" w:cs="Arial"/>
                <w:snapToGrid w:val="0"/>
                <w:sz w:val="22"/>
                <w:szCs w:val="22"/>
                <w:lang w:val="en-GB" w:eastAsia="en-US"/>
              </w:rPr>
              <w:t>session of the General Assembly (see document </w:t>
            </w:r>
            <w:hyperlink r:id="rId66" w:history="1">
              <w:r w:rsidRPr="002D38E3">
                <w:rPr>
                  <w:rStyle w:val="Hyperlink"/>
                  <w:rFonts w:ascii="Arial" w:hAnsi="Arial" w:cs="Arial"/>
                  <w:snapToGrid w:val="0"/>
                  <w:sz w:val="22"/>
                  <w:szCs w:val="22"/>
                  <w:lang w:val="en-GB" w:eastAsia="en-US"/>
                </w:rPr>
                <w:t>ITH/18/7.GA/13</w:t>
              </w:r>
            </w:hyperlink>
            <w:r w:rsidRPr="00E02E4E">
              <w:rPr>
                <w:rFonts w:ascii="Arial" w:hAnsi="Arial" w:cs="Arial"/>
                <w:snapToGrid w:val="0"/>
                <w:sz w:val="22"/>
                <w:szCs w:val="22"/>
                <w:lang w:val="en-GB" w:eastAsia="en-US"/>
              </w:rPr>
              <w:t>).</w:t>
            </w:r>
          </w:p>
          <w:p w14:paraId="642897DD" w14:textId="08DCF6A9" w:rsidR="00B341EF" w:rsidRPr="00E02E4E" w:rsidRDefault="00236BBD" w:rsidP="00A92A51">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E02E4E">
              <w:rPr>
                <w:rFonts w:ascii="Arial" w:hAnsi="Arial" w:cs="Arial"/>
                <w:snapToGrid w:val="0"/>
                <w:sz w:val="22"/>
                <w:szCs w:val="22"/>
                <w:lang w:val="en-GB" w:eastAsia="en-US"/>
              </w:rPr>
              <w:t xml:space="preserve">Following Resolutions </w:t>
            </w:r>
            <w:hyperlink r:id="rId67" w:history="1">
              <w:r w:rsidRPr="002D38E3">
                <w:rPr>
                  <w:rStyle w:val="Hyperlink"/>
                  <w:rFonts w:ascii="Arial" w:hAnsi="Arial" w:cs="Arial"/>
                  <w:snapToGrid w:val="0"/>
                  <w:sz w:val="22"/>
                  <w:szCs w:val="22"/>
                  <w:lang w:val="en-GB" w:eastAsia="en-US"/>
                </w:rPr>
                <w:t>7.GA 12</w:t>
              </w:r>
            </w:hyperlink>
            <w:r w:rsidRPr="00E02E4E">
              <w:rPr>
                <w:rFonts w:ascii="Arial" w:hAnsi="Arial" w:cs="Arial"/>
                <w:snapToGrid w:val="0"/>
                <w:sz w:val="22"/>
                <w:szCs w:val="22"/>
                <w:lang w:val="en-GB" w:eastAsia="en-US"/>
              </w:rPr>
              <w:t xml:space="preserve"> and </w:t>
            </w:r>
            <w:hyperlink r:id="rId68" w:history="1">
              <w:r w:rsidRPr="002D38E3">
                <w:rPr>
                  <w:rStyle w:val="Hyperlink"/>
                  <w:rFonts w:ascii="Arial" w:hAnsi="Arial" w:cs="Arial"/>
                  <w:snapToGrid w:val="0"/>
                  <w:sz w:val="22"/>
                  <w:szCs w:val="22"/>
                  <w:lang w:val="en-GB" w:eastAsia="en-US"/>
                </w:rPr>
                <w:t>7.GA 13</w:t>
              </w:r>
            </w:hyperlink>
            <w:r w:rsidRPr="00E02E4E">
              <w:rPr>
                <w:rFonts w:ascii="Arial" w:hAnsi="Arial" w:cs="Arial"/>
                <w:snapToGrid w:val="0"/>
                <w:sz w:val="22"/>
                <w:szCs w:val="22"/>
                <w:lang w:val="en-GB" w:eastAsia="en-US"/>
              </w:rPr>
              <w:t>, a revised set of the Rules of Procedure</w:t>
            </w:r>
            <w:r w:rsidR="00A92A51" w:rsidRPr="00E02E4E">
              <w:rPr>
                <w:rFonts w:ascii="Arial" w:hAnsi="Arial" w:cs="Arial"/>
                <w:snapToGrid w:val="0"/>
                <w:sz w:val="22"/>
                <w:szCs w:val="22"/>
                <w:lang w:val="en-GB" w:eastAsia="en-US"/>
              </w:rPr>
              <w:t xml:space="preserve"> of the General Assembly</w:t>
            </w:r>
            <w:r w:rsidRPr="00E02E4E">
              <w:rPr>
                <w:rFonts w:ascii="Arial" w:hAnsi="Arial" w:cs="Arial"/>
                <w:snapToGrid w:val="0"/>
                <w:sz w:val="22"/>
                <w:szCs w:val="22"/>
                <w:lang w:val="en-GB" w:eastAsia="en-US"/>
              </w:rPr>
              <w:t xml:space="preserve"> </w:t>
            </w:r>
            <w:proofErr w:type="gramStart"/>
            <w:r w:rsidRPr="00E02E4E">
              <w:rPr>
                <w:rFonts w:ascii="Arial" w:hAnsi="Arial" w:cs="Arial"/>
                <w:snapToGrid w:val="0"/>
                <w:sz w:val="22"/>
                <w:szCs w:val="22"/>
                <w:lang w:val="en-GB" w:eastAsia="en-US"/>
              </w:rPr>
              <w:t xml:space="preserve">will be </w:t>
            </w:r>
            <w:r w:rsidRPr="00CC62BD">
              <w:rPr>
                <w:rFonts w:ascii="Arial" w:hAnsi="Arial" w:cs="Arial"/>
                <w:snapToGrid w:val="0"/>
                <w:sz w:val="22"/>
                <w:szCs w:val="22"/>
                <w:lang w:val="en-GB" w:eastAsia="en-US"/>
              </w:rPr>
              <w:t>presented</w:t>
            </w:r>
            <w:proofErr w:type="gramEnd"/>
            <w:r w:rsidRPr="00CC62BD">
              <w:rPr>
                <w:rFonts w:ascii="Arial" w:hAnsi="Arial" w:cs="Arial"/>
                <w:snapToGrid w:val="0"/>
                <w:sz w:val="22"/>
                <w:szCs w:val="22"/>
                <w:lang w:val="en-GB" w:eastAsia="en-US"/>
              </w:rPr>
              <w:t xml:space="preserve"> to the eighth session of the General Assembly in 2020.</w:t>
            </w:r>
          </w:p>
        </w:tc>
      </w:tr>
      <w:tr w:rsidR="009B7C08" w:rsidRPr="00884518" w14:paraId="23F382EA" w14:textId="77777777" w:rsidTr="001A1AFE">
        <w:trPr>
          <w:jc w:val="center"/>
        </w:trPr>
        <w:tc>
          <w:tcPr>
            <w:tcW w:w="5946" w:type="dxa"/>
          </w:tcPr>
          <w:p w14:paraId="15BCB875" w14:textId="5C777B54" w:rsidR="009B7C08" w:rsidRPr="009B7C7E" w:rsidRDefault="009B7C08" w:rsidP="00B04CDE">
            <w:pPr>
              <w:spacing w:after="120"/>
              <w:ind w:left="567" w:hanging="567"/>
              <w:jc w:val="both"/>
              <w:rPr>
                <w:rFonts w:ascii="Arial" w:hAnsi="Arial" w:cs="Arial"/>
                <w:snapToGrid w:val="0"/>
                <w:sz w:val="22"/>
                <w:szCs w:val="22"/>
                <w:lang w:val="en-US" w:eastAsia="en-US"/>
              </w:rPr>
            </w:pPr>
            <w:r>
              <w:rPr>
                <w:rFonts w:ascii="Arial" w:hAnsi="Arial" w:cs="Arial"/>
                <w:snapToGrid w:val="0"/>
                <w:sz w:val="22"/>
                <w:szCs w:val="22"/>
                <w:lang w:val="en-US" w:eastAsia="en-US"/>
              </w:rPr>
              <w:t>97.</w:t>
            </w:r>
            <w:r>
              <w:rPr>
                <w:rFonts w:ascii="Arial" w:hAnsi="Arial" w:cs="Arial"/>
                <w:snapToGrid w:val="0"/>
                <w:sz w:val="22"/>
                <w:szCs w:val="22"/>
                <w:lang w:val="en-US" w:eastAsia="en-US"/>
              </w:rPr>
              <w:tab/>
            </w:r>
            <w:r w:rsidR="00876096" w:rsidRPr="001A1AFE">
              <w:rPr>
                <w:rFonts w:ascii="Arial" w:hAnsi="Arial" w:cs="Arial"/>
                <w:snapToGrid w:val="0"/>
                <w:sz w:val="22"/>
                <w:szCs w:val="22"/>
                <w:lang w:val="en-US" w:eastAsia="en-US"/>
              </w:rPr>
              <w:t>Meetings of the Chairpersons of the Committees of the Cultural Conventions can be more interactive and action-oriented. Chairpersons should work strategically together to address common themes and challenges and consider shared responses and cooperation.</w:t>
            </w:r>
          </w:p>
          <w:p w14:paraId="03FD29F0" w14:textId="24076949" w:rsidR="009B7C08" w:rsidRPr="00E863FC" w:rsidRDefault="00170998" w:rsidP="00B04CDE">
            <w:pPr>
              <w:spacing w:after="120"/>
              <w:jc w:val="both"/>
              <w:rPr>
                <w:rFonts w:ascii="Arial" w:hAnsi="Arial" w:cs="Arial"/>
                <w:snapToGrid w:val="0"/>
                <w:sz w:val="22"/>
                <w:szCs w:val="22"/>
                <w:highlight w:val="cyan"/>
                <w:lang w:val="en-US" w:eastAsia="en-US"/>
              </w:rPr>
            </w:pPr>
            <w:r>
              <w:rPr>
                <w:rFonts w:ascii="Arial" w:hAnsi="Arial" w:cs="Arial"/>
                <w:b/>
                <w:bCs/>
                <w:sz w:val="22"/>
                <w:szCs w:val="22"/>
                <w:lang w:val="en-GB"/>
              </w:rPr>
              <w:t>Closed</w:t>
            </w:r>
          </w:p>
        </w:tc>
        <w:tc>
          <w:tcPr>
            <w:tcW w:w="8330" w:type="dxa"/>
          </w:tcPr>
          <w:p w14:paraId="0C7D1C2A" w14:textId="29C78761" w:rsidR="003F72C5" w:rsidRPr="00427622" w:rsidRDefault="003F72C5" w:rsidP="003F72C5">
            <w:pPr>
              <w:pStyle w:val="ListParagraph"/>
              <w:numPr>
                <w:ilvl w:val="0"/>
                <w:numId w:val="7"/>
              </w:numPr>
              <w:rPr>
                <w:rFonts w:ascii="Arial" w:hAnsi="Arial" w:cs="Arial"/>
                <w:spacing w:val="-2"/>
                <w:sz w:val="22"/>
                <w:szCs w:val="22"/>
                <w:lang w:val="en-GB"/>
              </w:rPr>
            </w:pPr>
            <w:r>
              <w:rPr>
                <w:rFonts w:ascii="Arial" w:hAnsi="Arial" w:cs="Arial"/>
                <w:spacing w:val="-2"/>
                <w:sz w:val="22"/>
                <w:szCs w:val="22"/>
                <w:lang w:val="en-US"/>
              </w:rPr>
              <w:t>T</w:t>
            </w:r>
            <w:r>
              <w:rPr>
                <w:rFonts w:ascii="Arial" w:hAnsi="Arial" w:cs="Arial"/>
                <w:spacing w:val="-2"/>
                <w:sz w:val="22"/>
                <w:szCs w:val="22"/>
                <w:lang w:val="en-GB"/>
              </w:rPr>
              <w:t>he Chairpersons</w:t>
            </w:r>
            <w:r w:rsidRPr="00427622">
              <w:rPr>
                <w:rFonts w:ascii="Arial" w:hAnsi="Arial" w:cs="Arial"/>
                <w:spacing w:val="-2"/>
                <w:sz w:val="22"/>
                <w:szCs w:val="22"/>
                <w:lang w:val="en-GB"/>
              </w:rPr>
              <w:t xml:space="preserve"> of the six UNESCO culture conventions met </w:t>
            </w:r>
            <w:r>
              <w:rPr>
                <w:rFonts w:ascii="Arial" w:hAnsi="Arial" w:cs="Arial"/>
                <w:spacing w:val="-2"/>
                <w:sz w:val="22"/>
                <w:szCs w:val="22"/>
                <w:lang w:val="en-GB"/>
              </w:rPr>
              <w:t>on two occasions in 2015 and 2016</w:t>
            </w:r>
            <w:r w:rsidRPr="00427622">
              <w:rPr>
                <w:rFonts w:ascii="Arial" w:hAnsi="Arial" w:cs="Arial"/>
                <w:spacing w:val="-2"/>
                <w:sz w:val="22"/>
                <w:szCs w:val="22"/>
                <w:lang w:val="en-GB"/>
              </w:rPr>
              <w:t>.</w:t>
            </w:r>
          </w:p>
          <w:p w14:paraId="5525BDE9" w14:textId="636136FC" w:rsidR="009B7C08" w:rsidRPr="00942976" w:rsidRDefault="009B7C08" w:rsidP="001A1AFE">
            <w:pPr>
              <w:pStyle w:val="ListParagraph"/>
              <w:spacing w:after="120"/>
              <w:contextualSpacing w:val="0"/>
              <w:jc w:val="both"/>
              <w:rPr>
                <w:rFonts w:ascii="Arial" w:hAnsi="Arial" w:cs="Arial"/>
                <w:snapToGrid w:val="0"/>
                <w:sz w:val="22"/>
                <w:szCs w:val="22"/>
                <w:lang w:val="en-GB" w:eastAsia="en-US"/>
              </w:rPr>
            </w:pPr>
          </w:p>
        </w:tc>
      </w:tr>
      <w:tr w:rsidR="009B7C08" w:rsidRPr="00884518" w14:paraId="604E3077" w14:textId="77777777" w:rsidTr="001A1AFE">
        <w:trPr>
          <w:jc w:val="center"/>
        </w:trPr>
        <w:tc>
          <w:tcPr>
            <w:tcW w:w="5946" w:type="dxa"/>
          </w:tcPr>
          <w:p w14:paraId="4FF21ABB" w14:textId="3A558FF2" w:rsidR="009B7C08" w:rsidRDefault="00876096" w:rsidP="00A741D3">
            <w:pPr>
              <w:pStyle w:val="ListParagraph"/>
              <w:numPr>
                <w:ilvl w:val="0"/>
                <w:numId w:val="13"/>
              </w:numPr>
              <w:spacing w:after="120"/>
              <w:ind w:left="567" w:hanging="567"/>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t xml:space="preserve">Transparency and accountability measures </w:t>
            </w:r>
            <w:proofErr w:type="gramStart"/>
            <w:r w:rsidRPr="001A1AFE">
              <w:rPr>
                <w:rFonts w:ascii="Arial" w:hAnsi="Arial" w:cs="Arial"/>
                <w:snapToGrid w:val="0"/>
                <w:sz w:val="22"/>
                <w:szCs w:val="22"/>
                <w:lang w:val="en-US" w:eastAsia="en-US"/>
              </w:rPr>
              <w:t>can be enhanced</w:t>
            </w:r>
            <w:proofErr w:type="gramEnd"/>
            <w:r w:rsidRPr="001A1AFE">
              <w:rPr>
                <w:rFonts w:ascii="Arial" w:hAnsi="Arial" w:cs="Arial"/>
                <w:snapToGrid w:val="0"/>
                <w:sz w:val="22"/>
                <w:szCs w:val="22"/>
                <w:lang w:val="en-US" w:eastAsia="en-US"/>
              </w:rPr>
              <w:t>, such as dissemination of minutes/ key results of Bureau meetings.</w:t>
            </w:r>
          </w:p>
          <w:p w14:paraId="15F85BF7" w14:textId="77777777" w:rsidR="009B7C08" w:rsidRPr="00E863FC" w:rsidRDefault="009B7C08" w:rsidP="00B04CDE">
            <w:pPr>
              <w:spacing w:after="120"/>
              <w:jc w:val="both"/>
              <w:rPr>
                <w:rFonts w:ascii="Arial" w:hAnsi="Arial" w:cs="Arial"/>
                <w:snapToGrid w:val="0"/>
                <w:sz w:val="22"/>
                <w:szCs w:val="22"/>
                <w:lang w:val="en-US" w:eastAsia="en-US"/>
              </w:rPr>
            </w:pPr>
            <w:r w:rsidRPr="001C6154">
              <w:rPr>
                <w:rFonts w:ascii="Arial" w:hAnsi="Arial" w:cs="Arial"/>
                <w:b/>
                <w:bCs/>
                <w:snapToGrid w:val="0"/>
                <w:sz w:val="22"/>
                <w:szCs w:val="22"/>
                <w:lang w:val="en-GB" w:eastAsia="en-US"/>
              </w:rPr>
              <w:t>C</w:t>
            </w:r>
            <w:r>
              <w:rPr>
                <w:rFonts w:ascii="Arial" w:hAnsi="Arial" w:cs="Arial"/>
                <w:b/>
                <w:bCs/>
                <w:snapToGrid w:val="0"/>
                <w:sz w:val="22"/>
                <w:szCs w:val="22"/>
                <w:lang w:val="en-GB" w:eastAsia="en-US"/>
              </w:rPr>
              <w:t>losed</w:t>
            </w:r>
            <w:r>
              <w:rPr>
                <w:rFonts w:ascii="Arial" w:hAnsi="Arial" w:cs="Arial"/>
                <w:b/>
                <w:bCs/>
                <w:lang w:val="en-GB"/>
              </w:rPr>
              <w:br/>
            </w:r>
            <w:r w:rsidRPr="001C6154">
              <w:rPr>
                <w:rFonts w:ascii="Arial" w:hAnsi="Arial" w:cs="Arial"/>
                <w:b/>
                <w:bCs/>
                <w:snapToGrid w:val="0"/>
                <w:sz w:val="22"/>
                <w:szCs w:val="22"/>
                <w:lang w:val="en-GB" w:eastAsia="en-US"/>
              </w:rPr>
              <w:t>(</w:t>
            </w:r>
            <w:r w:rsidRPr="00A35371">
              <w:rPr>
                <w:rFonts w:ascii="Arial" w:hAnsi="Arial" w:cs="Arial"/>
                <w:b/>
                <w:bCs/>
                <w:snapToGrid w:val="0"/>
                <w:sz w:val="22"/>
                <w:szCs w:val="22"/>
                <w:lang w:val="en-GB" w:eastAsia="en-US"/>
              </w:rPr>
              <w:t>Good practice</w:t>
            </w:r>
            <w:r w:rsidRPr="001C6154">
              <w:rPr>
                <w:rFonts w:ascii="Arial" w:hAnsi="Arial" w:cs="Arial"/>
                <w:b/>
                <w:bCs/>
                <w:snapToGrid w:val="0"/>
                <w:sz w:val="22"/>
                <w:szCs w:val="22"/>
                <w:lang w:val="en-GB" w:eastAsia="en-US"/>
              </w:rPr>
              <w:t>)</w:t>
            </w:r>
          </w:p>
        </w:tc>
        <w:tc>
          <w:tcPr>
            <w:tcW w:w="8330" w:type="dxa"/>
          </w:tcPr>
          <w:p w14:paraId="43EA1201" w14:textId="532B4B13" w:rsidR="00726ADA" w:rsidRPr="00A22328" w:rsidRDefault="0000468C" w:rsidP="00726ADA">
            <w:pPr>
              <w:pStyle w:val="ListParagraph"/>
              <w:numPr>
                <w:ilvl w:val="0"/>
                <w:numId w:val="7"/>
              </w:numPr>
              <w:spacing w:after="120"/>
              <w:ind w:left="357" w:hanging="357"/>
              <w:contextualSpacing w:val="0"/>
              <w:jc w:val="both"/>
              <w:rPr>
                <w:rFonts w:ascii="Arial" w:hAnsi="Arial" w:cs="Arial"/>
                <w:b/>
                <w:snapToGrid w:val="0"/>
                <w:sz w:val="22"/>
                <w:szCs w:val="22"/>
                <w:lang w:val="en-GB" w:eastAsia="en-US"/>
              </w:rPr>
            </w:pPr>
            <w:r w:rsidRPr="00A22328">
              <w:rPr>
                <w:rFonts w:ascii="Arial" w:hAnsi="Arial" w:cs="Arial"/>
                <w:b/>
                <w:snapToGrid w:val="0"/>
                <w:sz w:val="22"/>
                <w:szCs w:val="22"/>
                <w:lang w:val="en-GB" w:eastAsia="en-US"/>
              </w:rPr>
              <w:t>Closed</w:t>
            </w:r>
            <w:r>
              <w:rPr>
                <w:rFonts w:ascii="Arial" w:hAnsi="Arial" w:cs="Arial"/>
                <w:b/>
                <w:snapToGrid w:val="0"/>
                <w:sz w:val="22"/>
                <w:szCs w:val="22"/>
                <w:lang w:val="en-GB" w:eastAsia="en-US"/>
              </w:rPr>
              <w:t xml:space="preserve"> since 7.GA</w:t>
            </w:r>
            <w:r w:rsidR="00726ADA" w:rsidRPr="00A22328">
              <w:rPr>
                <w:rFonts w:ascii="Arial" w:hAnsi="Arial" w:cs="Arial"/>
                <w:sz w:val="20"/>
                <w:szCs w:val="20"/>
                <w:lang w:val="en-GB"/>
              </w:rPr>
              <w:t xml:space="preserve"> (See document </w:t>
            </w:r>
            <w:hyperlink r:id="rId69" w:history="1">
              <w:r w:rsidR="00726ADA" w:rsidRPr="003526DE">
                <w:rPr>
                  <w:rStyle w:val="Hyperlink"/>
                  <w:rFonts w:ascii="Arial" w:hAnsi="Arial" w:cs="Arial"/>
                  <w:sz w:val="20"/>
                  <w:szCs w:val="20"/>
                  <w:lang w:val="en-GB"/>
                </w:rPr>
                <w:t>ITH/18/7.GA/12</w:t>
              </w:r>
            </w:hyperlink>
            <w:r w:rsidR="00726ADA">
              <w:rPr>
                <w:rFonts w:ascii="Arial" w:hAnsi="Arial" w:cs="Arial"/>
                <w:sz w:val="20"/>
                <w:szCs w:val="20"/>
                <w:lang w:val="en-GB"/>
              </w:rPr>
              <w:t>)</w:t>
            </w:r>
          </w:p>
          <w:p w14:paraId="73ECD903" w14:textId="65785DA5" w:rsidR="009B7C08" w:rsidRPr="001F1B91" w:rsidRDefault="009B7C08" w:rsidP="00362E48">
            <w:pPr>
              <w:pStyle w:val="ListParagraph"/>
              <w:spacing w:after="120"/>
              <w:ind w:left="357"/>
              <w:contextualSpacing w:val="0"/>
              <w:jc w:val="both"/>
              <w:rPr>
                <w:rFonts w:ascii="Arial" w:hAnsi="Arial" w:cs="Arial"/>
                <w:snapToGrid w:val="0"/>
                <w:sz w:val="22"/>
                <w:szCs w:val="22"/>
                <w:lang w:val="en-GB" w:eastAsia="en-US"/>
              </w:rPr>
            </w:pPr>
          </w:p>
        </w:tc>
      </w:tr>
      <w:tr w:rsidR="009B7C08" w:rsidRPr="00884518" w14:paraId="487FB18F" w14:textId="77777777" w:rsidTr="001A1AFE">
        <w:trPr>
          <w:jc w:val="center"/>
        </w:trPr>
        <w:tc>
          <w:tcPr>
            <w:tcW w:w="5946" w:type="dxa"/>
          </w:tcPr>
          <w:p w14:paraId="32A6201F" w14:textId="3124B88F" w:rsidR="009B7C08" w:rsidRDefault="009B7C7E" w:rsidP="001A1AFE">
            <w:pPr>
              <w:pStyle w:val="ListParagraph"/>
              <w:pageBreakBefore/>
              <w:numPr>
                <w:ilvl w:val="0"/>
                <w:numId w:val="13"/>
              </w:numPr>
              <w:spacing w:after="120"/>
              <w:ind w:left="562" w:hanging="562"/>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lastRenderedPageBreak/>
              <w:t xml:space="preserve">Capacity-building and common training on all cultural conventions </w:t>
            </w:r>
            <w:proofErr w:type="gramStart"/>
            <w:r w:rsidRPr="001A1AFE">
              <w:rPr>
                <w:rFonts w:ascii="Arial" w:hAnsi="Arial" w:cs="Arial"/>
                <w:snapToGrid w:val="0"/>
                <w:sz w:val="22"/>
                <w:szCs w:val="22"/>
                <w:lang w:val="en-US" w:eastAsia="en-US"/>
              </w:rPr>
              <w:t>should be strengthened</w:t>
            </w:r>
            <w:proofErr w:type="gramEnd"/>
            <w:r w:rsidRPr="001A1AFE">
              <w:rPr>
                <w:rFonts w:ascii="Arial" w:hAnsi="Arial" w:cs="Arial"/>
                <w:snapToGrid w:val="0"/>
                <w:sz w:val="22"/>
                <w:szCs w:val="22"/>
                <w:lang w:val="en-US" w:eastAsia="en-US"/>
              </w:rPr>
              <w:t>.</w:t>
            </w:r>
          </w:p>
          <w:p w14:paraId="2A2B0567" w14:textId="77777777" w:rsidR="009B7C08" w:rsidRPr="00E863FC" w:rsidRDefault="009B7C08" w:rsidP="001A1AFE">
            <w:pPr>
              <w:pageBreakBefore/>
              <w:spacing w:after="120"/>
              <w:jc w:val="both"/>
              <w:rPr>
                <w:rFonts w:ascii="Arial" w:hAnsi="Arial" w:cs="Arial"/>
                <w:snapToGrid w:val="0"/>
                <w:sz w:val="22"/>
                <w:szCs w:val="22"/>
                <w:lang w:val="en-US" w:eastAsia="en-US"/>
              </w:rPr>
            </w:pPr>
            <w:r w:rsidRPr="001C6154">
              <w:rPr>
                <w:rFonts w:ascii="Arial" w:hAnsi="Arial" w:cs="Arial"/>
                <w:b/>
                <w:bCs/>
                <w:sz w:val="22"/>
                <w:szCs w:val="22"/>
                <w:lang w:val="en-GB"/>
              </w:rPr>
              <w:t>Ongoing</w:t>
            </w:r>
            <w:r>
              <w:rPr>
                <w:rFonts w:ascii="Arial" w:hAnsi="Arial" w:cs="Arial"/>
                <w:b/>
                <w:bCs/>
                <w:sz w:val="22"/>
                <w:szCs w:val="22"/>
                <w:lang w:val="en-GB"/>
              </w:rPr>
              <w:br/>
            </w:r>
            <w:r w:rsidRPr="001C6154">
              <w:rPr>
                <w:rFonts w:ascii="Arial" w:hAnsi="Arial" w:cs="Arial"/>
                <w:b/>
                <w:bCs/>
                <w:snapToGrid w:val="0"/>
                <w:sz w:val="22"/>
                <w:szCs w:val="22"/>
                <w:lang w:val="en-GB" w:eastAsia="en-US"/>
              </w:rPr>
              <w:t>(</w:t>
            </w:r>
            <w:r w:rsidRPr="00A35371">
              <w:rPr>
                <w:rFonts w:ascii="Arial" w:hAnsi="Arial" w:cs="Arial"/>
                <w:b/>
                <w:bCs/>
                <w:snapToGrid w:val="0"/>
                <w:sz w:val="22"/>
                <w:szCs w:val="22"/>
                <w:lang w:val="en-GB" w:eastAsia="en-US"/>
              </w:rPr>
              <w:t>Good practice</w:t>
            </w:r>
            <w:r w:rsidRPr="001C6154">
              <w:rPr>
                <w:rFonts w:ascii="Arial" w:hAnsi="Arial" w:cs="Arial"/>
                <w:b/>
                <w:bCs/>
                <w:snapToGrid w:val="0"/>
                <w:sz w:val="22"/>
                <w:szCs w:val="22"/>
                <w:lang w:val="en-GB" w:eastAsia="en-US"/>
              </w:rPr>
              <w:t>)</w:t>
            </w:r>
          </w:p>
        </w:tc>
        <w:tc>
          <w:tcPr>
            <w:tcW w:w="8330" w:type="dxa"/>
          </w:tcPr>
          <w:p w14:paraId="5F21D39F" w14:textId="67E99B5C" w:rsidR="00726ADA" w:rsidRPr="00A22328" w:rsidRDefault="0000468C" w:rsidP="00726ADA">
            <w:pPr>
              <w:pStyle w:val="ListParagraph"/>
              <w:numPr>
                <w:ilvl w:val="0"/>
                <w:numId w:val="7"/>
              </w:numPr>
              <w:spacing w:after="120"/>
              <w:ind w:left="357" w:hanging="357"/>
              <w:contextualSpacing w:val="0"/>
              <w:jc w:val="both"/>
              <w:rPr>
                <w:rFonts w:ascii="Arial" w:hAnsi="Arial" w:cs="Arial"/>
                <w:b/>
                <w:snapToGrid w:val="0"/>
                <w:sz w:val="22"/>
                <w:szCs w:val="22"/>
                <w:lang w:val="en-GB" w:eastAsia="en-US"/>
              </w:rPr>
            </w:pPr>
            <w:r w:rsidRPr="00A22328">
              <w:rPr>
                <w:rFonts w:ascii="Arial" w:hAnsi="Arial" w:cs="Arial"/>
                <w:b/>
                <w:snapToGrid w:val="0"/>
                <w:sz w:val="22"/>
                <w:szCs w:val="22"/>
                <w:lang w:val="en-GB" w:eastAsia="en-US"/>
              </w:rPr>
              <w:t>Closed</w:t>
            </w:r>
            <w:r>
              <w:rPr>
                <w:rFonts w:ascii="Arial" w:hAnsi="Arial" w:cs="Arial"/>
                <w:b/>
                <w:snapToGrid w:val="0"/>
                <w:sz w:val="22"/>
                <w:szCs w:val="22"/>
                <w:lang w:val="en-GB" w:eastAsia="en-US"/>
              </w:rPr>
              <w:t xml:space="preserve"> since 7.GA</w:t>
            </w:r>
            <w:r w:rsidR="00726ADA">
              <w:rPr>
                <w:rFonts w:ascii="Arial" w:hAnsi="Arial" w:cs="Arial"/>
                <w:snapToGrid w:val="0"/>
                <w:sz w:val="22"/>
                <w:szCs w:val="22"/>
                <w:lang w:val="en-US" w:eastAsia="en-US"/>
              </w:rPr>
              <w:t xml:space="preserve"> </w:t>
            </w:r>
            <w:r w:rsidR="00726ADA" w:rsidRPr="00A22328">
              <w:rPr>
                <w:rFonts w:ascii="Arial" w:hAnsi="Arial" w:cs="Arial"/>
                <w:sz w:val="20"/>
                <w:szCs w:val="20"/>
                <w:lang w:val="en-GB"/>
              </w:rPr>
              <w:t xml:space="preserve">(See document </w:t>
            </w:r>
            <w:hyperlink r:id="rId70" w:history="1">
              <w:r w:rsidR="00726ADA" w:rsidRPr="003526DE">
                <w:rPr>
                  <w:rStyle w:val="Hyperlink"/>
                  <w:rFonts w:ascii="Arial" w:hAnsi="Arial" w:cs="Arial"/>
                  <w:sz w:val="20"/>
                  <w:szCs w:val="20"/>
                  <w:lang w:val="en-GB"/>
                </w:rPr>
                <w:t>ITH/18/7.GA/12</w:t>
              </w:r>
            </w:hyperlink>
            <w:r w:rsidR="00726ADA">
              <w:rPr>
                <w:rFonts w:ascii="Arial" w:hAnsi="Arial" w:cs="Arial"/>
                <w:sz w:val="20"/>
                <w:szCs w:val="20"/>
                <w:lang w:val="en-GB"/>
              </w:rPr>
              <w:t>)</w:t>
            </w:r>
          </w:p>
          <w:p w14:paraId="3DB449CA" w14:textId="46409B04" w:rsidR="009B7C08" w:rsidRPr="001F1B91" w:rsidRDefault="009B7C08" w:rsidP="00362E48">
            <w:pPr>
              <w:pStyle w:val="ListParagraph"/>
              <w:spacing w:after="120"/>
              <w:ind w:left="357"/>
              <w:contextualSpacing w:val="0"/>
              <w:jc w:val="both"/>
              <w:rPr>
                <w:rFonts w:ascii="Arial" w:hAnsi="Arial" w:cs="Arial"/>
                <w:snapToGrid w:val="0"/>
                <w:sz w:val="22"/>
                <w:szCs w:val="22"/>
                <w:lang w:val="en-GB" w:eastAsia="en-US"/>
              </w:rPr>
            </w:pPr>
          </w:p>
        </w:tc>
      </w:tr>
      <w:tr w:rsidR="009B7C08" w:rsidRPr="00884518" w14:paraId="26F95F1F" w14:textId="77777777" w:rsidTr="001A1AFE">
        <w:trPr>
          <w:jc w:val="center"/>
        </w:trPr>
        <w:tc>
          <w:tcPr>
            <w:tcW w:w="5946" w:type="dxa"/>
          </w:tcPr>
          <w:p w14:paraId="65CB995B" w14:textId="03997F4E" w:rsidR="009B7C08" w:rsidRPr="0049025A" w:rsidRDefault="009B7C7E" w:rsidP="00A741D3">
            <w:pPr>
              <w:pStyle w:val="ListParagraph"/>
              <w:numPr>
                <w:ilvl w:val="0"/>
                <w:numId w:val="13"/>
              </w:numPr>
              <w:spacing w:after="120"/>
              <w:ind w:left="562" w:hanging="562"/>
              <w:contextualSpacing w:val="0"/>
              <w:jc w:val="both"/>
              <w:rPr>
                <w:rFonts w:ascii="Arial" w:hAnsi="Arial" w:cs="Arial"/>
                <w:snapToGrid w:val="0"/>
                <w:sz w:val="22"/>
                <w:szCs w:val="22"/>
                <w:lang w:val="en-US" w:eastAsia="en-US"/>
              </w:rPr>
            </w:pPr>
            <w:r w:rsidRPr="001A1AFE">
              <w:rPr>
                <w:rFonts w:ascii="Arial" w:hAnsi="Arial" w:cs="Arial"/>
                <w:snapToGrid w:val="0"/>
                <w:sz w:val="22"/>
                <w:szCs w:val="22"/>
                <w:lang w:val="en-US" w:eastAsia="en-US"/>
              </w:rPr>
              <w:t>Governing bodies of Conventions and their Secretariats are encouraged to develop appropriate ratification strategies.</w:t>
            </w:r>
          </w:p>
          <w:p w14:paraId="4EC7332A" w14:textId="77777777" w:rsidR="009B7C08" w:rsidRPr="0049025A" w:rsidRDefault="009B7C08" w:rsidP="00B04CDE">
            <w:pPr>
              <w:spacing w:after="120"/>
              <w:jc w:val="both"/>
              <w:rPr>
                <w:rFonts w:ascii="Arial" w:hAnsi="Arial" w:cs="Arial"/>
                <w:snapToGrid w:val="0"/>
                <w:sz w:val="22"/>
                <w:szCs w:val="22"/>
                <w:lang w:val="en-US" w:eastAsia="en-US"/>
              </w:rPr>
            </w:pPr>
            <w:r w:rsidRPr="0049025A">
              <w:rPr>
                <w:rFonts w:ascii="Arial" w:hAnsi="Arial" w:cs="Arial"/>
                <w:b/>
                <w:bCs/>
                <w:snapToGrid w:val="0"/>
                <w:sz w:val="22"/>
                <w:szCs w:val="22"/>
                <w:lang w:val="en-GB" w:eastAsia="en-US"/>
              </w:rPr>
              <w:t>Closed</w:t>
            </w:r>
          </w:p>
        </w:tc>
        <w:tc>
          <w:tcPr>
            <w:tcW w:w="8330" w:type="dxa"/>
          </w:tcPr>
          <w:p w14:paraId="32D1E94F" w14:textId="25585944" w:rsidR="0000468C" w:rsidRPr="00362E48" w:rsidRDefault="0000468C" w:rsidP="00A741D3">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sidRPr="00A22328">
              <w:rPr>
                <w:rFonts w:ascii="Arial" w:hAnsi="Arial" w:cs="Arial"/>
                <w:b/>
                <w:snapToGrid w:val="0"/>
                <w:sz w:val="22"/>
                <w:szCs w:val="22"/>
                <w:lang w:val="en-GB" w:eastAsia="en-US"/>
              </w:rPr>
              <w:t>Closed</w:t>
            </w:r>
            <w:r>
              <w:rPr>
                <w:rFonts w:ascii="Arial" w:hAnsi="Arial" w:cs="Arial"/>
                <w:b/>
                <w:snapToGrid w:val="0"/>
                <w:sz w:val="22"/>
                <w:szCs w:val="22"/>
                <w:lang w:val="en-GB" w:eastAsia="en-US"/>
              </w:rPr>
              <w:t xml:space="preserve"> since 7.GA</w:t>
            </w:r>
            <w:r w:rsidR="00726ADA" w:rsidRPr="00A22328">
              <w:rPr>
                <w:rFonts w:ascii="Arial" w:hAnsi="Arial" w:cs="Arial"/>
                <w:sz w:val="20"/>
                <w:szCs w:val="20"/>
                <w:lang w:val="en-GB"/>
              </w:rPr>
              <w:t xml:space="preserve"> (See document </w:t>
            </w:r>
            <w:hyperlink r:id="rId71" w:history="1">
              <w:r w:rsidR="00726ADA" w:rsidRPr="003526DE">
                <w:rPr>
                  <w:rStyle w:val="Hyperlink"/>
                  <w:rFonts w:ascii="Arial" w:hAnsi="Arial" w:cs="Arial"/>
                  <w:sz w:val="20"/>
                  <w:szCs w:val="20"/>
                  <w:lang w:val="en-GB"/>
                </w:rPr>
                <w:t>ITH/18/7.GA/12</w:t>
              </w:r>
            </w:hyperlink>
            <w:r w:rsidR="00726ADA">
              <w:rPr>
                <w:rFonts w:ascii="Arial" w:hAnsi="Arial" w:cs="Arial"/>
                <w:sz w:val="20"/>
                <w:szCs w:val="20"/>
                <w:lang w:val="en-GB"/>
              </w:rPr>
              <w:t>)</w:t>
            </w:r>
          </w:p>
          <w:p w14:paraId="43120FEA" w14:textId="32B583F7" w:rsidR="00B341EF" w:rsidRPr="0000468C" w:rsidRDefault="00B341EF">
            <w:pPr>
              <w:pStyle w:val="ListParagraph"/>
              <w:numPr>
                <w:ilvl w:val="0"/>
                <w:numId w:val="7"/>
              </w:numPr>
              <w:spacing w:after="120"/>
              <w:ind w:left="357" w:hanging="357"/>
              <w:contextualSpacing w:val="0"/>
              <w:jc w:val="both"/>
              <w:rPr>
                <w:rFonts w:ascii="Arial" w:hAnsi="Arial" w:cs="Arial"/>
                <w:snapToGrid w:val="0"/>
                <w:sz w:val="22"/>
                <w:szCs w:val="22"/>
                <w:u w:val="single"/>
                <w:lang w:val="en-GB" w:eastAsia="en-US"/>
              </w:rPr>
            </w:pPr>
            <w:r w:rsidRPr="0000468C">
              <w:rPr>
                <w:rFonts w:ascii="Arial" w:hAnsi="Arial" w:cs="Arial"/>
                <w:b/>
                <w:snapToGrid w:val="0"/>
                <w:sz w:val="22"/>
                <w:szCs w:val="22"/>
                <w:u w:val="single"/>
                <w:lang w:val="en-GB" w:eastAsia="en-US"/>
              </w:rPr>
              <w:t>Update:</w:t>
            </w:r>
            <w:r w:rsidRPr="0000468C">
              <w:rPr>
                <w:rFonts w:ascii="Arial" w:hAnsi="Arial" w:cs="Arial"/>
                <w:snapToGrid w:val="0"/>
                <w:sz w:val="22"/>
                <w:szCs w:val="22"/>
                <w:u w:val="single"/>
                <w:lang w:val="en-GB" w:eastAsia="en-US"/>
              </w:rPr>
              <w:t xml:space="preserve"> the number of States Parties to the 2003 Convention </w:t>
            </w:r>
            <w:r w:rsidR="00B266CF" w:rsidRPr="0000468C">
              <w:rPr>
                <w:rFonts w:ascii="Arial" w:hAnsi="Arial" w:cs="Arial"/>
                <w:snapToGrid w:val="0"/>
                <w:sz w:val="22"/>
                <w:szCs w:val="22"/>
                <w:u w:val="single"/>
                <w:lang w:val="en-GB" w:eastAsia="en-US"/>
              </w:rPr>
              <w:t>is</w:t>
            </w:r>
            <w:r w:rsidRPr="0000468C">
              <w:rPr>
                <w:rFonts w:ascii="Arial" w:hAnsi="Arial" w:cs="Arial"/>
                <w:snapToGrid w:val="0"/>
                <w:sz w:val="22"/>
                <w:szCs w:val="22"/>
                <w:u w:val="single"/>
                <w:lang w:val="en-GB" w:eastAsia="en-US"/>
              </w:rPr>
              <w:t xml:space="preserve"> 178</w:t>
            </w:r>
            <w:r w:rsidR="00025677" w:rsidRPr="0000468C">
              <w:rPr>
                <w:rFonts w:ascii="Arial" w:hAnsi="Arial" w:cs="Arial"/>
                <w:snapToGrid w:val="0"/>
                <w:sz w:val="22"/>
                <w:szCs w:val="22"/>
                <w:u w:val="single"/>
                <w:lang w:val="en-GB" w:eastAsia="en-US"/>
              </w:rPr>
              <w:t xml:space="preserve"> (as </w:t>
            </w:r>
            <w:r w:rsidR="00766E3D">
              <w:rPr>
                <w:rFonts w:ascii="Arial" w:hAnsi="Arial" w:cs="Arial"/>
                <w:snapToGrid w:val="0"/>
                <w:sz w:val="22"/>
                <w:szCs w:val="22"/>
                <w:u w:val="single"/>
                <w:lang w:val="en-GB" w:eastAsia="en-US"/>
              </w:rPr>
              <w:t>of</w:t>
            </w:r>
            <w:r w:rsidR="00766E3D" w:rsidRPr="0000468C">
              <w:rPr>
                <w:rFonts w:ascii="Arial" w:hAnsi="Arial" w:cs="Arial"/>
                <w:snapToGrid w:val="0"/>
                <w:sz w:val="22"/>
                <w:szCs w:val="22"/>
                <w:u w:val="single"/>
                <w:lang w:val="en-GB" w:eastAsia="en-US"/>
              </w:rPr>
              <w:t xml:space="preserve"> </w:t>
            </w:r>
            <w:r w:rsidR="00025677" w:rsidRPr="0000468C">
              <w:rPr>
                <w:rFonts w:ascii="Arial" w:hAnsi="Arial" w:cs="Arial"/>
                <w:snapToGrid w:val="0"/>
                <w:sz w:val="22"/>
                <w:szCs w:val="22"/>
                <w:u w:val="single"/>
                <w:lang w:val="en-GB" w:eastAsia="en-US"/>
              </w:rPr>
              <w:t>October 2018)</w:t>
            </w:r>
            <w:r w:rsidR="000E48F7">
              <w:rPr>
                <w:rFonts w:ascii="Arial" w:hAnsi="Arial" w:cs="Arial"/>
                <w:snapToGrid w:val="0"/>
                <w:sz w:val="22"/>
                <w:szCs w:val="22"/>
                <w:u w:val="single"/>
                <w:lang w:val="en-GB" w:eastAsia="en-US"/>
              </w:rPr>
              <w:t>,</w:t>
            </w:r>
            <w:r w:rsidR="0000468C" w:rsidRPr="0000468C">
              <w:rPr>
                <w:rFonts w:ascii="Arial" w:hAnsi="Arial" w:cs="Arial"/>
                <w:snapToGrid w:val="0"/>
                <w:sz w:val="22"/>
                <w:szCs w:val="22"/>
                <w:u w:val="single"/>
                <w:lang w:val="en-GB" w:eastAsia="en-US"/>
              </w:rPr>
              <w:t xml:space="preserve"> </w:t>
            </w:r>
            <w:r w:rsidR="0000468C" w:rsidRPr="00362E48">
              <w:rPr>
                <w:rFonts w:ascii="Arial" w:hAnsi="Arial" w:cs="Arial"/>
                <w:snapToGrid w:val="0"/>
                <w:sz w:val="22"/>
                <w:szCs w:val="22"/>
                <w:u w:val="single"/>
                <w:lang w:val="en-GB" w:eastAsia="en-US"/>
              </w:rPr>
              <w:t>approaching universal ratification</w:t>
            </w:r>
            <w:r w:rsidR="00B266CF" w:rsidRPr="0000468C">
              <w:rPr>
                <w:rFonts w:ascii="Arial" w:hAnsi="Arial" w:cs="Arial"/>
                <w:snapToGrid w:val="0"/>
                <w:sz w:val="22"/>
                <w:szCs w:val="22"/>
                <w:u w:val="single"/>
                <w:lang w:val="en-GB" w:eastAsia="en-US"/>
              </w:rPr>
              <w:t>.</w:t>
            </w:r>
          </w:p>
        </w:tc>
      </w:tr>
      <w:tr w:rsidR="009B7C08" w:rsidRPr="00884518" w14:paraId="1E7C7965" w14:textId="77777777" w:rsidTr="001A1AFE">
        <w:trPr>
          <w:trHeight w:val="340"/>
          <w:jc w:val="center"/>
        </w:trPr>
        <w:tc>
          <w:tcPr>
            <w:tcW w:w="14276" w:type="dxa"/>
            <w:gridSpan w:val="2"/>
            <w:tcBorders>
              <w:right w:val="single" w:sz="4" w:space="0" w:color="auto"/>
            </w:tcBorders>
            <w:shd w:val="clear" w:color="auto" w:fill="F2F2F2" w:themeFill="background1" w:themeFillShade="F2"/>
            <w:vAlign w:val="center"/>
          </w:tcPr>
          <w:p w14:paraId="47C2FD4E" w14:textId="77777777" w:rsidR="009B7C08" w:rsidRPr="0049025A" w:rsidRDefault="009B7C08" w:rsidP="00B04CDE">
            <w:pPr>
              <w:keepNext/>
              <w:rPr>
                <w:rFonts w:ascii="Arial" w:hAnsi="Arial" w:cs="Arial"/>
                <w:b/>
                <w:snapToGrid w:val="0"/>
                <w:sz w:val="22"/>
                <w:szCs w:val="22"/>
                <w:lang w:val="en-US" w:eastAsia="en-US"/>
              </w:rPr>
            </w:pPr>
            <w:r w:rsidRPr="0049025A">
              <w:rPr>
                <w:rFonts w:ascii="Arial" w:hAnsi="Arial" w:cs="Arial"/>
                <w:b/>
                <w:snapToGrid w:val="0"/>
                <w:sz w:val="22"/>
                <w:szCs w:val="22"/>
                <w:lang w:val="en-US" w:eastAsia="en-US"/>
              </w:rPr>
              <w:t>Convention for the Safeguarding of the Intangible Cultural Heritage (2003)</w:t>
            </w:r>
          </w:p>
        </w:tc>
      </w:tr>
      <w:tr w:rsidR="009B7C08" w:rsidRPr="00E02E4E" w14:paraId="708B450F" w14:textId="77777777" w:rsidTr="001A1AFE">
        <w:trPr>
          <w:jc w:val="center"/>
        </w:trPr>
        <w:tc>
          <w:tcPr>
            <w:tcW w:w="5946" w:type="dxa"/>
          </w:tcPr>
          <w:p w14:paraId="2849EC4A" w14:textId="55E7F66F" w:rsidR="009B7C08" w:rsidRPr="00D54FB6" w:rsidRDefault="009B7C08" w:rsidP="00B04CDE">
            <w:pPr>
              <w:spacing w:after="120"/>
              <w:ind w:left="567" w:hanging="567"/>
              <w:jc w:val="both"/>
              <w:rPr>
                <w:rFonts w:ascii="Arial" w:hAnsi="Arial" w:cs="Arial"/>
                <w:snapToGrid w:val="0"/>
                <w:sz w:val="22"/>
                <w:szCs w:val="22"/>
                <w:lang w:val="en-US" w:eastAsia="en-US"/>
              </w:rPr>
            </w:pPr>
            <w:r w:rsidRPr="0000757E">
              <w:rPr>
                <w:rFonts w:ascii="Arial" w:hAnsi="Arial" w:cs="Arial"/>
                <w:snapToGrid w:val="0"/>
                <w:sz w:val="22"/>
                <w:szCs w:val="22"/>
                <w:lang w:val="en-GB" w:eastAsia="en-US"/>
              </w:rPr>
              <w:t>107.</w:t>
            </w:r>
            <w:r w:rsidRPr="0000757E">
              <w:rPr>
                <w:rFonts w:ascii="Arial" w:hAnsi="Arial" w:cs="Arial"/>
                <w:snapToGrid w:val="0"/>
                <w:sz w:val="22"/>
                <w:szCs w:val="22"/>
                <w:lang w:val="en-GB" w:eastAsia="en-US"/>
              </w:rPr>
              <w:tab/>
            </w:r>
            <w:r w:rsidR="009B7C7E" w:rsidRPr="001A1AFE">
              <w:rPr>
                <w:rFonts w:ascii="Arial" w:hAnsi="Arial" w:cs="Arial"/>
                <w:snapToGrid w:val="0"/>
                <w:sz w:val="22"/>
                <w:szCs w:val="22"/>
                <w:lang w:val="en-US" w:eastAsia="en-US"/>
              </w:rPr>
              <w:t>Need to strengthen decision-making procedures and credibility of Committee, taking due note of Ad Hoc Working Group established to address these issues.</w:t>
            </w:r>
          </w:p>
          <w:p w14:paraId="36FA8922" w14:textId="2DA1033D" w:rsidR="009B7C08" w:rsidRPr="0000757E" w:rsidRDefault="0000468C">
            <w:pPr>
              <w:spacing w:after="120"/>
              <w:jc w:val="both"/>
              <w:rPr>
                <w:rFonts w:ascii="Arial" w:hAnsi="Arial" w:cs="Arial"/>
                <w:snapToGrid w:val="0"/>
                <w:sz w:val="22"/>
                <w:szCs w:val="22"/>
                <w:lang w:val="en-US" w:eastAsia="en-US"/>
              </w:rPr>
            </w:pPr>
            <w:r w:rsidRPr="00942976">
              <w:rPr>
                <w:rFonts w:ascii="Arial" w:hAnsi="Arial" w:cs="Arial"/>
                <w:b/>
                <w:bCs/>
                <w:sz w:val="22"/>
                <w:szCs w:val="22"/>
                <w:lang w:val="en-US"/>
              </w:rPr>
              <w:t>Action required by States Parties</w:t>
            </w:r>
          </w:p>
        </w:tc>
        <w:tc>
          <w:tcPr>
            <w:tcW w:w="8330" w:type="dxa"/>
            <w:tcBorders>
              <w:right w:val="single" w:sz="4" w:space="0" w:color="auto"/>
            </w:tcBorders>
          </w:tcPr>
          <w:p w14:paraId="446BA44F" w14:textId="2443DF7A" w:rsidR="00E02E4E" w:rsidRPr="00362E48" w:rsidRDefault="009B7C08">
            <w:pPr>
              <w:pStyle w:val="ListParagraph"/>
              <w:numPr>
                <w:ilvl w:val="0"/>
                <w:numId w:val="7"/>
              </w:numPr>
              <w:spacing w:after="120"/>
              <w:ind w:left="357" w:hanging="357"/>
              <w:contextualSpacing w:val="0"/>
              <w:jc w:val="both"/>
              <w:rPr>
                <w:rFonts w:ascii="Arial" w:hAnsi="Arial" w:cs="Arial"/>
                <w:snapToGrid w:val="0"/>
                <w:sz w:val="22"/>
                <w:szCs w:val="22"/>
                <w:lang w:val="en-GB" w:eastAsia="en-US"/>
              </w:rPr>
            </w:pPr>
            <w:r>
              <w:rPr>
                <w:rFonts w:ascii="Arial" w:hAnsi="Arial" w:cs="Arial"/>
                <w:snapToGrid w:val="0"/>
                <w:sz w:val="22"/>
                <w:szCs w:val="22"/>
                <w:lang w:val="en-US" w:eastAsia="en-US"/>
              </w:rPr>
              <w:t>See recommendation 60.</w:t>
            </w:r>
          </w:p>
        </w:tc>
      </w:tr>
    </w:tbl>
    <w:p w14:paraId="39E1A640" w14:textId="77777777" w:rsidR="00404512" w:rsidRDefault="00404512" w:rsidP="00EE4900">
      <w:pPr>
        <w:rPr>
          <w:rFonts w:ascii="Arial" w:hAnsi="Arial" w:cs="Arial"/>
          <w:snapToGrid w:val="0"/>
          <w:sz w:val="22"/>
          <w:szCs w:val="22"/>
          <w:lang w:val="en-GB" w:eastAsia="en-US"/>
        </w:rPr>
      </w:pPr>
    </w:p>
    <w:sectPr w:rsidR="00404512" w:rsidSect="00404512">
      <w:headerReference w:type="even" r:id="rId72"/>
      <w:headerReference w:type="default" r:id="rId73"/>
      <w:headerReference w:type="first" r:id="rId74"/>
      <w:pgSz w:w="16838" w:h="11906" w:orient="landscape" w:code="9"/>
      <w:pgMar w:top="1134" w:right="1418" w:bottom="1134" w:left="1134" w:header="397" w:footer="28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7472DC" w16cid:durableId="215D5F0C"/>
  <w16cid:commentId w16cid:paraId="20A65C68" w16cid:durableId="215D74DD"/>
  <w16cid:commentId w16cid:paraId="76136650" w16cid:durableId="215D7746"/>
  <w16cid:commentId w16cid:paraId="55232DF2" w16cid:durableId="215D7819"/>
  <w16cid:commentId w16cid:paraId="2028C886" w16cid:durableId="215D78BF"/>
  <w16cid:commentId w16cid:paraId="1D402EDA" w16cid:durableId="215D627C"/>
  <w16cid:commentId w16cid:paraId="68A50323" w16cid:durableId="215D74B1"/>
  <w16cid:commentId w16cid:paraId="115F96A3" w16cid:durableId="215D6FFC"/>
  <w16cid:commentId w16cid:paraId="3D0E0BD0" w16cid:durableId="215D71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10319" w14:textId="77777777" w:rsidR="00362E48" w:rsidRDefault="00362E48" w:rsidP="00655736">
      <w:r>
        <w:separator/>
      </w:r>
    </w:p>
  </w:endnote>
  <w:endnote w:type="continuationSeparator" w:id="0">
    <w:p w14:paraId="7579BC41" w14:textId="77777777" w:rsidR="00362E48" w:rsidRDefault="00362E48" w:rsidP="00655736">
      <w:r>
        <w:continuationSeparator/>
      </w:r>
    </w:p>
  </w:endnote>
  <w:endnote w:type="continuationNotice" w:id="1">
    <w:p w14:paraId="2ED57707" w14:textId="77777777" w:rsidR="00362E48" w:rsidRDefault="00362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5451B" w14:textId="77777777" w:rsidR="00362E48" w:rsidRDefault="00362E48" w:rsidP="00655736">
      <w:r>
        <w:separator/>
      </w:r>
    </w:p>
  </w:footnote>
  <w:footnote w:type="continuationSeparator" w:id="0">
    <w:p w14:paraId="36A7E9A4" w14:textId="77777777" w:rsidR="00362E48" w:rsidRDefault="00362E48" w:rsidP="00655736">
      <w:r>
        <w:continuationSeparator/>
      </w:r>
    </w:p>
  </w:footnote>
  <w:footnote w:type="continuationNotice" w:id="1">
    <w:p w14:paraId="3C2916C7" w14:textId="77777777" w:rsidR="00362E48" w:rsidRDefault="00362E48"/>
  </w:footnote>
  <w:footnote w:id="2">
    <w:p w14:paraId="16C4F3E0" w14:textId="584948DE" w:rsidR="00362E48" w:rsidRPr="006409D7" w:rsidRDefault="00362E48" w:rsidP="009B7C08">
      <w:pPr>
        <w:pStyle w:val="FootnoteText"/>
        <w:tabs>
          <w:tab w:val="left" w:pos="567"/>
        </w:tabs>
        <w:ind w:left="567" w:hanging="567"/>
        <w:rPr>
          <w:rFonts w:ascii="Arial" w:eastAsiaTheme="minorEastAsia" w:hAnsi="Arial" w:cs="Arial"/>
          <w:sz w:val="18"/>
          <w:szCs w:val="18"/>
          <w:lang w:val="en-US" w:eastAsia="ko-KR"/>
        </w:rPr>
      </w:pPr>
      <w:r w:rsidRPr="00CA1D79">
        <w:rPr>
          <w:rStyle w:val="FootnoteReference"/>
          <w:rFonts w:ascii="Arial" w:hAnsi="Arial" w:cs="Arial"/>
          <w:sz w:val="18"/>
          <w:szCs w:val="18"/>
        </w:rPr>
        <w:footnoteRef/>
      </w:r>
      <w:r w:rsidRPr="00CA1D79">
        <w:rPr>
          <w:rFonts w:ascii="Arial" w:hAnsi="Arial" w:cs="Arial"/>
          <w:sz w:val="18"/>
          <w:szCs w:val="18"/>
          <w:vertAlign w:val="superscript"/>
          <w:lang w:val="en-US"/>
        </w:rPr>
        <w:t>.</w:t>
      </w:r>
      <w:r w:rsidRPr="006409D7">
        <w:rPr>
          <w:rFonts w:ascii="Arial" w:hAnsi="Arial" w:cs="Arial"/>
          <w:sz w:val="18"/>
          <w:szCs w:val="18"/>
          <w:lang w:val="en-US"/>
        </w:rPr>
        <w:t xml:space="preserve"> </w:t>
      </w:r>
      <w:r w:rsidRPr="006409D7">
        <w:rPr>
          <w:rFonts w:ascii="Arial" w:hAnsi="Arial" w:cs="Arial"/>
          <w:sz w:val="18"/>
          <w:szCs w:val="18"/>
          <w:lang w:val="en-US"/>
        </w:rPr>
        <w:tab/>
        <w:t>For the full recommendation</w:t>
      </w:r>
      <w:r>
        <w:rPr>
          <w:rFonts w:ascii="Arial" w:hAnsi="Arial" w:cs="Arial"/>
          <w:sz w:val="18"/>
          <w:szCs w:val="18"/>
          <w:lang w:val="en-US"/>
        </w:rPr>
        <w:t>,</w:t>
      </w:r>
      <w:r w:rsidRPr="006409D7">
        <w:rPr>
          <w:rFonts w:ascii="Arial" w:hAnsi="Arial" w:cs="Arial"/>
          <w:sz w:val="18"/>
          <w:szCs w:val="18"/>
          <w:lang w:val="en-US"/>
        </w:rPr>
        <w:t xml:space="preserve"> including Part 1</w:t>
      </w:r>
      <w:r>
        <w:rPr>
          <w:rFonts w:ascii="Arial" w:hAnsi="Arial" w:cs="Arial"/>
          <w:sz w:val="18"/>
          <w:szCs w:val="18"/>
          <w:lang w:val="en-US"/>
        </w:rPr>
        <w:t>,</w:t>
      </w:r>
      <w:r w:rsidRPr="006409D7">
        <w:rPr>
          <w:rFonts w:ascii="Arial" w:hAnsi="Arial" w:cs="Arial"/>
          <w:sz w:val="18"/>
          <w:szCs w:val="18"/>
          <w:lang w:val="en-US"/>
        </w:rPr>
        <w:t xml:space="preserve"> which concerns </w:t>
      </w:r>
      <w:r>
        <w:rPr>
          <w:rFonts w:ascii="Arial" w:hAnsi="Arial" w:cs="Arial"/>
          <w:sz w:val="18"/>
          <w:szCs w:val="18"/>
          <w:lang w:val="en-US"/>
        </w:rPr>
        <w:t xml:space="preserve">the </w:t>
      </w:r>
      <w:r w:rsidRPr="006409D7">
        <w:rPr>
          <w:rFonts w:ascii="Arial" w:hAnsi="Arial" w:cs="Arial"/>
          <w:sz w:val="18"/>
          <w:szCs w:val="18"/>
          <w:lang w:val="en-US"/>
        </w:rPr>
        <w:t xml:space="preserve">governing bodies of UNESCO (General Conference and Executive Board), see </w:t>
      </w:r>
      <w:r>
        <w:rPr>
          <w:rFonts w:ascii="Arial" w:hAnsi="Arial" w:cs="Arial"/>
          <w:sz w:val="18"/>
          <w:szCs w:val="18"/>
          <w:lang w:val="en-US"/>
        </w:rPr>
        <w:t>d</w:t>
      </w:r>
      <w:r w:rsidRPr="006409D7">
        <w:rPr>
          <w:rFonts w:ascii="Arial" w:hAnsi="Arial" w:cs="Arial"/>
          <w:sz w:val="18"/>
          <w:szCs w:val="18"/>
          <w:lang w:val="en-US"/>
        </w:rPr>
        <w:t>ocuments 39 C/20 (</w:t>
      </w:r>
      <w:hyperlink r:id="rId1" w:history="1">
        <w:r w:rsidRPr="006409D7">
          <w:rPr>
            <w:rStyle w:val="Hyperlink"/>
            <w:rFonts w:ascii="Arial" w:hAnsi="Arial" w:cs="Arial"/>
            <w:sz w:val="18"/>
            <w:szCs w:val="18"/>
            <w:lang w:val="en-US"/>
          </w:rPr>
          <w:t>http://unesdoc.unesco.org/images/0025/002590/259081e.pdf</w:t>
        </w:r>
      </w:hyperlink>
      <w:r w:rsidRPr="006409D7">
        <w:rPr>
          <w:rFonts w:ascii="Arial" w:hAnsi="Arial" w:cs="Arial"/>
          <w:sz w:val="18"/>
          <w:szCs w:val="18"/>
          <w:lang w:val="en-US"/>
        </w:rPr>
        <w:t>) and 39 C/70 (</w:t>
      </w:r>
      <w:hyperlink r:id="rId2" w:history="1">
        <w:r w:rsidRPr="006409D7">
          <w:rPr>
            <w:rStyle w:val="Hyperlink"/>
            <w:rFonts w:ascii="Arial" w:hAnsi="Arial" w:cs="Arial"/>
            <w:sz w:val="18"/>
            <w:szCs w:val="18"/>
            <w:lang w:val="en-US"/>
          </w:rPr>
          <w:t>http://unesdoc.unesco.org/images/0026/002600/260089E.pdf</w:t>
        </w:r>
      </w:hyperlink>
      <w:r w:rsidRPr="006409D7">
        <w:rPr>
          <w:rStyle w:val="Hyperlink"/>
          <w:rFonts w:ascii="Arial" w:hAnsi="Arial" w:cs="Arial"/>
          <w:color w:val="auto"/>
          <w:sz w:val="18"/>
          <w:szCs w:val="18"/>
          <w:u w:val="none"/>
          <w:lang w:val="en-US"/>
        </w:rPr>
        <w:t>)</w:t>
      </w:r>
      <w:r>
        <w:rPr>
          <w:rStyle w:val="Hyperlink"/>
          <w:rFonts w:ascii="Arial" w:hAnsi="Arial" w:cs="Arial"/>
          <w:color w:val="auto"/>
          <w:sz w:val="18"/>
          <w:szCs w:val="18"/>
          <w:u w:val="none"/>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A39A" w14:textId="0EDEEDB7" w:rsidR="00362E48" w:rsidRPr="00C23A97" w:rsidRDefault="00362E48">
    <w:pPr>
      <w:pStyle w:val="Header"/>
      <w:rPr>
        <w:rFonts w:ascii="Arial" w:hAnsi="Arial" w:cs="Arial"/>
        <w:lang w:val="en-GB"/>
      </w:rPr>
    </w:pPr>
    <w:r>
      <w:rPr>
        <w:rFonts w:ascii="Arial" w:hAnsi="Arial" w:cs="Arial"/>
        <w:sz w:val="20"/>
        <w:szCs w:val="20"/>
        <w:lang w:val="en-GB"/>
      </w:rPr>
      <w:t>LHE/19/14</w:t>
    </w:r>
    <w:r w:rsidRPr="00C23A97">
      <w:rPr>
        <w:rFonts w:ascii="Arial" w:hAnsi="Arial" w:cs="Arial"/>
        <w:sz w:val="20"/>
        <w:szCs w:val="20"/>
        <w:lang w:val="en-GB"/>
      </w:rPr>
      <w:t>.</w:t>
    </w:r>
    <w:r>
      <w:rPr>
        <w:rFonts w:ascii="Arial" w:hAnsi="Arial" w:cs="Arial"/>
        <w:sz w:val="20"/>
        <w:szCs w:val="20"/>
        <w:lang w:val="en-GB"/>
      </w:rPr>
      <w:t>COM/</w:t>
    </w:r>
    <w:r>
      <w:rPr>
        <w:rFonts w:ascii="Arial" w:hAnsi="Arial" w:cs="Arial"/>
        <w:sz w:val="20"/>
        <w:szCs w:val="20"/>
        <w:lang w:val="en-US"/>
      </w:rPr>
      <w:t>19</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E874B6">
      <w:rPr>
        <w:rStyle w:val="PageNumber"/>
        <w:rFonts w:ascii="Arial" w:hAnsi="Arial" w:cs="Arial"/>
        <w:noProof/>
        <w:sz w:val="20"/>
        <w:szCs w:val="20"/>
        <w:lang w:val="en-GB"/>
      </w:rPr>
      <w:t>4</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86A80" w14:textId="3CCCAF24" w:rsidR="00362E48" w:rsidRPr="0063300C" w:rsidRDefault="00362E48" w:rsidP="0063300C">
    <w:pPr>
      <w:pStyle w:val="Header"/>
      <w:jc w:val="right"/>
      <w:rPr>
        <w:rFonts w:ascii="Arial" w:hAnsi="Arial" w:cs="Arial"/>
        <w:lang w:val="en-GB"/>
      </w:rPr>
    </w:pPr>
    <w:r>
      <w:rPr>
        <w:rFonts w:ascii="Arial" w:hAnsi="Arial" w:cs="Arial"/>
        <w:sz w:val="20"/>
        <w:szCs w:val="20"/>
        <w:lang w:val="en-GB"/>
      </w:rPr>
      <w:t>LHE/19/14</w:t>
    </w:r>
    <w:r w:rsidRPr="0063300C">
      <w:rPr>
        <w:rFonts w:ascii="Arial" w:hAnsi="Arial" w:cs="Arial"/>
        <w:sz w:val="20"/>
        <w:szCs w:val="20"/>
        <w:lang w:val="en-GB"/>
      </w:rPr>
      <w:t>.</w:t>
    </w:r>
    <w:r>
      <w:rPr>
        <w:rFonts w:ascii="Arial" w:hAnsi="Arial" w:cs="Arial"/>
        <w:sz w:val="20"/>
        <w:szCs w:val="20"/>
        <w:lang w:val="en-GB"/>
      </w:rPr>
      <w:t>COM</w:t>
    </w:r>
    <w:r w:rsidRPr="0063300C">
      <w:rPr>
        <w:rFonts w:ascii="Arial" w:hAnsi="Arial" w:cs="Arial"/>
        <w:sz w:val="20"/>
        <w:szCs w:val="20"/>
        <w:lang w:val="en-GB"/>
      </w:rPr>
      <w:t>/</w:t>
    </w:r>
    <w:r>
      <w:rPr>
        <w:rFonts w:ascii="Arial" w:hAnsi="Arial" w:cs="Arial"/>
        <w:sz w:val="20"/>
        <w:szCs w:val="20"/>
        <w:lang w:val="en-GB"/>
      </w:rPr>
      <w:t>19</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E874B6">
      <w:rPr>
        <w:rStyle w:val="PageNumber"/>
        <w:rFonts w:ascii="Arial" w:hAnsi="Arial" w:cs="Arial"/>
        <w:noProof/>
        <w:sz w:val="20"/>
        <w:szCs w:val="20"/>
        <w:lang w:val="en-GB"/>
      </w:rPr>
      <w:t>3</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F2D2" w14:textId="77777777" w:rsidR="00362E48" w:rsidRPr="008724E5" w:rsidRDefault="00362E48">
    <w:pPr>
      <w:pStyle w:val="Header"/>
    </w:pPr>
    <w:r>
      <w:rPr>
        <w:noProof/>
        <w:lang w:eastAsia="ja-JP"/>
      </w:rPr>
      <w:drawing>
        <wp:anchor distT="0" distB="0" distL="114300" distR="114300" simplePos="0" relativeHeight="251659776" behindDoc="0" locked="0" layoutInCell="1" allowOverlap="1" wp14:anchorId="24E3241F" wp14:editId="38ED77AE">
          <wp:simplePos x="0" y="0"/>
          <wp:positionH relativeFrom="column">
            <wp:posOffset>-567690</wp:posOffset>
          </wp:positionH>
          <wp:positionV relativeFrom="paragraph">
            <wp:posOffset>3810</wp:posOffset>
          </wp:positionV>
          <wp:extent cx="2228215" cy="1367790"/>
          <wp:effectExtent l="0" t="0" r="635" b="3810"/>
          <wp:wrapNone/>
          <wp:docPr id="3" name="Picture 3"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72773" w14:textId="20E7B037" w:rsidR="00362E48" w:rsidRPr="00F30DC6" w:rsidRDefault="00362E48" w:rsidP="007C0E13">
    <w:pPr>
      <w:pStyle w:val="Header"/>
      <w:spacing w:after="520"/>
      <w:jc w:val="right"/>
      <w:rPr>
        <w:rFonts w:ascii="Arial" w:hAnsi="Arial" w:cs="Arial"/>
        <w:b/>
        <w:sz w:val="44"/>
        <w:szCs w:val="44"/>
        <w:lang w:val="en-GB"/>
      </w:rPr>
    </w:pPr>
    <w:r>
      <w:rPr>
        <w:rFonts w:ascii="Arial" w:hAnsi="Arial" w:cs="Arial"/>
        <w:b/>
        <w:sz w:val="44"/>
        <w:szCs w:val="44"/>
        <w:lang w:val="en-GB"/>
      </w:rPr>
      <w:t>14</w:t>
    </w:r>
    <w:r w:rsidRPr="00F30DC6">
      <w:rPr>
        <w:rFonts w:ascii="Arial" w:hAnsi="Arial" w:cs="Arial"/>
        <w:b/>
        <w:sz w:val="44"/>
        <w:szCs w:val="44"/>
        <w:lang w:val="en-GB"/>
      </w:rPr>
      <w:t xml:space="preserve"> COM</w:t>
    </w:r>
  </w:p>
  <w:p w14:paraId="73F1335A" w14:textId="4C8B2A2B" w:rsidR="00362E48" w:rsidRPr="009D5428" w:rsidRDefault="00362E48" w:rsidP="007C0E13">
    <w:pPr>
      <w:jc w:val="right"/>
      <w:rPr>
        <w:rFonts w:ascii="Arial" w:hAnsi="Arial" w:cs="Arial"/>
        <w:b/>
        <w:sz w:val="22"/>
        <w:szCs w:val="22"/>
        <w:lang w:val="en-GB"/>
      </w:rPr>
    </w:pPr>
    <w:r>
      <w:rPr>
        <w:rFonts w:ascii="Arial" w:hAnsi="Arial" w:cs="Arial"/>
        <w:b/>
        <w:sz w:val="22"/>
        <w:szCs w:val="22"/>
        <w:lang w:val="en-GB"/>
      </w:rPr>
      <w:t>LHE</w:t>
    </w:r>
    <w:r w:rsidRPr="007C0E13">
      <w:rPr>
        <w:rFonts w:ascii="Arial" w:hAnsi="Arial" w:cs="Arial"/>
        <w:b/>
        <w:sz w:val="22"/>
        <w:szCs w:val="22"/>
        <w:lang w:val="en-GB"/>
      </w:rPr>
      <w:t>/1</w:t>
    </w:r>
    <w:r>
      <w:rPr>
        <w:rFonts w:ascii="Arial" w:hAnsi="Arial" w:cs="Arial"/>
        <w:b/>
        <w:sz w:val="22"/>
        <w:szCs w:val="22"/>
        <w:lang w:val="en-GB"/>
      </w:rPr>
      <w:t>9/14</w:t>
    </w:r>
    <w:r w:rsidRPr="007C0E13">
      <w:rPr>
        <w:rFonts w:ascii="Arial" w:hAnsi="Arial" w:cs="Arial"/>
        <w:b/>
        <w:sz w:val="22"/>
        <w:szCs w:val="22"/>
        <w:lang w:val="en-GB"/>
      </w:rPr>
      <w:t>.COM/</w:t>
    </w:r>
    <w:r w:rsidRPr="00E22F29">
      <w:rPr>
        <w:rFonts w:ascii="Arial" w:hAnsi="Arial" w:cs="Arial"/>
        <w:b/>
        <w:sz w:val="22"/>
        <w:szCs w:val="22"/>
        <w:lang w:val="en-GB"/>
      </w:rPr>
      <w:t>1</w:t>
    </w:r>
    <w:r>
      <w:rPr>
        <w:rFonts w:ascii="Arial" w:hAnsi="Arial" w:cs="Arial"/>
        <w:b/>
        <w:sz w:val="22"/>
        <w:szCs w:val="22"/>
        <w:lang w:val="en-GB"/>
      </w:rPr>
      <w:t>9</w:t>
    </w:r>
  </w:p>
  <w:p w14:paraId="074BF5F7" w14:textId="214192E4" w:rsidR="00362E48" w:rsidRPr="00337CEB" w:rsidRDefault="00362E48" w:rsidP="00AC000C">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00E874B6">
      <w:rPr>
        <w:rFonts w:ascii="Arial" w:hAnsi="Arial" w:cs="Arial"/>
        <w:b/>
        <w:sz w:val="22"/>
        <w:szCs w:val="22"/>
        <w:lang w:val="en-GB"/>
      </w:rPr>
      <w:t>7</w:t>
    </w:r>
    <w:r w:rsidR="00D05B86">
      <w:rPr>
        <w:rFonts w:ascii="Arial" w:hAnsi="Arial" w:cs="Arial"/>
        <w:b/>
        <w:sz w:val="22"/>
        <w:szCs w:val="22"/>
        <w:lang w:val="en-GB"/>
      </w:rPr>
      <w:t xml:space="preserve"> </w:t>
    </w:r>
    <w:r w:rsidR="00C525CA">
      <w:rPr>
        <w:rFonts w:ascii="Arial" w:hAnsi="Arial" w:cs="Arial"/>
        <w:b/>
        <w:sz w:val="22"/>
        <w:szCs w:val="22"/>
        <w:lang w:val="en-GB"/>
      </w:rPr>
      <w:t>November</w:t>
    </w:r>
    <w:r w:rsidR="00C525CA"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b/>
        <w:sz w:val="22"/>
        <w:szCs w:val="22"/>
        <w:lang w:val="en-GB" w:eastAsia="ko-KR"/>
      </w:rPr>
      <w:t>9</w:t>
    </w:r>
  </w:p>
  <w:p w14:paraId="0827B85C" w14:textId="77777777" w:rsidR="00362E48" w:rsidRPr="00F32C23" w:rsidRDefault="00362E48" w:rsidP="007C0E13">
    <w:pPr>
      <w:jc w:val="right"/>
      <w:rPr>
        <w:rFonts w:ascii="Arial" w:hAnsi="Arial" w:cs="Arial"/>
        <w:b/>
        <w:sz w:val="22"/>
        <w:szCs w:val="22"/>
        <w:lang w:val="en-GB"/>
      </w:rPr>
    </w:pPr>
    <w:r w:rsidRPr="007C0E13">
      <w:rPr>
        <w:rFonts w:ascii="Arial" w:hAnsi="Arial" w:cs="Arial"/>
        <w:b/>
        <w:sz w:val="22"/>
        <w:szCs w:val="22"/>
        <w:lang w:val="en-GB"/>
      </w:rPr>
      <w:t xml:space="preserve">Original: </w:t>
    </w:r>
    <w:r w:rsidRPr="00E22F29">
      <w:rPr>
        <w:rFonts w:ascii="Arial" w:hAnsi="Arial" w:cs="Arial"/>
        <w:b/>
        <w:sz w:val="22"/>
        <w:szCs w:val="22"/>
        <w:lang w:val="en-GB"/>
      </w:rPr>
      <w:t>English</w:t>
    </w:r>
  </w:p>
  <w:p w14:paraId="3D8159C6" w14:textId="77777777" w:rsidR="00362E48" w:rsidRPr="00C23A97" w:rsidRDefault="00362E48" w:rsidP="00B04CDE">
    <w:pP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AD5F7" w14:textId="7FADA70F" w:rsidR="00362E48" w:rsidRPr="00C23A97" w:rsidRDefault="00362E48" w:rsidP="001D14FE">
    <w:pPr>
      <w:pStyle w:val="Header"/>
      <w:rPr>
        <w:rFonts w:ascii="Arial" w:hAnsi="Arial" w:cs="Arial"/>
        <w:lang w:val="en-GB"/>
      </w:rPr>
    </w:pPr>
    <w:r>
      <w:rPr>
        <w:rFonts w:ascii="Arial" w:hAnsi="Arial" w:cs="Arial"/>
        <w:sz w:val="20"/>
        <w:szCs w:val="20"/>
        <w:lang w:val="en-GB"/>
      </w:rPr>
      <w:t>LHE</w:t>
    </w:r>
    <w:r w:rsidRPr="00910B30">
      <w:rPr>
        <w:rFonts w:ascii="Arial" w:hAnsi="Arial" w:cs="Arial"/>
        <w:sz w:val="20"/>
        <w:szCs w:val="20"/>
        <w:lang w:val="en-GB"/>
      </w:rPr>
      <w:t>/1</w:t>
    </w:r>
    <w:r>
      <w:rPr>
        <w:rFonts w:ascii="Arial" w:hAnsi="Arial" w:cs="Arial"/>
        <w:sz w:val="20"/>
        <w:szCs w:val="20"/>
        <w:lang w:val="en-GB"/>
      </w:rPr>
      <w:t>9</w:t>
    </w:r>
    <w:r w:rsidRPr="00910B30">
      <w:rPr>
        <w:rFonts w:ascii="Arial" w:hAnsi="Arial" w:cs="Arial"/>
        <w:sz w:val="20"/>
        <w:szCs w:val="20"/>
        <w:lang w:val="en-GB"/>
      </w:rPr>
      <w:t>/1</w:t>
    </w:r>
    <w:r>
      <w:rPr>
        <w:rFonts w:ascii="Arial" w:hAnsi="Arial" w:cs="Arial"/>
        <w:sz w:val="20"/>
        <w:szCs w:val="20"/>
        <w:lang w:val="en-GB"/>
      </w:rPr>
      <w:t>4</w:t>
    </w:r>
    <w:r w:rsidRPr="00910B30">
      <w:rPr>
        <w:rFonts w:ascii="Arial" w:hAnsi="Arial" w:cs="Arial"/>
        <w:sz w:val="20"/>
        <w:szCs w:val="20"/>
        <w:lang w:val="en-GB"/>
      </w:rPr>
      <w:t>.COM/1</w:t>
    </w:r>
    <w:r>
      <w:rPr>
        <w:rFonts w:ascii="Arial" w:hAnsi="Arial" w:cs="Arial"/>
        <w:sz w:val="20"/>
        <w:szCs w:val="20"/>
        <w:lang w:val="en-GB"/>
      </w:rPr>
      <w:t>9</w:t>
    </w:r>
    <w:r w:rsidRPr="00910B30">
      <w:rPr>
        <w:rFonts w:ascii="Arial" w:hAnsi="Arial" w:cs="Arial"/>
        <w:sz w:val="20"/>
        <w:szCs w:val="20"/>
        <w:lang w:val="en-GB"/>
      </w:rPr>
      <w:t xml:space="preserve"> – page </w:t>
    </w:r>
    <w:r w:rsidRPr="00910B30">
      <w:rPr>
        <w:rStyle w:val="PageNumber"/>
        <w:rFonts w:ascii="Arial" w:hAnsi="Arial" w:cs="Arial"/>
        <w:sz w:val="20"/>
        <w:szCs w:val="20"/>
        <w:lang w:val="en-GB"/>
      </w:rPr>
      <w:fldChar w:fldCharType="begin"/>
    </w:r>
    <w:r w:rsidRPr="00910B30">
      <w:rPr>
        <w:rStyle w:val="PageNumber"/>
        <w:rFonts w:ascii="Arial" w:hAnsi="Arial" w:cs="Arial"/>
        <w:sz w:val="20"/>
        <w:szCs w:val="20"/>
        <w:lang w:val="en-GB"/>
      </w:rPr>
      <w:instrText xml:space="preserve"> PAGE </w:instrText>
    </w:r>
    <w:r w:rsidRPr="00910B30">
      <w:rPr>
        <w:rStyle w:val="PageNumber"/>
        <w:rFonts w:ascii="Arial" w:hAnsi="Arial" w:cs="Arial"/>
        <w:sz w:val="20"/>
        <w:szCs w:val="20"/>
        <w:lang w:val="en-GB"/>
      </w:rPr>
      <w:fldChar w:fldCharType="separate"/>
    </w:r>
    <w:r w:rsidR="00E874B6">
      <w:rPr>
        <w:rStyle w:val="PageNumber"/>
        <w:rFonts w:ascii="Arial" w:hAnsi="Arial" w:cs="Arial"/>
        <w:noProof/>
        <w:sz w:val="20"/>
        <w:szCs w:val="20"/>
        <w:lang w:val="en-GB"/>
      </w:rPr>
      <w:t>12</w:t>
    </w:r>
    <w:r w:rsidRPr="00910B30">
      <w:rPr>
        <w:rStyle w:val="PageNumber"/>
        <w:rFonts w:ascii="Arial" w:hAnsi="Arial" w:cs="Arial"/>
        <w:sz w:val="20"/>
        <w:szCs w:val="20"/>
        <w:lang w:val="en-G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617CF" w14:textId="0B93CAED" w:rsidR="00362E48" w:rsidRPr="0063300C" w:rsidRDefault="00362E48" w:rsidP="001D14FE">
    <w:pPr>
      <w:pStyle w:val="Header"/>
      <w:jc w:val="right"/>
      <w:rPr>
        <w:rFonts w:ascii="Arial" w:hAnsi="Arial" w:cs="Arial"/>
        <w:lang w:val="en-GB"/>
      </w:rPr>
    </w:pPr>
    <w:r>
      <w:rPr>
        <w:rFonts w:ascii="Arial" w:hAnsi="Arial" w:cs="Arial"/>
        <w:sz w:val="20"/>
        <w:szCs w:val="20"/>
        <w:lang w:val="en-GB"/>
      </w:rPr>
      <w:t>LHE/19</w:t>
    </w:r>
    <w:r w:rsidRPr="00910B30">
      <w:rPr>
        <w:rFonts w:ascii="Arial" w:hAnsi="Arial" w:cs="Arial"/>
        <w:sz w:val="20"/>
        <w:szCs w:val="20"/>
        <w:lang w:val="en-GB"/>
      </w:rPr>
      <w:t>/1</w:t>
    </w:r>
    <w:r>
      <w:rPr>
        <w:rFonts w:ascii="Arial" w:hAnsi="Arial" w:cs="Arial"/>
        <w:sz w:val="20"/>
        <w:szCs w:val="20"/>
        <w:lang w:val="en-GB"/>
      </w:rPr>
      <w:t>4</w:t>
    </w:r>
    <w:r w:rsidRPr="00910B30">
      <w:rPr>
        <w:rFonts w:ascii="Arial" w:hAnsi="Arial" w:cs="Arial"/>
        <w:sz w:val="20"/>
        <w:szCs w:val="20"/>
        <w:lang w:val="en-GB"/>
      </w:rPr>
      <w:t>.COM/1</w:t>
    </w:r>
    <w:r>
      <w:rPr>
        <w:rFonts w:ascii="Arial" w:hAnsi="Arial" w:cs="Arial"/>
        <w:sz w:val="20"/>
        <w:szCs w:val="20"/>
        <w:lang w:val="en-GB"/>
      </w:rPr>
      <w:t>9</w:t>
    </w:r>
    <w:r w:rsidRPr="00910B30">
      <w:rPr>
        <w:rFonts w:ascii="Arial" w:hAnsi="Arial" w:cs="Arial"/>
        <w:sz w:val="20"/>
        <w:szCs w:val="20"/>
        <w:lang w:val="en-GB"/>
      </w:rPr>
      <w:t xml:space="preserve"> –</w:t>
    </w:r>
    <w:r w:rsidRPr="0063300C">
      <w:rPr>
        <w:rFonts w:ascii="Arial" w:hAnsi="Arial" w:cs="Arial"/>
        <w:sz w:val="20"/>
        <w:szCs w:val="20"/>
        <w:lang w:val="en-GB"/>
      </w:rPr>
      <w:t xml:space="preserve">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E874B6">
      <w:rPr>
        <w:rStyle w:val="PageNumber"/>
        <w:rFonts w:ascii="Arial" w:hAnsi="Arial" w:cs="Arial"/>
        <w:noProof/>
        <w:sz w:val="20"/>
        <w:szCs w:val="20"/>
        <w:lang w:val="en-GB"/>
      </w:rPr>
      <w:t>13</w:t>
    </w:r>
    <w:r w:rsidRPr="0063300C">
      <w:rPr>
        <w:rStyle w:val="PageNumber"/>
        <w:rFonts w:ascii="Arial" w:hAnsi="Arial" w:cs="Arial"/>
        <w:sz w:val="20"/>
        <w:szCs w:val="20"/>
        <w:lang w:val="en-G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FF9B1" w14:textId="77777777" w:rsidR="00362E48" w:rsidRPr="00E95AE2" w:rsidRDefault="00362E48">
    <w:pPr>
      <w:pStyle w:val="Header"/>
      <w:rPr>
        <w:sz w:val="22"/>
        <w:szCs w:val="22"/>
        <w:lang w:val="en-GB"/>
      </w:rPr>
    </w:pPr>
    <w:r>
      <w:rPr>
        <w:noProof/>
        <w:lang w:eastAsia="ja-JP"/>
      </w:rPr>
      <w:drawing>
        <wp:anchor distT="0" distB="0" distL="114300" distR="114300" simplePos="0" relativeHeight="251657728" behindDoc="0" locked="0" layoutInCell="1" allowOverlap="1" wp14:anchorId="09150D74" wp14:editId="07B1DA4F">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AB91D" w14:textId="77777777" w:rsidR="00362E48" w:rsidRPr="00F30DC6" w:rsidRDefault="00362E48" w:rsidP="001D14FE">
    <w:pPr>
      <w:pStyle w:val="Header"/>
      <w:spacing w:after="520"/>
      <w:jc w:val="right"/>
      <w:rPr>
        <w:rFonts w:ascii="Arial" w:hAnsi="Arial" w:cs="Arial"/>
        <w:b/>
        <w:sz w:val="44"/>
        <w:szCs w:val="44"/>
        <w:lang w:val="en-GB"/>
      </w:rPr>
    </w:pPr>
    <w:r>
      <w:rPr>
        <w:rFonts w:ascii="Arial" w:hAnsi="Arial" w:cs="Arial"/>
        <w:b/>
        <w:sz w:val="44"/>
        <w:szCs w:val="44"/>
        <w:lang w:val="en-GB"/>
      </w:rPr>
      <w:t>13</w:t>
    </w:r>
    <w:r w:rsidRPr="00F30DC6">
      <w:rPr>
        <w:rFonts w:ascii="Arial" w:hAnsi="Arial" w:cs="Arial"/>
        <w:b/>
        <w:sz w:val="44"/>
        <w:szCs w:val="44"/>
        <w:lang w:val="en-GB"/>
      </w:rPr>
      <w:t xml:space="preserve"> COM</w:t>
    </w:r>
  </w:p>
  <w:p w14:paraId="0B1C881F" w14:textId="77777777" w:rsidR="00362E48" w:rsidRPr="009D5428" w:rsidRDefault="00362E48" w:rsidP="001D14FE">
    <w:pPr>
      <w:jc w:val="right"/>
      <w:rPr>
        <w:rFonts w:ascii="Arial" w:hAnsi="Arial" w:cs="Arial"/>
        <w:b/>
        <w:sz w:val="22"/>
        <w:szCs w:val="22"/>
        <w:lang w:val="en-GB"/>
      </w:rPr>
    </w:pPr>
    <w:r w:rsidRPr="00992B89">
      <w:rPr>
        <w:rFonts w:ascii="Arial" w:hAnsi="Arial" w:cs="Arial"/>
        <w:b/>
        <w:sz w:val="22"/>
        <w:szCs w:val="22"/>
        <w:lang w:val="en-GB"/>
      </w:rPr>
      <w:t>ITH/1</w:t>
    </w:r>
    <w:r w:rsidRPr="00992B89">
      <w:rPr>
        <w:rFonts w:ascii="Arial" w:eastAsiaTheme="minorEastAsia" w:hAnsi="Arial" w:cs="Arial"/>
        <w:b/>
        <w:sz w:val="22"/>
        <w:szCs w:val="22"/>
        <w:lang w:val="en-GB" w:eastAsia="ko-KR"/>
      </w:rPr>
      <w:t>8</w:t>
    </w:r>
    <w:r w:rsidRPr="00992B89">
      <w:rPr>
        <w:rFonts w:ascii="Arial" w:hAnsi="Arial" w:cs="Arial"/>
        <w:b/>
        <w:sz w:val="22"/>
        <w:szCs w:val="22"/>
        <w:lang w:val="en-GB"/>
      </w:rPr>
      <w:t>/13.COM/17</w:t>
    </w:r>
  </w:p>
  <w:p w14:paraId="609EC708" w14:textId="77777777" w:rsidR="00362E48" w:rsidRPr="00337CEB" w:rsidRDefault="00362E48" w:rsidP="00655736">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Pr="00F32C23">
      <w:rPr>
        <w:rFonts w:ascii="Arial" w:hAnsi="Arial" w:cs="Arial"/>
        <w:b/>
        <w:sz w:val="22"/>
        <w:szCs w:val="22"/>
        <w:highlight w:val="yellow"/>
        <w:lang w:val="en-GB"/>
      </w:rPr>
      <w:t xml:space="preserve">xxx </w:t>
    </w:r>
    <w:proofErr w:type="spellStart"/>
    <w:r w:rsidRPr="00F32C23">
      <w:rPr>
        <w:rFonts w:ascii="Arial" w:hAnsi="Arial" w:cs="Arial"/>
        <w:b/>
        <w:sz w:val="22"/>
        <w:szCs w:val="22"/>
        <w:highlight w:val="yellow"/>
        <w:lang w:val="en-GB"/>
      </w:rPr>
      <w:t>xxx</w:t>
    </w:r>
    <w:proofErr w:type="spellEnd"/>
    <w:r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b/>
        <w:sz w:val="22"/>
        <w:szCs w:val="22"/>
        <w:lang w:val="en-GB" w:eastAsia="ko-KR"/>
      </w:rPr>
      <w:t>8</w:t>
    </w:r>
  </w:p>
  <w:p w14:paraId="46465978" w14:textId="77777777" w:rsidR="00362E48" w:rsidRPr="00F32C23" w:rsidRDefault="00362E48" w:rsidP="000048ED">
    <w:pPr>
      <w:jc w:val="right"/>
      <w:rPr>
        <w:rFonts w:ascii="Arial" w:hAnsi="Arial" w:cs="Arial"/>
        <w:b/>
        <w:sz w:val="22"/>
        <w:szCs w:val="22"/>
        <w:lang w:val="en-GB"/>
      </w:rPr>
    </w:pPr>
    <w:r w:rsidRPr="00992B89">
      <w:rPr>
        <w:rFonts w:ascii="Arial" w:hAnsi="Arial" w:cs="Arial"/>
        <w:b/>
        <w:sz w:val="22"/>
        <w:szCs w:val="22"/>
        <w:lang w:val="en-GB"/>
      </w:rPr>
      <w:t>Original: English</w:t>
    </w:r>
  </w:p>
  <w:p w14:paraId="13E32916" w14:textId="77777777" w:rsidR="00362E48" w:rsidRPr="00E95AE2" w:rsidRDefault="00362E48">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0409000F">
      <w:start w:val="1"/>
      <w:numFmt w:val="decimal"/>
      <w:lvlText w:val="%1."/>
      <w:lvlJc w:val="left"/>
      <w:pPr>
        <w:ind w:left="6390" w:hanging="360"/>
      </w:pPr>
      <w:rPr>
        <w:rFonts w:hint="default"/>
      </w:rPr>
    </w:lvl>
    <w:lvl w:ilvl="1" w:tplc="04090019">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1" w15:restartNumberingAfterBreak="0">
    <w:nsid w:val="057A5BCF"/>
    <w:multiLevelType w:val="hybridMultilevel"/>
    <w:tmpl w:val="BF743752"/>
    <w:lvl w:ilvl="0" w:tplc="88103CC2">
      <w:start w:val="1"/>
      <w:numFmt w:val="lowerRoman"/>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0A8A7F8F"/>
    <w:multiLevelType w:val="hybridMultilevel"/>
    <w:tmpl w:val="64662A7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2BF51875"/>
    <w:multiLevelType w:val="hybridMultilevel"/>
    <w:tmpl w:val="6C94C1E0"/>
    <w:lvl w:ilvl="0" w:tplc="E92838C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3467D"/>
    <w:multiLevelType w:val="hybridMultilevel"/>
    <w:tmpl w:val="EB9EB046"/>
    <w:lvl w:ilvl="0" w:tplc="83AE2352">
      <w:start w:val="74"/>
      <w:numFmt w:val="decimal"/>
      <w:lvlText w:val="%1."/>
      <w:lvlJc w:val="left"/>
      <w:pPr>
        <w:ind w:left="20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4C76A9"/>
    <w:multiLevelType w:val="hybridMultilevel"/>
    <w:tmpl w:val="3A5EB622"/>
    <w:lvl w:ilvl="0" w:tplc="2F540118">
      <w:start w:val="1"/>
      <w:numFmt w:val="low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ECF45F3"/>
    <w:multiLevelType w:val="multilevel"/>
    <w:tmpl w:val="794A9D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3961D47"/>
    <w:multiLevelType w:val="hybridMultilevel"/>
    <w:tmpl w:val="D360CBCA"/>
    <w:lvl w:ilvl="0" w:tplc="A3381420">
      <w:start w:val="78"/>
      <w:numFmt w:val="decimal"/>
      <w:lvlText w:val="%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A22308"/>
    <w:multiLevelType w:val="hybridMultilevel"/>
    <w:tmpl w:val="297AB420"/>
    <w:lvl w:ilvl="0" w:tplc="AFB64EC8">
      <w:start w:val="64"/>
      <w:numFmt w:val="decimal"/>
      <w:lvlText w:val="%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0D7580"/>
    <w:multiLevelType w:val="hybridMultilevel"/>
    <w:tmpl w:val="1DF4A484"/>
    <w:lvl w:ilvl="0" w:tplc="3C02A516">
      <w:start w:val="76"/>
      <w:numFmt w:val="decimal"/>
      <w:lvlText w:val="%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E20C1"/>
    <w:multiLevelType w:val="hybridMultilevel"/>
    <w:tmpl w:val="8960B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CA3193"/>
    <w:multiLevelType w:val="hybridMultilevel"/>
    <w:tmpl w:val="369C82DA"/>
    <w:lvl w:ilvl="0" w:tplc="0126783A">
      <w:start w:val="99"/>
      <w:numFmt w:val="decimal"/>
      <w:lvlText w:val="%1."/>
      <w:lvlJc w:val="left"/>
      <w:pPr>
        <w:ind w:left="63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184D43"/>
    <w:multiLevelType w:val="hybridMultilevel"/>
    <w:tmpl w:val="AA62FE4C"/>
    <w:lvl w:ilvl="0" w:tplc="560C8DD6">
      <w:start w:val="76"/>
      <w:numFmt w:val="decimal"/>
      <w:lvlText w:val="%1."/>
      <w:lvlJc w:val="left"/>
      <w:pPr>
        <w:ind w:left="20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6D50F71"/>
    <w:multiLevelType w:val="hybridMultilevel"/>
    <w:tmpl w:val="129E9DF0"/>
    <w:lvl w:ilvl="0" w:tplc="84E82C4C">
      <w:start w:val="56"/>
      <w:numFmt w:val="decimal"/>
      <w:lvlText w:val="%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56EDD"/>
    <w:multiLevelType w:val="hybridMultilevel"/>
    <w:tmpl w:val="884C7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9"/>
  </w:num>
  <w:num w:numId="5">
    <w:abstractNumId w:val="0"/>
  </w:num>
  <w:num w:numId="6">
    <w:abstractNumId w:val="1"/>
  </w:num>
  <w:num w:numId="7">
    <w:abstractNumId w:val="4"/>
  </w:num>
  <w:num w:numId="8">
    <w:abstractNumId w:val="17"/>
  </w:num>
  <w:num w:numId="9">
    <w:abstractNumId w:val="6"/>
  </w:num>
  <w:num w:numId="10">
    <w:abstractNumId w:val="12"/>
  </w:num>
  <w:num w:numId="11">
    <w:abstractNumId w:val="13"/>
  </w:num>
  <w:num w:numId="12">
    <w:abstractNumId w:val="11"/>
  </w:num>
  <w:num w:numId="13">
    <w:abstractNumId w:val="15"/>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num>
  <w:num w:numId="24">
    <w:abstractNumId w:val="5"/>
  </w:num>
  <w:num w:numId="25">
    <w:abstractNumId w:val="16"/>
  </w:num>
  <w:num w:numId="26">
    <w:abstractNumId w:val="2"/>
  </w:num>
  <w:num w:numId="2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68C"/>
    <w:rsid w:val="000048ED"/>
    <w:rsid w:val="0000768A"/>
    <w:rsid w:val="00011D68"/>
    <w:rsid w:val="000157EF"/>
    <w:rsid w:val="00025677"/>
    <w:rsid w:val="00025CEC"/>
    <w:rsid w:val="00026A2B"/>
    <w:rsid w:val="00026F5D"/>
    <w:rsid w:val="000271E7"/>
    <w:rsid w:val="000275B4"/>
    <w:rsid w:val="00037790"/>
    <w:rsid w:val="00041A66"/>
    <w:rsid w:val="000428DD"/>
    <w:rsid w:val="00047B77"/>
    <w:rsid w:val="0005176E"/>
    <w:rsid w:val="00053A91"/>
    <w:rsid w:val="00057F53"/>
    <w:rsid w:val="00064F3A"/>
    <w:rsid w:val="000754AF"/>
    <w:rsid w:val="00075A92"/>
    <w:rsid w:val="000765F7"/>
    <w:rsid w:val="00077AB7"/>
    <w:rsid w:val="00080E14"/>
    <w:rsid w:val="00081CD8"/>
    <w:rsid w:val="00083838"/>
    <w:rsid w:val="00095C32"/>
    <w:rsid w:val="000971FD"/>
    <w:rsid w:val="000A67DC"/>
    <w:rsid w:val="000A7F0E"/>
    <w:rsid w:val="000B0492"/>
    <w:rsid w:val="000B0F08"/>
    <w:rsid w:val="000B1C8F"/>
    <w:rsid w:val="000B4451"/>
    <w:rsid w:val="000C0D61"/>
    <w:rsid w:val="000C5989"/>
    <w:rsid w:val="000D7530"/>
    <w:rsid w:val="000E48F7"/>
    <w:rsid w:val="000E542F"/>
    <w:rsid w:val="000F3A3F"/>
    <w:rsid w:val="0010105C"/>
    <w:rsid w:val="00102557"/>
    <w:rsid w:val="001039E0"/>
    <w:rsid w:val="00115996"/>
    <w:rsid w:val="00123801"/>
    <w:rsid w:val="001250D2"/>
    <w:rsid w:val="00127C55"/>
    <w:rsid w:val="00164D56"/>
    <w:rsid w:val="00165BA5"/>
    <w:rsid w:val="00167B10"/>
    <w:rsid w:val="00170443"/>
    <w:rsid w:val="00170998"/>
    <w:rsid w:val="00170D00"/>
    <w:rsid w:val="00173039"/>
    <w:rsid w:val="00173262"/>
    <w:rsid w:val="0017402F"/>
    <w:rsid w:val="0018294A"/>
    <w:rsid w:val="00196C1B"/>
    <w:rsid w:val="001A0799"/>
    <w:rsid w:val="001A1AFE"/>
    <w:rsid w:val="001A35D6"/>
    <w:rsid w:val="001A3D5D"/>
    <w:rsid w:val="001A50F7"/>
    <w:rsid w:val="001A6302"/>
    <w:rsid w:val="001B0925"/>
    <w:rsid w:val="001B0F73"/>
    <w:rsid w:val="001B1D24"/>
    <w:rsid w:val="001C0A64"/>
    <w:rsid w:val="001C242F"/>
    <w:rsid w:val="001C2DB7"/>
    <w:rsid w:val="001C48F8"/>
    <w:rsid w:val="001D10C5"/>
    <w:rsid w:val="001D14FE"/>
    <w:rsid w:val="001D5C04"/>
    <w:rsid w:val="001E4A3D"/>
    <w:rsid w:val="001F26CF"/>
    <w:rsid w:val="0020010E"/>
    <w:rsid w:val="002008AE"/>
    <w:rsid w:val="00205B30"/>
    <w:rsid w:val="00207EEB"/>
    <w:rsid w:val="00211D8C"/>
    <w:rsid w:val="002136D5"/>
    <w:rsid w:val="00222A2D"/>
    <w:rsid w:val="00223029"/>
    <w:rsid w:val="0022344C"/>
    <w:rsid w:val="0022413F"/>
    <w:rsid w:val="00224A14"/>
    <w:rsid w:val="0023436D"/>
    <w:rsid w:val="00234745"/>
    <w:rsid w:val="002351A6"/>
    <w:rsid w:val="00236BBD"/>
    <w:rsid w:val="002377DB"/>
    <w:rsid w:val="002407AF"/>
    <w:rsid w:val="00244BBA"/>
    <w:rsid w:val="0025748D"/>
    <w:rsid w:val="00257E26"/>
    <w:rsid w:val="00261EEA"/>
    <w:rsid w:val="0027466B"/>
    <w:rsid w:val="002838A5"/>
    <w:rsid w:val="00285BB4"/>
    <w:rsid w:val="002967DF"/>
    <w:rsid w:val="0029706C"/>
    <w:rsid w:val="002B059B"/>
    <w:rsid w:val="002B27AB"/>
    <w:rsid w:val="002B3C73"/>
    <w:rsid w:val="002B4145"/>
    <w:rsid w:val="002B642E"/>
    <w:rsid w:val="002C09E3"/>
    <w:rsid w:val="002D0591"/>
    <w:rsid w:val="002D38E3"/>
    <w:rsid w:val="002E44DD"/>
    <w:rsid w:val="002F0489"/>
    <w:rsid w:val="002F35C9"/>
    <w:rsid w:val="002F6C64"/>
    <w:rsid w:val="003025EF"/>
    <w:rsid w:val="00302B42"/>
    <w:rsid w:val="00305AD5"/>
    <w:rsid w:val="00310F56"/>
    <w:rsid w:val="0033382C"/>
    <w:rsid w:val="0033460F"/>
    <w:rsid w:val="00334F6F"/>
    <w:rsid w:val="00337CEB"/>
    <w:rsid w:val="00341F12"/>
    <w:rsid w:val="00344B58"/>
    <w:rsid w:val="0034539A"/>
    <w:rsid w:val="00345CB4"/>
    <w:rsid w:val="0034611B"/>
    <w:rsid w:val="00350C2F"/>
    <w:rsid w:val="003526DE"/>
    <w:rsid w:val="00354500"/>
    <w:rsid w:val="00354523"/>
    <w:rsid w:val="00362E48"/>
    <w:rsid w:val="00367601"/>
    <w:rsid w:val="00370A48"/>
    <w:rsid w:val="00373083"/>
    <w:rsid w:val="00373EEC"/>
    <w:rsid w:val="00375D42"/>
    <w:rsid w:val="00376821"/>
    <w:rsid w:val="00380319"/>
    <w:rsid w:val="00386736"/>
    <w:rsid w:val="0039162F"/>
    <w:rsid w:val="003C6AF7"/>
    <w:rsid w:val="003D0369"/>
    <w:rsid w:val="003D069C"/>
    <w:rsid w:val="003D7646"/>
    <w:rsid w:val="003E12EF"/>
    <w:rsid w:val="003E7952"/>
    <w:rsid w:val="003F0447"/>
    <w:rsid w:val="003F113A"/>
    <w:rsid w:val="003F3E63"/>
    <w:rsid w:val="003F6AAD"/>
    <w:rsid w:val="003F72C5"/>
    <w:rsid w:val="00404102"/>
    <w:rsid w:val="00404512"/>
    <w:rsid w:val="00407480"/>
    <w:rsid w:val="00414643"/>
    <w:rsid w:val="00433A9B"/>
    <w:rsid w:val="004356D1"/>
    <w:rsid w:val="004421E5"/>
    <w:rsid w:val="00444E26"/>
    <w:rsid w:val="00444E42"/>
    <w:rsid w:val="00451930"/>
    <w:rsid w:val="00452284"/>
    <w:rsid w:val="00454BF1"/>
    <w:rsid w:val="00455A41"/>
    <w:rsid w:val="00457C8E"/>
    <w:rsid w:val="0046114D"/>
    <w:rsid w:val="004614F2"/>
    <w:rsid w:val="00473183"/>
    <w:rsid w:val="0047428A"/>
    <w:rsid w:val="00476FC1"/>
    <w:rsid w:val="00483650"/>
    <w:rsid w:val="004856CA"/>
    <w:rsid w:val="00487E67"/>
    <w:rsid w:val="00496DEC"/>
    <w:rsid w:val="0049705E"/>
    <w:rsid w:val="004A34A0"/>
    <w:rsid w:val="004B0683"/>
    <w:rsid w:val="004B19FF"/>
    <w:rsid w:val="004B3BFE"/>
    <w:rsid w:val="004B502B"/>
    <w:rsid w:val="004D19D9"/>
    <w:rsid w:val="004D7A1E"/>
    <w:rsid w:val="004E28E5"/>
    <w:rsid w:val="004E693C"/>
    <w:rsid w:val="004F5795"/>
    <w:rsid w:val="005008A8"/>
    <w:rsid w:val="005141A0"/>
    <w:rsid w:val="00514D10"/>
    <w:rsid w:val="00522C6D"/>
    <w:rsid w:val="00524679"/>
    <w:rsid w:val="00526B7B"/>
    <w:rsid w:val="005308CE"/>
    <w:rsid w:val="00530AF1"/>
    <w:rsid w:val="00531215"/>
    <w:rsid w:val="0053318C"/>
    <w:rsid w:val="00560EE6"/>
    <w:rsid w:val="00561E4C"/>
    <w:rsid w:val="00564EBA"/>
    <w:rsid w:val="0057439C"/>
    <w:rsid w:val="00575F8F"/>
    <w:rsid w:val="00596779"/>
    <w:rsid w:val="005B0127"/>
    <w:rsid w:val="005B3194"/>
    <w:rsid w:val="005B4056"/>
    <w:rsid w:val="005B7A35"/>
    <w:rsid w:val="005B7C4E"/>
    <w:rsid w:val="005C032F"/>
    <w:rsid w:val="005C4B73"/>
    <w:rsid w:val="005C70D3"/>
    <w:rsid w:val="005D2A8B"/>
    <w:rsid w:val="005D71EF"/>
    <w:rsid w:val="005E1D16"/>
    <w:rsid w:val="005E1D2B"/>
    <w:rsid w:val="005E5FF3"/>
    <w:rsid w:val="005E7074"/>
    <w:rsid w:val="005E778C"/>
    <w:rsid w:val="005F1445"/>
    <w:rsid w:val="005F2A8E"/>
    <w:rsid w:val="005F2BAF"/>
    <w:rsid w:val="005F4D27"/>
    <w:rsid w:val="00600D93"/>
    <w:rsid w:val="006160E5"/>
    <w:rsid w:val="0061763E"/>
    <w:rsid w:val="0062661B"/>
    <w:rsid w:val="006300F5"/>
    <w:rsid w:val="0063300C"/>
    <w:rsid w:val="006337E7"/>
    <w:rsid w:val="006501D3"/>
    <w:rsid w:val="00653F1C"/>
    <w:rsid w:val="00655736"/>
    <w:rsid w:val="006618BE"/>
    <w:rsid w:val="00663028"/>
    <w:rsid w:val="00663B8D"/>
    <w:rsid w:val="006661AF"/>
    <w:rsid w:val="00667A75"/>
    <w:rsid w:val="00673907"/>
    <w:rsid w:val="006840D3"/>
    <w:rsid w:val="006918D4"/>
    <w:rsid w:val="00696C8D"/>
    <w:rsid w:val="006A01C9"/>
    <w:rsid w:val="006A2AC2"/>
    <w:rsid w:val="006A3617"/>
    <w:rsid w:val="006B729F"/>
    <w:rsid w:val="006C398B"/>
    <w:rsid w:val="006C4F56"/>
    <w:rsid w:val="006D2AC8"/>
    <w:rsid w:val="006D30F8"/>
    <w:rsid w:val="006E11B7"/>
    <w:rsid w:val="006E46E4"/>
    <w:rsid w:val="006E4BA7"/>
    <w:rsid w:val="006F47AE"/>
    <w:rsid w:val="00703C30"/>
    <w:rsid w:val="00705B84"/>
    <w:rsid w:val="00707A99"/>
    <w:rsid w:val="00712C7B"/>
    <w:rsid w:val="00715E42"/>
    <w:rsid w:val="00717DA5"/>
    <w:rsid w:val="00724560"/>
    <w:rsid w:val="00726ADA"/>
    <w:rsid w:val="00730099"/>
    <w:rsid w:val="0073043D"/>
    <w:rsid w:val="00731ED9"/>
    <w:rsid w:val="007339FC"/>
    <w:rsid w:val="0073514F"/>
    <w:rsid w:val="00742244"/>
    <w:rsid w:val="00744484"/>
    <w:rsid w:val="00747566"/>
    <w:rsid w:val="00760578"/>
    <w:rsid w:val="007633B9"/>
    <w:rsid w:val="0076683D"/>
    <w:rsid w:val="00766E3D"/>
    <w:rsid w:val="007671A0"/>
    <w:rsid w:val="007705AC"/>
    <w:rsid w:val="0077135B"/>
    <w:rsid w:val="00773188"/>
    <w:rsid w:val="00773EEB"/>
    <w:rsid w:val="0078112B"/>
    <w:rsid w:val="00783782"/>
    <w:rsid w:val="00784B8C"/>
    <w:rsid w:val="0078716D"/>
    <w:rsid w:val="007879E1"/>
    <w:rsid w:val="00792CEB"/>
    <w:rsid w:val="007941BE"/>
    <w:rsid w:val="007A3538"/>
    <w:rsid w:val="007A6397"/>
    <w:rsid w:val="007B3206"/>
    <w:rsid w:val="007C0E13"/>
    <w:rsid w:val="007C7A42"/>
    <w:rsid w:val="007D1063"/>
    <w:rsid w:val="007D2272"/>
    <w:rsid w:val="007D6E39"/>
    <w:rsid w:val="007D7905"/>
    <w:rsid w:val="007D7BAB"/>
    <w:rsid w:val="007F0991"/>
    <w:rsid w:val="007F5839"/>
    <w:rsid w:val="0080193B"/>
    <w:rsid w:val="00811ADE"/>
    <w:rsid w:val="008204EF"/>
    <w:rsid w:val="0082066D"/>
    <w:rsid w:val="0082153B"/>
    <w:rsid w:val="00823A11"/>
    <w:rsid w:val="00823F1D"/>
    <w:rsid w:val="008240F2"/>
    <w:rsid w:val="00826E82"/>
    <w:rsid w:val="00830962"/>
    <w:rsid w:val="00830E6F"/>
    <w:rsid w:val="0085315E"/>
    <w:rsid w:val="0085405E"/>
    <w:rsid w:val="0085414A"/>
    <w:rsid w:val="00854209"/>
    <w:rsid w:val="0086269D"/>
    <w:rsid w:val="0086543A"/>
    <w:rsid w:val="0086739C"/>
    <w:rsid w:val="008724E5"/>
    <w:rsid w:val="00876096"/>
    <w:rsid w:val="00880511"/>
    <w:rsid w:val="008820CE"/>
    <w:rsid w:val="00884518"/>
    <w:rsid w:val="00884A9D"/>
    <w:rsid w:val="0088512B"/>
    <w:rsid w:val="00887131"/>
    <w:rsid w:val="008A2B2D"/>
    <w:rsid w:val="008A4E1E"/>
    <w:rsid w:val="008A5C2D"/>
    <w:rsid w:val="008C296C"/>
    <w:rsid w:val="008C503F"/>
    <w:rsid w:val="008D0D0F"/>
    <w:rsid w:val="008D4305"/>
    <w:rsid w:val="008E00A0"/>
    <w:rsid w:val="008E181D"/>
    <w:rsid w:val="008E1A85"/>
    <w:rsid w:val="008E2FC2"/>
    <w:rsid w:val="008E3187"/>
    <w:rsid w:val="008F2203"/>
    <w:rsid w:val="00905394"/>
    <w:rsid w:val="0091055A"/>
    <w:rsid w:val="00910B30"/>
    <w:rsid w:val="009112ED"/>
    <w:rsid w:val="009163A7"/>
    <w:rsid w:val="00920D85"/>
    <w:rsid w:val="00926610"/>
    <w:rsid w:val="00926863"/>
    <w:rsid w:val="00942946"/>
    <w:rsid w:val="00946D0B"/>
    <w:rsid w:val="0095252E"/>
    <w:rsid w:val="00955877"/>
    <w:rsid w:val="009562A5"/>
    <w:rsid w:val="0095643E"/>
    <w:rsid w:val="00956E8B"/>
    <w:rsid w:val="00957128"/>
    <w:rsid w:val="009732FB"/>
    <w:rsid w:val="00974B2A"/>
    <w:rsid w:val="00974C6E"/>
    <w:rsid w:val="00992B89"/>
    <w:rsid w:val="009977A8"/>
    <w:rsid w:val="009A1312"/>
    <w:rsid w:val="009A18CD"/>
    <w:rsid w:val="009A194A"/>
    <w:rsid w:val="009A4013"/>
    <w:rsid w:val="009B7C08"/>
    <w:rsid w:val="009B7C7E"/>
    <w:rsid w:val="009C1317"/>
    <w:rsid w:val="009C5278"/>
    <w:rsid w:val="009D5428"/>
    <w:rsid w:val="009E2C50"/>
    <w:rsid w:val="009E74D0"/>
    <w:rsid w:val="009F0428"/>
    <w:rsid w:val="00A12558"/>
    <w:rsid w:val="00A13903"/>
    <w:rsid w:val="00A1446D"/>
    <w:rsid w:val="00A34ED5"/>
    <w:rsid w:val="00A442B6"/>
    <w:rsid w:val="00A45DBF"/>
    <w:rsid w:val="00A50D4E"/>
    <w:rsid w:val="00A53E6C"/>
    <w:rsid w:val="00A57F54"/>
    <w:rsid w:val="00A6251C"/>
    <w:rsid w:val="00A62E9A"/>
    <w:rsid w:val="00A63B37"/>
    <w:rsid w:val="00A741D3"/>
    <w:rsid w:val="00A755A2"/>
    <w:rsid w:val="00A83002"/>
    <w:rsid w:val="00A83963"/>
    <w:rsid w:val="00A843EE"/>
    <w:rsid w:val="00A84746"/>
    <w:rsid w:val="00A92A51"/>
    <w:rsid w:val="00A96C3E"/>
    <w:rsid w:val="00AA6660"/>
    <w:rsid w:val="00AA7821"/>
    <w:rsid w:val="00AB2C36"/>
    <w:rsid w:val="00AB6D22"/>
    <w:rsid w:val="00AB6DDE"/>
    <w:rsid w:val="00AB70B6"/>
    <w:rsid w:val="00AC000C"/>
    <w:rsid w:val="00AC370B"/>
    <w:rsid w:val="00AD0B6B"/>
    <w:rsid w:val="00AD1A86"/>
    <w:rsid w:val="00AD1B42"/>
    <w:rsid w:val="00AD2562"/>
    <w:rsid w:val="00AE103E"/>
    <w:rsid w:val="00AE1D84"/>
    <w:rsid w:val="00AF0A07"/>
    <w:rsid w:val="00AF2E1D"/>
    <w:rsid w:val="00AF4AEC"/>
    <w:rsid w:val="00AF625E"/>
    <w:rsid w:val="00B0094D"/>
    <w:rsid w:val="00B016F9"/>
    <w:rsid w:val="00B04CDE"/>
    <w:rsid w:val="00B07CEE"/>
    <w:rsid w:val="00B1372C"/>
    <w:rsid w:val="00B155BE"/>
    <w:rsid w:val="00B2011F"/>
    <w:rsid w:val="00B23BBA"/>
    <w:rsid w:val="00B266CF"/>
    <w:rsid w:val="00B26DD7"/>
    <w:rsid w:val="00B341EF"/>
    <w:rsid w:val="00B42D0F"/>
    <w:rsid w:val="00B44D76"/>
    <w:rsid w:val="00B47FEC"/>
    <w:rsid w:val="00B50E79"/>
    <w:rsid w:val="00B53647"/>
    <w:rsid w:val="00B7330A"/>
    <w:rsid w:val="00B734F2"/>
    <w:rsid w:val="00B90255"/>
    <w:rsid w:val="00B95B82"/>
    <w:rsid w:val="00BA5F46"/>
    <w:rsid w:val="00BA6813"/>
    <w:rsid w:val="00BA7F29"/>
    <w:rsid w:val="00BB04AF"/>
    <w:rsid w:val="00BB22C4"/>
    <w:rsid w:val="00BB75A1"/>
    <w:rsid w:val="00BB7A06"/>
    <w:rsid w:val="00BC4599"/>
    <w:rsid w:val="00BC6998"/>
    <w:rsid w:val="00BD1CC3"/>
    <w:rsid w:val="00BD52C9"/>
    <w:rsid w:val="00BE5F5C"/>
    <w:rsid w:val="00BE6354"/>
    <w:rsid w:val="00BE7715"/>
    <w:rsid w:val="00BF20B7"/>
    <w:rsid w:val="00BF242D"/>
    <w:rsid w:val="00BF5B46"/>
    <w:rsid w:val="00C00289"/>
    <w:rsid w:val="00C02F42"/>
    <w:rsid w:val="00C038A0"/>
    <w:rsid w:val="00C111B3"/>
    <w:rsid w:val="00C12926"/>
    <w:rsid w:val="00C138D1"/>
    <w:rsid w:val="00C1747C"/>
    <w:rsid w:val="00C22E6A"/>
    <w:rsid w:val="00C23A97"/>
    <w:rsid w:val="00C25A54"/>
    <w:rsid w:val="00C27AFD"/>
    <w:rsid w:val="00C32846"/>
    <w:rsid w:val="00C330C7"/>
    <w:rsid w:val="00C50091"/>
    <w:rsid w:val="00C525CA"/>
    <w:rsid w:val="00C56349"/>
    <w:rsid w:val="00C64855"/>
    <w:rsid w:val="00C70EA7"/>
    <w:rsid w:val="00C71D1C"/>
    <w:rsid w:val="00C727C9"/>
    <w:rsid w:val="00C7433F"/>
    <w:rsid w:val="00C7516E"/>
    <w:rsid w:val="00C75770"/>
    <w:rsid w:val="00C7656F"/>
    <w:rsid w:val="00C813C5"/>
    <w:rsid w:val="00C860A2"/>
    <w:rsid w:val="00CA1D79"/>
    <w:rsid w:val="00CA56BB"/>
    <w:rsid w:val="00CA6401"/>
    <w:rsid w:val="00CB01D0"/>
    <w:rsid w:val="00CB0542"/>
    <w:rsid w:val="00CB0C0B"/>
    <w:rsid w:val="00CB5E2C"/>
    <w:rsid w:val="00CC1893"/>
    <w:rsid w:val="00CC4689"/>
    <w:rsid w:val="00CC4DEC"/>
    <w:rsid w:val="00CC55BB"/>
    <w:rsid w:val="00CC62BD"/>
    <w:rsid w:val="00CD4B28"/>
    <w:rsid w:val="00CF1756"/>
    <w:rsid w:val="00D00B2B"/>
    <w:rsid w:val="00D05B86"/>
    <w:rsid w:val="00D13D5A"/>
    <w:rsid w:val="00D15312"/>
    <w:rsid w:val="00D20BD8"/>
    <w:rsid w:val="00D24877"/>
    <w:rsid w:val="00D2779D"/>
    <w:rsid w:val="00D3082A"/>
    <w:rsid w:val="00D42495"/>
    <w:rsid w:val="00D44A4B"/>
    <w:rsid w:val="00D4777F"/>
    <w:rsid w:val="00D50224"/>
    <w:rsid w:val="00D515E2"/>
    <w:rsid w:val="00D5469E"/>
    <w:rsid w:val="00D54FB6"/>
    <w:rsid w:val="00D55E04"/>
    <w:rsid w:val="00D61CD2"/>
    <w:rsid w:val="00D62547"/>
    <w:rsid w:val="00D6399B"/>
    <w:rsid w:val="00D72650"/>
    <w:rsid w:val="00D74C5D"/>
    <w:rsid w:val="00D750ED"/>
    <w:rsid w:val="00D8075A"/>
    <w:rsid w:val="00D8250F"/>
    <w:rsid w:val="00D82535"/>
    <w:rsid w:val="00D93E8D"/>
    <w:rsid w:val="00D95C4C"/>
    <w:rsid w:val="00DA2BCF"/>
    <w:rsid w:val="00DA36ED"/>
    <w:rsid w:val="00DB215D"/>
    <w:rsid w:val="00DC2A8A"/>
    <w:rsid w:val="00DD2277"/>
    <w:rsid w:val="00DE34F1"/>
    <w:rsid w:val="00DE4737"/>
    <w:rsid w:val="00DE6160"/>
    <w:rsid w:val="00DE744D"/>
    <w:rsid w:val="00DF1845"/>
    <w:rsid w:val="00DF3BC0"/>
    <w:rsid w:val="00DF4942"/>
    <w:rsid w:val="00DF651D"/>
    <w:rsid w:val="00E02E4E"/>
    <w:rsid w:val="00E07816"/>
    <w:rsid w:val="00E14908"/>
    <w:rsid w:val="00E2070F"/>
    <w:rsid w:val="00E22F29"/>
    <w:rsid w:val="00E2382C"/>
    <w:rsid w:val="00E244E1"/>
    <w:rsid w:val="00E354E6"/>
    <w:rsid w:val="00E627B1"/>
    <w:rsid w:val="00E62BB5"/>
    <w:rsid w:val="00E63922"/>
    <w:rsid w:val="00E70169"/>
    <w:rsid w:val="00E82EFC"/>
    <w:rsid w:val="00E874B6"/>
    <w:rsid w:val="00E90A3E"/>
    <w:rsid w:val="00E9376C"/>
    <w:rsid w:val="00E95AE2"/>
    <w:rsid w:val="00EA335E"/>
    <w:rsid w:val="00EA528C"/>
    <w:rsid w:val="00EA580C"/>
    <w:rsid w:val="00EA7F1D"/>
    <w:rsid w:val="00EC628C"/>
    <w:rsid w:val="00EC6DCA"/>
    <w:rsid w:val="00EC6F8D"/>
    <w:rsid w:val="00ED46CF"/>
    <w:rsid w:val="00EE4900"/>
    <w:rsid w:val="00EE49F4"/>
    <w:rsid w:val="00EE60E8"/>
    <w:rsid w:val="00EF16BE"/>
    <w:rsid w:val="00EF2ED6"/>
    <w:rsid w:val="00EF3414"/>
    <w:rsid w:val="00EF34E2"/>
    <w:rsid w:val="00EF6AE6"/>
    <w:rsid w:val="00F0634F"/>
    <w:rsid w:val="00F06CBA"/>
    <w:rsid w:val="00F0786E"/>
    <w:rsid w:val="00F102F7"/>
    <w:rsid w:val="00F11269"/>
    <w:rsid w:val="00F2550C"/>
    <w:rsid w:val="00F25F99"/>
    <w:rsid w:val="00F30DC6"/>
    <w:rsid w:val="00F32C23"/>
    <w:rsid w:val="00F35BC4"/>
    <w:rsid w:val="00F37297"/>
    <w:rsid w:val="00F40207"/>
    <w:rsid w:val="00F41EFC"/>
    <w:rsid w:val="00F41FA6"/>
    <w:rsid w:val="00F43176"/>
    <w:rsid w:val="00F445DE"/>
    <w:rsid w:val="00F44F49"/>
    <w:rsid w:val="00F4640A"/>
    <w:rsid w:val="00F466D2"/>
    <w:rsid w:val="00F50137"/>
    <w:rsid w:val="00F520ED"/>
    <w:rsid w:val="00F5293C"/>
    <w:rsid w:val="00F52C56"/>
    <w:rsid w:val="00F53DE9"/>
    <w:rsid w:val="00F54979"/>
    <w:rsid w:val="00F576CB"/>
    <w:rsid w:val="00F7009E"/>
    <w:rsid w:val="00F7035D"/>
    <w:rsid w:val="00F71A02"/>
    <w:rsid w:val="00F904C5"/>
    <w:rsid w:val="00F93C00"/>
    <w:rsid w:val="00F94836"/>
    <w:rsid w:val="00F9493B"/>
    <w:rsid w:val="00FA06B4"/>
    <w:rsid w:val="00FA0D63"/>
    <w:rsid w:val="00FB6E64"/>
    <w:rsid w:val="00FC1E9A"/>
    <w:rsid w:val="00FC61F8"/>
    <w:rsid w:val="00FD1226"/>
    <w:rsid w:val="00FD4FDE"/>
    <w:rsid w:val="00FE0D1B"/>
    <w:rsid w:val="00FE31A1"/>
    <w:rsid w:val="00FE5797"/>
    <w:rsid w:val="00FF2321"/>
    <w:rsid w:val="00FF4830"/>
    <w:rsid w:val="00FF54B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85022D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9B7C0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GA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GA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10B30"/>
    <w:pPr>
      <w:ind w:left="720"/>
      <w:contextualSpacing/>
    </w:pPr>
  </w:style>
  <w:style w:type="paragraph" w:styleId="FootnoteText">
    <w:name w:val="footnote text"/>
    <w:basedOn w:val="Normal"/>
    <w:link w:val="FootnoteTextChar"/>
    <w:uiPriority w:val="99"/>
    <w:semiHidden/>
    <w:unhideWhenUsed/>
    <w:rsid w:val="00910B30"/>
    <w:rPr>
      <w:sz w:val="20"/>
      <w:szCs w:val="20"/>
    </w:rPr>
  </w:style>
  <w:style w:type="character" w:customStyle="1" w:styleId="FootnoteTextChar">
    <w:name w:val="Footnote Text Char"/>
    <w:basedOn w:val="DefaultParagraphFont"/>
    <w:link w:val="FootnoteText"/>
    <w:uiPriority w:val="99"/>
    <w:semiHidden/>
    <w:rsid w:val="00910B30"/>
    <w:rPr>
      <w:rFonts w:ascii="Times New Roman" w:eastAsia="Times New Roman" w:hAnsi="Times New Roman"/>
    </w:rPr>
  </w:style>
  <w:style w:type="character" w:styleId="FootnoteReference">
    <w:name w:val="footnote reference"/>
    <w:basedOn w:val="DefaultParagraphFont"/>
    <w:uiPriority w:val="99"/>
    <w:semiHidden/>
    <w:unhideWhenUsed/>
    <w:rsid w:val="00910B30"/>
    <w:rPr>
      <w:vertAlign w:val="superscript"/>
    </w:rPr>
  </w:style>
  <w:style w:type="character" w:styleId="Hyperlink">
    <w:name w:val="Hyperlink"/>
    <w:basedOn w:val="DefaultParagraphFont"/>
    <w:uiPriority w:val="99"/>
    <w:unhideWhenUsed/>
    <w:rsid w:val="00910B30"/>
    <w:rPr>
      <w:color w:val="0000FF" w:themeColor="hyperlink"/>
      <w:u w:val="single"/>
    </w:rPr>
  </w:style>
  <w:style w:type="character" w:customStyle="1" w:styleId="Heading3Char">
    <w:name w:val="Heading 3 Char"/>
    <w:basedOn w:val="DefaultParagraphFont"/>
    <w:link w:val="Heading3"/>
    <w:uiPriority w:val="9"/>
    <w:semiHidden/>
    <w:rsid w:val="009B7C08"/>
    <w:rPr>
      <w:rFonts w:asciiTheme="majorHAnsi" w:eastAsiaTheme="majorEastAsia" w:hAnsiTheme="majorHAnsi" w:cstheme="majorBidi"/>
      <w:color w:val="243F60" w:themeColor="accent1" w:themeShade="7F"/>
      <w:sz w:val="24"/>
      <w:szCs w:val="24"/>
    </w:rPr>
  </w:style>
  <w:style w:type="paragraph" w:customStyle="1" w:styleId="GAPara">
    <w:name w:val="GA Para"/>
    <w:qFormat/>
    <w:rsid w:val="009B7C08"/>
    <w:pPr>
      <w:spacing w:after="120"/>
      <w:ind w:left="720" w:hanging="360"/>
    </w:pPr>
    <w:rPr>
      <w:rFonts w:ascii="Arial" w:eastAsia="Times New Roman" w:hAnsi="Arial" w:cs="Arial"/>
      <w:snapToGrid w:val="0"/>
      <w:sz w:val="22"/>
      <w:szCs w:val="22"/>
      <w:lang w:val="en-GB" w:eastAsia="en-US"/>
    </w:rPr>
  </w:style>
  <w:style w:type="paragraph" w:customStyle="1" w:styleId="GATitleResolution">
    <w:name w:val="GA Title Resolution"/>
    <w:basedOn w:val="Normal"/>
    <w:qFormat/>
    <w:rsid w:val="009B7C08"/>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9B7C08"/>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9B7C08"/>
    <w:pPr>
      <w:autoSpaceDE w:val="0"/>
      <w:autoSpaceDN w:val="0"/>
      <w:adjustRightInd w:val="0"/>
      <w:spacing w:after="120"/>
      <w:ind w:left="1287" w:hanging="360"/>
      <w:jc w:val="both"/>
    </w:pPr>
    <w:rPr>
      <w:rFonts w:ascii="Arial" w:eastAsia="SimSun" w:hAnsi="Arial" w:cs="Arial"/>
      <w:sz w:val="22"/>
      <w:szCs w:val="22"/>
      <w:u w:val="single"/>
      <w:lang w:val="en-GB"/>
    </w:rPr>
  </w:style>
  <w:style w:type="character" w:styleId="CommentReference">
    <w:name w:val="annotation reference"/>
    <w:basedOn w:val="DefaultParagraphFont"/>
    <w:uiPriority w:val="99"/>
    <w:semiHidden/>
    <w:unhideWhenUsed/>
    <w:rsid w:val="009B7C08"/>
    <w:rPr>
      <w:sz w:val="16"/>
      <w:szCs w:val="16"/>
    </w:rPr>
  </w:style>
  <w:style w:type="paragraph" w:styleId="CommentText">
    <w:name w:val="annotation text"/>
    <w:basedOn w:val="Normal"/>
    <w:link w:val="CommentTextChar"/>
    <w:uiPriority w:val="99"/>
    <w:semiHidden/>
    <w:unhideWhenUsed/>
    <w:rsid w:val="009B7C08"/>
    <w:rPr>
      <w:sz w:val="20"/>
      <w:szCs w:val="20"/>
    </w:rPr>
  </w:style>
  <w:style w:type="character" w:customStyle="1" w:styleId="CommentTextChar">
    <w:name w:val="Comment Text Char"/>
    <w:basedOn w:val="DefaultParagraphFont"/>
    <w:link w:val="CommentText"/>
    <w:uiPriority w:val="99"/>
    <w:semiHidden/>
    <w:rsid w:val="009B7C0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B7C08"/>
    <w:rPr>
      <w:b/>
      <w:bCs/>
    </w:rPr>
  </w:style>
  <w:style w:type="character" w:customStyle="1" w:styleId="CommentSubjectChar">
    <w:name w:val="Comment Subject Char"/>
    <w:basedOn w:val="CommentTextChar"/>
    <w:link w:val="CommentSubject"/>
    <w:uiPriority w:val="99"/>
    <w:semiHidden/>
    <w:rsid w:val="009B7C08"/>
    <w:rPr>
      <w:rFonts w:ascii="Times New Roman" w:eastAsia="Times New Roman" w:hAnsi="Times New Roman"/>
      <w:b/>
      <w:bCs/>
    </w:rPr>
  </w:style>
  <w:style w:type="character" w:styleId="FollowedHyperlink">
    <w:name w:val="FollowedHyperlink"/>
    <w:basedOn w:val="DefaultParagraphFont"/>
    <w:uiPriority w:val="99"/>
    <w:semiHidden/>
    <w:unhideWhenUsed/>
    <w:rsid w:val="009B7C08"/>
    <w:rPr>
      <w:color w:val="800080" w:themeColor="followedHyperlink"/>
      <w:u w:val="single"/>
    </w:rPr>
  </w:style>
  <w:style w:type="paragraph" w:styleId="Revision">
    <w:name w:val="Revision"/>
    <w:hidden/>
    <w:uiPriority w:val="99"/>
    <w:semiHidden/>
    <w:rsid w:val="009B7C08"/>
    <w:rPr>
      <w:rFonts w:ascii="Times New Roman" w:eastAsia="Times New Roman" w:hAnsi="Times New Roman"/>
      <w:sz w:val="24"/>
      <w:szCs w:val="24"/>
    </w:rPr>
  </w:style>
  <w:style w:type="paragraph" w:customStyle="1" w:styleId="Texteduscnario">
    <w:name w:val="Texte du scénario"/>
    <w:basedOn w:val="Normal"/>
    <w:qFormat/>
    <w:rsid w:val="00C27AFD"/>
    <w:pPr>
      <w:spacing w:after="240" w:line="360" w:lineRule="auto"/>
      <w:jc w:val="both"/>
    </w:pPr>
    <w:rPr>
      <w:rFonts w:ascii="Arial" w:eastAsia="SimSun" w:hAnsi="Arial" w:cs="Arial"/>
      <w:sz w:val="28"/>
      <w:lang w:val="en-GB"/>
    </w:rPr>
  </w:style>
  <w:style w:type="character" w:customStyle="1" w:styleId="textview">
    <w:name w:val="textview"/>
    <w:basedOn w:val="DefaultParagraphFont"/>
    <w:rsid w:val="003F72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1699165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55922835">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ITH-18-13.COM-17-EN.docx" TargetMode="External"/><Relationship Id="rId18" Type="http://schemas.openxmlformats.org/officeDocument/2006/relationships/hyperlink" Target="https://ich.unesco.org/doc/src/ITH-18-7.GA-12-EN.docx" TargetMode="External"/><Relationship Id="rId26" Type="http://schemas.openxmlformats.org/officeDocument/2006/relationships/hyperlink" Target="https://ich.unesco.org/en/Resolutions/7.GA/13" TargetMode="External"/><Relationship Id="rId39" Type="http://schemas.openxmlformats.org/officeDocument/2006/relationships/hyperlink" Target="https://ich.unesco.org/doc/src/ITH-18-13.COM-16-EN.docx" TargetMode="External"/><Relationship Id="rId21" Type="http://schemas.openxmlformats.org/officeDocument/2006/relationships/hyperlink" Target="https://ich.unesco.org/en/Decisions/12.COM/16" TargetMode="External"/><Relationship Id="rId34" Type="http://schemas.openxmlformats.org/officeDocument/2006/relationships/hyperlink" Target="https://ich.unesco.org/en/Resolutions/7.GA/12" TargetMode="External"/><Relationship Id="rId42" Type="http://schemas.openxmlformats.org/officeDocument/2006/relationships/hyperlink" Target="https://ich.unesco.org/doc/src/ITH-18-7.GA-12-EN.docx" TargetMode="External"/><Relationship Id="rId47" Type="http://schemas.openxmlformats.org/officeDocument/2006/relationships/hyperlink" Target="https://ich.unesco.org/en/Resolutions/7.GA/13" TargetMode="External"/><Relationship Id="rId50" Type="http://schemas.openxmlformats.org/officeDocument/2006/relationships/hyperlink" Target="https://ich.unesco.org/en/Resolutions/7.GA/13" TargetMode="External"/><Relationship Id="rId55" Type="http://schemas.openxmlformats.org/officeDocument/2006/relationships/hyperlink" Target="https://ich.unesco.org/doc/src/ITH-18-7.GA-12-EN.docx" TargetMode="External"/><Relationship Id="rId63" Type="http://schemas.openxmlformats.org/officeDocument/2006/relationships/hyperlink" Target="https://ich.unesco.org/doc/src/ITH-17-12.COM-7-EN.docx" TargetMode="External"/><Relationship Id="rId68" Type="http://schemas.openxmlformats.org/officeDocument/2006/relationships/hyperlink" Target="https://ich.unesco.org/en/Resolutions/7.GA/13"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ch.unesco.org/doc/src/ITH-18-7.GA-12-EN.docx" TargetMode="External"/><Relationship Id="rId2" Type="http://schemas.openxmlformats.org/officeDocument/2006/relationships/numbering" Target="numbering.xml"/><Relationship Id="rId16" Type="http://schemas.openxmlformats.org/officeDocument/2006/relationships/hyperlink" Target="https://ich.unesco.org/en/Resolutions/7.GA/13" TargetMode="External"/><Relationship Id="rId29" Type="http://schemas.openxmlformats.org/officeDocument/2006/relationships/header" Target="header3.xml"/><Relationship Id="rId11" Type="http://schemas.openxmlformats.org/officeDocument/2006/relationships/hyperlink" Target="https://ich.unesco.org/doc/src/ITH-18-7.GA-13-EN.docx" TargetMode="External"/><Relationship Id="rId24" Type="http://schemas.openxmlformats.org/officeDocument/2006/relationships/hyperlink" Target="https://ich.unesco.org/en/Resolutions/6.GA/11" TargetMode="External"/><Relationship Id="rId32" Type="http://schemas.openxmlformats.org/officeDocument/2006/relationships/hyperlink" Target="https://ich.unesco.org/en/rules-com" TargetMode="External"/><Relationship Id="rId37" Type="http://schemas.openxmlformats.org/officeDocument/2006/relationships/hyperlink" Target="https://ich.unesco.org/doc/src/ITH-18-7.GA-6-EN.docx" TargetMode="External"/><Relationship Id="rId40" Type="http://schemas.openxmlformats.org/officeDocument/2006/relationships/hyperlink" Target="https://ich.unesco.org/doc/src/LHE-19-14.COM-16-EN.docx" TargetMode="External"/><Relationship Id="rId45" Type="http://schemas.openxmlformats.org/officeDocument/2006/relationships/hyperlink" Target="https://ich.unesco.org/en/rules-ga" TargetMode="External"/><Relationship Id="rId53" Type="http://schemas.openxmlformats.org/officeDocument/2006/relationships/hyperlink" Target="http://unesdoc.unesco.org/images/0025/002590/259081e.pdf" TargetMode="External"/><Relationship Id="rId58" Type="http://schemas.openxmlformats.org/officeDocument/2006/relationships/hyperlink" Target="https://ich.unesco.org/en/Resolutions/7.GA/13" TargetMode="External"/><Relationship Id="rId66" Type="http://schemas.openxmlformats.org/officeDocument/2006/relationships/hyperlink" Target="https://ich.unesco.org/doc/src/ITH-18-7.GA-13-EN.docx" TargetMode="External"/><Relationship Id="rId7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ich.unesco.org/doc/src/ITH-18-7.GA-13-EN.docx" TargetMode="External"/><Relationship Id="rId23" Type="http://schemas.openxmlformats.org/officeDocument/2006/relationships/hyperlink" Target="https://ich.unesco.org/en/Resolutions/7.GA/13" TargetMode="External"/><Relationship Id="rId28" Type="http://schemas.openxmlformats.org/officeDocument/2006/relationships/header" Target="header2.xml"/><Relationship Id="rId36" Type="http://schemas.openxmlformats.org/officeDocument/2006/relationships/hyperlink" Target="https://ich.unesco.org/doc/src/ITH-18-7.GA-12-EN.docx" TargetMode="External"/><Relationship Id="rId49" Type="http://schemas.openxmlformats.org/officeDocument/2006/relationships/hyperlink" Target="https://ich.unesco.org/en/Resolutions/7.GA/12" TargetMode="External"/><Relationship Id="rId57" Type="http://schemas.openxmlformats.org/officeDocument/2006/relationships/hyperlink" Target="https://ich.unesco.org/en/Resolutions/7.GA/12" TargetMode="External"/><Relationship Id="rId61" Type="http://schemas.openxmlformats.org/officeDocument/2006/relationships/hyperlink" Target="https://ich.unesco.org/doc/src/ITH-18-7.GA-12-EN.docx" TargetMode="External"/><Relationship Id="rId10" Type="http://schemas.openxmlformats.org/officeDocument/2006/relationships/hyperlink" Target="https://ich.unesco.org/doc/src/ITH-18-7.GA-12-EN.docx" TargetMode="External"/><Relationship Id="rId19" Type="http://schemas.openxmlformats.org/officeDocument/2006/relationships/hyperlink" Target="https://ich.unesco.org/doc/src/ITH-18-7.GA-13-EN.docx" TargetMode="External"/><Relationship Id="rId31" Type="http://schemas.openxmlformats.org/officeDocument/2006/relationships/hyperlink" Target="https://ich.unesco.org/doc/src/ITH-18-7.GA-12-EN.docx" TargetMode="External"/><Relationship Id="rId44" Type="http://schemas.openxmlformats.org/officeDocument/2006/relationships/hyperlink" Target="https://ich.unesco.org/en/rules-ga" TargetMode="External"/><Relationship Id="rId52" Type="http://schemas.openxmlformats.org/officeDocument/2006/relationships/hyperlink" Target="https://ich.unesco.org/en/Resolutions/7.GA/13" TargetMode="External"/><Relationship Id="rId60" Type="http://schemas.openxmlformats.org/officeDocument/2006/relationships/hyperlink" Target="https://ich.unesco.org/doc/src/ITH-18-13.COM-17-EN.docx" TargetMode="External"/><Relationship Id="rId65" Type="http://schemas.openxmlformats.org/officeDocument/2006/relationships/hyperlink" Target="https://ich.unesco.org/en/Resolutions/6.GA/11" TargetMode="External"/><Relationship Id="rId73"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unesdoc.unesco.org/images/0026/002600/260089e.pdf" TargetMode="External"/><Relationship Id="rId14" Type="http://schemas.openxmlformats.org/officeDocument/2006/relationships/hyperlink" Target="https://ich.unesco.org/doc/src/ITH-18-7.GA-12-EN.docx" TargetMode="External"/><Relationship Id="rId22" Type="http://schemas.openxmlformats.org/officeDocument/2006/relationships/hyperlink" Target="https://ich.unesco.org/en/Resolutions/7.GA/12" TargetMode="External"/><Relationship Id="rId27" Type="http://schemas.openxmlformats.org/officeDocument/2006/relationships/header" Target="header1.xml"/><Relationship Id="rId30" Type="http://schemas.openxmlformats.org/officeDocument/2006/relationships/hyperlink" Target="https://ich.unesco.org/doc/src/ITH-18-7.GA-12-EN.docx" TargetMode="External"/><Relationship Id="rId35" Type="http://schemas.openxmlformats.org/officeDocument/2006/relationships/hyperlink" Target="https://ich.unesco.org/en/Resolutions/7.GA/13" TargetMode="External"/><Relationship Id="rId43" Type="http://schemas.openxmlformats.org/officeDocument/2006/relationships/hyperlink" Target="https://ich.unesco.org/doc/src/ITH-18-7.GA-12-EN.docx" TargetMode="External"/><Relationship Id="rId48" Type="http://schemas.openxmlformats.org/officeDocument/2006/relationships/hyperlink" Target="https://ich.unesco.org/en/rules-com" TargetMode="External"/><Relationship Id="rId56" Type="http://schemas.openxmlformats.org/officeDocument/2006/relationships/hyperlink" Target="https://ich.unesco.org/doc/src/ITH-18-7.GA-12-EN.docx" TargetMode="External"/><Relationship Id="rId64" Type="http://schemas.openxmlformats.org/officeDocument/2006/relationships/hyperlink" Target="https://ich.unesco.org/en/Decisions/12.COM/7" TargetMode="External"/><Relationship Id="rId69" Type="http://schemas.openxmlformats.org/officeDocument/2006/relationships/hyperlink" Target="https://ich.unesco.org/doc/src/ITH-18-7.GA-12-EN.docx" TargetMode="External"/><Relationship Id="rId77" Type="http://schemas.microsoft.com/office/2016/09/relationships/commentsIds" Target="commentsIds.xml"/><Relationship Id="rId8" Type="http://schemas.openxmlformats.org/officeDocument/2006/relationships/hyperlink" Target="https://en.unesco.org/sites/default/files/39c-res87-governance-eng.pdf" TargetMode="External"/><Relationship Id="rId51" Type="http://schemas.openxmlformats.org/officeDocument/2006/relationships/hyperlink" Target="https://ich.unesco.org/en/Resolutions/7.GA/12"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s://ich.unesco.org/doc/src/ITH-18-13.COM-16-EN.docx" TargetMode="External"/><Relationship Id="rId17" Type="http://schemas.openxmlformats.org/officeDocument/2006/relationships/hyperlink" Target="https://ich.unesco.org/doc/src/ITH-18-13.COM-17-EN.docx" TargetMode="External"/><Relationship Id="rId25" Type="http://schemas.openxmlformats.org/officeDocument/2006/relationships/hyperlink" Target="https://en.unesco.org/sites/default/files/39c-res87-governance-eng.pdf" TargetMode="External"/><Relationship Id="rId33" Type="http://schemas.openxmlformats.org/officeDocument/2006/relationships/hyperlink" Target="https://ich.unesco.org/doc/src/ITH-18-7.GA-2-EN.docx" TargetMode="External"/><Relationship Id="rId38" Type="http://schemas.openxmlformats.org/officeDocument/2006/relationships/hyperlink" Target="https://ich.unesco.org/en/Decisions/12.COM/13" TargetMode="External"/><Relationship Id="rId46" Type="http://schemas.openxmlformats.org/officeDocument/2006/relationships/hyperlink" Target="https://ich.unesco.org/en/Resolutions/7.GA/12" TargetMode="External"/><Relationship Id="rId59" Type="http://schemas.openxmlformats.org/officeDocument/2006/relationships/hyperlink" Target="https://ich.unesco.org/en/rules-com" TargetMode="External"/><Relationship Id="rId67" Type="http://schemas.openxmlformats.org/officeDocument/2006/relationships/hyperlink" Target="https://ich.unesco.org/en/Resolutions/7.GA/12" TargetMode="External"/><Relationship Id="rId20" Type="http://schemas.openxmlformats.org/officeDocument/2006/relationships/hyperlink" Target="https://ich.unesco.org/en/Decisions/12.COM/13" TargetMode="External"/><Relationship Id="rId41" Type="http://schemas.openxmlformats.org/officeDocument/2006/relationships/hyperlink" Target="https://ich.unesco.org/en/Decisions/13.COM/10" TargetMode="External"/><Relationship Id="rId54" Type="http://schemas.openxmlformats.org/officeDocument/2006/relationships/hyperlink" Target="https://ich.unesco.org/en/Decisions/12.COM/16" TargetMode="External"/><Relationship Id="rId62" Type="http://schemas.openxmlformats.org/officeDocument/2006/relationships/hyperlink" Target="https://ich.unesco.org/doc/src/ITH-18-7.GA-12-EN.docx" TargetMode="External"/><Relationship Id="rId70" Type="http://schemas.openxmlformats.org/officeDocument/2006/relationships/hyperlink" Target="https://ich.unesco.org/doc/src/ITH-18-7.GA-12-EN.docx"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unesdoc.unesco.org/images/0026/002600/260089E.pdf" TargetMode="External"/><Relationship Id="rId1" Type="http://schemas.openxmlformats.org/officeDocument/2006/relationships/hyperlink" Target="http://unesdoc.unesco.org/images/0025/002590/259081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8D00-B46A-4D5A-9380-14548536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47</TotalTime>
  <Pages>13</Pages>
  <Words>4612</Words>
  <Characters>25366</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Thibault, Alice</cp:lastModifiedBy>
  <cp:revision>16</cp:revision>
  <cp:lastPrinted>2019-10-25T07:55:00Z</cp:lastPrinted>
  <dcterms:created xsi:type="dcterms:W3CDTF">2019-11-05T12:51:00Z</dcterms:created>
  <dcterms:modified xsi:type="dcterms:W3CDTF">2019-11-07T06:30:00Z</dcterms:modified>
</cp:coreProperties>
</file>