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89F27" w14:textId="67AE9D99"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w:t>
      </w:r>
      <w:r w:rsidR="00063CC1">
        <w:rPr>
          <w:rFonts w:ascii="Arial" w:hAnsi="Arial" w:cs="Arial"/>
          <w:b/>
          <w:sz w:val="22"/>
          <w:szCs w:val="22"/>
          <w:lang w:val="en-GB"/>
        </w:rPr>
        <w:t>ION FOR THE SAFEGUARDING OF THE</w:t>
      </w:r>
      <w:r w:rsidRPr="00293C60">
        <w:rPr>
          <w:rFonts w:ascii="Arial" w:hAnsi="Arial" w:cs="Arial"/>
          <w:b/>
          <w:sz w:val="22"/>
          <w:szCs w:val="22"/>
          <w:lang w:val="en-GB"/>
        </w:rPr>
        <w:br/>
        <w:t>INTANGIBLE CULTURAL HERITAGE</w:t>
      </w:r>
    </w:p>
    <w:p w14:paraId="1B0E753C"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3E2F1348" w14:textId="77777777" w:rsidR="009E48E9" w:rsidRPr="00293C60" w:rsidRDefault="009E48E9" w:rsidP="009E48E9">
      <w:pPr>
        <w:spacing w:before="840"/>
        <w:jc w:val="center"/>
        <w:rPr>
          <w:rFonts w:ascii="Arial" w:hAnsi="Arial" w:cs="Arial"/>
          <w:b/>
          <w:sz w:val="22"/>
          <w:szCs w:val="22"/>
          <w:lang w:val="en-GB"/>
        </w:rPr>
      </w:pPr>
      <w:r>
        <w:rPr>
          <w:rFonts w:ascii="Arial" w:hAnsi="Arial" w:cs="Arial"/>
          <w:b/>
          <w:sz w:val="22"/>
          <w:szCs w:val="22"/>
          <w:lang w:val="en-GB"/>
        </w:rPr>
        <w:t xml:space="preserve">Fourteenth </w:t>
      </w:r>
      <w:r w:rsidRPr="00293C60">
        <w:rPr>
          <w:rFonts w:ascii="Arial" w:hAnsi="Arial" w:cs="Arial"/>
          <w:b/>
          <w:sz w:val="22"/>
          <w:szCs w:val="22"/>
          <w:lang w:val="en-GB"/>
        </w:rPr>
        <w:t>session</w:t>
      </w:r>
    </w:p>
    <w:p w14:paraId="2F0396FC" w14:textId="77777777" w:rsidR="009E48E9" w:rsidRPr="00F83405" w:rsidRDefault="009E48E9" w:rsidP="009E48E9">
      <w:pPr>
        <w:jc w:val="center"/>
        <w:rPr>
          <w:rFonts w:ascii="Arial" w:eastAsia="Malgun Gothic" w:hAnsi="Arial" w:cs="Arial"/>
          <w:b/>
          <w:sz w:val="22"/>
          <w:szCs w:val="22"/>
          <w:lang w:val="en-GB" w:eastAsia="ko-KR"/>
        </w:rPr>
      </w:pPr>
      <w:r>
        <w:rPr>
          <w:rFonts w:ascii="Arial" w:eastAsia="Malgun Gothic" w:hAnsi="Arial" w:cs="Arial"/>
          <w:b/>
          <w:sz w:val="22"/>
          <w:szCs w:val="22"/>
          <w:lang w:val="en-GB" w:eastAsia="ko-KR"/>
        </w:rPr>
        <w:t>Bogot</w:t>
      </w:r>
      <w:r w:rsidRPr="0007013D">
        <w:rPr>
          <w:rFonts w:ascii="Arial" w:eastAsia="Malgun Gothic" w:hAnsi="Arial" w:cs="Arial"/>
          <w:b/>
          <w:sz w:val="22"/>
          <w:szCs w:val="22"/>
          <w:lang w:val="en-GB" w:eastAsia="ko-KR"/>
        </w:rPr>
        <w:t>á</w:t>
      </w:r>
      <w:r>
        <w:rPr>
          <w:rFonts w:ascii="Arial" w:eastAsia="Malgun Gothic" w:hAnsi="Arial" w:cs="Arial" w:hint="eastAsia"/>
          <w:b/>
          <w:sz w:val="22"/>
          <w:szCs w:val="22"/>
          <w:lang w:val="en-GB" w:eastAsia="ko-KR"/>
        </w:rPr>
        <w:t xml:space="preserve">, Republic of </w:t>
      </w:r>
      <w:r>
        <w:rPr>
          <w:rFonts w:ascii="Arial" w:eastAsia="Malgun Gothic" w:hAnsi="Arial" w:cs="Arial"/>
          <w:b/>
          <w:sz w:val="22"/>
          <w:szCs w:val="22"/>
          <w:lang w:val="en-GB" w:eastAsia="ko-KR"/>
        </w:rPr>
        <w:t>Colombia</w:t>
      </w:r>
    </w:p>
    <w:p w14:paraId="37C4159E" w14:textId="77777777" w:rsidR="009E48E9" w:rsidRPr="00F83405" w:rsidRDefault="009E48E9" w:rsidP="009E48E9">
      <w:pPr>
        <w:jc w:val="center"/>
        <w:rPr>
          <w:rFonts w:ascii="Arial" w:eastAsia="Malgun Gothic" w:hAnsi="Arial" w:cs="Arial"/>
          <w:b/>
          <w:sz w:val="22"/>
          <w:szCs w:val="22"/>
          <w:lang w:val="en-GB" w:eastAsia="ko-KR"/>
        </w:rPr>
      </w:pPr>
      <w:r>
        <w:rPr>
          <w:rFonts w:ascii="Arial" w:hAnsi="Arial" w:cs="Arial"/>
          <w:b/>
          <w:sz w:val="22"/>
          <w:szCs w:val="22"/>
          <w:lang w:val="en-GB"/>
        </w:rPr>
        <w:t xml:space="preserve">9 </w:t>
      </w:r>
      <w:r w:rsidRPr="00EC6F8D">
        <w:rPr>
          <w:rFonts w:ascii="Arial" w:hAnsi="Arial" w:cs="Arial"/>
          <w:b/>
          <w:sz w:val="22"/>
          <w:szCs w:val="22"/>
          <w:lang w:val="en-GB"/>
        </w:rPr>
        <w:t xml:space="preserve">to </w:t>
      </w:r>
      <w:r>
        <w:rPr>
          <w:rFonts w:ascii="Arial" w:hAnsi="Arial" w:cs="Arial"/>
          <w:b/>
          <w:sz w:val="22"/>
          <w:szCs w:val="22"/>
          <w:lang w:val="en-GB"/>
        </w:rPr>
        <w:t>14 December 201</w:t>
      </w:r>
      <w:r>
        <w:rPr>
          <w:rFonts w:ascii="Arial" w:eastAsia="Malgun Gothic" w:hAnsi="Arial" w:cs="Arial"/>
          <w:b/>
          <w:sz w:val="22"/>
          <w:szCs w:val="22"/>
          <w:lang w:val="en-GB" w:eastAsia="ko-KR"/>
        </w:rPr>
        <w:t>9</w:t>
      </w:r>
    </w:p>
    <w:p w14:paraId="6D58296F" w14:textId="0BCBAE44"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817794">
        <w:rPr>
          <w:rFonts w:ascii="Arial" w:hAnsi="Arial" w:cs="Arial"/>
          <w:b/>
          <w:sz w:val="22"/>
          <w:szCs w:val="22"/>
          <w:u w:val="single"/>
          <w:lang w:val="en-GB"/>
        </w:rPr>
        <w:t>16</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14:paraId="6A3A8893" w14:textId="78061D6A" w:rsidR="00EC6F8D" w:rsidRPr="00293C60" w:rsidRDefault="00C121C6" w:rsidP="00DF05BE">
      <w:pPr>
        <w:pStyle w:val="Sansinterligne2"/>
        <w:spacing w:after="1080"/>
        <w:jc w:val="center"/>
        <w:rPr>
          <w:rFonts w:ascii="Arial" w:hAnsi="Arial" w:cs="Arial"/>
          <w:b/>
          <w:sz w:val="22"/>
          <w:szCs w:val="22"/>
          <w:lang w:val="en-GB"/>
        </w:rPr>
      </w:pPr>
      <w:r>
        <w:rPr>
          <w:rFonts w:ascii="Arial" w:hAnsi="Arial" w:cs="Arial"/>
          <w:b/>
          <w:sz w:val="22"/>
          <w:szCs w:val="22"/>
          <w:lang w:val="en-GB"/>
        </w:rPr>
        <w:t>Report of the informal ad</w:t>
      </w:r>
      <w:r w:rsidR="00B17580">
        <w:rPr>
          <w:rFonts w:ascii="Arial" w:hAnsi="Arial" w:cs="Arial"/>
          <w:b/>
          <w:sz w:val="22"/>
          <w:szCs w:val="22"/>
          <w:lang w:val="en-GB"/>
        </w:rPr>
        <w:t xml:space="preserve"> </w:t>
      </w:r>
      <w:r>
        <w:rPr>
          <w:rFonts w:ascii="Arial" w:hAnsi="Arial" w:cs="Arial"/>
          <w:b/>
          <w:sz w:val="22"/>
          <w:szCs w:val="22"/>
          <w:lang w:val="en-GB"/>
        </w:rPr>
        <w:t>hoc</w:t>
      </w:r>
      <w:r w:rsidR="00AB38CB">
        <w:rPr>
          <w:rFonts w:ascii="Arial" w:hAnsi="Arial" w:cs="Arial"/>
          <w:b/>
          <w:sz w:val="22"/>
          <w:szCs w:val="22"/>
          <w:lang w:val="en-GB"/>
        </w:rPr>
        <w:t xml:space="preserve"> open-ended</w:t>
      </w:r>
      <w:r>
        <w:rPr>
          <w:rFonts w:ascii="Arial" w:hAnsi="Arial" w:cs="Arial"/>
          <w:b/>
          <w:sz w:val="22"/>
          <w:szCs w:val="22"/>
          <w:lang w:val="en-GB"/>
        </w:rPr>
        <w:t xml:space="preserve"> working group</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F51EE4" w14:paraId="231C5C49" w14:textId="77777777" w:rsidTr="00EC6F8D">
        <w:trPr>
          <w:jc w:val="center"/>
        </w:trPr>
        <w:tc>
          <w:tcPr>
            <w:tcW w:w="5670" w:type="dxa"/>
            <w:vAlign w:val="center"/>
          </w:tcPr>
          <w:p w14:paraId="629655FA"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3C6D4B36" w14:textId="62F5DA5C" w:rsidR="00EC6F8D" w:rsidRPr="00843227" w:rsidRDefault="009C2443" w:rsidP="007069FD">
            <w:pPr>
              <w:pStyle w:val="Sansinterligne1"/>
              <w:jc w:val="both"/>
              <w:rPr>
                <w:rFonts w:ascii="Arial" w:hAnsi="Arial" w:cs="Arial"/>
                <w:sz w:val="22"/>
                <w:szCs w:val="22"/>
                <w:lang w:val="en-GB"/>
              </w:rPr>
            </w:pPr>
            <w:r w:rsidRPr="00843227">
              <w:rPr>
                <w:rFonts w:ascii="Arial" w:hAnsi="Arial" w:cs="Arial"/>
                <w:sz w:val="22"/>
                <w:szCs w:val="22"/>
                <w:lang w:val="en-GB"/>
              </w:rPr>
              <w:t xml:space="preserve">At its </w:t>
            </w:r>
            <w:r w:rsidR="00843227" w:rsidRPr="00843227">
              <w:rPr>
                <w:rFonts w:ascii="Arial" w:hAnsi="Arial" w:cs="Arial"/>
                <w:sz w:val="22"/>
                <w:szCs w:val="22"/>
                <w:lang w:val="en-GB"/>
              </w:rPr>
              <w:t>thirteenth</w:t>
            </w:r>
            <w:r w:rsidRPr="00843227">
              <w:rPr>
                <w:rFonts w:ascii="Arial" w:hAnsi="Arial" w:cs="Arial"/>
                <w:sz w:val="22"/>
                <w:szCs w:val="22"/>
                <w:lang w:val="en-GB"/>
              </w:rPr>
              <w:t xml:space="preserve"> session, the Committee</w:t>
            </w:r>
            <w:r w:rsidR="00FC33A8" w:rsidRPr="00843227">
              <w:rPr>
                <w:rFonts w:ascii="Arial" w:hAnsi="Arial" w:cs="Arial"/>
                <w:sz w:val="22"/>
                <w:szCs w:val="22"/>
                <w:lang w:val="en-GB"/>
              </w:rPr>
              <w:t xml:space="preserve"> </w:t>
            </w:r>
            <w:r w:rsidR="00742C4D" w:rsidRPr="00843227">
              <w:rPr>
                <w:rFonts w:ascii="Arial" w:hAnsi="Arial" w:cs="Arial"/>
                <w:sz w:val="22"/>
                <w:szCs w:val="22"/>
                <w:lang w:val="en-GB"/>
              </w:rPr>
              <w:t xml:space="preserve">decided to </w:t>
            </w:r>
            <w:r w:rsidR="0052037D">
              <w:rPr>
                <w:rFonts w:ascii="Arial" w:hAnsi="Arial" w:cs="Arial"/>
                <w:sz w:val="22"/>
                <w:szCs w:val="22"/>
                <w:lang w:val="en-GB"/>
              </w:rPr>
              <w:t>extend the mandate of</w:t>
            </w:r>
            <w:r w:rsidR="00742C4D" w:rsidRPr="00843227">
              <w:rPr>
                <w:rFonts w:ascii="Arial" w:hAnsi="Arial" w:cs="Arial"/>
                <w:sz w:val="22"/>
                <w:szCs w:val="22"/>
                <w:lang w:val="en-GB"/>
              </w:rPr>
              <w:t xml:space="preserve"> the informal ad hoc working group</w:t>
            </w:r>
            <w:r w:rsidR="00AD60A5" w:rsidRPr="00843227">
              <w:rPr>
                <w:rFonts w:ascii="Arial" w:hAnsi="Arial" w:cs="Arial"/>
                <w:sz w:val="22"/>
                <w:szCs w:val="22"/>
                <w:lang w:val="en-GB"/>
              </w:rPr>
              <w:t xml:space="preserve"> in 201</w:t>
            </w:r>
            <w:r w:rsidR="00843227" w:rsidRPr="00843227">
              <w:rPr>
                <w:rFonts w:ascii="Arial" w:hAnsi="Arial" w:cs="Arial"/>
                <w:sz w:val="22"/>
                <w:szCs w:val="22"/>
                <w:lang w:val="en-GB"/>
              </w:rPr>
              <w:t>9</w:t>
            </w:r>
            <w:r w:rsidR="00742C4D" w:rsidRPr="00204ED9">
              <w:rPr>
                <w:rFonts w:ascii="Arial" w:hAnsi="Arial" w:cs="Arial"/>
                <w:sz w:val="22"/>
                <w:szCs w:val="22"/>
                <w:lang w:val="en-GB"/>
              </w:rPr>
              <w:t>,</w:t>
            </w:r>
            <w:r w:rsidR="00843227" w:rsidRPr="00204ED9">
              <w:rPr>
                <w:rFonts w:ascii="Arial" w:hAnsi="Arial" w:cs="Arial"/>
                <w:sz w:val="22"/>
                <w:szCs w:val="22"/>
                <w:lang w:val="en-GB"/>
              </w:rPr>
              <w:t xml:space="preserve"> with </w:t>
            </w:r>
            <w:r w:rsidR="00204ED9" w:rsidRPr="00204ED9">
              <w:rPr>
                <w:rFonts w:ascii="Arial" w:hAnsi="Arial" w:cs="Arial"/>
                <w:sz w:val="22"/>
                <w:szCs w:val="22"/>
                <w:lang w:val="en-GB"/>
              </w:rPr>
              <w:t>two specific issues</w:t>
            </w:r>
            <w:r w:rsidR="00843227" w:rsidRPr="00204ED9">
              <w:rPr>
                <w:rFonts w:ascii="Arial" w:hAnsi="Arial" w:cs="Arial"/>
                <w:sz w:val="22"/>
                <w:szCs w:val="22"/>
                <w:lang w:val="en-GB"/>
              </w:rPr>
              <w:t xml:space="preserve"> (</w:t>
            </w:r>
            <w:hyperlink r:id="rId8" w:history="1">
              <w:r w:rsidR="00204ED9" w:rsidRPr="00D43E3B">
                <w:rPr>
                  <w:rStyle w:val="Hyperlink"/>
                  <w:rFonts w:ascii="Arial" w:hAnsi="Arial" w:cs="Arial"/>
                  <w:sz w:val="22"/>
                  <w:szCs w:val="22"/>
                  <w:lang w:val="en-US"/>
                </w:rPr>
                <w:t>Decision 13.COM 16</w:t>
              </w:r>
            </w:hyperlink>
            <w:r w:rsidR="00843227" w:rsidRPr="00204ED9">
              <w:rPr>
                <w:rFonts w:ascii="Arial" w:hAnsi="Arial" w:cs="Arial"/>
                <w:sz w:val="22"/>
                <w:szCs w:val="22"/>
                <w:lang w:val="en-GB"/>
              </w:rPr>
              <w:t>).</w:t>
            </w:r>
            <w:r w:rsidR="00843227" w:rsidRPr="00843227">
              <w:rPr>
                <w:rFonts w:ascii="Arial" w:hAnsi="Arial" w:cs="Arial"/>
                <w:sz w:val="22"/>
                <w:szCs w:val="22"/>
                <w:lang w:val="en-GB"/>
              </w:rPr>
              <w:t xml:space="preserve"> </w:t>
            </w:r>
            <w:r w:rsidRPr="00843227">
              <w:rPr>
                <w:rFonts w:ascii="Arial" w:hAnsi="Arial" w:cs="Arial"/>
                <w:sz w:val="22"/>
                <w:szCs w:val="22"/>
                <w:lang w:val="en-US"/>
              </w:rPr>
              <w:t>The annex to this document, prepared by the group, presents its deliberations and recommendations.</w:t>
            </w:r>
          </w:p>
          <w:p w14:paraId="47EB25F7" w14:textId="745493A0" w:rsidR="00EC6F8D" w:rsidRPr="00293C60" w:rsidRDefault="00EC6F8D" w:rsidP="004801BD">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Decision required:</w:t>
            </w:r>
            <w:r w:rsidRPr="00BF3C00">
              <w:rPr>
                <w:rFonts w:ascii="Arial" w:hAnsi="Arial" w:cs="Arial"/>
                <w:sz w:val="22"/>
                <w:szCs w:val="22"/>
                <w:lang w:val="en-GB"/>
              </w:rPr>
              <w:t xml:space="preserve"> </w:t>
            </w:r>
            <w:r w:rsidR="00710485">
              <w:rPr>
                <w:rFonts w:ascii="Arial" w:hAnsi="Arial" w:cs="Arial"/>
                <w:sz w:val="22"/>
                <w:szCs w:val="22"/>
                <w:lang w:val="en-GB"/>
              </w:rPr>
              <w:t xml:space="preserve">paragraph </w:t>
            </w:r>
            <w:r w:rsidR="004801BD">
              <w:rPr>
                <w:rFonts w:ascii="Arial" w:hAnsi="Arial" w:cs="Arial"/>
                <w:sz w:val="22"/>
                <w:szCs w:val="22"/>
                <w:lang w:val="en-GB"/>
              </w:rPr>
              <w:t>7</w:t>
            </w:r>
          </w:p>
        </w:tc>
      </w:tr>
    </w:tbl>
    <w:p w14:paraId="24C3D819" w14:textId="77777777" w:rsidR="00CC15DB" w:rsidRDefault="00655736" w:rsidP="007069FD">
      <w:pPr>
        <w:pStyle w:val="COMPara"/>
        <w:jc w:val="both"/>
      </w:pPr>
      <w:r w:rsidRPr="00414643">
        <w:br w:type="page"/>
      </w:r>
    </w:p>
    <w:p w14:paraId="6027E73D" w14:textId="2E1A58E0" w:rsidR="00CC15DB" w:rsidRDefault="006E3FC3" w:rsidP="00237586">
      <w:pPr>
        <w:pStyle w:val="COMPara"/>
        <w:numPr>
          <w:ilvl w:val="0"/>
          <w:numId w:val="56"/>
        </w:numPr>
        <w:jc w:val="both"/>
      </w:pPr>
      <w:r>
        <w:lastRenderedPageBreak/>
        <w:t>The informal ad hoc working group was first established</w:t>
      </w:r>
      <w:r w:rsidR="004801BD">
        <w:t xml:space="preserve"> by</w:t>
      </w:r>
      <w:r>
        <w:t xml:space="preserve"> the </w:t>
      </w:r>
      <w:r w:rsidRPr="00B1312E">
        <w:t>Committee</w:t>
      </w:r>
      <w:r>
        <w:t xml:space="preserve"> at its </w:t>
      </w:r>
      <w:r w:rsidR="00641287">
        <w:t xml:space="preserve">eleventh session </w:t>
      </w:r>
      <w:r>
        <w:t>in 2016</w:t>
      </w:r>
      <w:r w:rsidR="00641287">
        <w:t xml:space="preserve"> </w:t>
      </w:r>
      <w:r w:rsidR="0094473B">
        <w:t>(</w:t>
      </w:r>
      <w:hyperlink r:id="rId9" w:history="1">
        <w:r w:rsidRPr="0064687F">
          <w:rPr>
            <w:rStyle w:val="Hyperlink"/>
            <w:rFonts w:eastAsia="Arial"/>
          </w:rPr>
          <w:t>Decision 11.COM 10</w:t>
        </w:r>
      </w:hyperlink>
      <w:r w:rsidR="0094473B">
        <w:rPr>
          <w:rStyle w:val="Hyperlink"/>
          <w:rFonts w:eastAsia="Arial"/>
          <w:color w:val="auto"/>
          <w:u w:val="none"/>
        </w:rPr>
        <w:t xml:space="preserve">, </w:t>
      </w:r>
      <w:r w:rsidRPr="0064687F">
        <w:rPr>
          <w:rStyle w:val="Hyperlink"/>
          <w:rFonts w:eastAsia="Arial"/>
          <w:color w:val="auto"/>
          <w:u w:val="none"/>
        </w:rPr>
        <w:t xml:space="preserve">paragraph 13). </w:t>
      </w:r>
      <w:r>
        <w:t xml:space="preserve">During </w:t>
      </w:r>
      <w:r w:rsidR="004801BD">
        <w:t>its</w:t>
      </w:r>
      <w:r>
        <w:t xml:space="preserve"> first mandate</w:t>
      </w:r>
      <w:r w:rsidR="0094473B">
        <w:t>,</w:t>
      </w:r>
      <w:r>
        <w:t xml:space="preserve"> </w:t>
      </w:r>
      <w:r w:rsidR="0094473B">
        <w:rPr>
          <w:rStyle w:val="Hyperlink"/>
          <w:rFonts w:eastAsia="Arial"/>
          <w:color w:val="auto"/>
          <w:u w:val="none"/>
        </w:rPr>
        <w:t>t</w:t>
      </w:r>
      <w:r w:rsidR="0094473B" w:rsidRPr="0064687F">
        <w:rPr>
          <w:rStyle w:val="Hyperlink"/>
          <w:rFonts w:eastAsia="Arial"/>
          <w:color w:val="auto"/>
          <w:u w:val="none"/>
        </w:rPr>
        <w:t>h</w:t>
      </w:r>
      <w:r w:rsidR="0094473B">
        <w:rPr>
          <w:rStyle w:val="Hyperlink"/>
          <w:rFonts w:eastAsia="Arial"/>
          <w:color w:val="auto"/>
          <w:u w:val="none"/>
        </w:rPr>
        <w:t>e</w:t>
      </w:r>
      <w:r w:rsidR="0094473B" w:rsidRPr="0064687F">
        <w:rPr>
          <w:rStyle w:val="Hyperlink"/>
          <w:rFonts w:eastAsia="Arial"/>
          <w:color w:val="auto"/>
          <w:u w:val="none"/>
        </w:rPr>
        <w:t xml:space="preserve"> </w:t>
      </w:r>
      <w:r w:rsidR="0064687F" w:rsidRPr="0064687F">
        <w:rPr>
          <w:rStyle w:val="Hyperlink"/>
          <w:rFonts w:eastAsia="Arial"/>
          <w:color w:val="auto"/>
          <w:u w:val="none"/>
        </w:rPr>
        <w:t xml:space="preserve">group </w:t>
      </w:r>
      <w:r>
        <w:rPr>
          <w:rStyle w:val="Hyperlink"/>
          <w:rFonts w:eastAsia="Arial"/>
          <w:color w:val="auto"/>
          <w:u w:val="none"/>
        </w:rPr>
        <w:t>was</w:t>
      </w:r>
      <w:r w:rsidR="0064687F" w:rsidRPr="0064687F">
        <w:rPr>
          <w:rStyle w:val="Hyperlink"/>
          <w:rFonts w:eastAsia="Arial"/>
          <w:color w:val="auto"/>
          <w:u w:val="none"/>
        </w:rPr>
        <w:t xml:space="preserve"> </w:t>
      </w:r>
      <w:r w:rsidR="0094473B">
        <w:rPr>
          <w:rStyle w:val="Hyperlink"/>
          <w:rFonts w:eastAsia="Arial"/>
          <w:color w:val="auto"/>
          <w:u w:val="none"/>
        </w:rPr>
        <w:t>tasked</w:t>
      </w:r>
      <w:r w:rsidR="0094473B" w:rsidRPr="0064687F">
        <w:rPr>
          <w:rStyle w:val="Hyperlink"/>
          <w:rFonts w:eastAsia="Arial"/>
          <w:color w:val="auto"/>
          <w:u w:val="none"/>
        </w:rPr>
        <w:t xml:space="preserve"> </w:t>
      </w:r>
      <w:r w:rsidR="0064687F" w:rsidRPr="0064687F">
        <w:rPr>
          <w:rStyle w:val="Hyperlink"/>
          <w:rFonts w:eastAsia="Arial"/>
          <w:color w:val="auto"/>
          <w:u w:val="none"/>
        </w:rPr>
        <w:t xml:space="preserve">with </w:t>
      </w:r>
      <w:r w:rsidR="0094473B">
        <w:rPr>
          <w:rStyle w:val="Hyperlink"/>
          <w:rFonts w:eastAsia="Arial"/>
          <w:color w:val="auto"/>
          <w:u w:val="none"/>
        </w:rPr>
        <w:t>examining</w:t>
      </w:r>
      <w:r w:rsidR="00E10418">
        <w:t xml:space="preserve"> ‘</w:t>
      </w:r>
      <w:r w:rsidR="00E10418" w:rsidRPr="00B1312E">
        <w:t>the issues related to the consultation and dialogue between the Evaluation Body and the submitting States, the decision-making process of the Committee on nominations, proposals and requests, as well as any other issue in order to strengthen the implementation of the Convention</w:t>
      </w:r>
      <w:r w:rsidR="00E10418">
        <w:t>’.</w:t>
      </w:r>
    </w:p>
    <w:p w14:paraId="66E83FE9" w14:textId="4691FB28" w:rsidR="00376EBC" w:rsidRDefault="0094473B" w:rsidP="00376EBC">
      <w:pPr>
        <w:pStyle w:val="COMPara"/>
        <w:jc w:val="both"/>
      </w:pPr>
      <w:r>
        <w:t xml:space="preserve">At its twelfth session, the </w:t>
      </w:r>
      <w:r w:rsidR="006E3FC3">
        <w:t>Committee</w:t>
      </w:r>
      <w:r w:rsidR="00E10418">
        <w:t xml:space="preserve"> extended the </w:t>
      </w:r>
      <w:r w:rsidR="006E3FC3">
        <w:t>mandate</w:t>
      </w:r>
      <w:r w:rsidR="0064687F">
        <w:t xml:space="preserve"> </w:t>
      </w:r>
      <w:r w:rsidR="004801BD">
        <w:t xml:space="preserve">of the </w:t>
      </w:r>
      <w:r w:rsidR="0064687F">
        <w:t>informal ad hoc working group</w:t>
      </w:r>
      <w:r w:rsidR="00E10418">
        <w:t xml:space="preserve"> until the end of 201</w:t>
      </w:r>
      <w:r w:rsidR="005A61A8">
        <w:t>8</w:t>
      </w:r>
      <w:r>
        <w:t>,</w:t>
      </w:r>
      <w:r w:rsidR="00E10418">
        <w:t xml:space="preserve"> </w:t>
      </w:r>
      <w:r w:rsidR="005A61A8">
        <w:t>while making it open</w:t>
      </w:r>
      <w:r w:rsidR="006E3FC3">
        <w:t xml:space="preserve"> </w:t>
      </w:r>
      <w:r w:rsidR="005A61A8">
        <w:t>to</w:t>
      </w:r>
      <w:r w:rsidR="00A0012A">
        <w:t xml:space="preserve"> all interested States Parties</w:t>
      </w:r>
      <w:r w:rsidR="000118FA">
        <w:t xml:space="preserve"> </w:t>
      </w:r>
      <w:r>
        <w:t xml:space="preserve">so as </w:t>
      </w:r>
      <w:r w:rsidR="000118FA">
        <w:t xml:space="preserve">to cover a wider range of areas </w:t>
      </w:r>
      <w:r w:rsidR="00012EC5">
        <w:t>(</w:t>
      </w:r>
      <w:hyperlink r:id="rId10" w:history="1">
        <w:r w:rsidR="00E10418" w:rsidRPr="00702DF8">
          <w:rPr>
            <w:rStyle w:val="Hyperlink"/>
          </w:rPr>
          <w:t>Decision 12.COM 13</w:t>
        </w:r>
      </w:hyperlink>
      <w:r w:rsidR="00E10418">
        <w:t>)</w:t>
      </w:r>
      <w:r w:rsidR="0064687F">
        <w:t>.</w:t>
      </w:r>
    </w:p>
    <w:p w14:paraId="0E76A8A2" w14:textId="592C8B8D" w:rsidR="0064687F" w:rsidRPr="00A87E9E" w:rsidRDefault="0094473B" w:rsidP="000118FA">
      <w:pPr>
        <w:pStyle w:val="COMPara"/>
        <w:jc w:val="both"/>
        <w:rPr>
          <w:lang w:val="en-US"/>
        </w:rPr>
      </w:pPr>
      <w:r>
        <w:t xml:space="preserve">At the </w:t>
      </w:r>
      <w:r w:rsidR="0064687F">
        <w:t>thirteenth session of the Committee</w:t>
      </w:r>
      <w:r>
        <w:t>,</w:t>
      </w:r>
      <w:r w:rsidR="0064687F">
        <w:t xml:space="preserve"> </w:t>
      </w:r>
      <w:r w:rsidR="000118FA">
        <w:t xml:space="preserve">a </w:t>
      </w:r>
      <w:r w:rsidR="000118FA" w:rsidRPr="00FA4FAD">
        <w:rPr>
          <w:lang w:val="en-US"/>
        </w:rPr>
        <w:t>provisional upstream dialogue mechanism</w:t>
      </w:r>
      <w:r w:rsidR="00A87E9E">
        <w:rPr>
          <w:lang w:val="en-US"/>
        </w:rPr>
        <w:t xml:space="preserve"> </w:t>
      </w:r>
      <w:r>
        <w:rPr>
          <w:lang w:val="en-US"/>
        </w:rPr>
        <w:t xml:space="preserve">was introduced </w:t>
      </w:r>
      <w:r w:rsidR="00A87E9E">
        <w:rPr>
          <w:lang w:val="en-US"/>
        </w:rPr>
        <w:t>between the Evaluation Body and the submitting States</w:t>
      </w:r>
      <w:r w:rsidR="000118FA" w:rsidRPr="00FA4FAD">
        <w:rPr>
          <w:lang w:val="en-US"/>
        </w:rPr>
        <w:t xml:space="preserve"> for nominations/proposals/requests</w:t>
      </w:r>
      <w:r w:rsidR="000118FA">
        <w:rPr>
          <w:lang w:val="en-US"/>
        </w:rPr>
        <w:t xml:space="preserve"> to be examined </w:t>
      </w:r>
      <w:r w:rsidR="00D20690">
        <w:rPr>
          <w:lang w:val="en-US"/>
        </w:rPr>
        <w:t>at</w:t>
      </w:r>
      <w:r w:rsidR="000118FA">
        <w:rPr>
          <w:lang w:val="en-US"/>
        </w:rPr>
        <w:t xml:space="preserve"> the fourteenth session of the Committee (</w:t>
      </w:r>
      <w:hyperlink r:id="rId11" w:history="1">
        <w:r w:rsidR="000118FA" w:rsidRPr="00FA4FAD">
          <w:rPr>
            <w:rStyle w:val="Hyperlink"/>
            <w:lang w:val="en-US"/>
          </w:rPr>
          <w:t>Decision 13.COM 10</w:t>
        </w:r>
      </w:hyperlink>
      <w:r w:rsidR="000118FA">
        <w:rPr>
          <w:rStyle w:val="Hyperlink"/>
          <w:lang w:val="en-US"/>
        </w:rPr>
        <w:t>)</w:t>
      </w:r>
      <w:r w:rsidR="006E3FC3">
        <w:rPr>
          <w:rStyle w:val="Hyperlink"/>
          <w:u w:val="none"/>
          <w:lang w:val="en-US"/>
        </w:rPr>
        <w:t>.</w:t>
      </w:r>
      <w:r w:rsidR="000118FA" w:rsidRPr="005F2614">
        <w:t xml:space="preserve"> </w:t>
      </w:r>
      <w:r w:rsidR="005F2614" w:rsidRPr="005F2614">
        <w:t>The Committee</w:t>
      </w:r>
      <w:r w:rsidR="002A4887" w:rsidRPr="005F2614">
        <w:t xml:space="preserve"> also </w:t>
      </w:r>
      <w:r w:rsidR="00013297" w:rsidRPr="005F2614">
        <w:t>decided to continue examining</w:t>
      </w:r>
      <w:r w:rsidR="00013297">
        <w:t xml:space="preserve"> new ways to improve the </w:t>
      </w:r>
      <w:r w:rsidR="00AF7BE9">
        <w:t xml:space="preserve">participation of accredited NGOs in the </w:t>
      </w:r>
      <w:r w:rsidR="00013297">
        <w:t>consultation process</w:t>
      </w:r>
      <w:r>
        <w:t>, particularly in relation to</w:t>
      </w:r>
      <w:r w:rsidR="00013297">
        <w:t xml:space="preserve"> the accreditation and renewal mechanisms </w:t>
      </w:r>
      <w:r>
        <w:t>with</w:t>
      </w:r>
      <w:r w:rsidR="00013297">
        <w:t>in the framework of the 2003</w:t>
      </w:r>
      <w:r w:rsidR="00692D39">
        <w:t> </w:t>
      </w:r>
      <w:r w:rsidR="00013297">
        <w:t>Convention</w:t>
      </w:r>
      <w:r w:rsidR="003C7289">
        <w:t xml:space="preserve"> (</w:t>
      </w:r>
      <w:hyperlink r:id="rId12" w:history="1">
        <w:r w:rsidR="003C7289" w:rsidRPr="003C7289">
          <w:rPr>
            <w:rStyle w:val="Hyperlink"/>
          </w:rPr>
          <w:t>Decision 13.COM 13</w:t>
        </w:r>
      </w:hyperlink>
      <w:r w:rsidR="005A61A8">
        <w:t>)</w:t>
      </w:r>
      <w:r w:rsidR="00013297">
        <w:t>.</w:t>
      </w:r>
    </w:p>
    <w:p w14:paraId="549DF5F0" w14:textId="65D94770" w:rsidR="005A61A8" w:rsidRPr="004801BD" w:rsidRDefault="005A61A8" w:rsidP="008251FE">
      <w:pPr>
        <w:pStyle w:val="COMPara"/>
        <w:jc w:val="both"/>
      </w:pPr>
      <w:r w:rsidRPr="008251FE">
        <w:rPr>
          <w:lang w:val="en-US"/>
        </w:rPr>
        <w:t>Based on</w:t>
      </w:r>
      <w:r w:rsidR="004801BD">
        <w:rPr>
          <w:lang w:val="en-US"/>
        </w:rPr>
        <w:t xml:space="preserve"> the</w:t>
      </w:r>
      <w:r w:rsidRPr="008251FE">
        <w:rPr>
          <w:lang w:val="en-US"/>
        </w:rPr>
        <w:t xml:space="preserve"> above-mentioned decisions, the Committee </w:t>
      </w:r>
      <w:r w:rsidRPr="008251FE">
        <w:t xml:space="preserve">decided to extend the mandate of the informal open-ended ad hoc working group </w:t>
      </w:r>
      <w:r w:rsidR="003C7289" w:rsidRPr="008251FE">
        <w:t xml:space="preserve">and </w:t>
      </w:r>
      <w:r w:rsidR="00037820" w:rsidRPr="008251FE">
        <w:rPr>
          <w:lang w:val="en-US"/>
        </w:rPr>
        <w:t>inscribed an</w:t>
      </w:r>
      <w:r w:rsidR="003C7289" w:rsidRPr="008251FE">
        <w:rPr>
          <w:lang w:val="en-US"/>
        </w:rPr>
        <w:t xml:space="preserve"> item</w:t>
      </w:r>
      <w:r w:rsidR="00037820" w:rsidRPr="008251FE">
        <w:rPr>
          <w:lang w:val="en-US"/>
        </w:rPr>
        <w:t xml:space="preserve"> on the group’s work</w:t>
      </w:r>
      <w:r w:rsidR="003C7289" w:rsidRPr="008251FE">
        <w:rPr>
          <w:lang w:val="en-US"/>
        </w:rPr>
        <w:t xml:space="preserve"> at its current session</w:t>
      </w:r>
      <w:r w:rsidR="005425D5" w:rsidRPr="008251FE">
        <w:rPr>
          <w:lang w:val="en-US"/>
        </w:rPr>
        <w:t xml:space="preserve"> (</w:t>
      </w:r>
      <w:hyperlink r:id="rId13" w:history="1">
        <w:r w:rsidR="005425D5" w:rsidRPr="008251FE">
          <w:rPr>
            <w:rStyle w:val="Hyperlink"/>
            <w:lang w:val="en-US"/>
          </w:rPr>
          <w:t>Decision 13.COM 16</w:t>
        </w:r>
      </w:hyperlink>
      <w:r w:rsidR="005425D5" w:rsidRPr="008251FE">
        <w:rPr>
          <w:lang w:val="en-US"/>
        </w:rPr>
        <w:t>)</w:t>
      </w:r>
      <w:r w:rsidR="003C7289" w:rsidRPr="008251FE">
        <w:rPr>
          <w:lang w:val="en-US"/>
        </w:rPr>
        <w:t>. In particular</w:t>
      </w:r>
      <w:r w:rsidR="0094473B">
        <w:rPr>
          <w:lang w:val="en-US"/>
        </w:rPr>
        <w:t>,</w:t>
      </w:r>
      <w:r w:rsidR="003C7289" w:rsidRPr="008251FE">
        <w:rPr>
          <w:lang w:val="en-US"/>
        </w:rPr>
        <w:t xml:space="preserve"> the group was asked to</w:t>
      </w:r>
      <w:r w:rsidRPr="008251FE">
        <w:rPr>
          <w:sz w:val="21"/>
          <w:szCs w:val="21"/>
        </w:rPr>
        <w:t xml:space="preserve">: </w:t>
      </w:r>
    </w:p>
    <w:p w14:paraId="4AF0D0C1" w14:textId="77777777" w:rsidR="005A61A8" w:rsidRPr="005A61A8" w:rsidRDefault="005A61A8" w:rsidP="008251FE">
      <w:pPr>
        <w:pStyle w:val="COMPara"/>
        <w:numPr>
          <w:ilvl w:val="1"/>
          <w:numId w:val="9"/>
        </w:numPr>
        <w:ind w:left="1134" w:hanging="567"/>
        <w:jc w:val="both"/>
      </w:pPr>
      <w:r w:rsidRPr="003C7289">
        <w:t>exchange with the Secretariat and the Evaluation Body on the implementation of the experimental dialogue mechanism as well as any other issues to facilitate the work of the Committee; an</w:t>
      </w:r>
      <w:r w:rsidRPr="005A61A8">
        <w:t>d</w:t>
      </w:r>
    </w:p>
    <w:p w14:paraId="13854A6B" w14:textId="7DC651D1" w:rsidR="005A61A8" w:rsidRDefault="005A61A8" w:rsidP="008251FE">
      <w:pPr>
        <w:pStyle w:val="COMPara"/>
        <w:numPr>
          <w:ilvl w:val="1"/>
          <w:numId w:val="9"/>
        </w:numPr>
        <w:ind w:left="1134" w:hanging="567"/>
        <w:jc w:val="both"/>
      </w:pPr>
      <w:r w:rsidRPr="005A61A8">
        <w:t>continue the consultation process with accredited NGOs</w:t>
      </w:r>
      <w:r w:rsidR="0094473B">
        <w:t xml:space="preserve"> </w:t>
      </w:r>
      <w:r w:rsidRPr="005A61A8">
        <w:t xml:space="preserve">on the possible ways in which the participation </w:t>
      </w:r>
      <w:r w:rsidR="00692D39">
        <w:t xml:space="preserve">of the NGOs </w:t>
      </w:r>
      <w:r w:rsidRPr="005A61A8">
        <w:t>under the 2003 Convention could be further enhanced and how this would be reflected in the accreditation and renewal mechanisms of NGOs</w:t>
      </w:r>
      <w:r w:rsidR="0026421E">
        <w:t>.</w:t>
      </w:r>
    </w:p>
    <w:p w14:paraId="0AA9EFEA" w14:textId="061ABF91" w:rsidR="005A61A8" w:rsidRPr="00D43E3B" w:rsidRDefault="005A61A8" w:rsidP="000118FA">
      <w:pPr>
        <w:pStyle w:val="COMPara"/>
        <w:jc w:val="both"/>
        <w:rPr>
          <w:lang w:val="en-US"/>
        </w:rPr>
      </w:pPr>
      <w:r w:rsidRPr="00692D39">
        <w:t>As the host country of the fourteenth session of the Committee, Colombia chaired the informal ad hoc open-ended working group in 2019</w:t>
      </w:r>
      <w:r w:rsidR="00BE70CF" w:rsidRPr="00D43E3B">
        <w:rPr>
          <w:lang w:val="en-US"/>
        </w:rPr>
        <w:t>.</w:t>
      </w:r>
      <w:r w:rsidR="00204ED9" w:rsidRPr="00D43E3B">
        <w:rPr>
          <w:lang w:val="en-US"/>
        </w:rPr>
        <w:t xml:space="preserve"> At the request of Colombia, Algeria served </w:t>
      </w:r>
      <w:r w:rsidR="0094473B" w:rsidRPr="00D43E3B">
        <w:rPr>
          <w:lang w:val="en-US"/>
        </w:rPr>
        <w:t>as co</w:t>
      </w:r>
      <w:r w:rsidR="00692D39" w:rsidRPr="00D43E3B">
        <w:rPr>
          <w:lang w:val="en-US"/>
        </w:rPr>
        <w:noBreakHyphen/>
      </w:r>
      <w:r w:rsidR="0094473B" w:rsidRPr="00D43E3B">
        <w:rPr>
          <w:lang w:val="en-US"/>
        </w:rPr>
        <w:t xml:space="preserve">chairperson of </w:t>
      </w:r>
      <w:r w:rsidR="00204ED9" w:rsidRPr="00D43E3B">
        <w:rPr>
          <w:lang w:val="en-US"/>
        </w:rPr>
        <w:t>the working group from September 2019.</w:t>
      </w:r>
    </w:p>
    <w:p w14:paraId="32761473" w14:textId="4B33CFF4" w:rsidR="003C7289" w:rsidRDefault="003C7289" w:rsidP="003C7289">
      <w:pPr>
        <w:pStyle w:val="COMPara"/>
        <w:jc w:val="both"/>
      </w:pPr>
      <w:r w:rsidRPr="0051193B">
        <w:rPr>
          <w:rFonts w:eastAsia="Arial"/>
        </w:rPr>
        <w:t xml:space="preserve">The annex </w:t>
      </w:r>
      <w:r>
        <w:rPr>
          <w:rFonts w:eastAsia="Arial"/>
        </w:rPr>
        <w:t>to</w:t>
      </w:r>
      <w:r w:rsidRPr="0051193B">
        <w:rPr>
          <w:rFonts w:eastAsia="Arial"/>
        </w:rPr>
        <w:t xml:space="preserve"> this document, as prepared by the group, </w:t>
      </w:r>
      <w:r>
        <w:rPr>
          <w:rFonts w:eastAsia="Arial"/>
        </w:rPr>
        <w:t>sets out</w:t>
      </w:r>
      <w:r w:rsidRPr="0051193B">
        <w:rPr>
          <w:rFonts w:eastAsia="Arial"/>
        </w:rPr>
        <w:t xml:space="preserve"> its deliberations and recommendations. The draft decision included in this document </w:t>
      </w:r>
      <w:r w:rsidR="0094473B">
        <w:rPr>
          <w:rFonts w:eastAsia="Arial"/>
        </w:rPr>
        <w:t>has</w:t>
      </w:r>
      <w:r w:rsidRPr="0051193B">
        <w:rPr>
          <w:rFonts w:eastAsia="Arial"/>
        </w:rPr>
        <w:t xml:space="preserve"> also </w:t>
      </w:r>
      <w:r w:rsidR="0094473B">
        <w:rPr>
          <w:rFonts w:eastAsia="Arial"/>
        </w:rPr>
        <w:t xml:space="preserve">been </w:t>
      </w:r>
      <w:r w:rsidRPr="0051193B">
        <w:rPr>
          <w:rFonts w:eastAsia="Arial"/>
        </w:rPr>
        <w:t>prepared by the working group.</w:t>
      </w:r>
    </w:p>
    <w:p w14:paraId="76FB5498" w14:textId="77777777" w:rsidR="003C7289" w:rsidRPr="00EA528C" w:rsidRDefault="003C7289" w:rsidP="003C7289">
      <w:pPr>
        <w:pStyle w:val="COMPara"/>
      </w:pPr>
      <w:r w:rsidRPr="000B1C8F">
        <w:t xml:space="preserve">The Committee may wish </w:t>
      </w:r>
      <w:r>
        <w:t>to adopt the following decision</w:t>
      </w:r>
      <w:r w:rsidRPr="00EA528C">
        <w:t>:</w:t>
      </w:r>
    </w:p>
    <w:p w14:paraId="3D56B515" w14:textId="05237505" w:rsidR="00921310" w:rsidRDefault="004A34A0" w:rsidP="00AB5BCA">
      <w:pPr>
        <w:pStyle w:val="COMTitleDecision"/>
        <w:keepLines/>
      </w:pPr>
      <w:r>
        <w:t xml:space="preserve">DRAFT </w:t>
      </w:r>
      <w:r w:rsidR="00CB0542">
        <w:t>DECISION 1</w:t>
      </w:r>
      <w:r w:rsidR="00E10418">
        <w:t>4</w:t>
      </w:r>
      <w:r w:rsidR="00EC6F8D">
        <w:t>.COM</w:t>
      </w:r>
      <w:r w:rsidR="00D95C4C" w:rsidRPr="00FD624F">
        <w:t xml:space="preserve"> </w:t>
      </w:r>
      <w:r w:rsidR="00817794">
        <w:t>16</w:t>
      </w:r>
    </w:p>
    <w:p w14:paraId="7920C0C0" w14:textId="77777777" w:rsidR="00F1300B" w:rsidRDefault="00F1300B" w:rsidP="00AB5BCA">
      <w:pPr>
        <w:pStyle w:val="COMPreambulaDecisions"/>
        <w:keepLines/>
        <w:rPr>
          <w:rFonts w:eastAsia="SimSun"/>
        </w:rPr>
      </w:pPr>
      <w:r>
        <w:t>The Committee,</w:t>
      </w:r>
    </w:p>
    <w:p w14:paraId="788F6ECC" w14:textId="5728B2E6" w:rsidR="00F1300B" w:rsidRDefault="00F1300B" w:rsidP="00AB5BCA">
      <w:pPr>
        <w:pStyle w:val="ListParagraph"/>
        <w:numPr>
          <w:ilvl w:val="0"/>
          <w:numId w:val="55"/>
        </w:numPr>
        <w:spacing w:before="120" w:after="120"/>
        <w:ind w:left="1134" w:hanging="567"/>
        <w:contextualSpacing w:val="0"/>
        <w:jc w:val="both"/>
        <w:rPr>
          <w:rFonts w:ascii="Arial" w:hAnsi="Arial" w:cs="Arial"/>
          <w:sz w:val="22"/>
          <w:szCs w:val="22"/>
          <w:lang w:val="en-US"/>
        </w:rPr>
      </w:pPr>
      <w:r>
        <w:rPr>
          <w:rFonts w:ascii="Arial" w:hAnsi="Arial" w:cs="Arial"/>
          <w:sz w:val="22"/>
          <w:szCs w:val="22"/>
          <w:u w:val="single"/>
          <w:lang w:val="en-US"/>
        </w:rPr>
        <w:t>Having examined</w:t>
      </w:r>
      <w:r>
        <w:rPr>
          <w:rFonts w:ascii="Arial" w:hAnsi="Arial" w:cs="Arial"/>
          <w:sz w:val="22"/>
          <w:szCs w:val="22"/>
          <w:lang w:val="en-US"/>
        </w:rPr>
        <w:t xml:space="preserve"> document </w:t>
      </w:r>
      <w:r w:rsidRPr="00F1300B">
        <w:rPr>
          <w:rFonts w:ascii="Arial" w:hAnsi="Arial" w:cs="Arial"/>
          <w:sz w:val="22"/>
          <w:szCs w:val="22"/>
          <w:lang w:val="en-US"/>
        </w:rPr>
        <w:t>LHE/19/14.COM/16</w:t>
      </w:r>
      <w:r w:rsidR="000F3BE8">
        <w:rPr>
          <w:rFonts w:ascii="Arial" w:hAnsi="Arial" w:cs="Arial"/>
          <w:sz w:val="22"/>
          <w:szCs w:val="22"/>
          <w:lang w:val="en-US"/>
        </w:rPr>
        <w:t>,</w:t>
      </w:r>
    </w:p>
    <w:p w14:paraId="319A7B6D" w14:textId="02993942" w:rsidR="00F1300B" w:rsidRDefault="00F1300B" w:rsidP="00F1300B">
      <w:pPr>
        <w:pStyle w:val="ListParagraph"/>
        <w:numPr>
          <w:ilvl w:val="0"/>
          <w:numId w:val="55"/>
        </w:numPr>
        <w:spacing w:before="120" w:after="120"/>
        <w:ind w:left="1134" w:hanging="567"/>
        <w:contextualSpacing w:val="0"/>
        <w:jc w:val="both"/>
        <w:rPr>
          <w:rFonts w:ascii="Arial" w:hAnsi="Arial" w:cs="Arial"/>
          <w:sz w:val="22"/>
          <w:szCs w:val="22"/>
          <w:lang w:val="en-US"/>
        </w:rPr>
      </w:pPr>
      <w:r>
        <w:rPr>
          <w:rFonts w:ascii="Arial" w:hAnsi="Arial" w:cs="Arial"/>
          <w:sz w:val="22"/>
          <w:szCs w:val="22"/>
          <w:u w:val="single"/>
          <w:lang w:val="en-US"/>
        </w:rPr>
        <w:t>Recalling</w:t>
      </w:r>
      <w:r>
        <w:rPr>
          <w:rFonts w:ascii="Arial" w:hAnsi="Arial" w:cs="Arial"/>
          <w:sz w:val="22"/>
          <w:szCs w:val="22"/>
          <w:lang w:val="en-US"/>
        </w:rPr>
        <w:t xml:space="preserve"> </w:t>
      </w:r>
      <w:hyperlink r:id="rId14" w:history="1">
        <w:r>
          <w:rPr>
            <w:rStyle w:val="Hyperlink"/>
            <w:rFonts w:ascii="Arial" w:hAnsi="Arial" w:cs="Arial"/>
            <w:sz w:val="22"/>
            <w:szCs w:val="22"/>
            <w:lang w:val="en-US"/>
          </w:rPr>
          <w:t>Decision11.COM 10</w:t>
        </w:r>
      </w:hyperlink>
      <w:r w:rsidRPr="008826D5">
        <w:rPr>
          <w:lang w:val="en-US"/>
        </w:rPr>
        <w:t>,</w:t>
      </w:r>
      <w:r>
        <w:rPr>
          <w:rFonts w:ascii="Arial" w:hAnsi="Arial" w:cs="Arial"/>
          <w:sz w:val="22"/>
          <w:szCs w:val="22"/>
          <w:lang w:val="en-US"/>
        </w:rPr>
        <w:t xml:space="preserve"> </w:t>
      </w:r>
      <w:hyperlink r:id="rId15" w:history="1">
        <w:r>
          <w:rPr>
            <w:rStyle w:val="Hyperlink"/>
            <w:rFonts w:ascii="Arial" w:hAnsi="Arial" w:cs="Arial"/>
            <w:sz w:val="22"/>
            <w:szCs w:val="22"/>
            <w:lang w:val="en-US"/>
          </w:rPr>
          <w:t>Decision 12.COM 13</w:t>
        </w:r>
      </w:hyperlink>
      <w:r w:rsidRPr="008826D5">
        <w:rPr>
          <w:lang w:val="en-US"/>
        </w:rPr>
        <w:t xml:space="preserve"> </w:t>
      </w:r>
      <w:r>
        <w:rPr>
          <w:rFonts w:ascii="Arial" w:hAnsi="Arial" w:cs="Arial"/>
          <w:sz w:val="22"/>
          <w:szCs w:val="22"/>
          <w:lang w:val="en-US"/>
        </w:rPr>
        <w:t xml:space="preserve">and </w:t>
      </w:r>
      <w:hyperlink r:id="rId16" w:history="1">
        <w:r w:rsidRPr="008826D5">
          <w:rPr>
            <w:rStyle w:val="Hyperlink"/>
            <w:rFonts w:ascii="Arial" w:hAnsi="Arial" w:cs="Arial"/>
            <w:sz w:val="22"/>
            <w:szCs w:val="22"/>
            <w:lang w:val="en-US"/>
          </w:rPr>
          <w:t>Decision 13.COM 16</w:t>
        </w:r>
      </w:hyperlink>
      <w:r>
        <w:rPr>
          <w:rFonts w:ascii="Arial" w:hAnsi="Arial" w:cs="Arial"/>
          <w:sz w:val="22"/>
          <w:szCs w:val="22"/>
          <w:lang w:val="en-US"/>
        </w:rPr>
        <w:t xml:space="preserve"> as well as </w:t>
      </w:r>
      <w:hyperlink r:id="rId17" w:history="1">
        <w:r>
          <w:rPr>
            <w:rStyle w:val="Hyperlink"/>
            <w:rFonts w:ascii="Arial" w:hAnsi="Arial" w:cs="Arial"/>
            <w:sz w:val="22"/>
            <w:szCs w:val="22"/>
            <w:lang w:val="en-US"/>
          </w:rPr>
          <w:t>Resolution 7.GA 6</w:t>
        </w:r>
      </w:hyperlink>
      <w:r>
        <w:rPr>
          <w:rFonts w:ascii="Arial" w:hAnsi="Arial" w:cs="Arial"/>
          <w:sz w:val="22"/>
          <w:szCs w:val="22"/>
          <w:lang w:val="en-US"/>
        </w:rPr>
        <w:t>,</w:t>
      </w:r>
    </w:p>
    <w:p w14:paraId="0E7DCD0F" w14:textId="77777777" w:rsidR="00F1300B" w:rsidRDefault="00F1300B" w:rsidP="00F1300B">
      <w:pPr>
        <w:pStyle w:val="ListParagraph"/>
        <w:numPr>
          <w:ilvl w:val="0"/>
          <w:numId w:val="55"/>
        </w:numPr>
        <w:spacing w:before="120" w:after="120"/>
        <w:ind w:left="1134" w:hanging="567"/>
        <w:contextualSpacing w:val="0"/>
        <w:jc w:val="both"/>
        <w:rPr>
          <w:rFonts w:ascii="Arial" w:hAnsi="Arial" w:cs="Arial"/>
          <w:sz w:val="22"/>
          <w:szCs w:val="22"/>
          <w:lang w:val="en-US"/>
        </w:rPr>
      </w:pPr>
      <w:r>
        <w:rPr>
          <w:rFonts w:ascii="Arial" w:hAnsi="Arial" w:cs="Arial"/>
          <w:sz w:val="22"/>
          <w:szCs w:val="22"/>
          <w:u w:val="single"/>
          <w:lang w:val="en-US"/>
        </w:rPr>
        <w:t>Commends</w:t>
      </w:r>
      <w:r>
        <w:rPr>
          <w:rFonts w:ascii="Arial" w:hAnsi="Arial" w:cs="Arial"/>
          <w:sz w:val="22"/>
          <w:szCs w:val="22"/>
          <w:lang w:val="en-US"/>
        </w:rPr>
        <w:t xml:space="preserve"> the work of the informal open-ended ad hoc working group chaired by Colombia and </w:t>
      </w:r>
      <w:r>
        <w:rPr>
          <w:rFonts w:ascii="Arial" w:hAnsi="Arial" w:cs="Arial"/>
          <w:sz w:val="22"/>
          <w:szCs w:val="22"/>
          <w:u w:val="single"/>
          <w:lang w:val="en-US"/>
        </w:rPr>
        <w:t>welcomes</w:t>
      </w:r>
      <w:r>
        <w:rPr>
          <w:rFonts w:ascii="Arial" w:hAnsi="Arial" w:cs="Arial"/>
          <w:sz w:val="22"/>
          <w:szCs w:val="22"/>
          <w:lang w:val="en-US"/>
        </w:rPr>
        <w:t xml:space="preserve"> its report;</w:t>
      </w:r>
    </w:p>
    <w:p w14:paraId="0B305E5E" w14:textId="39A4F708" w:rsidR="00F1300B" w:rsidRPr="00400F07" w:rsidRDefault="00F1300B" w:rsidP="00F1300B">
      <w:pPr>
        <w:pStyle w:val="ListParagraph"/>
        <w:numPr>
          <w:ilvl w:val="0"/>
          <w:numId w:val="55"/>
        </w:numPr>
        <w:spacing w:before="120" w:after="120"/>
        <w:ind w:left="1134" w:hanging="567"/>
        <w:contextualSpacing w:val="0"/>
        <w:jc w:val="both"/>
        <w:rPr>
          <w:rFonts w:ascii="Arial" w:hAnsi="Arial" w:cs="Arial"/>
          <w:sz w:val="22"/>
          <w:szCs w:val="22"/>
          <w:lang w:val="en-US"/>
        </w:rPr>
      </w:pPr>
      <w:r w:rsidRPr="00400F07">
        <w:rPr>
          <w:rFonts w:ascii="Arial" w:hAnsi="Arial" w:cs="Arial"/>
          <w:sz w:val="22"/>
          <w:szCs w:val="22"/>
          <w:u w:val="single"/>
          <w:lang w:val="en-US"/>
        </w:rPr>
        <w:t>Endorses</w:t>
      </w:r>
      <w:r w:rsidRPr="00400F07">
        <w:rPr>
          <w:rFonts w:ascii="Arial" w:hAnsi="Arial" w:cs="Arial"/>
          <w:sz w:val="22"/>
          <w:szCs w:val="22"/>
          <w:lang w:val="en-US"/>
        </w:rPr>
        <w:t xml:space="preserve"> the recommendations of the informal ad hoc working group as contained in the annex of document LHE/19/14.COM/16;</w:t>
      </w:r>
    </w:p>
    <w:p w14:paraId="3C4CF138" w14:textId="6F16F226" w:rsidR="00F1300B" w:rsidRPr="00AB5BCA" w:rsidRDefault="00F1300B" w:rsidP="00AB5BCA">
      <w:pPr>
        <w:pStyle w:val="ListParagraph"/>
        <w:numPr>
          <w:ilvl w:val="0"/>
          <w:numId w:val="55"/>
        </w:numPr>
        <w:spacing w:before="120" w:after="120"/>
        <w:ind w:left="1134" w:hanging="567"/>
        <w:contextualSpacing w:val="0"/>
        <w:jc w:val="both"/>
        <w:rPr>
          <w:lang w:val="en-US"/>
        </w:rPr>
      </w:pPr>
      <w:r w:rsidRPr="00400F07">
        <w:rPr>
          <w:rFonts w:ascii="Arial" w:hAnsi="Arial" w:cs="Arial"/>
          <w:sz w:val="22"/>
          <w:szCs w:val="22"/>
          <w:u w:val="single"/>
          <w:lang w:val="en-US"/>
        </w:rPr>
        <w:t>Requests</w:t>
      </w:r>
      <w:r w:rsidRPr="00400F07">
        <w:rPr>
          <w:rFonts w:ascii="Arial" w:hAnsi="Arial" w:cs="Arial"/>
          <w:sz w:val="22"/>
          <w:szCs w:val="22"/>
          <w:lang w:val="en-US"/>
        </w:rPr>
        <w:t xml:space="preserve"> that the Secretariat implement, as appropriate, the relevant recommendations of the informal</w:t>
      </w:r>
      <w:r w:rsidRPr="00EA695E">
        <w:rPr>
          <w:rFonts w:ascii="Arial" w:hAnsi="Arial" w:cs="Arial"/>
          <w:sz w:val="22"/>
          <w:szCs w:val="22"/>
          <w:lang w:val="en-US"/>
        </w:rPr>
        <w:t xml:space="preserve"> </w:t>
      </w:r>
      <w:r w:rsidR="00895707" w:rsidRPr="00400F07">
        <w:rPr>
          <w:rFonts w:ascii="Arial" w:hAnsi="Arial" w:cs="Arial"/>
          <w:sz w:val="22"/>
          <w:szCs w:val="22"/>
          <w:lang w:val="en-US"/>
        </w:rPr>
        <w:t xml:space="preserve">open-ended </w:t>
      </w:r>
      <w:r w:rsidRPr="00EA695E">
        <w:rPr>
          <w:rFonts w:ascii="Arial" w:hAnsi="Arial" w:cs="Arial"/>
          <w:sz w:val="22"/>
          <w:szCs w:val="22"/>
          <w:lang w:val="en-US"/>
        </w:rPr>
        <w:t>ad hoc working group</w:t>
      </w:r>
      <w:r w:rsidRPr="00AB5BCA">
        <w:rPr>
          <w:rFonts w:ascii="Arial" w:hAnsi="Arial" w:cs="Arial"/>
          <w:sz w:val="22"/>
          <w:szCs w:val="22"/>
          <w:lang w:val="en-US"/>
        </w:rPr>
        <w:t>.</w:t>
      </w:r>
    </w:p>
    <w:p w14:paraId="2C38BAD8" w14:textId="77777777" w:rsidR="00C121C6" w:rsidRDefault="00C121C6" w:rsidP="00E20259">
      <w:pPr>
        <w:pStyle w:val="COMParaDecision"/>
      </w:pPr>
      <w:r w:rsidRPr="005028C0">
        <w:rPr>
          <w:lang w:val="en-US"/>
        </w:rPr>
        <w:br w:type="page"/>
      </w:r>
    </w:p>
    <w:p w14:paraId="1764C584" w14:textId="261119C8" w:rsidR="0053318C" w:rsidRPr="00C121C6" w:rsidRDefault="00C121C6" w:rsidP="00C121C6">
      <w:pPr>
        <w:pStyle w:val="COMParaDecision"/>
        <w:numPr>
          <w:ilvl w:val="0"/>
          <w:numId w:val="0"/>
        </w:numPr>
        <w:jc w:val="center"/>
        <w:rPr>
          <w:b/>
          <w:lang w:val="en-US"/>
        </w:rPr>
      </w:pPr>
      <w:r w:rsidRPr="00C121C6">
        <w:rPr>
          <w:b/>
        </w:rPr>
        <w:lastRenderedPageBreak/>
        <w:t>ANNEX</w:t>
      </w:r>
    </w:p>
    <w:p w14:paraId="781617AB" w14:textId="7FB4F211" w:rsidR="00F1300B" w:rsidRDefault="00F1300B" w:rsidP="00F1300B">
      <w:pPr>
        <w:pStyle w:val="COMParaDecision"/>
        <w:numPr>
          <w:ilvl w:val="0"/>
          <w:numId w:val="0"/>
        </w:numPr>
        <w:spacing w:before="240" w:after="240"/>
        <w:jc w:val="center"/>
        <w:rPr>
          <w:b/>
          <w:u w:val="none"/>
          <w:lang w:val="en-US"/>
        </w:rPr>
      </w:pPr>
      <w:r>
        <w:rPr>
          <w:b/>
          <w:u w:val="none"/>
          <w:lang w:val="en-US"/>
        </w:rPr>
        <w:t>Report of the Chair</w:t>
      </w:r>
      <w:r w:rsidR="00EA695E">
        <w:rPr>
          <w:b/>
          <w:u w:val="none"/>
          <w:lang w:val="en-US"/>
        </w:rPr>
        <w:t xml:space="preserve">persons </w:t>
      </w:r>
      <w:r>
        <w:rPr>
          <w:b/>
          <w:u w:val="none"/>
          <w:lang w:val="en-US"/>
        </w:rPr>
        <w:t xml:space="preserve">of the Open-ended Informal Ad Hoc Working Group </w:t>
      </w:r>
      <w:r>
        <w:rPr>
          <w:b/>
          <w:u w:val="none"/>
          <w:lang w:val="en-US"/>
        </w:rPr>
        <w:br/>
        <w:t xml:space="preserve">of the Intergovernmental Committee for the Safeguarding of </w:t>
      </w:r>
      <w:r>
        <w:rPr>
          <w:b/>
          <w:u w:val="none"/>
          <w:lang w:val="en-US"/>
        </w:rPr>
        <w:br/>
        <w:t>the Intangible Cultural Heritage (ICH)</w:t>
      </w:r>
    </w:p>
    <w:p w14:paraId="0296E1ED" w14:textId="3BE3A072" w:rsidR="00F1300B" w:rsidRDefault="0055200D" w:rsidP="00F1300B">
      <w:pPr>
        <w:pStyle w:val="COMParaDecision"/>
        <w:numPr>
          <w:ilvl w:val="0"/>
          <w:numId w:val="0"/>
        </w:numPr>
        <w:jc w:val="center"/>
        <w:rPr>
          <w:b/>
          <w:u w:val="none"/>
          <w:lang w:val="en-US"/>
        </w:rPr>
      </w:pPr>
      <w:r>
        <w:rPr>
          <w:b/>
          <w:u w:val="none"/>
          <w:lang w:val="en-US"/>
        </w:rPr>
        <w:t xml:space="preserve">Fourteenth </w:t>
      </w:r>
      <w:r w:rsidR="00F1300B">
        <w:rPr>
          <w:b/>
          <w:u w:val="none"/>
          <w:lang w:val="en-US"/>
        </w:rPr>
        <w:t>session of the ICH Committee</w:t>
      </w:r>
    </w:p>
    <w:p w14:paraId="709AEF1B" w14:textId="74C5DAC6" w:rsidR="00F1300B" w:rsidRDefault="00F1300B" w:rsidP="00F1300B">
      <w:pPr>
        <w:pStyle w:val="ListParagraph"/>
        <w:numPr>
          <w:ilvl w:val="0"/>
          <w:numId w:val="66"/>
        </w:numPr>
        <w:spacing w:before="120" w:after="120"/>
        <w:ind w:left="567" w:hanging="567"/>
        <w:contextualSpacing w:val="0"/>
        <w:jc w:val="both"/>
        <w:rPr>
          <w:rFonts w:ascii="Arial" w:hAnsi="Arial" w:cs="Arial"/>
          <w:sz w:val="22"/>
          <w:szCs w:val="22"/>
          <w:lang w:val="en-US"/>
        </w:rPr>
      </w:pPr>
      <w:r w:rsidRPr="00C947C6">
        <w:rPr>
          <w:rFonts w:ascii="Arial" w:hAnsi="Arial" w:cs="Arial"/>
          <w:sz w:val="22"/>
          <w:szCs w:val="22"/>
          <w:lang w:val="en-US"/>
        </w:rPr>
        <w:t>The Intergovernmental Committee for the Safeguarding of the Intangible Cultural Heritage</w:t>
      </w:r>
      <w:r w:rsidR="00AB5BCA">
        <w:rPr>
          <w:rFonts w:ascii="Arial" w:hAnsi="Arial" w:cs="Arial"/>
          <w:sz w:val="22"/>
          <w:szCs w:val="22"/>
          <w:lang w:val="en-US"/>
        </w:rPr>
        <w:t> </w:t>
      </w:r>
      <w:r w:rsidRPr="00C947C6">
        <w:rPr>
          <w:rFonts w:ascii="Arial" w:hAnsi="Arial" w:cs="Arial"/>
          <w:sz w:val="22"/>
          <w:szCs w:val="22"/>
          <w:lang w:val="en-US"/>
        </w:rPr>
        <w:t>(ICH)</w:t>
      </w:r>
      <w:r>
        <w:rPr>
          <w:rFonts w:ascii="Arial" w:hAnsi="Arial" w:cs="Arial"/>
          <w:sz w:val="22"/>
          <w:szCs w:val="22"/>
          <w:lang w:val="en-US"/>
        </w:rPr>
        <w:t xml:space="preserve">, </w:t>
      </w:r>
      <w:r w:rsidRPr="00C947C6">
        <w:rPr>
          <w:rFonts w:ascii="Arial" w:hAnsi="Arial" w:cs="Arial"/>
          <w:sz w:val="22"/>
          <w:szCs w:val="22"/>
          <w:lang w:val="en-US"/>
        </w:rPr>
        <w:t xml:space="preserve">formed the working group at its </w:t>
      </w:r>
      <w:r w:rsidR="00104E1B">
        <w:rPr>
          <w:rFonts w:ascii="Arial" w:hAnsi="Arial" w:cs="Arial"/>
          <w:sz w:val="22"/>
          <w:szCs w:val="22"/>
          <w:lang w:val="en-US"/>
        </w:rPr>
        <w:t xml:space="preserve">eleventh session </w:t>
      </w:r>
      <w:r w:rsidRPr="00C947C6">
        <w:rPr>
          <w:rFonts w:ascii="Arial" w:hAnsi="Arial" w:cs="Arial"/>
          <w:sz w:val="22"/>
          <w:szCs w:val="22"/>
          <w:lang w:val="en-US"/>
        </w:rPr>
        <w:t>held in Addis Ababa, Ethiopia</w:t>
      </w:r>
      <w:r>
        <w:rPr>
          <w:rFonts w:ascii="Arial" w:hAnsi="Arial" w:cs="Arial"/>
          <w:sz w:val="22"/>
          <w:szCs w:val="22"/>
          <w:lang w:val="en-US"/>
        </w:rPr>
        <w:t>,</w:t>
      </w:r>
      <w:r w:rsidRPr="00C947C6">
        <w:rPr>
          <w:rFonts w:ascii="Arial" w:hAnsi="Arial" w:cs="Arial"/>
          <w:sz w:val="22"/>
          <w:szCs w:val="22"/>
          <w:lang w:val="en-US"/>
        </w:rPr>
        <w:t xml:space="preserve"> in 2016</w:t>
      </w:r>
      <w:r w:rsidR="00104E1B">
        <w:rPr>
          <w:rFonts w:ascii="Arial" w:hAnsi="Arial" w:cs="Arial"/>
          <w:sz w:val="22"/>
          <w:szCs w:val="22"/>
          <w:lang w:val="en-US"/>
        </w:rPr>
        <w:t>. Its mandate was further</w:t>
      </w:r>
      <w:r w:rsidR="00104E1B" w:rsidRPr="00C947C6">
        <w:rPr>
          <w:rFonts w:ascii="Arial" w:hAnsi="Arial" w:cs="Arial"/>
          <w:sz w:val="22"/>
          <w:szCs w:val="22"/>
          <w:lang w:val="en-US"/>
        </w:rPr>
        <w:t xml:space="preserve"> renewed</w:t>
      </w:r>
      <w:r w:rsidRPr="00C947C6">
        <w:rPr>
          <w:rFonts w:ascii="Arial" w:hAnsi="Arial" w:cs="Arial"/>
          <w:sz w:val="22"/>
          <w:szCs w:val="22"/>
          <w:lang w:val="en-US"/>
        </w:rPr>
        <w:t xml:space="preserve"> at </w:t>
      </w:r>
      <w:r w:rsidR="006A1099">
        <w:rPr>
          <w:rFonts w:ascii="Arial" w:hAnsi="Arial" w:cs="Arial"/>
          <w:sz w:val="22"/>
          <w:szCs w:val="22"/>
          <w:lang w:val="en-US"/>
        </w:rPr>
        <w:t>the twelfth session</w:t>
      </w:r>
      <w:r w:rsidRPr="00C947C6">
        <w:rPr>
          <w:rFonts w:ascii="Arial" w:hAnsi="Arial" w:cs="Arial"/>
          <w:sz w:val="22"/>
          <w:szCs w:val="22"/>
          <w:lang w:val="en-US"/>
        </w:rPr>
        <w:t xml:space="preserve"> in Jeju, Republic of Korea</w:t>
      </w:r>
      <w:r>
        <w:rPr>
          <w:rFonts w:ascii="Arial" w:hAnsi="Arial" w:cs="Arial"/>
          <w:sz w:val="22"/>
          <w:szCs w:val="22"/>
          <w:lang w:val="en-US"/>
        </w:rPr>
        <w:t>,</w:t>
      </w:r>
      <w:r w:rsidRPr="00C947C6">
        <w:rPr>
          <w:rFonts w:ascii="Arial" w:hAnsi="Arial" w:cs="Arial"/>
          <w:sz w:val="22"/>
          <w:szCs w:val="22"/>
          <w:lang w:val="en-US"/>
        </w:rPr>
        <w:t xml:space="preserve"> in November 2017</w:t>
      </w:r>
      <w:r>
        <w:rPr>
          <w:rFonts w:ascii="Arial" w:hAnsi="Arial" w:cs="Arial"/>
          <w:sz w:val="22"/>
          <w:szCs w:val="22"/>
          <w:lang w:val="en-US"/>
        </w:rPr>
        <w:t xml:space="preserve">, and </w:t>
      </w:r>
      <w:r w:rsidR="006A1099">
        <w:rPr>
          <w:rFonts w:ascii="Arial" w:hAnsi="Arial" w:cs="Arial"/>
          <w:sz w:val="22"/>
          <w:szCs w:val="22"/>
          <w:lang w:val="en-US"/>
        </w:rPr>
        <w:t xml:space="preserve">further </w:t>
      </w:r>
      <w:r>
        <w:rPr>
          <w:rFonts w:ascii="Arial" w:hAnsi="Arial" w:cs="Arial"/>
          <w:sz w:val="22"/>
          <w:szCs w:val="22"/>
          <w:lang w:val="en-US"/>
        </w:rPr>
        <w:t xml:space="preserve">again at </w:t>
      </w:r>
      <w:r w:rsidR="006A1099">
        <w:rPr>
          <w:rFonts w:ascii="Arial" w:hAnsi="Arial" w:cs="Arial"/>
          <w:sz w:val="22"/>
          <w:szCs w:val="22"/>
          <w:lang w:val="en-US"/>
        </w:rPr>
        <w:t>the thirteenth session</w:t>
      </w:r>
      <w:r>
        <w:rPr>
          <w:rFonts w:ascii="Arial" w:hAnsi="Arial" w:cs="Arial"/>
          <w:sz w:val="22"/>
          <w:szCs w:val="22"/>
          <w:lang w:val="en-US"/>
        </w:rPr>
        <w:t xml:space="preserve"> in </w:t>
      </w:r>
      <w:r w:rsidRPr="00C947C6">
        <w:rPr>
          <w:rFonts w:ascii="Arial" w:hAnsi="Arial" w:cs="Arial"/>
          <w:sz w:val="22"/>
          <w:szCs w:val="22"/>
          <w:lang w:val="en-US"/>
        </w:rPr>
        <w:t>Port Louis,</w:t>
      </w:r>
      <w:r>
        <w:rPr>
          <w:rFonts w:ascii="Arial" w:hAnsi="Arial" w:cs="Arial"/>
          <w:sz w:val="22"/>
          <w:szCs w:val="22"/>
          <w:lang w:val="en-US"/>
        </w:rPr>
        <w:t xml:space="preserve"> </w:t>
      </w:r>
      <w:r w:rsidRPr="00C947C6">
        <w:rPr>
          <w:rFonts w:ascii="Arial" w:hAnsi="Arial" w:cs="Arial"/>
          <w:sz w:val="22"/>
          <w:szCs w:val="22"/>
          <w:lang w:val="en-US"/>
        </w:rPr>
        <w:t>Republic of Mauritius</w:t>
      </w:r>
      <w:r>
        <w:rPr>
          <w:rFonts w:ascii="Arial" w:hAnsi="Arial" w:cs="Arial"/>
          <w:sz w:val="22"/>
          <w:szCs w:val="22"/>
          <w:lang w:val="en-US"/>
        </w:rPr>
        <w:t>, in November</w:t>
      </w:r>
      <w:r w:rsidR="00692D39">
        <w:rPr>
          <w:rFonts w:ascii="Arial" w:hAnsi="Arial" w:cs="Arial"/>
          <w:sz w:val="22"/>
          <w:szCs w:val="22"/>
          <w:lang w:val="en-US"/>
        </w:rPr>
        <w:t>–</w:t>
      </w:r>
      <w:r>
        <w:rPr>
          <w:rFonts w:ascii="Arial" w:hAnsi="Arial" w:cs="Arial"/>
          <w:sz w:val="22"/>
          <w:szCs w:val="22"/>
          <w:lang w:val="en-US"/>
        </w:rPr>
        <w:t>December 2019</w:t>
      </w:r>
      <w:r w:rsidRPr="00C947C6">
        <w:rPr>
          <w:rFonts w:ascii="Arial" w:hAnsi="Arial" w:cs="Arial"/>
          <w:sz w:val="22"/>
          <w:szCs w:val="22"/>
          <w:lang w:val="en-US"/>
        </w:rPr>
        <w:t>.</w:t>
      </w:r>
    </w:p>
    <w:p w14:paraId="02D3DE91" w14:textId="363971F7" w:rsidR="00F1300B" w:rsidRPr="00470FF0" w:rsidRDefault="00F1300B" w:rsidP="00F1300B">
      <w:pPr>
        <w:pStyle w:val="ListParagraph"/>
        <w:numPr>
          <w:ilvl w:val="0"/>
          <w:numId w:val="66"/>
        </w:numPr>
        <w:spacing w:before="120" w:after="120"/>
        <w:ind w:left="567" w:hanging="567"/>
        <w:contextualSpacing w:val="0"/>
        <w:jc w:val="both"/>
        <w:rPr>
          <w:rFonts w:ascii="Arial" w:hAnsi="Arial" w:cs="Arial"/>
          <w:sz w:val="22"/>
          <w:szCs w:val="22"/>
          <w:lang w:val="en-US"/>
        </w:rPr>
      </w:pPr>
      <w:r w:rsidRPr="00470FF0">
        <w:rPr>
          <w:rFonts w:ascii="Arial" w:hAnsi="Arial" w:cs="Arial"/>
          <w:sz w:val="22"/>
          <w:szCs w:val="22"/>
          <w:lang w:val="en-US"/>
        </w:rPr>
        <w:t>During 2019, the Permanent Delegation of Colombia to UNESCO chaired the ad</w:t>
      </w:r>
      <w:r w:rsidR="00104E1B">
        <w:rPr>
          <w:rFonts w:ascii="Arial" w:hAnsi="Arial" w:cs="Arial"/>
          <w:sz w:val="22"/>
          <w:szCs w:val="22"/>
          <w:lang w:val="en-US"/>
        </w:rPr>
        <w:t xml:space="preserve"> </w:t>
      </w:r>
      <w:r w:rsidRPr="00470FF0">
        <w:rPr>
          <w:rFonts w:ascii="Arial" w:hAnsi="Arial" w:cs="Arial"/>
          <w:sz w:val="22"/>
          <w:szCs w:val="22"/>
          <w:lang w:val="en-US"/>
        </w:rPr>
        <w:t>hoc working group</w:t>
      </w:r>
      <w:r w:rsidR="00506BA7">
        <w:rPr>
          <w:rFonts w:ascii="Arial" w:hAnsi="Arial" w:cs="Arial"/>
          <w:sz w:val="22"/>
          <w:szCs w:val="22"/>
          <w:lang w:val="en-US"/>
        </w:rPr>
        <w:t xml:space="preserve"> and requested the Permanent Delegation of Algeria to serve as co-chairperson of the working group from September 2019. </w:t>
      </w:r>
      <w:r w:rsidRPr="00470FF0">
        <w:rPr>
          <w:rFonts w:ascii="Arial" w:hAnsi="Arial" w:cs="Arial"/>
          <w:sz w:val="22"/>
          <w:szCs w:val="22"/>
          <w:lang w:val="en-US"/>
        </w:rPr>
        <w:t>The Delegation wish</w:t>
      </w:r>
      <w:r w:rsidR="00E32C5C">
        <w:rPr>
          <w:rFonts w:ascii="Arial" w:hAnsi="Arial" w:cs="Arial"/>
          <w:sz w:val="22"/>
          <w:szCs w:val="22"/>
          <w:lang w:val="en-US"/>
        </w:rPr>
        <w:t>es</w:t>
      </w:r>
      <w:r w:rsidRPr="00470FF0">
        <w:rPr>
          <w:rFonts w:ascii="Arial" w:hAnsi="Arial" w:cs="Arial"/>
          <w:sz w:val="22"/>
          <w:szCs w:val="22"/>
          <w:lang w:val="en-US"/>
        </w:rPr>
        <w:t xml:space="preserve"> to thank the Permanent Delegation of </w:t>
      </w:r>
      <w:r>
        <w:rPr>
          <w:rFonts w:ascii="Arial" w:hAnsi="Arial" w:cs="Arial"/>
          <w:sz w:val="22"/>
          <w:szCs w:val="22"/>
          <w:lang w:val="en-US"/>
        </w:rPr>
        <w:t>Algeria</w:t>
      </w:r>
      <w:r w:rsidRPr="00470FF0">
        <w:rPr>
          <w:rFonts w:ascii="Arial" w:hAnsi="Arial" w:cs="Arial"/>
          <w:sz w:val="22"/>
          <w:szCs w:val="22"/>
          <w:lang w:val="en-US"/>
        </w:rPr>
        <w:t xml:space="preserve"> to UNESCO</w:t>
      </w:r>
      <w:r>
        <w:rPr>
          <w:rFonts w:ascii="Arial" w:hAnsi="Arial" w:cs="Arial"/>
          <w:sz w:val="22"/>
          <w:szCs w:val="22"/>
          <w:lang w:val="en-US"/>
        </w:rPr>
        <w:t>, as well as the Secretariat</w:t>
      </w:r>
      <w:r w:rsidRPr="00470FF0">
        <w:rPr>
          <w:rFonts w:ascii="Arial" w:hAnsi="Arial" w:cs="Arial"/>
          <w:sz w:val="22"/>
          <w:szCs w:val="22"/>
          <w:lang w:val="en-US"/>
        </w:rPr>
        <w:t xml:space="preserve"> for their support throughout the year.</w:t>
      </w:r>
      <w:r w:rsidR="00303C12" w:rsidRPr="00303C12">
        <w:rPr>
          <w:sz w:val="21"/>
          <w:szCs w:val="21"/>
          <w:lang w:val="en-US"/>
        </w:rPr>
        <w:t xml:space="preserve"> </w:t>
      </w:r>
    </w:p>
    <w:p w14:paraId="150E089E" w14:textId="2B476F39" w:rsidR="00F1300B" w:rsidRDefault="00F1300B" w:rsidP="00F1300B">
      <w:pPr>
        <w:pStyle w:val="ListParagraph"/>
        <w:numPr>
          <w:ilvl w:val="0"/>
          <w:numId w:val="66"/>
        </w:numPr>
        <w:spacing w:before="120" w:after="120"/>
        <w:ind w:left="567" w:hanging="567"/>
        <w:contextualSpacing w:val="0"/>
        <w:jc w:val="both"/>
        <w:rPr>
          <w:rFonts w:ascii="Arial" w:hAnsi="Arial" w:cs="Arial"/>
          <w:sz w:val="22"/>
          <w:szCs w:val="22"/>
          <w:lang w:val="en-US"/>
        </w:rPr>
      </w:pPr>
      <w:r>
        <w:rPr>
          <w:rFonts w:ascii="Arial" w:hAnsi="Arial" w:cs="Arial"/>
          <w:sz w:val="22"/>
          <w:szCs w:val="22"/>
          <w:lang w:val="en-US"/>
        </w:rPr>
        <w:t xml:space="preserve">During its </w:t>
      </w:r>
      <w:r w:rsidRPr="00A93E12">
        <w:rPr>
          <w:rFonts w:ascii="Arial" w:hAnsi="Arial" w:cs="Arial"/>
          <w:sz w:val="22"/>
          <w:szCs w:val="22"/>
          <w:lang w:val="en-US"/>
        </w:rPr>
        <w:t>meetings</w:t>
      </w:r>
      <w:r>
        <w:rPr>
          <w:rFonts w:ascii="Arial" w:hAnsi="Arial" w:cs="Arial"/>
          <w:sz w:val="22"/>
          <w:szCs w:val="22"/>
          <w:lang w:val="en-US"/>
        </w:rPr>
        <w:t xml:space="preserve">, the </w:t>
      </w:r>
      <w:r w:rsidRPr="00C947C6">
        <w:rPr>
          <w:rFonts w:ascii="Arial" w:hAnsi="Arial" w:cs="Arial"/>
          <w:sz w:val="22"/>
          <w:szCs w:val="22"/>
          <w:lang w:val="en-US"/>
        </w:rPr>
        <w:t>open-ended informal ad</w:t>
      </w:r>
      <w:r w:rsidR="00104E1B">
        <w:rPr>
          <w:rFonts w:ascii="Arial" w:hAnsi="Arial" w:cs="Arial"/>
          <w:sz w:val="22"/>
          <w:szCs w:val="22"/>
          <w:lang w:val="en-US"/>
        </w:rPr>
        <w:t xml:space="preserve"> </w:t>
      </w:r>
      <w:r w:rsidRPr="00C947C6">
        <w:rPr>
          <w:rFonts w:ascii="Arial" w:hAnsi="Arial" w:cs="Arial"/>
          <w:sz w:val="22"/>
          <w:szCs w:val="22"/>
          <w:lang w:val="en-US"/>
        </w:rPr>
        <w:t xml:space="preserve">hoc working group of the </w:t>
      </w:r>
      <w:r>
        <w:rPr>
          <w:rFonts w:ascii="Arial" w:hAnsi="Arial" w:cs="Arial"/>
          <w:sz w:val="22"/>
          <w:szCs w:val="22"/>
          <w:lang w:val="en-US"/>
        </w:rPr>
        <w:t>ICH</w:t>
      </w:r>
      <w:r w:rsidRPr="00C947C6">
        <w:rPr>
          <w:rFonts w:ascii="Arial" w:hAnsi="Arial" w:cs="Arial"/>
          <w:sz w:val="22"/>
          <w:szCs w:val="22"/>
          <w:lang w:val="en-US"/>
        </w:rPr>
        <w:t xml:space="preserve"> Committee </w:t>
      </w:r>
      <w:r>
        <w:rPr>
          <w:rFonts w:ascii="Arial" w:hAnsi="Arial" w:cs="Arial"/>
          <w:sz w:val="22"/>
          <w:szCs w:val="22"/>
          <w:lang w:val="en-US"/>
        </w:rPr>
        <w:t xml:space="preserve">discussed </w:t>
      </w:r>
      <w:r w:rsidR="006A1099">
        <w:rPr>
          <w:rFonts w:ascii="Arial" w:hAnsi="Arial" w:cs="Arial"/>
          <w:sz w:val="22"/>
          <w:szCs w:val="22"/>
          <w:lang w:val="en-US"/>
        </w:rPr>
        <w:t xml:space="preserve">two </w:t>
      </w:r>
      <w:r>
        <w:rPr>
          <w:rFonts w:ascii="Arial" w:hAnsi="Arial" w:cs="Arial"/>
          <w:sz w:val="22"/>
          <w:szCs w:val="22"/>
          <w:lang w:val="en-US"/>
        </w:rPr>
        <w:t xml:space="preserve">items under its purview as outlined by Committee </w:t>
      </w:r>
      <w:hyperlink r:id="rId18" w:history="1">
        <w:r w:rsidRPr="008826D5">
          <w:rPr>
            <w:rStyle w:val="Hyperlink"/>
            <w:rFonts w:ascii="Arial" w:hAnsi="Arial" w:cs="Arial"/>
            <w:sz w:val="22"/>
            <w:szCs w:val="22"/>
            <w:lang w:val="en-US"/>
          </w:rPr>
          <w:t>Decision 13.COM 16</w:t>
        </w:r>
      </w:hyperlink>
      <w:r>
        <w:rPr>
          <w:rFonts w:ascii="Arial" w:hAnsi="Arial" w:cs="Arial"/>
          <w:sz w:val="22"/>
          <w:szCs w:val="22"/>
          <w:lang w:val="en-US"/>
        </w:rPr>
        <w:t>:</w:t>
      </w:r>
    </w:p>
    <w:p w14:paraId="566D41C2" w14:textId="77777777" w:rsidR="00F1300B" w:rsidRDefault="00F1300B" w:rsidP="00AB5BCA">
      <w:pPr>
        <w:pStyle w:val="ListParagraph"/>
        <w:numPr>
          <w:ilvl w:val="1"/>
          <w:numId w:val="66"/>
        </w:numPr>
        <w:spacing w:before="120" w:after="120"/>
        <w:ind w:left="1134" w:hanging="567"/>
        <w:contextualSpacing w:val="0"/>
        <w:jc w:val="both"/>
        <w:rPr>
          <w:rFonts w:ascii="Arial" w:hAnsi="Arial" w:cs="Arial"/>
          <w:sz w:val="22"/>
          <w:szCs w:val="22"/>
          <w:lang w:val="en-US"/>
        </w:rPr>
      </w:pPr>
      <w:r w:rsidRPr="00EF30E2">
        <w:rPr>
          <w:rFonts w:ascii="Arial" w:hAnsi="Arial" w:cs="Arial"/>
          <w:sz w:val="22"/>
          <w:szCs w:val="22"/>
          <w:lang w:val="en-US"/>
        </w:rPr>
        <w:t>exchange with the Secretariat and the Evaluation Body on the implementation of the experimental dialogue mechanism as well as any other issues to facilitate the work of the Committee; and</w:t>
      </w:r>
    </w:p>
    <w:p w14:paraId="38808E56" w14:textId="77777777" w:rsidR="00F1300B" w:rsidRPr="004F2D8D" w:rsidRDefault="00F1300B" w:rsidP="00AB5BCA">
      <w:pPr>
        <w:pStyle w:val="ListParagraph"/>
        <w:numPr>
          <w:ilvl w:val="1"/>
          <w:numId w:val="66"/>
        </w:numPr>
        <w:spacing w:before="120" w:after="120"/>
        <w:ind w:left="1134" w:hanging="567"/>
        <w:contextualSpacing w:val="0"/>
        <w:jc w:val="both"/>
        <w:rPr>
          <w:rFonts w:ascii="Arial" w:hAnsi="Arial" w:cs="Arial"/>
          <w:sz w:val="22"/>
          <w:szCs w:val="22"/>
          <w:lang w:val="en-US"/>
        </w:rPr>
      </w:pPr>
      <w:r w:rsidRPr="00EF30E2">
        <w:rPr>
          <w:rFonts w:ascii="Arial" w:hAnsi="Arial" w:cs="Arial"/>
          <w:sz w:val="22"/>
          <w:szCs w:val="22"/>
          <w:lang w:val="en-US"/>
        </w:rPr>
        <w:t>continue the consultation process with accredited NGOs, on the possible ways in which the participation of NGOs under the 2003 Convention could be further enhanced and how this would be reflected in the accreditation and renewal mechanisms of NGOs</w:t>
      </w:r>
      <w:r>
        <w:rPr>
          <w:rFonts w:ascii="Arial" w:hAnsi="Arial" w:cs="Arial"/>
          <w:sz w:val="22"/>
          <w:szCs w:val="22"/>
          <w:lang w:val="en-US"/>
        </w:rPr>
        <w:t>.</w:t>
      </w:r>
    </w:p>
    <w:p w14:paraId="7CFDE124" w14:textId="620A20D7" w:rsidR="00F1300B" w:rsidRPr="00AB5BCA" w:rsidRDefault="00F1300B" w:rsidP="00AB5BCA">
      <w:pPr>
        <w:pStyle w:val="ListParagraph"/>
        <w:numPr>
          <w:ilvl w:val="0"/>
          <w:numId w:val="66"/>
        </w:numPr>
        <w:spacing w:before="120" w:after="120"/>
        <w:ind w:left="567" w:hanging="567"/>
        <w:contextualSpacing w:val="0"/>
        <w:jc w:val="both"/>
        <w:rPr>
          <w:rFonts w:ascii="Arial" w:hAnsi="Arial" w:cs="Arial"/>
          <w:sz w:val="22"/>
          <w:szCs w:val="22"/>
          <w:lang w:val="en-US"/>
        </w:rPr>
      </w:pPr>
      <w:r w:rsidRPr="00AB5BCA">
        <w:rPr>
          <w:rFonts w:ascii="Arial" w:hAnsi="Arial" w:cs="Arial"/>
          <w:sz w:val="22"/>
          <w:szCs w:val="22"/>
          <w:lang w:val="en-US"/>
        </w:rPr>
        <w:t xml:space="preserve">To address these two topics, the working group held two meetings in March and September 2019. Additionally, it </w:t>
      </w:r>
      <w:r w:rsidR="00104E1B">
        <w:rPr>
          <w:rFonts w:ascii="Arial" w:hAnsi="Arial" w:cs="Arial"/>
          <w:sz w:val="22"/>
          <w:szCs w:val="22"/>
          <w:lang w:val="en-US"/>
        </w:rPr>
        <w:t xml:space="preserve">also </w:t>
      </w:r>
      <w:r w:rsidRPr="00AB5BCA">
        <w:rPr>
          <w:rFonts w:ascii="Arial" w:hAnsi="Arial" w:cs="Arial"/>
          <w:sz w:val="22"/>
          <w:szCs w:val="22"/>
          <w:lang w:val="en-US"/>
        </w:rPr>
        <w:t>participated in two other meetings with the Secretariat: an information and exchange session in March, and a consultation meeting in April.</w:t>
      </w:r>
      <w:r>
        <w:rPr>
          <w:rFonts w:ascii="Arial" w:hAnsi="Arial" w:cs="Arial"/>
          <w:sz w:val="22"/>
          <w:szCs w:val="22"/>
          <w:lang w:val="en-US"/>
        </w:rPr>
        <w:t xml:space="preserve"> </w:t>
      </w:r>
      <w:r w:rsidRPr="00AB5BCA">
        <w:rPr>
          <w:rFonts w:ascii="Arial" w:hAnsi="Arial" w:cs="Arial"/>
          <w:sz w:val="22"/>
          <w:szCs w:val="22"/>
          <w:lang w:val="en-US"/>
        </w:rPr>
        <w:t xml:space="preserve">During these meetings, numerous </w:t>
      </w:r>
      <w:r w:rsidR="00104E1B">
        <w:rPr>
          <w:rFonts w:ascii="Arial" w:hAnsi="Arial" w:cs="Arial"/>
          <w:sz w:val="22"/>
          <w:szCs w:val="22"/>
          <w:lang w:val="en-US"/>
        </w:rPr>
        <w:t>P</w:t>
      </w:r>
      <w:r w:rsidRPr="00AB5BCA">
        <w:rPr>
          <w:rFonts w:ascii="Arial" w:hAnsi="Arial" w:cs="Arial"/>
          <w:sz w:val="22"/>
          <w:szCs w:val="22"/>
          <w:lang w:val="en-US"/>
        </w:rPr>
        <w:t xml:space="preserve">ermanent </w:t>
      </w:r>
      <w:r w:rsidR="00104E1B">
        <w:rPr>
          <w:rFonts w:ascii="Arial" w:hAnsi="Arial" w:cs="Arial"/>
          <w:sz w:val="22"/>
          <w:szCs w:val="22"/>
          <w:lang w:val="en-US"/>
        </w:rPr>
        <w:t>D</w:t>
      </w:r>
      <w:r w:rsidRPr="00AB5BCA">
        <w:rPr>
          <w:rFonts w:ascii="Arial" w:hAnsi="Arial" w:cs="Arial"/>
          <w:sz w:val="22"/>
          <w:szCs w:val="22"/>
          <w:lang w:val="en-US"/>
        </w:rPr>
        <w:t xml:space="preserve">elegations of </w:t>
      </w:r>
      <w:r w:rsidR="00104E1B">
        <w:rPr>
          <w:rFonts w:ascii="Arial" w:hAnsi="Arial" w:cs="Arial"/>
          <w:sz w:val="22"/>
          <w:szCs w:val="22"/>
          <w:lang w:val="en-US"/>
        </w:rPr>
        <w:t>S</w:t>
      </w:r>
      <w:r w:rsidRPr="00AB5BCA">
        <w:rPr>
          <w:rFonts w:ascii="Arial" w:hAnsi="Arial" w:cs="Arial"/>
          <w:sz w:val="22"/>
          <w:szCs w:val="22"/>
          <w:lang w:val="en-US"/>
        </w:rPr>
        <w:t>tates</w:t>
      </w:r>
      <w:r w:rsidR="006A1099">
        <w:rPr>
          <w:rFonts w:ascii="Arial" w:hAnsi="Arial" w:cs="Arial"/>
          <w:sz w:val="22"/>
          <w:szCs w:val="22"/>
          <w:lang w:val="en-US"/>
        </w:rPr>
        <w:t>,</w:t>
      </w:r>
      <w:r w:rsidRPr="00AB5BCA">
        <w:rPr>
          <w:rFonts w:ascii="Arial" w:hAnsi="Arial" w:cs="Arial"/>
          <w:sz w:val="22"/>
          <w:szCs w:val="22"/>
          <w:lang w:val="en-US"/>
        </w:rPr>
        <w:t xml:space="preserve"> members to the 2003 Convention took the floor to express their commitment to the Convention and their views on, among others</w:t>
      </w:r>
      <w:r w:rsidR="006A1099">
        <w:rPr>
          <w:rFonts w:ascii="Arial" w:hAnsi="Arial" w:cs="Arial"/>
          <w:sz w:val="22"/>
          <w:szCs w:val="22"/>
          <w:lang w:val="en-US"/>
        </w:rPr>
        <w:t>:</w:t>
      </w:r>
      <w:r w:rsidRPr="00AB5BCA">
        <w:rPr>
          <w:rFonts w:ascii="Arial" w:hAnsi="Arial" w:cs="Arial"/>
          <w:sz w:val="22"/>
          <w:szCs w:val="22"/>
          <w:lang w:val="en-US"/>
        </w:rPr>
        <w:t xml:space="preserve"> ways to use the existing resources of the Convention more effectively; the launch of the </w:t>
      </w:r>
      <w:r w:rsidR="00692D39">
        <w:rPr>
          <w:rFonts w:ascii="Arial" w:hAnsi="Arial" w:cs="Arial"/>
          <w:sz w:val="22"/>
          <w:szCs w:val="22"/>
          <w:lang w:val="en-US"/>
        </w:rPr>
        <w:t>‘</w:t>
      </w:r>
      <w:r w:rsidRPr="00AB5BCA">
        <w:rPr>
          <w:rFonts w:ascii="Arial" w:hAnsi="Arial" w:cs="Arial"/>
          <w:sz w:val="22"/>
          <w:szCs w:val="22"/>
          <w:lang w:val="en-US"/>
        </w:rPr>
        <w:t>provisional upstream dialog</w:t>
      </w:r>
      <w:r w:rsidR="00830AD6">
        <w:rPr>
          <w:rFonts w:ascii="Arial" w:hAnsi="Arial" w:cs="Arial"/>
          <w:sz w:val="22"/>
          <w:szCs w:val="22"/>
          <w:lang w:val="en-US"/>
        </w:rPr>
        <w:t>ue</w:t>
      </w:r>
      <w:r w:rsidRPr="00AB5BCA">
        <w:rPr>
          <w:rFonts w:ascii="Arial" w:hAnsi="Arial" w:cs="Arial"/>
          <w:sz w:val="22"/>
          <w:szCs w:val="22"/>
          <w:lang w:val="en-US"/>
        </w:rPr>
        <w:t xml:space="preserve"> process</w:t>
      </w:r>
      <w:r w:rsidR="00692D39">
        <w:rPr>
          <w:rFonts w:ascii="Arial" w:hAnsi="Arial" w:cs="Arial"/>
          <w:sz w:val="22"/>
          <w:szCs w:val="22"/>
          <w:lang w:val="en-US"/>
        </w:rPr>
        <w:t>’</w:t>
      </w:r>
      <w:r w:rsidRPr="00AB5BCA">
        <w:rPr>
          <w:rFonts w:ascii="Arial" w:hAnsi="Arial" w:cs="Arial"/>
          <w:sz w:val="22"/>
          <w:szCs w:val="22"/>
          <w:lang w:val="en-US"/>
        </w:rPr>
        <w:t xml:space="preserve"> as an advance on the inscription of elements on the Representative List and dialogue with the Evaluation Body; and ways for the accredited NGOs to have a wider participation </w:t>
      </w:r>
      <w:r w:rsidR="006A1099">
        <w:rPr>
          <w:rFonts w:ascii="Arial" w:hAnsi="Arial" w:cs="Arial"/>
          <w:sz w:val="22"/>
          <w:szCs w:val="22"/>
          <w:lang w:val="en-US"/>
        </w:rPr>
        <w:t>in</w:t>
      </w:r>
      <w:r w:rsidR="006A1099" w:rsidRPr="00AB5BCA">
        <w:rPr>
          <w:rFonts w:ascii="Arial" w:hAnsi="Arial" w:cs="Arial"/>
          <w:sz w:val="22"/>
          <w:szCs w:val="22"/>
          <w:lang w:val="en-US"/>
        </w:rPr>
        <w:t xml:space="preserve"> </w:t>
      </w:r>
      <w:r w:rsidRPr="00AB5BCA">
        <w:rPr>
          <w:rFonts w:ascii="Arial" w:hAnsi="Arial" w:cs="Arial"/>
          <w:sz w:val="22"/>
          <w:szCs w:val="22"/>
          <w:lang w:val="en-US"/>
        </w:rPr>
        <w:t>the implementation of the Convention and the safeguarding of ICH.</w:t>
      </w:r>
    </w:p>
    <w:p w14:paraId="6A06F398" w14:textId="7EF13F59" w:rsidR="00F1300B" w:rsidRDefault="00F1300B" w:rsidP="00F1300B">
      <w:pPr>
        <w:spacing w:before="240"/>
        <w:jc w:val="both"/>
        <w:rPr>
          <w:rFonts w:ascii="Arial" w:hAnsi="Arial" w:cs="Arial"/>
          <w:b/>
          <w:sz w:val="22"/>
          <w:szCs w:val="22"/>
          <w:lang w:val="en-US"/>
        </w:rPr>
      </w:pPr>
      <w:r>
        <w:rPr>
          <w:rFonts w:ascii="Arial" w:hAnsi="Arial" w:cs="Arial"/>
          <w:b/>
          <w:sz w:val="22"/>
          <w:szCs w:val="22"/>
          <w:lang w:val="en-US"/>
        </w:rPr>
        <w:t xml:space="preserve">Reflection </w:t>
      </w:r>
      <w:r w:rsidRPr="00893B9F">
        <w:rPr>
          <w:rFonts w:ascii="Arial" w:hAnsi="Arial" w:cs="Arial"/>
          <w:b/>
          <w:sz w:val="22"/>
          <w:szCs w:val="22"/>
          <w:lang w:val="en-US"/>
        </w:rPr>
        <w:t>on the launch of</w:t>
      </w:r>
      <w:r w:rsidR="00254EE2">
        <w:rPr>
          <w:rFonts w:ascii="Arial" w:hAnsi="Arial" w:cs="Arial"/>
          <w:b/>
          <w:sz w:val="22"/>
          <w:szCs w:val="22"/>
          <w:lang w:val="en-US"/>
        </w:rPr>
        <w:t xml:space="preserve"> the</w:t>
      </w:r>
      <w:r w:rsidRPr="00893B9F">
        <w:rPr>
          <w:rFonts w:ascii="Arial" w:hAnsi="Arial" w:cs="Arial"/>
          <w:b/>
          <w:sz w:val="22"/>
          <w:szCs w:val="22"/>
          <w:lang w:val="en-US"/>
        </w:rPr>
        <w:t xml:space="preserve"> </w:t>
      </w:r>
      <w:r w:rsidR="00F659F8">
        <w:rPr>
          <w:rFonts w:ascii="Arial" w:hAnsi="Arial" w:cs="Arial"/>
          <w:b/>
          <w:sz w:val="22"/>
          <w:szCs w:val="22"/>
          <w:lang w:val="en-US"/>
        </w:rPr>
        <w:t>‘</w:t>
      </w:r>
      <w:r w:rsidRPr="00893B9F">
        <w:rPr>
          <w:rFonts w:ascii="Arial" w:hAnsi="Arial" w:cs="Arial"/>
          <w:b/>
          <w:sz w:val="22"/>
          <w:szCs w:val="22"/>
          <w:lang w:val="en-US"/>
        </w:rPr>
        <w:t>provisional upstream dialog</w:t>
      </w:r>
      <w:r w:rsidR="00830AD6">
        <w:rPr>
          <w:rFonts w:ascii="Arial" w:hAnsi="Arial" w:cs="Arial"/>
          <w:b/>
          <w:sz w:val="22"/>
          <w:szCs w:val="22"/>
          <w:lang w:val="en-US"/>
        </w:rPr>
        <w:t>ue</w:t>
      </w:r>
      <w:r w:rsidRPr="00893B9F">
        <w:rPr>
          <w:rFonts w:ascii="Arial" w:hAnsi="Arial" w:cs="Arial"/>
          <w:b/>
          <w:sz w:val="22"/>
          <w:szCs w:val="22"/>
          <w:lang w:val="en-US"/>
        </w:rPr>
        <w:t xml:space="preserve"> process</w:t>
      </w:r>
      <w:r w:rsidR="00F659F8">
        <w:rPr>
          <w:rFonts w:ascii="Arial" w:hAnsi="Arial" w:cs="Arial"/>
          <w:b/>
          <w:sz w:val="22"/>
          <w:szCs w:val="22"/>
          <w:lang w:val="en-US"/>
        </w:rPr>
        <w:t>’</w:t>
      </w:r>
      <w:r>
        <w:rPr>
          <w:rFonts w:ascii="Arial" w:hAnsi="Arial" w:cs="Arial"/>
          <w:b/>
          <w:sz w:val="22"/>
          <w:szCs w:val="22"/>
          <w:lang w:val="en-US"/>
        </w:rPr>
        <w:t>, in e</w:t>
      </w:r>
      <w:r w:rsidRPr="00893B9F">
        <w:rPr>
          <w:rFonts w:ascii="Arial" w:hAnsi="Arial" w:cs="Arial"/>
          <w:b/>
          <w:sz w:val="22"/>
          <w:szCs w:val="22"/>
          <w:lang w:val="en-US"/>
        </w:rPr>
        <w:t>xchange with the Secretariat</w:t>
      </w:r>
      <w:r>
        <w:rPr>
          <w:rFonts w:ascii="Arial" w:hAnsi="Arial" w:cs="Arial"/>
          <w:b/>
          <w:sz w:val="22"/>
          <w:szCs w:val="22"/>
          <w:lang w:val="en-US"/>
        </w:rPr>
        <w:t>, the State</w:t>
      </w:r>
      <w:r w:rsidR="00994FC7">
        <w:rPr>
          <w:rFonts w:ascii="Arial" w:hAnsi="Arial" w:cs="Arial"/>
          <w:b/>
          <w:sz w:val="22"/>
          <w:szCs w:val="22"/>
          <w:lang w:val="en-US"/>
        </w:rPr>
        <w:t>s</w:t>
      </w:r>
      <w:r>
        <w:rPr>
          <w:rFonts w:ascii="Arial" w:hAnsi="Arial" w:cs="Arial"/>
          <w:b/>
          <w:sz w:val="22"/>
          <w:szCs w:val="22"/>
          <w:lang w:val="en-US"/>
        </w:rPr>
        <w:t xml:space="preserve"> Parties</w:t>
      </w:r>
      <w:r w:rsidR="00D82EA1">
        <w:rPr>
          <w:rFonts w:ascii="Arial" w:hAnsi="Arial" w:cs="Arial"/>
          <w:b/>
          <w:sz w:val="22"/>
          <w:szCs w:val="22"/>
          <w:lang w:val="en-US"/>
        </w:rPr>
        <w:t xml:space="preserve"> and the Evaluation Body</w:t>
      </w:r>
    </w:p>
    <w:p w14:paraId="27BBF566" w14:textId="6D56E5F1" w:rsidR="00F1300B" w:rsidRPr="0084617F" w:rsidRDefault="00F1300B" w:rsidP="00AB5BCA">
      <w:pPr>
        <w:pStyle w:val="ListParagraph"/>
        <w:numPr>
          <w:ilvl w:val="0"/>
          <w:numId w:val="66"/>
        </w:numPr>
        <w:spacing w:before="120" w:after="120"/>
        <w:ind w:left="567" w:hanging="567"/>
        <w:contextualSpacing w:val="0"/>
        <w:jc w:val="both"/>
        <w:rPr>
          <w:rFonts w:ascii="Arial" w:hAnsi="Arial" w:cs="Arial"/>
          <w:sz w:val="22"/>
          <w:szCs w:val="22"/>
          <w:lang w:val="en-US"/>
        </w:rPr>
      </w:pPr>
      <w:r>
        <w:rPr>
          <w:rFonts w:ascii="Arial" w:hAnsi="Arial" w:cs="Arial"/>
          <w:sz w:val="22"/>
          <w:szCs w:val="22"/>
          <w:lang w:val="en-US"/>
        </w:rPr>
        <w:t xml:space="preserve">During the </w:t>
      </w:r>
      <w:r w:rsidR="00301499">
        <w:rPr>
          <w:rFonts w:ascii="Arial" w:hAnsi="Arial" w:cs="Arial"/>
          <w:sz w:val="22"/>
          <w:szCs w:val="22"/>
          <w:lang w:val="en-US"/>
        </w:rPr>
        <w:t xml:space="preserve">thirteenth session of the Committee </w:t>
      </w:r>
      <w:r>
        <w:rPr>
          <w:rFonts w:ascii="Arial" w:hAnsi="Arial" w:cs="Arial"/>
          <w:sz w:val="22"/>
          <w:szCs w:val="22"/>
          <w:lang w:val="en-US"/>
        </w:rPr>
        <w:t xml:space="preserve">in Mauritius, it was proposed to establish a </w:t>
      </w:r>
      <w:r w:rsidR="00692D39">
        <w:rPr>
          <w:rFonts w:ascii="Arial" w:hAnsi="Arial" w:cs="Arial"/>
          <w:sz w:val="22"/>
          <w:szCs w:val="22"/>
          <w:lang w:val="en-US"/>
        </w:rPr>
        <w:t>‘</w:t>
      </w:r>
      <w:r>
        <w:rPr>
          <w:rFonts w:ascii="Arial" w:hAnsi="Arial" w:cs="Arial"/>
          <w:sz w:val="22"/>
          <w:szCs w:val="22"/>
          <w:lang w:val="en-US"/>
        </w:rPr>
        <w:t>dialogue</w:t>
      </w:r>
      <w:r w:rsidR="00692D39">
        <w:rPr>
          <w:rFonts w:ascii="Arial" w:hAnsi="Arial" w:cs="Arial"/>
          <w:sz w:val="22"/>
          <w:szCs w:val="22"/>
          <w:lang w:val="en-US"/>
        </w:rPr>
        <w:t>’</w:t>
      </w:r>
      <w:r>
        <w:rPr>
          <w:rFonts w:ascii="Arial" w:hAnsi="Arial" w:cs="Arial"/>
          <w:sz w:val="22"/>
          <w:szCs w:val="22"/>
          <w:lang w:val="en-US"/>
        </w:rPr>
        <w:t xml:space="preserve"> between the Evaluation Body and the submitting State</w:t>
      </w:r>
      <w:r w:rsidR="00301499">
        <w:rPr>
          <w:rFonts w:ascii="Arial" w:hAnsi="Arial" w:cs="Arial"/>
          <w:sz w:val="22"/>
          <w:szCs w:val="22"/>
          <w:lang w:val="en-US"/>
        </w:rPr>
        <w:t>s</w:t>
      </w:r>
      <w:r>
        <w:rPr>
          <w:rFonts w:ascii="Arial" w:hAnsi="Arial" w:cs="Arial"/>
          <w:sz w:val="22"/>
          <w:szCs w:val="22"/>
          <w:lang w:val="en-US"/>
        </w:rPr>
        <w:t xml:space="preserve"> Parties prior to the Committee session, in order to avoid lengthy discussions during the Committee’s deliberations on nominations</w:t>
      </w:r>
      <w:r w:rsidR="00994FC7">
        <w:rPr>
          <w:rFonts w:ascii="Arial" w:hAnsi="Arial" w:cs="Arial"/>
          <w:sz w:val="22"/>
          <w:szCs w:val="22"/>
          <w:lang w:val="en-US"/>
        </w:rPr>
        <w:t>, thus</w:t>
      </w:r>
      <w:r>
        <w:rPr>
          <w:rFonts w:ascii="Arial" w:hAnsi="Arial" w:cs="Arial"/>
          <w:sz w:val="22"/>
          <w:szCs w:val="22"/>
          <w:lang w:val="en-US"/>
        </w:rPr>
        <w:t xml:space="preserve"> allow</w:t>
      </w:r>
      <w:r w:rsidR="00994FC7">
        <w:rPr>
          <w:rFonts w:ascii="Arial" w:hAnsi="Arial" w:cs="Arial"/>
          <w:sz w:val="22"/>
          <w:szCs w:val="22"/>
          <w:lang w:val="en-US"/>
        </w:rPr>
        <w:t>ing</w:t>
      </w:r>
      <w:r>
        <w:rPr>
          <w:rFonts w:ascii="Arial" w:hAnsi="Arial" w:cs="Arial"/>
          <w:sz w:val="22"/>
          <w:szCs w:val="22"/>
          <w:lang w:val="en-US"/>
        </w:rPr>
        <w:t xml:space="preserve"> the Committee to concentrate on safeguarding the elements, which constitute</w:t>
      </w:r>
      <w:r w:rsidR="005D7F12">
        <w:rPr>
          <w:rFonts w:ascii="Arial" w:hAnsi="Arial" w:cs="Arial"/>
          <w:sz w:val="22"/>
          <w:szCs w:val="22"/>
          <w:lang w:val="en-US"/>
        </w:rPr>
        <w:t>s</w:t>
      </w:r>
      <w:r>
        <w:rPr>
          <w:rFonts w:ascii="Arial" w:hAnsi="Arial" w:cs="Arial"/>
          <w:sz w:val="22"/>
          <w:szCs w:val="22"/>
          <w:lang w:val="en-US"/>
        </w:rPr>
        <w:t xml:space="preserve"> the essence of th</w:t>
      </w:r>
      <w:r w:rsidR="005D7F12">
        <w:rPr>
          <w:rFonts w:ascii="Arial" w:hAnsi="Arial" w:cs="Arial"/>
          <w:sz w:val="22"/>
          <w:szCs w:val="22"/>
          <w:lang w:val="en-US"/>
        </w:rPr>
        <w:t>e</w:t>
      </w:r>
      <w:r>
        <w:rPr>
          <w:rFonts w:ascii="Arial" w:hAnsi="Arial" w:cs="Arial"/>
          <w:sz w:val="22"/>
          <w:szCs w:val="22"/>
          <w:lang w:val="en-US"/>
        </w:rPr>
        <w:t xml:space="preserve"> Convention.</w:t>
      </w:r>
    </w:p>
    <w:p w14:paraId="70C20219" w14:textId="1F21B050" w:rsidR="00F1300B" w:rsidRDefault="00F1300B" w:rsidP="00F1300B">
      <w:pPr>
        <w:pStyle w:val="ListParagraph"/>
        <w:numPr>
          <w:ilvl w:val="0"/>
          <w:numId w:val="66"/>
        </w:numPr>
        <w:spacing w:before="120" w:after="120"/>
        <w:ind w:left="567" w:hanging="567"/>
        <w:contextualSpacing w:val="0"/>
        <w:jc w:val="both"/>
        <w:rPr>
          <w:rFonts w:ascii="Arial" w:hAnsi="Arial" w:cs="Arial"/>
          <w:sz w:val="22"/>
          <w:szCs w:val="22"/>
          <w:lang w:val="en-US"/>
        </w:rPr>
      </w:pPr>
      <w:r>
        <w:rPr>
          <w:rFonts w:ascii="Arial" w:hAnsi="Arial" w:cs="Arial"/>
          <w:sz w:val="22"/>
          <w:szCs w:val="22"/>
          <w:lang w:val="en-US"/>
        </w:rPr>
        <w:t xml:space="preserve">As a result, a </w:t>
      </w:r>
      <w:r w:rsidR="00692D39">
        <w:rPr>
          <w:rFonts w:ascii="Arial" w:hAnsi="Arial" w:cs="Arial"/>
          <w:sz w:val="22"/>
          <w:szCs w:val="22"/>
          <w:lang w:val="en-US"/>
        </w:rPr>
        <w:t>‘</w:t>
      </w:r>
      <w:r w:rsidRPr="00A16FA6">
        <w:rPr>
          <w:rFonts w:ascii="Arial" w:hAnsi="Arial" w:cs="Arial"/>
          <w:sz w:val="22"/>
          <w:szCs w:val="22"/>
          <w:lang w:val="en-US"/>
        </w:rPr>
        <w:t>provisional upstream dialog</w:t>
      </w:r>
      <w:r w:rsidR="00830AD6">
        <w:rPr>
          <w:rFonts w:ascii="Arial" w:hAnsi="Arial" w:cs="Arial"/>
          <w:sz w:val="22"/>
          <w:szCs w:val="22"/>
          <w:lang w:val="en-US"/>
        </w:rPr>
        <w:t>ue</w:t>
      </w:r>
      <w:r w:rsidRPr="00A16FA6">
        <w:rPr>
          <w:rFonts w:ascii="Arial" w:hAnsi="Arial" w:cs="Arial"/>
          <w:sz w:val="22"/>
          <w:szCs w:val="22"/>
          <w:lang w:val="en-US"/>
        </w:rPr>
        <w:t xml:space="preserve"> process</w:t>
      </w:r>
      <w:r w:rsidR="00692D39">
        <w:rPr>
          <w:rFonts w:ascii="Arial" w:hAnsi="Arial" w:cs="Arial"/>
          <w:sz w:val="22"/>
          <w:szCs w:val="22"/>
          <w:lang w:val="en-US"/>
        </w:rPr>
        <w:t>’</w:t>
      </w:r>
      <w:r>
        <w:rPr>
          <w:rFonts w:ascii="Arial" w:hAnsi="Arial" w:cs="Arial"/>
          <w:sz w:val="22"/>
          <w:szCs w:val="22"/>
          <w:lang w:val="en-US"/>
        </w:rPr>
        <w:t xml:space="preserve"> was launched during the evaluation process of 2019 for those files that involved a minor lack of information, yet not for those with structural problems</w:t>
      </w:r>
      <w:r w:rsidR="001E3E37">
        <w:rPr>
          <w:rFonts w:ascii="Arial" w:hAnsi="Arial" w:cs="Arial"/>
          <w:sz w:val="22"/>
          <w:szCs w:val="22"/>
          <w:lang w:val="en-US"/>
        </w:rPr>
        <w:t>.</w:t>
      </w:r>
    </w:p>
    <w:p w14:paraId="5DD77430" w14:textId="423A0AA7" w:rsidR="00F1300B" w:rsidRDefault="00F1300B" w:rsidP="00F1300B">
      <w:pPr>
        <w:pStyle w:val="ListParagraph"/>
        <w:numPr>
          <w:ilvl w:val="0"/>
          <w:numId w:val="66"/>
        </w:numPr>
        <w:spacing w:before="120" w:after="120"/>
        <w:ind w:left="567" w:hanging="567"/>
        <w:contextualSpacing w:val="0"/>
        <w:jc w:val="both"/>
        <w:rPr>
          <w:rFonts w:ascii="Arial" w:hAnsi="Arial" w:cs="Arial"/>
          <w:sz w:val="22"/>
          <w:szCs w:val="22"/>
          <w:lang w:val="en-US"/>
        </w:rPr>
      </w:pPr>
      <w:r>
        <w:rPr>
          <w:rFonts w:ascii="Arial" w:hAnsi="Arial" w:cs="Arial"/>
          <w:sz w:val="22"/>
          <w:szCs w:val="22"/>
          <w:lang w:val="en-US"/>
        </w:rPr>
        <w:t xml:space="preserve">The Evaluation Body presented the methodology that would be used for the process during an information and exchange session </w:t>
      </w:r>
      <w:r w:rsidR="00A36CCB">
        <w:rPr>
          <w:rFonts w:ascii="Arial" w:hAnsi="Arial" w:cs="Arial"/>
          <w:sz w:val="22"/>
          <w:szCs w:val="22"/>
          <w:lang w:val="en-US"/>
        </w:rPr>
        <w:t>i</w:t>
      </w:r>
      <w:r>
        <w:rPr>
          <w:rFonts w:ascii="Arial" w:hAnsi="Arial" w:cs="Arial"/>
          <w:sz w:val="22"/>
          <w:szCs w:val="22"/>
          <w:lang w:val="en-US"/>
        </w:rPr>
        <w:t>n March, w</w:t>
      </w:r>
      <w:r w:rsidR="00301499">
        <w:rPr>
          <w:rFonts w:ascii="Arial" w:hAnsi="Arial" w:cs="Arial"/>
          <w:sz w:val="22"/>
          <w:szCs w:val="22"/>
          <w:lang w:val="en-US"/>
        </w:rPr>
        <w:t>h</w:t>
      </w:r>
      <w:r>
        <w:rPr>
          <w:rFonts w:ascii="Arial" w:hAnsi="Arial" w:cs="Arial"/>
          <w:sz w:val="22"/>
          <w:szCs w:val="22"/>
          <w:lang w:val="en-US"/>
        </w:rPr>
        <w:t>ere questions from the State</w:t>
      </w:r>
      <w:r w:rsidR="00A36CCB">
        <w:rPr>
          <w:rFonts w:ascii="Arial" w:hAnsi="Arial" w:cs="Arial"/>
          <w:sz w:val="22"/>
          <w:szCs w:val="22"/>
          <w:lang w:val="en-US"/>
        </w:rPr>
        <w:t>s</w:t>
      </w:r>
      <w:r>
        <w:rPr>
          <w:rFonts w:ascii="Arial" w:hAnsi="Arial" w:cs="Arial"/>
          <w:sz w:val="22"/>
          <w:szCs w:val="22"/>
          <w:lang w:val="en-US"/>
        </w:rPr>
        <w:t xml:space="preserve"> Parties were addressed by the Secretariat and the Evaluation Body. The files that would be considered for this process would be those with minor issues that could be solved with a simple question and answer exchange.</w:t>
      </w:r>
    </w:p>
    <w:p w14:paraId="2D914010" w14:textId="62E254D4" w:rsidR="00F1300B" w:rsidRPr="0084617F" w:rsidRDefault="00F1300B" w:rsidP="00400F07">
      <w:pPr>
        <w:pStyle w:val="ListParagraph"/>
        <w:numPr>
          <w:ilvl w:val="0"/>
          <w:numId w:val="66"/>
        </w:numPr>
        <w:spacing w:before="120" w:after="120"/>
        <w:ind w:left="567" w:hanging="567"/>
        <w:contextualSpacing w:val="0"/>
        <w:jc w:val="both"/>
        <w:rPr>
          <w:rFonts w:ascii="Arial" w:hAnsi="Arial" w:cs="Arial"/>
          <w:sz w:val="22"/>
          <w:szCs w:val="22"/>
          <w:lang w:val="en-US"/>
        </w:rPr>
      </w:pPr>
      <w:r>
        <w:rPr>
          <w:rFonts w:ascii="Arial" w:hAnsi="Arial" w:cs="Arial"/>
          <w:sz w:val="22"/>
          <w:szCs w:val="22"/>
          <w:lang w:val="en-US"/>
        </w:rPr>
        <w:lastRenderedPageBreak/>
        <w:t xml:space="preserve">Following the third meeting of </w:t>
      </w:r>
      <w:r w:rsidRPr="00372AD7">
        <w:rPr>
          <w:rFonts w:ascii="Arial" w:hAnsi="Arial" w:cs="Arial"/>
          <w:sz w:val="22"/>
          <w:szCs w:val="22"/>
          <w:lang w:val="en-US"/>
        </w:rPr>
        <w:t>the Evaluation Body</w:t>
      </w:r>
      <w:r>
        <w:rPr>
          <w:rFonts w:ascii="Arial" w:hAnsi="Arial" w:cs="Arial"/>
          <w:sz w:val="22"/>
          <w:szCs w:val="22"/>
          <w:lang w:val="en-US"/>
        </w:rPr>
        <w:t xml:space="preserve"> in September, the </w:t>
      </w:r>
      <w:r w:rsidRPr="00372AD7">
        <w:rPr>
          <w:rFonts w:ascii="Arial" w:hAnsi="Arial" w:cs="Arial"/>
          <w:sz w:val="22"/>
          <w:szCs w:val="22"/>
          <w:lang w:val="en-US"/>
        </w:rPr>
        <w:t xml:space="preserve">working group </w:t>
      </w:r>
      <w:r>
        <w:rPr>
          <w:rFonts w:ascii="Arial" w:hAnsi="Arial" w:cs="Arial"/>
          <w:sz w:val="22"/>
          <w:szCs w:val="22"/>
          <w:lang w:val="en-US"/>
        </w:rPr>
        <w:t>invited the</w:t>
      </w:r>
      <w:r w:rsidR="005D7F12">
        <w:rPr>
          <w:rFonts w:ascii="Arial" w:hAnsi="Arial" w:cs="Arial"/>
          <w:sz w:val="22"/>
          <w:szCs w:val="22"/>
          <w:lang w:val="en-US"/>
        </w:rPr>
        <w:t xml:space="preserve"> Evaluation Body </w:t>
      </w:r>
      <w:r>
        <w:rPr>
          <w:rFonts w:ascii="Arial" w:hAnsi="Arial" w:cs="Arial"/>
          <w:sz w:val="22"/>
          <w:szCs w:val="22"/>
          <w:lang w:val="en-US"/>
        </w:rPr>
        <w:t>to</w:t>
      </w:r>
      <w:r w:rsidRPr="00372AD7">
        <w:rPr>
          <w:rFonts w:ascii="Arial" w:hAnsi="Arial" w:cs="Arial"/>
          <w:sz w:val="22"/>
          <w:szCs w:val="22"/>
          <w:lang w:val="en-US"/>
        </w:rPr>
        <w:t xml:space="preserve"> a</w:t>
      </w:r>
      <w:r>
        <w:rPr>
          <w:rFonts w:ascii="Arial" w:hAnsi="Arial" w:cs="Arial"/>
          <w:sz w:val="22"/>
          <w:szCs w:val="22"/>
          <w:lang w:val="en-US"/>
        </w:rPr>
        <w:t>n</w:t>
      </w:r>
      <w:r w:rsidRPr="00372AD7">
        <w:rPr>
          <w:rFonts w:ascii="Arial" w:hAnsi="Arial" w:cs="Arial"/>
          <w:sz w:val="22"/>
          <w:szCs w:val="22"/>
          <w:lang w:val="en-US"/>
        </w:rPr>
        <w:t xml:space="preserve"> </w:t>
      </w:r>
      <w:r>
        <w:rPr>
          <w:rFonts w:ascii="Arial" w:hAnsi="Arial" w:cs="Arial"/>
          <w:sz w:val="22"/>
          <w:szCs w:val="22"/>
          <w:lang w:val="en-US"/>
        </w:rPr>
        <w:t xml:space="preserve">open </w:t>
      </w:r>
      <w:r w:rsidRPr="00372AD7">
        <w:rPr>
          <w:rFonts w:ascii="Arial" w:hAnsi="Arial" w:cs="Arial"/>
          <w:sz w:val="22"/>
          <w:szCs w:val="22"/>
          <w:lang w:val="en-US"/>
        </w:rPr>
        <w:t xml:space="preserve">discussion </w:t>
      </w:r>
      <w:r>
        <w:rPr>
          <w:rFonts w:ascii="Arial" w:hAnsi="Arial" w:cs="Arial"/>
          <w:sz w:val="22"/>
          <w:szCs w:val="22"/>
          <w:lang w:val="en-US"/>
        </w:rPr>
        <w:t>meeting with the participation of numerous State</w:t>
      </w:r>
      <w:r w:rsidR="00A36CCB">
        <w:rPr>
          <w:rFonts w:ascii="Arial" w:hAnsi="Arial" w:cs="Arial"/>
          <w:sz w:val="22"/>
          <w:szCs w:val="22"/>
          <w:lang w:val="en-US"/>
        </w:rPr>
        <w:t>s</w:t>
      </w:r>
      <w:r>
        <w:rPr>
          <w:rFonts w:ascii="Arial" w:hAnsi="Arial" w:cs="Arial"/>
          <w:sz w:val="22"/>
          <w:szCs w:val="22"/>
          <w:lang w:val="en-US"/>
        </w:rPr>
        <w:t xml:space="preserve"> Parties, </w:t>
      </w:r>
      <w:r w:rsidRPr="00372AD7">
        <w:rPr>
          <w:rFonts w:ascii="Arial" w:hAnsi="Arial" w:cs="Arial"/>
          <w:sz w:val="22"/>
          <w:szCs w:val="22"/>
          <w:lang w:val="en-US"/>
        </w:rPr>
        <w:t xml:space="preserve">to </w:t>
      </w:r>
      <w:r>
        <w:rPr>
          <w:rFonts w:ascii="Arial" w:hAnsi="Arial" w:cs="Arial"/>
          <w:sz w:val="22"/>
          <w:szCs w:val="22"/>
          <w:lang w:val="en-US"/>
        </w:rPr>
        <w:t xml:space="preserve">learn about the lessons learned </w:t>
      </w:r>
      <w:r w:rsidR="005C732F">
        <w:rPr>
          <w:rFonts w:ascii="Arial" w:hAnsi="Arial" w:cs="Arial"/>
          <w:sz w:val="22"/>
          <w:szCs w:val="22"/>
          <w:lang w:val="en-US"/>
        </w:rPr>
        <w:t>with</w:t>
      </w:r>
      <w:r>
        <w:rPr>
          <w:rFonts w:ascii="Arial" w:hAnsi="Arial" w:cs="Arial"/>
          <w:sz w:val="22"/>
          <w:szCs w:val="22"/>
          <w:lang w:val="en-US"/>
        </w:rPr>
        <w:t xml:space="preserve"> the introduction of the new procedure. </w:t>
      </w:r>
      <w:r w:rsidRPr="00F73EE1">
        <w:rPr>
          <w:rFonts w:ascii="Arial" w:hAnsi="Arial" w:cs="Arial"/>
          <w:sz w:val="22"/>
          <w:szCs w:val="22"/>
          <w:lang w:val="en-US"/>
        </w:rPr>
        <w:t xml:space="preserve">Their overview will be </w:t>
      </w:r>
      <w:r>
        <w:rPr>
          <w:rFonts w:ascii="Arial" w:hAnsi="Arial" w:cs="Arial"/>
          <w:sz w:val="22"/>
          <w:szCs w:val="22"/>
          <w:lang w:val="en-US"/>
        </w:rPr>
        <w:t>available to State</w:t>
      </w:r>
      <w:r w:rsidR="00A36CCB">
        <w:rPr>
          <w:rFonts w:ascii="Arial" w:hAnsi="Arial" w:cs="Arial"/>
          <w:sz w:val="22"/>
          <w:szCs w:val="22"/>
          <w:lang w:val="en-US"/>
        </w:rPr>
        <w:t>s</w:t>
      </w:r>
      <w:r>
        <w:rPr>
          <w:rFonts w:ascii="Arial" w:hAnsi="Arial" w:cs="Arial"/>
          <w:sz w:val="22"/>
          <w:szCs w:val="22"/>
          <w:lang w:val="en-US"/>
        </w:rPr>
        <w:t xml:space="preserve"> Parties during the </w:t>
      </w:r>
      <w:r w:rsidR="00111E96">
        <w:rPr>
          <w:rFonts w:ascii="Arial" w:hAnsi="Arial" w:cs="Arial"/>
          <w:sz w:val="22"/>
          <w:szCs w:val="22"/>
          <w:lang w:val="en-US"/>
        </w:rPr>
        <w:t>fourteenth session of the Committee</w:t>
      </w:r>
      <w:r>
        <w:rPr>
          <w:rFonts w:ascii="Arial" w:hAnsi="Arial" w:cs="Arial"/>
          <w:sz w:val="22"/>
          <w:szCs w:val="22"/>
          <w:lang w:val="en-US"/>
        </w:rPr>
        <w:t xml:space="preserve"> in Bogot</w:t>
      </w:r>
      <w:r w:rsidR="00692D39" w:rsidRPr="00692D39">
        <w:rPr>
          <w:rFonts w:ascii="Arial" w:hAnsi="Arial" w:cs="Arial"/>
          <w:sz w:val="22"/>
          <w:szCs w:val="22"/>
          <w:lang w:val="en-US"/>
        </w:rPr>
        <w:t>á</w:t>
      </w:r>
      <w:r>
        <w:rPr>
          <w:rFonts w:ascii="Arial" w:hAnsi="Arial" w:cs="Arial"/>
          <w:sz w:val="22"/>
          <w:szCs w:val="22"/>
          <w:lang w:val="en-US"/>
        </w:rPr>
        <w:t>.</w:t>
      </w:r>
    </w:p>
    <w:p w14:paraId="38536B7F" w14:textId="77777777" w:rsidR="00F1300B" w:rsidRPr="0084617F" w:rsidRDefault="00F1300B" w:rsidP="00F1300B">
      <w:pPr>
        <w:pStyle w:val="ListParagraph"/>
        <w:numPr>
          <w:ilvl w:val="0"/>
          <w:numId w:val="66"/>
        </w:numPr>
        <w:spacing w:before="120" w:after="120"/>
        <w:ind w:left="567" w:hanging="567"/>
        <w:contextualSpacing w:val="0"/>
        <w:jc w:val="both"/>
        <w:rPr>
          <w:rFonts w:ascii="Arial" w:hAnsi="Arial" w:cs="Arial"/>
          <w:sz w:val="22"/>
          <w:szCs w:val="22"/>
          <w:lang w:val="en-US"/>
        </w:rPr>
      </w:pPr>
      <w:r>
        <w:rPr>
          <w:rFonts w:ascii="Arial" w:hAnsi="Arial" w:cs="Arial"/>
          <w:sz w:val="22"/>
          <w:szCs w:val="22"/>
          <w:lang w:val="en-US"/>
        </w:rPr>
        <w:t>During the meeting with the Evaluation Body,</w:t>
      </w:r>
      <w:r w:rsidRPr="00372AD7">
        <w:rPr>
          <w:rFonts w:ascii="Arial" w:hAnsi="Arial" w:cs="Arial"/>
          <w:sz w:val="22"/>
          <w:szCs w:val="22"/>
          <w:lang w:val="en-US"/>
        </w:rPr>
        <w:t xml:space="preserve"> the following views were expressed:</w:t>
      </w:r>
    </w:p>
    <w:p w14:paraId="734FBE20" w14:textId="44981A1F" w:rsidR="00F1300B" w:rsidRDefault="00F1300B" w:rsidP="00AB5BCA">
      <w:pPr>
        <w:pStyle w:val="ListParagraph"/>
        <w:numPr>
          <w:ilvl w:val="0"/>
          <w:numId w:val="68"/>
        </w:numPr>
        <w:spacing w:before="120" w:after="120"/>
        <w:ind w:left="1134" w:hanging="567"/>
        <w:contextualSpacing w:val="0"/>
        <w:jc w:val="both"/>
        <w:rPr>
          <w:rFonts w:ascii="Arial" w:hAnsi="Arial" w:cs="Arial"/>
          <w:sz w:val="22"/>
          <w:szCs w:val="22"/>
          <w:lang w:val="en-US"/>
        </w:rPr>
      </w:pPr>
      <w:r w:rsidRPr="002D7FDC">
        <w:rPr>
          <w:rFonts w:ascii="Arial" w:hAnsi="Arial" w:cs="Arial"/>
          <w:sz w:val="22"/>
          <w:szCs w:val="22"/>
          <w:lang w:val="en-US"/>
        </w:rPr>
        <w:t>The Evaluation Body presented the methodology and expressed that they found the p</w:t>
      </w:r>
      <w:r>
        <w:rPr>
          <w:rFonts w:ascii="Arial" w:hAnsi="Arial" w:cs="Arial"/>
          <w:sz w:val="22"/>
          <w:szCs w:val="22"/>
          <w:lang w:val="en-US"/>
        </w:rPr>
        <w:t>rocess as a positive experience</w:t>
      </w:r>
      <w:r w:rsidRPr="002D7FDC">
        <w:rPr>
          <w:rFonts w:ascii="Arial" w:hAnsi="Arial" w:cs="Arial"/>
          <w:sz w:val="22"/>
          <w:szCs w:val="22"/>
          <w:lang w:val="en-US"/>
        </w:rPr>
        <w:t xml:space="preserve"> and that</w:t>
      </w:r>
      <w:r>
        <w:rPr>
          <w:rFonts w:ascii="Arial" w:hAnsi="Arial" w:cs="Arial"/>
          <w:sz w:val="22"/>
          <w:szCs w:val="22"/>
          <w:lang w:val="en-US"/>
        </w:rPr>
        <w:t>,</w:t>
      </w:r>
      <w:r w:rsidRPr="002D7FDC">
        <w:rPr>
          <w:rFonts w:ascii="Arial" w:hAnsi="Arial" w:cs="Arial"/>
          <w:sz w:val="22"/>
          <w:szCs w:val="22"/>
          <w:lang w:val="en-US"/>
        </w:rPr>
        <w:t xml:space="preserve"> while including an additional step to the evaluation created supplementary work, it was not as consuming as expected. Nevertheless, since it was the launch of the process, it implied deciding on internal criteri</w:t>
      </w:r>
      <w:r w:rsidR="00306D21">
        <w:rPr>
          <w:rFonts w:ascii="Arial" w:hAnsi="Arial" w:cs="Arial"/>
          <w:sz w:val="22"/>
          <w:szCs w:val="22"/>
          <w:lang w:val="en-US"/>
        </w:rPr>
        <w:t>a</w:t>
      </w:r>
      <w:r w:rsidRPr="002D7FDC">
        <w:rPr>
          <w:rFonts w:ascii="Arial" w:hAnsi="Arial" w:cs="Arial"/>
          <w:sz w:val="22"/>
          <w:szCs w:val="22"/>
          <w:lang w:val="en-US"/>
        </w:rPr>
        <w:t xml:space="preserve">, types of questions and approaches to address the files and the </w:t>
      </w:r>
      <w:r>
        <w:rPr>
          <w:rFonts w:ascii="Arial" w:hAnsi="Arial" w:cs="Arial"/>
          <w:sz w:val="22"/>
          <w:szCs w:val="22"/>
          <w:lang w:val="en-US"/>
        </w:rPr>
        <w:t>State</w:t>
      </w:r>
      <w:r w:rsidR="00A36CCB">
        <w:rPr>
          <w:rFonts w:ascii="Arial" w:hAnsi="Arial" w:cs="Arial"/>
          <w:sz w:val="22"/>
          <w:szCs w:val="22"/>
          <w:lang w:val="en-US"/>
        </w:rPr>
        <w:t>s</w:t>
      </w:r>
      <w:r>
        <w:rPr>
          <w:rFonts w:ascii="Arial" w:hAnsi="Arial" w:cs="Arial"/>
          <w:sz w:val="22"/>
          <w:szCs w:val="22"/>
          <w:lang w:val="en-US"/>
        </w:rPr>
        <w:t xml:space="preserve"> Partie</w:t>
      </w:r>
      <w:r w:rsidRPr="002D7FDC">
        <w:rPr>
          <w:rFonts w:ascii="Arial" w:hAnsi="Arial" w:cs="Arial"/>
          <w:sz w:val="22"/>
          <w:szCs w:val="22"/>
          <w:lang w:val="en-US"/>
        </w:rPr>
        <w:t xml:space="preserve">s involved, which will be easier to </w:t>
      </w:r>
      <w:r>
        <w:rPr>
          <w:rFonts w:ascii="Arial" w:hAnsi="Arial" w:cs="Arial"/>
          <w:sz w:val="22"/>
          <w:szCs w:val="22"/>
          <w:lang w:val="en-US"/>
        </w:rPr>
        <w:t>attend to</w:t>
      </w:r>
      <w:r w:rsidRPr="002D7FDC">
        <w:rPr>
          <w:rFonts w:ascii="Arial" w:hAnsi="Arial" w:cs="Arial"/>
          <w:sz w:val="22"/>
          <w:szCs w:val="22"/>
          <w:lang w:val="en-US"/>
        </w:rPr>
        <w:t xml:space="preserve"> </w:t>
      </w:r>
      <w:r w:rsidR="001E3E37">
        <w:rPr>
          <w:rFonts w:ascii="Arial" w:hAnsi="Arial" w:cs="Arial"/>
          <w:sz w:val="22"/>
          <w:szCs w:val="22"/>
          <w:lang w:val="en-US"/>
        </w:rPr>
        <w:t>in the future.</w:t>
      </w:r>
    </w:p>
    <w:p w14:paraId="553DCD68" w14:textId="1A2EEF74" w:rsidR="00F1300B" w:rsidRPr="002D7FDC" w:rsidRDefault="00F1300B" w:rsidP="00AB5BCA">
      <w:pPr>
        <w:pStyle w:val="ListParagraph"/>
        <w:numPr>
          <w:ilvl w:val="0"/>
          <w:numId w:val="68"/>
        </w:numPr>
        <w:spacing w:before="120" w:after="120"/>
        <w:ind w:left="1134" w:hanging="567"/>
        <w:contextualSpacing w:val="0"/>
        <w:jc w:val="both"/>
        <w:rPr>
          <w:rFonts w:ascii="Arial" w:hAnsi="Arial" w:cs="Arial"/>
          <w:sz w:val="22"/>
          <w:szCs w:val="22"/>
          <w:lang w:val="en-US"/>
        </w:rPr>
      </w:pPr>
      <w:r w:rsidRPr="002D7FDC">
        <w:rPr>
          <w:rFonts w:ascii="Arial" w:hAnsi="Arial" w:cs="Arial"/>
          <w:sz w:val="22"/>
          <w:szCs w:val="22"/>
          <w:lang w:val="en-US"/>
        </w:rPr>
        <w:t>The most addressed criteria were R</w:t>
      </w:r>
      <w:r w:rsidR="005D7F12">
        <w:rPr>
          <w:rFonts w:ascii="Arial" w:hAnsi="Arial" w:cs="Arial"/>
          <w:sz w:val="22"/>
          <w:szCs w:val="22"/>
          <w:lang w:val="en-US"/>
        </w:rPr>
        <w:t>.</w:t>
      </w:r>
      <w:r w:rsidRPr="002D7FDC">
        <w:rPr>
          <w:rFonts w:ascii="Arial" w:hAnsi="Arial" w:cs="Arial"/>
          <w:sz w:val="22"/>
          <w:szCs w:val="22"/>
          <w:lang w:val="en-US"/>
        </w:rPr>
        <w:t>3 and R</w:t>
      </w:r>
      <w:r w:rsidR="005D7F12">
        <w:rPr>
          <w:rFonts w:ascii="Arial" w:hAnsi="Arial" w:cs="Arial"/>
          <w:sz w:val="22"/>
          <w:szCs w:val="22"/>
          <w:lang w:val="en-US"/>
        </w:rPr>
        <w:t>.</w:t>
      </w:r>
      <w:r w:rsidRPr="002D7FDC">
        <w:rPr>
          <w:rFonts w:ascii="Arial" w:hAnsi="Arial" w:cs="Arial"/>
          <w:sz w:val="22"/>
          <w:szCs w:val="22"/>
          <w:lang w:val="en-US"/>
        </w:rPr>
        <w:t>4; the questions about criterion R</w:t>
      </w:r>
      <w:r w:rsidR="005D7F12">
        <w:rPr>
          <w:rFonts w:ascii="Arial" w:hAnsi="Arial" w:cs="Arial"/>
          <w:sz w:val="22"/>
          <w:szCs w:val="22"/>
          <w:lang w:val="en-US"/>
        </w:rPr>
        <w:t>.</w:t>
      </w:r>
      <w:r w:rsidRPr="002D7FDC">
        <w:rPr>
          <w:rFonts w:ascii="Arial" w:hAnsi="Arial" w:cs="Arial"/>
          <w:sz w:val="22"/>
          <w:szCs w:val="22"/>
          <w:lang w:val="en-US"/>
        </w:rPr>
        <w:t xml:space="preserve">5 were less frequent, suggesting a positive result </w:t>
      </w:r>
      <w:r w:rsidRPr="00984B5C">
        <w:rPr>
          <w:rFonts w:ascii="Arial" w:hAnsi="Arial" w:cs="Arial"/>
          <w:sz w:val="22"/>
          <w:szCs w:val="22"/>
          <w:lang w:val="en-US"/>
        </w:rPr>
        <w:t>on the adjustments made on the f</w:t>
      </w:r>
      <w:r w:rsidR="00692D39">
        <w:rPr>
          <w:rFonts w:ascii="Arial" w:hAnsi="Arial" w:cs="Arial"/>
          <w:sz w:val="22"/>
          <w:szCs w:val="22"/>
          <w:lang w:val="en-US"/>
        </w:rPr>
        <w:t>orm</w:t>
      </w:r>
      <w:r w:rsidRPr="00984B5C">
        <w:rPr>
          <w:rFonts w:ascii="Arial" w:hAnsi="Arial" w:cs="Arial"/>
          <w:sz w:val="22"/>
          <w:szCs w:val="22"/>
          <w:lang w:val="en-US"/>
        </w:rPr>
        <w:t xml:space="preserve"> format</w:t>
      </w:r>
      <w:r w:rsidRPr="002D7FDC">
        <w:rPr>
          <w:rFonts w:ascii="Arial" w:hAnsi="Arial" w:cs="Arial"/>
          <w:sz w:val="22"/>
          <w:szCs w:val="22"/>
          <w:lang w:val="en-US"/>
        </w:rPr>
        <w:t>.</w:t>
      </w:r>
    </w:p>
    <w:p w14:paraId="3EFDEB51" w14:textId="15A506F7" w:rsidR="00F1300B" w:rsidRPr="002D7FDC" w:rsidRDefault="00F1300B" w:rsidP="00AB5BCA">
      <w:pPr>
        <w:pStyle w:val="ListParagraph"/>
        <w:numPr>
          <w:ilvl w:val="0"/>
          <w:numId w:val="68"/>
        </w:numPr>
        <w:spacing w:before="120" w:after="120"/>
        <w:ind w:left="1134" w:hanging="567"/>
        <w:contextualSpacing w:val="0"/>
        <w:jc w:val="both"/>
        <w:rPr>
          <w:rFonts w:ascii="Arial" w:hAnsi="Arial" w:cs="Arial"/>
          <w:sz w:val="22"/>
          <w:szCs w:val="22"/>
          <w:lang w:val="en-US"/>
        </w:rPr>
      </w:pPr>
      <w:r w:rsidRPr="002D7FDC">
        <w:rPr>
          <w:rFonts w:ascii="Arial" w:hAnsi="Arial" w:cs="Arial"/>
          <w:sz w:val="22"/>
          <w:szCs w:val="22"/>
          <w:lang w:val="en-US"/>
        </w:rPr>
        <w:t xml:space="preserve">The </w:t>
      </w:r>
      <w:r>
        <w:rPr>
          <w:rFonts w:ascii="Arial" w:hAnsi="Arial" w:cs="Arial"/>
          <w:sz w:val="22"/>
          <w:szCs w:val="22"/>
          <w:lang w:val="en-US"/>
        </w:rPr>
        <w:t>State</w:t>
      </w:r>
      <w:r w:rsidR="00692D39">
        <w:rPr>
          <w:rFonts w:ascii="Arial" w:hAnsi="Arial" w:cs="Arial"/>
          <w:sz w:val="22"/>
          <w:szCs w:val="22"/>
          <w:lang w:val="en-US"/>
        </w:rPr>
        <w:t>s</w:t>
      </w:r>
      <w:r>
        <w:rPr>
          <w:rFonts w:ascii="Arial" w:hAnsi="Arial" w:cs="Arial"/>
          <w:sz w:val="22"/>
          <w:szCs w:val="22"/>
          <w:lang w:val="en-US"/>
        </w:rPr>
        <w:t xml:space="preserve"> Partie</w:t>
      </w:r>
      <w:r w:rsidRPr="002D7FDC">
        <w:rPr>
          <w:rFonts w:ascii="Arial" w:hAnsi="Arial" w:cs="Arial"/>
          <w:sz w:val="22"/>
          <w:szCs w:val="22"/>
          <w:lang w:val="en-US"/>
        </w:rPr>
        <w:t>s also agreed that the mechanism was a positive exercise that would facilitate the work of the Committee</w:t>
      </w:r>
      <w:r>
        <w:rPr>
          <w:rFonts w:ascii="Arial" w:hAnsi="Arial" w:cs="Arial"/>
          <w:sz w:val="22"/>
          <w:szCs w:val="22"/>
          <w:lang w:val="en-US"/>
        </w:rPr>
        <w:t xml:space="preserve"> and welcomed </w:t>
      </w:r>
      <w:r w:rsidR="003E0656">
        <w:rPr>
          <w:rFonts w:ascii="Arial" w:hAnsi="Arial" w:cs="Arial"/>
          <w:sz w:val="22"/>
          <w:szCs w:val="22"/>
          <w:lang w:val="en-US"/>
        </w:rPr>
        <w:t>it</w:t>
      </w:r>
      <w:r w:rsidR="001E3E37">
        <w:rPr>
          <w:rFonts w:ascii="Arial" w:hAnsi="Arial" w:cs="Arial"/>
          <w:sz w:val="22"/>
          <w:szCs w:val="22"/>
          <w:lang w:val="en-US"/>
        </w:rPr>
        <w:t>.</w:t>
      </w:r>
    </w:p>
    <w:p w14:paraId="2E3968C7" w14:textId="2D535CA6" w:rsidR="00F1300B" w:rsidRPr="002D7FDC" w:rsidRDefault="00F1300B" w:rsidP="00AB5BCA">
      <w:pPr>
        <w:pStyle w:val="ListParagraph"/>
        <w:numPr>
          <w:ilvl w:val="0"/>
          <w:numId w:val="68"/>
        </w:numPr>
        <w:spacing w:before="120" w:after="120"/>
        <w:ind w:left="1134" w:hanging="567"/>
        <w:contextualSpacing w:val="0"/>
        <w:jc w:val="both"/>
        <w:rPr>
          <w:rFonts w:ascii="Arial" w:hAnsi="Arial" w:cs="Arial"/>
          <w:sz w:val="22"/>
          <w:szCs w:val="22"/>
          <w:lang w:val="en-US"/>
        </w:rPr>
      </w:pPr>
      <w:r w:rsidRPr="002D7FDC">
        <w:rPr>
          <w:rFonts w:ascii="Arial" w:hAnsi="Arial" w:cs="Arial"/>
          <w:sz w:val="22"/>
          <w:szCs w:val="22"/>
          <w:lang w:val="en-US"/>
        </w:rPr>
        <w:t xml:space="preserve">Participants agreed that the timeframe for the evaluation process must be revised after assessing the outcome of the </w:t>
      </w:r>
      <w:r w:rsidR="00692D39">
        <w:rPr>
          <w:rFonts w:ascii="Arial" w:hAnsi="Arial" w:cs="Arial"/>
          <w:sz w:val="22"/>
          <w:szCs w:val="22"/>
          <w:lang w:val="en-US"/>
        </w:rPr>
        <w:t>‘</w:t>
      </w:r>
      <w:r w:rsidRPr="002D7FDC">
        <w:rPr>
          <w:rFonts w:ascii="Arial" w:hAnsi="Arial" w:cs="Arial"/>
          <w:sz w:val="22"/>
          <w:szCs w:val="22"/>
          <w:lang w:val="en-US"/>
        </w:rPr>
        <w:t>provis</w:t>
      </w:r>
      <w:r w:rsidR="001E3E37">
        <w:rPr>
          <w:rFonts w:ascii="Arial" w:hAnsi="Arial" w:cs="Arial"/>
          <w:sz w:val="22"/>
          <w:szCs w:val="22"/>
          <w:lang w:val="en-US"/>
        </w:rPr>
        <w:t>ional upstream dialog</w:t>
      </w:r>
      <w:r w:rsidR="00830AD6">
        <w:rPr>
          <w:rFonts w:ascii="Arial" w:hAnsi="Arial" w:cs="Arial"/>
          <w:sz w:val="22"/>
          <w:szCs w:val="22"/>
          <w:lang w:val="en-US"/>
        </w:rPr>
        <w:t>ue</w:t>
      </w:r>
      <w:r w:rsidR="001E3E37">
        <w:rPr>
          <w:rFonts w:ascii="Arial" w:hAnsi="Arial" w:cs="Arial"/>
          <w:sz w:val="22"/>
          <w:szCs w:val="22"/>
          <w:lang w:val="en-US"/>
        </w:rPr>
        <w:t xml:space="preserve"> process</w:t>
      </w:r>
      <w:r w:rsidR="00692D39">
        <w:rPr>
          <w:rFonts w:ascii="Arial" w:hAnsi="Arial" w:cs="Arial"/>
          <w:sz w:val="22"/>
          <w:szCs w:val="22"/>
          <w:lang w:val="en-US"/>
        </w:rPr>
        <w:t>’</w:t>
      </w:r>
      <w:r w:rsidR="001E3E37">
        <w:rPr>
          <w:rFonts w:ascii="Arial" w:hAnsi="Arial" w:cs="Arial"/>
          <w:sz w:val="22"/>
          <w:szCs w:val="22"/>
          <w:lang w:val="en-US"/>
        </w:rPr>
        <w:t>.</w:t>
      </w:r>
    </w:p>
    <w:p w14:paraId="6B7578C6" w14:textId="46767E61" w:rsidR="00F1300B" w:rsidRPr="00374038" w:rsidRDefault="00F1300B" w:rsidP="00AB5BCA">
      <w:pPr>
        <w:pStyle w:val="ListParagraph"/>
        <w:numPr>
          <w:ilvl w:val="0"/>
          <w:numId w:val="68"/>
        </w:numPr>
        <w:spacing w:before="120" w:after="120"/>
        <w:ind w:left="1134" w:hanging="567"/>
        <w:contextualSpacing w:val="0"/>
        <w:jc w:val="both"/>
        <w:rPr>
          <w:rFonts w:ascii="Arial" w:hAnsi="Arial" w:cs="Arial"/>
          <w:sz w:val="22"/>
          <w:szCs w:val="22"/>
          <w:lang w:val="en-US"/>
        </w:rPr>
      </w:pPr>
      <w:r>
        <w:rPr>
          <w:rFonts w:ascii="Arial" w:hAnsi="Arial" w:cs="Arial"/>
          <w:sz w:val="22"/>
          <w:szCs w:val="22"/>
          <w:lang w:val="en-US"/>
        </w:rPr>
        <w:t>M</w:t>
      </w:r>
      <w:r w:rsidRPr="002D7FDC">
        <w:rPr>
          <w:rFonts w:ascii="Arial" w:hAnsi="Arial" w:cs="Arial"/>
          <w:sz w:val="22"/>
          <w:szCs w:val="22"/>
          <w:lang w:val="en-US"/>
        </w:rPr>
        <w:t xml:space="preserve">any </w:t>
      </w:r>
      <w:r>
        <w:rPr>
          <w:rFonts w:ascii="Arial" w:hAnsi="Arial" w:cs="Arial"/>
          <w:sz w:val="22"/>
          <w:szCs w:val="22"/>
          <w:lang w:val="en-US"/>
        </w:rPr>
        <w:t>State</w:t>
      </w:r>
      <w:r w:rsidR="00A36CCB">
        <w:rPr>
          <w:rFonts w:ascii="Arial" w:hAnsi="Arial" w:cs="Arial"/>
          <w:sz w:val="22"/>
          <w:szCs w:val="22"/>
          <w:lang w:val="en-US"/>
        </w:rPr>
        <w:t>s</w:t>
      </w:r>
      <w:r>
        <w:rPr>
          <w:rFonts w:ascii="Arial" w:hAnsi="Arial" w:cs="Arial"/>
          <w:sz w:val="22"/>
          <w:szCs w:val="22"/>
          <w:lang w:val="en-US"/>
        </w:rPr>
        <w:t xml:space="preserve"> Partie</w:t>
      </w:r>
      <w:r w:rsidRPr="002D7FDC">
        <w:rPr>
          <w:rFonts w:ascii="Arial" w:hAnsi="Arial" w:cs="Arial"/>
          <w:sz w:val="22"/>
          <w:szCs w:val="22"/>
          <w:lang w:val="en-US"/>
        </w:rPr>
        <w:t xml:space="preserve">s addressed the need for amendments in </w:t>
      </w:r>
      <w:r w:rsidR="005D7F12">
        <w:rPr>
          <w:rFonts w:ascii="Arial" w:hAnsi="Arial" w:cs="Arial"/>
          <w:sz w:val="22"/>
          <w:szCs w:val="22"/>
          <w:lang w:val="en-US"/>
        </w:rPr>
        <w:t xml:space="preserve">the </w:t>
      </w:r>
      <w:r w:rsidRPr="002D7FDC">
        <w:rPr>
          <w:rFonts w:ascii="Arial" w:hAnsi="Arial" w:cs="Arial"/>
          <w:sz w:val="22"/>
          <w:szCs w:val="22"/>
          <w:lang w:val="en-US"/>
        </w:rPr>
        <w:t xml:space="preserve">Operational </w:t>
      </w:r>
      <w:r w:rsidR="00CC6AF0">
        <w:rPr>
          <w:rFonts w:ascii="Arial" w:hAnsi="Arial" w:cs="Arial"/>
          <w:sz w:val="22"/>
          <w:szCs w:val="22"/>
          <w:lang w:val="en-US"/>
        </w:rPr>
        <w:t xml:space="preserve">Directives </w:t>
      </w:r>
      <w:r>
        <w:rPr>
          <w:rFonts w:ascii="Arial" w:hAnsi="Arial" w:cs="Arial"/>
          <w:sz w:val="22"/>
          <w:szCs w:val="22"/>
          <w:lang w:val="en-US"/>
        </w:rPr>
        <w:t>to formalize the process once revised and discussed, and asked the Secretariat to take proper measures in this regard</w:t>
      </w:r>
      <w:r w:rsidR="001E3E37">
        <w:rPr>
          <w:rFonts w:ascii="Arial" w:hAnsi="Arial" w:cs="Arial"/>
          <w:sz w:val="22"/>
          <w:szCs w:val="22"/>
          <w:lang w:val="en-US"/>
        </w:rPr>
        <w:t>.</w:t>
      </w:r>
    </w:p>
    <w:p w14:paraId="14A74602" w14:textId="14125953" w:rsidR="00F1300B" w:rsidRPr="00C42556" w:rsidRDefault="00F1300B" w:rsidP="00F1300B">
      <w:pPr>
        <w:pStyle w:val="ListParagraph"/>
        <w:numPr>
          <w:ilvl w:val="0"/>
          <w:numId w:val="66"/>
        </w:numPr>
        <w:spacing w:before="120" w:after="120"/>
        <w:ind w:left="567" w:hanging="567"/>
        <w:contextualSpacing w:val="0"/>
        <w:jc w:val="both"/>
        <w:rPr>
          <w:rFonts w:ascii="Arial" w:hAnsi="Arial" w:cs="Arial"/>
          <w:sz w:val="22"/>
          <w:szCs w:val="22"/>
          <w:lang w:val="en-US"/>
        </w:rPr>
      </w:pPr>
      <w:r>
        <w:rPr>
          <w:rFonts w:ascii="Arial" w:hAnsi="Arial" w:cs="Arial"/>
          <w:sz w:val="22"/>
          <w:szCs w:val="22"/>
          <w:lang w:val="en-US"/>
        </w:rPr>
        <w:t>It is expected that this methodology will be helpful</w:t>
      </w:r>
      <w:r w:rsidRPr="00C42556">
        <w:rPr>
          <w:rFonts w:ascii="Arial" w:hAnsi="Arial" w:cs="Arial"/>
          <w:sz w:val="22"/>
          <w:szCs w:val="22"/>
          <w:lang w:val="en-US"/>
        </w:rPr>
        <w:t xml:space="preserve"> </w:t>
      </w:r>
      <w:r>
        <w:rPr>
          <w:rFonts w:ascii="Arial" w:hAnsi="Arial" w:cs="Arial"/>
          <w:sz w:val="22"/>
          <w:szCs w:val="22"/>
          <w:lang w:val="en-US"/>
        </w:rPr>
        <w:t>for</w:t>
      </w:r>
      <w:r w:rsidRPr="00C42556">
        <w:rPr>
          <w:rFonts w:ascii="Arial" w:hAnsi="Arial" w:cs="Arial"/>
          <w:sz w:val="22"/>
          <w:szCs w:val="22"/>
          <w:lang w:val="en-US"/>
        </w:rPr>
        <w:t xml:space="preserve"> reduc</w:t>
      </w:r>
      <w:r>
        <w:rPr>
          <w:rFonts w:ascii="Arial" w:hAnsi="Arial" w:cs="Arial"/>
          <w:sz w:val="22"/>
          <w:szCs w:val="22"/>
          <w:lang w:val="en-US"/>
        </w:rPr>
        <w:t>ing</w:t>
      </w:r>
      <w:r w:rsidRPr="00C42556">
        <w:rPr>
          <w:rFonts w:ascii="Arial" w:hAnsi="Arial" w:cs="Arial"/>
          <w:sz w:val="22"/>
          <w:szCs w:val="22"/>
          <w:lang w:val="en-US"/>
        </w:rPr>
        <w:t xml:space="preserve"> and manag</w:t>
      </w:r>
      <w:r>
        <w:rPr>
          <w:rFonts w:ascii="Arial" w:hAnsi="Arial" w:cs="Arial"/>
          <w:sz w:val="22"/>
          <w:szCs w:val="22"/>
          <w:lang w:val="en-US"/>
        </w:rPr>
        <w:t>ing</w:t>
      </w:r>
      <w:r w:rsidRPr="00C42556">
        <w:rPr>
          <w:rFonts w:ascii="Arial" w:hAnsi="Arial" w:cs="Arial"/>
          <w:sz w:val="22"/>
          <w:szCs w:val="22"/>
          <w:lang w:val="en-US"/>
        </w:rPr>
        <w:t xml:space="preserve"> politicization of nominations and decisions, as well as </w:t>
      </w:r>
      <w:r>
        <w:rPr>
          <w:rFonts w:ascii="Arial" w:hAnsi="Arial" w:cs="Arial"/>
          <w:sz w:val="22"/>
          <w:szCs w:val="22"/>
          <w:lang w:val="en-US"/>
        </w:rPr>
        <w:t xml:space="preserve">for </w:t>
      </w:r>
      <w:r w:rsidRPr="00C42556">
        <w:rPr>
          <w:rFonts w:ascii="Arial" w:hAnsi="Arial" w:cs="Arial"/>
          <w:sz w:val="22"/>
          <w:szCs w:val="22"/>
          <w:lang w:val="en-US"/>
        </w:rPr>
        <w:t xml:space="preserve">strengthening the decision-making and </w:t>
      </w:r>
      <w:r w:rsidR="00A36CCB">
        <w:rPr>
          <w:rFonts w:ascii="Arial" w:hAnsi="Arial" w:cs="Arial"/>
          <w:sz w:val="22"/>
          <w:szCs w:val="22"/>
          <w:lang w:val="en-US"/>
        </w:rPr>
        <w:t xml:space="preserve">the </w:t>
      </w:r>
      <w:r w:rsidRPr="00C42556">
        <w:rPr>
          <w:rFonts w:ascii="Arial" w:hAnsi="Arial" w:cs="Arial"/>
          <w:sz w:val="22"/>
          <w:szCs w:val="22"/>
          <w:lang w:val="en-US"/>
        </w:rPr>
        <w:t>credibility of the Committee.</w:t>
      </w:r>
    </w:p>
    <w:p w14:paraId="70357ACA" w14:textId="52507D96" w:rsidR="00F1300B" w:rsidRDefault="00F1300B" w:rsidP="00F1300B">
      <w:pPr>
        <w:pStyle w:val="ListParagraph"/>
        <w:numPr>
          <w:ilvl w:val="0"/>
          <w:numId w:val="66"/>
        </w:numPr>
        <w:spacing w:before="120" w:after="120"/>
        <w:ind w:left="567" w:hanging="567"/>
        <w:contextualSpacing w:val="0"/>
        <w:jc w:val="both"/>
        <w:rPr>
          <w:rFonts w:ascii="Arial" w:hAnsi="Arial" w:cs="Arial"/>
          <w:sz w:val="22"/>
          <w:szCs w:val="22"/>
          <w:lang w:val="en-US"/>
        </w:rPr>
      </w:pPr>
      <w:r>
        <w:rPr>
          <w:rFonts w:ascii="Arial" w:hAnsi="Arial" w:cs="Arial"/>
          <w:sz w:val="22"/>
          <w:szCs w:val="22"/>
          <w:lang w:val="en-US"/>
        </w:rPr>
        <w:t xml:space="preserve">The issue of this new methodology will be considered by the </w:t>
      </w:r>
      <w:r w:rsidR="00CC6AF0">
        <w:rPr>
          <w:rFonts w:ascii="Arial" w:hAnsi="Arial" w:cs="Arial"/>
          <w:sz w:val="22"/>
          <w:szCs w:val="22"/>
          <w:lang w:val="en-US"/>
        </w:rPr>
        <w:t>fourteenth session of the Committee</w:t>
      </w:r>
      <w:r>
        <w:rPr>
          <w:rFonts w:ascii="Arial" w:hAnsi="Arial" w:cs="Arial"/>
          <w:sz w:val="22"/>
          <w:szCs w:val="22"/>
          <w:lang w:val="en-US"/>
        </w:rPr>
        <w:t xml:space="preserve"> in Bogot</w:t>
      </w:r>
      <w:r w:rsidR="00692D39" w:rsidRPr="00692D39">
        <w:rPr>
          <w:rFonts w:ascii="Arial" w:hAnsi="Arial" w:cs="Arial"/>
          <w:sz w:val="22"/>
          <w:szCs w:val="22"/>
          <w:lang w:val="en-US"/>
        </w:rPr>
        <w:t>á</w:t>
      </w:r>
      <w:r>
        <w:rPr>
          <w:rFonts w:ascii="Arial" w:hAnsi="Arial" w:cs="Arial"/>
          <w:sz w:val="22"/>
          <w:szCs w:val="22"/>
          <w:lang w:val="en-US"/>
        </w:rPr>
        <w:t>, w</w:t>
      </w:r>
      <w:r w:rsidR="00CF626F">
        <w:rPr>
          <w:rFonts w:ascii="Arial" w:hAnsi="Arial" w:cs="Arial"/>
          <w:sz w:val="22"/>
          <w:szCs w:val="22"/>
          <w:lang w:val="en-US"/>
        </w:rPr>
        <w:t>here</w:t>
      </w:r>
      <w:r>
        <w:rPr>
          <w:rFonts w:ascii="Arial" w:hAnsi="Arial" w:cs="Arial"/>
          <w:sz w:val="22"/>
          <w:szCs w:val="22"/>
          <w:lang w:val="en-US"/>
        </w:rPr>
        <w:t xml:space="preserve"> the </w:t>
      </w:r>
      <w:r w:rsidRPr="002D7FDC">
        <w:rPr>
          <w:rFonts w:ascii="Arial" w:hAnsi="Arial" w:cs="Arial"/>
          <w:sz w:val="22"/>
          <w:szCs w:val="22"/>
          <w:lang w:val="en-US"/>
        </w:rPr>
        <w:t xml:space="preserve">amendments in </w:t>
      </w:r>
      <w:r w:rsidR="005D7F12">
        <w:rPr>
          <w:rFonts w:ascii="Arial" w:hAnsi="Arial" w:cs="Arial"/>
          <w:sz w:val="22"/>
          <w:szCs w:val="22"/>
          <w:lang w:val="en-US"/>
        </w:rPr>
        <w:t xml:space="preserve">the </w:t>
      </w:r>
      <w:r w:rsidRPr="002D7FDC">
        <w:rPr>
          <w:rFonts w:ascii="Arial" w:hAnsi="Arial" w:cs="Arial"/>
          <w:sz w:val="22"/>
          <w:szCs w:val="22"/>
          <w:lang w:val="en-US"/>
        </w:rPr>
        <w:t xml:space="preserve">Operational </w:t>
      </w:r>
      <w:r w:rsidR="00CC6AF0">
        <w:rPr>
          <w:rFonts w:ascii="Arial" w:hAnsi="Arial" w:cs="Arial"/>
          <w:sz w:val="22"/>
          <w:szCs w:val="22"/>
          <w:lang w:val="en-US"/>
        </w:rPr>
        <w:t xml:space="preserve">Directives </w:t>
      </w:r>
      <w:r>
        <w:rPr>
          <w:rFonts w:ascii="Arial" w:hAnsi="Arial" w:cs="Arial"/>
          <w:sz w:val="22"/>
          <w:szCs w:val="22"/>
          <w:lang w:val="en-US"/>
        </w:rPr>
        <w:t>will be discussed.</w:t>
      </w:r>
    </w:p>
    <w:p w14:paraId="7D25F57B" w14:textId="6DCB7F7C" w:rsidR="00F1300B" w:rsidRDefault="00F1300B" w:rsidP="00AB5BCA">
      <w:pPr>
        <w:spacing w:before="240"/>
        <w:jc w:val="both"/>
        <w:rPr>
          <w:rFonts w:ascii="Arial" w:hAnsi="Arial" w:cs="Arial"/>
          <w:b/>
          <w:sz w:val="22"/>
          <w:szCs w:val="22"/>
          <w:lang w:val="en-US"/>
        </w:rPr>
      </w:pPr>
      <w:r w:rsidRPr="004E486F">
        <w:rPr>
          <w:rFonts w:ascii="Arial" w:hAnsi="Arial" w:cs="Arial"/>
          <w:b/>
          <w:sz w:val="22"/>
          <w:szCs w:val="22"/>
          <w:lang w:val="en-US"/>
        </w:rPr>
        <w:t xml:space="preserve">Possible ways in which </w:t>
      </w:r>
      <w:r w:rsidR="00504BD2">
        <w:rPr>
          <w:rFonts w:ascii="Arial" w:hAnsi="Arial" w:cs="Arial"/>
          <w:b/>
          <w:sz w:val="22"/>
          <w:szCs w:val="22"/>
          <w:lang w:val="en-US"/>
        </w:rPr>
        <w:t xml:space="preserve">the </w:t>
      </w:r>
      <w:r w:rsidRPr="004E486F">
        <w:rPr>
          <w:rFonts w:ascii="Arial" w:hAnsi="Arial" w:cs="Arial"/>
          <w:b/>
          <w:sz w:val="22"/>
          <w:szCs w:val="22"/>
          <w:lang w:val="en-US"/>
        </w:rPr>
        <w:t>participation of NGOs could be further enhanced and how this would be reflected in the accreditation and renewal mechanisms of NGOs</w:t>
      </w:r>
    </w:p>
    <w:p w14:paraId="3447646C" w14:textId="39EF841B" w:rsidR="00F1300B" w:rsidRPr="001D405C" w:rsidRDefault="00F1300B" w:rsidP="00F1300B">
      <w:pPr>
        <w:pStyle w:val="ListParagraph"/>
        <w:numPr>
          <w:ilvl w:val="0"/>
          <w:numId w:val="66"/>
        </w:numPr>
        <w:spacing w:before="120" w:after="120"/>
        <w:ind w:left="567" w:hanging="567"/>
        <w:contextualSpacing w:val="0"/>
        <w:jc w:val="both"/>
        <w:rPr>
          <w:rFonts w:ascii="Arial" w:hAnsi="Arial" w:cs="Arial"/>
          <w:sz w:val="22"/>
          <w:szCs w:val="22"/>
          <w:lang w:val="en-US"/>
        </w:rPr>
      </w:pPr>
      <w:r w:rsidRPr="00984B5C">
        <w:rPr>
          <w:rFonts w:ascii="Arial" w:hAnsi="Arial" w:cs="Arial"/>
          <w:sz w:val="22"/>
          <w:szCs w:val="22"/>
          <w:lang w:val="en-US"/>
        </w:rPr>
        <w:t>This year concluded the two-year reflection process on the role of the NGOs in the 2003</w:t>
      </w:r>
      <w:r w:rsidR="00A36CCB" w:rsidRPr="00984B5C">
        <w:rPr>
          <w:rFonts w:ascii="Arial" w:hAnsi="Arial" w:cs="Arial"/>
          <w:sz w:val="22"/>
          <w:szCs w:val="22"/>
          <w:lang w:val="en-US"/>
        </w:rPr>
        <w:t> </w:t>
      </w:r>
      <w:r w:rsidRPr="00984B5C">
        <w:rPr>
          <w:rFonts w:ascii="Arial" w:hAnsi="Arial" w:cs="Arial"/>
          <w:sz w:val="22"/>
          <w:szCs w:val="22"/>
          <w:lang w:val="en-US"/>
        </w:rPr>
        <w:t>Convention</w:t>
      </w:r>
      <w:r w:rsidR="00894EAE" w:rsidRPr="00400F07">
        <w:rPr>
          <w:rFonts w:ascii="Arial" w:hAnsi="Arial" w:cs="Arial"/>
          <w:sz w:val="22"/>
          <w:szCs w:val="22"/>
          <w:lang w:val="en-US"/>
        </w:rPr>
        <w:t xml:space="preserve">. </w:t>
      </w:r>
      <w:r w:rsidRPr="00984B5C">
        <w:rPr>
          <w:rFonts w:ascii="Arial" w:hAnsi="Arial" w:cs="Arial"/>
          <w:sz w:val="22"/>
          <w:szCs w:val="22"/>
          <w:lang w:val="en-US"/>
        </w:rPr>
        <w:t>Among</w:t>
      </w:r>
      <w:r>
        <w:rPr>
          <w:rFonts w:ascii="Arial" w:hAnsi="Arial" w:cs="Arial"/>
          <w:sz w:val="22"/>
          <w:szCs w:val="22"/>
          <w:lang w:val="en-US"/>
        </w:rPr>
        <w:t xml:space="preserve"> others, it searched to define the </w:t>
      </w:r>
      <w:r w:rsidR="00692D39">
        <w:rPr>
          <w:rFonts w:ascii="Arial" w:hAnsi="Arial" w:cs="Arial"/>
          <w:sz w:val="22"/>
          <w:szCs w:val="22"/>
          <w:lang w:val="en-US"/>
        </w:rPr>
        <w:t>‘</w:t>
      </w:r>
      <w:r w:rsidRPr="00400F07">
        <w:rPr>
          <w:rFonts w:ascii="Arial" w:hAnsi="Arial" w:cs="Arial"/>
          <w:i/>
          <w:sz w:val="22"/>
          <w:szCs w:val="22"/>
          <w:lang w:val="en-US"/>
        </w:rPr>
        <w:t>inter alia</w:t>
      </w:r>
      <w:r w:rsidR="00692D39">
        <w:rPr>
          <w:rFonts w:ascii="Arial" w:hAnsi="Arial" w:cs="Arial"/>
          <w:i/>
          <w:sz w:val="22"/>
          <w:szCs w:val="22"/>
          <w:lang w:val="en-US"/>
        </w:rPr>
        <w:t>’</w:t>
      </w:r>
      <w:r>
        <w:rPr>
          <w:rFonts w:ascii="Arial" w:hAnsi="Arial" w:cs="Arial"/>
          <w:sz w:val="22"/>
          <w:szCs w:val="22"/>
          <w:lang w:val="en-US"/>
        </w:rPr>
        <w:t xml:space="preserve"> </w:t>
      </w:r>
      <w:r w:rsidRPr="000A7A15">
        <w:rPr>
          <w:rFonts w:ascii="Arial" w:hAnsi="Arial" w:cs="Arial"/>
          <w:bCs/>
          <w:sz w:val="22"/>
          <w:szCs w:val="22"/>
          <w:lang w:val="en-US"/>
        </w:rPr>
        <w:t>advisory functions mentioned in para</w:t>
      </w:r>
      <w:r w:rsidR="00B962B6">
        <w:rPr>
          <w:rFonts w:ascii="Arial" w:hAnsi="Arial" w:cs="Arial"/>
          <w:bCs/>
          <w:sz w:val="22"/>
          <w:szCs w:val="22"/>
          <w:lang w:val="en-US"/>
        </w:rPr>
        <w:t>graph</w:t>
      </w:r>
      <w:r w:rsidRPr="000A7A15">
        <w:rPr>
          <w:rFonts w:ascii="Arial" w:hAnsi="Arial" w:cs="Arial"/>
          <w:bCs/>
          <w:sz w:val="22"/>
          <w:szCs w:val="22"/>
          <w:lang w:val="en-US"/>
        </w:rPr>
        <w:t xml:space="preserve"> 96 of the Operational Directives</w:t>
      </w:r>
      <w:r>
        <w:rPr>
          <w:rFonts w:ascii="Arial" w:hAnsi="Arial" w:cs="Arial"/>
          <w:bCs/>
          <w:sz w:val="22"/>
          <w:szCs w:val="22"/>
          <w:lang w:val="en-US"/>
        </w:rPr>
        <w:t>, the accreditation process of the NGOs,</w:t>
      </w:r>
      <w:r w:rsidRPr="000A7A15">
        <w:rPr>
          <w:rFonts w:ascii="Arial" w:hAnsi="Arial" w:cs="Arial"/>
          <w:sz w:val="22"/>
          <w:szCs w:val="22"/>
          <w:lang w:val="en-US"/>
        </w:rPr>
        <w:t xml:space="preserve"> </w:t>
      </w:r>
      <w:r>
        <w:rPr>
          <w:rFonts w:ascii="Arial" w:hAnsi="Arial" w:cs="Arial"/>
          <w:sz w:val="22"/>
          <w:szCs w:val="22"/>
          <w:lang w:val="en-US"/>
        </w:rPr>
        <w:t xml:space="preserve">and to differentiate amongst the various NGOs in the network. </w:t>
      </w:r>
      <w:r w:rsidRPr="001D405C">
        <w:rPr>
          <w:rFonts w:ascii="Arial" w:hAnsi="Arial" w:cs="Arial"/>
          <w:sz w:val="22"/>
          <w:szCs w:val="22"/>
          <w:lang w:val="en-US"/>
        </w:rPr>
        <w:t xml:space="preserve">The process included </w:t>
      </w:r>
      <w:r>
        <w:rPr>
          <w:rFonts w:ascii="Arial" w:hAnsi="Arial" w:cs="Arial"/>
          <w:sz w:val="22"/>
          <w:szCs w:val="22"/>
          <w:lang w:val="en-US"/>
        </w:rPr>
        <w:t xml:space="preserve">discussions </w:t>
      </w:r>
      <w:r w:rsidRPr="001D405C">
        <w:rPr>
          <w:rFonts w:ascii="Arial" w:hAnsi="Arial" w:cs="Arial"/>
          <w:sz w:val="22"/>
          <w:szCs w:val="22"/>
          <w:lang w:val="en-US"/>
        </w:rPr>
        <w:t xml:space="preserve">with and between </w:t>
      </w:r>
      <w:r>
        <w:rPr>
          <w:rFonts w:ascii="Arial" w:hAnsi="Arial" w:cs="Arial"/>
          <w:sz w:val="22"/>
          <w:szCs w:val="22"/>
          <w:lang w:val="en-US"/>
        </w:rPr>
        <w:t>State</w:t>
      </w:r>
      <w:r w:rsidR="00A36CCB">
        <w:rPr>
          <w:rFonts w:ascii="Arial" w:hAnsi="Arial" w:cs="Arial"/>
          <w:sz w:val="22"/>
          <w:szCs w:val="22"/>
          <w:lang w:val="en-US"/>
        </w:rPr>
        <w:t>s</w:t>
      </w:r>
      <w:r>
        <w:rPr>
          <w:rFonts w:ascii="Arial" w:hAnsi="Arial" w:cs="Arial"/>
          <w:sz w:val="22"/>
          <w:szCs w:val="22"/>
          <w:lang w:val="en-US"/>
        </w:rPr>
        <w:t xml:space="preserve"> Parties</w:t>
      </w:r>
      <w:r w:rsidRPr="001D405C">
        <w:rPr>
          <w:rFonts w:ascii="Arial" w:hAnsi="Arial" w:cs="Arial"/>
          <w:sz w:val="22"/>
          <w:szCs w:val="22"/>
          <w:lang w:val="en-US"/>
        </w:rPr>
        <w:t>, the ad hoc working group and accredited NGOs</w:t>
      </w:r>
      <w:r w:rsidR="00A36CCB">
        <w:rPr>
          <w:rFonts w:ascii="Arial" w:hAnsi="Arial" w:cs="Arial"/>
          <w:sz w:val="22"/>
          <w:szCs w:val="22"/>
          <w:lang w:val="en-US"/>
        </w:rPr>
        <w:t>,</w:t>
      </w:r>
      <w:r>
        <w:rPr>
          <w:rFonts w:ascii="Arial" w:hAnsi="Arial" w:cs="Arial"/>
          <w:sz w:val="22"/>
          <w:szCs w:val="22"/>
          <w:lang w:val="en-US"/>
        </w:rPr>
        <w:t xml:space="preserve"> as well as an </w:t>
      </w:r>
      <w:r w:rsidRPr="001D405C">
        <w:rPr>
          <w:rFonts w:ascii="Arial" w:hAnsi="Arial" w:cs="Arial"/>
          <w:sz w:val="22"/>
          <w:szCs w:val="22"/>
          <w:lang w:val="en-US"/>
        </w:rPr>
        <w:t>online consultation</w:t>
      </w:r>
      <w:r>
        <w:rPr>
          <w:rFonts w:ascii="Arial" w:hAnsi="Arial" w:cs="Arial"/>
          <w:sz w:val="22"/>
          <w:szCs w:val="22"/>
          <w:lang w:val="en-US"/>
        </w:rPr>
        <w:t xml:space="preserve"> with the accredited NGOs and the </w:t>
      </w:r>
      <w:r w:rsidR="005D7F12">
        <w:rPr>
          <w:rFonts w:ascii="Arial" w:hAnsi="Arial" w:cs="Arial"/>
          <w:sz w:val="22"/>
          <w:szCs w:val="22"/>
          <w:lang w:val="en-US"/>
        </w:rPr>
        <w:t>S</w:t>
      </w:r>
      <w:r>
        <w:rPr>
          <w:rFonts w:ascii="Arial" w:hAnsi="Arial" w:cs="Arial"/>
          <w:sz w:val="22"/>
          <w:szCs w:val="22"/>
          <w:lang w:val="en-US"/>
        </w:rPr>
        <w:t>tate</w:t>
      </w:r>
      <w:r w:rsidR="00B962B6">
        <w:rPr>
          <w:rFonts w:ascii="Arial" w:hAnsi="Arial" w:cs="Arial"/>
          <w:sz w:val="22"/>
          <w:szCs w:val="22"/>
          <w:lang w:val="en-US"/>
        </w:rPr>
        <w:t>s</w:t>
      </w:r>
      <w:r>
        <w:rPr>
          <w:rFonts w:ascii="Arial" w:hAnsi="Arial" w:cs="Arial"/>
          <w:sz w:val="22"/>
          <w:szCs w:val="22"/>
          <w:lang w:val="en-US"/>
        </w:rPr>
        <w:t xml:space="preserve"> </w:t>
      </w:r>
      <w:r w:rsidR="005D7F12">
        <w:rPr>
          <w:rFonts w:ascii="Arial" w:hAnsi="Arial" w:cs="Arial"/>
          <w:sz w:val="22"/>
          <w:szCs w:val="22"/>
          <w:lang w:val="en-US"/>
        </w:rPr>
        <w:t>P</w:t>
      </w:r>
      <w:r>
        <w:rPr>
          <w:rFonts w:ascii="Arial" w:hAnsi="Arial" w:cs="Arial"/>
          <w:sz w:val="22"/>
          <w:szCs w:val="22"/>
          <w:lang w:val="en-US"/>
        </w:rPr>
        <w:t>arties,</w:t>
      </w:r>
      <w:r w:rsidRPr="001D405C">
        <w:rPr>
          <w:rFonts w:ascii="Arial" w:hAnsi="Arial" w:cs="Arial"/>
          <w:sz w:val="22"/>
          <w:szCs w:val="22"/>
          <w:lang w:val="en-US"/>
        </w:rPr>
        <w:t xml:space="preserve"> with a view to adopting revisions to the Operational Directives that could be presented to the General Assembly of the Convention in 2020.</w:t>
      </w:r>
    </w:p>
    <w:p w14:paraId="31E45D13" w14:textId="3E7C15FB" w:rsidR="00F1300B" w:rsidRPr="00A7362A" w:rsidRDefault="00F1300B" w:rsidP="00F1300B">
      <w:pPr>
        <w:pStyle w:val="ListParagraph"/>
        <w:numPr>
          <w:ilvl w:val="0"/>
          <w:numId w:val="66"/>
        </w:numPr>
        <w:spacing w:before="120" w:after="120"/>
        <w:ind w:left="567" w:hanging="567"/>
        <w:contextualSpacing w:val="0"/>
        <w:jc w:val="both"/>
        <w:rPr>
          <w:rFonts w:ascii="Arial" w:hAnsi="Arial" w:cs="Arial"/>
          <w:b/>
          <w:sz w:val="22"/>
          <w:szCs w:val="22"/>
          <w:lang w:val="en-GB"/>
        </w:rPr>
      </w:pPr>
      <w:r>
        <w:rPr>
          <w:rFonts w:ascii="Arial" w:hAnsi="Arial" w:cs="Arial"/>
          <w:sz w:val="22"/>
          <w:szCs w:val="22"/>
          <w:lang w:val="en-US"/>
        </w:rPr>
        <w:t xml:space="preserve">As mandated by the working group, the Chair participated in a Consultation Meeting convened by the Secretariat with </w:t>
      </w:r>
      <w:r w:rsidR="00692D39">
        <w:rPr>
          <w:rFonts w:ascii="Arial" w:hAnsi="Arial" w:cs="Arial"/>
          <w:sz w:val="22"/>
          <w:szCs w:val="22"/>
          <w:lang w:val="en-US"/>
        </w:rPr>
        <w:t xml:space="preserve">the </w:t>
      </w:r>
      <w:r>
        <w:rPr>
          <w:rFonts w:ascii="Arial" w:hAnsi="Arial" w:cs="Arial"/>
          <w:sz w:val="22"/>
          <w:szCs w:val="22"/>
          <w:lang w:val="en-US"/>
        </w:rPr>
        <w:t xml:space="preserve">representatives of the ICH NGO Forum and </w:t>
      </w:r>
      <w:r w:rsidR="00AE1D28">
        <w:rPr>
          <w:rFonts w:ascii="Arial" w:hAnsi="Arial" w:cs="Arial"/>
          <w:sz w:val="22"/>
          <w:szCs w:val="22"/>
          <w:lang w:val="en-US"/>
        </w:rPr>
        <w:t xml:space="preserve">the </w:t>
      </w:r>
      <w:r>
        <w:rPr>
          <w:rFonts w:ascii="Arial" w:hAnsi="Arial" w:cs="Arial"/>
          <w:sz w:val="22"/>
          <w:szCs w:val="22"/>
          <w:lang w:val="en-US"/>
        </w:rPr>
        <w:t>State</w:t>
      </w:r>
      <w:r w:rsidR="00AE1D28">
        <w:rPr>
          <w:rFonts w:ascii="Arial" w:hAnsi="Arial" w:cs="Arial"/>
          <w:sz w:val="22"/>
          <w:szCs w:val="22"/>
          <w:lang w:val="en-US"/>
        </w:rPr>
        <w:t>s</w:t>
      </w:r>
      <w:r>
        <w:rPr>
          <w:rFonts w:ascii="Arial" w:hAnsi="Arial" w:cs="Arial"/>
          <w:sz w:val="22"/>
          <w:szCs w:val="22"/>
          <w:lang w:val="en-US"/>
        </w:rPr>
        <w:t xml:space="preserve"> Parties</w:t>
      </w:r>
      <w:r w:rsidR="009B1E0C">
        <w:rPr>
          <w:rFonts w:ascii="Arial" w:hAnsi="Arial" w:cs="Arial"/>
          <w:sz w:val="22"/>
          <w:szCs w:val="22"/>
          <w:lang w:val="en-US"/>
        </w:rPr>
        <w:t>. During the meeting,</w:t>
      </w:r>
      <w:r>
        <w:rPr>
          <w:rFonts w:ascii="Arial" w:hAnsi="Arial" w:cs="Arial"/>
          <w:sz w:val="22"/>
          <w:szCs w:val="22"/>
          <w:lang w:val="en-US"/>
        </w:rPr>
        <w:t xml:space="preserve"> the results of the </w:t>
      </w:r>
      <w:r w:rsidRPr="00F46893">
        <w:rPr>
          <w:rFonts w:ascii="Arial" w:hAnsi="Arial" w:cs="Arial"/>
          <w:sz w:val="22"/>
          <w:szCs w:val="22"/>
          <w:lang w:val="en-US"/>
        </w:rPr>
        <w:t>electronic consultation on the potential advisory functions to be fulfilled by accredited NGOs and possible ways forward for the accreditation system</w:t>
      </w:r>
      <w:r w:rsidR="009B1E0C">
        <w:rPr>
          <w:rFonts w:ascii="Arial" w:hAnsi="Arial" w:cs="Arial"/>
          <w:sz w:val="22"/>
          <w:szCs w:val="22"/>
          <w:lang w:val="en-US"/>
        </w:rPr>
        <w:t xml:space="preserve"> were discussed</w:t>
      </w:r>
      <w:r w:rsidR="001E3E37">
        <w:rPr>
          <w:rFonts w:ascii="Arial" w:hAnsi="Arial" w:cs="Arial"/>
          <w:sz w:val="22"/>
          <w:szCs w:val="22"/>
          <w:lang w:val="en-US"/>
        </w:rPr>
        <w:t>.</w:t>
      </w:r>
    </w:p>
    <w:p w14:paraId="20D37394" w14:textId="4CCFD452" w:rsidR="00F1300B" w:rsidRPr="00BC5E7D" w:rsidRDefault="00F1300B" w:rsidP="00F1300B">
      <w:pPr>
        <w:pStyle w:val="ListParagraph"/>
        <w:numPr>
          <w:ilvl w:val="0"/>
          <w:numId w:val="66"/>
        </w:numPr>
        <w:spacing w:before="120" w:after="120"/>
        <w:ind w:left="567" w:hanging="567"/>
        <w:contextualSpacing w:val="0"/>
        <w:jc w:val="both"/>
        <w:rPr>
          <w:rFonts w:ascii="Arial" w:hAnsi="Arial" w:cs="Arial"/>
          <w:b/>
          <w:sz w:val="22"/>
          <w:szCs w:val="22"/>
          <w:lang w:val="en-GB"/>
        </w:rPr>
      </w:pPr>
      <w:r>
        <w:rPr>
          <w:rFonts w:ascii="Arial" w:hAnsi="Arial" w:cs="Arial"/>
          <w:sz w:val="22"/>
          <w:szCs w:val="22"/>
          <w:lang w:val="en-US"/>
        </w:rPr>
        <w:t>During the meeting</w:t>
      </w:r>
      <w:r w:rsidR="00AE1D28">
        <w:rPr>
          <w:rFonts w:ascii="Arial" w:hAnsi="Arial" w:cs="Arial"/>
          <w:sz w:val="22"/>
          <w:szCs w:val="22"/>
          <w:lang w:val="en-US"/>
        </w:rPr>
        <w:t>,</w:t>
      </w:r>
      <w:r w:rsidRPr="00372AD7">
        <w:rPr>
          <w:rFonts w:ascii="Arial" w:hAnsi="Arial" w:cs="Arial"/>
          <w:sz w:val="22"/>
          <w:szCs w:val="22"/>
          <w:lang w:val="en-US"/>
        </w:rPr>
        <w:t xml:space="preserve"> the following views were expressed</w:t>
      </w:r>
      <w:r>
        <w:rPr>
          <w:rFonts w:ascii="Arial" w:hAnsi="Arial" w:cs="Arial"/>
          <w:sz w:val="22"/>
          <w:szCs w:val="22"/>
          <w:lang w:val="en-US"/>
        </w:rPr>
        <w:t xml:space="preserve">, </w:t>
      </w:r>
      <w:r w:rsidR="009B1E0C">
        <w:rPr>
          <w:rFonts w:ascii="Arial" w:hAnsi="Arial" w:cs="Arial"/>
          <w:sz w:val="22"/>
          <w:szCs w:val="22"/>
          <w:lang w:val="en-US"/>
        </w:rPr>
        <w:t xml:space="preserve">by </w:t>
      </w:r>
      <w:r>
        <w:rPr>
          <w:rFonts w:ascii="Arial" w:hAnsi="Arial" w:cs="Arial"/>
          <w:sz w:val="22"/>
          <w:szCs w:val="22"/>
          <w:lang w:val="en-US"/>
        </w:rPr>
        <w:t>both State</w:t>
      </w:r>
      <w:r w:rsidR="00692D39">
        <w:rPr>
          <w:rFonts w:ascii="Arial" w:hAnsi="Arial" w:cs="Arial"/>
          <w:sz w:val="22"/>
          <w:szCs w:val="22"/>
          <w:lang w:val="en-US"/>
        </w:rPr>
        <w:t>s</w:t>
      </w:r>
      <w:r>
        <w:rPr>
          <w:rFonts w:ascii="Arial" w:hAnsi="Arial" w:cs="Arial"/>
          <w:sz w:val="22"/>
          <w:szCs w:val="22"/>
          <w:lang w:val="en-US"/>
        </w:rPr>
        <w:t xml:space="preserve"> Parties and NGOs (the Chair invites the State Parties to consult the report of the </w:t>
      </w:r>
      <w:r w:rsidRPr="005C732F">
        <w:rPr>
          <w:rFonts w:ascii="Arial" w:hAnsi="Arial" w:cs="Arial"/>
          <w:sz w:val="22"/>
          <w:szCs w:val="22"/>
          <w:lang w:val="en-US"/>
        </w:rPr>
        <w:t xml:space="preserve">Secretariat </w:t>
      </w:r>
      <w:hyperlink r:id="rId19" w:history="1">
        <w:r w:rsidR="00BC7703" w:rsidRPr="005C732F">
          <w:rPr>
            <w:rStyle w:val="Hyperlink"/>
            <w:rFonts w:ascii="Arial" w:hAnsi="Arial" w:cs="Arial"/>
            <w:sz w:val="22"/>
            <w:szCs w:val="22"/>
            <w:lang w:val="en-US"/>
          </w:rPr>
          <w:t>LHE/19/NGO/2</w:t>
        </w:r>
      </w:hyperlink>
      <w:r w:rsidRPr="005C732F">
        <w:rPr>
          <w:rFonts w:ascii="Arial" w:hAnsi="Arial" w:cs="Arial"/>
          <w:bCs/>
          <w:sz w:val="22"/>
          <w:szCs w:val="22"/>
          <w:lang w:val="en-GB"/>
        </w:rPr>
        <w:t xml:space="preserve"> for</w:t>
      </w:r>
      <w:r>
        <w:rPr>
          <w:rFonts w:ascii="Arial" w:hAnsi="Arial" w:cs="Arial"/>
          <w:bCs/>
          <w:sz w:val="22"/>
          <w:szCs w:val="22"/>
          <w:lang w:val="en-GB"/>
        </w:rPr>
        <w:t xml:space="preserve"> further details)</w:t>
      </w:r>
      <w:r w:rsidRPr="00BC5E7D">
        <w:rPr>
          <w:rFonts w:ascii="Arial" w:hAnsi="Arial" w:cs="Arial"/>
          <w:sz w:val="22"/>
          <w:szCs w:val="22"/>
          <w:lang w:val="en-US"/>
        </w:rPr>
        <w:t>:</w:t>
      </w:r>
    </w:p>
    <w:p w14:paraId="5302E4F8" w14:textId="1AC80A8A" w:rsidR="00F1300B" w:rsidRPr="00AB5BCA" w:rsidRDefault="00F1300B" w:rsidP="00AB5BCA">
      <w:pPr>
        <w:pStyle w:val="ListParagraph"/>
        <w:numPr>
          <w:ilvl w:val="0"/>
          <w:numId w:val="68"/>
        </w:numPr>
        <w:spacing w:before="120" w:after="120"/>
        <w:ind w:left="1134" w:hanging="567"/>
        <w:contextualSpacing w:val="0"/>
        <w:jc w:val="both"/>
        <w:rPr>
          <w:rFonts w:ascii="Arial" w:hAnsi="Arial" w:cs="Arial"/>
          <w:sz w:val="22"/>
          <w:szCs w:val="22"/>
          <w:lang w:val="en-US"/>
        </w:rPr>
      </w:pPr>
      <w:r w:rsidRPr="00AB5BCA">
        <w:rPr>
          <w:rFonts w:ascii="Arial" w:hAnsi="Arial" w:cs="Arial"/>
          <w:sz w:val="22"/>
          <w:szCs w:val="22"/>
          <w:lang w:val="en-US"/>
        </w:rPr>
        <w:t xml:space="preserve">Mapping the NGOs, according to their different expertise and capacities, could prove useful to define their possible </w:t>
      </w:r>
      <w:r w:rsidR="00CB1242">
        <w:rPr>
          <w:rFonts w:ascii="Arial" w:hAnsi="Arial" w:cs="Arial"/>
          <w:sz w:val="22"/>
          <w:szCs w:val="22"/>
          <w:lang w:val="en-US"/>
        </w:rPr>
        <w:t>‘</w:t>
      </w:r>
      <w:r w:rsidRPr="00400F07">
        <w:rPr>
          <w:rFonts w:ascii="Arial" w:hAnsi="Arial" w:cs="Arial"/>
          <w:i/>
          <w:sz w:val="22"/>
          <w:szCs w:val="22"/>
          <w:lang w:val="en-US"/>
        </w:rPr>
        <w:t>inter alia</w:t>
      </w:r>
      <w:r w:rsidR="00CB1242">
        <w:rPr>
          <w:rFonts w:ascii="Arial" w:hAnsi="Arial" w:cs="Arial"/>
          <w:i/>
          <w:sz w:val="22"/>
          <w:szCs w:val="22"/>
          <w:lang w:val="en-US"/>
        </w:rPr>
        <w:t>’</w:t>
      </w:r>
      <w:r w:rsidRPr="00AB5BCA">
        <w:rPr>
          <w:rFonts w:ascii="Arial" w:hAnsi="Arial" w:cs="Arial"/>
          <w:sz w:val="22"/>
          <w:szCs w:val="22"/>
          <w:lang w:val="en-US"/>
        </w:rPr>
        <w:t xml:space="preserve"> advisory functions mentioned in para</w:t>
      </w:r>
      <w:r w:rsidR="00B962B6">
        <w:rPr>
          <w:rFonts w:ascii="Arial" w:hAnsi="Arial" w:cs="Arial"/>
          <w:sz w:val="22"/>
          <w:szCs w:val="22"/>
          <w:lang w:val="en-US"/>
        </w:rPr>
        <w:t>graph</w:t>
      </w:r>
      <w:r w:rsidRPr="00AB5BCA">
        <w:rPr>
          <w:rFonts w:ascii="Arial" w:hAnsi="Arial" w:cs="Arial"/>
          <w:sz w:val="22"/>
          <w:szCs w:val="22"/>
          <w:lang w:val="en-US"/>
        </w:rPr>
        <w:t xml:space="preserve"> 96 of the Operational Directives, as well as identifying ways in which NGOs can contribute to the implementation of </w:t>
      </w:r>
      <w:r w:rsidR="00CB1242">
        <w:rPr>
          <w:rFonts w:ascii="Arial" w:hAnsi="Arial" w:cs="Arial"/>
          <w:sz w:val="22"/>
          <w:szCs w:val="22"/>
          <w:lang w:val="en-US"/>
        </w:rPr>
        <w:t xml:space="preserve">the </w:t>
      </w:r>
      <w:r w:rsidR="001E3E37" w:rsidRPr="00AB5BCA">
        <w:rPr>
          <w:rFonts w:ascii="Arial" w:hAnsi="Arial" w:cs="Arial"/>
          <w:sz w:val="22"/>
          <w:szCs w:val="22"/>
          <w:lang w:val="en-US"/>
        </w:rPr>
        <w:t>2003 Convention.</w:t>
      </w:r>
    </w:p>
    <w:p w14:paraId="3116F036" w14:textId="0749178B" w:rsidR="00F1300B" w:rsidRPr="00AB5BCA" w:rsidRDefault="00F1300B" w:rsidP="00AB5BCA">
      <w:pPr>
        <w:pStyle w:val="ListParagraph"/>
        <w:numPr>
          <w:ilvl w:val="0"/>
          <w:numId w:val="68"/>
        </w:numPr>
        <w:spacing w:before="120" w:after="120"/>
        <w:ind w:left="1134" w:hanging="567"/>
        <w:contextualSpacing w:val="0"/>
        <w:jc w:val="both"/>
        <w:rPr>
          <w:rFonts w:ascii="Arial" w:hAnsi="Arial" w:cs="Arial"/>
          <w:sz w:val="22"/>
          <w:szCs w:val="22"/>
          <w:lang w:val="en-US"/>
        </w:rPr>
      </w:pPr>
      <w:r w:rsidRPr="00AB5BCA">
        <w:rPr>
          <w:rFonts w:ascii="Arial" w:hAnsi="Arial" w:cs="Arial"/>
          <w:sz w:val="22"/>
          <w:szCs w:val="22"/>
          <w:lang w:val="en-US"/>
        </w:rPr>
        <w:lastRenderedPageBreak/>
        <w:t>NGOs could be an important resource to promote capacity building at the national, regional or international level</w:t>
      </w:r>
      <w:r w:rsidR="00CD4BAD">
        <w:rPr>
          <w:rFonts w:ascii="Arial" w:hAnsi="Arial" w:cs="Arial"/>
          <w:sz w:val="22"/>
          <w:szCs w:val="22"/>
          <w:lang w:val="en-US"/>
        </w:rPr>
        <w:t>s</w:t>
      </w:r>
      <w:r w:rsidRPr="00AB5BCA">
        <w:rPr>
          <w:rFonts w:ascii="Arial" w:hAnsi="Arial" w:cs="Arial"/>
          <w:sz w:val="22"/>
          <w:szCs w:val="22"/>
          <w:lang w:val="en-US"/>
        </w:rPr>
        <w:t>, depending on their scope. This could contribute to</w:t>
      </w:r>
      <w:r w:rsidR="00AE1D28">
        <w:rPr>
          <w:rFonts w:ascii="Arial" w:hAnsi="Arial" w:cs="Arial"/>
          <w:sz w:val="22"/>
          <w:szCs w:val="22"/>
          <w:lang w:val="en-US"/>
        </w:rPr>
        <w:t>wards</w:t>
      </w:r>
      <w:r w:rsidRPr="00AB5BCA">
        <w:rPr>
          <w:rFonts w:ascii="Arial" w:hAnsi="Arial" w:cs="Arial"/>
          <w:sz w:val="22"/>
          <w:szCs w:val="22"/>
          <w:lang w:val="en-US"/>
        </w:rPr>
        <w:t xml:space="preserve"> bring</w:t>
      </w:r>
      <w:r w:rsidR="009B1E0C">
        <w:rPr>
          <w:rFonts w:ascii="Arial" w:hAnsi="Arial" w:cs="Arial"/>
          <w:sz w:val="22"/>
          <w:szCs w:val="22"/>
          <w:lang w:val="en-US"/>
        </w:rPr>
        <w:t>ing</w:t>
      </w:r>
      <w:r w:rsidRPr="00AB5BCA">
        <w:rPr>
          <w:rFonts w:ascii="Arial" w:hAnsi="Arial" w:cs="Arial"/>
          <w:sz w:val="22"/>
          <w:szCs w:val="22"/>
          <w:lang w:val="en-US"/>
        </w:rPr>
        <w:t xml:space="preserve"> balance to the geographical representations </w:t>
      </w:r>
      <w:r w:rsidR="00AE1D28">
        <w:rPr>
          <w:rFonts w:ascii="Arial" w:hAnsi="Arial" w:cs="Arial"/>
          <w:sz w:val="22"/>
          <w:szCs w:val="22"/>
          <w:lang w:val="en-US"/>
        </w:rPr>
        <w:t>amongst</w:t>
      </w:r>
      <w:r w:rsidRPr="00AB5BCA">
        <w:rPr>
          <w:rFonts w:ascii="Arial" w:hAnsi="Arial" w:cs="Arial"/>
          <w:sz w:val="22"/>
          <w:szCs w:val="22"/>
          <w:lang w:val="en-US"/>
        </w:rPr>
        <w:t xml:space="preserve"> the ac</w:t>
      </w:r>
      <w:r w:rsidR="001E3E37" w:rsidRPr="00AB5BCA">
        <w:rPr>
          <w:rFonts w:ascii="Arial" w:hAnsi="Arial" w:cs="Arial"/>
          <w:sz w:val="22"/>
          <w:szCs w:val="22"/>
          <w:lang w:val="en-US"/>
        </w:rPr>
        <w:t>credited NGOs.</w:t>
      </w:r>
    </w:p>
    <w:p w14:paraId="580A1398" w14:textId="48609546" w:rsidR="00F1300B" w:rsidRPr="00AB5BCA" w:rsidRDefault="00F1300B" w:rsidP="00AB5BCA">
      <w:pPr>
        <w:pStyle w:val="ListParagraph"/>
        <w:numPr>
          <w:ilvl w:val="0"/>
          <w:numId w:val="68"/>
        </w:numPr>
        <w:spacing w:before="120" w:after="120"/>
        <w:ind w:left="1134" w:hanging="567"/>
        <w:contextualSpacing w:val="0"/>
        <w:jc w:val="both"/>
        <w:rPr>
          <w:rFonts w:ascii="Arial" w:hAnsi="Arial" w:cs="Arial"/>
          <w:sz w:val="22"/>
          <w:szCs w:val="22"/>
          <w:lang w:val="en-US"/>
        </w:rPr>
      </w:pPr>
      <w:r w:rsidRPr="00AB5BCA">
        <w:rPr>
          <w:rFonts w:ascii="Arial" w:hAnsi="Arial" w:cs="Arial"/>
          <w:sz w:val="22"/>
          <w:szCs w:val="22"/>
          <w:lang w:val="en-US"/>
        </w:rPr>
        <w:t xml:space="preserve">Knowledge exchanges between NGOs could be promoted to share good practices and common challenges regarding safeguard activities </w:t>
      </w:r>
      <w:r w:rsidR="009B1E0C">
        <w:rPr>
          <w:rFonts w:ascii="Arial" w:hAnsi="Arial" w:cs="Arial"/>
          <w:sz w:val="22"/>
          <w:szCs w:val="22"/>
          <w:lang w:val="en-US"/>
        </w:rPr>
        <w:t>in</w:t>
      </w:r>
      <w:r w:rsidR="009B1E0C" w:rsidRPr="00AB5BCA">
        <w:rPr>
          <w:rFonts w:ascii="Arial" w:hAnsi="Arial" w:cs="Arial"/>
          <w:sz w:val="22"/>
          <w:szCs w:val="22"/>
          <w:lang w:val="en-US"/>
        </w:rPr>
        <w:t xml:space="preserve"> </w:t>
      </w:r>
      <w:r w:rsidRPr="00AB5BCA">
        <w:rPr>
          <w:rFonts w:ascii="Arial" w:hAnsi="Arial" w:cs="Arial"/>
          <w:sz w:val="22"/>
          <w:szCs w:val="22"/>
          <w:lang w:val="en-US"/>
        </w:rPr>
        <w:t>the same field of ICH, same geographical regions</w:t>
      </w:r>
      <w:r w:rsidR="009B1E0C">
        <w:rPr>
          <w:rFonts w:ascii="Arial" w:hAnsi="Arial" w:cs="Arial"/>
          <w:sz w:val="22"/>
          <w:szCs w:val="22"/>
          <w:lang w:val="en-US"/>
        </w:rPr>
        <w:t>,</w:t>
      </w:r>
      <w:r w:rsidRPr="00AB5BCA">
        <w:rPr>
          <w:rFonts w:ascii="Arial" w:hAnsi="Arial" w:cs="Arial"/>
          <w:sz w:val="22"/>
          <w:szCs w:val="22"/>
          <w:lang w:val="en-US"/>
        </w:rPr>
        <w:t xml:space="preserve"> or regarding the possible advisory functions of the NGOs (advise, monitoring, capacity</w:t>
      </w:r>
      <w:r w:rsidR="001E3E37" w:rsidRPr="00AB5BCA">
        <w:rPr>
          <w:rFonts w:ascii="Arial" w:hAnsi="Arial" w:cs="Arial"/>
          <w:sz w:val="22"/>
          <w:szCs w:val="22"/>
          <w:lang w:val="en-US"/>
        </w:rPr>
        <w:t xml:space="preserve"> building, etc.), among others.</w:t>
      </w:r>
    </w:p>
    <w:p w14:paraId="159E8F1B" w14:textId="3C4B8395" w:rsidR="00F1300B" w:rsidRPr="00AB5BCA" w:rsidRDefault="00F1300B" w:rsidP="00AB5BCA">
      <w:pPr>
        <w:pStyle w:val="ListParagraph"/>
        <w:numPr>
          <w:ilvl w:val="0"/>
          <w:numId w:val="68"/>
        </w:numPr>
        <w:spacing w:before="120" w:after="120"/>
        <w:ind w:left="1134" w:hanging="567"/>
        <w:contextualSpacing w:val="0"/>
        <w:jc w:val="both"/>
        <w:rPr>
          <w:rFonts w:ascii="Arial" w:hAnsi="Arial" w:cs="Arial"/>
          <w:sz w:val="22"/>
          <w:szCs w:val="22"/>
          <w:lang w:val="en-US"/>
        </w:rPr>
      </w:pPr>
      <w:r w:rsidRPr="00AB5BCA">
        <w:rPr>
          <w:rFonts w:ascii="Arial" w:hAnsi="Arial" w:cs="Arial"/>
          <w:sz w:val="22"/>
          <w:szCs w:val="22"/>
          <w:lang w:val="en-US"/>
        </w:rPr>
        <w:t>There are different expectations from the NGOs and State</w:t>
      </w:r>
      <w:r w:rsidR="00AE1D28">
        <w:rPr>
          <w:rFonts w:ascii="Arial" w:hAnsi="Arial" w:cs="Arial"/>
          <w:sz w:val="22"/>
          <w:szCs w:val="22"/>
          <w:lang w:val="en-US"/>
        </w:rPr>
        <w:t>s</w:t>
      </w:r>
      <w:r w:rsidRPr="00AB5BCA">
        <w:rPr>
          <w:rFonts w:ascii="Arial" w:hAnsi="Arial" w:cs="Arial"/>
          <w:sz w:val="22"/>
          <w:szCs w:val="22"/>
          <w:lang w:val="en-US"/>
        </w:rPr>
        <w:t xml:space="preserve"> Parties about what accreditation means, which are not exclusive and could come together in</w:t>
      </w:r>
      <w:r w:rsidR="001E3E37" w:rsidRPr="00AB5BCA">
        <w:rPr>
          <w:rFonts w:ascii="Arial" w:hAnsi="Arial" w:cs="Arial"/>
          <w:sz w:val="22"/>
          <w:szCs w:val="22"/>
          <w:lang w:val="en-US"/>
        </w:rPr>
        <w:t xml:space="preserve"> a future accreditation system.</w:t>
      </w:r>
    </w:p>
    <w:p w14:paraId="25CC5560" w14:textId="04E4618B" w:rsidR="00F1300B" w:rsidRPr="004762CA" w:rsidRDefault="00F1300B" w:rsidP="00F1300B">
      <w:pPr>
        <w:pStyle w:val="ListParagraph"/>
        <w:numPr>
          <w:ilvl w:val="0"/>
          <w:numId w:val="66"/>
        </w:numPr>
        <w:spacing w:before="120" w:after="120"/>
        <w:ind w:left="567" w:hanging="567"/>
        <w:contextualSpacing w:val="0"/>
        <w:jc w:val="both"/>
        <w:rPr>
          <w:rFonts w:ascii="Arial" w:hAnsi="Arial" w:cs="Arial"/>
          <w:b/>
          <w:sz w:val="22"/>
          <w:szCs w:val="22"/>
          <w:lang w:val="en-GB"/>
        </w:rPr>
      </w:pPr>
      <w:r w:rsidRPr="004762CA">
        <w:rPr>
          <w:rFonts w:ascii="Arial" w:hAnsi="Arial" w:cs="Arial"/>
          <w:sz w:val="22"/>
          <w:szCs w:val="22"/>
          <w:lang w:val="en-US"/>
        </w:rPr>
        <w:t xml:space="preserve">The Chair </w:t>
      </w:r>
      <w:r>
        <w:rPr>
          <w:rFonts w:ascii="Arial" w:hAnsi="Arial" w:cs="Arial"/>
          <w:sz w:val="22"/>
          <w:szCs w:val="22"/>
          <w:lang w:val="en-US"/>
        </w:rPr>
        <w:t>also held a meeting with the</w:t>
      </w:r>
      <w:r w:rsidRPr="004762CA">
        <w:rPr>
          <w:rFonts w:ascii="Arial" w:hAnsi="Arial" w:cs="Arial"/>
          <w:sz w:val="22"/>
          <w:szCs w:val="22"/>
          <w:lang w:val="en-US"/>
        </w:rPr>
        <w:t xml:space="preserve"> </w:t>
      </w:r>
      <w:r>
        <w:rPr>
          <w:rFonts w:ascii="Arial" w:hAnsi="Arial" w:cs="Arial"/>
          <w:sz w:val="22"/>
          <w:szCs w:val="22"/>
          <w:lang w:val="en-US"/>
        </w:rPr>
        <w:t>State</w:t>
      </w:r>
      <w:r w:rsidR="00CD4BAD">
        <w:rPr>
          <w:rFonts w:ascii="Arial" w:hAnsi="Arial" w:cs="Arial"/>
          <w:sz w:val="22"/>
          <w:szCs w:val="22"/>
          <w:lang w:val="en-US"/>
        </w:rPr>
        <w:t>s</w:t>
      </w:r>
      <w:r>
        <w:rPr>
          <w:rFonts w:ascii="Arial" w:hAnsi="Arial" w:cs="Arial"/>
          <w:sz w:val="22"/>
          <w:szCs w:val="22"/>
          <w:lang w:val="en-US"/>
        </w:rPr>
        <w:t xml:space="preserve"> Partie</w:t>
      </w:r>
      <w:r w:rsidRPr="004762CA">
        <w:rPr>
          <w:rFonts w:ascii="Arial" w:hAnsi="Arial" w:cs="Arial"/>
          <w:sz w:val="22"/>
          <w:szCs w:val="22"/>
          <w:lang w:val="en-US"/>
        </w:rPr>
        <w:t>s</w:t>
      </w:r>
      <w:r>
        <w:rPr>
          <w:rFonts w:ascii="Arial" w:hAnsi="Arial" w:cs="Arial"/>
          <w:sz w:val="22"/>
          <w:szCs w:val="22"/>
          <w:lang w:val="en-US"/>
        </w:rPr>
        <w:t xml:space="preserve"> to discuss the results of the consultation meeting prepared by the Secretariat</w:t>
      </w:r>
      <w:r w:rsidR="009B1E0C">
        <w:rPr>
          <w:rFonts w:ascii="Arial" w:hAnsi="Arial" w:cs="Arial"/>
          <w:sz w:val="22"/>
          <w:szCs w:val="22"/>
          <w:lang w:val="en-US"/>
        </w:rPr>
        <w:t>. The</w:t>
      </w:r>
      <w:r w:rsidRPr="00372AD7">
        <w:rPr>
          <w:rFonts w:ascii="Arial" w:hAnsi="Arial" w:cs="Arial"/>
          <w:sz w:val="22"/>
          <w:szCs w:val="22"/>
          <w:lang w:val="en-US"/>
        </w:rPr>
        <w:t xml:space="preserve"> following views were expressed</w:t>
      </w:r>
      <w:r>
        <w:rPr>
          <w:rFonts w:ascii="Arial" w:hAnsi="Arial" w:cs="Arial"/>
          <w:sz w:val="22"/>
          <w:szCs w:val="22"/>
          <w:lang w:val="en-US"/>
        </w:rPr>
        <w:t xml:space="preserve">: </w:t>
      </w:r>
    </w:p>
    <w:p w14:paraId="2AF40F08" w14:textId="43E4416B" w:rsidR="00F1300B" w:rsidRPr="00AB5BCA" w:rsidRDefault="00F1300B" w:rsidP="00AB5BCA">
      <w:pPr>
        <w:pStyle w:val="ListParagraph"/>
        <w:numPr>
          <w:ilvl w:val="0"/>
          <w:numId w:val="68"/>
        </w:numPr>
        <w:spacing w:before="120" w:after="120"/>
        <w:ind w:left="1134" w:hanging="567"/>
        <w:contextualSpacing w:val="0"/>
        <w:jc w:val="both"/>
        <w:rPr>
          <w:rFonts w:ascii="Arial" w:hAnsi="Arial" w:cs="Arial"/>
          <w:sz w:val="22"/>
          <w:szCs w:val="22"/>
          <w:lang w:val="en-US"/>
        </w:rPr>
      </w:pPr>
      <w:r w:rsidRPr="00AB5BCA">
        <w:rPr>
          <w:rFonts w:ascii="Arial" w:hAnsi="Arial" w:cs="Arial"/>
          <w:sz w:val="22"/>
          <w:szCs w:val="22"/>
          <w:lang w:val="en-US"/>
        </w:rPr>
        <w:t>The issue of geographical imbalance of accredited NGOs needs to be addressed, among others with stronger</w:t>
      </w:r>
      <w:r w:rsidR="001E3E37" w:rsidRPr="00AB5BCA">
        <w:rPr>
          <w:rFonts w:ascii="Arial" w:hAnsi="Arial" w:cs="Arial"/>
          <w:sz w:val="22"/>
          <w:szCs w:val="22"/>
          <w:lang w:val="en-US"/>
        </w:rPr>
        <w:t xml:space="preserve"> capacity building initiatives.</w:t>
      </w:r>
    </w:p>
    <w:p w14:paraId="6FF1607F" w14:textId="72002E4E" w:rsidR="00F1300B" w:rsidRPr="00AB5BCA" w:rsidRDefault="00F1300B" w:rsidP="00AB5BCA">
      <w:pPr>
        <w:pStyle w:val="ListParagraph"/>
        <w:numPr>
          <w:ilvl w:val="0"/>
          <w:numId w:val="68"/>
        </w:numPr>
        <w:spacing w:before="120" w:after="120"/>
        <w:ind w:left="1134" w:hanging="567"/>
        <w:contextualSpacing w:val="0"/>
        <w:jc w:val="both"/>
        <w:rPr>
          <w:rFonts w:ascii="Arial" w:hAnsi="Arial" w:cs="Arial"/>
          <w:sz w:val="22"/>
          <w:szCs w:val="22"/>
          <w:lang w:val="en-US"/>
        </w:rPr>
      </w:pPr>
      <w:r w:rsidRPr="00AB5BCA">
        <w:rPr>
          <w:rFonts w:ascii="Arial" w:hAnsi="Arial" w:cs="Arial"/>
          <w:sz w:val="22"/>
          <w:szCs w:val="22"/>
          <w:lang w:val="en-US"/>
        </w:rPr>
        <w:t xml:space="preserve">Collaboration with </w:t>
      </w:r>
      <w:r w:rsidR="009B1E0C">
        <w:rPr>
          <w:rFonts w:ascii="Arial" w:hAnsi="Arial" w:cs="Arial"/>
          <w:sz w:val="22"/>
          <w:szCs w:val="22"/>
          <w:lang w:val="en-US"/>
        </w:rPr>
        <w:t>C</w:t>
      </w:r>
      <w:r w:rsidRPr="00AB5BCA">
        <w:rPr>
          <w:rFonts w:ascii="Arial" w:hAnsi="Arial" w:cs="Arial"/>
          <w:sz w:val="22"/>
          <w:szCs w:val="22"/>
          <w:lang w:val="en-US"/>
        </w:rPr>
        <w:t>ategory</w:t>
      </w:r>
      <w:r w:rsidR="009B1E0C">
        <w:rPr>
          <w:rFonts w:ascii="Arial" w:hAnsi="Arial" w:cs="Arial"/>
          <w:sz w:val="22"/>
          <w:szCs w:val="22"/>
          <w:lang w:val="en-US"/>
        </w:rPr>
        <w:t xml:space="preserve"> 2</w:t>
      </w:r>
      <w:r w:rsidRPr="00AB5BCA">
        <w:rPr>
          <w:rFonts w:ascii="Arial" w:hAnsi="Arial" w:cs="Arial"/>
          <w:sz w:val="22"/>
          <w:szCs w:val="22"/>
          <w:lang w:val="en-US"/>
        </w:rPr>
        <w:t xml:space="preserve"> centers to enhance the cooperation with accredited NGOs could be explored, especially regarding the need for capacity</w:t>
      </w:r>
      <w:r w:rsidR="00CB1242">
        <w:rPr>
          <w:rFonts w:ascii="Arial" w:hAnsi="Arial" w:cs="Arial"/>
          <w:sz w:val="22"/>
          <w:szCs w:val="22"/>
          <w:lang w:val="en-US"/>
        </w:rPr>
        <w:t xml:space="preserve"> </w:t>
      </w:r>
      <w:r w:rsidRPr="00AB5BCA">
        <w:rPr>
          <w:rFonts w:ascii="Arial" w:hAnsi="Arial" w:cs="Arial"/>
          <w:sz w:val="22"/>
          <w:szCs w:val="22"/>
          <w:lang w:val="en-US"/>
        </w:rPr>
        <w:t>building.</w:t>
      </w:r>
    </w:p>
    <w:p w14:paraId="1A0FE9FD" w14:textId="57ED1AD6" w:rsidR="00F1300B" w:rsidRPr="00AB5BCA" w:rsidRDefault="00F1300B" w:rsidP="00AB5BCA">
      <w:pPr>
        <w:pStyle w:val="ListParagraph"/>
        <w:numPr>
          <w:ilvl w:val="0"/>
          <w:numId w:val="68"/>
        </w:numPr>
        <w:spacing w:before="120" w:after="120"/>
        <w:ind w:left="1134" w:hanging="567"/>
        <w:contextualSpacing w:val="0"/>
        <w:jc w:val="both"/>
        <w:rPr>
          <w:rFonts w:ascii="Arial" w:hAnsi="Arial" w:cs="Arial"/>
          <w:sz w:val="22"/>
          <w:szCs w:val="22"/>
          <w:lang w:val="en-US"/>
        </w:rPr>
      </w:pPr>
      <w:r w:rsidRPr="00AB5BCA">
        <w:rPr>
          <w:rFonts w:ascii="Arial" w:hAnsi="Arial" w:cs="Arial"/>
          <w:sz w:val="22"/>
          <w:szCs w:val="22"/>
          <w:lang w:val="en-US"/>
        </w:rPr>
        <w:t>It is necessary for the NGOs to be effective allies to implement th</w:t>
      </w:r>
      <w:r w:rsidR="001E3E37" w:rsidRPr="00AB5BCA">
        <w:rPr>
          <w:rFonts w:ascii="Arial" w:hAnsi="Arial" w:cs="Arial"/>
          <w:sz w:val="22"/>
          <w:szCs w:val="22"/>
          <w:lang w:val="en-US"/>
        </w:rPr>
        <w:t>e 2003 Convention on the field.</w:t>
      </w:r>
    </w:p>
    <w:p w14:paraId="6F906081" w14:textId="00C30B70" w:rsidR="00F1300B" w:rsidRPr="00AB5BCA" w:rsidRDefault="00F1300B" w:rsidP="00AB5BCA">
      <w:pPr>
        <w:pStyle w:val="ListParagraph"/>
        <w:numPr>
          <w:ilvl w:val="0"/>
          <w:numId w:val="68"/>
        </w:numPr>
        <w:spacing w:before="120" w:after="120"/>
        <w:ind w:left="1134" w:hanging="567"/>
        <w:contextualSpacing w:val="0"/>
        <w:jc w:val="both"/>
        <w:rPr>
          <w:rFonts w:ascii="Arial" w:hAnsi="Arial" w:cs="Arial"/>
          <w:sz w:val="22"/>
          <w:szCs w:val="22"/>
          <w:lang w:val="en-US"/>
        </w:rPr>
      </w:pPr>
      <w:r w:rsidRPr="00AB5BCA">
        <w:rPr>
          <w:rFonts w:ascii="Arial" w:hAnsi="Arial" w:cs="Arial"/>
          <w:sz w:val="22"/>
          <w:szCs w:val="22"/>
          <w:lang w:val="en-US"/>
        </w:rPr>
        <w:t>Some State</w:t>
      </w:r>
      <w:r w:rsidR="00AE1D28">
        <w:rPr>
          <w:rFonts w:ascii="Arial" w:hAnsi="Arial" w:cs="Arial"/>
          <w:sz w:val="22"/>
          <w:szCs w:val="22"/>
          <w:lang w:val="en-US"/>
        </w:rPr>
        <w:t>s</w:t>
      </w:r>
      <w:r w:rsidRPr="00AB5BCA">
        <w:rPr>
          <w:rFonts w:ascii="Arial" w:hAnsi="Arial" w:cs="Arial"/>
          <w:sz w:val="22"/>
          <w:szCs w:val="22"/>
          <w:lang w:val="en-US"/>
        </w:rPr>
        <w:t xml:space="preserve"> Parties</w:t>
      </w:r>
      <w:r w:rsidR="00CD4BAD">
        <w:rPr>
          <w:rFonts w:ascii="Arial" w:hAnsi="Arial" w:cs="Arial"/>
          <w:sz w:val="22"/>
          <w:szCs w:val="22"/>
          <w:lang w:val="en-US"/>
        </w:rPr>
        <w:t xml:space="preserve"> are</w:t>
      </w:r>
      <w:r w:rsidRPr="00AB5BCA">
        <w:rPr>
          <w:rFonts w:ascii="Arial" w:hAnsi="Arial" w:cs="Arial"/>
          <w:sz w:val="22"/>
          <w:szCs w:val="22"/>
          <w:lang w:val="en-US"/>
        </w:rPr>
        <w:t xml:space="preserve"> invited to come to conclusions on this issue during the </w:t>
      </w:r>
      <w:r w:rsidR="00CD4BAD">
        <w:rPr>
          <w:rFonts w:ascii="Arial" w:hAnsi="Arial" w:cs="Arial"/>
          <w:sz w:val="22"/>
          <w:szCs w:val="22"/>
          <w:lang w:val="en-US"/>
        </w:rPr>
        <w:t>fourteenth session of the Committee</w:t>
      </w:r>
      <w:r w:rsidRPr="00AB5BCA">
        <w:rPr>
          <w:rFonts w:ascii="Arial" w:hAnsi="Arial" w:cs="Arial"/>
          <w:sz w:val="22"/>
          <w:szCs w:val="22"/>
          <w:lang w:val="en-US"/>
        </w:rPr>
        <w:t xml:space="preserve">, taking into account the </w:t>
      </w:r>
      <w:hyperlink r:id="rId20" w:history="1">
        <w:r w:rsidRPr="009A4497">
          <w:rPr>
            <w:rStyle w:val="Hyperlink"/>
            <w:rFonts w:ascii="Arial" w:hAnsi="Arial" w:cs="Arial"/>
            <w:sz w:val="22"/>
            <w:szCs w:val="22"/>
            <w:lang w:val="en-US"/>
          </w:rPr>
          <w:t>report</w:t>
        </w:r>
      </w:hyperlink>
      <w:r w:rsidRPr="00AB5BCA">
        <w:rPr>
          <w:rFonts w:ascii="Arial" w:hAnsi="Arial" w:cs="Arial"/>
          <w:sz w:val="22"/>
          <w:szCs w:val="22"/>
          <w:lang w:val="en-US"/>
        </w:rPr>
        <w:t xml:space="preserve"> that the Secretariat will give on the matt</w:t>
      </w:r>
      <w:r w:rsidR="001E3E37" w:rsidRPr="00AB5BCA">
        <w:rPr>
          <w:rFonts w:ascii="Arial" w:hAnsi="Arial" w:cs="Arial"/>
          <w:sz w:val="22"/>
          <w:szCs w:val="22"/>
          <w:lang w:val="en-US"/>
        </w:rPr>
        <w:t>er.</w:t>
      </w:r>
    </w:p>
    <w:p w14:paraId="108B0BA7" w14:textId="77777777" w:rsidR="00F1300B" w:rsidRDefault="00F1300B" w:rsidP="00F1300B">
      <w:pPr>
        <w:spacing w:before="240" w:after="120"/>
        <w:jc w:val="both"/>
        <w:rPr>
          <w:rFonts w:ascii="Arial" w:hAnsi="Arial" w:cs="Arial"/>
          <w:b/>
          <w:sz w:val="22"/>
          <w:szCs w:val="22"/>
          <w:lang w:val="en-US"/>
        </w:rPr>
      </w:pPr>
      <w:r>
        <w:rPr>
          <w:rFonts w:ascii="Arial" w:hAnsi="Arial" w:cs="Arial"/>
          <w:b/>
          <w:sz w:val="22"/>
          <w:szCs w:val="22"/>
          <w:lang w:val="en-US"/>
        </w:rPr>
        <w:t>Recommendations</w:t>
      </w:r>
    </w:p>
    <w:p w14:paraId="414AD10C" w14:textId="559A7B76" w:rsidR="00F1300B" w:rsidRDefault="00F1300B" w:rsidP="00F1300B">
      <w:pPr>
        <w:pStyle w:val="ListParagraph"/>
        <w:numPr>
          <w:ilvl w:val="0"/>
          <w:numId w:val="66"/>
        </w:numPr>
        <w:spacing w:before="120" w:after="120"/>
        <w:ind w:left="567" w:hanging="567"/>
        <w:contextualSpacing w:val="0"/>
        <w:jc w:val="both"/>
        <w:rPr>
          <w:rFonts w:ascii="Arial" w:hAnsi="Arial" w:cs="Arial"/>
          <w:sz w:val="22"/>
          <w:szCs w:val="22"/>
          <w:lang w:val="en-US"/>
        </w:rPr>
      </w:pPr>
      <w:r>
        <w:rPr>
          <w:rFonts w:ascii="Arial" w:hAnsi="Arial" w:cs="Arial"/>
          <w:sz w:val="22"/>
          <w:szCs w:val="22"/>
          <w:lang w:val="en-US"/>
        </w:rPr>
        <w:t>The Chair</w:t>
      </w:r>
      <w:r w:rsidR="0055200D">
        <w:rPr>
          <w:rFonts w:ascii="Arial" w:hAnsi="Arial" w:cs="Arial"/>
          <w:sz w:val="22"/>
          <w:szCs w:val="22"/>
          <w:lang w:val="en-US"/>
        </w:rPr>
        <w:t>persons</w:t>
      </w:r>
      <w:r>
        <w:rPr>
          <w:rFonts w:ascii="Arial" w:hAnsi="Arial" w:cs="Arial"/>
          <w:sz w:val="22"/>
          <w:szCs w:val="22"/>
          <w:lang w:val="en-US"/>
        </w:rPr>
        <w:t xml:space="preserve"> submit the following recommendations based on discussions of the ad hoc working group:</w:t>
      </w:r>
    </w:p>
    <w:p w14:paraId="6E4288DB" w14:textId="3CF18072" w:rsidR="00F1300B" w:rsidRDefault="00F1300B" w:rsidP="00AB5BCA">
      <w:pPr>
        <w:spacing w:before="240" w:after="120"/>
        <w:ind w:left="567"/>
        <w:jc w:val="both"/>
        <w:rPr>
          <w:rFonts w:ascii="Arial" w:hAnsi="Arial" w:cs="Arial"/>
          <w:b/>
          <w:sz w:val="22"/>
          <w:szCs w:val="22"/>
          <w:lang w:val="en-US"/>
        </w:rPr>
      </w:pPr>
      <w:r>
        <w:rPr>
          <w:rFonts w:ascii="Arial" w:hAnsi="Arial" w:cs="Arial"/>
          <w:b/>
          <w:sz w:val="22"/>
          <w:szCs w:val="22"/>
          <w:lang w:val="en-US"/>
        </w:rPr>
        <w:t xml:space="preserve">Reflection </w:t>
      </w:r>
      <w:r w:rsidRPr="00893B9F">
        <w:rPr>
          <w:rFonts w:ascii="Arial" w:hAnsi="Arial" w:cs="Arial"/>
          <w:b/>
          <w:sz w:val="22"/>
          <w:szCs w:val="22"/>
          <w:lang w:val="en-US"/>
        </w:rPr>
        <w:t xml:space="preserve">on the launch of </w:t>
      </w:r>
      <w:r w:rsidR="00971019">
        <w:rPr>
          <w:rFonts w:ascii="Arial" w:hAnsi="Arial" w:cs="Arial"/>
          <w:b/>
          <w:sz w:val="22"/>
          <w:szCs w:val="22"/>
          <w:lang w:val="en-US"/>
        </w:rPr>
        <w:t xml:space="preserve">the </w:t>
      </w:r>
      <w:r w:rsidR="00F659F8">
        <w:rPr>
          <w:rFonts w:ascii="Arial" w:hAnsi="Arial" w:cs="Arial"/>
          <w:b/>
          <w:sz w:val="22"/>
          <w:szCs w:val="22"/>
          <w:lang w:val="en-US"/>
        </w:rPr>
        <w:t>‘</w:t>
      </w:r>
      <w:r w:rsidRPr="00893B9F">
        <w:rPr>
          <w:rFonts w:ascii="Arial" w:hAnsi="Arial" w:cs="Arial"/>
          <w:b/>
          <w:sz w:val="22"/>
          <w:szCs w:val="22"/>
          <w:lang w:val="en-US"/>
        </w:rPr>
        <w:t>provisional upstream dialog</w:t>
      </w:r>
      <w:r w:rsidR="00830AD6">
        <w:rPr>
          <w:rFonts w:ascii="Arial" w:hAnsi="Arial" w:cs="Arial"/>
          <w:b/>
          <w:sz w:val="22"/>
          <w:szCs w:val="22"/>
          <w:lang w:val="en-US"/>
        </w:rPr>
        <w:t>ue</w:t>
      </w:r>
      <w:r w:rsidRPr="00893B9F">
        <w:rPr>
          <w:rFonts w:ascii="Arial" w:hAnsi="Arial" w:cs="Arial"/>
          <w:b/>
          <w:sz w:val="22"/>
          <w:szCs w:val="22"/>
          <w:lang w:val="en-US"/>
        </w:rPr>
        <w:t xml:space="preserve"> process</w:t>
      </w:r>
      <w:r w:rsidR="00F659F8">
        <w:rPr>
          <w:rFonts w:ascii="Arial" w:hAnsi="Arial" w:cs="Arial"/>
          <w:b/>
          <w:sz w:val="22"/>
          <w:szCs w:val="22"/>
          <w:lang w:val="en-US"/>
        </w:rPr>
        <w:t>’</w:t>
      </w:r>
      <w:r>
        <w:rPr>
          <w:rFonts w:ascii="Arial" w:hAnsi="Arial" w:cs="Arial"/>
          <w:b/>
          <w:sz w:val="22"/>
          <w:szCs w:val="22"/>
          <w:lang w:val="en-US"/>
        </w:rPr>
        <w:t>, in e</w:t>
      </w:r>
      <w:r w:rsidRPr="00893B9F">
        <w:rPr>
          <w:rFonts w:ascii="Arial" w:hAnsi="Arial" w:cs="Arial"/>
          <w:b/>
          <w:sz w:val="22"/>
          <w:szCs w:val="22"/>
          <w:lang w:val="en-US"/>
        </w:rPr>
        <w:t>xchange with the Secretariat</w:t>
      </w:r>
      <w:r>
        <w:rPr>
          <w:rFonts w:ascii="Arial" w:hAnsi="Arial" w:cs="Arial"/>
          <w:b/>
          <w:sz w:val="22"/>
          <w:szCs w:val="22"/>
          <w:lang w:val="en-US"/>
        </w:rPr>
        <w:t>, State</w:t>
      </w:r>
      <w:r w:rsidR="00971019">
        <w:rPr>
          <w:rFonts w:ascii="Arial" w:hAnsi="Arial" w:cs="Arial"/>
          <w:b/>
          <w:sz w:val="22"/>
          <w:szCs w:val="22"/>
          <w:lang w:val="en-US"/>
        </w:rPr>
        <w:t>s</w:t>
      </w:r>
      <w:r>
        <w:rPr>
          <w:rFonts w:ascii="Arial" w:hAnsi="Arial" w:cs="Arial"/>
          <w:b/>
          <w:sz w:val="22"/>
          <w:szCs w:val="22"/>
          <w:lang w:val="en-US"/>
        </w:rPr>
        <w:t xml:space="preserve"> Parties</w:t>
      </w:r>
      <w:r w:rsidR="001E3E37">
        <w:rPr>
          <w:rFonts w:ascii="Arial" w:hAnsi="Arial" w:cs="Arial"/>
          <w:b/>
          <w:sz w:val="22"/>
          <w:szCs w:val="22"/>
          <w:lang w:val="en-US"/>
        </w:rPr>
        <w:t xml:space="preserve"> and the Evaluation Body</w:t>
      </w:r>
    </w:p>
    <w:p w14:paraId="09892F0D" w14:textId="16F5E5EF" w:rsidR="00F1300B" w:rsidRDefault="00F1300B" w:rsidP="00AB5BCA">
      <w:pPr>
        <w:pStyle w:val="ListParagraph"/>
        <w:numPr>
          <w:ilvl w:val="0"/>
          <w:numId w:val="67"/>
        </w:numPr>
        <w:spacing w:before="120" w:after="120"/>
        <w:ind w:left="1134" w:hanging="567"/>
        <w:contextualSpacing w:val="0"/>
        <w:jc w:val="both"/>
        <w:rPr>
          <w:rFonts w:ascii="Arial" w:hAnsi="Arial" w:cs="Arial"/>
          <w:sz w:val="22"/>
          <w:szCs w:val="22"/>
          <w:lang w:val="en-US"/>
        </w:rPr>
      </w:pPr>
      <w:r w:rsidRPr="002727CF">
        <w:rPr>
          <w:rFonts w:ascii="Arial" w:hAnsi="Arial" w:cs="Arial"/>
          <w:sz w:val="22"/>
          <w:szCs w:val="22"/>
          <w:lang w:val="en-US"/>
        </w:rPr>
        <w:t xml:space="preserve">The </w:t>
      </w:r>
      <w:r>
        <w:rPr>
          <w:rFonts w:ascii="Arial" w:hAnsi="Arial" w:cs="Arial"/>
          <w:sz w:val="22"/>
          <w:szCs w:val="22"/>
          <w:lang w:val="en-US"/>
        </w:rPr>
        <w:t>State</w:t>
      </w:r>
      <w:r w:rsidR="00941643">
        <w:rPr>
          <w:rFonts w:ascii="Arial" w:hAnsi="Arial" w:cs="Arial"/>
          <w:sz w:val="22"/>
          <w:szCs w:val="22"/>
          <w:lang w:val="en-US"/>
        </w:rPr>
        <w:t>s</w:t>
      </w:r>
      <w:r>
        <w:rPr>
          <w:rFonts w:ascii="Arial" w:hAnsi="Arial" w:cs="Arial"/>
          <w:sz w:val="22"/>
          <w:szCs w:val="22"/>
          <w:lang w:val="en-US"/>
        </w:rPr>
        <w:t xml:space="preserve"> Partie</w:t>
      </w:r>
      <w:r w:rsidRPr="002727CF">
        <w:rPr>
          <w:rFonts w:ascii="Arial" w:hAnsi="Arial" w:cs="Arial"/>
          <w:sz w:val="22"/>
          <w:szCs w:val="22"/>
          <w:lang w:val="en-US"/>
        </w:rPr>
        <w:t>s agreed</w:t>
      </w:r>
      <w:r>
        <w:rPr>
          <w:rFonts w:ascii="Arial" w:hAnsi="Arial" w:cs="Arial"/>
          <w:sz w:val="22"/>
          <w:szCs w:val="22"/>
          <w:lang w:val="en-US"/>
        </w:rPr>
        <w:t xml:space="preserve"> on revising</w:t>
      </w:r>
      <w:r w:rsidRPr="002727CF">
        <w:rPr>
          <w:rFonts w:ascii="Arial" w:hAnsi="Arial" w:cs="Arial"/>
          <w:sz w:val="22"/>
          <w:szCs w:val="22"/>
          <w:lang w:val="en-US"/>
        </w:rPr>
        <w:t xml:space="preserve"> the timeframe for the evaluation process, after assessing the outcome of the </w:t>
      </w:r>
      <w:r w:rsidR="00CB1242">
        <w:rPr>
          <w:rFonts w:ascii="Arial" w:hAnsi="Arial" w:cs="Arial"/>
          <w:sz w:val="22"/>
          <w:szCs w:val="22"/>
          <w:lang w:val="en-US"/>
        </w:rPr>
        <w:t>‘</w:t>
      </w:r>
      <w:r w:rsidRPr="002727CF">
        <w:rPr>
          <w:rFonts w:ascii="Arial" w:hAnsi="Arial" w:cs="Arial"/>
          <w:sz w:val="22"/>
          <w:szCs w:val="22"/>
          <w:lang w:val="en-US"/>
        </w:rPr>
        <w:t>provisional upstream dialog</w:t>
      </w:r>
      <w:r w:rsidR="00830AD6">
        <w:rPr>
          <w:rFonts w:ascii="Arial" w:hAnsi="Arial" w:cs="Arial"/>
          <w:sz w:val="22"/>
          <w:szCs w:val="22"/>
          <w:lang w:val="en-US"/>
        </w:rPr>
        <w:t>ue</w:t>
      </w:r>
      <w:r w:rsidRPr="002727CF">
        <w:rPr>
          <w:rFonts w:ascii="Arial" w:hAnsi="Arial" w:cs="Arial"/>
          <w:sz w:val="22"/>
          <w:szCs w:val="22"/>
          <w:lang w:val="en-US"/>
        </w:rPr>
        <w:t xml:space="preserve"> process</w:t>
      </w:r>
      <w:r w:rsidR="00CB1242">
        <w:rPr>
          <w:rFonts w:ascii="Arial" w:hAnsi="Arial" w:cs="Arial"/>
          <w:sz w:val="22"/>
          <w:szCs w:val="22"/>
          <w:lang w:val="en-US"/>
        </w:rPr>
        <w:t>’,</w:t>
      </w:r>
      <w:r w:rsidRPr="002727CF">
        <w:rPr>
          <w:rFonts w:ascii="Arial" w:hAnsi="Arial" w:cs="Arial"/>
          <w:sz w:val="22"/>
          <w:szCs w:val="22"/>
          <w:lang w:val="en-US"/>
        </w:rPr>
        <w:t xml:space="preserve"> and the information </w:t>
      </w:r>
      <w:r>
        <w:rPr>
          <w:rFonts w:ascii="Arial" w:hAnsi="Arial" w:cs="Arial"/>
          <w:sz w:val="22"/>
          <w:szCs w:val="22"/>
          <w:lang w:val="en-US"/>
        </w:rPr>
        <w:t xml:space="preserve">that will be </w:t>
      </w:r>
      <w:r w:rsidRPr="002727CF">
        <w:rPr>
          <w:rFonts w:ascii="Arial" w:hAnsi="Arial" w:cs="Arial"/>
          <w:sz w:val="22"/>
          <w:szCs w:val="22"/>
          <w:lang w:val="en-US"/>
        </w:rPr>
        <w:t>submitted by the Evaluation Body and the Secretariat on the subject</w:t>
      </w:r>
      <w:r>
        <w:rPr>
          <w:rFonts w:ascii="Arial" w:hAnsi="Arial" w:cs="Arial"/>
          <w:sz w:val="22"/>
          <w:szCs w:val="22"/>
          <w:lang w:val="en-US"/>
        </w:rPr>
        <w:t xml:space="preserve"> during the </w:t>
      </w:r>
      <w:r w:rsidR="00941643">
        <w:rPr>
          <w:rFonts w:ascii="Arial" w:hAnsi="Arial" w:cs="Arial"/>
          <w:sz w:val="22"/>
          <w:szCs w:val="22"/>
          <w:lang w:val="en-US"/>
        </w:rPr>
        <w:t>fourteenth</w:t>
      </w:r>
      <w:r>
        <w:rPr>
          <w:rFonts w:ascii="Arial" w:hAnsi="Arial" w:cs="Arial"/>
          <w:sz w:val="22"/>
          <w:szCs w:val="22"/>
          <w:lang w:val="en-US"/>
        </w:rPr>
        <w:t xml:space="preserve"> </w:t>
      </w:r>
      <w:r w:rsidR="00830AD6">
        <w:rPr>
          <w:rFonts w:ascii="Arial" w:hAnsi="Arial" w:cs="Arial"/>
          <w:sz w:val="22"/>
          <w:szCs w:val="22"/>
          <w:lang w:val="en-US"/>
        </w:rPr>
        <w:t xml:space="preserve">session of the </w:t>
      </w:r>
      <w:r>
        <w:rPr>
          <w:rFonts w:ascii="Arial" w:hAnsi="Arial" w:cs="Arial"/>
          <w:sz w:val="22"/>
          <w:szCs w:val="22"/>
          <w:lang w:val="en-US"/>
        </w:rPr>
        <w:t>C</w:t>
      </w:r>
      <w:r w:rsidR="00830AD6">
        <w:rPr>
          <w:rFonts w:ascii="Arial" w:hAnsi="Arial" w:cs="Arial"/>
          <w:sz w:val="22"/>
          <w:szCs w:val="22"/>
          <w:lang w:val="en-US"/>
        </w:rPr>
        <w:t>ommittee</w:t>
      </w:r>
      <w:r w:rsidRPr="002727CF">
        <w:rPr>
          <w:rFonts w:ascii="Arial" w:hAnsi="Arial" w:cs="Arial"/>
          <w:sz w:val="22"/>
          <w:szCs w:val="22"/>
          <w:lang w:val="en-US"/>
        </w:rPr>
        <w:t xml:space="preserve">. The </w:t>
      </w:r>
      <w:r>
        <w:rPr>
          <w:rFonts w:ascii="Arial" w:hAnsi="Arial" w:cs="Arial"/>
          <w:sz w:val="22"/>
          <w:szCs w:val="22"/>
          <w:lang w:val="en-US"/>
        </w:rPr>
        <w:t xml:space="preserve">final timeframe for the methodology should consider </w:t>
      </w:r>
      <w:r w:rsidRPr="002727CF">
        <w:rPr>
          <w:rFonts w:ascii="Arial" w:hAnsi="Arial" w:cs="Arial"/>
          <w:sz w:val="22"/>
          <w:szCs w:val="22"/>
          <w:lang w:val="en-US"/>
        </w:rPr>
        <w:t xml:space="preserve">the additional time needed by both the Evaluation Body and the </w:t>
      </w:r>
      <w:r>
        <w:rPr>
          <w:rFonts w:ascii="Arial" w:hAnsi="Arial" w:cs="Arial"/>
          <w:sz w:val="22"/>
          <w:szCs w:val="22"/>
          <w:lang w:val="en-US"/>
        </w:rPr>
        <w:t>State</w:t>
      </w:r>
      <w:r w:rsidR="00830AD6">
        <w:rPr>
          <w:rFonts w:ascii="Arial" w:hAnsi="Arial" w:cs="Arial"/>
          <w:sz w:val="22"/>
          <w:szCs w:val="22"/>
          <w:lang w:val="en-US"/>
        </w:rPr>
        <w:t>s</w:t>
      </w:r>
      <w:r>
        <w:rPr>
          <w:rFonts w:ascii="Arial" w:hAnsi="Arial" w:cs="Arial"/>
          <w:sz w:val="22"/>
          <w:szCs w:val="22"/>
          <w:lang w:val="en-US"/>
        </w:rPr>
        <w:t xml:space="preserve"> Partie</w:t>
      </w:r>
      <w:r w:rsidRPr="002727CF">
        <w:rPr>
          <w:rFonts w:ascii="Arial" w:hAnsi="Arial" w:cs="Arial"/>
          <w:sz w:val="22"/>
          <w:szCs w:val="22"/>
          <w:lang w:val="en-US"/>
        </w:rPr>
        <w:t>s (government authorities as well as communities involved) to address the questions made during the process.</w:t>
      </w:r>
    </w:p>
    <w:p w14:paraId="6EDEB201" w14:textId="0A5F00F2" w:rsidR="00F1300B" w:rsidRPr="00C41D98" w:rsidRDefault="00F1300B" w:rsidP="00AB5BCA">
      <w:pPr>
        <w:pStyle w:val="ListParagraph"/>
        <w:numPr>
          <w:ilvl w:val="0"/>
          <w:numId w:val="67"/>
        </w:numPr>
        <w:spacing w:before="120" w:after="120"/>
        <w:ind w:left="1134" w:hanging="567"/>
        <w:contextualSpacing w:val="0"/>
        <w:jc w:val="both"/>
        <w:rPr>
          <w:rFonts w:ascii="Arial" w:hAnsi="Arial" w:cs="Arial"/>
          <w:sz w:val="22"/>
          <w:szCs w:val="22"/>
          <w:lang w:val="en-US"/>
        </w:rPr>
      </w:pPr>
      <w:r>
        <w:rPr>
          <w:rFonts w:ascii="Arial" w:hAnsi="Arial" w:cs="Arial"/>
          <w:sz w:val="22"/>
          <w:szCs w:val="22"/>
          <w:lang w:val="en-US"/>
        </w:rPr>
        <w:t>The State</w:t>
      </w:r>
      <w:r w:rsidR="00830AD6">
        <w:rPr>
          <w:rFonts w:ascii="Arial" w:hAnsi="Arial" w:cs="Arial"/>
          <w:sz w:val="22"/>
          <w:szCs w:val="22"/>
          <w:lang w:val="en-US"/>
        </w:rPr>
        <w:t>s</w:t>
      </w:r>
      <w:r>
        <w:rPr>
          <w:rFonts w:ascii="Arial" w:hAnsi="Arial" w:cs="Arial"/>
          <w:sz w:val="22"/>
          <w:szCs w:val="22"/>
          <w:lang w:val="en-US"/>
        </w:rPr>
        <w:t xml:space="preserve"> Partie</w:t>
      </w:r>
      <w:r w:rsidRPr="00830668">
        <w:rPr>
          <w:rFonts w:ascii="Arial" w:hAnsi="Arial" w:cs="Arial"/>
          <w:sz w:val="22"/>
          <w:szCs w:val="22"/>
          <w:lang w:val="en-US"/>
        </w:rPr>
        <w:t xml:space="preserve">s and the Evaluation Body considered the </w:t>
      </w:r>
      <w:r w:rsidR="00CB1242">
        <w:rPr>
          <w:rFonts w:ascii="Arial" w:hAnsi="Arial" w:cs="Arial"/>
          <w:sz w:val="22"/>
          <w:szCs w:val="22"/>
          <w:lang w:val="en-US"/>
        </w:rPr>
        <w:t>‘</w:t>
      </w:r>
      <w:r w:rsidRPr="00830668">
        <w:rPr>
          <w:rFonts w:ascii="Arial" w:hAnsi="Arial" w:cs="Arial"/>
          <w:sz w:val="22"/>
          <w:szCs w:val="22"/>
          <w:lang w:val="en-US"/>
        </w:rPr>
        <w:t>provisional upstream dialog</w:t>
      </w:r>
      <w:r w:rsidR="00830AD6">
        <w:rPr>
          <w:rFonts w:ascii="Arial" w:hAnsi="Arial" w:cs="Arial"/>
          <w:sz w:val="22"/>
          <w:szCs w:val="22"/>
          <w:lang w:val="en-US"/>
        </w:rPr>
        <w:t>ue</w:t>
      </w:r>
      <w:r w:rsidRPr="00830668">
        <w:rPr>
          <w:rFonts w:ascii="Arial" w:hAnsi="Arial" w:cs="Arial"/>
          <w:sz w:val="22"/>
          <w:szCs w:val="22"/>
          <w:lang w:val="en-US"/>
        </w:rPr>
        <w:t xml:space="preserve"> process</w:t>
      </w:r>
      <w:r w:rsidR="00CB1242">
        <w:rPr>
          <w:rFonts w:ascii="Arial" w:hAnsi="Arial" w:cs="Arial"/>
          <w:sz w:val="22"/>
          <w:szCs w:val="22"/>
          <w:lang w:val="en-US"/>
        </w:rPr>
        <w:t>’</w:t>
      </w:r>
      <w:r w:rsidRPr="00830668">
        <w:rPr>
          <w:rFonts w:ascii="Arial" w:hAnsi="Arial" w:cs="Arial"/>
          <w:sz w:val="22"/>
          <w:szCs w:val="22"/>
          <w:lang w:val="en-US"/>
        </w:rPr>
        <w:t xml:space="preserve"> appropriate</w:t>
      </w:r>
      <w:r>
        <w:rPr>
          <w:rFonts w:ascii="Arial" w:hAnsi="Arial" w:cs="Arial"/>
          <w:sz w:val="22"/>
          <w:szCs w:val="22"/>
          <w:lang w:val="en-US"/>
        </w:rPr>
        <w:t xml:space="preserve">, and are willing to discuss the procedures for making the </w:t>
      </w:r>
      <w:r w:rsidRPr="002D7FDC">
        <w:rPr>
          <w:rFonts w:ascii="Arial" w:hAnsi="Arial" w:cs="Arial"/>
          <w:sz w:val="22"/>
          <w:szCs w:val="22"/>
          <w:lang w:val="en-US"/>
        </w:rPr>
        <w:t xml:space="preserve">amendments in </w:t>
      </w:r>
      <w:r w:rsidR="0037229E">
        <w:rPr>
          <w:rFonts w:ascii="Arial" w:hAnsi="Arial" w:cs="Arial"/>
          <w:sz w:val="22"/>
          <w:szCs w:val="22"/>
          <w:lang w:val="en-US"/>
        </w:rPr>
        <w:t xml:space="preserve">the </w:t>
      </w:r>
      <w:r w:rsidRPr="002D7FDC">
        <w:rPr>
          <w:rFonts w:ascii="Arial" w:hAnsi="Arial" w:cs="Arial"/>
          <w:sz w:val="22"/>
          <w:szCs w:val="22"/>
          <w:lang w:val="en-US"/>
        </w:rPr>
        <w:t xml:space="preserve">Operational </w:t>
      </w:r>
      <w:r w:rsidR="00941643">
        <w:rPr>
          <w:rFonts w:ascii="Arial" w:hAnsi="Arial" w:cs="Arial"/>
          <w:sz w:val="22"/>
          <w:szCs w:val="22"/>
          <w:lang w:val="en-US"/>
        </w:rPr>
        <w:t xml:space="preserve">Directives </w:t>
      </w:r>
      <w:r>
        <w:rPr>
          <w:rFonts w:ascii="Arial" w:hAnsi="Arial" w:cs="Arial"/>
          <w:sz w:val="22"/>
          <w:szCs w:val="22"/>
          <w:lang w:val="en-US"/>
        </w:rPr>
        <w:t xml:space="preserve">during this </w:t>
      </w:r>
      <w:r w:rsidR="00941643">
        <w:rPr>
          <w:rFonts w:ascii="Arial" w:hAnsi="Arial" w:cs="Arial"/>
          <w:sz w:val="22"/>
          <w:szCs w:val="22"/>
          <w:lang w:val="en-US"/>
        </w:rPr>
        <w:t xml:space="preserve">fourteenth </w:t>
      </w:r>
      <w:r>
        <w:rPr>
          <w:rFonts w:ascii="Arial" w:hAnsi="Arial" w:cs="Arial"/>
          <w:sz w:val="22"/>
          <w:szCs w:val="22"/>
          <w:lang w:val="en-US"/>
        </w:rPr>
        <w:t>session of the Committee in Bogot</w:t>
      </w:r>
      <w:r w:rsidR="00895707" w:rsidRPr="00692D39">
        <w:rPr>
          <w:rFonts w:ascii="Arial" w:hAnsi="Arial" w:cs="Arial"/>
          <w:sz w:val="22"/>
          <w:szCs w:val="22"/>
          <w:lang w:val="en-US"/>
        </w:rPr>
        <w:t>á</w:t>
      </w:r>
      <w:r>
        <w:rPr>
          <w:rFonts w:ascii="Arial" w:hAnsi="Arial" w:cs="Arial"/>
          <w:sz w:val="22"/>
          <w:szCs w:val="22"/>
          <w:lang w:val="en-US"/>
        </w:rPr>
        <w:t xml:space="preserve">. The aim is to agree on amendments to be able to present them </w:t>
      </w:r>
      <w:r w:rsidR="005C732F">
        <w:rPr>
          <w:rFonts w:ascii="Arial" w:hAnsi="Arial" w:cs="Arial"/>
          <w:sz w:val="22"/>
          <w:szCs w:val="22"/>
          <w:lang w:val="en-US"/>
        </w:rPr>
        <w:t>to</w:t>
      </w:r>
      <w:r>
        <w:rPr>
          <w:rFonts w:ascii="Arial" w:hAnsi="Arial" w:cs="Arial"/>
          <w:sz w:val="22"/>
          <w:szCs w:val="22"/>
          <w:lang w:val="en-US"/>
        </w:rPr>
        <w:t xml:space="preserve"> the General Assembly of the Convention in 2020</w:t>
      </w:r>
      <w:r w:rsidR="001E3E37">
        <w:rPr>
          <w:rFonts w:ascii="Arial" w:hAnsi="Arial" w:cs="Arial"/>
          <w:sz w:val="22"/>
          <w:szCs w:val="22"/>
          <w:lang w:val="en-US"/>
        </w:rPr>
        <w:t>.</w:t>
      </w:r>
    </w:p>
    <w:p w14:paraId="2313E791" w14:textId="77777777" w:rsidR="00F1300B" w:rsidRDefault="00F1300B" w:rsidP="00F1300B">
      <w:pPr>
        <w:spacing w:before="240" w:after="120"/>
        <w:ind w:left="567"/>
        <w:jc w:val="both"/>
        <w:rPr>
          <w:rFonts w:ascii="Arial" w:hAnsi="Arial" w:cs="Arial"/>
          <w:b/>
          <w:sz w:val="22"/>
          <w:szCs w:val="22"/>
          <w:lang w:val="en-US"/>
        </w:rPr>
      </w:pPr>
      <w:r w:rsidRPr="00BA712F">
        <w:rPr>
          <w:rFonts w:ascii="Arial" w:hAnsi="Arial" w:cs="Arial"/>
          <w:b/>
          <w:sz w:val="22"/>
          <w:szCs w:val="22"/>
          <w:lang w:val="en-US"/>
        </w:rPr>
        <w:t>Reflection on possible ways in which participation of NGOs could be further enhanced and how this would be reflected in the accreditation and renewal mechanisms of NGOs</w:t>
      </w:r>
    </w:p>
    <w:p w14:paraId="4DA75DF2" w14:textId="7C39DB1B" w:rsidR="00F1300B" w:rsidRDefault="00F1300B" w:rsidP="00AB5BCA">
      <w:pPr>
        <w:pStyle w:val="ListParagraph"/>
        <w:numPr>
          <w:ilvl w:val="0"/>
          <w:numId w:val="67"/>
        </w:numPr>
        <w:spacing w:before="120" w:after="120"/>
        <w:ind w:left="1134" w:hanging="567"/>
        <w:contextualSpacing w:val="0"/>
        <w:jc w:val="both"/>
        <w:rPr>
          <w:rFonts w:ascii="Arial" w:hAnsi="Arial" w:cs="Arial"/>
          <w:sz w:val="22"/>
          <w:szCs w:val="22"/>
          <w:lang w:val="en-US"/>
        </w:rPr>
      </w:pPr>
      <w:r>
        <w:rPr>
          <w:rFonts w:ascii="Arial" w:hAnsi="Arial" w:cs="Arial"/>
          <w:sz w:val="22"/>
          <w:szCs w:val="22"/>
          <w:lang w:val="en-US"/>
        </w:rPr>
        <w:t>This issue raised the attention on challenges such as geographical under-representation; the importance of mapping NGOs</w:t>
      </w:r>
      <w:r w:rsidR="00941643">
        <w:rPr>
          <w:rFonts w:ascii="Arial" w:hAnsi="Arial" w:cs="Arial"/>
          <w:sz w:val="22"/>
          <w:szCs w:val="22"/>
          <w:lang w:val="en-US"/>
        </w:rPr>
        <w:t>’</w:t>
      </w:r>
      <w:r>
        <w:rPr>
          <w:rFonts w:ascii="Arial" w:hAnsi="Arial" w:cs="Arial"/>
          <w:sz w:val="22"/>
          <w:szCs w:val="22"/>
          <w:lang w:val="en-US"/>
        </w:rPr>
        <w:t xml:space="preserve"> capacities and expertise in order to make the most of the different experiences and have a better understanding on their possible roles and advisory functions; and ways to enhance the dialog</w:t>
      </w:r>
      <w:r w:rsidR="00830AD6">
        <w:rPr>
          <w:rFonts w:ascii="Arial" w:hAnsi="Arial" w:cs="Arial"/>
          <w:sz w:val="22"/>
          <w:szCs w:val="22"/>
          <w:lang w:val="en-US"/>
        </w:rPr>
        <w:t>ue</w:t>
      </w:r>
      <w:r>
        <w:rPr>
          <w:rFonts w:ascii="Arial" w:hAnsi="Arial" w:cs="Arial"/>
          <w:sz w:val="22"/>
          <w:szCs w:val="22"/>
          <w:lang w:val="en-US"/>
        </w:rPr>
        <w:t xml:space="preserve"> between NGOs and State</w:t>
      </w:r>
      <w:r w:rsidR="002A66B1">
        <w:rPr>
          <w:rFonts w:ascii="Arial" w:hAnsi="Arial" w:cs="Arial"/>
          <w:sz w:val="22"/>
          <w:szCs w:val="22"/>
          <w:lang w:val="en-US"/>
        </w:rPr>
        <w:t>s</w:t>
      </w:r>
      <w:r>
        <w:rPr>
          <w:rFonts w:ascii="Arial" w:hAnsi="Arial" w:cs="Arial"/>
          <w:sz w:val="22"/>
          <w:szCs w:val="22"/>
          <w:lang w:val="en-US"/>
        </w:rPr>
        <w:t xml:space="preserve"> Parties, to promote their partnership for the safeguarding of ICH at </w:t>
      </w:r>
      <w:r w:rsidR="00CB1242">
        <w:rPr>
          <w:rFonts w:ascii="Arial" w:hAnsi="Arial" w:cs="Arial"/>
          <w:sz w:val="22"/>
          <w:szCs w:val="22"/>
          <w:lang w:val="en-US"/>
        </w:rPr>
        <w:t xml:space="preserve">the </w:t>
      </w:r>
      <w:r>
        <w:rPr>
          <w:rFonts w:ascii="Arial" w:hAnsi="Arial" w:cs="Arial"/>
          <w:sz w:val="22"/>
          <w:szCs w:val="22"/>
          <w:lang w:val="en-US"/>
        </w:rPr>
        <w:t>national and local level</w:t>
      </w:r>
      <w:r w:rsidR="00D82EA1">
        <w:rPr>
          <w:rFonts w:ascii="Arial" w:hAnsi="Arial" w:cs="Arial"/>
          <w:sz w:val="22"/>
          <w:szCs w:val="22"/>
          <w:lang w:val="en-US"/>
        </w:rPr>
        <w:t>.</w:t>
      </w:r>
    </w:p>
    <w:p w14:paraId="3F008AAD" w14:textId="52978A3A" w:rsidR="001E3E37" w:rsidRPr="00AB5BCA" w:rsidRDefault="00F1300B" w:rsidP="00AB5BCA">
      <w:pPr>
        <w:pStyle w:val="ListParagraph"/>
        <w:numPr>
          <w:ilvl w:val="0"/>
          <w:numId w:val="67"/>
        </w:numPr>
        <w:spacing w:before="120" w:after="120"/>
        <w:ind w:left="1134" w:hanging="567"/>
        <w:contextualSpacing w:val="0"/>
        <w:jc w:val="both"/>
        <w:rPr>
          <w:rFonts w:ascii="Arial" w:hAnsi="Arial" w:cs="Arial"/>
          <w:sz w:val="22"/>
          <w:szCs w:val="22"/>
          <w:lang w:val="en-US"/>
        </w:rPr>
      </w:pPr>
      <w:r>
        <w:rPr>
          <w:rFonts w:ascii="Arial" w:hAnsi="Arial" w:cs="Arial"/>
          <w:sz w:val="22"/>
          <w:szCs w:val="22"/>
          <w:lang w:val="en-US"/>
        </w:rPr>
        <w:lastRenderedPageBreak/>
        <w:t xml:space="preserve">It is important to consider means in which the existing resources of the Convention </w:t>
      </w:r>
      <w:r w:rsidR="0037229E">
        <w:rPr>
          <w:rFonts w:ascii="Arial" w:hAnsi="Arial" w:cs="Arial"/>
          <w:sz w:val="22"/>
          <w:szCs w:val="22"/>
          <w:lang w:val="en-US"/>
        </w:rPr>
        <w:t xml:space="preserve">are used </w:t>
      </w:r>
      <w:r>
        <w:rPr>
          <w:rFonts w:ascii="Arial" w:hAnsi="Arial" w:cs="Arial"/>
          <w:sz w:val="22"/>
          <w:szCs w:val="22"/>
          <w:lang w:val="en-US"/>
        </w:rPr>
        <w:t>in a more efficient way, which i</w:t>
      </w:r>
      <w:r w:rsidR="001E3E37">
        <w:rPr>
          <w:rFonts w:ascii="Arial" w:hAnsi="Arial" w:cs="Arial"/>
          <w:sz w:val="22"/>
          <w:szCs w:val="22"/>
          <w:lang w:val="en-US"/>
        </w:rPr>
        <w:t>s the case for accredited NGOs.</w:t>
      </w:r>
    </w:p>
    <w:p w14:paraId="34639135" w14:textId="3ECBF319" w:rsidR="00556E4F" w:rsidRPr="00AB5BCA" w:rsidRDefault="00F1300B" w:rsidP="00AB5BCA">
      <w:pPr>
        <w:pStyle w:val="ListParagraph"/>
        <w:numPr>
          <w:ilvl w:val="0"/>
          <w:numId w:val="67"/>
        </w:numPr>
        <w:spacing w:before="120" w:after="120"/>
        <w:ind w:left="1134" w:hanging="567"/>
        <w:contextualSpacing w:val="0"/>
        <w:jc w:val="both"/>
        <w:rPr>
          <w:rFonts w:ascii="Arial" w:hAnsi="Arial" w:cs="Arial"/>
          <w:sz w:val="22"/>
          <w:szCs w:val="22"/>
          <w:lang w:val="en-US"/>
        </w:rPr>
      </w:pPr>
      <w:r w:rsidRPr="00AB5BCA">
        <w:rPr>
          <w:rFonts w:ascii="Arial" w:hAnsi="Arial" w:cs="Arial"/>
          <w:sz w:val="22"/>
          <w:szCs w:val="22"/>
          <w:lang w:val="en-US"/>
        </w:rPr>
        <w:t xml:space="preserve">Noting that the Secretariat will present the results of the two-year reflection process during this </w:t>
      </w:r>
      <w:r w:rsidR="00482C38">
        <w:rPr>
          <w:rFonts w:ascii="Arial" w:hAnsi="Arial" w:cs="Arial"/>
          <w:sz w:val="22"/>
          <w:szCs w:val="22"/>
          <w:lang w:val="en-US"/>
        </w:rPr>
        <w:t>fourteenth</w:t>
      </w:r>
      <w:r w:rsidR="00482C38" w:rsidRPr="00AB5BCA">
        <w:rPr>
          <w:rFonts w:ascii="Arial" w:hAnsi="Arial" w:cs="Arial"/>
          <w:sz w:val="22"/>
          <w:szCs w:val="22"/>
          <w:lang w:val="en-US"/>
        </w:rPr>
        <w:t xml:space="preserve"> </w:t>
      </w:r>
      <w:r w:rsidR="002A66B1">
        <w:rPr>
          <w:rFonts w:ascii="Arial" w:hAnsi="Arial" w:cs="Arial"/>
          <w:sz w:val="22"/>
          <w:szCs w:val="22"/>
          <w:lang w:val="en-US"/>
        </w:rPr>
        <w:t xml:space="preserve">session of the </w:t>
      </w:r>
      <w:r w:rsidRPr="00AB5BCA">
        <w:rPr>
          <w:rFonts w:ascii="Arial" w:hAnsi="Arial" w:cs="Arial"/>
          <w:sz w:val="22"/>
          <w:szCs w:val="22"/>
          <w:lang w:val="en-US"/>
        </w:rPr>
        <w:t>Committee, all State</w:t>
      </w:r>
      <w:r w:rsidR="002A66B1">
        <w:rPr>
          <w:rFonts w:ascii="Arial" w:hAnsi="Arial" w:cs="Arial"/>
          <w:sz w:val="22"/>
          <w:szCs w:val="22"/>
          <w:lang w:val="en-US"/>
        </w:rPr>
        <w:t>s</w:t>
      </w:r>
      <w:r w:rsidRPr="00AB5BCA">
        <w:rPr>
          <w:rFonts w:ascii="Arial" w:hAnsi="Arial" w:cs="Arial"/>
          <w:sz w:val="22"/>
          <w:szCs w:val="22"/>
          <w:lang w:val="en-US"/>
        </w:rPr>
        <w:t xml:space="preserve"> Parties are encouraged to further reflect on the accreditation system for the NGOs to clarify their expectations both in relation to the accreditation system and what they expect from the accredited NGOs in terms of safeguarding IC</w:t>
      </w:r>
      <w:bookmarkStart w:id="0" w:name="_GoBack"/>
      <w:bookmarkEnd w:id="0"/>
      <w:r w:rsidRPr="00AB5BCA">
        <w:rPr>
          <w:rFonts w:ascii="Arial" w:hAnsi="Arial" w:cs="Arial"/>
          <w:sz w:val="22"/>
          <w:szCs w:val="22"/>
          <w:lang w:val="en-US"/>
        </w:rPr>
        <w:t>H, in order to conclude this process.</w:t>
      </w:r>
    </w:p>
    <w:sectPr w:rsidR="00556E4F" w:rsidRPr="00AB5BCA" w:rsidSect="00655736">
      <w:headerReference w:type="even" r:id="rId21"/>
      <w:headerReference w:type="default" r:id="rId22"/>
      <w:headerReference w:type="first" r:id="rId23"/>
      <w:pgSz w:w="11906" w:h="16838" w:code="9"/>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D87775" w16cid:durableId="21618311"/>
  <w16cid:commentId w16cid:paraId="62301D56" w16cid:durableId="216183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CCE40" w14:textId="77777777" w:rsidR="00505D71" w:rsidRDefault="00505D71" w:rsidP="00655736">
      <w:r>
        <w:separator/>
      </w:r>
    </w:p>
  </w:endnote>
  <w:endnote w:type="continuationSeparator" w:id="0">
    <w:p w14:paraId="10B5BF4F" w14:textId="77777777" w:rsidR="00505D71" w:rsidRDefault="00505D71"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7BBF8" w14:textId="77777777" w:rsidR="00505D71" w:rsidRDefault="00505D71" w:rsidP="00655736">
      <w:r>
        <w:separator/>
      </w:r>
    </w:p>
  </w:footnote>
  <w:footnote w:type="continuationSeparator" w:id="0">
    <w:p w14:paraId="0AD0F465" w14:textId="77777777" w:rsidR="00505D71" w:rsidRDefault="00505D71"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C0D46" w14:textId="206611CC" w:rsidR="0020406C" w:rsidRPr="00C23A97" w:rsidRDefault="009E48E9" w:rsidP="00817794">
    <w:pPr>
      <w:pStyle w:val="Header"/>
      <w:rPr>
        <w:rFonts w:ascii="Arial" w:hAnsi="Arial" w:cs="Arial"/>
        <w:lang w:val="en-GB"/>
      </w:rPr>
    </w:pPr>
    <w:r>
      <w:rPr>
        <w:rFonts w:ascii="Arial" w:hAnsi="Arial" w:cs="Arial"/>
        <w:sz w:val="20"/>
        <w:szCs w:val="20"/>
        <w:lang w:val="en-GB"/>
      </w:rPr>
      <w:t>LHE</w:t>
    </w:r>
    <w:r w:rsidR="0020406C">
      <w:rPr>
        <w:rFonts w:ascii="Arial" w:hAnsi="Arial" w:cs="Arial"/>
        <w:sz w:val="20"/>
        <w:szCs w:val="20"/>
        <w:lang w:val="en-GB"/>
      </w:rPr>
      <w:t>/1</w:t>
    </w:r>
    <w:r>
      <w:rPr>
        <w:rFonts w:ascii="Arial" w:hAnsi="Arial" w:cs="Arial"/>
        <w:sz w:val="20"/>
        <w:szCs w:val="20"/>
        <w:lang w:val="en-GB"/>
      </w:rPr>
      <w:t>9</w:t>
    </w:r>
    <w:r w:rsidR="0020406C">
      <w:rPr>
        <w:rFonts w:ascii="Arial" w:hAnsi="Arial" w:cs="Arial"/>
        <w:sz w:val="20"/>
        <w:szCs w:val="20"/>
        <w:lang w:val="en-GB"/>
      </w:rPr>
      <w:t>/1</w:t>
    </w:r>
    <w:r>
      <w:rPr>
        <w:rFonts w:ascii="Arial" w:hAnsi="Arial" w:cs="Arial"/>
        <w:sz w:val="20"/>
        <w:szCs w:val="20"/>
        <w:lang w:val="en-GB"/>
      </w:rPr>
      <w:t>4</w:t>
    </w:r>
    <w:r w:rsidR="0020406C">
      <w:rPr>
        <w:rFonts w:ascii="Arial" w:hAnsi="Arial" w:cs="Arial"/>
        <w:sz w:val="20"/>
        <w:szCs w:val="20"/>
        <w:lang w:val="en-GB"/>
      </w:rPr>
      <w:t>.COM</w:t>
    </w:r>
    <w:r w:rsidR="0020406C" w:rsidRPr="00C23A97">
      <w:rPr>
        <w:rFonts w:ascii="Arial" w:hAnsi="Arial" w:cs="Arial"/>
        <w:sz w:val="20"/>
        <w:szCs w:val="20"/>
        <w:lang w:val="en-GB"/>
      </w:rPr>
      <w:t>/</w:t>
    </w:r>
    <w:r w:rsidR="00856D3A">
      <w:rPr>
        <w:rFonts w:ascii="Arial" w:hAnsi="Arial" w:cs="Arial"/>
        <w:sz w:val="20"/>
        <w:szCs w:val="20"/>
        <w:lang w:val="en-GB"/>
      </w:rPr>
      <w:t>1</w:t>
    </w:r>
    <w:r w:rsidR="00817794">
      <w:rPr>
        <w:rFonts w:ascii="Arial" w:hAnsi="Arial" w:cs="Arial"/>
        <w:sz w:val="20"/>
        <w:szCs w:val="20"/>
        <w:lang w:val="en-GB"/>
      </w:rPr>
      <w:t>6</w:t>
    </w:r>
    <w:r w:rsidR="0020406C" w:rsidRPr="00C23A97">
      <w:rPr>
        <w:rFonts w:ascii="Arial" w:hAnsi="Arial" w:cs="Arial"/>
        <w:sz w:val="20"/>
        <w:szCs w:val="20"/>
        <w:lang w:val="en-GB"/>
      </w:rPr>
      <w:t xml:space="preserve"> – page </w:t>
    </w:r>
    <w:r w:rsidR="0020406C" w:rsidRPr="00C23A97">
      <w:rPr>
        <w:rStyle w:val="PageNumber"/>
        <w:rFonts w:ascii="Arial" w:hAnsi="Arial" w:cs="Arial"/>
        <w:sz w:val="20"/>
        <w:szCs w:val="20"/>
        <w:lang w:val="en-GB"/>
      </w:rPr>
      <w:fldChar w:fldCharType="begin"/>
    </w:r>
    <w:r w:rsidR="0020406C" w:rsidRPr="00C23A97">
      <w:rPr>
        <w:rStyle w:val="PageNumber"/>
        <w:rFonts w:ascii="Arial" w:hAnsi="Arial" w:cs="Arial"/>
        <w:sz w:val="20"/>
        <w:szCs w:val="20"/>
        <w:lang w:val="en-GB"/>
      </w:rPr>
      <w:instrText xml:space="preserve"> PAGE </w:instrText>
    </w:r>
    <w:r w:rsidR="0020406C" w:rsidRPr="00C23A97">
      <w:rPr>
        <w:rStyle w:val="PageNumber"/>
        <w:rFonts w:ascii="Arial" w:hAnsi="Arial" w:cs="Arial"/>
        <w:sz w:val="20"/>
        <w:szCs w:val="20"/>
        <w:lang w:val="en-GB"/>
      </w:rPr>
      <w:fldChar w:fldCharType="separate"/>
    </w:r>
    <w:r w:rsidR="00C7045E">
      <w:rPr>
        <w:rStyle w:val="PageNumber"/>
        <w:rFonts w:ascii="Arial" w:hAnsi="Arial" w:cs="Arial"/>
        <w:noProof/>
        <w:sz w:val="20"/>
        <w:szCs w:val="20"/>
        <w:lang w:val="en-GB"/>
      </w:rPr>
      <w:t>6</w:t>
    </w:r>
    <w:r w:rsidR="0020406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8E61D" w14:textId="50BC165E" w:rsidR="0020406C" w:rsidRPr="0063300C" w:rsidRDefault="009E48E9" w:rsidP="00817794">
    <w:pPr>
      <w:pStyle w:val="Header"/>
      <w:jc w:val="right"/>
      <w:rPr>
        <w:rFonts w:ascii="Arial" w:hAnsi="Arial" w:cs="Arial"/>
        <w:lang w:val="en-GB"/>
      </w:rPr>
    </w:pPr>
    <w:r>
      <w:rPr>
        <w:rFonts w:ascii="Arial" w:hAnsi="Arial" w:cs="Arial"/>
        <w:sz w:val="20"/>
        <w:szCs w:val="20"/>
        <w:lang w:val="en-GB"/>
      </w:rPr>
      <w:t>LHE</w:t>
    </w:r>
    <w:r w:rsidR="0020406C">
      <w:rPr>
        <w:rFonts w:ascii="Arial" w:hAnsi="Arial" w:cs="Arial"/>
        <w:sz w:val="20"/>
        <w:szCs w:val="20"/>
        <w:lang w:val="en-GB"/>
      </w:rPr>
      <w:t>/1</w:t>
    </w:r>
    <w:r>
      <w:rPr>
        <w:rFonts w:ascii="Arial" w:hAnsi="Arial" w:cs="Arial"/>
        <w:sz w:val="20"/>
        <w:szCs w:val="20"/>
        <w:lang w:val="en-GB"/>
      </w:rPr>
      <w:t>9</w:t>
    </w:r>
    <w:r w:rsidR="0020406C">
      <w:rPr>
        <w:rFonts w:ascii="Arial" w:hAnsi="Arial" w:cs="Arial"/>
        <w:sz w:val="20"/>
        <w:szCs w:val="20"/>
        <w:lang w:val="en-GB"/>
      </w:rPr>
      <w:t>/1</w:t>
    </w:r>
    <w:r>
      <w:rPr>
        <w:rFonts w:ascii="Arial" w:hAnsi="Arial" w:cs="Arial"/>
        <w:sz w:val="20"/>
        <w:szCs w:val="20"/>
        <w:lang w:val="en-GB"/>
      </w:rPr>
      <w:t>4</w:t>
    </w:r>
    <w:r w:rsidR="0020406C">
      <w:rPr>
        <w:rFonts w:ascii="Arial" w:hAnsi="Arial" w:cs="Arial"/>
        <w:sz w:val="20"/>
        <w:szCs w:val="20"/>
        <w:lang w:val="en-GB"/>
      </w:rPr>
      <w:t>.COM</w:t>
    </w:r>
    <w:r w:rsidR="0020406C" w:rsidRPr="0063300C">
      <w:rPr>
        <w:rFonts w:ascii="Arial" w:hAnsi="Arial" w:cs="Arial"/>
        <w:sz w:val="20"/>
        <w:szCs w:val="20"/>
        <w:lang w:val="en-GB"/>
      </w:rPr>
      <w:t>/</w:t>
    </w:r>
    <w:r w:rsidR="00856D3A">
      <w:rPr>
        <w:rFonts w:ascii="Arial" w:hAnsi="Arial" w:cs="Arial"/>
        <w:sz w:val="20"/>
        <w:szCs w:val="20"/>
        <w:lang w:val="en-GB"/>
      </w:rPr>
      <w:t>1</w:t>
    </w:r>
    <w:r w:rsidR="00817794">
      <w:rPr>
        <w:rFonts w:ascii="Arial" w:hAnsi="Arial" w:cs="Arial"/>
        <w:sz w:val="20"/>
        <w:szCs w:val="20"/>
        <w:lang w:val="en-GB"/>
      </w:rPr>
      <w:t>6</w:t>
    </w:r>
    <w:r w:rsidR="0020406C" w:rsidRPr="0063300C">
      <w:rPr>
        <w:rFonts w:ascii="Arial" w:hAnsi="Arial" w:cs="Arial"/>
        <w:sz w:val="20"/>
        <w:szCs w:val="20"/>
        <w:lang w:val="en-GB"/>
      </w:rPr>
      <w:t xml:space="preserve"> – page </w:t>
    </w:r>
    <w:r w:rsidR="0020406C" w:rsidRPr="0063300C">
      <w:rPr>
        <w:rStyle w:val="PageNumber"/>
        <w:rFonts w:ascii="Arial" w:hAnsi="Arial" w:cs="Arial"/>
        <w:sz w:val="20"/>
        <w:szCs w:val="20"/>
        <w:lang w:val="en-GB"/>
      </w:rPr>
      <w:fldChar w:fldCharType="begin"/>
    </w:r>
    <w:r w:rsidR="0020406C" w:rsidRPr="0063300C">
      <w:rPr>
        <w:rStyle w:val="PageNumber"/>
        <w:rFonts w:ascii="Arial" w:hAnsi="Arial" w:cs="Arial"/>
        <w:sz w:val="20"/>
        <w:szCs w:val="20"/>
        <w:lang w:val="en-GB"/>
      </w:rPr>
      <w:instrText xml:space="preserve"> PAGE </w:instrText>
    </w:r>
    <w:r w:rsidR="0020406C" w:rsidRPr="0063300C">
      <w:rPr>
        <w:rStyle w:val="PageNumber"/>
        <w:rFonts w:ascii="Arial" w:hAnsi="Arial" w:cs="Arial"/>
        <w:sz w:val="20"/>
        <w:szCs w:val="20"/>
        <w:lang w:val="en-GB"/>
      </w:rPr>
      <w:fldChar w:fldCharType="separate"/>
    </w:r>
    <w:r w:rsidR="00C7045E">
      <w:rPr>
        <w:rStyle w:val="PageNumber"/>
        <w:rFonts w:ascii="Arial" w:hAnsi="Arial" w:cs="Arial"/>
        <w:noProof/>
        <w:sz w:val="20"/>
        <w:szCs w:val="20"/>
        <w:lang w:val="en-GB"/>
      </w:rPr>
      <w:t>5</w:t>
    </w:r>
    <w:r w:rsidR="0020406C"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D9226" w14:textId="77777777" w:rsidR="0020406C" w:rsidRPr="00F32C23" w:rsidRDefault="0020406C">
    <w:pPr>
      <w:pStyle w:val="Header"/>
      <w:rPr>
        <w:lang w:val="en-GB"/>
      </w:rPr>
    </w:pPr>
    <w:r>
      <w:rPr>
        <w:noProof/>
        <w:lang w:eastAsia="ja-JP"/>
      </w:rPr>
      <w:drawing>
        <wp:anchor distT="0" distB="0" distL="114300" distR="114300" simplePos="0" relativeHeight="251657728" behindDoc="0" locked="0" layoutInCell="1" allowOverlap="1" wp14:anchorId="36443FE6" wp14:editId="73542E06">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C7F2A" w14:textId="08B34C65" w:rsidR="0020406C" w:rsidRPr="00400F07" w:rsidRDefault="0020406C" w:rsidP="00817794">
    <w:pPr>
      <w:pStyle w:val="Header"/>
      <w:spacing w:after="520"/>
      <w:jc w:val="right"/>
      <w:rPr>
        <w:rFonts w:ascii="Arial" w:hAnsi="Arial" w:cs="Arial"/>
        <w:b/>
        <w:sz w:val="44"/>
        <w:szCs w:val="44"/>
      </w:rPr>
    </w:pPr>
    <w:r w:rsidRPr="00400F07">
      <w:rPr>
        <w:rFonts w:ascii="Arial" w:hAnsi="Arial" w:cs="Arial"/>
        <w:b/>
        <w:sz w:val="44"/>
        <w:szCs w:val="44"/>
      </w:rPr>
      <w:t>1</w:t>
    </w:r>
    <w:r w:rsidR="009E48E9" w:rsidRPr="00400F07">
      <w:rPr>
        <w:rFonts w:ascii="Arial" w:hAnsi="Arial" w:cs="Arial"/>
        <w:b/>
        <w:sz w:val="44"/>
        <w:szCs w:val="44"/>
      </w:rPr>
      <w:t>4</w:t>
    </w:r>
    <w:r w:rsidRPr="00400F07">
      <w:rPr>
        <w:rFonts w:ascii="Arial" w:hAnsi="Arial" w:cs="Arial"/>
        <w:b/>
        <w:sz w:val="44"/>
        <w:szCs w:val="44"/>
      </w:rPr>
      <w:t xml:space="preserve"> COM</w:t>
    </w:r>
  </w:p>
  <w:p w14:paraId="39275369" w14:textId="31A7AE93" w:rsidR="0020406C" w:rsidRPr="00400F07" w:rsidRDefault="009E48E9" w:rsidP="00817794">
    <w:pPr>
      <w:jc w:val="right"/>
      <w:rPr>
        <w:rFonts w:ascii="Arial" w:hAnsi="Arial" w:cs="Arial"/>
        <w:b/>
        <w:sz w:val="22"/>
        <w:szCs w:val="22"/>
      </w:rPr>
    </w:pPr>
    <w:r w:rsidRPr="00400F07">
      <w:rPr>
        <w:rFonts w:ascii="Arial" w:hAnsi="Arial" w:cs="Arial"/>
        <w:b/>
        <w:sz w:val="22"/>
        <w:szCs w:val="22"/>
      </w:rPr>
      <w:t>LHE</w:t>
    </w:r>
    <w:r w:rsidR="0020406C" w:rsidRPr="00400F07">
      <w:rPr>
        <w:rFonts w:ascii="Arial" w:hAnsi="Arial" w:cs="Arial"/>
        <w:b/>
        <w:sz w:val="22"/>
        <w:szCs w:val="22"/>
      </w:rPr>
      <w:t>/1</w:t>
    </w:r>
    <w:r w:rsidRPr="00400F07">
      <w:rPr>
        <w:rFonts w:ascii="Arial" w:hAnsi="Arial" w:cs="Arial"/>
        <w:b/>
        <w:sz w:val="22"/>
        <w:szCs w:val="22"/>
      </w:rPr>
      <w:t>9</w:t>
    </w:r>
    <w:r w:rsidR="0020406C" w:rsidRPr="00400F07">
      <w:rPr>
        <w:rFonts w:ascii="Arial" w:hAnsi="Arial" w:cs="Arial"/>
        <w:b/>
        <w:sz w:val="22"/>
        <w:szCs w:val="22"/>
      </w:rPr>
      <w:t>/1</w:t>
    </w:r>
    <w:r w:rsidRPr="00400F07">
      <w:rPr>
        <w:rFonts w:ascii="Arial" w:hAnsi="Arial" w:cs="Arial"/>
        <w:b/>
        <w:sz w:val="22"/>
        <w:szCs w:val="22"/>
      </w:rPr>
      <w:t>4</w:t>
    </w:r>
    <w:r w:rsidR="0020406C" w:rsidRPr="00400F07">
      <w:rPr>
        <w:rFonts w:ascii="Arial" w:hAnsi="Arial" w:cs="Arial"/>
        <w:b/>
        <w:sz w:val="22"/>
        <w:szCs w:val="22"/>
      </w:rPr>
      <w:t>.COM/</w:t>
    </w:r>
    <w:r w:rsidR="00856D3A" w:rsidRPr="00400F07">
      <w:rPr>
        <w:rFonts w:ascii="Arial" w:hAnsi="Arial" w:cs="Arial"/>
        <w:b/>
        <w:sz w:val="22"/>
        <w:szCs w:val="22"/>
      </w:rPr>
      <w:t>1</w:t>
    </w:r>
    <w:r w:rsidR="00817794" w:rsidRPr="00400F07">
      <w:rPr>
        <w:rFonts w:ascii="Arial" w:hAnsi="Arial" w:cs="Arial"/>
        <w:b/>
        <w:sz w:val="22"/>
        <w:szCs w:val="22"/>
      </w:rPr>
      <w:t>6</w:t>
    </w:r>
  </w:p>
  <w:p w14:paraId="34B7C560" w14:textId="42ACE13A" w:rsidR="0020406C" w:rsidRPr="00400F07" w:rsidRDefault="0020406C" w:rsidP="00063CC1">
    <w:pPr>
      <w:jc w:val="right"/>
      <w:rPr>
        <w:rFonts w:ascii="Arial" w:eastAsiaTheme="minorEastAsia" w:hAnsi="Arial" w:cs="Arial"/>
        <w:b/>
        <w:sz w:val="22"/>
        <w:szCs w:val="22"/>
        <w:lang w:eastAsia="ko-KR"/>
      </w:rPr>
    </w:pPr>
    <w:r w:rsidRPr="00400F07">
      <w:rPr>
        <w:rFonts w:ascii="Arial" w:hAnsi="Arial" w:cs="Arial"/>
        <w:b/>
        <w:sz w:val="22"/>
        <w:szCs w:val="22"/>
      </w:rPr>
      <w:t xml:space="preserve">Paris, </w:t>
    </w:r>
    <w:r w:rsidR="00400F07" w:rsidRPr="00400F07">
      <w:rPr>
        <w:rFonts w:ascii="Arial" w:hAnsi="Arial" w:cs="Arial"/>
        <w:b/>
        <w:sz w:val="22"/>
        <w:szCs w:val="22"/>
      </w:rPr>
      <w:t>le 21 novembre</w:t>
    </w:r>
    <w:r w:rsidR="00817794" w:rsidRPr="00400F07">
      <w:rPr>
        <w:rFonts w:ascii="Arial" w:hAnsi="Arial" w:cs="Arial"/>
        <w:b/>
        <w:sz w:val="22"/>
        <w:szCs w:val="22"/>
      </w:rPr>
      <w:t xml:space="preserve"> </w:t>
    </w:r>
    <w:r w:rsidRPr="00400F07">
      <w:rPr>
        <w:rFonts w:ascii="Arial" w:hAnsi="Arial" w:cs="Arial"/>
        <w:b/>
        <w:sz w:val="22"/>
        <w:szCs w:val="22"/>
      </w:rPr>
      <w:t>201</w:t>
    </w:r>
    <w:r w:rsidR="009E48E9" w:rsidRPr="00400F07">
      <w:rPr>
        <w:rFonts w:ascii="Arial" w:hAnsi="Arial" w:cs="Arial"/>
        <w:b/>
        <w:sz w:val="22"/>
        <w:szCs w:val="22"/>
      </w:rPr>
      <w:t>9</w:t>
    </w:r>
  </w:p>
  <w:p w14:paraId="091BD2BD" w14:textId="77777777" w:rsidR="0020406C" w:rsidRPr="00400F07" w:rsidRDefault="0020406C" w:rsidP="000048ED">
    <w:pPr>
      <w:jc w:val="right"/>
      <w:rPr>
        <w:rFonts w:ascii="Arial" w:hAnsi="Arial" w:cs="Arial"/>
        <w:b/>
        <w:sz w:val="22"/>
        <w:szCs w:val="22"/>
      </w:rPr>
    </w:pPr>
    <w:r w:rsidRPr="00400F07">
      <w:rPr>
        <w:rFonts w:ascii="Arial" w:hAnsi="Arial" w:cs="Arial"/>
        <w:b/>
        <w:sz w:val="22"/>
        <w:szCs w:val="22"/>
      </w:rPr>
      <w:t>Original: English</w:t>
    </w:r>
  </w:p>
  <w:p w14:paraId="0B704E7E" w14:textId="77777777" w:rsidR="0020406C" w:rsidRPr="00400F07" w:rsidRDefault="00204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407"/>
    <w:multiLevelType w:val="hybridMultilevel"/>
    <w:tmpl w:val="451A8018"/>
    <w:lvl w:ilvl="0" w:tplc="215410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0511B"/>
    <w:multiLevelType w:val="hybridMultilevel"/>
    <w:tmpl w:val="1E8E7350"/>
    <w:lvl w:ilvl="0" w:tplc="040C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27E25"/>
    <w:multiLevelType w:val="hybridMultilevel"/>
    <w:tmpl w:val="D2A20A56"/>
    <w:lvl w:ilvl="0" w:tplc="040C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141235E"/>
    <w:multiLevelType w:val="hybridMultilevel"/>
    <w:tmpl w:val="F43E9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DF041A7"/>
    <w:multiLevelType w:val="multilevel"/>
    <w:tmpl w:val="D81061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60369C7"/>
    <w:multiLevelType w:val="hybridMultilevel"/>
    <w:tmpl w:val="E4647BCC"/>
    <w:lvl w:ilvl="0" w:tplc="B4C0AAB6">
      <w:start w:val="1"/>
      <w:numFmt w:val="decimal"/>
      <w:lvlText w:val="%1."/>
      <w:lvlJc w:val="left"/>
      <w:pPr>
        <w:ind w:left="644" w:hanging="360"/>
      </w:pPr>
      <w:rPr>
        <w:b w:val="0"/>
      </w:rPr>
    </w:lvl>
    <w:lvl w:ilvl="1" w:tplc="040C0019">
      <w:start w:val="1"/>
      <w:numFmt w:val="lowerLetter"/>
      <w:lvlText w:val="%2."/>
      <w:lvlJc w:val="left"/>
      <w:pPr>
        <w:ind w:left="1440" w:hanging="360"/>
      </w:pPr>
    </w:lvl>
    <w:lvl w:ilvl="2" w:tplc="2B68BA7C">
      <w:numFmt w:val="bullet"/>
      <w:lvlText w:val="•"/>
      <w:lvlJc w:val="left"/>
      <w:pPr>
        <w:ind w:left="2340" w:hanging="360"/>
      </w:pPr>
      <w:rPr>
        <w:rFonts w:ascii="Arial" w:eastAsiaTheme="minorHAnsi" w:hAnsi="Aria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424AAF"/>
    <w:multiLevelType w:val="hybridMultilevel"/>
    <w:tmpl w:val="D2C2DD74"/>
    <w:lvl w:ilvl="0" w:tplc="63927700">
      <w:start w:val="1"/>
      <w:numFmt w:val="decimal"/>
      <w:lvlText w:val="%1."/>
      <w:lvlJc w:val="left"/>
      <w:pPr>
        <w:ind w:left="644" w:hanging="360"/>
      </w:pPr>
      <w:rPr>
        <w:rFonts w:ascii="Times New Roman" w:eastAsiaTheme="minorEastAsia" w:hAnsi="Times New Roman" w:cs="Times New Roman"/>
        <w:b w:val="0"/>
        <w:strike w:val="0"/>
        <w:color w:val="auto"/>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35F07BFE"/>
    <w:multiLevelType w:val="hybridMultilevel"/>
    <w:tmpl w:val="DD6C26C8"/>
    <w:lvl w:ilvl="0" w:tplc="BFCC9782">
      <w:start w:val="1"/>
      <w:numFmt w:val="decimal"/>
      <w:pStyle w:val="COMPara"/>
      <w:lvlText w:val="%1."/>
      <w:lvlJc w:val="left"/>
      <w:pPr>
        <w:ind w:left="567" w:hanging="567"/>
      </w:pPr>
      <w:rPr>
        <w:rFonts w:hint="default"/>
      </w:rPr>
    </w:lvl>
    <w:lvl w:ilvl="1" w:tplc="040C0019">
      <w:start w:val="1"/>
      <w:numFmt w:val="lowerLetter"/>
      <w:lvlText w:val="%2."/>
      <w:lvlJc w:val="left"/>
      <w:pPr>
        <w:ind w:left="1440" w:hanging="360"/>
      </w:pPr>
    </w:lvl>
    <w:lvl w:ilvl="2" w:tplc="296A1452">
      <w:start w:val="1"/>
      <w:numFmt w:val="lowerRoman"/>
      <w:lvlText w:val="%3."/>
      <w:lvlJc w:val="left"/>
      <w:pPr>
        <w:ind w:left="2160" w:hanging="180"/>
      </w:pPr>
      <w:rPr>
        <w:rFont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523271"/>
    <w:multiLevelType w:val="hybridMultilevel"/>
    <w:tmpl w:val="706A0242"/>
    <w:lvl w:ilvl="0" w:tplc="624C6F4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97A4DB1"/>
    <w:multiLevelType w:val="hybridMultilevel"/>
    <w:tmpl w:val="4EE65456"/>
    <w:lvl w:ilvl="0" w:tplc="918ACE6A">
      <w:start w:val="1"/>
      <w:numFmt w:val="decimal"/>
      <w:pStyle w:val="COMParaDecision"/>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AC30BD2"/>
    <w:multiLevelType w:val="hybridMultilevel"/>
    <w:tmpl w:val="FA949CE0"/>
    <w:lvl w:ilvl="0" w:tplc="040C0015">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6"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15:restartNumberingAfterBreak="0">
    <w:nsid w:val="5A606986"/>
    <w:multiLevelType w:val="hybridMultilevel"/>
    <w:tmpl w:val="7D2681D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5A790D25"/>
    <w:multiLevelType w:val="hybridMultilevel"/>
    <w:tmpl w:val="C8842060"/>
    <w:lvl w:ilvl="0" w:tplc="BFCC9782">
      <w:start w:val="1"/>
      <w:numFmt w:val="decimal"/>
      <w:lvlText w:val="%1."/>
      <w:lvlJc w:val="left"/>
      <w:pPr>
        <w:ind w:left="567" w:hanging="567"/>
      </w:pPr>
      <w:rPr>
        <w:rFonts w:hint="default"/>
      </w:rPr>
    </w:lvl>
    <w:lvl w:ilvl="1" w:tplc="4B1A83FE">
      <w:start w:val="1"/>
      <w:numFmt w:val="lowerRoman"/>
      <w:lvlText w:val="%2."/>
      <w:lvlJc w:val="left"/>
      <w:pPr>
        <w:ind w:left="1440" w:hanging="360"/>
      </w:pPr>
      <w:rPr>
        <w:rFonts w:hint="default"/>
        <w:u w:color="000000" w:themeColor="text1"/>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0" w15:restartNumberingAfterBreak="0">
    <w:nsid w:val="627D1B3E"/>
    <w:multiLevelType w:val="hybridMultilevel"/>
    <w:tmpl w:val="A6FA64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62C32CF8"/>
    <w:multiLevelType w:val="hybridMultilevel"/>
    <w:tmpl w:val="59B86C74"/>
    <w:lvl w:ilvl="0" w:tplc="C1882B86">
      <w:start w:val="1"/>
      <w:numFmt w:val="upperLetter"/>
      <w:lvlText w:val="%1."/>
      <w:lvlJc w:val="left"/>
      <w:pPr>
        <w:ind w:left="720" w:hanging="360"/>
      </w:pPr>
      <w:rPr>
        <w:rFonts w:ascii="Malgun Gothic" w:eastAsia="Malgun Gothic" w:hAnsi="Malgun Gothic" w:cs="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B67832"/>
    <w:multiLevelType w:val="multilevel"/>
    <w:tmpl w:val="C7EEA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8F13AA4"/>
    <w:multiLevelType w:val="hybridMultilevel"/>
    <w:tmpl w:val="49D01B22"/>
    <w:lvl w:ilvl="0" w:tplc="054C7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D50361"/>
    <w:multiLevelType w:val="hybridMultilevel"/>
    <w:tmpl w:val="F0A48B7A"/>
    <w:lvl w:ilvl="0" w:tplc="4764279C">
      <w:start w:val="1"/>
      <w:numFmt w:val="decimal"/>
      <w:lvlText w:val="%1."/>
      <w:lvlJc w:val="left"/>
      <w:pPr>
        <w:ind w:left="720" w:hanging="360"/>
      </w:pPr>
      <w:rPr>
        <w:rFonts w:ascii="Arial" w:hAnsi="Arial" w:cs="Arial" w:hint="default"/>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12"/>
  </w:num>
  <w:num w:numId="3">
    <w:abstractNumId w:val="5"/>
  </w:num>
  <w:num w:numId="4">
    <w:abstractNumId w:val="26"/>
  </w:num>
  <w:num w:numId="5">
    <w:abstractNumId w:val="23"/>
  </w:num>
  <w:num w:numId="6">
    <w:abstractNumId w:val="3"/>
  </w:num>
  <w:num w:numId="7">
    <w:abstractNumId w:val="7"/>
  </w:num>
  <w:num w:numId="8">
    <w:abstractNumId w:val="16"/>
  </w:num>
  <w:num w:numId="9">
    <w:abstractNumId w:val="10"/>
  </w:num>
  <w:num w:numId="10">
    <w:abstractNumId w:val="13"/>
  </w:num>
  <w:num w:numId="11">
    <w:abstractNumId w:val="15"/>
  </w:num>
  <w:num w:numId="12">
    <w:abstractNumId w:val="14"/>
  </w:num>
  <w:num w:numId="13">
    <w:abstractNumId w:val="0"/>
  </w:num>
  <w:num w:numId="14">
    <w:abstractNumId w:val="13"/>
  </w:num>
  <w:num w:numId="15">
    <w:abstractNumId w:val="13"/>
    <w:lvlOverride w:ilvl="0">
      <w:startOverride w:val="1"/>
    </w:lvlOverride>
  </w:num>
  <w:num w:numId="16">
    <w:abstractNumId w:val="10"/>
    <w:lvlOverride w:ilvl="0">
      <w:startOverride w:val="1"/>
    </w:lvlOverride>
  </w:num>
  <w:num w:numId="17">
    <w:abstractNumId w:val="14"/>
    <w:lvlOverride w:ilvl="0">
      <w:startOverride w:val="1"/>
    </w:lvlOverride>
  </w:num>
  <w:num w:numId="18">
    <w:abstractNumId w:val="21"/>
  </w:num>
  <w:num w:numId="19">
    <w:abstractNumId w:val="24"/>
  </w:num>
  <w:num w:numId="20">
    <w:abstractNumId w:val="1"/>
  </w:num>
  <w:num w:numId="21">
    <w:abstractNumId w:val="2"/>
  </w:num>
  <w:num w:numId="22">
    <w:abstractNumId w:val="10"/>
  </w:num>
  <w:num w:numId="23">
    <w:abstractNumId w:val="10"/>
  </w:num>
  <w:num w:numId="24">
    <w:abstractNumId w:val="10"/>
  </w:num>
  <w:num w:numId="25">
    <w:abstractNumId w:val="9"/>
  </w:num>
  <w:num w:numId="26">
    <w:abstractNumId w:val="10"/>
  </w:num>
  <w:num w:numId="27">
    <w:abstractNumId w:val="10"/>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0"/>
  </w:num>
  <w:num w:numId="40">
    <w:abstractNumId w:val="10"/>
  </w:num>
  <w:num w:numId="41">
    <w:abstractNumId w:val="10"/>
  </w:num>
  <w:num w:numId="42">
    <w:abstractNumId w:val="13"/>
  </w:num>
  <w:num w:numId="43">
    <w:abstractNumId w:val="13"/>
  </w:num>
  <w:num w:numId="44">
    <w:abstractNumId w:val="13"/>
  </w:num>
  <w:num w:numId="45">
    <w:abstractNumId w:val="13"/>
  </w:num>
  <w:num w:numId="46">
    <w:abstractNumId w:val="10"/>
  </w:num>
  <w:num w:numId="47">
    <w:abstractNumId w:val="18"/>
  </w:num>
  <w:num w:numId="48">
    <w:abstractNumId w:val="10"/>
  </w:num>
  <w:num w:numId="49">
    <w:abstractNumId w:val="10"/>
  </w:num>
  <w:num w:numId="50">
    <w:abstractNumId w:val="10"/>
  </w:num>
  <w:num w:numId="51">
    <w:abstractNumId w:val="10"/>
  </w:num>
  <w:num w:numId="52">
    <w:abstractNumId w:val="8"/>
  </w:num>
  <w:num w:numId="53">
    <w:abstractNumId w:val="20"/>
  </w:num>
  <w:num w:numId="54">
    <w:abstractNumId w:val="11"/>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num>
  <w:num w:numId="57">
    <w:abstractNumId w:val="6"/>
    <w:lvlOverride w:ilvl="0">
      <w:lvl w:ilvl="0">
        <w:numFmt w:val="decimal"/>
        <w:lvlText w:val="%1."/>
        <w:lvlJc w:val="left"/>
      </w:lvl>
    </w:lvlOverride>
  </w:num>
  <w:num w:numId="58">
    <w:abstractNumId w:val="6"/>
    <w:lvlOverride w:ilvl="0">
      <w:lvl w:ilvl="0">
        <w:numFmt w:val="decimal"/>
        <w:lvlText w:val="%1."/>
        <w:lvlJc w:val="left"/>
      </w:lvl>
    </w:lvlOverride>
  </w:num>
  <w:num w:numId="59">
    <w:abstractNumId w:val="4"/>
  </w:num>
  <w:num w:numId="60">
    <w:abstractNumId w:val="22"/>
  </w:num>
  <w:num w:numId="61">
    <w:abstractNumId w:val="10"/>
  </w:num>
  <w:num w:numId="62">
    <w:abstractNumId w:val="10"/>
  </w:num>
  <w:num w:numId="63">
    <w:abstractNumId w:val="10"/>
  </w:num>
  <w:num w:numId="64">
    <w:abstractNumId w:val="10"/>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06FDC"/>
    <w:rsid w:val="000118FA"/>
    <w:rsid w:val="00012EC5"/>
    <w:rsid w:val="00013297"/>
    <w:rsid w:val="0002121A"/>
    <w:rsid w:val="000268A8"/>
    <w:rsid w:val="00037820"/>
    <w:rsid w:val="00037FD7"/>
    <w:rsid w:val="00041A66"/>
    <w:rsid w:val="00042DCD"/>
    <w:rsid w:val="00050DAA"/>
    <w:rsid w:val="0005176E"/>
    <w:rsid w:val="00063CC1"/>
    <w:rsid w:val="00072C51"/>
    <w:rsid w:val="000765F7"/>
    <w:rsid w:val="00077AB7"/>
    <w:rsid w:val="00081CD8"/>
    <w:rsid w:val="00091672"/>
    <w:rsid w:val="000A243E"/>
    <w:rsid w:val="000A7F0E"/>
    <w:rsid w:val="000B1C8F"/>
    <w:rsid w:val="000C0D61"/>
    <w:rsid w:val="000E795D"/>
    <w:rsid w:val="000F3A3F"/>
    <w:rsid w:val="000F3BE8"/>
    <w:rsid w:val="00102557"/>
    <w:rsid w:val="00104E1B"/>
    <w:rsid w:val="00107672"/>
    <w:rsid w:val="00111E96"/>
    <w:rsid w:val="001144A6"/>
    <w:rsid w:val="00130069"/>
    <w:rsid w:val="00142F18"/>
    <w:rsid w:val="00161F85"/>
    <w:rsid w:val="00164D56"/>
    <w:rsid w:val="00167B10"/>
    <w:rsid w:val="0017402F"/>
    <w:rsid w:val="00194670"/>
    <w:rsid w:val="00196C1B"/>
    <w:rsid w:val="001A532A"/>
    <w:rsid w:val="001B0F73"/>
    <w:rsid w:val="001C17AB"/>
    <w:rsid w:val="001C2DB7"/>
    <w:rsid w:val="001D2517"/>
    <w:rsid w:val="001D4BCF"/>
    <w:rsid w:val="001D5C04"/>
    <w:rsid w:val="001E3E37"/>
    <w:rsid w:val="001F26CF"/>
    <w:rsid w:val="001F5486"/>
    <w:rsid w:val="00200AAE"/>
    <w:rsid w:val="0020406C"/>
    <w:rsid w:val="00204ED9"/>
    <w:rsid w:val="00211E39"/>
    <w:rsid w:val="00216EC2"/>
    <w:rsid w:val="00222A2D"/>
    <w:rsid w:val="00223029"/>
    <w:rsid w:val="00224026"/>
    <w:rsid w:val="00234745"/>
    <w:rsid w:val="002351A6"/>
    <w:rsid w:val="00237641"/>
    <w:rsid w:val="002407AF"/>
    <w:rsid w:val="00240B80"/>
    <w:rsid w:val="00254CE8"/>
    <w:rsid w:val="00254EE2"/>
    <w:rsid w:val="00257360"/>
    <w:rsid w:val="00263C1A"/>
    <w:rsid w:val="0026421E"/>
    <w:rsid w:val="00266151"/>
    <w:rsid w:val="0027466B"/>
    <w:rsid w:val="002838A5"/>
    <w:rsid w:val="00284E3D"/>
    <w:rsid w:val="00284E93"/>
    <w:rsid w:val="00285BB4"/>
    <w:rsid w:val="002A4887"/>
    <w:rsid w:val="002A66B1"/>
    <w:rsid w:val="002C09E3"/>
    <w:rsid w:val="00301499"/>
    <w:rsid w:val="00303C12"/>
    <w:rsid w:val="00306D21"/>
    <w:rsid w:val="003214EC"/>
    <w:rsid w:val="00327C88"/>
    <w:rsid w:val="00337CEB"/>
    <w:rsid w:val="00344B58"/>
    <w:rsid w:val="0034539A"/>
    <w:rsid w:val="00345CB4"/>
    <w:rsid w:val="0036377B"/>
    <w:rsid w:val="003670DA"/>
    <w:rsid w:val="0037229E"/>
    <w:rsid w:val="00373FB5"/>
    <w:rsid w:val="003742B7"/>
    <w:rsid w:val="00375D42"/>
    <w:rsid w:val="0037677C"/>
    <w:rsid w:val="00376EBC"/>
    <w:rsid w:val="00385E26"/>
    <w:rsid w:val="003A00A5"/>
    <w:rsid w:val="003A3FE2"/>
    <w:rsid w:val="003A7F73"/>
    <w:rsid w:val="003B286B"/>
    <w:rsid w:val="003C7289"/>
    <w:rsid w:val="003D069C"/>
    <w:rsid w:val="003D7646"/>
    <w:rsid w:val="003E0656"/>
    <w:rsid w:val="003F0605"/>
    <w:rsid w:val="003F113A"/>
    <w:rsid w:val="003F3E63"/>
    <w:rsid w:val="00400F07"/>
    <w:rsid w:val="00407480"/>
    <w:rsid w:val="00414643"/>
    <w:rsid w:val="004421E5"/>
    <w:rsid w:val="00450192"/>
    <w:rsid w:val="00452284"/>
    <w:rsid w:val="00457C8E"/>
    <w:rsid w:val="004801BD"/>
    <w:rsid w:val="00482C38"/>
    <w:rsid w:val="004856CA"/>
    <w:rsid w:val="00486695"/>
    <w:rsid w:val="00486A67"/>
    <w:rsid w:val="00487E67"/>
    <w:rsid w:val="0049705E"/>
    <w:rsid w:val="004A34A0"/>
    <w:rsid w:val="004F0A38"/>
    <w:rsid w:val="005008A8"/>
    <w:rsid w:val="005028C0"/>
    <w:rsid w:val="00504BD2"/>
    <w:rsid w:val="00505D71"/>
    <w:rsid w:val="00506BA7"/>
    <w:rsid w:val="00507CC2"/>
    <w:rsid w:val="0051193B"/>
    <w:rsid w:val="0052037D"/>
    <w:rsid w:val="00526B7B"/>
    <w:rsid w:val="00530792"/>
    <w:rsid w:val="005308CE"/>
    <w:rsid w:val="0053318C"/>
    <w:rsid w:val="005425D5"/>
    <w:rsid w:val="00542EFF"/>
    <w:rsid w:val="00550FBD"/>
    <w:rsid w:val="0055200D"/>
    <w:rsid w:val="005531AD"/>
    <w:rsid w:val="00556E4F"/>
    <w:rsid w:val="00560D8C"/>
    <w:rsid w:val="0057439C"/>
    <w:rsid w:val="00580C36"/>
    <w:rsid w:val="00592EC4"/>
    <w:rsid w:val="005A61A8"/>
    <w:rsid w:val="005A73EB"/>
    <w:rsid w:val="005B0127"/>
    <w:rsid w:val="005B65BD"/>
    <w:rsid w:val="005B66C2"/>
    <w:rsid w:val="005B7A35"/>
    <w:rsid w:val="005C4B73"/>
    <w:rsid w:val="005C4BD3"/>
    <w:rsid w:val="005C732F"/>
    <w:rsid w:val="005D614A"/>
    <w:rsid w:val="005D7F12"/>
    <w:rsid w:val="005E1D2B"/>
    <w:rsid w:val="005E1DA7"/>
    <w:rsid w:val="005E2E6E"/>
    <w:rsid w:val="005E7074"/>
    <w:rsid w:val="005F2614"/>
    <w:rsid w:val="005F2BAF"/>
    <w:rsid w:val="00600D93"/>
    <w:rsid w:val="0062327B"/>
    <w:rsid w:val="0063300C"/>
    <w:rsid w:val="00641287"/>
    <w:rsid w:val="0064687F"/>
    <w:rsid w:val="00654AC7"/>
    <w:rsid w:val="00655736"/>
    <w:rsid w:val="00663B8D"/>
    <w:rsid w:val="00673005"/>
    <w:rsid w:val="006909B3"/>
    <w:rsid w:val="00692CA8"/>
    <w:rsid w:val="00692D39"/>
    <w:rsid w:val="00696C8D"/>
    <w:rsid w:val="006A1099"/>
    <w:rsid w:val="006A2AC2"/>
    <w:rsid w:val="006A3617"/>
    <w:rsid w:val="006A4839"/>
    <w:rsid w:val="006B6A35"/>
    <w:rsid w:val="006C440F"/>
    <w:rsid w:val="006D29A2"/>
    <w:rsid w:val="006D792B"/>
    <w:rsid w:val="006E3FC3"/>
    <w:rsid w:val="006E46E4"/>
    <w:rsid w:val="00702DF8"/>
    <w:rsid w:val="007069FD"/>
    <w:rsid w:val="00710485"/>
    <w:rsid w:val="00717DA5"/>
    <w:rsid w:val="007316D0"/>
    <w:rsid w:val="00742C4D"/>
    <w:rsid w:val="00744484"/>
    <w:rsid w:val="00747566"/>
    <w:rsid w:val="00755AAD"/>
    <w:rsid w:val="00772072"/>
    <w:rsid w:val="00773188"/>
    <w:rsid w:val="00783782"/>
    <w:rsid w:val="00784B8C"/>
    <w:rsid w:val="007879E1"/>
    <w:rsid w:val="00792AD7"/>
    <w:rsid w:val="00795AA9"/>
    <w:rsid w:val="007C0D7E"/>
    <w:rsid w:val="007C29CA"/>
    <w:rsid w:val="007C2A2C"/>
    <w:rsid w:val="007F6CA3"/>
    <w:rsid w:val="00811626"/>
    <w:rsid w:val="00811B5E"/>
    <w:rsid w:val="00817794"/>
    <w:rsid w:val="00820B72"/>
    <w:rsid w:val="00823A11"/>
    <w:rsid w:val="008251FE"/>
    <w:rsid w:val="0083088D"/>
    <w:rsid w:val="00830AD6"/>
    <w:rsid w:val="00834EE1"/>
    <w:rsid w:val="00843227"/>
    <w:rsid w:val="0085405E"/>
    <w:rsid w:val="0085414A"/>
    <w:rsid w:val="00856D3A"/>
    <w:rsid w:val="0086269D"/>
    <w:rsid w:val="0086543A"/>
    <w:rsid w:val="00871CE8"/>
    <w:rsid w:val="008724E5"/>
    <w:rsid w:val="00884A9D"/>
    <w:rsid w:val="0088512B"/>
    <w:rsid w:val="00894EAE"/>
    <w:rsid w:val="00895707"/>
    <w:rsid w:val="008A2B2D"/>
    <w:rsid w:val="008A4E1E"/>
    <w:rsid w:val="008A6186"/>
    <w:rsid w:val="008C296C"/>
    <w:rsid w:val="008D0D88"/>
    <w:rsid w:val="008D4305"/>
    <w:rsid w:val="008E1A85"/>
    <w:rsid w:val="009163A7"/>
    <w:rsid w:val="00921310"/>
    <w:rsid w:val="00924999"/>
    <w:rsid w:val="009342AA"/>
    <w:rsid w:val="00941643"/>
    <w:rsid w:val="0094473B"/>
    <w:rsid w:val="009454F1"/>
    <w:rsid w:val="00946D0B"/>
    <w:rsid w:val="009529DF"/>
    <w:rsid w:val="00955877"/>
    <w:rsid w:val="00971019"/>
    <w:rsid w:val="00984B5C"/>
    <w:rsid w:val="00994FC7"/>
    <w:rsid w:val="00997A2C"/>
    <w:rsid w:val="009A04D3"/>
    <w:rsid w:val="009A18CD"/>
    <w:rsid w:val="009A4497"/>
    <w:rsid w:val="009B1E0C"/>
    <w:rsid w:val="009C0D25"/>
    <w:rsid w:val="009C2443"/>
    <w:rsid w:val="009D1FFB"/>
    <w:rsid w:val="009D5428"/>
    <w:rsid w:val="009D5C95"/>
    <w:rsid w:val="009E48E9"/>
    <w:rsid w:val="00A0012A"/>
    <w:rsid w:val="00A12558"/>
    <w:rsid w:val="00A13903"/>
    <w:rsid w:val="00A31197"/>
    <w:rsid w:val="00A34ED5"/>
    <w:rsid w:val="00A36CCB"/>
    <w:rsid w:val="00A43F10"/>
    <w:rsid w:val="00A45DBF"/>
    <w:rsid w:val="00A4715A"/>
    <w:rsid w:val="00A563F9"/>
    <w:rsid w:val="00A719BC"/>
    <w:rsid w:val="00A755A2"/>
    <w:rsid w:val="00A817C1"/>
    <w:rsid w:val="00A8419E"/>
    <w:rsid w:val="00A87E9E"/>
    <w:rsid w:val="00A96230"/>
    <w:rsid w:val="00AA1B2B"/>
    <w:rsid w:val="00AA6660"/>
    <w:rsid w:val="00AB2C36"/>
    <w:rsid w:val="00AB38CB"/>
    <w:rsid w:val="00AB56C5"/>
    <w:rsid w:val="00AB5BCA"/>
    <w:rsid w:val="00AB6DDE"/>
    <w:rsid w:val="00AB70B6"/>
    <w:rsid w:val="00AD1A86"/>
    <w:rsid w:val="00AD455E"/>
    <w:rsid w:val="00AD60A5"/>
    <w:rsid w:val="00AE103E"/>
    <w:rsid w:val="00AE1D28"/>
    <w:rsid w:val="00AE6D98"/>
    <w:rsid w:val="00AF0A07"/>
    <w:rsid w:val="00AF4AEC"/>
    <w:rsid w:val="00AF4F6E"/>
    <w:rsid w:val="00AF625E"/>
    <w:rsid w:val="00AF7BE9"/>
    <w:rsid w:val="00B0017F"/>
    <w:rsid w:val="00B1312E"/>
    <w:rsid w:val="00B14337"/>
    <w:rsid w:val="00B154D8"/>
    <w:rsid w:val="00B17580"/>
    <w:rsid w:val="00B61A15"/>
    <w:rsid w:val="00B65B37"/>
    <w:rsid w:val="00B67D67"/>
    <w:rsid w:val="00B73BD3"/>
    <w:rsid w:val="00B8284E"/>
    <w:rsid w:val="00B91D46"/>
    <w:rsid w:val="00B962B6"/>
    <w:rsid w:val="00B978F0"/>
    <w:rsid w:val="00BA09A4"/>
    <w:rsid w:val="00BA324F"/>
    <w:rsid w:val="00BB04AF"/>
    <w:rsid w:val="00BB5B1D"/>
    <w:rsid w:val="00BB7EC9"/>
    <w:rsid w:val="00BC4640"/>
    <w:rsid w:val="00BC47DA"/>
    <w:rsid w:val="00BC61D1"/>
    <w:rsid w:val="00BC7703"/>
    <w:rsid w:val="00BD52C9"/>
    <w:rsid w:val="00BD6CE0"/>
    <w:rsid w:val="00BE3D7F"/>
    <w:rsid w:val="00BE6354"/>
    <w:rsid w:val="00BE6B13"/>
    <w:rsid w:val="00BE70CF"/>
    <w:rsid w:val="00BF3C00"/>
    <w:rsid w:val="00BF750B"/>
    <w:rsid w:val="00C04F06"/>
    <w:rsid w:val="00C121C6"/>
    <w:rsid w:val="00C138D1"/>
    <w:rsid w:val="00C153FD"/>
    <w:rsid w:val="00C23A97"/>
    <w:rsid w:val="00C55F85"/>
    <w:rsid w:val="00C6105B"/>
    <w:rsid w:val="00C64855"/>
    <w:rsid w:val="00C7045E"/>
    <w:rsid w:val="00C70EA7"/>
    <w:rsid w:val="00C72F75"/>
    <w:rsid w:val="00C7433F"/>
    <w:rsid w:val="00C7516E"/>
    <w:rsid w:val="00C75770"/>
    <w:rsid w:val="00C75F7D"/>
    <w:rsid w:val="00C76F10"/>
    <w:rsid w:val="00CA56BB"/>
    <w:rsid w:val="00CA6C7B"/>
    <w:rsid w:val="00CB0542"/>
    <w:rsid w:val="00CB1242"/>
    <w:rsid w:val="00CC15DB"/>
    <w:rsid w:val="00CC6AF0"/>
    <w:rsid w:val="00CD168D"/>
    <w:rsid w:val="00CD4BAD"/>
    <w:rsid w:val="00CD4C96"/>
    <w:rsid w:val="00CE0769"/>
    <w:rsid w:val="00CE28A9"/>
    <w:rsid w:val="00CF626F"/>
    <w:rsid w:val="00CF7CB1"/>
    <w:rsid w:val="00D00B2B"/>
    <w:rsid w:val="00D2057F"/>
    <w:rsid w:val="00D20690"/>
    <w:rsid w:val="00D20D93"/>
    <w:rsid w:val="00D24877"/>
    <w:rsid w:val="00D26EE2"/>
    <w:rsid w:val="00D43E3B"/>
    <w:rsid w:val="00D56592"/>
    <w:rsid w:val="00D72CED"/>
    <w:rsid w:val="00D8250F"/>
    <w:rsid w:val="00D82EA1"/>
    <w:rsid w:val="00D86CEB"/>
    <w:rsid w:val="00D95C4C"/>
    <w:rsid w:val="00DA36ED"/>
    <w:rsid w:val="00DA5BD5"/>
    <w:rsid w:val="00DB2A1C"/>
    <w:rsid w:val="00DB7003"/>
    <w:rsid w:val="00DD2145"/>
    <w:rsid w:val="00DE34F1"/>
    <w:rsid w:val="00DE6160"/>
    <w:rsid w:val="00DE6BAE"/>
    <w:rsid w:val="00DF05BE"/>
    <w:rsid w:val="00DF4942"/>
    <w:rsid w:val="00DF67F0"/>
    <w:rsid w:val="00E0310A"/>
    <w:rsid w:val="00E10418"/>
    <w:rsid w:val="00E1121F"/>
    <w:rsid w:val="00E13001"/>
    <w:rsid w:val="00E16254"/>
    <w:rsid w:val="00E20259"/>
    <w:rsid w:val="00E244E1"/>
    <w:rsid w:val="00E32C5C"/>
    <w:rsid w:val="00E330D7"/>
    <w:rsid w:val="00E57E29"/>
    <w:rsid w:val="00E627B1"/>
    <w:rsid w:val="00E70169"/>
    <w:rsid w:val="00E74069"/>
    <w:rsid w:val="00E83F62"/>
    <w:rsid w:val="00E85558"/>
    <w:rsid w:val="00E9376C"/>
    <w:rsid w:val="00EA335E"/>
    <w:rsid w:val="00EA528C"/>
    <w:rsid w:val="00EA580C"/>
    <w:rsid w:val="00EA695E"/>
    <w:rsid w:val="00EB61D6"/>
    <w:rsid w:val="00EB6CFB"/>
    <w:rsid w:val="00EC5722"/>
    <w:rsid w:val="00EC6F8D"/>
    <w:rsid w:val="00ED08BE"/>
    <w:rsid w:val="00EE49F4"/>
    <w:rsid w:val="00EF34E2"/>
    <w:rsid w:val="00F1300B"/>
    <w:rsid w:val="00F27AFE"/>
    <w:rsid w:val="00F30DC6"/>
    <w:rsid w:val="00F32C23"/>
    <w:rsid w:val="00F421D4"/>
    <w:rsid w:val="00F51EE4"/>
    <w:rsid w:val="00F53DE9"/>
    <w:rsid w:val="00F576CB"/>
    <w:rsid w:val="00F63E10"/>
    <w:rsid w:val="00F659F8"/>
    <w:rsid w:val="00F7035D"/>
    <w:rsid w:val="00F71A02"/>
    <w:rsid w:val="00F83B2D"/>
    <w:rsid w:val="00F90273"/>
    <w:rsid w:val="00F90601"/>
    <w:rsid w:val="00FA004A"/>
    <w:rsid w:val="00FA0D63"/>
    <w:rsid w:val="00FB2579"/>
    <w:rsid w:val="00FB26DF"/>
    <w:rsid w:val="00FB3860"/>
    <w:rsid w:val="00FC33A8"/>
    <w:rsid w:val="00FD1226"/>
    <w:rsid w:val="00FF17B1"/>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8ED2B9"/>
  <w15:docId w15:val="{8CC09105-7536-432C-B4F0-12C8B499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tabs>
        <w:tab w:val="left" w:pos="567"/>
      </w:tabs>
      <w:snapToGrid w:val="0"/>
      <w:spacing w:after="24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4"/>
      </w:numPr>
      <w:autoSpaceDE w:val="0"/>
      <w:autoSpaceDN w:val="0"/>
      <w:adjustRightInd w:val="0"/>
      <w:spacing w:after="120"/>
      <w:jc w:val="both"/>
    </w:pPr>
    <w:rPr>
      <w:rFonts w:ascii="Arial" w:eastAsia="SimSun" w:hAnsi="Arial" w:cs="Arial"/>
      <w:sz w:val="22"/>
      <w:szCs w:val="22"/>
      <w:u w:val="single"/>
      <w:lang w:val="en-GB"/>
    </w:rPr>
  </w:style>
  <w:style w:type="paragraph" w:styleId="FootnoteText">
    <w:name w:val="footnote text"/>
    <w:basedOn w:val="Normal"/>
    <w:link w:val="FootnoteTextChar"/>
    <w:uiPriority w:val="99"/>
    <w:semiHidden/>
    <w:unhideWhenUsed/>
    <w:rsid w:val="00E85558"/>
    <w:rPr>
      <w:sz w:val="20"/>
      <w:szCs w:val="20"/>
    </w:rPr>
  </w:style>
  <w:style w:type="character" w:customStyle="1" w:styleId="FootnoteTextChar">
    <w:name w:val="Footnote Text Char"/>
    <w:basedOn w:val="DefaultParagraphFont"/>
    <w:link w:val="FootnoteText"/>
    <w:uiPriority w:val="99"/>
    <w:semiHidden/>
    <w:rsid w:val="00E85558"/>
    <w:rPr>
      <w:rFonts w:ascii="Times New Roman" w:eastAsia="Times New Roman" w:hAnsi="Times New Roman"/>
    </w:rPr>
  </w:style>
  <w:style w:type="character" w:styleId="FootnoteReference">
    <w:name w:val="footnote reference"/>
    <w:basedOn w:val="DefaultParagraphFont"/>
    <w:uiPriority w:val="99"/>
    <w:semiHidden/>
    <w:unhideWhenUsed/>
    <w:rsid w:val="00E85558"/>
    <w:rPr>
      <w:vertAlign w:val="superscript"/>
    </w:rPr>
  </w:style>
  <w:style w:type="paragraph" w:styleId="ListParagraph">
    <w:name w:val="List Paragraph"/>
    <w:basedOn w:val="Normal"/>
    <w:uiPriority w:val="34"/>
    <w:qFormat/>
    <w:rsid w:val="0020406C"/>
    <w:pPr>
      <w:ind w:left="720"/>
      <w:contextualSpacing/>
    </w:pPr>
  </w:style>
  <w:style w:type="character" w:styleId="Hyperlink">
    <w:name w:val="Hyperlink"/>
    <w:basedOn w:val="DefaultParagraphFont"/>
    <w:uiPriority w:val="99"/>
    <w:unhideWhenUsed/>
    <w:rsid w:val="005B65BD"/>
    <w:rPr>
      <w:color w:val="0000FF" w:themeColor="hyperlink"/>
      <w:u w:val="single"/>
    </w:rPr>
  </w:style>
  <w:style w:type="character" w:styleId="FollowedHyperlink">
    <w:name w:val="FollowedHyperlink"/>
    <w:basedOn w:val="DefaultParagraphFont"/>
    <w:uiPriority w:val="99"/>
    <w:semiHidden/>
    <w:unhideWhenUsed/>
    <w:rsid w:val="00FB2579"/>
    <w:rPr>
      <w:color w:val="800080" w:themeColor="followedHyperlink"/>
      <w:u w:val="single"/>
    </w:rPr>
  </w:style>
  <w:style w:type="character" w:styleId="CommentReference">
    <w:name w:val="annotation reference"/>
    <w:basedOn w:val="DefaultParagraphFont"/>
    <w:uiPriority w:val="99"/>
    <w:semiHidden/>
    <w:unhideWhenUsed/>
    <w:rsid w:val="000268A8"/>
    <w:rPr>
      <w:sz w:val="16"/>
      <w:szCs w:val="16"/>
    </w:rPr>
  </w:style>
  <w:style w:type="paragraph" w:styleId="CommentText">
    <w:name w:val="annotation text"/>
    <w:basedOn w:val="Normal"/>
    <w:link w:val="CommentTextChar"/>
    <w:uiPriority w:val="99"/>
    <w:semiHidden/>
    <w:unhideWhenUsed/>
    <w:rsid w:val="000268A8"/>
    <w:rPr>
      <w:sz w:val="20"/>
      <w:szCs w:val="20"/>
    </w:rPr>
  </w:style>
  <w:style w:type="character" w:customStyle="1" w:styleId="CommentTextChar">
    <w:name w:val="Comment Text Char"/>
    <w:basedOn w:val="DefaultParagraphFont"/>
    <w:link w:val="CommentText"/>
    <w:uiPriority w:val="99"/>
    <w:semiHidden/>
    <w:rsid w:val="000268A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268A8"/>
    <w:rPr>
      <w:b/>
      <w:bCs/>
    </w:rPr>
  </w:style>
  <w:style w:type="character" w:customStyle="1" w:styleId="CommentSubjectChar">
    <w:name w:val="Comment Subject Char"/>
    <w:basedOn w:val="CommentTextChar"/>
    <w:link w:val="CommentSubject"/>
    <w:uiPriority w:val="99"/>
    <w:semiHidden/>
    <w:rsid w:val="000268A8"/>
    <w:rPr>
      <w:rFonts w:ascii="Times New Roman" w:eastAsia="Times New Roman" w:hAnsi="Times New Roman"/>
      <w:b/>
      <w:bCs/>
    </w:rPr>
  </w:style>
  <w:style w:type="paragraph" w:styleId="Revision">
    <w:name w:val="Revision"/>
    <w:hidden/>
    <w:uiPriority w:val="99"/>
    <w:semiHidden/>
    <w:rsid w:val="000268A8"/>
    <w:rPr>
      <w:rFonts w:ascii="Times New Roman" w:eastAsia="Times New Roman" w:hAnsi="Times New Roman"/>
      <w:sz w:val="24"/>
      <w:szCs w:val="24"/>
    </w:rPr>
  </w:style>
  <w:style w:type="table" w:customStyle="1" w:styleId="TableGrid1">
    <w:name w:val="Table Grid1"/>
    <w:basedOn w:val="TableNormal"/>
    <w:next w:val="TableGrid"/>
    <w:uiPriority w:val="59"/>
    <w:rsid w:val="00792AD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geChar">
    <w:name w:val="Marge Char"/>
    <w:link w:val="Marge"/>
    <w:rsid w:val="005A61A8"/>
    <w:rPr>
      <w:rFonts w:ascii="Arial" w:eastAsia="Times New Roman" w:hAnsi="Arial"/>
      <w:snapToGrid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2175">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16628716">
      <w:bodyDiv w:val="1"/>
      <w:marLeft w:val="0"/>
      <w:marRight w:val="0"/>
      <w:marTop w:val="0"/>
      <w:marBottom w:val="0"/>
      <w:divBdr>
        <w:top w:val="none" w:sz="0" w:space="0" w:color="auto"/>
        <w:left w:val="none" w:sz="0" w:space="0" w:color="auto"/>
        <w:bottom w:val="none" w:sz="0" w:space="0" w:color="auto"/>
        <w:right w:val="none" w:sz="0" w:space="0" w:color="auto"/>
      </w:divBdr>
      <w:divsChild>
        <w:div w:id="983118014">
          <w:marLeft w:val="0"/>
          <w:marRight w:val="0"/>
          <w:marTop w:val="0"/>
          <w:marBottom w:val="0"/>
          <w:divBdr>
            <w:top w:val="none" w:sz="0" w:space="0" w:color="auto"/>
            <w:left w:val="none" w:sz="0" w:space="0" w:color="auto"/>
            <w:bottom w:val="none" w:sz="0" w:space="0" w:color="auto"/>
            <w:right w:val="none" w:sz="0" w:space="0" w:color="auto"/>
          </w:divBdr>
          <w:divsChild>
            <w:div w:id="1585992751">
              <w:marLeft w:val="0"/>
              <w:marRight w:val="0"/>
              <w:marTop w:val="0"/>
              <w:marBottom w:val="0"/>
              <w:divBdr>
                <w:top w:val="none" w:sz="0" w:space="0" w:color="auto"/>
                <w:left w:val="none" w:sz="0" w:space="0" w:color="auto"/>
                <w:bottom w:val="none" w:sz="0" w:space="0" w:color="auto"/>
                <w:right w:val="none" w:sz="0" w:space="0" w:color="auto"/>
              </w:divBdr>
              <w:divsChild>
                <w:div w:id="1179932614">
                  <w:marLeft w:val="0"/>
                  <w:marRight w:val="0"/>
                  <w:marTop w:val="0"/>
                  <w:marBottom w:val="0"/>
                  <w:divBdr>
                    <w:top w:val="none" w:sz="0" w:space="0" w:color="auto"/>
                    <w:left w:val="none" w:sz="0" w:space="0" w:color="auto"/>
                    <w:bottom w:val="none" w:sz="0" w:space="0" w:color="auto"/>
                    <w:right w:val="none" w:sz="0" w:space="0" w:color="auto"/>
                  </w:divBdr>
                  <w:divsChild>
                    <w:div w:id="91921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3.COM/16" TargetMode="External"/><Relationship Id="rId13" Type="http://schemas.openxmlformats.org/officeDocument/2006/relationships/hyperlink" Target="https://ich.unesco.org/en/Decisions/13.COM/16" TargetMode="External"/><Relationship Id="rId18" Type="http://schemas.openxmlformats.org/officeDocument/2006/relationships/hyperlink" Target="https://ich.unesco.org/en/Decisions/13.COM/16"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ch.unesco.org/en/Decisions/13.COM/13" TargetMode="External"/><Relationship Id="rId17" Type="http://schemas.openxmlformats.org/officeDocument/2006/relationships/hyperlink" Target="https://ich.unesco.org/en/Resolutions/7.GA/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h.unesco.org/en/Decisions/13.COM/16" TargetMode="External"/><Relationship Id="rId20" Type="http://schemas.openxmlformats.org/officeDocument/2006/relationships/hyperlink" Target="https://ich.unesco.org/doc/src/LHE-19-14.COM-15-E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3.COM/1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h.unesco.org/en/Decisions/12.COM/13" TargetMode="External"/><Relationship Id="rId23" Type="http://schemas.openxmlformats.org/officeDocument/2006/relationships/header" Target="header3.xml"/><Relationship Id="rId10" Type="http://schemas.openxmlformats.org/officeDocument/2006/relationships/hyperlink" Target="https://ich.unesco.org/en/Decisions/12.COM/13" TargetMode="External"/><Relationship Id="rId19" Type="http://schemas.openxmlformats.org/officeDocument/2006/relationships/hyperlink" Target="https://ich.unesco.org/doc/src/LHE-19-NGO-2-EN.docx" TargetMode="External"/><Relationship Id="rId4" Type="http://schemas.openxmlformats.org/officeDocument/2006/relationships/settings" Target="settings.xml"/><Relationship Id="rId9" Type="http://schemas.openxmlformats.org/officeDocument/2006/relationships/hyperlink" Target="https://ich.unesco.org/en/Decisions/11.COM/10" TargetMode="External"/><Relationship Id="rId14" Type="http://schemas.openxmlformats.org/officeDocument/2006/relationships/hyperlink" Target="https://ich.unesco.org/en/Decisions/11.COM/10" TargetMode="External"/><Relationship Id="rId22"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8112D-5567-4620-BC60-9F452CB9A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228</TotalTime>
  <Pages>6</Pages>
  <Words>2392</Words>
  <Characters>13161</Characters>
  <Application>Microsoft Office Word</Application>
  <DocSecurity>0</DocSecurity>
  <Lines>109</Lines>
  <Paragraphs>31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UNESCO</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Thibault, Alice</cp:lastModifiedBy>
  <cp:revision>49</cp:revision>
  <cp:lastPrinted>2018-09-27T17:41:00Z</cp:lastPrinted>
  <dcterms:created xsi:type="dcterms:W3CDTF">2019-10-28T15:20:00Z</dcterms:created>
  <dcterms:modified xsi:type="dcterms:W3CDTF">2019-11-21T14:14:00Z</dcterms:modified>
</cp:coreProperties>
</file>