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D43" w:rsidRPr="00293C60" w:rsidRDefault="00895D43" w:rsidP="00895D43">
      <w:pPr>
        <w:spacing w:before="1440"/>
        <w:jc w:val="center"/>
        <w:rPr>
          <w:rFonts w:ascii="Arial" w:hAnsi="Arial" w:cs="Arial"/>
          <w:b/>
          <w:sz w:val="22"/>
          <w:szCs w:val="22"/>
        </w:rPr>
      </w:pPr>
      <w:r>
        <w:rPr>
          <w:rFonts w:ascii="Arial" w:hAnsi="Arial"/>
          <w:b/>
          <w:sz w:val="22"/>
          <w:szCs w:val="22"/>
        </w:rPr>
        <w:t>CONVENTION POUR LA SAUVEGARDE</w:t>
      </w:r>
      <w:r>
        <w:rPr>
          <w:rFonts w:ascii="Arial" w:hAnsi="Arial"/>
          <w:b/>
          <w:sz w:val="22"/>
          <w:szCs w:val="22"/>
        </w:rPr>
        <w:br/>
        <w:t>DU PATRIMOINE CULTUREL IMMATÉRIEL</w:t>
      </w:r>
    </w:p>
    <w:p w:rsidR="00895D43" w:rsidRPr="00293C60" w:rsidRDefault="00895D43" w:rsidP="00895D43">
      <w:pPr>
        <w:spacing w:before="1200"/>
        <w:jc w:val="center"/>
        <w:rPr>
          <w:rFonts w:ascii="Arial" w:hAnsi="Arial" w:cs="Arial"/>
          <w:b/>
          <w:sz w:val="22"/>
          <w:szCs w:val="22"/>
        </w:rPr>
      </w:pPr>
      <w:r>
        <w:rPr>
          <w:rFonts w:ascii="Arial" w:hAnsi="Arial"/>
          <w:b/>
          <w:sz w:val="22"/>
          <w:szCs w:val="22"/>
        </w:rPr>
        <w:t>COMITÉ INTERGOUVERNEMENTAL DE SAUVEGARDE</w:t>
      </w:r>
      <w:r>
        <w:rPr>
          <w:rFonts w:ascii="Arial" w:hAnsi="Arial"/>
          <w:b/>
          <w:sz w:val="22"/>
          <w:szCs w:val="22"/>
        </w:rPr>
        <w:br/>
        <w:t>DU PATRIMOINE CULTUREL IMMATÉRIEL</w:t>
      </w:r>
    </w:p>
    <w:p w:rsidR="00895D43" w:rsidRPr="00293C60" w:rsidRDefault="00895D43" w:rsidP="00895D43">
      <w:pPr>
        <w:spacing w:before="840"/>
        <w:jc w:val="center"/>
        <w:rPr>
          <w:rFonts w:ascii="Arial" w:hAnsi="Arial" w:cs="Arial"/>
          <w:b/>
          <w:sz w:val="22"/>
          <w:szCs w:val="22"/>
        </w:rPr>
      </w:pPr>
      <w:r>
        <w:rPr>
          <w:rFonts w:ascii="Arial" w:hAnsi="Arial"/>
          <w:b/>
          <w:sz w:val="22"/>
          <w:szCs w:val="22"/>
        </w:rPr>
        <w:t>Quatorzième session</w:t>
      </w:r>
    </w:p>
    <w:p w:rsidR="00895D43" w:rsidRPr="00F83405" w:rsidRDefault="00895D43" w:rsidP="00895D43">
      <w:pPr>
        <w:jc w:val="center"/>
        <w:rPr>
          <w:rFonts w:ascii="Arial" w:eastAsia="Malgun Gothic" w:hAnsi="Arial" w:cs="Arial"/>
          <w:b/>
          <w:sz w:val="22"/>
          <w:szCs w:val="22"/>
        </w:rPr>
      </w:pPr>
      <w:r>
        <w:rPr>
          <w:rFonts w:ascii="Arial" w:hAnsi="Arial"/>
          <w:b/>
          <w:sz w:val="22"/>
          <w:szCs w:val="22"/>
        </w:rPr>
        <w:t>Bogotá, République de Colombie</w:t>
      </w:r>
    </w:p>
    <w:p w:rsidR="00895D43" w:rsidRPr="00F83405" w:rsidRDefault="00895D43" w:rsidP="00895D43">
      <w:pPr>
        <w:jc w:val="center"/>
        <w:rPr>
          <w:rFonts w:ascii="Arial" w:eastAsia="Malgun Gothic" w:hAnsi="Arial" w:cs="Arial"/>
          <w:b/>
          <w:sz w:val="22"/>
          <w:szCs w:val="22"/>
        </w:rPr>
      </w:pPr>
      <w:r>
        <w:rPr>
          <w:rFonts w:ascii="Arial" w:hAnsi="Arial"/>
          <w:b/>
          <w:sz w:val="22"/>
          <w:szCs w:val="22"/>
        </w:rPr>
        <w:t>9 - 14 décembre 2019</w:t>
      </w:r>
    </w:p>
    <w:p w:rsidR="00E31FBB" w:rsidRPr="0082182F" w:rsidRDefault="00E31FBB" w:rsidP="00E31FBB">
      <w:pPr>
        <w:pStyle w:val="Sansinterligne2"/>
        <w:spacing w:before="1200"/>
        <w:jc w:val="center"/>
        <w:rPr>
          <w:rFonts w:ascii="Arial" w:hAnsi="Arial" w:cs="Arial"/>
          <w:b/>
          <w:sz w:val="22"/>
          <w:szCs w:val="22"/>
        </w:rPr>
      </w:pPr>
      <w:r w:rsidRPr="00293C60">
        <w:rPr>
          <w:rFonts w:ascii="Arial" w:hAnsi="Arial" w:cs="Arial"/>
          <w:b/>
          <w:sz w:val="22"/>
          <w:szCs w:val="22"/>
          <w:u w:val="single"/>
        </w:rPr>
        <w:t>Point 15 de l'ordre du jour provisoire </w:t>
      </w:r>
      <w:r w:rsidRPr="00293C60">
        <w:rPr>
          <w:rFonts w:ascii="Arial" w:hAnsi="Arial" w:cs="Arial"/>
          <w:b/>
          <w:sz w:val="22"/>
          <w:szCs w:val="22"/>
        </w:rPr>
        <w:t>:</w:t>
      </w:r>
    </w:p>
    <w:p w:rsidR="00E31FBB" w:rsidRPr="0082182F" w:rsidRDefault="00E31FBB" w:rsidP="00E31FBB">
      <w:pPr>
        <w:pStyle w:val="Sansinterligne2"/>
        <w:spacing w:after="1200"/>
        <w:contextualSpacing/>
        <w:jc w:val="center"/>
        <w:rPr>
          <w:rFonts w:ascii="Arial" w:hAnsi="Arial" w:cs="Arial"/>
          <w:b/>
          <w:sz w:val="22"/>
          <w:szCs w:val="22"/>
        </w:rPr>
      </w:pPr>
      <w:r w:rsidRPr="00342C76">
        <w:rPr>
          <w:rFonts w:ascii="Arial" w:hAnsi="Arial" w:cs="Arial"/>
          <w:b/>
          <w:sz w:val="22"/>
          <w:szCs w:val="22"/>
        </w:rPr>
        <w:t>Réflexion sur la participation des organisations non</w:t>
      </w:r>
      <w:r w:rsidR="0082182F">
        <w:rPr>
          <w:rFonts w:ascii="Arial" w:hAnsi="Arial" w:cs="Arial"/>
          <w:b/>
          <w:sz w:val="22"/>
          <w:szCs w:val="22"/>
        </w:rPr>
        <w:t xml:space="preserve"> </w:t>
      </w:r>
      <w:r w:rsidRPr="00342C76">
        <w:rPr>
          <w:rFonts w:ascii="Arial" w:hAnsi="Arial" w:cs="Arial"/>
          <w:b/>
          <w:sz w:val="22"/>
          <w:szCs w:val="22"/>
        </w:rPr>
        <w:t>gouvernementales</w:t>
      </w:r>
    </w:p>
    <w:p w:rsidR="00E31FBB" w:rsidRPr="0082182F" w:rsidRDefault="0082182F" w:rsidP="00E31FBB">
      <w:pPr>
        <w:pStyle w:val="Sansinterligne2"/>
        <w:spacing w:after="1200"/>
        <w:jc w:val="center"/>
        <w:rPr>
          <w:rFonts w:ascii="Arial" w:hAnsi="Arial" w:cs="Arial"/>
          <w:b/>
          <w:sz w:val="22"/>
          <w:szCs w:val="22"/>
        </w:rPr>
      </w:pPr>
      <w:proofErr w:type="gramStart"/>
      <w:r>
        <w:rPr>
          <w:rFonts w:ascii="Arial" w:hAnsi="Arial" w:cs="Arial"/>
          <w:b/>
          <w:sz w:val="22"/>
          <w:szCs w:val="22"/>
        </w:rPr>
        <w:t>à</w:t>
      </w:r>
      <w:proofErr w:type="gramEnd"/>
      <w:r w:rsidR="00E31FBB" w:rsidRPr="00342C76">
        <w:rPr>
          <w:rFonts w:ascii="Arial" w:hAnsi="Arial" w:cs="Arial"/>
          <w:b/>
          <w:sz w:val="22"/>
          <w:szCs w:val="22"/>
        </w:rPr>
        <w:t xml:space="preserve"> la mise en </w:t>
      </w:r>
      <w:r w:rsidRPr="00342C76">
        <w:rPr>
          <w:rFonts w:ascii="Arial" w:hAnsi="Arial" w:cs="Arial"/>
          <w:b/>
          <w:sz w:val="22"/>
          <w:szCs w:val="22"/>
        </w:rPr>
        <w:t>œuvre</w:t>
      </w:r>
      <w:r w:rsidR="00E31FBB" w:rsidRPr="00342C76">
        <w:rPr>
          <w:rFonts w:ascii="Arial" w:hAnsi="Arial" w:cs="Arial"/>
          <w:b/>
          <w:sz w:val="22"/>
          <w:szCs w:val="22"/>
        </w:rPr>
        <w:t xml:space="preserve"> de la Convention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730C2F" w:rsidTr="00E31FBB">
        <w:trPr>
          <w:jc w:val="center"/>
        </w:trPr>
        <w:tc>
          <w:tcPr>
            <w:tcW w:w="5670" w:type="dxa"/>
            <w:vAlign w:val="center"/>
          </w:tcPr>
          <w:p w:rsidR="00E31FBB" w:rsidRPr="0082182F" w:rsidRDefault="00E31FBB" w:rsidP="00E31FBB">
            <w:pPr>
              <w:pStyle w:val="Sansinterligne1"/>
              <w:spacing w:before="200" w:after="200"/>
              <w:jc w:val="center"/>
              <w:rPr>
                <w:rFonts w:ascii="Arial" w:hAnsi="Arial" w:cs="Arial"/>
                <w:b/>
                <w:sz w:val="22"/>
                <w:szCs w:val="22"/>
              </w:rPr>
            </w:pPr>
            <w:r w:rsidRPr="00293C60">
              <w:rPr>
                <w:rFonts w:ascii="Arial" w:hAnsi="Arial" w:cs="Arial"/>
                <w:b/>
                <w:sz w:val="22"/>
                <w:szCs w:val="22"/>
              </w:rPr>
              <w:t>Résumé</w:t>
            </w:r>
          </w:p>
          <w:p w:rsidR="00E31FBB" w:rsidRPr="0082182F" w:rsidRDefault="00E31FBB" w:rsidP="00E31FBB">
            <w:pPr>
              <w:pStyle w:val="Sansinterligne2"/>
              <w:spacing w:before="200" w:after="200"/>
              <w:jc w:val="both"/>
              <w:rPr>
                <w:rFonts w:ascii="Arial" w:hAnsi="Arial" w:cs="Arial"/>
                <w:sz w:val="22"/>
                <w:szCs w:val="22"/>
              </w:rPr>
            </w:pPr>
            <w:r>
              <w:rPr>
                <w:rFonts w:ascii="Arial" w:hAnsi="Arial" w:cs="Arial"/>
                <w:sz w:val="22"/>
                <w:szCs w:val="22"/>
              </w:rPr>
              <w:t xml:space="preserve">Lors de sa douzième session en 2017, le Comité a lancé une réflexion sur la définition des fonctions consultatives </w:t>
            </w:r>
            <w:r w:rsidR="0082182F">
              <w:rPr>
                <w:rFonts w:ascii="Arial" w:hAnsi="Arial" w:cs="Arial"/>
                <w:sz w:val="22"/>
                <w:szCs w:val="22"/>
              </w:rPr>
              <w:t>qui pourraient être confiées aux</w:t>
            </w:r>
            <w:r>
              <w:rPr>
                <w:rFonts w:ascii="Arial" w:hAnsi="Arial" w:cs="Arial"/>
                <w:sz w:val="22"/>
                <w:szCs w:val="22"/>
              </w:rPr>
              <w:t xml:space="preserve"> organisations non</w:t>
            </w:r>
            <w:r w:rsidR="0082182F">
              <w:rPr>
                <w:rFonts w:ascii="Arial" w:hAnsi="Arial" w:cs="Arial"/>
                <w:sz w:val="22"/>
                <w:szCs w:val="22"/>
              </w:rPr>
              <w:t xml:space="preserve"> </w:t>
            </w:r>
            <w:r>
              <w:rPr>
                <w:rFonts w:ascii="Arial" w:hAnsi="Arial" w:cs="Arial"/>
                <w:sz w:val="22"/>
                <w:szCs w:val="22"/>
              </w:rPr>
              <w:t xml:space="preserve">gouvernementales accréditées. Lors de sa treizième session en 2018, le Comité a demandé au Secrétariat de poursuivre cette réflexion avec </w:t>
            </w:r>
            <w:r w:rsidR="00FE7796">
              <w:rPr>
                <w:rFonts w:ascii="Arial" w:hAnsi="Arial" w:cs="Arial"/>
                <w:sz w:val="22"/>
                <w:szCs w:val="22"/>
              </w:rPr>
              <w:t>les organisations non gouvernementales</w:t>
            </w:r>
            <w:r>
              <w:rPr>
                <w:rFonts w:ascii="Arial" w:hAnsi="Arial" w:cs="Arial"/>
                <w:sz w:val="22"/>
                <w:szCs w:val="22"/>
              </w:rPr>
              <w:t xml:space="preserve"> accrédité</w:t>
            </w:r>
            <w:r w:rsidR="0082182F">
              <w:rPr>
                <w:rFonts w:ascii="Arial" w:hAnsi="Arial" w:cs="Arial"/>
                <w:sz w:val="22"/>
                <w:szCs w:val="22"/>
              </w:rPr>
              <w:t>es</w:t>
            </w:r>
            <w:r>
              <w:rPr>
                <w:rFonts w:ascii="Arial" w:hAnsi="Arial" w:cs="Arial"/>
                <w:sz w:val="22"/>
                <w:szCs w:val="22"/>
              </w:rPr>
              <w:t xml:space="preserve">, le Forum des ONG-PCI, le groupe de travail </w:t>
            </w:r>
            <w:r w:rsidR="0082182F">
              <w:rPr>
                <w:rFonts w:ascii="Arial" w:hAnsi="Arial" w:cs="Arial"/>
                <w:sz w:val="22"/>
                <w:szCs w:val="22"/>
              </w:rPr>
              <w:t>informel</w:t>
            </w:r>
            <w:r>
              <w:rPr>
                <w:rFonts w:ascii="Arial" w:hAnsi="Arial" w:cs="Arial"/>
                <w:sz w:val="22"/>
                <w:szCs w:val="22"/>
              </w:rPr>
              <w:t xml:space="preserve"> ad hoc </w:t>
            </w:r>
            <w:r w:rsidR="0082182F" w:rsidRPr="0082182F">
              <w:rPr>
                <w:rFonts w:ascii="Arial" w:hAnsi="Arial" w:cs="Arial"/>
                <w:sz w:val="22"/>
                <w:szCs w:val="22"/>
              </w:rPr>
              <w:t xml:space="preserve">à composition non limitée </w:t>
            </w:r>
            <w:r>
              <w:rPr>
                <w:rFonts w:ascii="Arial" w:hAnsi="Arial" w:cs="Arial"/>
                <w:sz w:val="22"/>
                <w:szCs w:val="22"/>
              </w:rPr>
              <w:t xml:space="preserve">et les États parties. </w:t>
            </w:r>
            <w:r w:rsidR="0082182F">
              <w:rPr>
                <w:rFonts w:ascii="Arial" w:hAnsi="Arial" w:cs="Arial"/>
                <w:sz w:val="22"/>
                <w:szCs w:val="22"/>
              </w:rPr>
              <w:t xml:space="preserve">Ce </w:t>
            </w:r>
            <w:r>
              <w:rPr>
                <w:rFonts w:ascii="Arial" w:hAnsi="Arial" w:cs="Arial"/>
                <w:sz w:val="22"/>
                <w:szCs w:val="22"/>
              </w:rPr>
              <w:t xml:space="preserve">document </w:t>
            </w:r>
            <w:r w:rsidR="0082182F">
              <w:rPr>
                <w:rFonts w:ascii="Arial" w:hAnsi="Arial" w:cs="Arial"/>
                <w:sz w:val="22"/>
                <w:szCs w:val="22"/>
              </w:rPr>
              <w:t xml:space="preserve">présente les principales conclusions </w:t>
            </w:r>
            <w:r>
              <w:rPr>
                <w:rFonts w:ascii="Arial" w:hAnsi="Arial" w:cs="Arial"/>
                <w:sz w:val="22"/>
                <w:szCs w:val="22"/>
              </w:rPr>
              <w:t>de ce processus de réflexion.</w:t>
            </w:r>
          </w:p>
          <w:p w:rsidR="00E31FBB" w:rsidRPr="00293C60" w:rsidRDefault="00E31FBB" w:rsidP="00E31FBB">
            <w:pPr>
              <w:pStyle w:val="Sansinterligne2"/>
              <w:spacing w:before="200" w:after="200"/>
              <w:jc w:val="both"/>
              <w:rPr>
                <w:rFonts w:ascii="Arial" w:hAnsi="Arial" w:cs="Arial"/>
                <w:b/>
                <w:sz w:val="22"/>
                <w:szCs w:val="22"/>
                <w:lang w:val="en-GB"/>
              </w:rPr>
            </w:pPr>
            <w:r w:rsidRPr="00293C60">
              <w:rPr>
                <w:rFonts w:ascii="Arial" w:hAnsi="Arial" w:cs="Arial"/>
                <w:b/>
                <w:sz w:val="22"/>
                <w:szCs w:val="22"/>
              </w:rPr>
              <w:t xml:space="preserve">Décision requise : </w:t>
            </w:r>
            <w:r w:rsidRPr="00293C60">
              <w:rPr>
                <w:rFonts w:ascii="Arial" w:hAnsi="Arial" w:cs="Arial"/>
                <w:bCs/>
                <w:sz w:val="22"/>
                <w:szCs w:val="22"/>
              </w:rPr>
              <w:t xml:space="preserve">paragraphe </w:t>
            </w:r>
            <w:r w:rsidRPr="009B1FB0">
              <w:rPr>
                <w:rFonts w:ascii="Arial" w:hAnsi="Arial" w:cs="Arial"/>
                <w:bCs/>
                <w:sz w:val="22"/>
                <w:szCs w:val="22"/>
              </w:rPr>
              <w:t>21</w:t>
            </w:r>
          </w:p>
        </w:tc>
      </w:tr>
    </w:tbl>
    <w:p w:rsidR="00E31FBB" w:rsidRPr="009B1FB0" w:rsidRDefault="00E31FBB" w:rsidP="00127024">
      <w:pPr>
        <w:pStyle w:val="ListParagraph"/>
        <w:numPr>
          <w:ilvl w:val="0"/>
          <w:numId w:val="5"/>
        </w:numPr>
        <w:spacing w:before="360" w:after="120"/>
        <w:ind w:left="567" w:hanging="567"/>
        <w:jc w:val="both"/>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Contexte</w:t>
      </w:r>
    </w:p>
    <w:p w:rsidR="00E31FBB" w:rsidRPr="0082182F" w:rsidRDefault="00E31FBB" w:rsidP="00E31FBB">
      <w:pPr>
        <w:pStyle w:val="COMPara"/>
        <w:numPr>
          <w:ilvl w:val="3"/>
          <w:numId w:val="2"/>
        </w:numPr>
        <w:ind w:left="567" w:hanging="567"/>
        <w:jc w:val="both"/>
        <w:rPr>
          <w:lang w:val="fr-FR"/>
        </w:rPr>
      </w:pPr>
      <w:r w:rsidRPr="006E1A7F">
        <w:rPr>
          <w:bCs/>
          <w:lang w:val="fr-FR"/>
        </w:rPr>
        <w:t xml:space="preserve">Le processus de réflexion </w:t>
      </w:r>
      <w:r w:rsidR="00AB423F">
        <w:rPr>
          <w:bCs/>
          <w:lang w:val="fr-FR"/>
        </w:rPr>
        <w:t>sur le</w:t>
      </w:r>
      <w:r w:rsidRPr="006E1A7F">
        <w:rPr>
          <w:bCs/>
          <w:lang w:val="fr-FR"/>
        </w:rPr>
        <w:t xml:space="preserve"> rôle consultatif des organisations non</w:t>
      </w:r>
      <w:r w:rsidR="00AB423F">
        <w:rPr>
          <w:bCs/>
          <w:lang w:val="fr-FR"/>
        </w:rPr>
        <w:t xml:space="preserve"> </w:t>
      </w:r>
      <w:r w:rsidRPr="006E1A7F">
        <w:rPr>
          <w:bCs/>
          <w:lang w:val="fr-FR"/>
        </w:rPr>
        <w:t xml:space="preserve">gouvernementales (ONG) accréditées a été </w:t>
      </w:r>
      <w:r w:rsidR="00AB423F">
        <w:rPr>
          <w:bCs/>
          <w:lang w:val="fr-FR"/>
        </w:rPr>
        <w:t>amorcé</w:t>
      </w:r>
      <w:r w:rsidRPr="006E1A7F">
        <w:rPr>
          <w:bCs/>
          <w:lang w:val="fr-FR"/>
        </w:rPr>
        <w:t xml:space="preserve"> par le Comité lors de sa douzième session en 2017. </w:t>
      </w:r>
      <w:r w:rsidR="00AB423F">
        <w:rPr>
          <w:bCs/>
          <w:lang w:val="fr-FR"/>
        </w:rPr>
        <w:t xml:space="preserve">Le </w:t>
      </w:r>
      <w:r w:rsidRPr="006E1A7F">
        <w:rPr>
          <w:bCs/>
          <w:lang w:val="fr-FR"/>
        </w:rPr>
        <w:t xml:space="preserve">Secrétariat et le groupe de travail </w:t>
      </w:r>
      <w:r w:rsidR="006F5E8C">
        <w:rPr>
          <w:bCs/>
          <w:lang w:val="fr-FR"/>
        </w:rPr>
        <w:t>informel</w:t>
      </w:r>
      <w:r w:rsidR="00AB423F">
        <w:rPr>
          <w:bCs/>
          <w:lang w:val="fr-FR"/>
        </w:rPr>
        <w:t xml:space="preserve"> </w:t>
      </w:r>
      <w:r w:rsidRPr="006E1A7F">
        <w:rPr>
          <w:bCs/>
          <w:lang w:val="fr-FR"/>
        </w:rPr>
        <w:t>ad hoc</w:t>
      </w:r>
      <w:r w:rsidR="00AB423F">
        <w:rPr>
          <w:bCs/>
          <w:lang w:val="fr-FR"/>
        </w:rPr>
        <w:t xml:space="preserve"> ont </w:t>
      </w:r>
      <w:r w:rsidR="004919AF">
        <w:rPr>
          <w:bCs/>
          <w:lang w:val="fr-FR"/>
        </w:rPr>
        <w:t xml:space="preserve">alors </w:t>
      </w:r>
      <w:r w:rsidR="00AB423F">
        <w:rPr>
          <w:bCs/>
          <w:lang w:val="fr-FR"/>
        </w:rPr>
        <w:t>été invités</w:t>
      </w:r>
      <w:r w:rsidRPr="006E1A7F">
        <w:rPr>
          <w:bCs/>
          <w:lang w:val="fr-FR"/>
        </w:rPr>
        <w:t xml:space="preserve"> </w:t>
      </w:r>
      <w:r w:rsidR="00AB423F">
        <w:rPr>
          <w:bCs/>
          <w:lang w:val="fr-FR"/>
        </w:rPr>
        <w:t>« </w:t>
      </w:r>
      <w:r w:rsidRPr="006E1A7F">
        <w:rPr>
          <w:bCs/>
          <w:lang w:val="fr-FR"/>
        </w:rPr>
        <w:t>à réfléchir, en consultation avec les ONG accréditées, aux moyens de renforcer encore davantage la participation des ONG dans le cadre de la Convention de 2003 et à la manière dont cette amélioration pourrait se refléter dans les mécanismes d’accréditation et de renouvellement des ONG</w:t>
      </w:r>
      <w:r w:rsidR="00AB423F">
        <w:rPr>
          <w:bCs/>
          <w:lang w:val="fr-FR"/>
        </w:rPr>
        <w:t> »</w:t>
      </w:r>
      <w:r w:rsidRPr="006E1A7F">
        <w:rPr>
          <w:bCs/>
          <w:lang w:val="fr-FR"/>
        </w:rPr>
        <w:t xml:space="preserve"> (</w:t>
      </w:r>
      <w:hyperlink r:id="rId8" w:history="1">
        <w:r w:rsidR="00D535A5">
          <w:rPr>
            <w:rStyle w:val="Hyperlink"/>
            <w:lang w:val="fr-FR"/>
          </w:rPr>
          <w:t>d</w:t>
        </w:r>
        <w:r w:rsidRPr="00A8581B">
          <w:rPr>
            <w:rStyle w:val="Hyperlink"/>
            <w:lang w:val="fr-FR"/>
          </w:rPr>
          <w:t>écision 12.COM 17</w:t>
        </w:r>
      </w:hyperlink>
      <w:r w:rsidRPr="006E1A7F">
        <w:rPr>
          <w:bCs/>
          <w:lang w:val="fr-FR"/>
        </w:rPr>
        <w:t xml:space="preserve">). Cette demande a </w:t>
      </w:r>
      <w:r w:rsidR="00AB423F">
        <w:rPr>
          <w:bCs/>
          <w:lang w:val="fr-FR"/>
        </w:rPr>
        <w:t xml:space="preserve">été formulée à l’issue des </w:t>
      </w:r>
      <w:r w:rsidRPr="006E1A7F">
        <w:rPr>
          <w:bCs/>
          <w:lang w:val="fr-FR"/>
        </w:rPr>
        <w:t xml:space="preserve">débats </w:t>
      </w:r>
      <w:r w:rsidR="00AB423F">
        <w:rPr>
          <w:bCs/>
          <w:lang w:val="fr-FR"/>
        </w:rPr>
        <w:t xml:space="preserve">menés au cours </w:t>
      </w:r>
      <w:r w:rsidRPr="006E1A7F">
        <w:rPr>
          <w:bCs/>
          <w:lang w:val="fr-FR"/>
        </w:rPr>
        <w:t>de la même session</w:t>
      </w:r>
      <w:r w:rsidR="00AB423F">
        <w:rPr>
          <w:bCs/>
          <w:lang w:val="fr-FR"/>
        </w:rPr>
        <w:t>,</w:t>
      </w:r>
      <w:r w:rsidRPr="006E1A7F">
        <w:rPr>
          <w:bCs/>
          <w:lang w:val="fr-FR"/>
        </w:rPr>
        <w:t xml:space="preserve"> </w:t>
      </w:r>
      <w:r w:rsidR="00AB423F">
        <w:rPr>
          <w:bCs/>
          <w:lang w:val="fr-FR"/>
        </w:rPr>
        <w:t xml:space="preserve">qui portaient </w:t>
      </w:r>
      <w:r w:rsidRPr="006E1A7F">
        <w:rPr>
          <w:bCs/>
          <w:lang w:val="fr-FR"/>
        </w:rPr>
        <w:t>sur l'identification et la définition des fonctions consultatives que le Comité souhait</w:t>
      </w:r>
      <w:r w:rsidR="00E469BC">
        <w:rPr>
          <w:bCs/>
          <w:lang w:val="fr-FR"/>
        </w:rPr>
        <w:t>ait</w:t>
      </w:r>
      <w:r w:rsidR="00AB423F">
        <w:rPr>
          <w:bCs/>
          <w:lang w:val="fr-FR"/>
        </w:rPr>
        <w:t xml:space="preserve"> confier aux</w:t>
      </w:r>
      <w:r w:rsidRPr="006E1A7F">
        <w:rPr>
          <w:bCs/>
          <w:lang w:val="fr-FR"/>
        </w:rPr>
        <w:t xml:space="preserve"> ONG accréditées (évoquées par l'expression </w:t>
      </w:r>
      <w:r w:rsidRPr="00F470FF">
        <w:rPr>
          <w:i/>
          <w:lang w:val="fr-FR"/>
        </w:rPr>
        <w:t>entre autres</w:t>
      </w:r>
      <w:r w:rsidRPr="006E1A7F">
        <w:rPr>
          <w:bCs/>
          <w:lang w:val="fr-FR"/>
        </w:rPr>
        <w:t xml:space="preserve"> dans le paragraphe 96 des Directives opérationnelles) et sur la pertinence du système d'accréditation </w:t>
      </w:r>
      <w:r w:rsidR="00AB423F">
        <w:rPr>
          <w:bCs/>
          <w:lang w:val="fr-FR"/>
        </w:rPr>
        <w:t>pour les travaux</w:t>
      </w:r>
      <w:r w:rsidRPr="006E1A7F">
        <w:rPr>
          <w:bCs/>
          <w:lang w:val="fr-FR"/>
        </w:rPr>
        <w:t xml:space="preserve"> du Comité et la mise en œuvre de la Convention. Ces discussions </w:t>
      </w:r>
      <w:r w:rsidR="004919AF">
        <w:rPr>
          <w:bCs/>
          <w:lang w:val="fr-FR"/>
        </w:rPr>
        <w:t>résultaient</w:t>
      </w:r>
      <w:r w:rsidR="00AB423F">
        <w:rPr>
          <w:bCs/>
          <w:lang w:val="fr-FR"/>
        </w:rPr>
        <w:t xml:space="preserve"> </w:t>
      </w:r>
      <w:r w:rsidRPr="006E1A7F">
        <w:rPr>
          <w:bCs/>
          <w:lang w:val="fr-FR"/>
        </w:rPr>
        <w:t>du constat qu'à tout moment</w:t>
      </w:r>
      <w:r w:rsidR="00241FC0">
        <w:rPr>
          <w:bCs/>
          <w:lang w:val="fr-FR"/>
        </w:rPr>
        <w:t xml:space="preserve"> donné</w:t>
      </w:r>
      <w:r w:rsidRPr="006E1A7F">
        <w:rPr>
          <w:bCs/>
          <w:lang w:val="fr-FR"/>
        </w:rPr>
        <w:t xml:space="preserve">, seules six </w:t>
      </w:r>
      <w:r w:rsidR="004919AF">
        <w:rPr>
          <w:bCs/>
          <w:lang w:val="fr-FR"/>
        </w:rPr>
        <w:t>organisations sur l</w:t>
      </w:r>
      <w:r w:rsidRPr="006E1A7F">
        <w:rPr>
          <w:bCs/>
          <w:lang w:val="fr-FR"/>
        </w:rPr>
        <w:t>es 176</w:t>
      </w:r>
      <w:r w:rsidR="004919AF">
        <w:rPr>
          <w:bCs/>
          <w:lang w:val="fr-FR"/>
        </w:rPr>
        <w:t> </w:t>
      </w:r>
      <w:r w:rsidRPr="006E1A7F">
        <w:rPr>
          <w:bCs/>
          <w:lang w:val="fr-FR"/>
        </w:rPr>
        <w:t xml:space="preserve">ONG </w:t>
      </w:r>
      <w:r w:rsidR="00E469BC">
        <w:rPr>
          <w:bCs/>
          <w:lang w:val="fr-FR"/>
        </w:rPr>
        <w:t xml:space="preserve">actuellement </w:t>
      </w:r>
      <w:r w:rsidRPr="006E1A7F">
        <w:rPr>
          <w:bCs/>
          <w:lang w:val="fr-FR"/>
        </w:rPr>
        <w:t xml:space="preserve">accréditées sont membres de l'Organe d'évaluation et sont </w:t>
      </w:r>
      <w:r w:rsidR="004919AF">
        <w:rPr>
          <w:bCs/>
          <w:lang w:val="fr-FR"/>
        </w:rPr>
        <w:t xml:space="preserve">donc </w:t>
      </w:r>
      <w:r w:rsidRPr="006E1A7F">
        <w:rPr>
          <w:bCs/>
          <w:lang w:val="fr-FR"/>
        </w:rPr>
        <w:t xml:space="preserve">en mesure de remplir les fonctions confiées aux ONG accréditées </w:t>
      </w:r>
      <w:r w:rsidR="004919AF">
        <w:rPr>
          <w:bCs/>
          <w:lang w:val="fr-FR"/>
        </w:rPr>
        <w:t>par l</w:t>
      </w:r>
      <w:r w:rsidRPr="006E1A7F">
        <w:rPr>
          <w:bCs/>
          <w:lang w:val="fr-FR"/>
        </w:rPr>
        <w:t>es Directives opérationnelles.</w:t>
      </w:r>
    </w:p>
    <w:p w:rsidR="00E31FBB" w:rsidRPr="0082182F" w:rsidRDefault="004919AF" w:rsidP="00E31FBB">
      <w:pPr>
        <w:pStyle w:val="COMPara"/>
        <w:numPr>
          <w:ilvl w:val="3"/>
          <w:numId w:val="2"/>
        </w:numPr>
        <w:ind w:left="567" w:hanging="567"/>
        <w:jc w:val="both"/>
        <w:rPr>
          <w:lang w:val="fr-FR"/>
        </w:rPr>
      </w:pPr>
      <w:r>
        <w:rPr>
          <w:lang w:val="fr-FR"/>
        </w:rPr>
        <w:t>Cette</w:t>
      </w:r>
      <w:r w:rsidR="00E31FBB" w:rsidRPr="00F470FF">
        <w:rPr>
          <w:lang w:val="fr-FR"/>
        </w:rPr>
        <w:t xml:space="preserve"> réflexion </w:t>
      </w:r>
      <w:r>
        <w:rPr>
          <w:lang w:val="fr-FR"/>
        </w:rPr>
        <w:t>avait pour objectif</w:t>
      </w:r>
      <w:r w:rsidR="00E31FBB" w:rsidRPr="00F470FF">
        <w:rPr>
          <w:lang w:val="fr-FR"/>
        </w:rPr>
        <w:t xml:space="preserve"> </w:t>
      </w:r>
      <w:r>
        <w:rPr>
          <w:lang w:val="fr-FR"/>
        </w:rPr>
        <w:t>de créer un espace permettant de discuter ouvertement de la participation</w:t>
      </w:r>
      <w:r w:rsidR="00E31FBB" w:rsidRPr="00F470FF">
        <w:rPr>
          <w:lang w:val="fr-FR"/>
        </w:rPr>
        <w:t xml:space="preserve"> des ONG </w:t>
      </w:r>
      <w:r>
        <w:rPr>
          <w:lang w:val="fr-FR"/>
        </w:rPr>
        <w:t xml:space="preserve">à </w:t>
      </w:r>
      <w:r w:rsidR="00E31FBB" w:rsidRPr="00F470FF">
        <w:rPr>
          <w:lang w:val="fr-FR"/>
        </w:rPr>
        <w:t>la mise en œuvre de la Convention dans le cadre du système d'accréditation actuel et de rassembler des idées sur les points suivants :</w:t>
      </w:r>
    </w:p>
    <w:p w:rsidR="00E31FBB" w:rsidRPr="0082182F" w:rsidRDefault="004919AF" w:rsidP="00127024">
      <w:pPr>
        <w:pStyle w:val="COMPara"/>
        <w:numPr>
          <w:ilvl w:val="0"/>
          <w:numId w:val="6"/>
        </w:numPr>
        <w:ind w:left="1134" w:hanging="567"/>
        <w:jc w:val="both"/>
        <w:rPr>
          <w:lang w:val="fr-FR"/>
        </w:rPr>
      </w:pPr>
      <w:proofErr w:type="gramStart"/>
      <w:r>
        <w:rPr>
          <w:lang w:val="fr-FR"/>
        </w:rPr>
        <w:t>l</w:t>
      </w:r>
      <w:r w:rsidR="00E31FBB" w:rsidRPr="00F470FF">
        <w:rPr>
          <w:lang w:val="fr-FR"/>
        </w:rPr>
        <w:t>es</w:t>
      </w:r>
      <w:proofErr w:type="gramEnd"/>
      <w:r>
        <w:rPr>
          <w:lang w:val="fr-FR"/>
        </w:rPr>
        <w:t xml:space="preserve"> </w:t>
      </w:r>
      <w:r w:rsidR="00E31FBB" w:rsidRPr="00F470FF">
        <w:rPr>
          <w:lang w:val="fr-FR"/>
        </w:rPr>
        <w:t>fonctions consultatives</w:t>
      </w:r>
      <w:r>
        <w:rPr>
          <w:lang w:val="fr-FR"/>
        </w:rPr>
        <w:t xml:space="preserve"> potentielles</w:t>
      </w:r>
      <w:r w:rsidR="00E31FBB" w:rsidRPr="00F470FF">
        <w:rPr>
          <w:lang w:val="fr-FR"/>
        </w:rPr>
        <w:t xml:space="preserve"> </w:t>
      </w:r>
      <w:r w:rsidR="00241FC0">
        <w:rPr>
          <w:lang w:val="fr-FR"/>
        </w:rPr>
        <w:t>(</w:t>
      </w:r>
      <w:r w:rsidR="00E31FBB" w:rsidRPr="00F470FF">
        <w:rPr>
          <w:lang w:val="fr-FR"/>
        </w:rPr>
        <w:t xml:space="preserve">désignées par l'expression </w:t>
      </w:r>
      <w:r>
        <w:rPr>
          <w:lang w:val="fr-FR"/>
        </w:rPr>
        <w:t>« </w:t>
      </w:r>
      <w:r w:rsidR="00E31FBB" w:rsidRPr="00F470FF">
        <w:rPr>
          <w:lang w:val="fr-FR"/>
        </w:rPr>
        <w:t>entre autres</w:t>
      </w:r>
      <w:r>
        <w:rPr>
          <w:lang w:val="fr-FR"/>
        </w:rPr>
        <w:t> »</w:t>
      </w:r>
      <w:r w:rsidR="00E31FBB" w:rsidRPr="00F470FF">
        <w:rPr>
          <w:lang w:val="fr-FR"/>
        </w:rPr>
        <w:t xml:space="preserve"> dans le paragraphe 96 des Directives Opérationnelles</w:t>
      </w:r>
      <w:r w:rsidR="00241FC0">
        <w:rPr>
          <w:lang w:val="fr-FR"/>
        </w:rPr>
        <w:t>)</w:t>
      </w:r>
      <w:r>
        <w:rPr>
          <w:lang w:val="fr-FR"/>
        </w:rPr>
        <w:t xml:space="preserve"> </w:t>
      </w:r>
      <w:r w:rsidR="00E31FBB" w:rsidRPr="00F470FF">
        <w:rPr>
          <w:lang w:val="fr-FR"/>
        </w:rPr>
        <w:t>qu</w:t>
      </w:r>
      <w:r>
        <w:rPr>
          <w:lang w:val="fr-FR"/>
        </w:rPr>
        <w:t>i pourraient être confiées aux</w:t>
      </w:r>
      <w:r w:rsidR="00E31FBB" w:rsidRPr="00F470FF">
        <w:rPr>
          <w:lang w:val="fr-FR"/>
        </w:rPr>
        <w:t xml:space="preserve"> ONG accréditées </w:t>
      </w:r>
      <w:r>
        <w:rPr>
          <w:lang w:val="fr-FR"/>
        </w:rPr>
        <w:t xml:space="preserve">par les </w:t>
      </w:r>
      <w:r w:rsidR="00E31FBB" w:rsidRPr="00F470FF">
        <w:rPr>
          <w:lang w:val="fr-FR"/>
        </w:rPr>
        <w:t>organes directeurs de la Convention (l'Assemblée générale des États parties et le Comité),</w:t>
      </w:r>
    </w:p>
    <w:p w:rsidR="00E31FBB" w:rsidRPr="0082182F" w:rsidRDefault="00E31FBB" w:rsidP="00127024">
      <w:pPr>
        <w:pStyle w:val="COMPara"/>
        <w:numPr>
          <w:ilvl w:val="0"/>
          <w:numId w:val="6"/>
        </w:numPr>
        <w:ind w:left="1134" w:hanging="567"/>
        <w:jc w:val="both"/>
        <w:rPr>
          <w:lang w:val="fr-FR"/>
        </w:rPr>
      </w:pPr>
      <w:proofErr w:type="gramStart"/>
      <w:r w:rsidRPr="00F470FF">
        <w:rPr>
          <w:lang w:val="fr-FR"/>
        </w:rPr>
        <w:t>les</w:t>
      </w:r>
      <w:proofErr w:type="gramEnd"/>
      <w:r w:rsidRPr="00F470FF">
        <w:rPr>
          <w:lang w:val="fr-FR"/>
        </w:rPr>
        <w:t xml:space="preserve"> fonctions </w:t>
      </w:r>
      <w:r w:rsidR="004919AF">
        <w:rPr>
          <w:lang w:val="fr-FR"/>
        </w:rPr>
        <w:t xml:space="preserve">potentielles </w:t>
      </w:r>
      <w:r w:rsidRPr="00F470FF">
        <w:rPr>
          <w:lang w:val="fr-FR"/>
        </w:rPr>
        <w:t>que les ONG accréditées pourraient remplir dans la mise en œuvre de la Convention au niveau national,</w:t>
      </w:r>
    </w:p>
    <w:p w:rsidR="00E31FBB" w:rsidRPr="0082182F" w:rsidRDefault="00E31FBB" w:rsidP="00127024">
      <w:pPr>
        <w:pStyle w:val="COMPara"/>
        <w:numPr>
          <w:ilvl w:val="0"/>
          <w:numId w:val="6"/>
        </w:numPr>
        <w:ind w:left="1134" w:hanging="567"/>
        <w:jc w:val="both"/>
        <w:rPr>
          <w:lang w:val="fr-FR"/>
        </w:rPr>
      </w:pPr>
      <w:proofErr w:type="gramStart"/>
      <w:r w:rsidRPr="00F470FF">
        <w:rPr>
          <w:lang w:val="fr-FR"/>
        </w:rPr>
        <w:t>l'évolution</w:t>
      </w:r>
      <w:proofErr w:type="gramEnd"/>
      <w:r w:rsidRPr="00F470FF">
        <w:rPr>
          <w:lang w:val="fr-FR"/>
        </w:rPr>
        <w:t xml:space="preserve"> du système d'accréditation des ONG, et</w:t>
      </w:r>
    </w:p>
    <w:p w:rsidR="00E31FBB" w:rsidRPr="0082182F" w:rsidRDefault="00E31FBB" w:rsidP="00127024">
      <w:pPr>
        <w:pStyle w:val="COMPara"/>
        <w:numPr>
          <w:ilvl w:val="0"/>
          <w:numId w:val="6"/>
        </w:numPr>
        <w:ind w:left="1134" w:hanging="567"/>
        <w:jc w:val="both"/>
        <w:rPr>
          <w:lang w:val="fr-FR"/>
        </w:rPr>
      </w:pPr>
      <w:proofErr w:type="gramStart"/>
      <w:r w:rsidRPr="00F470FF">
        <w:rPr>
          <w:lang w:val="fr-FR"/>
        </w:rPr>
        <w:t>le</w:t>
      </w:r>
      <w:proofErr w:type="gramEnd"/>
      <w:r w:rsidRPr="00F470FF">
        <w:rPr>
          <w:lang w:val="fr-FR"/>
        </w:rPr>
        <w:t xml:space="preserve"> rôle du Forum des ONG-PCI.</w:t>
      </w:r>
    </w:p>
    <w:p w:rsidR="00E31FBB" w:rsidRPr="0082182F" w:rsidRDefault="004373B8" w:rsidP="00E31FBB">
      <w:pPr>
        <w:pStyle w:val="COMPara"/>
        <w:numPr>
          <w:ilvl w:val="3"/>
          <w:numId w:val="2"/>
        </w:numPr>
        <w:ind w:left="567" w:hanging="567"/>
        <w:jc w:val="both"/>
        <w:rPr>
          <w:lang w:val="fr-FR"/>
        </w:rPr>
      </w:pPr>
      <w:r>
        <w:rPr>
          <w:lang w:val="fr-FR"/>
        </w:rPr>
        <w:t>En juin 2018, l’</w:t>
      </w:r>
      <w:r w:rsidR="00E31FBB" w:rsidRPr="00F470FF">
        <w:rPr>
          <w:lang w:val="fr-FR"/>
        </w:rPr>
        <w:t>Assemblée générale des États parties a pris note de</w:t>
      </w:r>
      <w:r w:rsidR="00B06DE6">
        <w:rPr>
          <w:lang w:val="fr-FR"/>
        </w:rPr>
        <w:t>s</w:t>
      </w:r>
      <w:r w:rsidR="00E31FBB" w:rsidRPr="00F470FF">
        <w:rPr>
          <w:lang w:val="fr-FR"/>
        </w:rPr>
        <w:t xml:space="preserve"> réflexion</w:t>
      </w:r>
      <w:r w:rsidR="00B06DE6">
        <w:rPr>
          <w:lang w:val="fr-FR"/>
        </w:rPr>
        <w:t>s</w:t>
      </w:r>
      <w:r w:rsidR="00E31FBB" w:rsidRPr="00F470FF">
        <w:rPr>
          <w:lang w:val="fr-FR"/>
        </w:rPr>
        <w:t xml:space="preserve"> menée</w:t>
      </w:r>
      <w:r w:rsidR="00B06DE6">
        <w:rPr>
          <w:lang w:val="fr-FR"/>
        </w:rPr>
        <w:t>s</w:t>
      </w:r>
      <w:r w:rsidR="00E31FBB" w:rsidRPr="00F470FF">
        <w:rPr>
          <w:lang w:val="fr-FR"/>
        </w:rPr>
        <w:t xml:space="preserve"> par le Secrétariat et le groupe de travail informel ad hoc de la Convention et a demandé au Comité et au Secrétariat de présenter les progrès de cette réflexion à la prochaine session d</w:t>
      </w:r>
      <w:r w:rsidR="00D535A5">
        <w:rPr>
          <w:lang w:val="fr-FR"/>
        </w:rPr>
        <w:t xml:space="preserve">e l'Assemblée générale en 2020 </w:t>
      </w:r>
      <w:r w:rsidR="00E31FBB" w:rsidRPr="00F470FF">
        <w:rPr>
          <w:lang w:val="fr-FR"/>
        </w:rPr>
        <w:t>(</w:t>
      </w:r>
      <w:hyperlink r:id="rId9" w:history="1">
        <w:r w:rsidR="00D535A5">
          <w:rPr>
            <w:rStyle w:val="Hyperlink"/>
            <w:lang w:val="fr-FR"/>
          </w:rPr>
          <w:t>r</w:t>
        </w:r>
        <w:r w:rsidR="00E31FBB" w:rsidRPr="00A8581B">
          <w:rPr>
            <w:rStyle w:val="Hyperlink"/>
            <w:lang w:val="fr-FR"/>
          </w:rPr>
          <w:t>ésolution 7.GA 11</w:t>
        </w:r>
      </w:hyperlink>
      <w:r w:rsidR="00E31FBB" w:rsidRPr="00F470FF">
        <w:rPr>
          <w:lang w:val="fr-FR"/>
        </w:rPr>
        <w:t>).</w:t>
      </w:r>
    </w:p>
    <w:p w:rsidR="00E31FBB" w:rsidRDefault="00E31FBB" w:rsidP="00127024">
      <w:pPr>
        <w:pStyle w:val="ListParagraph"/>
        <w:numPr>
          <w:ilvl w:val="0"/>
          <w:numId w:val="5"/>
        </w:numPr>
        <w:spacing w:before="360" w:after="120"/>
        <w:ind w:left="567" w:hanging="567"/>
        <w:jc w:val="both"/>
        <w:rPr>
          <w:rFonts w:ascii="Arial" w:hAnsi="Arial" w:cs="Arial"/>
          <w:b/>
          <w:sz w:val="22"/>
          <w:szCs w:val="22"/>
          <w:lang w:val="en-US"/>
        </w:rPr>
      </w:pPr>
      <w:r>
        <w:rPr>
          <w:rFonts w:ascii="Arial" w:hAnsi="Arial" w:cs="Arial"/>
          <w:b/>
          <w:sz w:val="22"/>
          <w:szCs w:val="22"/>
        </w:rPr>
        <w:t>Processus de réflexion</w:t>
      </w:r>
      <w:r>
        <w:rPr>
          <w:rStyle w:val="FootnoteReference"/>
          <w:rFonts w:ascii="Arial" w:hAnsi="Arial" w:cs="Arial"/>
          <w:b/>
          <w:sz w:val="22"/>
          <w:szCs w:val="22"/>
          <w:lang w:val="en-US"/>
        </w:rPr>
        <w:footnoteReference w:id="1"/>
      </w:r>
    </w:p>
    <w:p w:rsidR="00E31FBB" w:rsidRPr="0082182F" w:rsidRDefault="00E31FBB" w:rsidP="00E31FBB">
      <w:pPr>
        <w:pStyle w:val="COMPara"/>
        <w:numPr>
          <w:ilvl w:val="3"/>
          <w:numId w:val="2"/>
        </w:numPr>
        <w:ind w:left="567" w:hanging="567"/>
        <w:jc w:val="both"/>
        <w:rPr>
          <w:bCs/>
          <w:lang w:val="fr-FR"/>
        </w:rPr>
      </w:pPr>
      <w:r w:rsidRPr="00F470FF">
        <w:rPr>
          <w:lang w:val="fr-FR"/>
        </w:rPr>
        <w:t>Suite aux consultations préliminaires du Comité de pilotage du Forum des ONG-</w:t>
      </w:r>
      <w:r w:rsidR="00FA08CA">
        <w:rPr>
          <w:lang w:val="fr-FR"/>
        </w:rPr>
        <w:t>PCI</w:t>
      </w:r>
      <w:r w:rsidRPr="00F470FF">
        <w:rPr>
          <w:lang w:val="fr-FR"/>
        </w:rPr>
        <w:t xml:space="preserve"> et des représentant</w:t>
      </w:r>
      <w:r w:rsidR="00FA08CA">
        <w:rPr>
          <w:lang w:val="fr-FR"/>
        </w:rPr>
        <w:t>s</w:t>
      </w:r>
      <w:r w:rsidRPr="00F470FF">
        <w:rPr>
          <w:lang w:val="fr-FR"/>
        </w:rPr>
        <w:t xml:space="preserve"> du groupe de travail informel ad hoc quant à l'organisation du processus de réflexion en juin 2018, une consultation par voie électronique concernant les fonctions consultatives potentielles à confier aux ONG accréditées et le futur possible du système d'accréditation a été organisée de septembre à octobre 2018. À cette fin, un questionnaire (</w:t>
      </w:r>
      <w:hyperlink r:id="rId10" w:history="1">
        <w:r>
          <w:rPr>
            <w:rStyle w:val="Hyperlink"/>
            <w:lang w:val="fr-FR"/>
          </w:rPr>
          <w:t>document ITH/18/NGO/2</w:t>
        </w:r>
      </w:hyperlink>
      <w:r w:rsidRPr="00F470FF">
        <w:rPr>
          <w:lang w:val="fr-FR"/>
        </w:rPr>
        <w:t xml:space="preserve">) a été envoyé à toutes les ONG accréditées et </w:t>
      </w:r>
      <w:r w:rsidR="00FA08CA">
        <w:rPr>
          <w:lang w:val="fr-FR"/>
        </w:rPr>
        <w:t xml:space="preserve">à tous </w:t>
      </w:r>
      <w:r w:rsidRPr="00F470FF">
        <w:rPr>
          <w:lang w:val="fr-FR"/>
        </w:rPr>
        <w:t>les États parties en vue de rassembler des idées concernant l'avenir des ONG accréditées dans</w:t>
      </w:r>
      <w:r w:rsidR="002F0399">
        <w:rPr>
          <w:lang w:val="fr-FR"/>
        </w:rPr>
        <w:t xml:space="preserve"> le cadre de</w:t>
      </w:r>
      <w:r w:rsidRPr="00F470FF">
        <w:rPr>
          <w:lang w:val="fr-FR"/>
        </w:rPr>
        <w:t xml:space="preserve"> la Convention de 2003. Au total, 38 États parties et 68 ONG accréditées ont pris part à cette consultation, dont les résultats préliminaires ont été présentés à la treizième session du Comité en 2018 (</w:t>
      </w:r>
      <w:hyperlink r:id="rId11" w:history="1">
        <w:r w:rsidRPr="00C55B5C">
          <w:rPr>
            <w:rStyle w:val="Hyperlink"/>
            <w:bCs/>
            <w:lang w:val="fr-FR"/>
          </w:rPr>
          <w:t>document ITH/18/13.COM/13</w:t>
        </w:r>
      </w:hyperlink>
      <w:r w:rsidRPr="00F470FF">
        <w:rPr>
          <w:lang w:val="fr-FR"/>
        </w:rPr>
        <w:t>).</w:t>
      </w:r>
    </w:p>
    <w:p w:rsidR="00E31FBB" w:rsidRPr="0082182F" w:rsidRDefault="00E31FBB" w:rsidP="00E31FBB">
      <w:pPr>
        <w:pStyle w:val="COMPara"/>
        <w:numPr>
          <w:ilvl w:val="3"/>
          <w:numId w:val="2"/>
        </w:numPr>
        <w:ind w:left="567" w:hanging="567"/>
        <w:jc w:val="both"/>
        <w:rPr>
          <w:lang w:val="fr-FR"/>
        </w:rPr>
      </w:pPr>
      <w:r w:rsidRPr="00F470FF">
        <w:rPr>
          <w:lang w:val="fr-FR"/>
        </w:rPr>
        <w:t xml:space="preserve">Lors de sa treizième session en novembre/décembre 2018, le Comité a pris note du processus de consultation participatif présenté par le Secrétariat, ainsi que des observations initiales issues de la consultation électronique sur le rôle des ONG accréditées dans </w:t>
      </w:r>
      <w:r w:rsidR="00FA08CA">
        <w:rPr>
          <w:lang w:val="fr-FR"/>
        </w:rPr>
        <w:t xml:space="preserve">le cadre de </w:t>
      </w:r>
      <w:r w:rsidRPr="00F470FF">
        <w:rPr>
          <w:lang w:val="fr-FR"/>
        </w:rPr>
        <w:t xml:space="preserve">la Convention. Il a également demandé au Secrétariat de poursuivre la réflexion avec les ONG </w:t>
      </w:r>
      <w:r w:rsidRPr="00F470FF">
        <w:rPr>
          <w:lang w:val="fr-FR"/>
        </w:rPr>
        <w:lastRenderedPageBreak/>
        <w:t xml:space="preserve">accréditées, le Forum des ONG-PCI, le groupe de travail informel ad hoc à composition non limitée et les États parties sur la définition des fonctions consultatives </w:t>
      </w:r>
      <w:r w:rsidR="00FA08CA">
        <w:rPr>
          <w:lang w:val="fr-FR"/>
        </w:rPr>
        <w:t xml:space="preserve">à </w:t>
      </w:r>
      <w:r w:rsidRPr="00F470FF">
        <w:rPr>
          <w:lang w:val="fr-FR"/>
        </w:rPr>
        <w:t>rempli</w:t>
      </w:r>
      <w:r w:rsidR="00FA08CA">
        <w:rPr>
          <w:lang w:val="fr-FR"/>
        </w:rPr>
        <w:t>r</w:t>
      </w:r>
      <w:r w:rsidRPr="00F470FF">
        <w:rPr>
          <w:lang w:val="fr-FR"/>
        </w:rPr>
        <w:t xml:space="preserve"> par les ONG accréditées et à présenter les </w:t>
      </w:r>
      <w:r w:rsidR="00FA08CA">
        <w:rPr>
          <w:lang w:val="fr-FR"/>
        </w:rPr>
        <w:t>résultats</w:t>
      </w:r>
      <w:r w:rsidRPr="00F470FF">
        <w:rPr>
          <w:lang w:val="fr-FR"/>
        </w:rPr>
        <w:t xml:space="preserve"> de cette réflexion ainsi que des propositions </w:t>
      </w:r>
      <w:r w:rsidR="00FA08CA">
        <w:rPr>
          <w:lang w:val="fr-FR"/>
        </w:rPr>
        <w:t>de</w:t>
      </w:r>
      <w:r w:rsidRPr="00F470FF">
        <w:rPr>
          <w:lang w:val="fr-FR"/>
        </w:rPr>
        <w:t xml:space="preserve"> révision du système d'accréditation</w:t>
      </w:r>
      <w:r w:rsidR="00422F0E">
        <w:rPr>
          <w:lang w:val="fr-FR"/>
        </w:rPr>
        <w:t xml:space="preserve"> lors de sa quatorzième session</w:t>
      </w:r>
      <w:r w:rsidRPr="00F470FF">
        <w:rPr>
          <w:lang w:val="fr-FR"/>
        </w:rPr>
        <w:t xml:space="preserve"> (</w:t>
      </w:r>
      <w:hyperlink r:id="rId12" w:history="1">
        <w:r w:rsidR="00422F0E">
          <w:rPr>
            <w:rStyle w:val="Hyperlink"/>
            <w:lang w:val="fr-FR"/>
          </w:rPr>
          <w:t>d</w:t>
        </w:r>
        <w:r w:rsidRPr="006B73B6">
          <w:rPr>
            <w:rStyle w:val="Hyperlink"/>
            <w:lang w:val="fr-FR"/>
          </w:rPr>
          <w:t>écision 13.COM 13</w:t>
        </w:r>
      </w:hyperlink>
      <w:r w:rsidRPr="00F470FF">
        <w:rPr>
          <w:lang w:val="fr-FR"/>
        </w:rPr>
        <w:t>).</w:t>
      </w:r>
    </w:p>
    <w:p w:rsidR="00E31FBB" w:rsidRPr="0082182F" w:rsidRDefault="001F3858" w:rsidP="00E31FBB">
      <w:pPr>
        <w:pStyle w:val="COMPara"/>
        <w:numPr>
          <w:ilvl w:val="3"/>
          <w:numId w:val="2"/>
        </w:numPr>
        <w:ind w:left="567" w:hanging="567"/>
        <w:jc w:val="both"/>
        <w:rPr>
          <w:lang w:val="fr-FR"/>
        </w:rPr>
      </w:pPr>
      <w:r>
        <w:rPr>
          <w:lang w:val="fr-FR"/>
        </w:rPr>
        <w:t>Conformément à</w:t>
      </w:r>
      <w:r w:rsidR="00E31FBB">
        <w:rPr>
          <w:lang w:val="fr-FR"/>
        </w:rPr>
        <w:t xml:space="preserve"> cette décision, le processus de réflexion s'est poursuivi </w:t>
      </w:r>
      <w:r w:rsidR="00241FC0">
        <w:rPr>
          <w:lang w:val="fr-FR"/>
        </w:rPr>
        <w:t>avec</w:t>
      </w:r>
      <w:r w:rsidR="00E31FBB">
        <w:rPr>
          <w:lang w:val="fr-FR"/>
        </w:rPr>
        <w:t xml:space="preserve"> l'organisation d'une réunion de consultation le 18 avril 2019 au siège de l'UNESCO. </w:t>
      </w:r>
      <w:r w:rsidR="008D5FD8">
        <w:rPr>
          <w:lang w:val="fr-FR"/>
        </w:rPr>
        <w:t>S’appuyant sur les</w:t>
      </w:r>
      <w:r w:rsidR="00E31FBB">
        <w:rPr>
          <w:lang w:val="fr-FR"/>
        </w:rPr>
        <w:t xml:space="preserve"> résultats de la consultation électronique</w:t>
      </w:r>
      <w:r w:rsidR="008D5FD8">
        <w:rPr>
          <w:lang w:val="fr-FR"/>
        </w:rPr>
        <w:t>,</w:t>
      </w:r>
      <w:r w:rsidR="00E31FBB">
        <w:rPr>
          <w:lang w:val="fr-FR"/>
        </w:rPr>
        <w:t xml:space="preserve"> analysés dans un document de travail (</w:t>
      </w:r>
      <w:hyperlink r:id="rId13" w:history="1">
        <w:r w:rsidR="00E31FBB" w:rsidRPr="004F0E72">
          <w:rPr>
            <w:rStyle w:val="Hyperlink"/>
            <w:lang w:val="fr-FR"/>
          </w:rPr>
          <w:t>document LHE/19/NGO/2</w:t>
        </w:r>
      </w:hyperlink>
      <w:r w:rsidR="00E31FBB">
        <w:rPr>
          <w:lang w:val="fr-FR"/>
        </w:rPr>
        <w:t xml:space="preserve">) partagé avec tous les participants, la réunion de consultation visait à approfondir la réflexion sur la définition des fonctions consultatives devant être </w:t>
      </w:r>
      <w:r w:rsidR="008D5FD8">
        <w:rPr>
          <w:lang w:val="fr-FR"/>
        </w:rPr>
        <w:t>remplies</w:t>
      </w:r>
      <w:r w:rsidR="00E31FBB">
        <w:rPr>
          <w:lang w:val="fr-FR"/>
        </w:rPr>
        <w:t xml:space="preserve"> par les ONG accréditées au sens de l'article 9 de la Convention et du paragraphe 96 de ses Directives opérationnelles. Le </w:t>
      </w:r>
      <w:hyperlink r:id="rId14" w:history="1">
        <w:r w:rsidR="00E31FBB" w:rsidRPr="005D5A48">
          <w:rPr>
            <w:rStyle w:val="Hyperlink"/>
            <w:lang w:val="fr-FR"/>
          </w:rPr>
          <w:t>rapport de la réunion de consultation</w:t>
        </w:r>
      </w:hyperlink>
      <w:r w:rsidR="00E31FBB">
        <w:rPr>
          <w:lang w:val="fr-FR"/>
        </w:rPr>
        <w:t xml:space="preserve"> a été examiné par le Comité de pilotage du Forum des ONG-PCI, avant d'être partagé avec tous les États parties et </w:t>
      </w:r>
      <w:r w:rsidR="008D5FD8">
        <w:rPr>
          <w:lang w:val="fr-FR"/>
        </w:rPr>
        <w:t xml:space="preserve">toutes </w:t>
      </w:r>
      <w:r w:rsidR="00E31FBB">
        <w:rPr>
          <w:lang w:val="fr-FR"/>
        </w:rPr>
        <w:t>les ONG accréditées en août 2019.</w:t>
      </w:r>
    </w:p>
    <w:p w:rsidR="00E31FBB" w:rsidRPr="0082182F" w:rsidRDefault="00E31FBB" w:rsidP="00E31FBB">
      <w:pPr>
        <w:pStyle w:val="COMPara"/>
        <w:numPr>
          <w:ilvl w:val="3"/>
          <w:numId w:val="2"/>
        </w:numPr>
        <w:ind w:left="567" w:hanging="567"/>
        <w:jc w:val="both"/>
        <w:rPr>
          <w:lang w:val="fr-FR"/>
        </w:rPr>
      </w:pPr>
      <w:r>
        <w:rPr>
          <w:lang w:val="fr-FR"/>
        </w:rPr>
        <w:t>Au total, 76 États et 99 ON</w:t>
      </w:r>
      <w:r w:rsidR="008D5FD8">
        <w:rPr>
          <w:lang w:val="fr-FR"/>
        </w:rPr>
        <w:t>G</w:t>
      </w:r>
      <w:r>
        <w:rPr>
          <w:lang w:val="fr-FR"/>
        </w:rPr>
        <w:t xml:space="preserve"> accréditées ont </w:t>
      </w:r>
      <w:r w:rsidR="0044497C">
        <w:rPr>
          <w:lang w:val="fr-FR"/>
        </w:rPr>
        <w:t>pris part</w:t>
      </w:r>
      <w:r>
        <w:rPr>
          <w:lang w:val="fr-FR"/>
        </w:rPr>
        <w:t xml:space="preserve"> à au moins une étape du processus de réflexion, que ce soit la consultation électronique, la réunion de consultation ou les débats du Comité lors de sa treizième session en 2018. Bien que </w:t>
      </w:r>
      <w:r w:rsidR="0044497C">
        <w:rPr>
          <w:lang w:val="fr-FR"/>
        </w:rPr>
        <w:t xml:space="preserve">toutes </w:t>
      </w:r>
      <w:r>
        <w:rPr>
          <w:lang w:val="fr-FR"/>
        </w:rPr>
        <w:t>les ONG accréditées et</w:t>
      </w:r>
      <w:r w:rsidR="0044497C">
        <w:rPr>
          <w:lang w:val="fr-FR"/>
        </w:rPr>
        <w:t xml:space="preserve"> tous</w:t>
      </w:r>
      <w:r>
        <w:rPr>
          <w:lang w:val="fr-FR"/>
        </w:rPr>
        <w:t xml:space="preserve"> les États parties n'aient pas participé à la consultation électronique, un éventail représentatif d</w:t>
      </w:r>
      <w:r w:rsidR="0044497C">
        <w:rPr>
          <w:lang w:val="fr-FR"/>
        </w:rPr>
        <w:t xml:space="preserve">es </w:t>
      </w:r>
      <w:r>
        <w:rPr>
          <w:lang w:val="fr-FR"/>
        </w:rPr>
        <w:t xml:space="preserve">opinions (56 pour cent des ONG accréditées et 43 pour cent des États parties) a pu être </w:t>
      </w:r>
      <w:r w:rsidR="0044497C">
        <w:rPr>
          <w:lang w:val="fr-FR"/>
        </w:rPr>
        <w:t>recueilli</w:t>
      </w:r>
      <w:r>
        <w:rPr>
          <w:lang w:val="fr-FR"/>
        </w:rPr>
        <w:t>.</w:t>
      </w:r>
    </w:p>
    <w:p w:rsidR="00E31FBB" w:rsidRPr="0082182F" w:rsidRDefault="00E31FBB" w:rsidP="00E31FBB">
      <w:pPr>
        <w:pStyle w:val="COMPara"/>
        <w:numPr>
          <w:ilvl w:val="3"/>
          <w:numId w:val="2"/>
        </w:numPr>
        <w:ind w:left="567" w:hanging="567"/>
        <w:jc w:val="both"/>
        <w:rPr>
          <w:lang w:val="fr-FR"/>
        </w:rPr>
      </w:pPr>
      <w:r>
        <w:rPr>
          <w:lang w:val="fr-FR"/>
        </w:rPr>
        <w:t>Dans le cadre de son mandat (</w:t>
      </w:r>
      <w:hyperlink r:id="rId15" w:history="1">
        <w:r w:rsidR="00422F0E" w:rsidRPr="00422F0E">
          <w:rPr>
            <w:rStyle w:val="Hyperlink"/>
            <w:lang w:val="fr-FR"/>
          </w:rPr>
          <w:t>d</w:t>
        </w:r>
        <w:r w:rsidRPr="00422F0E">
          <w:rPr>
            <w:rStyle w:val="Hyperlink"/>
            <w:lang w:val="fr-FR"/>
          </w:rPr>
          <w:t>écision 13.COM 16),</w:t>
        </w:r>
      </w:hyperlink>
      <w:r>
        <w:rPr>
          <w:lang w:val="fr-FR"/>
        </w:rPr>
        <w:t xml:space="preserve"> le groupe de travail informel ad hoc à composition non limitée a également organisé deux réunions en 2019 pour continuer sa réflexion sur les </w:t>
      </w:r>
      <w:r w:rsidR="0044497C">
        <w:rPr>
          <w:lang w:val="fr-FR"/>
        </w:rPr>
        <w:t>moyens</w:t>
      </w:r>
      <w:r>
        <w:rPr>
          <w:lang w:val="fr-FR"/>
        </w:rPr>
        <w:t xml:space="preserve"> de renforcer davantage la participation des ONG </w:t>
      </w:r>
      <w:r w:rsidR="00906484">
        <w:rPr>
          <w:lang w:val="fr-FR"/>
        </w:rPr>
        <w:t>dans le cadre de</w:t>
      </w:r>
      <w:r>
        <w:rPr>
          <w:lang w:val="fr-FR"/>
        </w:rPr>
        <w:t xml:space="preserve"> la Convention et sur la manière dont </w:t>
      </w:r>
      <w:r w:rsidR="0044497C">
        <w:rPr>
          <w:lang w:val="fr-FR"/>
        </w:rPr>
        <w:t>ces mesures</w:t>
      </w:r>
      <w:r>
        <w:rPr>
          <w:lang w:val="fr-FR"/>
        </w:rPr>
        <w:t xml:space="preserve"> serai</w:t>
      </w:r>
      <w:r w:rsidR="0044497C">
        <w:rPr>
          <w:lang w:val="fr-FR"/>
        </w:rPr>
        <w:t>en</w:t>
      </w:r>
      <w:r>
        <w:rPr>
          <w:lang w:val="fr-FR"/>
        </w:rPr>
        <w:t>t reflété</w:t>
      </w:r>
      <w:r w:rsidR="0044497C">
        <w:rPr>
          <w:lang w:val="fr-FR"/>
        </w:rPr>
        <w:t>es</w:t>
      </w:r>
      <w:r>
        <w:rPr>
          <w:lang w:val="fr-FR"/>
        </w:rPr>
        <w:t xml:space="preserve"> dans les mécanismes d'accréditation et de renouvellement des ONG. Ces réunion</w:t>
      </w:r>
      <w:r w:rsidR="00241FC0">
        <w:rPr>
          <w:lang w:val="fr-FR"/>
        </w:rPr>
        <w:t>s</w:t>
      </w:r>
      <w:r>
        <w:rPr>
          <w:lang w:val="fr-FR"/>
        </w:rPr>
        <w:t xml:space="preserve"> se sont tenues le 28 mars 2019 et le 20 septembre 2019 (</w:t>
      </w:r>
      <w:r w:rsidRPr="00A83D80">
        <w:rPr>
          <w:lang w:val="fr-FR"/>
        </w:rPr>
        <w:t xml:space="preserve">voir le </w:t>
      </w:r>
      <w:hyperlink r:id="rId16" w:history="1">
        <w:r w:rsidRPr="00A83D80">
          <w:rPr>
            <w:rStyle w:val="Hyperlink"/>
            <w:lang w:val="fr-FR"/>
          </w:rPr>
          <w:t>document</w:t>
        </w:r>
        <w:r w:rsidR="00BD5635" w:rsidRPr="00A83D80">
          <w:rPr>
            <w:rStyle w:val="Hyperlink"/>
            <w:lang w:val="fr-FR"/>
          </w:rPr>
          <w:t> </w:t>
        </w:r>
        <w:r w:rsidRPr="00A83D80">
          <w:rPr>
            <w:rStyle w:val="Hyperlink"/>
            <w:lang w:val="fr-FR"/>
          </w:rPr>
          <w:t>LHE/19/14.COM/16</w:t>
        </w:r>
      </w:hyperlink>
      <w:r w:rsidRPr="00A83D80">
        <w:rPr>
          <w:lang w:val="fr-FR"/>
        </w:rPr>
        <w:t>).</w:t>
      </w:r>
    </w:p>
    <w:p w:rsidR="00E31FBB" w:rsidRDefault="00E31FBB" w:rsidP="00127024">
      <w:pPr>
        <w:pStyle w:val="ListParagraph"/>
        <w:numPr>
          <w:ilvl w:val="0"/>
          <w:numId w:val="5"/>
        </w:numPr>
        <w:spacing w:before="360" w:after="120"/>
        <w:ind w:left="567" w:hanging="567"/>
        <w:jc w:val="both"/>
        <w:rPr>
          <w:rFonts w:ascii="Arial" w:hAnsi="Arial" w:cs="Arial"/>
          <w:b/>
          <w:sz w:val="22"/>
          <w:szCs w:val="22"/>
          <w:lang w:val="en-US"/>
        </w:rPr>
      </w:pPr>
      <w:r>
        <w:rPr>
          <w:rFonts w:ascii="Arial" w:hAnsi="Arial" w:cs="Arial"/>
          <w:b/>
          <w:sz w:val="22"/>
          <w:szCs w:val="22"/>
        </w:rPr>
        <w:t>Principales conclusions de la réflexion</w:t>
      </w:r>
    </w:p>
    <w:p w:rsidR="00E31FBB" w:rsidRPr="0082182F" w:rsidRDefault="00E31FBB" w:rsidP="00E31FBB">
      <w:pPr>
        <w:pStyle w:val="COMPara"/>
        <w:numPr>
          <w:ilvl w:val="3"/>
          <w:numId w:val="2"/>
        </w:numPr>
        <w:ind w:left="567" w:hanging="567"/>
        <w:jc w:val="both"/>
        <w:rPr>
          <w:bCs/>
          <w:lang w:val="fr-FR"/>
        </w:rPr>
      </w:pPr>
      <w:r w:rsidRPr="006E1A7F">
        <w:rPr>
          <w:bCs/>
          <w:lang w:val="fr-FR"/>
        </w:rPr>
        <w:t>L</w:t>
      </w:r>
      <w:r w:rsidR="0044497C">
        <w:rPr>
          <w:bCs/>
          <w:lang w:val="fr-FR"/>
        </w:rPr>
        <w:t xml:space="preserve">e caractère </w:t>
      </w:r>
      <w:r w:rsidRPr="006E1A7F">
        <w:rPr>
          <w:bCs/>
          <w:lang w:val="fr-FR"/>
        </w:rPr>
        <w:t xml:space="preserve">ouvert de la réflexion a permis aux États parties et aux ONG accréditées d'exprimer et d'explorer </w:t>
      </w:r>
      <w:r w:rsidR="0044497C">
        <w:rPr>
          <w:bCs/>
          <w:lang w:val="fr-FR"/>
        </w:rPr>
        <w:t xml:space="preserve">de nombreuses idées et opinions </w:t>
      </w:r>
      <w:r w:rsidRPr="006E1A7F">
        <w:rPr>
          <w:bCs/>
          <w:lang w:val="fr-FR"/>
        </w:rPr>
        <w:t xml:space="preserve">sur différents aspects du système d'accréditation. Bien que </w:t>
      </w:r>
      <w:r w:rsidR="0044497C">
        <w:rPr>
          <w:bCs/>
          <w:lang w:val="fr-FR"/>
        </w:rPr>
        <w:t>certaines</w:t>
      </w:r>
      <w:r w:rsidRPr="006E1A7F">
        <w:rPr>
          <w:bCs/>
          <w:lang w:val="fr-FR"/>
        </w:rPr>
        <w:t xml:space="preserve"> tendances aient pu être identifiées, aucun consensus clair n</w:t>
      </w:r>
      <w:r w:rsidR="0044497C">
        <w:rPr>
          <w:bCs/>
          <w:lang w:val="fr-FR"/>
        </w:rPr>
        <w:t>’a été dégagé concernant</w:t>
      </w:r>
      <w:r w:rsidRPr="006E1A7F">
        <w:rPr>
          <w:bCs/>
          <w:lang w:val="fr-FR"/>
        </w:rPr>
        <w:t xml:space="preserve"> plusieurs aspects importants, </w:t>
      </w:r>
      <w:r w:rsidR="0044497C">
        <w:rPr>
          <w:bCs/>
          <w:lang w:val="fr-FR"/>
        </w:rPr>
        <w:t>comme</w:t>
      </w:r>
      <w:r w:rsidR="00046977">
        <w:rPr>
          <w:bCs/>
          <w:lang w:val="fr-FR"/>
        </w:rPr>
        <w:t xml:space="preserve"> la définition des</w:t>
      </w:r>
      <w:r w:rsidRPr="006E1A7F">
        <w:rPr>
          <w:bCs/>
          <w:lang w:val="fr-FR"/>
        </w:rPr>
        <w:t xml:space="preserve"> fonctions consultatives</w:t>
      </w:r>
      <w:r w:rsidR="009533FC">
        <w:rPr>
          <w:bCs/>
          <w:lang w:val="fr-FR"/>
        </w:rPr>
        <w:t xml:space="preserve"> évoquées à travers l’expression « entre autres »</w:t>
      </w:r>
      <w:r w:rsidRPr="006E1A7F">
        <w:rPr>
          <w:bCs/>
          <w:lang w:val="fr-FR"/>
        </w:rPr>
        <w:t>, l</w:t>
      </w:r>
      <w:r w:rsidR="0044497C">
        <w:rPr>
          <w:bCs/>
          <w:lang w:val="fr-FR"/>
        </w:rPr>
        <w:t>a</w:t>
      </w:r>
      <w:r w:rsidRPr="006E1A7F">
        <w:rPr>
          <w:bCs/>
          <w:lang w:val="fr-FR"/>
        </w:rPr>
        <w:t xml:space="preserve"> façon de prendre en </w:t>
      </w:r>
      <w:r w:rsidR="0044497C">
        <w:rPr>
          <w:bCs/>
          <w:lang w:val="fr-FR"/>
        </w:rPr>
        <w:t>compte</w:t>
      </w:r>
      <w:r w:rsidRPr="006E1A7F">
        <w:rPr>
          <w:bCs/>
          <w:lang w:val="fr-FR"/>
        </w:rPr>
        <w:t xml:space="preserve"> les disparités de taille et de capacités des ONG accréditées ou la possibilité de créer différents types d’accréditation reflétant ces disparités.</w:t>
      </w:r>
    </w:p>
    <w:p w:rsidR="00E31FBB" w:rsidRPr="0082182F" w:rsidRDefault="00E31FBB" w:rsidP="00E31FBB">
      <w:pPr>
        <w:pStyle w:val="COMPara"/>
        <w:numPr>
          <w:ilvl w:val="3"/>
          <w:numId w:val="2"/>
        </w:numPr>
        <w:ind w:left="567" w:hanging="567"/>
        <w:jc w:val="both"/>
        <w:rPr>
          <w:bCs/>
          <w:lang w:val="fr-FR"/>
        </w:rPr>
      </w:pPr>
      <w:r w:rsidRPr="005A5FB6">
        <w:rPr>
          <w:b/>
          <w:bCs/>
          <w:lang w:val="fr-FR"/>
        </w:rPr>
        <w:t>Nature et finalité du système d'accréditation</w:t>
      </w:r>
      <w:r w:rsidR="00241FC0">
        <w:rPr>
          <w:b/>
          <w:bCs/>
          <w:lang w:val="fr-FR"/>
        </w:rPr>
        <w:t>.</w:t>
      </w:r>
      <w:r>
        <w:rPr>
          <w:bCs/>
          <w:lang w:val="fr-FR"/>
        </w:rPr>
        <w:t xml:space="preserve"> Près de 70 pour cent des ONG accréditées et des États parties qui ont participé à la consultation électronique en 2018 ont </w:t>
      </w:r>
      <w:r w:rsidR="00D4304C">
        <w:rPr>
          <w:bCs/>
          <w:lang w:val="fr-FR"/>
        </w:rPr>
        <w:t>estimé que</w:t>
      </w:r>
      <w:r>
        <w:rPr>
          <w:bCs/>
          <w:lang w:val="fr-FR"/>
        </w:rPr>
        <w:t xml:space="preserve"> le système d'accréditation actuel </w:t>
      </w:r>
      <w:r w:rsidR="00D4304C">
        <w:rPr>
          <w:bCs/>
          <w:lang w:val="fr-FR"/>
        </w:rPr>
        <w:t>est adéquat</w:t>
      </w:r>
      <w:r>
        <w:rPr>
          <w:bCs/>
          <w:lang w:val="fr-FR"/>
        </w:rPr>
        <w:t xml:space="preserve">. Bien </w:t>
      </w:r>
      <w:r w:rsidR="00241FC0">
        <w:rPr>
          <w:bCs/>
          <w:lang w:val="fr-FR"/>
        </w:rPr>
        <w:t>que l’</w:t>
      </w:r>
      <w:r>
        <w:rPr>
          <w:bCs/>
          <w:lang w:val="fr-FR"/>
        </w:rPr>
        <w:t xml:space="preserve">impression </w:t>
      </w:r>
      <w:r w:rsidR="00241FC0">
        <w:rPr>
          <w:bCs/>
          <w:lang w:val="fr-FR"/>
        </w:rPr>
        <w:t xml:space="preserve">générale produite puisse être </w:t>
      </w:r>
      <w:r>
        <w:rPr>
          <w:bCs/>
          <w:lang w:val="fr-FR"/>
        </w:rPr>
        <w:t xml:space="preserve">positive à première vue, le processus de réflexion a démontré qu'il n'existe en réalité aucun </w:t>
      </w:r>
      <w:r w:rsidR="009C4B06">
        <w:rPr>
          <w:bCs/>
          <w:lang w:val="fr-FR"/>
        </w:rPr>
        <w:t>consensus</w:t>
      </w:r>
      <w:r w:rsidR="00D4304C">
        <w:rPr>
          <w:bCs/>
          <w:lang w:val="fr-FR"/>
        </w:rPr>
        <w:t xml:space="preserve"> </w:t>
      </w:r>
      <w:r>
        <w:rPr>
          <w:bCs/>
          <w:lang w:val="fr-FR"/>
        </w:rPr>
        <w:t xml:space="preserve">clair </w:t>
      </w:r>
      <w:r w:rsidR="009C4B06">
        <w:rPr>
          <w:bCs/>
          <w:lang w:val="fr-FR"/>
        </w:rPr>
        <w:t xml:space="preserve">quant aux </w:t>
      </w:r>
      <w:r>
        <w:rPr>
          <w:bCs/>
          <w:lang w:val="fr-FR"/>
        </w:rPr>
        <w:t xml:space="preserve">objectifs </w:t>
      </w:r>
      <w:r w:rsidR="00D4304C">
        <w:rPr>
          <w:bCs/>
          <w:lang w:val="fr-FR"/>
        </w:rPr>
        <w:t>que le</w:t>
      </w:r>
      <w:r>
        <w:rPr>
          <w:bCs/>
          <w:lang w:val="fr-FR"/>
        </w:rPr>
        <w:t xml:space="preserve"> système d'accréditation</w:t>
      </w:r>
      <w:r w:rsidR="00D4304C">
        <w:rPr>
          <w:bCs/>
          <w:lang w:val="fr-FR"/>
        </w:rPr>
        <w:t xml:space="preserve"> devrait atteindre</w:t>
      </w:r>
      <w:r>
        <w:rPr>
          <w:bCs/>
          <w:lang w:val="fr-FR"/>
        </w:rPr>
        <w:t xml:space="preserve">. C'est peut-être ce qui explique la forte tendance en faveur du </w:t>
      </w:r>
      <w:r w:rsidRPr="00D4304C">
        <w:rPr>
          <w:bCs/>
          <w:i/>
          <w:iCs/>
          <w:lang w:val="fr-FR"/>
        </w:rPr>
        <w:t>statu quo</w:t>
      </w:r>
      <w:r w:rsidR="0031455D">
        <w:rPr>
          <w:bCs/>
          <w:i/>
          <w:iCs/>
          <w:lang w:val="fr-FR"/>
        </w:rPr>
        <w:t xml:space="preserve"> </w:t>
      </w:r>
      <w:r w:rsidR="0031455D" w:rsidRPr="0031455D">
        <w:rPr>
          <w:bCs/>
          <w:lang w:val="fr-FR"/>
        </w:rPr>
        <w:t>qui a été observée</w:t>
      </w:r>
      <w:r>
        <w:rPr>
          <w:bCs/>
          <w:lang w:val="fr-FR"/>
        </w:rPr>
        <w:t xml:space="preserve">, plusieurs </w:t>
      </w:r>
      <w:r w:rsidR="009C4B06">
        <w:rPr>
          <w:bCs/>
          <w:lang w:val="fr-FR"/>
        </w:rPr>
        <w:t>participants</w:t>
      </w:r>
      <w:r>
        <w:rPr>
          <w:bCs/>
          <w:lang w:val="fr-FR"/>
        </w:rPr>
        <w:t xml:space="preserve"> ayant </w:t>
      </w:r>
      <w:r w:rsidR="009C4B06">
        <w:rPr>
          <w:bCs/>
          <w:lang w:val="fr-FR"/>
        </w:rPr>
        <w:t xml:space="preserve">suggéré </w:t>
      </w:r>
      <w:r>
        <w:rPr>
          <w:bCs/>
          <w:lang w:val="fr-FR"/>
        </w:rPr>
        <w:t>d</w:t>
      </w:r>
      <w:r w:rsidR="009C4B06">
        <w:rPr>
          <w:bCs/>
          <w:lang w:val="fr-FR"/>
        </w:rPr>
        <w:t xml:space="preserve">’apporter </w:t>
      </w:r>
      <w:r>
        <w:rPr>
          <w:bCs/>
          <w:lang w:val="fr-FR"/>
        </w:rPr>
        <w:t>des changements mineurs au système d'accréditation actuel plutôt qu</w:t>
      </w:r>
      <w:r w:rsidR="009C4B06">
        <w:rPr>
          <w:bCs/>
          <w:lang w:val="fr-FR"/>
        </w:rPr>
        <w:t>e de le restructurer entièrement</w:t>
      </w:r>
      <w:r>
        <w:rPr>
          <w:bCs/>
          <w:lang w:val="fr-FR"/>
        </w:rPr>
        <w:t>. Cette question est au c</w:t>
      </w:r>
      <w:r w:rsidR="009C4B06">
        <w:rPr>
          <w:bCs/>
          <w:lang w:val="fr-FR"/>
        </w:rPr>
        <w:t>œ</w:t>
      </w:r>
      <w:r>
        <w:rPr>
          <w:bCs/>
          <w:lang w:val="fr-FR"/>
        </w:rPr>
        <w:t xml:space="preserve">ur du processus de réflexion, puisque la nature du système d'accréditation </w:t>
      </w:r>
      <w:r w:rsidR="009C4B06">
        <w:rPr>
          <w:bCs/>
          <w:lang w:val="fr-FR"/>
        </w:rPr>
        <w:t>permettrait de définir</w:t>
      </w:r>
      <w:r>
        <w:rPr>
          <w:bCs/>
          <w:lang w:val="fr-FR"/>
        </w:rPr>
        <w:t xml:space="preserve"> les fonctions consultatives que les ONG pourraient être invitées à </w:t>
      </w:r>
      <w:r w:rsidR="009C4B06">
        <w:rPr>
          <w:bCs/>
          <w:lang w:val="fr-FR"/>
        </w:rPr>
        <w:t>remplir</w:t>
      </w:r>
      <w:r>
        <w:rPr>
          <w:bCs/>
          <w:lang w:val="fr-FR"/>
        </w:rPr>
        <w:t>,</w:t>
      </w:r>
      <w:r w:rsidR="009C4B06">
        <w:rPr>
          <w:bCs/>
          <w:lang w:val="fr-FR"/>
        </w:rPr>
        <w:t xml:space="preserve"> ce</w:t>
      </w:r>
      <w:r>
        <w:rPr>
          <w:bCs/>
          <w:lang w:val="fr-FR"/>
        </w:rPr>
        <w:t xml:space="preserve"> qui en retour déterminerait </w:t>
      </w:r>
      <w:r w:rsidR="00B20BF4">
        <w:rPr>
          <w:bCs/>
          <w:lang w:val="fr-FR"/>
        </w:rPr>
        <w:t>l</w:t>
      </w:r>
      <w:r>
        <w:rPr>
          <w:bCs/>
          <w:lang w:val="fr-FR"/>
        </w:rPr>
        <w:t xml:space="preserve">es critères </w:t>
      </w:r>
      <w:r w:rsidR="009C4B06">
        <w:rPr>
          <w:bCs/>
          <w:lang w:val="fr-FR"/>
        </w:rPr>
        <w:t>pertinents</w:t>
      </w:r>
      <w:r>
        <w:rPr>
          <w:bCs/>
          <w:lang w:val="fr-FR"/>
        </w:rPr>
        <w:t xml:space="preserve"> </w:t>
      </w:r>
      <w:r w:rsidR="009C4B06">
        <w:rPr>
          <w:bCs/>
          <w:lang w:val="fr-FR"/>
        </w:rPr>
        <w:t>pour évaluer et assurer un suivi régulier des</w:t>
      </w:r>
      <w:r>
        <w:rPr>
          <w:bCs/>
          <w:lang w:val="fr-FR"/>
        </w:rPr>
        <w:t xml:space="preserve"> ONG.</w:t>
      </w:r>
    </w:p>
    <w:p w:rsidR="00E31FBB" w:rsidRPr="0082182F" w:rsidRDefault="00E31FBB" w:rsidP="00E31FBB">
      <w:pPr>
        <w:pStyle w:val="COMPara"/>
        <w:numPr>
          <w:ilvl w:val="3"/>
          <w:numId w:val="2"/>
        </w:numPr>
        <w:ind w:left="567" w:hanging="567"/>
        <w:jc w:val="both"/>
        <w:rPr>
          <w:bCs/>
          <w:lang w:val="fr-FR"/>
        </w:rPr>
      </w:pPr>
      <w:r>
        <w:rPr>
          <w:bCs/>
          <w:lang w:val="fr-FR"/>
        </w:rPr>
        <w:t xml:space="preserve">D'une part, l'article 9.1 de la Convention </w:t>
      </w:r>
      <w:r w:rsidR="0028261F">
        <w:rPr>
          <w:bCs/>
          <w:lang w:val="fr-FR"/>
        </w:rPr>
        <w:t>affirme</w:t>
      </w:r>
      <w:r>
        <w:rPr>
          <w:bCs/>
          <w:lang w:val="fr-FR"/>
        </w:rPr>
        <w:t xml:space="preserve"> que le système d'accréditation vise à identifier les ONG </w:t>
      </w:r>
      <w:r w:rsidR="00B20BF4">
        <w:rPr>
          <w:bCs/>
          <w:lang w:val="fr-FR"/>
        </w:rPr>
        <w:t>« </w:t>
      </w:r>
      <w:r>
        <w:rPr>
          <w:bCs/>
          <w:lang w:val="fr-FR"/>
        </w:rPr>
        <w:t>possédant des compétences avérées dans le domaine du patrimoine culturel immatériel</w:t>
      </w:r>
      <w:r w:rsidR="0028261F">
        <w:rPr>
          <w:bCs/>
          <w:lang w:val="fr-FR"/>
        </w:rPr>
        <w:t xml:space="preserve"> [et que] </w:t>
      </w:r>
      <w:r w:rsidR="0028261F" w:rsidRPr="0028261F">
        <w:rPr>
          <w:bCs/>
          <w:u w:val="single"/>
          <w:lang w:val="fr-FR"/>
        </w:rPr>
        <w:t>c</w:t>
      </w:r>
      <w:r w:rsidRPr="00A677FA">
        <w:rPr>
          <w:bCs/>
          <w:u w:val="single"/>
          <w:lang w:val="fr-FR"/>
        </w:rPr>
        <w:t>es organisations auront des fonctions consultatives auprès du Comité</w:t>
      </w:r>
      <w:r w:rsidR="00B20BF4">
        <w:rPr>
          <w:bCs/>
          <w:lang w:val="fr-FR"/>
        </w:rPr>
        <w:t> »</w:t>
      </w:r>
      <w:r>
        <w:rPr>
          <w:bCs/>
          <w:lang w:val="fr-FR"/>
        </w:rPr>
        <w:t xml:space="preserve"> (soulignement ajouté). L'interprétation </w:t>
      </w:r>
      <w:r w:rsidR="00B20BF4">
        <w:rPr>
          <w:bCs/>
          <w:lang w:val="fr-FR"/>
        </w:rPr>
        <w:t>statutaire</w:t>
      </w:r>
      <w:r>
        <w:rPr>
          <w:bCs/>
          <w:lang w:val="fr-FR"/>
        </w:rPr>
        <w:t xml:space="preserve"> de cette disposition est </w:t>
      </w:r>
      <w:r w:rsidR="00B20BF4">
        <w:rPr>
          <w:bCs/>
          <w:lang w:val="fr-FR"/>
        </w:rPr>
        <w:t>donnée</w:t>
      </w:r>
      <w:r>
        <w:rPr>
          <w:bCs/>
          <w:lang w:val="fr-FR"/>
        </w:rPr>
        <w:t xml:space="preserve"> dans le paragraphe 96 des Directives opérationnelles, qui définit les fonctions consultatives confiées aux ONG accréditées. Sur la base de ces dispositions, il semblerait que le système d'accréditation a</w:t>
      </w:r>
      <w:r w:rsidR="00B20BF4">
        <w:rPr>
          <w:bCs/>
          <w:lang w:val="fr-FR"/>
        </w:rPr>
        <w:t>it</w:t>
      </w:r>
      <w:r>
        <w:rPr>
          <w:bCs/>
          <w:lang w:val="fr-FR"/>
        </w:rPr>
        <w:t xml:space="preserve"> été conçu initialement pour veiller à ce que le Comité bénéficie de l'expertise et de l'expérience des ONG. </w:t>
      </w:r>
      <w:r w:rsidR="0028261F">
        <w:rPr>
          <w:bCs/>
          <w:lang w:val="fr-FR"/>
        </w:rPr>
        <w:t>En revanche</w:t>
      </w:r>
      <w:r>
        <w:rPr>
          <w:bCs/>
          <w:lang w:val="fr-FR"/>
        </w:rPr>
        <w:t xml:space="preserve">, les </w:t>
      </w:r>
      <w:r w:rsidR="00B20BF4">
        <w:rPr>
          <w:bCs/>
          <w:lang w:val="fr-FR"/>
        </w:rPr>
        <w:t>résultats</w:t>
      </w:r>
      <w:r>
        <w:rPr>
          <w:bCs/>
          <w:lang w:val="fr-FR"/>
        </w:rPr>
        <w:t xml:space="preserve"> du processus de réflexion, y compris </w:t>
      </w:r>
      <w:r>
        <w:rPr>
          <w:bCs/>
          <w:lang w:val="fr-FR"/>
        </w:rPr>
        <w:lastRenderedPageBreak/>
        <w:t>de la consultation électronique et de la réunion de consultation, montre</w:t>
      </w:r>
      <w:r w:rsidR="00B20BF4">
        <w:rPr>
          <w:bCs/>
          <w:lang w:val="fr-FR"/>
        </w:rPr>
        <w:t>nt</w:t>
      </w:r>
      <w:r>
        <w:rPr>
          <w:bCs/>
          <w:lang w:val="fr-FR"/>
        </w:rPr>
        <w:t xml:space="preserve"> que le système d'accréditation est également </w:t>
      </w:r>
      <w:r w:rsidR="00F56D26">
        <w:rPr>
          <w:bCs/>
          <w:lang w:val="fr-FR"/>
        </w:rPr>
        <w:t xml:space="preserve">largement </w:t>
      </w:r>
      <w:r>
        <w:rPr>
          <w:bCs/>
          <w:lang w:val="fr-FR"/>
        </w:rPr>
        <w:t xml:space="preserve">considéré comme un </w:t>
      </w:r>
      <w:r w:rsidRPr="00834B38">
        <w:rPr>
          <w:bCs/>
          <w:u w:val="single"/>
          <w:lang w:val="fr-FR"/>
        </w:rPr>
        <w:t>mécanisme d'affiliation</w:t>
      </w:r>
      <w:r>
        <w:rPr>
          <w:bCs/>
          <w:lang w:val="fr-FR"/>
        </w:rPr>
        <w:t xml:space="preserve"> </w:t>
      </w:r>
      <w:r w:rsidR="00F56D26">
        <w:rPr>
          <w:bCs/>
          <w:lang w:val="fr-FR"/>
        </w:rPr>
        <w:t xml:space="preserve">qui permet aux </w:t>
      </w:r>
      <w:r>
        <w:rPr>
          <w:bCs/>
          <w:lang w:val="fr-FR"/>
        </w:rPr>
        <w:t xml:space="preserve">ONG de toutes les tailles et capacités, qui contribuent d'une façon ou d'une autre à la sauvegarde du patrimoine culturel immatériel, </w:t>
      </w:r>
      <w:r w:rsidR="00F56D26">
        <w:rPr>
          <w:bCs/>
          <w:lang w:val="fr-FR"/>
        </w:rPr>
        <w:t>d’</w:t>
      </w:r>
      <w:r>
        <w:rPr>
          <w:bCs/>
          <w:lang w:val="fr-FR"/>
        </w:rPr>
        <w:t xml:space="preserve">être identifiées et </w:t>
      </w:r>
      <w:r w:rsidR="00F56D26">
        <w:rPr>
          <w:bCs/>
          <w:lang w:val="fr-FR"/>
        </w:rPr>
        <w:t xml:space="preserve">de </w:t>
      </w:r>
      <w:r>
        <w:rPr>
          <w:bCs/>
          <w:lang w:val="fr-FR"/>
        </w:rPr>
        <w:t xml:space="preserve">bénéficier d'une reconnaissance internationale. </w:t>
      </w:r>
      <w:r w:rsidR="0028261F">
        <w:rPr>
          <w:bCs/>
          <w:lang w:val="fr-FR"/>
        </w:rPr>
        <w:t xml:space="preserve">Sans être </w:t>
      </w:r>
      <w:r>
        <w:rPr>
          <w:bCs/>
          <w:lang w:val="fr-FR"/>
        </w:rPr>
        <w:t xml:space="preserve">nécessairement inconciliables, </w:t>
      </w:r>
      <w:r w:rsidR="0028261F">
        <w:rPr>
          <w:bCs/>
          <w:lang w:val="fr-FR"/>
        </w:rPr>
        <w:t>ces deux visions</w:t>
      </w:r>
      <w:r>
        <w:rPr>
          <w:bCs/>
          <w:lang w:val="fr-FR"/>
        </w:rPr>
        <w:t xml:space="preserve"> </w:t>
      </w:r>
      <w:r w:rsidR="0028261F">
        <w:rPr>
          <w:bCs/>
          <w:lang w:val="fr-FR"/>
        </w:rPr>
        <w:t>évoquent</w:t>
      </w:r>
      <w:r w:rsidR="00F56D26">
        <w:rPr>
          <w:bCs/>
          <w:lang w:val="fr-FR"/>
        </w:rPr>
        <w:t xml:space="preserve"> </w:t>
      </w:r>
      <w:r w:rsidR="006126EF">
        <w:rPr>
          <w:bCs/>
          <w:lang w:val="fr-FR"/>
        </w:rPr>
        <w:t>deux</w:t>
      </w:r>
      <w:r w:rsidR="0028261F">
        <w:rPr>
          <w:bCs/>
          <w:lang w:val="fr-FR"/>
        </w:rPr>
        <w:t xml:space="preserve"> </w:t>
      </w:r>
      <w:r>
        <w:rPr>
          <w:bCs/>
          <w:lang w:val="fr-FR"/>
        </w:rPr>
        <w:t>système</w:t>
      </w:r>
      <w:r w:rsidR="006126EF">
        <w:rPr>
          <w:bCs/>
          <w:lang w:val="fr-FR"/>
        </w:rPr>
        <w:t>s distincts</w:t>
      </w:r>
      <w:r>
        <w:rPr>
          <w:bCs/>
          <w:lang w:val="fr-FR"/>
        </w:rPr>
        <w:t xml:space="preserve">, </w:t>
      </w:r>
      <w:r w:rsidR="006126EF">
        <w:rPr>
          <w:bCs/>
          <w:lang w:val="fr-FR"/>
        </w:rPr>
        <w:t>dont les</w:t>
      </w:r>
      <w:r w:rsidR="0028261F">
        <w:rPr>
          <w:bCs/>
          <w:lang w:val="fr-FR"/>
        </w:rPr>
        <w:t xml:space="preserve"> </w:t>
      </w:r>
      <w:r>
        <w:rPr>
          <w:bCs/>
          <w:lang w:val="fr-FR"/>
        </w:rPr>
        <w:t>objectifs, fonctions, critères et processus</w:t>
      </w:r>
      <w:r w:rsidR="00D16BA8">
        <w:rPr>
          <w:bCs/>
          <w:lang w:val="fr-FR"/>
        </w:rPr>
        <w:t xml:space="preserve"> </w:t>
      </w:r>
      <w:r w:rsidR="006126EF">
        <w:rPr>
          <w:bCs/>
          <w:lang w:val="fr-FR"/>
        </w:rPr>
        <w:t xml:space="preserve">sont </w:t>
      </w:r>
      <w:r w:rsidR="00D16BA8">
        <w:rPr>
          <w:bCs/>
          <w:lang w:val="fr-FR"/>
        </w:rPr>
        <w:t>différents</w:t>
      </w:r>
      <w:r w:rsidR="0028261F">
        <w:rPr>
          <w:bCs/>
          <w:lang w:val="fr-FR"/>
        </w:rPr>
        <w:t>.</w:t>
      </w:r>
    </w:p>
    <w:p w:rsidR="00E31FBB" w:rsidRPr="0082182F" w:rsidRDefault="00E31FBB" w:rsidP="00E31FBB">
      <w:pPr>
        <w:pStyle w:val="COMPara"/>
        <w:numPr>
          <w:ilvl w:val="3"/>
          <w:numId w:val="2"/>
        </w:numPr>
        <w:ind w:left="567" w:hanging="567"/>
        <w:jc w:val="both"/>
        <w:rPr>
          <w:bCs/>
          <w:lang w:val="fr-FR"/>
        </w:rPr>
      </w:pPr>
      <w:r w:rsidRPr="005A5FB6">
        <w:rPr>
          <w:b/>
          <w:lang w:val="fr-FR"/>
        </w:rPr>
        <w:t>Fonctions consultatives</w:t>
      </w:r>
      <w:r w:rsidRPr="005A5FB6">
        <w:rPr>
          <w:lang w:val="fr-FR"/>
        </w:rPr>
        <w:t xml:space="preserve"> Depuis le </w:t>
      </w:r>
      <w:r w:rsidR="0028261F">
        <w:rPr>
          <w:lang w:val="fr-FR"/>
        </w:rPr>
        <w:t>début</w:t>
      </w:r>
      <w:r w:rsidRPr="005A5FB6">
        <w:rPr>
          <w:lang w:val="fr-FR"/>
        </w:rPr>
        <w:t xml:space="preserve"> du processus de réflexion en 2017, la définition des fonctions consultatives </w:t>
      </w:r>
      <w:r w:rsidR="0028261F">
        <w:rPr>
          <w:lang w:val="fr-FR"/>
        </w:rPr>
        <w:t>a toujours été</w:t>
      </w:r>
      <w:r w:rsidRPr="005A5FB6">
        <w:rPr>
          <w:lang w:val="fr-FR"/>
        </w:rPr>
        <w:t xml:space="preserve"> </w:t>
      </w:r>
      <w:r w:rsidR="0028261F">
        <w:rPr>
          <w:lang w:val="fr-FR"/>
        </w:rPr>
        <w:t>au centre des débats</w:t>
      </w:r>
      <w:r w:rsidRPr="005A5FB6">
        <w:rPr>
          <w:lang w:val="fr-FR"/>
        </w:rPr>
        <w:t xml:space="preserve">. La consultation électronique et la réunion de consultation ont toutes deux permis d'identifier un certain nombre de fonctions générales qui pourraient être ou sont déjà exercées par les ONG accréditées. Ces fonctions pourraient être réparties en deux catégories, </w:t>
      </w:r>
      <w:r w:rsidR="00C44B20">
        <w:rPr>
          <w:lang w:val="fr-FR"/>
        </w:rPr>
        <w:t>en lien avec</w:t>
      </w:r>
      <w:r w:rsidR="0028261F">
        <w:rPr>
          <w:lang w:val="fr-FR"/>
        </w:rPr>
        <w:t xml:space="preserve"> les</w:t>
      </w:r>
      <w:r w:rsidRPr="005A5FB6">
        <w:rPr>
          <w:lang w:val="fr-FR"/>
        </w:rPr>
        <w:t xml:space="preserve"> deux visions différentes du système d'accréditation </w:t>
      </w:r>
      <w:r w:rsidR="0028261F">
        <w:rPr>
          <w:lang w:val="fr-FR"/>
        </w:rPr>
        <w:t>évoquées ci-dessus</w:t>
      </w:r>
      <w:r w:rsidRPr="005A5FB6">
        <w:rPr>
          <w:lang w:val="fr-FR"/>
        </w:rPr>
        <w:t xml:space="preserve"> (</w:t>
      </w:r>
      <w:r w:rsidRPr="00046977">
        <w:rPr>
          <w:lang w:val="fr-FR"/>
        </w:rPr>
        <w:t>voir paragraphe 11)</w:t>
      </w:r>
      <w:r w:rsidRPr="005A5FB6">
        <w:rPr>
          <w:lang w:val="fr-FR"/>
        </w:rPr>
        <w:t xml:space="preserve"> : selon ces deux visions, les ONG sont considérées à la fois </w:t>
      </w:r>
      <w:r w:rsidR="00C44B20">
        <w:rPr>
          <w:lang w:val="fr-FR"/>
        </w:rPr>
        <w:t>comme des</w:t>
      </w:r>
      <w:r w:rsidRPr="005A5FB6">
        <w:rPr>
          <w:lang w:val="fr-FR"/>
        </w:rPr>
        <w:t xml:space="preserve"> organisations consultatives </w:t>
      </w:r>
      <w:r w:rsidR="00C44B20">
        <w:rPr>
          <w:lang w:val="fr-FR"/>
        </w:rPr>
        <w:t>auprès du</w:t>
      </w:r>
      <w:r w:rsidRPr="005A5FB6">
        <w:rPr>
          <w:lang w:val="fr-FR"/>
        </w:rPr>
        <w:t xml:space="preserve"> Comité et </w:t>
      </w:r>
      <w:r w:rsidR="00C44B20">
        <w:rPr>
          <w:lang w:val="fr-FR"/>
        </w:rPr>
        <w:t xml:space="preserve">comme des </w:t>
      </w:r>
      <w:r w:rsidRPr="005A5FB6">
        <w:rPr>
          <w:lang w:val="fr-FR"/>
        </w:rPr>
        <w:t>parties prenantes dans la mise en œuvre de la Convention.</w:t>
      </w:r>
      <w:r>
        <w:rPr>
          <w:rStyle w:val="FootnoteReference"/>
          <w:bCs/>
        </w:rPr>
        <w:footnoteReference w:id="2"/>
      </w:r>
      <w:r w:rsidRPr="005A5FB6">
        <w:rPr>
          <w:lang w:val="fr-FR"/>
        </w:rPr>
        <w:t xml:space="preserve"> </w:t>
      </w:r>
      <w:r w:rsidR="00C44B20">
        <w:rPr>
          <w:lang w:val="fr-FR"/>
        </w:rPr>
        <w:t xml:space="preserve">Parallèlement à </w:t>
      </w:r>
      <w:r w:rsidRPr="005A5FB6">
        <w:rPr>
          <w:lang w:val="fr-FR"/>
        </w:rPr>
        <w:t xml:space="preserve">ces deux rôles principaux identifiés, les États et les ONG ont </w:t>
      </w:r>
      <w:r w:rsidR="00C44B20">
        <w:rPr>
          <w:lang w:val="fr-FR"/>
        </w:rPr>
        <w:t xml:space="preserve">tenté de commencer à </w:t>
      </w:r>
      <w:r w:rsidRPr="005A5FB6">
        <w:rPr>
          <w:lang w:val="fr-FR"/>
        </w:rPr>
        <w:t>définir les fonctions consultatives que les ONG accréditées pourraient exercer. À cet égard, il convient toutefois de noter qu'aucun</w:t>
      </w:r>
      <w:r w:rsidR="00C44B20">
        <w:rPr>
          <w:lang w:val="fr-FR"/>
        </w:rPr>
        <w:t xml:space="preserve"> moyen </w:t>
      </w:r>
      <w:r w:rsidRPr="005A5FB6">
        <w:rPr>
          <w:lang w:val="fr-FR"/>
        </w:rPr>
        <w:t>concr</w:t>
      </w:r>
      <w:r w:rsidR="00C44B20">
        <w:rPr>
          <w:lang w:val="fr-FR"/>
        </w:rPr>
        <w:t xml:space="preserve">et </w:t>
      </w:r>
      <w:r w:rsidRPr="005A5FB6">
        <w:rPr>
          <w:lang w:val="fr-FR"/>
        </w:rPr>
        <w:t>permettant aux ONG accréditées de remplir ces fonctions n'a été identifié :</w:t>
      </w:r>
    </w:p>
    <w:p w:rsidR="00E31FBB" w:rsidRPr="0082182F" w:rsidRDefault="00E31FBB" w:rsidP="00BF14A0">
      <w:pPr>
        <w:spacing w:before="120" w:after="120"/>
        <w:ind w:left="567"/>
        <w:jc w:val="both"/>
        <w:rPr>
          <w:rFonts w:ascii="Arial" w:hAnsi="Arial" w:cs="Arial"/>
          <w:bCs/>
          <w:i/>
          <w:sz w:val="22"/>
          <w:szCs w:val="22"/>
          <w:u w:val="single"/>
        </w:rPr>
      </w:pPr>
      <w:r w:rsidRPr="002C5319">
        <w:rPr>
          <w:rFonts w:ascii="Arial" w:hAnsi="Arial" w:cs="Arial"/>
          <w:bCs/>
          <w:i/>
          <w:sz w:val="22"/>
          <w:szCs w:val="22"/>
          <w:u w:val="single"/>
        </w:rPr>
        <w:t>Fonctions consultatives actuelles</w:t>
      </w:r>
      <w:r w:rsidRPr="00251639">
        <w:rPr>
          <w:rFonts w:ascii="Arial" w:hAnsi="Arial" w:cs="Arial"/>
          <w:bCs/>
          <w:i/>
          <w:sz w:val="22"/>
          <w:szCs w:val="22"/>
        </w:rPr>
        <w:t xml:space="preserve"> (telles que définies dans le paragraphe 96 des Directives opérationnelles)</w:t>
      </w:r>
    </w:p>
    <w:p w:rsidR="00E31FBB" w:rsidRPr="0082182F" w:rsidRDefault="00E31FBB" w:rsidP="00127024">
      <w:pPr>
        <w:pStyle w:val="ListParagraph"/>
        <w:numPr>
          <w:ilvl w:val="0"/>
          <w:numId w:val="8"/>
        </w:numPr>
        <w:spacing w:before="120" w:after="120"/>
        <w:ind w:left="993" w:hanging="426"/>
        <w:contextualSpacing w:val="0"/>
        <w:rPr>
          <w:rFonts w:ascii="Arial" w:hAnsi="Arial" w:cs="Arial"/>
          <w:bCs/>
          <w:sz w:val="22"/>
          <w:szCs w:val="22"/>
        </w:rPr>
      </w:pPr>
      <w:r w:rsidRPr="00A11C75">
        <w:rPr>
          <w:rFonts w:ascii="Arial" w:hAnsi="Arial" w:cs="Arial"/>
          <w:bCs/>
          <w:sz w:val="22"/>
          <w:szCs w:val="22"/>
        </w:rPr>
        <w:t xml:space="preserve">Fonctions d'évaluation </w:t>
      </w:r>
      <w:r w:rsidR="00C44B20">
        <w:rPr>
          <w:rFonts w:ascii="Arial" w:hAnsi="Arial" w:cs="Arial"/>
          <w:bCs/>
          <w:sz w:val="22"/>
          <w:szCs w:val="22"/>
        </w:rPr>
        <w:t>relatives aux</w:t>
      </w:r>
      <w:r w:rsidRPr="00A11C75">
        <w:rPr>
          <w:rFonts w:ascii="Arial" w:hAnsi="Arial" w:cs="Arial"/>
          <w:bCs/>
          <w:sz w:val="22"/>
          <w:szCs w:val="22"/>
        </w:rPr>
        <w:t xml:space="preserve"> candidatures, </w:t>
      </w:r>
      <w:r w:rsidR="00C44B20">
        <w:rPr>
          <w:rFonts w:ascii="Arial" w:hAnsi="Arial" w:cs="Arial"/>
          <w:bCs/>
          <w:sz w:val="22"/>
          <w:szCs w:val="22"/>
        </w:rPr>
        <w:t xml:space="preserve">aux </w:t>
      </w:r>
      <w:r w:rsidRPr="00A11C75">
        <w:rPr>
          <w:rFonts w:ascii="Arial" w:hAnsi="Arial" w:cs="Arial"/>
          <w:bCs/>
          <w:sz w:val="22"/>
          <w:szCs w:val="22"/>
        </w:rPr>
        <w:t xml:space="preserve">propositions et </w:t>
      </w:r>
      <w:r w:rsidR="00C44B20">
        <w:rPr>
          <w:rFonts w:ascii="Arial" w:hAnsi="Arial" w:cs="Arial"/>
          <w:bCs/>
          <w:sz w:val="22"/>
          <w:szCs w:val="22"/>
        </w:rPr>
        <w:t xml:space="preserve">aux </w:t>
      </w:r>
      <w:r w:rsidRPr="00A11C75">
        <w:rPr>
          <w:rFonts w:ascii="Arial" w:hAnsi="Arial" w:cs="Arial"/>
          <w:bCs/>
          <w:sz w:val="22"/>
          <w:szCs w:val="22"/>
        </w:rPr>
        <w:t>demandes</w:t>
      </w:r>
      <w:r w:rsidR="00BF14A0">
        <w:rPr>
          <w:rFonts w:ascii="Arial" w:hAnsi="Arial" w:cs="Arial"/>
          <w:bCs/>
          <w:sz w:val="22"/>
          <w:szCs w:val="22"/>
        </w:rPr>
        <w:t> ;</w:t>
      </w:r>
    </w:p>
    <w:p w:rsidR="00E31FBB" w:rsidRPr="0082182F" w:rsidRDefault="00111F49" w:rsidP="00BF14A0">
      <w:pPr>
        <w:pStyle w:val="ListParagraph"/>
        <w:numPr>
          <w:ilvl w:val="0"/>
          <w:numId w:val="8"/>
        </w:numPr>
        <w:spacing w:before="120" w:after="120"/>
        <w:ind w:left="993" w:hanging="426"/>
        <w:contextualSpacing w:val="0"/>
        <w:jc w:val="both"/>
        <w:rPr>
          <w:rFonts w:ascii="Arial" w:hAnsi="Arial" w:cs="Arial"/>
          <w:bCs/>
          <w:sz w:val="22"/>
          <w:szCs w:val="22"/>
        </w:rPr>
      </w:pPr>
      <w:r>
        <w:rPr>
          <w:rFonts w:ascii="Arial" w:hAnsi="Arial" w:cs="Arial"/>
          <w:bCs/>
          <w:sz w:val="22"/>
          <w:szCs w:val="22"/>
        </w:rPr>
        <w:t>Evaluation</w:t>
      </w:r>
      <w:r w:rsidR="00E31FBB">
        <w:rPr>
          <w:rFonts w:ascii="Arial" w:hAnsi="Arial" w:cs="Arial"/>
          <w:bCs/>
          <w:sz w:val="22"/>
          <w:szCs w:val="22"/>
        </w:rPr>
        <w:t xml:space="preserve"> des effets des plans de sauvegarde </w:t>
      </w:r>
      <w:r>
        <w:rPr>
          <w:rFonts w:ascii="Arial" w:hAnsi="Arial" w:cs="Arial"/>
          <w:bCs/>
          <w:sz w:val="22"/>
          <w:szCs w:val="22"/>
        </w:rPr>
        <w:t>des</w:t>
      </w:r>
      <w:r w:rsidR="00E31FBB">
        <w:rPr>
          <w:rFonts w:ascii="Arial" w:hAnsi="Arial" w:cs="Arial"/>
          <w:bCs/>
          <w:sz w:val="22"/>
          <w:szCs w:val="22"/>
        </w:rPr>
        <w:t xml:space="preserve"> éléments inscrits sur la Liste du patrimoine culturel immatériel nécessitant une sauvegarde urgente (</w:t>
      </w:r>
      <w:r w:rsidR="00C44B20">
        <w:rPr>
          <w:rFonts w:ascii="Arial" w:hAnsi="Arial" w:cs="Arial"/>
          <w:bCs/>
          <w:sz w:val="22"/>
          <w:szCs w:val="22"/>
        </w:rPr>
        <w:t xml:space="preserve">fonction </w:t>
      </w:r>
      <w:r w:rsidR="00E31FBB">
        <w:rPr>
          <w:rFonts w:ascii="Arial" w:hAnsi="Arial" w:cs="Arial"/>
          <w:bCs/>
          <w:sz w:val="22"/>
          <w:szCs w:val="22"/>
        </w:rPr>
        <w:t xml:space="preserve">appliquée une seule fois dans le cas du transfert d'un élément d'une </w:t>
      </w:r>
      <w:r w:rsidR="00C44B20">
        <w:rPr>
          <w:rFonts w:ascii="Arial" w:hAnsi="Arial" w:cs="Arial"/>
          <w:bCs/>
          <w:sz w:val="22"/>
          <w:szCs w:val="22"/>
        </w:rPr>
        <w:t>L</w:t>
      </w:r>
      <w:r w:rsidR="00E31FBB">
        <w:rPr>
          <w:rFonts w:ascii="Arial" w:hAnsi="Arial" w:cs="Arial"/>
          <w:bCs/>
          <w:sz w:val="22"/>
          <w:szCs w:val="22"/>
        </w:rPr>
        <w:t xml:space="preserve">iste à </w:t>
      </w:r>
      <w:r w:rsidR="00C44B20">
        <w:rPr>
          <w:rFonts w:ascii="Arial" w:hAnsi="Arial" w:cs="Arial"/>
          <w:bCs/>
          <w:sz w:val="22"/>
          <w:szCs w:val="22"/>
        </w:rPr>
        <w:t xml:space="preserve">une </w:t>
      </w:r>
      <w:r w:rsidR="00E31FBB">
        <w:rPr>
          <w:rFonts w:ascii="Arial" w:hAnsi="Arial" w:cs="Arial"/>
          <w:bCs/>
          <w:sz w:val="22"/>
          <w:szCs w:val="22"/>
        </w:rPr>
        <w:t>autre)</w:t>
      </w:r>
      <w:r w:rsidR="00BF14A0">
        <w:rPr>
          <w:rFonts w:ascii="Arial" w:hAnsi="Arial" w:cs="Arial"/>
          <w:bCs/>
          <w:sz w:val="22"/>
          <w:szCs w:val="22"/>
        </w:rPr>
        <w:t>.</w:t>
      </w:r>
    </w:p>
    <w:p w:rsidR="00E31FBB" w:rsidRPr="002C5319" w:rsidRDefault="00E31FBB" w:rsidP="00E31FBB">
      <w:pPr>
        <w:spacing w:before="120" w:after="120"/>
        <w:ind w:firstLine="567"/>
        <w:rPr>
          <w:rFonts w:ascii="Arial" w:hAnsi="Arial" w:cs="Arial"/>
          <w:bCs/>
          <w:i/>
          <w:sz w:val="22"/>
          <w:szCs w:val="22"/>
          <w:u w:val="single"/>
          <w:lang w:val="en-GB"/>
        </w:rPr>
      </w:pPr>
      <w:r>
        <w:rPr>
          <w:rFonts w:ascii="Arial" w:hAnsi="Arial" w:cs="Arial"/>
          <w:bCs/>
          <w:i/>
          <w:sz w:val="22"/>
          <w:szCs w:val="22"/>
          <w:u w:val="single"/>
        </w:rPr>
        <w:t>Nouvelles fonctions proposées</w:t>
      </w:r>
    </w:p>
    <w:p w:rsidR="00E31FBB" w:rsidRPr="0082182F" w:rsidRDefault="00E31FBB" w:rsidP="00127024">
      <w:pPr>
        <w:pStyle w:val="ListParagraph"/>
        <w:numPr>
          <w:ilvl w:val="0"/>
          <w:numId w:val="8"/>
        </w:numPr>
        <w:spacing w:before="120" w:after="120"/>
        <w:ind w:left="993" w:hanging="426"/>
        <w:contextualSpacing w:val="0"/>
        <w:rPr>
          <w:rFonts w:ascii="Arial" w:hAnsi="Arial" w:cs="Arial"/>
          <w:bCs/>
          <w:sz w:val="22"/>
          <w:szCs w:val="22"/>
        </w:rPr>
      </w:pPr>
      <w:r w:rsidRPr="00A11C75">
        <w:rPr>
          <w:rFonts w:ascii="Arial" w:hAnsi="Arial" w:cs="Arial"/>
          <w:bCs/>
          <w:sz w:val="22"/>
          <w:szCs w:val="22"/>
        </w:rPr>
        <w:t>Conseil</w:t>
      </w:r>
      <w:r w:rsidR="00D16BA8">
        <w:rPr>
          <w:rFonts w:ascii="Arial" w:hAnsi="Arial" w:cs="Arial"/>
          <w:bCs/>
          <w:sz w:val="22"/>
          <w:szCs w:val="22"/>
        </w:rPr>
        <w:t>s</w:t>
      </w:r>
      <w:r w:rsidR="00C44B20">
        <w:rPr>
          <w:rFonts w:ascii="Arial" w:hAnsi="Arial" w:cs="Arial"/>
          <w:bCs/>
          <w:sz w:val="22"/>
          <w:szCs w:val="22"/>
        </w:rPr>
        <w:t xml:space="preserve"> au</w:t>
      </w:r>
      <w:r w:rsidRPr="00A11C75">
        <w:rPr>
          <w:rFonts w:ascii="Arial" w:hAnsi="Arial" w:cs="Arial"/>
          <w:bCs/>
          <w:sz w:val="22"/>
          <w:szCs w:val="22"/>
        </w:rPr>
        <w:t xml:space="preserve"> Comité sur des questions thématiques spécifiques</w:t>
      </w:r>
      <w:r w:rsidR="00BF14A0">
        <w:rPr>
          <w:rFonts w:ascii="Arial" w:hAnsi="Arial" w:cs="Arial"/>
          <w:bCs/>
          <w:sz w:val="22"/>
          <w:szCs w:val="22"/>
        </w:rPr>
        <w:t> ;</w:t>
      </w:r>
    </w:p>
    <w:p w:rsidR="00E31FBB" w:rsidRPr="0082182F" w:rsidRDefault="001A7965" w:rsidP="00BF14A0">
      <w:pPr>
        <w:pStyle w:val="ListParagraph"/>
        <w:numPr>
          <w:ilvl w:val="0"/>
          <w:numId w:val="8"/>
        </w:numPr>
        <w:spacing w:before="120" w:after="120"/>
        <w:ind w:left="993" w:hanging="426"/>
        <w:contextualSpacing w:val="0"/>
        <w:jc w:val="both"/>
        <w:rPr>
          <w:rFonts w:ascii="Arial" w:hAnsi="Arial" w:cs="Arial"/>
          <w:bCs/>
          <w:sz w:val="22"/>
          <w:szCs w:val="22"/>
        </w:rPr>
      </w:pPr>
      <w:r>
        <w:rPr>
          <w:rFonts w:ascii="Arial" w:hAnsi="Arial" w:cs="Arial"/>
          <w:bCs/>
          <w:sz w:val="22"/>
          <w:szCs w:val="22"/>
        </w:rPr>
        <w:t xml:space="preserve">Fonctions d’établissement de rapports </w:t>
      </w:r>
      <w:r w:rsidR="00E31FBB" w:rsidRPr="00A11C75">
        <w:rPr>
          <w:rFonts w:ascii="Arial" w:hAnsi="Arial" w:cs="Arial"/>
          <w:bCs/>
          <w:sz w:val="22"/>
          <w:szCs w:val="22"/>
        </w:rPr>
        <w:t>direct</w:t>
      </w:r>
      <w:r>
        <w:rPr>
          <w:rFonts w:ascii="Arial" w:hAnsi="Arial" w:cs="Arial"/>
          <w:bCs/>
          <w:sz w:val="22"/>
          <w:szCs w:val="22"/>
        </w:rPr>
        <w:t>s</w:t>
      </w:r>
      <w:r w:rsidR="00E31FBB" w:rsidRPr="00A11C75">
        <w:rPr>
          <w:rFonts w:ascii="Arial" w:hAnsi="Arial" w:cs="Arial"/>
          <w:bCs/>
          <w:sz w:val="22"/>
          <w:szCs w:val="22"/>
        </w:rPr>
        <w:t xml:space="preserve"> et de </w:t>
      </w:r>
      <w:r>
        <w:rPr>
          <w:rFonts w:ascii="Arial" w:hAnsi="Arial" w:cs="Arial"/>
          <w:bCs/>
          <w:sz w:val="22"/>
          <w:szCs w:val="22"/>
        </w:rPr>
        <w:t xml:space="preserve">suivi </w:t>
      </w:r>
      <w:r w:rsidR="00E31FBB" w:rsidRPr="00A11C75">
        <w:rPr>
          <w:rFonts w:ascii="Arial" w:hAnsi="Arial" w:cs="Arial"/>
          <w:bCs/>
          <w:sz w:val="22"/>
          <w:szCs w:val="22"/>
        </w:rPr>
        <w:t>auprès du Comité, par exemple dans le cadre d</w:t>
      </w:r>
      <w:r w:rsidR="00111F49">
        <w:rPr>
          <w:rFonts w:ascii="Arial" w:hAnsi="Arial" w:cs="Arial"/>
          <w:bCs/>
          <w:sz w:val="22"/>
          <w:szCs w:val="22"/>
        </w:rPr>
        <w:t>u</w:t>
      </w:r>
      <w:r w:rsidR="00E31FBB" w:rsidRPr="00A11C75">
        <w:rPr>
          <w:rFonts w:ascii="Arial" w:hAnsi="Arial" w:cs="Arial"/>
          <w:bCs/>
          <w:sz w:val="22"/>
          <w:szCs w:val="22"/>
        </w:rPr>
        <w:t xml:space="preserve"> mécanisme </w:t>
      </w:r>
      <w:r w:rsidR="0026636C">
        <w:rPr>
          <w:rFonts w:ascii="Arial" w:hAnsi="Arial" w:cs="Arial"/>
          <w:bCs/>
          <w:sz w:val="22"/>
          <w:szCs w:val="22"/>
        </w:rPr>
        <w:t xml:space="preserve">de soumission </w:t>
      </w:r>
      <w:r w:rsidR="00E31FBB" w:rsidRPr="00A11C75">
        <w:rPr>
          <w:rFonts w:ascii="Arial" w:hAnsi="Arial" w:cs="Arial"/>
          <w:bCs/>
          <w:sz w:val="22"/>
          <w:szCs w:val="22"/>
        </w:rPr>
        <w:t>de</w:t>
      </w:r>
      <w:r>
        <w:rPr>
          <w:rFonts w:ascii="Arial" w:hAnsi="Arial" w:cs="Arial"/>
          <w:bCs/>
          <w:sz w:val="22"/>
          <w:szCs w:val="22"/>
        </w:rPr>
        <w:t>s</w:t>
      </w:r>
      <w:r w:rsidR="00E31FBB" w:rsidRPr="00A11C75">
        <w:rPr>
          <w:rFonts w:ascii="Arial" w:hAnsi="Arial" w:cs="Arial"/>
          <w:bCs/>
          <w:sz w:val="22"/>
          <w:szCs w:val="22"/>
        </w:rPr>
        <w:t xml:space="preserve"> rapport</w:t>
      </w:r>
      <w:r>
        <w:rPr>
          <w:rFonts w:ascii="Arial" w:hAnsi="Arial" w:cs="Arial"/>
          <w:bCs/>
          <w:sz w:val="22"/>
          <w:szCs w:val="22"/>
        </w:rPr>
        <w:t>s</w:t>
      </w:r>
      <w:r w:rsidR="00E31FBB" w:rsidRPr="00A11C75">
        <w:rPr>
          <w:rFonts w:ascii="Arial" w:hAnsi="Arial" w:cs="Arial"/>
          <w:bCs/>
          <w:sz w:val="22"/>
          <w:szCs w:val="22"/>
        </w:rPr>
        <w:t xml:space="preserve"> périodique</w:t>
      </w:r>
      <w:r>
        <w:rPr>
          <w:rFonts w:ascii="Arial" w:hAnsi="Arial" w:cs="Arial"/>
          <w:bCs/>
          <w:sz w:val="22"/>
          <w:szCs w:val="22"/>
        </w:rPr>
        <w:t>s</w:t>
      </w:r>
      <w:r w:rsidR="00E31FBB" w:rsidRPr="00A11C75">
        <w:rPr>
          <w:rFonts w:ascii="Arial" w:hAnsi="Arial" w:cs="Arial"/>
          <w:bCs/>
          <w:sz w:val="22"/>
          <w:szCs w:val="22"/>
        </w:rPr>
        <w:t xml:space="preserve"> ou </w:t>
      </w:r>
      <w:r>
        <w:rPr>
          <w:rFonts w:ascii="Arial" w:hAnsi="Arial" w:cs="Arial"/>
          <w:bCs/>
          <w:sz w:val="22"/>
          <w:szCs w:val="22"/>
        </w:rPr>
        <w:t>du</w:t>
      </w:r>
      <w:r w:rsidR="00E31FBB" w:rsidRPr="00A11C75">
        <w:rPr>
          <w:rFonts w:ascii="Arial" w:hAnsi="Arial" w:cs="Arial"/>
          <w:bCs/>
          <w:sz w:val="22"/>
          <w:szCs w:val="22"/>
        </w:rPr>
        <w:t xml:space="preserve"> suivi des éléments inscrits sur les </w:t>
      </w:r>
      <w:r w:rsidR="00D16BA8">
        <w:rPr>
          <w:rFonts w:ascii="Arial" w:hAnsi="Arial" w:cs="Arial"/>
          <w:bCs/>
          <w:sz w:val="22"/>
          <w:szCs w:val="22"/>
        </w:rPr>
        <w:t>L</w:t>
      </w:r>
      <w:r w:rsidR="00E31FBB" w:rsidRPr="00A11C75">
        <w:rPr>
          <w:rFonts w:ascii="Arial" w:hAnsi="Arial" w:cs="Arial"/>
          <w:bCs/>
          <w:sz w:val="22"/>
          <w:szCs w:val="22"/>
        </w:rPr>
        <w:t>istes de la Convention</w:t>
      </w:r>
      <w:r w:rsidR="00BF14A0">
        <w:rPr>
          <w:rFonts w:ascii="Arial" w:hAnsi="Arial" w:cs="Arial"/>
          <w:bCs/>
          <w:sz w:val="22"/>
          <w:szCs w:val="22"/>
        </w:rPr>
        <w:t> ;</w:t>
      </w:r>
    </w:p>
    <w:p w:rsidR="00E31FBB" w:rsidRPr="0082182F" w:rsidRDefault="00E31FBB" w:rsidP="00127024">
      <w:pPr>
        <w:pStyle w:val="ListParagraph"/>
        <w:numPr>
          <w:ilvl w:val="0"/>
          <w:numId w:val="8"/>
        </w:numPr>
        <w:spacing w:before="120" w:after="120"/>
        <w:ind w:left="993" w:hanging="426"/>
        <w:contextualSpacing w:val="0"/>
        <w:rPr>
          <w:bCs/>
        </w:rPr>
      </w:pPr>
      <w:r w:rsidRPr="00A11C75">
        <w:rPr>
          <w:rFonts w:ascii="Arial" w:hAnsi="Arial" w:cs="Arial"/>
          <w:bCs/>
          <w:sz w:val="22"/>
          <w:szCs w:val="22"/>
        </w:rPr>
        <w:t xml:space="preserve">Conseils sur les </w:t>
      </w:r>
      <w:r w:rsidR="001A7965">
        <w:rPr>
          <w:rFonts w:ascii="Arial" w:hAnsi="Arial" w:cs="Arial"/>
          <w:bCs/>
          <w:sz w:val="22"/>
          <w:szCs w:val="22"/>
        </w:rPr>
        <w:t>questions</w:t>
      </w:r>
      <w:r w:rsidRPr="00A11C75">
        <w:rPr>
          <w:rFonts w:ascii="Arial" w:hAnsi="Arial" w:cs="Arial"/>
          <w:bCs/>
          <w:sz w:val="22"/>
          <w:szCs w:val="22"/>
        </w:rPr>
        <w:t xml:space="preserve"> </w:t>
      </w:r>
      <w:r w:rsidR="001A7965">
        <w:rPr>
          <w:rFonts w:ascii="Arial" w:hAnsi="Arial" w:cs="Arial"/>
          <w:bCs/>
          <w:sz w:val="22"/>
          <w:szCs w:val="22"/>
        </w:rPr>
        <w:t xml:space="preserve">statutaires </w:t>
      </w:r>
      <w:r w:rsidRPr="00A11C75">
        <w:rPr>
          <w:rFonts w:ascii="Arial" w:hAnsi="Arial" w:cs="Arial"/>
          <w:bCs/>
          <w:sz w:val="22"/>
          <w:szCs w:val="22"/>
        </w:rPr>
        <w:t>lié</w:t>
      </w:r>
      <w:r w:rsidR="001A7965">
        <w:rPr>
          <w:rFonts w:ascii="Arial" w:hAnsi="Arial" w:cs="Arial"/>
          <w:bCs/>
          <w:sz w:val="22"/>
          <w:szCs w:val="22"/>
        </w:rPr>
        <w:t>e</w:t>
      </w:r>
      <w:r w:rsidRPr="00A11C75">
        <w:rPr>
          <w:rFonts w:ascii="Arial" w:hAnsi="Arial" w:cs="Arial"/>
          <w:bCs/>
          <w:sz w:val="22"/>
          <w:szCs w:val="22"/>
        </w:rPr>
        <w:t>s aux ONG</w:t>
      </w:r>
      <w:r w:rsidR="00BF14A0">
        <w:rPr>
          <w:rFonts w:ascii="Arial" w:hAnsi="Arial" w:cs="Arial"/>
          <w:bCs/>
          <w:sz w:val="22"/>
          <w:szCs w:val="22"/>
        </w:rPr>
        <w:t> ;</w:t>
      </w:r>
    </w:p>
    <w:p w:rsidR="00E31FBB" w:rsidRPr="0082182F" w:rsidRDefault="00E31FBB" w:rsidP="00BF14A0">
      <w:pPr>
        <w:pStyle w:val="ListParagraph"/>
        <w:numPr>
          <w:ilvl w:val="0"/>
          <w:numId w:val="8"/>
        </w:numPr>
        <w:spacing w:before="120" w:after="120"/>
        <w:ind w:left="993" w:hanging="426"/>
        <w:contextualSpacing w:val="0"/>
        <w:jc w:val="both"/>
        <w:rPr>
          <w:rFonts w:ascii="Arial" w:hAnsi="Arial" w:cs="Arial"/>
          <w:bCs/>
          <w:sz w:val="22"/>
          <w:szCs w:val="22"/>
        </w:rPr>
      </w:pPr>
      <w:r w:rsidRPr="00A11C75">
        <w:rPr>
          <w:rFonts w:ascii="Arial" w:hAnsi="Arial" w:cs="Arial"/>
          <w:bCs/>
          <w:sz w:val="22"/>
          <w:szCs w:val="22"/>
        </w:rPr>
        <w:t>Mise en œuvre de la Convention aux niveaux local, national et international</w:t>
      </w:r>
      <w:r w:rsidR="001A7965">
        <w:rPr>
          <w:rFonts w:ascii="Arial" w:hAnsi="Arial" w:cs="Arial"/>
          <w:bCs/>
          <w:sz w:val="22"/>
          <w:szCs w:val="22"/>
        </w:rPr>
        <w:t xml:space="preserve"> et </w:t>
      </w:r>
      <w:r w:rsidRPr="00A11C75">
        <w:rPr>
          <w:rFonts w:ascii="Arial" w:hAnsi="Arial" w:cs="Arial"/>
          <w:bCs/>
          <w:sz w:val="22"/>
          <w:szCs w:val="22"/>
        </w:rPr>
        <w:t>contribution à la mise en œuvre des activités de renforcement des capacités</w:t>
      </w:r>
      <w:r w:rsidR="00BF14A0">
        <w:rPr>
          <w:rFonts w:ascii="Arial" w:hAnsi="Arial" w:cs="Arial"/>
          <w:bCs/>
          <w:sz w:val="22"/>
          <w:szCs w:val="22"/>
        </w:rPr>
        <w:t> ;</w:t>
      </w:r>
    </w:p>
    <w:p w:rsidR="00E31FBB" w:rsidRPr="0082182F" w:rsidRDefault="00E31FBB" w:rsidP="00BF14A0">
      <w:pPr>
        <w:pStyle w:val="ListParagraph"/>
        <w:numPr>
          <w:ilvl w:val="0"/>
          <w:numId w:val="8"/>
        </w:numPr>
        <w:spacing w:before="120" w:after="120"/>
        <w:ind w:left="993" w:hanging="426"/>
        <w:contextualSpacing w:val="0"/>
        <w:jc w:val="both"/>
        <w:rPr>
          <w:rFonts w:ascii="Arial" w:hAnsi="Arial" w:cs="Arial"/>
          <w:bCs/>
          <w:sz w:val="22"/>
          <w:szCs w:val="22"/>
        </w:rPr>
      </w:pPr>
      <w:r w:rsidRPr="00A11C75">
        <w:rPr>
          <w:rFonts w:ascii="Arial" w:hAnsi="Arial" w:cs="Arial"/>
          <w:bCs/>
          <w:sz w:val="22"/>
          <w:szCs w:val="22"/>
        </w:rPr>
        <w:t>Fonctions d'établissement de rapports au niveau national (mécanisme</w:t>
      </w:r>
      <w:r w:rsidR="0026636C">
        <w:rPr>
          <w:rFonts w:ascii="Arial" w:hAnsi="Arial" w:cs="Arial"/>
          <w:bCs/>
          <w:sz w:val="22"/>
          <w:szCs w:val="22"/>
        </w:rPr>
        <w:t xml:space="preserve"> de soumission</w:t>
      </w:r>
      <w:r w:rsidRPr="00A11C75">
        <w:rPr>
          <w:rFonts w:ascii="Arial" w:hAnsi="Arial" w:cs="Arial"/>
          <w:bCs/>
          <w:sz w:val="22"/>
          <w:szCs w:val="22"/>
        </w:rPr>
        <w:t xml:space="preserve"> de</w:t>
      </w:r>
      <w:r w:rsidR="008D6331">
        <w:rPr>
          <w:rFonts w:ascii="Arial" w:hAnsi="Arial" w:cs="Arial"/>
          <w:bCs/>
          <w:sz w:val="22"/>
          <w:szCs w:val="22"/>
        </w:rPr>
        <w:t>s</w:t>
      </w:r>
      <w:r w:rsidRPr="00A11C75">
        <w:rPr>
          <w:rFonts w:ascii="Arial" w:hAnsi="Arial" w:cs="Arial"/>
          <w:bCs/>
          <w:sz w:val="22"/>
          <w:szCs w:val="22"/>
        </w:rPr>
        <w:t xml:space="preserve"> rapports périodiques)</w:t>
      </w:r>
      <w:r w:rsidR="00BF14A0">
        <w:rPr>
          <w:rFonts w:ascii="Arial" w:hAnsi="Arial" w:cs="Arial"/>
          <w:bCs/>
          <w:sz w:val="22"/>
          <w:szCs w:val="22"/>
        </w:rPr>
        <w:t> ;</w:t>
      </w:r>
    </w:p>
    <w:p w:rsidR="00E31FBB" w:rsidRPr="0082182F" w:rsidRDefault="00E31FBB" w:rsidP="00127024">
      <w:pPr>
        <w:pStyle w:val="ListParagraph"/>
        <w:numPr>
          <w:ilvl w:val="0"/>
          <w:numId w:val="8"/>
        </w:numPr>
        <w:spacing w:before="120" w:after="120"/>
        <w:ind w:left="993" w:hanging="426"/>
        <w:contextualSpacing w:val="0"/>
        <w:rPr>
          <w:rFonts w:ascii="Arial" w:hAnsi="Arial" w:cs="Arial"/>
          <w:bCs/>
          <w:sz w:val="22"/>
          <w:szCs w:val="22"/>
        </w:rPr>
      </w:pPr>
      <w:r w:rsidRPr="00A11C75">
        <w:rPr>
          <w:rFonts w:ascii="Arial" w:hAnsi="Arial" w:cs="Arial"/>
          <w:bCs/>
          <w:sz w:val="22"/>
          <w:szCs w:val="22"/>
        </w:rPr>
        <w:t>Partage d</w:t>
      </w:r>
      <w:r w:rsidR="001A7965">
        <w:rPr>
          <w:rFonts w:ascii="Arial" w:hAnsi="Arial" w:cs="Arial"/>
          <w:bCs/>
          <w:sz w:val="22"/>
          <w:szCs w:val="22"/>
        </w:rPr>
        <w:t>’</w:t>
      </w:r>
      <w:r w:rsidRPr="00A11C75">
        <w:rPr>
          <w:rFonts w:ascii="Arial" w:hAnsi="Arial" w:cs="Arial"/>
          <w:bCs/>
          <w:sz w:val="22"/>
          <w:szCs w:val="22"/>
        </w:rPr>
        <w:t>expérience</w:t>
      </w:r>
      <w:r w:rsidR="001A7965">
        <w:rPr>
          <w:rFonts w:ascii="Arial" w:hAnsi="Arial" w:cs="Arial"/>
          <w:bCs/>
          <w:sz w:val="22"/>
          <w:szCs w:val="22"/>
        </w:rPr>
        <w:t>s</w:t>
      </w:r>
      <w:r w:rsidRPr="00A11C75">
        <w:rPr>
          <w:rFonts w:ascii="Arial" w:hAnsi="Arial" w:cs="Arial"/>
          <w:bCs/>
          <w:sz w:val="22"/>
          <w:szCs w:val="22"/>
        </w:rPr>
        <w:t xml:space="preserve"> de sauvegarde de façon plus </w:t>
      </w:r>
      <w:r w:rsidR="001A7965">
        <w:rPr>
          <w:rFonts w:ascii="Arial" w:hAnsi="Arial" w:cs="Arial"/>
          <w:bCs/>
          <w:sz w:val="22"/>
          <w:szCs w:val="22"/>
        </w:rPr>
        <w:t>allégée</w:t>
      </w:r>
      <w:r w:rsidRPr="00A11C75">
        <w:rPr>
          <w:rFonts w:ascii="Arial" w:hAnsi="Arial" w:cs="Arial"/>
          <w:bCs/>
          <w:sz w:val="22"/>
          <w:szCs w:val="22"/>
        </w:rPr>
        <w:t xml:space="preserve"> et accessible</w:t>
      </w:r>
      <w:r w:rsidR="00BF14A0">
        <w:rPr>
          <w:rFonts w:ascii="Arial" w:hAnsi="Arial" w:cs="Arial"/>
          <w:bCs/>
          <w:sz w:val="22"/>
          <w:szCs w:val="22"/>
        </w:rPr>
        <w:t> ;</w:t>
      </w:r>
    </w:p>
    <w:p w:rsidR="00E31FBB" w:rsidRPr="0082182F" w:rsidRDefault="00E31FBB" w:rsidP="00BF14A0">
      <w:pPr>
        <w:pStyle w:val="ListParagraph"/>
        <w:numPr>
          <w:ilvl w:val="0"/>
          <w:numId w:val="8"/>
        </w:numPr>
        <w:spacing w:before="120" w:after="120"/>
        <w:ind w:left="993" w:hanging="426"/>
        <w:contextualSpacing w:val="0"/>
        <w:jc w:val="both"/>
        <w:rPr>
          <w:rFonts w:ascii="Arial" w:hAnsi="Arial" w:cs="Arial"/>
          <w:bCs/>
          <w:sz w:val="22"/>
          <w:szCs w:val="22"/>
        </w:rPr>
      </w:pPr>
      <w:r w:rsidRPr="00A11C75">
        <w:rPr>
          <w:rFonts w:ascii="Arial" w:hAnsi="Arial" w:cs="Arial"/>
          <w:bCs/>
          <w:sz w:val="22"/>
          <w:szCs w:val="22"/>
        </w:rPr>
        <w:t xml:space="preserve">Diffusion </w:t>
      </w:r>
      <w:r w:rsidR="001A7965">
        <w:rPr>
          <w:rFonts w:ascii="Arial" w:hAnsi="Arial" w:cs="Arial"/>
          <w:bCs/>
          <w:sz w:val="22"/>
          <w:szCs w:val="22"/>
        </w:rPr>
        <w:t xml:space="preserve">d’informations </w:t>
      </w:r>
      <w:r w:rsidRPr="00A11C75">
        <w:rPr>
          <w:rFonts w:ascii="Arial" w:hAnsi="Arial" w:cs="Arial"/>
          <w:bCs/>
          <w:sz w:val="22"/>
          <w:szCs w:val="22"/>
        </w:rPr>
        <w:t>auprès de la société civile et sensibilisation à la Convention</w:t>
      </w:r>
      <w:r w:rsidR="00BF14A0">
        <w:rPr>
          <w:rFonts w:ascii="Arial" w:hAnsi="Arial" w:cs="Arial"/>
          <w:bCs/>
          <w:sz w:val="22"/>
          <w:szCs w:val="22"/>
        </w:rPr>
        <w:t> ;</w:t>
      </w:r>
    </w:p>
    <w:p w:rsidR="00E31FBB" w:rsidRPr="0082182F" w:rsidRDefault="00E31FBB" w:rsidP="00BF14A0">
      <w:pPr>
        <w:pStyle w:val="ListParagraph"/>
        <w:numPr>
          <w:ilvl w:val="0"/>
          <w:numId w:val="8"/>
        </w:numPr>
        <w:spacing w:before="120" w:after="120"/>
        <w:ind w:left="993" w:hanging="426"/>
        <w:contextualSpacing w:val="0"/>
        <w:jc w:val="both"/>
        <w:rPr>
          <w:bCs/>
        </w:rPr>
      </w:pPr>
      <w:r w:rsidRPr="00A11C75">
        <w:rPr>
          <w:rFonts w:ascii="Arial" w:hAnsi="Arial" w:cs="Arial"/>
          <w:bCs/>
          <w:sz w:val="22"/>
          <w:szCs w:val="22"/>
        </w:rPr>
        <w:t xml:space="preserve">Laboratoire d'idées et de pratiques inspirantes </w:t>
      </w:r>
      <w:r w:rsidR="001A7965">
        <w:rPr>
          <w:rFonts w:ascii="Arial" w:hAnsi="Arial" w:cs="Arial"/>
          <w:bCs/>
          <w:sz w:val="22"/>
          <w:szCs w:val="22"/>
        </w:rPr>
        <w:t>comprenant</w:t>
      </w:r>
      <w:r w:rsidRPr="00A11C75">
        <w:rPr>
          <w:rFonts w:ascii="Arial" w:hAnsi="Arial" w:cs="Arial"/>
          <w:bCs/>
          <w:sz w:val="22"/>
          <w:szCs w:val="22"/>
        </w:rPr>
        <w:t xml:space="preserve"> des recherches sur des questions thématiques</w:t>
      </w:r>
      <w:r w:rsidR="001A7965">
        <w:rPr>
          <w:rFonts w:ascii="Arial" w:hAnsi="Arial" w:cs="Arial"/>
          <w:bCs/>
          <w:sz w:val="22"/>
          <w:szCs w:val="22"/>
        </w:rPr>
        <w:t>,</w:t>
      </w:r>
      <w:r w:rsidRPr="00A11C75">
        <w:rPr>
          <w:rFonts w:ascii="Arial" w:hAnsi="Arial" w:cs="Arial"/>
          <w:bCs/>
          <w:sz w:val="22"/>
          <w:szCs w:val="22"/>
        </w:rPr>
        <w:t xml:space="preserve"> </w:t>
      </w:r>
      <w:r w:rsidR="00D16BA8">
        <w:rPr>
          <w:rFonts w:ascii="Arial" w:hAnsi="Arial" w:cs="Arial"/>
          <w:bCs/>
          <w:sz w:val="22"/>
          <w:szCs w:val="22"/>
        </w:rPr>
        <w:t xml:space="preserve">avec </w:t>
      </w:r>
      <w:r w:rsidRPr="00A11C75">
        <w:rPr>
          <w:rFonts w:ascii="Arial" w:hAnsi="Arial" w:cs="Arial"/>
          <w:bCs/>
          <w:sz w:val="22"/>
          <w:szCs w:val="22"/>
        </w:rPr>
        <w:t>une attention particulière</w:t>
      </w:r>
      <w:r w:rsidR="00D16BA8">
        <w:rPr>
          <w:rFonts w:ascii="Arial" w:hAnsi="Arial" w:cs="Arial"/>
          <w:bCs/>
          <w:sz w:val="22"/>
          <w:szCs w:val="22"/>
        </w:rPr>
        <w:t xml:space="preserve"> accordée</w:t>
      </w:r>
      <w:r w:rsidRPr="00A11C75">
        <w:rPr>
          <w:rFonts w:ascii="Arial" w:hAnsi="Arial" w:cs="Arial"/>
          <w:bCs/>
          <w:sz w:val="22"/>
          <w:szCs w:val="22"/>
        </w:rPr>
        <w:t xml:space="preserve"> à la sauvegarde du patrimoine culturel immatériel et </w:t>
      </w:r>
      <w:r w:rsidR="001A7965">
        <w:rPr>
          <w:rFonts w:ascii="Arial" w:hAnsi="Arial" w:cs="Arial"/>
          <w:bCs/>
          <w:sz w:val="22"/>
          <w:szCs w:val="22"/>
        </w:rPr>
        <w:t xml:space="preserve">aux liens </w:t>
      </w:r>
      <w:r w:rsidRPr="00A11C75">
        <w:rPr>
          <w:rFonts w:ascii="Arial" w:hAnsi="Arial" w:cs="Arial"/>
          <w:bCs/>
          <w:sz w:val="22"/>
          <w:szCs w:val="22"/>
        </w:rPr>
        <w:t>entre le patrimoine culturel immatériel et les autres domaines connexes.</w:t>
      </w:r>
    </w:p>
    <w:p w:rsidR="00E31FBB" w:rsidRPr="0082182F" w:rsidRDefault="00944CE9" w:rsidP="00E31FBB">
      <w:pPr>
        <w:pStyle w:val="COMPara"/>
        <w:numPr>
          <w:ilvl w:val="3"/>
          <w:numId w:val="2"/>
        </w:numPr>
        <w:ind w:left="567" w:hanging="567"/>
        <w:jc w:val="both"/>
        <w:rPr>
          <w:lang w:val="fr-FR"/>
        </w:rPr>
      </w:pPr>
      <w:r>
        <w:rPr>
          <w:bCs/>
          <w:lang w:val="fr-FR"/>
        </w:rPr>
        <w:t>À partir</w:t>
      </w:r>
      <w:r w:rsidR="00E31FBB">
        <w:rPr>
          <w:bCs/>
          <w:lang w:val="fr-FR"/>
        </w:rPr>
        <w:t xml:space="preserve"> de cette</w:t>
      </w:r>
      <w:r w:rsidR="001A7965">
        <w:rPr>
          <w:bCs/>
          <w:lang w:val="fr-FR"/>
        </w:rPr>
        <w:t xml:space="preserve"> </w:t>
      </w:r>
      <w:r w:rsidR="00E31FBB">
        <w:rPr>
          <w:bCs/>
          <w:lang w:val="fr-FR"/>
        </w:rPr>
        <w:t>liste</w:t>
      </w:r>
      <w:r w:rsidR="0040120E">
        <w:rPr>
          <w:bCs/>
          <w:lang w:val="fr-FR"/>
        </w:rPr>
        <w:t xml:space="preserve"> initiale</w:t>
      </w:r>
      <w:r w:rsidR="00E31FBB">
        <w:rPr>
          <w:bCs/>
          <w:lang w:val="fr-FR"/>
        </w:rPr>
        <w:t xml:space="preserve">, </w:t>
      </w:r>
      <w:r w:rsidR="001A7965">
        <w:rPr>
          <w:bCs/>
          <w:lang w:val="fr-FR"/>
        </w:rPr>
        <w:t>il est possible de distinguer clairement</w:t>
      </w:r>
      <w:r w:rsidR="00E31FBB">
        <w:rPr>
          <w:bCs/>
          <w:lang w:val="fr-FR"/>
        </w:rPr>
        <w:t xml:space="preserve"> les fonctions que les ONG accréditées peuvent </w:t>
      </w:r>
      <w:r w:rsidR="001A7965">
        <w:rPr>
          <w:bCs/>
          <w:lang w:val="fr-FR"/>
        </w:rPr>
        <w:t>remplir</w:t>
      </w:r>
      <w:r w:rsidR="00E31FBB">
        <w:rPr>
          <w:bCs/>
          <w:lang w:val="fr-FR"/>
        </w:rPr>
        <w:t xml:space="preserve"> directement </w:t>
      </w:r>
      <w:r w:rsidR="001A7965">
        <w:rPr>
          <w:bCs/>
          <w:lang w:val="fr-FR"/>
        </w:rPr>
        <w:t>pour le</w:t>
      </w:r>
      <w:r w:rsidR="00E31FBB">
        <w:rPr>
          <w:bCs/>
          <w:lang w:val="fr-FR"/>
        </w:rPr>
        <w:t xml:space="preserve"> Comité et celles qu'elles peuvent </w:t>
      </w:r>
      <w:r w:rsidR="001A7965">
        <w:rPr>
          <w:bCs/>
          <w:lang w:val="fr-FR"/>
        </w:rPr>
        <w:t>exécuter</w:t>
      </w:r>
      <w:r w:rsidR="00E31FBB">
        <w:rPr>
          <w:bCs/>
          <w:lang w:val="fr-FR"/>
        </w:rPr>
        <w:t xml:space="preserve"> par l'intermédiaire des États ou directement avec les communautés. Cette dichotomie met en </w:t>
      </w:r>
      <w:r w:rsidR="00E31FBB">
        <w:rPr>
          <w:bCs/>
          <w:lang w:val="fr-FR"/>
        </w:rPr>
        <w:lastRenderedPageBreak/>
        <w:t xml:space="preserve">évidence la nécessité pour les organes directeurs de la Convention de clarifier </w:t>
      </w:r>
      <w:r>
        <w:rPr>
          <w:bCs/>
          <w:lang w:val="fr-FR"/>
        </w:rPr>
        <w:t xml:space="preserve">ce qu’ils attendent du </w:t>
      </w:r>
      <w:r w:rsidR="00E31FBB">
        <w:rPr>
          <w:bCs/>
          <w:lang w:val="fr-FR"/>
        </w:rPr>
        <w:t>système d'accréditation, tel que défini dans l'article 9 de la Convention.</w:t>
      </w:r>
    </w:p>
    <w:p w:rsidR="00E31FBB" w:rsidRPr="0082182F" w:rsidRDefault="00E31FBB" w:rsidP="00E31FBB">
      <w:pPr>
        <w:pStyle w:val="COMPara"/>
        <w:numPr>
          <w:ilvl w:val="3"/>
          <w:numId w:val="2"/>
        </w:numPr>
        <w:ind w:left="567" w:hanging="567"/>
        <w:jc w:val="both"/>
        <w:rPr>
          <w:lang w:val="fr-FR"/>
        </w:rPr>
      </w:pPr>
      <w:r w:rsidRPr="006C7FAC">
        <w:rPr>
          <w:b/>
          <w:lang w:val="fr-FR"/>
        </w:rPr>
        <w:t xml:space="preserve">Processus et critères </w:t>
      </w:r>
      <w:r w:rsidR="00944CE9">
        <w:rPr>
          <w:b/>
          <w:lang w:val="fr-FR"/>
        </w:rPr>
        <w:t>utilisés</w:t>
      </w:r>
      <w:r w:rsidRPr="006C7FAC">
        <w:rPr>
          <w:b/>
          <w:lang w:val="fr-FR"/>
        </w:rPr>
        <w:t xml:space="preserve"> pour l'accréditation et </w:t>
      </w:r>
      <w:r w:rsidR="00944CE9">
        <w:rPr>
          <w:b/>
          <w:lang w:val="fr-FR"/>
        </w:rPr>
        <w:t>le réexamen</w:t>
      </w:r>
      <w:r w:rsidRPr="006C7FAC">
        <w:rPr>
          <w:b/>
          <w:lang w:val="fr-FR"/>
        </w:rPr>
        <w:t xml:space="preserve"> de l'accréditation</w:t>
      </w:r>
      <w:r>
        <w:rPr>
          <w:lang w:val="fr-FR"/>
        </w:rPr>
        <w:t xml:space="preserve">. Les États parties et les ONG accréditées ont largement reconnu que la contribution et l'implication des ONG accréditées (paragraphe 94 des Directives opérationnelles) doivent être évaluées selon les mêmes critères que ceux </w:t>
      </w:r>
      <w:r w:rsidR="00944CE9">
        <w:rPr>
          <w:lang w:val="fr-FR"/>
        </w:rPr>
        <w:t>appliqués</w:t>
      </w:r>
      <w:r>
        <w:rPr>
          <w:lang w:val="fr-FR"/>
        </w:rPr>
        <w:t xml:space="preserve"> pour accréditer les ONG en premier lieu (paragraphe 91 des Directives opérationnelles). Ce</w:t>
      </w:r>
      <w:r w:rsidR="00944CE9">
        <w:rPr>
          <w:lang w:val="fr-FR"/>
        </w:rPr>
        <w:t>la</w:t>
      </w:r>
      <w:r>
        <w:rPr>
          <w:lang w:val="fr-FR"/>
        </w:rPr>
        <w:t xml:space="preserve"> n'est pas le cas pour le moment : les demandes d'accréditation sont évaluées en fonction du statut administratif et légal de l'organisation, ainsi que de la description de leurs activités, tandis que les renouvellements </w:t>
      </w:r>
      <w:r w:rsidR="00944CE9">
        <w:rPr>
          <w:lang w:val="fr-FR"/>
        </w:rPr>
        <w:t>sont conditionnés à</w:t>
      </w:r>
      <w:r>
        <w:rPr>
          <w:lang w:val="fr-FR"/>
        </w:rPr>
        <w:t xml:space="preserve"> la contribution des ONG aux activités statutaires du Comité et aux activités </w:t>
      </w:r>
      <w:r w:rsidR="00944CE9">
        <w:rPr>
          <w:lang w:val="fr-FR"/>
        </w:rPr>
        <w:t>exercées</w:t>
      </w:r>
      <w:r>
        <w:rPr>
          <w:lang w:val="fr-FR"/>
        </w:rPr>
        <w:t xml:space="preserve"> au</w:t>
      </w:r>
      <w:r w:rsidR="00944CE9">
        <w:rPr>
          <w:lang w:val="fr-FR"/>
        </w:rPr>
        <w:t>x</w:t>
      </w:r>
      <w:r>
        <w:rPr>
          <w:lang w:val="fr-FR"/>
        </w:rPr>
        <w:t xml:space="preserve"> niveau</w:t>
      </w:r>
      <w:r w:rsidR="00944CE9">
        <w:rPr>
          <w:lang w:val="fr-FR"/>
        </w:rPr>
        <w:t>x</w:t>
      </w:r>
      <w:r>
        <w:rPr>
          <w:lang w:val="fr-FR"/>
        </w:rPr>
        <w:t xml:space="preserve"> bilatéral, </w:t>
      </w:r>
      <w:proofErr w:type="spellStart"/>
      <w:r>
        <w:rPr>
          <w:lang w:val="fr-FR"/>
        </w:rPr>
        <w:t>sous-régional</w:t>
      </w:r>
      <w:proofErr w:type="spellEnd"/>
      <w:r>
        <w:rPr>
          <w:lang w:val="fr-FR"/>
        </w:rPr>
        <w:t>, régional ou international.</w:t>
      </w:r>
    </w:p>
    <w:p w:rsidR="00E31FBB" w:rsidRPr="0082182F" w:rsidRDefault="00FE64E3" w:rsidP="00E31FBB">
      <w:pPr>
        <w:pStyle w:val="COMPara"/>
        <w:numPr>
          <w:ilvl w:val="3"/>
          <w:numId w:val="2"/>
        </w:numPr>
        <w:ind w:left="567" w:hanging="567"/>
        <w:jc w:val="both"/>
        <w:rPr>
          <w:bCs/>
          <w:lang w:val="fr-FR"/>
        </w:rPr>
      </w:pPr>
      <w:r>
        <w:rPr>
          <w:b/>
          <w:bCs/>
          <w:lang w:val="fr-FR"/>
        </w:rPr>
        <w:t>Observations</w:t>
      </w:r>
      <w:r w:rsidR="00E31FBB">
        <w:rPr>
          <w:b/>
          <w:bCs/>
          <w:lang w:val="fr-FR"/>
        </w:rPr>
        <w:t xml:space="preserve"> </w:t>
      </w:r>
      <w:r w:rsidR="00944CE9">
        <w:rPr>
          <w:b/>
          <w:bCs/>
          <w:lang w:val="fr-FR"/>
        </w:rPr>
        <w:t>sur</w:t>
      </w:r>
      <w:r w:rsidR="00E31FBB">
        <w:rPr>
          <w:b/>
          <w:bCs/>
          <w:lang w:val="fr-FR"/>
        </w:rPr>
        <w:t xml:space="preserve"> la </w:t>
      </w:r>
      <w:r w:rsidR="00944CE9">
        <w:rPr>
          <w:b/>
          <w:bCs/>
          <w:lang w:val="fr-FR"/>
        </w:rPr>
        <w:t>mise en place</w:t>
      </w:r>
      <w:r w:rsidR="00E31FBB">
        <w:rPr>
          <w:b/>
          <w:bCs/>
          <w:lang w:val="fr-FR"/>
        </w:rPr>
        <w:t xml:space="preserve"> potentielle d'une </w:t>
      </w:r>
      <w:r w:rsidR="00944CE9">
        <w:rPr>
          <w:b/>
          <w:bCs/>
          <w:lang w:val="fr-FR"/>
        </w:rPr>
        <w:t>« </w:t>
      </w:r>
      <w:r w:rsidR="00E31FBB">
        <w:rPr>
          <w:b/>
          <w:bCs/>
          <w:lang w:val="fr-FR"/>
        </w:rPr>
        <w:t>organisation</w:t>
      </w:r>
      <w:r w:rsidR="00944CE9">
        <w:rPr>
          <w:b/>
          <w:bCs/>
          <w:lang w:val="fr-FR"/>
        </w:rPr>
        <w:t xml:space="preserve"> </w:t>
      </w:r>
      <w:r w:rsidR="00E31FBB">
        <w:rPr>
          <w:b/>
          <w:bCs/>
          <w:lang w:val="fr-FR"/>
        </w:rPr>
        <w:t>cadre</w:t>
      </w:r>
      <w:r w:rsidR="00944CE9">
        <w:rPr>
          <w:b/>
          <w:bCs/>
          <w:lang w:val="fr-FR"/>
        </w:rPr>
        <w:t> ».</w:t>
      </w:r>
      <w:r w:rsidR="00E31FBB">
        <w:rPr>
          <w:bCs/>
          <w:lang w:val="fr-FR"/>
        </w:rPr>
        <w:t xml:space="preserve"> </w:t>
      </w:r>
      <w:r w:rsidR="00944CE9">
        <w:rPr>
          <w:bCs/>
          <w:lang w:val="fr-FR"/>
        </w:rPr>
        <w:t xml:space="preserve">Un autre aspect a été abordé au cours du </w:t>
      </w:r>
      <w:r w:rsidR="00E31FBB">
        <w:rPr>
          <w:bCs/>
          <w:lang w:val="fr-FR"/>
        </w:rPr>
        <w:t xml:space="preserve">processus de réflexion, à savoir la </w:t>
      </w:r>
      <w:r w:rsidR="00944CE9">
        <w:rPr>
          <w:bCs/>
          <w:lang w:val="fr-FR"/>
        </w:rPr>
        <w:t>mise en place</w:t>
      </w:r>
      <w:r w:rsidR="00E31FBB">
        <w:rPr>
          <w:bCs/>
          <w:lang w:val="fr-FR"/>
        </w:rPr>
        <w:t xml:space="preserve"> potentielle d'une organisation</w:t>
      </w:r>
      <w:r w:rsidR="00944CE9">
        <w:rPr>
          <w:bCs/>
          <w:lang w:val="fr-FR"/>
        </w:rPr>
        <w:t xml:space="preserve"> </w:t>
      </w:r>
      <w:r w:rsidR="00E31FBB">
        <w:rPr>
          <w:bCs/>
          <w:lang w:val="fr-FR"/>
        </w:rPr>
        <w:t xml:space="preserve">cadre, qui </w:t>
      </w:r>
      <w:r w:rsidR="0031455D">
        <w:rPr>
          <w:bCs/>
          <w:lang w:val="fr-FR"/>
        </w:rPr>
        <w:t xml:space="preserve">superviserait le </w:t>
      </w:r>
      <w:r w:rsidR="00E31FBB">
        <w:rPr>
          <w:bCs/>
          <w:lang w:val="fr-FR"/>
        </w:rPr>
        <w:t>système d'accréditation et coordonner</w:t>
      </w:r>
      <w:r w:rsidR="0031455D">
        <w:rPr>
          <w:bCs/>
          <w:lang w:val="fr-FR"/>
        </w:rPr>
        <w:t>ait</w:t>
      </w:r>
      <w:r w:rsidR="00E31FBB">
        <w:rPr>
          <w:bCs/>
          <w:lang w:val="fr-FR"/>
        </w:rPr>
        <w:t xml:space="preserve"> l</w:t>
      </w:r>
      <w:r w:rsidR="0031455D">
        <w:rPr>
          <w:bCs/>
          <w:lang w:val="fr-FR"/>
        </w:rPr>
        <w:t>’assistance consultative fournie par l</w:t>
      </w:r>
      <w:r w:rsidR="00E31FBB">
        <w:rPr>
          <w:bCs/>
          <w:lang w:val="fr-FR"/>
        </w:rPr>
        <w:t xml:space="preserve">es ONG aux organes directeurs. Cette possibilité a initialement été discutée en 2006 et 2007, </w:t>
      </w:r>
      <w:r w:rsidR="0031455D">
        <w:rPr>
          <w:bCs/>
          <w:lang w:val="fr-FR"/>
        </w:rPr>
        <w:t>mais</w:t>
      </w:r>
      <w:r w:rsidR="00E31FBB">
        <w:rPr>
          <w:bCs/>
          <w:lang w:val="fr-FR"/>
        </w:rPr>
        <w:t xml:space="preserve"> le Comité a</w:t>
      </w:r>
      <w:r w:rsidR="0031455D">
        <w:rPr>
          <w:bCs/>
          <w:lang w:val="fr-FR"/>
        </w:rPr>
        <w:t>vait alors</w:t>
      </w:r>
      <w:r w:rsidR="00E31FBB">
        <w:rPr>
          <w:bCs/>
          <w:lang w:val="fr-FR"/>
        </w:rPr>
        <w:t xml:space="preserve"> conclu que la </w:t>
      </w:r>
      <w:r w:rsidR="0031455D">
        <w:rPr>
          <w:bCs/>
          <w:lang w:val="fr-FR"/>
        </w:rPr>
        <w:t>mise en place</w:t>
      </w:r>
      <w:r w:rsidR="00E31FBB">
        <w:rPr>
          <w:bCs/>
          <w:lang w:val="fr-FR"/>
        </w:rPr>
        <w:t xml:space="preserve"> d'une </w:t>
      </w:r>
      <w:r w:rsidR="0031455D">
        <w:rPr>
          <w:bCs/>
          <w:lang w:val="fr-FR"/>
        </w:rPr>
        <w:t>« </w:t>
      </w:r>
      <w:r w:rsidR="00E31FBB">
        <w:rPr>
          <w:bCs/>
          <w:lang w:val="fr-FR"/>
        </w:rPr>
        <w:t>organisation</w:t>
      </w:r>
      <w:r w:rsidR="0031455D">
        <w:rPr>
          <w:bCs/>
          <w:lang w:val="fr-FR"/>
        </w:rPr>
        <w:t xml:space="preserve"> </w:t>
      </w:r>
      <w:r w:rsidR="00E31FBB">
        <w:rPr>
          <w:bCs/>
          <w:lang w:val="fr-FR"/>
        </w:rPr>
        <w:t>cadre</w:t>
      </w:r>
      <w:r w:rsidR="0031455D">
        <w:rPr>
          <w:bCs/>
          <w:lang w:val="fr-FR"/>
        </w:rPr>
        <w:t> »</w:t>
      </w:r>
      <w:r w:rsidR="00E31FBB">
        <w:rPr>
          <w:bCs/>
          <w:lang w:val="fr-FR"/>
        </w:rPr>
        <w:t xml:space="preserve"> </w:t>
      </w:r>
      <w:r w:rsidR="0031455D">
        <w:rPr>
          <w:bCs/>
          <w:lang w:val="fr-FR"/>
        </w:rPr>
        <w:t xml:space="preserve">entraverait </w:t>
      </w:r>
      <w:r w:rsidR="00E31FBB">
        <w:rPr>
          <w:bCs/>
          <w:lang w:val="fr-FR"/>
        </w:rPr>
        <w:t>l</w:t>
      </w:r>
      <w:r w:rsidR="0031455D">
        <w:rPr>
          <w:bCs/>
          <w:lang w:val="fr-FR"/>
        </w:rPr>
        <w:t>’indispensable</w:t>
      </w:r>
      <w:r w:rsidR="00E31FBB">
        <w:rPr>
          <w:bCs/>
          <w:lang w:val="fr-FR"/>
        </w:rPr>
        <w:t xml:space="preserve"> pluralité d</w:t>
      </w:r>
      <w:r w:rsidR="0031455D">
        <w:rPr>
          <w:bCs/>
          <w:lang w:val="fr-FR"/>
        </w:rPr>
        <w:t xml:space="preserve">es </w:t>
      </w:r>
      <w:r w:rsidR="00E31FBB">
        <w:rPr>
          <w:bCs/>
          <w:lang w:val="fr-FR"/>
        </w:rPr>
        <w:t>expertise</w:t>
      </w:r>
      <w:r w:rsidR="0031455D">
        <w:rPr>
          <w:bCs/>
          <w:lang w:val="fr-FR"/>
        </w:rPr>
        <w:t>s</w:t>
      </w:r>
      <w:r w:rsidR="00E31FBB">
        <w:rPr>
          <w:bCs/>
          <w:lang w:val="fr-FR"/>
        </w:rPr>
        <w:t xml:space="preserve">, risquerait de limiter le nombre d'ONG auxquelles le Comité pourrait faire appel et pourrait encourager le recours systématique à des ONG connues sans prêter suffisamment d'attention à la diversité géographique. Douze ans plus tard, bien que le rôle du Forum des ONG-PCI ait été mis en valeur tout au long du processus de réflexion, les États et les ONG accréditées craignent que la </w:t>
      </w:r>
      <w:r w:rsidR="0031455D">
        <w:rPr>
          <w:bCs/>
          <w:lang w:val="fr-FR"/>
        </w:rPr>
        <w:t xml:space="preserve">mise en place </w:t>
      </w:r>
      <w:r w:rsidR="00E31FBB">
        <w:rPr>
          <w:bCs/>
          <w:lang w:val="fr-FR"/>
        </w:rPr>
        <w:t xml:space="preserve">d'une </w:t>
      </w:r>
      <w:r w:rsidR="0031455D">
        <w:rPr>
          <w:bCs/>
          <w:lang w:val="fr-FR"/>
        </w:rPr>
        <w:t>« </w:t>
      </w:r>
      <w:r w:rsidR="00E31FBB">
        <w:rPr>
          <w:bCs/>
          <w:lang w:val="fr-FR"/>
        </w:rPr>
        <w:t>organisation</w:t>
      </w:r>
      <w:r w:rsidR="00D16BA8">
        <w:rPr>
          <w:bCs/>
          <w:lang w:val="fr-FR"/>
        </w:rPr>
        <w:t xml:space="preserve"> </w:t>
      </w:r>
      <w:r w:rsidR="00E31FBB">
        <w:rPr>
          <w:bCs/>
          <w:lang w:val="fr-FR"/>
        </w:rPr>
        <w:t>cadre</w:t>
      </w:r>
      <w:r w:rsidR="0031455D">
        <w:rPr>
          <w:bCs/>
          <w:lang w:val="fr-FR"/>
        </w:rPr>
        <w:t> »</w:t>
      </w:r>
      <w:r w:rsidR="00E31FBB">
        <w:rPr>
          <w:bCs/>
          <w:lang w:val="fr-FR"/>
        </w:rPr>
        <w:t xml:space="preserve"> </w:t>
      </w:r>
      <w:r w:rsidR="0031455D" w:rsidRPr="00576C4E">
        <w:rPr>
          <w:bCs/>
          <w:lang w:val="fr-FR"/>
        </w:rPr>
        <w:t>n</w:t>
      </w:r>
      <w:r w:rsidR="00D16BA8" w:rsidRPr="00435284">
        <w:rPr>
          <w:bCs/>
          <w:lang w:val="fr-FR"/>
        </w:rPr>
        <w:t>’e</w:t>
      </w:r>
      <w:r w:rsidR="00D16BA8" w:rsidRPr="00D217CD">
        <w:rPr>
          <w:bCs/>
          <w:lang w:val="fr-FR"/>
        </w:rPr>
        <w:t>ntraîne</w:t>
      </w:r>
      <w:r w:rsidR="0031455D" w:rsidRPr="00D217CD">
        <w:rPr>
          <w:bCs/>
          <w:lang w:val="fr-FR"/>
        </w:rPr>
        <w:t xml:space="preserve"> </w:t>
      </w:r>
      <w:r w:rsidR="00E31FBB" w:rsidRPr="005D336B">
        <w:rPr>
          <w:bCs/>
          <w:lang w:val="fr-FR"/>
        </w:rPr>
        <w:t>de</w:t>
      </w:r>
      <w:r w:rsidR="00B41AA5">
        <w:rPr>
          <w:bCs/>
          <w:lang w:val="fr-FR"/>
        </w:rPr>
        <w:t>s</w:t>
      </w:r>
      <w:r w:rsidR="00E31FBB" w:rsidRPr="004F51D4">
        <w:rPr>
          <w:bCs/>
          <w:lang w:val="fr-FR"/>
        </w:rPr>
        <w:t xml:space="preserve"> complications </w:t>
      </w:r>
      <w:r w:rsidR="0031455D" w:rsidRPr="00576C4E">
        <w:rPr>
          <w:bCs/>
          <w:lang w:val="fr-FR"/>
        </w:rPr>
        <w:t>inutiles</w:t>
      </w:r>
      <w:r w:rsidR="00E31FBB" w:rsidRPr="00576C4E">
        <w:rPr>
          <w:bCs/>
          <w:lang w:val="fr-FR"/>
        </w:rPr>
        <w:t xml:space="preserve"> dans la procédure d'accréditation et </w:t>
      </w:r>
      <w:r w:rsidR="007F6E6C" w:rsidRPr="00576C4E">
        <w:rPr>
          <w:bCs/>
          <w:lang w:val="fr-FR"/>
        </w:rPr>
        <w:t>n’</w:t>
      </w:r>
      <w:r w:rsidR="00E31FBB" w:rsidRPr="00576C4E">
        <w:rPr>
          <w:bCs/>
          <w:lang w:val="fr-FR"/>
        </w:rPr>
        <w:t xml:space="preserve">ait un </w:t>
      </w:r>
      <w:r w:rsidR="0031455D" w:rsidRPr="00576C4E">
        <w:rPr>
          <w:bCs/>
          <w:lang w:val="fr-FR"/>
        </w:rPr>
        <w:t>impact</w:t>
      </w:r>
      <w:r w:rsidR="00E31FBB" w:rsidRPr="00576C4E">
        <w:rPr>
          <w:bCs/>
          <w:lang w:val="fr-FR"/>
        </w:rPr>
        <w:t xml:space="preserve"> négatif sur la diversité des ONG accréditées. Les États parties et les ONG accréditées qui ont participé</w:t>
      </w:r>
      <w:r w:rsidR="00E31FBB" w:rsidRPr="00704948">
        <w:rPr>
          <w:bCs/>
          <w:lang w:val="fr-FR"/>
        </w:rPr>
        <w:t xml:space="preserve"> à la réflexion sembl</w:t>
      </w:r>
      <w:r w:rsidR="00704948">
        <w:rPr>
          <w:bCs/>
          <w:lang w:val="fr-FR"/>
        </w:rPr>
        <w:t>aient</w:t>
      </w:r>
      <w:r w:rsidR="00E31FBB" w:rsidRPr="00704948">
        <w:rPr>
          <w:bCs/>
          <w:lang w:val="fr-FR"/>
        </w:rPr>
        <w:t xml:space="preserve"> plus </w:t>
      </w:r>
      <w:r w:rsidR="00D16BA8" w:rsidRPr="00704948">
        <w:rPr>
          <w:bCs/>
          <w:lang w:val="fr-FR"/>
        </w:rPr>
        <w:t xml:space="preserve">favorables à une amélioration du </w:t>
      </w:r>
      <w:r w:rsidR="00E31FBB" w:rsidRPr="00704948">
        <w:rPr>
          <w:bCs/>
          <w:lang w:val="fr-FR"/>
        </w:rPr>
        <w:t xml:space="preserve">système d'accréditation actuel ou, à titre subsidiaire, </w:t>
      </w:r>
      <w:r w:rsidR="005C53EB" w:rsidRPr="00704948">
        <w:rPr>
          <w:bCs/>
          <w:lang w:val="fr-FR"/>
        </w:rPr>
        <w:t>à</w:t>
      </w:r>
      <w:r w:rsidR="00776918" w:rsidRPr="009E1548">
        <w:rPr>
          <w:bCs/>
          <w:lang w:val="fr-FR"/>
        </w:rPr>
        <w:t xml:space="preserve"> la mise en place</w:t>
      </w:r>
      <w:r w:rsidRPr="002A18E6">
        <w:rPr>
          <w:bCs/>
          <w:lang w:val="fr-FR"/>
        </w:rPr>
        <w:t xml:space="preserve"> </w:t>
      </w:r>
      <w:r w:rsidR="00E31FBB" w:rsidRPr="002A18E6">
        <w:rPr>
          <w:bCs/>
          <w:lang w:val="fr-FR"/>
        </w:rPr>
        <w:t xml:space="preserve">d'un système hybride dans lequel l'accréditation </w:t>
      </w:r>
      <w:r w:rsidR="00D16BA8" w:rsidRPr="002A18E6">
        <w:rPr>
          <w:bCs/>
          <w:lang w:val="fr-FR"/>
        </w:rPr>
        <w:t xml:space="preserve">pour </w:t>
      </w:r>
      <w:r w:rsidR="00E31FBB" w:rsidRPr="002A18E6">
        <w:rPr>
          <w:bCs/>
          <w:lang w:val="fr-FR"/>
        </w:rPr>
        <w:t>exercer des</w:t>
      </w:r>
      <w:r w:rsidR="00E31FBB">
        <w:rPr>
          <w:bCs/>
          <w:lang w:val="fr-FR"/>
        </w:rPr>
        <w:t xml:space="preserve"> fonctions consultatives serait améliorée et renforcée et </w:t>
      </w:r>
      <w:r w:rsidR="00BD34FB" w:rsidRPr="006C6BA0">
        <w:rPr>
          <w:bCs/>
          <w:lang w:val="fr-FR"/>
        </w:rPr>
        <w:t>où</w:t>
      </w:r>
      <w:r w:rsidR="00BD34FB">
        <w:rPr>
          <w:bCs/>
          <w:lang w:val="fr-FR"/>
        </w:rPr>
        <w:t xml:space="preserve"> </w:t>
      </w:r>
      <w:r w:rsidR="00E31FBB">
        <w:rPr>
          <w:bCs/>
          <w:lang w:val="fr-FR"/>
        </w:rPr>
        <w:t>l'organisation</w:t>
      </w:r>
      <w:r w:rsidR="00D16BA8">
        <w:rPr>
          <w:bCs/>
          <w:lang w:val="fr-FR"/>
        </w:rPr>
        <w:t xml:space="preserve"> </w:t>
      </w:r>
      <w:r w:rsidR="00E31FBB">
        <w:rPr>
          <w:bCs/>
          <w:lang w:val="fr-FR"/>
        </w:rPr>
        <w:t>cadre pourrait jouer un rôle.</w:t>
      </w:r>
    </w:p>
    <w:p w:rsidR="00E31FBB" w:rsidRPr="0082182F" w:rsidRDefault="00FE64E3" w:rsidP="00E31FBB">
      <w:pPr>
        <w:pStyle w:val="COMPara"/>
        <w:numPr>
          <w:ilvl w:val="3"/>
          <w:numId w:val="2"/>
        </w:numPr>
        <w:ind w:left="567" w:hanging="567"/>
        <w:jc w:val="both"/>
        <w:rPr>
          <w:bCs/>
          <w:lang w:val="fr-FR"/>
        </w:rPr>
      </w:pPr>
      <w:r>
        <w:rPr>
          <w:b/>
          <w:lang w:val="fr-FR"/>
        </w:rPr>
        <w:t>Répartition</w:t>
      </w:r>
      <w:r w:rsidR="00E31FBB" w:rsidRPr="00074595">
        <w:rPr>
          <w:b/>
          <w:lang w:val="fr-FR"/>
        </w:rPr>
        <w:t xml:space="preserve"> géographique des ONG accréditées</w:t>
      </w:r>
      <w:r w:rsidR="00E31FBB" w:rsidRPr="00074595">
        <w:rPr>
          <w:bCs/>
          <w:lang w:val="fr-FR"/>
        </w:rPr>
        <w:t>.</w:t>
      </w:r>
      <w:r>
        <w:rPr>
          <w:bCs/>
          <w:lang w:val="fr-FR"/>
        </w:rPr>
        <w:t xml:space="preserve"> Dès le début </w:t>
      </w:r>
      <w:r w:rsidR="00E31FBB" w:rsidRPr="00074595">
        <w:rPr>
          <w:bCs/>
          <w:lang w:val="fr-FR"/>
        </w:rPr>
        <w:t xml:space="preserve">du processus de réflexion en 2017, le déséquilibre de la </w:t>
      </w:r>
      <w:r>
        <w:rPr>
          <w:bCs/>
          <w:lang w:val="fr-FR"/>
        </w:rPr>
        <w:t>répartition</w:t>
      </w:r>
      <w:r w:rsidR="00E31FBB" w:rsidRPr="00074595">
        <w:rPr>
          <w:bCs/>
          <w:lang w:val="fr-FR"/>
        </w:rPr>
        <w:t xml:space="preserve"> géographique des ONG accréditées</w:t>
      </w:r>
      <w:r>
        <w:rPr>
          <w:bCs/>
          <w:lang w:val="fr-FR"/>
        </w:rPr>
        <w:t xml:space="preserve"> avait été identifié</w:t>
      </w:r>
      <w:r w:rsidR="00E31FBB" w:rsidRPr="00074595">
        <w:rPr>
          <w:bCs/>
          <w:lang w:val="fr-FR"/>
        </w:rPr>
        <w:t xml:space="preserve"> comme l'un des </w:t>
      </w:r>
      <w:r>
        <w:rPr>
          <w:bCs/>
          <w:lang w:val="fr-FR"/>
        </w:rPr>
        <w:t xml:space="preserve">problèmes majeurs par </w:t>
      </w:r>
      <w:r w:rsidRPr="00074595">
        <w:rPr>
          <w:bCs/>
          <w:lang w:val="fr-FR"/>
        </w:rPr>
        <w:t>l'Assemblée générale, le Comité et le Secrétariat</w:t>
      </w:r>
      <w:r w:rsidR="00E31FBB" w:rsidRPr="00074595">
        <w:rPr>
          <w:bCs/>
          <w:lang w:val="fr-FR"/>
        </w:rPr>
        <w:t xml:space="preserve">. </w:t>
      </w:r>
      <w:r>
        <w:rPr>
          <w:bCs/>
          <w:lang w:val="fr-FR"/>
        </w:rPr>
        <w:t xml:space="preserve">Ce point </w:t>
      </w:r>
      <w:r w:rsidR="00E31FBB" w:rsidRPr="00074595">
        <w:rPr>
          <w:bCs/>
          <w:lang w:val="fr-FR"/>
        </w:rPr>
        <w:t xml:space="preserve">a été </w:t>
      </w:r>
      <w:r>
        <w:rPr>
          <w:bCs/>
          <w:lang w:val="fr-FR"/>
        </w:rPr>
        <w:t xml:space="preserve">relevé </w:t>
      </w:r>
      <w:r w:rsidR="00E31FBB" w:rsidRPr="00074595">
        <w:rPr>
          <w:bCs/>
          <w:lang w:val="fr-FR"/>
        </w:rPr>
        <w:t xml:space="preserve">dans </w:t>
      </w:r>
      <w:r w:rsidR="00D16BA8" w:rsidRPr="00070B4D">
        <w:rPr>
          <w:bCs/>
          <w:lang w:val="fr-FR"/>
        </w:rPr>
        <w:t xml:space="preserve">un grand nombre de </w:t>
      </w:r>
      <w:r w:rsidR="00E31FBB" w:rsidRPr="00070B4D">
        <w:rPr>
          <w:bCs/>
          <w:lang w:val="fr-FR"/>
        </w:rPr>
        <w:t>documents</w:t>
      </w:r>
      <w:r w:rsidR="00E31FBB" w:rsidRPr="00074595">
        <w:rPr>
          <w:bCs/>
          <w:lang w:val="fr-FR"/>
        </w:rPr>
        <w:t xml:space="preserve"> de travail élaborés par les organes directeurs (par exemple,</w:t>
      </w:r>
      <w:r>
        <w:rPr>
          <w:bCs/>
          <w:lang w:val="fr-FR"/>
        </w:rPr>
        <w:t xml:space="preserve"> le</w:t>
      </w:r>
      <w:r w:rsidR="00E31FBB" w:rsidRPr="00074595">
        <w:rPr>
          <w:bCs/>
          <w:lang w:val="fr-FR"/>
        </w:rPr>
        <w:t xml:space="preserve"> </w:t>
      </w:r>
      <w:hyperlink r:id="rId17" w:history="1">
        <w:r w:rsidR="00E31FBB">
          <w:rPr>
            <w:rStyle w:val="Hyperlink"/>
            <w:lang w:val="fr-FR"/>
          </w:rPr>
          <w:t>document ITH/18/7.GA/11</w:t>
        </w:r>
      </w:hyperlink>
      <w:r w:rsidR="00E31FBB" w:rsidRPr="00074595">
        <w:rPr>
          <w:bCs/>
          <w:lang w:val="fr-FR"/>
        </w:rPr>
        <w:t>). Seul</w:t>
      </w:r>
      <w:r>
        <w:rPr>
          <w:bCs/>
          <w:lang w:val="fr-FR"/>
        </w:rPr>
        <w:t>s</w:t>
      </w:r>
      <w:r w:rsidR="00E31FBB" w:rsidRPr="00074595">
        <w:rPr>
          <w:bCs/>
          <w:lang w:val="fr-FR"/>
        </w:rPr>
        <w:t xml:space="preserve"> quelques participants au processus de réflexion ont </w:t>
      </w:r>
      <w:r>
        <w:rPr>
          <w:bCs/>
          <w:lang w:val="fr-FR"/>
        </w:rPr>
        <w:t>appuyé l’idée</w:t>
      </w:r>
      <w:r w:rsidR="00E31FBB" w:rsidRPr="00074595">
        <w:rPr>
          <w:bCs/>
          <w:lang w:val="fr-FR"/>
        </w:rPr>
        <w:t xml:space="preserve"> de limiter le nombre d'ONG accréditées dans les régions </w:t>
      </w:r>
      <w:proofErr w:type="spellStart"/>
      <w:r w:rsidR="00E31FBB" w:rsidRPr="00074595">
        <w:rPr>
          <w:bCs/>
          <w:lang w:val="fr-FR"/>
        </w:rPr>
        <w:t>sur-représentées</w:t>
      </w:r>
      <w:proofErr w:type="spellEnd"/>
      <w:r w:rsidR="00E31FBB" w:rsidRPr="00074595">
        <w:rPr>
          <w:bCs/>
          <w:lang w:val="fr-FR"/>
        </w:rPr>
        <w:t xml:space="preserve"> en imposant un plafond. </w:t>
      </w:r>
      <w:r>
        <w:rPr>
          <w:bCs/>
          <w:lang w:val="fr-FR"/>
        </w:rPr>
        <w:t>En revanche</w:t>
      </w:r>
      <w:r w:rsidR="00E31FBB" w:rsidRPr="00074595">
        <w:rPr>
          <w:bCs/>
          <w:lang w:val="fr-FR"/>
        </w:rPr>
        <w:t xml:space="preserve">, la mise en </w:t>
      </w:r>
      <w:r>
        <w:rPr>
          <w:bCs/>
          <w:lang w:val="fr-FR"/>
        </w:rPr>
        <w:t>œ</w:t>
      </w:r>
      <w:r w:rsidR="00E31FBB" w:rsidRPr="00074595">
        <w:rPr>
          <w:bCs/>
          <w:lang w:val="fr-FR"/>
        </w:rPr>
        <w:t xml:space="preserve">uvre de </w:t>
      </w:r>
      <w:r>
        <w:rPr>
          <w:bCs/>
          <w:lang w:val="fr-FR"/>
        </w:rPr>
        <w:t>« </w:t>
      </w:r>
      <w:r w:rsidR="00E31FBB" w:rsidRPr="00074595">
        <w:rPr>
          <w:bCs/>
          <w:lang w:val="fr-FR"/>
        </w:rPr>
        <w:t xml:space="preserve">mesures </w:t>
      </w:r>
      <w:r>
        <w:rPr>
          <w:bCs/>
          <w:lang w:val="fr-FR"/>
        </w:rPr>
        <w:t>souples »</w:t>
      </w:r>
      <w:r w:rsidR="00E31FBB" w:rsidRPr="00074595">
        <w:rPr>
          <w:bCs/>
          <w:lang w:val="fr-FR"/>
        </w:rPr>
        <w:t xml:space="preserve"> a été encouragée pour favoriser l'accréditation d</w:t>
      </w:r>
      <w:r>
        <w:rPr>
          <w:bCs/>
          <w:lang w:val="fr-FR"/>
        </w:rPr>
        <w:t>’O</w:t>
      </w:r>
      <w:r w:rsidR="00E31FBB" w:rsidRPr="00074595">
        <w:rPr>
          <w:bCs/>
          <w:lang w:val="fr-FR"/>
        </w:rPr>
        <w:t xml:space="preserve">NG </w:t>
      </w:r>
      <w:r>
        <w:rPr>
          <w:bCs/>
          <w:lang w:val="fr-FR"/>
        </w:rPr>
        <w:t xml:space="preserve">provenant de </w:t>
      </w:r>
      <w:r w:rsidR="00E31FBB" w:rsidRPr="00074595">
        <w:rPr>
          <w:bCs/>
          <w:lang w:val="fr-FR"/>
        </w:rPr>
        <w:t>régions sous-représentées. Ce</w:t>
      </w:r>
      <w:r>
        <w:rPr>
          <w:bCs/>
          <w:lang w:val="fr-FR"/>
        </w:rPr>
        <w:t>s mesures incluent</w:t>
      </w:r>
      <w:r w:rsidR="00E31FBB" w:rsidRPr="00074595">
        <w:rPr>
          <w:bCs/>
          <w:lang w:val="fr-FR"/>
        </w:rPr>
        <w:t xml:space="preserve"> des initiatives de sensibilisation </w:t>
      </w:r>
      <w:r>
        <w:rPr>
          <w:bCs/>
          <w:lang w:val="fr-FR"/>
        </w:rPr>
        <w:t>réalisées</w:t>
      </w:r>
      <w:r w:rsidR="00E31FBB" w:rsidRPr="00074595">
        <w:rPr>
          <w:bCs/>
          <w:lang w:val="fr-FR"/>
        </w:rPr>
        <w:t xml:space="preserve"> par l'intermédiaire du </w:t>
      </w:r>
      <w:r>
        <w:rPr>
          <w:bCs/>
          <w:lang w:val="fr-FR"/>
        </w:rPr>
        <w:t xml:space="preserve">large </w:t>
      </w:r>
      <w:r w:rsidR="00E31FBB" w:rsidRPr="00074595">
        <w:rPr>
          <w:bCs/>
          <w:lang w:val="fr-FR"/>
        </w:rPr>
        <w:t xml:space="preserve">réseau d'entités associées à l'UNESCO, </w:t>
      </w:r>
      <w:r>
        <w:rPr>
          <w:bCs/>
          <w:lang w:val="fr-FR"/>
        </w:rPr>
        <w:t xml:space="preserve">ainsi que </w:t>
      </w:r>
      <w:r w:rsidR="00E31FBB" w:rsidRPr="00074595">
        <w:rPr>
          <w:bCs/>
          <w:lang w:val="fr-FR"/>
        </w:rPr>
        <w:t>des actions de renforcement des capacités</w:t>
      </w:r>
      <w:r>
        <w:rPr>
          <w:bCs/>
          <w:lang w:val="fr-FR"/>
        </w:rPr>
        <w:t xml:space="preserve"> menées</w:t>
      </w:r>
      <w:r w:rsidR="00E31FBB" w:rsidRPr="00074595">
        <w:rPr>
          <w:bCs/>
          <w:lang w:val="fr-FR"/>
        </w:rPr>
        <w:t xml:space="preserve"> par le Secrétariat, les ONG accréditées et un réseau d'experts.</w:t>
      </w:r>
    </w:p>
    <w:p w:rsidR="00E31FBB" w:rsidRPr="009E1548" w:rsidRDefault="00E31FBB" w:rsidP="00B115C8">
      <w:pPr>
        <w:pStyle w:val="COMPara"/>
        <w:numPr>
          <w:ilvl w:val="3"/>
          <w:numId w:val="2"/>
        </w:numPr>
        <w:ind w:left="567" w:hanging="567"/>
        <w:jc w:val="both"/>
        <w:rPr>
          <w:lang w:val="fr-FR"/>
        </w:rPr>
      </w:pPr>
      <w:r w:rsidRPr="00FD6B4A">
        <w:rPr>
          <w:lang w:val="fr-FR"/>
        </w:rPr>
        <w:t>En outre, le Comité jug</w:t>
      </w:r>
      <w:r w:rsidRPr="00A42FDC">
        <w:rPr>
          <w:lang w:val="fr-FR"/>
        </w:rPr>
        <w:t xml:space="preserve">era peut-être utile d'identifier des domaines d'intérêt thématiques, qui </w:t>
      </w:r>
      <w:r w:rsidR="00B115C8" w:rsidRPr="00A42FDC">
        <w:rPr>
          <w:lang w:val="fr-FR"/>
        </w:rPr>
        <w:t xml:space="preserve">pourraient stimuler un effort de ciblage des </w:t>
      </w:r>
      <w:r w:rsidRPr="00A42FDC">
        <w:rPr>
          <w:lang w:val="fr-FR"/>
        </w:rPr>
        <w:t xml:space="preserve">ONG actives. </w:t>
      </w:r>
      <w:r w:rsidRPr="009E1548">
        <w:rPr>
          <w:lang w:val="fr-FR"/>
        </w:rPr>
        <w:t xml:space="preserve">À cet égard, l'importance d'initiatives </w:t>
      </w:r>
      <w:r w:rsidR="00D16BA8" w:rsidRPr="009E1548">
        <w:rPr>
          <w:lang w:val="fr-FR"/>
        </w:rPr>
        <w:t>(</w:t>
      </w:r>
      <w:r w:rsidR="00B115C8" w:rsidRPr="009E1548">
        <w:rPr>
          <w:lang w:val="fr-FR"/>
        </w:rPr>
        <w:t xml:space="preserve">menées par les </w:t>
      </w:r>
      <w:r w:rsidRPr="009E1548">
        <w:rPr>
          <w:lang w:val="fr-FR"/>
        </w:rPr>
        <w:t xml:space="preserve">États, </w:t>
      </w:r>
      <w:r w:rsidR="00B115C8" w:rsidRPr="009E1548">
        <w:rPr>
          <w:lang w:val="fr-FR"/>
        </w:rPr>
        <w:t>l</w:t>
      </w:r>
      <w:r w:rsidRPr="009E1548">
        <w:rPr>
          <w:lang w:val="fr-FR"/>
        </w:rPr>
        <w:t xml:space="preserve">es ONG, </w:t>
      </w:r>
      <w:r w:rsidR="00B115C8" w:rsidRPr="009E1548">
        <w:rPr>
          <w:lang w:val="fr-FR"/>
        </w:rPr>
        <w:t>l</w:t>
      </w:r>
      <w:r w:rsidRPr="009E1548">
        <w:rPr>
          <w:lang w:val="fr-FR"/>
        </w:rPr>
        <w:t xml:space="preserve">es Commissions nationales, </w:t>
      </w:r>
      <w:r w:rsidR="00B115C8" w:rsidRPr="009E1548">
        <w:rPr>
          <w:lang w:val="fr-FR"/>
        </w:rPr>
        <w:t>l</w:t>
      </w:r>
      <w:r w:rsidRPr="009E1548">
        <w:rPr>
          <w:lang w:val="fr-FR"/>
        </w:rPr>
        <w:t xml:space="preserve">es centres de catégorie 2, </w:t>
      </w:r>
      <w:r w:rsidR="00B115C8" w:rsidRPr="009E1548">
        <w:rPr>
          <w:lang w:val="fr-FR"/>
        </w:rPr>
        <w:t>l</w:t>
      </w:r>
      <w:r w:rsidRPr="009E1548">
        <w:rPr>
          <w:lang w:val="fr-FR"/>
        </w:rPr>
        <w:t xml:space="preserve">es </w:t>
      </w:r>
      <w:r w:rsidR="00B115C8" w:rsidRPr="009E1548">
        <w:rPr>
          <w:lang w:val="fr-FR"/>
        </w:rPr>
        <w:t xml:space="preserve">Chaires </w:t>
      </w:r>
      <w:r w:rsidRPr="009E1548">
        <w:rPr>
          <w:lang w:val="fr-FR"/>
        </w:rPr>
        <w:t>de l'UNESCO et toute</w:t>
      </w:r>
      <w:r w:rsidR="00B115C8" w:rsidRPr="009E1548">
        <w:rPr>
          <w:lang w:val="fr-FR"/>
        </w:rPr>
        <w:t xml:space="preserve"> autre </w:t>
      </w:r>
      <w:r w:rsidRPr="009E1548">
        <w:rPr>
          <w:lang w:val="fr-FR"/>
        </w:rPr>
        <w:t>partie prenante pertinente</w:t>
      </w:r>
      <w:r w:rsidR="00D16BA8" w:rsidRPr="009E1548">
        <w:rPr>
          <w:lang w:val="fr-FR"/>
        </w:rPr>
        <w:t>)</w:t>
      </w:r>
      <w:r w:rsidRPr="009E1548">
        <w:rPr>
          <w:lang w:val="fr-FR"/>
        </w:rPr>
        <w:t xml:space="preserve"> </w:t>
      </w:r>
      <w:r w:rsidR="00B115C8" w:rsidRPr="009E1548">
        <w:rPr>
          <w:lang w:val="fr-FR"/>
        </w:rPr>
        <w:t>visant à</w:t>
      </w:r>
      <w:r w:rsidRPr="009E1548">
        <w:rPr>
          <w:lang w:val="fr-FR"/>
        </w:rPr>
        <w:t xml:space="preserve"> sensibilis</w:t>
      </w:r>
      <w:r w:rsidR="00B115C8" w:rsidRPr="009E1548">
        <w:rPr>
          <w:lang w:val="fr-FR"/>
        </w:rPr>
        <w:t>er</w:t>
      </w:r>
      <w:r w:rsidRPr="009E1548">
        <w:rPr>
          <w:lang w:val="fr-FR"/>
        </w:rPr>
        <w:t xml:space="preserve"> </w:t>
      </w:r>
      <w:r w:rsidR="00B115C8" w:rsidRPr="009E1548">
        <w:rPr>
          <w:lang w:val="fr-FR"/>
        </w:rPr>
        <w:t xml:space="preserve">au </w:t>
      </w:r>
      <w:r w:rsidRPr="009E1548">
        <w:rPr>
          <w:lang w:val="fr-FR"/>
        </w:rPr>
        <w:t>système d'accréditation et renforce</w:t>
      </w:r>
      <w:r w:rsidR="00B115C8" w:rsidRPr="009E1548">
        <w:rPr>
          <w:lang w:val="fr-FR"/>
        </w:rPr>
        <w:t>r</w:t>
      </w:r>
      <w:r w:rsidRPr="009E1548">
        <w:rPr>
          <w:lang w:val="fr-FR"/>
        </w:rPr>
        <w:t xml:space="preserve"> </w:t>
      </w:r>
      <w:r w:rsidR="00B115C8" w:rsidRPr="009E1548">
        <w:rPr>
          <w:lang w:val="fr-FR"/>
        </w:rPr>
        <w:t>l</w:t>
      </w:r>
      <w:r w:rsidRPr="009E1548">
        <w:rPr>
          <w:lang w:val="fr-FR"/>
        </w:rPr>
        <w:t xml:space="preserve">es capacités des ONG actives </w:t>
      </w:r>
      <w:r w:rsidR="00D16BA8" w:rsidRPr="009E1548">
        <w:rPr>
          <w:lang w:val="fr-FR"/>
        </w:rPr>
        <w:t>sur</w:t>
      </w:r>
      <w:r w:rsidR="00B115C8" w:rsidRPr="009E1548">
        <w:rPr>
          <w:lang w:val="fr-FR"/>
        </w:rPr>
        <w:t xml:space="preserve"> </w:t>
      </w:r>
      <w:r w:rsidRPr="009E1548">
        <w:rPr>
          <w:lang w:val="fr-FR"/>
        </w:rPr>
        <w:t>la sauvegarde du patrimoine vivant dans les régions sous-représentées, ainsi qu</w:t>
      </w:r>
      <w:r w:rsidR="00B115C8" w:rsidRPr="009E1548">
        <w:rPr>
          <w:lang w:val="fr-FR"/>
        </w:rPr>
        <w:t xml:space="preserve">’à </w:t>
      </w:r>
      <w:r w:rsidRPr="009E1548">
        <w:rPr>
          <w:lang w:val="fr-FR"/>
        </w:rPr>
        <w:t xml:space="preserve">encourager la coopération entre les ONG accréditées et les ONG </w:t>
      </w:r>
      <w:r w:rsidR="00B115C8" w:rsidRPr="009E1548">
        <w:rPr>
          <w:lang w:val="fr-FR"/>
        </w:rPr>
        <w:t>susceptibles de demander l’accréditation</w:t>
      </w:r>
      <w:r w:rsidRPr="009E1548">
        <w:rPr>
          <w:lang w:val="fr-FR"/>
        </w:rPr>
        <w:t>, a été soulignée.</w:t>
      </w:r>
    </w:p>
    <w:p w:rsidR="00E31FBB" w:rsidRPr="0082182F" w:rsidRDefault="00E31FBB" w:rsidP="00E31FBB">
      <w:pPr>
        <w:pStyle w:val="COMPara"/>
        <w:numPr>
          <w:ilvl w:val="3"/>
          <w:numId w:val="2"/>
        </w:numPr>
        <w:ind w:left="567" w:hanging="567"/>
        <w:jc w:val="both"/>
        <w:rPr>
          <w:lang w:val="fr-FR"/>
        </w:rPr>
      </w:pPr>
      <w:r>
        <w:rPr>
          <w:b/>
          <w:lang w:val="fr-FR"/>
        </w:rPr>
        <w:t>Faciliter la participation des ONG accréditées</w:t>
      </w:r>
      <w:r>
        <w:rPr>
          <w:lang w:val="fr-FR"/>
        </w:rPr>
        <w:t xml:space="preserve">. Quelle que soit la nature </w:t>
      </w:r>
      <w:r w:rsidR="00FE7796">
        <w:rPr>
          <w:lang w:val="fr-FR"/>
        </w:rPr>
        <w:t>du futur système</w:t>
      </w:r>
      <w:r>
        <w:rPr>
          <w:lang w:val="fr-FR"/>
        </w:rPr>
        <w:t xml:space="preserve"> d'accréditation, les États et les ONG accréditées ont convenu de la nécessité de définir des mesures spécifiques </w:t>
      </w:r>
      <w:r w:rsidR="00A42FDC">
        <w:rPr>
          <w:lang w:val="fr-FR"/>
        </w:rPr>
        <w:t xml:space="preserve">non seulement </w:t>
      </w:r>
      <w:r>
        <w:rPr>
          <w:lang w:val="fr-FR"/>
        </w:rPr>
        <w:t>pour faciliter la contribution des ONG accréditées au</w:t>
      </w:r>
      <w:r w:rsidR="00B115C8">
        <w:rPr>
          <w:lang w:val="fr-FR"/>
        </w:rPr>
        <w:t>x</w:t>
      </w:r>
      <w:r>
        <w:rPr>
          <w:lang w:val="fr-FR"/>
        </w:rPr>
        <w:t xml:space="preserve"> trava</w:t>
      </w:r>
      <w:r w:rsidR="00B115C8">
        <w:rPr>
          <w:lang w:val="fr-FR"/>
        </w:rPr>
        <w:t>ux</w:t>
      </w:r>
      <w:r>
        <w:rPr>
          <w:lang w:val="fr-FR"/>
        </w:rPr>
        <w:t xml:space="preserve"> du Comité, mais également pour favoriser la coopération entre les ONG accréditées et les États. À cette fin, les cinq mesures suivantes ont été proposées :</w:t>
      </w:r>
    </w:p>
    <w:p w:rsidR="00E31FBB" w:rsidRPr="0082182F" w:rsidRDefault="00E31FBB" w:rsidP="00E31FBB">
      <w:pPr>
        <w:pStyle w:val="COMPara"/>
        <w:numPr>
          <w:ilvl w:val="4"/>
          <w:numId w:val="2"/>
        </w:numPr>
        <w:ind w:left="993"/>
        <w:jc w:val="both"/>
        <w:rPr>
          <w:lang w:val="fr-FR"/>
        </w:rPr>
      </w:pPr>
      <w:r>
        <w:rPr>
          <w:lang w:val="fr-FR"/>
        </w:rPr>
        <w:lastRenderedPageBreak/>
        <w:t>Un</w:t>
      </w:r>
      <w:r w:rsidR="00B115C8">
        <w:rPr>
          <w:lang w:val="fr-FR"/>
        </w:rPr>
        <w:t xml:space="preserve">e cartographie </w:t>
      </w:r>
      <w:r>
        <w:rPr>
          <w:lang w:val="fr-FR"/>
        </w:rPr>
        <w:t xml:space="preserve">des domaines de compétence et d'expérience des ONG accréditées </w:t>
      </w:r>
      <w:r w:rsidR="00B115C8">
        <w:rPr>
          <w:lang w:val="fr-FR"/>
        </w:rPr>
        <w:t>(incluant</w:t>
      </w:r>
      <w:r>
        <w:rPr>
          <w:lang w:val="fr-FR"/>
        </w:rPr>
        <w:t xml:space="preserve"> par exemple leurs compétences dans des domaines spécifiques du patrimoine culturel immatériel ou sur des </w:t>
      </w:r>
      <w:r w:rsidR="00B115C8">
        <w:rPr>
          <w:lang w:val="fr-FR"/>
        </w:rPr>
        <w:t>questions</w:t>
      </w:r>
      <w:r>
        <w:rPr>
          <w:lang w:val="fr-FR"/>
        </w:rPr>
        <w:t xml:space="preserve"> transversa</w:t>
      </w:r>
      <w:r w:rsidR="00B115C8">
        <w:rPr>
          <w:lang w:val="fr-FR"/>
        </w:rPr>
        <w:t>les</w:t>
      </w:r>
      <w:r>
        <w:rPr>
          <w:lang w:val="fr-FR"/>
        </w:rPr>
        <w:t xml:space="preserve"> comme l'éducation, les situations d'urgence, l'éthique ou la durabilité environnementale</w:t>
      </w:r>
      <w:r w:rsidR="00B115C8">
        <w:rPr>
          <w:lang w:val="fr-FR"/>
        </w:rPr>
        <w:t>)</w:t>
      </w:r>
      <w:r>
        <w:rPr>
          <w:lang w:val="fr-FR"/>
        </w:rPr>
        <w:t xml:space="preserve"> pourrait contribuer à définir les fonctions consultatives </w:t>
      </w:r>
      <w:r w:rsidRPr="00435284">
        <w:rPr>
          <w:lang w:val="fr-FR"/>
        </w:rPr>
        <w:t xml:space="preserve">qu'elles pourraient </w:t>
      </w:r>
      <w:r w:rsidR="00B115C8" w:rsidRPr="00435284">
        <w:rPr>
          <w:lang w:val="fr-FR"/>
        </w:rPr>
        <w:t>remplir</w:t>
      </w:r>
      <w:r w:rsidR="00435284" w:rsidRPr="009E1548">
        <w:rPr>
          <w:lang w:val="fr-FR"/>
        </w:rPr>
        <w:t>.</w:t>
      </w:r>
      <w:r w:rsidRPr="00435284">
        <w:rPr>
          <w:lang w:val="fr-FR"/>
        </w:rPr>
        <w:t xml:space="preserve"> Ce</w:t>
      </w:r>
      <w:r w:rsidR="00B115C8" w:rsidRPr="00435284">
        <w:rPr>
          <w:lang w:val="fr-FR"/>
        </w:rPr>
        <w:t>tte</w:t>
      </w:r>
      <w:r w:rsidR="00B115C8">
        <w:rPr>
          <w:lang w:val="fr-FR"/>
        </w:rPr>
        <w:t xml:space="preserve"> cartographie </w:t>
      </w:r>
      <w:r>
        <w:rPr>
          <w:lang w:val="fr-FR"/>
        </w:rPr>
        <w:t xml:space="preserve">pourrait être </w:t>
      </w:r>
      <w:r w:rsidR="00B115C8">
        <w:rPr>
          <w:lang w:val="fr-FR"/>
        </w:rPr>
        <w:t>mise en ligne</w:t>
      </w:r>
      <w:r>
        <w:rPr>
          <w:lang w:val="fr-FR"/>
        </w:rPr>
        <w:t xml:space="preserve"> sur le site </w:t>
      </w:r>
      <w:r w:rsidR="00B115C8">
        <w:rPr>
          <w:lang w:val="fr-FR"/>
        </w:rPr>
        <w:t>Internet</w:t>
      </w:r>
      <w:r>
        <w:rPr>
          <w:lang w:val="fr-FR"/>
        </w:rPr>
        <w:t xml:space="preserve"> de la Convention, ce qui pourrait également faciliter la coopération </w:t>
      </w:r>
      <w:r w:rsidRPr="00CD5768">
        <w:rPr>
          <w:lang w:val="fr-FR"/>
        </w:rPr>
        <w:t xml:space="preserve">entre les ONG accréditées et les États, ainsi que la mise en réseau des ONG accréditées. </w:t>
      </w:r>
      <w:r w:rsidRPr="009E1548">
        <w:rPr>
          <w:lang w:val="fr-FR"/>
        </w:rPr>
        <w:t>Les données nécessaires pourraient être progressivement collectées par le Secrétariat dans les demandes d'accréditation et les rapports quadriennaux qui seront soumis lors des prochains cycles.</w:t>
      </w:r>
    </w:p>
    <w:p w:rsidR="00E31FBB" w:rsidRPr="0082182F" w:rsidRDefault="00E31FBB" w:rsidP="00E31FBB">
      <w:pPr>
        <w:pStyle w:val="COMPara"/>
        <w:numPr>
          <w:ilvl w:val="4"/>
          <w:numId w:val="2"/>
        </w:numPr>
        <w:ind w:left="993"/>
        <w:jc w:val="both"/>
        <w:rPr>
          <w:lang w:val="fr-FR"/>
        </w:rPr>
      </w:pPr>
      <w:r>
        <w:rPr>
          <w:lang w:val="fr-FR"/>
        </w:rPr>
        <w:t xml:space="preserve">Le formulaire d'accréditation pourrait </w:t>
      </w:r>
      <w:r w:rsidR="00D16BA8">
        <w:rPr>
          <w:lang w:val="fr-FR"/>
        </w:rPr>
        <w:t>inclure</w:t>
      </w:r>
      <w:r>
        <w:rPr>
          <w:lang w:val="fr-FR"/>
        </w:rPr>
        <w:t xml:space="preserve"> un engagement formel de la part des ONG demandant l'accréditation pour éviter toute utilisation abusive de leur statut d'accréditation. Il contiendrait, par exemple, un engagement ayant pour objet d’éviter toute revendication politique non pertinente dans le cadre de la Convention. Cet engagement pourrait être complété par le code de conduite actuellement élaboré par le Forum des ONG-PCI.</w:t>
      </w:r>
    </w:p>
    <w:p w:rsidR="00E31FBB" w:rsidRPr="009E1548" w:rsidRDefault="00E31FBB" w:rsidP="009B1D88">
      <w:pPr>
        <w:pStyle w:val="COMPara"/>
        <w:numPr>
          <w:ilvl w:val="4"/>
          <w:numId w:val="2"/>
        </w:numPr>
        <w:ind w:left="992" w:hanging="357"/>
        <w:jc w:val="both"/>
        <w:rPr>
          <w:lang w:val="fr-FR"/>
        </w:rPr>
      </w:pPr>
      <w:r w:rsidRPr="009E1548">
        <w:rPr>
          <w:lang w:val="fr-FR"/>
        </w:rPr>
        <w:t>Pour faciliter la communication entre le Comité et les ONG accréditées et appuyer la diffusion d’informations dans toutes les régions, le Forum des ONG-PCI pourrait être invité à renseigner les organes directeurs de la Convention sur les noms de ses « référents régionaux » nommés membres de son Comité de pilotage.</w:t>
      </w:r>
    </w:p>
    <w:p w:rsidR="00E31FBB" w:rsidRPr="0082182F" w:rsidRDefault="00E31FBB" w:rsidP="00E31FBB">
      <w:pPr>
        <w:pStyle w:val="COMPara"/>
        <w:numPr>
          <w:ilvl w:val="4"/>
          <w:numId w:val="2"/>
        </w:numPr>
        <w:ind w:left="993"/>
        <w:jc w:val="both"/>
        <w:rPr>
          <w:lang w:val="fr-FR"/>
        </w:rPr>
      </w:pPr>
      <w:r>
        <w:rPr>
          <w:lang w:val="fr-FR"/>
        </w:rPr>
        <w:t xml:space="preserve">À l’instar de la pratique adoptée pour les membres nouvellement élus au Comité, le Secrétariat pourrait envoyer une lettre de bienvenue à toutes les ONG </w:t>
      </w:r>
      <w:r w:rsidR="00973ADF">
        <w:rPr>
          <w:lang w:val="fr-FR"/>
        </w:rPr>
        <w:t xml:space="preserve">récemment </w:t>
      </w:r>
      <w:r>
        <w:rPr>
          <w:lang w:val="fr-FR"/>
        </w:rPr>
        <w:t xml:space="preserve">accréditées pour les informer </w:t>
      </w:r>
      <w:r w:rsidR="00973ADF">
        <w:rPr>
          <w:lang w:val="fr-FR"/>
        </w:rPr>
        <w:t>sur le</w:t>
      </w:r>
      <w:r>
        <w:rPr>
          <w:lang w:val="fr-FR"/>
        </w:rPr>
        <w:t xml:space="preserve"> fonctionnement du Comité et </w:t>
      </w:r>
      <w:r w:rsidR="00973ADF">
        <w:rPr>
          <w:lang w:val="fr-FR"/>
        </w:rPr>
        <w:t>l</w:t>
      </w:r>
      <w:r>
        <w:rPr>
          <w:lang w:val="fr-FR"/>
        </w:rPr>
        <w:t>es moyens dont les ONG accréditées peuvent contribuer à son travail.</w:t>
      </w:r>
    </w:p>
    <w:p w:rsidR="00E31FBB" w:rsidRPr="0082182F" w:rsidRDefault="00E31FBB" w:rsidP="00E31FBB">
      <w:pPr>
        <w:pStyle w:val="COMPara"/>
        <w:numPr>
          <w:ilvl w:val="4"/>
          <w:numId w:val="2"/>
        </w:numPr>
        <w:ind w:left="993"/>
        <w:jc w:val="both"/>
        <w:rPr>
          <w:lang w:val="fr-FR"/>
        </w:rPr>
      </w:pPr>
      <w:r>
        <w:rPr>
          <w:lang w:val="fr-FR"/>
        </w:rPr>
        <w:t xml:space="preserve">Compte tenu des demandes récurrentes concernant les activités de formation, le Forum des ONG-PCI pourrait être incité à organiser un atelier </w:t>
      </w:r>
      <w:r w:rsidR="008F304E">
        <w:rPr>
          <w:lang w:val="fr-FR"/>
        </w:rPr>
        <w:t>destiné aux</w:t>
      </w:r>
      <w:r>
        <w:rPr>
          <w:lang w:val="fr-FR"/>
        </w:rPr>
        <w:t xml:space="preserve"> ONG </w:t>
      </w:r>
      <w:r w:rsidR="008F304E">
        <w:rPr>
          <w:lang w:val="fr-FR"/>
        </w:rPr>
        <w:t xml:space="preserve">récemment </w:t>
      </w:r>
      <w:r>
        <w:rPr>
          <w:lang w:val="fr-FR"/>
        </w:rPr>
        <w:t>accréditées et à coordonner la contribution</w:t>
      </w:r>
      <w:r w:rsidR="00A65D73">
        <w:rPr>
          <w:lang w:val="fr-FR"/>
        </w:rPr>
        <w:t xml:space="preserve"> des ONG aux débats du Comité. </w:t>
      </w:r>
      <w:r>
        <w:rPr>
          <w:lang w:val="fr-FR"/>
        </w:rPr>
        <w:t xml:space="preserve">Ces activités pourraient être </w:t>
      </w:r>
      <w:r w:rsidR="008F304E">
        <w:rPr>
          <w:lang w:val="fr-FR"/>
        </w:rPr>
        <w:t>tenues</w:t>
      </w:r>
      <w:r>
        <w:rPr>
          <w:lang w:val="fr-FR"/>
        </w:rPr>
        <w:t xml:space="preserve"> avant chaque session du </w:t>
      </w:r>
      <w:r w:rsidR="00973ADF">
        <w:rPr>
          <w:lang w:val="fr-FR"/>
        </w:rPr>
        <w:t>C</w:t>
      </w:r>
      <w:r>
        <w:rPr>
          <w:lang w:val="fr-FR"/>
        </w:rPr>
        <w:t xml:space="preserve">omité et/ou de l'Assemblée générale, comme cela est déjà le cas, mais </w:t>
      </w:r>
      <w:r w:rsidR="008F304E">
        <w:rPr>
          <w:lang w:val="fr-FR"/>
        </w:rPr>
        <w:t>pourraient viser</w:t>
      </w:r>
      <w:r>
        <w:rPr>
          <w:lang w:val="fr-FR"/>
        </w:rPr>
        <w:t xml:space="preserve"> davantage </w:t>
      </w:r>
      <w:r w:rsidR="008F304E">
        <w:rPr>
          <w:lang w:val="fr-FR"/>
        </w:rPr>
        <w:t>à coordonner l</w:t>
      </w:r>
      <w:r>
        <w:rPr>
          <w:lang w:val="fr-FR"/>
        </w:rPr>
        <w:t xml:space="preserve">es </w:t>
      </w:r>
      <w:r w:rsidR="008F304E">
        <w:rPr>
          <w:lang w:val="fr-FR"/>
        </w:rPr>
        <w:t>contributions</w:t>
      </w:r>
      <w:r>
        <w:rPr>
          <w:lang w:val="fr-FR"/>
        </w:rPr>
        <w:t xml:space="preserve"> des ONG accréditées aux points de l'ordre du jour que</w:t>
      </w:r>
      <w:r w:rsidR="008F304E">
        <w:rPr>
          <w:lang w:val="fr-FR"/>
        </w:rPr>
        <w:t xml:space="preserve"> </w:t>
      </w:r>
      <w:r w:rsidR="00A65D73">
        <w:rPr>
          <w:lang w:val="fr-FR"/>
        </w:rPr>
        <w:t>le Comité prévoit d'aborder.</w:t>
      </w:r>
    </w:p>
    <w:p w:rsidR="00E31FBB" w:rsidRPr="0082182F" w:rsidRDefault="00E31FBB" w:rsidP="00E31FBB">
      <w:pPr>
        <w:pStyle w:val="COMPara"/>
        <w:numPr>
          <w:ilvl w:val="3"/>
          <w:numId w:val="2"/>
        </w:numPr>
        <w:ind w:left="567" w:hanging="567"/>
        <w:jc w:val="both"/>
        <w:rPr>
          <w:lang w:val="fr-FR"/>
        </w:rPr>
      </w:pPr>
      <w:r w:rsidRPr="00243350">
        <w:rPr>
          <w:b/>
          <w:lang w:val="fr-FR"/>
        </w:rPr>
        <w:t>Conclusion</w:t>
      </w:r>
      <w:r>
        <w:rPr>
          <w:lang w:val="fr-FR"/>
        </w:rPr>
        <w:t xml:space="preserve">. Le système d'accréditation des ONG </w:t>
      </w:r>
      <w:r w:rsidR="008F304E">
        <w:rPr>
          <w:lang w:val="fr-FR"/>
        </w:rPr>
        <w:t xml:space="preserve">a atteint </w:t>
      </w:r>
      <w:r>
        <w:rPr>
          <w:lang w:val="fr-FR"/>
        </w:rPr>
        <w:t>un carrefour. Bien qu'un certain nombre de mesures (</w:t>
      </w:r>
      <w:r w:rsidRPr="00793EEF">
        <w:rPr>
          <w:lang w:val="fr-FR"/>
        </w:rPr>
        <w:t>voir paragraphe 18</w:t>
      </w:r>
      <w:r>
        <w:rPr>
          <w:lang w:val="fr-FR"/>
        </w:rPr>
        <w:t xml:space="preserve">) puissent </w:t>
      </w:r>
      <w:r w:rsidR="008F304E">
        <w:rPr>
          <w:lang w:val="fr-FR"/>
        </w:rPr>
        <w:t xml:space="preserve">effectivement </w:t>
      </w:r>
      <w:r>
        <w:rPr>
          <w:lang w:val="fr-FR"/>
        </w:rPr>
        <w:t>être mises en œuvre</w:t>
      </w:r>
      <w:r w:rsidRPr="002D0712">
        <w:rPr>
          <w:lang w:val="fr-FR"/>
        </w:rPr>
        <w:t xml:space="preserve">, </w:t>
      </w:r>
      <w:r w:rsidRPr="009E1548">
        <w:rPr>
          <w:lang w:val="fr-FR"/>
        </w:rPr>
        <w:t xml:space="preserve">il est devenu évident qu'elles ne peuvent </w:t>
      </w:r>
      <w:r w:rsidR="002D0712">
        <w:rPr>
          <w:lang w:val="fr-FR"/>
        </w:rPr>
        <w:t>pas résoudre tous les problèmes fondamentaux</w:t>
      </w:r>
      <w:r w:rsidRPr="009E1548">
        <w:rPr>
          <w:lang w:val="fr-FR"/>
        </w:rPr>
        <w:t xml:space="preserve"> du système</w:t>
      </w:r>
      <w:r w:rsidRPr="002D0712">
        <w:rPr>
          <w:lang w:val="fr-FR"/>
        </w:rPr>
        <w:t xml:space="preserve">. </w:t>
      </w:r>
      <w:r w:rsidR="008F304E" w:rsidRPr="002D0712">
        <w:rPr>
          <w:lang w:val="fr-FR"/>
        </w:rPr>
        <w:t>P</w:t>
      </w:r>
      <w:r w:rsidRPr="002D0712">
        <w:rPr>
          <w:lang w:val="fr-FR"/>
        </w:rPr>
        <w:t xml:space="preserve">rès de 10 ans </w:t>
      </w:r>
      <w:r w:rsidR="008F304E" w:rsidRPr="002D0712">
        <w:rPr>
          <w:lang w:val="fr-FR"/>
        </w:rPr>
        <w:t>après sa création</w:t>
      </w:r>
      <w:r w:rsidRPr="002D0712">
        <w:rPr>
          <w:lang w:val="fr-FR"/>
        </w:rPr>
        <w:t>, les nombreuses parties prenantes impliquées semble</w:t>
      </w:r>
      <w:r w:rsidR="008F304E" w:rsidRPr="002D0712">
        <w:rPr>
          <w:lang w:val="fr-FR"/>
        </w:rPr>
        <w:t>nt</w:t>
      </w:r>
      <w:r>
        <w:rPr>
          <w:lang w:val="fr-FR"/>
        </w:rPr>
        <w:t xml:space="preserve"> avoir différentes </w:t>
      </w:r>
      <w:r w:rsidR="008F304E">
        <w:rPr>
          <w:lang w:val="fr-FR"/>
        </w:rPr>
        <w:t>interprétations</w:t>
      </w:r>
      <w:r>
        <w:rPr>
          <w:lang w:val="fr-FR"/>
        </w:rPr>
        <w:t xml:space="preserve"> des objectifs </w:t>
      </w:r>
      <w:r w:rsidR="008F304E">
        <w:rPr>
          <w:lang w:val="fr-FR"/>
        </w:rPr>
        <w:t xml:space="preserve">visés par </w:t>
      </w:r>
      <w:r>
        <w:rPr>
          <w:lang w:val="fr-FR"/>
        </w:rPr>
        <w:t xml:space="preserve">le système. Ce constat est renforcé par le souhait exprimé </w:t>
      </w:r>
      <w:r w:rsidR="008F304E">
        <w:rPr>
          <w:lang w:val="fr-FR"/>
        </w:rPr>
        <w:t xml:space="preserve">à plusieurs reprises </w:t>
      </w:r>
      <w:r>
        <w:rPr>
          <w:lang w:val="fr-FR"/>
        </w:rPr>
        <w:t>par certains États et ONG</w:t>
      </w:r>
      <w:r w:rsidR="008F304E">
        <w:rPr>
          <w:lang w:val="fr-FR"/>
        </w:rPr>
        <w:t xml:space="preserve">, </w:t>
      </w:r>
      <w:r>
        <w:rPr>
          <w:lang w:val="fr-FR"/>
        </w:rPr>
        <w:t xml:space="preserve">qui souhaitent que les ONG accréditées bénéficient d'une assistance </w:t>
      </w:r>
      <w:r w:rsidR="008F304E">
        <w:rPr>
          <w:lang w:val="fr-FR"/>
        </w:rPr>
        <w:t>(</w:t>
      </w:r>
      <w:r>
        <w:rPr>
          <w:lang w:val="fr-FR"/>
        </w:rPr>
        <w:t>grâce à des activités de formation</w:t>
      </w:r>
      <w:r w:rsidR="008F304E">
        <w:rPr>
          <w:lang w:val="fr-FR"/>
        </w:rPr>
        <w:t>)</w:t>
      </w:r>
      <w:r>
        <w:rPr>
          <w:lang w:val="fr-FR"/>
        </w:rPr>
        <w:t xml:space="preserve"> pour </w:t>
      </w:r>
      <w:r w:rsidR="008F304E">
        <w:rPr>
          <w:lang w:val="fr-FR"/>
        </w:rPr>
        <w:t>renforcer</w:t>
      </w:r>
      <w:r>
        <w:rPr>
          <w:lang w:val="fr-FR"/>
        </w:rPr>
        <w:t xml:space="preserve"> leurs propres capacités. </w:t>
      </w:r>
      <w:r w:rsidR="00A7780F">
        <w:rPr>
          <w:lang w:val="fr-FR"/>
        </w:rPr>
        <w:t>C</w:t>
      </w:r>
      <w:r>
        <w:rPr>
          <w:lang w:val="fr-FR"/>
        </w:rPr>
        <w:t>ela semble effe</w:t>
      </w:r>
      <w:r w:rsidR="00A7780F">
        <w:rPr>
          <w:lang w:val="fr-FR"/>
        </w:rPr>
        <w:t>ctivement</w:t>
      </w:r>
      <w:r>
        <w:rPr>
          <w:lang w:val="fr-FR"/>
        </w:rPr>
        <w:t xml:space="preserve"> indiquer que les attentes relatives au système d'accréditation </w:t>
      </w:r>
      <w:r w:rsidR="008F304E">
        <w:rPr>
          <w:lang w:val="fr-FR"/>
        </w:rPr>
        <w:t>devront</w:t>
      </w:r>
      <w:r>
        <w:rPr>
          <w:lang w:val="fr-FR"/>
        </w:rPr>
        <w:t xml:space="preserve"> être </w:t>
      </w:r>
      <w:r w:rsidR="008F304E">
        <w:rPr>
          <w:lang w:val="fr-FR"/>
        </w:rPr>
        <w:t>clar</w:t>
      </w:r>
      <w:r w:rsidR="00A7780F">
        <w:rPr>
          <w:lang w:val="fr-FR"/>
        </w:rPr>
        <w:t>i</w:t>
      </w:r>
      <w:r w:rsidR="008F304E">
        <w:rPr>
          <w:lang w:val="fr-FR"/>
        </w:rPr>
        <w:t>fiées</w:t>
      </w:r>
      <w:r>
        <w:rPr>
          <w:lang w:val="fr-FR"/>
        </w:rPr>
        <w:t xml:space="preserve"> </w:t>
      </w:r>
      <w:r w:rsidR="00A7780F">
        <w:rPr>
          <w:lang w:val="fr-FR"/>
        </w:rPr>
        <w:t xml:space="preserve">grâce à une définition </w:t>
      </w:r>
      <w:r>
        <w:rPr>
          <w:lang w:val="fr-FR"/>
        </w:rPr>
        <w:t xml:space="preserve">plus claire </w:t>
      </w:r>
      <w:r w:rsidR="00A7780F">
        <w:rPr>
          <w:lang w:val="fr-FR"/>
        </w:rPr>
        <w:t>d</w:t>
      </w:r>
      <w:r>
        <w:rPr>
          <w:lang w:val="fr-FR"/>
        </w:rPr>
        <w:t xml:space="preserve">es fonctions consultatives et </w:t>
      </w:r>
      <w:r w:rsidR="00A7780F">
        <w:rPr>
          <w:lang w:val="fr-FR"/>
        </w:rPr>
        <w:t xml:space="preserve">de </w:t>
      </w:r>
      <w:r>
        <w:rPr>
          <w:lang w:val="fr-FR"/>
        </w:rPr>
        <w:t xml:space="preserve">l'objectif réel du système d'accréditation, sans quoi </w:t>
      </w:r>
      <w:r w:rsidR="00A7780F">
        <w:rPr>
          <w:lang w:val="fr-FR"/>
        </w:rPr>
        <w:t>celui-ci</w:t>
      </w:r>
      <w:r>
        <w:rPr>
          <w:lang w:val="fr-FR"/>
        </w:rPr>
        <w:t xml:space="preserve"> ne </w:t>
      </w:r>
      <w:r w:rsidR="00A7780F">
        <w:rPr>
          <w:lang w:val="fr-FR"/>
        </w:rPr>
        <w:t xml:space="preserve">répondra </w:t>
      </w:r>
      <w:r w:rsidR="00973ADF">
        <w:rPr>
          <w:lang w:val="fr-FR"/>
        </w:rPr>
        <w:t xml:space="preserve">pas </w:t>
      </w:r>
      <w:r w:rsidR="00A7780F">
        <w:rPr>
          <w:lang w:val="fr-FR"/>
        </w:rPr>
        <w:t xml:space="preserve">aux </w:t>
      </w:r>
      <w:r>
        <w:rPr>
          <w:lang w:val="fr-FR"/>
        </w:rPr>
        <w:t>attentes. Si le système actuel perdure, il est à craindre que les ONG qui souhaite</w:t>
      </w:r>
      <w:r w:rsidR="00A7780F">
        <w:rPr>
          <w:lang w:val="fr-FR"/>
        </w:rPr>
        <w:t>nt</w:t>
      </w:r>
      <w:r>
        <w:rPr>
          <w:lang w:val="fr-FR"/>
        </w:rPr>
        <w:t xml:space="preserve"> conseil</w:t>
      </w:r>
      <w:r w:rsidR="00A7780F">
        <w:rPr>
          <w:lang w:val="fr-FR"/>
        </w:rPr>
        <w:t>ler</w:t>
      </w:r>
      <w:r>
        <w:rPr>
          <w:lang w:val="fr-FR"/>
        </w:rPr>
        <w:t xml:space="preserve"> le Comité </w:t>
      </w:r>
      <w:r w:rsidR="00A7780F">
        <w:rPr>
          <w:lang w:val="fr-FR"/>
        </w:rPr>
        <w:t>éprouvent</w:t>
      </w:r>
      <w:r>
        <w:rPr>
          <w:lang w:val="fr-FR"/>
        </w:rPr>
        <w:t xml:space="preserve"> des difficultés dans l'exercice de cette fonction en raison du manque </w:t>
      </w:r>
      <w:r w:rsidRPr="00C25F04">
        <w:rPr>
          <w:lang w:val="fr-FR"/>
        </w:rPr>
        <w:t xml:space="preserve">d'opportunités </w:t>
      </w:r>
      <w:r w:rsidR="00973ADF" w:rsidRPr="00C25F04">
        <w:rPr>
          <w:lang w:val="fr-FR"/>
        </w:rPr>
        <w:t>présenté</w:t>
      </w:r>
      <w:r w:rsidR="001D1556" w:rsidRPr="00C25F04">
        <w:rPr>
          <w:lang w:val="fr-FR"/>
        </w:rPr>
        <w:t>es</w:t>
      </w:r>
      <w:r w:rsidR="00973ADF">
        <w:rPr>
          <w:lang w:val="fr-FR"/>
        </w:rPr>
        <w:t xml:space="preserve"> par</w:t>
      </w:r>
      <w:r w:rsidR="00A7780F">
        <w:rPr>
          <w:lang w:val="fr-FR"/>
        </w:rPr>
        <w:t xml:space="preserve"> le</w:t>
      </w:r>
      <w:r>
        <w:rPr>
          <w:lang w:val="fr-FR"/>
        </w:rPr>
        <w:t xml:space="preserve"> système actuel ; en parallèle, le Comité pourrait rencontrer des </w:t>
      </w:r>
      <w:r w:rsidR="00A7780F">
        <w:rPr>
          <w:lang w:val="fr-FR"/>
        </w:rPr>
        <w:t>problèmes</w:t>
      </w:r>
      <w:r>
        <w:rPr>
          <w:lang w:val="fr-FR"/>
        </w:rPr>
        <w:t xml:space="preserve"> pour identifier les ONG </w:t>
      </w:r>
      <w:r w:rsidR="00A7780F">
        <w:rPr>
          <w:lang w:val="fr-FR"/>
        </w:rPr>
        <w:t xml:space="preserve">pouvant </w:t>
      </w:r>
      <w:r>
        <w:rPr>
          <w:lang w:val="fr-FR"/>
        </w:rPr>
        <w:t xml:space="preserve">efficacement contribuer à </w:t>
      </w:r>
      <w:r w:rsidR="00A7780F">
        <w:rPr>
          <w:lang w:val="fr-FR"/>
        </w:rPr>
        <w:t>ses</w:t>
      </w:r>
      <w:r>
        <w:rPr>
          <w:lang w:val="fr-FR"/>
        </w:rPr>
        <w:t xml:space="preserve"> trava</w:t>
      </w:r>
      <w:r w:rsidR="00A7780F">
        <w:rPr>
          <w:lang w:val="fr-FR"/>
        </w:rPr>
        <w:t>ux</w:t>
      </w:r>
      <w:r>
        <w:rPr>
          <w:lang w:val="fr-FR"/>
        </w:rPr>
        <w:t>, en raison du nombre croissant d'ONG accréditées possédant diverses capacités.</w:t>
      </w:r>
    </w:p>
    <w:p w:rsidR="00E31FBB" w:rsidRPr="0082182F" w:rsidRDefault="00E31FBB" w:rsidP="00E31FBB">
      <w:pPr>
        <w:pStyle w:val="COMPara"/>
        <w:numPr>
          <w:ilvl w:val="3"/>
          <w:numId w:val="2"/>
        </w:numPr>
        <w:ind w:left="567" w:hanging="567"/>
        <w:jc w:val="both"/>
        <w:rPr>
          <w:lang w:val="fr-FR"/>
        </w:rPr>
      </w:pPr>
      <w:r>
        <w:rPr>
          <w:lang w:val="fr-FR"/>
        </w:rPr>
        <w:t xml:space="preserve">Dans ces </w:t>
      </w:r>
      <w:r w:rsidR="00A7780F">
        <w:rPr>
          <w:lang w:val="fr-FR"/>
        </w:rPr>
        <w:t>conditions</w:t>
      </w:r>
      <w:r>
        <w:rPr>
          <w:lang w:val="fr-FR"/>
        </w:rPr>
        <w:t xml:space="preserve">, il pourrait </w:t>
      </w:r>
      <w:r w:rsidR="00A7780F">
        <w:rPr>
          <w:lang w:val="fr-FR"/>
        </w:rPr>
        <w:t>s’avérer</w:t>
      </w:r>
      <w:r>
        <w:rPr>
          <w:lang w:val="fr-FR"/>
        </w:rPr>
        <w:t xml:space="preserve"> crucial d</w:t>
      </w:r>
      <w:r w:rsidR="00A7780F">
        <w:rPr>
          <w:lang w:val="fr-FR"/>
        </w:rPr>
        <w:t>e s</w:t>
      </w:r>
      <w:r>
        <w:rPr>
          <w:lang w:val="fr-FR"/>
        </w:rPr>
        <w:t xml:space="preserve">'assurer </w:t>
      </w:r>
      <w:r w:rsidR="00A7780F">
        <w:rPr>
          <w:lang w:val="fr-FR"/>
        </w:rPr>
        <w:t xml:space="preserve">dans un premier temps </w:t>
      </w:r>
      <w:r>
        <w:rPr>
          <w:lang w:val="fr-FR"/>
        </w:rPr>
        <w:t xml:space="preserve">que le système d'accréditation </w:t>
      </w:r>
      <w:r w:rsidR="00A7780F">
        <w:rPr>
          <w:lang w:val="fr-FR"/>
        </w:rPr>
        <w:t>est</w:t>
      </w:r>
      <w:r>
        <w:rPr>
          <w:lang w:val="fr-FR"/>
        </w:rPr>
        <w:t xml:space="preserve"> adapté </w:t>
      </w:r>
      <w:r w:rsidR="00A7780F">
        <w:rPr>
          <w:lang w:val="fr-FR"/>
        </w:rPr>
        <w:t>à</w:t>
      </w:r>
      <w:r>
        <w:rPr>
          <w:lang w:val="fr-FR"/>
        </w:rPr>
        <w:t xml:space="preserve"> sa fonction principale </w:t>
      </w:r>
      <w:r w:rsidR="00A7780F">
        <w:rPr>
          <w:lang w:val="fr-FR"/>
        </w:rPr>
        <w:t>(</w:t>
      </w:r>
      <w:r>
        <w:rPr>
          <w:lang w:val="fr-FR"/>
        </w:rPr>
        <w:t>conseiller le Comité</w:t>
      </w:r>
      <w:r w:rsidR="00A7780F">
        <w:rPr>
          <w:lang w:val="fr-FR"/>
        </w:rPr>
        <w:t>),</w:t>
      </w:r>
      <w:r>
        <w:rPr>
          <w:lang w:val="fr-FR"/>
        </w:rPr>
        <w:t xml:space="preserve"> compte tenu d</w:t>
      </w:r>
      <w:r w:rsidR="00A7780F">
        <w:rPr>
          <w:lang w:val="fr-FR"/>
        </w:rPr>
        <w:t xml:space="preserve">u caractère limité </w:t>
      </w:r>
      <w:r>
        <w:rPr>
          <w:lang w:val="fr-FR"/>
        </w:rPr>
        <w:t xml:space="preserve">des ressources disponibles. À cet égard, le Comité envisagera peut-être de définir régulièrement </w:t>
      </w:r>
      <w:r w:rsidR="00A7780F">
        <w:rPr>
          <w:lang w:val="fr-FR"/>
        </w:rPr>
        <w:t>l</w:t>
      </w:r>
      <w:r>
        <w:rPr>
          <w:lang w:val="fr-FR"/>
        </w:rPr>
        <w:t xml:space="preserve">es tâches spécifiques qu'il souhaite confier aux ONG accréditées. Pour cela, il faudra toutefois que le système d'accréditation </w:t>
      </w:r>
      <w:r w:rsidR="00A7780F">
        <w:rPr>
          <w:lang w:val="fr-FR"/>
        </w:rPr>
        <w:t>garantisse</w:t>
      </w:r>
      <w:r>
        <w:rPr>
          <w:lang w:val="fr-FR"/>
        </w:rPr>
        <w:t xml:space="preserve"> que les ONG accréditées possèdent </w:t>
      </w:r>
      <w:r w:rsidR="00A7780F">
        <w:rPr>
          <w:lang w:val="fr-FR"/>
        </w:rPr>
        <w:t xml:space="preserve">bien </w:t>
      </w:r>
      <w:r>
        <w:rPr>
          <w:lang w:val="fr-FR"/>
        </w:rPr>
        <w:t xml:space="preserve">les capacités et l'expérience nécessaires pour mener à bien ces tâches. En outre, </w:t>
      </w:r>
      <w:r w:rsidR="00130182">
        <w:rPr>
          <w:lang w:val="fr-FR"/>
        </w:rPr>
        <w:t xml:space="preserve">le recentrage </w:t>
      </w:r>
      <w:r w:rsidR="00A7780F">
        <w:rPr>
          <w:lang w:val="fr-FR"/>
        </w:rPr>
        <w:t>du</w:t>
      </w:r>
      <w:r>
        <w:rPr>
          <w:lang w:val="fr-FR"/>
        </w:rPr>
        <w:t xml:space="preserve"> système d'accréditation sur son objectif </w:t>
      </w:r>
      <w:r w:rsidR="00973ADF">
        <w:rPr>
          <w:lang w:val="fr-FR"/>
        </w:rPr>
        <w:t xml:space="preserve">principal </w:t>
      </w:r>
      <w:r>
        <w:rPr>
          <w:lang w:val="fr-FR"/>
        </w:rPr>
        <w:t xml:space="preserve">permettrait </w:t>
      </w:r>
      <w:r>
        <w:rPr>
          <w:lang w:val="fr-FR"/>
        </w:rPr>
        <w:lastRenderedPageBreak/>
        <w:t xml:space="preserve">d'éviter toute redondance avec le cadre </w:t>
      </w:r>
      <w:r w:rsidR="00130182">
        <w:rPr>
          <w:lang w:val="fr-FR"/>
        </w:rPr>
        <w:t>global relatif</w:t>
      </w:r>
      <w:r>
        <w:rPr>
          <w:lang w:val="fr-FR"/>
        </w:rPr>
        <w:t xml:space="preserve"> </w:t>
      </w:r>
      <w:r w:rsidR="00130182">
        <w:rPr>
          <w:lang w:val="fr-FR"/>
        </w:rPr>
        <w:t xml:space="preserve">aux </w:t>
      </w:r>
      <w:r>
        <w:rPr>
          <w:lang w:val="fr-FR"/>
        </w:rPr>
        <w:t>partenariats avec les ONG au niveau de l'UNESCO</w:t>
      </w:r>
      <w:r>
        <w:rPr>
          <w:rStyle w:val="FootnoteReference"/>
          <w:bCs/>
        </w:rPr>
        <w:footnoteReference w:id="3"/>
      </w:r>
      <w:r>
        <w:rPr>
          <w:lang w:val="fr-FR"/>
        </w:rPr>
        <w:t xml:space="preserve">, </w:t>
      </w:r>
      <w:r w:rsidR="00130182">
        <w:rPr>
          <w:lang w:val="fr-FR"/>
        </w:rPr>
        <w:t xml:space="preserve">ce </w:t>
      </w:r>
      <w:r>
        <w:rPr>
          <w:lang w:val="fr-FR"/>
        </w:rPr>
        <w:t xml:space="preserve">qui </w:t>
      </w:r>
      <w:r w:rsidR="00130182">
        <w:rPr>
          <w:lang w:val="fr-FR"/>
        </w:rPr>
        <w:t xml:space="preserve">constitue </w:t>
      </w:r>
      <w:r>
        <w:rPr>
          <w:lang w:val="fr-FR"/>
        </w:rPr>
        <w:t xml:space="preserve">un risque </w:t>
      </w:r>
      <w:r w:rsidR="00130182">
        <w:rPr>
          <w:lang w:val="fr-FR"/>
        </w:rPr>
        <w:t>réel</w:t>
      </w:r>
      <w:r>
        <w:rPr>
          <w:lang w:val="fr-FR"/>
        </w:rPr>
        <w:t xml:space="preserve"> si le système d'accréditation est envisagé comme un système d'affiliation pour les ONG qui contribuent à la mise en œuvre de la Convention. Cela pourrait également </w:t>
      </w:r>
      <w:r w:rsidR="00130182">
        <w:rPr>
          <w:lang w:val="fr-FR"/>
        </w:rPr>
        <w:t>calmer</w:t>
      </w:r>
      <w:r>
        <w:rPr>
          <w:lang w:val="fr-FR"/>
        </w:rPr>
        <w:t xml:space="preserve"> les préoccupations qui pourraient être soulevées en matière de gouvernance, d'efficacité et de rentabilité, </w:t>
      </w:r>
      <w:r w:rsidR="00130182">
        <w:rPr>
          <w:lang w:val="fr-FR"/>
        </w:rPr>
        <w:t>compte tenu</w:t>
      </w:r>
      <w:r>
        <w:rPr>
          <w:lang w:val="fr-FR"/>
        </w:rPr>
        <w:t xml:space="preserve"> de l'existence de ce cadre global.</w:t>
      </w:r>
    </w:p>
    <w:p w:rsidR="00E31FBB" w:rsidRPr="0082182F" w:rsidRDefault="00E31FBB" w:rsidP="00E31FBB">
      <w:pPr>
        <w:pStyle w:val="COMPara"/>
        <w:numPr>
          <w:ilvl w:val="3"/>
          <w:numId w:val="2"/>
        </w:numPr>
        <w:ind w:left="567" w:hanging="567"/>
        <w:jc w:val="both"/>
        <w:rPr>
          <w:lang w:val="fr-FR"/>
        </w:rPr>
      </w:pPr>
      <w:r w:rsidRPr="000B1C8F">
        <w:rPr>
          <w:lang w:val="fr-FR"/>
        </w:rPr>
        <w:t>Le Comité souhaitera peut-être adopter la décision suivante :</w:t>
      </w:r>
    </w:p>
    <w:p w:rsidR="00E31FBB" w:rsidRPr="0082182F" w:rsidRDefault="00E31FBB" w:rsidP="00E31FBB">
      <w:pPr>
        <w:pStyle w:val="COMTitleDecision"/>
        <w:rPr>
          <w:rFonts w:eastAsia="SimSun"/>
          <w:lang w:val="fr-FR"/>
        </w:rPr>
      </w:pPr>
      <w:r>
        <w:rPr>
          <w:lang w:val="fr-FR"/>
        </w:rPr>
        <w:t>PROJET DE DÉCISION 14.COM 15</w:t>
      </w:r>
    </w:p>
    <w:p w:rsidR="00E31FBB" w:rsidRPr="0082182F" w:rsidRDefault="00E31FBB" w:rsidP="00E31FBB">
      <w:pPr>
        <w:pStyle w:val="COMPreambulaDecisions"/>
        <w:rPr>
          <w:rFonts w:eastAsia="SimSun"/>
          <w:lang w:val="fr-FR"/>
        </w:rPr>
      </w:pPr>
      <w:r w:rsidRPr="00285BB4">
        <w:rPr>
          <w:lang w:val="fr-FR"/>
        </w:rPr>
        <w:t>Le Comité,</w:t>
      </w:r>
    </w:p>
    <w:p w:rsidR="00E31FBB" w:rsidRPr="0082182F" w:rsidRDefault="00E31FBB" w:rsidP="00E31FBB">
      <w:pPr>
        <w:pStyle w:val="COMParaDecision"/>
        <w:jc w:val="left"/>
        <w:rPr>
          <w:lang w:val="fr-FR"/>
        </w:rPr>
      </w:pPr>
      <w:r w:rsidRPr="00345CB4">
        <w:rPr>
          <w:lang w:val="fr-FR"/>
        </w:rPr>
        <w:t>Ayant examiné</w:t>
      </w:r>
      <w:r w:rsidRPr="00F32C23">
        <w:rPr>
          <w:u w:val="none"/>
          <w:lang w:val="fr-FR"/>
        </w:rPr>
        <w:t xml:space="preserve"> le document LHE/19/14.COM/15,</w:t>
      </w:r>
    </w:p>
    <w:p w:rsidR="00E31FBB" w:rsidRPr="0082182F" w:rsidRDefault="00E31FBB" w:rsidP="00E31FBB">
      <w:pPr>
        <w:pStyle w:val="COMParaDecision"/>
        <w:rPr>
          <w:u w:val="none"/>
          <w:lang w:val="fr-FR"/>
        </w:rPr>
      </w:pPr>
      <w:r w:rsidRPr="002912E3">
        <w:rPr>
          <w:lang w:val="fr-FR"/>
        </w:rPr>
        <w:t>Rappelant</w:t>
      </w:r>
      <w:r w:rsidRPr="00C2323C">
        <w:rPr>
          <w:u w:val="none"/>
          <w:lang w:val="fr-FR"/>
        </w:rPr>
        <w:t xml:space="preserve"> la </w:t>
      </w:r>
      <w:hyperlink r:id="rId18" w:history="1">
        <w:r w:rsidR="00793EEF">
          <w:rPr>
            <w:rStyle w:val="Hyperlink"/>
            <w:lang w:val="fr-FR"/>
          </w:rPr>
          <w:t>r</w:t>
        </w:r>
        <w:r w:rsidRPr="00F14E73">
          <w:rPr>
            <w:rStyle w:val="Hyperlink"/>
            <w:lang w:val="fr-FR"/>
          </w:rPr>
          <w:t>ésolution 7.GA 11</w:t>
        </w:r>
      </w:hyperlink>
      <w:r w:rsidR="00793EEF">
        <w:rPr>
          <w:u w:val="none"/>
          <w:lang w:val="fr-FR"/>
        </w:rPr>
        <w:t>, ainsi que les d</w:t>
      </w:r>
      <w:r w:rsidRPr="00C2323C">
        <w:rPr>
          <w:u w:val="none"/>
          <w:lang w:val="fr-FR"/>
        </w:rPr>
        <w:t xml:space="preserve">écisions </w:t>
      </w:r>
      <w:hyperlink r:id="rId19" w:history="1">
        <w:r w:rsidRPr="0090067F">
          <w:rPr>
            <w:rStyle w:val="Hyperlink"/>
            <w:lang w:val="fr-FR"/>
          </w:rPr>
          <w:t>12.COM 17</w:t>
        </w:r>
      </w:hyperlink>
      <w:r w:rsidRPr="00C2323C">
        <w:rPr>
          <w:u w:val="none"/>
          <w:lang w:val="fr-FR"/>
        </w:rPr>
        <w:t xml:space="preserve"> et </w:t>
      </w:r>
      <w:hyperlink r:id="rId20" w:history="1">
        <w:r w:rsidRPr="0090067F">
          <w:rPr>
            <w:rStyle w:val="Hyperlink"/>
            <w:lang w:val="fr-FR"/>
          </w:rPr>
          <w:t>13.COM 13</w:t>
        </w:r>
      </w:hyperlink>
      <w:r w:rsidRPr="00C2323C">
        <w:rPr>
          <w:u w:val="none"/>
          <w:lang w:val="fr-FR"/>
        </w:rPr>
        <w:t>,</w:t>
      </w:r>
    </w:p>
    <w:p w:rsidR="00E31FBB" w:rsidRPr="0082182F" w:rsidRDefault="00E31FBB" w:rsidP="00E31FBB">
      <w:pPr>
        <w:pStyle w:val="COMParaDecision"/>
        <w:rPr>
          <w:u w:val="none"/>
          <w:lang w:val="fr-FR"/>
        </w:rPr>
      </w:pPr>
      <w:r>
        <w:rPr>
          <w:lang w:val="fr-FR"/>
        </w:rPr>
        <w:t xml:space="preserve">Rappelant </w:t>
      </w:r>
      <w:r w:rsidR="006A587C">
        <w:rPr>
          <w:lang w:val="fr-FR"/>
        </w:rPr>
        <w:t>en outre</w:t>
      </w:r>
      <w:r w:rsidR="004373B8">
        <w:rPr>
          <w:u w:val="none"/>
          <w:lang w:val="fr-FR"/>
        </w:rPr>
        <w:t xml:space="preserve"> les documents </w:t>
      </w:r>
      <w:hyperlink r:id="rId21" w:history="1">
        <w:r w:rsidRPr="00F14E73">
          <w:rPr>
            <w:rStyle w:val="Hyperlink"/>
            <w:lang w:val="fr-FR"/>
          </w:rPr>
          <w:t>ITH/17/12.COM/17</w:t>
        </w:r>
      </w:hyperlink>
      <w:r w:rsidRPr="00C2323C">
        <w:rPr>
          <w:u w:val="none"/>
          <w:lang w:val="fr-FR"/>
        </w:rPr>
        <w:t xml:space="preserve"> et </w:t>
      </w:r>
      <w:hyperlink r:id="rId22" w:history="1">
        <w:r w:rsidRPr="00E83ECF">
          <w:rPr>
            <w:rStyle w:val="Hyperlink"/>
            <w:lang w:val="fr-FR"/>
          </w:rPr>
          <w:t>ITH/18/13.COM/13</w:t>
        </w:r>
      </w:hyperlink>
      <w:r w:rsidRPr="00C2323C">
        <w:rPr>
          <w:u w:val="none"/>
          <w:lang w:val="fr-FR"/>
        </w:rPr>
        <w:t xml:space="preserve">, ainsi que les documents </w:t>
      </w:r>
      <w:hyperlink r:id="rId23" w:history="1">
        <w:r w:rsidRPr="0090067F">
          <w:rPr>
            <w:rStyle w:val="Hyperlink"/>
            <w:lang w:val="fr-FR"/>
          </w:rPr>
          <w:t>LHE/19/NGO/2</w:t>
        </w:r>
      </w:hyperlink>
      <w:r w:rsidRPr="00C2323C">
        <w:rPr>
          <w:u w:val="none"/>
          <w:lang w:val="fr-FR"/>
        </w:rPr>
        <w:t xml:space="preserve"> et </w:t>
      </w:r>
      <w:hyperlink r:id="rId24" w:history="1">
        <w:r w:rsidRPr="0090067F">
          <w:rPr>
            <w:rStyle w:val="Hyperlink"/>
            <w:lang w:val="fr-FR"/>
          </w:rPr>
          <w:t>LHE/19/NGO/3</w:t>
        </w:r>
      </w:hyperlink>
      <w:r w:rsidRPr="00C2323C">
        <w:rPr>
          <w:u w:val="none"/>
          <w:lang w:val="fr-FR"/>
        </w:rPr>
        <w:t xml:space="preserve"> élaborés durant le processus de réflexion sur les fonctions consultatives à exécuter par les organisations non-gouvernementales accréditées,</w:t>
      </w:r>
    </w:p>
    <w:p w:rsidR="00E31FBB" w:rsidRPr="0082182F" w:rsidRDefault="00E31FBB" w:rsidP="00E31FBB">
      <w:pPr>
        <w:pStyle w:val="COMParaDecision"/>
        <w:rPr>
          <w:u w:val="none"/>
          <w:lang w:val="fr-FR"/>
        </w:rPr>
      </w:pPr>
      <w:r w:rsidRPr="0090067F">
        <w:rPr>
          <w:lang w:val="fr-FR"/>
        </w:rPr>
        <w:t>Remercie</w:t>
      </w:r>
      <w:r w:rsidRPr="0090067F">
        <w:rPr>
          <w:u w:val="none"/>
          <w:lang w:val="fr-FR"/>
        </w:rPr>
        <w:t xml:space="preserve"> le Secrétariat, les organisations non</w:t>
      </w:r>
      <w:r w:rsidR="00130182">
        <w:rPr>
          <w:u w:val="none"/>
          <w:lang w:val="fr-FR"/>
        </w:rPr>
        <w:t xml:space="preserve"> </w:t>
      </w:r>
      <w:r w:rsidRPr="0090067F">
        <w:rPr>
          <w:u w:val="none"/>
          <w:lang w:val="fr-FR"/>
        </w:rPr>
        <w:t>gouvernementales accréditées, le Forum des ONG-PCI, le groupe de travail informel ad hoc à composition non limitée et les États partie</w:t>
      </w:r>
      <w:r w:rsidR="00130182">
        <w:rPr>
          <w:u w:val="none"/>
          <w:lang w:val="fr-FR"/>
        </w:rPr>
        <w:t>s</w:t>
      </w:r>
      <w:r w:rsidRPr="0090067F">
        <w:rPr>
          <w:u w:val="none"/>
          <w:lang w:val="fr-FR"/>
        </w:rPr>
        <w:t xml:space="preserve"> pour la réflexion qu'ils ont menée sur les fonctions consultatives à remplir par les organisations non</w:t>
      </w:r>
      <w:r w:rsidR="00130182">
        <w:rPr>
          <w:u w:val="none"/>
          <w:lang w:val="fr-FR"/>
        </w:rPr>
        <w:t xml:space="preserve"> </w:t>
      </w:r>
      <w:r w:rsidRPr="0090067F">
        <w:rPr>
          <w:u w:val="none"/>
          <w:lang w:val="fr-FR"/>
        </w:rPr>
        <w:t>gouvernementales ;</w:t>
      </w:r>
    </w:p>
    <w:p w:rsidR="00E31FBB" w:rsidRPr="007319C0" w:rsidRDefault="00E31FBB" w:rsidP="00E31FBB">
      <w:pPr>
        <w:pStyle w:val="COMParaDecision"/>
        <w:rPr>
          <w:u w:val="none"/>
          <w:lang w:val="fr-FR"/>
        </w:rPr>
      </w:pPr>
      <w:r w:rsidRPr="007319C0">
        <w:rPr>
          <w:lang w:val="fr-FR"/>
        </w:rPr>
        <w:t>Demande</w:t>
      </w:r>
      <w:r w:rsidRPr="007319C0">
        <w:rPr>
          <w:u w:val="none"/>
          <w:lang w:val="fr-FR"/>
        </w:rPr>
        <w:t xml:space="preserve"> au Secrétariat de recueillir des informations pertinentes auprès des organisations non</w:t>
      </w:r>
      <w:r w:rsidR="00130182" w:rsidRPr="007319C0">
        <w:rPr>
          <w:u w:val="none"/>
          <w:lang w:val="fr-FR"/>
        </w:rPr>
        <w:t xml:space="preserve"> </w:t>
      </w:r>
      <w:r w:rsidRPr="007319C0">
        <w:rPr>
          <w:u w:val="none"/>
          <w:lang w:val="fr-FR"/>
        </w:rPr>
        <w:t xml:space="preserve">gouvernementales accréditées afin de </w:t>
      </w:r>
      <w:r w:rsidR="00130182" w:rsidRPr="007319C0">
        <w:rPr>
          <w:u w:val="none"/>
          <w:lang w:val="fr-FR"/>
        </w:rPr>
        <w:t>réaliser une cartographie de</w:t>
      </w:r>
      <w:r w:rsidRPr="007319C0">
        <w:rPr>
          <w:u w:val="none"/>
          <w:lang w:val="fr-FR"/>
        </w:rPr>
        <w:t xml:space="preserve"> leurs domaines de compétence, en tenant compte de leurs capacités ;</w:t>
      </w:r>
    </w:p>
    <w:p w:rsidR="00E31FBB" w:rsidRPr="007319C0" w:rsidRDefault="00E31FBB" w:rsidP="00E31FBB">
      <w:pPr>
        <w:pStyle w:val="COMParaDecision"/>
        <w:rPr>
          <w:u w:val="none"/>
          <w:lang w:val="fr-FR"/>
        </w:rPr>
      </w:pPr>
      <w:r w:rsidRPr="007319C0">
        <w:rPr>
          <w:lang w:val="fr-FR"/>
        </w:rPr>
        <w:t>Encourage</w:t>
      </w:r>
      <w:r w:rsidRPr="007319C0">
        <w:rPr>
          <w:u w:val="none"/>
          <w:lang w:val="fr-FR"/>
        </w:rPr>
        <w:t xml:space="preserve"> les États parties, le Forum des ONG-PCI, les organisations non</w:t>
      </w:r>
      <w:r w:rsidR="00130182" w:rsidRPr="007319C0">
        <w:rPr>
          <w:u w:val="none"/>
          <w:lang w:val="fr-FR"/>
        </w:rPr>
        <w:t xml:space="preserve"> </w:t>
      </w:r>
      <w:r w:rsidRPr="007319C0">
        <w:rPr>
          <w:u w:val="none"/>
          <w:lang w:val="fr-FR"/>
        </w:rPr>
        <w:t>gouvernementales accréditées, les centres de catégorie 2 et les Chaires UNESCO à organiser des activités de renforcement des capacités pour les organisations non</w:t>
      </w:r>
      <w:r w:rsidR="00130182" w:rsidRPr="007319C0">
        <w:rPr>
          <w:u w:val="none"/>
          <w:lang w:val="fr-FR"/>
        </w:rPr>
        <w:t xml:space="preserve"> </w:t>
      </w:r>
      <w:r w:rsidRPr="007319C0">
        <w:rPr>
          <w:u w:val="none"/>
          <w:lang w:val="fr-FR"/>
        </w:rPr>
        <w:t>gouvernementales récemment accréditées et les organisations non</w:t>
      </w:r>
      <w:r w:rsidR="00130182" w:rsidRPr="007319C0">
        <w:rPr>
          <w:u w:val="none"/>
          <w:lang w:val="fr-FR"/>
        </w:rPr>
        <w:t xml:space="preserve"> </w:t>
      </w:r>
      <w:r w:rsidRPr="007319C0">
        <w:rPr>
          <w:u w:val="none"/>
          <w:lang w:val="fr-FR"/>
        </w:rPr>
        <w:t>gouvernementales intéressées par une future accréditation, en prêtant une attention particulière aux organisations non</w:t>
      </w:r>
      <w:r w:rsidR="00130182" w:rsidRPr="007319C0">
        <w:rPr>
          <w:u w:val="none"/>
          <w:lang w:val="fr-FR"/>
        </w:rPr>
        <w:t xml:space="preserve"> </w:t>
      </w:r>
      <w:r w:rsidRPr="007319C0">
        <w:rPr>
          <w:u w:val="none"/>
          <w:lang w:val="fr-FR"/>
        </w:rPr>
        <w:t xml:space="preserve">gouvernementales </w:t>
      </w:r>
      <w:r w:rsidR="00130182" w:rsidRPr="007319C0">
        <w:rPr>
          <w:u w:val="none"/>
          <w:lang w:val="fr-FR"/>
        </w:rPr>
        <w:t>provenant de</w:t>
      </w:r>
      <w:r w:rsidRPr="007319C0">
        <w:rPr>
          <w:u w:val="none"/>
          <w:lang w:val="fr-FR"/>
        </w:rPr>
        <w:t xml:space="preserve"> régions sous-représentées ;</w:t>
      </w:r>
    </w:p>
    <w:p w:rsidR="00E31FBB" w:rsidRPr="004373B8" w:rsidRDefault="007319C0" w:rsidP="00E31FBB">
      <w:pPr>
        <w:pStyle w:val="COMParaDecision"/>
        <w:rPr>
          <w:u w:val="none"/>
          <w:lang w:val="fr-FR"/>
        </w:rPr>
      </w:pPr>
      <w:r>
        <w:rPr>
          <w:lang w:val="fr-FR"/>
        </w:rPr>
        <w:t>Demande</w:t>
      </w:r>
      <w:r w:rsidR="00E31FBB" w:rsidRPr="00421FAA">
        <w:rPr>
          <w:lang w:val="fr-FR"/>
        </w:rPr>
        <w:t xml:space="preserve"> en outre</w:t>
      </w:r>
      <w:r w:rsidR="00E31FBB" w:rsidRPr="00421FAA">
        <w:rPr>
          <w:u w:val="none"/>
          <w:lang w:val="fr-FR"/>
        </w:rPr>
        <w:t xml:space="preserve"> </w:t>
      </w:r>
      <w:r>
        <w:rPr>
          <w:u w:val="none"/>
          <w:lang w:val="fr-FR"/>
        </w:rPr>
        <w:t>que le Secrétariat rend</w:t>
      </w:r>
      <w:r w:rsidR="00E31FBB" w:rsidRPr="00421FAA">
        <w:rPr>
          <w:u w:val="none"/>
          <w:lang w:val="fr-FR"/>
        </w:rPr>
        <w:t>e compte des conclusions du processus de consultation à la huitième session de l'Assemblée générale en 2020.</w:t>
      </w:r>
    </w:p>
    <w:sectPr w:rsidR="00E31FBB" w:rsidRPr="004373B8" w:rsidSect="00E31FBB">
      <w:headerReference w:type="even" r:id="rId25"/>
      <w:headerReference w:type="default" r:id="rId26"/>
      <w:headerReference w:type="first" r:id="rId2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D11" w:rsidRDefault="00E91D11">
      <w:r>
        <w:separator/>
      </w:r>
    </w:p>
  </w:endnote>
  <w:endnote w:type="continuationSeparator" w:id="0">
    <w:p w:rsidR="00E91D11" w:rsidRDefault="00E9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D11" w:rsidRDefault="00E91D11" w:rsidP="00E31FBB">
      <w:r>
        <w:separator/>
      </w:r>
    </w:p>
  </w:footnote>
  <w:footnote w:type="continuationSeparator" w:id="0">
    <w:p w:rsidR="00E91D11" w:rsidRDefault="00E91D11" w:rsidP="00E31FBB">
      <w:r>
        <w:continuationSeparator/>
      </w:r>
    </w:p>
  </w:footnote>
  <w:footnote w:id="1">
    <w:p w:rsidR="00E31FBB" w:rsidRPr="0082182F" w:rsidRDefault="00E31FBB" w:rsidP="00E31FBB">
      <w:pPr>
        <w:pStyle w:val="FootnoteText"/>
        <w:ind w:left="567" w:hanging="567"/>
        <w:jc w:val="both"/>
        <w:rPr>
          <w:rFonts w:ascii="Arial" w:hAnsi="Arial" w:cs="Arial"/>
          <w:sz w:val="18"/>
          <w:szCs w:val="18"/>
        </w:rPr>
      </w:pPr>
      <w:r w:rsidRPr="006A587C">
        <w:rPr>
          <w:rStyle w:val="FootnoteReference"/>
          <w:rFonts w:ascii="Arial" w:hAnsi="Arial" w:cs="Arial"/>
          <w:sz w:val="18"/>
          <w:szCs w:val="18"/>
        </w:rPr>
        <w:footnoteRef/>
      </w:r>
      <w:r w:rsidR="006A587C" w:rsidRPr="006A587C">
        <w:rPr>
          <w:rFonts w:ascii="Arial" w:hAnsi="Arial" w:cs="Arial"/>
          <w:sz w:val="18"/>
          <w:szCs w:val="18"/>
          <w:vertAlign w:val="superscript"/>
        </w:rPr>
        <w:t>.</w:t>
      </w:r>
      <w:r w:rsidRPr="006A587C">
        <w:rPr>
          <w:rFonts w:ascii="Arial" w:hAnsi="Arial" w:cs="Arial"/>
          <w:sz w:val="18"/>
          <w:szCs w:val="18"/>
          <w:vertAlign w:val="superscript"/>
        </w:rPr>
        <w:t xml:space="preserve"> </w:t>
      </w:r>
      <w:r>
        <w:rPr>
          <w:rFonts w:ascii="Arial" w:hAnsi="Arial" w:cs="Arial"/>
          <w:sz w:val="18"/>
          <w:szCs w:val="18"/>
        </w:rPr>
        <w:tab/>
        <w:t xml:space="preserve">Les documents élaborés au cours du processus de réflexion sont consultables sur </w:t>
      </w:r>
      <w:r w:rsidR="00E3107E">
        <w:rPr>
          <w:rFonts w:ascii="Arial" w:hAnsi="Arial" w:cs="Arial"/>
          <w:sz w:val="18"/>
          <w:szCs w:val="18"/>
        </w:rPr>
        <w:t>l</w:t>
      </w:r>
      <w:r>
        <w:rPr>
          <w:rFonts w:ascii="Arial" w:hAnsi="Arial" w:cs="Arial"/>
          <w:sz w:val="18"/>
          <w:szCs w:val="18"/>
        </w:rPr>
        <w:t xml:space="preserve">a </w:t>
      </w:r>
      <w:hyperlink r:id="rId1" w:history="1">
        <w:r>
          <w:rPr>
            <w:rStyle w:val="Hyperlink"/>
            <w:rFonts w:ascii="Arial" w:hAnsi="Arial" w:cs="Arial"/>
            <w:sz w:val="18"/>
            <w:szCs w:val="18"/>
          </w:rPr>
          <w:t>page Internet</w:t>
        </w:r>
      </w:hyperlink>
      <w:r>
        <w:rPr>
          <w:rFonts w:ascii="Arial" w:hAnsi="Arial" w:cs="Arial"/>
          <w:sz w:val="18"/>
          <w:szCs w:val="18"/>
        </w:rPr>
        <w:t xml:space="preserve"> dédiée. Elle comporte le document de travail de la réunion de consultation, qui expose les principaux enseignements tirés de la consultation électronique, ainsi que le rapport de la réunion de consultation.</w:t>
      </w:r>
    </w:p>
  </w:footnote>
  <w:footnote w:id="2">
    <w:p w:rsidR="00E31FBB" w:rsidRPr="0082182F" w:rsidRDefault="00E31FBB" w:rsidP="00E31FBB">
      <w:pPr>
        <w:pStyle w:val="FootnoteText"/>
        <w:ind w:left="567" w:hanging="567"/>
        <w:jc w:val="both"/>
        <w:rPr>
          <w:rFonts w:ascii="Arial" w:hAnsi="Arial" w:cs="Arial"/>
          <w:sz w:val="18"/>
          <w:szCs w:val="18"/>
        </w:rPr>
      </w:pPr>
      <w:r w:rsidRPr="006A587C">
        <w:rPr>
          <w:rStyle w:val="FootnoteReference"/>
          <w:rFonts w:ascii="Arial" w:hAnsi="Arial" w:cs="Arial"/>
          <w:sz w:val="18"/>
          <w:szCs w:val="18"/>
        </w:rPr>
        <w:footnoteRef/>
      </w:r>
      <w:r w:rsidRPr="006A587C">
        <w:rPr>
          <w:rFonts w:ascii="Arial" w:hAnsi="Arial" w:cs="Arial"/>
          <w:sz w:val="18"/>
          <w:szCs w:val="18"/>
          <w:vertAlign w:val="superscript"/>
        </w:rPr>
        <w:t xml:space="preserve">. </w:t>
      </w:r>
      <w:r>
        <w:rPr>
          <w:rFonts w:ascii="Arial" w:hAnsi="Arial" w:cs="Arial"/>
          <w:sz w:val="18"/>
          <w:szCs w:val="18"/>
        </w:rPr>
        <w:tab/>
        <w:t xml:space="preserve">Ces </w:t>
      </w:r>
      <w:r w:rsidR="00011DB3">
        <w:rPr>
          <w:rFonts w:ascii="Arial" w:hAnsi="Arial" w:cs="Arial"/>
          <w:sz w:val="18"/>
          <w:szCs w:val="18"/>
        </w:rPr>
        <w:t>catégories</w:t>
      </w:r>
      <w:r>
        <w:rPr>
          <w:rFonts w:ascii="Arial" w:hAnsi="Arial" w:cs="Arial"/>
          <w:sz w:val="18"/>
          <w:szCs w:val="18"/>
        </w:rPr>
        <w:t xml:space="preserve"> peuvent également être observées </w:t>
      </w:r>
      <w:bookmarkStart w:id="0" w:name="_GoBack"/>
      <w:bookmarkEnd w:id="0"/>
      <w:r w:rsidRPr="00A83D80">
        <w:rPr>
          <w:rFonts w:ascii="Arial" w:hAnsi="Arial" w:cs="Arial"/>
          <w:sz w:val="18"/>
          <w:szCs w:val="18"/>
        </w:rPr>
        <w:t xml:space="preserve">dans le profil des ONG dont l’accréditation est recommandée au cours de la présente session du Comité (voir document </w:t>
      </w:r>
      <w:hyperlink r:id="rId2" w:history="1">
        <w:r w:rsidRPr="00A83D80">
          <w:rPr>
            <w:rStyle w:val="Hyperlink"/>
            <w:rFonts w:ascii="Arial" w:hAnsi="Arial" w:cs="Arial"/>
            <w:sz w:val="18"/>
            <w:szCs w:val="18"/>
          </w:rPr>
          <w:t>LHE/19/14.COM/17</w:t>
        </w:r>
      </w:hyperlink>
      <w:r w:rsidRPr="00A83D80">
        <w:rPr>
          <w:rFonts w:ascii="Arial" w:hAnsi="Arial" w:cs="Arial"/>
          <w:sz w:val="18"/>
          <w:szCs w:val="18"/>
        </w:rPr>
        <w:t>).</w:t>
      </w:r>
    </w:p>
  </w:footnote>
  <w:footnote w:id="3">
    <w:p w:rsidR="00E31FBB" w:rsidRPr="0082182F" w:rsidRDefault="00E31FBB" w:rsidP="00E31FBB">
      <w:pPr>
        <w:pStyle w:val="COMPara"/>
        <w:numPr>
          <w:ilvl w:val="0"/>
          <w:numId w:val="0"/>
        </w:numPr>
        <w:spacing w:after="0"/>
        <w:ind w:left="567" w:hanging="567"/>
        <w:contextualSpacing/>
        <w:jc w:val="both"/>
        <w:rPr>
          <w:bCs/>
          <w:sz w:val="18"/>
          <w:szCs w:val="18"/>
          <w:lang w:val="fr-FR"/>
        </w:rPr>
      </w:pPr>
      <w:r w:rsidRPr="006A587C">
        <w:rPr>
          <w:rStyle w:val="FootnoteReference"/>
          <w:sz w:val="18"/>
          <w:szCs w:val="18"/>
        </w:rPr>
        <w:footnoteRef/>
      </w:r>
      <w:r w:rsidRPr="006A587C">
        <w:rPr>
          <w:sz w:val="18"/>
          <w:szCs w:val="18"/>
          <w:vertAlign w:val="superscript"/>
          <w:lang w:val="fr-FR"/>
        </w:rPr>
        <w:t>.</w:t>
      </w:r>
      <w:r w:rsidRPr="00BE4A7A">
        <w:rPr>
          <w:sz w:val="18"/>
          <w:szCs w:val="18"/>
          <w:lang w:val="fr-FR"/>
        </w:rPr>
        <w:t xml:space="preserve"> </w:t>
      </w:r>
      <w:r w:rsidRPr="00BE4A7A">
        <w:rPr>
          <w:sz w:val="18"/>
          <w:szCs w:val="18"/>
          <w:lang w:val="fr-FR"/>
        </w:rPr>
        <w:tab/>
        <w:t xml:space="preserve">La </w:t>
      </w:r>
      <w:hyperlink r:id="rId3" w:history="1">
        <w:r w:rsidR="00793EEF">
          <w:rPr>
            <w:rStyle w:val="Hyperlink"/>
            <w:bCs/>
            <w:sz w:val="18"/>
            <w:szCs w:val="18"/>
            <w:lang w:val="fr-FR"/>
          </w:rPr>
          <w:t>stratégie globale pour les</w:t>
        </w:r>
        <w:r w:rsidRPr="00BE4A7A">
          <w:rPr>
            <w:rStyle w:val="Hyperlink"/>
            <w:bCs/>
            <w:sz w:val="18"/>
            <w:szCs w:val="18"/>
            <w:lang w:val="fr-FR"/>
          </w:rPr>
          <w:t xml:space="preserve"> partenariat</w:t>
        </w:r>
      </w:hyperlink>
      <w:r w:rsidR="00793EEF">
        <w:rPr>
          <w:rStyle w:val="Hyperlink"/>
          <w:bCs/>
          <w:sz w:val="18"/>
          <w:szCs w:val="18"/>
          <w:lang w:val="fr-FR"/>
        </w:rPr>
        <w:t>s</w:t>
      </w:r>
      <w:r w:rsidRPr="00BE4A7A">
        <w:rPr>
          <w:sz w:val="18"/>
          <w:szCs w:val="18"/>
          <w:lang w:val="fr-FR"/>
        </w:rPr>
        <w:t>, initialement lancée en 2013 et révisée pour être présentée à la 207e</w:t>
      </w:r>
      <w:r w:rsidR="00793EEF" w:rsidRPr="00793EEF">
        <w:rPr>
          <w:sz w:val="18"/>
          <w:szCs w:val="18"/>
          <w:lang w:val="fr-FR"/>
        </w:rPr>
        <w:t> </w:t>
      </w:r>
      <w:r w:rsidRPr="00BE4A7A">
        <w:rPr>
          <w:sz w:val="18"/>
          <w:szCs w:val="18"/>
          <w:lang w:val="fr-FR"/>
        </w:rPr>
        <w:t>session du Conseil exécutif de l'UNESCO en octobre 2019, établi</w:t>
      </w:r>
      <w:r w:rsidR="00130182">
        <w:rPr>
          <w:sz w:val="18"/>
          <w:szCs w:val="18"/>
          <w:lang w:val="fr-FR"/>
        </w:rPr>
        <w:t>t</w:t>
      </w:r>
      <w:r w:rsidRPr="00BE4A7A">
        <w:rPr>
          <w:sz w:val="18"/>
          <w:szCs w:val="18"/>
          <w:lang w:val="fr-FR"/>
        </w:rPr>
        <w:t xml:space="preserve"> un cadre clair </w:t>
      </w:r>
      <w:r w:rsidR="00130182">
        <w:rPr>
          <w:sz w:val="18"/>
          <w:szCs w:val="18"/>
          <w:lang w:val="fr-FR"/>
        </w:rPr>
        <w:t xml:space="preserve">qui permet de s’appuyer sur </w:t>
      </w:r>
      <w:r w:rsidRPr="00BE4A7A">
        <w:rPr>
          <w:sz w:val="18"/>
          <w:szCs w:val="18"/>
          <w:lang w:val="fr-FR"/>
        </w:rPr>
        <w:t>les partenariats afin d</w:t>
      </w:r>
      <w:r w:rsidR="00130182">
        <w:rPr>
          <w:sz w:val="18"/>
          <w:szCs w:val="18"/>
          <w:lang w:val="fr-FR"/>
        </w:rPr>
        <w:t xml:space="preserve">’améliorer </w:t>
      </w:r>
      <w:r w:rsidRPr="00BE4A7A">
        <w:rPr>
          <w:sz w:val="18"/>
          <w:szCs w:val="18"/>
          <w:lang w:val="fr-FR"/>
        </w:rPr>
        <w:t xml:space="preserve">de manière cohérente et stratégique l'impact et la visibilité du programme de l'UNESCO et </w:t>
      </w:r>
      <w:r w:rsidR="00130182">
        <w:rPr>
          <w:sz w:val="18"/>
          <w:szCs w:val="18"/>
          <w:lang w:val="fr-FR"/>
        </w:rPr>
        <w:t>fait en sorte</w:t>
      </w:r>
      <w:r w:rsidRPr="00BE4A7A">
        <w:rPr>
          <w:sz w:val="18"/>
          <w:szCs w:val="18"/>
          <w:lang w:val="fr-FR"/>
        </w:rPr>
        <w:t xml:space="preserve"> que les partenariats contribuent à </w:t>
      </w:r>
      <w:r w:rsidR="00130182">
        <w:rPr>
          <w:sz w:val="18"/>
          <w:szCs w:val="18"/>
          <w:lang w:val="fr-FR"/>
        </w:rPr>
        <w:t xml:space="preserve">obtenir des </w:t>
      </w:r>
      <w:r w:rsidRPr="00BE4A7A">
        <w:rPr>
          <w:sz w:val="18"/>
          <w:szCs w:val="18"/>
          <w:lang w:val="fr-FR"/>
        </w:rPr>
        <w:t xml:space="preserve">résultats optimaux pour atteindre les Objectifs de développement durable. Plus particulièrement, elle définit les </w:t>
      </w:r>
      <w:r w:rsidR="00130182">
        <w:rPr>
          <w:sz w:val="18"/>
          <w:szCs w:val="18"/>
          <w:lang w:val="fr-FR"/>
        </w:rPr>
        <w:t xml:space="preserve">règles </w:t>
      </w:r>
      <w:r w:rsidR="008F3FA4">
        <w:rPr>
          <w:sz w:val="18"/>
          <w:szCs w:val="18"/>
          <w:lang w:val="fr-FR"/>
        </w:rPr>
        <w:t>principales</w:t>
      </w:r>
      <w:r w:rsidR="00130182">
        <w:rPr>
          <w:sz w:val="18"/>
          <w:szCs w:val="18"/>
          <w:lang w:val="fr-FR"/>
        </w:rPr>
        <w:t xml:space="preserve"> d’établissement et </w:t>
      </w:r>
      <w:r w:rsidRPr="00BE4A7A">
        <w:rPr>
          <w:sz w:val="18"/>
          <w:szCs w:val="18"/>
          <w:lang w:val="fr-FR"/>
        </w:rPr>
        <w:t xml:space="preserve">de </w:t>
      </w:r>
      <w:r w:rsidR="00130182">
        <w:rPr>
          <w:sz w:val="18"/>
          <w:szCs w:val="18"/>
          <w:lang w:val="fr-FR"/>
        </w:rPr>
        <w:t xml:space="preserve">rupture des relations, </w:t>
      </w:r>
      <w:r w:rsidRPr="00BE4A7A">
        <w:rPr>
          <w:sz w:val="18"/>
          <w:szCs w:val="18"/>
          <w:lang w:val="fr-FR"/>
        </w:rPr>
        <w:t xml:space="preserve">et </w:t>
      </w:r>
      <w:r w:rsidR="008F3FA4">
        <w:rPr>
          <w:sz w:val="18"/>
          <w:szCs w:val="18"/>
          <w:lang w:val="fr-FR"/>
        </w:rPr>
        <w:t>la</w:t>
      </w:r>
      <w:r w:rsidRPr="00BE4A7A">
        <w:rPr>
          <w:sz w:val="18"/>
          <w:szCs w:val="18"/>
          <w:lang w:val="fr-FR"/>
        </w:rPr>
        <w:t xml:space="preserve"> gestion proactive des partenariats, y compris ceux avec les ONG.</w:t>
      </w:r>
    </w:p>
    <w:p w:rsidR="00E31FBB" w:rsidRPr="00D9230D" w:rsidRDefault="00E31FBB" w:rsidP="00D9230D">
      <w:pPr>
        <w:pStyle w:val="COMPara"/>
        <w:numPr>
          <w:ilvl w:val="0"/>
          <w:numId w:val="0"/>
        </w:numPr>
        <w:ind w:left="567" w:hanging="567"/>
        <w:jc w:val="both"/>
        <w:rPr>
          <w:bCs/>
          <w:sz w:val="18"/>
          <w:szCs w:val="18"/>
          <w:lang w:val="fr-FR"/>
        </w:rPr>
      </w:pPr>
      <w:r>
        <w:rPr>
          <w:bCs/>
          <w:sz w:val="18"/>
          <w:szCs w:val="18"/>
          <w:lang w:val="fr-FR"/>
        </w:rPr>
        <w:tab/>
        <w:t xml:space="preserve">En outre, le cadre de l'UNESCO </w:t>
      </w:r>
      <w:r w:rsidR="008F3FA4">
        <w:rPr>
          <w:bCs/>
          <w:sz w:val="18"/>
          <w:szCs w:val="18"/>
          <w:lang w:val="fr-FR"/>
        </w:rPr>
        <w:t>relatif aux</w:t>
      </w:r>
      <w:r>
        <w:rPr>
          <w:bCs/>
          <w:sz w:val="18"/>
          <w:szCs w:val="18"/>
          <w:lang w:val="fr-FR"/>
        </w:rPr>
        <w:t xml:space="preserve"> relations officielles avec les ONG est défini par les </w:t>
      </w:r>
      <w:hyperlink r:id="rId4" w:history="1">
        <w:r w:rsidRPr="00BE4A7A">
          <w:rPr>
            <w:rStyle w:val="Hyperlink"/>
            <w:bCs/>
            <w:sz w:val="18"/>
            <w:szCs w:val="18"/>
            <w:lang w:val="fr-FR"/>
          </w:rPr>
          <w:t>Directives concernant les relations de l'UNESCO avec les fondations et d'autres institutions similaires</w:t>
        </w:r>
      </w:hyperlink>
      <w:r>
        <w:rPr>
          <w:bCs/>
          <w:sz w:val="18"/>
          <w:szCs w:val="18"/>
          <w:lang w:val="fr-FR"/>
        </w:rPr>
        <w:t xml:space="preserve">. </w:t>
      </w:r>
      <w:r w:rsidR="00FE7796">
        <w:rPr>
          <w:bCs/>
          <w:sz w:val="18"/>
          <w:szCs w:val="18"/>
          <w:lang w:val="fr-FR"/>
        </w:rPr>
        <w:t>Conçues pour améliorer la participation de la société civile à la préparation et l'exécution du mandat de l'UNESCO, elles définissent deux catégories différentes de partenariats, les critères spécifiques, les obligations et les avantages de chacune de ces catégories, ainsi que les procédures d'admission, de modification, de cessation et de suspension des partenariats avec les ONG.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FBB" w:rsidRPr="00C23A97" w:rsidRDefault="00E31FBB" w:rsidP="00E31FBB">
    <w:pPr>
      <w:pStyle w:val="Header"/>
      <w:rPr>
        <w:rFonts w:ascii="Arial" w:hAnsi="Arial" w:cs="Arial"/>
        <w:lang w:val="en-GB"/>
      </w:rPr>
    </w:pPr>
    <w:r>
      <w:rPr>
        <w:rFonts w:ascii="Arial" w:hAnsi="Arial" w:cs="Arial"/>
        <w:sz w:val="20"/>
        <w:szCs w:val="20"/>
      </w:rPr>
      <w:t xml:space="preserve">LHE/19/14.COM/15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lang w:val="en-GB"/>
      </w:rPr>
      <w:fldChar w:fldCharType="separate"/>
    </w:r>
    <w:r w:rsidR="00A83D80">
      <w:rPr>
        <w:rStyle w:val="PageNumber"/>
        <w:rFonts w:ascii="Arial" w:hAnsi="Arial" w:cs="Arial"/>
        <w:noProof/>
        <w:sz w:val="20"/>
        <w:szCs w:val="20"/>
      </w:rPr>
      <w:t>4</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FBB" w:rsidRPr="00616173" w:rsidRDefault="00E31FBB" w:rsidP="00E31FBB">
    <w:pPr>
      <w:pStyle w:val="Header"/>
      <w:jc w:val="right"/>
      <w:rPr>
        <w:rFonts w:ascii="Arial" w:hAnsi="Arial" w:cs="Arial"/>
        <w:lang w:val="en-GB"/>
      </w:rPr>
    </w:pPr>
    <w:r>
      <w:rPr>
        <w:rFonts w:ascii="Arial" w:hAnsi="Arial" w:cs="Arial"/>
        <w:sz w:val="20"/>
        <w:szCs w:val="20"/>
      </w:rPr>
      <w:t xml:space="preserve">LHE/19/14.COM/15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lang w:val="en-GB"/>
      </w:rPr>
      <w:fldChar w:fldCharType="separate"/>
    </w:r>
    <w:r w:rsidR="00A83D80">
      <w:rPr>
        <w:rStyle w:val="PageNumber"/>
        <w:rFonts w:ascii="Arial" w:hAnsi="Arial" w:cs="Arial"/>
        <w:noProof/>
        <w:sz w:val="20"/>
        <w:szCs w:val="20"/>
      </w:rPr>
      <w:t>5</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FBB" w:rsidRPr="00E95AE2" w:rsidRDefault="00895D43" w:rsidP="00E31FBB">
    <w:pPr>
      <w:pStyle w:val="Header"/>
      <w:rPr>
        <w:sz w:val="22"/>
        <w:szCs w:val="22"/>
        <w:lang w:val="en-GB"/>
      </w:rPr>
    </w:pPr>
    <w:r>
      <w:rPr>
        <w:noProof/>
        <w:lang w:eastAsia="ja-JP"/>
      </w:rPr>
      <w:drawing>
        <wp:anchor distT="0" distB="0" distL="114300" distR="114300" simplePos="0" relativeHeight="251660288" behindDoc="0" locked="0" layoutInCell="1" allowOverlap="1" wp14:anchorId="77C7F1DD" wp14:editId="4C969D53">
          <wp:simplePos x="0" y="0"/>
          <wp:positionH relativeFrom="page">
            <wp:posOffset>345440</wp:posOffset>
          </wp:positionH>
          <wp:positionV relativeFrom="page">
            <wp:posOffset>164465</wp:posOffset>
          </wp:positionV>
          <wp:extent cx="2037600" cy="15300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1FBB" w:rsidRPr="0082182F" w:rsidRDefault="00E31FBB" w:rsidP="00E31FBB">
    <w:pPr>
      <w:pStyle w:val="Header"/>
      <w:spacing w:after="520"/>
      <w:jc w:val="right"/>
      <w:rPr>
        <w:rFonts w:ascii="Arial" w:hAnsi="Arial" w:cs="Arial"/>
        <w:b/>
        <w:sz w:val="44"/>
        <w:szCs w:val="44"/>
      </w:rPr>
    </w:pPr>
    <w:r>
      <w:rPr>
        <w:rFonts w:ascii="Arial" w:hAnsi="Arial" w:cs="Arial"/>
        <w:b/>
        <w:sz w:val="44"/>
        <w:szCs w:val="44"/>
      </w:rPr>
      <w:t>14 COM</w:t>
    </w:r>
  </w:p>
  <w:p w:rsidR="00E31FBB" w:rsidRPr="0082182F" w:rsidRDefault="00E31FBB" w:rsidP="00E31FBB">
    <w:pPr>
      <w:jc w:val="right"/>
      <w:rPr>
        <w:rFonts w:ascii="Arial" w:hAnsi="Arial" w:cs="Arial"/>
        <w:b/>
        <w:sz w:val="22"/>
        <w:szCs w:val="22"/>
      </w:rPr>
    </w:pPr>
    <w:r>
      <w:rPr>
        <w:rFonts w:ascii="Arial" w:hAnsi="Arial" w:cs="Arial"/>
        <w:b/>
        <w:sz w:val="22"/>
        <w:szCs w:val="22"/>
      </w:rPr>
      <w:t>LHE/19/14.COM/15</w:t>
    </w:r>
  </w:p>
  <w:p w:rsidR="00E31FBB" w:rsidRPr="0082182F" w:rsidRDefault="00E31FBB" w:rsidP="00E31FBB">
    <w:pPr>
      <w:jc w:val="right"/>
      <w:rPr>
        <w:rFonts w:ascii="Arial" w:eastAsiaTheme="minorEastAsia" w:hAnsi="Arial" w:cs="Arial"/>
        <w:b/>
        <w:sz w:val="22"/>
        <w:szCs w:val="22"/>
        <w:lang w:eastAsia="ko-KR"/>
      </w:rPr>
    </w:pPr>
    <w:r w:rsidRPr="009D5428">
      <w:rPr>
        <w:rFonts w:ascii="Arial" w:hAnsi="Arial" w:cs="Arial"/>
        <w:b/>
        <w:sz w:val="22"/>
        <w:szCs w:val="22"/>
      </w:rPr>
      <w:t xml:space="preserve">Paris, le </w:t>
    </w:r>
    <w:r w:rsidR="006A587C">
      <w:rPr>
        <w:rFonts w:ascii="Arial" w:hAnsi="Arial" w:cs="Arial"/>
        <w:b/>
        <w:sz w:val="22"/>
        <w:szCs w:val="22"/>
      </w:rPr>
      <w:t>7</w:t>
    </w:r>
    <w:r w:rsidRPr="009D5428">
      <w:rPr>
        <w:rFonts w:ascii="Arial" w:hAnsi="Arial" w:cs="Arial"/>
        <w:b/>
        <w:sz w:val="22"/>
        <w:szCs w:val="22"/>
      </w:rPr>
      <w:t xml:space="preserve"> </w:t>
    </w:r>
    <w:r w:rsidR="00895D43">
      <w:rPr>
        <w:rFonts w:ascii="Arial" w:hAnsi="Arial" w:cs="Arial"/>
        <w:b/>
        <w:sz w:val="22"/>
        <w:szCs w:val="22"/>
      </w:rPr>
      <w:t xml:space="preserve">novembre </w:t>
    </w:r>
    <w:r w:rsidRPr="009D5428">
      <w:rPr>
        <w:rFonts w:ascii="Arial" w:hAnsi="Arial" w:cs="Arial"/>
        <w:b/>
        <w:sz w:val="22"/>
        <w:szCs w:val="22"/>
      </w:rPr>
      <w:t>2019</w:t>
    </w:r>
  </w:p>
  <w:p w:rsidR="00E31FBB" w:rsidRPr="00895D43" w:rsidRDefault="004373B8" w:rsidP="00E31FBB">
    <w:pPr>
      <w:jc w:val="right"/>
      <w:rPr>
        <w:rFonts w:ascii="Arial" w:hAnsi="Arial" w:cs="Arial"/>
        <w:b/>
        <w:sz w:val="22"/>
        <w:szCs w:val="22"/>
      </w:rPr>
    </w:pPr>
    <w:r>
      <w:rPr>
        <w:rFonts w:ascii="Arial" w:hAnsi="Arial" w:cs="Arial"/>
        <w:b/>
        <w:sz w:val="22"/>
        <w:szCs w:val="22"/>
      </w:rPr>
      <w:t>Original : a</w:t>
    </w:r>
    <w:r w:rsidR="00E31FBB" w:rsidRPr="004322B5">
      <w:rPr>
        <w:rFonts w:ascii="Arial" w:hAnsi="Arial" w:cs="Arial"/>
        <w:b/>
        <w:sz w:val="22"/>
        <w:szCs w:val="22"/>
      </w:rPr>
      <w:t>nglais</w:t>
    </w:r>
  </w:p>
  <w:p w:rsidR="00E31FBB" w:rsidRPr="00895D43" w:rsidRDefault="00E31FBB" w:rsidP="00E31FBB">
    <w:pPr>
      <w:jc w:val="right"/>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34CABB0C">
      <w:start w:val="1"/>
      <w:numFmt w:val="bullet"/>
      <w:pStyle w:val="TIRETbul1cm"/>
      <w:lvlText w:val=""/>
      <w:lvlJc w:val="left"/>
      <w:pPr>
        <w:tabs>
          <w:tab w:val="num" w:pos="360"/>
        </w:tabs>
        <w:ind w:left="284" w:hanging="284"/>
      </w:pPr>
      <w:rPr>
        <w:rFonts w:ascii="Symbol" w:hAnsi="Symbol" w:hint="default"/>
      </w:rPr>
    </w:lvl>
    <w:lvl w:ilvl="1" w:tplc="566A80EE">
      <w:start w:val="1"/>
      <w:numFmt w:val="decimal"/>
      <w:lvlText w:val="%2."/>
      <w:lvlJc w:val="left"/>
      <w:pPr>
        <w:tabs>
          <w:tab w:val="num" w:pos="1157"/>
        </w:tabs>
        <w:ind w:left="1157" w:hanging="360"/>
      </w:pPr>
      <w:rPr>
        <w:rFonts w:hint="default"/>
      </w:rPr>
    </w:lvl>
    <w:lvl w:ilvl="2" w:tplc="C812EC22" w:tentative="1">
      <w:start w:val="1"/>
      <w:numFmt w:val="bullet"/>
      <w:lvlText w:val=""/>
      <w:lvlJc w:val="left"/>
      <w:pPr>
        <w:tabs>
          <w:tab w:val="num" w:pos="1877"/>
        </w:tabs>
        <w:ind w:left="1877" w:hanging="360"/>
      </w:pPr>
      <w:rPr>
        <w:rFonts w:ascii="Wingdings" w:hAnsi="Wingdings" w:hint="default"/>
      </w:rPr>
    </w:lvl>
    <w:lvl w:ilvl="3" w:tplc="84A2C5F6" w:tentative="1">
      <w:start w:val="1"/>
      <w:numFmt w:val="bullet"/>
      <w:lvlText w:val=""/>
      <w:lvlJc w:val="left"/>
      <w:pPr>
        <w:tabs>
          <w:tab w:val="num" w:pos="2597"/>
        </w:tabs>
        <w:ind w:left="2597" w:hanging="360"/>
      </w:pPr>
      <w:rPr>
        <w:rFonts w:ascii="Symbol" w:hAnsi="Symbol" w:hint="default"/>
      </w:rPr>
    </w:lvl>
    <w:lvl w:ilvl="4" w:tplc="0CCEA774" w:tentative="1">
      <w:start w:val="1"/>
      <w:numFmt w:val="bullet"/>
      <w:lvlText w:val="o"/>
      <w:lvlJc w:val="left"/>
      <w:pPr>
        <w:tabs>
          <w:tab w:val="num" w:pos="3317"/>
        </w:tabs>
        <w:ind w:left="3317" w:hanging="360"/>
      </w:pPr>
      <w:rPr>
        <w:rFonts w:ascii="Courier New" w:hAnsi="Courier New" w:hint="default"/>
      </w:rPr>
    </w:lvl>
    <w:lvl w:ilvl="5" w:tplc="AA58787A" w:tentative="1">
      <w:start w:val="1"/>
      <w:numFmt w:val="bullet"/>
      <w:lvlText w:val=""/>
      <w:lvlJc w:val="left"/>
      <w:pPr>
        <w:tabs>
          <w:tab w:val="num" w:pos="4037"/>
        </w:tabs>
        <w:ind w:left="4037" w:hanging="360"/>
      </w:pPr>
      <w:rPr>
        <w:rFonts w:ascii="Wingdings" w:hAnsi="Wingdings" w:hint="default"/>
      </w:rPr>
    </w:lvl>
    <w:lvl w:ilvl="6" w:tplc="73ECAC96" w:tentative="1">
      <w:start w:val="1"/>
      <w:numFmt w:val="bullet"/>
      <w:lvlText w:val=""/>
      <w:lvlJc w:val="left"/>
      <w:pPr>
        <w:tabs>
          <w:tab w:val="num" w:pos="4757"/>
        </w:tabs>
        <w:ind w:left="4757" w:hanging="360"/>
      </w:pPr>
      <w:rPr>
        <w:rFonts w:ascii="Symbol" w:hAnsi="Symbol" w:hint="default"/>
      </w:rPr>
    </w:lvl>
    <w:lvl w:ilvl="7" w:tplc="87A4215E" w:tentative="1">
      <w:start w:val="1"/>
      <w:numFmt w:val="bullet"/>
      <w:lvlText w:val="o"/>
      <w:lvlJc w:val="left"/>
      <w:pPr>
        <w:tabs>
          <w:tab w:val="num" w:pos="5477"/>
        </w:tabs>
        <w:ind w:left="5477" w:hanging="360"/>
      </w:pPr>
      <w:rPr>
        <w:rFonts w:ascii="Courier New" w:hAnsi="Courier New" w:hint="default"/>
      </w:rPr>
    </w:lvl>
    <w:lvl w:ilvl="8" w:tplc="96FA9D8E"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35F07BFE"/>
    <w:multiLevelType w:val="hybridMultilevel"/>
    <w:tmpl w:val="152EE97E"/>
    <w:lvl w:ilvl="0" w:tplc="5F6AD4A2">
      <w:start w:val="1"/>
      <w:numFmt w:val="decimal"/>
      <w:pStyle w:val="COMPara"/>
      <w:lvlText w:val="%1."/>
      <w:lvlJc w:val="left"/>
      <w:pPr>
        <w:ind w:left="720" w:hanging="360"/>
      </w:pPr>
    </w:lvl>
    <w:lvl w:ilvl="1" w:tplc="FB881840">
      <w:start w:val="1"/>
      <w:numFmt w:val="lowerLetter"/>
      <w:lvlText w:val="%2."/>
      <w:lvlJc w:val="left"/>
      <w:pPr>
        <w:ind w:left="1440" w:hanging="360"/>
      </w:pPr>
    </w:lvl>
    <w:lvl w:ilvl="2" w:tplc="C1601008">
      <w:start w:val="1"/>
      <w:numFmt w:val="lowerRoman"/>
      <w:lvlText w:val="%3."/>
      <w:lvlJc w:val="right"/>
      <w:pPr>
        <w:ind w:left="2160" w:hanging="180"/>
      </w:pPr>
    </w:lvl>
    <w:lvl w:ilvl="3" w:tplc="4D564A8A">
      <w:start w:val="1"/>
      <w:numFmt w:val="decimal"/>
      <w:lvlText w:val="%4."/>
      <w:lvlJc w:val="left"/>
      <w:pPr>
        <w:ind w:left="2880" w:hanging="360"/>
      </w:pPr>
      <w:rPr>
        <w:b w:val="0"/>
      </w:rPr>
    </w:lvl>
    <w:lvl w:ilvl="4" w:tplc="F11A16F4">
      <w:start w:val="1"/>
      <w:numFmt w:val="lowerLetter"/>
      <w:lvlText w:val="%5."/>
      <w:lvlJc w:val="left"/>
      <w:pPr>
        <w:ind w:left="3600" w:hanging="360"/>
      </w:pPr>
      <w:rPr>
        <w:b w:val="0"/>
      </w:rPr>
    </w:lvl>
    <w:lvl w:ilvl="5" w:tplc="F238F3A4">
      <w:start w:val="1"/>
      <w:numFmt w:val="bullet"/>
      <w:lvlText w:val=""/>
      <w:lvlJc w:val="left"/>
      <w:pPr>
        <w:ind w:left="4320" w:hanging="180"/>
      </w:pPr>
      <w:rPr>
        <w:rFonts w:ascii="Symbol" w:hAnsi="Symbol" w:hint="default"/>
      </w:rPr>
    </w:lvl>
    <w:lvl w:ilvl="6" w:tplc="8ADC94F4" w:tentative="1">
      <w:start w:val="1"/>
      <w:numFmt w:val="decimal"/>
      <w:lvlText w:val="%7."/>
      <w:lvlJc w:val="left"/>
      <w:pPr>
        <w:ind w:left="5040" w:hanging="360"/>
      </w:pPr>
    </w:lvl>
    <w:lvl w:ilvl="7" w:tplc="E876A3B6" w:tentative="1">
      <w:start w:val="1"/>
      <w:numFmt w:val="lowerLetter"/>
      <w:lvlText w:val="%8."/>
      <w:lvlJc w:val="left"/>
      <w:pPr>
        <w:ind w:left="5760" w:hanging="360"/>
      </w:pPr>
    </w:lvl>
    <w:lvl w:ilvl="8" w:tplc="01FED82C" w:tentative="1">
      <w:start w:val="1"/>
      <w:numFmt w:val="lowerRoman"/>
      <w:lvlText w:val="%9."/>
      <w:lvlJc w:val="right"/>
      <w:pPr>
        <w:ind w:left="6480" w:hanging="180"/>
      </w:pPr>
    </w:lvl>
  </w:abstractNum>
  <w:abstractNum w:abstractNumId="2" w15:restartNumberingAfterBreak="0">
    <w:nsid w:val="397A4DB1"/>
    <w:multiLevelType w:val="hybridMultilevel"/>
    <w:tmpl w:val="1F36D964"/>
    <w:lvl w:ilvl="0" w:tplc="9BEAFEB6">
      <w:start w:val="1"/>
      <w:numFmt w:val="decimal"/>
      <w:pStyle w:val="COMParaDecision"/>
      <w:lvlText w:val="%1."/>
      <w:lvlJc w:val="left"/>
      <w:pPr>
        <w:ind w:left="1287" w:hanging="360"/>
      </w:pPr>
    </w:lvl>
    <w:lvl w:ilvl="1" w:tplc="273204DC" w:tentative="1">
      <w:start w:val="1"/>
      <w:numFmt w:val="lowerLetter"/>
      <w:lvlText w:val="%2."/>
      <w:lvlJc w:val="left"/>
      <w:pPr>
        <w:ind w:left="2007" w:hanging="360"/>
      </w:pPr>
    </w:lvl>
    <w:lvl w:ilvl="2" w:tplc="C0F4F440" w:tentative="1">
      <w:start w:val="1"/>
      <w:numFmt w:val="lowerRoman"/>
      <w:lvlText w:val="%3."/>
      <w:lvlJc w:val="right"/>
      <w:pPr>
        <w:ind w:left="2727" w:hanging="180"/>
      </w:pPr>
    </w:lvl>
    <w:lvl w:ilvl="3" w:tplc="E8F0E74C" w:tentative="1">
      <w:start w:val="1"/>
      <w:numFmt w:val="decimal"/>
      <w:lvlText w:val="%4."/>
      <w:lvlJc w:val="left"/>
      <w:pPr>
        <w:ind w:left="3447" w:hanging="360"/>
      </w:pPr>
    </w:lvl>
    <w:lvl w:ilvl="4" w:tplc="E3B0822C" w:tentative="1">
      <w:start w:val="1"/>
      <w:numFmt w:val="lowerLetter"/>
      <w:lvlText w:val="%5."/>
      <w:lvlJc w:val="left"/>
      <w:pPr>
        <w:ind w:left="4167" w:hanging="360"/>
      </w:pPr>
    </w:lvl>
    <w:lvl w:ilvl="5" w:tplc="58E0E1D6" w:tentative="1">
      <w:start w:val="1"/>
      <w:numFmt w:val="lowerRoman"/>
      <w:lvlText w:val="%6."/>
      <w:lvlJc w:val="right"/>
      <w:pPr>
        <w:ind w:left="4887" w:hanging="180"/>
      </w:pPr>
    </w:lvl>
    <w:lvl w:ilvl="6" w:tplc="6A48D128" w:tentative="1">
      <w:start w:val="1"/>
      <w:numFmt w:val="decimal"/>
      <w:lvlText w:val="%7."/>
      <w:lvlJc w:val="left"/>
      <w:pPr>
        <w:ind w:left="5607" w:hanging="360"/>
      </w:pPr>
    </w:lvl>
    <w:lvl w:ilvl="7" w:tplc="82AEC4BE" w:tentative="1">
      <w:start w:val="1"/>
      <w:numFmt w:val="lowerLetter"/>
      <w:lvlText w:val="%8."/>
      <w:lvlJc w:val="left"/>
      <w:pPr>
        <w:ind w:left="6327" w:hanging="360"/>
      </w:pPr>
    </w:lvl>
    <w:lvl w:ilvl="8" w:tplc="65B40424" w:tentative="1">
      <w:start w:val="1"/>
      <w:numFmt w:val="lowerRoman"/>
      <w:lvlText w:val="%9."/>
      <w:lvlJc w:val="right"/>
      <w:pPr>
        <w:ind w:left="7047" w:hanging="180"/>
      </w:pPr>
    </w:lvl>
  </w:abstractNum>
  <w:abstractNum w:abstractNumId="3" w15:restartNumberingAfterBreak="0">
    <w:nsid w:val="3AC30BD2"/>
    <w:multiLevelType w:val="hybridMultilevel"/>
    <w:tmpl w:val="2F02E984"/>
    <w:lvl w:ilvl="0" w:tplc="1A66283C">
      <w:start w:val="1"/>
      <w:numFmt w:val="upperRoman"/>
      <w:pStyle w:val="Heading4"/>
      <w:lvlText w:val="%1."/>
      <w:lvlJc w:val="right"/>
      <w:pPr>
        <w:ind w:left="720" w:hanging="360"/>
      </w:pPr>
      <w:rPr>
        <w:rFonts w:hint="default"/>
        <w:b/>
        <w:i w:val="0"/>
      </w:rPr>
    </w:lvl>
    <w:lvl w:ilvl="1" w:tplc="DEC4BCAE" w:tentative="1">
      <w:start w:val="1"/>
      <w:numFmt w:val="lowerLetter"/>
      <w:lvlText w:val="%2."/>
      <w:lvlJc w:val="left"/>
      <w:pPr>
        <w:ind w:left="1440" w:hanging="360"/>
      </w:pPr>
    </w:lvl>
    <w:lvl w:ilvl="2" w:tplc="D5640B68" w:tentative="1">
      <w:start w:val="1"/>
      <w:numFmt w:val="lowerRoman"/>
      <w:lvlText w:val="%3."/>
      <w:lvlJc w:val="right"/>
      <w:pPr>
        <w:ind w:left="2160" w:hanging="180"/>
      </w:pPr>
    </w:lvl>
    <w:lvl w:ilvl="3" w:tplc="E1EA7F96" w:tentative="1">
      <w:start w:val="1"/>
      <w:numFmt w:val="decimal"/>
      <w:lvlText w:val="%4."/>
      <w:lvlJc w:val="left"/>
      <w:pPr>
        <w:ind w:left="2880" w:hanging="360"/>
      </w:pPr>
    </w:lvl>
    <w:lvl w:ilvl="4" w:tplc="3B3CB9F0" w:tentative="1">
      <w:start w:val="1"/>
      <w:numFmt w:val="lowerLetter"/>
      <w:lvlText w:val="%5."/>
      <w:lvlJc w:val="left"/>
      <w:pPr>
        <w:ind w:left="3600" w:hanging="360"/>
      </w:pPr>
    </w:lvl>
    <w:lvl w:ilvl="5" w:tplc="D87A4C42" w:tentative="1">
      <w:start w:val="1"/>
      <w:numFmt w:val="lowerRoman"/>
      <w:lvlText w:val="%6."/>
      <w:lvlJc w:val="right"/>
      <w:pPr>
        <w:ind w:left="4320" w:hanging="180"/>
      </w:pPr>
    </w:lvl>
    <w:lvl w:ilvl="6" w:tplc="088888E6" w:tentative="1">
      <w:start w:val="1"/>
      <w:numFmt w:val="decimal"/>
      <w:lvlText w:val="%7."/>
      <w:lvlJc w:val="left"/>
      <w:pPr>
        <w:ind w:left="5040" w:hanging="360"/>
      </w:pPr>
    </w:lvl>
    <w:lvl w:ilvl="7" w:tplc="7550229A" w:tentative="1">
      <w:start w:val="1"/>
      <w:numFmt w:val="lowerLetter"/>
      <w:lvlText w:val="%8."/>
      <w:lvlJc w:val="left"/>
      <w:pPr>
        <w:ind w:left="5760" w:hanging="360"/>
      </w:pPr>
    </w:lvl>
    <w:lvl w:ilvl="8" w:tplc="E0CA247C" w:tentative="1">
      <w:start w:val="1"/>
      <w:numFmt w:val="lowerRoman"/>
      <w:lvlText w:val="%9."/>
      <w:lvlJc w:val="right"/>
      <w:pPr>
        <w:ind w:left="6480" w:hanging="180"/>
      </w:pPr>
    </w:lvl>
  </w:abstractNum>
  <w:abstractNum w:abstractNumId="4" w15:restartNumberingAfterBreak="0">
    <w:nsid w:val="4FF76C59"/>
    <w:multiLevelType w:val="hybridMultilevel"/>
    <w:tmpl w:val="AA9C97E0"/>
    <w:lvl w:ilvl="0" w:tplc="14BCBE0A">
      <w:start w:val="1"/>
      <w:numFmt w:val="bullet"/>
      <w:lvlText w:val=""/>
      <w:lvlJc w:val="left"/>
      <w:pPr>
        <w:ind w:left="1065" w:hanging="705"/>
      </w:pPr>
      <w:rPr>
        <w:rFonts w:ascii="Symbol" w:hAnsi="Symbol" w:hint="default"/>
      </w:rPr>
    </w:lvl>
    <w:lvl w:ilvl="1" w:tplc="FB2A1F86" w:tentative="1">
      <w:start w:val="1"/>
      <w:numFmt w:val="lowerLetter"/>
      <w:lvlText w:val="%2."/>
      <w:lvlJc w:val="left"/>
      <w:pPr>
        <w:ind w:left="1440" w:hanging="360"/>
      </w:pPr>
    </w:lvl>
    <w:lvl w:ilvl="2" w:tplc="DAF6BD78" w:tentative="1">
      <w:start w:val="1"/>
      <w:numFmt w:val="lowerRoman"/>
      <w:lvlText w:val="%3."/>
      <w:lvlJc w:val="right"/>
      <w:pPr>
        <w:ind w:left="2160" w:hanging="180"/>
      </w:pPr>
    </w:lvl>
    <w:lvl w:ilvl="3" w:tplc="18804790">
      <w:start w:val="1"/>
      <w:numFmt w:val="decimal"/>
      <w:lvlText w:val="%4."/>
      <w:lvlJc w:val="left"/>
      <w:pPr>
        <w:ind w:left="2880" w:hanging="360"/>
      </w:pPr>
    </w:lvl>
    <w:lvl w:ilvl="4" w:tplc="D2965004" w:tentative="1">
      <w:start w:val="1"/>
      <w:numFmt w:val="lowerLetter"/>
      <w:lvlText w:val="%5."/>
      <w:lvlJc w:val="left"/>
      <w:pPr>
        <w:ind w:left="3600" w:hanging="360"/>
      </w:pPr>
    </w:lvl>
    <w:lvl w:ilvl="5" w:tplc="FE12B650">
      <w:start w:val="1"/>
      <w:numFmt w:val="lowerRoman"/>
      <w:lvlText w:val="%6."/>
      <w:lvlJc w:val="right"/>
      <w:pPr>
        <w:ind w:left="4320" w:hanging="180"/>
      </w:pPr>
    </w:lvl>
    <w:lvl w:ilvl="6" w:tplc="904E9138" w:tentative="1">
      <w:start w:val="1"/>
      <w:numFmt w:val="decimal"/>
      <w:lvlText w:val="%7."/>
      <w:lvlJc w:val="left"/>
      <w:pPr>
        <w:ind w:left="5040" w:hanging="360"/>
      </w:pPr>
    </w:lvl>
    <w:lvl w:ilvl="7" w:tplc="73ACF78A" w:tentative="1">
      <w:start w:val="1"/>
      <w:numFmt w:val="lowerLetter"/>
      <w:lvlText w:val="%8."/>
      <w:lvlJc w:val="left"/>
      <w:pPr>
        <w:ind w:left="5760" w:hanging="360"/>
      </w:pPr>
    </w:lvl>
    <w:lvl w:ilvl="8" w:tplc="2BFA6EAA" w:tentative="1">
      <w:start w:val="1"/>
      <w:numFmt w:val="lowerRoman"/>
      <w:lvlText w:val="%9."/>
      <w:lvlJc w:val="right"/>
      <w:pPr>
        <w:ind w:left="6480" w:hanging="180"/>
      </w:pPr>
    </w:lvl>
  </w:abstractNum>
  <w:abstractNum w:abstractNumId="5" w15:restartNumberingAfterBreak="0">
    <w:nsid w:val="5480728E"/>
    <w:multiLevelType w:val="hybridMultilevel"/>
    <w:tmpl w:val="93D03242"/>
    <w:lvl w:ilvl="0" w:tplc="7ECAB418">
      <w:start w:val="1"/>
      <w:numFmt w:val="upperLetter"/>
      <w:lvlText w:val="%1."/>
      <w:lvlJc w:val="left"/>
      <w:pPr>
        <w:ind w:left="720" w:hanging="360"/>
      </w:pPr>
      <w:rPr>
        <w:rFonts w:hint="default"/>
      </w:rPr>
    </w:lvl>
    <w:lvl w:ilvl="1" w:tplc="8D60FFF6">
      <w:start w:val="1"/>
      <w:numFmt w:val="lowerLetter"/>
      <w:lvlText w:val="%2."/>
      <w:lvlJc w:val="left"/>
      <w:pPr>
        <w:ind w:left="1440" w:hanging="360"/>
      </w:pPr>
    </w:lvl>
    <w:lvl w:ilvl="2" w:tplc="084CB688">
      <w:start w:val="8"/>
      <w:numFmt w:val="decimal"/>
      <w:lvlText w:val="%3."/>
      <w:lvlJc w:val="left"/>
      <w:pPr>
        <w:ind w:left="2340" w:hanging="360"/>
      </w:pPr>
      <w:rPr>
        <w:rFonts w:hint="default"/>
        <w:u w:val="none"/>
      </w:rPr>
    </w:lvl>
    <w:lvl w:ilvl="3" w:tplc="303E48A8">
      <w:start w:val="1"/>
      <w:numFmt w:val="decimal"/>
      <w:lvlText w:val="%4."/>
      <w:lvlJc w:val="left"/>
      <w:pPr>
        <w:ind w:left="2880" w:hanging="360"/>
      </w:pPr>
    </w:lvl>
    <w:lvl w:ilvl="4" w:tplc="BAC6E916" w:tentative="1">
      <w:start w:val="1"/>
      <w:numFmt w:val="lowerLetter"/>
      <w:lvlText w:val="%5."/>
      <w:lvlJc w:val="left"/>
      <w:pPr>
        <w:ind w:left="3600" w:hanging="360"/>
      </w:pPr>
    </w:lvl>
    <w:lvl w:ilvl="5" w:tplc="72AC92AE" w:tentative="1">
      <w:start w:val="1"/>
      <w:numFmt w:val="lowerRoman"/>
      <w:lvlText w:val="%6."/>
      <w:lvlJc w:val="right"/>
      <w:pPr>
        <w:ind w:left="4320" w:hanging="180"/>
      </w:pPr>
    </w:lvl>
    <w:lvl w:ilvl="6" w:tplc="B0B0D258" w:tentative="1">
      <w:start w:val="1"/>
      <w:numFmt w:val="decimal"/>
      <w:lvlText w:val="%7."/>
      <w:lvlJc w:val="left"/>
      <w:pPr>
        <w:ind w:left="5040" w:hanging="360"/>
      </w:pPr>
    </w:lvl>
    <w:lvl w:ilvl="7" w:tplc="1D68A9CE" w:tentative="1">
      <w:start w:val="1"/>
      <w:numFmt w:val="lowerLetter"/>
      <w:lvlText w:val="%8."/>
      <w:lvlJc w:val="left"/>
      <w:pPr>
        <w:ind w:left="5760" w:hanging="360"/>
      </w:pPr>
    </w:lvl>
    <w:lvl w:ilvl="8" w:tplc="B53C51B6" w:tentative="1">
      <w:start w:val="1"/>
      <w:numFmt w:val="lowerRoman"/>
      <w:lvlText w:val="%9."/>
      <w:lvlJc w:val="right"/>
      <w:pPr>
        <w:ind w:left="6480" w:hanging="180"/>
      </w:pPr>
    </w:lvl>
  </w:abstractNum>
  <w:abstractNum w:abstractNumId="6" w15:restartNumberingAfterBreak="0">
    <w:nsid w:val="5CB67C65"/>
    <w:multiLevelType w:val="hybridMultilevel"/>
    <w:tmpl w:val="FBD8187C"/>
    <w:lvl w:ilvl="0" w:tplc="FE56B0C6">
      <w:start w:val="1"/>
      <w:numFmt w:val="bullet"/>
      <w:lvlText w:val=""/>
      <w:lvlJc w:val="left"/>
      <w:pPr>
        <w:ind w:left="720" w:hanging="360"/>
      </w:pPr>
      <w:rPr>
        <w:rFonts w:ascii="Symbol" w:hAnsi="Symbol" w:hint="default"/>
      </w:rPr>
    </w:lvl>
    <w:lvl w:ilvl="1" w:tplc="442E080E">
      <w:start w:val="1"/>
      <w:numFmt w:val="lowerLetter"/>
      <w:lvlText w:val="%2."/>
      <w:lvlJc w:val="left"/>
      <w:pPr>
        <w:ind w:left="1440" w:hanging="360"/>
      </w:pPr>
    </w:lvl>
    <w:lvl w:ilvl="2" w:tplc="3B9A075C" w:tentative="1">
      <w:start w:val="1"/>
      <w:numFmt w:val="lowerRoman"/>
      <w:lvlText w:val="%3."/>
      <w:lvlJc w:val="right"/>
      <w:pPr>
        <w:ind w:left="2160" w:hanging="180"/>
      </w:pPr>
    </w:lvl>
    <w:lvl w:ilvl="3" w:tplc="BD702B62">
      <w:start w:val="1"/>
      <w:numFmt w:val="decimal"/>
      <w:lvlText w:val="%4."/>
      <w:lvlJc w:val="left"/>
      <w:pPr>
        <w:ind w:left="2880" w:hanging="360"/>
      </w:pPr>
    </w:lvl>
    <w:lvl w:ilvl="4" w:tplc="D866659E" w:tentative="1">
      <w:start w:val="1"/>
      <w:numFmt w:val="lowerLetter"/>
      <w:lvlText w:val="%5."/>
      <w:lvlJc w:val="left"/>
      <w:pPr>
        <w:ind w:left="3600" w:hanging="360"/>
      </w:pPr>
    </w:lvl>
    <w:lvl w:ilvl="5" w:tplc="E44A750A" w:tentative="1">
      <w:start w:val="1"/>
      <w:numFmt w:val="lowerRoman"/>
      <w:lvlText w:val="%6."/>
      <w:lvlJc w:val="right"/>
      <w:pPr>
        <w:ind w:left="4320" w:hanging="180"/>
      </w:pPr>
    </w:lvl>
    <w:lvl w:ilvl="6" w:tplc="8D8E1A8C" w:tentative="1">
      <w:start w:val="1"/>
      <w:numFmt w:val="decimal"/>
      <w:lvlText w:val="%7."/>
      <w:lvlJc w:val="left"/>
      <w:pPr>
        <w:ind w:left="5040" w:hanging="360"/>
      </w:pPr>
    </w:lvl>
    <w:lvl w:ilvl="7" w:tplc="E680693A" w:tentative="1">
      <w:start w:val="1"/>
      <w:numFmt w:val="lowerLetter"/>
      <w:lvlText w:val="%8."/>
      <w:lvlJc w:val="left"/>
      <w:pPr>
        <w:ind w:left="5760" w:hanging="360"/>
      </w:pPr>
    </w:lvl>
    <w:lvl w:ilvl="8" w:tplc="562EBD50" w:tentative="1">
      <w:start w:val="1"/>
      <w:numFmt w:val="lowerRoman"/>
      <w:lvlText w:val="%9."/>
      <w:lvlJc w:val="right"/>
      <w:pPr>
        <w:ind w:left="6480" w:hanging="180"/>
      </w:pPr>
    </w:lvl>
  </w:abstractNum>
  <w:abstractNum w:abstractNumId="7" w15:restartNumberingAfterBreak="0">
    <w:nsid w:val="72655861"/>
    <w:multiLevelType w:val="hybridMultilevel"/>
    <w:tmpl w:val="B072B8CC"/>
    <w:lvl w:ilvl="0" w:tplc="D5326F54">
      <w:start w:val="1"/>
      <w:numFmt w:val="lowerRoman"/>
      <w:pStyle w:val="i"/>
      <w:lvlText w:val="%1."/>
      <w:lvlJc w:val="left"/>
      <w:pPr>
        <w:ind w:left="1147" w:hanging="360"/>
      </w:pPr>
      <w:rPr>
        <w:rFonts w:cs="Times New Roman" w:hint="default"/>
      </w:rPr>
    </w:lvl>
    <w:lvl w:ilvl="1" w:tplc="8190FE84" w:tentative="1">
      <w:start w:val="1"/>
      <w:numFmt w:val="lowerLetter"/>
      <w:lvlText w:val="%2."/>
      <w:lvlJc w:val="left"/>
      <w:pPr>
        <w:ind w:left="1867" w:hanging="360"/>
      </w:pPr>
      <w:rPr>
        <w:rFonts w:cs="Times New Roman"/>
      </w:rPr>
    </w:lvl>
    <w:lvl w:ilvl="2" w:tplc="B53690CA" w:tentative="1">
      <w:start w:val="1"/>
      <w:numFmt w:val="lowerRoman"/>
      <w:lvlText w:val="%3."/>
      <w:lvlJc w:val="right"/>
      <w:pPr>
        <w:ind w:left="2587" w:hanging="180"/>
      </w:pPr>
      <w:rPr>
        <w:rFonts w:cs="Times New Roman"/>
      </w:rPr>
    </w:lvl>
    <w:lvl w:ilvl="3" w:tplc="04B0420A" w:tentative="1">
      <w:start w:val="1"/>
      <w:numFmt w:val="decimal"/>
      <w:lvlText w:val="%4."/>
      <w:lvlJc w:val="left"/>
      <w:pPr>
        <w:ind w:left="3307" w:hanging="360"/>
      </w:pPr>
      <w:rPr>
        <w:rFonts w:cs="Times New Roman"/>
      </w:rPr>
    </w:lvl>
    <w:lvl w:ilvl="4" w:tplc="E886116E" w:tentative="1">
      <w:start w:val="1"/>
      <w:numFmt w:val="lowerLetter"/>
      <w:lvlText w:val="%5."/>
      <w:lvlJc w:val="left"/>
      <w:pPr>
        <w:ind w:left="4027" w:hanging="360"/>
      </w:pPr>
      <w:rPr>
        <w:rFonts w:cs="Times New Roman"/>
      </w:rPr>
    </w:lvl>
    <w:lvl w:ilvl="5" w:tplc="03064BC8" w:tentative="1">
      <w:start w:val="1"/>
      <w:numFmt w:val="lowerRoman"/>
      <w:lvlText w:val="%6."/>
      <w:lvlJc w:val="right"/>
      <w:pPr>
        <w:ind w:left="4747" w:hanging="180"/>
      </w:pPr>
      <w:rPr>
        <w:rFonts w:cs="Times New Roman"/>
      </w:rPr>
    </w:lvl>
    <w:lvl w:ilvl="6" w:tplc="AB86E698" w:tentative="1">
      <w:start w:val="1"/>
      <w:numFmt w:val="decimal"/>
      <w:lvlText w:val="%7."/>
      <w:lvlJc w:val="left"/>
      <w:pPr>
        <w:ind w:left="5467" w:hanging="360"/>
      </w:pPr>
      <w:rPr>
        <w:rFonts w:cs="Times New Roman"/>
      </w:rPr>
    </w:lvl>
    <w:lvl w:ilvl="7" w:tplc="F542AE0C" w:tentative="1">
      <w:start w:val="1"/>
      <w:numFmt w:val="lowerLetter"/>
      <w:lvlText w:val="%8."/>
      <w:lvlJc w:val="left"/>
      <w:pPr>
        <w:ind w:left="6187" w:hanging="360"/>
      </w:pPr>
      <w:rPr>
        <w:rFonts w:cs="Times New Roman"/>
      </w:rPr>
    </w:lvl>
    <w:lvl w:ilvl="8" w:tplc="A69AF4FC" w:tentative="1">
      <w:start w:val="1"/>
      <w:numFmt w:val="lowerRoman"/>
      <w:lvlText w:val="%9."/>
      <w:lvlJc w:val="right"/>
      <w:pPr>
        <w:ind w:left="6907" w:hanging="180"/>
      </w:pPr>
      <w:rPr>
        <w:rFonts w:cs="Times New Roman"/>
      </w:rPr>
    </w:lvl>
  </w:abstractNum>
  <w:abstractNum w:abstractNumId="8" w15:restartNumberingAfterBreak="0">
    <w:nsid w:val="7D6733D5"/>
    <w:multiLevelType w:val="hybridMultilevel"/>
    <w:tmpl w:val="BB74CA04"/>
    <w:lvl w:ilvl="0" w:tplc="684CC1E8">
      <w:start w:val="1"/>
      <w:numFmt w:val="lowerLetter"/>
      <w:pStyle w:val="ChapitreI11"/>
      <w:lvlText w:val="(%1)"/>
      <w:lvlJc w:val="left"/>
      <w:pPr>
        <w:ind w:left="360" w:hanging="360"/>
      </w:pPr>
      <w:rPr>
        <w:rFonts w:hint="default"/>
        <w:b w:val="0"/>
      </w:rPr>
    </w:lvl>
    <w:lvl w:ilvl="1" w:tplc="776AA206">
      <w:start w:val="1"/>
      <w:numFmt w:val="lowerLetter"/>
      <w:lvlText w:val="%2."/>
      <w:lvlJc w:val="left"/>
      <w:pPr>
        <w:ind w:left="1080" w:hanging="360"/>
      </w:pPr>
    </w:lvl>
    <w:lvl w:ilvl="2" w:tplc="59325B8E" w:tentative="1">
      <w:start w:val="1"/>
      <w:numFmt w:val="lowerRoman"/>
      <w:lvlText w:val="%3."/>
      <w:lvlJc w:val="right"/>
      <w:pPr>
        <w:ind w:left="1800" w:hanging="180"/>
      </w:pPr>
    </w:lvl>
    <w:lvl w:ilvl="3" w:tplc="DE003268" w:tentative="1">
      <w:start w:val="1"/>
      <w:numFmt w:val="decimal"/>
      <w:lvlText w:val="%4."/>
      <w:lvlJc w:val="left"/>
      <w:pPr>
        <w:ind w:left="2520" w:hanging="360"/>
      </w:pPr>
    </w:lvl>
    <w:lvl w:ilvl="4" w:tplc="13948DFA" w:tentative="1">
      <w:start w:val="1"/>
      <w:numFmt w:val="lowerLetter"/>
      <w:lvlText w:val="%5."/>
      <w:lvlJc w:val="left"/>
      <w:pPr>
        <w:ind w:left="3240" w:hanging="360"/>
      </w:pPr>
    </w:lvl>
    <w:lvl w:ilvl="5" w:tplc="39EC72E8" w:tentative="1">
      <w:start w:val="1"/>
      <w:numFmt w:val="lowerRoman"/>
      <w:lvlText w:val="%6."/>
      <w:lvlJc w:val="right"/>
      <w:pPr>
        <w:ind w:left="3960" w:hanging="180"/>
      </w:pPr>
    </w:lvl>
    <w:lvl w:ilvl="6" w:tplc="B23AF134" w:tentative="1">
      <w:start w:val="1"/>
      <w:numFmt w:val="decimal"/>
      <w:lvlText w:val="%7."/>
      <w:lvlJc w:val="left"/>
      <w:pPr>
        <w:ind w:left="4680" w:hanging="360"/>
      </w:pPr>
    </w:lvl>
    <w:lvl w:ilvl="7" w:tplc="0B7022BA" w:tentative="1">
      <w:start w:val="1"/>
      <w:numFmt w:val="lowerLetter"/>
      <w:lvlText w:val="%8."/>
      <w:lvlJc w:val="left"/>
      <w:pPr>
        <w:ind w:left="5400" w:hanging="360"/>
      </w:pPr>
    </w:lvl>
    <w:lvl w:ilvl="8" w:tplc="80F6DDBA"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7"/>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2F"/>
    <w:rsid w:val="00011DB3"/>
    <w:rsid w:val="00046977"/>
    <w:rsid w:val="00070B4D"/>
    <w:rsid w:val="00111F49"/>
    <w:rsid w:val="00127024"/>
    <w:rsid w:val="00130182"/>
    <w:rsid w:val="001A7965"/>
    <w:rsid w:val="001C667C"/>
    <w:rsid w:val="001D1556"/>
    <w:rsid w:val="001E04AC"/>
    <w:rsid w:val="001F110B"/>
    <w:rsid w:val="001F3858"/>
    <w:rsid w:val="00241FC0"/>
    <w:rsid w:val="0026636C"/>
    <w:rsid w:val="0028261F"/>
    <w:rsid w:val="002A18E6"/>
    <w:rsid w:val="002B75A9"/>
    <w:rsid w:val="002D0712"/>
    <w:rsid w:val="002F0399"/>
    <w:rsid w:val="0031455D"/>
    <w:rsid w:val="00335B72"/>
    <w:rsid w:val="0040120E"/>
    <w:rsid w:val="004121C0"/>
    <w:rsid w:val="00422F0E"/>
    <w:rsid w:val="00435284"/>
    <w:rsid w:val="004373B8"/>
    <w:rsid w:val="0044497C"/>
    <w:rsid w:val="004919AF"/>
    <w:rsid w:val="004F51D4"/>
    <w:rsid w:val="00576C4E"/>
    <w:rsid w:val="005C53EB"/>
    <w:rsid w:val="005D336B"/>
    <w:rsid w:val="006126EF"/>
    <w:rsid w:val="00675310"/>
    <w:rsid w:val="006A587C"/>
    <w:rsid w:val="006B1852"/>
    <w:rsid w:val="006C6BA0"/>
    <w:rsid w:val="006F5E8C"/>
    <w:rsid w:val="00704948"/>
    <w:rsid w:val="00730C2F"/>
    <w:rsid w:val="007319C0"/>
    <w:rsid w:val="0074270A"/>
    <w:rsid w:val="00776918"/>
    <w:rsid w:val="00793EEF"/>
    <w:rsid w:val="007F6E6C"/>
    <w:rsid w:val="0082182F"/>
    <w:rsid w:val="00862B40"/>
    <w:rsid w:val="00895D43"/>
    <w:rsid w:val="008974B0"/>
    <w:rsid w:val="008D5FD8"/>
    <w:rsid w:val="008D6331"/>
    <w:rsid w:val="008F304E"/>
    <w:rsid w:val="008F3FA4"/>
    <w:rsid w:val="00906484"/>
    <w:rsid w:val="00944CE9"/>
    <w:rsid w:val="009533FC"/>
    <w:rsid w:val="00973ADF"/>
    <w:rsid w:val="009B0777"/>
    <w:rsid w:val="009B1D88"/>
    <w:rsid w:val="009B1FB0"/>
    <w:rsid w:val="009C4B06"/>
    <w:rsid w:val="009E1548"/>
    <w:rsid w:val="00A42FDC"/>
    <w:rsid w:val="00A65D73"/>
    <w:rsid w:val="00A7780F"/>
    <w:rsid w:val="00A83D80"/>
    <w:rsid w:val="00AB423F"/>
    <w:rsid w:val="00B06DE6"/>
    <w:rsid w:val="00B115C8"/>
    <w:rsid w:val="00B20BF4"/>
    <w:rsid w:val="00B41AA5"/>
    <w:rsid w:val="00BB16E3"/>
    <w:rsid w:val="00BD34FB"/>
    <w:rsid w:val="00BD5635"/>
    <w:rsid w:val="00BF14A0"/>
    <w:rsid w:val="00C25F04"/>
    <w:rsid w:val="00C44B20"/>
    <w:rsid w:val="00CA349C"/>
    <w:rsid w:val="00CD4F36"/>
    <w:rsid w:val="00CD5768"/>
    <w:rsid w:val="00D16BA8"/>
    <w:rsid w:val="00D217CD"/>
    <w:rsid w:val="00D4304C"/>
    <w:rsid w:val="00D535A5"/>
    <w:rsid w:val="00D9230D"/>
    <w:rsid w:val="00E3107E"/>
    <w:rsid w:val="00E31FBB"/>
    <w:rsid w:val="00E469BC"/>
    <w:rsid w:val="00E91D11"/>
    <w:rsid w:val="00ED705C"/>
    <w:rsid w:val="00F56D26"/>
    <w:rsid w:val="00FA08CA"/>
    <w:rsid w:val="00FD6B4A"/>
    <w:rsid w:val="00FE64E3"/>
    <w:rsid w:val="00FE779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AE90"/>
  <w15:docId w15:val="{361C2C2B-4DF4-A648-AD28-80100AC6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42C76"/>
    <w:pPr>
      <w:ind w:left="720"/>
      <w:contextualSpacing/>
    </w:pPr>
  </w:style>
  <w:style w:type="character" w:styleId="Hyperlink">
    <w:name w:val="Hyperlink"/>
    <w:aliases w:val=" Car Car3 Char, Car Car3 Char Char Char Char"/>
    <w:link w:val="CarCar3"/>
    <w:rsid w:val="00E977CF"/>
    <w:rPr>
      <w:color w:val="0000FF"/>
      <w:u w:val="single"/>
    </w:rPr>
  </w:style>
  <w:style w:type="paragraph" w:styleId="FootnoteText">
    <w:name w:val="footnote text"/>
    <w:basedOn w:val="Normal"/>
    <w:link w:val="FootnoteTextChar"/>
    <w:uiPriority w:val="99"/>
    <w:unhideWhenUsed/>
    <w:rsid w:val="00E977CF"/>
    <w:rPr>
      <w:sz w:val="20"/>
      <w:szCs w:val="20"/>
    </w:rPr>
  </w:style>
  <w:style w:type="character" w:customStyle="1" w:styleId="FootnoteTextChar">
    <w:name w:val="Footnote Text Char"/>
    <w:basedOn w:val="DefaultParagraphFont"/>
    <w:link w:val="FootnoteText"/>
    <w:uiPriority w:val="99"/>
    <w:rsid w:val="00E977CF"/>
    <w:rPr>
      <w:rFonts w:ascii="Times New Roman" w:eastAsia="Times New Roman" w:hAnsi="Times New Roman"/>
    </w:rPr>
  </w:style>
  <w:style w:type="character" w:styleId="FootnoteReference">
    <w:name w:val="footnote reference"/>
    <w:basedOn w:val="DefaultParagraphFont"/>
    <w:uiPriority w:val="99"/>
    <w:semiHidden/>
    <w:unhideWhenUsed/>
    <w:rsid w:val="00E977CF"/>
    <w:rPr>
      <w:vertAlign w:val="superscript"/>
    </w:rPr>
  </w:style>
  <w:style w:type="character" w:styleId="CommentReference">
    <w:name w:val="annotation reference"/>
    <w:basedOn w:val="DefaultParagraphFont"/>
    <w:uiPriority w:val="99"/>
    <w:semiHidden/>
    <w:unhideWhenUsed/>
    <w:rsid w:val="00D23097"/>
    <w:rPr>
      <w:sz w:val="16"/>
      <w:szCs w:val="16"/>
    </w:rPr>
  </w:style>
  <w:style w:type="paragraph" w:styleId="CommentText">
    <w:name w:val="annotation text"/>
    <w:basedOn w:val="Normal"/>
    <w:link w:val="CommentTextChar"/>
    <w:uiPriority w:val="99"/>
    <w:semiHidden/>
    <w:unhideWhenUsed/>
    <w:rsid w:val="00D23097"/>
    <w:rPr>
      <w:sz w:val="20"/>
      <w:szCs w:val="20"/>
    </w:rPr>
  </w:style>
  <w:style w:type="character" w:customStyle="1" w:styleId="CommentTextChar">
    <w:name w:val="Comment Text Char"/>
    <w:basedOn w:val="DefaultParagraphFont"/>
    <w:link w:val="CommentText"/>
    <w:uiPriority w:val="99"/>
    <w:semiHidden/>
    <w:rsid w:val="00D2309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23097"/>
    <w:rPr>
      <w:b/>
      <w:bCs/>
    </w:rPr>
  </w:style>
  <w:style w:type="character" w:customStyle="1" w:styleId="CommentSubjectChar">
    <w:name w:val="Comment Subject Char"/>
    <w:basedOn w:val="CommentTextChar"/>
    <w:link w:val="CommentSubject"/>
    <w:uiPriority w:val="99"/>
    <w:semiHidden/>
    <w:rsid w:val="00D23097"/>
    <w:rPr>
      <w:rFonts w:ascii="Times New Roman" w:eastAsia="Times New Roman" w:hAnsi="Times New Roman"/>
      <w:b/>
      <w:bCs/>
    </w:rPr>
  </w:style>
  <w:style w:type="paragraph" w:customStyle="1" w:styleId="U1">
    <w:name w:val="U.1"/>
    <w:basedOn w:val="Normal"/>
    <w:qFormat/>
    <w:rsid w:val="00A14CB0"/>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6D1CAF"/>
    <w:pPr>
      <w:numPr>
        <w:numId w:val="7"/>
      </w:numPr>
      <w:tabs>
        <w:tab w:val="left" w:pos="952"/>
      </w:tabs>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6D1CAF"/>
    <w:rPr>
      <w:rFonts w:ascii="Arial" w:hAnsi="Arial" w:cs="Arial"/>
      <w:w w:val="90"/>
      <w:sz w:val="22"/>
      <w:szCs w:val="22"/>
      <w:lang w:val="en-US"/>
    </w:rPr>
  </w:style>
  <w:style w:type="character" w:styleId="FollowedHyperlink">
    <w:name w:val="FollowedHyperlink"/>
    <w:basedOn w:val="DefaultParagraphFont"/>
    <w:uiPriority w:val="99"/>
    <w:semiHidden/>
    <w:unhideWhenUsed/>
    <w:rsid w:val="0090067F"/>
    <w:rPr>
      <w:color w:val="800080" w:themeColor="followedHyperlink"/>
      <w:u w:val="single"/>
    </w:rPr>
  </w:style>
  <w:style w:type="paragraph" w:customStyle="1" w:styleId="GAParaResolution">
    <w:name w:val="GA Para Resolution"/>
    <w:basedOn w:val="Normal"/>
    <w:qFormat/>
    <w:rsid w:val="0094590D"/>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ChapitreI11">
    <w:name w:val="Chapitre I.1.1"/>
    <w:basedOn w:val="Normal"/>
    <w:rsid w:val="0094590D"/>
    <w:pPr>
      <w:keepNext/>
      <w:keepLines/>
      <w:numPr>
        <w:numId w:val="9"/>
      </w:numPr>
      <w:spacing w:before="120"/>
      <w:ind w:left="0" w:firstLine="0"/>
    </w:pPr>
    <w:rPr>
      <w:rFonts w:ascii="Arial" w:eastAsia="SimSun" w:hAnsi="Arial"/>
      <w:bCs/>
      <w:sz w:val="22"/>
      <w:lang w:eastAsia="zh-CN"/>
    </w:rPr>
  </w:style>
  <w:style w:type="paragraph" w:customStyle="1" w:styleId="ChaitreI111">
    <w:name w:val="Chaitre I.1.1.1"/>
    <w:basedOn w:val="Normal"/>
    <w:rsid w:val="0094590D"/>
    <w:pPr>
      <w:keepNext/>
    </w:pPr>
    <w:rPr>
      <w:rFonts w:ascii="Arial" w:eastAsia="SimSun" w:hAnsi="Arial" w:cs="Arial"/>
      <w:bCs/>
      <w:i/>
      <w:iCs/>
      <w:sz w:val="22"/>
      <w:szCs w:val="22"/>
      <w:lang w:eastAsia="zh-CN"/>
    </w:rPr>
  </w:style>
  <w:style w:type="paragraph" w:customStyle="1" w:styleId="numrationa">
    <w:name w:val="énumération (a)"/>
    <w:basedOn w:val="Normal"/>
    <w:rsid w:val="0094590D"/>
    <w:pPr>
      <w:spacing w:before="120"/>
      <w:ind w:left="360" w:hanging="360"/>
      <w:jc w:val="both"/>
    </w:pPr>
    <w:rPr>
      <w:rFonts w:ascii="Arial" w:eastAsia="SimSun" w:hAnsi="Arial" w:cs="Arial"/>
      <w:sz w:val="22"/>
      <w:szCs w:val="22"/>
      <w:lang w:eastAsia="zh-CN"/>
    </w:rPr>
  </w:style>
  <w:style w:type="paragraph" w:customStyle="1" w:styleId="CarCar3">
    <w:name w:val="Car Car3"/>
    <w:aliases w:val=" Car Car3 Char Char"/>
    <w:basedOn w:val="Normal"/>
    <w:link w:val="Hyperlink"/>
    <w:rsid w:val="0094590D"/>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2.COM/17" TargetMode="External"/><Relationship Id="rId13" Type="http://schemas.openxmlformats.org/officeDocument/2006/relationships/hyperlink" Target="https://ich.unesco.org/doc/src/LHE-19-NGO-2-FR.docx" TargetMode="External"/><Relationship Id="rId18" Type="http://schemas.openxmlformats.org/officeDocument/2006/relationships/hyperlink" Target="https://ich.unesco.org/fr/resolutions/7.GA/11?dec=resolutions&amp;ref_decision=7.G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ich.unesco.org/doc/src/ITH-17-12.COM-17-FR.docx" TargetMode="External"/><Relationship Id="rId7" Type="http://schemas.openxmlformats.org/officeDocument/2006/relationships/endnotes" Target="endnotes.xml"/><Relationship Id="rId12" Type="http://schemas.openxmlformats.org/officeDocument/2006/relationships/hyperlink" Target="https://ich.unesco.org/fr/decisions/13.COM/13?dec=decisions&amp;ref_decision=13.COM" TargetMode="External"/><Relationship Id="rId17" Type="http://schemas.openxmlformats.org/officeDocument/2006/relationships/hyperlink" Target="https://ich.unesco.org/doc/src/ITH-18-7.GA-11-FR.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h.unesco.org/doc/src/LHE-19-14.COM-16-FR.docx" TargetMode="External"/><Relationship Id="rId20" Type="http://schemas.openxmlformats.org/officeDocument/2006/relationships/hyperlink" Target="https://ich.unesco.org/fr/decisions/13.COM/13?dec=decisions&amp;ref_decision=13.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8-13.COM-13-FR.docx" TargetMode="External"/><Relationship Id="rId24" Type="http://schemas.openxmlformats.org/officeDocument/2006/relationships/hyperlink" Target="https://ich.unesco.org/doc/src/45581-FR.docx" TargetMode="External"/><Relationship Id="rId5" Type="http://schemas.openxmlformats.org/officeDocument/2006/relationships/webSettings" Target="webSettings.xml"/><Relationship Id="rId15" Type="http://schemas.openxmlformats.org/officeDocument/2006/relationships/hyperlink" Target="https://ich.unesco.org/fr/decisions/13.COM/16?dec=decisions&amp;ref_decision=13.COM" TargetMode="External"/><Relationship Id="rId23" Type="http://schemas.openxmlformats.org/officeDocument/2006/relationships/hyperlink" Target="https://ich.unesco.org/doc/src/LHE-19-NGO-2-FR.docx" TargetMode="External"/><Relationship Id="rId28" Type="http://schemas.openxmlformats.org/officeDocument/2006/relationships/fontTable" Target="fontTable.xml"/><Relationship Id="rId10" Type="http://schemas.openxmlformats.org/officeDocument/2006/relationships/hyperlink" Target="https://ich.unesco.org/doc/src/ITH-18-NGO-2_Questionnaire_FR.pdf" TargetMode="External"/><Relationship Id="rId19" Type="http://schemas.openxmlformats.org/officeDocument/2006/relationships/hyperlink" Target="https://ich.unesco.org/fr/decisions/12.COM/17?dec=decisions&amp;ref_decision=12.COM" TargetMode="External"/><Relationship Id="rId4" Type="http://schemas.openxmlformats.org/officeDocument/2006/relationships/settings" Target="settings.xml"/><Relationship Id="rId9" Type="http://schemas.openxmlformats.org/officeDocument/2006/relationships/hyperlink" Target="https://ich.unesco.org/fr/decisions/7.GA/11?dec=decisions&amp;ref_decision=7.GA" TargetMode="External"/><Relationship Id="rId14" Type="http://schemas.openxmlformats.org/officeDocument/2006/relationships/hyperlink" Target="https://ich.unesco.org/doc/src/45581-FR.docx" TargetMode="External"/><Relationship Id="rId22" Type="http://schemas.openxmlformats.org/officeDocument/2006/relationships/hyperlink" Target="https://ich.unesco.org/doc/src/ITH-18-13.COM-13-FR.docx" TargetMode="External"/><Relationship Id="rId27"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370506_fre" TargetMode="External"/><Relationship Id="rId2" Type="http://schemas.openxmlformats.org/officeDocument/2006/relationships/hyperlink" Target="https://ich.unesco.org/doc/src/LHE-19-14.COM-17-FR.docx" TargetMode="External"/><Relationship Id="rId1" Type="http://schemas.openxmlformats.org/officeDocument/2006/relationships/hyperlink" Target="https://ich.unesco.org/fr/reflexion-sur-le-role-des-ong-01037" TargetMode="External"/><Relationship Id="rId4" Type="http://schemas.openxmlformats.org/officeDocument/2006/relationships/hyperlink" Target="https://unesdoc.unesco.org/ark:/48223/pf0000243996_f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4BD0F-B4BC-4655-90D1-6800E847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112</TotalTime>
  <Pages>7</Pages>
  <Words>3819</Words>
  <Characters>21005</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Thibault, Alice</cp:lastModifiedBy>
  <cp:revision>60</cp:revision>
  <cp:lastPrinted>2019-11-05T09:53:00Z</cp:lastPrinted>
  <dcterms:created xsi:type="dcterms:W3CDTF">2019-10-31T16:48:00Z</dcterms:created>
  <dcterms:modified xsi:type="dcterms:W3CDTF">2019-11-07T09:39:00Z</dcterms:modified>
</cp:coreProperties>
</file>