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4E813" w14:textId="77777777" w:rsidR="0055714D" w:rsidRPr="00293C60" w:rsidRDefault="0055714D" w:rsidP="0055714D">
      <w:pPr>
        <w:spacing w:before="1440"/>
        <w:jc w:val="center"/>
        <w:rPr>
          <w:rFonts w:ascii="Arial" w:hAnsi="Arial" w:cs="Arial"/>
          <w:b/>
          <w:sz w:val="22"/>
          <w:szCs w:val="22"/>
          <w:lang w:val="en-GB"/>
        </w:rPr>
      </w:pPr>
      <w:r w:rsidRPr="00293C60">
        <w:rPr>
          <w:rFonts w:ascii="Arial" w:hAnsi="Arial" w:cs="Arial"/>
          <w:b/>
          <w:sz w:val="22"/>
          <w:szCs w:val="22"/>
          <w:lang w:val="en-GB"/>
        </w:rPr>
        <w:t>CONVENT</w:t>
      </w:r>
      <w:r>
        <w:rPr>
          <w:rFonts w:ascii="Arial" w:hAnsi="Arial" w:cs="Arial"/>
          <w:b/>
          <w:sz w:val="22"/>
          <w:szCs w:val="22"/>
          <w:lang w:val="en-GB"/>
        </w:rPr>
        <w:t>ION FOR THE SAFEGUARDING OF THE</w:t>
      </w:r>
      <w:r w:rsidRPr="00293C60">
        <w:rPr>
          <w:rFonts w:ascii="Arial" w:hAnsi="Arial" w:cs="Arial"/>
          <w:b/>
          <w:sz w:val="22"/>
          <w:szCs w:val="22"/>
          <w:lang w:val="en-GB"/>
        </w:rPr>
        <w:br/>
        <w:t>INTANGIBLE CULTURAL HERITAGE</w:t>
      </w:r>
    </w:p>
    <w:p w14:paraId="6F61A839" w14:textId="77777777" w:rsidR="0055714D" w:rsidRPr="00293C60" w:rsidRDefault="0055714D" w:rsidP="0055714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107F729E" w14:textId="77777777" w:rsidR="0055714D" w:rsidRPr="00293C60" w:rsidRDefault="0055714D" w:rsidP="0055714D">
      <w:pPr>
        <w:spacing w:before="840"/>
        <w:jc w:val="center"/>
        <w:rPr>
          <w:rFonts w:ascii="Arial" w:hAnsi="Arial" w:cs="Arial"/>
          <w:b/>
          <w:sz w:val="22"/>
          <w:szCs w:val="22"/>
          <w:lang w:val="en-GB"/>
        </w:rPr>
      </w:pPr>
      <w:r>
        <w:rPr>
          <w:rFonts w:ascii="Arial" w:hAnsi="Arial" w:cs="Arial"/>
          <w:b/>
          <w:sz w:val="22"/>
          <w:szCs w:val="22"/>
          <w:lang w:val="en-GB"/>
        </w:rPr>
        <w:t xml:space="preserve">Fourteenth </w:t>
      </w:r>
      <w:r w:rsidRPr="00293C60">
        <w:rPr>
          <w:rFonts w:ascii="Arial" w:hAnsi="Arial" w:cs="Arial"/>
          <w:b/>
          <w:sz w:val="22"/>
          <w:szCs w:val="22"/>
          <w:lang w:val="en-GB"/>
        </w:rPr>
        <w:t>session</w:t>
      </w:r>
    </w:p>
    <w:p w14:paraId="045CDE0F" w14:textId="77777777" w:rsidR="0055714D" w:rsidRPr="00F83405" w:rsidRDefault="0055714D" w:rsidP="0055714D">
      <w:pPr>
        <w:jc w:val="center"/>
        <w:rPr>
          <w:rFonts w:ascii="Arial" w:eastAsia="Malgun Gothic" w:hAnsi="Arial" w:cs="Arial"/>
          <w:b/>
          <w:sz w:val="22"/>
          <w:szCs w:val="22"/>
          <w:lang w:val="en-GB" w:eastAsia="ko-KR"/>
        </w:rPr>
      </w:pPr>
      <w:r>
        <w:rPr>
          <w:rFonts w:ascii="Arial" w:eastAsia="Malgun Gothic" w:hAnsi="Arial" w:cs="Arial"/>
          <w:b/>
          <w:sz w:val="22"/>
          <w:szCs w:val="22"/>
          <w:lang w:val="en-GB" w:eastAsia="ko-KR"/>
        </w:rPr>
        <w:t>Bogot</w:t>
      </w:r>
      <w:r w:rsidRPr="0007013D">
        <w:rPr>
          <w:rFonts w:ascii="Arial" w:eastAsia="Malgun Gothic" w:hAnsi="Arial" w:cs="Arial"/>
          <w:b/>
          <w:sz w:val="22"/>
          <w:szCs w:val="22"/>
          <w:lang w:val="en-GB" w:eastAsia="ko-KR"/>
        </w:rPr>
        <w:t>á</w:t>
      </w:r>
      <w:r>
        <w:rPr>
          <w:rFonts w:ascii="Arial" w:eastAsia="Malgun Gothic" w:hAnsi="Arial" w:cs="Arial" w:hint="eastAsia"/>
          <w:b/>
          <w:sz w:val="22"/>
          <w:szCs w:val="22"/>
          <w:lang w:val="en-GB" w:eastAsia="ko-KR"/>
        </w:rPr>
        <w:t xml:space="preserve">, Republic of </w:t>
      </w:r>
      <w:r>
        <w:rPr>
          <w:rFonts w:ascii="Arial" w:eastAsia="Malgun Gothic" w:hAnsi="Arial" w:cs="Arial"/>
          <w:b/>
          <w:sz w:val="22"/>
          <w:szCs w:val="22"/>
          <w:lang w:val="en-GB" w:eastAsia="ko-KR"/>
        </w:rPr>
        <w:t>Colombia</w:t>
      </w:r>
    </w:p>
    <w:p w14:paraId="79BFA3F0" w14:textId="77777777" w:rsidR="0055714D" w:rsidRPr="00F83405" w:rsidRDefault="0055714D" w:rsidP="0055714D">
      <w:pPr>
        <w:jc w:val="center"/>
        <w:rPr>
          <w:rFonts w:ascii="Arial" w:eastAsia="Malgun Gothic" w:hAnsi="Arial" w:cs="Arial"/>
          <w:b/>
          <w:sz w:val="22"/>
          <w:szCs w:val="22"/>
          <w:lang w:val="en-GB" w:eastAsia="ko-KR"/>
        </w:rPr>
      </w:pPr>
      <w:proofErr w:type="gramStart"/>
      <w:r>
        <w:rPr>
          <w:rFonts w:ascii="Arial" w:hAnsi="Arial" w:cs="Arial"/>
          <w:b/>
          <w:sz w:val="22"/>
          <w:szCs w:val="22"/>
          <w:lang w:val="en-GB"/>
        </w:rPr>
        <w:t>9</w:t>
      </w:r>
      <w:proofErr w:type="gramEnd"/>
      <w:r>
        <w:rPr>
          <w:rFonts w:ascii="Arial" w:hAnsi="Arial" w:cs="Arial"/>
          <w:b/>
          <w:sz w:val="22"/>
          <w:szCs w:val="22"/>
          <w:lang w:val="en-GB"/>
        </w:rPr>
        <w:t xml:space="preserve"> </w:t>
      </w:r>
      <w:r w:rsidRPr="00EC6F8D">
        <w:rPr>
          <w:rFonts w:ascii="Arial" w:hAnsi="Arial" w:cs="Arial"/>
          <w:b/>
          <w:sz w:val="22"/>
          <w:szCs w:val="22"/>
          <w:lang w:val="en-GB"/>
        </w:rPr>
        <w:t xml:space="preserve">to </w:t>
      </w:r>
      <w:r>
        <w:rPr>
          <w:rFonts w:ascii="Arial" w:hAnsi="Arial" w:cs="Arial"/>
          <w:b/>
          <w:sz w:val="22"/>
          <w:szCs w:val="22"/>
          <w:lang w:val="en-GB"/>
        </w:rPr>
        <w:t>14 December 201</w:t>
      </w:r>
      <w:r>
        <w:rPr>
          <w:rFonts w:ascii="Arial" w:eastAsia="Malgun Gothic" w:hAnsi="Arial" w:cs="Arial"/>
          <w:b/>
          <w:sz w:val="22"/>
          <w:szCs w:val="22"/>
          <w:lang w:val="en-GB" w:eastAsia="ko-KR"/>
        </w:rPr>
        <w:t>9</w:t>
      </w:r>
    </w:p>
    <w:p w14:paraId="357CF383" w14:textId="2E96EF28" w:rsidR="00EC6F8D" w:rsidRPr="008F2B6E" w:rsidRDefault="00EC6F8D" w:rsidP="0055714D">
      <w:pPr>
        <w:spacing w:before="1200"/>
        <w:jc w:val="center"/>
        <w:rPr>
          <w:rFonts w:ascii="Arial" w:hAnsi="Arial" w:cs="Arial"/>
          <w:b/>
          <w:sz w:val="22"/>
          <w:szCs w:val="22"/>
          <w:lang w:val="en-GB"/>
        </w:rPr>
      </w:pPr>
      <w:r w:rsidRPr="008F2B6E">
        <w:rPr>
          <w:rFonts w:ascii="Arial" w:hAnsi="Arial" w:cs="Arial"/>
          <w:b/>
          <w:sz w:val="22"/>
          <w:szCs w:val="22"/>
          <w:u w:val="single"/>
          <w:lang w:val="en-GB"/>
        </w:rPr>
        <w:t xml:space="preserve">Item </w:t>
      </w:r>
      <w:r w:rsidR="00342C76" w:rsidRPr="008F2B6E">
        <w:rPr>
          <w:rFonts w:ascii="Arial" w:hAnsi="Arial" w:cs="Arial"/>
          <w:b/>
          <w:sz w:val="22"/>
          <w:szCs w:val="22"/>
          <w:u w:val="single"/>
          <w:lang w:val="en-GB"/>
        </w:rPr>
        <w:t>1</w:t>
      </w:r>
      <w:r w:rsidR="00E40B33" w:rsidRPr="008F2B6E">
        <w:rPr>
          <w:rFonts w:ascii="Arial" w:hAnsi="Arial" w:cs="Arial"/>
          <w:b/>
          <w:sz w:val="22"/>
          <w:szCs w:val="22"/>
          <w:u w:val="single"/>
          <w:lang w:val="en-GB"/>
        </w:rPr>
        <w:t>5</w:t>
      </w:r>
      <w:r w:rsidRPr="008F2B6E">
        <w:rPr>
          <w:rFonts w:ascii="Arial" w:hAnsi="Arial" w:cs="Arial"/>
          <w:b/>
          <w:sz w:val="22"/>
          <w:szCs w:val="22"/>
          <w:u w:val="single"/>
          <w:lang w:val="en-GB"/>
        </w:rPr>
        <w:t xml:space="preserve"> of the Provisional Agenda</w:t>
      </w:r>
      <w:r w:rsidRPr="008F2B6E">
        <w:rPr>
          <w:rFonts w:ascii="Arial" w:hAnsi="Arial" w:cs="Arial"/>
          <w:b/>
          <w:sz w:val="22"/>
          <w:szCs w:val="22"/>
          <w:lang w:val="en-GB"/>
        </w:rPr>
        <w:t>:</w:t>
      </w:r>
    </w:p>
    <w:p w14:paraId="1596AC8D" w14:textId="64574D26" w:rsidR="00342C76" w:rsidRPr="008F2B6E" w:rsidRDefault="00342C76">
      <w:pPr>
        <w:pStyle w:val="Sansinterligne2"/>
        <w:spacing w:after="1200"/>
        <w:contextualSpacing/>
        <w:jc w:val="center"/>
        <w:rPr>
          <w:rFonts w:ascii="Arial" w:hAnsi="Arial" w:cs="Arial"/>
          <w:b/>
          <w:sz w:val="22"/>
          <w:szCs w:val="22"/>
          <w:lang w:val="en-GB"/>
        </w:rPr>
      </w:pPr>
      <w:r w:rsidRPr="008F2B6E">
        <w:rPr>
          <w:rFonts w:ascii="Arial" w:hAnsi="Arial" w:cs="Arial"/>
          <w:b/>
          <w:sz w:val="22"/>
          <w:szCs w:val="22"/>
          <w:lang w:val="en-GB"/>
        </w:rPr>
        <w:t>Reflection on the participation of non-governmental organizations</w:t>
      </w:r>
    </w:p>
    <w:p w14:paraId="50666D65" w14:textId="77777777" w:rsidR="00EC6F8D" w:rsidRPr="008F2B6E" w:rsidRDefault="00342C76">
      <w:pPr>
        <w:pStyle w:val="Sansinterligne2"/>
        <w:spacing w:after="1200"/>
        <w:jc w:val="center"/>
        <w:rPr>
          <w:rFonts w:ascii="Arial" w:hAnsi="Arial" w:cs="Arial"/>
          <w:b/>
          <w:sz w:val="22"/>
          <w:szCs w:val="22"/>
          <w:lang w:val="en-GB"/>
        </w:rPr>
      </w:pPr>
      <w:proofErr w:type="gramStart"/>
      <w:r w:rsidRPr="008F2B6E">
        <w:rPr>
          <w:rFonts w:ascii="Arial" w:hAnsi="Arial" w:cs="Arial"/>
          <w:b/>
          <w:sz w:val="22"/>
          <w:szCs w:val="22"/>
          <w:lang w:val="en-GB"/>
        </w:rPr>
        <w:t>in</w:t>
      </w:r>
      <w:proofErr w:type="gramEnd"/>
      <w:r w:rsidRPr="008F2B6E">
        <w:rPr>
          <w:rFonts w:ascii="Arial" w:hAnsi="Arial" w:cs="Arial"/>
          <w:b/>
          <w:sz w:val="22"/>
          <w:szCs w:val="22"/>
          <w:lang w:val="en-GB"/>
        </w:rPr>
        <w:t xml:space="preserve"> the implementation of the Convention</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8F2B6E" w14:paraId="10D66C2A" w14:textId="77777777" w:rsidTr="00EC6F8D">
        <w:trPr>
          <w:jc w:val="center"/>
        </w:trPr>
        <w:tc>
          <w:tcPr>
            <w:tcW w:w="5670" w:type="dxa"/>
            <w:vAlign w:val="center"/>
          </w:tcPr>
          <w:p w14:paraId="047FA32C" w14:textId="77777777" w:rsidR="00EC6F8D" w:rsidRPr="008F2B6E" w:rsidRDefault="00EC6F8D">
            <w:pPr>
              <w:pStyle w:val="Sansinterligne1"/>
              <w:spacing w:before="200" w:after="200"/>
              <w:jc w:val="center"/>
              <w:rPr>
                <w:rFonts w:ascii="Arial" w:hAnsi="Arial" w:cs="Arial"/>
                <w:b/>
                <w:sz w:val="22"/>
                <w:szCs w:val="22"/>
                <w:lang w:val="en-GB"/>
              </w:rPr>
            </w:pPr>
            <w:r w:rsidRPr="008F2B6E">
              <w:rPr>
                <w:rFonts w:ascii="Arial" w:hAnsi="Arial" w:cs="Arial"/>
                <w:b/>
                <w:sz w:val="22"/>
                <w:szCs w:val="22"/>
                <w:lang w:val="en-GB"/>
              </w:rPr>
              <w:t>Summary</w:t>
            </w:r>
          </w:p>
          <w:p w14:paraId="2FA37C8B" w14:textId="21E1FEE3" w:rsidR="00C20334" w:rsidRPr="008F2B6E" w:rsidRDefault="004F0E72">
            <w:pPr>
              <w:pStyle w:val="Sansinterligne2"/>
              <w:spacing w:before="200" w:after="200"/>
              <w:jc w:val="both"/>
              <w:rPr>
                <w:rFonts w:ascii="Arial" w:hAnsi="Arial" w:cs="Arial"/>
                <w:sz w:val="22"/>
                <w:szCs w:val="22"/>
                <w:lang w:val="en-GB"/>
              </w:rPr>
            </w:pPr>
            <w:r w:rsidRPr="008F2B6E">
              <w:rPr>
                <w:rFonts w:ascii="Arial" w:hAnsi="Arial" w:cs="Arial"/>
                <w:sz w:val="22"/>
                <w:szCs w:val="22"/>
                <w:lang w:val="en-GB"/>
              </w:rPr>
              <w:t xml:space="preserve">The Committee initiated a reflection on the definition of the advisory functions to </w:t>
            </w:r>
            <w:proofErr w:type="gramStart"/>
            <w:r w:rsidRPr="008F2B6E">
              <w:rPr>
                <w:rFonts w:ascii="Arial" w:hAnsi="Arial" w:cs="Arial"/>
                <w:sz w:val="22"/>
                <w:szCs w:val="22"/>
                <w:lang w:val="en-GB"/>
              </w:rPr>
              <w:t>be fulfilled</w:t>
            </w:r>
            <w:proofErr w:type="gramEnd"/>
            <w:r w:rsidRPr="008F2B6E">
              <w:rPr>
                <w:rFonts w:ascii="Arial" w:hAnsi="Arial" w:cs="Arial"/>
                <w:sz w:val="22"/>
                <w:szCs w:val="22"/>
                <w:lang w:val="en-GB"/>
              </w:rPr>
              <w:t xml:space="preserve"> by accredited non-governmental organizations at its twelfth session in 2017. </w:t>
            </w:r>
            <w:r w:rsidR="00C20334" w:rsidRPr="008F2B6E">
              <w:rPr>
                <w:rFonts w:ascii="Arial" w:hAnsi="Arial" w:cs="Arial"/>
                <w:sz w:val="22"/>
                <w:szCs w:val="22"/>
                <w:lang w:val="en-GB"/>
              </w:rPr>
              <w:t>At its thirteenth session in 2018, the Committee requested that the Secretariat continue th</w:t>
            </w:r>
            <w:r w:rsidRPr="008F2B6E">
              <w:rPr>
                <w:rFonts w:ascii="Arial" w:hAnsi="Arial" w:cs="Arial"/>
                <w:sz w:val="22"/>
                <w:szCs w:val="22"/>
                <w:lang w:val="en-GB"/>
              </w:rPr>
              <w:t>is</w:t>
            </w:r>
            <w:r w:rsidR="00C20334" w:rsidRPr="008F2B6E">
              <w:rPr>
                <w:rFonts w:ascii="Arial" w:hAnsi="Arial" w:cs="Arial"/>
                <w:sz w:val="22"/>
                <w:szCs w:val="22"/>
                <w:lang w:val="en-GB"/>
              </w:rPr>
              <w:t xml:space="preserve"> reflection with accredited non-governmental organizations, the ICH NGO Forum, the informal ad hoc open-ended working group and States Parties. This document presents the main outcomes of this reflection process.</w:t>
            </w:r>
          </w:p>
          <w:p w14:paraId="2DEDA4C2" w14:textId="092B2182" w:rsidR="00EC6F8D" w:rsidRPr="008F2B6E" w:rsidRDefault="00EC6F8D">
            <w:pPr>
              <w:pStyle w:val="Sansinterligne2"/>
              <w:spacing w:before="200" w:after="200"/>
              <w:jc w:val="both"/>
              <w:rPr>
                <w:rFonts w:ascii="Arial" w:hAnsi="Arial" w:cs="Arial"/>
                <w:b/>
                <w:sz w:val="22"/>
                <w:szCs w:val="22"/>
                <w:lang w:val="en-GB"/>
              </w:rPr>
            </w:pPr>
            <w:r w:rsidRPr="008F2B6E">
              <w:rPr>
                <w:rFonts w:ascii="Arial" w:hAnsi="Arial" w:cs="Arial"/>
                <w:b/>
                <w:sz w:val="22"/>
                <w:szCs w:val="22"/>
                <w:lang w:val="en-GB"/>
              </w:rPr>
              <w:t xml:space="preserve">Decision required: </w:t>
            </w:r>
            <w:r w:rsidRPr="008F2B6E">
              <w:rPr>
                <w:rFonts w:ascii="Arial" w:hAnsi="Arial" w:cs="Arial"/>
                <w:bCs/>
                <w:sz w:val="22"/>
                <w:szCs w:val="22"/>
                <w:lang w:val="en-GB"/>
              </w:rPr>
              <w:t xml:space="preserve">paragraph </w:t>
            </w:r>
            <w:r w:rsidR="00BF0297" w:rsidRPr="00A67390">
              <w:rPr>
                <w:rFonts w:ascii="Arial" w:hAnsi="Arial" w:cs="Arial"/>
                <w:bCs/>
                <w:sz w:val="22"/>
                <w:szCs w:val="22"/>
                <w:lang w:val="en-GB"/>
              </w:rPr>
              <w:t>2</w:t>
            </w:r>
            <w:r w:rsidR="00834B38" w:rsidRPr="00A67390">
              <w:rPr>
                <w:rFonts w:ascii="Arial" w:hAnsi="Arial" w:cs="Arial"/>
                <w:bCs/>
                <w:sz w:val="22"/>
                <w:szCs w:val="22"/>
                <w:lang w:val="en-GB"/>
              </w:rPr>
              <w:t>1</w:t>
            </w:r>
          </w:p>
        </w:tc>
      </w:tr>
    </w:tbl>
    <w:p w14:paraId="0D0037E4" w14:textId="77777777" w:rsidR="00342C76" w:rsidRPr="008F2B6E" w:rsidRDefault="00655736">
      <w:pPr>
        <w:pStyle w:val="ListParagraph"/>
        <w:numPr>
          <w:ilvl w:val="0"/>
          <w:numId w:val="6"/>
        </w:numPr>
        <w:spacing w:before="360" w:after="120"/>
        <w:ind w:left="567" w:hanging="567"/>
        <w:jc w:val="both"/>
        <w:rPr>
          <w:rFonts w:ascii="Arial" w:hAnsi="Arial" w:cs="Arial"/>
          <w:b/>
          <w:sz w:val="22"/>
          <w:szCs w:val="22"/>
          <w:lang w:val="en-US"/>
        </w:rPr>
      </w:pPr>
      <w:r w:rsidRPr="008F2B6E">
        <w:rPr>
          <w:lang w:val="en-GB"/>
        </w:rPr>
        <w:br w:type="page"/>
      </w:r>
      <w:r w:rsidR="00342C76" w:rsidRPr="008F2B6E">
        <w:rPr>
          <w:rFonts w:ascii="Arial" w:hAnsi="Arial" w:cs="Arial"/>
          <w:b/>
          <w:sz w:val="22"/>
          <w:szCs w:val="22"/>
          <w:lang w:val="en-US"/>
        </w:rPr>
        <w:lastRenderedPageBreak/>
        <w:t xml:space="preserve">Background </w:t>
      </w:r>
    </w:p>
    <w:p w14:paraId="0128E3E9" w14:textId="2D9645AF" w:rsidR="00B82C34" w:rsidRPr="008F2B6E" w:rsidRDefault="00E977CF">
      <w:pPr>
        <w:pStyle w:val="COMPara"/>
        <w:numPr>
          <w:ilvl w:val="3"/>
          <w:numId w:val="2"/>
        </w:numPr>
        <w:ind w:left="567" w:hanging="567"/>
        <w:jc w:val="both"/>
      </w:pPr>
      <w:r w:rsidRPr="008F2B6E">
        <w:rPr>
          <w:bCs/>
        </w:rPr>
        <w:t xml:space="preserve">The </w:t>
      </w:r>
      <w:proofErr w:type="gramStart"/>
      <w:r w:rsidRPr="008F2B6E">
        <w:rPr>
          <w:bCs/>
        </w:rPr>
        <w:t xml:space="preserve">reflection process </w:t>
      </w:r>
      <w:r w:rsidR="00A15F8E" w:rsidRPr="008F2B6E">
        <w:rPr>
          <w:bCs/>
        </w:rPr>
        <w:t>on</w:t>
      </w:r>
      <w:r w:rsidR="002C2AE9" w:rsidRPr="008F2B6E">
        <w:rPr>
          <w:bCs/>
        </w:rPr>
        <w:t xml:space="preserve"> </w:t>
      </w:r>
      <w:r w:rsidRPr="008F2B6E">
        <w:rPr>
          <w:bCs/>
        </w:rPr>
        <w:t>the</w:t>
      </w:r>
      <w:r w:rsidR="004322B5" w:rsidRPr="008F2B6E">
        <w:rPr>
          <w:bCs/>
        </w:rPr>
        <w:t xml:space="preserve"> advisory</w:t>
      </w:r>
      <w:r w:rsidRPr="008F2B6E">
        <w:rPr>
          <w:bCs/>
        </w:rPr>
        <w:t xml:space="preserve"> role of accredited non-governmental organizations (NGOs) was launched by the Committee</w:t>
      </w:r>
      <w:proofErr w:type="gramEnd"/>
      <w:r w:rsidRPr="008F2B6E">
        <w:rPr>
          <w:bCs/>
        </w:rPr>
        <w:t xml:space="preserve"> at its twelfth session in 2017</w:t>
      </w:r>
      <w:r w:rsidR="004322B5" w:rsidRPr="008F2B6E">
        <w:rPr>
          <w:bCs/>
        </w:rPr>
        <w:t>. It</w:t>
      </w:r>
      <w:r w:rsidR="00B82C34" w:rsidRPr="008F2B6E">
        <w:t xml:space="preserve"> invited the Secretariat </w:t>
      </w:r>
      <w:r w:rsidR="004F0E72" w:rsidRPr="008F2B6E">
        <w:t xml:space="preserve">and the informal ad hoc working group </w:t>
      </w:r>
      <w:r w:rsidR="00B82C34" w:rsidRPr="008F2B6E">
        <w:t>‘to reflect, in consultation with accredited NGOs, on the possible ways in which the participation of NGOs under the 2003 Convention could be further enhanced and how this would be reflected in the accreditation and renewal mechanisms of NGOs’ (</w:t>
      </w:r>
      <w:hyperlink r:id="rId8" w:history="1">
        <w:r w:rsidR="00B82C34" w:rsidRPr="008F2B6E">
          <w:rPr>
            <w:rStyle w:val="Hyperlink"/>
          </w:rPr>
          <w:t>Decision 12.COM 17</w:t>
        </w:r>
      </w:hyperlink>
      <w:r w:rsidR="00B82C34" w:rsidRPr="008F2B6E">
        <w:t xml:space="preserve">). This request was made following debates during the same session on the identification and definition of the advisory functions that the Committee </w:t>
      </w:r>
      <w:r w:rsidR="002C2AE9" w:rsidRPr="008F2B6E">
        <w:t xml:space="preserve">wished </w:t>
      </w:r>
      <w:r w:rsidR="00B82C34" w:rsidRPr="008F2B6E">
        <w:t xml:space="preserve">accredited NGOs to fulfil (expressed as </w:t>
      </w:r>
      <w:r w:rsidR="00B82C34" w:rsidRPr="008F2B6E">
        <w:rPr>
          <w:i/>
        </w:rPr>
        <w:t>inter alia</w:t>
      </w:r>
      <w:r w:rsidR="00B82C34" w:rsidRPr="008F2B6E">
        <w:t xml:space="preserve"> functions in paragraph 96 of the Operational Directives) and on the relevance of the accreditation system for the work of the Committee and the implementation of the Convention. These discussions stemmed from the realization that at any one time, only </w:t>
      </w:r>
      <w:r w:rsidR="002C2AE9" w:rsidRPr="008F2B6E">
        <w:t xml:space="preserve">6 </w:t>
      </w:r>
      <w:r w:rsidR="00616173" w:rsidRPr="008F2B6E">
        <w:t xml:space="preserve">out of </w:t>
      </w:r>
      <w:r w:rsidR="00071045">
        <w:t xml:space="preserve">the </w:t>
      </w:r>
      <w:r w:rsidR="00616173" w:rsidRPr="008F2B6E">
        <w:t xml:space="preserve">176 </w:t>
      </w:r>
      <w:r w:rsidR="00071045">
        <w:t xml:space="preserve">currently </w:t>
      </w:r>
      <w:r w:rsidR="00B82C34" w:rsidRPr="008F2B6E">
        <w:t>accredited NGOs are members of the Evaluation Body and are therefore in a position to fulfil the advisory functions assigned to accredited NGOs in the Operational Directives.</w:t>
      </w:r>
    </w:p>
    <w:p w14:paraId="0637C624" w14:textId="7BBB7F20" w:rsidR="00B61E41" w:rsidRPr="008F2B6E" w:rsidRDefault="00B61E41">
      <w:pPr>
        <w:pStyle w:val="COMPara"/>
        <w:numPr>
          <w:ilvl w:val="3"/>
          <w:numId w:val="2"/>
        </w:numPr>
        <w:ind w:left="567" w:hanging="567"/>
        <w:jc w:val="both"/>
      </w:pPr>
      <w:r w:rsidRPr="008F2B6E">
        <w:t xml:space="preserve">The aim of </w:t>
      </w:r>
      <w:r w:rsidR="002D16AE" w:rsidRPr="008F2B6E">
        <w:t>the reflection</w:t>
      </w:r>
      <w:r w:rsidRPr="008F2B6E">
        <w:t xml:space="preserve"> was to </w:t>
      </w:r>
      <w:r w:rsidR="002D16AE" w:rsidRPr="008F2B6E">
        <w:t>provide a platform for open discussions regarding</w:t>
      </w:r>
      <w:r w:rsidRPr="008F2B6E">
        <w:t xml:space="preserve"> the involvement of NGOs in the implementation of the Convention under the current accreditation system and </w:t>
      </w:r>
      <w:r w:rsidR="002C2AE9" w:rsidRPr="008F2B6E">
        <w:t xml:space="preserve">to </w:t>
      </w:r>
      <w:r w:rsidRPr="008F2B6E">
        <w:t>gather ideas on:</w:t>
      </w:r>
    </w:p>
    <w:p w14:paraId="24B91518" w14:textId="7C0248B2" w:rsidR="00B61E41" w:rsidRPr="008F2B6E" w:rsidRDefault="00B61E41">
      <w:pPr>
        <w:pStyle w:val="COMPara"/>
        <w:numPr>
          <w:ilvl w:val="0"/>
          <w:numId w:val="7"/>
        </w:numPr>
        <w:ind w:left="1134" w:hanging="567"/>
        <w:jc w:val="both"/>
      </w:pPr>
      <w:r w:rsidRPr="008F2B6E">
        <w:t>potential advisory functions</w:t>
      </w:r>
      <w:r w:rsidR="00616173" w:rsidRPr="008F2B6E">
        <w:t xml:space="preserve"> – defined as ‘</w:t>
      </w:r>
      <w:r w:rsidR="00616173" w:rsidRPr="00A67390">
        <w:rPr>
          <w:i/>
          <w:iCs/>
        </w:rPr>
        <w:t>inter alia</w:t>
      </w:r>
      <w:r w:rsidR="00616173" w:rsidRPr="008F2B6E">
        <w:t>’ advisory functions in paragraph 96 of the Operational Directives –</w:t>
      </w:r>
      <w:r w:rsidRPr="008F2B6E">
        <w:t xml:space="preserve"> that accredited NGOs could fulfil for the governing bodies of the Convention (the General Asse</w:t>
      </w:r>
      <w:r w:rsidR="002D16AE" w:rsidRPr="008F2B6E">
        <w:t xml:space="preserve">mbly of States Parties and the </w:t>
      </w:r>
      <w:r w:rsidRPr="008F2B6E">
        <w:t>Committee)</w:t>
      </w:r>
      <w:r w:rsidR="002C2AE9" w:rsidRPr="008F2B6E">
        <w:t>;</w:t>
      </w:r>
    </w:p>
    <w:p w14:paraId="6B6AEE2B" w14:textId="7EABBEAF" w:rsidR="00B61E41" w:rsidRPr="008F2B6E" w:rsidRDefault="00B61E41">
      <w:pPr>
        <w:pStyle w:val="COMPara"/>
        <w:numPr>
          <w:ilvl w:val="0"/>
          <w:numId w:val="7"/>
        </w:numPr>
        <w:ind w:left="1134" w:hanging="567"/>
        <w:jc w:val="both"/>
      </w:pPr>
      <w:r w:rsidRPr="008F2B6E">
        <w:t>potential functions that accredited NGOs could fulfil in the implementation of the Convention at the national level</w:t>
      </w:r>
      <w:r w:rsidR="002C2AE9" w:rsidRPr="008F2B6E">
        <w:t>;</w:t>
      </w:r>
    </w:p>
    <w:p w14:paraId="003FC729" w14:textId="1DBF40AE" w:rsidR="00B61E41" w:rsidRPr="008F2B6E" w:rsidRDefault="00B61E41">
      <w:pPr>
        <w:pStyle w:val="COMPara"/>
        <w:numPr>
          <w:ilvl w:val="0"/>
          <w:numId w:val="7"/>
        </w:numPr>
        <w:ind w:left="1134" w:hanging="567"/>
        <w:jc w:val="both"/>
      </w:pPr>
      <w:r w:rsidRPr="008F2B6E">
        <w:t>the evolution of the accreditation system of NGOs</w:t>
      </w:r>
      <w:r w:rsidR="002C2AE9" w:rsidRPr="008F2B6E">
        <w:t>;</w:t>
      </w:r>
      <w:r w:rsidRPr="008F2B6E">
        <w:t xml:space="preserve"> and</w:t>
      </w:r>
    </w:p>
    <w:p w14:paraId="5EB1C4A7" w14:textId="35AB0146" w:rsidR="00B61E41" w:rsidRPr="008F2B6E" w:rsidRDefault="00B61E41">
      <w:pPr>
        <w:pStyle w:val="COMPara"/>
        <w:numPr>
          <w:ilvl w:val="0"/>
          <w:numId w:val="7"/>
        </w:numPr>
        <w:ind w:left="1134" w:hanging="567"/>
        <w:jc w:val="both"/>
      </w:pPr>
      <w:proofErr w:type="gramStart"/>
      <w:r w:rsidRPr="008F2B6E">
        <w:t>the</w:t>
      </w:r>
      <w:proofErr w:type="gramEnd"/>
      <w:r w:rsidRPr="008F2B6E">
        <w:t xml:space="preserve"> role of the ICH NGO Forum.</w:t>
      </w:r>
    </w:p>
    <w:p w14:paraId="00B15992" w14:textId="27CED57D" w:rsidR="00E977CF" w:rsidRPr="008F2B6E" w:rsidRDefault="00E977CF">
      <w:pPr>
        <w:pStyle w:val="COMPara"/>
        <w:numPr>
          <w:ilvl w:val="3"/>
          <w:numId w:val="2"/>
        </w:numPr>
        <w:ind w:left="567" w:hanging="567"/>
        <w:jc w:val="both"/>
      </w:pPr>
      <w:r w:rsidRPr="008F2B6E">
        <w:t>In June 2018, the General Assembly of States Parties took note of the ongoing reflection</w:t>
      </w:r>
      <w:r w:rsidR="002C2AE9" w:rsidRPr="008F2B6E">
        <w:t>s</w:t>
      </w:r>
      <w:r w:rsidRPr="008F2B6E">
        <w:t xml:space="preserve"> undertaken by the Secretariat and the informal ad hoc working group </w:t>
      </w:r>
      <w:r w:rsidR="004322B5" w:rsidRPr="008F2B6E">
        <w:t xml:space="preserve">of the </w:t>
      </w:r>
      <w:r w:rsidRPr="008F2B6E">
        <w:t>Convention and requested that the Committee and the Secretariat present the updates on this reflection at the next session of the General Assembly</w:t>
      </w:r>
      <w:r w:rsidR="004322B5" w:rsidRPr="008F2B6E">
        <w:t xml:space="preserve"> in 2020</w:t>
      </w:r>
      <w:r w:rsidRPr="008F2B6E">
        <w:t xml:space="preserve"> (</w:t>
      </w:r>
      <w:hyperlink r:id="rId9" w:history="1">
        <w:r w:rsidRPr="008F2B6E">
          <w:rPr>
            <w:rStyle w:val="Hyperlink"/>
          </w:rPr>
          <w:t>Resolution 7.GA 11</w:t>
        </w:r>
      </w:hyperlink>
      <w:r w:rsidRPr="008F2B6E">
        <w:t>).</w:t>
      </w:r>
    </w:p>
    <w:p w14:paraId="2EC5EE29" w14:textId="2CAE2687" w:rsidR="00E473CC" w:rsidRPr="008F2B6E" w:rsidRDefault="00E473CC">
      <w:pPr>
        <w:pStyle w:val="ListParagraph"/>
        <w:numPr>
          <w:ilvl w:val="0"/>
          <w:numId w:val="6"/>
        </w:numPr>
        <w:spacing w:before="360" w:after="120"/>
        <w:ind w:left="567" w:hanging="567"/>
        <w:jc w:val="both"/>
        <w:rPr>
          <w:rFonts w:ascii="Arial" w:hAnsi="Arial" w:cs="Arial"/>
          <w:b/>
          <w:sz w:val="22"/>
          <w:szCs w:val="22"/>
          <w:lang w:val="en-US"/>
        </w:rPr>
      </w:pPr>
      <w:r w:rsidRPr="008F2B6E">
        <w:rPr>
          <w:rFonts w:ascii="Arial" w:hAnsi="Arial" w:cs="Arial"/>
          <w:b/>
          <w:sz w:val="22"/>
          <w:szCs w:val="22"/>
          <w:lang w:val="en-US"/>
        </w:rPr>
        <w:t>Reflection process</w:t>
      </w:r>
      <w:r w:rsidR="002D16AE" w:rsidRPr="008F2B6E">
        <w:rPr>
          <w:rStyle w:val="FootnoteReference"/>
          <w:rFonts w:ascii="Arial" w:hAnsi="Arial" w:cs="Arial"/>
          <w:b/>
          <w:sz w:val="22"/>
          <w:szCs w:val="22"/>
          <w:lang w:val="en-US"/>
        </w:rPr>
        <w:footnoteReference w:id="1"/>
      </w:r>
    </w:p>
    <w:p w14:paraId="66DDBD31" w14:textId="5A437B2D" w:rsidR="00B82C34" w:rsidRPr="008F2B6E" w:rsidRDefault="00E977CF">
      <w:pPr>
        <w:pStyle w:val="COMPara"/>
        <w:numPr>
          <w:ilvl w:val="3"/>
          <w:numId w:val="2"/>
        </w:numPr>
        <w:ind w:left="567" w:hanging="567"/>
        <w:jc w:val="both"/>
        <w:rPr>
          <w:bCs/>
        </w:rPr>
      </w:pPr>
      <w:r w:rsidRPr="008F2B6E">
        <w:t>Following prel</w:t>
      </w:r>
      <w:r w:rsidR="00B61E41" w:rsidRPr="008F2B6E">
        <w:t>iminary consultations with the Steering C</w:t>
      </w:r>
      <w:r w:rsidRPr="008F2B6E">
        <w:t xml:space="preserve">ommittee of the ICH NGO Forum and representatives from the informal ad hoc working group on the organization of the </w:t>
      </w:r>
      <w:r w:rsidR="00B61E41" w:rsidRPr="008F2B6E">
        <w:t>reflection</w:t>
      </w:r>
      <w:r w:rsidRPr="008F2B6E">
        <w:t xml:space="preserve"> process</w:t>
      </w:r>
      <w:r w:rsidR="00B61E41" w:rsidRPr="008F2B6E">
        <w:t xml:space="preserve"> in June 2018</w:t>
      </w:r>
      <w:r w:rsidRPr="008F2B6E">
        <w:t xml:space="preserve">, an electronic consultation on the potential advisory functions to </w:t>
      </w:r>
      <w:proofErr w:type="gramStart"/>
      <w:r w:rsidRPr="008F2B6E">
        <w:t xml:space="preserve">be </w:t>
      </w:r>
      <w:r w:rsidR="00CB1DFC" w:rsidRPr="008F2B6E">
        <w:t>assumed</w:t>
      </w:r>
      <w:proofErr w:type="gramEnd"/>
      <w:r w:rsidR="00CB1DFC" w:rsidRPr="008F2B6E">
        <w:t xml:space="preserve"> </w:t>
      </w:r>
      <w:r w:rsidRPr="008F2B6E">
        <w:t>by accredited NGOs and possible ways forward for the accreditation system</w:t>
      </w:r>
      <w:r w:rsidR="00B61E41" w:rsidRPr="008F2B6E">
        <w:t xml:space="preserve"> was organized from</w:t>
      </w:r>
      <w:r w:rsidR="00B82C34" w:rsidRPr="008F2B6E">
        <w:t xml:space="preserve"> September </w:t>
      </w:r>
      <w:r w:rsidR="00B61E41" w:rsidRPr="008F2B6E">
        <w:t xml:space="preserve">to October </w:t>
      </w:r>
      <w:r w:rsidR="00B82C34" w:rsidRPr="008F2B6E">
        <w:t>2018</w:t>
      </w:r>
      <w:r w:rsidRPr="008F2B6E">
        <w:t xml:space="preserve">. </w:t>
      </w:r>
      <w:r w:rsidR="00B61E41" w:rsidRPr="008F2B6E">
        <w:t>For this</w:t>
      </w:r>
      <w:r w:rsidR="00312940" w:rsidRPr="008F2B6E">
        <w:t xml:space="preserve"> purpose, a survey questionnaire (</w:t>
      </w:r>
      <w:hyperlink r:id="rId10" w:history="1">
        <w:r w:rsidR="00C55B5C" w:rsidRPr="008F2B6E">
          <w:rPr>
            <w:rStyle w:val="Hyperlink"/>
          </w:rPr>
          <w:t>document</w:t>
        </w:r>
        <w:r w:rsidR="00483DFB">
          <w:rPr>
            <w:rStyle w:val="Hyperlink"/>
          </w:rPr>
          <w:t> </w:t>
        </w:r>
        <w:r w:rsidR="00C55B5C" w:rsidRPr="008F2B6E">
          <w:rPr>
            <w:rStyle w:val="Hyperlink"/>
          </w:rPr>
          <w:t>ITH/18/NGO/2</w:t>
        </w:r>
      </w:hyperlink>
      <w:r w:rsidR="00312940" w:rsidRPr="008F2B6E">
        <w:t xml:space="preserve">) </w:t>
      </w:r>
      <w:proofErr w:type="gramStart"/>
      <w:r w:rsidR="00312940" w:rsidRPr="008F2B6E">
        <w:t>was sent</w:t>
      </w:r>
      <w:proofErr w:type="gramEnd"/>
      <w:r w:rsidR="00312940" w:rsidRPr="008F2B6E">
        <w:t xml:space="preserve"> to all accredited NGOs and States Parties </w:t>
      </w:r>
      <w:r w:rsidR="00B82C34" w:rsidRPr="008F2B6E">
        <w:rPr>
          <w:bCs/>
        </w:rPr>
        <w:t xml:space="preserve">to gather ideas </w:t>
      </w:r>
      <w:r w:rsidR="00B61E41" w:rsidRPr="008F2B6E">
        <w:rPr>
          <w:bCs/>
        </w:rPr>
        <w:t>regarding</w:t>
      </w:r>
      <w:r w:rsidR="00B82C34" w:rsidRPr="008F2B6E">
        <w:rPr>
          <w:bCs/>
        </w:rPr>
        <w:t xml:space="preserve"> the future of accredited NGOs in the 2003 Convention. In total, </w:t>
      </w:r>
      <w:r w:rsidR="002C2AE9" w:rsidRPr="008F2B6E">
        <w:rPr>
          <w:bCs/>
        </w:rPr>
        <w:t>thirty-eight </w:t>
      </w:r>
      <w:r w:rsidR="00B82C34" w:rsidRPr="008F2B6E">
        <w:rPr>
          <w:bCs/>
        </w:rPr>
        <w:t xml:space="preserve">States Parties and </w:t>
      </w:r>
      <w:r w:rsidR="002C2AE9" w:rsidRPr="008F2B6E">
        <w:rPr>
          <w:bCs/>
        </w:rPr>
        <w:t>sixty-eight </w:t>
      </w:r>
      <w:r w:rsidR="00B82C34" w:rsidRPr="008F2B6E">
        <w:rPr>
          <w:bCs/>
        </w:rPr>
        <w:t>accredited NGOs took part in this consultation, the preliminary results of which were presented to the thirteenth session of the Committee in 2018</w:t>
      </w:r>
      <w:r w:rsidR="00C55B5C" w:rsidRPr="008F2B6E">
        <w:rPr>
          <w:bCs/>
        </w:rPr>
        <w:t xml:space="preserve"> (</w:t>
      </w:r>
      <w:hyperlink r:id="rId11" w:history="1">
        <w:r w:rsidR="00C55B5C" w:rsidRPr="008F2B6E">
          <w:rPr>
            <w:rStyle w:val="Hyperlink"/>
            <w:bCs/>
          </w:rPr>
          <w:t>document</w:t>
        </w:r>
        <w:r w:rsidR="0079474A">
          <w:rPr>
            <w:rStyle w:val="Hyperlink"/>
            <w:bCs/>
          </w:rPr>
          <w:t> </w:t>
        </w:r>
        <w:r w:rsidR="00C55B5C" w:rsidRPr="008F2B6E">
          <w:rPr>
            <w:rStyle w:val="Hyperlink"/>
            <w:bCs/>
          </w:rPr>
          <w:t>ITH/18/13.COM/13</w:t>
        </w:r>
      </w:hyperlink>
      <w:r w:rsidR="00C55B5C" w:rsidRPr="008F2B6E">
        <w:rPr>
          <w:bCs/>
        </w:rPr>
        <w:t>)</w:t>
      </w:r>
      <w:r w:rsidR="00B82C34" w:rsidRPr="008F2B6E">
        <w:rPr>
          <w:bCs/>
        </w:rPr>
        <w:t>.</w:t>
      </w:r>
    </w:p>
    <w:p w14:paraId="4A4D3387" w14:textId="22D010D6" w:rsidR="00E977CF" w:rsidRPr="008F2B6E" w:rsidRDefault="00B61E41">
      <w:pPr>
        <w:pStyle w:val="COMPara"/>
        <w:numPr>
          <w:ilvl w:val="3"/>
          <w:numId w:val="2"/>
        </w:numPr>
        <w:ind w:left="567" w:hanging="567"/>
        <w:jc w:val="both"/>
      </w:pPr>
      <w:r w:rsidRPr="008F2B6E">
        <w:t>At its thirteenth session in November/December 2018</w:t>
      </w:r>
      <w:r w:rsidRPr="008F2B6E">
        <w:rPr>
          <w:bCs/>
        </w:rPr>
        <w:t xml:space="preserve">, the </w:t>
      </w:r>
      <w:r w:rsidR="005721E3" w:rsidRPr="008F2B6E">
        <w:t xml:space="preserve">Committee </w:t>
      </w:r>
      <w:r w:rsidR="00E977CF" w:rsidRPr="008F2B6E">
        <w:t xml:space="preserve">took note of the participatory consultation process presented by the Secretariat and of the initial observations from the electronic consultation on the role of accredited NGOs in the Convention. </w:t>
      </w:r>
      <w:proofErr w:type="gramStart"/>
      <w:r w:rsidR="00E977CF" w:rsidRPr="008F2B6E">
        <w:t xml:space="preserve">It </w:t>
      </w:r>
      <w:r w:rsidR="005721E3" w:rsidRPr="008F2B6E">
        <w:t xml:space="preserve">also </w:t>
      </w:r>
      <w:r w:rsidR="00E977CF" w:rsidRPr="008F2B6E">
        <w:t xml:space="preserve">requested </w:t>
      </w:r>
      <w:r w:rsidR="002C2AE9" w:rsidRPr="008F2B6E">
        <w:t xml:space="preserve">that </w:t>
      </w:r>
      <w:r w:rsidR="00E977CF" w:rsidRPr="008F2B6E">
        <w:t>the Secretariat continue the reflection with accredited NGOs, the ICH NGO Forum, the informal ad hoc open-ended working group and States Parties on the definition of the advisory functions to be fulfilled by accredited NGOs and t</w:t>
      </w:r>
      <w:r w:rsidR="002C2AE9" w:rsidRPr="008F2B6E">
        <w:t>hat it</w:t>
      </w:r>
      <w:r w:rsidR="00E977CF" w:rsidRPr="008F2B6E">
        <w:t xml:space="preserve"> present the results of </w:t>
      </w:r>
      <w:r w:rsidR="002C2AE9" w:rsidRPr="008F2B6E">
        <w:t xml:space="preserve">this </w:t>
      </w:r>
      <w:r w:rsidR="00E977CF" w:rsidRPr="008F2B6E">
        <w:lastRenderedPageBreak/>
        <w:t>reflection and proposals for the revision of the accreditation system at its fourteenth session (</w:t>
      </w:r>
      <w:hyperlink r:id="rId12" w:history="1">
        <w:r w:rsidR="00E977CF" w:rsidRPr="008F2B6E">
          <w:rPr>
            <w:rStyle w:val="Hyperlink"/>
          </w:rPr>
          <w:t>Decision 13.COM 13</w:t>
        </w:r>
      </w:hyperlink>
      <w:r w:rsidR="00E977CF" w:rsidRPr="008F2B6E">
        <w:t>).</w:t>
      </w:r>
      <w:proofErr w:type="gramEnd"/>
    </w:p>
    <w:p w14:paraId="4420DFBC" w14:textId="1651D6D3" w:rsidR="00874ED1" w:rsidRPr="008F2B6E" w:rsidRDefault="005721E3">
      <w:pPr>
        <w:pStyle w:val="COMPara"/>
        <w:numPr>
          <w:ilvl w:val="3"/>
          <w:numId w:val="2"/>
        </w:numPr>
        <w:ind w:left="567" w:hanging="567"/>
        <w:jc w:val="both"/>
      </w:pPr>
      <w:r w:rsidRPr="008F2B6E">
        <w:t>Pursuant to this decision, t</w:t>
      </w:r>
      <w:r w:rsidR="002D16AE" w:rsidRPr="008F2B6E">
        <w:t>he reflection process continued with the organization of a</w:t>
      </w:r>
      <w:r w:rsidR="00E977CF" w:rsidRPr="008F2B6E">
        <w:t xml:space="preserve"> consultation meeting on 18</w:t>
      </w:r>
      <w:r w:rsidR="002D16AE" w:rsidRPr="008F2B6E">
        <w:t> </w:t>
      </w:r>
      <w:r w:rsidR="00E977CF" w:rsidRPr="008F2B6E">
        <w:t xml:space="preserve">April 2019 at UNESCO Headquarters. </w:t>
      </w:r>
      <w:r w:rsidR="004F0E72" w:rsidRPr="008F2B6E">
        <w:t>Based on the findings of the electronic consultation</w:t>
      </w:r>
      <w:r w:rsidR="00A15F8E" w:rsidRPr="008F2B6E">
        <w:t>,</w:t>
      </w:r>
      <w:r w:rsidR="004F0E72" w:rsidRPr="008F2B6E">
        <w:t xml:space="preserve"> analysed in a working document (</w:t>
      </w:r>
      <w:hyperlink r:id="rId13" w:history="1">
        <w:r w:rsidR="004F0E72" w:rsidRPr="008F2B6E">
          <w:rPr>
            <w:rStyle w:val="Hyperlink"/>
          </w:rPr>
          <w:t>document</w:t>
        </w:r>
        <w:r w:rsidR="000A4904">
          <w:rPr>
            <w:rStyle w:val="Hyperlink"/>
          </w:rPr>
          <w:t> </w:t>
        </w:r>
        <w:r w:rsidR="004F0E72" w:rsidRPr="008F2B6E">
          <w:rPr>
            <w:rStyle w:val="Hyperlink"/>
          </w:rPr>
          <w:t>LHE/19/NGO/2</w:t>
        </w:r>
      </w:hyperlink>
      <w:r w:rsidR="004F0E72" w:rsidRPr="008F2B6E">
        <w:t xml:space="preserve">) shared with all participants, the consultation meeting </w:t>
      </w:r>
      <w:r w:rsidR="002C2AE9" w:rsidRPr="008F2B6E">
        <w:t xml:space="preserve">was aimed at </w:t>
      </w:r>
      <w:r w:rsidR="00E977CF" w:rsidRPr="008F2B6E">
        <w:t>further</w:t>
      </w:r>
      <w:r w:rsidR="002C2AE9" w:rsidRPr="008F2B6E">
        <w:t>ing</w:t>
      </w:r>
      <w:r w:rsidR="00E977CF" w:rsidRPr="008F2B6E">
        <w:t xml:space="preserve"> the reflection on the definition of the advisory functions to be </w:t>
      </w:r>
      <w:r w:rsidR="00CB1DFC" w:rsidRPr="008F2B6E">
        <w:t xml:space="preserve">performed </w:t>
      </w:r>
      <w:r w:rsidR="00E977CF" w:rsidRPr="008F2B6E">
        <w:t>by accredited NGOs in the sense of Article</w:t>
      </w:r>
      <w:r w:rsidR="00EF560C" w:rsidRPr="008F2B6E">
        <w:t> </w:t>
      </w:r>
      <w:r w:rsidR="00E977CF" w:rsidRPr="008F2B6E">
        <w:t xml:space="preserve"> 9 of the Convention and paragraph 96 of </w:t>
      </w:r>
      <w:r w:rsidR="002D16AE" w:rsidRPr="008F2B6E">
        <w:t>its</w:t>
      </w:r>
      <w:r w:rsidR="00E977CF" w:rsidRPr="008F2B6E">
        <w:t xml:space="preserve"> Operational Directives. </w:t>
      </w:r>
      <w:r w:rsidR="00874ED1" w:rsidRPr="008F2B6E">
        <w:t xml:space="preserve">The </w:t>
      </w:r>
      <w:hyperlink r:id="rId14" w:history="1">
        <w:r w:rsidR="00874ED1" w:rsidRPr="008F2B6E">
          <w:rPr>
            <w:rStyle w:val="Hyperlink"/>
          </w:rPr>
          <w:t>report of the consultation meeting</w:t>
        </w:r>
      </w:hyperlink>
      <w:r w:rsidR="00874ED1" w:rsidRPr="008F2B6E">
        <w:t xml:space="preserve"> </w:t>
      </w:r>
      <w:proofErr w:type="gramStart"/>
      <w:r w:rsidR="00874ED1" w:rsidRPr="008F2B6E">
        <w:t xml:space="preserve">was </w:t>
      </w:r>
      <w:r w:rsidR="00D23097" w:rsidRPr="008F2B6E">
        <w:t>reviewed</w:t>
      </w:r>
      <w:proofErr w:type="gramEnd"/>
      <w:r w:rsidR="00D23097" w:rsidRPr="008F2B6E">
        <w:t xml:space="preserve"> by the Steering Committee of the ICH NGO Forum, before being </w:t>
      </w:r>
      <w:r w:rsidR="00874ED1" w:rsidRPr="008F2B6E">
        <w:t xml:space="preserve">shared with all States Parties and all accredited NGOs </w:t>
      </w:r>
      <w:r w:rsidR="002D16AE" w:rsidRPr="008F2B6E">
        <w:t>in</w:t>
      </w:r>
      <w:r w:rsidR="00AC34F1" w:rsidRPr="008F2B6E">
        <w:t xml:space="preserve"> August 2019</w:t>
      </w:r>
      <w:r w:rsidR="00D23097" w:rsidRPr="008F2B6E">
        <w:t>.</w:t>
      </w:r>
    </w:p>
    <w:p w14:paraId="4D2F192F" w14:textId="3D9B9DDE" w:rsidR="004F0E72" w:rsidRPr="008F2B6E" w:rsidRDefault="009C057D">
      <w:pPr>
        <w:pStyle w:val="COMPara"/>
        <w:numPr>
          <w:ilvl w:val="3"/>
          <w:numId w:val="2"/>
        </w:numPr>
        <w:ind w:left="567" w:hanging="567"/>
        <w:jc w:val="both"/>
      </w:pPr>
      <w:r w:rsidRPr="008F2B6E">
        <w:t xml:space="preserve">Overall, </w:t>
      </w:r>
      <w:r w:rsidR="002C2AE9" w:rsidRPr="008F2B6E">
        <w:t>seventy-six</w:t>
      </w:r>
      <w:r w:rsidRPr="008F2B6E">
        <w:t xml:space="preserve"> States and </w:t>
      </w:r>
      <w:r w:rsidR="002C2AE9" w:rsidRPr="008F2B6E">
        <w:t xml:space="preserve">ninety-nine </w:t>
      </w:r>
      <w:r w:rsidR="002D16AE" w:rsidRPr="008F2B6E">
        <w:t>accredited</w:t>
      </w:r>
      <w:r w:rsidRPr="008F2B6E">
        <w:t xml:space="preserve"> NGOs took part in</w:t>
      </w:r>
      <w:r w:rsidR="00312940" w:rsidRPr="008F2B6E">
        <w:t xml:space="preserve"> at least one stage of</w:t>
      </w:r>
      <w:r w:rsidRPr="008F2B6E">
        <w:t xml:space="preserve"> the reflection process</w:t>
      </w:r>
      <w:r w:rsidR="00312940" w:rsidRPr="008F2B6E">
        <w:t>, be it the electronic consultation, the consultation meeting or the debates of the Committee at its thirteenth session in 2018</w:t>
      </w:r>
      <w:r w:rsidRPr="008F2B6E">
        <w:t xml:space="preserve">. While not all accredited NGOs and States Parties contributed to the electronic consultation, </w:t>
      </w:r>
      <w:r w:rsidR="002C2AE9" w:rsidRPr="008F2B6E">
        <w:t xml:space="preserve">it was possible to gather </w:t>
      </w:r>
      <w:r w:rsidR="00312940" w:rsidRPr="008F2B6E">
        <w:t>a representative sample of opinions (56</w:t>
      </w:r>
      <w:r w:rsidR="0026729C" w:rsidRPr="008F2B6E">
        <w:t> </w:t>
      </w:r>
      <w:r w:rsidR="00312940" w:rsidRPr="008F2B6E">
        <w:t>per</w:t>
      </w:r>
      <w:r w:rsidR="0026729C" w:rsidRPr="008F2B6E">
        <w:t> </w:t>
      </w:r>
      <w:r w:rsidR="00312940" w:rsidRPr="008F2B6E">
        <w:t>cent of accredited NGOs and 43 per cent of States Parties)</w:t>
      </w:r>
      <w:r w:rsidR="00EF560C">
        <w:t>.</w:t>
      </w:r>
    </w:p>
    <w:p w14:paraId="4317B5E6" w14:textId="79757465" w:rsidR="009C057D" w:rsidRPr="008F2B6E" w:rsidRDefault="004F0E72">
      <w:pPr>
        <w:pStyle w:val="COMPara"/>
        <w:numPr>
          <w:ilvl w:val="3"/>
          <w:numId w:val="2"/>
        </w:numPr>
        <w:ind w:left="567" w:hanging="567"/>
        <w:jc w:val="both"/>
      </w:pPr>
      <w:r w:rsidRPr="008F2B6E">
        <w:t>As part of its mandate (</w:t>
      </w:r>
      <w:hyperlink r:id="rId15" w:history="1">
        <w:r w:rsidRPr="008F2B6E">
          <w:rPr>
            <w:rStyle w:val="Hyperlink"/>
          </w:rPr>
          <w:t>Decision 13.COM 16</w:t>
        </w:r>
      </w:hyperlink>
      <w:r w:rsidRPr="008F2B6E">
        <w:t>), the informal ad hoc open-ended working group</w:t>
      </w:r>
      <w:r w:rsidRPr="008F2B6E" w:rsidDel="004F0E72">
        <w:t xml:space="preserve"> </w:t>
      </w:r>
      <w:r w:rsidR="008049F2" w:rsidRPr="008F2B6E">
        <w:t xml:space="preserve">also </w:t>
      </w:r>
      <w:r w:rsidRPr="008F2B6E">
        <w:t xml:space="preserve">held two meetings in 2019 to continue its reflection on the </w:t>
      </w:r>
      <w:r w:rsidR="008049F2" w:rsidRPr="008F2B6E">
        <w:t xml:space="preserve">ways </w:t>
      </w:r>
      <w:r w:rsidRPr="008F2B6E">
        <w:t>in which the participation of NGOs under the Convention could be further enhanced and how this would be reflected in the accreditation and renewal mechanisms of NGOs. These meetings took place on 28</w:t>
      </w:r>
      <w:r w:rsidR="00EF560C" w:rsidRPr="008F2B6E">
        <w:t> </w:t>
      </w:r>
      <w:r w:rsidRPr="008F2B6E">
        <w:t>March</w:t>
      </w:r>
      <w:r w:rsidR="00EF560C" w:rsidRPr="008F2B6E">
        <w:t> </w:t>
      </w:r>
      <w:r w:rsidRPr="008F2B6E">
        <w:t>2019 and 20 September 2019 (</w:t>
      </w:r>
      <w:r w:rsidRPr="00422A26">
        <w:t xml:space="preserve">see </w:t>
      </w:r>
      <w:hyperlink r:id="rId16" w:history="1">
        <w:r w:rsidRPr="00422A26">
          <w:rPr>
            <w:rStyle w:val="Hyperlink"/>
          </w:rPr>
          <w:t>document</w:t>
        </w:r>
        <w:r w:rsidR="000A4904" w:rsidRPr="00422A26">
          <w:rPr>
            <w:rStyle w:val="Hyperlink"/>
          </w:rPr>
          <w:t> </w:t>
        </w:r>
        <w:r w:rsidRPr="00422A26">
          <w:rPr>
            <w:rStyle w:val="Hyperlink"/>
          </w:rPr>
          <w:t>LHE/19/14.COM/16</w:t>
        </w:r>
      </w:hyperlink>
      <w:r w:rsidRPr="00422A26">
        <w:t>).</w:t>
      </w:r>
    </w:p>
    <w:p w14:paraId="3C341114" w14:textId="5A003042" w:rsidR="00342C76" w:rsidRPr="008F2B6E" w:rsidRDefault="003621EF">
      <w:pPr>
        <w:pStyle w:val="ListParagraph"/>
        <w:numPr>
          <w:ilvl w:val="0"/>
          <w:numId w:val="6"/>
        </w:numPr>
        <w:spacing w:before="360" w:after="120"/>
        <w:ind w:left="567" w:hanging="567"/>
        <w:jc w:val="both"/>
        <w:rPr>
          <w:rFonts w:ascii="Arial" w:hAnsi="Arial" w:cs="Arial"/>
          <w:b/>
          <w:sz w:val="22"/>
          <w:szCs w:val="22"/>
          <w:lang w:val="en-US"/>
        </w:rPr>
      </w:pPr>
      <w:r w:rsidRPr="008F2B6E">
        <w:rPr>
          <w:rFonts w:ascii="Arial" w:hAnsi="Arial" w:cs="Arial"/>
          <w:b/>
          <w:sz w:val="22"/>
          <w:szCs w:val="22"/>
          <w:lang w:val="en-US"/>
        </w:rPr>
        <w:t>Main o</w:t>
      </w:r>
      <w:r w:rsidR="00342C76" w:rsidRPr="008F2B6E">
        <w:rPr>
          <w:rFonts w:ascii="Arial" w:hAnsi="Arial" w:cs="Arial"/>
          <w:b/>
          <w:sz w:val="22"/>
          <w:szCs w:val="22"/>
          <w:lang w:val="en-US"/>
        </w:rPr>
        <w:t>utcomes of the reflection</w:t>
      </w:r>
    </w:p>
    <w:p w14:paraId="748A5EB1" w14:textId="24F08A5C" w:rsidR="00375F14" w:rsidRPr="008F2B6E" w:rsidRDefault="00375F14">
      <w:pPr>
        <w:pStyle w:val="COMPara"/>
        <w:numPr>
          <w:ilvl w:val="3"/>
          <w:numId w:val="2"/>
        </w:numPr>
        <w:ind w:left="567" w:hanging="567"/>
        <w:jc w:val="both"/>
        <w:rPr>
          <w:bCs/>
        </w:rPr>
      </w:pPr>
      <w:r w:rsidRPr="008F2B6E">
        <w:rPr>
          <w:bCs/>
        </w:rPr>
        <w:t xml:space="preserve">The open nature of the reflection allowed for a wide range of </w:t>
      </w:r>
      <w:r w:rsidR="00106A10" w:rsidRPr="008F2B6E">
        <w:rPr>
          <w:bCs/>
        </w:rPr>
        <w:t xml:space="preserve">opinions and </w:t>
      </w:r>
      <w:r w:rsidRPr="008F2B6E">
        <w:rPr>
          <w:bCs/>
        </w:rPr>
        <w:t xml:space="preserve">ideas to be </w:t>
      </w:r>
      <w:proofErr w:type="gramStart"/>
      <w:r w:rsidRPr="008F2B6E">
        <w:rPr>
          <w:bCs/>
        </w:rPr>
        <w:t>expressed</w:t>
      </w:r>
      <w:proofErr w:type="gramEnd"/>
      <w:r w:rsidRPr="008F2B6E">
        <w:rPr>
          <w:bCs/>
        </w:rPr>
        <w:t xml:space="preserve"> </w:t>
      </w:r>
      <w:r w:rsidR="00106A10" w:rsidRPr="008F2B6E">
        <w:rPr>
          <w:bCs/>
        </w:rPr>
        <w:t xml:space="preserve">and explored </w:t>
      </w:r>
      <w:r w:rsidRPr="008F2B6E">
        <w:rPr>
          <w:bCs/>
        </w:rPr>
        <w:t>by States </w:t>
      </w:r>
      <w:r w:rsidRPr="008F2B6E">
        <w:t>Parties</w:t>
      </w:r>
      <w:r w:rsidR="006C2025" w:rsidRPr="008F2B6E">
        <w:t xml:space="preserve"> and accredited NGOs</w:t>
      </w:r>
      <w:r w:rsidRPr="008F2B6E">
        <w:rPr>
          <w:bCs/>
        </w:rPr>
        <w:t xml:space="preserve"> on different aspects of the accreditation system. </w:t>
      </w:r>
      <w:r w:rsidR="00106A10" w:rsidRPr="008F2B6E">
        <w:rPr>
          <w:bCs/>
        </w:rPr>
        <w:t xml:space="preserve">While some tendencies </w:t>
      </w:r>
      <w:proofErr w:type="gramStart"/>
      <w:r w:rsidR="00106A10" w:rsidRPr="008F2B6E">
        <w:rPr>
          <w:bCs/>
        </w:rPr>
        <w:t>could be identified</w:t>
      </w:r>
      <w:proofErr w:type="gramEnd"/>
      <w:r w:rsidR="00106A10" w:rsidRPr="008F2B6E">
        <w:rPr>
          <w:bCs/>
        </w:rPr>
        <w:t>, n</w:t>
      </w:r>
      <w:r w:rsidRPr="008F2B6E">
        <w:rPr>
          <w:bCs/>
        </w:rPr>
        <w:t>o clear consensus</w:t>
      </w:r>
      <w:r w:rsidR="006C2025" w:rsidRPr="008F2B6E">
        <w:rPr>
          <w:bCs/>
        </w:rPr>
        <w:t xml:space="preserve"> </w:t>
      </w:r>
      <w:r w:rsidRPr="008F2B6E">
        <w:rPr>
          <w:bCs/>
        </w:rPr>
        <w:t>emerged on several important aspects, such as the</w:t>
      </w:r>
      <w:r w:rsidR="00106A10" w:rsidRPr="008F2B6E">
        <w:rPr>
          <w:bCs/>
        </w:rPr>
        <w:t xml:space="preserve"> definition of </w:t>
      </w:r>
      <w:r w:rsidR="00616173" w:rsidRPr="008F2B6E">
        <w:rPr>
          <w:bCs/>
        </w:rPr>
        <w:t>‘</w:t>
      </w:r>
      <w:r w:rsidR="00616173" w:rsidRPr="00A67390">
        <w:rPr>
          <w:bCs/>
          <w:i/>
          <w:iCs/>
        </w:rPr>
        <w:t>inter alia’</w:t>
      </w:r>
      <w:r w:rsidR="00616173" w:rsidRPr="008F2B6E">
        <w:rPr>
          <w:bCs/>
        </w:rPr>
        <w:t xml:space="preserve"> </w:t>
      </w:r>
      <w:r w:rsidR="00106A10" w:rsidRPr="008F2B6E">
        <w:rPr>
          <w:bCs/>
        </w:rPr>
        <w:t xml:space="preserve">advisory functions, </w:t>
      </w:r>
      <w:r w:rsidR="002C2AE9" w:rsidRPr="008F2B6E">
        <w:rPr>
          <w:bCs/>
        </w:rPr>
        <w:t>how</w:t>
      </w:r>
      <w:r w:rsidRPr="008F2B6E">
        <w:rPr>
          <w:bCs/>
        </w:rPr>
        <w:t xml:space="preserve"> to take into consideration the disparity in size and capacities of accredited NGOs or the possibility </w:t>
      </w:r>
      <w:r w:rsidR="002C2AE9" w:rsidRPr="008F2B6E">
        <w:rPr>
          <w:bCs/>
        </w:rPr>
        <w:t>of</w:t>
      </w:r>
      <w:r w:rsidRPr="008F2B6E">
        <w:rPr>
          <w:bCs/>
        </w:rPr>
        <w:t xml:space="preserve"> creat</w:t>
      </w:r>
      <w:r w:rsidR="002C2AE9" w:rsidRPr="008F2B6E">
        <w:rPr>
          <w:bCs/>
        </w:rPr>
        <w:t>ing</w:t>
      </w:r>
      <w:r w:rsidRPr="008F2B6E">
        <w:rPr>
          <w:bCs/>
        </w:rPr>
        <w:t xml:space="preserve"> different types of accreditation </w:t>
      </w:r>
      <w:r w:rsidR="002C2AE9" w:rsidRPr="008F2B6E">
        <w:rPr>
          <w:bCs/>
        </w:rPr>
        <w:t xml:space="preserve">that would reflect such a </w:t>
      </w:r>
      <w:r w:rsidRPr="008F2B6E">
        <w:rPr>
          <w:bCs/>
        </w:rPr>
        <w:t>disparity.</w:t>
      </w:r>
    </w:p>
    <w:p w14:paraId="075BC200" w14:textId="1A22F3B4" w:rsidR="00566F04" w:rsidRPr="008F2B6E" w:rsidRDefault="005A5FB6">
      <w:pPr>
        <w:pStyle w:val="COMPara"/>
        <w:numPr>
          <w:ilvl w:val="3"/>
          <w:numId w:val="2"/>
        </w:numPr>
        <w:ind w:left="567" w:hanging="567"/>
        <w:jc w:val="both"/>
        <w:rPr>
          <w:bCs/>
        </w:rPr>
      </w:pPr>
      <w:r w:rsidRPr="008F2B6E">
        <w:rPr>
          <w:b/>
          <w:bCs/>
        </w:rPr>
        <w:t>Nature and purpose of the accreditation system</w:t>
      </w:r>
      <w:r w:rsidRPr="008F2B6E">
        <w:rPr>
          <w:bCs/>
        </w:rPr>
        <w:t>.</w:t>
      </w:r>
      <w:r w:rsidR="009E1B07" w:rsidRPr="008F2B6E">
        <w:rPr>
          <w:bCs/>
        </w:rPr>
        <w:t xml:space="preserve"> </w:t>
      </w:r>
      <w:r w:rsidR="006A1F0B" w:rsidRPr="008F2B6E">
        <w:t xml:space="preserve">Around 70 per cent of accredited NGOs and States Parties that participated in the electronic </w:t>
      </w:r>
      <w:r w:rsidR="0009609D" w:rsidRPr="008F2B6E">
        <w:t>consultation</w:t>
      </w:r>
      <w:r w:rsidR="006A1F0B" w:rsidRPr="008F2B6E">
        <w:t xml:space="preserve"> in 2018 considered the current accreditation system as adequate. </w:t>
      </w:r>
      <w:r w:rsidR="009E1B07" w:rsidRPr="008F2B6E">
        <w:rPr>
          <w:bCs/>
        </w:rPr>
        <w:t>While the overall impression of the accreditation system may seem positive at first,</w:t>
      </w:r>
      <w:r w:rsidRPr="008F2B6E">
        <w:rPr>
          <w:bCs/>
        </w:rPr>
        <w:t xml:space="preserve"> </w:t>
      </w:r>
      <w:r w:rsidR="009E1B07" w:rsidRPr="008F2B6E">
        <w:rPr>
          <w:bCs/>
        </w:rPr>
        <w:t>t</w:t>
      </w:r>
      <w:r w:rsidR="001E3B37" w:rsidRPr="008F2B6E">
        <w:rPr>
          <w:bCs/>
        </w:rPr>
        <w:t xml:space="preserve">he reflection process has shown that there is </w:t>
      </w:r>
      <w:r w:rsidR="009E1B07" w:rsidRPr="008F2B6E">
        <w:rPr>
          <w:bCs/>
        </w:rPr>
        <w:t xml:space="preserve">in fact </w:t>
      </w:r>
      <w:r w:rsidR="001E3B37" w:rsidRPr="008F2B6E">
        <w:rPr>
          <w:bCs/>
        </w:rPr>
        <w:t xml:space="preserve">no clear </w:t>
      </w:r>
      <w:r w:rsidR="009E1B07" w:rsidRPr="008F2B6E">
        <w:rPr>
          <w:bCs/>
        </w:rPr>
        <w:t>common understanding</w:t>
      </w:r>
      <w:r w:rsidR="001E3B37" w:rsidRPr="008F2B6E">
        <w:rPr>
          <w:bCs/>
        </w:rPr>
        <w:t xml:space="preserve"> o</w:t>
      </w:r>
      <w:r w:rsidR="002C2AE9" w:rsidRPr="008F2B6E">
        <w:rPr>
          <w:bCs/>
        </w:rPr>
        <w:t>f</w:t>
      </w:r>
      <w:r w:rsidR="001E3B37" w:rsidRPr="008F2B6E">
        <w:rPr>
          <w:bCs/>
        </w:rPr>
        <w:t xml:space="preserve"> what the accreditation system should</w:t>
      </w:r>
      <w:r w:rsidR="00A677FA" w:rsidRPr="008F2B6E">
        <w:rPr>
          <w:bCs/>
        </w:rPr>
        <w:t xml:space="preserve"> achieve.</w:t>
      </w:r>
      <w:r w:rsidR="00375F14" w:rsidRPr="008F2B6E">
        <w:rPr>
          <w:bCs/>
        </w:rPr>
        <w:t xml:space="preserve"> This may explain why a strong tendency towards a status quo </w:t>
      </w:r>
      <w:proofErr w:type="gramStart"/>
      <w:r w:rsidR="00375F14" w:rsidRPr="008F2B6E">
        <w:rPr>
          <w:bCs/>
        </w:rPr>
        <w:t>has been observed</w:t>
      </w:r>
      <w:proofErr w:type="gramEnd"/>
      <w:r w:rsidR="00375F14" w:rsidRPr="008F2B6E">
        <w:rPr>
          <w:bCs/>
        </w:rPr>
        <w:t xml:space="preserve">, with several suggestions hinting at </w:t>
      </w:r>
      <w:r w:rsidR="009E1B07" w:rsidRPr="008F2B6E">
        <w:rPr>
          <w:bCs/>
        </w:rPr>
        <w:t>implementing minor adjustments to</w:t>
      </w:r>
      <w:r w:rsidR="00375F14" w:rsidRPr="008F2B6E">
        <w:rPr>
          <w:bCs/>
        </w:rPr>
        <w:t xml:space="preserve"> the current accreditation system rather than overhaul</w:t>
      </w:r>
      <w:r w:rsidR="002C2AE9" w:rsidRPr="008F2B6E">
        <w:rPr>
          <w:bCs/>
        </w:rPr>
        <w:t>ing</w:t>
      </w:r>
      <w:r w:rsidR="00375F14" w:rsidRPr="008F2B6E">
        <w:rPr>
          <w:bCs/>
        </w:rPr>
        <w:t xml:space="preserve"> it.</w:t>
      </w:r>
      <w:r w:rsidR="00A677FA" w:rsidRPr="008F2B6E">
        <w:rPr>
          <w:bCs/>
        </w:rPr>
        <w:t xml:space="preserve"> </w:t>
      </w:r>
      <w:r w:rsidR="005A6EAD" w:rsidRPr="008F2B6E">
        <w:rPr>
          <w:bCs/>
        </w:rPr>
        <w:t xml:space="preserve">This constitutes the </w:t>
      </w:r>
      <w:proofErr w:type="gramStart"/>
      <w:r w:rsidR="005A6EAD" w:rsidRPr="008F2B6E">
        <w:rPr>
          <w:bCs/>
        </w:rPr>
        <w:t>heart of the matter</w:t>
      </w:r>
      <w:proofErr w:type="gramEnd"/>
      <w:r w:rsidR="005A6EAD" w:rsidRPr="008F2B6E">
        <w:rPr>
          <w:bCs/>
        </w:rPr>
        <w:t xml:space="preserve"> in the reflection process</w:t>
      </w:r>
      <w:r w:rsidR="00566F04" w:rsidRPr="008F2B6E">
        <w:rPr>
          <w:bCs/>
        </w:rPr>
        <w:t>,</w:t>
      </w:r>
      <w:r w:rsidR="005A6EAD" w:rsidRPr="008F2B6E">
        <w:rPr>
          <w:bCs/>
        </w:rPr>
        <w:t xml:space="preserve"> as the nature of the accreditation system would define the advisory functions that NGOs could be invited to fulfil, which </w:t>
      </w:r>
      <w:r w:rsidR="0069148D" w:rsidRPr="008F2B6E">
        <w:rPr>
          <w:bCs/>
        </w:rPr>
        <w:t xml:space="preserve">would </w:t>
      </w:r>
      <w:r w:rsidR="005A6EAD" w:rsidRPr="008F2B6E">
        <w:rPr>
          <w:bCs/>
        </w:rPr>
        <w:t>in turn determine the appropriate criteria based on which NGOs could be evaluated and regularly assessed.</w:t>
      </w:r>
    </w:p>
    <w:p w14:paraId="2C4295EA" w14:textId="6B047966" w:rsidR="005A5FB6" w:rsidRPr="008F2B6E" w:rsidRDefault="00A677FA">
      <w:pPr>
        <w:pStyle w:val="COMPara"/>
        <w:numPr>
          <w:ilvl w:val="3"/>
          <w:numId w:val="2"/>
        </w:numPr>
        <w:ind w:left="567" w:hanging="567"/>
        <w:jc w:val="both"/>
        <w:rPr>
          <w:bCs/>
        </w:rPr>
      </w:pPr>
      <w:r w:rsidRPr="008F2B6E">
        <w:rPr>
          <w:bCs/>
        </w:rPr>
        <w:t xml:space="preserve">On the one hand, Article 9.1 of the Convention states that the accreditation system </w:t>
      </w:r>
      <w:r w:rsidR="0069148D" w:rsidRPr="008F2B6E">
        <w:rPr>
          <w:bCs/>
        </w:rPr>
        <w:t xml:space="preserve">is intended </w:t>
      </w:r>
      <w:r w:rsidRPr="008F2B6E">
        <w:rPr>
          <w:bCs/>
        </w:rPr>
        <w:t xml:space="preserve">to identify NGOs ‘with recognized competence in the field of the intangible cultural heritage </w:t>
      </w:r>
      <w:r w:rsidRPr="008F2B6E">
        <w:rPr>
          <w:bCs/>
          <w:u w:val="single"/>
        </w:rPr>
        <w:t>to act in an advisory capacity to the Committee</w:t>
      </w:r>
      <w:r w:rsidRPr="008F2B6E">
        <w:rPr>
          <w:bCs/>
        </w:rPr>
        <w:t>’ (emphasis added).</w:t>
      </w:r>
      <w:r w:rsidR="00AF3F37" w:rsidRPr="008F2B6E">
        <w:rPr>
          <w:bCs/>
        </w:rPr>
        <w:t xml:space="preserve"> The statutory interpretation of this provision is given by paragraph 96 of the Operational Directives, which defines the advisory functions </w:t>
      </w:r>
      <w:r w:rsidR="00CB1DFC" w:rsidRPr="008F2B6E">
        <w:rPr>
          <w:bCs/>
        </w:rPr>
        <w:t xml:space="preserve">assigned to </w:t>
      </w:r>
      <w:proofErr w:type="gramStart"/>
      <w:r w:rsidR="00AF3F37" w:rsidRPr="008F2B6E">
        <w:rPr>
          <w:bCs/>
        </w:rPr>
        <w:t>accredited</w:t>
      </w:r>
      <w:proofErr w:type="gramEnd"/>
      <w:r w:rsidR="00AF3F37" w:rsidRPr="008F2B6E">
        <w:rPr>
          <w:bCs/>
        </w:rPr>
        <w:t xml:space="preserve"> NGOs.</w:t>
      </w:r>
      <w:r w:rsidR="002C19DD" w:rsidRPr="008F2B6E">
        <w:rPr>
          <w:bCs/>
        </w:rPr>
        <w:t xml:space="preserve"> Based on these provisions, it </w:t>
      </w:r>
      <w:proofErr w:type="gramStart"/>
      <w:r w:rsidR="002C19DD" w:rsidRPr="008F2B6E">
        <w:rPr>
          <w:bCs/>
        </w:rPr>
        <w:t>is believed</w:t>
      </w:r>
      <w:proofErr w:type="gramEnd"/>
      <w:r w:rsidR="002C19DD" w:rsidRPr="008F2B6E">
        <w:rPr>
          <w:bCs/>
        </w:rPr>
        <w:t xml:space="preserve"> that the accreditation system was initially devised to ensure that the Committee </w:t>
      </w:r>
      <w:r w:rsidR="0069148D" w:rsidRPr="008F2B6E">
        <w:rPr>
          <w:bCs/>
        </w:rPr>
        <w:t xml:space="preserve">could </w:t>
      </w:r>
      <w:r w:rsidR="002C19DD" w:rsidRPr="008F2B6E">
        <w:rPr>
          <w:bCs/>
        </w:rPr>
        <w:t>benefit from the expertise and experience of NGOs.</w:t>
      </w:r>
      <w:r w:rsidR="00AF3F37" w:rsidRPr="008F2B6E">
        <w:rPr>
          <w:bCs/>
        </w:rPr>
        <w:t xml:space="preserve"> </w:t>
      </w:r>
      <w:proofErr w:type="gramStart"/>
      <w:r w:rsidRPr="008F2B6E">
        <w:rPr>
          <w:bCs/>
        </w:rPr>
        <w:t xml:space="preserve">On the other hand, </w:t>
      </w:r>
      <w:r w:rsidR="0044657F" w:rsidRPr="008F2B6E">
        <w:rPr>
          <w:bCs/>
        </w:rPr>
        <w:t>findings from the reflection process, including the electronic consultati</w:t>
      </w:r>
      <w:r w:rsidR="00AF3F37" w:rsidRPr="008F2B6E">
        <w:rPr>
          <w:bCs/>
        </w:rPr>
        <w:t xml:space="preserve">on and the consultation meeting, show that the accreditation system is </w:t>
      </w:r>
      <w:r w:rsidR="00566F04" w:rsidRPr="008F2B6E">
        <w:rPr>
          <w:bCs/>
        </w:rPr>
        <w:t xml:space="preserve">also </w:t>
      </w:r>
      <w:r w:rsidR="00AF3F37" w:rsidRPr="008F2B6E">
        <w:rPr>
          <w:bCs/>
        </w:rPr>
        <w:t xml:space="preserve">widely considered as an </w:t>
      </w:r>
      <w:r w:rsidR="00AF3F37" w:rsidRPr="008F2B6E">
        <w:rPr>
          <w:bCs/>
          <w:u w:val="single"/>
        </w:rPr>
        <w:t>affiliation mechanism</w:t>
      </w:r>
      <w:r w:rsidR="00AF3F37" w:rsidRPr="008F2B6E">
        <w:rPr>
          <w:bCs/>
        </w:rPr>
        <w:t xml:space="preserve"> through which NGOs of all capacities</w:t>
      </w:r>
      <w:r w:rsidR="00566F04" w:rsidRPr="008F2B6E">
        <w:rPr>
          <w:bCs/>
        </w:rPr>
        <w:t xml:space="preserve"> and</w:t>
      </w:r>
      <w:r w:rsidR="00AF3F37" w:rsidRPr="008F2B6E">
        <w:rPr>
          <w:bCs/>
        </w:rPr>
        <w:t xml:space="preserve"> sizes </w:t>
      </w:r>
      <w:r w:rsidR="0069148D" w:rsidRPr="008F2B6E">
        <w:rPr>
          <w:bCs/>
        </w:rPr>
        <w:t xml:space="preserve">which </w:t>
      </w:r>
      <w:r w:rsidR="00A15F8E" w:rsidRPr="008F2B6E">
        <w:rPr>
          <w:bCs/>
        </w:rPr>
        <w:t xml:space="preserve">contribute </w:t>
      </w:r>
      <w:r w:rsidR="00AF3F37" w:rsidRPr="008F2B6E">
        <w:rPr>
          <w:bCs/>
        </w:rPr>
        <w:t>in one way or another to the safeguarding of intangible cult</w:t>
      </w:r>
      <w:r w:rsidR="00566F04" w:rsidRPr="008F2B6E">
        <w:rPr>
          <w:bCs/>
        </w:rPr>
        <w:t>ural heritage can be identified</w:t>
      </w:r>
      <w:r w:rsidR="00AF3F37" w:rsidRPr="008F2B6E">
        <w:rPr>
          <w:bCs/>
        </w:rPr>
        <w:t xml:space="preserve"> and </w:t>
      </w:r>
      <w:r w:rsidR="00566F04" w:rsidRPr="008F2B6E">
        <w:rPr>
          <w:bCs/>
        </w:rPr>
        <w:t xml:space="preserve">can benefit from international </w:t>
      </w:r>
      <w:r w:rsidR="00AF3F37" w:rsidRPr="008F2B6E">
        <w:rPr>
          <w:bCs/>
        </w:rPr>
        <w:t>recogni</w:t>
      </w:r>
      <w:r w:rsidR="00566F04" w:rsidRPr="008F2B6E">
        <w:rPr>
          <w:bCs/>
        </w:rPr>
        <w:t>tion</w:t>
      </w:r>
      <w:r w:rsidR="00AF3F37" w:rsidRPr="008F2B6E">
        <w:rPr>
          <w:bCs/>
        </w:rPr>
        <w:t>.</w:t>
      </w:r>
      <w:proofErr w:type="gramEnd"/>
      <w:r w:rsidRPr="008F2B6E">
        <w:rPr>
          <w:bCs/>
        </w:rPr>
        <w:t xml:space="preserve"> </w:t>
      </w:r>
      <w:r w:rsidR="00566F04" w:rsidRPr="008F2B6E">
        <w:rPr>
          <w:bCs/>
        </w:rPr>
        <w:t>T</w:t>
      </w:r>
      <w:r w:rsidR="002C19DD" w:rsidRPr="008F2B6E">
        <w:rPr>
          <w:bCs/>
        </w:rPr>
        <w:t>hese two visions</w:t>
      </w:r>
      <w:r w:rsidR="00566F04" w:rsidRPr="008F2B6E">
        <w:rPr>
          <w:bCs/>
        </w:rPr>
        <w:t xml:space="preserve"> are </w:t>
      </w:r>
      <w:proofErr w:type="gramStart"/>
      <w:r w:rsidR="00566F04" w:rsidRPr="008F2B6E">
        <w:rPr>
          <w:bCs/>
        </w:rPr>
        <w:t>not</w:t>
      </w:r>
      <w:r w:rsidR="00284B51" w:rsidRPr="008F2B6E">
        <w:rPr>
          <w:bCs/>
        </w:rPr>
        <w:t xml:space="preserve"> necessarily</w:t>
      </w:r>
      <w:r w:rsidR="00566F04" w:rsidRPr="008F2B6E">
        <w:rPr>
          <w:bCs/>
        </w:rPr>
        <w:t xml:space="preserve"> irreconcilable</w:t>
      </w:r>
      <w:proofErr w:type="gramEnd"/>
      <w:r w:rsidR="00566F04" w:rsidRPr="008F2B6E">
        <w:rPr>
          <w:bCs/>
        </w:rPr>
        <w:t xml:space="preserve"> but</w:t>
      </w:r>
      <w:r w:rsidR="002C19DD" w:rsidRPr="008F2B6E">
        <w:rPr>
          <w:bCs/>
        </w:rPr>
        <w:t xml:space="preserve"> </w:t>
      </w:r>
      <w:r w:rsidR="0069148D" w:rsidRPr="008F2B6E">
        <w:rPr>
          <w:bCs/>
        </w:rPr>
        <w:t>are indicative of</w:t>
      </w:r>
      <w:r w:rsidR="002C19DD" w:rsidRPr="008F2B6E">
        <w:rPr>
          <w:bCs/>
        </w:rPr>
        <w:t xml:space="preserve"> </w:t>
      </w:r>
      <w:r w:rsidR="0069148D" w:rsidRPr="008F2B6E">
        <w:rPr>
          <w:bCs/>
        </w:rPr>
        <w:t xml:space="preserve">two </w:t>
      </w:r>
      <w:r w:rsidR="002C19DD" w:rsidRPr="008F2B6E">
        <w:rPr>
          <w:bCs/>
        </w:rPr>
        <w:t>very different system</w:t>
      </w:r>
      <w:r w:rsidR="0069148D" w:rsidRPr="008F2B6E">
        <w:rPr>
          <w:bCs/>
        </w:rPr>
        <w:t>s</w:t>
      </w:r>
      <w:r w:rsidR="002C19DD" w:rsidRPr="008F2B6E">
        <w:rPr>
          <w:bCs/>
        </w:rPr>
        <w:t>, with different objectives, different functions, different criteria</w:t>
      </w:r>
      <w:r w:rsidR="00747EB5" w:rsidRPr="008F2B6E">
        <w:rPr>
          <w:bCs/>
        </w:rPr>
        <w:t xml:space="preserve"> and</w:t>
      </w:r>
      <w:r w:rsidR="002C19DD" w:rsidRPr="008F2B6E">
        <w:rPr>
          <w:bCs/>
        </w:rPr>
        <w:t xml:space="preserve"> different processes.</w:t>
      </w:r>
    </w:p>
    <w:p w14:paraId="4236A2CC" w14:textId="193FECEA" w:rsidR="00090025" w:rsidRPr="008F2B6E" w:rsidRDefault="0069334C">
      <w:pPr>
        <w:pStyle w:val="COMPara"/>
        <w:numPr>
          <w:ilvl w:val="3"/>
          <w:numId w:val="2"/>
        </w:numPr>
        <w:ind w:left="567" w:hanging="567"/>
        <w:jc w:val="both"/>
        <w:rPr>
          <w:bCs/>
        </w:rPr>
      </w:pPr>
      <w:r w:rsidRPr="008F2B6E">
        <w:rPr>
          <w:b/>
        </w:rPr>
        <w:lastRenderedPageBreak/>
        <w:t>Advisory functions</w:t>
      </w:r>
      <w:r w:rsidRPr="008F2B6E">
        <w:t>.</w:t>
      </w:r>
      <w:r w:rsidR="00023700" w:rsidRPr="008F2B6E">
        <w:t xml:space="preserve"> Since the reflection process </w:t>
      </w:r>
      <w:proofErr w:type="gramStart"/>
      <w:r w:rsidR="0069148D" w:rsidRPr="008F2B6E">
        <w:t>was launched</w:t>
      </w:r>
      <w:proofErr w:type="gramEnd"/>
      <w:r w:rsidR="0069148D" w:rsidRPr="008F2B6E">
        <w:t xml:space="preserve"> </w:t>
      </w:r>
      <w:r w:rsidR="00023700" w:rsidRPr="008F2B6E">
        <w:t xml:space="preserve">in 2017, the definition of advisory functions </w:t>
      </w:r>
      <w:r w:rsidR="0069148D" w:rsidRPr="008F2B6E">
        <w:t xml:space="preserve">has </w:t>
      </w:r>
      <w:r w:rsidR="00023700" w:rsidRPr="008F2B6E">
        <w:t xml:space="preserve">remained the core issue </w:t>
      </w:r>
      <w:r w:rsidR="0069148D" w:rsidRPr="008F2B6E">
        <w:t>for discussion</w:t>
      </w:r>
      <w:r w:rsidR="00023700" w:rsidRPr="008F2B6E">
        <w:t xml:space="preserve">. Both the electronic consultation and the consultation meeting led to the identification of a number of general functions that could </w:t>
      </w:r>
      <w:r w:rsidR="00DD458C" w:rsidRPr="008F2B6E">
        <w:t xml:space="preserve">be or </w:t>
      </w:r>
      <w:proofErr w:type="gramStart"/>
      <w:r w:rsidR="00DD458C" w:rsidRPr="008F2B6E">
        <w:t>are already fulfilled</w:t>
      </w:r>
      <w:proofErr w:type="gramEnd"/>
      <w:r w:rsidR="00DD458C" w:rsidRPr="008F2B6E">
        <w:t xml:space="preserve"> by accredited NGOs. </w:t>
      </w:r>
      <w:r w:rsidR="009838AA" w:rsidRPr="008F2B6E">
        <w:t>These</w:t>
      </w:r>
      <w:r w:rsidR="00DD458C" w:rsidRPr="008F2B6E">
        <w:t xml:space="preserve"> </w:t>
      </w:r>
      <w:r w:rsidR="004322B5" w:rsidRPr="008F2B6E">
        <w:t>functions</w:t>
      </w:r>
      <w:r w:rsidR="00DD458C" w:rsidRPr="008F2B6E">
        <w:t xml:space="preserve"> </w:t>
      </w:r>
      <w:proofErr w:type="gramStart"/>
      <w:r w:rsidR="009838AA" w:rsidRPr="008F2B6E">
        <w:t>could be sorted</w:t>
      </w:r>
      <w:proofErr w:type="gramEnd"/>
      <w:r w:rsidR="009838AA" w:rsidRPr="008F2B6E">
        <w:t xml:space="preserve"> in</w:t>
      </w:r>
      <w:r w:rsidR="00D033A5" w:rsidRPr="008F2B6E">
        <w:t>to</w:t>
      </w:r>
      <w:r w:rsidR="009838AA" w:rsidRPr="008F2B6E">
        <w:t xml:space="preserve"> two categories</w:t>
      </w:r>
      <w:r w:rsidR="00D033A5" w:rsidRPr="008F2B6E">
        <w:t>,</w:t>
      </w:r>
      <w:r w:rsidR="009838AA" w:rsidRPr="008F2B6E">
        <w:t xml:space="preserve"> linked to the two different visions of the accreditation system outlined above (see </w:t>
      </w:r>
      <w:r w:rsidR="009838AA" w:rsidRPr="00A67390">
        <w:t>paragraph </w:t>
      </w:r>
      <w:r w:rsidR="00284B51" w:rsidRPr="00A67390">
        <w:t>1</w:t>
      </w:r>
      <w:r w:rsidR="00747EB5" w:rsidRPr="00A67390">
        <w:t>1</w:t>
      </w:r>
      <w:r w:rsidR="009838AA" w:rsidRPr="008F2B6E">
        <w:t>)</w:t>
      </w:r>
      <w:r w:rsidR="00DD458C" w:rsidRPr="008F2B6E">
        <w:t xml:space="preserve">: </w:t>
      </w:r>
      <w:r w:rsidR="00D033A5" w:rsidRPr="008F2B6E">
        <w:t xml:space="preserve">according to these two visions, </w:t>
      </w:r>
      <w:r w:rsidR="00DD458C" w:rsidRPr="008F2B6E">
        <w:rPr>
          <w:bCs/>
        </w:rPr>
        <w:t xml:space="preserve">NGOs are considered both </w:t>
      </w:r>
      <w:r w:rsidR="0069148D" w:rsidRPr="008F2B6E">
        <w:rPr>
          <w:bCs/>
        </w:rPr>
        <w:t xml:space="preserve">as </w:t>
      </w:r>
      <w:r w:rsidRPr="008F2B6E">
        <w:rPr>
          <w:bCs/>
        </w:rPr>
        <w:t>advisory organizations to the Committee</w:t>
      </w:r>
      <w:r w:rsidR="00DD458C" w:rsidRPr="008F2B6E">
        <w:rPr>
          <w:bCs/>
        </w:rPr>
        <w:t xml:space="preserve"> and </w:t>
      </w:r>
      <w:r w:rsidR="00284B51" w:rsidRPr="008F2B6E">
        <w:rPr>
          <w:bCs/>
        </w:rPr>
        <w:t xml:space="preserve">as </w:t>
      </w:r>
      <w:r w:rsidR="00DD458C" w:rsidRPr="008F2B6E">
        <w:rPr>
          <w:bCs/>
        </w:rPr>
        <w:t xml:space="preserve">stakeholders </w:t>
      </w:r>
      <w:r w:rsidRPr="008F2B6E">
        <w:rPr>
          <w:bCs/>
        </w:rPr>
        <w:t>in the implementation of the Convention.</w:t>
      </w:r>
      <w:r w:rsidR="00284B51" w:rsidRPr="008F2B6E">
        <w:rPr>
          <w:rStyle w:val="FootnoteReference"/>
          <w:bCs/>
        </w:rPr>
        <w:footnoteReference w:id="2"/>
      </w:r>
      <w:r w:rsidRPr="008F2B6E">
        <w:rPr>
          <w:bCs/>
        </w:rPr>
        <w:t xml:space="preserve"> </w:t>
      </w:r>
      <w:r w:rsidR="00651F63" w:rsidRPr="008F2B6E">
        <w:rPr>
          <w:bCs/>
        </w:rPr>
        <w:t xml:space="preserve">Corresponding to these two main roles identified, </w:t>
      </w:r>
      <w:r w:rsidR="009838AA" w:rsidRPr="008F2B6E">
        <w:rPr>
          <w:bCs/>
        </w:rPr>
        <w:t>States and NGOs</w:t>
      </w:r>
      <w:r w:rsidR="00651F63" w:rsidRPr="008F2B6E">
        <w:rPr>
          <w:bCs/>
        </w:rPr>
        <w:t xml:space="preserve"> </w:t>
      </w:r>
      <w:r w:rsidR="0069148D" w:rsidRPr="008F2B6E">
        <w:rPr>
          <w:bCs/>
        </w:rPr>
        <w:t xml:space="preserve">made an incipient attempt </w:t>
      </w:r>
      <w:r w:rsidR="00651F63" w:rsidRPr="008F2B6E">
        <w:rPr>
          <w:bCs/>
        </w:rPr>
        <w:t xml:space="preserve">to define the advisory functions that accredited NGOs could </w:t>
      </w:r>
      <w:r w:rsidR="00CB1DFC" w:rsidRPr="008F2B6E">
        <w:rPr>
          <w:bCs/>
        </w:rPr>
        <w:t>perform</w:t>
      </w:r>
      <w:r w:rsidR="00651F63" w:rsidRPr="008F2B6E">
        <w:rPr>
          <w:bCs/>
        </w:rPr>
        <w:t>. In this regard, it should however be noted that concrete ways in which accredited NGOs would fulfil these functions were not identified</w:t>
      </w:r>
      <w:r w:rsidR="00090025" w:rsidRPr="008F2B6E">
        <w:rPr>
          <w:bCs/>
        </w:rPr>
        <w:t>:</w:t>
      </w:r>
    </w:p>
    <w:p w14:paraId="1EB5C4B5" w14:textId="77777777" w:rsidR="00090025" w:rsidRPr="008F2B6E" w:rsidRDefault="00090025">
      <w:pPr>
        <w:spacing w:before="120" w:after="120"/>
        <w:ind w:firstLine="567"/>
        <w:rPr>
          <w:rFonts w:ascii="Arial" w:hAnsi="Arial" w:cs="Arial"/>
          <w:bCs/>
          <w:i/>
          <w:sz w:val="22"/>
          <w:szCs w:val="22"/>
          <w:u w:val="single"/>
          <w:lang w:val="en-GB"/>
        </w:rPr>
      </w:pPr>
      <w:r w:rsidRPr="008F2B6E">
        <w:rPr>
          <w:rFonts w:ascii="Arial" w:hAnsi="Arial" w:cs="Arial"/>
          <w:bCs/>
          <w:i/>
          <w:sz w:val="22"/>
          <w:szCs w:val="22"/>
          <w:u w:val="single"/>
          <w:lang w:val="en-GB"/>
        </w:rPr>
        <w:t>Current advisory functions</w:t>
      </w:r>
      <w:r w:rsidRPr="008F2B6E">
        <w:rPr>
          <w:rFonts w:ascii="Arial" w:hAnsi="Arial" w:cs="Arial"/>
          <w:bCs/>
          <w:i/>
          <w:sz w:val="22"/>
          <w:szCs w:val="22"/>
          <w:lang w:val="en-GB"/>
        </w:rPr>
        <w:t xml:space="preserve"> (as defined under paragraph 96 of the Operational Directives)</w:t>
      </w:r>
    </w:p>
    <w:p w14:paraId="3E4819F6" w14:textId="09BBA371" w:rsidR="00090025" w:rsidRPr="008F2B6E" w:rsidRDefault="00090025">
      <w:pPr>
        <w:pStyle w:val="ListParagraph"/>
        <w:numPr>
          <w:ilvl w:val="0"/>
          <w:numId w:val="46"/>
        </w:numPr>
        <w:spacing w:before="120" w:after="120"/>
        <w:ind w:left="993" w:hanging="426"/>
        <w:contextualSpacing w:val="0"/>
        <w:rPr>
          <w:rFonts w:ascii="Arial" w:hAnsi="Arial" w:cs="Arial"/>
          <w:bCs/>
          <w:sz w:val="22"/>
          <w:szCs w:val="22"/>
          <w:lang w:val="en-GB"/>
        </w:rPr>
      </w:pPr>
      <w:r w:rsidRPr="008F2B6E">
        <w:rPr>
          <w:rFonts w:ascii="Arial" w:hAnsi="Arial" w:cs="Arial"/>
          <w:bCs/>
          <w:sz w:val="22"/>
          <w:szCs w:val="22"/>
          <w:lang w:val="en-GB"/>
        </w:rPr>
        <w:t>Evaluation functions for nominations, proposals and requests</w:t>
      </w:r>
      <w:r w:rsidR="0069148D" w:rsidRPr="008F2B6E">
        <w:rPr>
          <w:rFonts w:ascii="Arial" w:hAnsi="Arial" w:cs="Arial"/>
          <w:bCs/>
          <w:sz w:val="22"/>
          <w:szCs w:val="22"/>
          <w:lang w:val="en-GB"/>
        </w:rPr>
        <w:t>;</w:t>
      </w:r>
    </w:p>
    <w:p w14:paraId="6F18D3C5" w14:textId="7E79D507" w:rsidR="00090025" w:rsidRPr="008F2B6E" w:rsidRDefault="00090025" w:rsidP="00EF560C">
      <w:pPr>
        <w:pStyle w:val="ListParagraph"/>
        <w:numPr>
          <w:ilvl w:val="0"/>
          <w:numId w:val="46"/>
        </w:numPr>
        <w:spacing w:before="120" w:after="120"/>
        <w:ind w:left="993" w:hanging="426"/>
        <w:contextualSpacing w:val="0"/>
        <w:jc w:val="both"/>
        <w:rPr>
          <w:rFonts w:ascii="Arial" w:hAnsi="Arial" w:cs="Arial"/>
          <w:bCs/>
          <w:sz w:val="22"/>
          <w:szCs w:val="22"/>
          <w:lang w:val="en-GB"/>
        </w:rPr>
      </w:pPr>
      <w:r w:rsidRPr="008F2B6E">
        <w:rPr>
          <w:rFonts w:ascii="Arial" w:hAnsi="Arial" w:cs="Arial"/>
          <w:bCs/>
          <w:sz w:val="22"/>
          <w:szCs w:val="22"/>
          <w:lang w:val="en-GB"/>
        </w:rPr>
        <w:t>Assessment of the effects of safeguarding plans for elements inscribed on the List of Intangible Cultural Heritage in Need of Urgent Safeguarding (</w:t>
      </w:r>
      <w:r w:rsidR="004F5FE6" w:rsidRPr="008F2B6E">
        <w:rPr>
          <w:rFonts w:ascii="Arial" w:hAnsi="Arial" w:cs="Arial"/>
          <w:bCs/>
          <w:sz w:val="22"/>
          <w:szCs w:val="22"/>
          <w:lang w:val="en-GB"/>
        </w:rPr>
        <w:t xml:space="preserve">only applied </w:t>
      </w:r>
      <w:r w:rsidR="00664184" w:rsidRPr="008F2B6E">
        <w:rPr>
          <w:rFonts w:ascii="Arial" w:hAnsi="Arial" w:cs="Arial"/>
          <w:bCs/>
          <w:sz w:val="22"/>
          <w:szCs w:val="22"/>
          <w:lang w:val="en-GB"/>
        </w:rPr>
        <w:t>once in the case of the transfer of an element from one List to the other</w:t>
      </w:r>
      <w:r w:rsidRPr="008F2B6E">
        <w:rPr>
          <w:rFonts w:ascii="Arial" w:hAnsi="Arial" w:cs="Arial"/>
          <w:bCs/>
          <w:sz w:val="22"/>
          <w:szCs w:val="22"/>
          <w:lang w:val="en-GB"/>
        </w:rPr>
        <w:t>)</w:t>
      </w:r>
      <w:r w:rsidR="0069148D" w:rsidRPr="008F2B6E">
        <w:rPr>
          <w:rFonts w:ascii="Arial" w:hAnsi="Arial" w:cs="Arial"/>
          <w:bCs/>
          <w:sz w:val="22"/>
          <w:szCs w:val="22"/>
          <w:lang w:val="en-GB"/>
        </w:rPr>
        <w:t>.</w:t>
      </w:r>
    </w:p>
    <w:p w14:paraId="268131DE" w14:textId="77777777" w:rsidR="00090025" w:rsidRPr="008F2B6E" w:rsidRDefault="00090025">
      <w:pPr>
        <w:spacing w:before="120" w:after="120"/>
        <w:ind w:firstLine="567"/>
        <w:rPr>
          <w:rFonts w:ascii="Arial" w:hAnsi="Arial" w:cs="Arial"/>
          <w:bCs/>
          <w:i/>
          <w:sz w:val="22"/>
          <w:szCs w:val="22"/>
          <w:u w:val="single"/>
          <w:lang w:val="en-GB"/>
        </w:rPr>
      </w:pPr>
      <w:r w:rsidRPr="008F2B6E">
        <w:rPr>
          <w:rFonts w:ascii="Arial" w:hAnsi="Arial" w:cs="Arial"/>
          <w:bCs/>
          <w:i/>
          <w:sz w:val="22"/>
          <w:szCs w:val="22"/>
          <w:u w:val="single"/>
          <w:lang w:val="en-GB"/>
        </w:rPr>
        <w:t>Proposed new functions</w:t>
      </w:r>
    </w:p>
    <w:p w14:paraId="4562CA85" w14:textId="447081FB" w:rsidR="00090025" w:rsidRPr="008F2B6E" w:rsidRDefault="00090025">
      <w:pPr>
        <w:pStyle w:val="ListParagraph"/>
        <w:numPr>
          <w:ilvl w:val="0"/>
          <w:numId w:val="46"/>
        </w:numPr>
        <w:spacing w:before="120" w:after="120"/>
        <w:ind w:left="993" w:hanging="426"/>
        <w:contextualSpacing w:val="0"/>
        <w:rPr>
          <w:rFonts w:ascii="Arial" w:hAnsi="Arial" w:cs="Arial"/>
          <w:bCs/>
          <w:sz w:val="22"/>
          <w:szCs w:val="22"/>
          <w:lang w:val="en-GB"/>
        </w:rPr>
      </w:pPr>
      <w:r w:rsidRPr="008F2B6E">
        <w:rPr>
          <w:rFonts w:ascii="Arial" w:hAnsi="Arial" w:cs="Arial"/>
          <w:bCs/>
          <w:sz w:val="22"/>
          <w:szCs w:val="22"/>
          <w:lang w:val="en-GB"/>
        </w:rPr>
        <w:t>Advice to the Committee on specific thematic issues</w:t>
      </w:r>
      <w:r w:rsidR="0069148D" w:rsidRPr="008F2B6E">
        <w:rPr>
          <w:rFonts w:ascii="Arial" w:hAnsi="Arial" w:cs="Arial"/>
          <w:bCs/>
          <w:sz w:val="22"/>
          <w:szCs w:val="22"/>
          <w:lang w:val="en-GB"/>
        </w:rPr>
        <w:t>;</w:t>
      </w:r>
    </w:p>
    <w:p w14:paraId="7A0024FB" w14:textId="0709400D" w:rsidR="00090025" w:rsidRPr="008F2B6E" w:rsidRDefault="00090025" w:rsidP="00EF560C">
      <w:pPr>
        <w:pStyle w:val="ListParagraph"/>
        <w:numPr>
          <w:ilvl w:val="0"/>
          <w:numId w:val="46"/>
        </w:numPr>
        <w:spacing w:before="120" w:after="120"/>
        <w:ind w:left="993" w:hanging="426"/>
        <w:contextualSpacing w:val="0"/>
        <w:jc w:val="both"/>
        <w:rPr>
          <w:rFonts w:ascii="Arial" w:hAnsi="Arial" w:cs="Arial"/>
          <w:bCs/>
          <w:sz w:val="22"/>
          <w:szCs w:val="22"/>
          <w:lang w:val="en-GB"/>
        </w:rPr>
      </w:pPr>
      <w:r w:rsidRPr="008F2B6E">
        <w:rPr>
          <w:rFonts w:ascii="Arial" w:hAnsi="Arial" w:cs="Arial"/>
          <w:bCs/>
          <w:sz w:val="22"/>
          <w:szCs w:val="22"/>
          <w:lang w:val="en-GB"/>
        </w:rPr>
        <w:t xml:space="preserve">Direct reporting and monitoring functions </w:t>
      </w:r>
      <w:r w:rsidR="0069148D" w:rsidRPr="008F2B6E">
        <w:rPr>
          <w:rFonts w:ascii="Arial" w:hAnsi="Arial" w:cs="Arial"/>
          <w:bCs/>
          <w:sz w:val="22"/>
          <w:szCs w:val="22"/>
          <w:lang w:val="en-GB"/>
        </w:rPr>
        <w:t>for</w:t>
      </w:r>
      <w:r w:rsidRPr="008F2B6E">
        <w:rPr>
          <w:rFonts w:ascii="Arial" w:hAnsi="Arial" w:cs="Arial"/>
          <w:bCs/>
          <w:sz w:val="22"/>
          <w:szCs w:val="22"/>
          <w:lang w:val="en-GB"/>
        </w:rPr>
        <w:t xml:space="preserve"> the Committee, for instance under the periodic reporting mechanism or for the monitoring of elements inscribed on the </w:t>
      </w:r>
      <w:r w:rsidR="0069148D" w:rsidRPr="008F2B6E">
        <w:rPr>
          <w:rFonts w:ascii="Arial" w:hAnsi="Arial" w:cs="Arial"/>
          <w:bCs/>
          <w:sz w:val="22"/>
          <w:szCs w:val="22"/>
          <w:lang w:val="en-GB"/>
        </w:rPr>
        <w:t xml:space="preserve">Lists </w:t>
      </w:r>
      <w:r w:rsidRPr="008F2B6E">
        <w:rPr>
          <w:rFonts w:ascii="Arial" w:hAnsi="Arial" w:cs="Arial"/>
          <w:bCs/>
          <w:sz w:val="22"/>
          <w:szCs w:val="22"/>
          <w:lang w:val="en-GB"/>
        </w:rPr>
        <w:t>of the Convention</w:t>
      </w:r>
      <w:r w:rsidR="0069148D" w:rsidRPr="008F2B6E">
        <w:rPr>
          <w:rFonts w:ascii="Arial" w:hAnsi="Arial" w:cs="Arial"/>
          <w:bCs/>
          <w:sz w:val="22"/>
          <w:szCs w:val="22"/>
          <w:lang w:val="en-GB"/>
        </w:rPr>
        <w:t>;</w:t>
      </w:r>
    </w:p>
    <w:p w14:paraId="20C052E4" w14:textId="2F513195" w:rsidR="00090025" w:rsidRPr="008F2B6E" w:rsidRDefault="00090025">
      <w:pPr>
        <w:pStyle w:val="ListParagraph"/>
        <w:numPr>
          <w:ilvl w:val="0"/>
          <w:numId w:val="46"/>
        </w:numPr>
        <w:spacing w:before="120" w:after="120"/>
        <w:ind w:left="993" w:hanging="426"/>
        <w:contextualSpacing w:val="0"/>
        <w:rPr>
          <w:bCs/>
          <w:lang w:val="en-US"/>
        </w:rPr>
      </w:pPr>
      <w:r w:rsidRPr="008F2B6E">
        <w:rPr>
          <w:rFonts w:ascii="Arial" w:hAnsi="Arial" w:cs="Arial"/>
          <w:bCs/>
          <w:sz w:val="22"/>
          <w:szCs w:val="22"/>
          <w:lang w:val="en-GB"/>
        </w:rPr>
        <w:t>Advice on statutory matters linked to NGOs</w:t>
      </w:r>
      <w:r w:rsidR="0069148D" w:rsidRPr="008F2B6E">
        <w:rPr>
          <w:rFonts w:ascii="Arial" w:hAnsi="Arial" w:cs="Arial"/>
          <w:bCs/>
          <w:sz w:val="22"/>
          <w:szCs w:val="22"/>
          <w:lang w:val="en-GB"/>
        </w:rPr>
        <w:t>;</w:t>
      </w:r>
    </w:p>
    <w:p w14:paraId="34E8C5C7" w14:textId="08EAE215" w:rsidR="00090025" w:rsidRPr="008F2B6E" w:rsidRDefault="00090025" w:rsidP="00EF560C">
      <w:pPr>
        <w:pStyle w:val="ListParagraph"/>
        <w:numPr>
          <w:ilvl w:val="0"/>
          <w:numId w:val="46"/>
        </w:numPr>
        <w:spacing w:before="120" w:after="120"/>
        <w:ind w:left="993" w:hanging="426"/>
        <w:contextualSpacing w:val="0"/>
        <w:jc w:val="both"/>
        <w:rPr>
          <w:rFonts w:ascii="Arial" w:hAnsi="Arial" w:cs="Arial"/>
          <w:bCs/>
          <w:sz w:val="22"/>
          <w:szCs w:val="22"/>
          <w:lang w:val="en-GB"/>
        </w:rPr>
      </w:pPr>
      <w:r w:rsidRPr="008F2B6E">
        <w:rPr>
          <w:rFonts w:ascii="Arial" w:hAnsi="Arial" w:cs="Arial"/>
          <w:bCs/>
          <w:sz w:val="22"/>
          <w:szCs w:val="22"/>
          <w:lang w:val="en-GB"/>
        </w:rPr>
        <w:t>Implementation of the Convention at the local, national and international levels, including contribution to the implementation of capacity-building activities</w:t>
      </w:r>
      <w:r w:rsidR="0069148D" w:rsidRPr="008F2B6E">
        <w:rPr>
          <w:rFonts w:ascii="Arial" w:hAnsi="Arial" w:cs="Arial"/>
          <w:bCs/>
          <w:sz w:val="22"/>
          <w:szCs w:val="22"/>
          <w:lang w:val="en-GB"/>
        </w:rPr>
        <w:t>;</w:t>
      </w:r>
    </w:p>
    <w:p w14:paraId="60F84513" w14:textId="51FE9BE6" w:rsidR="00090025" w:rsidRPr="008F2B6E" w:rsidRDefault="00090025">
      <w:pPr>
        <w:pStyle w:val="ListParagraph"/>
        <w:numPr>
          <w:ilvl w:val="0"/>
          <w:numId w:val="46"/>
        </w:numPr>
        <w:spacing w:before="120" w:after="120"/>
        <w:ind w:left="993" w:hanging="426"/>
        <w:contextualSpacing w:val="0"/>
        <w:rPr>
          <w:rFonts w:ascii="Arial" w:hAnsi="Arial" w:cs="Arial"/>
          <w:bCs/>
          <w:sz w:val="22"/>
          <w:szCs w:val="22"/>
          <w:lang w:val="en-GB"/>
        </w:rPr>
      </w:pPr>
      <w:r w:rsidRPr="008F2B6E">
        <w:rPr>
          <w:rFonts w:ascii="Arial" w:hAnsi="Arial" w:cs="Arial"/>
          <w:bCs/>
          <w:sz w:val="22"/>
          <w:szCs w:val="22"/>
          <w:lang w:val="en-GB"/>
        </w:rPr>
        <w:t>Reporting functions at the national level (periodic reporting mechanism)</w:t>
      </w:r>
      <w:r w:rsidR="0069148D" w:rsidRPr="008F2B6E">
        <w:rPr>
          <w:rFonts w:ascii="Arial" w:hAnsi="Arial" w:cs="Arial"/>
          <w:bCs/>
          <w:sz w:val="22"/>
          <w:szCs w:val="22"/>
          <w:lang w:val="en-GB"/>
        </w:rPr>
        <w:t>;</w:t>
      </w:r>
    </w:p>
    <w:p w14:paraId="2F7EC551" w14:textId="69F42739" w:rsidR="00090025" w:rsidRPr="008F2B6E" w:rsidRDefault="00090025">
      <w:pPr>
        <w:pStyle w:val="ListParagraph"/>
        <w:numPr>
          <w:ilvl w:val="0"/>
          <w:numId w:val="46"/>
        </w:numPr>
        <w:spacing w:before="120" w:after="120"/>
        <w:ind w:left="993" w:hanging="426"/>
        <w:contextualSpacing w:val="0"/>
        <w:rPr>
          <w:rFonts w:ascii="Arial" w:hAnsi="Arial" w:cs="Arial"/>
          <w:bCs/>
          <w:sz w:val="22"/>
          <w:szCs w:val="22"/>
          <w:lang w:val="en-GB"/>
        </w:rPr>
      </w:pPr>
      <w:r w:rsidRPr="008F2B6E">
        <w:rPr>
          <w:rFonts w:ascii="Arial" w:hAnsi="Arial" w:cs="Arial"/>
          <w:bCs/>
          <w:sz w:val="22"/>
          <w:szCs w:val="22"/>
          <w:lang w:val="en-GB"/>
        </w:rPr>
        <w:t>Sharing of safeguarding experiences in lighter and more accessible ways</w:t>
      </w:r>
      <w:r w:rsidR="0069148D" w:rsidRPr="008F2B6E">
        <w:rPr>
          <w:rFonts w:ascii="Arial" w:hAnsi="Arial" w:cs="Arial"/>
          <w:bCs/>
          <w:sz w:val="22"/>
          <w:szCs w:val="22"/>
          <w:lang w:val="en-GB"/>
        </w:rPr>
        <w:t>;</w:t>
      </w:r>
    </w:p>
    <w:p w14:paraId="2D647EFB" w14:textId="35EFEB50" w:rsidR="00090025" w:rsidRPr="008F2B6E" w:rsidRDefault="00090025">
      <w:pPr>
        <w:pStyle w:val="ListParagraph"/>
        <w:numPr>
          <w:ilvl w:val="0"/>
          <w:numId w:val="46"/>
        </w:numPr>
        <w:spacing w:before="120" w:after="120"/>
        <w:ind w:left="993" w:hanging="426"/>
        <w:contextualSpacing w:val="0"/>
        <w:rPr>
          <w:rFonts w:ascii="Arial" w:hAnsi="Arial" w:cs="Arial"/>
          <w:bCs/>
          <w:sz w:val="22"/>
          <w:szCs w:val="22"/>
          <w:lang w:val="en-GB"/>
        </w:rPr>
      </w:pPr>
      <w:r w:rsidRPr="008F2B6E">
        <w:rPr>
          <w:rFonts w:ascii="Arial" w:hAnsi="Arial" w:cs="Arial"/>
          <w:bCs/>
          <w:sz w:val="22"/>
          <w:szCs w:val="22"/>
          <w:lang w:val="en-GB"/>
        </w:rPr>
        <w:t>Outreach to civil society and awareness-raising about the Convention</w:t>
      </w:r>
      <w:r w:rsidR="0069148D" w:rsidRPr="008F2B6E">
        <w:rPr>
          <w:rFonts w:ascii="Arial" w:hAnsi="Arial" w:cs="Arial"/>
          <w:bCs/>
          <w:sz w:val="22"/>
          <w:szCs w:val="22"/>
          <w:lang w:val="en-GB"/>
        </w:rPr>
        <w:t>;</w:t>
      </w:r>
    </w:p>
    <w:p w14:paraId="66CEEF88" w14:textId="4A583959" w:rsidR="00651F63" w:rsidRPr="008F2B6E" w:rsidRDefault="00090025" w:rsidP="00EF560C">
      <w:pPr>
        <w:pStyle w:val="ListParagraph"/>
        <w:numPr>
          <w:ilvl w:val="0"/>
          <w:numId w:val="46"/>
        </w:numPr>
        <w:spacing w:before="120" w:after="120"/>
        <w:ind w:left="993" w:hanging="426"/>
        <w:contextualSpacing w:val="0"/>
        <w:jc w:val="both"/>
        <w:rPr>
          <w:bCs/>
          <w:lang w:val="en-US"/>
        </w:rPr>
      </w:pPr>
      <w:r w:rsidRPr="008F2B6E">
        <w:rPr>
          <w:rFonts w:ascii="Arial" w:hAnsi="Arial" w:cs="Arial"/>
          <w:bCs/>
          <w:sz w:val="22"/>
          <w:szCs w:val="22"/>
          <w:lang w:val="en-GB"/>
        </w:rPr>
        <w:t>Laboratory of ideas and inspiring practices</w:t>
      </w:r>
      <w:r w:rsidR="0069148D" w:rsidRPr="008F2B6E">
        <w:rPr>
          <w:rFonts w:ascii="Arial" w:hAnsi="Arial" w:cs="Arial"/>
          <w:bCs/>
          <w:sz w:val="22"/>
          <w:szCs w:val="22"/>
          <w:lang w:val="en-GB"/>
        </w:rPr>
        <w:t>,</w:t>
      </w:r>
      <w:r w:rsidRPr="008F2B6E">
        <w:rPr>
          <w:rFonts w:ascii="Arial" w:hAnsi="Arial" w:cs="Arial"/>
          <w:bCs/>
          <w:sz w:val="22"/>
          <w:szCs w:val="22"/>
          <w:lang w:val="en-GB"/>
        </w:rPr>
        <w:t xml:space="preserve"> including research on thematic issues focusing on the safeguarding of </w:t>
      </w:r>
      <w:r w:rsidR="00616173" w:rsidRPr="008F2B6E">
        <w:rPr>
          <w:rFonts w:ascii="Arial" w:hAnsi="Arial" w:cs="Arial"/>
          <w:bCs/>
          <w:sz w:val="22"/>
          <w:szCs w:val="22"/>
          <w:lang w:val="en-GB"/>
        </w:rPr>
        <w:t xml:space="preserve">intangible cultural </w:t>
      </w:r>
      <w:r w:rsidRPr="008F2B6E">
        <w:rPr>
          <w:rFonts w:ascii="Arial" w:hAnsi="Arial" w:cs="Arial"/>
          <w:bCs/>
          <w:sz w:val="22"/>
          <w:szCs w:val="22"/>
          <w:lang w:val="en-GB"/>
        </w:rPr>
        <w:t xml:space="preserve">heritage and on the links between </w:t>
      </w:r>
      <w:r w:rsidR="00616173" w:rsidRPr="008F2B6E">
        <w:rPr>
          <w:rFonts w:ascii="Arial" w:hAnsi="Arial" w:cs="Arial"/>
          <w:bCs/>
          <w:sz w:val="22"/>
          <w:szCs w:val="22"/>
          <w:lang w:val="en-GB"/>
        </w:rPr>
        <w:t xml:space="preserve">intangible cultural </w:t>
      </w:r>
      <w:r w:rsidRPr="008F2B6E">
        <w:rPr>
          <w:rFonts w:ascii="Arial" w:hAnsi="Arial" w:cs="Arial"/>
          <w:bCs/>
          <w:sz w:val="22"/>
          <w:szCs w:val="22"/>
          <w:lang w:val="en-GB"/>
        </w:rPr>
        <w:t>heritage and other connected fields</w:t>
      </w:r>
      <w:r w:rsidR="0069148D" w:rsidRPr="008F2B6E">
        <w:rPr>
          <w:rFonts w:ascii="Arial" w:hAnsi="Arial" w:cs="Arial"/>
          <w:bCs/>
          <w:sz w:val="22"/>
          <w:szCs w:val="22"/>
          <w:lang w:val="en-GB"/>
        </w:rPr>
        <w:t>.</w:t>
      </w:r>
    </w:p>
    <w:p w14:paraId="7757D42A" w14:textId="3B5C6E21" w:rsidR="005D5A48" w:rsidRPr="008F2B6E" w:rsidRDefault="00747EB5">
      <w:pPr>
        <w:pStyle w:val="COMPara"/>
        <w:numPr>
          <w:ilvl w:val="3"/>
          <w:numId w:val="2"/>
        </w:numPr>
        <w:ind w:left="567" w:hanging="567"/>
        <w:jc w:val="both"/>
      </w:pPr>
      <w:r w:rsidRPr="008F2B6E">
        <w:rPr>
          <w:bCs/>
        </w:rPr>
        <w:t xml:space="preserve">Based on this </w:t>
      </w:r>
      <w:r w:rsidR="0069148D" w:rsidRPr="008F2B6E">
        <w:rPr>
          <w:bCs/>
        </w:rPr>
        <w:t xml:space="preserve">initial </w:t>
      </w:r>
      <w:r w:rsidRPr="008F2B6E">
        <w:rPr>
          <w:bCs/>
        </w:rPr>
        <w:t>list</w:t>
      </w:r>
      <w:r w:rsidR="002F218A" w:rsidRPr="008F2B6E">
        <w:rPr>
          <w:bCs/>
        </w:rPr>
        <w:t xml:space="preserve">, a clear distinction </w:t>
      </w:r>
      <w:proofErr w:type="gramStart"/>
      <w:r w:rsidR="002F218A" w:rsidRPr="008F2B6E">
        <w:rPr>
          <w:bCs/>
        </w:rPr>
        <w:t>can be made</w:t>
      </w:r>
      <w:proofErr w:type="gramEnd"/>
      <w:r w:rsidR="002F218A" w:rsidRPr="008F2B6E">
        <w:rPr>
          <w:bCs/>
        </w:rPr>
        <w:t xml:space="preserve"> between functions that accredited NGOs can accomplish directly for the Committee and those that they accomplish through States or directly with communities. Th</w:t>
      </w:r>
      <w:r w:rsidR="0069334C" w:rsidRPr="008F2B6E">
        <w:rPr>
          <w:bCs/>
        </w:rPr>
        <w:t>is dichotomy underlines the need for the governing bodies</w:t>
      </w:r>
      <w:r w:rsidR="0023711F" w:rsidRPr="008F2B6E">
        <w:rPr>
          <w:bCs/>
        </w:rPr>
        <w:t xml:space="preserve"> of the Convention</w:t>
      </w:r>
      <w:r w:rsidR="0069334C" w:rsidRPr="008F2B6E">
        <w:rPr>
          <w:bCs/>
        </w:rPr>
        <w:t xml:space="preserve"> to clarify their expectations in relation to the accreditation system, as defined in Article 9 of the Convention.</w:t>
      </w:r>
    </w:p>
    <w:p w14:paraId="4F98D3D4" w14:textId="5F44671A" w:rsidR="00E4366A" w:rsidRPr="008F2B6E" w:rsidRDefault="00E4366A">
      <w:pPr>
        <w:pStyle w:val="COMPara"/>
        <w:numPr>
          <w:ilvl w:val="3"/>
          <w:numId w:val="2"/>
        </w:numPr>
        <w:ind w:left="567" w:hanging="567"/>
        <w:jc w:val="both"/>
      </w:pPr>
      <w:r w:rsidRPr="008F2B6E">
        <w:rPr>
          <w:b/>
        </w:rPr>
        <w:t>Processes and criteria applied for the accreditation and review of accreditation</w:t>
      </w:r>
      <w:r w:rsidRPr="008F2B6E">
        <w:t xml:space="preserve">. </w:t>
      </w:r>
      <w:r w:rsidR="00FB3ED4" w:rsidRPr="008F2B6E">
        <w:t>States Parties and accredited NGOs widely acknowledged that the contribution and commitment of accredited NGOs (paragraph 94 of the Operational Directives) should be assessed on the basis of the same criteria as those used to accredit NGOs in the first place (paragraph 91 of the Operational Directives). This</w:t>
      </w:r>
      <w:r w:rsidR="001E78E0" w:rsidRPr="008F2B6E">
        <w:t xml:space="preserve"> is not the case </w:t>
      </w:r>
      <w:proofErr w:type="gramStart"/>
      <w:r w:rsidR="001E78E0" w:rsidRPr="008F2B6E">
        <w:t>at the moment</w:t>
      </w:r>
      <w:proofErr w:type="gramEnd"/>
      <w:r w:rsidR="00747EB5" w:rsidRPr="008F2B6E">
        <w:t>:</w:t>
      </w:r>
      <w:r w:rsidR="001E78E0" w:rsidRPr="008F2B6E">
        <w:t xml:space="preserve"> </w:t>
      </w:r>
      <w:r w:rsidR="001E78E0" w:rsidRPr="008F2B6E">
        <w:rPr>
          <w:lang w:val="en-US"/>
        </w:rPr>
        <w:t xml:space="preserve">accreditation requests are evaluated against the administrative and legal status of the organizations together with the description of their activities, whereas renewals are conditional on the contribution of the NGOs to the statutory activities of the Committee and the activities carried out at the bilateral, </w:t>
      </w:r>
      <w:proofErr w:type="spellStart"/>
      <w:r w:rsidR="001E78E0" w:rsidRPr="008F2B6E">
        <w:rPr>
          <w:lang w:val="en-US"/>
        </w:rPr>
        <w:t>subregional</w:t>
      </w:r>
      <w:proofErr w:type="spellEnd"/>
      <w:r w:rsidR="001E78E0" w:rsidRPr="008F2B6E">
        <w:rPr>
          <w:lang w:val="en-US"/>
        </w:rPr>
        <w:t>, regional or international levels.</w:t>
      </w:r>
    </w:p>
    <w:p w14:paraId="61FD3293" w14:textId="3F8F18F7" w:rsidR="002E30D0" w:rsidRPr="008F2B6E" w:rsidRDefault="00641E2E">
      <w:pPr>
        <w:pStyle w:val="COMPara"/>
        <w:numPr>
          <w:ilvl w:val="3"/>
          <w:numId w:val="2"/>
        </w:numPr>
        <w:ind w:left="567" w:hanging="567"/>
        <w:jc w:val="both"/>
        <w:rPr>
          <w:bCs/>
        </w:rPr>
      </w:pPr>
      <w:r w:rsidRPr="008F2B6E">
        <w:rPr>
          <w:b/>
          <w:bCs/>
        </w:rPr>
        <w:lastRenderedPageBreak/>
        <w:t>Considerations regarding</w:t>
      </w:r>
      <w:r w:rsidR="000F440A" w:rsidRPr="008F2B6E">
        <w:rPr>
          <w:b/>
          <w:bCs/>
        </w:rPr>
        <w:t xml:space="preserve"> the possible establishment of an ‘umbrella organization’</w:t>
      </w:r>
      <w:r w:rsidR="000F440A" w:rsidRPr="008F2B6E">
        <w:rPr>
          <w:bCs/>
        </w:rPr>
        <w:t xml:space="preserve">. </w:t>
      </w:r>
      <w:r w:rsidR="001E78E0" w:rsidRPr="008F2B6E">
        <w:rPr>
          <w:bCs/>
        </w:rPr>
        <w:t xml:space="preserve">Another aspect discussed </w:t>
      </w:r>
      <w:r w:rsidR="0069148D" w:rsidRPr="008F2B6E">
        <w:rPr>
          <w:bCs/>
        </w:rPr>
        <w:t xml:space="preserve">as part of </w:t>
      </w:r>
      <w:r w:rsidR="001E78E0" w:rsidRPr="008F2B6E">
        <w:rPr>
          <w:bCs/>
        </w:rPr>
        <w:t>the reflection</w:t>
      </w:r>
      <w:r w:rsidR="000F440A" w:rsidRPr="008F2B6E">
        <w:rPr>
          <w:bCs/>
        </w:rPr>
        <w:t xml:space="preserve"> process wa</w:t>
      </w:r>
      <w:r w:rsidR="001E78E0" w:rsidRPr="008F2B6E">
        <w:rPr>
          <w:bCs/>
        </w:rPr>
        <w:t xml:space="preserve">s </w:t>
      </w:r>
      <w:r w:rsidR="00747EB5" w:rsidRPr="008F2B6E">
        <w:rPr>
          <w:bCs/>
        </w:rPr>
        <w:t>the</w:t>
      </w:r>
      <w:r w:rsidR="001E78E0" w:rsidRPr="008F2B6E">
        <w:rPr>
          <w:bCs/>
        </w:rPr>
        <w:t xml:space="preserve"> possible establishment of an umbrella organization,</w:t>
      </w:r>
      <w:r w:rsidR="000F440A" w:rsidRPr="008F2B6E">
        <w:rPr>
          <w:bCs/>
        </w:rPr>
        <w:t xml:space="preserve"> </w:t>
      </w:r>
      <w:r w:rsidR="000F440A" w:rsidRPr="008F2B6E">
        <w:t xml:space="preserve">responsible for the accreditation system and the coordination of the </w:t>
      </w:r>
      <w:r w:rsidR="006A14F3" w:rsidRPr="008F2B6E">
        <w:rPr>
          <w:bCs/>
        </w:rPr>
        <w:t>provision of advisory support by NGOs to the governing bodies</w:t>
      </w:r>
      <w:r w:rsidR="000F440A" w:rsidRPr="008F2B6E">
        <w:t>.</w:t>
      </w:r>
      <w:r w:rsidR="00132CB7" w:rsidRPr="008F2B6E">
        <w:t xml:space="preserve"> This possibility was initially discussed in 2006 and 2007, at which time the Committee concluded that the creation of an ‘umbrella organization’ would not allow for the necessary plurality of expertise, may limit the number of NGOs upon which the Committee could call and may encourage systematic recourse to well-known NGOs without due attention to geographical diversity. Twelve years later, while the role of the ICH NGO Forum has been underlined throughout the reflection process, States and accredited NGOs </w:t>
      </w:r>
      <w:r w:rsidR="00132CB7" w:rsidRPr="008F2B6E">
        <w:rPr>
          <w:bCs/>
        </w:rPr>
        <w:t xml:space="preserve">feared that the establishment of an ‘umbrella organization’ would lead to unnecessary complications in the accreditation procedure and would negatively </w:t>
      </w:r>
      <w:proofErr w:type="gramStart"/>
      <w:r w:rsidR="00132CB7" w:rsidRPr="008F2B6E">
        <w:rPr>
          <w:bCs/>
        </w:rPr>
        <w:t>impact</w:t>
      </w:r>
      <w:proofErr w:type="gramEnd"/>
      <w:r w:rsidR="00132CB7" w:rsidRPr="008F2B6E">
        <w:rPr>
          <w:bCs/>
        </w:rPr>
        <w:t xml:space="preserve"> the diversity of accredited NGOs</w:t>
      </w:r>
      <w:r w:rsidR="006A14F3" w:rsidRPr="008F2B6E">
        <w:t xml:space="preserve">. </w:t>
      </w:r>
      <w:r w:rsidR="00A367C7" w:rsidRPr="008F2B6E">
        <w:t xml:space="preserve">States Parties and accredited NGOs that participated in the reflection appeared to </w:t>
      </w:r>
      <w:r w:rsidR="00132CB7" w:rsidRPr="008F2B6E">
        <w:rPr>
          <w:bCs/>
        </w:rPr>
        <w:t xml:space="preserve">lean </w:t>
      </w:r>
      <w:r w:rsidR="0069148D" w:rsidRPr="008F2B6E">
        <w:rPr>
          <w:bCs/>
        </w:rPr>
        <w:t xml:space="preserve">instead </w:t>
      </w:r>
      <w:r w:rsidR="00132CB7" w:rsidRPr="008F2B6E">
        <w:rPr>
          <w:bCs/>
        </w:rPr>
        <w:t>towards</w:t>
      </w:r>
      <w:r w:rsidR="002E30D0" w:rsidRPr="008F2B6E">
        <w:rPr>
          <w:bCs/>
        </w:rPr>
        <w:t xml:space="preserve"> the improvement of the current accreditation system or, alternatively, to consider the establishment of a hybrid system, in which the accreditation to </w:t>
      </w:r>
      <w:r w:rsidR="004C4572" w:rsidRPr="008F2B6E">
        <w:rPr>
          <w:bCs/>
        </w:rPr>
        <w:t>serve in an advisory capacity</w:t>
      </w:r>
      <w:r w:rsidR="002E30D0" w:rsidRPr="008F2B6E">
        <w:rPr>
          <w:bCs/>
        </w:rPr>
        <w:t xml:space="preserve"> would be improved and strengthened</w:t>
      </w:r>
      <w:r w:rsidR="00A367C7" w:rsidRPr="008F2B6E">
        <w:rPr>
          <w:bCs/>
        </w:rPr>
        <w:t xml:space="preserve"> and where an umbrella organization could play a role</w:t>
      </w:r>
      <w:r w:rsidR="002E30D0" w:rsidRPr="008F2B6E">
        <w:rPr>
          <w:bCs/>
        </w:rPr>
        <w:t>.</w:t>
      </w:r>
    </w:p>
    <w:p w14:paraId="7F23540F" w14:textId="18F2BD2D" w:rsidR="004F4134" w:rsidRPr="008F2B6E" w:rsidRDefault="0096013D">
      <w:pPr>
        <w:pStyle w:val="COMPara"/>
        <w:numPr>
          <w:ilvl w:val="3"/>
          <w:numId w:val="2"/>
        </w:numPr>
        <w:ind w:left="567" w:hanging="567"/>
        <w:jc w:val="both"/>
        <w:rPr>
          <w:bCs/>
        </w:rPr>
      </w:pPr>
      <w:r w:rsidRPr="008F2B6E">
        <w:rPr>
          <w:b/>
        </w:rPr>
        <w:t xml:space="preserve">Geographical </w:t>
      </w:r>
      <w:r w:rsidR="00132CB7" w:rsidRPr="008F2B6E">
        <w:rPr>
          <w:b/>
        </w:rPr>
        <w:t>distribution of accredited NGOs</w:t>
      </w:r>
      <w:r w:rsidRPr="008F2B6E">
        <w:rPr>
          <w:bCs/>
        </w:rPr>
        <w:t>.</w:t>
      </w:r>
      <w:r w:rsidR="009C057D" w:rsidRPr="008F2B6E">
        <w:t xml:space="preserve"> </w:t>
      </w:r>
      <w:r w:rsidR="008572D7" w:rsidRPr="008F2B6E">
        <w:t>When the reflection process was launched in 2017</w:t>
      </w:r>
      <w:r w:rsidR="009C057D" w:rsidRPr="008F2B6E">
        <w:t xml:space="preserve">, the </w:t>
      </w:r>
      <w:proofErr w:type="gramStart"/>
      <w:r w:rsidR="009C057D" w:rsidRPr="008F2B6E">
        <w:t>unbalanced geographical distribution of accredited NGOs was identified as one of the major concerns by the General Assembly, the Committee and the Secretariat</w:t>
      </w:r>
      <w:proofErr w:type="gramEnd"/>
      <w:r w:rsidR="009C057D" w:rsidRPr="008F2B6E">
        <w:t xml:space="preserve">. This </w:t>
      </w:r>
      <w:proofErr w:type="gramStart"/>
      <w:r w:rsidR="009C057D" w:rsidRPr="008F2B6E">
        <w:t>was pointed out</w:t>
      </w:r>
      <w:proofErr w:type="gramEnd"/>
      <w:r w:rsidR="009C057D" w:rsidRPr="008F2B6E">
        <w:t xml:space="preserve"> in numerous working documents of the governing bodies (</w:t>
      </w:r>
      <w:hyperlink r:id="rId17" w:history="1">
        <w:r w:rsidR="00D33B59" w:rsidRPr="008F2B6E">
          <w:rPr>
            <w:rStyle w:val="Hyperlink"/>
          </w:rPr>
          <w:t>docume</w:t>
        </w:r>
        <w:r w:rsidR="00D33B59" w:rsidRPr="00BA6EB1">
          <w:rPr>
            <w:rStyle w:val="Hyperlink"/>
          </w:rPr>
          <w:t>nt</w:t>
        </w:r>
        <w:r w:rsidR="00BA6EB1" w:rsidRPr="00BA6EB1">
          <w:rPr>
            <w:bCs/>
            <w:u w:val="single"/>
          </w:rPr>
          <w:t> </w:t>
        </w:r>
        <w:r w:rsidR="00D33B59" w:rsidRPr="00BA6EB1">
          <w:rPr>
            <w:rStyle w:val="Hyperlink"/>
          </w:rPr>
          <w:t>IT</w:t>
        </w:r>
        <w:r w:rsidR="00D33B59" w:rsidRPr="008F2B6E">
          <w:rPr>
            <w:rStyle w:val="Hyperlink"/>
          </w:rPr>
          <w:t>H/18/7.GA/11</w:t>
        </w:r>
      </w:hyperlink>
      <w:r w:rsidR="009C057D" w:rsidRPr="008F2B6E">
        <w:t xml:space="preserve"> </w:t>
      </w:r>
      <w:r w:rsidR="006A14F3" w:rsidRPr="008F2B6E">
        <w:t>for</w:t>
      </w:r>
      <w:r w:rsidR="009C057D" w:rsidRPr="008F2B6E">
        <w:t xml:space="preserve"> example).</w:t>
      </w:r>
      <w:r w:rsidR="00074595" w:rsidRPr="008F2B6E">
        <w:t xml:space="preserve"> Only </w:t>
      </w:r>
      <w:r w:rsidR="0069148D" w:rsidRPr="008F2B6E">
        <w:t xml:space="preserve">a </w:t>
      </w:r>
      <w:r w:rsidR="00074595" w:rsidRPr="008F2B6E">
        <w:t>few participants in the reflection process supported the possibility of limiting the number of accredited NGOs in over-represented regions through the establishment of a ceiling. Instead,</w:t>
      </w:r>
      <w:r w:rsidR="009C057D" w:rsidRPr="008F2B6E">
        <w:t xml:space="preserve"> the implementation of ‘soft measures’</w:t>
      </w:r>
      <w:r w:rsidR="00074595" w:rsidRPr="008F2B6E">
        <w:t xml:space="preserve"> was encouraged</w:t>
      </w:r>
      <w:r w:rsidR="009C057D" w:rsidRPr="008F2B6E">
        <w:t xml:space="preserve"> to foster the accreditation of NGOs based in under</w:t>
      </w:r>
      <w:r w:rsidR="006A14F3" w:rsidRPr="008F2B6E">
        <w:t>-</w:t>
      </w:r>
      <w:r w:rsidR="009C057D" w:rsidRPr="008F2B6E">
        <w:t>represented regions. These</w:t>
      </w:r>
      <w:r w:rsidR="006A14F3" w:rsidRPr="008F2B6E">
        <w:t xml:space="preserve"> could</w:t>
      </w:r>
      <w:r w:rsidR="009C057D" w:rsidRPr="008F2B6E">
        <w:t xml:space="preserve"> include awareness-raising initiatives through the wider network of entities associated with UNESCO, </w:t>
      </w:r>
      <w:r w:rsidR="0069148D" w:rsidRPr="008F2B6E">
        <w:t xml:space="preserve">and </w:t>
      </w:r>
      <w:r w:rsidR="009C057D" w:rsidRPr="008F2B6E">
        <w:t>capacity-building actions by the Secretariat, accredited NGOs and a network of experts</w:t>
      </w:r>
      <w:r w:rsidR="00664184" w:rsidRPr="008F2B6E">
        <w:t>.</w:t>
      </w:r>
    </w:p>
    <w:p w14:paraId="5F36733E" w14:textId="3B99F472" w:rsidR="006C7FAC" w:rsidRPr="00A67390" w:rsidRDefault="00664184">
      <w:pPr>
        <w:pStyle w:val="COMPara"/>
        <w:numPr>
          <w:ilvl w:val="3"/>
          <w:numId w:val="2"/>
        </w:numPr>
        <w:ind w:left="567" w:hanging="567"/>
        <w:jc w:val="both"/>
      </w:pPr>
      <w:r w:rsidRPr="008F2B6E">
        <w:t xml:space="preserve">Moreover, the Committee may consider it </w:t>
      </w:r>
      <w:proofErr w:type="gramStart"/>
      <w:r w:rsidR="00F12687" w:rsidRPr="008F2B6E">
        <w:t xml:space="preserve">to be </w:t>
      </w:r>
      <w:r w:rsidRPr="008F2B6E">
        <w:t>helpful</w:t>
      </w:r>
      <w:proofErr w:type="gramEnd"/>
      <w:r w:rsidRPr="008F2B6E">
        <w:t xml:space="preserve"> to identify</w:t>
      </w:r>
      <w:r w:rsidR="009C057D" w:rsidRPr="008F2B6E">
        <w:t xml:space="preserve"> thematic areas of interest, in which targeted efforts could be made to identify active NGOs. </w:t>
      </w:r>
      <w:proofErr w:type="gramStart"/>
      <w:r w:rsidR="00074595" w:rsidRPr="00A67390">
        <w:t>In this regard, the need for initiatives – involving States, NGOs, National Commissions</w:t>
      </w:r>
      <w:r w:rsidR="006A14F3" w:rsidRPr="00A67390">
        <w:t xml:space="preserve">, category 2 centres, UNESCO Chairs </w:t>
      </w:r>
      <w:r w:rsidR="00074595" w:rsidRPr="00A67390">
        <w:t>and all relevant stakeholders – to raise awareness about the accreditation system and build the capacities of NGOs active in the safeguarding of living heritage in under-represented regions, as well as to encourage cooperation between accredited NGOs and NGOs that may potentially seek accreditation, was highlighted.</w:t>
      </w:r>
      <w:proofErr w:type="gramEnd"/>
    </w:p>
    <w:p w14:paraId="15C85A73" w14:textId="25D185F8" w:rsidR="00342C76" w:rsidRPr="008F2B6E" w:rsidRDefault="00F4655D">
      <w:pPr>
        <w:pStyle w:val="COMPara"/>
        <w:numPr>
          <w:ilvl w:val="3"/>
          <w:numId w:val="2"/>
        </w:numPr>
        <w:ind w:left="567" w:hanging="567"/>
        <w:jc w:val="both"/>
      </w:pPr>
      <w:r w:rsidRPr="008F2B6E">
        <w:rPr>
          <w:b/>
        </w:rPr>
        <w:t>Facilitating the i</w:t>
      </w:r>
      <w:r w:rsidR="006C7FAC" w:rsidRPr="008F2B6E">
        <w:rPr>
          <w:b/>
        </w:rPr>
        <w:t>nvolvement of accredited NGOs</w:t>
      </w:r>
      <w:r w:rsidR="006C7FAC" w:rsidRPr="008F2B6E">
        <w:t xml:space="preserve">. </w:t>
      </w:r>
      <w:r w:rsidRPr="008F2B6E">
        <w:t xml:space="preserve">Regardless of the </w:t>
      </w:r>
      <w:r w:rsidR="006A14F3" w:rsidRPr="008F2B6E">
        <w:t xml:space="preserve">nature of the </w:t>
      </w:r>
      <w:r w:rsidRPr="008F2B6E">
        <w:t>future</w:t>
      </w:r>
      <w:r w:rsidR="006A14F3" w:rsidRPr="008F2B6E">
        <w:t xml:space="preserve"> </w:t>
      </w:r>
      <w:r w:rsidRPr="008F2B6E">
        <w:t xml:space="preserve">accreditation system, States and accredited NGOs agreed on the </w:t>
      </w:r>
      <w:r w:rsidR="0069148D" w:rsidRPr="008F2B6E">
        <w:t xml:space="preserve">need </w:t>
      </w:r>
      <w:r w:rsidRPr="008F2B6E">
        <w:t xml:space="preserve">to devise specific measures </w:t>
      </w:r>
      <w:r w:rsidR="0069148D" w:rsidRPr="008F2B6E">
        <w:t xml:space="preserve">that </w:t>
      </w:r>
      <w:r w:rsidR="009A268D" w:rsidRPr="008F2B6E">
        <w:t xml:space="preserve">not only </w:t>
      </w:r>
      <w:r w:rsidR="0069148D" w:rsidRPr="008F2B6E">
        <w:t xml:space="preserve">facilitate </w:t>
      </w:r>
      <w:r w:rsidRPr="008F2B6E">
        <w:t xml:space="preserve">the contribution of accredited NGOs to the work of the Committee but also foster cooperation between accredited NGOs and States. To this end, the following five measures </w:t>
      </w:r>
      <w:r w:rsidR="006A14F3" w:rsidRPr="008F2B6E">
        <w:t>were</w:t>
      </w:r>
      <w:r w:rsidRPr="008F2B6E">
        <w:t xml:space="preserve"> proposed:</w:t>
      </w:r>
    </w:p>
    <w:p w14:paraId="66B179CA" w14:textId="15C80EBE" w:rsidR="0066460B" w:rsidRPr="008F2B6E" w:rsidRDefault="0066460B">
      <w:pPr>
        <w:pStyle w:val="COMPara"/>
        <w:numPr>
          <w:ilvl w:val="4"/>
          <w:numId w:val="2"/>
        </w:numPr>
        <w:ind w:left="993"/>
        <w:jc w:val="both"/>
      </w:pPr>
      <w:r w:rsidRPr="008F2B6E">
        <w:t xml:space="preserve">A mapping of the fields of competence and experience of accredited NGOs – for instance including their competencies </w:t>
      </w:r>
      <w:r w:rsidR="009A268D" w:rsidRPr="008F2B6E">
        <w:t>i</w:t>
      </w:r>
      <w:r w:rsidRPr="008F2B6E">
        <w:t xml:space="preserve">n specific domains of intangible cultural heritage or </w:t>
      </w:r>
      <w:r w:rsidR="009A268D" w:rsidRPr="008F2B6E">
        <w:t xml:space="preserve">in </w:t>
      </w:r>
      <w:r w:rsidRPr="008F2B6E">
        <w:t xml:space="preserve">crosscutting issues such as education, </w:t>
      </w:r>
      <w:proofErr w:type="gramStart"/>
      <w:r w:rsidRPr="008F2B6E">
        <w:t>emergency situations</w:t>
      </w:r>
      <w:proofErr w:type="gramEnd"/>
      <w:r w:rsidRPr="008F2B6E">
        <w:t xml:space="preserve">, ethics or environmental sustainability – could help define the advisory functions they could fulfil. Such a mapping </w:t>
      </w:r>
      <w:proofErr w:type="gramStart"/>
      <w:r w:rsidRPr="008F2B6E">
        <w:t>could be presented</w:t>
      </w:r>
      <w:proofErr w:type="gramEnd"/>
      <w:r w:rsidRPr="008F2B6E">
        <w:t xml:space="preserve"> on the website of the Convention, which may also facilitate the cooperation of accredited NGOs with States and networking among accredited NGOs. </w:t>
      </w:r>
      <w:r w:rsidR="008A6D50" w:rsidRPr="00A67390">
        <w:t xml:space="preserve">Necessary data could </w:t>
      </w:r>
      <w:r w:rsidR="009A268D" w:rsidRPr="00A67390">
        <w:t xml:space="preserve">be </w:t>
      </w:r>
      <w:r w:rsidR="008A6D50" w:rsidRPr="00A67390">
        <w:t xml:space="preserve">progressively collected by the Secretariat though accreditation requests and quadrennial reports </w:t>
      </w:r>
      <w:r w:rsidR="009A268D" w:rsidRPr="00A67390">
        <w:t>to</w:t>
      </w:r>
      <w:r w:rsidR="008A6D50" w:rsidRPr="00A67390">
        <w:t xml:space="preserve"> be submitted in future cycles.</w:t>
      </w:r>
    </w:p>
    <w:p w14:paraId="3B2334DF" w14:textId="1C16453A" w:rsidR="0066460B" w:rsidRPr="008F2B6E" w:rsidRDefault="0066460B">
      <w:pPr>
        <w:pStyle w:val="COMPara"/>
        <w:numPr>
          <w:ilvl w:val="4"/>
          <w:numId w:val="2"/>
        </w:numPr>
        <w:ind w:left="993"/>
        <w:jc w:val="both"/>
      </w:pPr>
      <w:r w:rsidRPr="008F2B6E">
        <w:t>The accreditation form could include a formal pledge by NGOs requesting accreditation to avoid the misuse of their accreditation status. This would</w:t>
      </w:r>
      <w:r w:rsidR="009A268D" w:rsidRPr="008F2B6E">
        <w:t xml:space="preserve"> include</w:t>
      </w:r>
      <w:r w:rsidRPr="008F2B6E">
        <w:t xml:space="preserve">, for example, a commitment to avoid political claims not relevant to the Convention. Such a pledge </w:t>
      </w:r>
      <w:proofErr w:type="gramStart"/>
      <w:r w:rsidRPr="008F2B6E">
        <w:t>could be complemented</w:t>
      </w:r>
      <w:proofErr w:type="gramEnd"/>
      <w:r w:rsidRPr="008F2B6E">
        <w:t xml:space="preserve"> by the code of conduct currently elaborated by the ICH NGO Forum.</w:t>
      </w:r>
    </w:p>
    <w:p w14:paraId="17F10A50" w14:textId="4F837B82" w:rsidR="0066460B" w:rsidRPr="00A67390" w:rsidRDefault="00291878">
      <w:pPr>
        <w:pStyle w:val="COMPara"/>
        <w:keepLines/>
        <w:numPr>
          <w:ilvl w:val="4"/>
          <w:numId w:val="2"/>
        </w:numPr>
        <w:ind w:left="992" w:hanging="357"/>
        <w:jc w:val="both"/>
      </w:pPr>
      <w:r w:rsidRPr="00A67390">
        <w:lastRenderedPageBreak/>
        <w:t>In order to facilitate communication between the Committee and accredited NGOs and support the dissemination of information in all regions, the ICH</w:t>
      </w:r>
      <w:r w:rsidR="000A4904">
        <w:t> </w:t>
      </w:r>
      <w:r w:rsidRPr="00A67390">
        <w:t xml:space="preserve">NGO Forum could </w:t>
      </w:r>
      <w:r w:rsidR="004F4134" w:rsidRPr="00A67390">
        <w:t xml:space="preserve">be invited to </w:t>
      </w:r>
      <w:r w:rsidRPr="00A67390">
        <w:t>inform the governing bodies of the Convention of the names of its ‘</w:t>
      </w:r>
      <w:r w:rsidR="0066460B" w:rsidRPr="00A67390">
        <w:t>regional focal points</w:t>
      </w:r>
      <w:r w:rsidRPr="00A67390">
        <w:t xml:space="preserve">’ appointed </w:t>
      </w:r>
      <w:r w:rsidR="003D7259" w:rsidRPr="00A67390">
        <w:t xml:space="preserve">as part of </w:t>
      </w:r>
      <w:r w:rsidRPr="00A67390">
        <w:t>its Steering Committee.</w:t>
      </w:r>
    </w:p>
    <w:p w14:paraId="4242A0A7" w14:textId="11625D07" w:rsidR="00342C76" w:rsidRPr="008F2B6E" w:rsidRDefault="003D7259">
      <w:pPr>
        <w:pStyle w:val="COMPara"/>
        <w:numPr>
          <w:ilvl w:val="4"/>
          <w:numId w:val="2"/>
        </w:numPr>
        <w:ind w:left="993"/>
        <w:jc w:val="both"/>
      </w:pPr>
      <w:r w:rsidRPr="008F2B6E">
        <w:t>Similar to the practice with newly elected members of the Committee, a</w:t>
      </w:r>
      <w:r w:rsidR="00342C76" w:rsidRPr="008F2B6E">
        <w:t xml:space="preserve"> welcome letter </w:t>
      </w:r>
      <w:proofErr w:type="gramStart"/>
      <w:r w:rsidR="00291878" w:rsidRPr="008F2B6E">
        <w:t>could be sent</w:t>
      </w:r>
      <w:proofErr w:type="gramEnd"/>
      <w:r w:rsidR="00291878" w:rsidRPr="008F2B6E">
        <w:t xml:space="preserve"> by the Secretariat </w:t>
      </w:r>
      <w:r w:rsidR="00342C76" w:rsidRPr="008F2B6E">
        <w:t>to all newly accredited NGOs to inform them of the</w:t>
      </w:r>
      <w:r w:rsidR="00F4655D" w:rsidRPr="008F2B6E">
        <w:t xml:space="preserve"> functioning of the </w:t>
      </w:r>
      <w:r w:rsidR="00342C76" w:rsidRPr="008F2B6E">
        <w:t>Committee and ways for accredited NGOs to contribute to its work.</w:t>
      </w:r>
    </w:p>
    <w:p w14:paraId="2F7DD6C9" w14:textId="259F005D" w:rsidR="00342C76" w:rsidRPr="008F2B6E" w:rsidRDefault="00291878">
      <w:pPr>
        <w:pStyle w:val="COMPara"/>
        <w:numPr>
          <w:ilvl w:val="4"/>
          <w:numId w:val="2"/>
        </w:numPr>
        <w:ind w:left="993"/>
        <w:jc w:val="both"/>
      </w:pPr>
      <w:r w:rsidRPr="008F2B6E">
        <w:t xml:space="preserve">Taking into consideration the repeated call for training activities, </w:t>
      </w:r>
      <w:r w:rsidR="00342C76" w:rsidRPr="008F2B6E">
        <w:t xml:space="preserve">the ICH NGO Forum </w:t>
      </w:r>
      <w:r w:rsidRPr="008F2B6E">
        <w:t>could</w:t>
      </w:r>
      <w:r w:rsidR="00342C76" w:rsidRPr="008F2B6E">
        <w:t xml:space="preserve"> be encouraged to</w:t>
      </w:r>
      <w:r w:rsidRPr="008F2B6E">
        <w:t xml:space="preserve"> </w:t>
      </w:r>
      <w:r w:rsidR="00A40A7C" w:rsidRPr="008F2B6E">
        <w:t>organize</w:t>
      </w:r>
      <w:r w:rsidR="00342C76" w:rsidRPr="008F2B6E">
        <w:t xml:space="preserve"> a workshop for newly accredited NGOs and </w:t>
      </w:r>
      <w:r w:rsidRPr="008F2B6E">
        <w:t xml:space="preserve">to </w:t>
      </w:r>
      <w:r w:rsidR="00A40A7C" w:rsidRPr="008F2B6E">
        <w:t>coordinate</w:t>
      </w:r>
      <w:r w:rsidR="00342C76" w:rsidRPr="008F2B6E">
        <w:t xml:space="preserve"> the contribution of NGOs to the debates of the Committee.</w:t>
      </w:r>
      <w:r w:rsidRPr="008F2B6E">
        <w:t xml:space="preserve"> These activities could take place prior to each session of the Committee and/or each session of the General Assembly, as is already the case, but </w:t>
      </w:r>
      <w:proofErr w:type="gramStart"/>
      <w:r w:rsidRPr="008F2B6E">
        <w:t>could further be geared</w:t>
      </w:r>
      <w:proofErr w:type="gramEnd"/>
      <w:r w:rsidRPr="008F2B6E">
        <w:t xml:space="preserve"> towards coordinating the inputs of accredited NGOs to the agenda items that the Committee plan</w:t>
      </w:r>
      <w:r w:rsidR="00A40A7C" w:rsidRPr="008F2B6E">
        <w:t>s</w:t>
      </w:r>
      <w:r w:rsidR="00BA6EB1">
        <w:t xml:space="preserve"> to discuss.</w:t>
      </w:r>
    </w:p>
    <w:p w14:paraId="6E3C6B90" w14:textId="2728C9A3" w:rsidR="00621C5C" w:rsidRPr="008F2B6E" w:rsidRDefault="00F4655D">
      <w:pPr>
        <w:pStyle w:val="COMPara"/>
        <w:numPr>
          <w:ilvl w:val="3"/>
          <w:numId w:val="2"/>
        </w:numPr>
        <w:ind w:left="567" w:hanging="567"/>
        <w:jc w:val="both"/>
      </w:pPr>
      <w:r w:rsidRPr="008F2B6E">
        <w:rPr>
          <w:b/>
        </w:rPr>
        <w:t>Conclusion</w:t>
      </w:r>
      <w:r w:rsidR="008B24BE" w:rsidRPr="008F2B6E">
        <w:t xml:space="preserve">. </w:t>
      </w:r>
      <w:r w:rsidR="00621C5C" w:rsidRPr="008F2B6E">
        <w:t xml:space="preserve">The accreditation system of NGOs has reached a crossroads. While a number of measures (see </w:t>
      </w:r>
      <w:r w:rsidR="00621C5C" w:rsidRPr="00A67390">
        <w:t>paragraph </w:t>
      </w:r>
      <w:r w:rsidR="0094590D" w:rsidRPr="00A67390">
        <w:t>1</w:t>
      </w:r>
      <w:r w:rsidR="00C55B5C" w:rsidRPr="00A67390">
        <w:t>8</w:t>
      </w:r>
      <w:r w:rsidR="00621C5C" w:rsidRPr="008F2B6E">
        <w:t xml:space="preserve">) </w:t>
      </w:r>
      <w:proofErr w:type="gramStart"/>
      <w:r w:rsidR="00F12687" w:rsidRPr="008F2B6E">
        <w:t xml:space="preserve">could </w:t>
      </w:r>
      <w:r w:rsidR="00621C5C" w:rsidRPr="008F2B6E">
        <w:t>indeed be implemented</w:t>
      </w:r>
      <w:proofErr w:type="gramEnd"/>
      <w:r w:rsidR="00621C5C" w:rsidRPr="008F2B6E">
        <w:t xml:space="preserve">, </w:t>
      </w:r>
      <w:r w:rsidR="00621C5C" w:rsidRPr="00A67390">
        <w:t>it is becoming clear that these can</w:t>
      </w:r>
      <w:r w:rsidR="00071045">
        <w:t>not address all the core issues</w:t>
      </w:r>
      <w:r w:rsidR="00621C5C" w:rsidRPr="00A67390">
        <w:t xml:space="preserve"> of the system</w:t>
      </w:r>
      <w:r w:rsidR="00621C5C" w:rsidRPr="008F2B6E">
        <w:t xml:space="preserve">. Almost ten years into its existence, the many stakeholders involved seem to have a different understanding of what the system </w:t>
      </w:r>
      <w:proofErr w:type="gramStart"/>
      <w:r w:rsidR="009A268D" w:rsidRPr="008F2B6E">
        <w:t>is intended</w:t>
      </w:r>
      <w:proofErr w:type="gramEnd"/>
      <w:r w:rsidR="009A268D" w:rsidRPr="008F2B6E">
        <w:t xml:space="preserve"> </w:t>
      </w:r>
      <w:r w:rsidR="00621C5C" w:rsidRPr="008F2B6E">
        <w:t xml:space="preserve">to accomplish. This observation </w:t>
      </w:r>
      <w:proofErr w:type="gramStart"/>
      <w:r w:rsidR="00621C5C" w:rsidRPr="008F2B6E">
        <w:t>is reinforced</w:t>
      </w:r>
      <w:proofErr w:type="gramEnd"/>
      <w:r w:rsidR="00621C5C" w:rsidRPr="008F2B6E">
        <w:t xml:space="preserve"> by the </w:t>
      </w:r>
      <w:r w:rsidR="00F12687" w:rsidRPr="008F2B6E">
        <w:t xml:space="preserve">recurrent </w:t>
      </w:r>
      <w:r w:rsidR="00621C5C" w:rsidRPr="008F2B6E">
        <w:t xml:space="preserve">wish expressed by some States and NGOs </w:t>
      </w:r>
      <w:r w:rsidR="004C4572" w:rsidRPr="008F2B6E">
        <w:t xml:space="preserve">for accredited NGOs </w:t>
      </w:r>
      <w:r w:rsidR="00621C5C" w:rsidRPr="008F2B6E">
        <w:t>to benefit from assistance – through training activities – in raising their own capacities. This indeed seems to indicate</w:t>
      </w:r>
      <w:r w:rsidR="00F12687" w:rsidRPr="008F2B6E">
        <w:t xml:space="preserve"> </w:t>
      </w:r>
      <w:r w:rsidR="00621C5C" w:rsidRPr="008F2B6E">
        <w:t xml:space="preserve">that expectations </w:t>
      </w:r>
      <w:r w:rsidR="00F12687" w:rsidRPr="008F2B6E">
        <w:t xml:space="preserve">of </w:t>
      </w:r>
      <w:r w:rsidR="00621C5C" w:rsidRPr="008F2B6E">
        <w:t xml:space="preserve">the accreditation system need to be clarified through a clearer definition of advisory functions and of the actual purpose of the accreditation system, without which it will not live up to expectations. </w:t>
      </w:r>
      <w:r w:rsidR="00747EB5" w:rsidRPr="008F2B6E">
        <w:t xml:space="preserve">If the current system persists, it </w:t>
      </w:r>
      <w:proofErr w:type="gramStart"/>
      <w:r w:rsidR="00747EB5" w:rsidRPr="008F2B6E">
        <w:t>is feared</w:t>
      </w:r>
      <w:proofErr w:type="gramEnd"/>
      <w:r w:rsidR="00747EB5" w:rsidRPr="008F2B6E">
        <w:t xml:space="preserve"> that </w:t>
      </w:r>
      <w:r w:rsidR="00621C5C" w:rsidRPr="008F2B6E">
        <w:t xml:space="preserve">NGOs that wish to advise the Committee may have difficulties doing so due to the lack of opportunities </w:t>
      </w:r>
      <w:r w:rsidR="009A268D" w:rsidRPr="008F2B6E">
        <w:t xml:space="preserve">available under </w:t>
      </w:r>
      <w:r w:rsidR="00621C5C" w:rsidRPr="008F2B6E">
        <w:t xml:space="preserve">the current system; meanwhile, the Committee may have difficulties </w:t>
      </w:r>
      <w:r w:rsidR="009A268D" w:rsidRPr="008F2B6E">
        <w:t>in</w:t>
      </w:r>
      <w:r w:rsidR="00621C5C" w:rsidRPr="008F2B6E">
        <w:t xml:space="preserve"> identify</w:t>
      </w:r>
      <w:r w:rsidR="009A268D" w:rsidRPr="008F2B6E">
        <w:t>ing</w:t>
      </w:r>
      <w:r w:rsidR="00621C5C" w:rsidRPr="008F2B6E">
        <w:t xml:space="preserve"> NGOs that can effectively contribute to its work, due to the increasing number of accredited NGOs with various capacities.</w:t>
      </w:r>
    </w:p>
    <w:p w14:paraId="32644CF9" w14:textId="450C8151" w:rsidR="008B24BE" w:rsidRPr="008F2B6E" w:rsidRDefault="008B24BE">
      <w:pPr>
        <w:pStyle w:val="COMPara"/>
        <w:numPr>
          <w:ilvl w:val="3"/>
          <w:numId w:val="2"/>
        </w:numPr>
        <w:ind w:left="567" w:hanging="567"/>
        <w:jc w:val="both"/>
      </w:pPr>
      <w:r w:rsidRPr="008F2B6E">
        <w:t xml:space="preserve">Under these circumstances, it </w:t>
      </w:r>
      <w:r w:rsidR="009A268D" w:rsidRPr="008F2B6E">
        <w:t xml:space="preserve">would </w:t>
      </w:r>
      <w:r w:rsidRPr="008F2B6E">
        <w:t xml:space="preserve">be crucial </w:t>
      </w:r>
      <w:r w:rsidR="009D199F" w:rsidRPr="008F2B6E">
        <w:t xml:space="preserve">in the first instance </w:t>
      </w:r>
      <w:r w:rsidRPr="008F2B6E">
        <w:t xml:space="preserve">to ensure that the accreditation system is best </w:t>
      </w:r>
      <w:r w:rsidR="009A268D" w:rsidRPr="008F2B6E">
        <w:t xml:space="preserve">suited </w:t>
      </w:r>
      <w:r w:rsidRPr="008F2B6E">
        <w:t>to fulfil</w:t>
      </w:r>
      <w:r w:rsidR="009A268D" w:rsidRPr="008F2B6E">
        <w:t>ling</w:t>
      </w:r>
      <w:r w:rsidRPr="008F2B6E">
        <w:t xml:space="preserve"> its main function – advising the Committee – given the limited resources at hand.</w:t>
      </w:r>
      <w:r w:rsidR="0019067D" w:rsidRPr="008F2B6E">
        <w:t xml:space="preserve"> </w:t>
      </w:r>
      <w:r w:rsidR="00452D3C" w:rsidRPr="008F2B6E">
        <w:t>In this regard, the Committee may also envisage periodically defin</w:t>
      </w:r>
      <w:r w:rsidR="009A268D" w:rsidRPr="008F2B6E">
        <w:t>ing</w:t>
      </w:r>
      <w:r w:rsidR="00452D3C" w:rsidRPr="008F2B6E">
        <w:t xml:space="preserve"> specific tasks that it wishes to assign to </w:t>
      </w:r>
      <w:proofErr w:type="gramStart"/>
      <w:r w:rsidR="00452D3C" w:rsidRPr="008F2B6E">
        <w:t>accredited</w:t>
      </w:r>
      <w:proofErr w:type="gramEnd"/>
      <w:r w:rsidR="00452D3C" w:rsidRPr="008F2B6E">
        <w:t xml:space="preserve"> NGOs. </w:t>
      </w:r>
      <w:r w:rsidR="008F2B6E" w:rsidRPr="00A67390">
        <w:t xml:space="preserve">For this to </w:t>
      </w:r>
      <w:proofErr w:type="gramStart"/>
      <w:r w:rsidR="008F2B6E" w:rsidRPr="00A67390">
        <w:t>be achieved</w:t>
      </w:r>
      <w:proofErr w:type="gramEnd"/>
      <w:r w:rsidR="008F2B6E" w:rsidRPr="00A67390">
        <w:t>, however, the accreditation system would need to</w:t>
      </w:r>
      <w:r w:rsidR="00452D3C" w:rsidRPr="008F2B6E">
        <w:t xml:space="preserve"> </w:t>
      </w:r>
      <w:r w:rsidR="008B11AB" w:rsidRPr="008F2B6E">
        <w:t>ensure</w:t>
      </w:r>
      <w:r w:rsidR="00452D3C" w:rsidRPr="008F2B6E">
        <w:t xml:space="preserve"> that accredited NGOs possess the </w:t>
      </w:r>
      <w:r w:rsidR="009A268D" w:rsidRPr="008F2B6E">
        <w:t xml:space="preserve">necessary </w:t>
      </w:r>
      <w:r w:rsidR="00452D3C" w:rsidRPr="008F2B6E">
        <w:t>capacities and experience to carry out these tasks. Furthermore, r</w:t>
      </w:r>
      <w:r w:rsidR="0019067D" w:rsidRPr="008F2B6E">
        <w:t xml:space="preserve">efocusing the accreditation system on its main objective would also ensure that it is not redundant </w:t>
      </w:r>
      <w:proofErr w:type="gramStart"/>
      <w:r w:rsidR="009A268D" w:rsidRPr="008F2B6E">
        <w:t>in light of</w:t>
      </w:r>
      <w:r w:rsidR="0019067D" w:rsidRPr="008F2B6E">
        <w:t xml:space="preserve"> the broader </w:t>
      </w:r>
      <w:r w:rsidR="0019067D" w:rsidRPr="008F2B6E">
        <w:rPr>
          <w:bCs/>
        </w:rPr>
        <w:t>framework for partnerships with NGOs</w:t>
      </w:r>
      <w:r w:rsidR="0019067D" w:rsidRPr="008F2B6E" w:rsidDel="00064197">
        <w:t xml:space="preserve"> </w:t>
      </w:r>
      <w:r w:rsidR="0019067D" w:rsidRPr="008F2B6E">
        <w:rPr>
          <w:bCs/>
        </w:rPr>
        <w:t>at the level of UNESCO</w:t>
      </w:r>
      <w:r w:rsidR="0019067D" w:rsidRPr="008F2B6E">
        <w:rPr>
          <w:rStyle w:val="FootnoteReference"/>
          <w:bCs/>
        </w:rPr>
        <w:footnoteReference w:id="3"/>
      </w:r>
      <w:r w:rsidR="0019067D" w:rsidRPr="008F2B6E">
        <w:rPr>
          <w:bCs/>
        </w:rPr>
        <w:t>,</w:t>
      </w:r>
      <w:proofErr w:type="gramEnd"/>
      <w:r w:rsidR="0019067D" w:rsidRPr="008F2B6E">
        <w:rPr>
          <w:bCs/>
        </w:rPr>
        <w:t xml:space="preserve"> which is a real risk if the accreditation system is envisioned as an affiliation system for NGOs that contribute to the implementation of the Convention. This could also alleviate concerns that </w:t>
      </w:r>
      <w:proofErr w:type="gramStart"/>
      <w:r w:rsidR="0019067D" w:rsidRPr="008F2B6E">
        <w:rPr>
          <w:bCs/>
        </w:rPr>
        <w:t>may be raised</w:t>
      </w:r>
      <w:proofErr w:type="gramEnd"/>
      <w:r w:rsidR="0019067D" w:rsidRPr="008F2B6E">
        <w:rPr>
          <w:bCs/>
        </w:rPr>
        <w:t xml:space="preserve"> in terms of governance, effectiveness and cost-efficiency, given the existence of this broader framework.</w:t>
      </w:r>
    </w:p>
    <w:p w14:paraId="36B41D3C" w14:textId="77777777" w:rsidR="00A14CB0" w:rsidRPr="008F2B6E" w:rsidRDefault="00A14CB0" w:rsidP="00A67390">
      <w:pPr>
        <w:pStyle w:val="COMPara"/>
        <w:keepNext/>
        <w:numPr>
          <w:ilvl w:val="3"/>
          <w:numId w:val="2"/>
        </w:numPr>
        <w:ind w:left="567" w:hanging="567"/>
        <w:jc w:val="both"/>
      </w:pPr>
      <w:r w:rsidRPr="008F2B6E">
        <w:lastRenderedPageBreak/>
        <w:t>The Committee may wish to adopt the following decision:</w:t>
      </w:r>
    </w:p>
    <w:p w14:paraId="62B29E86" w14:textId="6457D635" w:rsidR="00342C76" w:rsidRPr="008F2B6E" w:rsidRDefault="00342C76" w:rsidP="008F2B6E">
      <w:pPr>
        <w:pStyle w:val="COMTitleDecision"/>
        <w:rPr>
          <w:rFonts w:eastAsia="SimSun"/>
        </w:rPr>
      </w:pPr>
      <w:r w:rsidRPr="008F2B6E">
        <w:t>DRAFT DECISION 14.COM 1</w:t>
      </w:r>
      <w:r w:rsidR="005D5A48" w:rsidRPr="008F2B6E">
        <w:t>5</w:t>
      </w:r>
    </w:p>
    <w:p w14:paraId="7978641A" w14:textId="77777777" w:rsidR="00342C76" w:rsidRPr="008F2B6E" w:rsidRDefault="00342C76" w:rsidP="008F2B6E">
      <w:pPr>
        <w:pStyle w:val="COMPreambulaDecisions"/>
        <w:rPr>
          <w:rFonts w:eastAsia="SimSun"/>
        </w:rPr>
      </w:pPr>
      <w:r w:rsidRPr="008F2B6E">
        <w:t>The Committee,</w:t>
      </w:r>
    </w:p>
    <w:p w14:paraId="1AA52917" w14:textId="0769269A" w:rsidR="00342C76" w:rsidRPr="008F2B6E" w:rsidRDefault="00342C76">
      <w:pPr>
        <w:pStyle w:val="COMParaDecision"/>
        <w:jc w:val="left"/>
      </w:pPr>
      <w:r w:rsidRPr="008F2B6E">
        <w:t>Having examined</w:t>
      </w:r>
      <w:r w:rsidRPr="008F2B6E">
        <w:rPr>
          <w:u w:val="none"/>
        </w:rPr>
        <w:t xml:space="preserve"> document </w:t>
      </w:r>
      <w:r w:rsidR="005A6293" w:rsidRPr="008F2B6E">
        <w:rPr>
          <w:u w:val="none"/>
        </w:rPr>
        <w:t>LHE</w:t>
      </w:r>
      <w:r w:rsidRPr="008F2B6E">
        <w:rPr>
          <w:u w:val="none"/>
        </w:rPr>
        <w:t>/19/14.COM/1</w:t>
      </w:r>
      <w:r w:rsidR="005D5A48" w:rsidRPr="008F2B6E">
        <w:rPr>
          <w:u w:val="none"/>
        </w:rPr>
        <w:t>5</w:t>
      </w:r>
      <w:r w:rsidRPr="008F2B6E">
        <w:rPr>
          <w:u w:val="none"/>
        </w:rPr>
        <w:t>,</w:t>
      </w:r>
    </w:p>
    <w:p w14:paraId="389CFFC7" w14:textId="0BC9D480" w:rsidR="0090067F" w:rsidRPr="008F2B6E" w:rsidRDefault="0090067F">
      <w:pPr>
        <w:pStyle w:val="COMParaDecision"/>
        <w:rPr>
          <w:u w:val="none"/>
        </w:rPr>
      </w:pPr>
      <w:r w:rsidRPr="008F2B6E">
        <w:t>Recalling</w:t>
      </w:r>
      <w:r w:rsidRPr="008F2B6E">
        <w:rPr>
          <w:u w:val="none"/>
        </w:rPr>
        <w:t xml:space="preserve"> </w:t>
      </w:r>
      <w:hyperlink r:id="rId18" w:history="1">
        <w:r w:rsidRPr="008F2B6E">
          <w:rPr>
            <w:rStyle w:val="Hyperlink"/>
          </w:rPr>
          <w:t>Resolution 7.GA 11</w:t>
        </w:r>
      </w:hyperlink>
      <w:r w:rsidRPr="008F2B6E">
        <w:rPr>
          <w:u w:val="none"/>
        </w:rPr>
        <w:t xml:space="preserve">, as well as </w:t>
      </w:r>
      <w:r w:rsidRPr="008F2B6E">
        <w:rPr>
          <w:u w:val="none"/>
          <w:lang w:val="en-US"/>
        </w:rPr>
        <w:t>Decisions</w:t>
      </w:r>
      <w:r w:rsidR="003452E7" w:rsidRPr="008F2B6E">
        <w:rPr>
          <w:u w:val="none"/>
          <w:lang w:val="en-US"/>
        </w:rPr>
        <w:t xml:space="preserve"> </w:t>
      </w:r>
      <w:hyperlink r:id="rId19" w:history="1">
        <w:r w:rsidRPr="008F2B6E">
          <w:rPr>
            <w:rStyle w:val="Hyperlink"/>
            <w:lang w:val="en-US"/>
          </w:rPr>
          <w:t>12.COM 17</w:t>
        </w:r>
      </w:hyperlink>
      <w:r w:rsidRPr="008F2B6E">
        <w:rPr>
          <w:u w:val="none"/>
          <w:lang w:val="en-US"/>
        </w:rPr>
        <w:t xml:space="preserve"> and </w:t>
      </w:r>
      <w:hyperlink r:id="rId20" w:history="1">
        <w:r w:rsidRPr="008F2B6E">
          <w:rPr>
            <w:rStyle w:val="Hyperlink"/>
            <w:lang w:val="en-US"/>
          </w:rPr>
          <w:t>13.COM 13</w:t>
        </w:r>
      </w:hyperlink>
      <w:r w:rsidRPr="008F2B6E">
        <w:rPr>
          <w:u w:val="none"/>
        </w:rPr>
        <w:t>,</w:t>
      </w:r>
    </w:p>
    <w:p w14:paraId="7A0D39C6" w14:textId="3B91ABDB" w:rsidR="0090067F" w:rsidRPr="008F2B6E" w:rsidRDefault="0090067F">
      <w:pPr>
        <w:pStyle w:val="COMParaDecision"/>
        <w:rPr>
          <w:u w:val="none"/>
        </w:rPr>
      </w:pPr>
      <w:r w:rsidRPr="008F2B6E">
        <w:t>Further recalling</w:t>
      </w:r>
      <w:r w:rsidRPr="008F2B6E">
        <w:rPr>
          <w:u w:val="none"/>
        </w:rPr>
        <w:t xml:space="preserve"> documents </w:t>
      </w:r>
      <w:hyperlink r:id="rId21" w:history="1">
        <w:r w:rsidRPr="008F2B6E">
          <w:rPr>
            <w:rStyle w:val="Hyperlink"/>
          </w:rPr>
          <w:t>ITH/17/12.COM/17</w:t>
        </w:r>
      </w:hyperlink>
      <w:r w:rsidRPr="008F2B6E">
        <w:rPr>
          <w:u w:val="none"/>
        </w:rPr>
        <w:t xml:space="preserve"> and </w:t>
      </w:r>
      <w:hyperlink r:id="rId22" w:history="1">
        <w:r w:rsidRPr="008F2B6E">
          <w:rPr>
            <w:rStyle w:val="Hyperlink"/>
          </w:rPr>
          <w:t>ITH/18/13.COM/13</w:t>
        </w:r>
      </w:hyperlink>
      <w:r w:rsidRPr="008F2B6E">
        <w:rPr>
          <w:u w:val="none"/>
        </w:rPr>
        <w:t xml:space="preserve">, as well as </w:t>
      </w:r>
      <w:r w:rsidR="00E83ECF" w:rsidRPr="008F2B6E">
        <w:rPr>
          <w:u w:val="none"/>
        </w:rPr>
        <w:t xml:space="preserve">documents </w:t>
      </w:r>
      <w:hyperlink r:id="rId23" w:history="1">
        <w:r w:rsidRPr="008F2B6E">
          <w:rPr>
            <w:rStyle w:val="Hyperlink"/>
          </w:rPr>
          <w:t>LHE/19/NGO/2</w:t>
        </w:r>
      </w:hyperlink>
      <w:r w:rsidRPr="008F2B6E">
        <w:rPr>
          <w:u w:val="none"/>
        </w:rPr>
        <w:t xml:space="preserve"> and </w:t>
      </w:r>
      <w:hyperlink r:id="rId24" w:history="1">
        <w:r w:rsidRPr="008F2B6E">
          <w:rPr>
            <w:rStyle w:val="Hyperlink"/>
          </w:rPr>
          <w:t>LHE/19/NGO/3</w:t>
        </w:r>
      </w:hyperlink>
      <w:r w:rsidRPr="008F2B6E">
        <w:rPr>
          <w:u w:val="none"/>
        </w:rPr>
        <w:t xml:space="preserve"> developed during the reflection process</w:t>
      </w:r>
      <w:r w:rsidR="00E104A2" w:rsidRPr="008F2B6E">
        <w:rPr>
          <w:u w:val="none"/>
        </w:rPr>
        <w:t xml:space="preserve"> on the advisory functions to be </w:t>
      </w:r>
      <w:r w:rsidR="00CB1DFC" w:rsidRPr="008F2B6E">
        <w:rPr>
          <w:u w:val="none"/>
        </w:rPr>
        <w:t xml:space="preserve">performed </w:t>
      </w:r>
      <w:r w:rsidR="00E104A2" w:rsidRPr="008F2B6E">
        <w:rPr>
          <w:u w:val="none"/>
        </w:rPr>
        <w:t>by accredited non-governmental organizations</w:t>
      </w:r>
      <w:r w:rsidRPr="008F2B6E">
        <w:rPr>
          <w:u w:val="none"/>
        </w:rPr>
        <w:t>,</w:t>
      </w:r>
    </w:p>
    <w:p w14:paraId="348CBF7F" w14:textId="3B326889" w:rsidR="0090067F" w:rsidRPr="008F2B6E" w:rsidRDefault="0090067F">
      <w:pPr>
        <w:pStyle w:val="COMParaDecision"/>
        <w:rPr>
          <w:u w:val="none"/>
        </w:rPr>
      </w:pPr>
      <w:r w:rsidRPr="008F2B6E">
        <w:t>Thanks</w:t>
      </w:r>
      <w:r w:rsidRPr="008F2B6E">
        <w:rPr>
          <w:u w:val="none"/>
        </w:rPr>
        <w:t xml:space="preserve"> the Secretariat, accredited non-governmental organizations, the ICH</w:t>
      </w:r>
      <w:r w:rsidR="00E83ECF" w:rsidRPr="008F2B6E">
        <w:rPr>
          <w:u w:val="none"/>
        </w:rPr>
        <w:t> </w:t>
      </w:r>
      <w:r w:rsidRPr="008F2B6E">
        <w:rPr>
          <w:u w:val="none"/>
        </w:rPr>
        <w:t>NGO</w:t>
      </w:r>
      <w:r w:rsidR="00E83ECF" w:rsidRPr="008F2B6E">
        <w:rPr>
          <w:u w:val="none"/>
        </w:rPr>
        <w:t> </w:t>
      </w:r>
      <w:r w:rsidR="008E7E86">
        <w:rPr>
          <w:u w:val="none"/>
        </w:rPr>
        <w:t>Forum,</w:t>
      </w:r>
      <w:r w:rsidRPr="008F2B6E">
        <w:rPr>
          <w:u w:val="none"/>
        </w:rPr>
        <w:t xml:space="preserve"> the informal ad hoc open-ended working group and States Parties</w:t>
      </w:r>
      <w:r w:rsidR="00342AE0" w:rsidRPr="008F2B6E">
        <w:rPr>
          <w:u w:val="none"/>
        </w:rPr>
        <w:t xml:space="preserve"> for </w:t>
      </w:r>
      <w:r w:rsidR="00E83ECF" w:rsidRPr="008F2B6E">
        <w:rPr>
          <w:u w:val="none"/>
        </w:rPr>
        <w:t>carrying out a</w:t>
      </w:r>
      <w:r w:rsidR="00342AE0" w:rsidRPr="008F2B6E">
        <w:rPr>
          <w:u w:val="none"/>
        </w:rPr>
        <w:t xml:space="preserve"> reflection on the advisory functions to be fulfilled by accredited non-governmental organizations</w:t>
      </w:r>
      <w:r w:rsidR="00E83ECF" w:rsidRPr="008F2B6E">
        <w:rPr>
          <w:u w:val="none"/>
        </w:rPr>
        <w:t>;</w:t>
      </w:r>
    </w:p>
    <w:p w14:paraId="2396E5E8" w14:textId="518B5A33" w:rsidR="00342AE0" w:rsidRPr="00A67390" w:rsidRDefault="00342AE0">
      <w:pPr>
        <w:pStyle w:val="COMParaDecision"/>
        <w:rPr>
          <w:u w:val="none"/>
        </w:rPr>
      </w:pPr>
      <w:r w:rsidRPr="00A67390">
        <w:t>Requests</w:t>
      </w:r>
      <w:r w:rsidRPr="00A67390">
        <w:rPr>
          <w:u w:val="none"/>
        </w:rPr>
        <w:t xml:space="preserve"> </w:t>
      </w:r>
      <w:r w:rsidR="009A268D" w:rsidRPr="00A67390">
        <w:rPr>
          <w:u w:val="none"/>
        </w:rPr>
        <w:t xml:space="preserve">that </w:t>
      </w:r>
      <w:r w:rsidRPr="00A67390">
        <w:rPr>
          <w:u w:val="none"/>
        </w:rPr>
        <w:t xml:space="preserve">the </w:t>
      </w:r>
      <w:r w:rsidR="007109CE" w:rsidRPr="00A67390">
        <w:rPr>
          <w:u w:val="none"/>
        </w:rPr>
        <w:t>Secretariat gather relevant information from</w:t>
      </w:r>
      <w:r w:rsidRPr="00A67390">
        <w:rPr>
          <w:u w:val="none"/>
        </w:rPr>
        <w:t xml:space="preserve"> </w:t>
      </w:r>
      <w:r w:rsidR="007109CE" w:rsidRPr="00A67390">
        <w:rPr>
          <w:u w:val="none"/>
        </w:rPr>
        <w:t xml:space="preserve">accredited non-governmental organizations in order to </w:t>
      </w:r>
      <w:r w:rsidR="00EF7A24" w:rsidRPr="00A67390">
        <w:rPr>
          <w:u w:val="none"/>
        </w:rPr>
        <w:t>develop</w:t>
      </w:r>
      <w:r w:rsidR="007109CE" w:rsidRPr="00A67390">
        <w:rPr>
          <w:u w:val="none"/>
        </w:rPr>
        <w:t xml:space="preserve"> a mapping of their domains of competence</w:t>
      </w:r>
      <w:r w:rsidR="001F5B46" w:rsidRPr="00A67390">
        <w:rPr>
          <w:u w:val="none"/>
        </w:rPr>
        <w:t>, taking into consideration their capacities</w:t>
      </w:r>
      <w:r w:rsidR="007109CE" w:rsidRPr="00A67390">
        <w:rPr>
          <w:u w:val="none"/>
        </w:rPr>
        <w:t>;</w:t>
      </w:r>
    </w:p>
    <w:p w14:paraId="2FE78522" w14:textId="644E8522" w:rsidR="008A58B4" w:rsidRPr="00A67390" w:rsidRDefault="008A58B4">
      <w:pPr>
        <w:pStyle w:val="COMParaDecision"/>
        <w:rPr>
          <w:u w:val="none"/>
        </w:rPr>
      </w:pPr>
      <w:r w:rsidRPr="00A67390">
        <w:t>Encourages</w:t>
      </w:r>
      <w:r w:rsidRPr="00A67390">
        <w:rPr>
          <w:u w:val="none"/>
        </w:rPr>
        <w:t xml:space="preserve"> </w:t>
      </w:r>
      <w:r w:rsidR="004F4134" w:rsidRPr="00A67390">
        <w:rPr>
          <w:u w:val="none"/>
        </w:rPr>
        <w:t>States Parties, the ICH</w:t>
      </w:r>
      <w:r w:rsidR="000A4904">
        <w:rPr>
          <w:u w:val="none"/>
        </w:rPr>
        <w:t> </w:t>
      </w:r>
      <w:r w:rsidR="004F4134" w:rsidRPr="00A67390">
        <w:rPr>
          <w:u w:val="none"/>
        </w:rPr>
        <w:t xml:space="preserve">NGO Forum, accredited non-governmental organizations, category 2 centres and UNESCO Chairs </w:t>
      </w:r>
      <w:r w:rsidRPr="00A67390">
        <w:rPr>
          <w:u w:val="none"/>
        </w:rPr>
        <w:t>to organize capacity-building activities for newly accredited non-governmental organizations</w:t>
      </w:r>
      <w:r w:rsidR="004F4134" w:rsidRPr="00A67390">
        <w:rPr>
          <w:u w:val="none"/>
        </w:rPr>
        <w:t xml:space="preserve"> and</w:t>
      </w:r>
      <w:r w:rsidRPr="00A67390">
        <w:rPr>
          <w:u w:val="none"/>
        </w:rPr>
        <w:t xml:space="preserve"> for non-governmental organizations that may</w:t>
      </w:r>
      <w:r w:rsidR="00EF7A24" w:rsidRPr="00A67390">
        <w:rPr>
          <w:u w:val="none"/>
        </w:rPr>
        <w:t xml:space="preserve"> be</w:t>
      </w:r>
      <w:r w:rsidRPr="00A67390">
        <w:rPr>
          <w:u w:val="none"/>
        </w:rPr>
        <w:t xml:space="preserve"> interested in seeking accreditation in the future</w:t>
      </w:r>
      <w:r w:rsidR="00243350" w:rsidRPr="00A67390">
        <w:rPr>
          <w:u w:val="none"/>
        </w:rPr>
        <w:t>, with a particular focus on</w:t>
      </w:r>
      <w:r w:rsidR="0058200F" w:rsidRPr="00A67390">
        <w:rPr>
          <w:u w:val="none"/>
        </w:rPr>
        <w:t xml:space="preserve"> </w:t>
      </w:r>
      <w:r w:rsidR="00243350" w:rsidRPr="00A67390">
        <w:rPr>
          <w:u w:val="none"/>
        </w:rPr>
        <w:t>non-governmental organizations based in under-represented regions</w:t>
      </w:r>
      <w:r w:rsidRPr="00A67390">
        <w:rPr>
          <w:u w:val="none"/>
        </w:rPr>
        <w:t>;</w:t>
      </w:r>
    </w:p>
    <w:p w14:paraId="3FEEA2D0" w14:textId="0F68F3F8" w:rsidR="00BF1B64" w:rsidRPr="0079474A" w:rsidRDefault="001F5B46" w:rsidP="0079474A">
      <w:pPr>
        <w:pStyle w:val="COMParaDecision"/>
        <w:rPr>
          <w:u w:val="none"/>
        </w:rPr>
      </w:pPr>
      <w:r w:rsidRPr="008F2B6E">
        <w:t>Further requests</w:t>
      </w:r>
      <w:r w:rsidRPr="008F2B6E">
        <w:rPr>
          <w:u w:val="none"/>
        </w:rPr>
        <w:t xml:space="preserve"> </w:t>
      </w:r>
      <w:r w:rsidR="009A268D" w:rsidRPr="008F2B6E">
        <w:rPr>
          <w:u w:val="none"/>
        </w:rPr>
        <w:t xml:space="preserve">that </w:t>
      </w:r>
      <w:r w:rsidRPr="008F2B6E">
        <w:rPr>
          <w:u w:val="none"/>
        </w:rPr>
        <w:t xml:space="preserve">the Secretariat report on the outcomes of the consultation process to the eighth session </w:t>
      </w:r>
      <w:r w:rsidR="00EF7A24" w:rsidRPr="008F2B6E">
        <w:rPr>
          <w:u w:val="none"/>
        </w:rPr>
        <w:t>of the General Assembly in 2020.</w:t>
      </w:r>
    </w:p>
    <w:sectPr w:rsidR="00BF1B64" w:rsidRPr="0079474A" w:rsidSect="00616173">
      <w:headerReference w:type="even" r:id="rId25"/>
      <w:headerReference w:type="default" r:id="rId26"/>
      <w:headerReference w:type="first" r:id="rId27"/>
      <w:pgSz w:w="11906" w:h="16838" w:code="9"/>
      <w:pgMar w:top="1418" w:right="1134" w:bottom="1134" w:left="1134" w:header="397" w:footer="28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295C90" w16cid:durableId="21619522"/>
  <w16cid:commentId w16cid:paraId="30798F6C" w16cid:durableId="21619768"/>
  <w16cid:commentId w16cid:paraId="75351C01" w16cid:durableId="21619B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C0205" w14:textId="77777777" w:rsidR="00E63338" w:rsidRDefault="00E63338" w:rsidP="00655736">
      <w:r>
        <w:separator/>
      </w:r>
    </w:p>
  </w:endnote>
  <w:endnote w:type="continuationSeparator" w:id="0">
    <w:p w14:paraId="300BB19A" w14:textId="77777777" w:rsidR="00E63338" w:rsidRDefault="00E63338"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A5BA1" w14:textId="77777777" w:rsidR="00E63338" w:rsidRDefault="00E63338" w:rsidP="00655736">
      <w:r>
        <w:separator/>
      </w:r>
    </w:p>
  </w:footnote>
  <w:footnote w:type="continuationSeparator" w:id="0">
    <w:p w14:paraId="570F2FA9" w14:textId="77777777" w:rsidR="00E63338" w:rsidRDefault="00E63338" w:rsidP="00655736">
      <w:r>
        <w:continuationSeparator/>
      </w:r>
    </w:p>
  </w:footnote>
  <w:footnote w:id="1">
    <w:p w14:paraId="3008C91C" w14:textId="38472E8E" w:rsidR="00747EB5" w:rsidRPr="00E104A2" w:rsidRDefault="00747EB5" w:rsidP="0019067D">
      <w:pPr>
        <w:pStyle w:val="FootnoteText"/>
        <w:ind w:left="567" w:hanging="567"/>
        <w:jc w:val="both"/>
        <w:rPr>
          <w:rFonts w:ascii="Arial" w:hAnsi="Arial" w:cs="Arial"/>
          <w:sz w:val="18"/>
          <w:szCs w:val="18"/>
          <w:lang w:val="en-GB"/>
        </w:rPr>
      </w:pPr>
      <w:r w:rsidRPr="00D9528C">
        <w:rPr>
          <w:rStyle w:val="FootnoteReference"/>
          <w:rFonts w:ascii="Arial" w:hAnsi="Arial" w:cs="Arial"/>
          <w:sz w:val="18"/>
          <w:szCs w:val="18"/>
        </w:rPr>
        <w:footnoteRef/>
      </w:r>
      <w:r w:rsidR="00D9528C">
        <w:rPr>
          <w:rFonts w:ascii="Arial" w:hAnsi="Arial" w:cs="Arial"/>
          <w:sz w:val="18"/>
          <w:szCs w:val="18"/>
          <w:vertAlign w:val="superscript"/>
          <w:lang w:val="en-GB"/>
        </w:rPr>
        <w:t>.</w:t>
      </w:r>
      <w:r w:rsidRPr="00D9528C">
        <w:rPr>
          <w:rFonts w:ascii="Arial" w:hAnsi="Arial" w:cs="Arial"/>
          <w:sz w:val="18"/>
          <w:szCs w:val="18"/>
          <w:vertAlign w:val="superscript"/>
          <w:lang w:val="en-GB"/>
        </w:rPr>
        <w:t xml:space="preserve"> </w:t>
      </w:r>
      <w:r>
        <w:rPr>
          <w:rFonts w:ascii="Arial" w:hAnsi="Arial" w:cs="Arial"/>
          <w:sz w:val="18"/>
          <w:szCs w:val="18"/>
          <w:lang w:val="en-GB"/>
        </w:rPr>
        <w:tab/>
      </w:r>
      <w:r w:rsidRPr="00E104A2">
        <w:rPr>
          <w:rFonts w:ascii="Arial" w:hAnsi="Arial" w:cs="Arial"/>
          <w:sz w:val="18"/>
          <w:szCs w:val="18"/>
          <w:lang w:val="en-GB"/>
        </w:rPr>
        <w:t xml:space="preserve">The documents developed during the reflection process are available on the </w:t>
      </w:r>
      <w:hyperlink r:id="rId1" w:history="1">
        <w:r w:rsidRPr="00E104A2">
          <w:rPr>
            <w:rStyle w:val="Hyperlink"/>
            <w:rFonts w:ascii="Arial" w:hAnsi="Arial" w:cs="Arial"/>
            <w:sz w:val="18"/>
            <w:szCs w:val="18"/>
            <w:lang w:val="en-GB"/>
          </w:rPr>
          <w:t>webpage</w:t>
        </w:r>
      </w:hyperlink>
      <w:r w:rsidRPr="00E104A2">
        <w:rPr>
          <w:rFonts w:ascii="Arial" w:hAnsi="Arial" w:cs="Arial"/>
          <w:sz w:val="18"/>
          <w:szCs w:val="18"/>
          <w:lang w:val="en-GB"/>
        </w:rPr>
        <w:t xml:space="preserve"> dedicated to the reflection process. It includes the working document of the consultation meeting, which outlines the main findings of the electronic </w:t>
      </w:r>
      <w:r>
        <w:rPr>
          <w:rFonts w:ascii="Arial" w:hAnsi="Arial" w:cs="Arial"/>
          <w:sz w:val="18"/>
          <w:szCs w:val="18"/>
          <w:lang w:val="en-GB"/>
        </w:rPr>
        <w:t>consultation</w:t>
      </w:r>
      <w:r w:rsidRPr="00E104A2">
        <w:rPr>
          <w:rFonts w:ascii="Arial" w:hAnsi="Arial" w:cs="Arial"/>
          <w:sz w:val="18"/>
          <w:szCs w:val="18"/>
          <w:lang w:val="en-GB"/>
        </w:rPr>
        <w:t xml:space="preserve"> and the report of the consultation meeting.</w:t>
      </w:r>
    </w:p>
  </w:footnote>
  <w:footnote w:id="2">
    <w:p w14:paraId="40A6C43B" w14:textId="6E842616" w:rsidR="00747EB5" w:rsidRPr="00834B38" w:rsidRDefault="00747EB5" w:rsidP="00834B38">
      <w:pPr>
        <w:pStyle w:val="FootnoteText"/>
        <w:ind w:left="567" w:hanging="567"/>
        <w:jc w:val="both"/>
        <w:rPr>
          <w:rFonts w:ascii="Arial" w:hAnsi="Arial" w:cs="Arial"/>
          <w:sz w:val="18"/>
          <w:szCs w:val="18"/>
          <w:lang w:val="en-GB"/>
        </w:rPr>
      </w:pPr>
      <w:r w:rsidRPr="00D9528C">
        <w:rPr>
          <w:rStyle w:val="FootnoteReference"/>
          <w:rFonts w:ascii="Arial" w:hAnsi="Arial" w:cs="Arial"/>
          <w:sz w:val="18"/>
          <w:szCs w:val="18"/>
        </w:rPr>
        <w:footnoteRef/>
      </w:r>
      <w:r w:rsidRPr="00D9528C">
        <w:rPr>
          <w:rFonts w:ascii="Arial" w:hAnsi="Arial" w:cs="Arial"/>
          <w:sz w:val="18"/>
          <w:szCs w:val="18"/>
          <w:vertAlign w:val="superscript"/>
          <w:lang w:val="en-GB"/>
        </w:rPr>
        <w:t>.</w:t>
      </w:r>
      <w:r w:rsidRPr="00834B38">
        <w:rPr>
          <w:rFonts w:ascii="Arial" w:hAnsi="Arial" w:cs="Arial"/>
          <w:sz w:val="18"/>
          <w:szCs w:val="18"/>
          <w:lang w:val="en-GB"/>
        </w:rPr>
        <w:t xml:space="preserve"> </w:t>
      </w:r>
      <w:r w:rsidRPr="00834B38">
        <w:rPr>
          <w:rFonts w:ascii="Arial" w:hAnsi="Arial" w:cs="Arial"/>
          <w:sz w:val="18"/>
          <w:szCs w:val="18"/>
          <w:lang w:val="en-GB"/>
        </w:rPr>
        <w:tab/>
        <w:t xml:space="preserve">This </w:t>
      </w:r>
      <w:proofErr w:type="gramStart"/>
      <w:r w:rsidRPr="00834B38">
        <w:rPr>
          <w:rFonts w:ascii="Arial" w:hAnsi="Arial" w:cs="Arial"/>
          <w:sz w:val="18"/>
          <w:szCs w:val="18"/>
          <w:lang w:val="en-GB"/>
        </w:rPr>
        <w:t xml:space="preserve">can also be </w:t>
      </w:r>
      <w:r w:rsidRPr="00422A26">
        <w:rPr>
          <w:rFonts w:ascii="Arial" w:hAnsi="Arial" w:cs="Arial"/>
          <w:sz w:val="18"/>
          <w:szCs w:val="18"/>
          <w:lang w:val="en-GB"/>
        </w:rPr>
        <w:t>observed</w:t>
      </w:r>
      <w:proofErr w:type="gramEnd"/>
      <w:r w:rsidRPr="00422A26">
        <w:rPr>
          <w:rFonts w:ascii="Arial" w:hAnsi="Arial" w:cs="Arial"/>
          <w:sz w:val="18"/>
          <w:szCs w:val="18"/>
          <w:lang w:val="en-GB"/>
        </w:rPr>
        <w:t xml:space="preserve"> in the profile of the NGOs recommended for accreditation at the present session of the Committee (see document </w:t>
      </w:r>
      <w:hyperlink r:id="rId2" w:history="1">
        <w:r w:rsidRPr="00422A26">
          <w:rPr>
            <w:rStyle w:val="Hyperlink"/>
            <w:rFonts w:ascii="Arial" w:hAnsi="Arial" w:cs="Arial"/>
            <w:sz w:val="18"/>
            <w:szCs w:val="18"/>
            <w:lang w:val="en-GB"/>
          </w:rPr>
          <w:t>LHE/19/14.COM/17</w:t>
        </w:r>
      </w:hyperlink>
      <w:r w:rsidRPr="00422A26">
        <w:rPr>
          <w:rFonts w:ascii="Arial" w:hAnsi="Arial" w:cs="Arial"/>
          <w:sz w:val="18"/>
          <w:szCs w:val="18"/>
          <w:lang w:val="en-GB"/>
        </w:rPr>
        <w:t>).</w:t>
      </w:r>
      <w:bookmarkStart w:id="0" w:name="_GoBack"/>
      <w:bookmarkEnd w:id="0"/>
    </w:p>
  </w:footnote>
  <w:footnote w:id="3">
    <w:p w14:paraId="0983EE12" w14:textId="2A1DFB1A" w:rsidR="00B44CBB" w:rsidRDefault="00747EB5" w:rsidP="00834B38">
      <w:pPr>
        <w:pStyle w:val="COMPara"/>
        <w:numPr>
          <w:ilvl w:val="0"/>
          <w:numId w:val="0"/>
        </w:numPr>
        <w:spacing w:after="0"/>
        <w:ind w:left="567" w:hanging="567"/>
        <w:contextualSpacing/>
        <w:jc w:val="both"/>
        <w:rPr>
          <w:bCs/>
          <w:sz w:val="18"/>
          <w:szCs w:val="18"/>
        </w:rPr>
      </w:pPr>
      <w:r w:rsidRPr="001D6CAE">
        <w:rPr>
          <w:rStyle w:val="FootnoteReference"/>
          <w:sz w:val="18"/>
          <w:szCs w:val="18"/>
        </w:rPr>
        <w:footnoteRef/>
      </w:r>
      <w:r w:rsidRPr="001D6CAE">
        <w:rPr>
          <w:sz w:val="18"/>
          <w:szCs w:val="18"/>
          <w:vertAlign w:val="superscript"/>
        </w:rPr>
        <w:t>.</w:t>
      </w:r>
      <w:r w:rsidRPr="00BE4A7A">
        <w:rPr>
          <w:sz w:val="18"/>
          <w:szCs w:val="18"/>
        </w:rPr>
        <w:t xml:space="preserve"> </w:t>
      </w:r>
      <w:r>
        <w:rPr>
          <w:sz w:val="18"/>
          <w:szCs w:val="18"/>
        </w:rPr>
        <w:tab/>
      </w:r>
      <w:proofErr w:type="gramStart"/>
      <w:r w:rsidRPr="00BE4A7A">
        <w:rPr>
          <w:bCs/>
          <w:sz w:val="18"/>
          <w:szCs w:val="18"/>
        </w:rPr>
        <w:t xml:space="preserve">The </w:t>
      </w:r>
      <w:hyperlink r:id="rId3" w:history="1">
        <w:r w:rsidRPr="00BE4A7A">
          <w:rPr>
            <w:rStyle w:val="Hyperlink"/>
            <w:bCs/>
            <w:sz w:val="18"/>
            <w:szCs w:val="18"/>
          </w:rPr>
          <w:t>comprehensive partnership strategy</w:t>
        </w:r>
      </w:hyperlink>
      <w:r w:rsidRPr="00BE4A7A">
        <w:rPr>
          <w:bCs/>
          <w:sz w:val="18"/>
          <w:szCs w:val="18"/>
        </w:rPr>
        <w:t xml:space="preserve">, initially issued in 2013 and revised </w:t>
      </w:r>
      <w:r w:rsidR="00BD66BC">
        <w:rPr>
          <w:bCs/>
          <w:sz w:val="18"/>
          <w:szCs w:val="18"/>
        </w:rPr>
        <w:t>for its presentation</w:t>
      </w:r>
      <w:r w:rsidRPr="00BE4A7A">
        <w:rPr>
          <w:bCs/>
          <w:sz w:val="18"/>
          <w:szCs w:val="18"/>
        </w:rPr>
        <w:t xml:space="preserve"> to the 207th session of UNESCO’s Executive Board in October 2019</w:t>
      </w:r>
      <w:r>
        <w:rPr>
          <w:bCs/>
          <w:sz w:val="18"/>
          <w:szCs w:val="18"/>
        </w:rPr>
        <w:t>,</w:t>
      </w:r>
      <w:r w:rsidRPr="00BE4A7A">
        <w:rPr>
          <w:bCs/>
          <w:sz w:val="18"/>
          <w:szCs w:val="18"/>
        </w:rPr>
        <w:t xml:space="preserve"> establishes a clear framework for leveraging partnership</w:t>
      </w:r>
      <w:r w:rsidR="00BD66BC">
        <w:rPr>
          <w:bCs/>
          <w:sz w:val="18"/>
          <w:szCs w:val="18"/>
        </w:rPr>
        <w:t>s</w:t>
      </w:r>
      <w:r w:rsidRPr="00BE4A7A">
        <w:rPr>
          <w:bCs/>
          <w:sz w:val="18"/>
          <w:szCs w:val="18"/>
        </w:rPr>
        <w:t xml:space="preserve"> to enhance</w:t>
      </w:r>
      <w:r w:rsidR="00BD66BC">
        <w:rPr>
          <w:bCs/>
          <w:sz w:val="18"/>
          <w:szCs w:val="18"/>
        </w:rPr>
        <w:t>,</w:t>
      </w:r>
      <w:r w:rsidRPr="00BE4A7A">
        <w:rPr>
          <w:bCs/>
          <w:sz w:val="18"/>
          <w:szCs w:val="18"/>
        </w:rPr>
        <w:t xml:space="preserve"> in a consistent and strategic way</w:t>
      </w:r>
      <w:r w:rsidR="00BD66BC">
        <w:rPr>
          <w:bCs/>
          <w:sz w:val="18"/>
          <w:szCs w:val="18"/>
        </w:rPr>
        <w:t>,</w:t>
      </w:r>
      <w:r w:rsidRPr="00BE4A7A">
        <w:rPr>
          <w:bCs/>
          <w:sz w:val="18"/>
          <w:szCs w:val="18"/>
        </w:rPr>
        <w:t xml:space="preserve"> the impact and visibility of UNESCO’s programme and to ensure that partnerships contribute to optimal results for the achievement of the Sustainable Development Goals.</w:t>
      </w:r>
      <w:proofErr w:type="gramEnd"/>
      <w:r w:rsidRPr="00BE4A7A">
        <w:rPr>
          <w:bCs/>
          <w:sz w:val="18"/>
          <w:szCs w:val="18"/>
        </w:rPr>
        <w:t xml:space="preserve"> In particular, it defines overarching principles for engagement, disengagement and the proactive management of partnerships, including those with NGOs.</w:t>
      </w:r>
    </w:p>
    <w:p w14:paraId="2D46EBDA" w14:textId="0F854576" w:rsidR="00747EB5" w:rsidRPr="00BE4A7A" w:rsidRDefault="00B44CBB" w:rsidP="0019067D">
      <w:pPr>
        <w:pStyle w:val="COMPara"/>
        <w:numPr>
          <w:ilvl w:val="0"/>
          <w:numId w:val="0"/>
        </w:numPr>
        <w:ind w:left="567" w:hanging="567"/>
        <w:jc w:val="both"/>
        <w:rPr>
          <w:bCs/>
          <w:sz w:val="18"/>
          <w:szCs w:val="18"/>
        </w:rPr>
      </w:pPr>
      <w:r>
        <w:rPr>
          <w:bCs/>
          <w:sz w:val="18"/>
          <w:szCs w:val="18"/>
        </w:rPr>
        <w:tab/>
      </w:r>
      <w:r w:rsidR="00747EB5" w:rsidRPr="00BE4A7A">
        <w:rPr>
          <w:bCs/>
          <w:sz w:val="18"/>
          <w:szCs w:val="18"/>
        </w:rPr>
        <w:t xml:space="preserve">Furthermore, </w:t>
      </w:r>
      <w:proofErr w:type="gramStart"/>
      <w:r w:rsidR="00747EB5" w:rsidRPr="00BE4A7A">
        <w:rPr>
          <w:bCs/>
          <w:sz w:val="18"/>
          <w:szCs w:val="18"/>
        </w:rPr>
        <w:t xml:space="preserve">UNESCO’s framework for official relations with NGOs is defined by the </w:t>
      </w:r>
      <w:hyperlink r:id="rId4" w:history="1">
        <w:r w:rsidR="00747EB5" w:rsidRPr="00BE4A7A">
          <w:rPr>
            <w:rStyle w:val="Hyperlink"/>
            <w:bCs/>
            <w:sz w:val="18"/>
            <w:szCs w:val="18"/>
          </w:rPr>
          <w:t>Directives concerning official relations with foundations and similar institutions</w:t>
        </w:r>
        <w:proofErr w:type="gramEnd"/>
      </w:hyperlink>
      <w:r w:rsidR="00747EB5" w:rsidRPr="00BE4A7A">
        <w:rPr>
          <w:bCs/>
          <w:sz w:val="18"/>
          <w:szCs w:val="18"/>
        </w:rPr>
        <w:t>. Designed to increase the participation of civil society in the preparation and execution of UNESCO’s mandate, the</w:t>
      </w:r>
      <w:r w:rsidR="00BD66BC">
        <w:rPr>
          <w:bCs/>
          <w:sz w:val="18"/>
          <w:szCs w:val="18"/>
        </w:rPr>
        <w:t xml:space="preserve"> directives</w:t>
      </w:r>
      <w:r w:rsidR="00747EB5" w:rsidRPr="00BE4A7A">
        <w:rPr>
          <w:bCs/>
          <w:sz w:val="18"/>
          <w:szCs w:val="18"/>
        </w:rPr>
        <w:t xml:space="preserve"> define two different categories of partnerships, specific criteria, obligations and advantages for each of these categories, as well as procedures for the admission, modification, termination and suspension of partnerships with NGOs.</w:t>
      </w:r>
    </w:p>
    <w:p w14:paraId="14D2D520" w14:textId="77777777" w:rsidR="00747EB5" w:rsidRPr="00BE4A7A" w:rsidRDefault="00747EB5" w:rsidP="0019067D">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48398" w14:textId="090B0F20" w:rsidR="001A6D58" w:rsidRPr="00C23A97" w:rsidRDefault="001A6D58" w:rsidP="00C5776D">
    <w:pPr>
      <w:pStyle w:val="Header"/>
      <w:rPr>
        <w:rFonts w:ascii="Arial" w:hAnsi="Arial" w:cs="Arial"/>
        <w:lang w:val="en-GB"/>
      </w:rPr>
    </w:pPr>
    <w:r>
      <w:rPr>
        <w:rFonts w:ascii="Arial" w:hAnsi="Arial" w:cs="Arial"/>
        <w:sz w:val="20"/>
        <w:szCs w:val="20"/>
        <w:lang w:val="en-GB"/>
      </w:rPr>
      <w:t>LHE/19/14.COM</w:t>
    </w:r>
    <w:r w:rsidRPr="00C23A97">
      <w:rPr>
        <w:rFonts w:ascii="Arial" w:hAnsi="Arial" w:cs="Arial"/>
        <w:sz w:val="20"/>
        <w:szCs w:val="20"/>
        <w:lang w:val="en-GB"/>
      </w:rPr>
      <w:t>/</w:t>
    </w:r>
    <w:r>
      <w:rPr>
        <w:rFonts w:ascii="Arial" w:hAnsi="Arial" w:cs="Arial"/>
        <w:sz w:val="20"/>
        <w:szCs w:val="20"/>
        <w:lang w:val="en-GB"/>
      </w:rPr>
      <w:t>15</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422A26">
      <w:rPr>
        <w:rStyle w:val="PageNumber"/>
        <w:rFonts w:ascii="Arial" w:hAnsi="Arial" w:cs="Arial"/>
        <w:noProof/>
        <w:sz w:val="20"/>
        <w:szCs w:val="20"/>
        <w:lang w:val="en-GB"/>
      </w:rPr>
      <w:t>6</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2BA14" w14:textId="7BA63C88" w:rsidR="00755CF9" w:rsidRPr="00616173" w:rsidRDefault="00441405" w:rsidP="00616173">
    <w:pPr>
      <w:pStyle w:val="Header"/>
      <w:jc w:val="right"/>
      <w:rPr>
        <w:rFonts w:ascii="Arial" w:hAnsi="Arial" w:cs="Arial"/>
        <w:lang w:val="en-GB"/>
      </w:rPr>
    </w:pPr>
    <w:r>
      <w:rPr>
        <w:rFonts w:ascii="Arial" w:hAnsi="Arial" w:cs="Arial"/>
        <w:sz w:val="20"/>
        <w:szCs w:val="20"/>
        <w:lang w:val="en-GB"/>
      </w:rPr>
      <w:t>LHE/19/14.COM</w:t>
    </w:r>
    <w:r w:rsidRPr="00C23A97">
      <w:rPr>
        <w:rFonts w:ascii="Arial" w:hAnsi="Arial" w:cs="Arial"/>
        <w:sz w:val="20"/>
        <w:szCs w:val="20"/>
        <w:lang w:val="en-GB"/>
      </w:rPr>
      <w:t>/</w:t>
    </w:r>
    <w:r>
      <w:rPr>
        <w:rFonts w:ascii="Arial" w:hAnsi="Arial" w:cs="Arial"/>
        <w:sz w:val="20"/>
        <w:szCs w:val="20"/>
        <w:lang w:val="en-GB"/>
      </w:rPr>
      <w:t>15</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422A26">
      <w:rPr>
        <w:rStyle w:val="PageNumber"/>
        <w:rFonts w:ascii="Arial" w:hAnsi="Arial" w:cs="Arial"/>
        <w:noProof/>
        <w:sz w:val="20"/>
        <w:szCs w:val="20"/>
        <w:lang w:val="en-GB"/>
      </w:rPr>
      <w:t>7</w:t>
    </w:r>
    <w:r w:rsidRPr="00C23A97">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CF62F" w14:textId="77777777" w:rsidR="00E45560" w:rsidRPr="00E95AE2" w:rsidRDefault="00E45560" w:rsidP="00E45560">
    <w:pPr>
      <w:pStyle w:val="Header"/>
      <w:rPr>
        <w:sz w:val="22"/>
        <w:szCs w:val="22"/>
        <w:lang w:val="en-GB"/>
      </w:rPr>
    </w:pPr>
    <w:r>
      <w:rPr>
        <w:noProof/>
        <w:lang w:eastAsia="ja-JP"/>
      </w:rPr>
      <w:drawing>
        <wp:anchor distT="0" distB="0" distL="114300" distR="114300" simplePos="0" relativeHeight="251659776" behindDoc="0" locked="0" layoutInCell="1" allowOverlap="1" wp14:anchorId="54E91954" wp14:editId="0D7D8DAD">
          <wp:simplePos x="0" y="0"/>
          <wp:positionH relativeFrom="column">
            <wp:posOffset>-567690</wp:posOffset>
          </wp:positionH>
          <wp:positionV relativeFrom="paragraph">
            <wp:posOffset>3810</wp:posOffset>
          </wp:positionV>
          <wp:extent cx="2228215" cy="1367790"/>
          <wp:effectExtent l="0" t="0" r="635" b="3810"/>
          <wp:wrapNone/>
          <wp:docPr id="3"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D50C7" w14:textId="77777777" w:rsidR="00E45560" w:rsidRPr="00F30DC6" w:rsidRDefault="00E45560" w:rsidP="00E45560">
    <w:pPr>
      <w:pStyle w:val="Header"/>
      <w:spacing w:after="520"/>
      <w:jc w:val="right"/>
      <w:rPr>
        <w:rFonts w:ascii="Arial" w:hAnsi="Arial" w:cs="Arial"/>
        <w:b/>
        <w:sz w:val="44"/>
        <w:szCs w:val="44"/>
        <w:lang w:val="en-GB"/>
      </w:rPr>
    </w:pPr>
    <w:r>
      <w:rPr>
        <w:rFonts w:ascii="Arial" w:hAnsi="Arial" w:cs="Arial"/>
        <w:b/>
        <w:sz w:val="44"/>
        <w:szCs w:val="44"/>
        <w:lang w:val="en-GB"/>
      </w:rPr>
      <w:t>14</w:t>
    </w:r>
    <w:r w:rsidRPr="00F30DC6">
      <w:rPr>
        <w:rFonts w:ascii="Arial" w:hAnsi="Arial" w:cs="Arial"/>
        <w:b/>
        <w:sz w:val="44"/>
        <w:szCs w:val="44"/>
        <w:lang w:val="en-GB"/>
      </w:rPr>
      <w:t xml:space="preserve"> COM</w:t>
    </w:r>
  </w:p>
  <w:p w14:paraId="1A10A4C2" w14:textId="77777777" w:rsidR="00E45560" w:rsidRPr="009D5428" w:rsidRDefault="00E45560" w:rsidP="00E45560">
    <w:pPr>
      <w:jc w:val="right"/>
      <w:rPr>
        <w:rFonts w:ascii="Arial" w:hAnsi="Arial" w:cs="Arial"/>
        <w:b/>
        <w:sz w:val="22"/>
        <w:szCs w:val="22"/>
        <w:lang w:val="en-GB"/>
      </w:rPr>
    </w:pPr>
    <w:r>
      <w:rPr>
        <w:rFonts w:ascii="Arial" w:hAnsi="Arial" w:cs="Arial"/>
        <w:b/>
        <w:sz w:val="22"/>
        <w:szCs w:val="22"/>
        <w:lang w:val="en-GB"/>
      </w:rPr>
      <w:t>LHE/19</w:t>
    </w:r>
    <w:r w:rsidRPr="009D5428">
      <w:rPr>
        <w:rFonts w:ascii="Arial" w:hAnsi="Arial" w:cs="Arial"/>
        <w:b/>
        <w:sz w:val="22"/>
        <w:szCs w:val="22"/>
        <w:lang w:val="en-GB"/>
      </w:rPr>
      <w:t>/</w:t>
    </w:r>
    <w:r>
      <w:rPr>
        <w:rFonts w:ascii="Arial" w:hAnsi="Arial" w:cs="Arial"/>
        <w:b/>
        <w:sz w:val="22"/>
        <w:szCs w:val="22"/>
        <w:lang w:val="en-GB"/>
      </w:rPr>
      <w:t>14</w:t>
    </w:r>
    <w:r w:rsidRPr="009D5428">
      <w:rPr>
        <w:rFonts w:ascii="Arial" w:hAnsi="Arial" w:cs="Arial"/>
        <w:b/>
        <w:sz w:val="22"/>
        <w:szCs w:val="22"/>
        <w:lang w:val="en-GB"/>
      </w:rPr>
      <w:t>.COM/</w:t>
    </w:r>
    <w:r>
      <w:rPr>
        <w:rFonts w:ascii="Arial" w:hAnsi="Arial" w:cs="Arial"/>
        <w:b/>
        <w:sz w:val="22"/>
        <w:szCs w:val="22"/>
        <w:lang w:val="en-GB"/>
      </w:rPr>
      <w:t>15</w:t>
    </w:r>
  </w:p>
  <w:p w14:paraId="0B8D5E60" w14:textId="741D4247" w:rsidR="00E45560" w:rsidRPr="00337CEB" w:rsidRDefault="00E45560" w:rsidP="00E45560">
    <w:pPr>
      <w:jc w:val="right"/>
      <w:rPr>
        <w:rFonts w:ascii="Arial" w:eastAsiaTheme="minorEastAsia" w:hAnsi="Arial" w:cs="Arial"/>
        <w:b/>
        <w:sz w:val="22"/>
        <w:szCs w:val="22"/>
        <w:lang w:val="en-GB" w:eastAsia="ko-KR"/>
      </w:rPr>
    </w:pPr>
    <w:r w:rsidRPr="009D5428">
      <w:rPr>
        <w:rFonts w:ascii="Arial" w:hAnsi="Arial" w:cs="Arial"/>
        <w:b/>
        <w:sz w:val="22"/>
        <w:szCs w:val="22"/>
        <w:lang w:val="en-GB"/>
      </w:rPr>
      <w:t xml:space="preserve">Paris, </w:t>
    </w:r>
    <w:r w:rsidR="00D9528C">
      <w:rPr>
        <w:rFonts w:ascii="Arial" w:hAnsi="Arial" w:cs="Arial"/>
        <w:b/>
        <w:sz w:val="22"/>
        <w:szCs w:val="22"/>
        <w:lang w:val="en-GB"/>
      </w:rPr>
      <w:t>7</w:t>
    </w:r>
    <w:r w:rsidR="0055714D">
      <w:rPr>
        <w:rFonts w:ascii="Arial" w:hAnsi="Arial" w:cs="Arial"/>
        <w:b/>
        <w:sz w:val="22"/>
        <w:szCs w:val="22"/>
        <w:lang w:val="en-GB"/>
      </w:rPr>
      <w:t xml:space="preserve"> November</w:t>
    </w:r>
    <w:r w:rsidRPr="00F32C23">
      <w:rPr>
        <w:rFonts w:ascii="Arial" w:hAnsi="Arial" w:cs="Arial"/>
        <w:b/>
        <w:sz w:val="22"/>
        <w:szCs w:val="22"/>
        <w:lang w:val="en-GB"/>
      </w:rPr>
      <w:t xml:space="preserve"> </w:t>
    </w:r>
    <w:r>
      <w:rPr>
        <w:rFonts w:ascii="Arial" w:hAnsi="Arial" w:cs="Arial"/>
        <w:b/>
        <w:sz w:val="22"/>
        <w:szCs w:val="22"/>
        <w:lang w:val="en-GB"/>
      </w:rPr>
      <w:t>201</w:t>
    </w:r>
    <w:r>
      <w:rPr>
        <w:rFonts w:ascii="Arial" w:eastAsiaTheme="minorEastAsia" w:hAnsi="Arial" w:cs="Arial"/>
        <w:b/>
        <w:sz w:val="22"/>
        <w:szCs w:val="22"/>
        <w:lang w:val="en-GB" w:eastAsia="ko-KR"/>
      </w:rPr>
      <w:t>9</w:t>
    </w:r>
  </w:p>
  <w:p w14:paraId="5B0DC77A" w14:textId="7CA74D0D" w:rsidR="00747EB5" w:rsidRDefault="00E45560" w:rsidP="00616173">
    <w:pPr>
      <w:jc w:val="right"/>
      <w:rPr>
        <w:rFonts w:ascii="Arial" w:hAnsi="Arial" w:cs="Arial"/>
        <w:b/>
        <w:sz w:val="22"/>
        <w:szCs w:val="22"/>
        <w:lang w:val="en-GB"/>
      </w:rPr>
    </w:pPr>
    <w:r w:rsidRPr="004322B5">
      <w:rPr>
        <w:rFonts w:ascii="Arial" w:hAnsi="Arial" w:cs="Arial"/>
        <w:b/>
        <w:sz w:val="22"/>
        <w:szCs w:val="22"/>
        <w:lang w:val="en-GB"/>
      </w:rPr>
      <w:t>Original: English</w:t>
    </w:r>
  </w:p>
  <w:p w14:paraId="3943E81B" w14:textId="77777777" w:rsidR="00E45560" w:rsidRPr="00616173" w:rsidRDefault="00E45560" w:rsidP="00616173">
    <w:pPr>
      <w:jc w:val="right"/>
      <w:rPr>
        <w:rFonts w:ascii="Arial" w:hAnsi="Arial" w:cs="Arial"/>
        <w:b/>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194E"/>
    <w:multiLevelType w:val="hybridMultilevel"/>
    <w:tmpl w:val="31980E1A"/>
    <w:lvl w:ilvl="0" w:tplc="A246FCAE">
      <w:start w:val="1"/>
      <w:numFmt w:val="lowerLetter"/>
      <w:lvlText w:val="(%1)"/>
      <w:lvlJc w:val="left"/>
      <w:pPr>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0EB5C05"/>
    <w:multiLevelType w:val="hybridMultilevel"/>
    <w:tmpl w:val="31980E1A"/>
    <w:lvl w:ilvl="0" w:tplc="A246FCAE">
      <w:start w:val="1"/>
      <w:numFmt w:val="lowerLetter"/>
      <w:lvlText w:val="(%1)"/>
      <w:lvlJc w:val="left"/>
      <w:pPr>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2937566"/>
    <w:multiLevelType w:val="hybridMultilevel"/>
    <w:tmpl w:val="928CACE0"/>
    <w:lvl w:ilvl="0" w:tplc="7AE41318">
      <w:start w:val="1"/>
      <w:numFmt w:val="decimal"/>
      <w:lvlText w:val="%1."/>
      <w:lvlJc w:val="left"/>
      <w:pPr>
        <w:ind w:left="1065" w:hanging="705"/>
      </w:pPr>
      <w:rPr>
        <w:rFonts w:hint="default"/>
        <w:b w:val="0"/>
        <w:sz w:val="22"/>
        <w:szCs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A63C04"/>
    <w:multiLevelType w:val="multilevel"/>
    <w:tmpl w:val="954E7106"/>
    <w:lvl w:ilvl="0">
      <w:start w:val="1"/>
      <w:numFmt w:val="lowerLetter"/>
      <w:lvlText w:val="%1."/>
      <w:lvlJc w:val="left"/>
      <w:pPr>
        <w:tabs>
          <w:tab w:val="num" w:pos="360"/>
        </w:tabs>
        <w:ind w:left="360" w:hanging="360"/>
      </w:pPr>
    </w:lvl>
    <w:lvl w:ilvl="1">
      <w:start w:val="1"/>
      <w:numFmt w:val="lowerRoman"/>
      <w:lvlText w:val="%2."/>
      <w:lvlJc w:val="righ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5442481"/>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5"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72B7AD7"/>
    <w:multiLevelType w:val="hybridMultilevel"/>
    <w:tmpl w:val="31980E1A"/>
    <w:lvl w:ilvl="0" w:tplc="A246FCAE">
      <w:start w:val="1"/>
      <w:numFmt w:val="lowerLetter"/>
      <w:lvlText w:val="(%1)"/>
      <w:lvlJc w:val="left"/>
      <w:pPr>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2912421F"/>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8" w15:restartNumberingAfterBreak="0">
    <w:nsid w:val="35F07BFE"/>
    <w:multiLevelType w:val="hybridMultilevel"/>
    <w:tmpl w:val="152EE97E"/>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FD1A6D3E">
      <w:start w:val="1"/>
      <w:numFmt w:val="decimal"/>
      <w:lvlText w:val="%4."/>
      <w:lvlJc w:val="left"/>
      <w:pPr>
        <w:ind w:left="2880" w:hanging="360"/>
      </w:pPr>
      <w:rPr>
        <w:b w:val="0"/>
      </w:rPr>
    </w:lvl>
    <w:lvl w:ilvl="4" w:tplc="BA9A52AC">
      <w:start w:val="1"/>
      <w:numFmt w:val="lowerLetter"/>
      <w:lvlText w:val="%5."/>
      <w:lvlJc w:val="left"/>
      <w:pPr>
        <w:ind w:left="3600" w:hanging="360"/>
      </w:pPr>
      <w:rPr>
        <w:b w:val="0"/>
      </w:rPr>
    </w:lvl>
    <w:lvl w:ilvl="5" w:tplc="040C0001">
      <w:start w:val="1"/>
      <w:numFmt w:val="bullet"/>
      <w:lvlText w:val=""/>
      <w:lvlJc w:val="left"/>
      <w:pPr>
        <w:ind w:left="4320" w:hanging="180"/>
      </w:pPr>
      <w:rPr>
        <w:rFonts w:ascii="Symbol" w:hAnsi="Symbol" w:hint="default"/>
      </w:r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2279C2"/>
    <w:multiLevelType w:val="hybridMultilevel"/>
    <w:tmpl w:val="CD48C918"/>
    <w:lvl w:ilvl="0" w:tplc="7EE20A46">
      <w:start w:val="96"/>
      <w:numFmt w:val="decimal"/>
      <w:lvlText w:val="%1."/>
      <w:lvlJc w:val="right"/>
      <w:pPr>
        <w:ind w:left="128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95B111E"/>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97A3EF7"/>
    <w:multiLevelType w:val="multilevel"/>
    <w:tmpl w:val="954E7106"/>
    <w:lvl w:ilvl="0">
      <w:start w:val="1"/>
      <w:numFmt w:val="lowerLetter"/>
      <w:lvlText w:val="%1."/>
      <w:lvlJc w:val="left"/>
      <w:pPr>
        <w:tabs>
          <w:tab w:val="num" w:pos="360"/>
        </w:tabs>
        <w:ind w:left="360" w:hanging="360"/>
      </w:pPr>
    </w:lvl>
    <w:lvl w:ilvl="1">
      <w:start w:val="1"/>
      <w:numFmt w:val="lowerRoman"/>
      <w:lvlText w:val="%2."/>
      <w:lvlJc w:val="righ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398F69BD"/>
    <w:multiLevelType w:val="multilevel"/>
    <w:tmpl w:val="954E7106"/>
    <w:lvl w:ilvl="0">
      <w:start w:val="1"/>
      <w:numFmt w:val="lowerLetter"/>
      <w:lvlText w:val="%1."/>
      <w:lvlJc w:val="left"/>
      <w:pPr>
        <w:tabs>
          <w:tab w:val="num" w:pos="360"/>
        </w:tabs>
        <w:ind w:left="360" w:hanging="360"/>
      </w:pPr>
    </w:lvl>
    <w:lvl w:ilvl="1">
      <w:start w:val="1"/>
      <w:numFmt w:val="lowerRoman"/>
      <w:lvlText w:val="%2."/>
      <w:lvlJc w:val="righ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1A75FE8"/>
    <w:multiLevelType w:val="multilevel"/>
    <w:tmpl w:val="954E7106"/>
    <w:lvl w:ilvl="0">
      <w:start w:val="1"/>
      <w:numFmt w:val="lowerLetter"/>
      <w:lvlText w:val="%1."/>
      <w:lvlJc w:val="left"/>
      <w:pPr>
        <w:tabs>
          <w:tab w:val="num" w:pos="360"/>
        </w:tabs>
        <w:ind w:left="360" w:hanging="360"/>
      </w:pPr>
    </w:lvl>
    <w:lvl w:ilvl="1">
      <w:start w:val="1"/>
      <w:numFmt w:val="lowerRoman"/>
      <w:lvlText w:val="%2."/>
      <w:lvlJc w:val="righ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38E51B9"/>
    <w:multiLevelType w:val="hybridMultilevel"/>
    <w:tmpl w:val="504CD4B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49134EF"/>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18" w15:restartNumberingAfterBreak="0">
    <w:nsid w:val="455A5CD5"/>
    <w:multiLevelType w:val="multilevel"/>
    <w:tmpl w:val="954E7106"/>
    <w:lvl w:ilvl="0">
      <w:start w:val="1"/>
      <w:numFmt w:val="lowerLetter"/>
      <w:lvlText w:val="%1."/>
      <w:lvlJc w:val="left"/>
      <w:pPr>
        <w:tabs>
          <w:tab w:val="num" w:pos="360"/>
        </w:tabs>
        <w:ind w:left="360" w:hanging="360"/>
      </w:pPr>
    </w:lvl>
    <w:lvl w:ilvl="1">
      <w:start w:val="1"/>
      <w:numFmt w:val="lowerRoman"/>
      <w:lvlText w:val="%2."/>
      <w:lvlJc w:val="righ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47484AE6"/>
    <w:multiLevelType w:val="hybridMultilevel"/>
    <w:tmpl w:val="31980E1A"/>
    <w:lvl w:ilvl="0" w:tplc="A246FCAE">
      <w:start w:val="1"/>
      <w:numFmt w:val="lowerLetter"/>
      <w:lvlText w:val="(%1)"/>
      <w:lvlJc w:val="left"/>
      <w:pPr>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47C22FB2"/>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21" w15:restartNumberingAfterBreak="0">
    <w:nsid w:val="47D21569"/>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22" w15:restartNumberingAfterBreak="0">
    <w:nsid w:val="48B8085A"/>
    <w:multiLevelType w:val="hybridMultilevel"/>
    <w:tmpl w:val="2E9A2FBA"/>
    <w:lvl w:ilvl="0" w:tplc="3DBA8E5C">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FF76C59"/>
    <w:multiLevelType w:val="hybridMultilevel"/>
    <w:tmpl w:val="AA9C97E0"/>
    <w:lvl w:ilvl="0" w:tplc="040C0001">
      <w:start w:val="1"/>
      <w:numFmt w:val="bullet"/>
      <w:lvlText w:val=""/>
      <w:lvlJc w:val="left"/>
      <w:pPr>
        <w:ind w:left="1065" w:hanging="705"/>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0563B99"/>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25" w15:restartNumberingAfterBreak="0">
    <w:nsid w:val="54004ADB"/>
    <w:multiLevelType w:val="multilevel"/>
    <w:tmpl w:val="FD0A1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80728E"/>
    <w:multiLevelType w:val="hybridMultilevel"/>
    <w:tmpl w:val="93D03242"/>
    <w:lvl w:ilvl="0" w:tplc="040C0015">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9ED4A5AC">
      <w:start w:val="8"/>
      <w:numFmt w:val="decimal"/>
      <w:lvlText w:val="%3."/>
      <w:lvlJc w:val="left"/>
      <w:pPr>
        <w:ind w:left="2340" w:hanging="360"/>
      </w:pPr>
      <w:rPr>
        <w:rFonts w:hint="default"/>
        <w:u w:val="none"/>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7A5E10"/>
    <w:multiLevelType w:val="multilevel"/>
    <w:tmpl w:val="954E7106"/>
    <w:lvl w:ilvl="0">
      <w:start w:val="1"/>
      <w:numFmt w:val="lowerLetter"/>
      <w:lvlText w:val="%1."/>
      <w:lvlJc w:val="left"/>
      <w:pPr>
        <w:tabs>
          <w:tab w:val="num" w:pos="360"/>
        </w:tabs>
        <w:ind w:left="360" w:hanging="360"/>
      </w:pPr>
    </w:lvl>
    <w:lvl w:ilvl="1">
      <w:start w:val="1"/>
      <w:numFmt w:val="lowerRoman"/>
      <w:lvlText w:val="%2."/>
      <w:lvlJc w:val="righ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5CB67C65"/>
    <w:multiLevelType w:val="hybridMultilevel"/>
    <w:tmpl w:val="FBD8187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0360FC"/>
    <w:multiLevelType w:val="hybridMultilevel"/>
    <w:tmpl w:val="63BC7A7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5844D09"/>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EB91023"/>
    <w:multiLevelType w:val="multilevel"/>
    <w:tmpl w:val="97C01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595E24"/>
    <w:multiLevelType w:val="hybridMultilevel"/>
    <w:tmpl w:val="31980E1A"/>
    <w:lvl w:ilvl="0" w:tplc="A246FCAE">
      <w:start w:val="1"/>
      <w:numFmt w:val="lowerLetter"/>
      <w:lvlText w:val="(%1)"/>
      <w:lvlJc w:val="left"/>
      <w:pPr>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72655861"/>
    <w:multiLevelType w:val="hybridMultilevel"/>
    <w:tmpl w:val="B072B8CC"/>
    <w:lvl w:ilvl="0" w:tplc="16808098">
      <w:start w:val="1"/>
      <w:numFmt w:val="lowerRoman"/>
      <w:pStyle w:val="i"/>
      <w:lvlText w:val="%1."/>
      <w:lvlJc w:val="left"/>
      <w:pPr>
        <w:ind w:left="1147" w:hanging="360"/>
      </w:pPr>
      <w:rPr>
        <w:rFonts w:cs="Times New Roman" w:hint="default"/>
      </w:rPr>
    </w:lvl>
    <w:lvl w:ilvl="1" w:tplc="040C0019" w:tentative="1">
      <w:start w:val="1"/>
      <w:numFmt w:val="lowerLetter"/>
      <w:lvlText w:val="%2."/>
      <w:lvlJc w:val="left"/>
      <w:pPr>
        <w:ind w:left="1867" w:hanging="360"/>
      </w:pPr>
      <w:rPr>
        <w:rFonts w:cs="Times New Roman"/>
      </w:rPr>
    </w:lvl>
    <w:lvl w:ilvl="2" w:tplc="040C001B" w:tentative="1">
      <w:start w:val="1"/>
      <w:numFmt w:val="lowerRoman"/>
      <w:lvlText w:val="%3."/>
      <w:lvlJc w:val="right"/>
      <w:pPr>
        <w:ind w:left="2587" w:hanging="180"/>
      </w:pPr>
      <w:rPr>
        <w:rFonts w:cs="Times New Roman"/>
      </w:rPr>
    </w:lvl>
    <w:lvl w:ilvl="3" w:tplc="040C000F" w:tentative="1">
      <w:start w:val="1"/>
      <w:numFmt w:val="decimal"/>
      <w:lvlText w:val="%4."/>
      <w:lvlJc w:val="left"/>
      <w:pPr>
        <w:ind w:left="3307" w:hanging="360"/>
      </w:pPr>
      <w:rPr>
        <w:rFonts w:cs="Times New Roman"/>
      </w:rPr>
    </w:lvl>
    <w:lvl w:ilvl="4" w:tplc="040C0019" w:tentative="1">
      <w:start w:val="1"/>
      <w:numFmt w:val="lowerLetter"/>
      <w:lvlText w:val="%5."/>
      <w:lvlJc w:val="left"/>
      <w:pPr>
        <w:ind w:left="4027" w:hanging="360"/>
      </w:pPr>
      <w:rPr>
        <w:rFonts w:cs="Times New Roman"/>
      </w:rPr>
    </w:lvl>
    <w:lvl w:ilvl="5" w:tplc="040C001B" w:tentative="1">
      <w:start w:val="1"/>
      <w:numFmt w:val="lowerRoman"/>
      <w:lvlText w:val="%6."/>
      <w:lvlJc w:val="right"/>
      <w:pPr>
        <w:ind w:left="4747" w:hanging="180"/>
      </w:pPr>
      <w:rPr>
        <w:rFonts w:cs="Times New Roman"/>
      </w:rPr>
    </w:lvl>
    <w:lvl w:ilvl="6" w:tplc="040C000F" w:tentative="1">
      <w:start w:val="1"/>
      <w:numFmt w:val="decimal"/>
      <w:lvlText w:val="%7."/>
      <w:lvlJc w:val="left"/>
      <w:pPr>
        <w:ind w:left="5467" w:hanging="360"/>
      </w:pPr>
      <w:rPr>
        <w:rFonts w:cs="Times New Roman"/>
      </w:rPr>
    </w:lvl>
    <w:lvl w:ilvl="7" w:tplc="040C0019" w:tentative="1">
      <w:start w:val="1"/>
      <w:numFmt w:val="lowerLetter"/>
      <w:lvlText w:val="%8."/>
      <w:lvlJc w:val="left"/>
      <w:pPr>
        <w:ind w:left="6187" w:hanging="360"/>
      </w:pPr>
      <w:rPr>
        <w:rFonts w:cs="Times New Roman"/>
      </w:rPr>
    </w:lvl>
    <w:lvl w:ilvl="8" w:tplc="040C001B" w:tentative="1">
      <w:start w:val="1"/>
      <w:numFmt w:val="lowerRoman"/>
      <w:lvlText w:val="%9."/>
      <w:lvlJc w:val="right"/>
      <w:pPr>
        <w:ind w:left="6907" w:hanging="180"/>
      </w:pPr>
      <w:rPr>
        <w:rFonts w:cs="Times New Roman"/>
      </w:rPr>
    </w:lvl>
  </w:abstractNum>
  <w:abstractNum w:abstractNumId="35" w15:restartNumberingAfterBreak="0">
    <w:nsid w:val="774310C5"/>
    <w:multiLevelType w:val="hybridMultilevel"/>
    <w:tmpl w:val="13ECB5F8"/>
    <w:lvl w:ilvl="0" w:tplc="76CAC304">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1">
      <w:start w:val="1"/>
      <w:numFmt w:val="bullet"/>
      <w:lvlText w:val=""/>
      <w:lvlJc w:val="left"/>
      <w:pPr>
        <w:ind w:left="2880" w:hanging="360"/>
      </w:pPr>
      <w:rPr>
        <w:rFonts w:ascii="Symbol" w:hAnsi="Symbol" w:hint="default"/>
        <w:b w:val="0"/>
      </w:rPr>
    </w:lvl>
    <w:lvl w:ilvl="4" w:tplc="BA9A52AC">
      <w:start w:val="1"/>
      <w:numFmt w:val="lowerLetter"/>
      <w:lvlText w:val="%5."/>
      <w:lvlJc w:val="left"/>
      <w:pPr>
        <w:ind w:left="3600" w:hanging="360"/>
      </w:pPr>
      <w:rPr>
        <w:b w:val="0"/>
      </w:rPr>
    </w:lvl>
    <w:lvl w:ilvl="5" w:tplc="040C0001">
      <w:start w:val="1"/>
      <w:numFmt w:val="bullet"/>
      <w:lvlText w:val=""/>
      <w:lvlJc w:val="left"/>
      <w:pPr>
        <w:ind w:left="4320" w:hanging="180"/>
      </w:pPr>
      <w:rPr>
        <w:rFonts w:ascii="Symbol" w:hAnsi="Symbol" w:hint="default"/>
      </w:r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D6733D5"/>
    <w:multiLevelType w:val="hybridMultilevel"/>
    <w:tmpl w:val="BB74CA04"/>
    <w:lvl w:ilvl="0" w:tplc="D6DC6A24">
      <w:start w:val="1"/>
      <w:numFmt w:val="lowerLetter"/>
      <w:pStyle w:val="ChapitreI11"/>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E26587C"/>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num w:numId="1">
    <w:abstractNumId w:val="5"/>
  </w:num>
  <w:num w:numId="2">
    <w:abstractNumId w:val="8"/>
  </w:num>
  <w:num w:numId="3">
    <w:abstractNumId w:val="12"/>
  </w:num>
  <w:num w:numId="4">
    <w:abstractNumId w:val="14"/>
  </w:num>
  <w:num w:numId="5">
    <w:abstractNumId w:val="8"/>
    <w:lvlOverride w:ilvl="0">
      <w:startOverride w:val="1"/>
    </w:lvlOverride>
  </w:num>
  <w:num w:numId="6">
    <w:abstractNumId w:val="26"/>
  </w:num>
  <w:num w:numId="7">
    <w:abstractNumId w:val="23"/>
  </w:num>
  <w:num w:numId="8">
    <w:abstractNumId w:val="30"/>
  </w:num>
  <w:num w:numId="9">
    <w:abstractNumId w:val="20"/>
  </w:num>
  <w:num w:numId="10">
    <w:abstractNumId w:val="34"/>
  </w:num>
  <w:num w:numId="11">
    <w:abstractNumId w:val="34"/>
    <w:lvlOverride w:ilvl="0">
      <w:startOverride w:val="1"/>
    </w:lvlOverride>
  </w:num>
  <w:num w:numId="12">
    <w:abstractNumId w:val="31"/>
  </w:num>
  <w:num w:numId="13">
    <w:abstractNumId w:val="37"/>
  </w:num>
  <w:num w:numId="14">
    <w:abstractNumId w:val="4"/>
  </w:num>
  <w:num w:numId="15">
    <w:abstractNumId w:val="10"/>
  </w:num>
  <w:num w:numId="16">
    <w:abstractNumId w:val="12"/>
    <w:lvlOverride w:ilvl="0">
      <w:startOverride w:val="1"/>
    </w:lvlOverride>
  </w:num>
  <w:num w:numId="17">
    <w:abstractNumId w:val="8"/>
  </w:num>
  <w:num w:numId="18">
    <w:abstractNumId w:val="8"/>
  </w:num>
  <w:num w:numId="19">
    <w:abstractNumId w:val="8"/>
  </w:num>
  <w:num w:numId="20">
    <w:abstractNumId w:val="8"/>
  </w:num>
  <w:num w:numId="21">
    <w:abstractNumId w:val="16"/>
  </w:num>
  <w:num w:numId="22">
    <w:abstractNumId w:val="8"/>
  </w:num>
  <w:num w:numId="23">
    <w:abstractNumId w:val="8"/>
  </w:num>
  <w:num w:numId="24">
    <w:abstractNumId w:val="2"/>
  </w:num>
  <w:num w:numId="25">
    <w:abstractNumId w:val="8"/>
  </w:num>
  <w:num w:numId="26">
    <w:abstractNumId w:val="8"/>
  </w:num>
  <w:num w:numId="27">
    <w:abstractNumId w:val="8"/>
  </w:num>
  <w:num w:numId="28">
    <w:abstractNumId w:val="8"/>
  </w:num>
  <w:num w:numId="29">
    <w:abstractNumId w:val="8"/>
  </w:num>
  <w:num w:numId="30">
    <w:abstractNumId w:val="8"/>
  </w:num>
  <w:num w:numId="31">
    <w:abstractNumId w:val="22"/>
  </w:num>
  <w:num w:numId="32">
    <w:abstractNumId w:val="9"/>
  </w:num>
  <w:num w:numId="33">
    <w:abstractNumId w:val="25"/>
  </w:num>
  <w:num w:numId="34">
    <w:abstractNumId w:val="7"/>
  </w:num>
  <w:num w:numId="35">
    <w:abstractNumId w:val="34"/>
  </w:num>
  <w:num w:numId="36">
    <w:abstractNumId w:val="24"/>
  </w:num>
  <w:num w:numId="37">
    <w:abstractNumId w:val="21"/>
  </w:num>
  <w:num w:numId="38">
    <w:abstractNumId w:val="34"/>
    <w:lvlOverride w:ilvl="0">
      <w:startOverride w:val="1"/>
    </w:lvlOverride>
  </w:num>
  <w:num w:numId="39">
    <w:abstractNumId w:val="17"/>
  </w:num>
  <w:num w:numId="40">
    <w:abstractNumId w:val="8"/>
  </w:num>
  <w:num w:numId="41">
    <w:abstractNumId w:val="34"/>
  </w:num>
  <w:num w:numId="42">
    <w:abstractNumId w:val="34"/>
    <w:lvlOverride w:ilvl="0">
      <w:startOverride w:val="1"/>
    </w:lvlOverride>
  </w:num>
  <w:num w:numId="43">
    <w:abstractNumId w:val="8"/>
  </w:num>
  <w:num w:numId="44">
    <w:abstractNumId w:val="35"/>
  </w:num>
  <w:num w:numId="45">
    <w:abstractNumId w:val="32"/>
  </w:num>
  <w:num w:numId="46">
    <w:abstractNumId w:val="29"/>
  </w:num>
  <w:num w:numId="47">
    <w:abstractNumId w:val="36"/>
  </w:num>
  <w:num w:numId="48">
    <w:abstractNumId w:val="19"/>
  </w:num>
  <w:num w:numId="49">
    <w:abstractNumId w:val="27"/>
  </w:num>
  <w:num w:numId="50">
    <w:abstractNumId w:val="13"/>
  </w:num>
  <w:num w:numId="51">
    <w:abstractNumId w:val="1"/>
  </w:num>
  <w:num w:numId="52">
    <w:abstractNumId w:val="15"/>
  </w:num>
  <w:num w:numId="53">
    <w:abstractNumId w:val="6"/>
  </w:num>
  <w:num w:numId="54">
    <w:abstractNumId w:val="0"/>
  </w:num>
  <w:num w:numId="55">
    <w:abstractNumId w:val="33"/>
  </w:num>
  <w:num w:numId="56">
    <w:abstractNumId w:val="3"/>
  </w:num>
  <w:num w:numId="57">
    <w:abstractNumId w:val="18"/>
  </w:num>
  <w:num w:numId="58">
    <w:abstractNumId w:val="11"/>
  </w:num>
  <w:num w:numId="59">
    <w:abstractNumId w:val="28"/>
  </w:num>
  <w:num w:numId="60">
    <w:abstractNumId w:va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48ED"/>
    <w:rsid w:val="000056BF"/>
    <w:rsid w:val="000066B2"/>
    <w:rsid w:val="00023700"/>
    <w:rsid w:val="00027BE5"/>
    <w:rsid w:val="00041A66"/>
    <w:rsid w:val="0005176E"/>
    <w:rsid w:val="00064197"/>
    <w:rsid w:val="00071045"/>
    <w:rsid w:val="000713A7"/>
    <w:rsid w:val="00074595"/>
    <w:rsid w:val="000765F7"/>
    <w:rsid w:val="00077AB7"/>
    <w:rsid w:val="00081CD8"/>
    <w:rsid w:val="00083DAB"/>
    <w:rsid w:val="00090025"/>
    <w:rsid w:val="0009609D"/>
    <w:rsid w:val="000A2596"/>
    <w:rsid w:val="000A4904"/>
    <w:rsid w:val="000A7F0E"/>
    <w:rsid w:val="000B1C8F"/>
    <w:rsid w:val="000C0D61"/>
    <w:rsid w:val="000D05E0"/>
    <w:rsid w:val="000D44D9"/>
    <w:rsid w:val="000D6DA2"/>
    <w:rsid w:val="000E7008"/>
    <w:rsid w:val="000F3A18"/>
    <w:rsid w:val="000F3A3F"/>
    <w:rsid w:val="000F440A"/>
    <w:rsid w:val="00102557"/>
    <w:rsid w:val="00106A10"/>
    <w:rsid w:val="0011360E"/>
    <w:rsid w:val="00122447"/>
    <w:rsid w:val="00127363"/>
    <w:rsid w:val="00130D7E"/>
    <w:rsid w:val="00132CB7"/>
    <w:rsid w:val="00135C80"/>
    <w:rsid w:val="00150D77"/>
    <w:rsid w:val="0015353D"/>
    <w:rsid w:val="00164D56"/>
    <w:rsid w:val="00167B10"/>
    <w:rsid w:val="0017402F"/>
    <w:rsid w:val="00184EFD"/>
    <w:rsid w:val="0019067D"/>
    <w:rsid w:val="00196C1B"/>
    <w:rsid w:val="001A6BF2"/>
    <w:rsid w:val="001A6D58"/>
    <w:rsid w:val="001B0F73"/>
    <w:rsid w:val="001C0478"/>
    <w:rsid w:val="001C2DB7"/>
    <w:rsid w:val="001D14FE"/>
    <w:rsid w:val="001D5C04"/>
    <w:rsid w:val="001D6CAE"/>
    <w:rsid w:val="001E29F0"/>
    <w:rsid w:val="001E3B37"/>
    <w:rsid w:val="001E78E0"/>
    <w:rsid w:val="001F26CF"/>
    <w:rsid w:val="001F51ED"/>
    <w:rsid w:val="001F5B46"/>
    <w:rsid w:val="00216320"/>
    <w:rsid w:val="00222A2D"/>
    <w:rsid w:val="00223029"/>
    <w:rsid w:val="00233D91"/>
    <w:rsid w:val="00234745"/>
    <w:rsid w:val="002351A6"/>
    <w:rsid w:val="0023711F"/>
    <w:rsid w:val="002407AF"/>
    <w:rsid w:val="00243350"/>
    <w:rsid w:val="00251639"/>
    <w:rsid w:val="0026729C"/>
    <w:rsid w:val="0027466B"/>
    <w:rsid w:val="002838A5"/>
    <w:rsid w:val="00284B51"/>
    <w:rsid w:val="00285BB4"/>
    <w:rsid w:val="00291878"/>
    <w:rsid w:val="00296C1C"/>
    <w:rsid w:val="002979EF"/>
    <w:rsid w:val="002C09E3"/>
    <w:rsid w:val="002C19DD"/>
    <w:rsid w:val="002C2AE9"/>
    <w:rsid w:val="002C5319"/>
    <w:rsid w:val="002C7ECF"/>
    <w:rsid w:val="002D16AE"/>
    <w:rsid w:val="002E30D0"/>
    <w:rsid w:val="002F218A"/>
    <w:rsid w:val="00312940"/>
    <w:rsid w:val="00337CEB"/>
    <w:rsid w:val="00342AE0"/>
    <w:rsid w:val="00342C76"/>
    <w:rsid w:val="00344B58"/>
    <w:rsid w:val="003452E7"/>
    <w:rsid w:val="0034539A"/>
    <w:rsid w:val="00345CB4"/>
    <w:rsid w:val="00361F6C"/>
    <w:rsid w:val="003621EF"/>
    <w:rsid w:val="00375D42"/>
    <w:rsid w:val="00375F14"/>
    <w:rsid w:val="00393AAB"/>
    <w:rsid w:val="003B43F2"/>
    <w:rsid w:val="003C6C1D"/>
    <w:rsid w:val="003D069C"/>
    <w:rsid w:val="003D3801"/>
    <w:rsid w:val="003D418A"/>
    <w:rsid w:val="003D7259"/>
    <w:rsid w:val="003D7646"/>
    <w:rsid w:val="003E07E2"/>
    <w:rsid w:val="003F113A"/>
    <w:rsid w:val="003F3E63"/>
    <w:rsid w:val="00407480"/>
    <w:rsid w:val="00414643"/>
    <w:rsid w:val="00421FAA"/>
    <w:rsid w:val="00422A26"/>
    <w:rsid w:val="00432171"/>
    <w:rsid w:val="004322B5"/>
    <w:rsid w:val="00441405"/>
    <w:rsid w:val="004421E5"/>
    <w:rsid w:val="0044657F"/>
    <w:rsid w:val="00452284"/>
    <w:rsid w:val="00452D3C"/>
    <w:rsid w:val="00457C8E"/>
    <w:rsid w:val="0046576D"/>
    <w:rsid w:val="00466124"/>
    <w:rsid w:val="004730A5"/>
    <w:rsid w:val="004833E5"/>
    <w:rsid w:val="00483DFB"/>
    <w:rsid w:val="004856CA"/>
    <w:rsid w:val="00487E67"/>
    <w:rsid w:val="0049705E"/>
    <w:rsid w:val="004A34A0"/>
    <w:rsid w:val="004C4572"/>
    <w:rsid w:val="004F0E72"/>
    <w:rsid w:val="004F4134"/>
    <w:rsid w:val="004F5FE6"/>
    <w:rsid w:val="005008A8"/>
    <w:rsid w:val="00526B7B"/>
    <w:rsid w:val="005308CE"/>
    <w:rsid w:val="00532FE7"/>
    <w:rsid w:val="0053318C"/>
    <w:rsid w:val="0055714D"/>
    <w:rsid w:val="00566F04"/>
    <w:rsid w:val="005721E3"/>
    <w:rsid w:val="0057439C"/>
    <w:rsid w:val="0058200F"/>
    <w:rsid w:val="005A5C1C"/>
    <w:rsid w:val="005A5FB6"/>
    <w:rsid w:val="005A6293"/>
    <w:rsid w:val="005A6EAD"/>
    <w:rsid w:val="005B0127"/>
    <w:rsid w:val="005B7A35"/>
    <w:rsid w:val="005C1A3B"/>
    <w:rsid w:val="005C353B"/>
    <w:rsid w:val="005C4B73"/>
    <w:rsid w:val="005D2232"/>
    <w:rsid w:val="005D5A48"/>
    <w:rsid w:val="005E1D2B"/>
    <w:rsid w:val="005E7074"/>
    <w:rsid w:val="005F2BAF"/>
    <w:rsid w:val="005F3F6F"/>
    <w:rsid w:val="00600D93"/>
    <w:rsid w:val="00616173"/>
    <w:rsid w:val="00621C5C"/>
    <w:rsid w:val="0063300C"/>
    <w:rsid w:val="00634B92"/>
    <w:rsid w:val="00641E2E"/>
    <w:rsid w:val="00651F63"/>
    <w:rsid w:val="00655736"/>
    <w:rsid w:val="00663B8D"/>
    <w:rsid w:val="00664184"/>
    <w:rsid w:val="0066460B"/>
    <w:rsid w:val="00674F49"/>
    <w:rsid w:val="0069148D"/>
    <w:rsid w:val="0069334C"/>
    <w:rsid w:val="00696C8D"/>
    <w:rsid w:val="006A14F3"/>
    <w:rsid w:val="006A1F0B"/>
    <w:rsid w:val="006A2AC2"/>
    <w:rsid w:val="006A3617"/>
    <w:rsid w:val="006C2025"/>
    <w:rsid w:val="006C7FAC"/>
    <w:rsid w:val="006D1CAF"/>
    <w:rsid w:val="006E2481"/>
    <w:rsid w:val="006E46E4"/>
    <w:rsid w:val="007109CE"/>
    <w:rsid w:val="00716EFC"/>
    <w:rsid w:val="00717DA5"/>
    <w:rsid w:val="007333EA"/>
    <w:rsid w:val="00743A10"/>
    <w:rsid w:val="00744484"/>
    <w:rsid w:val="00747566"/>
    <w:rsid w:val="00747EB5"/>
    <w:rsid w:val="0075505E"/>
    <w:rsid w:val="00755CF9"/>
    <w:rsid w:val="00773188"/>
    <w:rsid w:val="00781809"/>
    <w:rsid w:val="00783782"/>
    <w:rsid w:val="00784B8C"/>
    <w:rsid w:val="007879E1"/>
    <w:rsid w:val="0079474A"/>
    <w:rsid w:val="007B12A4"/>
    <w:rsid w:val="007B3C52"/>
    <w:rsid w:val="008049F2"/>
    <w:rsid w:val="00823A11"/>
    <w:rsid w:val="00834B38"/>
    <w:rsid w:val="0085405E"/>
    <w:rsid w:val="0085414A"/>
    <w:rsid w:val="008547A8"/>
    <w:rsid w:val="008572D7"/>
    <w:rsid w:val="0086269D"/>
    <w:rsid w:val="0086543A"/>
    <w:rsid w:val="008715AD"/>
    <w:rsid w:val="008724E5"/>
    <w:rsid w:val="00874ED1"/>
    <w:rsid w:val="00884A9D"/>
    <w:rsid w:val="0088512B"/>
    <w:rsid w:val="00890749"/>
    <w:rsid w:val="00892D47"/>
    <w:rsid w:val="008A2B2D"/>
    <w:rsid w:val="008A4E1E"/>
    <w:rsid w:val="008A58B4"/>
    <w:rsid w:val="008A6D50"/>
    <w:rsid w:val="008B11AB"/>
    <w:rsid w:val="008B24BE"/>
    <w:rsid w:val="008B6A97"/>
    <w:rsid w:val="008C296C"/>
    <w:rsid w:val="008D4305"/>
    <w:rsid w:val="008D4E16"/>
    <w:rsid w:val="008E1A85"/>
    <w:rsid w:val="008E7E86"/>
    <w:rsid w:val="008F2B6E"/>
    <w:rsid w:val="0090067F"/>
    <w:rsid w:val="009163A7"/>
    <w:rsid w:val="009217A2"/>
    <w:rsid w:val="0094590D"/>
    <w:rsid w:val="00946D0B"/>
    <w:rsid w:val="00955877"/>
    <w:rsid w:val="0096013D"/>
    <w:rsid w:val="0098262F"/>
    <w:rsid w:val="009838AA"/>
    <w:rsid w:val="009A18CD"/>
    <w:rsid w:val="009A268D"/>
    <w:rsid w:val="009B00EA"/>
    <w:rsid w:val="009B6AEC"/>
    <w:rsid w:val="009B784B"/>
    <w:rsid w:val="009C057D"/>
    <w:rsid w:val="009C5379"/>
    <w:rsid w:val="009D199F"/>
    <w:rsid w:val="009D5428"/>
    <w:rsid w:val="009E1B07"/>
    <w:rsid w:val="009E41DC"/>
    <w:rsid w:val="00A11C75"/>
    <w:rsid w:val="00A12558"/>
    <w:rsid w:val="00A13903"/>
    <w:rsid w:val="00A145B5"/>
    <w:rsid w:val="00A14CB0"/>
    <w:rsid w:val="00A15429"/>
    <w:rsid w:val="00A15F8E"/>
    <w:rsid w:val="00A2138D"/>
    <w:rsid w:val="00A34ED5"/>
    <w:rsid w:val="00A367C7"/>
    <w:rsid w:val="00A40A7C"/>
    <w:rsid w:val="00A451D7"/>
    <w:rsid w:val="00A45DBF"/>
    <w:rsid w:val="00A67390"/>
    <w:rsid w:val="00A677FA"/>
    <w:rsid w:val="00A755A2"/>
    <w:rsid w:val="00AA5C5F"/>
    <w:rsid w:val="00AA6660"/>
    <w:rsid w:val="00AB2C36"/>
    <w:rsid w:val="00AB43E6"/>
    <w:rsid w:val="00AB6DDE"/>
    <w:rsid w:val="00AB70B6"/>
    <w:rsid w:val="00AC286B"/>
    <w:rsid w:val="00AC34F1"/>
    <w:rsid w:val="00AC6E2F"/>
    <w:rsid w:val="00AD1A86"/>
    <w:rsid w:val="00AD7AF8"/>
    <w:rsid w:val="00AE103E"/>
    <w:rsid w:val="00AE4B77"/>
    <w:rsid w:val="00AF0A07"/>
    <w:rsid w:val="00AF3F37"/>
    <w:rsid w:val="00AF4AEC"/>
    <w:rsid w:val="00AF625E"/>
    <w:rsid w:val="00B03430"/>
    <w:rsid w:val="00B05F1B"/>
    <w:rsid w:val="00B139BE"/>
    <w:rsid w:val="00B332D5"/>
    <w:rsid w:val="00B44CBB"/>
    <w:rsid w:val="00B527DB"/>
    <w:rsid w:val="00B61E41"/>
    <w:rsid w:val="00B82C34"/>
    <w:rsid w:val="00B84925"/>
    <w:rsid w:val="00B849F4"/>
    <w:rsid w:val="00BA241A"/>
    <w:rsid w:val="00BA6EB1"/>
    <w:rsid w:val="00BB04AF"/>
    <w:rsid w:val="00BD4273"/>
    <w:rsid w:val="00BD52C9"/>
    <w:rsid w:val="00BD66BC"/>
    <w:rsid w:val="00BE20E1"/>
    <w:rsid w:val="00BE245C"/>
    <w:rsid w:val="00BE52AF"/>
    <w:rsid w:val="00BE6354"/>
    <w:rsid w:val="00BF0297"/>
    <w:rsid w:val="00BF1B64"/>
    <w:rsid w:val="00C022B4"/>
    <w:rsid w:val="00C138D1"/>
    <w:rsid w:val="00C1547F"/>
    <w:rsid w:val="00C15B12"/>
    <w:rsid w:val="00C20334"/>
    <w:rsid w:val="00C23A97"/>
    <w:rsid w:val="00C2550E"/>
    <w:rsid w:val="00C3672A"/>
    <w:rsid w:val="00C55B5C"/>
    <w:rsid w:val="00C56898"/>
    <w:rsid w:val="00C5776D"/>
    <w:rsid w:val="00C64855"/>
    <w:rsid w:val="00C70EA7"/>
    <w:rsid w:val="00C7433F"/>
    <w:rsid w:val="00C7516E"/>
    <w:rsid w:val="00C75770"/>
    <w:rsid w:val="00C91810"/>
    <w:rsid w:val="00CA56BB"/>
    <w:rsid w:val="00CB0542"/>
    <w:rsid w:val="00CB1DFC"/>
    <w:rsid w:val="00CF41E9"/>
    <w:rsid w:val="00D00B2B"/>
    <w:rsid w:val="00D033A5"/>
    <w:rsid w:val="00D11B6A"/>
    <w:rsid w:val="00D23097"/>
    <w:rsid w:val="00D243C9"/>
    <w:rsid w:val="00D24877"/>
    <w:rsid w:val="00D32517"/>
    <w:rsid w:val="00D33B59"/>
    <w:rsid w:val="00D400C7"/>
    <w:rsid w:val="00D8250F"/>
    <w:rsid w:val="00D83048"/>
    <w:rsid w:val="00D9528C"/>
    <w:rsid w:val="00D95C4C"/>
    <w:rsid w:val="00DA276E"/>
    <w:rsid w:val="00DA36ED"/>
    <w:rsid w:val="00DB1E91"/>
    <w:rsid w:val="00DD458C"/>
    <w:rsid w:val="00DE34F1"/>
    <w:rsid w:val="00DE5BA3"/>
    <w:rsid w:val="00DE6160"/>
    <w:rsid w:val="00DF4942"/>
    <w:rsid w:val="00E104A2"/>
    <w:rsid w:val="00E1525C"/>
    <w:rsid w:val="00E16CF2"/>
    <w:rsid w:val="00E2342F"/>
    <w:rsid w:val="00E244E1"/>
    <w:rsid w:val="00E36658"/>
    <w:rsid w:val="00E40B33"/>
    <w:rsid w:val="00E43547"/>
    <w:rsid w:val="00E4366A"/>
    <w:rsid w:val="00E45560"/>
    <w:rsid w:val="00E473CC"/>
    <w:rsid w:val="00E54929"/>
    <w:rsid w:val="00E627B1"/>
    <w:rsid w:val="00E63338"/>
    <w:rsid w:val="00E70169"/>
    <w:rsid w:val="00E779C6"/>
    <w:rsid w:val="00E83ECF"/>
    <w:rsid w:val="00E9376C"/>
    <w:rsid w:val="00E95AE2"/>
    <w:rsid w:val="00E977CF"/>
    <w:rsid w:val="00EA2378"/>
    <w:rsid w:val="00EA335E"/>
    <w:rsid w:val="00EA528C"/>
    <w:rsid w:val="00EA580C"/>
    <w:rsid w:val="00EC2C84"/>
    <w:rsid w:val="00EC6F8D"/>
    <w:rsid w:val="00EE49F4"/>
    <w:rsid w:val="00EF34E2"/>
    <w:rsid w:val="00EF4E70"/>
    <w:rsid w:val="00EF560C"/>
    <w:rsid w:val="00EF7A24"/>
    <w:rsid w:val="00F12687"/>
    <w:rsid w:val="00F30DC6"/>
    <w:rsid w:val="00F32C23"/>
    <w:rsid w:val="00F37651"/>
    <w:rsid w:val="00F419F4"/>
    <w:rsid w:val="00F4655D"/>
    <w:rsid w:val="00F53DE9"/>
    <w:rsid w:val="00F576CB"/>
    <w:rsid w:val="00F7035D"/>
    <w:rsid w:val="00F71A02"/>
    <w:rsid w:val="00F75D73"/>
    <w:rsid w:val="00FA0D63"/>
    <w:rsid w:val="00FA22E4"/>
    <w:rsid w:val="00FB3ED4"/>
    <w:rsid w:val="00FC2D3F"/>
    <w:rsid w:val="00FD1226"/>
    <w:rsid w:val="00FF4830"/>
    <w:rsid w:val="00FF4D1E"/>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E59EF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42C76"/>
    <w:pPr>
      <w:ind w:left="720"/>
      <w:contextualSpacing/>
    </w:pPr>
  </w:style>
  <w:style w:type="character" w:styleId="Hyperlink">
    <w:name w:val="Hyperlink"/>
    <w:aliases w:val=" Car Car3 Char, Car Car3 Char Char Char Char"/>
    <w:link w:val="CarCar3"/>
    <w:rsid w:val="00E977CF"/>
    <w:rPr>
      <w:color w:val="0000FF"/>
      <w:u w:val="single"/>
    </w:rPr>
  </w:style>
  <w:style w:type="paragraph" w:styleId="FootnoteText">
    <w:name w:val="footnote text"/>
    <w:basedOn w:val="Normal"/>
    <w:link w:val="FootnoteTextChar"/>
    <w:uiPriority w:val="99"/>
    <w:unhideWhenUsed/>
    <w:rsid w:val="00E977CF"/>
    <w:rPr>
      <w:sz w:val="20"/>
      <w:szCs w:val="20"/>
    </w:rPr>
  </w:style>
  <w:style w:type="character" w:customStyle="1" w:styleId="FootnoteTextChar">
    <w:name w:val="Footnote Text Char"/>
    <w:basedOn w:val="DefaultParagraphFont"/>
    <w:link w:val="FootnoteText"/>
    <w:uiPriority w:val="99"/>
    <w:rsid w:val="00E977CF"/>
    <w:rPr>
      <w:rFonts w:ascii="Times New Roman" w:eastAsia="Times New Roman" w:hAnsi="Times New Roman"/>
    </w:rPr>
  </w:style>
  <w:style w:type="character" w:styleId="FootnoteReference">
    <w:name w:val="footnote reference"/>
    <w:basedOn w:val="DefaultParagraphFont"/>
    <w:uiPriority w:val="99"/>
    <w:semiHidden/>
    <w:unhideWhenUsed/>
    <w:rsid w:val="00E977CF"/>
    <w:rPr>
      <w:vertAlign w:val="superscript"/>
    </w:rPr>
  </w:style>
  <w:style w:type="character" w:styleId="CommentReference">
    <w:name w:val="annotation reference"/>
    <w:basedOn w:val="DefaultParagraphFont"/>
    <w:uiPriority w:val="99"/>
    <w:semiHidden/>
    <w:unhideWhenUsed/>
    <w:rsid w:val="00D23097"/>
    <w:rPr>
      <w:sz w:val="16"/>
      <w:szCs w:val="16"/>
    </w:rPr>
  </w:style>
  <w:style w:type="paragraph" w:styleId="CommentText">
    <w:name w:val="annotation text"/>
    <w:basedOn w:val="Normal"/>
    <w:link w:val="CommentTextChar"/>
    <w:uiPriority w:val="99"/>
    <w:semiHidden/>
    <w:unhideWhenUsed/>
    <w:rsid w:val="00D23097"/>
    <w:rPr>
      <w:sz w:val="20"/>
      <w:szCs w:val="20"/>
    </w:rPr>
  </w:style>
  <w:style w:type="character" w:customStyle="1" w:styleId="CommentTextChar">
    <w:name w:val="Comment Text Char"/>
    <w:basedOn w:val="DefaultParagraphFont"/>
    <w:link w:val="CommentText"/>
    <w:uiPriority w:val="99"/>
    <w:semiHidden/>
    <w:rsid w:val="00D2309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23097"/>
    <w:rPr>
      <w:b/>
      <w:bCs/>
    </w:rPr>
  </w:style>
  <w:style w:type="character" w:customStyle="1" w:styleId="CommentSubjectChar">
    <w:name w:val="Comment Subject Char"/>
    <w:basedOn w:val="CommentTextChar"/>
    <w:link w:val="CommentSubject"/>
    <w:uiPriority w:val="99"/>
    <w:semiHidden/>
    <w:rsid w:val="00D23097"/>
    <w:rPr>
      <w:rFonts w:ascii="Times New Roman" w:eastAsia="Times New Roman" w:hAnsi="Times New Roman"/>
      <w:b/>
      <w:bCs/>
    </w:rPr>
  </w:style>
  <w:style w:type="paragraph" w:customStyle="1" w:styleId="U1">
    <w:name w:val="U.1"/>
    <w:basedOn w:val="Normal"/>
    <w:qFormat/>
    <w:rsid w:val="00A14CB0"/>
    <w:pPr>
      <w:widowControl w:val="0"/>
      <w:tabs>
        <w:tab w:val="left" w:pos="1701"/>
      </w:tabs>
      <w:autoSpaceDE w:val="0"/>
      <w:autoSpaceDN w:val="0"/>
      <w:adjustRightInd w:val="0"/>
      <w:spacing w:after="120"/>
      <w:ind w:left="1701" w:hanging="567"/>
    </w:pPr>
    <w:rPr>
      <w:rFonts w:ascii="Arial" w:eastAsia="SimSun" w:hAnsi="Arial" w:cs="Arial"/>
      <w:sz w:val="22"/>
      <w:szCs w:val="22"/>
      <w:lang w:val="en-US"/>
    </w:rPr>
  </w:style>
  <w:style w:type="paragraph" w:customStyle="1" w:styleId="i">
    <w:name w:val="(i)"/>
    <w:basedOn w:val="Normal"/>
    <w:link w:val="iChar"/>
    <w:autoRedefine/>
    <w:qFormat/>
    <w:rsid w:val="006D1CAF"/>
    <w:pPr>
      <w:numPr>
        <w:numId w:val="10"/>
      </w:numPr>
      <w:tabs>
        <w:tab w:val="left" w:pos="952"/>
      </w:tabs>
      <w:autoSpaceDE w:val="0"/>
      <w:autoSpaceDN w:val="0"/>
      <w:adjustRightInd w:val="0"/>
      <w:spacing w:before="120" w:after="120"/>
      <w:ind w:right="284"/>
      <w:jc w:val="both"/>
    </w:pPr>
    <w:rPr>
      <w:rFonts w:ascii="Arial" w:eastAsia="SimSun" w:hAnsi="Arial" w:cs="Arial"/>
      <w:w w:val="90"/>
      <w:sz w:val="22"/>
      <w:szCs w:val="22"/>
      <w:lang w:val="en-US"/>
    </w:rPr>
  </w:style>
  <w:style w:type="character" w:customStyle="1" w:styleId="iChar">
    <w:name w:val="(i) Char"/>
    <w:link w:val="i"/>
    <w:locked/>
    <w:rsid w:val="006D1CAF"/>
    <w:rPr>
      <w:rFonts w:ascii="Arial" w:hAnsi="Arial" w:cs="Arial"/>
      <w:w w:val="90"/>
      <w:sz w:val="22"/>
      <w:szCs w:val="22"/>
      <w:lang w:val="en-US"/>
    </w:rPr>
  </w:style>
  <w:style w:type="character" w:styleId="FollowedHyperlink">
    <w:name w:val="FollowedHyperlink"/>
    <w:basedOn w:val="DefaultParagraphFont"/>
    <w:uiPriority w:val="99"/>
    <w:semiHidden/>
    <w:unhideWhenUsed/>
    <w:rsid w:val="0090067F"/>
    <w:rPr>
      <w:color w:val="800080" w:themeColor="followedHyperlink"/>
      <w:u w:val="single"/>
    </w:rPr>
  </w:style>
  <w:style w:type="paragraph" w:customStyle="1" w:styleId="GAParaResolution">
    <w:name w:val="GA Para Resolution"/>
    <w:basedOn w:val="Normal"/>
    <w:qFormat/>
    <w:rsid w:val="0094590D"/>
    <w:pPr>
      <w:autoSpaceDE w:val="0"/>
      <w:autoSpaceDN w:val="0"/>
      <w:adjustRightInd w:val="0"/>
      <w:spacing w:after="120"/>
      <w:ind w:left="1134" w:hanging="567"/>
      <w:jc w:val="both"/>
    </w:pPr>
    <w:rPr>
      <w:rFonts w:ascii="Arial" w:eastAsia="SimSun" w:hAnsi="Arial" w:cs="Arial"/>
      <w:sz w:val="22"/>
      <w:szCs w:val="22"/>
      <w:u w:val="single"/>
      <w:lang w:val="en-GB"/>
    </w:rPr>
  </w:style>
  <w:style w:type="paragraph" w:customStyle="1" w:styleId="ChapitreI11">
    <w:name w:val="Chapitre I.1.1"/>
    <w:basedOn w:val="Normal"/>
    <w:rsid w:val="0094590D"/>
    <w:pPr>
      <w:keepNext/>
      <w:keepLines/>
      <w:numPr>
        <w:numId w:val="47"/>
      </w:numPr>
      <w:spacing w:before="120"/>
      <w:ind w:left="0" w:firstLine="0"/>
    </w:pPr>
    <w:rPr>
      <w:rFonts w:ascii="Arial" w:eastAsia="SimSun" w:hAnsi="Arial"/>
      <w:bCs/>
      <w:sz w:val="22"/>
      <w:lang w:eastAsia="zh-CN"/>
    </w:rPr>
  </w:style>
  <w:style w:type="paragraph" w:customStyle="1" w:styleId="ChaitreI111">
    <w:name w:val="Chaitre I.1.1.1"/>
    <w:basedOn w:val="Normal"/>
    <w:rsid w:val="0094590D"/>
    <w:pPr>
      <w:keepNext/>
    </w:pPr>
    <w:rPr>
      <w:rFonts w:ascii="Arial" w:eastAsia="SimSun" w:hAnsi="Arial" w:cs="Arial"/>
      <w:bCs/>
      <w:i/>
      <w:iCs/>
      <w:sz w:val="22"/>
      <w:szCs w:val="22"/>
      <w:lang w:eastAsia="zh-CN"/>
    </w:rPr>
  </w:style>
  <w:style w:type="paragraph" w:customStyle="1" w:styleId="numrationa">
    <w:name w:val="énumération (a)"/>
    <w:basedOn w:val="Normal"/>
    <w:rsid w:val="0094590D"/>
    <w:pPr>
      <w:spacing w:before="120"/>
      <w:ind w:left="360" w:hanging="360"/>
      <w:jc w:val="both"/>
    </w:pPr>
    <w:rPr>
      <w:rFonts w:ascii="Arial" w:eastAsia="SimSun" w:hAnsi="Arial" w:cs="Arial"/>
      <w:sz w:val="22"/>
      <w:szCs w:val="22"/>
      <w:lang w:eastAsia="zh-CN"/>
    </w:rPr>
  </w:style>
  <w:style w:type="paragraph" w:customStyle="1" w:styleId="CarCar3">
    <w:name w:val="Car Car3"/>
    <w:aliases w:val=" Car Car3 Char Char"/>
    <w:basedOn w:val="Normal"/>
    <w:link w:val="Hyperlink"/>
    <w:rsid w:val="0094590D"/>
    <w:pPr>
      <w:tabs>
        <w:tab w:val="left" w:pos="510"/>
        <w:tab w:val="right" w:pos="9639"/>
      </w:tabs>
      <w:autoSpaceDE w:val="0"/>
      <w:autoSpaceDN w:val="0"/>
      <w:adjustRightInd w:val="0"/>
      <w:spacing w:after="80" w:line="220" w:lineRule="exact"/>
      <w:ind w:left="1020" w:hanging="510"/>
      <w:jc w:val="both"/>
    </w:pPr>
    <w:rPr>
      <w:rFonts w:ascii="Calibri" w:eastAsia="SimSun" w:hAnsi="Calibri"/>
      <w:color w:val="0000FF"/>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078488">
      <w:bodyDiv w:val="1"/>
      <w:marLeft w:val="0"/>
      <w:marRight w:val="0"/>
      <w:marTop w:val="0"/>
      <w:marBottom w:val="0"/>
      <w:divBdr>
        <w:top w:val="none" w:sz="0" w:space="0" w:color="auto"/>
        <w:left w:val="none" w:sz="0" w:space="0" w:color="auto"/>
        <w:bottom w:val="none" w:sz="0" w:space="0" w:color="auto"/>
        <w:right w:val="none" w:sz="0" w:space="0" w:color="auto"/>
      </w:divBdr>
      <w:divsChild>
        <w:div w:id="883716340">
          <w:marLeft w:val="0"/>
          <w:marRight w:val="0"/>
          <w:marTop w:val="15"/>
          <w:marBottom w:val="0"/>
          <w:divBdr>
            <w:top w:val="none" w:sz="0" w:space="0" w:color="auto"/>
            <w:left w:val="none" w:sz="0" w:space="0" w:color="auto"/>
            <w:bottom w:val="none" w:sz="0" w:space="0" w:color="auto"/>
            <w:right w:val="none" w:sz="0" w:space="0" w:color="auto"/>
          </w:divBdr>
          <w:divsChild>
            <w:div w:id="1800342837">
              <w:marLeft w:val="0"/>
              <w:marRight w:val="0"/>
              <w:marTop w:val="0"/>
              <w:marBottom w:val="0"/>
              <w:divBdr>
                <w:top w:val="none" w:sz="0" w:space="0" w:color="auto"/>
                <w:left w:val="none" w:sz="0" w:space="0" w:color="auto"/>
                <w:bottom w:val="none" w:sz="0" w:space="0" w:color="auto"/>
                <w:right w:val="none" w:sz="0" w:space="0" w:color="auto"/>
              </w:divBdr>
            </w:div>
          </w:divsChild>
        </w:div>
        <w:div w:id="260452666">
          <w:marLeft w:val="0"/>
          <w:marRight w:val="0"/>
          <w:marTop w:val="15"/>
          <w:marBottom w:val="0"/>
          <w:divBdr>
            <w:top w:val="none" w:sz="0" w:space="0" w:color="auto"/>
            <w:left w:val="none" w:sz="0" w:space="0" w:color="auto"/>
            <w:bottom w:val="none" w:sz="0" w:space="0" w:color="auto"/>
            <w:right w:val="none" w:sz="0" w:space="0" w:color="auto"/>
          </w:divBdr>
          <w:divsChild>
            <w:div w:id="182624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00721418">
      <w:bodyDiv w:val="1"/>
      <w:marLeft w:val="0"/>
      <w:marRight w:val="0"/>
      <w:marTop w:val="0"/>
      <w:marBottom w:val="0"/>
      <w:divBdr>
        <w:top w:val="none" w:sz="0" w:space="0" w:color="auto"/>
        <w:left w:val="none" w:sz="0" w:space="0" w:color="auto"/>
        <w:bottom w:val="none" w:sz="0" w:space="0" w:color="auto"/>
        <w:right w:val="none" w:sz="0" w:space="0" w:color="auto"/>
      </w:divBdr>
    </w:div>
    <w:div w:id="1665431842">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2.COM/17" TargetMode="External"/><Relationship Id="rId13" Type="http://schemas.openxmlformats.org/officeDocument/2006/relationships/hyperlink" Target="https://ich.unesco.org/doc/src/LHE-19-NGO-2-EN.docx" TargetMode="External"/><Relationship Id="rId18" Type="http://schemas.openxmlformats.org/officeDocument/2006/relationships/hyperlink" Target="https://ich.unesco.org/en/Resolutions/7.GA/11"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ich.unesco.org/doc/src/ITH-17-12.COM-17-EN.docx" TargetMode="External"/><Relationship Id="rId7" Type="http://schemas.openxmlformats.org/officeDocument/2006/relationships/endnotes" Target="endnotes.xml"/><Relationship Id="rId12" Type="http://schemas.openxmlformats.org/officeDocument/2006/relationships/hyperlink" Target="https://ich.unesco.org/en/Decisions/13.COM/13" TargetMode="External"/><Relationship Id="rId17" Type="http://schemas.openxmlformats.org/officeDocument/2006/relationships/hyperlink" Target="https://ich.unesco.org/doc/src/ITH-18-7.GA-11-EN.doc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ch.unesco.org/doc/src/LHE-19-14.COM-16-EN.docx" TargetMode="External"/><Relationship Id="rId20" Type="http://schemas.openxmlformats.org/officeDocument/2006/relationships/hyperlink" Target="https://ich.unesco.org/en/Decisions/13.COM/1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ITH-18-13.COM-13-EN.docx" TargetMode="External"/><Relationship Id="rId24" Type="http://schemas.openxmlformats.org/officeDocument/2006/relationships/hyperlink" Target="https://ich.unesco.org/doc/src/45581-EN.docx" TargetMode="External"/><Relationship Id="rId5" Type="http://schemas.openxmlformats.org/officeDocument/2006/relationships/webSettings" Target="webSettings.xml"/><Relationship Id="rId15" Type="http://schemas.openxmlformats.org/officeDocument/2006/relationships/hyperlink" Target="https://ich.unesco.org/en/Decisions/13.COM/16" TargetMode="External"/><Relationship Id="rId23" Type="http://schemas.openxmlformats.org/officeDocument/2006/relationships/hyperlink" Target="https://ich.unesco.org/doc/src/LHE-19-NGO-2-EN.docx" TargetMode="External"/><Relationship Id="rId28" Type="http://schemas.openxmlformats.org/officeDocument/2006/relationships/fontTable" Target="fontTable.xml"/><Relationship Id="rId10" Type="http://schemas.openxmlformats.org/officeDocument/2006/relationships/hyperlink" Target="https://ich.unesco.org/doc/src/ITH-18-NGO-2_Questionnaire_EN.pdf" TargetMode="External"/><Relationship Id="rId19" Type="http://schemas.openxmlformats.org/officeDocument/2006/relationships/hyperlink" Target="https://ich.unesco.org/en/Decisions/12.COM/17" TargetMode="External"/><Relationship Id="rId4" Type="http://schemas.openxmlformats.org/officeDocument/2006/relationships/settings" Target="settings.xml"/><Relationship Id="rId9" Type="http://schemas.openxmlformats.org/officeDocument/2006/relationships/hyperlink" Target="https://ich.unesco.org/en/Decisions/7.GA/11" TargetMode="External"/><Relationship Id="rId14" Type="http://schemas.openxmlformats.org/officeDocument/2006/relationships/hyperlink" Target="https://ich.unesco.org/doc/src/45581-EN.docx" TargetMode="External"/><Relationship Id="rId22" Type="http://schemas.openxmlformats.org/officeDocument/2006/relationships/hyperlink" Target="https://ich.unesco.org/doc/src/ITH-18-13.COM-13-EN.docx" TargetMode="External"/><Relationship Id="rId27" Type="http://schemas.openxmlformats.org/officeDocument/2006/relationships/header" Target="header3.xml"/><Relationship Id="rId30"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unesdoc.unesco.org/ark:/48223/pf0000370506" TargetMode="External"/><Relationship Id="rId2" Type="http://schemas.openxmlformats.org/officeDocument/2006/relationships/hyperlink" Target="https://ich.unesco.org/doc/src/LHE-19-14.COM-17-EN.docx" TargetMode="External"/><Relationship Id="rId1" Type="http://schemas.openxmlformats.org/officeDocument/2006/relationships/hyperlink" Target="https://ich.unesco.org/en/%20reflection-on-the-role-of-ngos-01037" TargetMode="External"/><Relationship Id="rId4" Type="http://schemas.openxmlformats.org/officeDocument/2006/relationships/hyperlink" Target="https://unesdoc.unesco.org/ark:/48223/pf000024399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3394B-43C2-471C-A057-18DBA9654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54</TotalTime>
  <Pages>7</Pages>
  <Words>3481</Words>
  <Characters>19147</Characters>
  <Application>Microsoft Office Word</Application>
  <DocSecurity>0</DocSecurity>
  <Lines>159</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Thibault, Alice</cp:lastModifiedBy>
  <cp:revision>19</cp:revision>
  <cp:lastPrinted>2019-10-28T11:24:00Z</cp:lastPrinted>
  <dcterms:created xsi:type="dcterms:W3CDTF">2019-10-30T13:59:00Z</dcterms:created>
  <dcterms:modified xsi:type="dcterms:W3CDTF">2019-11-07T09:39:00Z</dcterms:modified>
</cp:coreProperties>
</file>