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10A7F" w14:textId="53237415" w:rsidR="002F47FC" w:rsidRPr="003D4C7F" w:rsidRDefault="002F47FC" w:rsidP="005E0737">
      <w:pPr>
        <w:spacing w:before="1400"/>
        <w:jc w:val="center"/>
        <w:rPr>
          <w:rFonts w:ascii="Arial" w:hAnsi="Arial" w:cs="Arial"/>
          <w:b/>
          <w:sz w:val="22"/>
          <w:szCs w:val="22"/>
        </w:rPr>
      </w:pPr>
      <w:r w:rsidRPr="003D4C7F">
        <w:rPr>
          <w:rFonts w:ascii="Arial" w:hAnsi="Arial" w:cs="Arial"/>
          <w:b/>
          <w:sz w:val="22"/>
          <w:szCs w:val="22"/>
        </w:rPr>
        <w:t>CONVENTION POUR LA SAUVEGARDE</w:t>
      </w:r>
      <w:r>
        <w:rPr>
          <w:rFonts w:ascii="Arial" w:hAnsi="Arial" w:cs="Arial"/>
          <w:b/>
          <w:sz w:val="22"/>
          <w:szCs w:val="22"/>
        </w:rPr>
        <w:br/>
      </w:r>
      <w:r w:rsidRPr="003D4C7F">
        <w:rPr>
          <w:rFonts w:ascii="Arial" w:hAnsi="Arial" w:cs="Arial"/>
          <w:b/>
          <w:sz w:val="22"/>
          <w:szCs w:val="22"/>
        </w:rPr>
        <w:t>DU</w:t>
      </w:r>
      <w:r>
        <w:rPr>
          <w:rFonts w:ascii="Arial" w:hAnsi="Arial" w:cs="Arial"/>
          <w:b/>
          <w:sz w:val="22"/>
          <w:szCs w:val="22"/>
        </w:rPr>
        <w:t xml:space="preserve"> </w:t>
      </w:r>
      <w:r w:rsidRPr="003D4C7F">
        <w:rPr>
          <w:rFonts w:ascii="Arial" w:hAnsi="Arial" w:cs="Arial"/>
          <w:b/>
          <w:sz w:val="22"/>
          <w:szCs w:val="22"/>
        </w:rPr>
        <w:t>PATRIMOINE CULTUREL IMMATÉRIEL</w:t>
      </w:r>
    </w:p>
    <w:p w14:paraId="127C597F" w14:textId="77777777" w:rsidR="002F47FC" w:rsidRPr="003D4C7F" w:rsidRDefault="002F47FC" w:rsidP="002F47FC">
      <w:pPr>
        <w:spacing w:before="1200"/>
        <w:jc w:val="center"/>
        <w:rPr>
          <w:rFonts w:ascii="Arial" w:hAnsi="Arial" w:cs="Arial"/>
          <w:b/>
          <w:sz w:val="22"/>
          <w:szCs w:val="22"/>
        </w:rPr>
      </w:pPr>
      <w:r w:rsidRPr="003D4C7F">
        <w:rPr>
          <w:rFonts w:ascii="Arial" w:hAnsi="Arial" w:cs="Arial"/>
          <w:b/>
          <w:sz w:val="22"/>
          <w:szCs w:val="22"/>
        </w:rPr>
        <w:t>COMITÉ INTERGOUVERNEMENTAL DE SAUVEGARDE</w:t>
      </w:r>
      <w:r w:rsidRPr="003D4C7F">
        <w:rPr>
          <w:rFonts w:ascii="Arial" w:hAnsi="Arial" w:cs="Arial"/>
          <w:b/>
          <w:sz w:val="22"/>
          <w:szCs w:val="22"/>
        </w:rPr>
        <w:br/>
        <w:t>DU PATRIMOINE CULTUREL IMMAT</w:t>
      </w:r>
      <w:r>
        <w:rPr>
          <w:rFonts w:ascii="Arial" w:hAnsi="Arial" w:cs="Arial"/>
          <w:b/>
          <w:sz w:val="22"/>
          <w:szCs w:val="22"/>
        </w:rPr>
        <w:t>É</w:t>
      </w:r>
      <w:r w:rsidRPr="003D4C7F">
        <w:rPr>
          <w:rFonts w:ascii="Arial" w:hAnsi="Arial" w:cs="Arial"/>
          <w:b/>
          <w:sz w:val="22"/>
          <w:szCs w:val="22"/>
        </w:rPr>
        <w:t>RIEL</w:t>
      </w:r>
    </w:p>
    <w:p w14:paraId="478208D2" w14:textId="77777777" w:rsidR="002F47FC" w:rsidRPr="003D4C7F" w:rsidRDefault="002F47FC" w:rsidP="002F47FC">
      <w:pPr>
        <w:spacing w:before="840"/>
        <w:jc w:val="center"/>
        <w:rPr>
          <w:rFonts w:ascii="Arial" w:hAnsi="Arial" w:cs="Arial"/>
          <w:b/>
          <w:sz w:val="22"/>
          <w:szCs w:val="22"/>
        </w:rPr>
      </w:pPr>
      <w:r w:rsidRPr="003D4C7F">
        <w:rPr>
          <w:rFonts w:ascii="Arial" w:hAnsi="Arial" w:cs="Arial"/>
          <w:b/>
          <w:sz w:val="22"/>
          <w:szCs w:val="22"/>
        </w:rPr>
        <w:t>Quatorzième</w:t>
      </w:r>
      <w:r w:rsidRPr="003D4C7F">
        <w:rPr>
          <w:rFonts w:ascii="Arial" w:eastAsiaTheme="minorEastAsia" w:hAnsi="Arial" w:cs="Arial"/>
          <w:b/>
          <w:sz w:val="22"/>
          <w:szCs w:val="22"/>
          <w:lang w:eastAsia="ko-KR"/>
        </w:rPr>
        <w:t xml:space="preserve"> </w:t>
      </w:r>
      <w:r w:rsidRPr="003D4C7F">
        <w:rPr>
          <w:rFonts w:ascii="Arial" w:hAnsi="Arial" w:cs="Arial"/>
          <w:b/>
          <w:sz w:val="22"/>
          <w:szCs w:val="22"/>
        </w:rPr>
        <w:t>session</w:t>
      </w:r>
    </w:p>
    <w:p w14:paraId="62993628" w14:textId="77777777" w:rsidR="002F47FC" w:rsidRPr="003D4C7F" w:rsidRDefault="002F47FC" w:rsidP="002F47FC">
      <w:pPr>
        <w:jc w:val="center"/>
        <w:rPr>
          <w:rFonts w:ascii="Arial" w:hAnsi="Arial" w:cs="Arial"/>
          <w:b/>
          <w:sz w:val="22"/>
          <w:szCs w:val="22"/>
        </w:rPr>
      </w:pPr>
      <w:r w:rsidRPr="003D4C7F">
        <w:rPr>
          <w:rFonts w:ascii="Arial" w:hAnsi="Arial" w:cs="Arial"/>
          <w:b/>
          <w:sz w:val="22"/>
          <w:szCs w:val="22"/>
        </w:rPr>
        <w:t>Bogotá</w:t>
      </w:r>
      <w:r w:rsidRPr="003D4C7F">
        <w:rPr>
          <w:rFonts w:ascii="Arial" w:eastAsiaTheme="minorEastAsia" w:hAnsi="Arial" w:cs="Arial"/>
          <w:b/>
          <w:sz w:val="22"/>
          <w:szCs w:val="22"/>
          <w:lang w:eastAsia="ko-KR"/>
        </w:rPr>
        <w:t>,</w:t>
      </w:r>
      <w:r w:rsidRPr="003D4C7F">
        <w:rPr>
          <w:rFonts w:ascii="Arial" w:hAnsi="Arial" w:cs="Arial"/>
          <w:b/>
          <w:sz w:val="22"/>
          <w:szCs w:val="22"/>
        </w:rPr>
        <w:t xml:space="preserve"> République de Colombie</w:t>
      </w:r>
    </w:p>
    <w:p w14:paraId="2ABF7C84" w14:textId="77777777" w:rsidR="002F47FC" w:rsidRPr="003D4C7F" w:rsidRDefault="002F47FC" w:rsidP="002F47FC">
      <w:pPr>
        <w:jc w:val="center"/>
        <w:rPr>
          <w:rFonts w:ascii="Arial" w:eastAsiaTheme="minorEastAsia" w:hAnsi="Arial" w:cs="Arial"/>
          <w:b/>
          <w:sz w:val="22"/>
          <w:szCs w:val="22"/>
          <w:lang w:eastAsia="ko-KR"/>
        </w:rPr>
      </w:pPr>
      <w:r w:rsidRPr="003D4C7F">
        <w:rPr>
          <w:rFonts w:ascii="Arial" w:eastAsiaTheme="minorEastAsia" w:hAnsi="Arial" w:cs="Arial"/>
          <w:b/>
          <w:sz w:val="22"/>
          <w:szCs w:val="22"/>
          <w:lang w:eastAsia="ko-KR"/>
        </w:rPr>
        <w:t xml:space="preserve">9 </w:t>
      </w:r>
      <w:r w:rsidRPr="003D4C7F">
        <w:rPr>
          <w:rFonts w:ascii="Arial" w:hAnsi="Arial" w:cs="Arial"/>
          <w:b/>
          <w:sz w:val="22"/>
          <w:szCs w:val="22"/>
        </w:rPr>
        <w:t xml:space="preserve">– </w:t>
      </w:r>
      <w:r w:rsidRPr="003D4C7F">
        <w:rPr>
          <w:rFonts w:ascii="Arial" w:eastAsiaTheme="minorEastAsia" w:hAnsi="Arial" w:cs="Arial"/>
          <w:b/>
          <w:sz w:val="22"/>
          <w:szCs w:val="22"/>
          <w:lang w:eastAsia="ko-KR"/>
        </w:rPr>
        <w:t xml:space="preserve">14 </w:t>
      </w:r>
      <w:r w:rsidRPr="003D4C7F">
        <w:rPr>
          <w:rFonts w:ascii="Arial" w:hAnsi="Arial" w:cs="Arial"/>
          <w:b/>
          <w:sz w:val="22"/>
          <w:szCs w:val="22"/>
        </w:rPr>
        <w:t>décembre 201</w:t>
      </w:r>
      <w:r w:rsidRPr="003D4C7F">
        <w:rPr>
          <w:rFonts w:ascii="Arial" w:eastAsiaTheme="minorEastAsia" w:hAnsi="Arial" w:cs="Arial"/>
          <w:b/>
          <w:sz w:val="22"/>
          <w:szCs w:val="22"/>
          <w:lang w:eastAsia="ko-KR"/>
        </w:rPr>
        <w:t>9</w:t>
      </w:r>
    </w:p>
    <w:p w14:paraId="0F18A195" w14:textId="77777777" w:rsidR="002F47FC" w:rsidRPr="003D4C7F" w:rsidRDefault="002F47FC" w:rsidP="002F47FC">
      <w:pPr>
        <w:pStyle w:val="Sansinterligne2"/>
        <w:spacing w:before="1200"/>
        <w:jc w:val="center"/>
        <w:rPr>
          <w:rFonts w:ascii="Arial" w:hAnsi="Arial" w:cs="Arial"/>
          <w:b/>
          <w:sz w:val="22"/>
          <w:szCs w:val="22"/>
        </w:rPr>
      </w:pPr>
      <w:r w:rsidRPr="003D4C7F">
        <w:rPr>
          <w:rFonts w:ascii="Arial" w:hAnsi="Arial" w:cs="Arial"/>
          <w:b/>
          <w:sz w:val="22"/>
          <w:szCs w:val="22"/>
          <w:u w:val="single"/>
        </w:rPr>
        <w:t>Point 10.c de l’ordre du jour provisoire</w:t>
      </w:r>
      <w:r w:rsidRPr="003D4C7F">
        <w:rPr>
          <w:rFonts w:ascii="Arial" w:hAnsi="Arial" w:cs="Arial"/>
          <w:b/>
          <w:sz w:val="22"/>
          <w:szCs w:val="22"/>
        </w:rPr>
        <w:t> :</w:t>
      </w:r>
    </w:p>
    <w:p w14:paraId="3EFB8B80" w14:textId="261D39BB" w:rsidR="002F47FC" w:rsidRDefault="002F47FC" w:rsidP="002F47FC">
      <w:pPr>
        <w:pStyle w:val="Sansinterligne2"/>
        <w:spacing w:after="1200"/>
        <w:jc w:val="center"/>
        <w:rPr>
          <w:rFonts w:ascii="Arial" w:hAnsi="Arial" w:cs="Arial"/>
          <w:b/>
          <w:sz w:val="22"/>
          <w:szCs w:val="22"/>
        </w:rPr>
      </w:pPr>
      <w:r w:rsidRPr="003D4C7F">
        <w:rPr>
          <w:rFonts w:ascii="Arial" w:hAnsi="Arial" w:cs="Arial"/>
          <w:b/>
          <w:sz w:val="22"/>
          <w:szCs w:val="22"/>
        </w:rPr>
        <w:t xml:space="preserve">Examen des propositions </w:t>
      </w:r>
      <w:r>
        <w:rPr>
          <w:rFonts w:ascii="Arial" w:hAnsi="Arial" w:cs="Arial"/>
          <w:b/>
          <w:sz w:val="22"/>
          <w:szCs w:val="22"/>
        </w:rPr>
        <w:t>au</w:t>
      </w:r>
      <w:r>
        <w:rPr>
          <w:rFonts w:ascii="Arial" w:hAnsi="Arial" w:cs="Arial"/>
          <w:b/>
          <w:sz w:val="22"/>
          <w:szCs w:val="22"/>
        </w:rPr>
        <w:br/>
      </w:r>
      <w:r w:rsidRPr="003D4C7F">
        <w:rPr>
          <w:rFonts w:ascii="Arial" w:hAnsi="Arial" w:cs="Arial"/>
          <w:b/>
          <w:sz w:val="22"/>
          <w:szCs w:val="22"/>
        </w:rPr>
        <w:t>Registre de bonnes pratiques de sauvegarde</w:t>
      </w:r>
    </w:p>
    <w:p w14:paraId="6A1C8B43" w14:textId="77777777" w:rsidR="002F47FC" w:rsidRPr="0015117B" w:rsidRDefault="002F47FC" w:rsidP="002F47FC">
      <w:pPr>
        <w:spacing w:before="1440"/>
        <w:jc w:val="center"/>
        <w:rPr>
          <w:rFonts w:ascii="Arial" w:hAnsi="Arial" w:cs="Arial"/>
          <w:b/>
          <w:sz w:val="22"/>
          <w:lang w:bidi="fr-FR"/>
        </w:rPr>
      </w:pPr>
      <w:r w:rsidRPr="0015117B">
        <w:rPr>
          <w:rFonts w:ascii="Arial" w:hAnsi="Arial" w:cs="Arial"/>
          <w:b/>
          <w:sz w:val="22"/>
          <w:lang w:bidi="fr-FR"/>
        </w:rPr>
        <w:t>ADDENDUM</w:t>
      </w:r>
    </w:p>
    <w:p w14:paraId="641778D5" w14:textId="28FAE788" w:rsidR="002F47FC" w:rsidRPr="009060B5" w:rsidRDefault="002F47FC" w:rsidP="005E0737">
      <w:pPr>
        <w:tabs>
          <w:tab w:val="left" w:pos="567"/>
        </w:tabs>
        <w:snapToGrid w:val="0"/>
        <w:spacing w:before="480" w:after="220"/>
        <w:ind w:left="562"/>
        <w:rPr>
          <w:rFonts w:ascii="Arial" w:hAnsi="Arial" w:cs="Arial"/>
          <w:snapToGrid w:val="0"/>
          <w:sz w:val="22"/>
          <w:lang w:eastAsia="en-US" w:bidi="fr-FR"/>
        </w:rPr>
      </w:pPr>
      <w:r w:rsidRPr="0015117B">
        <w:rPr>
          <w:rFonts w:ascii="Arial" w:hAnsi="Arial" w:cs="Arial"/>
          <w:snapToGrid w:val="0"/>
          <w:sz w:val="22"/>
          <w:lang w:eastAsia="en-US" w:bidi="fr-FR"/>
        </w:rPr>
        <w:t>L</w:t>
      </w:r>
      <w:r w:rsidR="0079799C">
        <w:rPr>
          <w:rFonts w:ascii="Arial" w:hAnsi="Arial" w:cs="Arial"/>
          <w:snapToGrid w:val="0"/>
          <w:sz w:val="22"/>
          <w:lang w:eastAsia="en-US" w:bidi="fr-FR"/>
        </w:rPr>
        <w:t>e</w:t>
      </w:r>
      <w:r w:rsidRPr="0015117B">
        <w:rPr>
          <w:rFonts w:ascii="Arial" w:hAnsi="Arial" w:cs="Arial"/>
          <w:snapToGrid w:val="0"/>
          <w:sz w:val="22"/>
          <w:lang w:eastAsia="en-US" w:bidi="fr-FR"/>
        </w:rPr>
        <w:t xml:space="preserve"> </w:t>
      </w:r>
      <w:r w:rsidR="0079799C">
        <w:rPr>
          <w:rFonts w:ascii="Arial" w:hAnsi="Arial" w:cs="Arial"/>
          <w:snapToGrid w:val="0"/>
          <w:sz w:val="22"/>
          <w:lang w:eastAsia="en-US" w:bidi="fr-FR"/>
        </w:rPr>
        <w:t>programme</w:t>
      </w:r>
      <w:r w:rsidRPr="0015117B">
        <w:rPr>
          <w:rFonts w:ascii="Arial" w:hAnsi="Arial" w:cs="Arial"/>
          <w:snapToGrid w:val="0"/>
          <w:sz w:val="22"/>
          <w:lang w:eastAsia="en-US" w:bidi="fr-FR"/>
        </w:rPr>
        <w:t xml:space="preserve"> suivant </w:t>
      </w:r>
      <w:r>
        <w:rPr>
          <w:rFonts w:ascii="Arial" w:hAnsi="Arial" w:cs="Arial"/>
          <w:snapToGrid w:val="0"/>
          <w:sz w:val="22"/>
          <w:lang w:eastAsia="en-US" w:bidi="fr-FR"/>
        </w:rPr>
        <w:t>a</w:t>
      </w:r>
      <w:r w:rsidRPr="0015117B">
        <w:rPr>
          <w:rFonts w:ascii="Arial" w:hAnsi="Arial" w:cs="Arial"/>
          <w:snapToGrid w:val="0"/>
          <w:sz w:val="22"/>
          <w:lang w:eastAsia="en-US" w:bidi="fr-FR"/>
        </w:rPr>
        <w:t xml:space="preserve"> été retirée par l</w:t>
      </w:r>
      <w:r>
        <w:rPr>
          <w:rFonts w:ascii="Arial" w:hAnsi="Arial" w:cs="Arial"/>
          <w:snapToGrid w:val="0"/>
          <w:sz w:val="22"/>
          <w:lang w:eastAsia="en-US" w:bidi="fr-FR"/>
        </w:rPr>
        <w:t>´</w:t>
      </w:r>
      <w:r w:rsidRPr="0015117B">
        <w:rPr>
          <w:rFonts w:ascii="Arial" w:hAnsi="Arial" w:cs="Arial"/>
          <w:snapToGrid w:val="0"/>
          <w:sz w:val="22"/>
          <w:lang w:eastAsia="en-US" w:bidi="fr-FR"/>
        </w:rPr>
        <w:t>État partie soumissionnaire :</w:t>
      </w:r>
    </w:p>
    <w:tbl>
      <w:tblPr>
        <w:tblW w:w="4579" w:type="pct"/>
        <w:tblInd w:w="6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81"/>
        <w:gridCol w:w="1943"/>
        <w:gridCol w:w="4075"/>
        <w:gridCol w:w="1118"/>
      </w:tblGrid>
      <w:tr w:rsidR="001A1A9C" w:rsidRPr="003D4C7F" w14:paraId="54893CDE" w14:textId="77777777" w:rsidTr="00676C3E">
        <w:trPr>
          <w:cantSplit/>
          <w:tblHeader/>
        </w:trPr>
        <w:tc>
          <w:tcPr>
            <w:tcW w:w="953" w:type="pct"/>
            <w:tcBorders>
              <w:top w:val="single" w:sz="4" w:space="0" w:color="auto"/>
              <w:left w:val="single" w:sz="4" w:space="0" w:color="auto"/>
              <w:bottom w:val="single" w:sz="4" w:space="0" w:color="auto"/>
              <w:right w:val="nil"/>
            </w:tcBorders>
            <w:shd w:val="clear" w:color="auto" w:fill="BFBFBF"/>
            <w:vAlign w:val="center"/>
          </w:tcPr>
          <w:p w14:paraId="36066F63" w14:textId="77777777" w:rsidR="001A1A9C" w:rsidRPr="003D4C7F" w:rsidRDefault="001A1A9C" w:rsidP="00676C3E">
            <w:pPr>
              <w:spacing w:before="120" w:after="120"/>
              <w:jc w:val="center"/>
              <w:rPr>
                <w:rFonts w:ascii="Arial" w:hAnsi="Arial" w:cs="Arial"/>
                <w:sz w:val="22"/>
                <w:szCs w:val="22"/>
              </w:rPr>
            </w:pPr>
            <w:r w:rsidRPr="003D4C7F">
              <w:rPr>
                <w:rFonts w:ascii="Arial" w:hAnsi="Arial" w:cs="Arial"/>
                <w:b/>
                <w:sz w:val="22"/>
                <w:szCs w:val="22"/>
              </w:rPr>
              <w:t>Projet de décision</w:t>
            </w:r>
          </w:p>
        </w:tc>
        <w:tc>
          <w:tcPr>
            <w:tcW w:w="1102" w:type="pct"/>
            <w:tcBorders>
              <w:top w:val="single" w:sz="4" w:space="0" w:color="auto"/>
              <w:left w:val="nil"/>
              <w:bottom w:val="single" w:sz="4" w:space="0" w:color="auto"/>
              <w:right w:val="nil"/>
            </w:tcBorders>
            <w:shd w:val="clear" w:color="auto" w:fill="BFBFBF"/>
            <w:vAlign w:val="center"/>
          </w:tcPr>
          <w:p w14:paraId="2FEC0401" w14:textId="77777777" w:rsidR="001A1A9C" w:rsidRPr="003D4C7F" w:rsidRDefault="001A1A9C" w:rsidP="00676C3E">
            <w:pPr>
              <w:spacing w:before="120" w:after="120"/>
              <w:jc w:val="center"/>
              <w:rPr>
                <w:rFonts w:ascii="Arial" w:hAnsi="Arial" w:cs="Arial"/>
                <w:sz w:val="22"/>
                <w:szCs w:val="22"/>
              </w:rPr>
            </w:pPr>
            <w:r w:rsidRPr="003D4C7F">
              <w:rPr>
                <w:rFonts w:ascii="Arial" w:hAnsi="Arial" w:cs="Arial"/>
                <w:b/>
                <w:sz w:val="22"/>
                <w:szCs w:val="22"/>
              </w:rPr>
              <w:t>État soumissionnaire</w:t>
            </w:r>
          </w:p>
        </w:tc>
        <w:tc>
          <w:tcPr>
            <w:tcW w:w="2311" w:type="pct"/>
            <w:tcBorders>
              <w:top w:val="single" w:sz="4" w:space="0" w:color="auto"/>
              <w:left w:val="nil"/>
              <w:bottom w:val="single" w:sz="4" w:space="0" w:color="auto"/>
              <w:right w:val="nil"/>
            </w:tcBorders>
            <w:shd w:val="clear" w:color="auto" w:fill="BFBFBF"/>
            <w:vAlign w:val="center"/>
          </w:tcPr>
          <w:p w14:paraId="0C626871" w14:textId="77777777" w:rsidR="001A1A9C" w:rsidRPr="003D4C7F" w:rsidRDefault="001A1A9C" w:rsidP="00676C3E">
            <w:pPr>
              <w:spacing w:before="120" w:after="120"/>
              <w:jc w:val="center"/>
              <w:rPr>
                <w:rFonts w:ascii="Arial" w:hAnsi="Arial" w:cs="Arial"/>
                <w:sz w:val="22"/>
                <w:szCs w:val="22"/>
              </w:rPr>
            </w:pPr>
            <w:r w:rsidRPr="003D4C7F">
              <w:rPr>
                <w:rFonts w:ascii="Arial" w:hAnsi="Arial" w:cs="Arial"/>
                <w:b/>
                <w:sz w:val="22"/>
                <w:szCs w:val="22"/>
              </w:rPr>
              <w:t>Proposition</w:t>
            </w:r>
          </w:p>
        </w:tc>
        <w:tc>
          <w:tcPr>
            <w:tcW w:w="634" w:type="pct"/>
            <w:tcBorders>
              <w:top w:val="single" w:sz="4" w:space="0" w:color="auto"/>
              <w:left w:val="nil"/>
              <w:bottom w:val="single" w:sz="4" w:space="0" w:color="auto"/>
              <w:right w:val="single" w:sz="4" w:space="0" w:color="auto"/>
            </w:tcBorders>
            <w:shd w:val="clear" w:color="auto" w:fill="BFBFBF"/>
            <w:vAlign w:val="center"/>
          </w:tcPr>
          <w:p w14:paraId="364D74DE" w14:textId="77777777" w:rsidR="001A1A9C" w:rsidRPr="003D4C7F" w:rsidRDefault="001A1A9C" w:rsidP="00676C3E">
            <w:pPr>
              <w:spacing w:before="120" w:after="120"/>
              <w:jc w:val="center"/>
              <w:rPr>
                <w:rFonts w:ascii="Arial" w:hAnsi="Arial" w:cs="Arial"/>
                <w:sz w:val="22"/>
                <w:szCs w:val="22"/>
              </w:rPr>
            </w:pPr>
            <w:r w:rsidRPr="003D4C7F">
              <w:rPr>
                <w:rFonts w:ascii="Arial" w:hAnsi="Arial" w:cs="Arial"/>
                <w:b/>
                <w:sz w:val="22"/>
                <w:szCs w:val="22"/>
              </w:rPr>
              <w:t>Dossier n°</w:t>
            </w:r>
          </w:p>
        </w:tc>
      </w:tr>
      <w:tr w:rsidR="001A1A9C" w:rsidRPr="003D4C7F" w14:paraId="2542B4BF" w14:textId="77777777" w:rsidTr="005E0737">
        <w:trPr>
          <w:cantSplit/>
          <w:trHeight w:val="849"/>
        </w:trPr>
        <w:tc>
          <w:tcPr>
            <w:tcW w:w="953" w:type="pct"/>
            <w:tcBorders>
              <w:top w:val="single" w:sz="4" w:space="0" w:color="auto"/>
              <w:left w:val="single" w:sz="4" w:space="0" w:color="auto"/>
              <w:bottom w:val="single" w:sz="4" w:space="0" w:color="auto"/>
              <w:right w:val="nil"/>
            </w:tcBorders>
          </w:tcPr>
          <w:p w14:paraId="2FF0F0C8" w14:textId="77777777" w:rsidR="001A1A9C" w:rsidRPr="003D4C7F" w:rsidRDefault="001A1A9C" w:rsidP="005E0737">
            <w:pPr>
              <w:spacing w:before="110" w:after="110"/>
              <w:rPr>
                <w:rFonts w:ascii="Arial" w:hAnsi="Arial" w:cs="Arial"/>
                <w:bCs/>
                <w:sz w:val="22"/>
                <w:szCs w:val="22"/>
                <w:lang w:eastAsia="en-GB"/>
              </w:rPr>
            </w:pPr>
            <w:hyperlink w:anchor="Decision_10c2" w:history="1">
              <w:r w:rsidRPr="001E6BAC">
                <w:rPr>
                  <w:rStyle w:val="Hyperlink"/>
                  <w:rFonts w:ascii="Arial" w:hAnsi="Arial" w:cs="Arial"/>
                  <w:bCs/>
                  <w:sz w:val="22"/>
                  <w:szCs w:val="22"/>
                  <w:lang w:eastAsia="en-GB"/>
                </w:rPr>
                <w:t xml:space="preserve">14.COM </w:t>
              </w:r>
              <w:proofErr w:type="gramStart"/>
              <w:r w:rsidRPr="001E6BAC">
                <w:rPr>
                  <w:rStyle w:val="Hyperlink"/>
                  <w:rFonts w:ascii="Arial" w:hAnsi="Arial" w:cs="Arial"/>
                  <w:bCs/>
                  <w:sz w:val="22"/>
                  <w:szCs w:val="22"/>
                  <w:lang w:eastAsia="en-GB"/>
                </w:rPr>
                <w:t>10.c.</w:t>
              </w:r>
              <w:proofErr w:type="gramEnd"/>
              <w:r w:rsidRPr="001E6BAC">
                <w:rPr>
                  <w:rStyle w:val="Hyperlink"/>
                  <w:rFonts w:ascii="Arial" w:hAnsi="Arial" w:cs="Arial"/>
                  <w:bCs/>
                  <w:sz w:val="22"/>
                  <w:szCs w:val="22"/>
                  <w:lang w:eastAsia="en-GB"/>
                </w:rPr>
                <w:t>2</w:t>
              </w:r>
            </w:hyperlink>
          </w:p>
        </w:tc>
        <w:tc>
          <w:tcPr>
            <w:tcW w:w="1102" w:type="pct"/>
            <w:tcBorders>
              <w:top w:val="single" w:sz="4" w:space="0" w:color="auto"/>
              <w:left w:val="nil"/>
              <w:bottom w:val="single" w:sz="4" w:space="0" w:color="auto"/>
              <w:right w:val="nil"/>
            </w:tcBorders>
          </w:tcPr>
          <w:p w14:paraId="49520438" w14:textId="77777777" w:rsidR="001A1A9C" w:rsidRPr="003D4C7F" w:rsidRDefault="001A1A9C" w:rsidP="005E0737">
            <w:pPr>
              <w:spacing w:before="110" w:after="110"/>
              <w:jc w:val="center"/>
              <w:rPr>
                <w:rFonts w:ascii="Arial" w:hAnsi="Arial" w:cs="Arial"/>
                <w:sz w:val="22"/>
                <w:szCs w:val="22"/>
                <w:lang w:val="en-GB"/>
              </w:rPr>
            </w:pPr>
            <w:r w:rsidRPr="003D4C7F">
              <w:rPr>
                <w:rFonts w:ascii="Arial" w:hAnsi="Arial" w:cs="Arial"/>
                <w:sz w:val="22"/>
                <w:szCs w:val="22"/>
                <w:lang w:val="en-GB"/>
              </w:rPr>
              <w:t>Panama</w:t>
            </w:r>
          </w:p>
        </w:tc>
        <w:tc>
          <w:tcPr>
            <w:tcW w:w="2311" w:type="pct"/>
            <w:tcBorders>
              <w:top w:val="single" w:sz="4" w:space="0" w:color="auto"/>
              <w:left w:val="nil"/>
              <w:bottom w:val="single" w:sz="4" w:space="0" w:color="auto"/>
              <w:right w:val="nil"/>
            </w:tcBorders>
          </w:tcPr>
          <w:p w14:paraId="6A78B0D5" w14:textId="77777777" w:rsidR="001A1A9C" w:rsidRPr="003D4C7F" w:rsidRDefault="001A1A9C" w:rsidP="005E0737">
            <w:pPr>
              <w:spacing w:before="110" w:after="110"/>
              <w:rPr>
                <w:rFonts w:ascii="Arial" w:hAnsi="Arial" w:cs="Arial"/>
                <w:sz w:val="22"/>
                <w:szCs w:val="22"/>
              </w:rPr>
            </w:pPr>
            <w:r w:rsidRPr="003D4C7F">
              <w:rPr>
                <w:rFonts w:ascii="Arial" w:hAnsi="Arial" w:cs="Arial"/>
                <w:sz w:val="22"/>
                <w:szCs w:val="22"/>
              </w:rPr>
              <w:t>Le programme écologique et culturel associé au Festival des tortues marines d’</w:t>
            </w:r>
            <w:proofErr w:type="spellStart"/>
            <w:r w:rsidRPr="003D4C7F">
              <w:rPr>
                <w:rFonts w:ascii="Arial" w:hAnsi="Arial" w:cs="Arial"/>
                <w:sz w:val="22"/>
                <w:szCs w:val="22"/>
              </w:rPr>
              <w:t>Armila</w:t>
            </w:r>
            <w:proofErr w:type="spellEnd"/>
          </w:p>
        </w:tc>
        <w:tc>
          <w:tcPr>
            <w:tcW w:w="634" w:type="pct"/>
            <w:tcBorders>
              <w:top w:val="single" w:sz="4" w:space="0" w:color="auto"/>
              <w:left w:val="nil"/>
              <w:bottom w:val="single" w:sz="4" w:space="0" w:color="auto"/>
              <w:right w:val="single" w:sz="4" w:space="0" w:color="auto"/>
            </w:tcBorders>
          </w:tcPr>
          <w:p w14:paraId="3324C913" w14:textId="77777777" w:rsidR="001A1A9C" w:rsidRPr="003D4C7F" w:rsidRDefault="001A1A9C" w:rsidP="005E0737">
            <w:pPr>
              <w:spacing w:before="110" w:after="110"/>
              <w:jc w:val="center"/>
              <w:rPr>
                <w:rFonts w:ascii="Arial" w:hAnsi="Arial" w:cs="Arial"/>
                <w:sz w:val="22"/>
                <w:szCs w:val="22"/>
                <w:lang w:val="en-GB"/>
              </w:rPr>
            </w:pPr>
            <w:hyperlink r:id="rId8" w:anchor="10.c.2" w:history="1">
              <w:r w:rsidRPr="00953157">
                <w:rPr>
                  <w:rStyle w:val="Hyperlink"/>
                  <w:rFonts w:ascii="Arial" w:hAnsi="Arial" w:cs="Arial"/>
                  <w:sz w:val="22"/>
                  <w:szCs w:val="22"/>
                </w:rPr>
                <w:t>01481</w:t>
              </w:r>
            </w:hyperlink>
          </w:p>
        </w:tc>
      </w:tr>
    </w:tbl>
    <w:p w14:paraId="0177E8AC" w14:textId="77777777" w:rsidR="007731F0" w:rsidRDefault="007731F0" w:rsidP="007731F0">
      <w:pPr>
        <w:spacing w:before="1440"/>
        <w:jc w:val="center"/>
        <w:rPr>
          <w:rFonts w:ascii="Arial" w:hAnsi="Arial" w:cs="Arial"/>
          <w:b/>
          <w:sz w:val="22"/>
          <w:szCs w:val="22"/>
        </w:rPr>
        <w:sectPr w:rsidR="007731F0" w:rsidSect="001D3D43">
          <w:headerReference w:type="even" r:id="rId9"/>
          <w:headerReference w:type="default" r:id="rId10"/>
          <w:headerReference w:type="first" r:id="rId11"/>
          <w:pgSz w:w="11906" w:h="16838" w:code="9"/>
          <w:pgMar w:top="1418" w:right="1134" w:bottom="1134" w:left="1134" w:header="397" w:footer="284" w:gutter="0"/>
          <w:cols w:space="708"/>
          <w:titlePg/>
          <w:docGrid w:linePitch="360"/>
        </w:sectPr>
      </w:pPr>
    </w:p>
    <w:p w14:paraId="7C640461" w14:textId="3CA0080C" w:rsidR="00BC3420" w:rsidRPr="003D4C7F" w:rsidRDefault="00BC3420">
      <w:pPr>
        <w:spacing w:before="1440"/>
        <w:jc w:val="center"/>
        <w:rPr>
          <w:rFonts w:ascii="Arial" w:hAnsi="Arial" w:cs="Arial"/>
          <w:b/>
          <w:sz w:val="22"/>
          <w:szCs w:val="22"/>
        </w:rPr>
      </w:pPr>
      <w:r w:rsidRPr="003D4C7F">
        <w:rPr>
          <w:rFonts w:ascii="Arial" w:hAnsi="Arial" w:cs="Arial"/>
          <w:b/>
          <w:sz w:val="22"/>
          <w:szCs w:val="22"/>
        </w:rPr>
        <w:lastRenderedPageBreak/>
        <w:t>CONVENTION POUR LA SAUVEGARDE</w:t>
      </w:r>
      <w:r w:rsidR="00B63CAA">
        <w:rPr>
          <w:rFonts w:ascii="Arial" w:hAnsi="Arial" w:cs="Arial"/>
          <w:b/>
          <w:sz w:val="22"/>
          <w:szCs w:val="22"/>
        </w:rPr>
        <w:br/>
      </w:r>
      <w:r w:rsidRPr="003D4C7F">
        <w:rPr>
          <w:rFonts w:ascii="Arial" w:hAnsi="Arial" w:cs="Arial"/>
          <w:b/>
          <w:sz w:val="22"/>
          <w:szCs w:val="22"/>
        </w:rPr>
        <w:t>DU</w:t>
      </w:r>
      <w:r w:rsidR="00B63CAA">
        <w:rPr>
          <w:rFonts w:ascii="Arial" w:hAnsi="Arial" w:cs="Arial"/>
          <w:b/>
          <w:sz w:val="22"/>
          <w:szCs w:val="22"/>
        </w:rPr>
        <w:t xml:space="preserve"> </w:t>
      </w:r>
      <w:r w:rsidRPr="003D4C7F">
        <w:rPr>
          <w:rFonts w:ascii="Arial" w:hAnsi="Arial" w:cs="Arial"/>
          <w:b/>
          <w:sz w:val="22"/>
          <w:szCs w:val="22"/>
        </w:rPr>
        <w:t>PATRIMOINE CULTUREL IMMATÉRIEL</w:t>
      </w:r>
    </w:p>
    <w:p w14:paraId="2408E744" w14:textId="382413EC" w:rsidR="00BC3420" w:rsidRPr="003D4C7F" w:rsidRDefault="00BC3420" w:rsidP="00BC3420">
      <w:pPr>
        <w:spacing w:before="1200"/>
        <w:jc w:val="center"/>
        <w:rPr>
          <w:rFonts w:ascii="Arial" w:hAnsi="Arial" w:cs="Arial"/>
          <w:b/>
          <w:sz w:val="22"/>
          <w:szCs w:val="22"/>
        </w:rPr>
      </w:pPr>
      <w:r w:rsidRPr="003D4C7F">
        <w:rPr>
          <w:rFonts w:ascii="Arial" w:hAnsi="Arial" w:cs="Arial"/>
          <w:b/>
          <w:sz w:val="22"/>
          <w:szCs w:val="22"/>
        </w:rPr>
        <w:t>COMITÉ INTERGOUVERNEMENTAL DE SAUVEGARDE</w:t>
      </w:r>
      <w:r w:rsidRPr="003D4C7F">
        <w:rPr>
          <w:rFonts w:ascii="Arial" w:hAnsi="Arial" w:cs="Arial"/>
          <w:b/>
          <w:sz w:val="22"/>
          <w:szCs w:val="22"/>
        </w:rPr>
        <w:br/>
        <w:t>DU PATRIMOINE CULTUREL IMMAT</w:t>
      </w:r>
      <w:r w:rsidR="006C1F05">
        <w:rPr>
          <w:rFonts w:ascii="Arial" w:hAnsi="Arial" w:cs="Arial"/>
          <w:b/>
          <w:sz w:val="22"/>
          <w:szCs w:val="22"/>
        </w:rPr>
        <w:t>É</w:t>
      </w:r>
      <w:r w:rsidRPr="003D4C7F">
        <w:rPr>
          <w:rFonts w:ascii="Arial" w:hAnsi="Arial" w:cs="Arial"/>
          <w:b/>
          <w:sz w:val="22"/>
          <w:szCs w:val="22"/>
        </w:rPr>
        <w:t>RIEL</w:t>
      </w:r>
    </w:p>
    <w:p w14:paraId="049CD015" w14:textId="77777777" w:rsidR="00BC3420" w:rsidRPr="003D4C7F" w:rsidRDefault="008F09EC" w:rsidP="008F09EC">
      <w:pPr>
        <w:spacing w:before="840"/>
        <w:jc w:val="center"/>
        <w:rPr>
          <w:rFonts w:ascii="Arial" w:hAnsi="Arial" w:cs="Arial"/>
          <w:b/>
          <w:sz w:val="22"/>
          <w:szCs w:val="22"/>
        </w:rPr>
      </w:pPr>
      <w:r w:rsidRPr="003D4C7F">
        <w:rPr>
          <w:rFonts w:ascii="Arial" w:hAnsi="Arial" w:cs="Arial"/>
          <w:b/>
          <w:sz w:val="22"/>
          <w:szCs w:val="22"/>
        </w:rPr>
        <w:t>Quatorzième</w:t>
      </w:r>
      <w:r w:rsidR="00495C25" w:rsidRPr="003D4C7F">
        <w:rPr>
          <w:rFonts w:ascii="Arial" w:eastAsiaTheme="minorEastAsia" w:hAnsi="Arial" w:cs="Arial"/>
          <w:b/>
          <w:sz w:val="22"/>
          <w:szCs w:val="22"/>
          <w:lang w:eastAsia="ko-KR"/>
        </w:rPr>
        <w:t xml:space="preserve"> </w:t>
      </w:r>
      <w:r w:rsidR="00BC3420" w:rsidRPr="003D4C7F">
        <w:rPr>
          <w:rFonts w:ascii="Arial" w:hAnsi="Arial" w:cs="Arial"/>
          <w:b/>
          <w:sz w:val="22"/>
          <w:szCs w:val="22"/>
        </w:rPr>
        <w:t>session</w:t>
      </w:r>
    </w:p>
    <w:p w14:paraId="0EE767D6" w14:textId="77777777" w:rsidR="00A61C6E" w:rsidRPr="003D4C7F" w:rsidRDefault="008F09EC" w:rsidP="008F09EC">
      <w:pPr>
        <w:jc w:val="center"/>
        <w:rPr>
          <w:rFonts w:ascii="Arial" w:hAnsi="Arial" w:cs="Arial"/>
          <w:b/>
          <w:sz w:val="22"/>
          <w:szCs w:val="22"/>
        </w:rPr>
      </w:pPr>
      <w:r w:rsidRPr="003D4C7F">
        <w:rPr>
          <w:rFonts w:ascii="Arial" w:hAnsi="Arial" w:cs="Arial"/>
          <w:b/>
          <w:sz w:val="22"/>
          <w:szCs w:val="22"/>
        </w:rPr>
        <w:t>Bogotá</w:t>
      </w:r>
      <w:r w:rsidR="00495C25" w:rsidRPr="003D4C7F">
        <w:rPr>
          <w:rFonts w:ascii="Arial" w:eastAsiaTheme="minorEastAsia" w:hAnsi="Arial" w:cs="Arial"/>
          <w:b/>
          <w:sz w:val="22"/>
          <w:szCs w:val="22"/>
          <w:lang w:eastAsia="ko-KR"/>
        </w:rPr>
        <w:t>,</w:t>
      </w:r>
      <w:r w:rsidR="00616C7B" w:rsidRPr="003D4C7F">
        <w:rPr>
          <w:rFonts w:ascii="Arial" w:hAnsi="Arial" w:cs="Arial"/>
          <w:b/>
          <w:sz w:val="22"/>
          <w:szCs w:val="22"/>
        </w:rPr>
        <w:t xml:space="preserve"> République de</w:t>
      </w:r>
      <w:r w:rsidRPr="003D4C7F">
        <w:rPr>
          <w:rFonts w:ascii="Arial" w:hAnsi="Arial" w:cs="Arial"/>
          <w:b/>
          <w:sz w:val="22"/>
          <w:szCs w:val="22"/>
        </w:rPr>
        <w:t xml:space="preserve"> Colombie</w:t>
      </w:r>
    </w:p>
    <w:p w14:paraId="5E8724AD" w14:textId="77777777" w:rsidR="00BC3420" w:rsidRPr="003D4C7F" w:rsidRDefault="008F09EC" w:rsidP="008F09EC">
      <w:pPr>
        <w:jc w:val="center"/>
        <w:rPr>
          <w:rFonts w:ascii="Arial" w:eastAsiaTheme="minorEastAsia" w:hAnsi="Arial" w:cs="Arial"/>
          <w:b/>
          <w:sz w:val="22"/>
          <w:szCs w:val="22"/>
          <w:lang w:eastAsia="ko-KR"/>
        </w:rPr>
      </w:pPr>
      <w:r w:rsidRPr="003D4C7F">
        <w:rPr>
          <w:rFonts w:ascii="Arial" w:eastAsiaTheme="minorEastAsia" w:hAnsi="Arial" w:cs="Arial"/>
          <w:b/>
          <w:sz w:val="22"/>
          <w:szCs w:val="22"/>
          <w:lang w:eastAsia="ko-KR"/>
        </w:rPr>
        <w:t>9</w:t>
      </w:r>
      <w:r w:rsidR="00461168" w:rsidRPr="003D4C7F">
        <w:rPr>
          <w:rFonts w:ascii="Arial" w:eastAsiaTheme="minorEastAsia" w:hAnsi="Arial" w:cs="Arial"/>
          <w:b/>
          <w:sz w:val="22"/>
          <w:szCs w:val="22"/>
          <w:lang w:eastAsia="ko-KR"/>
        </w:rPr>
        <w:t xml:space="preserve"> </w:t>
      </w:r>
      <w:r w:rsidR="00BC3420" w:rsidRPr="003D4C7F">
        <w:rPr>
          <w:rFonts w:ascii="Arial" w:hAnsi="Arial" w:cs="Arial"/>
          <w:b/>
          <w:sz w:val="22"/>
          <w:szCs w:val="22"/>
        </w:rPr>
        <w:t xml:space="preserve">– </w:t>
      </w:r>
      <w:r w:rsidR="00461168" w:rsidRPr="003D4C7F">
        <w:rPr>
          <w:rFonts w:ascii="Arial" w:eastAsiaTheme="minorEastAsia" w:hAnsi="Arial" w:cs="Arial"/>
          <w:b/>
          <w:sz w:val="22"/>
          <w:szCs w:val="22"/>
          <w:lang w:eastAsia="ko-KR"/>
        </w:rPr>
        <w:t>1</w:t>
      </w:r>
      <w:r w:rsidRPr="003D4C7F">
        <w:rPr>
          <w:rFonts w:ascii="Arial" w:eastAsiaTheme="minorEastAsia" w:hAnsi="Arial" w:cs="Arial"/>
          <w:b/>
          <w:sz w:val="22"/>
          <w:szCs w:val="22"/>
          <w:lang w:eastAsia="ko-KR"/>
        </w:rPr>
        <w:t>4</w:t>
      </w:r>
      <w:r w:rsidR="00741016" w:rsidRPr="003D4C7F">
        <w:rPr>
          <w:rFonts w:ascii="Arial" w:eastAsiaTheme="minorEastAsia" w:hAnsi="Arial" w:cs="Arial"/>
          <w:b/>
          <w:sz w:val="22"/>
          <w:szCs w:val="22"/>
          <w:lang w:eastAsia="ko-KR"/>
        </w:rPr>
        <w:t xml:space="preserve"> </w:t>
      </w:r>
      <w:r w:rsidR="00165170" w:rsidRPr="003D4C7F">
        <w:rPr>
          <w:rFonts w:ascii="Arial" w:hAnsi="Arial" w:cs="Arial"/>
          <w:b/>
          <w:sz w:val="22"/>
          <w:szCs w:val="22"/>
        </w:rPr>
        <w:t>décembre</w:t>
      </w:r>
      <w:r w:rsidR="00495C25" w:rsidRPr="003D4C7F">
        <w:rPr>
          <w:rFonts w:ascii="Arial" w:hAnsi="Arial" w:cs="Arial"/>
          <w:b/>
          <w:sz w:val="22"/>
          <w:szCs w:val="22"/>
        </w:rPr>
        <w:t xml:space="preserve"> 201</w:t>
      </w:r>
      <w:r w:rsidRPr="003D4C7F">
        <w:rPr>
          <w:rFonts w:ascii="Arial" w:eastAsiaTheme="minorEastAsia" w:hAnsi="Arial" w:cs="Arial"/>
          <w:b/>
          <w:sz w:val="22"/>
          <w:szCs w:val="22"/>
          <w:lang w:eastAsia="ko-KR"/>
        </w:rPr>
        <w:t>9</w:t>
      </w:r>
    </w:p>
    <w:p w14:paraId="0196F9F0" w14:textId="77777777" w:rsidR="008F09EC" w:rsidRPr="003D4C7F" w:rsidRDefault="008F09EC" w:rsidP="008F09EC">
      <w:pPr>
        <w:pStyle w:val="Sansinterligne2"/>
        <w:spacing w:before="1200"/>
        <w:jc w:val="center"/>
        <w:rPr>
          <w:rFonts w:ascii="Arial" w:hAnsi="Arial" w:cs="Arial"/>
          <w:b/>
          <w:sz w:val="22"/>
          <w:szCs w:val="22"/>
        </w:rPr>
      </w:pPr>
      <w:r w:rsidRPr="003D4C7F">
        <w:rPr>
          <w:rFonts w:ascii="Arial" w:hAnsi="Arial" w:cs="Arial"/>
          <w:b/>
          <w:sz w:val="22"/>
          <w:szCs w:val="22"/>
          <w:u w:val="single"/>
        </w:rPr>
        <w:t xml:space="preserve">Point </w:t>
      </w:r>
      <w:r w:rsidR="00457DAB" w:rsidRPr="003D4C7F">
        <w:rPr>
          <w:rFonts w:ascii="Arial" w:hAnsi="Arial" w:cs="Arial"/>
          <w:b/>
          <w:sz w:val="22"/>
          <w:szCs w:val="22"/>
          <w:u w:val="single"/>
        </w:rPr>
        <w:t>10.c</w:t>
      </w:r>
      <w:r w:rsidRPr="003D4C7F">
        <w:rPr>
          <w:rFonts w:ascii="Arial" w:hAnsi="Arial" w:cs="Arial"/>
          <w:b/>
          <w:sz w:val="22"/>
          <w:szCs w:val="22"/>
          <w:u w:val="single"/>
        </w:rPr>
        <w:t xml:space="preserve"> de l’ordre du jour provisoire</w:t>
      </w:r>
      <w:r w:rsidRPr="003D4C7F">
        <w:rPr>
          <w:rFonts w:ascii="Arial" w:hAnsi="Arial" w:cs="Arial"/>
          <w:b/>
          <w:sz w:val="22"/>
          <w:szCs w:val="22"/>
        </w:rPr>
        <w:t> :</w:t>
      </w:r>
    </w:p>
    <w:p w14:paraId="17FF0DAF" w14:textId="5340F131" w:rsidR="00C44633" w:rsidRPr="003D4C7F" w:rsidRDefault="00C44633" w:rsidP="00C44633">
      <w:pPr>
        <w:pStyle w:val="Sansinterligne2"/>
        <w:spacing w:after="1200"/>
        <w:jc w:val="center"/>
        <w:rPr>
          <w:rFonts w:ascii="Arial" w:hAnsi="Arial" w:cs="Arial"/>
          <w:b/>
          <w:sz w:val="22"/>
          <w:szCs w:val="22"/>
        </w:rPr>
      </w:pPr>
      <w:r w:rsidRPr="003D4C7F">
        <w:rPr>
          <w:rFonts w:ascii="Arial" w:hAnsi="Arial" w:cs="Arial"/>
          <w:b/>
          <w:sz w:val="22"/>
          <w:szCs w:val="22"/>
        </w:rPr>
        <w:t xml:space="preserve">Examen des propositions </w:t>
      </w:r>
      <w:r w:rsidR="00B63CAA">
        <w:rPr>
          <w:rFonts w:ascii="Arial" w:hAnsi="Arial" w:cs="Arial"/>
          <w:b/>
          <w:sz w:val="22"/>
          <w:szCs w:val="22"/>
        </w:rPr>
        <w:t>au</w:t>
      </w:r>
      <w:r w:rsidR="0090643C">
        <w:rPr>
          <w:rFonts w:ascii="Arial" w:hAnsi="Arial" w:cs="Arial"/>
          <w:b/>
          <w:sz w:val="22"/>
          <w:szCs w:val="22"/>
        </w:rPr>
        <w:br/>
      </w:r>
      <w:r w:rsidRPr="003D4C7F">
        <w:rPr>
          <w:rFonts w:ascii="Arial" w:hAnsi="Arial" w:cs="Arial"/>
          <w:b/>
          <w:sz w:val="22"/>
          <w:szCs w:val="22"/>
        </w:rPr>
        <w:t>Registre de bonnes pratiques de sauvegarde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3D4C7F" w14:paraId="00092426" w14:textId="77777777" w:rsidTr="00FF2F30">
        <w:trPr>
          <w:jc w:val="center"/>
        </w:trPr>
        <w:tc>
          <w:tcPr>
            <w:tcW w:w="7825" w:type="dxa"/>
            <w:vAlign w:val="center"/>
          </w:tcPr>
          <w:p w14:paraId="2EBCAD78" w14:textId="77777777" w:rsidR="008F09EC" w:rsidRPr="003D4C7F" w:rsidRDefault="008F09EC" w:rsidP="00FF2F30">
            <w:pPr>
              <w:pStyle w:val="Sansinterligne1"/>
              <w:spacing w:before="200" w:after="200"/>
              <w:jc w:val="center"/>
              <w:rPr>
                <w:rFonts w:ascii="Arial" w:hAnsi="Arial" w:cs="Arial"/>
                <w:b/>
                <w:sz w:val="22"/>
                <w:szCs w:val="22"/>
              </w:rPr>
            </w:pPr>
            <w:r w:rsidRPr="003D4C7F">
              <w:rPr>
                <w:rFonts w:ascii="Arial" w:hAnsi="Arial" w:cs="Arial"/>
                <w:b/>
                <w:sz w:val="22"/>
                <w:szCs w:val="22"/>
              </w:rPr>
              <w:t>Résumé</w:t>
            </w:r>
          </w:p>
          <w:p w14:paraId="1757B118" w14:textId="4557662F" w:rsidR="00C44633" w:rsidRPr="000C1899" w:rsidRDefault="00C44633" w:rsidP="002D1EDF">
            <w:pPr>
              <w:pStyle w:val="Sansinterligne2"/>
              <w:spacing w:before="200" w:after="200"/>
              <w:ind w:right="43"/>
              <w:jc w:val="both"/>
              <w:rPr>
                <w:rFonts w:ascii="Arial" w:hAnsi="Arial" w:cs="Arial"/>
                <w:sz w:val="22"/>
                <w:szCs w:val="22"/>
              </w:rPr>
            </w:pPr>
            <w:r w:rsidRPr="003D4C7F">
              <w:rPr>
                <w:rFonts w:ascii="Arial" w:hAnsi="Arial" w:cs="Arial"/>
                <w:sz w:val="22"/>
                <w:szCs w:val="22"/>
              </w:rPr>
              <w:t xml:space="preserve">Le présent document comprend les recommandations de l’Organe d’évaluation concernant les propositions au Registre de bonnes pratiques de sauvegarde (partie A) et une série de projets de décision pour considération par le Comité (partie B). Un aperçu des dossiers de 2019 et les méthodes de travail de l’Organe </w:t>
            </w:r>
            <w:r w:rsidRPr="000C1899">
              <w:rPr>
                <w:rFonts w:ascii="Arial" w:hAnsi="Arial" w:cs="Arial"/>
                <w:sz w:val="22"/>
                <w:szCs w:val="22"/>
              </w:rPr>
              <w:t>d’évaluation sont présentés dans le document</w:t>
            </w:r>
            <w:r w:rsidR="001721BC" w:rsidRPr="000C1899">
              <w:rPr>
                <w:rFonts w:ascii="Arial" w:hAnsi="Arial" w:cs="Arial"/>
                <w:sz w:val="22"/>
                <w:szCs w:val="22"/>
              </w:rPr>
              <w:t xml:space="preserve"> </w:t>
            </w:r>
            <w:hyperlink r:id="rId12" w:history="1">
              <w:r w:rsidR="000C1E08" w:rsidRPr="00D45648">
                <w:rPr>
                  <w:rStyle w:val="Hyperlink"/>
                  <w:rFonts w:ascii="Arial" w:hAnsi="Arial" w:cs="Arial"/>
                  <w:sz w:val="22"/>
                  <w:szCs w:val="22"/>
                </w:rPr>
                <w:t>LHE/19/14.COM/10</w:t>
              </w:r>
            </w:hyperlink>
            <w:r w:rsidR="000C1E08" w:rsidRPr="00D45648">
              <w:rPr>
                <w:rFonts w:ascii="Arial" w:hAnsi="Arial" w:cs="Arial"/>
                <w:sz w:val="22"/>
                <w:szCs w:val="22"/>
              </w:rPr>
              <w:t>.</w:t>
            </w:r>
          </w:p>
          <w:p w14:paraId="1A31B568" w14:textId="77777777" w:rsidR="008F09EC" w:rsidRPr="003D4C7F" w:rsidRDefault="008F09EC" w:rsidP="00C44633">
            <w:pPr>
              <w:pStyle w:val="Sansinterligne2"/>
              <w:spacing w:before="200" w:after="200"/>
              <w:ind w:right="284"/>
              <w:jc w:val="both"/>
              <w:rPr>
                <w:rFonts w:ascii="Arial" w:hAnsi="Arial" w:cs="Arial"/>
                <w:b/>
                <w:sz w:val="22"/>
                <w:szCs w:val="22"/>
              </w:rPr>
            </w:pPr>
            <w:r w:rsidRPr="000C1899">
              <w:rPr>
                <w:rFonts w:ascii="Arial" w:hAnsi="Arial" w:cs="Arial"/>
                <w:b/>
                <w:sz w:val="22"/>
                <w:szCs w:val="22"/>
              </w:rPr>
              <w:t xml:space="preserve">Décision requise : </w:t>
            </w:r>
            <w:r w:rsidRPr="000C1899">
              <w:rPr>
                <w:rFonts w:ascii="Arial" w:hAnsi="Arial" w:cs="Arial"/>
                <w:bCs/>
                <w:sz w:val="22"/>
                <w:szCs w:val="22"/>
              </w:rPr>
              <w:t xml:space="preserve">paragraphe </w:t>
            </w:r>
            <w:r w:rsidR="00C44633" w:rsidRPr="000C1899">
              <w:rPr>
                <w:rFonts w:ascii="Arial" w:hAnsi="Arial" w:cs="Arial"/>
                <w:bCs/>
                <w:sz w:val="22"/>
                <w:szCs w:val="22"/>
              </w:rPr>
              <w:t>3</w:t>
            </w:r>
          </w:p>
        </w:tc>
      </w:tr>
    </w:tbl>
    <w:p w14:paraId="79BC7AF7" w14:textId="77777777" w:rsidR="008525A1" w:rsidRPr="003D4C7F" w:rsidRDefault="008525A1" w:rsidP="008525A1">
      <w:pPr>
        <w:pStyle w:val="NoSpacing1"/>
        <w:keepNext/>
        <w:numPr>
          <w:ilvl w:val="0"/>
          <w:numId w:val="18"/>
        </w:numPr>
        <w:tabs>
          <w:tab w:val="left" w:pos="567"/>
        </w:tabs>
        <w:spacing w:after="240"/>
        <w:ind w:left="567" w:hanging="567"/>
        <w:jc w:val="both"/>
        <w:rPr>
          <w:rFonts w:ascii="Arial" w:hAnsi="Arial" w:cs="Arial"/>
          <w:b/>
        </w:rPr>
      </w:pPr>
      <w:bookmarkStart w:id="0" w:name="Recommendations"/>
      <w:r w:rsidRPr="003D4C7F">
        <w:rPr>
          <w:rFonts w:ascii="Arial" w:hAnsi="Arial" w:cs="Arial"/>
          <w:b/>
        </w:rPr>
        <w:lastRenderedPageBreak/>
        <w:t>Recommandations</w:t>
      </w:r>
    </w:p>
    <w:p w14:paraId="4EC63DEB" w14:textId="77777777" w:rsidR="008525A1" w:rsidRPr="003D4C7F" w:rsidRDefault="008525A1" w:rsidP="008525A1">
      <w:pPr>
        <w:pStyle w:val="DocMain"/>
        <w:keepNext/>
        <w:numPr>
          <w:ilvl w:val="0"/>
          <w:numId w:val="9"/>
        </w:numPr>
        <w:tabs>
          <w:tab w:val="left" w:pos="567"/>
        </w:tabs>
        <w:ind w:left="567" w:hanging="567"/>
      </w:pPr>
      <w:bookmarkStart w:id="1" w:name="Recommends_that_the_committee_refer"/>
      <w:bookmarkStart w:id="2" w:name="Recommends_that_the_committee_approve"/>
      <w:bookmarkEnd w:id="0"/>
      <w:bookmarkEnd w:id="1"/>
      <w:bookmarkEnd w:id="2"/>
      <w:r w:rsidRPr="003D4C7F">
        <w:t>L’Organe d’évaluation recommande au Comité de sélectionner le</w:t>
      </w:r>
      <w:r w:rsidR="009F68AE">
        <w:t>s</w:t>
      </w:r>
      <w:r w:rsidRPr="003D4C7F">
        <w:t xml:space="preserve"> program</w:t>
      </w:r>
      <w:bookmarkStart w:id="3" w:name="_GoBack"/>
      <w:bookmarkEnd w:id="3"/>
      <w:r w:rsidRPr="003D4C7F">
        <w:t>me</w:t>
      </w:r>
      <w:r w:rsidR="009F68AE">
        <w:t>s</w:t>
      </w:r>
      <w:r w:rsidRPr="003D4C7F">
        <w:t xml:space="preserve"> suivant</w:t>
      </w:r>
      <w:r w:rsidR="009F68AE">
        <w:t>s</w:t>
      </w:r>
      <w:r w:rsidRPr="003D4C7F">
        <w:t xml:space="preserve"> comme reflétant le mieux les principes et les objectifs de la Convention :</w:t>
      </w:r>
    </w:p>
    <w:tbl>
      <w:tblPr>
        <w:tblW w:w="4579" w:type="pct"/>
        <w:tblInd w:w="6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81"/>
        <w:gridCol w:w="1943"/>
        <w:gridCol w:w="4075"/>
        <w:gridCol w:w="1118"/>
      </w:tblGrid>
      <w:tr w:rsidR="008525A1" w:rsidRPr="003D4C7F" w14:paraId="25CAA3F7" w14:textId="77777777" w:rsidTr="00FF76A9">
        <w:trPr>
          <w:cantSplit/>
          <w:tblHeader/>
        </w:trPr>
        <w:tc>
          <w:tcPr>
            <w:tcW w:w="953" w:type="pct"/>
            <w:tcBorders>
              <w:top w:val="single" w:sz="4" w:space="0" w:color="auto"/>
              <w:left w:val="single" w:sz="4" w:space="0" w:color="auto"/>
              <w:bottom w:val="single" w:sz="4" w:space="0" w:color="auto"/>
              <w:right w:val="nil"/>
            </w:tcBorders>
            <w:shd w:val="clear" w:color="auto" w:fill="BFBFBF"/>
            <w:vAlign w:val="center"/>
          </w:tcPr>
          <w:p w14:paraId="26424AB2" w14:textId="77777777" w:rsidR="008525A1" w:rsidRPr="003D4C7F" w:rsidRDefault="008525A1" w:rsidP="00FF76A9">
            <w:pPr>
              <w:spacing w:before="120" w:after="120"/>
              <w:jc w:val="center"/>
              <w:rPr>
                <w:rFonts w:ascii="Arial" w:hAnsi="Arial" w:cs="Arial"/>
                <w:sz w:val="22"/>
                <w:szCs w:val="22"/>
              </w:rPr>
            </w:pPr>
            <w:r w:rsidRPr="003D4C7F">
              <w:rPr>
                <w:rFonts w:ascii="Arial" w:hAnsi="Arial" w:cs="Arial"/>
                <w:b/>
                <w:sz w:val="22"/>
                <w:szCs w:val="22"/>
              </w:rPr>
              <w:t>Projet de décision</w:t>
            </w:r>
          </w:p>
        </w:tc>
        <w:tc>
          <w:tcPr>
            <w:tcW w:w="1102" w:type="pct"/>
            <w:tcBorders>
              <w:top w:val="single" w:sz="4" w:space="0" w:color="auto"/>
              <w:left w:val="nil"/>
              <w:bottom w:val="single" w:sz="4" w:space="0" w:color="auto"/>
              <w:right w:val="nil"/>
            </w:tcBorders>
            <w:shd w:val="clear" w:color="auto" w:fill="BFBFBF"/>
            <w:vAlign w:val="center"/>
          </w:tcPr>
          <w:p w14:paraId="58385ED6" w14:textId="77777777" w:rsidR="008525A1" w:rsidRPr="003D4C7F" w:rsidRDefault="008525A1" w:rsidP="00FF76A9">
            <w:pPr>
              <w:spacing w:before="120" w:after="120"/>
              <w:jc w:val="center"/>
              <w:rPr>
                <w:rFonts w:ascii="Arial" w:hAnsi="Arial" w:cs="Arial"/>
                <w:sz w:val="22"/>
                <w:szCs w:val="22"/>
              </w:rPr>
            </w:pPr>
            <w:r w:rsidRPr="003D4C7F">
              <w:rPr>
                <w:rFonts w:ascii="Arial" w:hAnsi="Arial" w:cs="Arial"/>
                <w:b/>
                <w:sz w:val="22"/>
                <w:szCs w:val="22"/>
              </w:rPr>
              <w:t>État soumissionnaire</w:t>
            </w:r>
          </w:p>
        </w:tc>
        <w:tc>
          <w:tcPr>
            <w:tcW w:w="2311" w:type="pct"/>
            <w:tcBorders>
              <w:top w:val="single" w:sz="4" w:space="0" w:color="auto"/>
              <w:left w:val="nil"/>
              <w:bottom w:val="single" w:sz="4" w:space="0" w:color="auto"/>
              <w:right w:val="nil"/>
            </w:tcBorders>
            <w:shd w:val="clear" w:color="auto" w:fill="BFBFBF"/>
            <w:vAlign w:val="center"/>
          </w:tcPr>
          <w:p w14:paraId="059B1F39" w14:textId="77777777" w:rsidR="008525A1" w:rsidRPr="003D4C7F" w:rsidRDefault="008525A1" w:rsidP="00FF76A9">
            <w:pPr>
              <w:spacing w:before="120" w:after="120"/>
              <w:jc w:val="center"/>
              <w:rPr>
                <w:rFonts w:ascii="Arial" w:hAnsi="Arial" w:cs="Arial"/>
                <w:sz w:val="22"/>
                <w:szCs w:val="22"/>
              </w:rPr>
            </w:pPr>
            <w:r w:rsidRPr="003D4C7F">
              <w:rPr>
                <w:rFonts w:ascii="Arial" w:hAnsi="Arial" w:cs="Arial"/>
                <w:b/>
                <w:sz w:val="22"/>
                <w:szCs w:val="22"/>
              </w:rPr>
              <w:t>Proposition</w:t>
            </w:r>
          </w:p>
        </w:tc>
        <w:tc>
          <w:tcPr>
            <w:tcW w:w="634" w:type="pct"/>
            <w:tcBorders>
              <w:top w:val="single" w:sz="4" w:space="0" w:color="auto"/>
              <w:left w:val="nil"/>
              <w:bottom w:val="single" w:sz="4" w:space="0" w:color="auto"/>
              <w:right w:val="single" w:sz="4" w:space="0" w:color="auto"/>
            </w:tcBorders>
            <w:shd w:val="clear" w:color="auto" w:fill="BFBFBF"/>
            <w:vAlign w:val="center"/>
          </w:tcPr>
          <w:p w14:paraId="2B097B44" w14:textId="77777777" w:rsidR="008525A1" w:rsidRPr="003D4C7F" w:rsidRDefault="008525A1" w:rsidP="00FF76A9">
            <w:pPr>
              <w:spacing w:before="120" w:after="120"/>
              <w:jc w:val="center"/>
              <w:rPr>
                <w:rFonts w:ascii="Arial" w:hAnsi="Arial" w:cs="Arial"/>
                <w:sz w:val="22"/>
                <w:szCs w:val="22"/>
              </w:rPr>
            </w:pPr>
            <w:r w:rsidRPr="003D4C7F">
              <w:rPr>
                <w:rFonts w:ascii="Arial" w:hAnsi="Arial" w:cs="Arial"/>
                <w:b/>
                <w:sz w:val="22"/>
                <w:szCs w:val="22"/>
              </w:rPr>
              <w:t>Dossier n°</w:t>
            </w:r>
          </w:p>
        </w:tc>
      </w:tr>
      <w:tr w:rsidR="001C4A10" w:rsidRPr="003D4C7F" w14:paraId="2EBA89A2" w14:textId="77777777" w:rsidTr="00FF76A9">
        <w:trPr>
          <w:cantSplit/>
        </w:trPr>
        <w:tc>
          <w:tcPr>
            <w:tcW w:w="953" w:type="pct"/>
            <w:tcBorders>
              <w:top w:val="single" w:sz="4" w:space="0" w:color="auto"/>
              <w:left w:val="single" w:sz="4" w:space="0" w:color="auto"/>
              <w:bottom w:val="single" w:sz="4" w:space="0" w:color="auto"/>
              <w:right w:val="nil"/>
            </w:tcBorders>
          </w:tcPr>
          <w:p w14:paraId="6A010069" w14:textId="1AC2B963" w:rsidR="001C4A10" w:rsidRPr="003D4C7F" w:rsidRDefault="00E23B3C" w:rsidP="000540F3">
            <w:pPr>
              <w:spacing w:before="120" w:after="120"/>
              <w:rPr>
                <w:rFonts w:ascii="Arial" w:hAnsi="Arial" w:cs="Arial"/>
                <w:bCs/>
                <w:sz w:val="22"/>
                <w:szCs w:val="22"/>
                <w:highlight w:val="yellow"/>
                <w:lang w:eastAsia="en-GB"/>
              </w:rPr>
            </w:pPr>
            <w:hyperlink w:anchor="Decision_10c1" w:history="1">
              <w:r w:rsidR="001C4A10" w:rsidRPr="001E6BAC">
                <w:rPr>
                  <w:rStyle w:val="Hyperlink"/>
                  <w:rFonts w:ascii="Arial" w:hAnsi="Arial" w:cs="Arial"/>
                  <w:bCs/>
                  <w:sz w:val="22"/>
                  <w:szCs w:val="22"/>
                  <w:lang w:eastAsia="en-GB"/>
                </w:rPr>
                <w:t>1</w:t>
              </w:r>
              <w:r w:rsidR="000540F3" w:rsidRPr="001E6BAC">
                <w:rPr>
                  <w:rStyle w:val="Hyperlink"/>
                  <w:rFonts w:ascii="Arial" w:hAnsi="Arial" w:cs="Arial"/>
                  <w:bCs/>
                  <w:sz w:val="22"/>
                  <w:szCs w:val="22"/>
                  <w:lang w:eastAsia="en-GB"/>
                </w:rPr>
                <w:t>4</w:t>
              </w:r>
              <w:r w:rsidR="001C4A10" w:rsidRPr="001E6BAC">
                <w:rPr>
                  <w:rStyle w:val="Hyperlink"/>
                  <w:rFonts w:ascii="Arial" w:hAnsi="Arial" w:cs="Arial"/>
                  <w:bCs/>
                  <w:sz w:val="22"/>
                  <w:szCs w:val="22"/>
                  <w:lang w:eastAsia="en-GB"/>
                </w:rPr>
                <w:t>.COM 10.c.1</w:t>
              </w:r>
            </w:hyperlink>
          </w:p>
        </w:tc>
        <w:tc>
          <w:tcPr>
            <w:tcW w:w="1102" w:type="pct"/>
            <w:tcBorders>
              <w:top w:val="single" w:sz="4" w:space="0" w:color="auto"/>
              <w:left w:val="nil"/>
              <w:bottom w:val="single" w:sz="4" w:space="0" w:color="auto"/>
              <w:right w:val="nil"/>
            </w:tcBorders>
          </w:tcPr>
          <w:p w14:paraId="4379B980" w14:textId="77777777" w:rsidR="001C4A10" w:rsidRPr="003D4C7F" w:rsidRDefault="001C4A10" w:rsidP="00962CDF">
            <w:pPr>
              <w:spacing w:before="120" w:after="120"/>
              <w:jc w:val="center"/>
              <w:rPr>
                <w:rFonts w:ascii="Arial" w:hAnsi="Arial" w:cs="Arial"/>
                <w:sz w:val="22"/>
                <w:szCs w:val="22"/>
              </w:rPr>
            </w:pPr>
            <w:r w:rsidRPr="003D4C7F">
              <w:rPr>
                <w:rFonts w:ascii="Arial" w:hAnsi="Arial" w:cs="Arial"/>
                <w:sz w:val="22"/>
                <w:szCs w:val="22"/>
              </w:rPr>
              <w:t>Colombi</w:t>
            </w:r>
            <w:r w:rsidR="00962CDF" w:rsidRPr="003D4C7F">
              <w:rPr>
                <w:rFonts w:ascii="Arial" w:hAnsi="Arial" w:cs="Arial"/>
                <w:sz w:val="22"/>
                <w:szCs w:val="22"/>
              </w:rPr>
              <w:t>e</w:t>
            </w:r>
          </w:p>
        </w:tc>
        <w:tc>
          <w:tcPr>
            <w:tcW w:w="2311" w:type="pct"/>
            <w:tcBorders>
              <w:top w:val="single" w:sz="4" w:space="0" w:color="auto"/>
              <w:left w:val="nil"/>
              <w:bottom w:val="single" w:sz="4" w:space="0" w:color="auto"/>
              <w:right w:val="nil"/>
            </w:tcBorders>
          </w:tcPr>
          <w:p w14:paraId="2FCE38EB" w14:textId="77777777" w:rsidR="001C4A10" w:rsidRPr="003D4C7F" w:rsidRDefault="00C078E7" w:rsidP="001C4A10">
            <w:pPr>
              <w:spacing w:before="120" w:after="120"/>
              <w:rPr>
                <w:rFonts w:ascii="Arial" w:hAnsi="Arial" w:cs="Arial"/>
                <w:sz w:val="22"/>
                <w:szCs w:val="22"/>
              </w:rPr>
            </w:pPr>
            <w:r w:rsidRPr="003D4C7F">
              <w:rPr>
                <w:rFonts w:ascii="Arial" w:hAnsi="Arial" w:cs="Arial"/>
                <w:sz w:val="22"/>
                <w:szCs w:val="22"/>
              </w:rPr>
              <w:t>L</w:t>
            </w:r>
            <w:r w:rsidR="00962CDF" w:rsidRPr="003D4C7F">
              <w:rPr>
                <w:rFonts w:ascii="Arial" w:hAnsi="Arial" w:cs="Arial"/>
                <w:sz w:val="22"/>
                <w:szCs w:val="22"/>
              </w:rPr>
              <w:t>a stratégie de sauvegarde de l’artisanat traditionnel pour la consolidation de la paix</w:t>
            </w:r>
          </w:p>
        </w:tc>
        <w:tc>
          <w:tcPr>
            <w:tcW w:w="634" w:type="pct"/>
            <w:tcBorders>
              <w:top w:val="single" w:sz="4" w:space="0" w:color="auto"/>
              <w:left w:val="nil"/>
              <w:bottom w:val="single" w:sz="4" w:space="0" w:color="auto"/>
              <w:right w:val="single" w:sz="4" w:space="0" w:color="auto"/>
            </w:tcBorders>
          </w:tcPr>
          <w:p w14:paraId="156A6BE9" w14:textId="545EC46D" w:rsidR="001C4A10" w:rsidRPr="003D4C7F" w:rsidRDefault="00E23B3C" w:rsidP="001C4A10">
            <w:pPr>
              <w:spacing w:before="120" w:after="120"/>
              <w:jc w:val="center"/>
              <w:rPr>
                <w:rFonts w:ascii="Arial" w:hAnsi="Arial" w:cs="Arial"/>
                <w:sz w:val="22"/>
                <w:szCs w:val="22"/>
              </w:rPr>
            </w:pPr>
            <w:hyperlink r:id="rId13" w:anchor="10.c.1" w:history="1">
              <w:r w:rsidR="001C4A10" w:rsidRPr="00247699">
                <w:rPr>
                  <w:rStyle w:val="Hyperlink"/>
                  <w:rFonts w:ascii="Arial" w:hAnsi="Arial" w:cs="Arial"/>
                  <w:sz w:val="22"/>
                  <w:szCs w:val="22"/>
                </w:rPr>
                <w:t>01480</w:t>
              </w:r>
            </w:hyperlink>
          </w:p>
        </w:tc>
      </w:tr>
      <w:tr w:rsidR="001C4A10" w:rsidRPr="003D4C7F" w14:paraId="38AC3415" w14:textId="77777777" w:rsidTr="00FF76A9">
        <w:trPr>
          <w:cantSplit/>
        </w:trPr>
        <w:tc>
          <w:tcPr>
            <w:tcW w:w="953" w:type="pct"/>
            <w:tcBorders>
              <w:top w:val="single" w:sz="4" w:space="0" w:color="auto"/>
              <w:left w:val="single" w:sz="4" w:space="0" w:color="auto"/>
              <w:bottom w:val="single" w:sz="4" w:space="0" w:color="auto"/>
              <w:right w:val="nil"/>
            </w:tcBorders>
          </w:tcPr>
          <w:p w14:paraId="453EEA56" w14:textId="1AD2BC18" w:rsidR="001C4A10" w:rsidRPr="003D4C7F" w:rsidRDefault="00E23B3C" w:rsidP="000540F3">
            <w:pPr>
              <w:spacing w:before="120" w:after="120"/>
              <w:rPr>
                <w:rFonts w:ascii="Arial" w:hAnsi="Arial" w:cs="Arial"/>
                <w:bCs/>
                <w:sz w:val="22"/>
                <w:szCs w:val="22"/>
                <w:highlight w:val="yellow"/>
                <w:lang w:eastAsia="en-GB"/>
              </w:rPr>
            </w:pPr>
            <w:hyperlink w:anchor="Decision_10c3" w:history="1">
              <w:r w:rsidR="001C4A10" w:rsidRPr="001E6BAC">
                <w:rPr>
                  <w:rStyle w:val="Hyperlink"/>
                  <w:rFonts w:ascii="Arial" w:hAnsi="Arial" w:cs="Arial"/>
                  <w:bCs/>
                  <w:sz w:val="22"/>
                  <w:szCs w:val="22"/>
                  <w:lang w:eastAsia="en-GB"/>
                </w:rPr>
                <w:t>1</w:t>
              </w:r>
              <w:r w:rsidR="000540F3" w:rsidRPr="001E6BAC">
                <w:rPr>
                  <w:rStyle w:val="Hyperlink"/>
                  <w:rFonts w:ascii="Arial" w:hAnsi="Arial" w:cs="Arial"/>
                  <w:bCs/>
                  <w:sz w:val="22"/>
                  <w:szCs w:val="22"/>
                  <w:lang w:eastAsia="en-GB"/>
                </w:rPr>
                <w:t>4</w:t>
              </w:r>
              <w:r w:rsidR="001C4A10" w:rsidRPr="001E6BAC">
                <w:rPr>
                  <w:rStyle w:val="Hyperlink"/>
                  <w:rFonts w:ascii="Arial" w:hAnsi="Arial" w:cs="Arial"/>
                  <w:bCs/>
                  <w:sz w:val="22"/>
                  <w:szCs w:val="22"/>
                  <w:lang w:eastAsia="en-GB"/>
                </w:rPr>
                <w:t>.COM 10.c.3</w:t>
              </w:r>
            </w:hyperlink>
          </w:p>
        </w:tc>
        <w:tc>
          <w:tcPr>
            <w:tcW w:w="1102" w:type="pct"/>
            <w:tcBorders>
              <w:top w:val="single" w:sz="4" w:space="0" w:color="auto"/>
              <w:left w:val="nil"/>
              <w:bottom w:val="single" w:sz="4" w:space="0" w:color="auto"/>
              <w:right w:val="nil"/>
            </w:tcBorders>
          </w:tcPr>
          <w:p w14:paraId="19B0C0F5" w14:textId="05D346AD" w:rsidR="001C4A10" w:rsidRPr="003D4C7F" w:rsidRDefault="003C7792" w:rsidP="003C7792">
            <w:pPr>
              <w:spacing w:before="120" w:after="120"/>
              <w:jc w:val="center"/>
              <w:rPr>
                <w:rFonts w:ascii="Arial" w:hAnsi="Arial" w:cs="Arial"/>
                <w:sz w:val="22"/>
                <w:szCs w:val="22"/>
                <w:lang w:val="en-US"/>
              </w:rPr>
            </w:pPr>
            <w:r w:rsidRPr="003D4C7F">
              <w:rPr>
                <w:rFonts w:ascii="Arial" w:hAnsi="Arial" w:cs="Arial"/>
                <w:sz w:val="22"/>
                <w:szCs w:val="22"/>
              </w:rPr>
              <w:t xml:space="preserve">Venezuela </w:t>
            </w:r>
            <w:r>
              <w:rPr>
                <w:rFonts w:ascii="Arial" w:hAnsi="Arial" w:cs="Arial"/>
                <w:sz w:val="22"/>
                <w:szCs w:val="22"/>
              </w:rPr>
              <w:t>(</w:t>
            </w:r>
            <w:r w:rsidR="00962CDF" w:rsidRPr="003D4C7F">
              <w:rPr>
                <w:rFonts w:ascii="Arial" w:hAnsi="Arial" w:cs="Arial"/>
                <w:sz w:val="22"/>
                <w:szCs w:val="22"/>
              </w:rPr>
              <w:t>République bolivarienne du</w:t>
            </w:r>
            <w:r>
              <w:rPr>
                <w:rFonts w:ascii="Arial" w:hAnsi="Arial" w:cs="Arial"/>
                <w:sz w:val="22"/>
                <w:szCs w:val="22"/>
              </w:rPr>
              <w:t>)</w:t>
            </w:r>
          </w:p>
        </w:tc>
        <w:tc>
          <w:tcPr>
            <w:tcW w:w="2311" w:type="pct"/>
            <w:tcBorders>
              <w:top w:val="single" w:sz="4" w:space="0" w:color="auto"/>
              <w:left w:val="nil"/>
              <w:bottom w:val="single" w:sz="4" w:space="0" w:color="auto"/>
              <w:right w:val="nil"/>
            </w:tcBorders>
          </w:tcPr>
          <w:p w14:paraId="2CE73712" w14:textId="77777777" w:rsidR="001C4A10" w:rsidRPr="003D4C7F" w:rsidRDefault="00C078E7" w:rsidP="001C4A10">
            <w:pPr>
              <w:spacing w:before="120" w:after="120"/>
              <w:rPr>
                <w:rFonts w:ascii="Arial" w:hAnsi="Arial" w:cs="Arial"/>
                <w:sz w:val="22"/>
                <w:szCs w:val="22"/>
              </w:rPr>
            </w:pPr>
            <w:r w:rsidRPr="003D4C7F">
              <w:rPr>
                <w:rFonts w:ascii="Arial" w:hAnsi="Arial" w:cs="Arial"/>
                <w:sz w:val="22"/>
                <w:szCs w:val="22"/>
              </w:rPr>
              <w:t>L</w:t>
            </w:r>
            <w:r w:rsidR="00962CDF" w:rsidRPr="003D4C7F">
              <w:rPr>
                <w:rFonts w:ascii="Arial" w:hAnsi="Arial" w:cs="Arial"/>
                <w:sz w:val="22"/>
                <w:szCs w:val="22"/>
              </w:rPr>
              <w:t xml:space="preserve">e programme </w:t>
            </w:r>
            <w:proofErr w:type="spellStart"/>
            <w:r w:rsidR="00962CDF" w:rsidRPr="003D4C7F">
              <w:rPr>
                <w:rFonts w:ascii="Arial" w:hAnsi="Arial" w:cs="Arial"/>
                <w:sz w:val="22"/>
                <w:szCs w:val="22"/>
              </w:rPr>
              <w:t>bioculturel</w:t>
            </w:r>
            <w:proofErr w:type="spellEnd"/>
            <w:r w:rsidR="00962CDF" w:rsidRPr="003D4C7F">
              <w:rPr>
                <w:rFonts w:ascii="Arial" w:hAnsi="Arial" w:cs="Arial"/>
                <w:sz w:val="22"/>
                <w:szCs w:val="22"/>
              </w:rPr>
              <w:t xml:space="preserve"> pour la sauvegarde de la tradition du palmier béni au Venezuela</w:t>
            </w:r>
          </w:p>
        </w:tc>
        <w:tc>
          <w:tcPr>
            <w:tcW w:w="634" w:type="pct"/>
            <w:tcBorders>
              <w:top w:val="single" w:sz="4" w:space="0" w:color="auto"/>
              <w:left w:val="nil"/>
              <w:bottom w:val="single" w:sz="4" w:space="0" w:color="auto"/>
              <w:right w:val="single" w:sz="4" w:space="0" w:color="auto"/>
            </w:tcBorders>
          </w:tcPr>
          <w:p w14:paraId="3D386CA1" w14:textId="11B476A9" w:rsidR="001C4A10" w:rsidRPr="003D4C7F" w:rsidRDefault="00E23B3C" w:rsidP="001C4A10">
            <w:pPr>
              <w:spacing w:before="120" w:after="120"/>
              <w:jc w:val="center"/>
              <w:rPr>
                <w:rFonts w:ascii="Arial" w:hAnsi="Arial" w:cs="Arial"/>
                <w:sz w:val="22"/>
                <w:szCs w:val="22"/>
                <w:lang w:val="en-US"/>
              </w:rPr>
            </w:pPr>
            <w:hyperlink r:id="rId14" w:anchor="10.c.3" w:history="1">
              <w:r w:rsidR="001C4A10" w:rsidRPr="009F68AE">
                <w:rPr>
                  <w:rStyle w:val="Hyperlink"/>
                  <w:rFonts w:ascii="Arial" w:hAnsi="Arial" w:cs="Arial"/>
                  <w:sz w:val="22"/>
                  <w:szCs w:val="22"/>
                  <w:lang w:val="en-US"/>
                </w:rPr>
                <w:t>01464</w:t>
              </w:r>
            </w:hyperlink>
          </w:p>
        </w:tc>
      </w:tr>
    </w:tbl>
    <w:p w14:paraId="4156CA11" w14:textId="77777777" w:rsidR="008525A1" w:rsidRPr="003D4C7F" w:rsidRDefault="008525A1" w:rsidP="008525A1">
      <w:pPr>
        <w:pStyle w:val="DocMain"/>
        <w:keepNext/>
        <w:numPr>
          <w:ilvl w:val="0"/>
          <w:numId w:val="9"/>
        </w:numPr>
        <w:tabs>
          <w:tab w:val="left" w:pos="567"/>
        </w:tabs>
        <w:ind w:left="567" w:hanging="567"/>
      </w:pPr>
      <w:bookmarkStart w:id="4" w:name="Recommends_not_to_select"/>
      <w:bookmarkEnd w:id="4"/>
      <w:r w:rsidRPr="003D4C7F">
        <w:t xml:space="preserve">L’Organe d’évaluation recommande au Comité de renvoyer le programme suivant </w:t>
      </w:r>
      <w:r w:rsidR="00554D0D">
        <w:t>à l’</w:t>
      </w:r>
      <w:r w:rsidRPr="003D4C7F">
        <w:t>État soumissionnaire</w:t>
      </w:r>
      <w:r w:rsidR="00F41629">
        <w:t> :</w:t>
      </w:r>
    </w:p>
    <w:tbl>
      <w:tblPr>
        <w:tblW w:w="4579" w:type="pct"/>
        <w:tblInd w:w="6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681"/>
        <w:gridCol w:w="1943"/>
        <w:gridCol w:w="4075"/>
        <w:gridCol w:w="1118"/>
      </w:tblGrid>
      <w:tr w:rsidR="008525A1" w:rsidRPr="003D4C7F" w14:paraId="5DFE11D0" w14:textId="77777777" w:rsidTr="00FF76A9">
        <w:trPr>
          <w:cantSplit/>
          <w:tblHeader/>
        </w:trPr>
        <w:tc>
          <w:tcPr>
            <w:tcW w:w="953" w:type="pct"/>
            <w:tcBorders>
              <w:top w:val="single" w:sz="4" w:space="0" w:color="auto"/>
              <w:left w:val="single" w:sz="4" w:space="0" w:color="auto"/>
              <w:bottom w:val="single" w:sz="4" w:space="0" w:color="auto"/>
              <w:right w:val="nil"/>
            </w:tcBorders>
            <w:shd w:val="clear" w:color="auto" w:fill="BFBFBF"/>
            <w:vAlign w:val="center"/>
          </w:tcPr>
          <w:p w14:paraId="3992D01C" w14:textId="77777777" w:rsidR="008525A1" w:rsidRPr="003D4C7F" w:rsidRDefault="008525A1" w:rsidP="00FF76A9">
            <w:pPr>
              <w:spacing w:before="120" w:after="120"/>
              <w:jc w:val="center"/>
              <w:rPr>
                <w:rFonts w:ascii="Arial" w:hAnsi="Arial" w:cs="Arial"/>
                <w:sz w:val="22"/>
                <w:szCs w:val="22"/>
              </w:rPr>
            </w:pPr>
            <w:r w:rsidRPr="003D4C7F">
              <w:rPr>
                <w:rFonts w:ascii="Arial" w:hAnsi="Arial" w:cs="Arial"/>
                <w:b/>
                <w:sz w:val="22"/>
                <w:szCs w:val="22"/>
              </w:rPr>
              <w:t>Projet de décision</w:t>
            </w:r>
          </w:p>
        </w:tc>
        <w:tc>
          <w:tcPr>
            <w:tcW w:w="1102" w:type="pct"/>
            <w:tcBorders>
              <w:top w:val="single" w:sz="4" w:space="0" w:color="auto"/>
              <w:left w:val="nil"/>
              <w:bottom w:val="single" w:sz="4" w:space="0" w:color="auto"/>
              <w:right w:val="nil"/>
            </w:tcBorders>
            <w:shd w:val="clear" w:color="auto" w:fill="BFBFBF"/>
            <w:vAlign w:val="center"/>
          </w:tcPr>
          <w:p w14:paraId="50468528" w14:textId="77777777" w:rsidR="008525A1" w:rsidRPr="003D4C7F" w:rsidRDefault="008525A1" w:rsidP="00FF76A9">
            <w:pPr>
              <w:spacing w:before="120" w:after="120"/>
              <w:jc w:val="center"/>
              <w:rPr>
                <w:rFonts w:ascii="Arial" w:hAnsi="Arial" w:cs="Arial"/>
                <w:sz w:val="22"/>
                <w:szCs w:val="22"/>
              </w:rPr>
            </w:pPr>
            <w:r w:rsidRPr="003D4C7F">
              <w:rPr>
                <w:rFonts w:ascii="Arial" w:hAnsi="Arial" w:cs="Arial"/>
                <w:b/>
                <w:sz w:val="22"/>
                <w:szCs w:val="22"/>
              </w:rPr>
              <w:t>État soumissionnaire</w:t>
            </w:r>
          </w:p>
        </w:tc>
        <w:tc>
          <w:tcPr>
            <w:tcW w:w="2311" w:type="pct"/>
            <w:tcBorders>
              <w:top w:val="single" w:sz="4" w:space="0" w:color="auto"/>
              <w:left w:val="nil"/>
              <w:bottom w:val="single" w:sz="4" w:space="0" w:color="auto"/>
              <w:right w:val="nil"/>
            </w:tcBorders>
            <w:shd w:val="clear" w:color="auto" w:fill="BFBFBF"/>
            <w:vAlign w:val="center"/>
          </w:tcPr>
          <w:p w14:paraId="3C6F3835" w14:textId="77777777" w:rsidR="008525A1" w:rsidRPr="003D4C7F" w:rsidRDefault="008525A1" w:rsidP="00FF76A9">
            <w:pPr>
              <w:spacing w:before="120" w:after="120"/>
              <w:jc w:val="center"/>
              <w:rPr>
                <w:rFonts w:ascii="Arial" w:hAnsi="Arial" w:cs="Arial"/>
                <w:sz w:val="22"/>
                <w:szCs w:val="22"/>
              </w:rPr>
            </w:pPr>
            <w:r w:rsidRPr="003D4C7F">
              <w:rPr>
                <w:rFonts w:ascii="Arial" w:hAnsi="Arial" w:cs="Arial"/>
                <w:b/>
                <w:sz w:val="22"/>
                <w:szCs w:val="22"/>
              </w:rPr>
              <w:t>Proposition</w:t>
            </w:r>
          </w:p>
        </w:tc>
        <w:tc>
          <w:tcPr>
            <w:tcW w:w="634" w:type="pct"/>
            <w:tcBorders>
              <w:top w:val="single" w:sz="4" w:space="0" w:color="auto"/>
              <w:left w:val="nil"/>
              <w:bottom w:val="single" w:sz="4" w:space="0" w:color="auto"/>
              <w:right w:val="single" w:sz="4" w:space="0" w:color="auto"/>
            </w:tcBorders>
            <w:shd w:val="clear" w:color="auto" w:fill="BFBFBF"/>
            <w:vAlign w:val="center"/>
          </w:tcPr>
          <w:p w14:paraId="11CC1995" w14:textId="77777777" w:rsidR="008525A1" w:rsidRPr="003D4C7F" w:rsidRDefault="008525A1" w:rsidP="00FF76A9">
            <w:pPr>
              <w:spacing w:before="120" w:after="120"/>
              <w:jc w:val="center"/>
              <w:rPr>
                <w:rFonts w:ascii="Arial" w:hAnsi="Arial" w:cs="Arial"/>
                <w:sz w:val="22"/>
                <w:szCs w:val="22"/>
              </w:rPr>
            </w:pPr>
            <w:r w:rsidRPr="003D4C7F">
              <w:rPr>
                <w:rFonts w:ascii="Arial" w:hAnsi="Arial" w:cs="Arial"/>
                <w:b/>
                <w:sz w:val="22"/>
                <w:szCs w:val="22"/>
              </w:rPr>
              <w:t>Dossier n°</w:t>
            </w:r>
          </w:p>
        </w:tc>
      </w:tr>
      <w:tr w:rsidR="001C4A10" w:rsidRPr="003D4C7F" w14:paraId="7FB90BDC" w14:textId="77777777" w:rsidTr="00FF76A9">
        <w:trPr>
          <w:cantSplit/>
        </w:trPr>
        <w:tc>
          <w:tcPr>
            <w:tcW w:w="953" w:type="pct"/>
            <w:tcBorders>
              <w:top w:val="single" w:sz="4" w:space="0" w:color="auto"/>
              <w:left w:val="single" w:sz="4" w:space="0" w:color="auto"/>
              <w:bottom w:val="single" w:sz="4" w:space="0" w:color="auto"/>
              <w:right w:val="nil"/>
            </w:tcBorders>
          </w:tcPr>
          <w:p w14:paraId="76FE4A9A" w14:textId="4D2BEF30" w:rsidR="001C4A10" w:rsidRPr="003D4C7F" w:rsidRDefault="00E23B3C" w:rsidP="000540F3">
            <w:pPr>
              <w:spacing w:before="120" w:after="120"/>
              <w:rPr>
                <w:rFonts w:ascii="Arial" w:hAnsi="Arial" w:cs="Arial"/>
                <w:bCs/>
                <w:sz w:val="22"/>
                <w:szCs w:val="22"/>
                <w:lang w:eastAsia="en-GB"/>
              </w:rPr>
            </w:pPr>
            <w:hyperlink w:anchor="Decision_10c2" w:history="1">
              <w:r w:rsidR="001C4A10" w:rsidRPr="001E6BAC">
                <w:rPr>
                  <w:rStyle w:val="Hyperlink"/>
                  <w:rFonts w:ascii="Arial" w:hAnsi="Arial" w:cs="Arial"/>
                  <w:bCs/>
                  <w:sz w:val="22"/>
                  <w:szCs w:val="22"/>
                  <w:lang w:eastAsia="en-GB"/>
                </w:rPr>
                <w:t>1</w:t>
              </w:r>
              <w:r w:rsidR="000540F3" w:rsidRPr="001E6BAC">
                <w:rPr>
                  <w:rStyle w:val="Hyperlink"/>
                  <w:rFonts w:ascii="Arial" w:hAnsi="Arial" w:cs="Arial"/>
                  <w:bCs/>
                  <w:sz w:val="22"/>
                  <w:szCs w:val="22"/>
                  <w:lang w:eastAsia="en-GB"/>
                </w:rPr>
                <w:t>4</w:t>
              </w:r>
              <w:r w:rsidR="001C4A10" w:rsidRPr="001E6BAC">
                <w:rPr>
                  <w:rStyle w:val="Hyperlink"/>
                  <w:rFonts w:ascii="Arial" w:hAnsi="Arial" w:cs="Arial"/>
                  <w:bCs/>
                  <w:sz w:val="22"/>
                  <w:szCs w:val="22"/>
                  <w:lang w:eastAsia="en-GB"/>
                </w:rPr>
                <w:t>.COM 10.c.2</w:t>
              </w:r>
            </w:hyperlink>
          </w:p>
        </w:tc>
        <w:tc>
          <w:tcPr>
            <w:tcW w:w="1102" w:type="pct"/>
            <w:tcBorders>
              <w:top w:val="single" w:sz="4" w:space="0" w:color="auto"/>
              <w:left w:val="nil"/>
              <w:bottom w:val="single" w:sz="4" w:space="0" w:color="auto"/>
              <w:right w:val="nil"/>
            </w:tcBorders>
          </w:tcPr>
          <w:p w14:paraId="1480E152" w14:textId="77777777" w:rsidR="001C4A10" w:rsidRPr="003D4C7F" w:rsidRDefault="001C4A10" w:rsidP="001C4A10">
            <w:pPr>
              <w:spacing w:before="120" w:after="120"/>
              <w:jc w:val="center"/>
              <w:rPr>
                <w:rFonts w:ascii="Arial" w:hAnsi="Arial" w:cs="Arial"/>
                <w:sz w:val="22"/>
                <w:szCs w:val="22"/>
                <w:lang w:val="en-GB"/>
              </w:rPr>
            </w:pPr>
            <w:r w:rsidRPr="003D4C7F">
              <w:rPr>
                <w:rFonts w:ascii="Arial" w:hAnsi="Arial" w:cs="Arial"/>
                <w:sz w:val="22"/>
                <w:szCs w:val="22"/>
                <w:lang w:val="en-GB"/>
              </w:rPr>
              <w:t>Panama</w:t>
            </w:r>
          </w:p>
        </w:tc>
        <w:tc>
          <w:tcPr>
            <w:tcW w:w="2311" w:type="pct"/>
            <w:tcBorders>
              <w:top w:val="single" w:sz="4" w:space="0" w:color="auto"/>
              <w:left w:val="nil"/>
              <w:bottom w:val="single" w:sz="4" w:space="0" w:color="auto"/>
              <w:right w:val="nil"/>
            </w:tcBorders>
          </w:tcPr>
          <w:p w14:paraId="2F50C581" w14:textId="77777777" w:rsidR="001C4A10" w:rsidRPr="003D4C7F" w:rsidRDefault="00C078E7" w:rsidP="001C4A10">
            <w:pPr>
              <w:spacing w:before="120" w:after="120"/>
              <w:rPr>
                <w:rFonts w:ascii="Arial" w:hAnsi="Arial" w:cs="Arial"/>
                <w:sz w:val="22"/>
                <w:szCs w:val="22"/>
              </w:rPr>
            </w:pPr>
            <w:r w:rsidRPr="003D4C7F">
              <w:rPr>
                <w:rFonts w:ascii="Arial" w:hAnsi="Arial" w:cs="Arial"/>
                <w:sz w:val="22"/>
                <w:szCs w:val="22"/>
              </w:rPr>
              <w:t>L</w:t>
            </w:r>
            <w:r w:rsidR="00962CDF" w:rsidRPr="003D4C7F">
              <w:rPr>
                <w:rFonts w:ascii="Arial" w:hAnsi="Arial" w:cs="Arial"/>
                <w:sz w:val="22"/>
                <w:szCs w:val="22"/>
              </w:rPr>
              <w:t>e programme écologique et culturel associé au Festival des tortues marines d’</w:t>
            </w:r>
            <w:proofErr w:type="spellStart"/>
            <w:r w:rsidR="00962CDF" w:rsidRPr="003D4C7F">
              <w:rPr>
                <w:rFonts w:ascii="Arial" w:hAnsi="Arial" w:cs="Arial"/>
                <w:sz w:val="22"/>
                <w:szCs w:val="22"/>
              </w:rPr>
              <w:t>Armila</w:t>
            </w:r>
            <w:proofErr w:type="spellEnd"/>
          </w:p>
        </w:tc>
        <w:tc>
          <w:tcPr>
            <w:tcW w:w="634" w:type="pct"/>
            <w:tcBorders>
              <w:top w:val="single" w:sz="4" w:space="0" w:color="auto"/>
              <w:left w:val="nil"/>
              <w:bottom w:val="single" w:sz="4" w:space="0" w:color="auto"/>
              <w:right w:val="single" w:sz="4" w:space="0" w:color="auto"/>
            </w:tcBorders>
          </w:tcPr>
          <w:p w14:paraId="48B5C0FA" w14:textId="1FB82F54" w:rsidR="001C4A10" w:rsidRPr="003D4C7F" w:rsidRDefault="00E23B3C" w:rsidP="001C4A10">
            <w:pPr>
              <w:spacing w:before="120" w:after="120"/>
              <w:jc w:val="center"/>
              <w:rPr>
                <w:rFonts w:ascii="Arial" w:hAnsi="Arial" w:cs="Arial"/>
                <w:sz w:val="22"/>
                <w:szCs w:val="22"/>
                <w:lang w:val="en-GB"/>
              </w:rPr>
            </w:pPr>
            <w:hyperlink r:id="rId15" w:anchor="10.c.2" w:history="1">
              <w:r w:rsidR="001C4A10" w:rsidRPr="00953157">
                <w:rPr>
                  <w:rStyle w:val="Hyperlink"/>
                  <w:rFonts w:ascii="Arial" w:hAnsi="Arial" w:cs="Arial"/>
                  <w:sz w:val="22"/>
                  <w:szCs w:val="22"/>
                </w:rPr>
                <w:t>01481</w:t>
              </w:r>
            </w:hyperlink>
          </w:p>
        </w:tc>
      </w:tr>
    </w:tbl>
    <w:p w14:paraId="7908FD57" w14:textId="77777777" w:rsidR="008525A1" w:rsidRPr="00AC1594" w:rsidRDefault="008525A1" w:rsidP="008525A1">
      <w:pPr>
        <w:pStyle w:val="NoSpacing1"/>
        <w:keepNext/>
        <w:numPr>
          <w:ilvl w:val="0"/>
          <w:numId w:val="18"/>
        </w:numPr>
        <w:tabs>
          <w:tab w:val="left" w:pos="567"/>
        </w:tabs>
        <w:spacing w:before="360" w:after="240"/>
        <w:ind w:left="567" w:hanging="567"/>
        <w:jc w:val="both"/>
        <w:rPr>
          <w:rFonts w:ascii="Arial" w:hAnsi="Arial" w:cs="Arial"/>
          <w:b/>
        </w:rPr>
      </w:pPr>
      <w:r w:rsidRPr="00AC1594">
        <w:rPr>
          <w:rFonts w:ascii="Arial" w:hAnsi="Arial" w:cs="Arial"/>
          <w:b/>
        </w:rPr>
        <w:t>Projets de décision</w:t>
      </w:r>
    </w:p>
    <w:p w14:paraId="68EBEDB6" w14:textId="77777777" w:rsidR="008525A1" w:rsidRPr="00AC1594" w:rsidRDefault="008525A1" w:rsidP="008525A1">
      <w:pPr>
        <w:pStyle w:val="DocMain"/>
        <w:keepNext/>
        <w:numPr>
          <w:ilvl w:val="0"/>
          <w:numId w:val="9"/>
        </w:numPr>
        <w:tabs>
          <w:tab w:val="left" w:pos="567"/>
        </w:tabs>
        <w:ind w:left="567" w:hanging="567"/>
      </w:pPr>
      <w:bookmarkStart w:id="5" w:name="_DRAFT_DECISION_10.COM"/>
      <w:bookmarkEnd w:id="5"/>
      <w:r w:rsidRPr="00AC1594">
        <w:t>Le Comité souhaitera peut-être adopter les décisions suivantes :</w:t>
      </w:r>
    </w:p>
    <w:p w14:paraId="3E0B49BE" w14:textId="153D24C5" w:rsidR="008525A1" w:rsidRPr="00AC1594" w:rsidRDefault="008525A1" w:rsidP="008525A1">
      <w:pPr>
        <w:pStyle w:val="Heading1"/>
        <w:spacing w:before="360" w:after="120"/>
        <w:ind w:firstLine="567"/>
        <w:rPr>
          <w:rFonts w:ascii="Arial" w:eastAsia="SimSun" w:hAnsi="Arial" w:cs="Arial"/>
          <w:b/>
          <w:color w:val="auto"/>
          <w:sz w:val="22"/>
          <w:szCs w:val="22"/>
        </w:rPr>
      </w:pPr>
      <w:bookmarkStart w:id="6" w:name="Decision_10c1"/>
      <w:r w:rsidRPr="00AC1594">
        <w:rPr>
          <w:rFonts w:ascii="Arial" w:hAnsi="Arial" w:cs="Arial"/>
          <w:b/>
          <w:color w:val="auto"/>
          <w:sz w:val="22"/>
          <w:szCs w:val="22"/>
        </w:rPr>
        <w:t>PROJET DE DÉCISION 1</w:t>
      </w:r>
      <w:r w:rsidR="00301684" w:rsidRPr="00AC1594">
        <w:rPr>
          <w:rFonts w:ascii="Arial" w:hAnsi="Arial" w:cs="Arial"/>
          <w:b/>
          <w:color w:val="auto"/>
          <w:sz w:val="22"/>
          <w:szCs w:val="22"/>
        </w:rPr>
        <w:t>4</w:t>
      </w:r>
      <w:r w:rsidRPr="00AC1594">
        <w:rPr>
          <w:rFonts w:ascii="Arial" w:hAnsi="Arial" w:cs="Arial"/>
          <w:b/>
          <w:color w:val="auto"/>
          <w:sz w:val="22"/>
          <w:szCs w:val="22"/>
        </w:rPr>
        <w:t>.COM 10.c.1</w:t>
      </w:r>
      <w:bookmarkEnd w:id="6"/>
      <w:r w:rsidRPr="00AC1594">
        <w:rPr>
          <w:rFonts w:ascii="Arial" w:hAnsi="Arial" w:cs="Arial"/>
          <w:color w:val="auto"/>
          <w:sz w:val="22"/>
          <w:szCs w:val="22"/>
        </w:rPr>
        <w:tab/>
      </w:r>
      <w:r w:rsidRPr="00AC1594">
        <w:rPr>
          <w:rFonts w:ascii="Arial" w:hAnsi="Arial" w:cs="Arial"/>
          <w:noProof/>
          <w:color w:val="auto"/>
          <w:sz w:val="22"/>
          <w:szCs w:val="22"/>
          <w:lang w:eastAsia="ja-JP" w:bidi="ar-SA"/>
        </w:rPr>
        <w:drawing>
          <wp:inline distT="0" distB="0" distL="0" distR="0" wp14:anchorId="25C0C652" wp14:editId="5CE1C8CA">
            <wp:extent cx="104775" cy="104775"/>
            <wp:effectExtent l="0" t="0" r="9525" b="9525"/>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218C3B5" w14:textId="763A4840" w:rsidR="008525A1" w:rsidRPr="00AC1594" w:rsidRDefault="008525A1" w:rsidP="008525A1">
      <w:pPr>
        <w:keepNext/>
        <w:tabs>
          <w:tab w:val="left" w:pos="567"/>
          <w:tab w:val="left" w:pos="1134"/>
          <w:tab w:val="left" w:pos="1701"/>
          <w:tab w:val="left" w:pos="2268"/>
        </w:tabs>
        <w:spacing w:before="120" w:after="120"/>
        <w:ind w:left="1134" w:hanging="567"/>
        <w:jc w:val="both"/>
        <w:rPr>
          <w:rFonts w:ascii="Arial" w:eastAsia="SimSun" w:hAnsi="Arial" w:cs="Arial"/>
          <w:sz w:val="22"/>
          <w:szCs w:val="22"/>
        </w:rPr>
      </w:pPr>
      <w:r w:rsidRPr="00AC1594">
        <w:rPr>
          <w:rFonts w:ascii="Arial" w:hAnsi="Arial" w:cs="Arial"/>
          <w:sz w:val="22"/>
          <w:szCs w:val="22"/>
        </w:rPr>
        <w:t>Le Comité</w:t>
      </w:r>
      <w:r w:rsidR="006C1F05">
        <w:rPr>
          <w:rFonts w:ascii="Arial" w:hAnsi="Arial" w:cs="Arial"/>
          <w:sz w:val="22"/>
          <w:szCs w:val="22"/>
        </w:rPr>
        <w:t>,</w:t>
      </w:r>
    </w:p>
    <w:p w14:paraId="1B18CDC0" w14:textId="77777777" w:rsidR="0035077E" w:rsidRPr="00AC1594" w:rsidRDefault="0035077E" w:rsidP="002D1EDF">
      <w:pPr>
        <w:numPr>
          <w:ilvl w:val="0"/>
          <w:numId w:val="19"/>
        </w:numPr>
        <w:tabs>
          <w:tab w:val="left" w:pos="1134"/>
          <w:tab w:val="left" w:pos="1701"/>
          <w:tab w:val="left" w:pos="2268"/>
          <w:tab w:val="left" w:pos="8080"/>
          <w:tab w:val="left" w:pos="8364"/>
        </w:tabs>
        <w:spacing w:before="120" w:after="120"/>
        <w:ind w:left="1134" w:hanging="567"/>
        <w:jc w:val="both"/>
        <w:rPr>
          <w:rFonts w:ascii="Arial" w:hAnsi="Arial" w:cs="Arial"/>
          <w:sz w:val="22"/>
          <w:szCs w:val="22"/>
        </w:rPr>
      </w:pPr>
      <w:r w:rsidRPr="00AC1594">
        <w:rPr>
          <w:rFonts w:ascii="Arial" w:hAnsi="Arial" w:cs="Arial"/>
          <w:sz w:val="22"/>
          <w:szCs w:val="22"/>
          <w:u w:val="single"/>
        </w:rPr>
        <w:t>Prend note</w:t>
      </w:r>
      <w:r w:rsidRPr="00AC1594">
        <w:rPr>
          <w:rFonts w:ascii="Arial" w:hAnsi="Arial" w:cs="Arial"/>
          <w:sz w:val="22"/>
          <w:szCs w:val="22"/>
        </w:rPr>
        <w:t xml:space="preserve"> que la Colombie a proposé </w:t>
      </w:r>
      <w:r w:rsidRPr="00AC1594">
        <w:rPr>
          <w:rFonts w:ascii="Arial" w:hAnsi="Arial" w:cs="Arial"/>
          <w:b/>
          <w:sz w:val="22"/>
          <w:szCs w:val="22"/>
        </w:rPr>
        <w:t>la stratégie de sauvegarde de l’artisanat traditionnel pour la consolidation de la paix</w:t>
      </w:r>
      <w:r w:rsidRPr="00AC1594">
        <w:rPr>
          <w:rFonts w:ascii="Arial" w:hAnsi="Arial" w:cs="Arial"/>
          <w:sz w:val="22"/>
          <w:szCs w:val="22"/>
        </w:rPr>
        <w:t xml:space="preserve"> (n° 01480) pour sélection et promotion par le Comité comme programme, projet ou activité reflétant le mieux les principes et objectifs de la Convention :</w:t>
      </w:r>
    </w:p>
    <w:p w14:paraId="2199EDCF" w14:textId="4E4C0095" w:rsidR="0035077E" w:rsidRPr="00AC1594" w:rsidRDefault="0035077E" w:rsidP="002D1EDF">
      <w:pPr>
        <w:shd w:val="clear" w:color="auto" w:fill="FFFFFF"/>
        <w:spacing w:after="150"/>
        <w:ind w:left="1134"/>
        <w:jc w:val="both"/>
        <w:rPr>
          <w:rFonts w:ascii="Arial" w:hAnsi="Arial" w:cs="Arial"/>
          <w:sz w:val="22"/>
          <w:szCs w:val="22"/>
        </w:rPr>
      </w:pPr>
      <w:r w:rsidRPr="00AC1594">
        <w:rPr>
          <w:rFonts w:ascii="Arial" w:hAnsi="Arial" w:cs="Arial"/>
          <w:sz w:val="22"/>
          <w:szCs w:val="22"/>
        </w:rPr>
        <w:t xml:space="preserve">La stratégie de sauvegarde de l’artisanat traditionnel pour la consolidation de la paix lutte contre la fragilisation de l’artisanat traditionnel en s’appuyant sur un système de transmission intergénérationnelle des connaissances entre maîtres et apprentis et sur une méthode non formelle d’apprentissage par la pratique. Cette stratégie de sauvegarde vise à former différentes catégories de population, à favoriser les contacts professionnels et à stimuler l’entrepreneuriat culturel. Elle met en relation les détenteurs de l’artisanat et des savoir-faire traditionnels, reconnus par leurs communautés pour leurs connaissances empiriques des spécificités de leurs régions, et des apprentis âgés de 14 à 35 ans qui, en acquérant des savoir-faire ou en apprenant un métier artisanal, deviennent des acteurs de la consolidation de la paix désireux de sortir de leur situation de vulnérabilité. La stratégie de sauvegarde est donc axée sur le développement de qualifications relatives à l’artisanat traditionnel, qui favoriserait l’accès à l’emploi ; la mise en place d’une politique en faveur de l’artisanat traditionnel afin d’orienter et de garantir la continuité de la transmission et de la pratique de l’artisanat ; et le renforcement du programme des écoles ateliers. La priorité est donnée aux jeunes exposés </w:t>
      </w:r>
      <w:r w:rsidR="00AA162E" w:rsidRPr="00AC1594">
        <w:rPr>
          <w:rFonts w:ascii="Arial" w:hAnsi="Arial" w:cs="Arial"/>
          <w:sz w:val="22"/>
          <w:szCs w:val="22"/>
        </w:rPr>
        <w:t xml:space="preserve">aux </w:t>
      </w:r>
      <w:r w:rsidRPr="00AC1594">
        <w:rPr>
          <w:rFonts w:ascii="Arial" w:hAnsi="Arial" w:cs="Arial"/>
          <w:sz w:val="22"/>
          <w:szCs w:val="22"/>
        </w:rPr>
        <w:t xml:space="preserve">conséquences </w:t>
      </w:r>
      <w:r w:rsidR="00AA162E" w:rsidRPr="00AC1594">
        <w:rPr>
          <w:rFonts w:ascii="Arial" w:hAnsi="Arial" w:cs="Arial"/>
          <w:sz w:val="22"/>
          <w:szCs w:val="22"/>
        </w:rPr>
        <w:t xml:space="preserve">des </w:t>
      </w:r>
      <w:r w:rsidRPr="00AC1594">
        <w:rPr>
          <w:rFonts w:ascii="Arial" w:hAnsi="Arial" w:cs="Arial"/>
          <w:sz w:val="22"/>
          <w:szCs w:val="22"/>
        </w:rPr>
        <w:t xml:space="preserve">conflits armés, </w:t>
      </w:r>
      <w:r w:rsidR="00CC4DAE">
        <w:rPr>
          <w:rFonts w:ascii="Arial" w:hAnsi="Arial" w:cs="Arial"/>
          <w:sz w:val="22"/>
          <w:szCs w:val="22"/>
        </w:rPr>
        <w:t>aux manques d’</w:t>
      </w:r>
      <w:r w:rsidRPr="00AC1594">
        <w:rPr>
          <w:rFonts w:ascii="Arial" w:hAnsi="Arial" w:cs="Arial"/>
          <w:sz w:val="22"/>
          <w:szCs w:val="22"/>
        </w:rPr>
        <w:t xml:space="preserve">opportunités professionnelles, </w:t>
      </w:r>
      <w:r w:rsidR="00AA162E" w:rsidRPr="00AC1594">
        <w:rPr>
          <w:rFonts w:ascii="Arial" w:hAnsi="Arial" w:cs="Arial"/>
          <w:sz w:val="22"/>
          <w:szCs w:val="22"/>
        </w:rPr>
        <w:t>aux</w:t>
      </w:r>
      <w:r w:rsidRPr="00AC1594">
        <w:rPr>
          <w:rFonts w:ascii="Arial" w:hAnsi="Arial" w:cs="Arial"/>
          <w:sz w:val="22"/>
          <w:szCs w:val="22"/>
        </w:rPr>
        <w:t xml:space="preserve"> répercussions de l’abandon scolaire et </w:t>
      </w:r>
      <w:r w:rsidR="00AA162E" w:rsidRPr="00AC1594">
        <w:rPr>
          <w:rFonts w:ascii="Arial" w:hAnsi="Arial" w:cs="Arial"/>
          <w:sz w:val="22"/>
          <w:szCs w:val="22"/>
        </w:rPr>
        <w:t>au</w:t>
      </w:r>
      <w:r w:rsidRPr="00AC1594">
        <w:rPr>
          <w:rFonts w:ascii="Arial" w:hAnsi="Arial" w:cs="Arial"/>
          <w:sz w:val="22"/>
          <w:szCs w:val="22"/>
        </w:rPr>
        <w:t xml:space="preserve"> chômage. La formation permet également aux apprentis de travailler, ce qui garantit leurs perspectives</w:t>
      </w:r>
      <w:r w:rsidR="00CC4DAE">
        <w:rPr>
          <w:rFonts w:ascii="Arial" w:hAnsi="Arial" w:cs="Arial"/>
          <w:sz w:val="22"/>
          <w:szCs w:val="22"/>
        </w:rPr>
        <w:t xml:space="preserve"> de trouver un </w:t>
      </w:r>
      <w:r w:rsidRPr="00AC1594">
        <w:rPr>
          <w:rFonts w:ascii="Arial" w:hAnsi="Arial" w:cs="Arial"/>
          <w:sz w:val="22"/>
          <w:szCs w:val="22"/>
        </w:rPr>
        <w:t xml:space="preserve">emploi. La stratégie a donc pour objectif de contribuer à la sauvegarde de l’artisanat traditionnel en tant qu’outil favorisant l’inclusion sociale, l’emploi et l’entrepreneuriat culturel. La communauté, quant à elle, peut ainsi prendre conscience de la valeur culturelle et sociétale des </w:t>
      </w:r>
      <w:r w:rsidR="00DB3CEF" w:rsidRPr="00AC1594">
        <w:rPr>
          <w:rFonts w:ascii="Arial" w:hAnsi="Arial" w:cs="Arial"/>
          <w:sz w:val="22"/>
          <w:szCs w:val="22"/>
        </w:rPr>
        <w:t xml:space="preserve">différents </w:t>
      </w:r>
      <w:r w:rsidRPr="00AC1594">
        <w:rPr>
          <w:rFonts w:ascii="Arial" w:hAnsi="Arial" w:cs="Arial"/>
          <w:sz w:val="22"/>
          <w:szCs w:val="22"/>
        </w:rPr>
        <w:t>savoir-faire et métiers de l’artisanat</w:t>
      </w:r>
      <w:r w:rsidR="00DB3CEF" w:rsidRPr="00AC1594">
        <w:rPr>
          <w:rFonts w:ascii="Arial" w:hAnsi="Arial" w:cs="Arial"/>
          <w:sz w:val="22"/>
          <w:szCs w:val="22"/>
        </w:rPr>
        <w:t xml:space="preserve"> traditionnels</w:t>
      </w:r>
      <w:r w:rsidR="00D26CAE" w:rsidRPr="00AC1594">
        <w:rPr>
          <w:rFonts w:ascii="Arial" w:hAnsi="Arial" w:cs="Arial"/>
          <w:sz w:val="22"/>
          <w:szCs w:val="22"/>
        </w:rPr>
        <w:t>.</w:t>
      </w:r>
    </w:p>
    <w:p w14:paraId="2944D460" w14:textId="013C4AB5" w:rsidR="0035077E" w:rsidRPr="00AC1594" w:rsidRDefault="005A0ABE" w:rsidP="002D1EDF">
      <w:pPr>
        <w:keepNext/>
        <w:numPr>
          <w:ilvl w:val="0"/>
          <w:numId w:val="19"/>
        </w:numPr>
        <w:tabs>
          <w:tab w:val="left" w:pos="993"/>
          <w:tab w:val="left" w:pos="1134"/>
          <w:tab w:val="left" w:pos="1701"/>
          <w:tab w:val="left" w:pos="2268"/>
        </w:tabs>
        <w:spacing w:before="120" w:after="120"/>
        <w:ind w:left="1134" w:hanging="567"/>
        <w:jc w:val="both"/>
        <w:rPr>
          <w:rFonts w:ascii="Arial" w:hAnsi="Arial" w:cs="Arial"/>
          <w:sz w:val="22"/>
          <w:szCs w:val="22"/>
        </w:rPr>
      </w:pPr>
      <w:r w:rsidRPr="00AC1594">
        <w:rPr>
          <w:rFonts w:ascii="Arial" w:hAnsi="Arial" w:cs="Arial"/>
          <w:sz w:val="22"/>
          <w:szCs w:val="22"/>
          <w:u w:val="single"/>
        </w:rPr>
        <w:t>Estime</w:t>
      </w:r>
      <w:r w:rsidR="0035077E" w:rsidRPr="00AC1594">
        <w:rPr>
          <w:rFonts w:ascii="Arial" w:hAnsi="Arial" w:cs="Arial"/>
          <w:sz w:val="22"/>
          <w:szCs w:val="22"/>
        </w:rPr>
        <w:t xml:space="preserve"> que, d’après les informations contenues dans le dossier, la demande répond aux critères de sélection en tant que bonne pratique de sauvegarde, énoncés au paragraphe 7 des Directives opérationnelles comme suit :</w:t>
      </w:r>
    </w:p>
    <w:p w14:paraId="509426DD" w14:textId="1CE2B928" w:rsidR="0035077E" w:rsidRPr="00AC1594" w:rsidRDefault="0035077E" w:rsidP="002D1EDF">
      <w:pPr>
        <w:tabs>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P.1 :</w:t>
      </w:r>
      <w:r w:rsidRPr="00AC1594">
        <w:rPr>
          <w:rFonts w:ascii="Arial" w:hAnsi="Arial" w:cs="Arial"/>
          <w:sz w:val="22"/>
          <w:szCs w:val="22"/>
        </w:rPr>
        <w:tab/>
      </w:r>
      <w:r w:rsidRPr="00AC1594">
        <w:rPr>
          <w:rFonts w:ascii="Arial" w:hAnsi="Arial" w:cs="Arial"/>
          <w:sz w:val="22"/>
          <w:szCs w:val="22"/>
          <w:shd w:val="clear" w:color="auto" w:fill="FFFFFF"/>
        </w:rPr>
        <w:t xml:space="preserve">Le programme vise à renforcer les mesures de sauvegarde garantissant la viabilité </w:t>
      </w:r>
      <w:r w:rsidRPr="00AC1594">
        <w:rPr>
          <w:rFonts w:ascii="Arial" w:hAnsi="Arial" w:cs="Arial"/>
          <w:sz w:val="22"/>
          <w:szCs w:val="22"/>
        </w:rPr>
        <w:t>de l’artisanat traditionnel sur l’ensemble du territoire national</w:t>
      </w:r>
      <w:r w:rsidRPr="00AC1594">
        <w:rPr>
          <w:rFonts w:ascii="Arial" w:hAnsi="Arial" w:cs="Arial"/>
          <w:sz w:val="22"/>
          <w:szCs w:val="22"/>
          <w:shd w:val="clear" w:color="auto" w:fill="FFFFFF"/>
        </w:rPr>
        <w:t xml:space="preserve">. </w:t>
      </w:r>
      <w:r w:rsidRPr="00AC1594">
        <w:rPr>
          <w:rFonts w:ascii="Arial" w:hAnsi="Arial" w:cs="Arial"/>
          <w:sz w:val="22"/>
          <w:szCs w:val="22"/>
        </w:rPr>
        <w:t xml:space="preserve">Une stratégie complète a été élaborée, reprenant des mesures de sauvegarde adéquates parmi lesquelles la création de systèmes de soutien reconnaissant le savoir des détenteurs ; la mise en place d’une politique inter-institutionnelle en faveur de l’artisanat traditionnel fondé sur le modèle de l’apprentissage, et le renforcement du programme des écoles ateliers </w:t>
      </w:r>
      <w:r w:rsidR="006B1DC0" w:rsidRPr="00AC1594">
        <w:rPr>
          <w:rFonts w:ascii="Arial" w:hAnsi="Arial" w:cs="Arial"/>
          <w:sz w:val="22"/>
          <w:szCs w:val="22"/>
        </w:rPr>
        <w:t>afin de garantir</w:t>
      </w:r>
      <w:r w:rsidRPr="00AC1594">
        <w:rPr>
          <w:rFonts w:ascii="Arial" w:hAnsi="Arial" w:cs="Arial"/>
          <w:sz w:val="22"/>
          <w:szCs w:val="22"/>
        </w:rPr>
        <w:t xml:space="preserve"> la continuité de la pratique et de la transmission. En outre, afin de consolider l’artisanat traditionnel et d’assurer la durabilité de la pratique des détenteurs, le programme favorise la création d’emplois dans une optique d’inclusion sociale.</w:t>
      </w:r>
    </w:p>
    <w:p w14:paraId="5EA3CAC5" w14:textId="5F736F44" w:rsidR="0035077E" w:rsidRPr="00AC1594" w:rsidRDefault="0035077E" w:rsidP="002D1EDF">
      <w:pPr>
        <w:tabs>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P.2 :</w:t>
      </w:r>
      <w:r w:rsidRPr="00AC1594">
        <w:rPr>
          <w:rFonts w:ascii="Arial" w:hAnsi="Arial" w:cs="Arial"/>
          <w:sz w:val="22"/>
          <w:szCs w:val="22"/>
        </w:rPr>
        <w:tab/>
        <w:t>La stratégie aide à la coordination des efforts de sauvegarde aux niveaux national et international. Au niveau national, la politique en faveur de l’artisanat traditionnel a permis la création de onze centres de développement de l’artisanat et des savoir-faire traditionnels, et de nouveaux espaces deviendront progressivement accessibles dans les différentes régions du pays au cours de la période post-conflit. Au niveau international, la coopération avec d’autres pays d</w:t>
      </w:r>
      <w:r w:rsidR="006B1DC0" w:rsidRPr="00AC1594">
        <w:rPr>
          <w:rFonts w:ascii="Arial" w:hAnsi="Arial" w:cs="Arial"/>
          <w:sz w:val="22"/>
          <w:szCs w:val="22"/>
        </w:rPr>
        <w:t>e la région d</w:t>
      </w:r>
      <w:r w:rsidR="00404680" w:rsidRPr="00AC1594">
        <w:rPr>
          <w:rFonts w:ascii="Arial" w:hAnsi="Arial" w:cs="Arial"/>
          <w:sz w:val="22"/>
          <w:szCs w:val="22"/>
        </w:rPr>
        <w:t>’</w:t>
      </w:r>
      <w:r w:rsidRPr="00AC1594">
        <w:rPr>
          <w:rFonts w:ascii="Arial" w:hAnsi="Arial" w:cs="Arial"/>
          <w:sz w:val="22"/>
          <w:szCs w:val="22"/>
        </w:rPr>
        <w:t xml:space="preserve">Amérique latine et au-delà est un bon </w:t>
      </w:r>
      <w:r w:rsidR="0054080A">
        <w:rPr>
          <w:rFonts w:ascii="Arial" w:hAnsi="Arial" w:cs="Arial"/>
          <w:sz w:val="22"/>
          <w:szCs w:val="22"/>
        </w:rPr>
        <w:t>exemple de coopération Sud-Sud.</w:t>
      </w:r>
    </w:p>
    <w:p w14:paraId="4CA6C347" w14:textId="00DF5C1F" w:rsidR="0035077E" w:rsidRPr="00AC1594" w:rsidRDefault="0035077E" w:rsidP="002D1EDF">
      <w:pPr>
        <w:tabs>
          <w:tab w:val="left" w:pos="1701"/>
          <w:tab w:val="left" w:pos="2268"/>
        </w:tabs>
        <w:spacing w:before="120" w:after="120"/>
        <w:ind w:left="1701" w:hanging="567"/>
        <w:jc w:val="both"/>
        <w:rPr>
          <w:rFonts w:ascii="Arial" w:hAnsi="Arial" w:cs="Arial"/>
          <w:sz w:val="22"/>
          <w:szCs w:val="22"/>
          <w:shd w:val="clear" w:color="auto" w:fill="FFFFFF"/>
        </w:rPr>
      </w:pPr>
      <w:r w:rsidRPr="00AC1594">
        <w:rPr>
          <w:rFonts w:ascii="Arial" w:hAnsi="Arial" w:cs="Arial"/>
          <w:sz w:val="22"/>
          <w:szCs w:val="22"/>
        </w:rPr>
        <w:t>P.3 :</w:t>
      </w:r>
      <w:r w:rsidRPr="00AC1594">
        <w:rPr>
          <w:rFonts w:ascii="Arial" w:hAnsi="Arial" w:cs="Arial"/>
          <w:sz w:val="22"/>
          <w:szCs w:val="22"/>
        </w:rPr>
        <w:tab/>
        <w:t xml:space="preserve">Les objectifs du programme visent à </w:t>
      </w:r>
      <w:r w:rsidRPr="00AC1594">
        <w:rPr>
          <w:rFonts w:ascii="Arial" w:hAnsi="Arial" w:cs="Arial"/>
          <w:sz w:val="22"/>
          <w:szCs w:val="22"/>
          <w:shd w:val="clear" w:color="auto" w:fill="FFFFFF"/>
        </w:rPr>
        <w:t xml:space="preserve">améliorer la </w:t>
      </w:r>
      <w:r w:rsidRPr="00AC1594">
        <w:rPr>
          <w:rFonts w:ascii="Arial" w:hAnsi="Arial" w:cs="Arial"/>
          <w:sz w:val="22"/>
          <w:szCs w:val="22"/>
        </w:rPr>
        <w:t xml:space="preserve">reconnaissance et le respect de la diversité culturelle, à assurer la transmission continue de connaissances et des savoir-faire traditionnels et à promouvoir la </w:t>
      </w:r>
      <w:r w:rsidRPr="00AC1594">
        <w:rPr>
          <w:rFonts w:ascii="Arial" w:hAnsi="Arial" w:cs="Arial"/>
          <w:sz w:val="22"/>
          <w:szCs w:val="22"/>
          <w:shd w:val="clear" w:color="auto" w:fill="FFFFFF"/>
        </w:rPr>
        <w:t>contribution du patrimoine culturel immatériel à la consolidation de la paix. Ils répondent donc pleinement</w:t>
      </w:r>
      <w:r w:rsidRPr="00AC1594">
        <w:rPr>
          <w:rFonts w:ascii="Arial" w:hAnsi="Arial" w:cs="Arial"/>
          <w:sz w:val="22"/>
          <w:szCs w:val="22"/>
        </w:rPr>
        <w:t xml:space="preserve"> aux principes et objectifs de la Convention. Le programme souligne aussi l’importance de l’appropriation sociale du patrimoine culturel immatériel en favorisant les liens sociaux et les opportunités professionnelles pour les populations vulnérables t</w:t>
      </w:r>
      <w:r w:rsidR="0003173D">
        <w:rPr>
          <w:rFonts w:ascii="Arial" w:hAnsi="Arial" w:cs="Arial"/>
          <w:sz w:val="22"/>
          <w:szCs w:val="22"/>
        </w:rPr>
        <w:t>ouchées par les conflits armés.</w:t>
      </w:r>
    </w:p>
    <w:p w14:paraId="349E6139" w14:textId="33FB10EB" w:rsidR="0035077E" w:rsidRPr="00AC1594" w:rsidRDefault="0035077E" w:rsidP="002D1EDF">
      <w:pPr>
        <w:tabs>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P.4 :</w:t>
      </w:r>
      <w:r w:rsidRPr="00AC1594">
        <w:rPr>
          <w:rFonts w:ascii="Arial" w:hAnsi="Arial" w:cs="Arial"/>
          <w:sz w:val="22"/>
          <w:szCs w:val="22"/>
        </w:rPr>
        <w:tab/>
        <w:t xml:space="preserve">Depuis 2009, la mise en œuvre de la stratégie de sauvegarde a permis à plus de 24 000 jeunes d’acquérir des connaissances et des savoir-faire grâce aux centres de développement de l’artisanat et des savoir-faire traditionnels créés à cet effet. Elle s’est révélée efficace pour garantir la viabilité de l’artisanat dans le pays et promouvoir </w:t>
      </w:r>
      <w:r w:rsidR="0003173D">
        <w:rPr>
          <w:rFonts w:ascii="Arial" w:hAnsi="Arial" w:cs="Arial"/>
          <w:sz w:val="22"/>
          <w:szCs w:val="22"/>
        </w:rPr>
        <w:t>la valeur des cultures locales.</w:t>
      </w:r>
    </w:p>
    <w:p w14:paraId="3B0486CC" w14:textId="1F3A17C1" w:rsidR="0035077E" w:rsidRPr="00AC1594" w:rsidRDefault="0035077E" w:rsidP="00A235CB">
      <w:pPr>
        <w:tabs>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P.5 :</w:t>
      </w:r>
      <w:r w:rsidRPr="00AC1594">
        <w:rPr>
          <w:rFonts w:ascii="Arial" w:hAnsi="Arial" w:cs="Arial"/>
          <w:sz w:val="22"/>
          <w:szCs w:val="22"/>
        </w:rPr>
        <w:tab/>
        <w:t>Le programme a été mis en œuvre avec la participation des détenteurs et des communautés concernées, et avec leur consentement libre, préalable et éclairé. Outre les lettres de consentement fournies par les communautés, le dossier contient</w:t>
      </w:r>
      <w:r w:rsidRPr="00AC1594">
        <w:rPr>
          <w:rFonts w:ascii="Arial" w:hAnsi="Arial" w:cs="Arial"/>
          <w:sz w:val="22"/>
          <w:szCs w:val="22"/>
          <w:shd w:val="clear" w:color="auto" w:fill="FFFFFF"/>
        </w:rPr>
        <w:t xml:space="preserve"> un grand nombre de documents témoignant </w:t>
      </w:r>
      <w:r w:rsidRPr="00AC1594">
        <w:rPr>
          <w:rFonts w:ascii="Arial" w:hAnsi="Arial" w:cs="Arial"/>
          <w:sz w:val="22"/>
          <w:szCs w:val="22"/>
        </w:rPr>
        <w:t>de l’implication active d’acteurs locaux et d’institutions nationales qui collaborent avec les communautés pour mettre en œuvre une stratégie collective de revitalisatio</w:t>
      </w:r>
      <w:r w:rsidR="0003173D">
        <w:rPr>
          <w:rFonts w:ascii="Arial" w:hAnsi="Arial" w:cs="Arial"/>
          <w:sz w:val="22"/>
          <w:szCs w:val="22"/>
        </w:rPr>
        <w:t>n de l’artisanat traditionnel.</w:t>
      </w:r>
    </w:p>
    <w:p w14:paraId="37B417B4" w14:textId="16C6EF56" w:rsidR="0035077E" w:rsidRPr="00AC1594"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P.6 :</w:t>
      </w:r>
      <w:r w:rsidRPr="00AC1594">
        <w:rPr>
          <w:rFonts w:ascii="Arial" w:hAnsi="Arial" w:cs="Arial"/>
          <w:sz w:val="22"/>
          <w:szCs w:val="22"/>
        </w:rPr>
        <w:tab/>
        <w:t xml:space="preserve">La stratégie de sauvegarde pourrait être adaptée aux différents contextes locaux, régionaux et internationaux, en tant que modèle de transmission et d’apprentissage permettant d’assurer la viabilité du patrimoine culturel immatériel. Le modèle d’apprentissage par la pratique pourrait être reproduit afin d’encourager la transmission </w:t>
      </w:r>
      <w:r w:rsidR="006B1DC0" w:rsidRPr="00AC1594">
        <w:rPr>
          <w:rFonts w:ascii="Arial" w:hAnsi="Arial" w:cs="Arial"/>
          <w:sz w:val="22"/>
          <w:szCs w:val="22"/>
        </w:rPr>
        <w:t xml:space="preserve">intergénérationnelle </w:t>
      </w:r>
      <w:r w:rsidRPr="00AC1594">
        <w:rPr>
          <w:rFonts w:ascii="Arial" w:hAnsi="Arial" w:cs="Arial"/>
          <w:sz w:val="22"/>
          <w:szCs w:val="22"/>
        </w:rPr>
        <w:t xml:space="preserve">dans le cadre des relations quotidiennes entre les maîtres et les apprentis, </w:t>
      </w:r>
      <w:r w:rsidR="006B1DC0" w:rsidRPr="00AC1594">
        <w:rPr>
          <w:rFonts w:ascii="Arial" w:hAnsi="Arial" w:cs="Arial"/>
          <w:sz w:val="22"/>
          <w:szCs w:val="22"/>
        </w:rPr>
        <w:t xml:space="preserve">d’offrir de meilleures </w:t>
      </w:r>
      <w:r w:rsidRPr="00AC1594">
        <w:rPr>
          <w:rFonts w:ascii="Arial" w:hAnsi="Arial" w:cs="Arial"/>
          <w:sz w:val="22"/>
          <w:szCs w:val="22"/>
        </w:rPr>
        <w:t>opportunités professionnelles et de favoriser l’inclusion sociale. La stratégie est particulièrement reproductible dans les régions touchées par les conflits armés, la marginalisation et l’exclusion socio-économique.</w:t>
      </w:r>
    </w:p>
    <w:p w14:paraId="12FE14D5" w14:textId="77777777" w:rsidR="0035077E" w:rsidRPr="00AC1594" w:rsidRDefault="0035077E" w:rsidP="002D1EDF">
      <w:pPr>
        <w:tabs>
          <w:tab w:val="left" w:pos="567"/>
          <w:tab w:val="left" w:pos="2268"/>
        </w:tabs>
        <w:spacing w:before="120" w:after="120"/>
        <w:ind w:left="1701" w:hanging="567"/>
        <w:jc w:val="both"/>
        <w:rPr>
          <w:rFonts w:ascii="Arial" w:hAnsi="Arial" w:cs="Arial"/>
          <w:sz w:val="22"/>
          <w:szCs w:val="22"/>
        </w:rPr>
      </w:pPr>
      <w:r w:rsidRPr="00AC1594">
        <w:rPr>
          <w:rFonts w:ascii="Arial" w:hAnsi="Arial" w:cs="Arial"/>
          <w:sz w:val="22"/>
          <w:szCs w:val="22"/>
        </w:rPr>
        <w:t>P.7 :</w:t>
      </w:r>
      <w:r w:rsidRPr="00AC1594">
        <w:rPr>
          <w:rFonts w:ascii="Arial" w:hAnsi="Arial" w:cs="Arial"/>
          <w:sz w:val="22"/>
          <w:szCs w:val="22"/>
        </w:rPr>
        <w:tab/>
        <w:t>Le dossier montre bien l’engagement de différentes parties prenantes désireuses de coopérer à la diffusion de la stratégie, parmi lesquelles des institutions publiques dont le ministère de la Culture colombien et le Programme national des métiers de l’artisanat traditionnel pour la consolidation de la paix, mais aussi des détenteurs, des maîtres artisans, d’anciens apprentis et des jeunes en cours de formation. D’autres moyens de partager les connaissances et l’expérience acquise sont envisagés, notamment par le biais d’ateliers publics. Des alliances stratégiques pourraient également être établies afin de diffuser le programme dans d’autres pays.</w:t>
      </w:r>
    </w:p>
    <w:p w14:paraId="3871EAF3" w14:textId="2B639C67" w:rsidR="0035077E" w:rsidRPr="00AC1594" w:rsidRDefault="0035077E" w:rsidP="002D1EDF">
      <w:pPr>
        <w:tabs>
          <w:tab w:val="left" w:pos="567"/>
          <w:tab w:val="left" w:pos="1560"/>
          <w:tab w:val="left" w:pos="2268"/>
        </w:tabs>
        <w:spacing w:before="120" w:after="120"/>
        <w:ind w:left="1701" w:hanging="567"/>
        <w:jc w:val="both"/>
        <w:rPr>
          <w:rFonts w:ascii="Arial" w:hAnsi="Arial" w:cs="Arial"/>
          <w:sz w:val="22"/>
          <w:szCs w:val="22"/>
        </w:rPr>
      </w:pPr>
      <w:r w:rsidRPr="00AC1594">
        <w:rPr>
          <w:rFonts w:ascii="Arial" w:hAnsi="Arial" w:cs="Arial"/>
          <w:sz w:val="22"/>
          <w:szCs w:val="22"/>
        </w:rPr>
        <w:t>P.8 :</w:t>
      </w:r>
      <w:r w:rsidRPr="00AC1594">
        <w:rPr>
          <w:rFonts w:ascii="Arial" w:hAnsi="Arial" w:cs="Arial"/>
          <w:sz w:val="22"/>
          <w:szCs w:val="22"/>
        </w:rPr>
        <w:tab/>
        <w:t>Le programme comprend des mécanismes de coordination inter-institutionnelle, qui présentent des indicateurs de suivi pour tous les centres de développement de l’artisanat et des savoir-faire traditionnels. À l’aide de ces indicateurs, chaque centre prépare des rapports trimestriels</w:t>
      </w:r>
      <w:r w:rsidR="00405115">
        <w:rPr>
          <w:rFonts w:ascii="Arial" w:hAnsi="Arial" w:cs="Arial"/>
          <w:sz w:val="22"/>
          <w:szCs w:val="22"/>
        </w:rPr>
        <w:t xml:space="preserve">, pour l’unité générale de coordination, et qui rendent </w:t>
      </w:r>
      <w:r w:rsidRPr="00AC1594">
        <w:rPr>
          <w:rFonts w:ascii="Arial" w:hAnsi="Arial" w:cs="Arial"/>
          <w:sz w:val="22"/>
          <w:szCs w:val="22"/>
        </w:rPr>
        <w:t>compte de ses activités, des résultats des programmes d’apprentissage et du nombre d’apprentis inscrits. Outre le nombre d’apprentis, des indicateurs plus précis pourraient être envisagés pour facili</w:t>
      </w:r>
      <w:r w:rsidR="006F6397">
        <w:rPr>
          <w:rFonts w:ascii="Arial" w:hAnsi="Arial" w:cs="Arial"/>
          <w:sz w:val="22"/>
          <w:szCs w:val="22"/>
        </w:rPr>
        <w:t>ter l’évaluation des résultats.</w:t>
      </w:r>
    </w:p>
    <w:p w14:paraId="054F2F44" w14:textId="43CACB3D" w:rsidR="0035077E" w:rsidRPr="00AC1594" w:rsidRDefault="0035077E" w:rsidP="002D1EDF">
      <w:pPr>
        <w:tabs>
          <w:tab w:val="left" w:pos="567"/>
          <w:tab w:val="left" w:pos="1276"/>
          <w:tab w:val="left" w:pos="2268"/>
        </w:tabs>
        <w:spacing w:before="120" w:after="120"/>
        <w:ind w:left="1701" w:hanging="567"/>
        <w:jc w:val="both"/>
        <w:rPr>
          <w:rFonts w:ascii="Arial" w:hAnsi="Arial" w:cs="Arial"/>
          <w:sz w:val="22"/>
          <w:szCs w:val="22"/>
        </w:rPr>
      </w:pPr>
      <w:r w:rsidRPr="00AC1594">
        <w:rPr>
          <w:rFonts w:ascii="Arial" w:hAnsi="Arial" w:cs="Arial"/>
          <w:sz w:val="22"/>
          <w:szCs w:val="22"/>
        </w:rPr>
        <w:t>P.9 :</w:t>
      </w:r>
      <w:r w:rsidRPr="00AC1594">
        <w:rPr>
          <w:rFonts w:ascii="Arial" w:hAnsi="Arial" w:cs="Arial"/>
          <w:sz w:val="22"/>
          <w:szCs w:val="22"/>
        </w:rPr>
        <w:tab/>
        <w:t>La stratégie de sauvegarde de l’artisanat traditionnel pour la consolidation de la paix, qui favorise la transmission de connaissances et des savoir-faire liés aux métiers de l’artisanat, répond bien aux besoins des pays en développement, en particulier en ce qui concerne les populations vulnérables touchées par l’exclusion socio-économique. En outre, elle pourrait être un modèle efficace pour les populations des pays sortant d’un conflit</w:t>
      </w:r>
      <w:r w:rsidR="00D26CAE" w:rsidRPr="00AC1594">
        <w:rPr>
          <w:rFonts w:ascii="Arial" w:hAnsi="Arial" w:cs="Arial"/>
          <w:sz w:val="22"/>
          <w:szCs w:val="22"/>
        </w:rPr>
        <w:t xml:space="preserve"> armé</w:t>
      </w:r>
      <w:r w:rsidR="006F6397">
        <w:rPr>
          <w:rFonts w:ascii="Arial" w:hAnsi="Arial" w:cs="Arial"/>
          <w:sz w:val="22"/>
          <w:szCs w:val="22"/>
        </w:rPr>
        <w:t>.</w:t>
      </w:r>
    </w:p>
    <w:p w14:paraId="49D50604" w14:textId="74AFB48B" w:rsidR="0035077E" w:rsidRPr="00AC1594" w:rsidRDefault="007D24C4" w:rsidP="002D1EDF">
      <w:pPr>
        <w:numPr>
          <w:ilvl w:val="0"/>
          <w:numId w:val="19"/>
        </w:numPr>
        <w:tabs>
          <w:tab w:val="left" w:pos="1134"/>
          <w:tab w:val="left" w:pos="1701"/>
          <w:tab w:val="left" w:pos="2268"/>
        </w:tabs>
        <w:spacing w:before="120" w:after="120"/>
        <w:ind w:left="1134" w:hanging="567"/>
        <w:jc w:val="both"/>
        <w:rPr>
          <w:rFonts w:ascii="Arial" w:hAnsi="Arial" w:cs="Arial"/>
          <w:bCs/>
          <w:sz w:val="22"/>
          <w:szCs w:val="22"/>
        </w:rPr>
      </w:pPr>
      <w:r w:rsidRPr="00AC1594">
        <w:rPr>
          <w:rFonts w:ascii="Arial" w:hAnsi="Arial" w:cs="Arial"/>
          <w:sz w:val="22"/>
          <w:szCs w:val="22"/>
          <w:u w:val="single"/>
        </w:rPr>
        <w:t xml:space="preserve">Décide de </w:t>
      </w:r>
      <w:r w:rsidRPr="00AC1594">
        <w:rPr>
          <w:u w:val="single"/>
        </w:rPr>
        <w:t>s</w:t>
      </w:r>
      <w:r w:rsidR="0035077E" w:rsidRPr="00AC1594">
        <w:rPr>
          <w:rFonts w:ascii="Arial" w:hAnsi="Arial" w:cs="Arial"/>
          <w:bCs/>
          <w:sz w:val="22"/>
          <w:szCs w:val="22"/>
          <w:u w:val="single"/>
        </w:rPr>
        <w:t>électionne</w:t>
      </w:r>
      <w:r w:rsidRPr="00AC1594">
        <w:rPr>
          <w:rFonts w:ascii="Arial" w:hAnsi="Arial" w:cs="Arial"/>
          <w:bCs/>
          <w:sz w:val="22"/>
          <w:szCs w:val="22"/>
          <w:u w:val="single"/>
        </w:rPr>
        <w:t>r</w:t>
      </w:r>
      <w:r w:rsidR="0035077E" w:rsidRPr="00AC1594">
        <w:rPr>
          <w:rFonts w:ascii="Arial" w:hAnsi="Arial" w:cs="Arial"/>
          <w:bCs/>
          <w:sz w:val="22"/>
          <w:szCs w:val="22"/>
        </w:rPr>
        <w:t xml:space="preserve"> </w:t>
      </w:r>
      <w:r w:rsidR="0035077E" w:rsidRPr="00AC1594">
        <w:rPr>
          <w:rFonts w:ascii="Arial" w:hAnsi="Arial" w:cs="Arial"/>
          <w:b/>
          <w:bCs/>
          <w:sz w:val="22"/>
          <w:szCs w:val="22"/>
        </w:rPr>
        <w:t>la stratégie de sauvegarde de l’artisanat traditionnel pour la consolidation de la paix</w:t>
      </w:r>
      <w:r w:rsidR="0035077E" w:rsidRPr="00AC1594">
        <w:rPr>
          <w:rFonts w:ascii="Arial" w:hAnsi="Arial" w:cs="Arial"/>
          <w:bCs/>
          <w:sz w:val="22"/>
          <w:szCs w:val="22"/>
        </w:rPr>
        <w:t xml:space="preserve"> comme programme, projet ou activité reflétant le mieux les principes et objectifs de la Convention ;</w:t>
      </w:r>
    </w:p>
    <w:p w14:paraId="244F7C58" w14:textId="33FDFEBB" w:rsidR="0035077E" w:rsidRPr="009A4CBD" w:rsidRDefault="0035077E" w:rsidP="0035077E">
      <w:pPr>
        <w:numPr>
          <w:ilvl w:val="0"/>
          <w:numId w:val="19"/>
        </w:numPr>
        <w:tabs>
          <w:tab w:val="left" w:pos="1134"/>
          <w:tab w:val="left" w:pos="1701"/>
          <w:tab w:val="left" w:pos="2268"/>
        </w:tabs>
        <w:spacing w:before="120" w:after="120"/>
        <w:ind w:left="1134" w:hanging="567"/>
        <w:jc w:val="both"/>
        <w:rPr>
          <w:rFonts w:ascii="Arial" w:hAnsi="Arial" w:cs="Arial"/>
          <w:bCs/>
          <w:sz w:val="22"/>
          <w:szCs w:val="22"/>
        </w:rPr>
      </w:pPr>
      <w:r w:rsidRPr="00AC1594">
        <w:rPr>
          <w:rFonts w:ascii="Arial" w:hAnsi="Arial" w:cs="Arial"/>
          <w:sz w:val="22"/>
          <w:szCs w:val="22"/>
          <w:u w:val="single"/>
        </w:rPr>
        <w:t>Félicite</w:t>
      </w:r>
      <w:r w:rsidRPr="00AC1594">
        <w:rPr>
          <w:rFonts w:ascii="Arial" w:hAnsi="Arial" w:cs="Arial"/>
          <w:sz w:val="22"/>
          <w:szCs w:val="22"/>
        </w:rPr>
        <w:t xml:space="preserve"> l’État partie pour sa première sélection et pour avoir soumis un dossier exemplaire qui présente un programme de sauvegarde fortement axé sur le développement de la communauté et l’inclusion sociale, qui contribue à la pérennité des moyens de subsistance des communautés et qui sert de modèle pour la consolidation de la paix dans d’autres pays, </w:t>
      </w:r>
      <w:r w:rsidR="000B26BE">
        <w:rPr>
          <w:rFonts w:ascii="Arial" w:hAnsi="Arial" w:cs="Arial"/>
          <w:sz w:val="22"/>
          <w:szCs w:val="22"/>
        </w:rPr>
        <w:t>surtout pour</w:t>
      </w:r>
      <w:r w:rsidR="000B26BE" w:rsidRPr="00AC1594">
        <w:rPr>
          <w:rFonts w:ascii="Arial" w:hAnsi="Arial" w:cs="Arial"/>
          <w:sz w:val="22"/>
          <w:szCs w:val="22"/>
        </w:rPr>
        <w:t xml:space="preserve"> </w:t>
      </w:r>
      <w:r w:rsidRPr="00AC1594">
        <w:rPr>
          <w:rFonts w:ascii="Arial" w:hAnsi="Arial" w:cs="Arial"/>
          <w:sz w:val="22"/>
          <w:szCs w:val="22"/>
        </w:rPr>
        <w:t>ceux sortant d’un conflit.</w:t>
      </w:r>
    </w:p>
    <w:p w14:paraId="186207A6" w14:textId="33E68D38" w:rsidR="0035077E" w:rsidRPr="00AC1594" w:rsidRDefault="001E6BAC" w:rsidP="009A4CBD">
      <w:pPr>
        <w:pStyle w:val="Heading2"/>
        <w:keepLines/>
        <w:numPr>
          <w:ilvl w:val="0"/>
          <w:numId w:val="21"/>
        </w:numPr>
        <w:spacing w:before="360" w:after="120"/>
        <w:ind w:left="567"/>
        <w:rPr>
          <w:rFonts w:ascii="Arial" w:hAnsi="Arial" w:cs="Arial"/>
          <w:b w:val="0"/>
          <w:i w:val="0"/>
          <w:sz w:val="22"/>
          <w:szCs w:val="22"/>
        </w:rPr>
      </w:pPr>
      <w:bookmarkStart w:id="7" w:name="Decision_10c2"/>
      <w:r w:rsidRPr="00AC1594">
        <w:rPr>
          <w:rFonts w:ascii="Arial" w:hAnsi="Arial" w:cs="Arial"/>
          <w:noProof/>
          <w:sz w:val="22"/>
          <w:szCs w:val="22"/>
          <w:lang w:eastAsia="ja-JP"/>
        </w:rPr>
        <w:drawing>
          <wp:anchor distT="0" distB="0" distL="114300" distR="114300" simplePos="0" relativeHeight="251658240" behindDoc="1" locked="0" layoutInCell="1" allowOverlap="1" wp14:anchorId="0736B810" wp14:editId="059878E9">
            <wp:simplePos x="0" y="0"/>
            <wp:positionH relativeFrom="column">
              <wp:posOffset>3190875</wp:posOffset>
            </wp:positionH>
            <wp:positionV relativeFrom="paragraph">
              <wp:posOffset>186690</wp:posOffset>
            </wp:positionV>
            <wp:extent cx="104775" cy="104775"/>
            <wp:effectExtent l="0" t="0" r="9525" b="9525"/>
            <wp:wrapTight wrapText="bothSides">
              <wp:wrapPolygon edited="0">
                <wp:start x="0" y="0"/>
                <wp:lineTo x="0" y="19636"/>
                <wp:lineTo x="19636" y="19636"/>
                <wp:lineTo x="19636" y="0"/>
                <wp:lineTo x="0" y="0"/>
              </wp:wrapPolygon>
            </wp:wrapTight>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anchor>
        </w:drawing>
      </w:r>
      <w:r w:rsidR="0035077E" w:rsidRPr="00AC1594">
        <w:rPr>
          <w:rFonts w:ascii="Arial" w:hAnsi="Arial" w:cs="Arial"/>
          <w:i w:val="0"/>
          <w:sz w:val="22"/>
          <w:szCs w:val="22"/>
        </w:rPr>
        <w:t>PROJET DE DÉCISION 14.COM </w:t>
      </w:r>
      <w:r w:rsidR="003D4C7F" w:rsidRPr="00AC1594">
        <w:rPr>
          <w:rFonts w:ascii="Arial" w:hAnsi="Arial" w:cs="Arial"/>
          <w:i w:val="0"/>
          <w:sz w:val="22"/>
          <w:szCs w:val="22"/>
        </w:rPr>
        <w:t>10</w:t>
      </w:r>
      <w:r w:rsidR="009A4CBD">
        <w:rPr>
          <w:rFonts w:ascii="Arial" w:hAnsi="Arial" w:cs="Arial"/>
          <w:i w:val="0"/>
          <w:sz w:val="22"/>
          <w:szCs w:val="22"/>
        </w:rPr>
        <w:t>.c.2</w:t>
      </w:r>
    </w:p>
    <w:bookmarkEnd w:id="7"/>
    <w:p w14:paraId="03CC3051" w14:textId="0EF9F8EA" w:rsidR="0035077E" w:rsidRPr="00AC1594" w:rsidRDefault="0035077E" w:rsidP="002D1EDF">
      <w:pPr>
        <w:pStyle w:val="NoSpacing"/>
        <w:keepNext/>
        <w:tabs>
          <w:tab w:val="left" w:pos="567"/>
          <w:tab w:val="left" w:pos="1134"/>
          <w:tab w:val="left" w:pos="1701"/>
          <w:tab w:val="left" w:pos="2268"/>
        </w:tabs>
        <w:spacing w:before="120" w:after="120"/>
        <w:ind w:left="567"/>
        <w:jc w:val="both"/>
        <w:rPr>
          <w:rFonts w:ascii="Arial" w:hAnsi="Arial" w:cs="Arial"/>
          <w:sz w:val="22"/>
          <w:szCs w:val="22"/>
        </w:rPr>
      </w:pPr>
      <w:r w:rsidRPr="00AC1594">
        <w:rPr>
          <w:rFonts w:ascii="Arial" w:hAnsi="Arial" w:cs="Arial"/>
          <w:sz w:val="22"/>
          <w:szCs w:val="22"/>
        </w:rPr>
        <w:t>Le Comité</w:t>
      </w:r>
      <w:r w:rsidR="006C1F05">
        <w:rPr>
          <w:rFonts w:ascii="Arial" w:hAnsi="Arial" w:cs="Arial"/>
          <w:sz w:val="22"/>
          <w:szCs w:val="22"/>
        </w:rPr>
        <w:t>,</w:t>
      </w:r>
    </w:p>
    <w:p w14:paraId="4B665211" w14:textId="77777777" w:rsidR="0035077E" w:rsidRPr="00AC1594" w:rsidRDefault="0035077E" w:rsidP="002D1EDF">
      <w:pPr>
        <w:pStyle w:val="Style1"/>
        <w:ind w:left="1134"/>
      </w:pPr>
      <w:r w:rsidRPr="00AC1594">
        <w:rPr>
          <w:u w:val="single"/>
        </w:rPr>
        <w:t>Prend note</w:t>
      </w:r>
      <w:r w:rsidRPr="00AC1594">
        <w:t xml:space="preserve"> que le Panama a proposé </w:t>
      </w:r>
      <w:r w:rsidRPr="00AC1594">
        <w:rPr>
          <w:b/>
        </w:rPr>
        <w:t>le programme écologique et culturel associé au Festival des tortues marines d’</w:t>
      </w:r>
      <w:proofErr w:type="spellStart"/>
      <w:r w:rsidRPr="00AC1594">
        <w:rPr>
          <w:b/>
        </w:rPr>
        <w:t>Armila</w:t>
      </w:r>
      <w:proofErr w:type="spellEnd"/>
      <w:r w:rsidRPr="00AC1594">
        <w:t xml:space="preserve"> (n° 01481) pour sélection et promotion par le Comité comme programme, projet ou activité reflétant le mieux les principes et objectifs de la Convention :</w:t>
      </w:r>
    </w:p>
    <w:p w14:paraId="2F672A52" w14:textId="06E20F4C" w:rsidR="0035077E" w:rsidRPr="00AC1594" w:rsidRDefault="0035077E" w:rsidP="002D1EDF">
      <w:pPr>
        <w:tabs>
          <w:tab w:val="left" w:pos="1134"/>
          <w:tab w:val="left" w:pos="1701"/>
          <w:tab w:val="left" w:pos="2268"/>
        </w:tabs>
        <w:spacing w:before="120" w:after="120"/>
        <w:ind w:left="1134"/>
        <w:jc w:val="both"/>
        <w:rPr>
          <w:rFonts w:ascii="Arial" w:hAnsi="Arial" w:cs="Arial"/>
          <w:sz w:val="22"/>
          <w:szCs w:val="22"/>
        </w:rPr>
      </w:pPr>
      <w:r w:rsidRPr="00AC1594">
        <w:rPr>
          <w:rFonts w:ascii="Arial" w:hAnsi="Arial" w:cs="Arial"/>
          <w:sz w:val="22"/>
          <w:szCs w:val="22"/>
        </w:rPr>
        <w:t>Le programme écologique et culturel associé au Festival des tortues marines d’</w:t>
      </w:r>
      <w:proofErr w:type="spellStart"/>
      <w:r w:rsidRPr="00AC1594">
        <w:rPr>
          <w:rFonts w:ascii="Arial" w:hAnsi="Arial" w:cs="Arial"/>
          <w:sz w:val="22"/>
          <w:szCs w:val="22"/>
        </w:rPr>
        <w:t>Armila</w:t>
      </w:r>
      <w:proofErr w:type="spellEnd"/>
      <w:r w:rsidRPr="00AC1594">
        <w:rPr>
          <w:rFonts w:ascii="Arial" w:hAnsi="Arial" w:cs="Arial"/>
          <w:sz w:val="22"/>
          <w:szCs w:val="22"/>
        </w:rPr>
        <w:t xml:space="preserve"> est mené dans la localité d’</w:t>
      </w:r>
      <w:proofErr w:type="spellStart"/>
      <w:r w:rsidRPr="00AC1594">
        <w:rPr>
          <w:rFonts w:ascii="Arial" w:hAnsi="Arial" w:cs="Arial"/>
          <w:sz w:val="22"/>
          <w:szCs w:val="22"/>
        </w:rPr>
        <w:t>Armila</w:t>
      </w:r>
      <w:proofErr w:type="spellEnd"/>
      <w:r w:rsidRPr="00AC1594">
        <w:rPr>
          <w:rFonts w:ascii="Arial" w:hAnsi="Arial" w:cs="Arial"/>
          <w:sz w:val="22"/>
          <w:szCs w:val="22"/>
        </w:rPr>
        <w:t xml:space="preserve">. La priorité accordée à la sauvegarde de cette tradition découle de la conception du monde propre aux </w:t>
      </w:r>
      <w:proofErr w:type="spellStart"/>
      <w:r w:rsidRPr="00AC1594">
        <w:rPr>
          <w:rFonts w:ascii="Arial" w:hAnsi="Arial" w:cs="Arial"/>
          <w:sz w:val="22"/>
          <w:szCs w:val="22"/>
        </w:rPr>
        <w:t>Gunas</w:t>
      </w:r>
      <w:proofErr w:type="spellEnd"/>
      <w:r w:rsidRPr="00AC1594">
        <w:rPr>
          <w:rFonts w:ascii="Arial" w:hAnsi="Arial" w:cs="Arial"/>
          <w:sz w:val="22"/>
          <w:szCs w:val="22"/>
        </w:rPr>
        <w:t xml:space="preserve">, qui repose sur le principe d’interconnexion de tous les éléments du monde : les êtres humains, les plantes, les animaux et les esprits forment un vaste </w:t>
      </w:r>
      <w:r w:rsidR="00C06A9E" w:rsidRPr="00AC1594">
        <w:rPr>
          <w:rFonts w:ascii="Arial" w:hAnsi="Arial" w:cs="Arial"/>
          <w:sz w:val="22"/>
          <w:szCs w:val="22"/>
        </w:rPr>
        <w:t xml:space="preserve">système </w:t>
      </w:r>
      <w:r w:rsidRPr="00AC1594">
        <w:rPr>
          <w:rFonts w:ascii="Arial" w:hAnsi="Arial" w:cs="Arial"/>
          <w:sz w:val="22"/>
          <w:szCs w:val="22"/>
        </w:rPr>
        <w:t xml:space="preserve">appelé </w:t>
      </w:r>
      <w:proofErr w:type="spellStart"/>
      <w:r w:rsidRPr="00AC1594">
        <w:rPr>
          <w:rFonts w:ascii="Arial" w:hAnsi="Arial" w:cs="Arial"/>
          <w:iCs/>
          <w:sz w:val="22"/>
          <w:szCs w:val="22"/>
        </w:rPr>
        <w:t>Nabgwana</w:t>
      </w:r>
      <w:proofErr w:type="spellEnd"/>
      <w:r w:rsidRPr="00AC1594">
        <w:rPr>
          <w:rFonts w:ascii="Arial" w:hAnsi="Arial" w:cs="Arial"/>
          <w:sz w:val="22"/>
          <w:szCs w:val="22"/>
        </w:rPr>
        <w:t xml:space="preserve"> (planète Terre). Ce mot guna – qui désigne la nature dans son sens le plus large – est mis à l’honneur tout au long du Festival des tortues marines d’</w:t>
      </w:r>
      <w:proofErr w:type="spellStart"/>
      <w:r w:rsidRPr="00AC1594">
        <w:rPr>
          <w:rFonts w:ascii="Arial" w:hAnsi="Arial" w:cs="Arial"/>
          <w:sz w:val="22"/>
          <w:szCs w:val="22"/>
        </w:rPr>
        <w:t>Armila</w:t>
      </w:r>
      <w:proofErr w:type="spellEnd"/>
      <w:r w:rsidRPr="00AC1594">
        <w:rPr>
          <w:rFonts w:ascii="Arial" w:hAnsi="Arial" w:cs="Arial"/>
          <w:sz w:val="22"/>
          <w:szCs w:val="22"/>
        </w:rPr>
        <w:t>, à travers des histoires, des contes populaires, des chants et des productions artisanales. Reconnaissant les pressions exercées sur cet écosystème marin déjà fragile, la communauté d’</w:t>
      </w:r>
      <w:proofErr w:type="spellStart"/>
      <w:r w:rsidRPr="00AC1594">
        <w:rPr>
          <w:rFonts w:ascii="Arial" w:hAnsi="Arial" w:cs="Arial"/>
          <w:sz w:val="22"/>
          <w:szCs w:val="22"/>
        </w:rPr>
        <w:t>Armila</w:t>
      </w:r>
      <w:proofErr w:type="spellEnd"/>
      <w:r w:rsidRPr="00AC1594">
        <w:rPr>
          <w:rFonts w:ascii="Arial" w:hAnsi="Arial" w:cs="Arial"/>
          <w:sz w:val="22"/>
          <w:szCs w:val="22"/>
        </w:rPr>
        <w:t xml:space="preserve"> a convenu de la nécessité de protéger les jeunes tortues et la richesse biologique de la région. C’est cette volonté qui a conduit à la création du Festival des tortues marines, organisé chaque année depuis 2007. Les activités menées dans le cadre de ce festival incluent le nettoyage des plages, le suivi des nids et leur surveillance. Le programme est axé sur la sauvegarde de la culture liée aux tortues et à l’environnement local, ainsi que des pratiques culturelles connexes parmi lesquelles les traditions orales, les fêtes, les danses et la gastronomie. Le Festival des tortues marines d’</w:t>
      </w:r>
      <w:proofErr w:type="spellStart"/>
      <w:r w:rsidRPr="00AC1594">
        <w:rPr>
          <w:rFonts w:ascii="Arial" w:hAnsi="Arial" w:cs="Arial"/>
          <w:sz w:val="22"/>
          <w:szCs w:val="22"/>
        </w:rPr>
        <w:t>Armila</w:t>
      </w:r>
      <w:proofErr w:type="spellEnd"/>
      <w:r w:rsidRPr="00AC1594">
        <w:rPr>
          <w:rFonts w:ascii="Arial" w:hAnsi="Arial" w:cs="Arial"/>
          <w:sz w:val="22"/>
          <w:szCs w:val="22"/>
        </w:rPr>
        <w:t xml:space="preserve"> est un bon exemple de collaboration au sein d’une communauté soucieuse de protéger ses plages et </w:t>
      </w:r>
      <w:r w:rsidR="0033615C">
        <w:rPr>
          <w:rFonts w:ascii="Arial" w:hAnsi="Arial" w:cs="Arial"/>
          <w:sz w:val="22"/>
          <w:szCs w:val="22"/>
        </w:rPr>
        <w:t xml:space="preserve">de préserver </w:t>
      </w:r>
      <w:r w:rsidRPr="00AC1594">
        <w:rPr>
          <w:rFonts w:ascii="Arial" w:hAnsi="Arial" w:cs="Arial"/>
          <w:sz w:val="22"/>
          <w:szCs w:val="22"/>
        </w:rPr>
        <w:t>sa biodiversité tout en renforçant ses traditions.</w:t>
      </w:r>
    </w:p>
    <w:p w14:paraId="23CF64F5" w14:textId="6418EC23" w:rsidR="0035077E" w:rsidRPr="00AC1594" w:rsidRDefault="005A0ABE" w:rsidP="002D1EDF">
      <w:pPr>
        <w:pStyle w:val="Style1"/>
        <w:keepNext/>
        <w:ind w:left="1134"/>
      </w:pPr>
      <w:r w:rsidRPr="00AC1594">
        <w:rPr>
          <w:u w:val="single"/>
        </w:rPr>
        <w:t>Estime</w:t>
      </w:r>
      <w:r w:rsidR="0035077E" w:rsidRPr="00AC1594">
        <w:t xml:space="preserve"> que, d’après les informations contenues dans le dossier, la demande répond aux critères de sélection en tant que bonne pratique de sauvegarde, énoncés au paragraphe 7 des Directives opérationnelles comme suit :</w:t>
      </w:r>
    </w:p>
    <w:p w14:paraId="6660C452" w14:textId="0E93B7A6" w:rsidR="0035077E" w:rsidRPr="00AC1594"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P.1 : </w:t>
      </w:r>
      <w:r w:rsidR="00C06A9E" w:rsidRPr="00AC1594">
        <w:rPr>
          <w:rFonts w:ascii="Arial" w:hAnsi="Arial" w:cs="Arial"/>
          <w:sz w:val="22"/>
          <w:szCs w:val="22"/>
        </w:rPr>
        <w:t>Bien que l</w:t>
      </w:r>
      <w:r w:rsidRPr="00AC1594">
        <w:rPr>
          <w:rFonts w:ascii="Arial" w:hAnsi="Arial" w:cs="Arial"/>
          <w:sz w:val="22"/>
          <w:szCs w:val="22"/>
        </w:rPr>
        <w:t>a communauté joue un rôle important dans le Festival des tortues marines d’</w:t>
      </w:r>
      <w:proofErr w:type="spellStart"/>
      <w:r w:rsidRPr="00AC1594">
        <w:rPr>
          <w:rFonts w:ascii="Arial" w:hAnsi="Arial" w:cs="Arial"/>
          <w:sz w:val="22"/>
          <w:szCs w:val="22"/>
        </w:rPr>
        <w:t>Armila</w:t>
      </w:r>
      <w:proofErr w:type="spellEnd"/>
      <w:r w:rsidRPr="00AC1594">
        <w:rPr>
          <w:rFonts w:ascii="Arial" w:hAnsi="Arial" w:cs="Arial"/>
          <w:sz w:val="22"/>
          <w:szCs w:val="22"/>
        </w:rPr>
        <w:t>, lequel met à l’honneur un grand nombre d’activités culturelles (danse, artisanat, gastronomie, etc.)</w:t>
      </w:r>
      <w:r w:rsidR="00E43E5B" w:rsidRPr="00AC1594">
        <w:rPr>
          <w:rFonts w:ascii="Arial" w:hAnsi="Arial" w:cs="Arial"/>
          <w:sz w:val="22"/>
          <w:szCs w:val="22"/>
        </w:rPr>
        <w:t>,</w:t>
      </w:r>
      <w:r w:rsidRPr="00AC1594">
        <w:rPr>
          <w:rFonts w:ascii="Arial" w:hAnsi="Arial" w:cs="Arial"/>
          <w:sz w:val="22"/>
          <w:szCs w:val="22"/>
        </w:rPr>
        <w:t xml:space="preserve"> le programme est surtout axé sur des aspects écologiques. Rares sont les éléments du patrimoine culturel immatériel ayant un lien avec les tortues marines. En outre, le dossier ne contient pas une description cohérente de ce programme écologique et culturel, ni des liens entre les expressions culturelles et la protection de l’environnement, aussi bien à l’heure actuelle qu’avant la création du festival en 2007. Le cadre spirituel de la communauté, facteur important du développement du programme, est décrit en termes généraux, sans que soit précisé le rôle que les tortues y jouent.</w:t>
      </w:r>
    </w:p>
    <w:p w14:paraId="29587C45" w14:textId="77777777" w:rsidR="0035077E" w:rsidRPr="00AC1594"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P.2 : Rien dans le dossier ne prouve que des efforts coordonnés en vue de la sauvegarde du patrimoine culturel immatériel aux niveaux régional et international ont été encouragés. Le projet étant exclusivement local, sa coordination et son impact au niveau sous-régional doivent encore être clarifiés. Bien que l’événement ait été mis en lumière dans le cadre de forums internationaux et qu’</w:t>
      </w:r>
      <w:proofErr w:type="spellStart"/>
      <w:r w:rsidRPr="00AC1594">
        <w:rPr>
          <w:rFonts w:ascii="Arial" w:hAnsi="Arial" w:cs="Arial"/>
          <w:sz w:val="22"/>
          <w:szCs w:val="22"/>
        </w:rPr>
        <w:t>Armila</w:t>
      </w:r>
      <w:proofErr w:type="spellEnd"/>
      <w:r w:rsidRPr="00AC1594">
        <w:rPr>
          <w:rFonts w:ascii="Arial" w:hAnsi="Arial" w:cs="Arial"/>
          <w:sz w:val="22"/>
          <w:szCs w:val="22"/>
        </w:rPr>
        <w:t xml:space="preserve"> accueille des visiteurs étrangers, parmi lesquels des scientifiques, aucun mécanisme de coordination formelle n’a été mis en place à l’échelle régionale.</w:t>
      </w:r>
    </w:p>
    <w:p w14:paraId="42A42DEC" w14:textId="34302FD7" w:rsidR="0035077E" w:rsidRPr="00AC1594" w:rsidRDefault="0035077E" w:rsidP="002D1EDF">
      <w:pPr>
        <w:tabs>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P.3 :</w:t>
      </w:r>
      <w:r w:rsidR="002D1EDF" w:rsidRPr="00AC1594">
        <w:rPr>
          <w:rFonts w:ascii="Arial" w:hAnsi="Arial" w:cs="Arial"/>
          <w:sz w:val="22"/>
          <w:szCs w:val="22"/>
        </w:rPr>
        <w:tab/>
      </w:r>
      <w:r w:rsidRPr="00AC1594">
        <w:rPr>
          <w:rFonts w:ascii="Arial" w:hAnsi="Arial" w:cs="Arial"/>
          <w:sz w:val="22"/>
          <w:szCs w:val="22"/>
        </w:rPr>
        <w:t>La communauté joue un rôle majeur dans le Festival des tortues marines d'</w:t>
      </w:r>
      <w:proofErr w:type="spellStart"/>
      <w:r w:rsidRPr="00AC1594">
        <w:rPr>
          <w:rFonts w:ascii="Arial" w:hAnsi="Arial" w:cs="Arial"/>
          <w:sz w:val="22"/>
          <w:szCs w:val="22"/>
        </w:rPr>
        <w:t>Armila</w:t>
      </w:r>
      <w:proofErr w:type="spellEnd"/>
      <w:r w:rsidRPr="00AC1594">
        <w:rPr>
          <w:rFonts w:ascii="Arial" w:hAnsi="Arial" w:cs="Arial"/>
          <w:sz w:val="22"/>
          <w:szCs w:val="22"/>
        </w:rPr>
        <w:t xml:space="preserve">, qui a vu le jour pour répondre à ses préoccupations sur la préservation de ces espèces. Cet événement assure la promotion du patrimoine culturel guna en général et établit un dialogue entre les connaissances traditionnelles et les connaissances scientifiques, dans l’optique d’une protection efficace des tortues marines. Toutefois, il est bien davantage axé sur la conservation et la promotion de la nature que sur la sauvegarde du patrimoine culturel immatériel. Par conséquent, le dossier ne contient pas de description cohérente d’activités reflétant les principes de la Convention, et il est donc impossible de déterminer </w:t>
      </w:r>
      <w:r w:rsidR="00EB4599">
        <w:rPr>
          <w:rFonts w:ascii="Arial" w:hAnsi="Arial" w:cs="Arial"/>
          <w:sz w:val="22"/>
          <w:szCs w:val="22"/>
        </w:rPr>
        <w:t xml:space="preserve">de quelles manières </w:t>
      </w:r>
      <w:r w:rsidRPr="00AC1594">
        <w:rPr>
          <w:rFonts w:ascii="Arial" w:hAnsi="Arial" w:cs="Arial"/>
          <w:sz w:val="22"/>
          <w:szCs w:val="22"/>
        </w:rPr>
        <w:t>ce programme contribue à la réalisation des objectifs de la Convention.</w:t>
      </w:r>
    </w:p>
    <w:p w14:paraId="2F827BD2" w14:textId="0BECF652" w:rsidR="0035077E" w:rsidRPr="00AC1594"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P.4 : </w:t>
      </w:r>
      <w:r w:rsidR="002D1EDF" w:rsidRPr="00AC1594">
        <w:rPr>
          <w:rFonts w:ascii="Arial" w:hAnsi="Arial" w:cs="Arial"/>
          <w:sz w:val="22"/>
          <w:szCs w:val="22"/>
        </w:rPr>
        <w:tab/>
      </w:r>
      <w:r w:rsidRPr="00AC1594">
        <w:rPr>
          <w:rFonts w:ascii="Arial" w:hAnsi="Arial" w:cs="Arial"/>
          <w:sz w:val="22"/>
          <w:szCs w:val="22"/>
        </w:rPr>
        <w:t xml:space="preserve">Le dossier n’explique pas clairement comment ce programme contribuerait à la viabilité du patrimoine culturel immatériel. Il n’est pas spécifiquement orienté vers le patrimoine vivant, et il vise à protéger et sauvegarder le patrimoine culturel en général, à court terme. De plus son objectif premier est d’assurer la viabilité du festival, </w:t>
      </w:r>
      <w:r w:rsidR="001464E5" w:rsidRPr="00AC1594">
        <w:rPr>
          <w:rFonts w:ascii="Arial" w:hAnsi="Arial" w:cs="Arial"/>
          <w:sz w:val="22"/>
          <w:szCs w:val="22"/>
        </w:rPr>
        <w:t>ce qui est différent d</w:t>
      </w:r>
      <w:r w:rsidR="00D35851" w:rsidRPr="00AC1594">
        <w:rPr>
          <w:rFonts w:ascii="Arial" w:hAnsi="Arial" w:cs="Arial"/>
          <w:sz w:val="22"/>
          <w:szCs w:val="22"/>
        </w:rPr>
        <w:t>e</w:t>
      </w:r>
      <w:r w:rsidR="001464E5" w:rsidRPr="00AC1594">
        <w:rPr>
          <w:rFonts w:ascii="Arial" w:hAnsi="Arial" w:cs="Arial"/>
          <w:sz w:val="22"/>
          <w:szCs w:val="22"/>
        </w:rPr>
        <w:t xml:space="preserve"> la viabilité </w:t>
      </w:r>
      <w:r w:rsidRPr="00AC1594">
        <w:rPr>
          <w:rFonts w:ascii="Arial" w:hAnsi="Arial" w:cs="Arial"/>
          <w:sz w:val="22"/>
          <w:szCs w:val="22"/>
        </w:rPr>
        <w:t>du patrimoine culturel immatériel. En outre, l’approche adoptée par le festival pourrait entraîner la décontextualisation du patrimoine culturel immatériel.</w:t>
      </w:r>
    </w:p>
    <w:p w14:paraId="3BD4ECE6" w14:textId="571E568E" w:rsidR="0035077E" w:rsidRPr="00AC1594"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P.5 :</w:t>
      </w:r>
      <w:r w:rsidR="002D1EDF" w:rsidRPr="00AC1594">
        <w:rPr>
          <w:rFonts w:ascii="Arial" w:hAnsi="Arial" w:cs="Arial"/>
          <w:sz w:val="22"/>
          <w:szCs w:val="22"/>
        </w:rPr>
        <w:tab/>
      </w:r>
      <w:r w:rsidRPr="00AC1594">
        <w:rPr>
          <w:rFonts w:ascii="Arial" w:hAnsi="Arial" w:cs="Arial"/>
          <w:sz w:val="22"/>
          <w:szCs w:val="22"/>
        </w:rPr>
        <w:t xml:space="preserve">Depuis la création du festival en 2007, un des responsables de la communauté a joué un rôle central dans </w:t>
      </w:r>
      <w:r w:rsidR="00C06A9E" w:rsidRPr="00AC1594">
        <w:rPr>
          <w:rFonts w:ascii="Arial" w:hAnsi="Arial" w:cs="Arial"/>
          <w:sz w:val="22"/>
          <w:szCs w:val="22"/>
        </w:rPr>
        <w:t>l’</w:t>
      </w:r>
      <w:r w:rsidRPr="00AC1594">
        <w:rPr>
          <w:rFonts w:ascii="Arial" w:hAnsi="Arial" w:cs="Arial"/>
          <w:sz w:val="22"/>
          <w:szCs w:val="22"/>
        </w:rPr>
        <w:t>organisation</w:t>
      </w:r>
      <w:r w:rsidR="00C06A9E" w:rsidRPr="00AC1594">
        <w:rPr>
          <w:rFonts w:ascii="Arial" w:hAnsi="Arial" w:cs="Arial"/>
          <w:sz w:val="22"/>
          <w:szCs w:val="22"/>
        </w:rPr>
        <w:t xml:space="preserve"> du Festival des tortues marines d’</w:t>
      </w:r>
      <w:proofErr w:type="spellStart"/>
      <w:r w:rsidR="00C06A9E" w:rsidRPr="00AC1594">
        <w:rPr>
          <w:rFonts w:ascii="Arial" w:hAnsi="Arial" w:cs="Arial"/>
          <w:sz w:val="22"/>
          <w:szCs w:val="22"/>
        </w:rPr>
        <w:t>Armila</w:t>
      </w:r>
      <w:proofErr w:type="spellEnd"/>
      <w:r w:rsidRPr="00AC1594">
        <w:rPr>
          <w:rFonts w:ascii="Arial" w:hAnsi="Arial" w:cs="Arial"/>
          <w:sz w:val="22"/>
          <w:szCs w:val="22"/>
        </w:rPr>
        <w:t xml:space="preserve"> et assure la mobilisation de la communauté autour de cet événement. Le terme « communauté » désigne dans certains cas les habitants de la région et dans d’autres les parties prenantes impliquées dans ce programme. Quoiqu’il en soit, de très nombreuses personnes, hommes et femmes, participent à l’organisation du festival : enseignants, jeunes, anciens, </w:t>
      </w:r>
      <w:r w:rsidR="00C11292" w:rsidRPr="00AC1594">
        <w:rPr>
          <w:rFonts w:ascii="Arial" w:hAnsi="Arial" w:cs="Arial"/>
          <w:sz w:val="22"/>
          <w:szCs w:val="22"/>
        </w:rPr>
        <w:t>autorités</w:t>
      </w:r>
      <w:r w:rsidRPr="00AC1594">
        <w:rPr>
          <w:rFonts w:ascii="Arial" w:hAnsi="Arial" w:cs="Arial"/>
          <w:sz w:val="22"/>
          <w:szCs w:val="22"/>
        </w:rPr>
        <w:t xml:space="preserve"> locales, etc.</w:t>
      </w:r>
    </w:p>
    <w:p w14:paraId="72910393" w14:textId="26B19BB6" w:rsidR="0035077E" w:rsidRPr="00AC1594"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P.6 : </w:t>
      </w:r>
      <w:r w:rsidR="002D1EDF" w:rsidRPr="00AC1594">
        <w:rPr>
          <w:rFonts w:ascii="Arial" w:hAnsi="Arial" w:cs="Arial"/>
          <w:sz w:val="22"/>
          <w:szCs w:val="22"/>
        </w:rPr>
        <w:tab/>
      </w:r>
      <w:r w:rsidRPr="00AC1594">
        <w:rPr>
          <w:rFonts w:ascii="Arial" w:hAnsi="Arial" w:cs="Arial"/>
          <w:sz w:val="22"/>
          <w:szCs w:val="22"/>
        </w:rPr>
        <w:t>Le dossier n’explique pas clairement comment le modèle du programme pourrait être reproduit ou utilisé dans d’autres contextes. D’après les informations fournies, le modèle porte principalement sur des pratiques de conservation de la nature</w:t>
      </w:r>
      <w:r w:rsidR="0033615C">
        <w:rPr>
          <w:rFonts w:ascii="Arial" w:hAnsi="Arial" w:cs="Arial"/>
          <w:sz w:val="22"/>
          <w:szCs w:val="22"/>
        </w:rPr>
        <w:t xml:space="preserve"> ; </w:t>
      </w:r>
      <w:r w:rsidRPr="00AC1594">
        <w:rPr>
          <w:rFonts w:ascii="Arial" w:hAnsi="Arial" w:cs="Arial"/>
          <w:sz w:val="22"/>
          <w:szCs w:val="22"/>
        </w:rPr>
        <w:t>le lien avec le patrimoine culturel immatériel n’étant pas démontré. Aucun élément de la description du festival ne permet de l’identifier comme une bonne pratique de sauvegarde du patrimoine vivant.</w:t>
      </w:r>
    </w:p>
    <w:p w14:paraId="40431E4E" w14:textId="71384819" w:rsidR="0035077E" w:rsidRPr="00AC1594"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P.7 : </w:t>
      </w:r>
      <w:r w:rsidR="002D1EDF" w:rsidRPr="00AC1594">
        <w:rPr>
          <w:rFonts w:ascii="Arial" w:hAnsi="Arial" w:cs="Arial"/>
          <w:sz w:val="22"/>
          <w:szCs w:val="22"/>
        </w:rPr>
        <w:tab/>
      </w:r>
      <w:r w:rsidRPr="00AC1594">
        <w:rPr>
          <w:rFonts w:ascii="Arial" w:hAnsi="Arial" w:cs="Arial"/>
          <w:sz w:val="22"/>
          <w:szCs w:val="22"/>
        </w:rPr>
        <w:t>La communauté d’</w:t>
      </w:r>
      <w:proofErr w:type="spellStart"/>
      <w:r w:rsidRPr="00AC1594">
        <w:rPr>
          <w:rFonts w:ascii="Arial" w:hAnsi="Arial" w:cs="Arial"/>
          <w:sz w:val="22"/>
          <w:szCs w:val="22"/>
        </w:rPr>
        <w:t>Armila</w:t>
      </w:r>
      <w:proofErr w:type="spellEnd"/>
      <w:r w:rsidRPr="00AC1594">
        <w:rPr>
          <w:rFonts w:ascii="Arial" w:hAnsi="Arial" w:cs="Arial"/>
          <w:sz w:val="22"/>
          <w:szCs w:val="22"/>
        </w:rPr>
        <w:t xml:space="preserve"> souhaite coopérer à la diffusion de son expérience et donner aux niveaux régional, national et international un exemple de bonnes pratiques de conservation </w:t>
      </w:r>
      <w:r w:rsidR="00C06A9E" w:rsidRPr="00AC1594">
        <w:rPr>
          <w:rFonts w:ascii="Arial" w:hAnsi="Arial" w:cs="Arial"/>
          <w:sz w:val="22"/>
          <w:szCs w:val="22"/>
        </w:rPr>
        <w:t>impliquant</w:t>
      </w:r>
      <w:r w:rsidRPr="00AC1594">
        <w:rPr>
          <w:rFonts w:ascii="Arial" w:hAnsi="Arial" w:cs="Arial"/>
          <w:sz w:val="22"/>
          <w:szCs w:val="22"/>
        </w:rPr>
        <w:t xml:space="preserve"> </w:t>
      </w:r>
      <w:r w:rsidR="00C06A9E" w:rsidRPr="00AC1594">
        <w:rPr>
          <w:rFonts w:ascii="Arial" w:hAnsi="Arial" w:cs="Arial"/>
          <w:sz w:val="22"/>
          <w:szCs w:val="22"/>
        </w:rPr>
        <w:t>une</w:t>
      </w:r>
      <w:r w:rsidRPr="00AC1594">
        <w:rPr>
          <w:rFonts w:ascii="Arial" w:hAnsi="Arial" w:cs="Arial"/>
          <w:sz w:val="22"/>
          <w:szCs w:val="22"/>
        </w:rPr>
        <w:t xml:space="preserve"> participation active de la communauté. Le responsable et fondateur du festival et du programme annuel a été invité dans plusieurs pays pour expliquer comment la communauté considère les tortues comme un élémen</w:t>
      </w:r>
      <w:r w:rsidR="00BA7A71">
        <w:rPr>
          <w:rFonts w:ascii="Arial" w:hAnsi="Arial" w:cs="Arial"/>
          <w:sz w:val="22"/>
          <w:szCs w:val="22"/>
        </w:rPr>
        <w:t>t à part entière de sa culture.</w:t>
      </w:r>
    </w:p>
    <w:p w14:paraId="69EE7292" w14:textId="3D7ABDBC" w:rsidR="0035077E" w:rsidRPr="00337B29"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P.8 : </w:t>
      </w:r>
      <w:r w:rsidR="002D1EDF" w:rsidRPr="00AC1594">
        <w:rPr>
          <w:rFonts w:ascii="Arial" w:hAnsi="Arial" w:cs="Arial"/>
          <w:sz w:val="22"/>
          <w:szCs w:val="22"/>
        </w:rPr>
        <w:tab/>
      </w:r>
      <w:r w:rsidRPr="00AC1594">
        <w:rPr>
          <w:rFonts w:ascii="Arial" w:hAnsi="Arial" w:cs="Arial"/>
          <w:sz w:val="22"/>
          <w:szCs w:val="22"/>
        </w:rPr>
        <w:t xml:space="preserve">Le programme compte plusieurs expériences dont les résultats pourraient faire l’objet d’une évaluation, car tous les éléments du festival peuvent être mesurés. Par exemple, le nombre de tortues qui atteignent la côte pour y pondre leurs œufs est inscrit chaque jour sur un registre. En outre, les enseignants dressent chaque année la liste de tous les enfants qui participent aux activités du programme (discussions, récits, contes populaires, fresques, maquettes, objets artisanaux et décorations en matériaux recyclés), et offrent des cadeaux aux gagnants des concours. Les organisateurs enregistrent également le nombre de visiteurs et d’enfants qui rejoignent </w:t>
      </w:r>
      <w:proofErr w:type="spellStart"/>
      <w:r w:rsidRPr="00AC1594">
        <w:rPr>
          <w:rFonts w:ascii="Arial" w:hAnsi="Arial" w:cs="Arial"/>
          <w:sz w:val="22"/>
          <w:szCs w:val="22"/>
        </w:rPr>
        <w:t>Armila</w:t>
      </w:r>
      <w:proofErr w:type="spellEnd"/>
      <w:r w:rsidRPr="00AC1594">
        <w:rPr>
          <w:rFonts w:ascii="Arial" w:hAnsi="Arial" w:cs="Arial"/>
          <w:sz w:val="22"/>
          <w:szCs w:val="22"/>
        </w:rPr>
        <w:t xml:space="preserve"> par bateau – et le nombre de bateaux que cela représente – ainsi que le nombre de personnes qui arrivent à Puerto Obaldia par </w:t>
      </w:r>
      <w:r w:rsidR="00BA7A71">
        <w:rPr>
          <w:rFonts w:ascii="Arial" w:hAnsi="Arial" w:cs="Arial"/>
          <w:sz w:val="22"/>
          <w:szCs w:val="22"/>
        </w:rPr>
        <w:t>la route.</w:t>
      </w:r>
    </w:p>
    <w:p w14:paraId="7BAE3BE1" w14:textId="51D136B4" w:rsidR="0035077E" w:rsidRPr="00AC1594" w:rsidRDefault="0035077E" w:rsidP="002D1EDF">
      <w:pPr>
        <w:tabs>
          <w:tab w:val="left" w:pos="1276"/>
          <w:tab w:val="left" w:pos="1701"/>
          <w:tab w:val="left" w:pos="2268"/>
        </w:tabs>
        <w:spacing w:before="120" w:after="120"/>
        <w:ind w:left="1701" w:hanging="567"/>
        <w:jc w:val="both"/>
        <w:rPr>
          <w:rFonts w:ascii="Arial" w:hAnsi="Arial" w:cs="Arial"/>
          <w:sz w:val="22"/>
          <w:szCs w:val="22"/>
        </w:rPr>
      </w:pPr>
      <w:r w:rsidRPr="00337B29">
        <w:rPr>
          <w:rFonts w:ascii="Arial" w:hAnsi="Arial" w:cs="Arial"/>
          <w:sz w:val="22"/>
          <w:szCs w:val="22"/>
        </w:rPr>
        <w:t xml:space="preserve">P.9 : </w:t>
      </w:r>
      <w:r w:rsidR="002D1EDF" w:rsidRPr="00337B29">
        <w:rPr>
          <w:rFonts w:ascii="Arial" w:hAnsi="Arial" w:cs="Arial"/>
          <w:sz w:val="22"/>
          <w:szCs w:val="22"/>
        </w:rPr>
        <w:tab/>
      </w:r>
      <w:r w:rsidR="008B771A" w:rsidRPr="00337B29">
        <w:rPr>
          <w:rFonts w:ascii="Arial" w:hAnsi="Arial" w:cs="Arial"/>
          <w:sz w:val="22"/>
          <w:szCs w:val="22"/>
        </w:rPr>
        <w:t>L’exemple d’</w:t>
      </w:r>
      <w:proofErr w:type="spellStart"/>
      <w:r w:rsidRPr="00337B29">
        <w:rPr>
          <w:rFonts w:ascii="Arial" w:hAnsi="Arial" w:cs="Arial"/>
          <w:sz w:val="22"/>
          <w:szCs w:val="22"/>
        </w:rPr>
        <w:t>Armila</w:t>
      </w:r>
      <w:proofErr w:type="spellEnd"/>
      <w:r w:rsidRPr="00337B29">
        <w:rPr>
          <w:rFonts w:ascii="Arial" w:hAnsi="Arial" w:cs="Arial"/>
          <w:sz w:val="22"/>
          <w:szCs w:val="22"/>
        </w:rPr>
        <w:t xml:space="preserve"> peut être considéré comme un modèle par la manière dont </w:t>
      </w:r>
      <w:r w:rsidR="008B771A" w:rsidRPr="00337B29">
        <w:rPr>
          <w:rFonts w:ascii="Arial" w:hAnsi="Arial" w:cs="Arial"/>
          <w:sz w:val="22"/>
          <w:szCs w:val="22"/>
        </w:rPr>
        <w:t xml:space="preserve">des communautés </w:t>
      </w:r>
      <w:r w:rsidRPr="00337B29">
        <w:rPr>
          <w:rFonts w:ascii="Arial" w:hAnsi="Arial" w:cs="Arial"/>
          <w:sz w:val="22"/>
          <w:szCs w:val="22"/>
        </w:rPr>
        <w:t>surmonte</w:t>
      </w:r>
      <w:r w:rsidR="008B771A" w:rsidRPr="00337B29">
        <w:rPr>
          <w:rFonts w:ascii="Arial" w:hAnsi="Arial" w:cs="Arial"/>
          <w:sz w:val="22"/>
          <w:szCs w:val="22"/>
        </w:rPr>
        <w:t>nt</w:t>
      </w:r>
      <w:r w:rsidRPr="00337B29">
        <w:rPr>
          <w:rFonts w:ascii="Arial" w:hAnsi="Arial" w:cs="Arial"/>
          <w:sz w:val="22"/>
          <w:szCs w:val="22"/>
        </w:rPr>
        <w:t xml:space="preserve"> les problèmes et les restrictions en s’appuyant sur </w:t>
      </w:r>
      <w:r w:rsidR="00337B29" w:rsidRPr="00923931">
        <w:rPr>
          <w:rFonts w:ascii="Arial" w:hAnsi="Arial" w:cs="Arial"/>
          <w:sz w:val="22"/>
          <w:szCs w:val="22"/>
        </w:rPr>
        <w:t>leur</w:t>
      </w:r>
      <w:r w:rsidR="00EB4599" w:rsidRPr="00923931">
        <w:rPr>
          <w:rFonts w:ascii="Arial" w:hAnsi="Arial" w:cs="Arial"/>
          <w:sz w:val="22"/>
          <w:szCs w:val="22"/>
        </w:rPr>
        <w:t xml:space="preserve"> </w:t>
      </w:r>
      <w:r w:rsidR="00EB4599" w:rsidRPr="00337B29">
        <w:rPr>
          <w:rFonts w:ascii="Arial" w:hAnsi="Arial" w:cs="Arial"/>
          <w:sz w:val="22"/>
          <w:szCs w:val="22"/>
        </w:rPr>
        <w:t>organisation</w:t>
      </w:r>
      <w:r w:rsidRPr="00337B29">
        <w:rPr>
          <w:rFonts w:ascii="Arial" w:hAnsi="Arial" w:cs="Arial"/>
          <w:sz w:val="22"/>
          <w:szCs w:val="22"/>
        </w:rPr>
        <w:t>,</w:t>
      </w:r>
      <w:r w:rsidR="00EB4599" w:rsidRPr="00923931">
        <w:rPr>
          <w:rFonts w:ascii="Arial" w:hAnsi="Arial" w:cs="Arial"/>
          <w:sz w:val="22"/>
          <w:szCs w:val="22"/>
        </w:rPr>
        <w:t xml:space="preserve"> </w:t>
      </w:r>
      <w:r w:rsidR="00337B29" w:rsidRPr="00923931">
        <w:rPr>
          <w:rFonts w:ascii="Arial" w:hAnsi="Arial" w:cs="Arial"/>
          <w:sz w:val="22"/>
          <w:szCs w:val="22"/>
        </w:rPr>
        <w:t>selon</w:t>
      </w:r>
      <w:r w:rsidR="00EB4599" w:rsidRPr="00923931">
        <w:rPr>
          <w:rFonts w:ascii="Arial" w:hAnsi="Arial" w:cs="Arial"/>
          <w:sz w:val="22"/>
          <w:szCs w:val="22"/>
        </w:rPr>
        <w:t xml:space="preserve"> laquelle</w:t>
      </w:r>
      <w:r w:rsidRPr="00337B29">
        <w:rPr>
          <w:rFonts w:ascii="Arial" w:hAnsi="Arial" w:cs="Arial"/>
          <w:sz w:val="22"/>
          <w:szCs w:val="22"/>
        </w:rPr>
        <w:t xml:space="preserve"> les familles coopèrent pour</w:t>
      </w:r>
      <w:r w:rsidR="00EB4599" w:rsidRPr="00923931">
        <w:rPr>
          <w:rFonts w:ascii="Arial" w:hAnsi="Arial" w:cs="Arial"/>
          <w:sz w:val="22"/>
          <w:szCs w:val="22"/>
        </w:rPr>
        <w:t xml:space="preserve"> rassembler les tortues luth nouvellement nées, qui naissent et éclosent sur les plages locales, avant de les</w:t>
      </w:r>
      <w:r w:rsidRPr="00337B29">
        <w:rPr>
          <w:rFonts w:ascii="Arial" w:hAnsi="Arial" w:cs="Arial"/>
          <w:sz w:val="22"/>
          <w:szCs w:val="22"/>
        </w:rPr>
        <w:t xml:space="preserve"> guider vers la mer.</w:t>
      </w:r>
    </w:p>
    <w:p w14:paraId="663C15B5" w14:textId="3432CB40" w:rsidR="0035077E" w:rsidRPr="00AC1594" w:rsidRDefault="0035077E" w:rsidP="002D1EDF">
      <w:pPr>
        <w:pStyle w:val="Style1"/>
        <w:ind w:left="1134"/>
      </w:pPr>
      <w:r w:rsidRPr="00AC1594">
        <w:rPr>
          <w:u w:val="single"/>
        </w:rPr>
        <w:t>Décide de renvoyer</w:t>
      </w:r>
      <w:r w:rsidRPr="00AC1594">
        <w:t xml:space="preserve"> </w:t>
      </w:r>
      <w:r w:rsidRPr="00AC1594">
        <w:rPr>
          <w:b/>
        </w:rPr>
        <w:t>le programme écologique et culturel associé au Festival des tortues marines d’</w:t>
      </w:r>
      <w:proofErr w:type="spellStart"/>
      <w:r w:rsidRPr="00AC1594">
        <w:rPr>
          <w:b/>
        </w:rPr>
        <w:t>Armila</w:t>
      </w:r>
      <w:proofErr w:type="spellEnd"/>
      <w:r w:rsidRPr="00AC1594">
        <w:t xml:space="preserve"> à l’État partie soumissionnaire et l’</w:t>
      </w:r>
      <w:r w:rsidRPr="00AC1594">
        <w:rPr>
          <w:u w:val="single"/>
        </w:rPr>
        <w:t>invite</w:t>
      </w:r>
      <w:r w:rsidRPr="00AC1594">
        <w:t xml:space="preserve"> à resoumettre sa proposition au Comité</w:t>
      </w:r>
      <w:r w:rsidR="00337B29">
        <w:t>, en mettant l’accent sur la sauvegarde du patrimoine culturel immatériel,</w:t>
      </w:r>
      <w:r w:rsidRPr="00AC1594">
        <w:t xml:space="preserve"> pour examen au cours d’un cycle ultérieur.</w:t>
      </w:r>
    </w:p>
    <w:p w14:paraId="335DCA1E" w14:textId="2827D6F0" w:rsidR="0035077E" w:rsidRPr="00AC1594" w:rsidRDefault="001E6BAC" w:rsidP="00EE7257">
      <w:pPr>
        <w:pStyle w:val="Heading2"/>
        <w:keepLines/>
        <w:numPr>
          <w:ilvl w:val="0"/>
          <w:numId w:val="21"/>
        </w:numPr>
        <w:spacing w:before="360" w:after="120"/>
        <w:ind w:left="567"/>
        <w:rPr>
          <w:rFonts w:ascii="Arial" w:hAnsi="Arial" w:cs="Arial"/>
          <w:b w:val="0"/>
          <w:i w:val="0"/>
          <w:sz w:val="22"/>
          <w:szCs w:val="22"/>
        </w:rPr>
      </w:pPr>
      <w:bookmarkStart w:id="8" w:name="Decision_10c3"/>
      <w:r w:rsidRPr="00AC1594">
        <w:rPr>
          <w:rFonts w:ascii="Arial" w:hAnsi="Arial" w:cs="Arial"/>
          <w:noProof/>
          <w:sz w:val="22"/>
          <w:szCs w:val="22"/>
          <w:lang w:eastAsia="ja-JP"/>
        </w:rPr>
        <w:drawing>
          <wp:anchor distT="0" distB="0" distL="114300" distR="114300" simplePos="0" relativeHeight="251659264" behindDoc="0" locked="0" layoutInCell="1" allowOverlap="1" wp14:anchorId="15951A56" wp14:editId="4258AB30">
            <wp:simplePos x="0" y="0"/>
            <wp:positionH relativeFrom="column">
              <wp:posOffset>3119755</wp:posOffset>
            </wp:positionH>
            <wp:positionV relativeFrom="paragraph">
              <wp:posOffset>194945</wp:posOffset>
            </wp:positionV>
            <wp:extent cx="104775" cy="104775"/>
            <wp:effectExtent l="0" t="0" r="9525" b="9525"/>
            <wp:wrapSquare wrapText="bothSides"/>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anchor>
        </w:drawing>
      </w:r>
      <w:r w:rsidR="0035077E" w:rsidRPr="00AC1594">
        <w:rPr>
          <w:rFonts w:ascii="Arial" w:hAnsi="Arial" w:cs="Arial"/>
          <w:i w:val="0"/>
          <w:sz w:val="22"/>
          <w:szCs w:val="22"/>
        </w:rPr>
        <w:t>PROJET DE DÉCISION 14.COM </w:t>
      </w:r>
      <w:r w:rsidR="003D4C7F" w:rsidRPr="00AC1594">
        <w:rPr>
          <w:rFonts w:ascii="Arial" w:hAnsi="Arial" w:cs="Arial"/>
          <w:i w:val="0"/>
          <w:sz w:val="22"/>
          <w:szCs w:val="22"/>
        </w:rPr>
        <w:t>10</w:t>
      </w:r>
      <w:r w:rsidR="001D3874">
        <w:rPr>
          <w:rFonts w:ascii="Arial" w:hAnsi="Arial" w:cs="Arial"/>
          <w:i w:val="0"/>
          <w:sz w:val="22"/>
          <w:szCs w:val="22"/>
        </w:rPr>
        <w:t>.c.3</w:t>
      </w:r>
    </w:p>
    <w:bookmarkEnd w:id="8"/>
    <w:p w14:paraId="301FA190" w14:textId="547A783E" w:rsidR="0035077E" w:rsidRPr="00AC1594" w:rsidRDefault="0035077E" w:rsidP="002D1EDF">
      <w:pPr>
        <w:pStyle w:val="NoSpacing"/>
        <w:keepNext/>
        <w:tabs>
          <w:tab w:val="left" w:pos="567"/>
          <w:tab w:val="left" w:pos="1134"/>
          <w:tab w:val="left" w:pos="1701"/>
          <w:tab w:val="left" w:pos="2268"/>
        </w:tabs>
        <w:spacing w:before="120" w:after="120"/>
        <w:ind w:left="567"/>
        <w:jc w:val="both"/>
        <w:rPr>
          <w:rFonts w:ascii="Arial" w:hAnsi="Arial" w:cs="Arial"/>
          <w:sz w:val="22"/>
          <w:szCs w:val="22"/>
        </w:rPr>
      </w:pPr>
      <w:r w:rsidRPr="00AC1594">
        <w:rPr>
          <w:rFonts w:ascii="Arial" w:hAnsi="Arial" w:cs="Arial"/>
          <w:sz w:val="22"/>
          <w:szCs w:val="22"/>
        </w:rPr>
        <w:t>Le Comité</w:t>
      </w:r>
      <w:r w:rsidR="006C1F05">
        <w:rPr>
          <w:rFonts w:ascii="Arial" w:hAnsi="Arial" w:cs="Arial"/>
          <w:sz w:val="22"/>
          <w:szCs w:val="22"/>
        </w:rPr>
        <w:t>,</w:t>
      </w:r>
    </w:p>
    <w:p w14:paraId="4885E1C9" w14:textId="77777777" w:rsidR="0035077E" w:rsidRPr="00AC1594" w:rsidRDefault="0035077E" w:rsidP="002D1EDF">
      <w:pPr>
        <w:pStyle w:val="Style1"/>
        <w:ind w:left="1134"/>
      </w:pPr>
      <w:r w:rsidRPr="00AC1594">
        <w:rPr>
          <w:u w:val="single"/>
        </w:rPr>
        <w:t>Prend note</w:t>
      </w:r>
      <w:r w:rsidRPr="00AC1594">
        <w:t xml:space="preserve"> que la République bolivarienne du Venezuela a proposé </w:t>
      </w:r>
      <w:r w:rsidRPr="00AC1594">
        <w:rPr>
          <w:b/>
        </w:rPr>
        <w:t xml:space="preserve">le programme </w:t>
      </w:r>
      <w:proofErr w:type="spellStart"/>
      <w:r w:rsidRPr="00AC1594">
        <w:rPr>
          <w:b/>
        </w:rPr>
        <w:t>bioculturel</w:t>
      </w:r>
      <w:proofErr w:type="spellEnd"/>
      <w:r w:rsidRPr="00AC1594">
        <w:rPr>
          <w:b/>
        </w:rPr>
        <w:t xml:space="preserve"> pour la sauvegarde de la tradition du palmier béni au Venezuela</w:t>
      </w:r>
      <w:r w:rsidRPr="00AC1594">
        <w:t xml:space="preserve"> (n° 01464) pour sélection et promotion par le Comité comme programme, projet ou activité reflétant le mieux les principes et objectifs de la Convention :</w:t>
      </w:r>
    </w:p>
    <w:p w14:paraId="5333B901" w14:textId="10B10986" w:rsidR="0035077E" w:rsidRPr="00AC1594" w:rsidRDefault="0035077E" w:rsidP="004326D8">
      <w:pPr>
        <w:tabs>
          <w:tab w:val="left" w:pos="1134"/>
          <w:tab w:val="left" w:pos="1701"/>
          <w:tab w:val="left" w:pos="2268"/>
        </w:tabs>
        <w:spacing w:before="120" w:after="120"/>
        <w:ind w:left="1134"/>
        <w:jc w:val="both"/>
        <w:rPr>
          <w:rFonts w:ascii="Arial" w:hAnsi="Arial" w:cs="Arial"/>
          <w:sz w:val="22"/>
          <w:szCs w:val="22"/>
        </w:rPr>
      </w:pPr>
      <w:r w:rsidRPr="00AC1594">
        <w:rPr>
          <w:rFonts w:ascii="Arial" w:hAnsi="Arial" w:cs="Arial"/>
          <w:sz w:val="22"/>
          <w:szCs w:val="22"/>
        </w:rPr>
        <w:t xml:space="preserve">Les activités associées au programme </w:t>
      </w:r>
      <w:proofErr w:type="spellStart"/>
      <w:r w:rsidRPr="00AC1594">
        <w:rPr>
          <w:rFonts w:ascii="Arial" w:hAnsi="Arial" w:cs="Arial"/>
          <w:sz w:val="22"/>
          <w:szCs w:val="22"/>
        </w:rPr>
        <w:t>bioculturel</w:t>
      </w:r>
      <w:proofErr w:type="spellEnd"/>
      <w:r w:rsidRPr="00AC1594">
        <w:rPr>
          <w:rFonts w:ascii="Arial" w:hAnsi="Arial" w:cs="Arial"/>
          <w:sz w:val="22"/>
          <w:szCs w:val="22"/>
        </w:rPr>
        <w:t xml:space="preserve"> pour la sauvegarde de la tradition du palmier béni au Venezuela portent notamment sur la collecte de feuilles de plusieurs espèces de palmiers dans un secteur montagneux bien défini. Après avoir été bénis lors d’une cérémonie religieuse, les « </w:t>
      </w:r>
      <w:proofErr w:type="spellStart"/>
      <w:r w:rsidRPr="00AC1594">
        <w:rPr>
          <w:rFonts w:ascii="Arial" w:hAnsi="Arial" w:cs="Arial"/>
          <w:sz w:val="22"/>
          <w:szCs w:val="22"/>
        </w:rPr>
        <w:t>palmeros</w:t>
      </w:r>
      <w:proofErr w:type="spellEnd"/>
      <w:r w:rsidRPr="00AC1594">
        <w:rPr>
          <w:rFonts w:ascii="Arial" w:hAnsi="Arial" w:cs="Arial"/>
          <w:sz w:val="22"/>
          <w:szCs w:val="22"/>
        </w:rPr>
        <w:t> » gravissent la montagne où ils vont passer plusieurs nuits</w:t>
      </w:r>
      <w:r w:rsidR="00C06A9E" w:rsidRPr="00AC1594">
        <w:rPr>
          <w:rFonts w:ascii="Arial" w:hAnsi="Arial" w:cs="Arial"/>
          <w:sz w:val="22"/>
          <w:szCs w:val="22"/>
        </w:rPr>
        <w:t xml:space="preserve"> et pratiquent différentes activités</w:t>
      </w:r>
      <w:r w:rsidRPr="00AC1594">
        <w:rPr>
          <w:rFonts w:ascii="Arial" w:hAnsi="Arial" w:cs="Arial"/>
          <w:sz w:val="22"/>
          <w:szCs w:val="22"/>
        </w:rPr>
        <w:t>.</w:t>
      </w:r>
      <w:r w:rsidR="004F44B3" w:rsidRPr="00AC1594">
        <w:rPr>
          <w:rFonts w:ascii="Arial" w:hAnsi="Arial" w:cs="Arial"/>
          <w:sz w:val="22"/>
          <w:szCs w:val="22"/>
        </w:rPr>
        <w:t xml:space="preserve"> </w:t>
      </w:r>
      <w:r w:rsidR="00C06A9E" w:rsidRPr="00AC1594">
        <w:rPr>
          <w:rFonts w:ascii="Arial" w:hAnsi="Arial" w:cs="Arial"/>
          <w:sz w:val="22"/>
          <w:szCs w:val="22"/>
        </w:rPr>
        <w:t>I</w:t>
      </w:r>
      <w:r w:rsidRPr="00AC1594">
        <w:rPr>
          <w:rFonts w:ascii="Arial" w:hAnsi="Arial" w:cs="Arial"/>
          <w:sz w:val="22"/>
          <w:szCs w:val="22"/>
        </w:rPr>
        <w:t xml:space="preserve">ls racontent des histoires, s’arrêtent à des endroits précis comme s’ils faisaient un Chemin de croix, entretiennent les sentiers, plantent des palmiers et les taillent. Les palmes ainsi obtenues sont bénies pendant la Semaine sainte et distribuées aux différentes communautés. Il y a trois décennies, cette tradition était en voie de disparition car les </w:t>
      </w:r>
      <w:proofErr w:type="spellStart"/>
      <w:r w:rsidRPr="00AC1594">
        <w:rPr>
          <w:rFonts w:ascii="Arial" w:hAnsi="Arial" w:cs="Arial"/>
          <w:sz w:val="22"/>
          <w:szCs w:val="22"/>
        </w:rPr>
        <w:t>palmeros</w:t>
      </w:r>
      <w:proofErr w:type="spellEnd"/>
      <w:r w:rsidRPr="00AC1594">
        <w:rPr>
          <w:rFonts w:ascii="Arial" w:hAnsi="Arial" w:cs="Arial"/>
          <w:sz w:val="22"/>
          <w:szCs w:val="22"/>
        </w:rPr>
        <w:t xml:space="preserve"> ne disposaient d’aucun plan de reforestation, et les responsables des parcs nationaux commençaient à les considérer comme une menace pour l’environnement. Conscients de la nécessité de modifier le mode de collecte des palmes, les </w:t>
      </w:r>
      <w:proofErr w:type="spellStart"/>
      <w:r w:rsidRPr="00AC1594">
        <w:rPr>
          <w:rFonts w:ascii="Arial" w:hAnsi="Arial" w:cs="Arial"/>
          <w:sz w:val="22"/>
          <w:szCs w:val="22"/>
        </w:rPr>
        <w:t>palmeros</w:t>
      </w:r>
      <w:proofErr w:type="spellEnd"/>
      <w:r w:rsidRPr="00AC1594">
        <w:rPr>
          <w:rFonts w:ascii="Arial" w:hAnsi="Arial" w:cs="Arial"/>
          <w:sz w:val="22"/>
          <w:szCs w:val="22"/>
        </w:rPr>
        <w:t xml:space="preserve"> ont donc décidé d’élaguer les arbres plutôt que de les couper. Plusieurs mesures innovantes ont été élaborées dans le cadre du programme </w:t>
      </w:r>
      <w:proofErr w:type="spellStart"/>
      <w:r w:rsidRPr="00AC1594">
        <w:rPr>
          <w:rFonts w:ascii="Arial" w:hAnsi="Arial" w:cs="Arial"/>
          <w:sz w:val="22"/>
          <w:szCs w:val="22"/>
        </w:rPr>
        <w:t>bioculturel</w:t>
      </w:r>
      <w:proofErr w:type="spellEnd"/>
      <w:r w:rsidRPr="00AC1594">
        <w:rPr>
          <w:rFonts w:ascii="Arial" w:hAnsi="Arial" w:cs="Arial"/>
          <w:sz w:val="22"/>
          <w:szCs w:val="22"/>
        </w:rPr>
        <w:t xml:space="preserve">, notamment des projets éducatifs à l’intention des jeunes et des activités culturelles proposées à l’ensemble de la communauté. Le programme </w:t>
      </w:r>
      <w:proofErr w:type="spellStart"/>
      <w:r w:rsidR="007905C0">
        <w:rPr>
          <w:rFonts w:ascii="Arial" w:hAnsi="Arial" w:cs="Arial"/>
          <w:sz w:val="22"/>
          <w:szCs w:val="22"/>
        </w:rPr>
        <w:t>bio</w:t>
      </w:r>
      <w:r w:rsidRPr="00AC1594">
        <w:rPr>
          <w:rFonts w:ascii="Arial" w:hAnsi="Arial" w:cs="Arial"/>
          <w:sz w:val="22"/>
          <w:szCs w:val="22"/>
        </w:rPr>
        <w:t>culturel</w:t>
      </w:r>
      <w:proofErr w:type="spellEnd"/>
      <w:r w:rsidRPr="00AC1594">
        <w:rPr>
          <w:rFonts w:ascii="Arial" w:hAnsi="Arial" w:cs="Arial"/>
          <w:sz w:val="22"/>
          <w:szCs w:val="22"/>
        </w:rPr>
        <w:t xml:space="preserve"> a encouragé des centaines d’enfants et </w:t>
      </w:r>
      <w:r w:rsidR="00D92CF0" w:rsidRPr="00AC1594">
        <w:rPr>
          <w:rFonts w:ascii="Arial" w:hAnsi="Arial" w:cs="Arial"/>
          <w:sz w:val="22"/>
          <w:szCs w:val="22"/>
        </w:rPr>
        <w:t>de jeunes</w:t>
      </w:r>
      <w:r w:rsidRPr="00AC1594">
        <w:rPr>
          <w:rFonts w:ascii="Arial" w:hAnsi="Arial" w:cs="Arial"/>
          <w:sz w:val="22"/>
          <w:szCs w:val="22"/>
        </w:rPr>
        <w:t xml:space="preserve"> à s’impliquer, et ses aspects éducatifs en font un modèle à suivre pour les autres communautés qui récoltent du palmier béni pendant la Semaine sainte, ou qui se livrent à tout autre pratique du patrimoine vivant mettant en jeu les liens entre la culture et la nature.</w:t>
      </w:r>
    </w:p>
    <w:p w14:paraId="024D452B" w14:textId="0927F55A" w:rsidR="0035077E" w:rsidRPr="00AC1594" w:rsidRDefault="005A0ABE" w:rsidP="004326D8">
      <w:pPr>
        <w:pStyle w:val="Style1"/>
        <w:keepNext/>
        <w:ind w:left="1134"/>
      </w:pPr>
      <w:r w:rsidRPr="00AC1594">
        <w:rPr>
          <w:u w:val="single"/>
        </w:rPr>
        <w:t>Estime</w:t>
      </w:r>
      <w:r w:rsidR="0035077E" w:rsidRPr="00AC1594">
        <w:t xml:space="preserve"> que, d’après les informations contenues dans le dossier, la demande répond aux critères de sélection en tant que bonne pratique de sauvegarde, énoncés au paragraphe 7 des Directives opérationnelles comme suit :</w:t>
      </w:r>
    </w:p>
    <w:p w14:paraId="69632204" w14:textId="6F765180"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P.1 : </w:t>
      </w:r>
      <w:r w:rsidR="004326D8" w:rsidRPr="00AC1594">
        <w:rPr>
          <w:rFonts w:ascii="Arial" w:hAnsi="Arial" w:cs="Arial"/>
          <w:sz w:val="22"/>
          <w:szCs w:val="22"/>
        </w:rPr>
        <w:tab/>
      </w:r>
      <w:r w:rsidRPr="00AC1594">
        <w:rPr>
          <w:rFonts w:ascii="Arial" w:hAnsi="Arial" w:cs="Arial"/>
          <w:sz w:val="22"/>
          <w:szCs w:val="22"/>
        </w:rPr>
        <w:t xml:space="preserve">Le programme a appliqué plusieurs types de mesures de sauvegarde, portant principalement sur l’éducation et la formation. Citons par exemple un programme éducatif sur l’environnement, un programme de formation dans le secteur du tourisme, un plan de gestion des pépinières et de nombreuses autres activités culturelles. Toutes ces mesures impliquent des enfants, des </w:t>
      </w:r>
      <w:r w:rsidR="00D92CF0" w:rsidRPr="00AC1594">
        <w:rPr>
          <w:rFonts w:ascii="Arial" w:hAnsi="Arial" w:cs="Arial"/>
          <w:sz w:val="22"/>
          <w:szCs w:val="22"/>
        </w:rPr>
        <w:t>jeunes</w:t>
      </w:r>
      <w:r w:rsidRPr="00AC1594">
        <w:rPr>
          <w:rFonts w:ascii="Arial" w:hAnsi="Arial" w:cs="Arial"/>
          <w:sz w:val="22"/>
          <w:szCs w:val="22"/>
        </w:rPr>
        <w:t xml:space="preserve">, des enseignants et des professeurs d’université. En outre, le programme établit un lien innovant entre la sauvegarde et la conservation de la nature en mettant en avant le concept de patrimoine </w:t>
      </w:r>
      <w:proofErr w:type="spellStart"/>
      <w:r w:rsidRPr="00AC1594">
        <w:rPr>
          <w:rFonts w:ascii="Arial" w:hAnsi="Arial" w:cs="Arial"/>
          <w:sz w:val="22"/>
          <w:szCs w:val="22"/>
        </w:rPr>
        <w:t>bioculturel</w:t>
      </w:r>
      <w:proofErr w:type="spellEnd"/>
      <w:r w:rsidRPr="00AC1594">
        <w:rPr>
          <w:rFonts w:ascii="Arial" w:hAnsi="Arial" w:cs="Arial"/>
          <w:sz w:val="22"/>
          <w:szCs w:val="22"/>
        </w:rPr>
        <w:t>.</w:t>
      </w:r>
    </w:p>
    <w:p w14:paraId="1B1CD16B" w14:textId="23E0B6A0"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P.2 : </w:t>
      </w:r>
      <w:r w:rsidR="004326D8" w:rsidRPr="00AC1594">
        <w:rPr>
          <w:rFonts w:ascii="Arial" w:hAnsi="Arial" w:cs="Arial"/>
          <w:sz w:val="22"/>
          <w:szCs w:val="22"/>
        </w:rPr>
        <w:tab/>
      </w:r>
      <w:r w:rsidRPr="00AC1594">
        <w:rPr>
          <w:rFonts w:ascii="Arial" w:hAnsi="Arial" w:cs="Arial"/>
          <w:sz w:val="22"/>
          <w:szCs w:val="22"/>
        </w:rPr>
        <w:t xml:space="preserve">Bien qu’il n’y ait pas de preuve que la coordination des efforts de sauvegarde du patrimoine culturel immatériel ait été favorisée au niveau régional ou international, ce programme est un bon exemple de collaboration entre les communautés, plusieurs institutions publiques </w:t>
      </w:r>
      <w:r w:rsidR="00F50B07" w:rsidRPr="00AC1594">
        <w:rPr>
          <w:rFonts w:ascii="Arial" w:hAnsi="Arial" w:cs="Arial"/>
          <w:sz w:val="22"/>
          <w:szCs w:val="22"/>
        </w:rPr>
        <w:t xml:space="preserve">dans le pays </w:t>
      </w:r>
      <w:r w:rsidRPr="00AC1594">
        <w:rPr>
          <w:rFonts w:ascii="Arial" w:hAnsi="Arial" w:cs="Arial"/>
          <w:sz w:val="22"/>
          <w:szCs w:val="22"/>
        </w:rPr>
        <w:t>(la Garde nationale, l’</w:t>
      </w:r>
      <w:r w:rsidRPr="00AC1594">
        <w:rPr>
          <w:rFonts w:ascii="Arial" w:hAnsi="Arial" w:cs="Arial"/>
          <w:iCs/>
          <w:sz w:val="22"/>
          <w:szCs w:val="22"/>
        </w:rPr>
        <w:t xml:space="preserve">Instituto </w:t>
      </w:r>
      <w:proofErr w:type="spellStart"/>
      <w:r w:rsidRPr="00AC1594">
        <w:rPr>
          <w:rFonts w:ascii="Arial" w:hAnsi="Arial" w:cs="Arial"/>
          <w:iCs/>
          <w:sz w:val="22"/>
          <w:szCs w:val="22"/>
        </w:rPr>
        <w:t>Nacional</w:t>
      </w:r>
      <w:proofErr w:type="spellEnd"/>
      <w:r w:rsidRPr="00AC1594">
        <w:rPr>
          <w:rFonts w:ascii="Arial" w:hAnsi="Arial" w:cs="Arial"/>
          <w:iCs/>
          <w:sz w:val="22"/>
          <w:szCs w:val="22"/>
        </w:rPr>
        <w:t xml:space="preserve"> de Parques (</w:t>
      </w:r>
      <w:proofErr w:type="spellStart"/>
      <w:r w:rsidRPr="00AC1594">
        <w:rPr>
          <w:rFonts w:ascii="Arial" w:hAnsi="Arial" w:cs="Arial"/>
          <w:iCs/>
          <w:sz w:val="22"/>
          <w:szCs w:val="22"/>
        </w:rPr>
        <w:t>Inparques</w:t>
      </w:r>
      <w:proofErr w:type="spellEnd"/>
      <w:r w:rsidRPr="00AC1594">
        <w:rPr>
          <w:rFonts w:ascii="Arial" w:hAnsi="Arial" w:cs="Arial"/>
          <w:iCs/>
          <w:sz w:val="22"/>
          <w:szCs w:val="22"/>
        </w:rPr>
        <w:t>)</w:t>
      </w:r>
      <w:r w:rsidR="00337B29">
        <w:rPr>
          <w:rFonts w:ascii="Arial" w:hAnsi="Arial" w:cs="Arial"/>
          <w:iCs/>
          <w:sz w:val="22"/>
          <w:szCs w:val="22"/>
        </w:rPr>
        <w:t>,</w:t>
      </w:r>
      <w:r w:rsidRPr="00AC1594">
        <w:rPr>
          <w:rFonts w:ascii="Arial" w:hAnsi="Arial" w:cs="Arial"/>
          <w:sz w:val="22"/>
          <w:szCs w:val="22"/>
        </w:rPr>
        <w:t xml:space="preserve"> la Protection civile</w:t>
      </w:r>
      <w:r w:rsidR="00337B29">
        <w:rPr>
          <w:rFonts w:ascii="Arial" w:hAnsi="Arial" w:cs="Arial"/>
          <w:sz w:val="22"/>
          <w:szCs w:val="22"/>
        </w:rPr>
        <w:t xml:space="preserve"> et d’</w:t>
      </w:r>
      <w:r w:rsidRPr="00AC1594">
        <w:rPr>
          <w:rFonts w:ascii="Arial" w:hAnsi="Arial" w:cs="Arial"/>
          <w:sz w:val="22"/>
          <w:szCs w:val="22"/>
        </w:rPr>
        <w:t>autres</w:t>
      </w:r>
      <w:r w:rsidR="00337B29">
        <w:rPr>
          <w:rFonts w:ascii="Arial" w:hAnsi="Arial" w:cs="Arial"/>
          <w:sz w:val="22"/>
          <w:szCs w:val="22"/>
        </w:rPr>
        <w:t xml:space="preserve"> institutions</w:t>
      </w:r>
      <w:r w:rsidRPr="00AC1594">
        <w:rPr>
          <w:rFonts w:ascii="Arial" w:hAnsi="Arial" w:cs="Arial"/>
          <w:sz w:val="22"/>
          <w:szCs w:val="22"/>
        </w:rPr>
        <w:t xml:space="preserve">), des universités et des </w:t>
      </w:r>
      <w:r w:rsidR="004A6F71" w:rsidRPr="00AC1594">
        <w:rPr>
          <w:rFonts w:ascii="Arial" w:hAnsi="Arial" w:cs="Arial"/>
          <w:sz w:val="22"/>
          <w:szCs w:val="22"/>
        </w:rPr>
        <w:t>organisations non gouvernementales</w:t>
      </w:r>
      <w:r w:rsidRPr="00AC1594">
        <w:rPr>
          <w:rFonts w:ascii="Arial" w:hAnsi="Arial" w:cs="Arial"/>
          <w:sz w:val="22"/>
          <w:szCs w:val="22"/>
        </w:rPr>
        <w:t>.</w:t>
      </w:r>
    </w:p>
    <w:p w14:paraId="3B9AB7CF" w14:textId="77777777"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P.3 : </w:t>
      </w:r>
      <w:r w:rsidR="004326D8" w:rsidRPr="00AC1594">
        <w:rPr>
          <w:rFonts w:ascii="Arial" w:hAnsi="Arial" w:cs="Arial"/>
          <w:sz w:val="22"/>
          <w:szCs w:val="22"/>
        </w:rPr>
        <w:tab/>
      </w:r>
      <w:r w:rsidRPr="00AC1594">
        <w:rPr>
          <w:rFonts w:ascii="Arial" w:hAnsi="Arial" w:cs="Arial"/>
          <w:sz w:val="22"/>
          <w:szCs w:val="22"/>
        </w:rPr>
        <w:t>Ce programme participe à la sauvegarde des traditions locales, contribue au renforcement de la cohésion communautaire et du sentiment d’appartenance des détenteurs et favorise de manière créative des liens entre la sauvegarde du patrimoine culturel immatériel et la protection de la diversité naturelle. En outre, la vitalité de la tradition repose non seulement sur le dialogue et la coopération mais aussi et surtout sur la participation communautaire, ce qui reflète les principes et objectifs de la Convention.</w:t>
      </w:r>
    </w:p>
    <w:p w14:paraId="398A540B" w14:textId="19F8772D"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P.4 : </w:t>
      </w:r>
      <w:r w:rsidR="004326D8" w:rsidRPr="00AC1594">
        <w:rPr>
          <w:rFonts w:ascii="Arial" w:hAnsi="Arial" w:cs="Arial"/>
          <w:sz w:val="22"/>
          <w:szCs w:val="22"/>
        </w:rPr>
        <w:tab/>
      </w:r>
      <w:r w:rsidRPr="00AC1594">
        <w:rPr>
          <w:rFonts w:ascii="Arial" w:hAnsi="Arial" w:cs="Arial"/>
          <w:sz w:val="22"/>
          <w:szCs w:val="22"/>
        </w:rPr>
        <w:t xml:space="preserve">Ce programme s’est révélé efficace pour contribuer à la viabilité du patrimoine culturel immatériel. En témoignent le changement d’état d’esprit des détenteurs de la tradition, et le fait que les enfants et les </w:t>
      </w:r>
      <w:r w:rsidR="00D92CF0" w:rsidRPr="00AC1594">
        <w:rPr>
          <w:rFonts w:ascii="Arial" w:hAnsi="Arial" w:cs="Arial"/>
          <w:sz w:val="22"/>
          <w:szCs w:val="22"/>
        </w:rPr>
        <w:t xml:space="preserve">jeunes </w:t>
      </w:r>
      <w:r w:rsidRPr="00AC1594">
        <w:rPr>
          <w:rFonts w:ascii="Arial" w:hAnsi="Arial" w:cs="Arial"/>
          <w:sz w:val="22"/>
          <w:szCs w:val="22"/>
        </w:rPr>
        <w:t>soient incités à prendre part aux diverses activités. Ils sont désormais sensibilisés et s’engagent pour la reforestation</w:t>
      </w:r>
      <w:r w:rsidR="007905C0">
        <w:rPr>
          <w:rFonts w:ascii="Arial" w:hAnsi="Arial" w:cs="Arial"/>
          <w:sz w:val="22"/>
          <w:szCs w:val="22"/>
        </w:rPr>
        <w:t xml:space="preserve"> des palmiers</w:t>
      </w:r>
      <w:r w:rsidRPr="00AC1594">
        <w:rPr>
          <w:rFonts w:ascii="Arial" w:hAnsi="Arial" w:cs="Arial"/>
          <w:sz w:val="22"/>
          <w:szCs w:val="22"/>
        </w:rPr>
        <w:t xml:space="preserve">, en prenant de plus en plus de responsabilités. Le programme a également rappelé aux individus concernés l’importance du palmier béni pour leur vie culturelle et les a </w:t>
      </w:r>
      <w:r w:rsidR="007A527D" w:rsidRPr="00AC1594">
        <w:rPr>
          <w:rFonts w:ascii="Arial" w:hAnsi="Arial" w:cs="Arial"/>
          <w:sz w:val="22"/>
          <w:szCs w:val="22"/>
        </w:rPr>
        <w:t>aidés</w:t>
      </w:r>
      <w:r w:rsidRPr="00AC1594">
        <w:rPr>
          <w:rFonts w:ascii="Arial" w:hAnsi="Arial" w:cs="Arial"/>
          <w:sz w:val="22"/>
          <w:szCs w:val="22"/>
        </w:rPr>
        <w:t xml:space="preserve"> à prendre conscience de la nécessité de protéger les arbres pour assurer la viabilité des traditions associées. Sans ce programme, ces traditions auraient probablement </w:t>
      </w:r>
      <w:r w:rsidR="007A527D" w:rsidRPr="00AC1594">
        <w:rPr>
          <w:rFonts w:ascii="Arial" w:hAnsi="Arial" w:cs="Arial"/>
          <w:sz w:val="22"/>
          <w:szCs w:val="22"/>
        </w:rPr>
        <w:t>disparu</w:t>
      </w:r>
      <w:r w:rsidRPr="00AC1594">
        <w:rPr>
          <w:rFonts w:ascii="Arial" w:hAnsi="Arial" w:cs="Arial"/>
          <w:sz w:val="22"/>
          <w:szCs w:val="22"/>
        </w:rPr>
        <w:t xml:space="preserve"> en raison de l’approche stricte adoptée en matière de conservation de la nature et de l’extinction de certaines espèces ; mais aussi faute d’un intérêt suffisant de </w:t>
      </w:r>
      <w:r w:rsidR="00BA7A71">
        <w:rPr>
          <w:rFonts w:ascii="Arial" w:hAnsi="Arial" w:cs="Arial"/>
          <w:sz w:val="22"/>
          <w:szCs w:val="22"/>
        </w:rPr>
        <w:t>la part des jeunes générations.</w:t>
      </w:r>
    </w:p>
    <w:p w14:paraId="0AC70DA7" w14:textId="257BF0AF"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P.5 : </w:t>
      </w:r>
      <w:r w:rsidR="004326D8" w:rsidRPr="00AC1594">
        <w:rPr>
          <w:rFonts w:ascii="Arial" w:hAnsi="Arial" w:cs="Arial"/>
          <w:sz w:val="22"/>
          <w:szCs w:val="22"/>
        </w:rPr>
        <w:tab/>
      </w:r>
      <w:r w:rsidRPr="00AC1594">
        <w:rPr>
          <w:rFonts w:ascii="Arial" w:hAnsi="Arial" w:cs="Arial"/>
          <w:sz w:val="22"/>
          <w:szCs w:val="22"/>
        </w:rPr>
        <w:t xml:space="preserve">La communauté a participé à la mise en œuvre du programme par l’intermédiaire des associations de </w:t>
      </w:r>
      <w:proofErr w:type="spellStart"/>
      <w:r w:rsidRPr="00AC1594">
        <w:rPr>
          <w:rFonts w:ascii="Arial" w:hAnsi="Arial" w:cs="Arial"/>
          <w:sz w:val="22"/>
          <w:szCs w:val="22"/>
        </w:rPr>
        <w:t>palmeros</w:t>
      </w:r>
      <w:proofErr w:type="spellEnd"/>
      <w:r w:rsidRPr="00AC1594">
        <w:rPr>
          <w:rFonts w:ascii="Arial" w:hAnsi="Arial" w:cs="Arial"/>
          <w:sz w:val="22"/>
          <w:szCs w:val="22"/>
        </w:rPr>
        <w:t>. Ce programme a rassemblé des maîtres de la tradition, appelés « </w:t>
      </w:r>
      <w:proofErr w:type="spellStart"/>
      <w:r w:rsidRPr="00AC1594">
        <w:rPr>
          <w:rFonts w:ascii="Arial" w:hAnsi="Arial" w:cs="Arial"/>
          <w:sz w:val="22"/>
          <w:szCs w:val="22"/>
        </w:rPr>
        <w:t>palmeros</w:t>
      </w:r>
      <w:proofErr w:type="spellEnd"/>
      <w:r w:rsidRPr="00AC1594">
        <w:rPr>
          <w:rFonts w:ascii="Arial" w:hAnsi="Arial" w:cs="Arial"/>
          <w:sz w:val="22"/>
          <w:szCs w:val="22"/>
        </w:rPr>
        <w:t xml:space="preserve"> </w:t>
      </w:r>
      <w:proofErr w:type="spellStart"/>
      <w:r w:rsidRPr="00AC1594">
        <w:rPr>
          <w:rFonts w:ascii="Arial" w:hAnsi="Arial" w:cs="Arial"/>
          <w:sz w:val="22"/>
          <w:szCs w:val="22"/>
        </w:rPr>
        <w:t>mayores</w:t>
      </w:r>
      <w:proofErr w:type="spellEnd"/>
      <w:r w:rsidRPr="00AC1594">
        <w:rPr>
          <w:rFonts w:ascii="Arial" w:hAnsi="Arial" w:cs="Arial"/>
          <w:sz w:val="22"/>
          <w:szCs w:val="22"/>
        </w:rPr>
        <w:t xml:space="preserve"> », des hommes et des femmes chargés des aspects logistiques, mais aussi des enfants, des </w:t>
      </w:r>
      <w:r w:rsidR="00D41A9C" w:rsidRPr="00AC1594">
        <w:rPr>
          <w:rFonts w:ascii="Arial" w:hAnsi="Arial" w:cs="Arial"/>
          <w:sz w:val="22"/>
          <w:szCs w:val="22"/>
        </w:rPr>
        <w:t xml:space="preserve">jeunes </w:t>
      </w:r>
      <w:r w:rsidRPr="00AC1594">
        <w:rPr>
          <w:rFonts w:ascii="Arial" w:hAnsi="Arial" w:cs="Arial"/>
          <w:sz w:val="22"/>
          <w:szCs w:val="22"/>
        </w:rPr>
        <w:t xml:space="preserve">et d’autres membres de la communauté. Les </w:t>
      </w:r>
      <w:proofErr w:type="spellStart"/>
      <w:r w:rsidRPr="00AC1594">
        <w:rPr>
          <w:rFonts w:ascii="Arial" w:hAnsi="Arial" w:cs="Arial"/>
          <w:sz w:val="22"/>
          <w:szCs w:val="22"/>
        </w:rPr>
        <w:t>palmeros</w:t>
      </w:r>
      <w:proofErr w:type="spellEnd"/>
      <w:r w:rsidRPr="00AC1594">
        <w:rPr>
          <w:rFonts w:ascii="Arial" w:hAnsi="Arial" w:cs="Arial"/>
          <w:sz w:val="22"/>
          <w:szCs w:val="22"/>
        </w:rPr>
        <w:t xml:space="preserve"> </w:t>
      </w:r>
      <w:proofErr w:type="spellStart"/>
      <w:r w:rsidRPr="00AC1594">
        <w:rPr>
          <w:rFonts w:ascii="Arial" w:hAnsi="Arial" w:cs="Arial"/>
          <w:sz w:val="22"/>
          <w:szCs w:val="22"/>
        </w:rPr>
        <w:t>mayores</w:t>
      </w:r>
      <w:proofErr w:type="spellEnd"/>
      <w:r w:rsidRPr="00AC1594">
        <w:rPr>
          <w:rFonts w:ascii="Arial" w:hAnsi="Arial" w:cs="Arial"/>
          <w:sz w:val="22"/>
          <w:szCs w:val="22"/>
        </w:rPr>
        <w:t xml:space="preserve"> prennent part à la pratique depuis de nombreuses années, mais ne sont plus physiquement capables de gravir la montagne, ou ne peuvent le faire que jusqu’à une certaine altitude. En revanche, ils participent pleinement aux activités éducatives qui s’adressent aux </w:t>
      </w:r>
      <w:proofErr w:type="spellStart"/>
      <w:r w:rsidRPr="00AC1594">
        <w:rPr>
          <w:rFonts w:ascii="Arial" w:hAnsi="Arial" w:cs="Arial"/>
          <w:sz w:val="22"/>
          <w:szCs w:val="22"/>
        </w:rPr>
        <w:t>palmeritos</w:t>
      </w:r>
      <w:proofErr w:type="spellEnd"/>
      <w:r w:rsidRPr="00AC1594">
        <w:rPr>
          <w:rFonts w:ascii="Arial" w:hAnsi="Arial" w:cs="Arial"/>
          <w:sz w:val="22"/>
          <w:szCs w:val="22"/>
        </w:rPr>
        <w:t>, ainsi qu’à la gestion des pépinières à visée pédagogique. Ils jouent un rôle fondamental dans le programme, car ce sont les piliers de la transmission orale des connaissances</w:t>
      </w:r>
      <w:r w:rsidR="00C06A9E" w:rsidRPr="00AC1594">
        <w:rPr>
          <w:rFonts w:ascii="Arial" w:hAnsi="Arial" w:cs="Arial"/>
          <w:sz w:val="22"/>
          <w:szCs w:val="22"/>
        </w:rPr>
        <w:t xml:space="preserve"> associées</w:t>
      </w:r>
      <w:r w:rsidRPr="00AC1594">
        <w:rPr>
          <w:rFonts w:ascii="Arial" w:hAnsi="Arial" w:cs="Arial"/>
          <w:sz w:val="22"/>
          <w:szCs w:val="22"/>
        </w:rPr>
        <w:t>. Le dossier contient des lettres exprimant le consentement libre</w:t>
      </w:r>
      <w:r w:rsidR="008C5C38" w:rsidRPr="00AC1594">
        <w:rPr>
          <w:rFonts w:ascii="Arial" w:hAnsi="Arial" w:cs="Arial"/>
          <w:sz w:val="22"/>
          <w:szCs w:val="22"/>
        </w:rPr>
        <w:t>,</w:t>
      </w:r>
      <w:r w:rsidRPr="00AC1594">
        <w:rPr>
          <w:rFonts w:ascii="Arial" w:hAnsi="Arial" w:cs="Arial"/>
          <w:sz w:val="22"/>
          <w:szCs w:val="22"/>
        </w:rPr>
        <w:t xml:space="preserve"> préalable et éclairé de représentants des associations mais aussi de représentants des municipalités, écoles et autres institutions culturelles</w:t>
      </w:r>
      <w:r w:rsidR="00C06A9E" w:rsidRPr="00AC1594">
        <w:rPr>
          <w:rFonts w:ascii="Arial" w:hAnsi="Arial" w:cs="Arial"/>
          <w:sz w:val="22"/>
          <w:szCs w:val="22"/>
        </w:rPr>
        <w:t>.</w:t>
      </w:r>
    </w:p>
    <w:p w14:paraId="1163897A" w14:textId="77777777"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P.6 : </w:t>
      </w:r>
      <w:r w:rsidR="004326D8" w:rsidRPr="00AC1594">
        <w:rPr>
          <w:rFonts w:ascii="Arial" w:hAnsi="Arial" w:cs="Arial"/>
          <w:sz w:val="22"/>
          <w:szCs w:val="22"/>
        </w:rPr>
        <w:tab/>
      </w:r>
      <w:r w:rsidRPr="00AC1594">
        <w:rPr>
          <w:rFonts w:ascii="Arial" w:hAnsi="Arial" w:cs="Arial"/>
          <w:sz w:val="22"/>
          <w:szCs w:val="22"/>
        </w:rPr>
        <w:t>Le programme pourrait servir de modèle, en particulier pour la récolte de rameaux sans réduire la population des palmiers, la gestion des pépinières où sont cultivés des spécimens et l’important volet éducatif. Il peut également être un modèle pour les communautés où la collecte de ressources naturelles constitue un élément fondamental des traditions culturelles et dans lesquelles le patrimoine culturel immatériel est étroitement lié aux pratiques de conservation de la nature. L’approche pourrait être reproduite non seulement à l’échelle régionale et sous-régionale, mais aussi dans le monde entier.</w:t>
      </w:r>
    </w:p>
    <w:p w14:paraId="329DBD93" w14:textId="06E7A645"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P.7 : </w:t>
      </w:r>
      <w:r w:rsidR="004326D8" w:rsidRPr="00AC1594">
        <w:rPr>
          <w:rFonts w:ascii="Arial" w:hAnsi="Arial" w:cs="Arial"/>
          <w:sz w:val="22"/>
          <w:szCs w:val="22"/>
        </w:rPr>
        <w:tab/>
      </w:r>
      <w:r w:rsidRPr="00AC1594">
        <w:rPr>
          <w:rFonts w:ascii="Arial" w:hAnsi="Arial" w:cs="Arial"/>
          <w:sz w:val="22"/>
          <w:szCs w:val="22"/>
        </w:rPr>
        <w:t>Les communautés et les individus concernés sont clairement engagés en faveur de la diffusion du programme</w:t>
      </w:r>
      <w:r w:rsidR="007905C0">
        <w:rPr>
          <w:rFonts w:ascii="Arial" w:hAnsi="Arial" w:cs="Arial"/>
          <w:sz w:val="22"/>
          <w:szCs w:val="22"/>
        </w:rPr>
        <w:t xml:space="preserve">. </w:t>
      </w:r>
      <w:r w:rsidR="005E54A1">
        <w:rPr>
          <w:rFonts w:ascii="Arial" w:hAnsi="Arial" w:cs="Arial"/>
          <w:sz w:val="22"/>
          <w:szCs w:val="22"/>
        </w:rPr>
        <w:t xml:space="preserve">Cette volonté </w:t>
      </w:r>
      <w:r w:rsidR="007905C0">
        <w:rPr>
          <w:rFonts w:ascii="Arial" w:hAnsi="Arial" w:cs="Arial"/>
          <w:sz w:val="22"/>
          <w:szCs w:val="22"/>
        </w:rPr>
        <w:t>est démontré</w:t>
      </w:r>
      <w:r w:rsidR="005E54A1">
        <w:rPr>
          <w:rFonts w:ascii="Arial" w:hAnsi="Arial" w:cs="Arial"/>
          <w:sz w:val="22"/>
          <w:szCs w:val="22"/>
        </w:rPr>
        <w:t>e</w:t>
      </w:r>
      <w:r w:rsidR="007905C0">
        <w:rPr>
          <w:rFonts w:ascii="Arial" w:hAnsi="Arial" w:cs="Arial"/>
          <w:sz w:val="22"/>
          <w:szCs w:val="22"/>
        </w:rPr>
        <w:t xml:space="preserve"> à la fois par </w:t>
      </w:r>
      <w:r w:rsidR="007905C0" w:rsidRPr="00AC1594">
        <w:rPr>
          <w:rFonts w:ascii="Arial" w:hAnsi="Arial" w:cs="Arial"/>
          <w:sz w:val="22"/>
          <w:szCs w:val="22"/>
        </w:rPr>
        <w:t xml:space="preserve">les membres de l'Association des </w:t>
      </w:r>
      <w:proofErr w:type="spellStart"/>
      <w:r w:rsidR="007905C0" w:rsidRPr="00AC1594">
        <w:rPr>
          <w:rFonts w:ascii="Arial" w:hAnsi="Arial" w:cs="Arial"/>
          <w:sz w:val="22"/>
          <w:szCs w:val="22"/>
        </w:rPr>
        <w:t>palmeros</w:t>
      </w:r>
      <w:proofErr w:type="spellEnd"/>
      <w:r w:rsidR="007905C0" w:rsidRPr="00AC1594">
        <w:rPr>
          <w:rFonts w:ascii="Arial" w:hAnsi="Arial" w:cs="Arial"/>
          <w:sz w:val="22"/>
          <w:szCs w:val="22"/>
        </w:rPr>
        <w:t xml:space="preserve"> </w:t>
      </w:r>
      <w:r w:rsidR="007905C0">
        <w:rPr>
          <w:rFonts w:ascii="Arial" w:hAnsi="Arial" w:cs="Arial"/>
          <w:sz w:val="22"/>
          <w:szCs w:val="22"/>
        </w:rPr>
        <w:t xml:space="preserve">qui </w:t>
      </w:r>
      <w:r w:rsidR="007905C0" w:rsidRPr="00AC1594">
        <w:rPr>
          <w:rFonts w:ascii="Arial" w:hAnsi="Arial" w:cs="Arial"/>
          <w:sz w:val="22"/>
          <w:szCs w:val="22"/>
        </w:rPr>
        <w:t xml:space="preserve">ont exprimé leur volonté de transmettre les expériences acquises au cours du développement du programme </w:t>
      </w:r>
      <w:proofErr w:type="spellStart"/>
      <w:r w:rsidR="007905C0" w:rsidRPr="00AC1594">
        <w:rPr>
          <w:rFonts w:ascii="Arial" w:hAnsi="Arial" w:cs="Arial"/>
          <w:sz w:val="22"/>
          <w:szCs w:val="22"/>
        </w:rPr>
        <w:t>bioculturel</w:t>
      </w:r>
      <w:proofErr w:type="spellEnd"/>
      <w:r w:rsidR="005E54A1">
        <w:rPr>
          <w:rFonts w:ascii="Arial" w:hAnsi="Arial" w:cs="Arial"/>
          <w:sz w:val="22"/>
          <w:szCs w:val="22"/>
        </w:rPr>
        <w:t xml:space="preserve"> et </w:t>
      </w:r>
      <w:r w:rsidR="007905C0">
        <w:rPr>
          <w:rFonts w:ascii="Arial" w:hAnsi="Arial" w:cs="Arial"/>
          <w:sz w:val="22"/>
          <w:szCs w:val="22"/>
        </w:rPr>
        <w:t xml:space="preserve">par les </w:t>
      </w:r>
      <w:r w:rsidRPr="00AC1594">
        <w:rPr>
          <w:rFonts w:ascii="Arial" w:hAnsi="Arial" w:cs="Arial"/>
          <w:sz w:val="22"/>
          <w:szCs w:val="22"/>
        </w:rPr>
        <w:t>déclarations des enseignants, des biologistes et des journalistes impliqués dans le programme. La diffusion se fera grâce à la coopération de tous ces acteurs, en s’appuyant sur les nombreuses initiat</w:t>
      </w:r>
      <w:r w:rsidR="00BA7A71">
        <w:rPr>
          <w:rFonts w:ascii="Arial" w:hAnsi="Arial" w:cs="Arial"/>
          <w:sz w:val="22"/>
          <w:szCs w:val="22"/>
        </w:rPr>
        <w:t>ives déjà prises en la matière.</w:t>
      </w:r>
    </w:p>
    <w:p w14:paraId="687E8957" w14:textId="63E0D03D"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P.8 : </w:t>
      </w:r>
      <w:r w:rsidR="004326D8" w:rsidRPr="00AC1594">
        <w:rPr>
          <w:rFonts w:ascii="Arial" w:hAnsi="Arial" w:cs="Arial"/>
          <w:sz w:val="22"/>
          <w:szCs w:val="22"/>
        </w:rPr>
        <w:tab/>
      </w:r>
      <w:r w:rsidRPr="00AC1594">
        <w:rPr>
          <w:rFonts w:ascii="Arial" w:hAnsi="Arial" w:cs="Arial"/>
          <w:sz w:val="22"/>
          <w:szCs w:val="22"/>
        </w:rPr>
        <w:t xml:space="preserve">Le programme inclut des exemples concrets et formels de mesure et d’évaluation de ses progrès, reposant sur des normes et des procédures détaillées. Les évaluations ont été menées à partir de rapports externes préparés par </w:t>
      </w:r>
      <w:proofErr w:type="spellStart"/>
      <w:r w:rsidRPr="00AC1594">
        <w:rPr>
          <w:rFonts w:ascii="Arial" w:hAnsi="Arial" w:cs="Arial"/>
          <w:iCs/>
          <w:sz w:val="22"/>
          <w:szCs w:val="22"/>
        </w:rPr>
        <w:t>Inparques</w:t>
      </w:r>
      <w:proofErr w:type="spellEnd"/>
      <w:r w:rsidRPr="00AC1594">
        <w:rPr>
          <w:rFonts w:ascii="Arial" w:hAnsi="Arial" w:cs="Arial"/>
          <w:sz w:val="22"/>
          <w:szCs w:val="22"/>
        </w:rPr>
        <w:t xml:space="preserve"> et de bilans internes basés sur des critères formels objectifs. Le dossier </w:t>
      </w:r>
      <w:r w:rsidR="00DB3CEF" w:rsidRPr="00AC1594">
        <w:rPr>
          <w:rFonts w:ascii="Arial" w:hAnsi="Arial" w:cs="Arial"/>
          <w:sz w:val="22"/>
          <w:szCs w:val="22"/>
        </w:rPr>
        <w:t xml:space="preserve">donne </w:t>
      </w:r>
      <w:r w:rsidRPr="00AC1594">
        <w:rPr>
          <w:rFonts w:ascii="Arial" w:hAnsi="Arial" w:cs="Arial"/>
          <w:sz w:val="22"/>
          <w:szCs w:val="22"/>
        </w:rPr>
        <w:t>également</w:t>
      </w:r>
      <w:r w:rsidR="00DB3CEF" w:rsidRPr="00AC1594">
        <w:rPr>
          <w:rFonts w:ascii="Arial" w:hAnsi="Arial" w:cs="Arial"/>
          <w:sz w:val="22"/>
          <w:szCs w:val="22"/>
        </w:rPr>
        <w:t xml:space="preserve"> un certain nombre d’exemples</w:t>
      </w:r>
      <w:r w:rsidRPr="00AC1594">
        <w:rPr>
          <w:rFonts w:ascii="Arial" w:hAnsi="Arial" w:cs="Arial"/>
          <w:sz w:val="22"/>
          <w:szCs w:val="22"/>
        </w:rPr>
        <w:t xml:space="preserve"> </w:t>
      </w:r>
      <w:r w:rsidR="00DB3CEF" w:rsidRPr="00AC1594">
        <w:rPr>
          <w:rFonts w:ascii="Arial" w:hAnsi="Arial" w:cs="Arial"/>
          <w:sz w:val="22"/>
          <w:szCs w:val="22"/>
        </w:rPr>
        <w:t>de la manière dont le</w:t>
      </w:r>
      <w:r w:rsidRPr="00AC1594">
        <w:rPr>
          <w:rFonts w:ascii="Arial" w:hAnsi="Arial" w:cs="Arial"/>
          <w:sz w:val="22"/>
          <w:szCs w:val="22"/>
        </w:rPr>
        <w:t xml:space="preserve"> programme pourrait être évalué par d’autres agences à l’avenir. En outre, le plan de sauvegarde proposé pour la tradition du panier béni sera un outil important pour le suivi et l’évaluation des activités du programme </w:t>
      </w:r>
      <w:proofErr w:type="spellStart"/>
      <w:r w:rsidRPr="00AC1594">
        <w:rPr>
          <w:rFonts w:ascii="Arial" w:hAnsi="Arial" w:cs="Arial"/>
          <w:sz w:val="22"/>
          <w:szCs w:val="22"/>
        </w:rPr>
        <w:t>bioculturel</w:t>
      </w:r>
      <w:proofErr w:type="spellEnd"/>
      <w:r w:rsidRPr="00AC1594">
        <w:rPr>
          <w:rFonts w:ascii="Arial" w:hAnsi="Arial" w:cs="Arial"/>
          <w:sz w:val="22"/>
          <w:szCs w:val="22"/>
        </w:rPr>
        <w:t xml:space="preserve"> en tant que bonne </w:t>
      </w:r>
      <w:r w:rsidR="001D02C9">
        <w:rPr>
          <w:rFonts w:ascii="Arial" w:hAnsi="Arial" w:cs="Arial"/>
          <w:sz w:val="22"/>
          <w:szCs w:val="22"/>
        </w:rPr>
        <w:t>pratique.</w:t>
      </w:r>
    </w:p>
    <w:p w14:paraId="5967BFBF" w14:textId="6AAF99CE" w:rsidR="0035077E" w:rsidRPr="00AC1594" w:rsidRDefault="0035077E" w:rsidP="004326D8">
      <w:pPr>
        <w:tabs>
          <w:tab w:val="left" w:pos="851"/>
          <w:tab w:val="left" w:pos="1701"/>
          <w:tab w:val="left" w:pos="2268"/>
        </w:tabs>
        <w:spacing w:before="120" w:after="120"/>
        <w:ind w:left="1701" w:hanging="567"/>
        <w:jc w:val="both"/>
        <w:rPr>
          <w:rFonts w:ascii="Arial" w:hAnsi="Arial" w:cs="Arial"/>
          <w:sz w:val="22"/>
          <w:szCs w:val="22"/>
        </w:rPr>
      </w:pPr>
      <w:r w:rsidRPr="00AC1594">
        <w:rPr>
          <w:rFonts w:ascii="Arial" w:hAnsi="Arial" w:cs="Arial"/>
          <w:sz w:val="22"/>
          <w:szCs w:val="22"/>
        </w:rPr>
        <w:t xml:space="preserve">P.9 : </w:t>
      </w:r>
      <w:r w:rsidR="004326D8" w:rsidRPr="00AC1594">
        <w:rPr>
          <w:rFonts w:ascii="Arial" w:hAnsi="Arial" w:cs="Arial"/>
          <w:sz w:val="22"/>
          <w:szCs w:val="22"/>
        </w:rPr>
        <w:tab/>
      </w:r>
      <w:r w:rsidRPr="00AC1594">
        <w:rPr>
          <w:rFonts w:ascii="Arial" w:hAnsi="Arial" w:cs="Arial"/>
          <w:sz w:val="22"/>
          <w:szCs w:val="22"/>
        </w:rPr>
        <w:t xml:space="preserve">Le programme pourrait répondre aux besoins des pays en développement. Précisément, il pourrait servir de modèle à d’autres communautés confrontées à des difficultés similaires liées à l’utilisation de palmier ou d’autres ressources naturelles dans le cadre des traditions culturelles. Il pourrait contribuer au rétablissement des espèces menacées, en encourageant des comportements appropriés dans les zones naturelles protégées et en soutenant les programmes relatifs aux droits de l’homme et à la préservation de la biosphère. Le principal objectif du programme était de convertir les citoyens en acteurs de la transformation. Cette idée pourrait être appliquée dans les pays en développement </w:t>
      </w:r>
      <w:r w:rsidR="001D02C9">
        <w:rPr>
          <w:rFonts w:ascii="Arial" w:hAnsi="Arial" w:cs="Arial"/>
          <w:sz w:val="22"/>
          <w:szCs w:val="22"/>
        </w:rPr>
        <w:t>comme dans les pays développés.</w:t>
      </w:r>
    </w:p>
    <w:p w14:paraId="7C33E6DD" w14:textId="2F1D3955" w:rsidR="0035077E" w:rsidRPr="00AC1594" w:rsidRDefault="007D24C4" w:rsidP="004326D8">
      <w:pPr>
        <w:pStyle w:val="Style1"/>
        <w:ind w:left="1134"/>
      </w:pPr>
      <w:r w:rsidRPr="00AC1594">
        <w:rPr>
          <w:u w:val="single"/>
        </w:rPr>
        <w:t>Décide de s</w:t>
      </w:r>
      <w:r w:rsidR="0035077E" w:rsidRPr="00AC1594">
        <w:rPr>
          <w:u w:val="single"/>
        </w:rPr>
        <w:t>électionne</w:t>
      </w:r>
      <w:r w:rsidRPr="00AC1594">
        <w:rPr>
          <w:u w:val="single"/>
        </w:rPr>
        <w:t>r</w:t>
      </w:r>
      <w:r w:rsidR="0035077E" w:rsidRPr="00AC1594">
        <w:t xml:space="preserve"> </w:t>
      </w:r>
      <w:r w:rsidR="0035077E" w:rsidRPr="00AC1594">
        <w:rPr>
          <w:b/>
        </w:rPr>
        <w:t xml:space="preserve">le programme </w:t>
      </w:r>
      <w:proofErr w:type="spellStart"/>
      <w:r w:rsidR="0035077E" w:rsidRPr="00AC1594">
        <w:rPr>
          <w:b/>
        </w:rPr>
        <w:t>bioculturel</w:t>
      </w:r>
      <w:proofErr w:type="spellEnd"/>
      <w:r w:rsidR="0035077E" w:rsidRPr="00AC1594">
        <w:rPr>
          <w:b/>
        </w:rPr>
        <w:t xml:space="preserve"> pour la sauvegarde de la tradition du palmier béni au Venezuela</w:t>
      </w:r>
      <w:r w:rsidR="0035077E" w:rsidRPr="00AC1594">
        <w:t xml:space="preserve"> comme programme, projet ou activité reflétant le mieux les principes et objectifs de la Convention ;</w:t>
      </w:r>
    </w:p>
    <w:p w14:paraId="6E2C9C60" w14:textId="539F638E" w:rsidR="0035077E" w:rsidRPr="00AC1594" w:rsidRDefault="0035077E" w:rsidP="004326D8">
      <w:pPr>
        <w:pStyle w:val="Style1"/>
        <w:ind w:left="1134"/>
      </w:pPr>
      <w:r w:rsidRPr="00AC1594">
        <w:rPr>
          <w:u w:val="single"/>
        </w:rPr>
        <w:t>Félicite</w:t>
      </w:r>
      <w:r w:rsidRPr="00AC1594">
        <w:t xml:space="preserve"> l’État partie pour sa première sélection et pour avoir soumis un dossier exemplaire qui met en lumière le rôle fondamental du patrimoine culturel immatériel pour le développement durable et la protection de l’environnement, programme ayant un impact sur l’ensemble de la communauté dont les </w:t>
      </w:r>
      <w:r w:rsidR="00DB3CEF" w:rsidRPr="00AC1594">
        <w:t xml:space="preserve">citoyens </w:t>
      </w:r>
      <w:r w:rsidRPr="00AC1594">
        <w:t>sont devenus des acteurs de la transformation ;</w:t>
      </w:r>
    </w:p>
    <w:p w14:paraId="57605599" w14:textId="6AC628F7" w:rsidR="008525A1" w:rsidRPr="004F5F48" w:rsidRDefault="0035077E" w:rsidP="004F5F48">
      <w:pPr>
        <w:pStyle w:val="Style1"/>
        <w:ind w:left="1134"/>
      </w:pPr>
      <w:r w:rsidRPr="00AC1594">
        <w:rPr>
          <w:u w:val="single"/>
        </w:rPr>
        <w:t>Encourage</w:t>
      </w:r>
      <w:r w:rsidRPr="00AC1594">
        <w:t xml:space="preserve"> l’État partie à partager ses expériences et ses savoir-faire relatifs à la sauvegarde de la tradition du palmier béni, notamment en ce qui concerne la sensibilisation aux questions bioculturelles.</w:t>
      </w:r>
    </w:p>
    <w:sectPr w:rsidR="008525A1" w:rsidRPr="004F5F48" w:rsidSect="001D3D43">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FEEC8" w14:textId="77777777" w:rsidR="00BD13E5" w:rsidRDefault="00BD13E5" w:rsidP="00655736">
      <w:r>
        <w:separator/>
      </w:r>
    </w:p>
    <w:p w14:paraId="015849FF" w14:textId="77777777" w:rsidR="00BD13E5" w:rsidRDefault="00BD13E5"/>
    <w:p w14:paraId="331B7F39" w14:textId="77777777" w:rsidR="00BD13E5" w:rsidRDefault="00BD13E5" w:rsidP="002E58D4"/>
    <w:p w14:paraId="40EC8167" w14:textId="77777777" w:rsidR="00BD13E5" w:rsidRDefault="00BD13E5" w:rsidP="002E58D4"/>
    <w:p w14:paraId="4C2D2DA3" w14:textId="77777777" w:rsidR="00BD13E5" w:rsidRDefault="00BD13E5" w:rsidP="002E58D4"/>
  </w:endnote>
  <w:endnote w:type="continuationSeparator" w:id="0">
    <w:p w14:paraId="3DDA9EFD" w14:textId="77777777" w:rsidR="00BD13E5" w:rsidRDefault="00BD13E5" w:rsidP="00655736">
      <w:r>
        <w:continuationSeparator/>
      </w:r>
    </w:p>
    <w:p w14:paraId="071231FF" w14:textId="77777777" w:rsidR="00BD13E5" w:rsidRDefault="00BD13E5"/>
    <w:p w14:paraId="6014AE32" w14:textId="77777777" w:rsidR="00BD13E5" w:rsidRDefault="00BD13E5" w:rsidP="002E58D4"/>
    <w:p w14:paraId="146B949A" w14:textId="77777777" w:rsidR="00BD13E5" w:rsidRDefault="00BD13E5" w:rsidP="002E58D4"/>
    <w:p w14:paraId="7E3082A7" w14:textId="77777777" w:rsidR="00BD13E5" w:rsidRDefault="00BD13E5"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D77E" w14:textId="77777777" w:rsidR="00BD13E5" w:rsidRDefault="00BD13E5" w:rsidP="00655736">
      <w:r>
        <w:separator/>
      </w:r>
    </w:p>
    <w:p w14:paraId="2FEEE1C7" w14:textId="77777777" w:rsidR="00BD13E5" w:rsidRDefault="00BD13E5"/>
    <w:p w14:paraId="7A58636F" w14:textId="77777777" w:rsidR="00BD13E5" w:rsidRDefault="00BD13E5" w:rsidP="002E58D4"/>
    <w:p w14:paraId="2BEB98DB" w14:textId="77777777" w:rsidR="00BD13E5" w:rsidRDefault="00BD13E5" w:rsidP="002E58D4"/>
    <w:p w14:paraId="0853C308" w14:textId="77777777" w:rsidR="00BD13E5" w:rsidRDefault="00BD13E5" w:rsidP="002E58D4"/>
  </w:footnote>
  <w:footnote w:type="continuationSeparator" w:id="0">
    <w:p w14:paraId="5EDBB531" w14:textId="77777777" w:rsidR="00BD13E5" w:rsidRDefault="00BD13E5" w:rsidP="00655736">
      <w:r>
        <w:continuationSeparator/>
      </w:r>
    </w:p>
    <w:p w14:paraId="2DC30500" w14:textId="77777777" w:rsidR="00BD13E5" w:rsidRDefault="00BD13E5"/>
    <w:p w14:paraId="2DA38F91" w14:textId="77777777" w:rsidR="00BD13E5" w:rsidRDefault="00BD13E5" w:rsidP="002E58D4"/>
    <w:p w14:paraId="76C77AD9" w14:textId="77777777" w:rsidR="00BD13E5" w:rsidRDefault="00BD13E5" w:rsidP="002E58D4"/>
    <w:p w14:paraId="5DC0DA7B" w14:textId="77777777" w:rsidR="00BD13E5" w:rsidRDefault="00BD13E5"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2E57" w14:textId="401BAA80" w:rsidR="006B5001" w:rsidRPr="002E58D4" w:rsidRDefault="008F09EC" w:rsidP="00461168">
    <w:pPr>
      <w:pStyle w:val="Header"/>
      <w:rPr>
        <w:rFonts w:ascii="Arial" w:hAnsi="Arial" w:cs="Arial"/>
        <w:lang w:val="en-US"/>
      </w:rPr>
    </w:pPr>
    <w:r>
      <w:rPr>
        <w:rFonts w:ascii="Arial" w:hAnsi="Arial" w:cs="Arial"/>
        <w:sz w:val="20"/>
        <w:szCs w:val="20"/>
        <w:lang w:val="en-US"/>
      </w:rPr>
      <w:t>LHE/19/14.COM</w:t>
    </w:r>
    <w:r w:rsidR="00E9376C">
      <w:rPr>
        <w:rFonts w:ascii="Arial" w:hAnsi="Arial" w:cs="Arial"/>
        <w:sz w:val="20"/>
        <w:szCs w:val="20"/>
        <w:lang w:val="en-US"/>
      </w:rPr>
      <w:t>/</w:t>
    </w:r>
    <w:r w:rsidR="00D7186E">
      <w:rPr>
        <w:rFonts w:ascii="Arial" w:hAnsi="Arial" w:cs="Arial"/>
        <w:sz w:val="20"/>
        <w:szCs w:val="20"/>
        <w:lang w:val="en-US"/>
      </w:rPr>
      <w:t>10.c</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BB38D3">
      <w:rPr>
        <w:rStyle w:val="PageNumber"/>
        <w:rFonts w:ascii="Arial" w:hAnsi="Arial" w:cs="Arial"/>
        <w:noProof/>
        <w:sz w:val="20"/>
        <w:szCs w:val="20"/>
        <w:lang w:val="en-US"/>
      </w:rPr>
      <w:t>8</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91B3" w14:textId="1DF09145" w:rsidR="006B5001" w:rsidRPr="00BC3420" w:rsidRDefault="008F09EC" w:rsidP="00EF7A2E">
    <w:pPr>
      <w:pStyle w:val="Header"/>
      <w:ind w:left="1418"/>
      <w:jc w:val="right"/>
      <w:rPr>
        <w:rFonts w:ascii="Arial" w:hAnsi="Arial" w:cs="Arial"/>
        <w:lang w:val="en-US"/>
      </w:rPr>
    </w:pPr>
    <w:r>
      <w:rPr>
        <w:rFonts w:ascii="Arial" w:hAnsi="Arial" w:cs="Arial"/>
        <w:sz w:val="20"/>
        <w:szCs w:val="20"/>
        <w:lang w:val="en-US"/>
      </w:rPr>
      <w:t>LHE/19/14.COM</w:t>
    </w:r>
    <w:r w:rsidR="002C0D14">
      <w:rPr>
        <w:rFonts w:ascii="Arial" w:hAnsi="Arial" w:cs="Arial"/>
        <w:sz w:val="20"/>
        <w:szCs w:val="20"/>
        <w:lang w:val="en-US"/>
      </w:rPr>
      <w:t>/</w:t>
    </w:r>
    <w:r w:rsidR="00D7186E">
      <w:rPr>
        <w:rFonts w:ascii="Arial" w:hAnsi="Arial" w:cs="Arial"/>
        <w:sz w:val="20"/>
        <w:szCs w:val="20"/>
        <w:lang w:val="en-US"/>
      </w:rPr>
      <w:t>10.c</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BB38D3">
      <w:rPr>
        <w:rStyle w:val="PageNumber"/>
        <w:rFonts w:ascii="Arial" w:hAnsi="Arial" w:cs="Arial"/>
        <w:noProof/>
        <w:sz w:val="20"/>
        <w:szCs w:val="20"/>
        <w:lang w:val="en-US"/>
      </w:rPr>
      <w:t>7</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E498" w14:textId="6304DFB8" w:rsidR="00E9376C" w:rsidRPr="008B64DF" w:rsidRDefault="00AF5AE5">
    <w:pPr>
      <w:pStyle w:val="Header"/>
      <w:rPr>
        <w:sz w:val="22"/>
        <w:szCs w:val="22"/>
      </w:rPr>
    </w:pPr>
    <w:r>
      <w:rPr>
        <w:noProof/>
        <w:lang w:eastAsia="ja-JP"/>
      </w:rPr>
      <w:drawing>
        <wp:anchor distT="0" distB="0" distL="114300" distR="114300" simplePos="0" relativeHeight="251657728" behindDoc="0" locked="0" layoutInCell="1" allowOverlap="1" wp14:anchorId="052988AC" wp14:editId="256CD79F">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4284E" w14:textId="0FDB0B1B" w:rsidR="00850CC0" w:rsidRPr="005E0737" w:rsidRDefault="00850CC0" w:rsidP="00850CC0">
    <w:pPr>
      <w:pStyle w:val="Header"/>
      <w:spacing w:after="520"/>
      <w:jc w:val="right"/>
      <w:rPr>
        <w:rFonts w:ascii="Arial" w:hAnsi="Arial" w:cs="Arial"/>
        <w:b/>
        <w:sz w:val="44"/>
        <w:szCs w:val="44"/>
        <w:lang w:val="en-US"/>
      </w:rPr>
    </w:pPr>
    <w:r w:rsidRPr="005E0737">
      <w:rPr>
        <w:rFonts w:ascii="Arial" w:hAnsi="Arial" w:cs="Arial"/>
        <w:b/>
        <w:sz w:val="44"/>
        <w:szCs w:val="44"/>
        <w:lang w:val="en-US"/>
      </w:rPr>
      <w:t>14</w:t>
    </w:r>
    <w:r w:rsidR="004C3CC2" w:rsidRPr="005E0737">
      <w:rPr>
        <w:rFonts w:ascii="Arial" w:hAnsi="Arial" w:cs="Arial"/>
        <w:b/>
        <w:sz w:val="44"/>
        <w:szCs w:val="44"/>
        <w:lang w:val="en-US"/>
      </w:rPr>
      <w:t xml:space="preserve"> COM</w:t>
    </w:r>
  </w:p>
  <w:p w14:paraId="414D224C" w14:textId="3EE14659" w:rsidR="00850CC0" w:rsidRPr="005E0737" w:rsidRDefault="001471EB" w:rsidP="00850CC0">
    <w:pPr>
      <w:jc w:val="right"/>
      <w:rPr>
        <w:rFonts w:ascii="Arial" w:hAnsi="Arial" w:cs="Arial"/>
        <w:b/>
        <w:sz w:val="22"/>
        <w:szCs w:val="22"/>
        <w:lang w:val="en-US"/>
      </w:rPr>
    </w:pPr>
    <w:r w:rsidRPr="005E0737">
      <w:rPr>
        <w:rFonts w:ascii="Arial" w:hAnsi="Arial" w:cs="Arial"/>
        <w:b/>
        <w:sz w:val="22"/>
        <w:szCs w:val="22"/>
        <w:lang w:val="en-US"/>
      </w:rPr>
      <w:t>LHE/19/14.COM/10.c</w:t>
    </w:r>
    <w:r w:rsidR="002F47FC" w:rsidRPr="005E0737">
      <w:rPr>
        <w:rFonts w:ascii="Arial" w:hAnsi="Arial" w:cs="Arial"/>
        <w:b/>
        <w:sz w:val="22"/>
        <w:szCs w:val="22"/>
        <w:lang w:val="en-US"/>
      </w:rPr>
      <w:t xml:space="preserve"> Add.</w:t>
    </w:r>
  </w:p>
  <w:p w14:paraId="47299234" w14:textId="6EFFEEDD" w:rsidR="00850CC0" w:rsidRPr="00EA7CEF" w:rsidRDefault="002F47FC" w:rsidP="00850CC0">
    <w:pPr>
      <w:jc w:val="right"/>
      <w:rPr>
        <w:rFonts w:ascii="Arial" w:hAnsi="Arial" w:cs="Arial"/>
        <w:b/>
        <w:sz w:val="22"/>
        <w:szCs w:val="22"/>
      </w:rPr>
    </w:pPr>
    <w:r w:rsidRPr="003D4C7F">
      <w:rPr>
        <w:rFonts w:ascii="Arial" w:hAnsi="Arial" w:cs="Arial"/>
        <w:b/>
        <w:sz w:val="22"/>
        <w:szCs w:val="22"/>
      </w:rPr>
      <w:t>Bogotá</w:t>
    </w:r>
    <w:r w:rsidR="00850CC0" w:rsidRPr="00B63CAA">
      <w:rPr>
        <w:rFonts w:ascii="Arial" w:hAnsi="Arial" w:cs="Arial"/>
        <w:b/>
        <w:sz w:val="22"/>
        <w:szCs w:val="22"/>
      </w:rPr>
      <w:t xml:space="preserve">, le </w:t>
    </w:r>
    <w:r w:rsidR="007731F0">
      <w:rPr>
        <w:rFonts w:ascii="Arial" w:hAnsi="Arial" w:cs="Arial"/>
        <w:b/>
        <w:sz w:val="22"/>
        <w:szCs w:val="22"/>
      </w:rPr>
      <w:t>11</w:t>
    </w:r>
    <w:r w:rsidR="00ED3DD9" w:rsidRPr="00B63CAA">
      <w:rPr>
        <w:rFonts w:ascii="Arial" w:hAnsi="Arial" w:cs="Arial"/>
        <w:b/>
        <w:sz w:val="22"/>
        <w:szCs w:val="22"/>
      </w:rPr>
      <w:t xml:space="preserve"> </w:t>
    </w:r>
    <w:r>
      <w:rPr>
        <w:rFonts w:ascii="Arial" w:hAnsi="Arial" w:cs="Arial"/>
        <w:b/>
        <w:sz w:val="22"/>
        <w:szCs w:val="22"/>
      </w:rPr>
      <w:t>d</w:t>
    </w:r>
    <w:r w:rsidRPr="003D4C7F">
      <w:rPr>
        <w:rFonts w:ascii="Arial" w:hAnsi="Arial" w:cs="Arial"/>
        <w:b/>
        <w:sz w:val="22"/>
        <w:szCs w:val="22"/>
      </w:rPr>
      <w:t>é</w:t>
    </w:r>
    <w:r>
      <w:rPr>
        <w:rFonts w:ascii="Arial" w:hAnsi="Arial" w:cs="Arial"/>
        <w:b/>
        <w:sz w:val="22"/>
        <w:szCs w:val="22"/>
      </w:rPr>
      <w:t>cembre</w:t>
    </w:r>
    <w:r w:rsidR="00850CC0" w:rsidRPr="00B63CAA">
      <w:rPr>
        <w:rFonts w:ascii="Arial" w:hAnsi="Arial" w:cs="Arial"/>
        <w:b/>
        <w:sz w:val="22"/>
        <w:szCs w:val="22"/>
      </w:rPr>
      <w:t xml:space="preserve"> 2019</w:t>
    </w:r>
  </w:p>
  <w:p w14:paraId="6DB435E5" w14:textId="16FA9F02" w:rsidR="00E9376C" w:rsidRPr="00850CC0" w:rsidRDefault="00850CC0" w:rsidP="00850CC0">
    <w:pPr>
      <w:jc w:val="right"/>
      <w:rPr>
        <w:rFonts w:ascii="Arial" w:hAnsi="Arial" w:cs="Arial"/>
        <w:b/>
        <w:sz w:val="22"/>
        <w:szCs w:val="22"/>
      </w:rPr>
    </w:pPr>
    <w:r w:rsidRPr="00EA7CEF">
      <w:rPr>
        <w:rFonts w:ascii="Arial" w:hAnsi="Arial" w:cs="Arial"/>
        <w:b/>
        <w:sz w:val="22"/>
        <w:szCs w:val="22"/>
      </w:rPr>
      <w:t>Original : anglais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E8D8" w14:textId="77777777" w:rsidR="005E0737" w:rsidRPr="008B64DF" w:rsidRDefault="005E0737">
    <w:pPr>
      <w:pStyle w:val="Header"/>
      <w:rPr>
        <w:sz w:val="22"/>
        <w:szCs w:val="22"/>
      </w:rPr>
    </w:pPr>
    <w:r>
      <w:rPr>
        <w:noProof/>
        <w:lang w:eastAsia="ja-JP"/>
      </w:rPr>
      <w:drawing>
        <wp:anchor distT="0" distB="0" distL="114300" distR="114300" simplePos="0" relativeHeight="251659776" behindDoc="0" locked="0" layoutInCell="1" allowOverlap="1" wp14:anchorId="672736E7" wp14:editId="6672214B">
          <wp:simplePos x="0" y="0"/>
          <wp:positionH relativeFrom="page">
            <wp:posOffset>342265</wp:posOffset>
          </wp:positionH>
          <wp:positionV relativeFrom="page">
            <wp:posOffset>255905</wp:posOffset>
          </wp:positionV>
          <wp:extent cx="2037600" cy="1530000"/>
          <wp:effectExtent l="0" t="0" r="1270" b="0"/>
          <wp:wrapNone/>
          <wp:docPr id="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E9835" w14:textId="77777777" w:rsidR="005E0737" w:rsidRPr="005E0737" w:rsidRDefault="005E0737" w:rsidP="00850CC0">
    <w:pPr>
      <w:pStyle w:val="Header"/>
      <w:spacing w:after="520"/>
      <w:jc w:val="right"/>
      <w:rPr>
        <w:rFonts w:ascii="Arial" w:hAnsi="Arial" w:cs="Arial"/>
        <w:b/>
        <w:sz w:val="44"/>
        <w:szCs w:val="44"/>
        <w:lang w:val="en-US"/>
      </w:rPr>
    </w:pPr>
    <w:r w:rsidRPr="005E0737">
      <w:rPr>
        <w:rFonts w:ascii="Arial" w:hAnsi="Arial" w:cs="Arial"/>
        <w:b/>
        <w:sz w:val="44"/>
        <w:szCs w:val="44"/>
        <w:lang w:val="en-US"/>
      </w:rPr>
      <w:t>14 COM</w:t>
    </w:r>
  </w:p>
  <w:p w14:paraId="33421F1E" w14:textId="5B918F5B" w:rsidR="005E0737" w:rsidRPr="005E0737" w:rsidRDefault="005E0737" w:rsidP="00850CC0">
    <w:pPr>
      <w:jc w:val="right"/>
      <w:rPr>
        <w:rFonts w:ascii="Arial" w:hAnsi="Arial" w:cs="Arial"/>
        <w:b/>
        <w:sz w:val="22"/>
        <w:szCs w:val="22"/>
        <w:lang w:val="en-US"/>
      </w:rPr>
    </w:pPr>
    <w:r w:rsidRPr="005E0737">
      <w:rPr>
        <w:rFonts w:ascii="Arial" w:hAnsi="Arial" w:cs="Arial"/>
        <w:b/>
        <w:sz w:val="22"/>
        <w:szCs w:val="22"/>
        <w:lang w:val="en-US"/>
      </w:rPr>
      <w:t>LHE/19/14.COM/10.c</w:t>
    </w:r>
  </w:p>
  <w:p w14:paraId="0AB09107" w14:textId="32B53DEA" w:rsidR="005E0737" w:rsidRPr="00EA7CEF" w:rsidRDefault="005E0737" w:rsidP="00850CC0">
    <w:pPr>
      <w:jc w:val="right"/>
      <w:rPr>
        <w:rFonts w:ascii="Arial" w:hAnsi="Arial" w:cs="Arial"/>
        <w:b/>
        <w:sz w:val="22"/>
        <w:szCs w:val="22"/>
      </w:rPr>
    </w:pPr>
    <w:r>
      <w:rPr>
        <w:rFonts w:ascii="Arial" w:hAnsi="Arial" w:cs="Arial"/>
        <w:b/>
        <w:sz w:val="22"/>
        <w:szCs w:val="22"/>
      </w:rPr>
      <w:t>Paris</w:t>
    </w:r>
    <w:r w:rsidRPr="00B63CAA">
      <w:rPr>
        <w:rFonts w:ascii="Arial" w:hAnsi="Arial" w:cs="Arial"/>
        <w:b/>
        <w:sz w:val="22"/>
        <w:szCs w:val="22"/>
      </w:rPr>
      <w:t xml:space="preserve">, le </w:t>
    </w:r>
    <w:r>
      <w:rPr>
        <w:rFonts w:ascii="Arial" w:hAnsi="Arial" w:cs="Arial"/>
        <w:b/>
        <w:sz w:val="22"/>
        <w:szCs w:val="22"/>
      </w:rPr>
      <w:t>7</w:t>
    </w:r>
    <w:r w:rsidRPr="00B63CAA">
      <w:rPr>
        <w:rFonts w:ascii="Arial" w:hAnsi="Arial" w:cs="Arial"/>
        <w:b/>
        <w:sz w:val="22"/>
        <w:szCs w:val="22"/>
      </w:rPr>
      <w:t xml:space="preserve"> </w:t>
    </w:r>
    <w:r>
      <w:rPr>
        <w:rFonts w:ascii="Arial" w:hAnsi="Arial" w:cs="Arial"/>
        <w:b/>
        <w:sz w:val="22"/>
        <w:szCs w:val="22"/>
      </w:rPr>
      <w:t>novembre</w:t>
    </w:r>
    <w:r w:rsidRPr="00B63CAA">
      <w:rPr>
        <w:rFonts w:ascii="Arial" w:hAnsi="Arial" w:cs="Arial"/>
        <w:b/>
        <w:sz w:val="22"/>
        <w:szCs w:val="22"/>
      </w:rPr>
      <w:t xml:space="preserve"> 2019</w:t>
    </w:r>
  </w:p>
  <w:p w14:paraId="32B865D4" w14:textId="77777777" w:rsidR="005E0737" w:rsidRPr="00850CC0" w:rsidRDefault="005E0737" w:rsidP="00850CC0">
    <w:pPr>
      <w:jc w:val="right"/>
      <w:rPr>
        <w:rFonts w:ascii="Arial" w:hAnsi="Arial" w:cs="Arial"/>
        <w:b/>
        <w:sz w:val="22"/>
        <w:szCs w:val="22"/>
      </w:rPr>
    </w:pPr>
    <w:r w:rsidRPr="00EA7CEF">
      <w:rPr>
        <w:rFonts w:ascii="Arial" w:hAnsi="Arial" w:cs="Arial"/>
        <w:b/>
        <w:sz w:val="22"/>
        <w:szCs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28DF1C0E"/>
    <w:multiLevelType w:val="hybridMultilevel"/>
    <w:tmpl w:val="2EBA0FEE"/>
    <w:lvl w:ilvl="0" w:tplc="DD14CB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E7117AC"/>
    <w:multiLevelType w:val="multilevel"/>
    <w:tmpl w:val="E70EBFFC"/>
    <w:numStyleLink w:val="Headingsubdecision"/>
  </w:abstractNum>
  <w:abstractNum w:abstractNumId="12"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pStyle w:val="Style1"/>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19"/>
  </w:num>
  <w:num w:numId="5">
    <w:abstractNumId w:val="17"/>
  </w:num>
  <w:num w:numId="6">
    <w:abstractNumId w:val="0"/>
  </w:num>
  <w:num w:numId="7">
    <w:abstractNumId w:val="2"/>
  </w:num>
  <w:num w:numId="8">
    <w:abstractNumId w:val="10"/>
  </w:num>
  <w:num w:numId="9">
    <w:abstractNumId w:val="7"/>
  </w:num>
  <w:num w:numId="10">
    <w:abstractNumId w:val="9"/>
  </w:num>
  <w:num w:numId="11">
    <w:abstractNumId w:val="6"/>
  </w:num>
  <w:num w:numId="12">
    <w:abstractNumId w:val="4"/>
  </w:num>
  <w:num w:numId="13">
    <w:abstractNumId w:val="13"/>
  </w:num>
  <w:num w:numId="14">
    <w:abstractNumId w:val="3"/>
  </w:num>
  <w:num w:numId="15">
    <w:abstractNumId w:val="18"/>
  </w:num>
  <w:num w:numId="16">
    <w:abstractNumId w:val="12"/>
  </w:num>
  <w:num w:numId="17">
    <w:abstractNumId w:val="9"/>
    <w:lvlOverride w:ilvl="0">
      <w:startOverride w:val="1"/>
    </w:lvlOverride>
  </w:num>
  <w:num w:numId="18">
    <w:abstractNumId w:val="15"/>
  </w:num>
  <w:num w:numId="19">
    <w:abstractNumId w:val="5"/>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20BFC"/>
    <w:rsid w:val="00022428"/>
    <w:rsid w:val="000263BA"/>
    <w:rsid w:val="0003173D"/>
    <w:rsid w:val="0003530D"/>
    <w:rsid w:val="0005176E"/>
    <w:rsid w:val="000540F3"/>
    <w:rsid w:val="00057825"/>
    <w:rsid w:val="00077AB7"/>
    <w:rsid w:val="00081CD8"/>
    <w:rsid w:val="0008329C"/>
    <w:rsid w:val="000A7F0E"/>
    <w:rsid w:val="000B26BE"/>
    <w:rsid w:val="000B3307"/>
    <w:rsid w:val="000B4B7F"/>
    <w:rsid w:val="000C1899"/>
    <w:rsid w:val="000C1E08"/>
    <w:rsid w:val="000E6CD7"/>
    <w:rsid w:val="000F3A3F"/>
    <w:rsid w:val="001464E5"/>
    <w:rsid w:val="001471EB"/>
    <w:rsid w:val="00164D56"/>
    <w:rsid w:val="00165170"/>
    <w:rsid w:val="00167B10"/>
    <w:rsid w:val="001721BC"/>
    <w:rsid w:val="0018358A"/>
    <w:rsid w:val="00191480"/>
    <w:rsid w:val="0019264E"/>
    <w:rsid w:val="00196C1B"/>
    <w:rsid w:val="001A1A9C"/>
    <w:rsid w:val="001A766C"/>
    <w:rsid w:val="001B0F73"/>
    <w:rsid w:val="001C4A10"/>
    <w:rsid w:val="001D02C9"/>
    <w:rsid w:val="001D3874"/>
    <w:rsid w:val="001D3D43"/>
    <w:rsid w:val="001E6BAC"/>
    <w:rsid w:val="0020150F"/>
    <w:rsid w:val="00222A2D"/>
    <w:rsid w:val="00225597"/>
    <w:rsid w:val="002407AF"/>
    <w:rsid w:val="002462ED"/>
    <w:rsid w:val="00247699"/>
    <w:rsid w:val="00250CA1"/>
    <w:rsid w:val="00267670"/>
    <w:rsid w:val="00280D62"/>
    <w:rsid w:val="002A29AA"/>
    <w:rsid w:val="002A56D8"/>
    <w:rsid w:val="002A6C11"/>
    <w:rsid w:val="002A6F73"/>
    <w:rsid w:val="002C0D14"/>
    <w:rsid w:val="002D1EDF"/>
    <w:rsid w:val="002E12C8"/>
    <w:rsid w:val="002E3D25"/>
    <w:rsid w:val="002E58D4"/>
    <w:rsid w:val="002F47FC"/>
    <w:rsid w:val="00301684"/>
    <w:rsid w:val="00316159"/>
    <w:rsid w:val="0033615C"/>
    <w:rsid w:val="00337B29"/>
    <w:rsid w:val="0035077E"/>
    <w:rsid w:val="003551A0"/>
    <w:rsid w:val="003845BE"/>
    <w:rsid w:val="003933DB"/>
    <w:rsid w:val="003B590C"/>
    <w:rsid w:val="003C1678"/>
    <w:rsid w:val="003C7792"/>
    <w:rsid w:val="003D069C"/>
    <w:rsid w:val="003D4C7F"/>
    <w:rsid w:val="003E07D8"/>
    <w:rsid w:val="003E2A08"/>
    <w:rsid w:val="003F113A"/>
    <w:rsid w:val="00404680"/>
    <w:rsid w:val="00405115"/>
    <w:rsid w:val="004155E9"/>
    <w:rsid w:val="004239C7"/>
    <w:rsid w:val="004326D8"/>
    <w:rsid w:val="00440F9B"/>
    <w:rsid w:val="004421E5"/>
    <w:rsid w:val="00443880"/>
    <w:rsid w:val="00452284"/>
    <w:rsid w:val="00457DAB"/>
    <w:rsid w:val="00461168"/>
    <w:rsid w:val="00467FBE"/>
    <w:rsid w:val="00486948"/>
    <w:rsid w:val="00495C25"/>
    <w:rsid w:val="0049705E"/>
    <w:rsid w:val="004A6F71"/>
    <w:rsid w:val="004C3CC2"/>
    <w:rsid w:val="004F44B3"/>
    <w:rsid w:val="004F5F48"/>
    <w:rsid w:val="005158FF"/>
    <w:rsid w:val="0051689A"/>
    <w:rsid w:val="00526B7B"/>
    <w:rsid w:val="005308CE"/>
    <w:rsid w:val="0054080A"/>
    <w:rsid w:val="00554D0D"/>
    <w:rsid w:val="00570BDF"/>
    <w:rsid w:val="0057439C"/>
    <w:rsid w:val="005774FB"/>
    <w:rsid w:val="00596476"/>
    <w:rsid w:val="005A0ABE"/>
    <w:rsid w:val="005B0127"/>
    <w:rsid w:val="005C094D"/>
    <w:rsid w:val="005C4B73"/>
    <w:rsid w:val="005D07F9"/>
    <w:rsid w:val="005E0737"/>
    <w:rsid w:val="005E0799"/>
    <w:rsid w:val="005E54A1"/>
    <w:rsid w:val="00600D93"/>
    <w:rsid w:val="00616C7B"/>
    <w:rsid w:val="00627C5C"/>
    <w:rsid w:val="006469CD"/>
    <w:rsid w:val="00655736"/>
    <w:rsid w:val="00663B8D"/>
    <w:rsid w:val="006923BD"/>
    <w:rsid w:val="00696C8D"/>
    <w:rsid w:val="006A2AC2"/>
    <w:rsid w:val="006A3617"/>
    <w:rsid w:val="006B1DC0"/>
    <w:rsid w:val="006B5001"/>
    <w:rsid w:val="006C1F05"/>
    <w:rsid w:val="006D21D9"/>
    <w:rsid w:val="006D2536"/>
    <w:rsid w:val="006E46E4"/>
    <w:rsid w:val="006F6397"/>
    <w:rsid w:val="00717AAB"/>
    <w:rsid w:val="00717DBD"/>
    <w:rsid w:val="00741016"/>
    <w:rsid w:val="00764CF9"/>
    <w:rsid w:val="007731F0"/>
    <w:rsid w:val="00784B8C"/>
    <w:rsid w:val="007905C0"/>
    <w:rsid w:val="0079799C"/>
    <w:rsid w:val="007A527D"/>
    <w:rsid w:val="007D24C4"/>
    <w:rsid w:val="007E60C6"/>
    <w:rsid w:val="007F7ABE"/>
    <w:rsid w:val="0080096B"/>
    <w:rsid w:val="008064F0"/>
    <w:rsid w:val="00817944"/>
    <w:rsid w:val="00821C3F"/>
    <w:rsid w:val="00823A11"/>
    <w:rsid w:val="00824EF7"/>
    <w:rsid w:val="00850CC0"/>
    <w:rsid w:val="008525A1"/>
    <w:rsid w:val="0085414A"/>
    <w:rsid w:val="0086269D"/>
    <w:rsid w:val="00863302"/>
    <w:rsid w:val="008712A2"/>
    <w:rsid w:val="00871C8F"/>
    <w:rsid w:val="008724E5"/>
    <w:rsid w:val="00881998"/>
    <w:rsid w:val="00882C9E"/>
    <w:rsid w:val="00884A9D"/>
    <w:rsid w:val="008A4E1E"/>
    <w:rsid w:val="008B64DF"/>
    <w:rsid w:val="008B771A"/>
    <w:rsid w:val="008C0E44"/>
    <w:rsid w:val="008C296C"/>
    <w:rsid w:val="008C5C38"/>
    <w:rsid w:val="008C5D48"/>
    <w:rsid w:val="008D4305"/>
    <w:rsid w:val="008E46AA"/>
    <w:rsid w:val="008F09EC"/>
    <w:rsid w:val="00901489"/>
    <w:rsid w:val="0090643C"/>
    <w:rsid w:val="00913D86"/>
    <w:rsid w:val="009148E9"/>
    <w:rsid w:val="009163A7"/>
    <w:rsid w:val="00922E3E"/>
    <w:rsid w:val="00923931"/>
    <w:rsid w:val="00923F14"/>
    <w:rsid w:val="00933C6B"/>
    <w:rsid w:val="00950F68"/>
    <w:rsid w:val="00953157"/>
    <w:rsid w:val="00962119"/>
    <w:rsid w:val="00962CDF"/>
    <w:rsid w:val="00974249"/>
    <w:rsid w:val="009824D2"/>
    <w:rsid w:val="009928B0"/>
    <w:rsid w:val="00993C93"/>
    <w:rsid w:val="009A122D"/>
    <w:rsid w:val="009A18CD"/>
    <w:rsid w:val="009A4CBD"/>
    <w:rsid w:val="009B5302"/>
    <w:rsid w:val="009E1B50"/>
    <w:rsid w:val="009F68AE"/>
    <w:rsid w:val="009F6BD6"/>
    <w:rsid w:val="00A12558"/>
    <w:rsid w:val="00A12794"/>
    <w:rsid w:val="00A13903"/>
    <w:rsid w:val="00A2044D"/>
    <w:rsid w:val="00A235CB"/>
    <w:rsid w:val="00A34ED5"/>
    <w:rsid w:val="00A45DBF"/>
    <w:rsid w:val="00A61C6E"/>
    <w:rsid w:val="00A755A2"/>
    <w:rsid w:val="00A90761"/>
    <w:rsid w:val="00AA162E"/>
    <w:rsid w:val="00AB2C36"/>
    <w:rsid w:val="00AC1594"/>
    <w:rsid w:val="00AD1A86"/>
    <w:rsid w:val="00AE103E"/>
    <w:rsid w:val="00AF0A07"/>
    <w:rsid w:val="00AF5250"/>
    <w:rsid w:val="00AF5AE5"/>
    <w:rsid w:val="00AF625E"/>
    <w:rsid w:val="00AF721B"/>
    <w:rsid w:val="00B152B1"/>
    <w:rsid w:val="00B40C51"/>
    <w:rsid w:val="00B43974"/>
    <w:rsid w:val="00B63CAA"/>
    <w:rsid w:val="00B81018"/>
    <w:rsid w:val="00B866F2"/>
    <w:rsid w:val="00B90701"/>
    <w:rsid w:val="00B95F51"/>
    <w:rsid w:val="00BA7A71"/>
    <w:rsid w:val="00BB38D3"/>
    <w:rsid w:val="00BC3420"/>
    <w:rsid w:val="00BD13E5"/>
    <w:rsid w:val="00BD52C9"/>
    <w:rsid w:val="00BE6354"/>
    <w:rsid w:val="00BF0F0E"/>
    <w:rsid w:val="00BF7648"/>
    <w:rsid w:val="00C06A9E"/>
    <w:rsid w:val="00C078E7"/>
    <w:rsid w:val="00C11292"/>
    <w:rsid w:val="00C120D8"/>
    <w:rsid w:val="00C12FB3"/>
    <w:rsid w:val="00C358C4"/>
    <w:rsid w:val="00C377F5"/>
    <w:rsid w:val="00C403BF"/>
    <w:rsid w:val="00C44633"/>
    <w:rsid w:val="00C44814"/>
    <w:rsid w:val="00C70EA7"/>
    <w:rsid w:val="00C7516E"/>
    <w:rsid w:val="00C81DC2"/>
    <w:rsid w:val="00C92A9F"/>
    <w:rsid w:val="00CB0FE7"/>
    <w:rsid w:val="00CC4DAE"/>
    <w:rsid w:val="00CC6ED2"/>
    <w:rsid w:val="00D00847"/>
    <w:rsid w:val="00D24877"/>
    <w:rsid w:val="00D26CAE"/>
    <w:rsid w:val="00D35851"/>
    <w:rsid w:val="00D41A9C"/>
    <w:rsid w:val="00D426D2"/>
    <w:rsid w:val="00D45648"/>
    <w:rsid w:val="00D616FB"/>
    <w:rsid w:val="00D70BDC"/>
    <w:rsid w:val="00D7186E"/>
    <w:rsid w:val="00D75D42"/>
    <w:rsid w:val="00D92CF0"/>
    <w:rsid w:val="00DA36ED"/>
    <w:rsid w:val="00DB3CEF"/>
    <w:rsid w:val="00DB4A84"/>
    <w:rsid w:val="00DB5988"/>
    <w:rsid w:val="00DC0F3C"/>
    <w:rsid w:val="00DE34F1"/>
    <w:rsid w:val="00DF4942"/>
    <w:rsid w:val="00E05B56"/>
    <w:rsid w:val="00E1161A"/>
    <w:rsid w:val="00E22288"/>
    <w:rsid w:val="00E23B3C"/>
    <w:rsid w:val="00E43E5B"/>
    <w:rsid w:val="00E60B9D"/>
    <w:rsid w:val="00E627B1"/>
    <w:rsid w:val="00E62B4C"/>
    <w:rsid w:val="00E9376C"/>
    <w:rsid w:val="00E95CB6"/>
    <w:rsid w:val="00EA602C"/>
    <w:rsid w:val="00EB4599"/>
    <w:rsid w:val="00EC59DE"/>
    <w:rsid w:val="00ED3691"/>
    <w:rsid w:val="00ED3DD9"/>
    <w:rsid w:val="00EE7257"/>
    <w:rsid w:val="00EF21F0"/>
    <w:rsid w:val="00EF3E59"/>
    <w:rsid w:val="00EF7A2E"/>
    <w:rsid w:val="00F134B7"/>
    <w:rsid w:val="00F41629"/>
    <w:rsid w:val="00F50B07"/>
    <w:rsid w:val="00F5681A"/>
    <w:rsid w:val="00F576CB"/>
    <w:rsid w:val="00F623A4"/>
    <w:rsid w:val="00F64302"/>
    <w:rsid w:val="00F67F1C"/>
    <w:rsid w:val="00FC2940"/>
    <w:rsid w:val="00FC4715"/>
    <w:rsid w:val="00FD1226"/>
    <w:rsid w:val="00FD1939"/>
    <w:rsid w:val="00FE4D1F"/>
    <w:rsid w:val="00FF593C"/>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B9801D"/>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8525A1"/>
    <w:pPr>
      <w:keepNext/>
      <w:keepLines/>
      <w:spacing w:before="240"/>
      <w:outlineLvl w:val="0"/>
    </w:pPr>
    <w:rPr>
      <w:rFonts w:asciiTheme="majorHAnsi" w:eastAsiaTheme="majorEastAsia" w:hAnsiTheme="majorHAnsi" w:cstheme="majorBidi"/>
      <w:color w:val="365F91" w:themeColor="accent1" w:themeShade="BF"/>
      <w:sz w:val="32"/>
      <w:szCs w:val="32"/>
      <w:lang w:bidi="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character" w:customStyle="1" w:styleId="Heading1Char">
    <w:name w:val="Heading 1 Char"/>
    <w:basedOn w:val="DefaultParagraphFont"/>
    <w:link w:val="Heading1"/>
    <w:uiPriority w:val="9"/>
    <w:rsid w:val="008525A1"/>
    <w:rPr>
      <w:rFonts w:asciiTheme="majorHAnsi" w:eastAsiaTheme="majorEastAsia" w:hAnsiTheme="majorHAnsi" w:cstheme="majorBidi"/>
      <w:color w:val="365F91" w:themeColor="accent1" w:themeShade="BF"/>
      <w:sz w:val="32"/>
      <w:szCs w:val="32"/>
      <w:lang w:bidi="fr-FR"/>
    </w:rPr>
  </w:style>
  <w:style w:type="paragraph" w:customStyle="1" w:styleId="COMPara">
    <w:name w:val="COM Para"/>
    <w:qFormat/>
    <w:rsid w:val="008525A1"/>
    <w:pPr>
      <w:spacing w:after="120"/>
      <w:ind w:left="567" w:hanging="567"/>
    </w:pPr>
    <w:rPr>
      <w:rFonts w:ascii="Arial" w:eastAsia="Times New Roman" w:hAnsi="Arial" w:cs="Arial"/>
      <w:snapToGrid w:val="0"/>
      <w:sz w:val="22"/>
      <w:szCs w:val="22"/>
      <w:lang w:bidi="fr-FR"/>
    </w:rPr>
  </w:style>
  <w:style w:type="paragraph" w:customStyle="1" w:styleId="DocMain">
    <w:name w:val="Doc_Main"/>
    <w:basedOn w:val="Normal"/>
    <w:uiPriority w:val="99"/>
    <w:qFormat/>
    <w:rsid w:val="008525A1"/>
    <w:pPr>
      <w:spacing w:before="240" w:after="240"/>
      <w:ind w:left="720" w:hanging="360"/>
      <w:jc w:val="both"/>
    </w:pPr>
    <w:rPr>
      <w:rFonts w:ascii="Arial" w:eastAsia="SimSun" w:hAnsi="Arial" w:cs="Arial"/>
      <w:sz w:val="22"/>
      <w:szCs w:val="22"/>
      <w:lang w:bidi="fr-FR"/>
    </w:rPr>
  </w:style>
  <w:style w:type="paragraph" w:customStyle="1" w:styleId="NoSpacing1">
    <w:name w:val="No Spacing1"/>
    <w:rsid w:val="008525A1"/>
    <w:rPr>
      <w:sz w:val="22"/>
      <w:szCs w:val="22"/>
      <w:lang w:bidi="fr-FR"/>
    </w:rPr>
  </w:style>
  <w:style w:type="paragraph" w:customStyle="1" w:styleId="Style1">
    <w:name w:val="Style1"/>
    <w:basedOn w:val="Normal"/>
    <w:link w:val="Style1Char"/>
    <w:qFormat/>
    <w:rsid w:val="0035077E"/>
    <w:pPr>
      <w:numPr>
        <w:ilvl w:val="1"/>
        <w:numId w:val="21"/>
      </w:numPr>
      <w:tabs>
        <w:tab w:val="left" w:pos="1134"/>
        <w:tab w:val="left" w:pos="1701"/>
        <w:tab w:val="left" w:pos="2268"/>
      </w:tabs>
      <w:spacing w:before="120" w:after="120"/>
      <w:jc w:val="both"/>
    </w:pPr>
    <w:rPr>
      <w:rFonts w:ascii="Arial" w:hAnsi="Arial" w:cs="Arial"/>
      <w:sz w:val="22"/>
      <w:szCs w:val="22"/>
    </w:rPr>
  </w:style>
  <w:style w:type="numbering" w:customStyle="1" w:styleId="Headingsubdecision">
    <w:name w:val="Heading sub decision"/>
    <w:uiPriority w:val="99"/>
    <w:rsid w:val="0035077E"/>
    <w:pPr>
      <w:numPr>
        <w:numId w:val="20"/>
      </w:numPr>
    </w:pPr>
  </w:style>
  <w:style w:type="character" w:customStyle="1" w:styleId="Style1Char">
    <w:name w:val="Style1 Char"/>
    <w:basedOn w:val="DefaultParagraphFont"/>
    <w:link w:val="Style1"/>
    <w:rsid w:val="0035077E"/>
    <w:rPr>
      <w:rFonts w:ascii="Arial" w:eastAsia="Times New Roman" w:hAnsi="Arial" w:cs="Arial"/>
      <w:sz w:val="22"/>
      <w:szCs w:val="22"/>
    </w:rPr>
  </w:style>
  <w:style w:type="character" w:styleId="CommentReference">
    <w:name w:val="annotation reference"/>
    <w:basedOn w:val="DefaultParagraphFont"/>
    <w:uiPriority w:val="99"/>
    <w:semiHidden/>
    <w:unhideWhenUsed/>
    <w:rsid w:val="006B1DC0"/>
    <w:rPr>
      <w:sz w:val="16"/>
      <w:szCs w:val="16"/>
    </w:rPr>
  </w:style>
  <w:style w:type="paragraph" w:styleId="CommentText">
    <w:name w:val="annotation text"/>
    <w:basedOn w:val="Normal"/>
    <w:link w:val="CommentTextChar"/>
    <w:uiPriority w:val="99"/>
    <w:semiHidden/>
    <w:unhideWhenUsed/>
    <w:rsid w:val="006B1DC0"/>
    <w:rPr>
      <w:sz w:val="20"/>
      <w:szCs w:val="20"/>
    </w:rPr>
  </w:style>
  <w:style w:type="character" w:customStyle="1" w:styleId="CommentTextChar">
    <w:name w:val="Comment Text Char"/>
    <w:basedOn w:val="DefaultParagraphFont"/>
    <w:link w:val="CommentText"/>
    <w:uiPriority w:val="99"/>
    <w:semiHidden/>
    <w:rsid w:val="006B1DC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B1DC0"/>
    <w:rPr>
      <w:b/>
      <w:bCs/>
    </w:rPr>
  </w:style>
  <w:style w:type="character" w:customStyle="1" w:styleId="CommentSubjectChar">
    <w:name w:val="Comment Subject Char"/>
    <w:basedOn w:val="CommentTextChar"/>
    <w:link w:val="CommentSubject"/>
    <w:uiPriority w:val="99"/>
    <w:semiHidden/>
    <w:rsid w:val="006B1DC0"/>
    <w:rPr>
      <w:rFonts w:ascii="Times New Roman" w:eastAsia="Times New Roman" w:hAnsi="Times New Roman"/>
      <w:b/>
      <w:bCs/>
    </w:rPr>
  </w:style>
  <w:style w:type="paragraph" w:styleId="Revision">
    <w:name w:val="Revision"/>
    <w:hidden/>
    <w:uiPriority w:val="99"/>
    <w:semiHidden/>
    <w:rsid w:val="006B1DC0"/>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E6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0c-registre-01099" TargetMode="External"/><Relationship Id="rId13" Type="http://schemas.openxmlformats.org/officeDocument/2006/relationships/hyperlink" Target="https://ich.unesco.org/fr/10c-registre-01099"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19-14.COM-10-FR.doc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Recommendation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fr/10c-registre-01099"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h.unesco.org/fr/10c-registre-0109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5AC8-30C6-4151-9BA4-8109E442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47</TotalTime>
  <Pages>9</Pages>
  <Words>4120</Words>
  <Characters>23488</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constantinou</cp:lastModifiedBy>
  <cp:revision>34</cp:revision>
  <cp:lastPrinted>2019-10-14T14:42:00Z</cp:lastPrinted>
  <dcterms:created xsi:type="dcterms:W3CDTF">2019-11-05T17:46:00Z</dcterms:created>
  <dcterms:modified xsi:type="dcterms:W3CDTF">2019-12-12T01:25:00Z</dcterms:modified>
</cp:coreProperties>
</file>